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184" w:lineRule="exact" w:before="43"/>
        <w:ind w:left="678" w:right="0" w:firstLine="0"/>
        <w:jc w:val="left"/>
        <w:rPr>
          <w:sz w:val="21"/>
        </w:rPr>
      </w:pPr>
      <w:r>
        <w:rPr>
          <w:color w:val="000080"/>
          <w:spacing w:val="1"/>
          <w:w w:val="99"/>
          <w:sz w:val="20"/>
        </w:rPr>
        <w:t> </w:t>
      </w:r>
      <w:r>
        <w:rPr>
          <w:color w:val="000080"/>
          <w:spacing w:val="-2"/>
          <w:w w:val="99"/>
          <w:sz w:val="20"/>
        </w:rPr>
        <w:t> </w:t>
      </w:r>
      <w:r>
        <w:rPr>
          <w:w w:val="100"/>
          <w:sz w:val="21"/>
        </w:rPr>
        <w:t> </w:t>
      </w:r>
    </w:p>
    <w:p>
      <w:pPr>
        <w:spacing w:line="871" w:lineRule="exact" w:before="0"/>
        <w:ind w:left="297" w:right="778" w:firstLine="0"/>
        <w:jc w:val="center"/>
        <w:rPr>
          <w:rFonts w:ascii="Microsoft JhengHei" w:eastAsia="Microsoft JhengHei" w:hint="eastAsia"/>
          <w:b/>
          <w:sz w:val="52"/>
        </w:rPr>
      </w:pPr>
      <w:r>
        <w:rPr>
          <w:rFonts w:ascii="Microsoft JhengHei" w:eastAsia="Microsoft JhengHei" w:hint="eastAsia"/>
          <w:b/>
          <w:sz w:val="52"/>
        </w:rPr>
        <w:t>南宁市房屋建筑和市政工程施工招标</w:t>
      </w:r>
    </w:p>
    <w:p>
      <w:pPr>
        <w:spacing w:before="56"/>
        <w:ind w:left="297" w:right="514" w:firstLine="0"/>
        <w:jc w:val="center"/>
        <w:rPr>
          <w:rFonts w:ascii="Microsoft JhengHei" w:eastAsia="Microsoft JhengHei" w:hint="eastAsia"/>
          <w:b/>
          <w:sz w:val="52"/>
        </w:rPr>
      </w:pPr>
      <w:r>
        <w:rPr>
          <w:rFonts w:ascii="Microsoft JhengHei" w:eastAsia="Microsoft JhengHei" w:hint="eastAsia"/>
          <w:b/>
          <w:sz w:val="52"/>
        </w:rPr>
        <w:t>文件范本（2019 年修改版）</w:t>
      </w:r>
      <w:r>
        <w:rPr>
          <w:rFonts w:ascii="Microsoft JhengHei" w:eastAsia="Microsoft JhengHei" w:hint="eastAsia"/>
          <w:b/>
          <w:w w:val="200"/>
          <w:sz w:val="52"/>
        </w:rPr>
        <w:t> </w:t>
      </w:r>
    </w:p>
    <w:p>
      <w:pPr>
        <w:pStyle w:val="BodyText"/>
        <w:ind w:left="0"/>
        <w:rPr>
          <w:rFonts w:ascii="Microsoft JhengHei"/>
          <w:b/>
          <w:sz w:val="20"/>
        </w:rPr>
      </w:pPr>
    </w:p>
    <w:p>
      <w:pPr>
        <w:pStyle w:val="BodyText"/>
        <w:ind w:left="0"/>
        <w:rPr>
          <w:rFonts w:ascii="Microsoft JhengHei"/>
          <w:b/>
          <w:sz w:val="20"/>
        </w:rPr>
      </w:pPr>
    </w:p>
    <w:p>
      <w:pPr>
        <w:pStyle w:val="BodyText"/>
        <w:ind w:left="0"/>
        <w:rPr>
          <w:rFonts w:ascii="Microsoft JhengHei"/>
          <w:b/>
          <w:sz w:val="20"/>
        </w:rPr>
      </w:pPr>
    </w:p>
    <w:p>
      <w:pPr>
        <w:pStyle w:val="BodyText"/>
        <w:ind w:left="0"/>
        <w:rPr>
          <w:rFonts w:ascii="Microsoft JhengHei"/>
          <w:b/>
          <w:sz w:val="20"/>
        </w:rPr>
      </w:pPr>
    </w:p>
    <w:p>
      <w:pPr>
        <w:pStyle w:val="BodyText"/>
        <w:spacing w:before="7"/>
        <w:ind w:left="0"/>
        <w:rPr>
          <w:rFonts w:ascii="Microsoft JhengHei"/>
          <w:b/>
          <w:sz w:val="17"/>
        </w:rPr>
      </w:pPr>
    </w:p>
    <w:p>
      <w:pPr>
        <w:pStyle w:val="Heading3"/>
        <w:spacing w:before="54"/>
        <w:ind w:left="297" w:right="618"/>
        <w:jc w:val="center"/>
      </w:pPr>
      <w:r>
        <w:rPr>
          <w:color w:val="0000FF"/>
        </w:rPr>
        <w:t>横县横州镇茉莉小学工程</w:t>
      </w:r>
      <w:r>
        <w:rPr/>
        <w:t>施工招标 </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3"/>
        <w:ind w:left="0"/>
      </w:pPr>
    </w:p>
    <w:p>
      <w:pPr>
        <w:spacing w:line="921" w:lineRule="exact" w:before="0"/>
        <w:ind w:left="297" w:right="415" w:firstLine="0"/>
        <w:jc w:val="center"/>
        <w:rPr>
          <w:sz w:val="72"/>
        </w:rPr>
      </w:pPr>
      <w:r>
        <w:rPr>
          <w:sz w:val="72"/>
        </w:rPr>
        <w:t>招 标 文 件 </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spacing w:before="213"/>
        <w:ind w:left="2218" w:right="0" w:firstLine="0"/>
        <w:jc w:val="left"/>
        <w:rPr>
          <w:sz w:val="28"/>
        </w:rPr>
      </w:pPr>
      <w:r>
        <w:rPr>
          <w:w w:val="100"/>
          <w:sz w:val="28"/>
        </w:rPr>
        <w:t> </w:t>
      </w:r>
      <w:r>
        <w:rPr>
          <w:spacing w:val="-2"/>
          <w:w w:val="100"/>
          <w:sz w:val="28"/>
        </w:rPr>
        <w:t>  </w:t>
      </w:r>
      <w:r>
        <w:rPr>
          <w:w w:val="100"/>
          <w:sz w:val="28"/>
        </w:rPr>
        <w:t> </w:t>
      </w:r>
      <w:r>
        <w:rPr>
          <w:spacing w:val="-1"/>
          <w:w w:val="100"/>
          <w:sz w:val="28"/>
        </w:rPr>
        <w:t> </w:t>
      </w:r>
      <w:r>
        <w:rPr>
          <w:spacing w:val="-3"/>
          <w:sz w:val="28"/>
        </w:rPr>
        <w:t>项目招标编号：</w:t>
      </w:r>
      <w:r>
        <w:rPr>
          <w:color w:val="0000FF"/>
          <w:spacing w:val="-1"/>
          <w:sz w:val="28"/>
        </w:rPr>
        <w:t>GXJZZB(ZB)2020-124</w:t>
      </w:r>
      <w:r>
        <w:rPr>
          <w:sz w:val="28"/>
        </w:rPr>
        <w:t> </w:t>
      </w:r>
    </w:p>
    <w:p>
      <w:pPr>
        <w:pStyle w:val="BodyText"/>
        <w:ind w:left="0"/>
        <w:rPr>
          <w:sz w:val="20"/>
        </w:rPr>
      </w:pPr>
    </w:p>
    <w:p>
      <w:pPr>
        <w:pStyle w:val="BodyText"/>
        <w:ind w:left="0"/>
        <w:rPr>
          <w:sz w:val="20"/>
        </w:rPr>
      </w:pPr>
    </w:p>
    <w:p>
      <w:pPr>
        <w:pStyle w:val="BodyText"/>
        <w:spacing w:before="2"/>
        <w:ind w:left="0"/>
        <w:rPr>
          <w:sz w:val="16"/>
        </w:rPr>
      </w:pPr>
    </w:p>
    <w:p>
      <w:pPr>
        <w:pStyle w:val="BodyText"/>
        <w:spacing w:before="72"/>
        <w:ind w:left="1114"/>
      </w:pPr>
      <w:r>
        <w:rPr/>
        <w:drawing>
          <wp:anchor distT="0" distB="0" distL="0" distR="0" allowOverlap="1" layoutInCell="1" locked="0" behindDoc="1" simplePos="0" relativeHeight="236561408">
            <wp:simplePos x="0" y="0"/>
            <wp:positionH relativeFrom="page">
              <wp:posOffset>4559300</wp:posOffset>
            </wp:positionH>
            <wp:positionV relativeFrom="paragraph">
              <wp:posOffset>167004</wp:posOffset>
            </wp:positionV>
            <wp:extent cx="2032000" cy="205740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2032000" cy="2057400"/>
                    </a:xfrm>
                    <a:prstGeom prst="rect">
                      <a:avLst/>
                    </a:prstGeom>
                  </pic:spPr>
                </pic:pic>
              </a:graphicData>
            </a:graphic>
          </wp:anchor>
        </w:drawing>
      </w:r>
      <w:r>
        <w:rPr>
          <w:w w:val="100"/>
        </w:rPr>
        <w:t> </w:t>
      </w:r>
    </w:p>
    <w:p>
      <w:pPr>
        <w:pStyle w:val="Heading3"/>
        <w:spacing w:before="161"/>
      </w:pPr>
      <w:r>
        <w:rPr>
          <w:w w:val="99"/>
        </w:rPr>
        <w:t>   </w:t>
      </w:r>
      <w:r>
        <w:rPr/>
        <w:t>招 标 人：</w:t>
      </w:r>
      <w:r>
        <w:rPr>
          <w:color w:val="0000FF"/>
        </w:rPr>
        <w:t>横县教育局</w:t>
      </w:r>
      <w:r>
        <w:rPr/>
        <w:t>（盖单位公章） </w:t>
      </w:r>
    </w:p>
    <w:p>
      <w:pPr>
        <w:spacing w:before="130"/>
        <w:ind w:left="1114" w:right="0" w:firstLine="0"/>
        <w:jc w:val="left"/>
        <w:rPr>
          <w:sz w:val="32"/>
        </w:rPr>
      </w:pPr>
      <w:r>
        <w:rPr>
          <w:w w:val="99"/>
          <w:sz w:val="32"/>
        </w:rPr>
        <w:t> </w:t>
      </w:r>
    </w:p>
    <w:p>
      <w:pPr>
        <w:spacing w:line="316" w:lineRule="auto" w:before="130"/>
        <w:ind w:left="678" w:right="1158" w:firstLine="436"/>
        <w:jc w:val="left"/>
        <w:rPr>
          <w:sz w:val="32"/>
        </w:rPr>
      </w:pPr>
      <w:r>
        <w:rPr>
          <w:w w:val="99"/>
          <w:sz w:val="32"/>
        </w:rPr>
        <w:t>   </w:t>
      </w:r>
      <w:r>
        <w:rPr>
          <w:sz w:val="32"/>
        </w:rPr>
        <w:t>招标代理机构：</w:t>
      </w:r>
      <w:r>
        <w:rPr>
          <w:color w:val="0000FF"/>
          <w:sz w:val="32"/>
        </w:rPr>
        <w:t>广西景钲工程咨询有限公司</w:t>
      </w:r>
      <w:r>
        <w:rPr>
          <w:sz w:val="32"/>
        </w:rPr>
        <w:t>（盖单位公章） </w:t>
      </w:r>
    </w:p>
    <w:p>
      <w:pPr>
        <w:spacing w:line="408" w:lineRule="exact" w:before="0"/>
        <w:ind w:left="1114" w:right="0" w:firstLine="0"/>
        <w:jc w:val="left"/>
        <w:rPr>
          <w:sz w:val="32"/>
        </w:rPr>
      </w:pPr>
      <w:r>
        <w:rPr>
          <w:w w:val="99"/>
          <w:sz w:val="32"/>
        </w:rPr>
        <w:t> </w:t>
      </w:r>
    </w:p>
    <w:p>
      <w:pPr>
        <w:spacing w:before="130"/>
        <w:ind w:left="1114" w:right="0" w:firstLine="0"/>
        <w:jc w:val="left"/>
        <w:rPr>
          <w:sz w:val="32"/>
        </w:rPr>
      </w:pPr>
      <w:r>
        <w:rPr>
          <w:spacing w:val="1"/>
          <w:w w:val="99"/>
          <w:sz w:val="32"/>
        </w:rPr>
        <w:t>   </w:t>
      </w:r>
      <w:r>
        <w:rPr>
          <w:sz w:val="32"/>
        </w:rPr>
        <w:t>发布日期：</w:t>
      </w:r>
      <w:r>
        <w:rPr>
          <w:color w:val="0000FF"/>
          <w:sz w:val="32"/>
        </w:rPr>
        <w:t>2020</w:t>
      </w:r>
      <w:r>
        <w:rPr>
          <w:color w:val="0000FF"/>
          <w:spacing w:val="-55"/>
          <w:sz w:val="32"/>
        </w:rPr>
        <w:t> 年 </w:t>
      </w:r>
      <w:r>
        <w:rPr>
          <w:color w:val="0000FF"/>
          <w:sz w:val="32"/>
        </w:rPr>
        <w:t>11</w:t>
      </w:r>
      <w:r>
        <w:rPr>
          <w:color w:val="0000FF"/>
          <w:spacing w:val="-54"/>
          <w:sz w:val="32"/>
        </w:rPr>
        <w:t> 月 </w:t>
      </w:r>
      <w:r>
        <w:rPr>
          <w:color w:val="0000FF"/>
          <w:sz w:val="32"/>
        </w:rPr>
        <w:t>16</w:t>
      </w:r>
      <w:r>
        <w:rPr>
          <w:color w:val="0000FF"/>
          <w:spacing w:val="-40"/>
          <w:sz w:val="32"/>
        </w:rPr>
        <w:t> 日</w:t>
      </w:r>
      <w:r>
        <w:rPr>
          <w:spacing w:val="-40"/>
          <w:sz w:val="32"/>
        </w:rPr>
        <w:t> </w:t>
      </w:r>
    </w:p>
    <w:p>
      <w:pPr>
        <w:spacing w:after="0"/>
        <w:jc w:val="left"/>
        <w:rPr>
          <w:sz w:val="32"/>
        </w:rPr>
        <w:sectPr>
          <w:footerReference w:type="default" r:id="rId5"/>
          <w:type w:val="continuous"/>
          <w:pgSz w:w="11910" w:h="16840"/>
          <w:pgMar w:footer="860" w:top="1380" w:bottom="1040" w:left="1120" w:right="280"/>
          <w:pgNumType w:start="1"/>
        </w:sectPr>
      </w:pPr>
    </w:p>
    <w:p>
      <w:pPr>
        <w:spacing w:line="799" w:lineRule="exact" w:before="0"/>
        <w:ind w:left="297" w:right="514" w:firstLine="0"/>
        <w:jc w:val="center"/>
        <w:rPr>
          <w:rFonts w:ascii="Microsoft JhengHei" w:eastAsia="Microsoft JhengHei" w:hint="eastAsia"/>
          <w:b/>
          <w:sz w:val="52"/>
        </w:rPr>
      </w:pPr>
      <w:r>
        <w:rPr>
          <w:rFonts w:ascii="Microsoft JhengHei" w:eastAsia="Microsoft JhengHei" w:hint="eastAsia"/>
          <w:b/>
          <w:sz w:val="52"/>
        </w:rPr>
        <w:t>使用说明</w:t>
      </w:r>
      <w:r>
        <w:rPr>
          <w:rFonts w:ascii="Microsoft JhengHei" w:eastAsia="Microsoft JhengHei" w:hint="eastAsia"/>
          <w:b/>
          <w:w w:val="200"/>
          <w:sz w:val="52"/>
        </w:rPr>
        <w:t> </w:t>
      </w:r>
    </w:p>
    <w:p>
      <w:pPr>
        <w:pStyle w:val="BodyText"/>
        <w:spacing w:before="204"/>
        <w:ind w:left="1098"/>
      </w:pPr>
      <w:r>
        <w:rPr/>
        <w:t>一、编写主要依据及参考 </w:t>
      </w:r>
    </w:p>
    <w:p>
      <w:pPr>
        <w:pStyle w:val="ListParagraph"/>
        <w:numPr>
          <w:ilvl w:val="0"/>
          <w:numId w:val="1"/>
        </w:numPr>
        <w:tabs>
          <w:tab w:pos="1311" w:val="left" w:leader="none"/>
        </w:tabs>
        <w:spacing w:line="240" w:lineRule="auto" w:before="139" w:after="0"/>
        <w:ind w:left="1310" w:right="0" w:hanging="213"/>
        <w:jc w:val="left"/>
        <w:rPr>
          <w:sz w:val="21"/>
        </w:rPr>
      </w:pPr>
      <w:r>
        <w:rPr>
          <w:spacing w:val="-11"/>
          <w:sz w:val="21"/>
        </w:rPr>
        <w:t>《中华人民共和国招标投标法》；</w:t>
      </w:r>
      <w:r>
        <w:rPr>
          <w:sz w:val="21"/>
        </w:rPr>
        <w:t> </w:t>
      </w:r>
    </w:p>
    <w:p>
      <w:pPr>
        <w:pStyle w:val="ListParagraph"/>
        <w:numPr>
          <w:ilvl w:val="0"/>
          <w:numId w:val="1"/>
        </w:numPr>
        <w:tabs>
          <w:tab w:pos="1311" w:val="left" w:leader="none"/>
        </w:tabs>
        <w:spacing w:line="240" w:lineRule="auto" w:before="139" w:after="0"/>
        <w:ind w:left="1310" w:right="0" w:hanging="213"/>
        <w:jc w:val="left"/>
        <w:rPr>
          <w:sz w:val="21"/>
        </w:rPr>
      </w:pPr>
      <w:r>
        <w:rPr>
          <w:spacing w:val="-12"/>
          <w:sz w:val="21"/>
        </w:rPr>
        <w:t>《中华人民共和国建筑法》；</w:t>
      </w:r>
      <w:r>
        <w:rPr>
          <w:sz w:val="21"/>
        </w:rPr>
        <w:t> </w:t>
      </w:r>
    </w:p>
    <w:p>
      <w:pPr>
        <w:pStyle w:val="ListParagraph"/>
        <w:numPr>
          <w:ilvl w:val="0"/>
          <w:numId w:val="1"/>
        </w:numPr>
        <w:tabs>
          <w:tab w:pos="1311" w:val="left" w:leader="none"/>
        </w:tabs>
        <w:spacing w:line="240" w:lineRule="auto" w:before="142" w:after="0"/>
        <w:ind w:left="1310" w:right="0" w:hanging="213"/>
        <w:jc w:val="left"/>
        <w:rPr>
          <w:sz w:val="21"/>
        </w:rPr>
      </w:pPr>
      <w:r>
        <w:rPr>
          <w:spacing w:val="-12"/>
          <w:sz w:val="21"/>
        </w:rPr>
        <w:t>《中华人民共和国合同法》；</w:t>
      </w:r>
      <w:r>
        <w:rPr>
          <w:sz w:val="21"/>
        </w:rPr>
        <w:t> </w:t>
      </w:r>
    </w:p>
    <w:p>
      <w:pPr>
        <w:pStyle w:val="ListParagraph"/>
        <w:numPr>
          <w:ilvl w:val="0"/>
          <w:numId w:val="1"/>
        </w:numPr>
        <w:tabs>
          <w:tab w:pos="1311" w:val="left" w:leader="none"/>
        </w:tabs>
        <w:spacing w:line="240" w:lineRule="auto" w:before="138" w:after="0"/>
        <w:ind w:left="1310" w:right="0" w:hanging="213"/>
        <w:jc w:val="left"/>
        <w:rPr>
          <w:sz w:val="21"/>
        </w:rPr>
      </w:pPr>
      <w:r>
        <w:rPr>
          <w:spacing w:val="-9"/>
          <w:sz w:val="21"/>
        </w:rPr>
        <w:t>《中华人民共和国招标投标法实施条例》；</w:t>
      </w:r>
      <w:r>
        <w:rPr>
          <w:sz w:val="21"/>
        </w:rPr>
        <w:t> </w:t>
      </w:r>
    </w:p>
    <w:p>
      <w:pPr>
        <w:pStyle w:val="ListParagraph"/>
        <w:numPr>
          <w:ilvl w:val="0"/>
          <w:numId w:val="1"/>
        </w:numPr>
        <w:tabs>
          <w:tab w:pos="1311" w:val="left" w:leader="none"/>
        </w:tabs>
        <w:spacing w:line="240" w:lineRule="auto" w:before="139" w:after="0"/>
        <w:ind w:left="1310" w:right="0" w:hanging="213"/>
        <w:jc w:val="left"/>
        <w:rPr>
          <w:sz w:val="21"/>
        </w:rPr>
      </w:pPr>
      <w:r>
        <w:rPr>
          <w:spacing w:val="-11"/>
          <w:sz w:val="21"/>
        </w:rPr>
        <w:t>《中华人民共和国电子签名法》；</w:t>
      </w:r>
      <w:r>
        <w:rPr>
          <w:sz w:val="21"/>
        </w:rPr>
        <w:t> </w:t>
      </w:r>
    </w:p>
    <w:p>
      <w:pPr>
        <w:pStyle w:val="ListParagraph"/>
        <w:numPr>
          <w:ilvl w:val="0"/>
          <w:numId w:val="1"/>
        </w:numPr>
        <w:tabs>
          <w:tab w:pos="1311" w:val="left" w:leader="none"/>
        </w:tabs>
        <w:spacing w:line="240" w:lineRule="auto" w:before="139" w:after="0"/>
        <w:ind w:left="1310" w:right="0" w:hanging="213"/>
        <w:jc w:val="left"/>
        <w:rPr>
          <w:sz w:val="21"/>
        </w:rPr>
      </w:pPr>
      <w:r>
        <w:rPr>
          <w:spacing w:val="-13"/>
          <w:sz w:val="21"/>
        </w:rPr>
        <w:t>《电子招标投标办法》； </w:t>
      </w:r>
    </w:p>
    <w:p>
      <w:pPr>
        <w:pStyle w:val="ListParagraph"/>
        <w:numPr>
          <w:ilvl w:val="0"/>
          <w:numId w:val="1"/>
        </w:numPr>
        <w:tabs>
          <w:tab w:pos="1311" w:val="left" w:leader="none"/>
        </w:tabs>
        <w:spacing w:line="364" w:lineRule="auto" w:before="142" w:after="0"/>
        <w:ind w:left="678" w:right="1154" w:firstLine="419"/>
        <w:jc w:val="left"/>
        <w:rPr>
          <w:sz w:val="21"/>
        </w:rPr>
      </w:pPr>
      <w:r>
        <w:rPr>
          <w:spacing w:val="-1"/>
          <w:sz w:val="21"/>
        </w:rPr>
        <w:t>《广西壮族自治区实施〈中华人民共和国招标投标法〉办法》(广西壮族自治区人大常委会公告</w:t>
      </w:r>
      <w:r>
        <w:rPr>
          <w:spacing w:val="-3"/>
          <w:sz w:val="21"/>
        </w:rPr>
        <w:t>（</w:t>
      </w:r>
      <w:r>
        <w:rPr>
          <w:spacing w:val="-13"/>
          <w:sz w:val="21"/>
        </w:rPr>
        <w:t>十二届第 </w:t>
      </w:r>
      <w:r>
        <w:rPr>
          <w:sz w:val="21"/>
        </w:rPr>
        <w:t>42</w:t>
      </w:r>
      <w:r>
        <w:rPr>
          <w:spacing w:val="-29"/>
          <w:sz w:val="21"/>
        </w:rPr>
        <w:t> 号</w:t>
      </w:r>
      <w:r>
        <w:rPr>
          <w:sz w:val="21"/>
        </w:rPr>
        <w:t>）)； </w:t>
      </w:r>
    </w:p>
    <w:p>
      <w:pPr>
        <w:pStyle w:val="ListParagraph"/>
        <w:numPr>
          <w:ilvl w:val="0"/>
          <w:numId w:val="1"/>
        </w:numPr>
        <w:tabs>
          <w:tab w:pos="1311" w:val="left" w:leader="none"/>
        </w:tabs>
        <w:spacing w:line="267" w:lineRule="exact" w:before="0" w:after="0"/>
        <w:ind w:left="1310" w:right="0" w:hanging="213"/>
        <w:jc w:val="left"/>
        <w:rPr>
          <w:sz w:val="21"/>
        </w:rPr>
      </w:pPr>
      <w:r>
        <w:rPr>
          <w:spacing w:val="-10"/>
          <w:sz w:val="21"/>
        </w:rPr>
        <w:t>《工程建设项目施工招标投标办法》</w:t>
      </w:r>
      <w:r>
        <w:rPr>
          <w:spacing w:val="-3"/>
          <w:sz w:val="21"/>
        </w:rPr>
        <w:t>（</w:t>
      </w:r>
      <w:r>
        <w:rPr>
          <w:spacing w:val="-6"/>
          <w:sz w:val="21"/>
        </w:rPr>
        <w:t>国家计划委员会等 </w:t>
      </w:r>
      <w:r>
        <w:rPr>
          <w:sz w:val="21"/>
        </w:rPr>
        <w:t>7</w:t>
      </w:r>
      <w:r>
        <w:rPr>
          <w:spacing w:val="-13"/>
          <w:sz w:val="21"/>
        </w:rPr>
        <w:t> 部委第 </w:t>
      </w:r>
      <w:r>
        <w:rPr>
          <w:sz w:val="21"/>
        </w:rPr>
        <w:t>30</w:t>
      </w:r>
      <w:r>
        <w:rPr>
          <w:spacing w:val="-11"/>
          <w:sz w:val="21"/>
        </w:rPr>
        <w:t> 号令，根据 </w:t>
      </w:r>
      <w:r>
        <w:rPr>
          <w:sz w:val="21"/>
        </w:rPr>
        <w:t>2013</w:t>
      </w:r>
    </w:p>
    <w:p>
      <w:pPr>
        <w:pStyle w:val="BodyText"/>
        <w:spacing w:before="139"/>
      </w:pPr>
      <w:r>
        <w:rPr>
          <w:w w:val="100"/>
        </w:rPr>
        <w:t>年</w:t>
      </w:r>
      <w:r>
        <w:rPr>
          <w:spacing w:val="-53"/>
        </w:rPr>
        <w:t> </w:t>
      </w:r>
      <w:r>
        <w:rPr>
          <w:w w:val="100"/>
        </w:rPr>
        <w:t>3</w:t>
      </w:r>
      <w:r>
        <w:rPr>
          <w:spacing w:val="-55"/>
        </w:rPr>
        <w:t> </w:t>
      </w:r>
      <w:r>
        <w:rPr>
          <w:w w:val="100"/>
        </w:rPr>
        <w:t>月</w:t>
      </w:r>
      <w:r>
        <w:rPr>
          <w:spacing w:val="-53"/>
        </w:rPr>
        <w:t> </w:t>
      </w:r>
      <w:r>
        <w:rPr>
          <w:w w:val="100"/>
        </w:rPr>
        <w:t>11</w:t>
      </w:r>
      <w:r>
        <w:rPr>
          <w:spacing w:val="-55"/>
        </w:rPr>
        <w:t> </w:t>
      </w:r>
      <w:r>
        <w:rPr>
          <w:spacing w:val="-3"/>
          <w:w w:val="100"/>
        </w:rPr>
        <w:t>日国家发展改革委等</w:t>
      </w:r>
      <w:r>
        <w:rPr>
          <w:spacing w:val="-52"/>
        </w:rPr>
        <w:t> </w:t>
      </w:r>
      <w:r>
        <w:rPr>
          <w:w w:val="100"/>
        </w:rPr>
        <w:t>9</w:t>
      </w:r>
      <w:r>
        <w:rPr>
          <w:spacing w:val="-55"/>
        </w:rPr>
        <w:t> </w:t>
      </w:r>
      <w:r>
        <w:rPr>
          <w:spacing w:val="-2"/>
          <w:w w:val="100"/>
        </w:rPr>
        <w:t>部委第</w:t>
      </w:r>
      <w:r>
        <w:rPr>
          <w:spacing w:val="-53"/>
        </w:rPr>
        <w:t> </w:t>
      </w:r>
      <w:r>
        <w:rPr>
          <w:spacing w:val="-3"/>
          <w:w w:val="100"/>
        </w:rPr>
        <w:t>2</w:t>
      </w:r>
      <w:r>
        <w:rPr>
          <w:w w:val="100"/>
        </w:rPr>
        <w:t>3</w:t>
      </w:r>
      <w:r>
        <w:rPr>
          <w:spacing w:val="-53"/>
        </w:rPr>
        <w:t> </w:t>
      </w:r>
      <w:r>
        <w:rPr>
          <w:spacing w:val="-3"/>
          <w:w w:val="100"/>
        </w:rPr>
        <w:t>号令修改</w:t>
      </w:r>
      <w:r>
        <w:rPr>
          <w:spacing w:val="-106"/>
          <w:w w:val="100"/>
        </w:rPr>
        <w:t>）</w:t>
      </w:r>
      <w:r>
        <w:rPr>
          <w:spacing w:val="-3"/>
          <w:w w:val="100"/>
        </w:rPr>
        <w:t>；</w:t>
      </w:r>
      <w:r>
        <w:rPr>
          <w:w w:val="100"/>
        </w:rPr>
        <w:t> </w:t>
      </w:r>
    </w:p>
    <w:p>
      <w:pPr>
        <w:pStyle w:val="ListParagraph"/>
        <w:numPr>
          <w:ilvl w:val="0"/>
          <w:numId w:val="1"/>
        </w:numPr>
        <w:tabs>
          <w:tab w:pos="1311" w:val="left" w:leader="none"/>
        </w:tabs>
        <w:spacing w:line="240" w:lineRule="auto" w:before="139" w:after="0"/>
        <w:ind w:left="1310" w:right="0" w:hanging="213"/>
        <w:jc w:val="left"/>
        <w:rPr>
          <w:sz w:val="21"/>
        </w:rPr>
      </w:pPr>
      <w:r>
        <w:rPr>
          <w:spacing w:val="-3"/>
          <w:sz w:val="21"/>
        </w:rPr>
        <w:t>《评标委员会和评标方法暂行规定</w:t>
      </w:r>
      <w:r>
        <w:rPr>
          <w:spacing w:val="-209"/>
          <w:sz w:val="21"/>
        </w:rPr>
        <w:t>》</w:t>
      </w:r>
      <w:r>
        <w:rPr>
          <w:spacing w:val="-3"/>
          <w:sz w:val="21"/>
        </w:rPr>
        <w:t>（</w:t>
      </w:r>
      <w:r>
        <w:rPr>
          <w:spacing w:val="-8"/>
          <w:sz w:val="21"/>
        </w:rPr>
        <w:t>国家发展计划委员会等 </w:t>
      </w:r>
      <w:r>
        <w:rPr>
          <w:sz w:val="21"/>
        </w:rPr>
        <w:t>7</w:t>
      </w:r>
      <w:r>
        <w:rPr>
          <w:spacing w:val="-23"/>
          <w:sz w:val="21"/>
        </w:rPr>
        <w:t> 部委第 </w:t>
      </w:r>
      <w:r>
        <w:rPr>
          <w:sz w:val="21"/>
        </w:rPr>
        <w:t>12</w:t>
      </w:r>
      <w:r>
        <w:rPr>
          <w:spacing w:val="-33"/>
          <w:sz w:val="21"/>
        </w:rPr>
        <w:t> 号令，根据 </w:t>
      </w:r>
      <w:r>
        <w:rPr>
          <w:sz w:val="21"/>
        </w:rPr>
        <w:t>2013</w:t>
      </w:r>
    </w:p>
    <w:p>
      <w:pPr>
        <w:pStyle w:val="BodyText"/>
        <w:spacing w:before="142"/>
      </w:pPr>
      <w:r>
        <w:rPr>
          <w:w w:val="100"/>
        </w:rPr>
        <w:t>年</w:t>
      </w:r>
      <w:r>
        <w:rPr>
          <w:spacing w:val="-53"/>
        </w:rPr>
        <w:t> </w:t>
      </w:r>
      <w:r>
        <w:rPr>
          <w:w w:val="100"/>
        </w:rPr>
        <w:t>3</w:t>
      </w:r>
      <w:r>
        <w:rPr>
          <w:spacing w:val="-55"/>
        </w:rPr>
        <w:t> </w:t>
      </w:r>
      <w:r>
        <w:rPr>
          <w:w w:val="100"/>
        </w:rPr>
        <w:t>月</w:t>
      </w:r>
      <w:r>
        <w:rPr>
          <w:spacing w:val="-53"/>
        </w:rPr>
        <w:t> </w:t>
      </w:r>
      <w:r>
        <w:rPr>
          <w:w w:val="100"/>
        </w:rPr>
        <w:t>11</w:t>
      </w:r>
      <w:r>
        <w:rPr>
          <w:spacing w:val="-55"/>
        </w:rPr>
        <w:t> </w:t>
      </w:r>
      <w:r>
        <w:rPr>
          <w:spacing w:val="-3"/>
          <w:w w:val="100"/>
        </w:rPr>
        <w:t>日国家发展改革委等</w:t>
      </w:r>
      <w:r>
        <w:rPr>
          <w:spacing w:val="-52"/>
        </w:rPr>
        <w:t> </w:t>
      </w:r>
      <w:r>
        <w:rPr>
          <w:w w:val="100"/>
        </w:rPr>
        <w:t>9</w:t>
      </w:r>
      <w:r>
        <w:rPr>
          <w:spacing w:val="-55"/>
        </w:rPr>
        <w:t> </w:t>
      </w:r>
      <w:r>
        <w:rPr>
          <w:spacing w:val="-2"/>
          <w:w w:val="100"/>
        </w:rPr>
        <w:t>部委第</w:t>
      </w:r>
      <w:r>
        <w:rPr>
          <w:spacing w:val="-53"/>
        </w:rPr>
        <w:t> </w:t>
      </w:r>
      <w:r>
        <w:rPr>
          <w:spacing w:val="-3"/>
          <w:w w:val="100"/>
        </w:rPr>
        <w:t>2</w:t>
      </w:r>
      <w:r>
        <w:rPr>
          <w:w w:val="100"/>
        </w:rPr>
        <w:t>3</w:t>
      </w:r>
      <w:r>
        <w:rPr>
          <w:spacing w:val="-53"/>
        </w:rPr>
        <w:t> </w:t>
      </w:r>
      <w:r>
        <w:rPr>
          <w:spacing w:val="-3"/>
          <w:w w:val="100"/>
        </w:rPr>
        <w:t>号令修改</w:t>
      </w:r>
      <w:r>
        <w:rPr>
          <w:spacing w:val="-106"/>
          <w:w w:val="100"/>
        </w:rPr>
        <w:t>）</w:t>
      </w:r>
      <w:r>
        <w:rPr>
          <w:spacing w:val="-3"/>
          <w:w w:val="100"/>
        </w:rPr>
        <w:t>；</w:t>
      </w:r>
      <w:r>
        <w:rPr>
          <w:w w:val="100"/>
        </w:rPr>
        <w:t> </w:t>
      </w:r>
    </w:p>
    <w:p>
      <w:pPr>
        <w:pStyle w:val="ListParagraph"/>
        <w:numPr>
          <w:ilvl w:val="0"/>
          <w:numId w:val="1"/>
        </w:numPr>
        <w:tabs>
          <w:tab w:pos="1416" w:val="left" w:leader="none"/>
        </w:tabs>
        <w:spacing w:line="364" w:lineRule="auto" w:before="138" w:after="0"/>
        <w:ind w:left="678" w:right="1151" w:firstLine="419"/>
        <w:jc w:val="left"/>
        <w:rPr>
          <w:sz w:val="21"/>
        </w:rPr>
      </w:pPr>
      <w:r>
        <w:rPr>
          <w:spacing w:val="-3"/>
          <w:sz w:val="21"/>
        </w:rPr>
        <w:t>《国务院关于建立完善守信联合激励和失信联合惩戒制度加快推进社会诚信建设的指</w:t>
      </w:r>
      <w:r>
        <w:rPr>
          <w:w w:val="100"/>
          <w:sz w:val="21"/>
        </w:rPr>
        <w:t>导</w:t>
      </w:r>
      <w:r>
        <w:rPr>
          <w:spacing w:val="-36"/>
          <w:w w:val="100"/>
          <w:sz w:val="21"/>
        </w:rPr>
        <w:t>意见》</w:t>
      </w:r>
      <w:r>
        <w:rPr>
          <w:w w:val="100"/>
          <w:sz w:val="21"/>
        </w:rPr>
        <w:t>（</w:t>
      </w:r>
      <w:r>
        <w:rPr>
          <w:spacing w:val="-2"/>
          <w:w w:val="100"/>
          <w:sz w:val="21"/>
        </w:rPr>
        <w:t>国发〔</w:t>
      </w:r>
      <w:r>
        <w:rPr>
          <w:spacing w:val="-3"/>
          <w:w w:val="100"/>
          <w:sz w:val="21"/>
        </w:rPr>
        <w:t>2</w:t>
      </w:r>
      <w:r>
        <w:rPr>
          <w:w w:val="100"/>
          <w:sz w:val="21"/>
        </w:rPr>
        <w:t>01</w:t>
      </w:r>
      <w:r>
        <w:rPr>
          <w:spacing w:val="-3"/>
          <w:w w:val="100"/>
          <w:sz w:val="21"/>
        </w:rPr>
        <w:t>6</w:t>
      </w:r>
      <w:r>
        <w:rPr>
          <w:w w:val="100"/>
          <w:sz w:val="21"/>
        </w:rPr>
        <w:t>〕33</w:t>
      </w:r>
      <w:r>
        <w:rPr>
          <w:spacing w:val="-55"/>
          <w:sz w:val="21"/>
        </w:rPr>
        <w:t> </w:t>
      </w:r>
      <w:r>
        <w:rPr>
          <w:w w:val="100"/>
          <w:sz w:val="21"/>
        </w:rPr>
        <w:t>号</w:t>
      </w:r>
      <w:r>
        <w:rPr>
          <w:spacing w:val="-106"/>
          <w:w w:val="100"/>
          <w:sz w:val="21"/>
        </w:rPr>
        <w:t>）</w:t>
      </w:r>
      <w:r>
        <w:rPr>
          <w:spacing w:val="-3"/>
          <w:w w:val="100"/>
          <w:sz w:val="21"/>
        </w:rPr>
        <w:t>；</w:t>
      </w:r>
      <w:r>
        <w:rPr>
          <w:w w:val="100"/>
          <w:sz w:val="21"/>
        </w:rPr>
        <w:t> </w:t>
      </w:r>
    </w:p>
    <w:p>
      <w:pPr>
        <w:pStyle w:val="ListParagraph"/>
        <w:numPr>
          <w:ilvl w:val="0"/>
          <w:numId w:val="1"/>
        </w:numPr>
        <w:tabs>
          <w:tab w:pos="1416" w:val="left" w:leader="none"/>
        </w:tabs>
        <w:spacing w:line="267" w:lineRule="exact" w:before="0" w:after="0"/>
        <w:ind w:left="1415" w:right="0" w:hanging="318"/>
        <w:jc w:val="left"/>
        <w:rPr>
          <w:sz w:val="21"/>
        </w:rPr>
      </w:pPr>
      <w:r>
        <w:rPr>
          <w:spacing w:val="-7"/>
          <w:sz w:val="21"/>
        </w:rPr>
        <w:t>《关于加快推进失信被执行人信用监督、警示和惩戒机制建设的意见》； </w:t>
      </w:r>
    </w:p>
    <w:p>
      <w:pPr>
        <w:pStyle w:val="ListParagraph"/>
        <w:numPr>
          <w:ilvl w:val="0"/>
          <w:numId w:val="1"/>
        </w:numPr>
        <w:tabs>
          <w:tab w:pos="1416" w:val="left" w:leader="none"/>
        </w:tabs>
        <w:spacing w:line="240" w:lineRule="auto" w:before="140" w:after="0"/>
        <w:ind w:left="1415" w:right="0" w:hanging="318"/>
        <w:jc w:val="left"/>
        <w:rPr>
          <w:sz w:val="21"/>
        </w:rPr>
      </w:pPr>
      <w:r>
        <w:rPr>
          <w:spacing w:val="-3"/>
          <w:sz w:val="21"/>
        </w:rPr>
        <w:t>《房屋建筑和市政基础设施工程施工招标投标管理办法</w:t>
      </w:r>
      <w:r>
        <w:rPr>
          <w:spacing w:val="-140"/>
          <w:sz w:val="21"/>
        </w:rPr>
        <w:t>》</w:t>
      </w:r>
      <w:r>
        <w:rPr>
          <w:sz w:val="21"/>
        </w:rPr>
        <w:t>（</w:t>
      </w:r>
      <w:r>
        <w:rPr>
          <w:spacing w:val="-12"/>
          <w:sz w:val="21"/>
        </w:rPr>
        <w:t>建设部令第 </w:t>
      </w:r>
      <w:r>
        <w:rPr>
          <w:sz w:val="21"/>
        </w:rPr>
        <w:t>89</w:t>
      </w:r>
      <w:r>
        <w:rPr>
          <w:spacing w:val="-26"/>
          <w:sz w:val="21"/>
        </w:rPr>
        <w:t> 号，根据 </w:t>
      </w:r>
      <w:r>
        <w:rPr>
          <w:sz w:val="21"/>
        </w:rPr>
        <w:t>2018</w:t>
      </w:r>
    </w:p>
    <w:p>
      <w:pPr>
        <w:pStyle w:val="BodyText"/>
        <w:spacing w:before="141"/>
      </w:pPr>
      <w:r>
        <w:rPr>
          <w:w w:val="100"/>
        </w:rPr>
        <w:t>年</w:t>
      </w:r>
      <w:r>
        <w:rPr>
          <w:spacing w:val="-53"/>
        </w:rPr>
        <w:t> </w:t>
      </w:r>
      <w:r>
        <w:rPr>
          <w:w w:val="100"/>
        </w:rPr>
        <w:t>9</w:t>
      </w:r>
      <w:r>
        <w:rPr>
          <w:spacing w:val="-55"/>
        </w:rPr>
        <w:t> </w:t>
      </w:r>
      <w:r>
        <w:rPr>
          <w:w w:val="100"/>
        </w:rPr>
        <w:t>月</w:t>
      </w:r>
      <w:r>
        <w:rPr>
          <w:spacing w:val="-53"/>
        </w:rPr>
        <w:t> </w:t>
      </w:r>
      <w:r>
        <w:rPr>
          <w:w w:val="100"/>
        </w:rPr>
        <w:t>28</w:t>
      </w:r>
      <w:r>
        <w:rPr>
          <w:spacing w:val="-55"/>
        </w:rPr>
        <w:t> </w:t>
      </w:r>
      <w:r>
        <w:rPr>
          <w:spacing w:val="-3"/>
          <w:w w:val="100"/>
        </w:rPr>
        <w:t>日住房和城乡建设部令第</w:t>
      </w:r>
      <w:r>
        <w:rPr>
          <w:spacing w:val="-52"/>
        </w:rPr>
        <w:t> </w:t>
      </w:r>
      <w:r>
        <w:rPr>
          <w:spacing w:val="-3"/>
          <w:w w:val="100"/>
        </w:rPr>
        <w:t>4</w:t>
      </w:r>
      <w:r>
        <w:rPr>
          <w:w w:val="100"/>
        </w:rPr>
        <w:t>3</w:t>
      </w:r>
      <w:r>
        <w:rPr>
          <w:spacing w:val="-53"/>
        </w:rPr>
        <w:t> </w:t>
      </w:r>
      <w:r>
        <w:rPr>
          <w:spacing w:val="-2"/>
          <w:w w:val="100"/>
        </w:rPr>
        <w:t>号修正</w:t>
      </w:r>
      <w:r>
        <w:rPr>
          <w:spacing w:val="-108"/>
          <w:w w:val="100"/>
        </w:rPr>
        <w:t>）</w:t>
      </w:r>
      <w:r>
        <w:rPr>
          <w:spacing w:val="-3"/>
          <w:w w:val="100"/>
        </w:rPr>
        <w:t>；</w:t>
      </w:r>
      <w:r>
        <w:rPr>
          <w:w w:val="100"/>
        </w:rPr>
        <w:t> </w:t>
      </w:r>
    </w:p>
    <w:p>
      <w:pPr>
        <w:pStyle w:val="ListParagraph"/>
        <w:numPr>
          <w:ilvl w:val="0"/>
          <w:numId w:val="1"/>
        </w:numPr>
        <w:tabs>
          <w:tab w:pos="1416" w:val="left" w:leader="none"/>
        </w:tabs>
        <w:spacing w:line="240" w:lineRule="auto" w:before="139" w:after="0"/>
        <w:ind w:left="1415" w:right="0" w:hanging="318"/>
        <w:jc w:val="left"/>
        <w:rPr>
          <w:sz w:val="21"/>
        </w:rPr>
      </w:pPr>
      <w:r>
        <w:rPr>
          <w:spacing w:val="-10"/>
          <w:w w:val="100"/>
          <w:sz w:val="21"/>
        </w:rPr>
        <w:t>《中华人民共和国标准施工招标文件》</w:t>
      </w:r>
      <w:r>
        <w:rPr>
          <w:spacing w:val="-1"/>
          <w:w w:val="100"/>
          <w:sz w:val="21"/>
        </w:rPr>
        <w:t>（</w:t>
      </w:r>
      <w:r>
        <w:rPr>
          <w:w w:val="100"/>
          <w:sz w:val="21"/>
        </w:rPr>
        <w:t>20</w:t>
      </w:r>
      <w:r>
        <w:rPr>
          <w:spacing w:val="-3"/>
          <w:w w:val="100"/>
          <w:sz w:val="21"/>
        </w:rPr>
        <w:t>0</w:t>
      </w:r>
      <w:r>
        <w:rPr>
          <w:w w:val="100"/>
          <w:sz w:val="21"/>
        </w:rPr>
        <w:t>7</w:t>
      </w:r>
      <w:r>
        <w:rPr>
          <w:spacing w:val="-52"/>
          <w:sz w:val="21"/>
        </w:rPr>
        <w:t> </w:t>
      </w:r>
      <w:r>
        <w:rPr>
          <w:spacing w:val="-2"/>
          <w:w w:val="100"/>
          <w:sz w:val="21"/>
        </w:rPr>
        <w:t>年版</w:t>
      </w:r>
      <w:r>
        <w:rPr>
          <w:spacing w:val="-106"/>
          <w:w w:val="100"/>
          <w:sz w:val="21"/>
        </w:rPr>
        <w:t>）</w:t>
      </w:r>
      <w:r>
        <w:rPr>
          <w:spacing w:val="-3"/>
          <w:w w:val="100"/>
          <w:sz w:val="21"/>
        </w:rPr>
        <w:t>；</w:t>
      </w:r>
      <w:r>
        <w:rPr>
          <w:w w:val="100"/>
          <w:sz w:val="21"/>
        </w:rPr>
        <w:t> </w:t>
      </w:r>
    </w:p>
    <w:p>
      <w:pPr>
        <w:pStyle w:val="ListParagraph"/>
        <w:numPr>
          <w:ilvl w:val="0"/>
          <w:numId w:val="1"/>
        </w:numPr>
        <w:tabs>
          <w:tab w:pos="1416" w:val="left" w:leader="none"/>
        </w:tabs>
        <w:spacing w:line="240" w:lineRule="auto" w:before="139" w:after="0"/>
        <w:ind w:left="1415" w:right="0" w:hanging="318"/>
        <w:jc w:val="left"/>
        <w:rPr>
          <w:sz w:val="21"/>
        </w:rPr>
      </w:pPr>
      <w:r>
        <w:rPr>
          <w:spacing w:val="-8"/>
          <w:w w:val="100"/>
          <w:sz w:val="21"/>
        </w:rPr>
        <w:t>《房屋建筑和市政基础设施工程标准施工招标文件》</w:t>
      </w:r>
      <w:r>
        <w:rPr>
          <w:w w:val="100"/>
          <w:sz w:val="21"/>
        </w:rPr>
        <w:t>（</w:t>
      </w:r>
      <w:r>
        <w:rPr>
          <w:spacing w:val="-3"/>
          <w:w w:val="100"/>
          <w:sz w:val="21"/>
        </w:rPr>
        <w:t>2</w:t>
      </w:r>
      <w:r>
        <w:rPr>
          <w:w w:val="100"/>
          <w:sz w:val="21"/>
        </w:rPr>
        <w:t>010</w:t>
      </w:r>
      <w:r>
        <w:rPr>
          <w:spacing w:val="-55"/>
          <w:sz w:val="21"/>
        </w:rPr>
        <w:t> </w:t>
      </w:r>
      <w:r>
        <w:rPr>
          <w:spacing w:val="-2"/>
          <w:w w:val="100"/>
          <w:sz w:val="21"/>
        </w:rPr>
        <w:t>年版</w:t>
      </w:r>
      <w:r>
        <w:rPr>
          <w:spacing w:val="-106"/>
          <w:w w:val="100"/>
          <w:sz w:val="21"/>
        </w:rPr>
        <w:t>）</w:t>
      </w:r>
      <w:r>
        <w:rPr>
          <w:spacing w:val="-3"/>
          <w:w w:val="100"/>
          <w:sz w:val="21"/>
        </w:rPr>
        <w:t>；</w:t>
      </w:r>
      <w:r>
        <w:rPr>
          <w:w w:val="100"/>
          <w:sz w:val="21"/>
        </w:rPr>
        <w:t> </w:t>
      </w:r>
    </w:p>
    <w:p>
      <w:pPr>
        <w:pStyle w:val="ListParagraph"/>
        <w:numPr>
          <w:ilvl w:val="0"/>
          <w:numId w:val="1"/>
        </w:numPr>
        <w:tabs>
          <w:tab w:pos="1416" w:val="left" w:leader="none"/>
        </w:tabs>
        <w:spacing w:line="240" w:lineRule="auto" w:before="139" w:after="0"/>
        <w:ind w:left="1415" w:right="0" w:hanging="318"/>
        <w:jc w:val="left"/>
        <w:rPr>
          <w:sz w:val="21"/>
        </w:rPr>
      </w:pPr>
      <w:r>
        <w:rPr>
          <w:spacing w:val="-3"/>
          <w:w w:val="100"/>
          <w:sz w:val="21"/>
        </w:rPr>
        <w:t>《建设工程施工合同（</w:t>
      </w:r>
      <w:r>
        <w:rPr>
          <w:spacing w:val="-1"/>
          <w:w w:val="100"/>
          <w:sz w:val="21"/>
        </w:rPr>
        <w:t>示范文本</w:t>
      </w:r>
      <w:r>
        <w:rPr>
          <w:spacing w:val="-106"/>
          <w:w w:val="100"/>
          <w:sz w:val="21"/>
        </w:rPr>
        <w:t>）</w:t>
      </w:r>
      <w:r>
        <w:rPr>
          <w:spacing w:val="-108"/>
          <w:w w:val="100"/>
          <w:sz w:val="21"/>
        </w:rPr>
        <w:t>》</w:t>
      </w:r>
      <w:r>
        <w:rPr>
          <w:spacing w:val="-1"/>
          <w:w w:val="100"/>
          <w:sz w:val="21"/>
        </w:rPr>
        <w:t>（</w:t>
      </w:r>
      <w:r>
        <w:rPr>
          <w:w w:val="100"/>
          <w:sz w:val="21"/>
        </w:rPr>
        <w:t>G</w:t>
      </w:r>
      <w:r>
        <w:rPr>
          <w:spacing w:val="-3"/>
          <w:w w:val="100"/>
          <w:sz w:val="21"/>
        </w:rPr>
        <w:t>F</w:t>
      </w:r>
      <w:r>
        <w:rPr>
          <w:w w:val="100"/>
          <w:sz w:val="21"/>
        </w:rPr>
        <w:t>-20</w:t>
      </w:r>
      <w:r>
        <w:rPr>
          <w:spacing w:val="-3"/>
          <w:w w:val="100"/>
          <w:sz w:val="21"/>
        </w:rPr>
        <w:t>1</w:t>
      </w:r>
      <w:r>
        <w:rPr>
          <w:w w:val="100"/>
          <w:sz w:val="21"/>
        </w:rPr>
        <w:t>7-0</w:t>
      </w:r>
      <w:r>
        <w:rPr>
          <w:spacing w:val="-3"/>
          <w:w w:val="100"/>
          <w:sz w:val="21"/>
        </w:rPr>
        <w:t>20</w:t>
      </w:r>
      <w:r>
        <w:rPr>
          <w:spacing w:val="-1"/>
          <w:w w:val="100"/>
          <w:sz w:val="21"/>
        </w:rPr>
        <w:t>1</w:t>
      </w:r>
      <w:r>
        <w:rPr>
          <w:spacing w:val="-106"/>
          <w:w w:val="100"/>
          <w:sz w:val="21"/>
        </w:rPr>
        <w:t>）</w:t>
      </w:r>
      <w:r>
        <w:rPr>
          <w:spacing w:val="-3"/>
          <w:w w:val="100"/>
          <w:sz w:val="21"/>
        </w:rPr>
        <w:t>；</w:t>
      </w:r>
      <w:r>
        <w:rPr>
          <w:w w:val="100"/>
          <w:sz w:val="21"/>
        </w:rPr>
        <w:t> </w:t>
      </w:r>
    </w:p>
    <w:p>
      <w:pPr>
        <w:pStyle w:val="ListParagraph"/>
        <w:numPr>
          <w:ilvl w:val="0"/>
          <w:numId w:val="1"/>
        </w:numPr>
        <w:tabs>
          <w:tab w:pos="1416" w:val="left" w:leader="none"/>
        </w:tabs>
        <w:spacing w:line="364" w:lineRule="auto" w:before="141" w:after="0"/>
        <w:ind w:left="678" w:right="1153" w:firstLine="419"/>
        <w:jc w:val="left"/>
        <w:rPr>
          <w:sz w:val="21"/>
        </w:rPr>
      </w:pPr>
      <w:r>
        <w:rPr>
          <w:spacing w:val="-3"/>
          <w:sz w:val="21"/>
        </w:rPr>
        <w:t>《国务院办公厅关于推进公共资源配置领域政府信息公开的意见</w:t>
      </w:r>
      <w:r>
        <w:rPr>
          <w:spacing w:val="-118"/>
          <w:sz w:val="21"/>
        </w:rPr>
        <w:t>》</w:t>
      </w:r>
      <w:r>
        <w:rPr>
          <w:spacing w:val="-3"/>
          <w:sz w:val="21"/>
        </w:rPr>
        <w:t>（</w:t>
      </w:r>
      <w:r>
        <w:rPr>
          <w:spacing w:val="-5"/>
          <w:sz w:val="21"/>
        </w:rPr>
        <w:t>国办发〔</w:t>
      </w:r>
      <w:r>
        <w:rPr>
          <w:sz w:val="21"/>
        </w:rPr>
        <w:t>2017</w:t>
      </w:r>
      <w:r>
        <w:rPr>
          <w:spacing w:val="-12"/>
          <w:sz w:val="21"/>
        </w:rPr>
        <w:t>〕</w:t>
      </w:r>
      <w:r>
        <w:rPr>
          <w:spacing w:val="-3"/>
          <w:sz w:val="21"/>
        </w:rPr>
        <w:t>97 </w:t>
      </w:r>
      <w:r>
        <w:rPr>
          <w:w w:val="100"/>
          <w:sz w:val="21"/>
        </w:rPr>
        <w:t>号</w:t>
      </w:r>
      <w:r>
        <w:rPr>
          <w:spacing w:val="-106"/>
          <w:w w:val="100"/>
          <w:sz w:val="21"/>
        </w:rPr>
        <w:t>）</w:t>
      </w:r>
      <w:r>
        <w:rPr>
          <w:spacing w:val="-3"/>
          <w:w w:val="100"/>
          <w:sz w:val="21"/>
        </w:rPr>
        <w:t>；</w:t>
      </w:r>
      <w:r>
        <w:rPr>
          <w:w w:val="100"/>
          <w:sz w:val="21"/>
        </w:rPr>
        <w:t> </w:t>
      </w:r>
    </w:p>
    <w:p>
      <w:pPr>
        <w:pStyle w:val="ListParagraph"/>
        <w:numPr>
          <w:ilvl w:val="0"/>
          <w:numId w:val="1"/>
        </w:numPr>
        <w:tabs>
          <w:tab w:pos="1416" w:val="left" w:leader="none"/>
        </w:tabs>
        <w:spacing w:line="267" w:lineRule="exact" w:before="0" w:after="0"/>
        <w:ind w:left="1415" w:right="0" w:hanging="318"/>
        <w:jc w:val="left"/>
        <w:rPr>
          <w:sz w:val="21"/>
        </w:rPr>
      </w:pPr>
      <w:r>
        <w:rPr>
          <w:spacing w:val="-10"/>
          <w:w w:val="100"/>
          <w:sz w:val="21"/>
        </w:rPr>
        <w:t>《招标公告和公示信息发布管理办法》</w:t>
      </w:r>
      <w:r>
        <w:rPr>
          <w:spacing w:val="-3"/>
          <w:w w:val="100"/>
          <w:sz w:val="21"/>
        </w:rPr>
        <w:t>（国家发展改革委第</w:t>
      </w:r>
      <w:r>
        <w:rPr>
          <w:spacing w:val="-53"/>
          <w:sz w:val="21"/>
        </w:rPr>
        <w:t> </w:t>
      </w:r>
      <w:r>
        <w:rPr>
          <w:w w:val="100"/>
          <w:sz w:val="21"/>
        </w:rPr>
        <w:t>10</w:t>
      </w:r>
      <w:r>
        <w:rPr>
          <w:spacing w:val="-55"/>
          <w:sz w:val="21"/>
        </w:rPr>
        <w:t> </w:t>
      </w:r>
      <w:r>
        <w:rPr>
          <w:w w:val="100"/>
          <w:sz w:val="21"/>
        </w:rPr>
        <w:t>号令</w:t>
      </w:r>
      <w:r>
        <w:rPr>
          <w:spacing w:val="-108"/>
          <w:w w:val="100"/>
          <w:sz w:val="21"/>
        </w:rPr>
        <w:t>）</w:t>
      </w:r>
      <w:r>
        <w:rPr>
          <w:spacing w:val="-2"/>
          <w:w w:val="100"/>
          <w:sz w:val="21"/>
        </w:rPr>
        <w:t>；</w:t>
      </w:r>
      <w:r>
        <w:rPr>
          <w:w w:val="100"/>
          <w:sz w:val="21"/>
        </w:rPr>
        <w:t> </w:t>
      </w:r>
    </w:p>
    <w:p>
      <w:pPr>
        <w:pStyle w:val="ListParagraph"/>
        <w:numPr>
          <w:ilvl w:val="0"/>
          <w:numId w:val="1"/>
        </w:numPr>
        <w:tabs>
          <w:tab w:pos="1522" w:val="left" w:leader="none"/>
        </w:tabs>
        <w:spacing w:line="240" w:lineRule="auto" w:before="139" w:after="0"/>
        <w:ind w:left="1521" w:right="0" w:hanging="424"/>
        <w:jc w:val="left"/>
        <w:rPr>
          <w:sz w:val="21"/>
        </w:rPr>
      </w:pPr>
      <w:r>
        <w:rPr>
          <w:spacing w:val="-12"/>
          <w:w w:val="100"/>
          <w:sz w:val="21"/>
        </w:rPr>
        <w:t>《必须招标的工程项目规定》</w:t>
      </w:r>
      <w:r>
        <w:rPr>
          <w:w w:val="100"/>
          <w:sz w:val="21"/>
        </w:rPr>
        <w:t>（</w:t>
      </w:r>
      <w:r>
        <w:rPr>
          <w:spacing w:val="-3"/>
          <w:w w:val="100"/>
          <w:sz w:val="21"/>
        </w:rPr>
        <w:t>国家发展改革委第</w:t>
      </w:r>
      <w:r>
        <w:rPr>
          <w:spacing w:val="-53"/>
          <w:sz w:val="21"/>
        </w:rPr>
        <w:t> </w:t>
      </w:r>
      <w:r>
        <w:rPr>
          <w:w w:val="100"/>
          <w:sz w:val="21"/>
        </w:rPr>
        <w:t>16</w:t>
      </w:r>
      <w:r>
        <w:rPr>
          <w:spacing w:val="-55"/>
          <w:sz w:val="21"/>
        </w:rPr>
        <w:t> </w:t>
      </w:r>
      <w:r>
        <w:rPr>
          <w:w w:val="100"/>
          <w:sz w:val="21"/>
        </w:rPr>
        <w:t>号令</w:t>
      </w:r>
      <w:r>
        <w:rPr>
          <w:spacing w:val="-108"/>
          <w:w w:val="100"/>
          <w:sz w:val="21"/>
        </w:rPr>
        <w:t>）</w:t>
      </w:r>
      <w:r>
        <w:rPr>
          <w:spacing w:val="-3"/>
          <w:w w:val="100"/>
          <w:sz w:val="21"/>
        </w:rPr>
        <w:t>；</w:t>
      </w:r>
      <w:r>
        <w:rPr>
          <w:w w:val="100"/>
          <w:sz w:val="21"/>
        </w:rPr>
        <w:t> </w:t>
      </w:r>
    </w:p>
    <w:p>
      <w:pPr>
        <w:pStyle w:val="ListParagraph"/>
        <w:numPr>
          <w:ilvl w:val="0"/>
          <w:numId w:val="1"/>
        </w:numPr>
        <w:tabs>
          <w:tab w:pos="1416" w:val="left" w:leader="none"/>
        </w:tabs>
        <w:spacing w:line="367" w:lineRule="auto" w:before="140" w:after="0"/>
        <w:ind w:left="678" w:right="1156" w:firstLine="419"/>
        <w:jc w:val="left"/>
        <w:rPr>
          <w:sz w:val="21"/>
        </w:rPr>
      </w:pPr>
      <w:r>
        <w:rPr>
          <w:sz w:val="21"/>
        </w:rPr>
        <w:t>《自治区住房城乡建设厅关于印发广西壮族自治区建筑业企业诚信综合评价办法（</w:t>
      </w:r>
      <w:r>
        <w:rPr>
          <w:spacing w:val="-16"/>
          <w:sz w:val="21"/>
        </w:rPr>
        <w:t>试</w:t>
      </w:r>
      <w:r>
        <w:rPr>
          <w:w w:val="100"/>
          <w:sz w:val="21"/>
        </w:rPr>
        <w:t>行）</w:t>
      </w:r>
      <w:r>
        <w:rPr>
          <w:spacing w:val="-29"/>
          <w:w w:val="100"/>
          <w:sz w:val="21"/>
        </w:rPr>
        <w:t>的通知》</w:t>
      </w:r>
      <w:r>
        <w:rPr>
          <w:spacing w:val="-3"/>
          <w:w w:val="100"/>
          <w:sz w:val="21"/>
        </w:rPr>
        <w:t>（</w:t>
      </w:r>
      <w:r>
        <w:rPr>
          <w:spacing w:val="-2"/>
          <w:w w:val="100"/>
          <w:sz w:val="21"/>
        </w:rPr>
        <w:t>桂建发【</w:t>
      </w:r>
      <w:r>
        <w:rPr>
          <w:spacing w:val="-3"/>
          <w:w w:val="100"/>
          <w:sz w:val="21"/>
        </w:rPr>
        <w:t>20</w:t>
      </w:r>
      <w:r>
        <w:rPr>
          <w:w w:val="100"/>
          <w:sz w:val="21"/>
        </w:rPr>
        <w:t>1</w:t>
      </w:r>
      <w:r>
        <w:rPr>
          <w:spacing w:val="-1"/>
          <w:w w:val="100"/>
          <w:sz w:val="21"/>
        </w:rPr>
        <w:t>7</w:t>
      </w:r>
      <w:r>
        <w:rPr>
          <w:w w:val="100"/>
          <w:sz w:val="21"/>
        </w:rPr>
        <w:t>】</w:t>
      </w:r>
      <w:r>
        <w:rPr>
          <w:spacing w:val="-3"/>
          <w:w w:val="100"/>
          <w:sz w:val="21"/>
        </w:rPr>
        <w:t>1</w:t>
      </w:r>
      <w:r>
        <w:rPr>
          <w:w w:val="100"/>
          <w:sz w:val="21"/>
        </w:rPr>
        <w:t>7</w:t>
      </w:r>
      <w:r>
        <w:rPr>
          <w:spacing w:val="-53"/>
          <w:sz w:val="21"/>
        </w:rPr>
        <w:t> </w:t>
      </w:r>
      <w:r>
        <w:rPr>
          <w:w w:val="100"/>
          <w:sz w:val="21"/>
        </w:rPr>
        <w:t>号</w:t>
      </w:r>
      <w:r>
        <w:rPr>
          <w:spacing w:val="-108"/>
          <w:w w:val="100"/>
          <w:sz w:val="21"/>
        </w:rPr>
        <w:t>）</w:t>
      </w:r>
      <w:r>
        <w:rPr>
          <w:spacing w:val="-3"/>
          <w:w w:val="100"/>
          <w:sz w:val="21"/>
        </w:rPr>
        <w:t>；</w:t>
      </w:r>
      <w:r>
        <w:rPr>
          <w:w w:val="100"/>
          <w:sz w:val="21"/>
        </w:rPr>
        <w:t> </w:t>
      </w:r>
    </w:p>
    <w:p>
      <w:pPr>
        <w:pStyle w:val="ListParagraph"/>
        <w:numPr>
          <w:ilvl w:val="0"/>
          <w:numId w:val="1"/>
        </w:numPr>
        <w:tabs>
          <w:tab w:pos="1416" w:val="left" w:leader="none"/>
        </w:tabs>
        <w:spacing w:line="264" w:lineRule="exact" w:before="0" w:after="0"/>
        <w:ind w:left="1415" w:right="0" w:hanging="318"/>
        <w:jc w:val="left"/>
        <w:rPr>
          <w:sz w:val="21"/>
        </w:rPr>
      </w:pPr>
      <w:r>
        <w:rPr>
          <w:spacing w:val="-3"/>
          <w:sz w:val="21"/>
        </w:rPr>
        <w:t>《广西壮族自治区房屋建筑和市政工程施工招标文件范本</w:t>
      </w:r>
      <w:r>
        <w:rPr>
          <w:sz w:val="21"/>
        </w:rPr>
        <w:t>（2019</w:t>
      </w:r>
      <w:r>
        <w:rPr>
          <w:spacing w:val="-19"/>
          <w:sz w:val="21"/>
        </w:rPr>
        <w:t> 年版</w:t>
      </w:r>
      <w:r>
        <w:rPr>
          <w:spacing w:val="-106"/>
          <w:sz w:val="21"/>
        </w:rPr>
        <w:t>）</w:t>
      </w:r>
      <w:r>
        <w:rPr>
          <w:spacing w:val="-54"/>
          <w:sz w:val="21"/>
        </w:rPr>
        <w:t>》； </w:t>
      </w:r>
    </w:p>
    <w:p>
      <w:pPr>
        <w:pStyle w:val="ListParagraph"/>
        <w:numPr>
          <w:ilvl w:val="0"/>
          <w:numId w:val="1"/>
        </w:numPr>
        <w:tabs>
          <w:tab w:pos="1416" w:val="left" w:leader="none"/>
        </w:tabs>
        <w:spacing w:line="240" w:lineRule="auto" w:before="139" w:after="0"/>
        <w:ind w:left="1415" w:right="0" w:hanging="318"/>
        <w:jc w:val="left"/>
        <w:rPr>
          <w:sz w:val="21"/>
        </w:rPr>
      </w:pPr>
      <w:r>
        <w:rPr>
          <w:spacing w:val="-7"/>
          <w:w w:val="100"/>
          <w:sz w:val="21"/>
        </w:rPr>
        <w:t>《关于进一步加强建设工程招标投标管理工作有关问题的通知》</w:t>
      </w:r>
      <w:r>
        <w:rPr>
          <w:w w:val="100"/>
          <w:sz w:val="21"/>
        </w:rPr>
        <w:t>（</w:t>
      </w:r>
      <w:r>
        <w:rPr>
          <w:spacing w:val="-2"/>
          <w:w w:val="100"/>
          <w:sz w:val="21"/>
        </w:rPr>
        <w:t>南建规</w:t>
      </w:r>
      <w:r>
        <w:rPr>
          <w:spacing w:val="-3"/>
          <w:w w:val="100"/>
          <w:sz w:val="21"/>
        </w:rPr>
        <w:t>[2</w:t>
      </w:r>
      <w:r>
        <w:rPr>
          <w:w w:val="100"/>
          <w:sz w:val="21"/>
        </w:rPr>
        <w:t>017]1</w:t>
      </w:r>
      <w:r>
        <w:rPr>
          <w:spacing w:val="-55"/>
          <w:sz w:val="21"/>
        </w:rPr>
        <w:t> </w:t>
      </w:r>
      <w:r>
        <w:rPr>
          <w:w w:val="100"/>
          <w:sz w:val="21"/>
        </w:rPr>
        <w:t>号</w:t>
      </w:r>
      <w:r>
        <w:rPr>
          <w:spacing w:val="-108"/>
          <w:w w:val="100"/>
          <w:sz w:val="21"/>
        </w:rPr>
        <w:t>）</w:t>
      </w:r>
      <w:r>
        <w:rPr>
          <w:spacing w:val="-3"/>
          <w:w w:val="100"/>
          <w:sz w:val="21"/>
        </w:rPr>
        <w:t>；</w:t>
      </w:r>
      <w:r>
        <w:rPr>
          <w:w w:val="100"/>
          <w:sz w:val="21"/>
        </w:rPr>
        <w:t> </w:t>
      </w:r>
    </w:p>
    <w:p>
      <w:pPr>
        <w:pStyle w:val="ListParagraph"/>
        <w:numPr>
          <w:ilvl w:val="0"/>
          <w:numId w:val="1"/>
        </w:numPr>
        <w:tabs>
          <w:tab w:pos="1416" w:val="left" w:leader="none"/>
        </w:tabs>
        <w:spacing w:line="240" w:lineRule="auto" w:before="139" w:after="0"/>
        <w:ind w:left="1415" w:right="0" w:hanging="318"/>
        <w:jc w:val="left"/>
        <w:rPr>
          <w:sz w:val="21"/>
        </w:rPr>
      </w:pPr>
      <w:r>
        <w:rPr>
          <w:spacing w:val="-3"/>
          <w:w w:val="100"/>
          <w:sz w:val="21"/>
        </w:rPr>
        <w:t>关于印发《南宁市建筑施工企业信用管理办法》的通知（南住建规</w:t>
      </w:r>
      <w:r>
        <w:rPr>
          <w:w w:val="100"/>
          <w:sz w:val="21"/>
        </w:rPr>
        <w:t>[20</w:t>
      </w:r>
      <w:r>
        <w:rPr>
          <w:spacing w:val="-3"/>
          <w:w w:val="100"/>
          <w:sz w:val="21"/>
        </w:rPr>
        <w:t>20</w:t>
      </w:r>
      <w:r>
        <w:rPr>
          <w:w w:val="100"/>
          <w:sz w:val="21"/>
        </w:rPr>
        <w:t>]3</w:t>
      </w:r>
      <w:r>
        <w:rPr>
          <w:spacing w:val="-52"/>
          <w:sz w:val="21"/>
        </w:rPr>
        <w:t> </w:t>
      </w:r>
      <w:r>
        <w:rPr>
          <w:w w:val="100"/>
          <w:sz w:val="21"/>
        </w:rPr>
        <w:t>号</w:t>
      </w:r>
      <w:r>
        <w:rPr>
          <w:spacing w:val="-108"/>
          <w:w w:val="100"/>
          <w:sz w:val="21"/>
        </w:rPr>
        <w:t>）</w:t>
      </w:r>
      <w:r>
        <w:rPr>
          <w:spacing w:val="-3"/>
          <w:w w:val="100"/>
          <w:sz w:val="21"/>
        </w:rPr>
        <w:t>；</w:t>
      </w:r>
      <w:r>
        <w:rPr>
          <w:w w:val="100"/>
          <w:sz w:val="21"/>
        </w:rPr>
        <w:t> </w:t>
      </w:r>
    </w:p>
    <w:p>
      <w:pPr>
        <w:pStyle w:val="ListParagraph"/>
        <w:numPr>
          <w:ilvl w:val="0"/>
          <w:numId w:val="1"/>
        </w:numPr>
        <w:tabs>
          <w:tab w:pos="1416" w:val="left" w:leader="none"/>
        </w:tabs>
        <w:spacing w:line="240" w:lineRule="auto" w:before="139" w:after="0"/>
        <w:ind w:left="1415" w:right="0" w:hanging="318"/>
        <w:jc w:val="left"/>
        <w:rPr>
          <w:sz w:val="21"/>
        </w:rPr>
      </w:pPr>
      <w:r>
        <w:rPr>
          <w:sz w:val="21"/>
        </w:rPr>
        <w:t>《南宁市住房和城乡建设局关于试行调整部分建筑业企业资质承包工程范围的通知》</w:t>
      </w:r>
    </w:p>
    <w:p>
      <w:pPr>
        <w:pStyle w:val="BodyText"/>
        <w:spacing w:before="141"/>
      </w:pPr>
      <w:r>
        <w:rPr>
          <w:w w:val="100"/>
        </w:rPr>
        <w:t>（</w:t>
      </w:r>
      <w:r>
        <w:rPr>
          <w:spacing w:val="-3"/>
          <w:w w:val="100"/>
        </w:rPr>
        <w:t>南住建〔</w:t>
      </w:r>
      <w:r>
        <w:rPr>
          <w:w w:val="100"/>
        </w:rPr>
        <w:t>202</w:t>
      </w:r>
      <w:r>
        <w:rPr>
          <w:spacing w:val="-3"/>
          <w:w w:val="100"/>
        </w:rPr>
        <w:t>0</w:t>
      </w:r>
      <w:r>
        <w:rPr>
          <w:w w:val="100"/>
        </w:rPr>
        <w:t>〕1</w:t>
      </w:r>
      <w:r>
        <w:rPr>
          <w:spacing w:val="-3"/>
          <w:w w:val="100"/>
        </w:rPr>
        <w:t>4</w:t>
      </w:r>
      <w:r>
        <w:rPr>
          <w:w w:val="100"/>
        </w:rPr>
        <w:t>7</w:t>
      </w:r>
      <w:r>
        <w:rPr>
          <w:spacing w:val="-52"/>
        </w:rPr>
        <w:t> </w:t>
      </w:r>
      <w:r>
        <w:rPr>
          <w:spacing w:val="-3"/>
          <w:w w:val="100"/>
        </w:rPr>
        <w:t>号</w:t>
      </w:r>
      <w:r>
        <w:rPr>
          <w:spacing w:val="-108"/>
          <w:w w:val="100"/>
        </w:rPr>
        <w:t>）</w:t>
      </w:r>
      <w:r>
        <w:rPr>
          <w:spacing w:val="-1"/>
          <w:w w:val="100"/>
        </w:rPr>
        <w:t>；</w:t>
      </w:r>
      <w:r>
        <w:rPr>
          <w:w w:val="100"/>
        </w:rPr>
        <w:t> </w:t>
      </w:r>
    </w:p>
    <w:p>
      <w:pPr>
        <w:spacing w:after="0"/>
        <w:sectPr>
          <w:pgSz w:w="11910" w:h="16840"/>
          <w:pgMar w:header="0" w:footer="860" w:top="1320" w:bottom="1040" w:left="1120" w:right="280"/>
        </w:sectPr>
      </w:pPr>
    </w:p>
    <w:p>
      <w:pPr>
        <w:pStyle w:val="ListParagraph"/>
        <w:numPr>
          <w:ilvl w:val="0"/>
          <w:numId w:val="1"/>
        </w:numPr>
        <w:tabs>
          <w:tab w:pos="1416" w:val="left" w:leader="none"/>
        </w:tabs>
        <w:spacing w:line="364" w:lineRule="auto" w:before="43" w:after="0"/>
        <w:ind w:left="1098" w:right="4046" w:firstLine="0"/>
        <w:jc w:val="left"/>
        <w:rPr>
          <w:sz w:val="21"/>
        </w:rPr>
      </w:pPr>
      <w:r>
        <w:rPr>
          <w:spacing w:val="-3"/>
          <w:sz w:val="21"/>
        </w:rPr>
        <w:t>其他有关工程建设和招标投标的法律、法规、规章。 二、适用范围</w:t>
      </w:r>
      <w:r>
        <w:rPr>
          <w:sz w:val="21"/>
        </w:rPr>
        <w:t> </w:t>
      </w:r>
    </w:p>
    <w:p>
      <w:pPr>
        <w:pStyle w:val="BodyText"/>
        <w:spacing w:line="316" w:lineRule="auto"/>
        <w:ind w:right="1151" w:firstLine="419"/>
        <w:jc w:val="both"/>
      </w:pPr>
      <w:r>
        <w:rPr>
          <w:spacing w:val="-3"/>
        </w:rPr>
        <w:t>《南宁市房屋建筑和市政工程施工招标文件范本</w:t>
      </w:r>
      <w:r>
        <w:rPr/>
        <w:t>（2019</w:t>
      </w:r>
      <w:r>
        <w:rPr>
          <w:spacing w:val="-5"/>
        </w:rPr>
        <w:t> 年版修改版</w:t>
      </w:r>
      <w:r>
        <w:rPr>
          <w:spacing w:val="-106"/>
        </w:rPr>
        <w:t>）</w:t>
      </w:r>
      <w:r>
        <w:rPr>
          <w:spacing w:val="-108"/>
        </w:rPr>
        <w:t>》</w:t>
      </w:r>
      <w:r>
        <w:rPr/>
        <w:t>（</w:t>
      </w:r>
      <w:r>
        <w:rPr>
          <w:spacing w:val="-3"/>
        </w:rPr>
        <w:t>以下简称《施工招</w:t>
      </w:r>
      <w:r>
        <w:rPr>
          <w:spacing w:val="-13"/>
        </w:rPr>
        <w:t>标文件范本</w:t>
      </w:r>
      <w:r>
        <w:rPr/>
        <w:t>（2019</w:t>
      </w:r>
      <w:r>
        <w:rPr>
          <w:spacing w:val="-5"/>
        </w:rPr>
        <w:t> 年版修改版</w:t>
      </w:r>
      <w:r>
        <w:rPr>
          <w:spacing w:val="-106"/>
        </w:rPr>
        <w:t>）</w:t>
      </w:r>
      <w:r>
        <w:rPr>
          <w:spacing w:val="-108"/>
        </w:rPr>
        <w:t>》</w:t>
      </w:r>
      <w:r>
        <w:rPr>
          <w:spacing w:val="-79"/>
        </w:rPr>
        <w:t>）</w:t>
      </w:r>
      <w:r>
        <w:rPr>
          <w:spacing w:val="-11"/>
        </w:rPr>
        <w:t>，适用于南宁市行政区域内设计和施工不是由同一承包商承担的依法必须进行招标的政府投资和国有投资的房屋建筑和市政基础设施工程的施工招标。文中所述“投标文件”即指电子投标文件。电子投标文件是投标人应用公共资源招投标会员网交易</w:t>
      </w:r>
      <w:r>
        <w:rPr>
          <w:spacing w:val="-6"/>
        </w:rPr>
        <w:t>系统兼容的投标文件制作软件，根据招标文件要求编制完成的投标文件。</w:t>
      </w:r>
      <w:r>
        <w:rPr>
          <w:spacing w:val="-3"/>
        </w:rPr>
        <w:t> </w:t>
      </w:r>
      <w:r>
        <w:rPr/>
        <w:t> </w:t>
      </w:r>
    </w:p>
    <w:p>
      <w:pPr>
        <w:pStyle w:val="BodyText"/>
        <w:spacing w:line="264" w:lineRule="exact"/>
        <w:ind w:left="1098"/>
      </w:pPr>
      <w:r>
        <w:rPr/>
        <w:t>三、使用要求 </w:t>
      </w:r>
    </w:p>
    <w:p>
      <w:pPr>
        <w:pStyle w:val="BodyText"/>
        <w:spacing w:line="364" w:lineRule="auto" w:before="137"/>
        <w:ind w:right="1151" w:firstLine="419"/>
        <w:jc w:val="both"/>
      </w:pPr>
      <w:r>
        <w:rPr>
          <w:spacing w:val="-5"/>
        </w:rPr>
        <w:t>《施工招标文件范本</w:t>
      </w:r>
      <w:r>
        <w:rPr/>
        <w:t>（2019</w:t>
      </w:r>
      <w:r>
        <w:rPr>
          <w:spacing w:val="-7"/>
        </w:rPr>
        <w:t> 年版修改版</w:t>
      </w:r>
      <w:r>
        <w:rPr>
          <w:spacing w:val="-108"/>
        </w:rPr>
        <w:t>）</w:t>
      </w:r>
      <w:r>
        <w:rPr>
          <w:spacing w:val="-11"/>
        </w:rPr>
        <w:t>》用相同序号标示的章、节、条、款、项、目，供</w:t>
      </w:r>
      <w:r>
        <w:rPr>
          <w:spacing w:val="-7"/>
        </w:rPr>
        <w:t>招标人和投标人选择使用；以空格标示 的位置，由招标人根据国家和地方有关法律法规的规定以及招标项目具体特点和实际需要填写具体内容，空格后以括号标示的选择性内容，也由招标</w:t>
      </w:r>
      <w:r>
        <w:rPr>
          <w:spacing w:val="-8"/>
        </w:rPr>
        <w:t>人根据提示内容填写，确实没有需要填写的，在空格中用“</w:t>
      </w:r>
      <w:r>
        <w:rPr>
          <w:spacing w:val="-5"/>
        </w:rPr>
        <w:t>/</w:t>
      </w:r>
      <w:r>
        <w:rPr>
          <w:spacing w:val="-6"/>
        </w:rPr>
        <w:t>”标示；在选择项中，招标人可结</w:t>
      </w:r>
      <w:r>
        <w:rPr>
          <w:spacing w:val="-10"/>
          <w:w w:val="100"/>
        </w:rPr>
        <w:t>合实际情况在选择的“□”里打“√”；其余内容应不加修改直接引用。</w:t>
      </w:r>
      <w:r>
        <w:rPr>
          <w:w w:val="100"/>
        </w:rPr>
        <w:t> </w:t>
      </w:r>
    </w:p>
    <w:p>
      <w:pPr>
        <w:pStyle w:val="BodyText"/>
        <w:spacing w:line="267" w:lineRule="exact"/>
        <w:ind w:left="1098"/>
      </w:pPr>
      <w:r>
        <w:rPr/>
        <w:t>四、招标公告有关说明 </w:t>
      </w:r>
    </w:p>
    <w:p>
      <w:pPr>
        <w:pStyle w:val="BodyText"/>
        <w:spacing w:line="408" w:lineRule="exact" w:before="25"/>
        <w:ind w:right="1154" w:firstLine="422"/>
        <w:jc w:val="both"/>
      </w:pPr>
      <w:r>
        <w:rPr>
          <w:rFonts w:ascii="Microsoft JhengHei" w:eastAsia="Microsoft JhengHei" w:hint="eastAsia"/>
          <w:b/>
        </w:rPr>
        <w:t>（一）投标人资质条件。</w:t>
      </w:r>
      <w:r>
        <w:rPr/>
        <w:t>招标人应当根据国家法律法规对企业资质等级许可的相关规定及招标项目特点，合理设置企业资质等级和类似工程业绩要求，招标项目特点与企业资质等级及业绩要求应相一致，不得提高资质等级要求。对投标人资质条件要求原则上遵循以下规定：资质设置为施工总承包已可满足项目建设要求的，不得额外同时设置专业承包资质等级；我市建筑工程和市政公用工程施工总承包二级资质企业或具有建筑工程和市政公用工程施工总承包资</w:t>
      </w:r>
    </w:p>
    <w:p>
      <w:pPr>
        <w:pStyle w:val="BodyText"/>
        <w:spacing w:line="364" w:lineRule="auto" w:before="119"/>
        <w:ind w:right="1151"/>
        <w:jc w:val="both"/>
      </w:pPr>
      <w:r>
        <w:rPr/>
        <w:t>质涵盖的专业承包二级资质企业，根据《南宁市住房和城乡建设局关于试行调整部分建筑业企</w:t>
      </w:r>
      <w:r>
        <w:rPr>
          <w:spacing w:val="-13"/>
        </w:rPr>
        <w:t>业资质承包工程范围的通知》，经市住建部门认定后，可在本市行政区域内承接其现有资质类别高一级的相应业务；招标项目所需企业资质等级已是最低级别的，不应设置业绩要求。企业已</w:t>
      </w:r>
      <w:r>
        <w:rPr/>
        <w:t>竣工工程业绩取自广西建筑业企业诚信信息库。原则上代表业绩的工程应为已竣工工程，如招标人选择接受在建工程作为业绩的，应约定在建工程业绩以投标文件中提供的“业绩（在建工</w:t>
      </w:r>
      <w:r>
        <w:rPr>
          <w:w w:val="100"/>
        </w:rPr>
        <w:t>程</w:t>
      </w:r>
      <w:r>
        <w:rPr>
          <w:spacing w:val="-104"/>
          <w:w w:val="100"/>
        </w:rPr>
        <w:t>）</w:t>
      </w:r>
      <w:r>
        <w:rPr>
          <w:w w:val="100"/>
        </w:rPr>
        <w:t>”为准，并应按约定在投标文件组成的“业绩（在建工程</w:t>
      </w:r>
      <w:r>
        <w:rPr>
          <w:spacing w:val="-106"/>
          <w:w w:val="100"/>
        </w:rPr>
        <w:t>）</w:t>
      </w:r>
      <w:r>
        <w:rPr>
          <w:spacing w:val="-1"/>
          <w:w w:val="100"/>
        </w:rPr>
        <w:t>”节点上传相关证明材料的原件</w:t>
      </w:r>
      <w:r>
        <w:rPr/>
        <w:t>扫描件，时间的限定一般按近三年。类似工程的规模（总投资及建筑面积）应不超过本项目规</w:t>
      </w:r>
      <w:r>
        <w:rPr>
          <w:spacing w:val="-2"/>
        </w:rPr>
        <w:t>模。</w:t>
      </w:r>
      <w:r>
        <w:rPr>
          <w:color w:val="FF0000"/>
        </w:rPr>
        <w:t> </w:t>
      </w:r>
    </w:p>
    <w:p>
      <w:pPr>
        <w:spacing w:line="311" w:lineRule="exact" w:before="0"/>
        <w:ind w:left="1100" w:right="0" w:firstLine="0"/>
        <w:jc w:val="left"/>
        <w:rPr>
          <w:sz w:val="21"/>
        </w:rPr>
      </w:pPr>
      <w:r>
        <w:rPr>
          <w:rFonts w:ascii="Microsoft JhengHei" w:eastAsia="Microsoft JhengHei" w:hint="eastAsia"/>
          <w:b/>
          <w:sz w:val="21"/>
        </w:rPr>
        <w:t>（二）</w:t>
      </w:r>
      <w:hyperlink r:id="rId8">
        <w:r>
          <w:rPr>
            <w:rFonts w:ascii="Microsoft JhengHei" w:eastAsia="Microsoft JhengHei" w:hint="eastAsia"/>
            <w:b/>
            <w:sz w:val="21"/>
          </w:rPr>
          <w:t>建造师</w:t>
        </w:r>
      </w:hyperlink>
      <w:r>
        <w:rPr>
          <w:rFonts w:ascii="Microsoft JhengHei" w:eastAsia="Microsoft JhengHei" w:hint="eastAsia"/>
          <w:b/>
          <w:sz w:val="21"/>
        </w:rPr>
        <w:t>资格。</w:t>
      </w:r>
      <w:r>
        <w:rPr>
          <w:sz w:val="21"/>
        </w:rPr>
        <w:t>招标人应当根据项目规模，按照注册建造师执业工程规模标准，合理</w:t>
      </w:r>
    </w:p>
    <w:p>
      <w:pPr>
        <w:pStyle w:val="BodyText"/>
        <w:spacing w:before="94"/>
      </w:pPr>
      <w:r>
        <w:rPr/>
        <w:t>设置注册建造师等级，不应提高资格要求。 </w:t>
      </w:r>
    </w:p>
    <w:p>
      <w:pPr>
        <w:spacing w:line="297" w:lineRule="auto" w:before="70"/>
        <w:ind w:left="678" w:right="1154" w:firstLine="422"/>
        <w:jc w:val="left"/>
        <w:rPr>
          <w:sz w:val="21"/>
        </w:rPr>
      </w:pPr>
      <w:r>
        <w:rPr>
          <w:rFonts w:ascii="Microsoft JhengHei" w:eastAsia="Microsoft JhengHei" w:hint="eastAsia"/>
          <w:b/>
          <w:sz w:val="21"/>
        </w:rPr>
        <w:t>（三）预付款和进度款支付方式。</w:t>
      </w:r>
      <w:r>
        <w:rPr>
          <w:sz w:val="21"/>
        </w:rPr>
        <w:t>招标人可以选择在招标公告中明确列出预付款和进度款支付方式，以提示风险。 </w:t>
      </w:r>
    </w:p>
    <w:p>
      <w:pPr>
        <w:spacing w:before="3"/>
        <w:ind w:left="1100" w:right="0" w:firstLine="0"/>
        <w:jc w:val="left"/>
        <w:rPr>
          <w:sz w:val="21"/>
        </w:rPr>
      </w:pPr>
      <w:r>
        <w:rPr>
          <w:rFonts w:ascii="Microsoft JhengHei" w:eastAsia="Microsoft JhengHei" w:hint="eastAsia"/>
          <w:b/>
          <w:sz w:val="21"/>
        </w:rPr>
        <w:t>（四）交易中心。</w:t>
      </w:r>
      <w:r>
        <w:rPr>
          <w:sz w:val="21"/>
        </w:rPr>
        <w:t>指当地政府批准设立的公共资源交易中心。 </w:t>
      </w:r>
    </w:p>
    <w:p>
      <w:pPr>
        <w:pStyle w:val="BodyText"/>
        <w:spacing w:line="297" w:lineRule="auto" w:before="22"/>
        <w:ind w:right="1153" w:firstLine="422"/>
      </w:pPr>
      <w:r>
        <w:rPr>
          <w:rFonts w:ascii="Microsoft JhengHei" w:eastAsia="Microsoft JhengHei" w:hint="eastAsia"/>
          <w:b/>
        </w:rPr>
        <w:t>（五）发布媒介。</w:t>
      </w:r>
      <w:r>
        <w:rPr/>
        <w:t>依法必须进行招标的工程项目的招标公告应在国务院发展改革部门依法指定的媒介发布。招标公告应注明发布所在的所有媒介名称。 </w:t>
      </w:r>
    </w:p>
    <w:p>
      <w:pPr>
        <w:pStyle w:val="BodyText"/>
        <w:spacing w:before="75"/>
        <w:ind w:left="1098"/>
      </w:pPr>
      <w:r>
        <w:rPr/>
        <w:t>五、投标人须知有关说明 </w:t>
      </w:r>
    </w:p>
    <w:p>
      <w:pPr>
        <w:spacing w:after="0"/>
        <w:sectPr>
          <w:footerReference w:type="default" r:id="rId7"/>
          <w:pgSz w:w="11910" w:h="16840"/>
          <w:pgMar w:footer="860" w:header="0" w:top="1380" w:bottom="1040" w:left="1120" w:right="280"/>
          <w:pgNumType w:start="3"/>
        </w:sectPr>
      </w:pPr>
    </w:p>
    <w:p>
      <w:pPr>
        <w:spacing w:line="360" w:lineRule="exact" w:before="0"/>
        <w:ind w:left="1100" w:right="0" w:firstLine="0"/>
        <w:jc w:val="left"/>
        <w:rPr>
          <w:sz w:val="21"/>
        </w:rPr>
      </w:pPr>
      <w:r>
        <w:rPr>
          <w:rFonts w:ascii="Microsoft JhengHei" w:eastAsia="Microsoft JhengHei" w:hint="eastAsia"/>
          <w:b/>
          <w:sz w:val="21"/>
        </w:rPr>
        <w:t>（一）投标保证金。</w:t>
      </w:r>
      <w:r>
        <w:rPr>
          <w:sz w:val="21"/>
        </w:rPr>
        <w:t>可以采用银行保函、银行转账、电汇、工程担保、工程保证保险等方</w:t>
      </w:r>
    </w:p>
    <w:p>
      <w:pPr>
        <w:pStyle w:val="BodyText"/>
        <w:spacing w:line="364" w:lineRule="auto" w:before="91"/>
        <w:ind w:right="1158"/>
        <w:jc w:val="both"/>
      </w:pPr>
      <w:r>
        <w:rPr/>
        <w:t>式提交，银行保函或担保必须是无条件银行保函或担保，保函有效期不得低于投标有效期。采用现金形式的应通过基本账户转账方式交纳，禁止采用现金现场交纳方式。严禁招标人要求投标人只能以现金方式提交保证金的行为。 </w:t>
      </w:r>
    </w:p>
    <w:p>
      <w:pPr>
        <w:spacing w:line="316" w:lineRule="exact" w:before="0"/>
        <w:ind w:left="1100" w:right="0" w:firstLine="0"/>
        <w:jc w:val="left"/>
        <w:rPr>
          <w:sz w:val="21"/>
        </w:rPr>
      </w:pPr>
      <w:r>
        <w:rPr>
          <w:rFonts w:ascii="Microsoft JhengHei" w:eastAsia="Microsoft JhengHei" w:hint="eastAsia"/>
          <w:b/>
          <w:sz w:val="21"/>
        </w:rPr>
        <w:t>（二）招标代理服务费的计算与收取。</w:t>
      </w:r>
      <w:r>
        <w:rPr>
          <w:sz w:val="21"/>
        </w:rPr>
        <w:t>政府及国有资金投资项目在建设项目费用组成中已</w:t>
      </w:r>
    </w:p>
    <w:p>
      <w:pPr>
        <w:pStyle w:val="BodyText"/>
        <w:spacing w:line="364" w:lineRule="auto" w:before="91"/>
        <w:ind w:right="1157"/>
      </w:pPr>
      <w:r>
        <w:rPr/>
        <w:t>包含招标代理服务费，该项费用应由招标人支付；其余项目可由招标人和招标代理机构确定， 但应在招标文件中明确。 </w:t>
      </w:r>
    </w:p>
    <w:p>
      <w:pPr>
        <w:pStyle w:val="BodyText"/>
        <w:spacing w:line="364" w:lineRule="auto" w:before="1"/>
        <w:ind w:right="1118" w:firstLine="419"/>
      </w:pPr>
      <w:r>
        <w:rPr/>
        <w:t>(三) 需要提供的财务状况、类似项目、诉讼及仲裁情况的材料年份一般为近三年，且应为整数年。 </w:t>
      </w:r>
    </w:p>
    <w:p>
      <w:pPr>
        <w:pStyle w:val="BodyText"/>
        <w:spacing w:line="267" w:lineRule="exact"/>
        <w:ind w:left="1098"/>
      </w:pPr>
      <w:r>
        <w:rPr/>
        <w:t>六、评标办法有关说明 </w:t>
      </w:r>
    </w:p>
    <w:p>
      <w:pPr>
        <w:pStyle w:val="BodyText"/>
        <w:spacing w:line="297" w:lineRule="auto" w:before="70"/>
        <w:ind w:right="1151" w:firstLine="422"/>
      </w:pPr>
      <w:r>
        <w:rPr>
          <w:rFonts w:ascii="Microsoft JhengHei" w:eastAsia="Microsoft JhengHei" w:hint="eastAsia"/>
          <w:b/>
        </w:rPr>
        <w:t>（一</w:t>
      </w:r>
      <w:r>
        <w:rPr>
          <w:rFonts w:ascii="Microsoft JhengHei" w:eastAsia="Microsoft JhengHei" w:hint="eastAsia"/>
          <w:b/>
          <w:spacing w:val="-3"/>
        </w:rPr>
        <w:t>）</w:t>
      </w:r>
      <w:r>
        <w:rPr>
          <w:rFonts w:ascii="Microsoft JhengHei" w:eastAsia="Microsoft JhengHei" w:hint="eastAsia"/>
          <w:b/>
          <w:spacing w:val="-14"/>
        </w:rPr>
        <w:t>评标办法的选择。</w:t>
      </w:r>
      <w:r>
        <w:rPr>
          <w:spacing w:val="-3"/>
        </w:rPr>
        <w:t>《施工招标文件范本</w:t>
      </w:r>
      <w:r>
        <w:rPr/>
        <w:t>（2019</w:t>
      </w:r>
      <w:r>
        <w:rPr>
          <w:spacing w:val="-6"/>
        </w:rPr>
        <w:t> 年版修改版</w:t>
      </w:r>
      <w:r>
        <w:rPr>
          <w:spacing w:val="-108"/>
        </w:rPr>
        <w:t>）</w:t>
      </w:r>
      <w:r>
        <w:rPr>
          <w:spacing w:val="-3"/>
        </w:rPr>
        <w:t>》列出了经评审的合理低价法（</w:t>
      </w:r>
      <w:r>
        <w:rPr>
          <w:spacing w:val="-12"/>
        </w:rPr>
        <w:t>适用于 </w:t>
      </w:r>
      <w:r>
        <w:rPr/>
        <w:t>1000</w:t>
      </w:r>
      <w:r>
        <w:rPr>
          <w:spacing w:val="-15"/>
        </w:rPr>
        <w:t> 万元</w:t>
      </w:r>
      <w:r>
        <w:rPr>
          <w:spacing w:val="-3"/>
        </w:rPr>
        <w:t>（</w:t>
      </w:r>
      <w:r>
        <w:rPr/>
        <w:t>含）</w:t>
      </w:r>
      <w:r>
        <w:rPr>
          <w:spacing w:val="-3"/>
        </w:rPr>
        <w:t>以下项目；</w:t>
      </w:r>
      <w:r>
        <w:rPr/>
        <w:t>1000-5000</w:t>
      </w:r>
      <w:r>
        <w:rPr>
          <w:spacing w:val="-8"/>
        </w:rPr>
        <w:t> 万元的项目，业主也可自行选择采用</w:t>
      </w:r>
      <w:r>
        <w:rPr>
          <w:spacing w:val="-3"/>
        </w:rPr>
        <w:t>）</w:t>
      </w:r>
      <w:r>
        <w:rPr/>
        <w:t>和</w:t>
      </w:r>
    </w:p>
    <w:p>
      <w:pPr>
        <w:pStyle w:val="BodyText"/>
        <w:spacing w:line="364" w:lineRule="auto" w:before="75"/>
        <w:ind w:right="1153"/>
      </w:pPr>
      <w:r>
        <w:rPr>
          <w:spacing w:val="-5"/>
        </w:rPr>
        <w:t>综合评估法</w:t>
      </w:r>
      <w:r>
        <w:rPr>
          <w:spacing w:val="-3"/>
        </w:rPr>
        <w:t>（</w:t>
      </w:r>
      <w:r>
        <w:rPr>
          <w:spacing w:val="-8"/>
        </w:rPr>
        <w:t>原则上适用于 </w:t>
      </w:r>
      <w:r>
        <w:rPr/>
        <w:t>1000</w:t>
      </w:r>
      <w:r>
        <w:rPr>
          <w:spacing w:val="-7"/>
        </w:rPr>
        <w:t> 万元以上大中型项目</w:t>
      </w:r>
      <w:r>
        <w:rPr>
          <w:spacing w:val="-17"/>
        </w:rPr>
        <w:t>）</w:t>
      </w:r>
      <w:r>
        <w:rPr>
          <w:spacing w:val="-5"/>
        </w:rPr>
        <w:t>两种评标办法，供招标人根据招标项目</w:t>
      </w:r>
      <w:r>
        <w:rPr>
          <w:spacing w:val="-4"/>
        </w:rPr>
        <w:t>具体特点和实际需要选择使用。</w:t>
      </w:r>
      <w:r>
        <w:rPr/>
        <w:t> </w:t>
      </w:r>
    </w:p>
    <w:p>
      <w:pPr>
        <w:pStyle w:val="BodyText"/>
        <w:spacing w:line="364" w:lineRule="auto"/>
        <w:ind w:left="1098" w:right="5205"/>
      </w:pPr>
      <w:r>
        <w:rPr>
          <w:spacing w:val="-3"/>
        </w:rPr>
        <w:t>当采用综合评估法时，评标分值按以下确定： 1</w:t>
      </w:r>
      <w:r>
        <w:rPr>
          <w:spacing w:val="-14"/>
        </w:rPr>
        <w:t>、 技术标分值权重为 </w:t>
      </w:r>
      <w:r>
        <w:rPr/>
        <w:t>25%； </w:t>
      </w:r>
    </w:p>
    <w:p>
      <w:pPr>
        <w:pStyle w:val="BodyText"/>
        <w:spacing w:line="267" w:lineRule="exact"/>
        <w:ind w:left="1098"/>
      </w:pPr>
      <w:r>
        <w:rPr/>
        <w:t>2</w:t>
      </w:r>
      <w:r>
        <w:rPr>
          <w:spacing w:val="-13"/>
        </w:rPr>
        <w:t>、 资信标分值权重为 </w:t>
      </w:r>
      <w:r>
        <w:rPr/>
        <w:t>10%； </w:t>
      </w:r>
    </w:p>
    <w:p>
      <w:pPr>
        <w:pStyle w:val="BodyText"/>
        <w:spacing w:before="140"/>
        <w:ind w:left="1098"/>
      </w:pPr>
      <w:r>
        <w:rPr/>
        <w:t>3、 商务标分值权重为 65%； </w:t>
      </w:r>
    </w:p>
    <w:p>
      <w:pPr>
        <w:pStyle w:val="BodyText"/>
        <w:spacing w:before="139"/>
        <w:ind w:left="1518"/>
      </w:pPr>
      <w:r>
        <w:rPr/>
        <w:t>商务标分值权重 = 企业信誉实力分分值权重+ 报价分分值权重 </w:t>
      </w:r>
    </w:p>
    <w:p>
      <w:pPr>
        <w:pStyle w:val="BodyText"/>
        <w:spacing w:line="364" w:lineRule="auto" w:before="139"/>
        <w:ind w:left="1098" w:right="1050" w:firstLine="420"/>
      </w:pPr>
      <w:r>
        <w:rPr/>
        <w:t>先由招标人在开标现场随机抽取确定企业信誉实力分分值权重后，报价分分值权重= </w:t>
      </w:r>
      <w:r>
        <w:rPr>
          <w:spacing w:val="-3"/>
        </w:rPr>
        <w:t>商务标分值权重 - 企业信誉实力分分值权重</w:t>
      </w:r>
      <w:r>
        <w:rPr/>
        <w:t> </w:t>
      </w:r>
    </w:p>
    <w:p>
      <w:pPr>
        <w:pStyle w:val="BodyText"/>
        <w:spacing w:line="364" w:lineRule="auto"/>
        <w:ind w:right="1151" w:firstLine="436"/>
        <w:jc w:val="both"/>
      </w:pPr>
      <w:r>
        <w:rPr>
          <w:spacing w:val="-5"/>
        </w:rPr>
        <w:t>企业信誉实力分分值权重按 </w:t>
      </w:r>
      <w:r>
        <w:rPr/>
        <w:t>6%-10</w:t>
      </w:r>
      <w:r>
        <w:rPr>
          <w:spacing w:val="-5"/>
        </w:rPr>
        <w:t>%记入投标总分，具体按工程规模大小随机抽取。原则上中型工程从 </w:t>
      </w:r>
      <w:r>
        <w:rPr/>
        <w:t>6%</w:t>
      </w:r>
      <w:r>
        <w:rPr>
          <w:spacing w:val="-3"/>
        </w:rPr>
        <w:t>、</w:t>
      </w:r>
      <w:r>
        <w:rPr/>
        <w:t>7%</w:t>
      </w:r>
      <w:r>
        <w:rPr>
          <w:spacing w:val="-3"/>
        </w:rPr>
        <w:t>、</w:t>
      </w:r>
      <w:r>
        <w:rPr/>
        <w:t>8%</w:t>
      </w:r>
      <w:r>
        <w:rPr>
          <w:spacing w:val="-4"/>
        </w:rPr>
        <w:t>中抽取一个，大型工程从 </w:t>
      </w:r>
      <w:r>
        <w:rPr/>
        <w:t>8%、9%</w:t>
      </w:r>
      <w:r>
        <w:rPr>
          <w:spacing w:val="-3"/>
        </w:rPr>
        <w:t>、</w:t>
      </w:r>
      <w:r>
        <w:rPr/>
        <w:t>10</w:t>
      </w:r>
      <w:r>
        <w:rPr>
          <w:spacing w:val="-3"/>
        </w:rPr>
        <w:t>%中抽取一个，以随机抽取的比例</w:t>
      </w:r>
      <w:r>
        <w:rPr>
          <w:spacing w:val="-8"/>
        </w:rPr>
        <w:t>乘以根据《广西壮族自治区建筑企业诚信综合评价办法》</w:t>
      </w:r>
      <w:r>
        <w:rPr/>
        <w:t>（</w:t>
      </w:r>
      <w:r>
        <w:rPr>
          <w:spacing w:val="-1"/>
        </w:rPr>
        <w:t>试行)评价得到的企业诚信综合评价</w:t>
      </w:r>
      <w:r>
        <w:rPr>
          <w:spacing w:val="-14"/>
          <w:w w:val="100"/>
        </w:rPr>
        <w:t>分计入投标总分。</w:t>
      </w:r>
      <w:r>
        <w:rPr>
          <w:w w:val="100"/>
        </w:rPr>
        <w:t>（</w:t>
      </w:r>
      <w:r>
        <w:rPr>
          <w:spacing w:val="-20"/>
          <w:w w:val="100"/>
        </w:rPr>
        <w:t>注：“小型工程”、“中型工程”及“大型工程”的规模按《注册建造师管理</w:t>
      </w:r>
      <w:r>
        <w:rPr>
          <w:spacing w:val="-36"/>
        </w:rPr>
        <w:t>规定》</w:t>
      </w:r>
      <w:r>
        <w:rPr/>
        <w:t>（</w:t>
      </w:r>
      <w:r>
        <w:rPr>
          <w:spacing w:val="-12"/>
        </w:rPr>
        <w:t>建设部令第 </w:t>
      </w:r>
      <w:r>
        <w:rPr/>
        <w:t>153</w:t>
      </w:r>
      <w:r>
        <w:rPr>
          <w:spacing w:val="-13"/>
        </w:rPr>
        <w:t> 号)编制的《注册建造师执业工程规模标准》</w:t>
      </w:r>
      <w:r>
        <w:rPr/>
        <w:t>（</w:t>
      </w:r>
      <w:r>
        <w:rPr>
          <w:spacing w:val="-2"/>
        </w:rPr>
        <w:t>试行</w:t>
      </w:r>
      <w:r>
        <w:rPr>
          <w:spacing w:val="-3"/>
        </w:rPr>
        <w:t>）</w:t>
      </w:r>
      <w:r>
        <w:rPr>
          <w:spacing w:val="-24"/>
        </w:rPr>
        <w:t>文件划分。</w:t>
      </w:r>
      <w:r>
        <w:rPr>
          <w:spacing w:val="-3"/>
        </w:rPr>
        <w:t>）</w:t>
      </w:r>
      <w:r>
        <w:rPr/>
        <w:t> </w:t>
      </w:r>
    </w:p>
    <w:p>
      <w:pPr>
        <w:pStyle w:val="BodyText"/>
        <w:spacing w:line="364" w:lineRule="auto"/>
        <w:ind w:right="1151" w:firstLine="419"/>
        <w:jc w:val="both"/>
      </w:pPr>
      <w:r>
        <w:rPr>
          <w:spacing w:val="-7"/>
        </w:rPr>
        <w:t>例如：已经确定技术标分值权重为 </w:t>
      </w:r>
      <w:r>
        <w:rPr>
          <w:spacing w:val="-6"/>
        </w:rPr>
        <w:t>25</w:t>
      </w:r>
      <w:r>
        <w:rPr>
          <w:spacing w:val="-7"/>
        </w:rPr>
        <w:t>%，商务标分值权重为 </w:t>
      </w:r>
      <w:r>
        <w:rPr>
          <w:spacing w:val="-5"/>
        </w:rPr>
        <w:t>65</w:t>
      </w:r>
      <w:r>
        <w:rPr>
          <w:spacing w:val="-4"/>
        </w:rPr>
        <w:t>%，若在开标现场随机抽取的</w:t>
      </w:r>
      <w:r>
        <w:rPr>
          <w:spacing w:val="-6"/>
        </w:rPr>
        <w:t>中型工程企业信誉实力分分值权重为 </w:t>
      </w:r>
      <w:r>
        <w:rPr/>
        <w:t>7</w:t>
      </w:r>
      <w:r>
        <w:rPr>
          <w:spacing w:val="-7"/>
        </w:rPr>
        <w:t>%，则报价分分值权重应为 </w:t>
      </w:r>
      <w:r>
        <w:rPr/>
        <w:t>58</w:t>
      </w:r>
      <w:r>
        <w:rPr>
          <w:spacing w:val="-2"/>
        </w:rPr>
        <w:t>%。</w:t>
      </w:r>
      <w:r>
        <w:rPr/>
        <w:t> </w:t>
      </w:r>
    </w:p>
    <w:p>
      <w:pPr>
        <w:pStyle w:val="BodyText"/>
        <w:spacing w:line="364" w:lineRule="auto"/>
        <w:ind w:right="1153" w:firstLine="419"/>
      </w:pPr>
      <w:r>
        <w:rPr/>
        <w:t>3</w:t>
      </w:r>
      <w:r>
        <w:rPr>
          <w:spacing w:val="-9"/>
        </w:rPr>
        <w:t>、联合体参与投标的，联合体的信誉实力分按联合体成员中企业诚信综合评价分最高的企</w:t>
      </w:r>
      <w:r>
        <w:rPr>
          <w:spacing w:val="-2"/>
        </w:rPr>
        <w:t>业认定。</w:t>
      </w:r>
      <w:r>
        <w:rPr/>
        <w:t> </w:t>
      </w:r>
    </w:p>
    <w:p>
      <w:pPr>
        <w:spacing w:line="315" w:lineRule="exact" w:before="0"/>
        <w:ind w:left="1100" w:right="0" w:firstLine="0"/>
        <w:jc w:val="left"/>
        <w:rPr>
          <w:sz w:val="21"/>
        </w:rPr>
      </w:pPr>
      <w:r>
        <w:rPr>
          <w:rFonts w:ascii="Microsoft JhengHei" w:eastAsia="Microsoft JhengHei" w:hint="eastAsia"/>
          <w:b/>
          <w:sz w:val="21"/>
        </w:rPr>
        <w:t>（二</w:t>
      </w:r>
      <w:r>
        <w:rPr>
          <w:rFonts w:ascii="Microsoft JhengHei" w:eastAsia="Microsoft JhengHei" w:hint="eastAsia"/>
          <w:b/>
          <w:spacing w:val="-27"/>
          <w:sz w:val="21"/>
        </w:rPr>
        <w:t>）</w:t>
      </w:r>
      <w:r>
        <w:rPr>
          <w:rFonts w:ascii="Microsoft JhengHei" w:eastAsia="Microsoft JhengHei" w:hint="eastAsia"/>
          <w:b/>
          <w:spacing w:val="-1"/>
          <w:sz w:val="21"/>
        </w:rPr>
        <w:t>评标过程用表</w:t>
      </w:r>
      <w:r>
        <w:rPr>
          <w:rFonts w:ascii="Microsoft JhengHei" w:eastAsia="Microsoft JhengHei" w:hint="eastAsia"/>
          <w:b/>
          <w:spacing w:val="-132"/>
          <w:sz w:val="21"/>
        </w:rPr>
        <w:t>。</w:t>
      </w:r>
      <w:r>
        <w:rPr>
          <w:spacing w:val="-6"/>
          <w:sz w:val="21"/>
        </w:rPr>
        <w:t>《施工招标文件范本</w:t>
      </w:r>
      <w:r>
        <w:rPr>
          <w:sz w:val="21"/>
        </w:rPr>
        <w:t>（2019</w:t>
      </w:r>
      <w:r>
        <w:rPr>
          <w:spacing w:val="-11"/>
          <w:sz w:val="21"/>
        </w:rPr>
        <w:t> 年版修改版</w:t>
      </w:r>
      <w:r>
        <w:rPr>
          <w:spacing w:val="-108"/>
          <w:sz w:val="21"/>
        </w:rPr>
        <w:t>）</w:t>
      </w:r>
      <w:r>
        <w:rPr>
          <w:spacing w:val="-7"/>
          <w:sz w:val="21"/>
        </w:rPr>
        <w:t>》列出了评标过程用表式样，</w:t>
      </w:r>
    </w:p>
    <w:p>
      <w:pPr>
        <w:pStyle w:val="BodyText"/>
        <w:spacing w:before="90"/>
      </w:pPr>
      <w:r>
        <w:rPr/>
        <w:t>各地可根据需要适当修改。但《中标候选人公示》和《中标通知书》格式原则上不得修改。 </w:t>
      </w:r>
    </w:p>
    <w:p>
      <w:pPr>
        <w:pStyle w:val="BodyText"/>
        <w:spacing w:line="297" w:lineRule="auto" w:before="70"/>
        <w:ind w:right="1151" w:firstLine="422"/>
      </w:pPr>
      <w:r>
        <w:rPr>
          <w:rFonts w:ascii="Microsoft JhengHei" w:eastAsia="Microsoft JhengHei" w:hint="eastAsia"/>
          <w:b/>
        </w:rPr>
        <w:t>（三）</w:t>
      </w:r>
      <w:r>
        <w:rPr>
          <w:rFonts w:ascii="Microsoft JhengHei" w:eastAsia="Microsoft JhengHei" w:hint="eastAsia"/>
          <w:b/>
          <w:spacing w:val="-16"/>
        </w:rPr>
        <w:t>否决投标条件。</w:t>
      </w:r>
      <w:r>
        <w:rPr>
          <w:spacing w:val="-3"/>
        </w:rPr>
        <w:t>《施工招标文件范本</w:t>
      </w:r>
      <w:r>
        <w:rPr/>
        <w:t>（2019</w:t>
      </w:r>
      <w:r>
        <w:rPr>
          <w:spacing w:val="-10"/>
        </w:rPr>
        <w:t> 年版修改版</w:t>
      </w:r>
      <w:r>
        <w:rPr>
          <w:spacing w:val="-108"/>
        </w:rPr>
        <w:t>）</w:t>
      </w:r>
      <w:r>
        <w:rPr>
          <w:spacing w:val="-12"/>
        </w:rPr>
        <w:t>》附录 </w:t>
      </w:r>
      <w:r>
        <w:rPr/>
        <w:t>B</w:t>
      </w:r>
      <w:r>
        <w:rPr>
          <w:spacing w:val="-8"/>
        </w:rPr>
        <w:t> 详细列出了否决投</w:t>
      </w:r>
      <w:r>
        <w:rPr>
          <w:spacing w:val="-5"/>
        </w:rPr>
        <w:t>标条件。否决性条款应当明确，易于判断，不可含有评标委员会难以界定的条款。</w:t>
      </w:r>
      <w:r>
        <w:rPr/>
        <w:t> </w:t>
      </w:r>
    </w:p>
    <w:p>
      <w:pPr>
        <w:spacing w:after="0" w:line="297" w:lineRule="auto"/>
        <w:sectPr>
          <w:pgSz w:w="11910" w:h="16840"/>
          <w:pgMar w:header="0" w:footer="860" w:top="1380" w:bottom="1040" w:left="1120" w:right="280"/>
        </w:sectPr>
      </w:pPr>
    </w:p>
    <w:p>
      <w:pPr>
        <w:spacing w:line="360" w:lineRule="exact" w:before="0"/>
        <w:ind w:left="1100" w:right="0" w:firstLine="0"/>
        <w:jc w:val="left"/>
        <w:rPr>
          <w:sz w:val="21"/>
        </w:rPr>
      </w:pPr>
      <w:r>
        <w:rPr>
          <w:rFonts w:ascii="Microsoft JhengHei" w:eastAsia="Microsoft JhengHei" w:hint="eastAsia"/>
          <w:b/>
          <w:sz w:val="21"/>
        </w:rPr>
        <w:t>（四）投标文件的澄清、说明和补正。</w:t>
      </w:r>
      <w:r>
        <w:rPr>
          <w:sz w:val="21"/>
        </w:rPr>
        <w:t>评标委员会对投标文件中不明确之处，可以书面形</w:t>
      </w:r>
    </w:p>
    <w:p>
      <w:pPr>
        <w:pStyle w:val="BodyText"/>
        <w:spacing w:line="364" w:lineRule="auto" w:before="91"/>
        <w:ind w:right="1158"/>
        <w:jc w:val="both"/>
      </w:pPr>
      <w:r>
        <w:rPr/>
        <w:t>式要求投标人进行澄清、说明和补正，但不应作为评审不通过的理由。如投标人不按照评标委员会的要求进行澄清，其评审可不予通过。澄清、说明和补正必须由评标委员会书面提出、投标人书面答复，否则无效。对投标文件进行澄清、说明和补正时来往的书面材料传递，必须在招投标监督管理部门的监督下，由交易中心的工作人员进行。 </w:t>
      </w:r>
    </w:p>
    <w:p>
      <w:pPr>
        <w:spacing w:line="315" w:lineRule="exact" w:before="0"/>
        <w:ind w:left="1100" w:right="0" w:firstLine="0"/>
        <w:jc w:val="left"/>
        <w:rPr>
          <w:sz w:val="21"/>
        </w:rPr>
      </w:pPr>
      <w:r>
        <w:rPr>
          <w:rFonts w:ascii="Microsoft JhengHei" w:eastAsia="Microsoft JhengHei" w:hint="eastAsia"/>
          <w:b/>
          <w:sz w:val="21"/>
        </w:rPr>
        <w:t>（五）对投标文件真实性的查询。</w:t>
      </w:r>
      <w:r>
        <w:rPr>
          <w:sz w:val="21"/>
        </w:rPr>
        <w:t>评标委员会须以广西建筑业企业诚信信息库审核通过的</w:t>
      </w:r>
    </w:p>
    <w:p>
      <w:pPr>
        <w:pStyle w:val="BodyText"/>
        <w:spacing w:line="364" w:lineRule="auto" w:before="91"/>
        <w:ind w:right="1151"/>
        <w:jc w:val="both"/>
      </w:pPr>
      <w:r>
        <w:rPr/>
        <w:t>投标人的资质、营业执照、主要人员资格、信誉等申报材料为准。若投标人所提供信息与信息</w:t>
      </w:r>
      <w:r>
        <w:rPr>
          <w:spacing w:val="-4"/>
        </w:rPr>
        <w:t>库上的相关内容不符，不予通过评审</w:t>
      </w:r>
      <w:r>
        <w:rPr>
          <w:spacing w:val="-118"/>
        </w:rPr>
        <w:t>。</w:t>
      </w:r>
      <w:r>
        <w:rPr/>
        <w:t>（</w:t>
      </w:r>
      <w:r>
        <w:rPr>
          <w:spacing w:val="-14"/>
        </w:rPr>
        <w:t>说明：自 </w:t>
      </w:r>
      <w:r>
        <w:rPr/>
        <w:t>2016</w:t>
      </w:r>
      <w:r>
        <w:rPr>
          <w:spacing w:val="-31"/>
        </w:rPr>
        <w:t> 年 </w:t>
      </w:r>
      <w:r>
        <w:rPr/>
        <w:t>10</w:t>
      </w:r>
      <w:r>
        <w:rPr>
          <w:spacing w:val="-32"/>
        </w:rPr>
        <w:t> 月 </w:t>
      </w:r>
      <w:r>
        <w:rPr/>
        <w:t>1</w:t>
      </w:r>
      <w:r>
        <w:rPr>
          <w:spacing w:val="-10"/>
        </w:rPr>
        <w:t> 日起，广西壮族自治区各级住房城乡建设主管部门仅审核专职投标员、项目经理、专职安全员、总监理工程师、招标代理员</w:t>
      </w:r>
      <w:r>
        <w:rPr>
          <w:spacing w:val="-11"/>
        </w:rPr>
        <w:t>等人员的入库信息，其他人员信息由投标人自行录入并保证真实性，如评标委员会对入库人员</w:t>
      </w:r>
      <w:r>
        <w:rPr/>
        <w:t>或企业在广西建筑业企业诚信信息库中的信息有所怀疑时，可书面要求投标人提供相关证明材</w:t>
      </w:r>
      <w:r>
        <w:rPr>
          <w:spacing w:val="-53"/>
        </w:rPr>
        <w:t>料。</w:t>
      </w:r>
      <w:r>
        <w:rPr>
          <w:spacing w:val="-3"/>
        </w:rPr>
        <w:t>）</w:t>
      </w:r>
      <w:r>
        <w:rPr/>
        <w:t> </w:t>
      </w:r>
    </w:p>
    <w:p>
      <w:pPr>
        <w:spacing w:line="316" w:lineRule="exact" w:before="0"/>
        <w:ind w:left="1100" w:right="0" w:firstLine="0"/>
        <w:jc w:val="left"/>
        <w:rPr>
          <w:sz w:val="21"/>
        </w:rPr>
      </w:pPr>
      <w:r>
        <w:rPr>
          <w:rFonts w:ascii="Microsoft JhengHei" w:eastAsia="Microsoft JhengHei" w:hint="eastAsia"/>
          <w:b/>
          <w:w w:val="150"/>
          <w:sz w:val="21"/>
        </w:rPr>
        <w:t>(</w:t>
      </w:r>
      <w:r>
        <w:rPr>
          <w:rFonts w:ascii="Microsoft JhengHei" w:eastAsia="Microsoft JhengHei" w:hint="eastAsia"/>
          <w:b/>
          <w:w w:val="105"/>
          <w:sz w:val="21"/>
        </w:rPr>
        <w:t>六</w:t>
      </w:r>
      <w:r>
        <w:rPr>
          <w:rFonts w:ascii="Microsoft JhengHei" w:eastAsia="Microsoft JhengHei" w:hint="eastAsia"/>
          <w:b/>
          <w:w w:val="150"/>
          <w:sz w:val="21"/>
        </w:rPr>
        <w:t>) </w:t>
      </w:r>
      <w:r>
        <w:rPr>
          <w:rFonts w:ascii="Microsoft JhengHei" w:eastAsia="Microsoft JhengHei" w:hint="eastAsia"/>
          <w:b/>
          <w:w w:val="105"/>
          <w:sz w:val="21"/>
        </w:rPr>
        <w:t>考核期的确定。 </w:t>
      </w:r>
      <w:r>
        <w:rPr>
          <w:w w:val="105"/>
          <w:sz w:val="21"/>
        </w:rPr>
        <w:t>类似业绩、奖项、工法的考核期均以竣工验收报告落款之日或颁奖</w:t>
      </w:r>
    </w:p>
    <w:p>
      <w:pPr>
        <w:pStyle w:val="BodyText"/>
        <w:spacing w:line="364" w:lineRule="auto" w:before="92"/>
        <w:ind w:left="1098" w:right="3932" w:hanging="420"/>
      </w:pPr>
      <w:r>
        <w:rPr/>
        <w:t>文件发布落款之日或工法通知发布之日起至投标截止之日止。七、合同条款及格式有关说明 </w:t>
      </w:r>
    </w:p>
    <w:p>
      <w:pPr>
        <w:pStyle w:val="BodyText"/>
        <w:spacing w:line="364" w:lineRule="auto"/>
        <w:ind w:right="1153" w:firstLine="419"/>
        <w:jc w:val="both"/>
      </w:pPr>
      <w:r>
        <w:rPr/>
        <w:t>（一</w:t>
      </w:r>
      <w:r>
        <w:rPr>
          <w:spacing w:val="-108"/>
        </w:rPr>
        <w:t>）</w:t>
      </w:r>
      <w:r>
        <w:rPr>
          <w:spacing w:val="-3"/>
        </w:rPr>
        <w:t>《施工招标文件范本</w:t>
      </w:r>
      <w:r>
        <w:rPr/>
        <w:t>（2019</w:t>
      </w:r>
      <w:r>
        <w:rPr>
          <w:spacing w:val="-5"/>
        </w:rPr>
        <w:t> 年版修改版</w:t>
      </w:r>
      <w:r>
        <w:rPr>
          <w:spacing w:val="-106"/>
        </w:rPr>
        <w:t>）</w:t>
      </w:r>
      <w:r>
        <w:rPr>
          <w:spacing w:val="-3"/>
        </w:rPr>
        <w:t>》仅列出合同协议书及专用合同条款，通用</w:t>
      </w:r>
      <w:r>
        <w:rPr>
          <w:spacing w:val="-3"/>
          <w:w w:val="100"/>
        </w:rPr>
        <w:t>合同条款全部采用《建设工程施工合同（示范文本</w:t>
      </w:r>
      <w:r>
        <w:rPr>
          <w:spacing w:val="-108"/>
          <w:w w:val="100"/>
        </w:rPr>
        <w:t>）</w:t>
      </w:r>
      <w:r>
        <w:rPr>
          <w:spacing w:val="-106"/>
          <w:w w:val="100"/>
        </w:rPr>
        <w:t>》</w:t>
      </w:r>
      <w:r>
        <w:rPr>
          <w:w w:val="100"/>
        </w:rPr>
        <w:t>（G</w:t>
      </w:r>
      <w:r>
        <w:rPr>
          <w:spacing w:val="-3"/>
          <w:w w:val="100"/>
        </w:rPr>
        <w:t>F</w:t>
      </w:r>
      <w:r>
        <w:rPr>
          <w:w w:val="100"/>
        </w:rPr>
        <w:t>—20</w:t>
      </w:r>
      <w:r>
        <w:rPr>
          <w:spacing w:val="-3"/>
          <w:w w:val="100"/>
        </w:rPr>
        <w:t>1</w:t>
      </w:r>
      <w:r>
        <w:rPr>
          <w:spacing w:val="-1"/>
          <w:w w:val="100"/>
        </w:rPr>
        <w:t>7</w:t>
      </w:r>
      <w:r>
        <w:rPr>
          <w:w w:val="100"/>
        </w:rPr>
        <w:t>—</w:t>
      </w:r>
      <w:r>
        <w:rPr>
          <w:spacing w:val="-3"/>
          <w:w w:val="100"/>
        </w:rPr>
        <w:t>0</w:t>
      </w:r>
      <w:r>
        <w:rPr>
          <w:w w:val="100"/>
        </w:rPr>
        <w:t>20</w:t>
      </w:r>
      <w:r>
        <w:rPr>
          <w:spacing w:val="-1"/>
          <w:w w:val="100"/>
        </w:rPr>
        <w:t>1</w:t>
      </w:r>
      <w:r>
        <w:rPr>
          <w:spacing w:val="-108"/>
          <w:w w:val="100"/>
        </w:rPr>
        <w:t>）</w:t>
      </w:r>
      <w:r>
        <w:rPr>
          <w:spacing w:val="-3"/>
          <w:w w:val="100"/>
        </w:rPr>
        <w:t>。</w:t>
      </w:r>
      <w:r>
        <w:rPr>
          <w:w w:val="100"/>
        </w:rPr>
        <w:t> </w:t>
      </w:r>
    </w:p>
    <w:p>
      <w:pPr>
        <w:pStyle w:val="BodyText"/>
        <w:spacing w:line="364" w:lineRule="auto"/>
        <w:ind w:right="1151" w:firstLine="419"/>
        <w:jc w:val="both"/>
      </w:pPr>
      <w:r>
        <w:rPr/>
        <w:t>（二）合同价格形式包括单价合同、总价合同及其它价格形式。实行工程量清单计价的房屋建筑及市政基础设施工程，宜采用单价合同方式；建设规模较小、技术难度较低、工期较短的建筑工程，发承包双方可以采用总价合同方式；紧急抢险、救灾以及施工技术特别复杂的建筑工程，发承包双方可以采用其他价格形式。 </w:t>
      </w:r>
    </w:p>
    <w:p>
      <w:pPr>
        <w:pStyle w:val="BodyText"/>
        <w:spacing w:line="364" w:lineRule="auto"/>
        <w:ind w:right="1105" w:firstLine="419"/>
        <w:jc w:val="both"/>
      </w:pPr>
      <w:r>
        <w:rPr/>
        <w:t>（三）专用条款中的合同文件优先顺序约定时，不能对前五项内容顺序进行调整，双方仅</w:t>
      </w:r>
      <w:r>
        <w:rPr>
          <w:spacing w:val="-3"/>
        </w:rPr>
        <w:t>能根据所采取的合同方式对</w:t>
      </w:r>
      <w:r>
        <w:rPr/>
        <w:t>（6）-（9）</w:t>
      </w:r>
      <w:r>
        <w:rPr>
          <w:spacing w:val="-3"/>
        </w:rPr>
        <w:t>顺序进行约定。采取总价方式合同的，建议将“图纸” 列在“已标价工程量清单或预算书”前；采取单价方式合同的，建议将“已标价工程量清单或预算书”列在“图纸”前。 </w:t>
      </w:r>
    </w:p>
    <w:p>
      <w:pPr>
        <w:pStyle w:val="BodyText"/>
        <w:spacing w:line="364" w:lineRule="auto"/>
        <w:ind w:right="1153" w:firstLine="419"/>
        <w:jc w:val="both"/>
      </w:pPr>
      <w:r>
        <w:rPr/>
        <w:t>（四）关于监理人的内容和权限。如发包人另行委托造价咨询企业对该项目的造价进行跟踪审查的，应在专用合同条款中进一步明确业主、监理、造价咨询企业以及其他相关部门对造价管理的权限。 </w:t>
      </w:r>
    </w:p>
    <w:p>
      <w:pPr>
        <w:pStyle w:val="BodyText"/>
        <w:spacing w:line="364" w:lineRule="auto"/>
        <w:ind w:right="1151" w:firstLine="419"/>
        <w:jc w:val="both"/>
      </w:pPr>
      <w:r>
        <w:rPr>
          <w:w w:val="100"/>
        </w:rPr>
        <w:t>（五</w:t>
      </w:r>
      <w:r>
        <w:rPr>
          <w:spacing w:val="2"/>
          <w:w w:val="100"/>
        </w:rPr>
        <w:t>）</w:t>
      </w:r>
      <w:r>
        <w:rPr>
          <w:w w:val="100"/>
        </w:rPr>
        <w:t>关于提前竣工</w:t>
      </w:r>
      <w:r>
        <w:rPr>
          <w:spacing w:val="2"/>
          <w:w w:val="100"/>
        </w:rPr>
        <w:t>（</w:t>
      </w:r>
      <w:r>
        <w:rPr>
          <w:w w:val="100"/>
        </w:rPr>
        <w:t>赶工）</w:t>
      </w:r>
      <w:r>
        <w:rPr>
          <w:spacing w:val="-8"/>
          <w:w w:val="100"/>
        </w:rPr>
        <w:t>增加费计算方法约定有两种情况：</w:t>
      </w:r>
      <w:r>
        <w:rPr>
          <w:spacing w:val="4"/>
          <w:w w:val="100"/>
        </w:rPr>
        <w:t>（</w:t>
      </w:r>
      <w:r>
        <w:rPr>
          <w:w w:val="100"/>
        </w:rPr>
        <w:t>1）</w:t>
      </w:r>
      <w:r>
        <w:rPr>
          <w:spacing w:val="-2"/>
          <w:w w:val="100"/>
        </w:rPr>
        <w:t>房屋建筑工程要求工</w:t>
      </w:r>
      <w:r>
        <w:rPr>
          <w:spacing w:val="-7"/>
          <w:w w:val="100"/>
        </w:rPr>
        <w:t>期低于定额工期时，应在招标工程量清单中增列“提前竣工</w:t>
      </w:r>
      <w:r>
        <w:rPr>
          <w:spacing w:val="-3"/>
          <w:w w:val="100"/>
        </w:rPr>
        <w:t>（</w:t>
      </w:r>
      <w:r>
        <w:rPr>
          <w:spacing w:val="-2"/>
          <w:w w:val="100"/>
        </w:rPr>
        <w:t>赶工</w:t>
      </w:r>
      <w:r>
        <w:rPr>
          <w:spacing w:val="-10"/>
          <w:w w:val="100"/>
        </w:rPr>
        <w:t>）</w:t>
      </w:r>
      <w:r>
        <w:rPr>
          <w:spacing w:val="-14"/>
          <w:w w:val="100"/>
        </w:rPr>
        <w:t>增加费清单项目”，由投标</w:t>
      </w:r>
      <w:r>
        <w:rPr>
          <w:spacing w:val="-18"/>
        </w:rPr>
        <w:t>人根据招标工期压缩情况自主报价，不需在专用合同中约定。</w:t>
      </w:r>
      <w:r>
        <w:rPr/>
        <w:t>（2）</w:t>
      </w:r>
      <w:r>
        <w:rPr>
          <w:spacing w:val="-2"/>
        </w:rPr>
        <w:t>专用合同中约定的提前竣工</w:t>
      </w:r>
    </w:p>
    <w:p>
      <w:pPr>
        <w:pStyle w:val="BodyText"/>
        <w:spacing w:line="364" w:lineRule="auto"/>
        <w:ind w:right="1157"/>
        <w:jc w:val="both"/>
      </w:pPr>
      <w:r>
        <w:rPr/>
        <w:t>（赶工）</w:t>
      </w:r>
      <w:r>
        <w:rPr>
          <w:spacing w:val="-1"/>
        </w:rPr>
        <w:t>增加费是指在合同工期基础上业主要求提前竣工所增加的措施费和奖励。可在专用合同中约定每提前一日历天增加的金额或对应压缩时段按总造价的一定百分比计算。同时，建议在专用合同中约定“如施工过程中业主要求的压缩工期远超出常规时，双方可根据实际采取的</w:t>
      </w:r>
    </w:p>
    <w:p>
      <w:pPr>
        <w:spacing w:after="0" w:line="364" w:lineRule="auto"/>
        <w:jc w:val="both"/>
        <w:sectPr>
          <w:pgSz w:w="11910" w:h="16840"/>
          <w:pgMar w:header="0" w:footer="860" w:top="1380" w:bottom="1040" w:left="1120" w:right="280"/>
        </w:sectPr>
      </w:pPr>
    </w:p>
    <w:p>
      <w:pPr>
        <w:pStyle w:val="BodyText"/>
        <w:spacing w:line="364" w:lineRule="auto" w:before="43"/>
        <w:ind w:left="1098" w:right="5834" w:hanging="420"/>
      </w:pPr>
      <w:r>
        <w:rPr/>
        <w:t>施工方案另行确认提前竣工（赶工）费”。八、工程量清单有关说明 </w:t>
      </w:r>
    </w:p>
    <w:p>
      <w:pPr>
        <w:pStyle w:val="BodyText"/>
        <w:spacing w:line="364" w:lineRule="auto"/>
        <w:ind w:right="1153" w:firstLine="419"/>
        <w:jc w:val="both"/>
      </w:pPr>
      <w:r>
        <w:rPr>
          <w:spacing w:val="-6"/>
        </w:rPr>
        <w:t>《施工招标文件范本</w:t>
      </w:r>
      <w:r>
        <w:rPr/>
        <w:t>（2019</w:t>
      </w:r>
      <w:r>
        <w:rPr>
          <w:spacing w:val="-6"/>
        </w:rPr>
        <w:t> 年版修改版</w:t>
      </w:r>
      <w:r>
        <w:rPr>
          <w:spacing w:val="-108"/>
        </w:rPr>
        <w:t>）</w:t>
      </w:r>
      <w:r>
        <w:rPr>
          <w:spacing w:val="-11"/>
        </w:rPr>
        <w:t>》第五章“工程量清单”由招标人根据工程量清单</w:t>
      </w:r>
      <w:r>
        <w:rPr>
          <w:spacing w:val="-16"/>
        </w:rPr>
        <w:t>的国家标准、我区相关规定，以及招标项目具体特点和实际需要编制，并与“投标人须知”</w:t>
      </w:r>
      <w:r>
        <w:rPr>
          <w:spacing w:val="-47"/>
        </w:rPr>
        <w:t>、“专</w:t>
      </w:r>
      <w:r>
        <w:rPr>
          <w:spacing w:val="-28"/>
        </w:rPr>
        <w:t>用合同条款”、“技术标准和要求”、“图纸”相衔接。 </w:t>
      </w:r>
    </w:p>
    <w:p>
      <w:pPr>
        <w:pStyle w:val="BodyText"/>
        <w:spacing w:line="269" w:lineRule="exact"/>
        <w:ind w:left="1098"/>
      </w:pPr>
      <w:r>
        <w:rPr/>
        <w:t>九、图纸有关说明 </w:t>
      </w:r>
    </w:p>
    <w:p>
      <w:pPr>
        <w:pStyle w:val="BodyText"/>
        <w:spacing w:line="367" w:lineRule="auto" w:before="137"/>
        <w:ind w:right="1153" w:firstLine="419"/>
      </w:pPr>
      <w:r>
        <w:rPr>
          <w:spacing w:val="-6"/>
        </w:rPr>
        <w:t>《施工招标文件范本</w:t>
      </w:r>
      <w:r>
        <w:rPr/>
        <w:t>（2019</w:t>
      </w:r>
      <w:r>
        <w:rPr>
          <w:spacing w:val="-6"/>
        </w:rPr>
        <w:t> 年版修改版</w:t>
      </w:r>
      <w:r>
        <w:rPr>
          <w:spacing w:val="-108"/>
        </w:rPr>
        <w:t>）</w:t>
      </w:r>
      <w:r>
        <w:rPr>
          <w:spacing w:val="-10"/>
        </w:rPr>
        <w:t>》第六章“图纸”由招标人根据招标项目具体特点</w:t>
      </w:r>
      <w:r>
        <w:rPr>
          <w:spacing w:val="-25"/>
        </w:rPr>
        <w:t>和实际需要编制，并与“投标人须知”、“专用合同条款”、“技术标准和要求”相衔接。</w:t>
      </w:r>
      <w:r>
        <w:rPr/>
        <w:t> </w:t>
      </w:r>
    </w:p>
    <w:p>
      <w:pPr>
        <w:pStyle w:val="BodyText"/>
        <w:spacing w:line="264" w:lineRule="exact"/>
        <w:ind w:left="1098"/>
      </w:pPr>
      <w:r>
        <w:rPr/>
        <w:t>十、技术标准和要求有关说明 </w:t>
      </w:r>
    </w:p>
    <w:p>
      <w:pPr>
        <w:pStyle w:val="BodyText"/>
        <w:spacing w:line="364" w:lineRule="auto" w:before="139"/>
        <w:ind w:right="1151" w:firstLine="419"/>
        <w:jc w:val="both"/>
      </w:pPr>
      <w:r>
        <w:rPr>
          <w:spacing w:val="-6"/>
        </w:rPr>
        <w:t>《施工招标文件范本</w:t>
      </w:r>
      <w:r>
        <w:rPr/>
        <w:t>（2019</w:t>
      </w:r>
      <w:r>
        <w:rPr>
          <w:spacing w:val="-6"/>
        </w:rPr>
        <w:t> 年版修改版</w:t>
      </w:r>
      <w:r>
        <w:rPr>
          <w:spacing w:val="-108"/>
        </w:rPr>
        <w:t>）</w:t>
      </w:r>
      <w:r>
        <w:rPr>
          <w:spacing w:val="-11"/>
        </w:rPr>
        <w:t>》第八章“技术标准和要求”由招标人根据招标项</w:t>
      </w:r>
      <w:r>
        <w:rPr>
          <w:spacing w:val="-6"/>
        </w:rPr>
        <w:t>目具体特点和实际需要编制</w:t>
      </w:r>
      <w:r>
        <w:rPr>
          <w:spacing w:val="-15"/>
        </w:rPr>
        <w:t>。“技术标准和要求”中的各项技术标准应符合国家强制性标准，不得要求或标明某一特定的专利、商标、名称、设计、原产地或生产供应者，不得含有倾向或者排斥潜在投标人的其他内容。如果必须引用某一生产供应者的技术标准才能准确或清楚地说明</w:t>
      </w:r>
      <w:r>
        <w:rPr>
          <w:spacing w:val="-7"/>
        </w:rPr>
        <w:t>拟招标项目的技术标准时，则应当在参照后面加上“或相当于”字样。</w:t>
      </w:r>
      <w:r>
        <w:rPr/>
        <w:t> </w:t>
      </w:r>
    </w:p>
    <w:p>
      <w:pPr>
        <w:pStyle w:val="BodyText"/>
        <w:spacing w:line="267" w:lineRule="exact"/>
        <w:ind w:left="1098"/>
      </w:pPr>
      <w:r>
        <w:rPr/>
        <w:t>十一、扫描件有关说明 </w:t>
      </w:r>
    </w:p>
    <w:p>
      <w:pPr>
        <w:pStyle w:val="BodyText"/>
        <w:spacing w:line="364" w:lineRule="auto" w:before="139"/>
        <w:ind w:right="1154" w:firstLine="419"/>
      </w:pPr>
      <w:r>
        <w:rPr>
          <w:spacing w:val="-1"/>
        </w:rPr>
        <w:t>除在建工程外，投标文件中所有证明材料的扫描件均取自广西建筑业企业诚信信息库，并</w:t>
      </w:r>
      <w:r>
        <w:rPr>
          <w:spacing w:val="-3"/>
        </w:rPr>
        <w:t>应为原件的扫描件。</w:t>
      </w:r>
      <w:r>
        <w:rPr/>
        <w:t> </w:t>
      </w:r>
    </w:p>
    <w:p>
      <w:pPr>
        <w:pStyle w:val="BodyText"/>
        <w:ind w:left="1098"/>
      </w:pPr>
      <w:r>
        <w:rPr>
          <w:spacing w:val="-3"/>
        </w:rPr>
        <w:t>十二、其它说明</w:t>
      </w:r>
      <w:r>
        <w:rPr/>
        <w:t> </w:t>
      </w:r>
    </w:p>
    <w:p>
      <w:pPr>
        <w:pStyle w:val="BodyText"/>
        <w:spacing w:before="140"/>
        <w:ind w:left="1098"/>
      </w:pPr>
      <w:r>
        <w:rPr/>
        <w:t>根据最高人民法院等 9 部门《关于在招标投标活动中对失信被执行人实施联合惩戒的通知》</w:t>
      </w:r>
    </w:p>
    <w:p>
      <w:pPr>
        <w:pStyle w:val="BodyText"/>
        <w:spacing w:line="364" w:lineRule="auto" w:before="138"/>
        <w:ind w:right="992"/>
      </w:pPr>
      <w:r>
        <w:rPr/>
        <w:t>（法〔2016〕285 号）规定，招标人委托招标代理机构开展招标事宜的，应当通过“信用中国” 网站（</w:t>
      </w:r>
      <w:hyperlink r:id="rId9">
        <w:r>
          <w:rPr/>
          <w:t>www.creditchina.gov.cn</w:t>
        </w:r>
      </w:hyperlink>
      <w:r>
        <w:rPr/>
        <w:t>）查询其失信被执行人信息，鼓励优先选择无失信记录的招标代理机构；依法必须进行招标的工程建设项目，对在评标阶段通过“ 信用中国”网站</w:t>
      </w:r>
    </w:p>
    <w:p>
      <w:pPr>
        <w:pStyle w:val="BodyText"/>
        <w:spacing w:line="364" w:lineRule="auto"/>
        <w:ind w:right="1151"/>
        <w:jc w:val="both"/>
      </w:pPr>
      <w:r>
        <w:rPr/>
        <w:t>（</w:t>
      </w:r>
      <w:hyperlink r:id="rId9">
        <w:r>
          <w:rPr/>
          <w:t>www.creditchina.gov.cn</w:t>
        </w:r>
      </w:hyperlink>
      <w:r>
        <w:rPr/>
        <w:t>）查询其被列为失信被执行人的投标人（如为联合体时，联合体中</w:t>
      </w:r>
      <w:r>
        <w:rPr>
          <w:spacing w:val="-5"/>
        </w:rPr>
        <w:t>有一个或一个以上成员属于失信被执行人的，联合体视为失信被执行人</w:t>
      </w:r>
      <w:r>
        <w:rPr>
          <w:spacing w:val="-66"/>
        </w:rPr>
        <w:t>）</w:t>
      </w:r>
      <w:r>
        <w:rPr>
          <w:spacing w:val="-10"/>
        </w:rPr>
        <w:t>，依法对其投标活动予以限制；不得聘用评标时期在“信用中国”网站（</w:t>
      </w:r>
      <w:hyperlink r:id="rId9">
        <w:r>
          <w:rPr>
            <w:spacing w:val="-10"/>
          </w:rPr>
          <w:t>www.creditchina.gov.cn</w:t>
        </w:r>
      </w:hyperlink>
      <w:r>
        <w:rPr>
          <w:spacing w:val="-10"/>
        </w:rPr>
        <w:t>）中被列为失信被执行人的人员担任评标专家；招标人、招标代理机构、有关单位应采取必要方式做好失信被执</w:t>
      </w:r>
      <w:r>
        <w:rPr>
          <w:spacing w:val="-5"/>
        </w:rPr>
        <w:t>行人信息查询记录和证据留存。</w:t>
      </w:r>
      <w:r>
        <w:rPr/>
        <w:t> </w:t>
      </w:r>
    </w:p>
    <w:p>
      <w:pPr>
        <w:pStyle w:val="BodyText"/>
        <w:spacing w:line="364" w:lineRule="auto"/>
        <w:ind w:right="1050" w:firstLine="419"/>
      </w:pPr>
      <w:r>
        <w:rPr>
          <w:spacing w:val="-3"/>
        </w:rPr>
        <w:t>根据《广西壮族自治区建筑市场主体“黑名单”管理办法</w:t>
      </w:r>
      <w:r>
        <w:rPr/>
        <w:t>（</w:t>
      </w:r>
      <w:r>
        <w:rPr>
          <w:spacing w:val="-2"/>
        </w:rPr>
        <w:t>试行</w:t>
      </w:r>
      <w:r>
        <w:rPr>
          <w:spacing w:val="-106"/>
        </w:rPr>
        <w:t>）</w:t>
      </w:r>
      <w:r>
        <w:rPr>
          <w:spacing w:val="-108"/>
        </w:rPr>
        <w:t>》</w:t>
      </w:r>
      <w:r>
        <w:rPr/>
        <w:t>（</w:t>
      </w:r>
      <w:r>
        <w:rPr>
          <w:spacing w:val="-3"/>
        </w:rPr>
        <w:t>桂建发【</w:t>
      </w:r>
      <w:r>
        <w:rPr/>
        <w:t>2018】5</w:t>
      </w:r>
      <w:r>
        <w:rPr>
          <w:spacing w:val="-14"/>
        </w:rPr>
        <w:t> 号</w:t>
      </w:r>
      <w:r>
        <w:rPr>
          <w:spacing w:val="-3"/>
        </w:rPr>
        <w:t>） </w:t>
      </w:r>
      <w:r>
        <w:rPr>
          <w:spacing w:val="-7"/>
          <w:w w:val="100"/>
        </w:rPr>
        <w:t>规定，投标人、拟派项目经理不得为建筑市场主体“黑名单</w:t>
      </w:r>
      <w:r>
        <w:rPr>
          <w:spacing w:val="-118"/>
          <w:w w:val="100"/>
        </w:rPr>
        <w:t>”</w:t>
      </w:r>
      <w:r>
        <w:rPr>
          <w:spacing w:val="-3"/>
          <w:w w:val="100"/>
        </w:rPr>
        <w:t>（以评标阶段通过建筑市场监管与</w:t>
      </w:r>
      <w:r>
        <w:rPr>
          <w:spacing w:val="-5"/>
        </w:rPr>
        <w:t>诚信信息一体化平台网址 </w:t>
      </w:r>
      <w:r>
        <w:rPr/>
        <w:t>http://dn4.gxzjt.gov.cn:1141/WebInfo/Default.aspx</w:t>
      </w:r>
      <w:r>
        <w:rPr>
          <w:spacing w:val="-5"/>
        </w:rPr>
        <w:t> 查询的结果为准</w:t>
      </w:r>
      <w:r>
        <w:rPr>
          <w:spacing w:val="-120"/>
        </w:rPr>
        <w:t>）</w:t>
      </w:r>
      <w:r>
        <w:rPr>
          <w:spacing w:val="-13"/>
        </w:rPr>
        <w:t>【备注：此款可由招标人自主选择，如不采用，还须向本项目招标的监督部门说明理由】。</w:t>
      </w:r>
      <w:r>
        <w:rPr/>
        <w:t> </w:t>
      </w:r>
    </w:p>
    <w:p>
      <w:pPr>
        <w:pStyle w:val="BodyText"/>
        <w:spacing w:line="364" w:lineRule="auto"/>
        <w:ind w:right="1154" w:firstLine="419"/>
        <w:jc w:val="both"/>
      </w:pPr>
      <w:r>
        <w:rPr>
          <w:spacing w:val="-1"/>
        </w:rPr>
        <w:t>广西建筑业企业诚信信息库仅包括与房建市政工程有关的施工、监理、检测、招标代理、园林绿化等类型的企业、人员、项目及诚信信息。其他非房建市政类工程项目的招标人不得要求投标人信息以诚信库信息为准。以下所有“投标人信息以广西建筑业企业诚信信息库为准”</w:t>
      </w:r>
    </w:p>
    <w:p>
      <w:pPr>
        <w:spacing w:after="0" w:line="364" w:lineRule="auto"/>
        <w:jc w:val="both"/>
        <w:sectPr>
          <w:pgSz w:w="11910" w:h="16840"/>
          <w:pgMar w:header="0" w:footer="860" w:top="1380" w:bottom="1040" w:left="1120" w:right="280"/>
        </w:sectPr>
      </w:pPr>
    </w:p>
    <w:p>
      <w:pPr>
        <w:pStyle w:val="BodyText"/>
        <w:spacing w:before="43"/>
      </w:pPr>
      <w:r>
        <w:rPr/>
        <w:t>的表述，均同此说明。 </w:t>
      </w:r>
    </w:p>
    <w:p>
      <w:pPr>
        <w:pStyle w:val="BodyText"/>
        <w:spacing w:before="139"/>
        <w:ind w:left="1098"/>
      </w:pPr>
      <w:r>
        <w:rPr>
          <w:spacing w:val="-15"/>
        </w:rPr>
        <w:t>《施工招标文件范本</w:t>
      </w:r>
      <w:r>
        <w:rPr/>
        <w:t>（2019</w:t>
      </w:r>
      <w:r>
        <w:rPr>
          <w:spacing w:val="-11"/>
        </w:rPr>
        <w:t> 年版修改版</w:t>
      </w:r>
      <w:r>
        <w:rPr>
          <w:spacing w:val="-108"/>
        </w:rPr>
        <w:t>）</w:t>
      </w:r>
      <w:r>
        <w:rPr>
          <w:spacing w:val="-18"/>
        </w:rPr>
        <w:t>》不明确之处由南宁市住房和城乡建设局负责解释。</w:t>
      </w:r>
      <w:r>
        <w:rPr/>
        <w:t> </w:t>
      </w:r>
    </w:p>
    <w:p>
      <w:pPr>
        <w:pStyle w:val="BodyText"/>
        <w:spacing w:line="364" w:lineRule="auto" w:before="139"/>
        <w:ind w:right="1045" w:firstLine="419"/>
      </w:pPr>
      <w:r>
        <w:rPr>
          <w:spacing w:val="-15"/>
        </w:rPr>
        <w:t>《施工招标文件范本</w:t>
      </w:r>
      <w:r>
        <w:rPr/>
        <w:t>（2019</w:t>
      </w:r>
      <w:r>
        <w:rPr>
          <w:spacing w:val="-6"/>
        </w:rPr>
        <w:t> 年版修改版</w:t>
      </w:r>
      <w:r>
        <w:rPr>
          <w:spacing w:val="-108"/>
        </w:rPr>
        <w:t>）</w:t>
      </w:r>
      <w:r>
        <w:rPr>
          <w:spacing w:val="-13"/>
        </w:rPr>
        <w:t>》将根据实际执行过程中出现的问题及时进行修改。各使用单位或个人对本范本的修改意见和建议，可向南宁市住房和城乡建设局建设工程招投标</w:t>
      </w:r>
      <w:r>
        <w:rPr>
          <w:spacing w:val="-7"/>
        </w:rPr>
        <w:t>监管科反映。</w:t>
      </w:r>
      <w:r>
        <w:rPr/>
        <w:t> </w:t>
      </w:r>
    </w:p>
    <w:p>
      <w:pPr>
        <w:pStyle w:val="BodyText"/>
        <w:spacing w:line="269" w:lineRule="exact"/>
        <w:ind w:left="1098"/>
      </w:pPr>
      <w:r>
        <w:rPr/>
        <w:t>联系电话：0771-5535031。 </w:t>
      </w:r>
    </w:p>
    <w:p>
      <w:pPr>
        <w:spacing w:after="0" w:line="269" w:lineRule="exact"/>
        <w:sectPr>
          <w:pgSz w:w="11910" w:h="16840"/>
          <w:pgMar w:header="0" w:footer="860" w:top="1380" w:bottom="1040" w:left="1120" w:right="280"/>
        </w:sectPr>
      </w:pPr>
    </w:p>
    <w:p>
      <w:pPr>
        <w:pStyle w:val="Heading1"/>
        <w:spacing w:line="678" w:lineRule="exact"/>
      </w:pPr>
      <w:r>
        <w:rPr/>
        <w:t>目    录</w:t>
      </w:r>
      <w:r>
        <w:rPr>
          <w:w w:val="199"/>
        </w:rPr>
        <w:t> </w:t>
      </w:r>
    </w:p>
    <w:p>
      <w:pPr>
        <w:spacing w:after="0" w:line="678" w:lineRule="exact"/>
        <w:sectPr>
          <w:pgSz w:w="11910" w:h="16840"/>
          <w:pgMar w:header="0" w:footer="860" w:top="1400" w:bottom="1555" w:left="1120" w:right="280"/>
        </w:sectPr>
      </w:pPr>
    </w:p>
    <w:sdt>
      <w:sdtPr>
        <w:docPartObj>
          <w:docPartGallery w:val="Table of Contents"/>
          <w:docPartUnique/>
        </w:docPartObj>
      </w:sdtPr>
      <w:sdtEndPr/>
      <w:sdtContent>
        <w:p>
          <w:pPr>
            <w:pStyle w:val="TOC1"/>
            <w:tabs>
              <w:tab w:pos="8447" w:val="left" w:leader="dot"/>
            </w:tabs>
            <w:spacing w:before="233"/>
            <w:rPr>
              <w:rFonts w:ascii="Calibri" w:eastAsia="Calibri"/>
            </w:rPr>
          </w:pPr>
          <w:hyperlink w:history="true" w:anchor="_bookmark0">
            <w:r>
              <w:rPr/>
              <w:t>第一</w:t>
            </w:r>
            <w:r>
              <w:rPr>
                <w:spacing w:val="-3"/>
              </w:rPr>
              <w:t>章 </w:t>
            </w:r>
            <w:r>
              <w:rPr>
                <w:spacing w:val="9"/>
              </w:rPr>
              <w:t> </w:t>
            </w:r>
            <w:r>
              <w:rPr>
                <w:spacing w:val="-3"/>
              </w:rPr>
              <w:t>招</w:t>
            </w:r>
            <w:r>
              <w:rPr/>
              <w:t>标</w:t>
            </w:r>
            <w:r>
              <w:rPr>
                <w:spacing w:val="-3"/>
              </w:rPr>
              <w:t>公</w:t>
            </w:r>
            <w:r>
              <w:rPr/>
              <w:t>告</w:t>
              <w:tab/>
            </w:r>
            <w:r>
              <w:rPr>
                <w:rFonts w:ascii="Calibri" w:eastAsia="Calibri"/>
                <w:spacing w:val="-1"/>
              </w:rPr>
              <w:t>12</w:t>
            </w:r>
          </w:hyperlink>
        </w:p>
        <w:p>
          <w:pPr>
            <w:pStyle w:val="TOC1"/>
            <w:tabs>
              <w:tab w:pos="8447" w:val="left" w:leader="dot"/>
            </w:tabs>
            <w:spacing w:before="192"/>
            <w:rPr>
              <w:rFonts w:ascii="Calibri" w:eastAsia="Calibri"/>
            </w:rPr>
          </w:pPr>
          <w:hyperlink w:history="true" w:anchor="_bookmark1">
            <w:r>
              <w:rPr/>
              <w:t>第二</w:t>
            </w:r>
            <w:r>
              <w:rPr>
                <w:spacing w:val="-3"/>
              </w:rPr>
              <w:t>章 </w:t>
            </w:r>
            <w:r>
              <w:rPr>
                <w:spacing w:val="9"/>
              </w:rPr>
              <w:t> </w:t>
            </w:r>
            <w:r>
              <w:rPr>
                <w:spacing w:val="-3"/>
              </w:rPr>
              <w:t>投</w:t>
            </w:r>
            <w:r>
              <w:rPr/>
              <w:t>标</w:t>
            </w:r>
            <w:r>
              <w:rPr>
                <w:spacing w:val="-3"/>
              </w:rPr>
              <w:t>人</w:t>
            </w:r>
            <w:r>
              <w:rPr/>
              <w:t>须知</w:t>
              <w:tab/>
            </w:r>
            <w:r>
              <w:rPr>
                <w:rFonts w:ascii="Calibri" w:eastAsia="Calibri"/>
                <w:spacing w:val="-1"/>
              </w:rPr>
              <w:t>15</w:t>
            </w:r>
          </w:hyperlink>
        </w:p>
        <w:p>
          <w:pPr>
            <w:pStyle w:val="TOC1"/>
            <w:tabs>
              <w:tab w:pos="8447" w:val="left" w:leader="dot"/>
            </w:tabs>
            <w:spacing w:before="189"/>
            <w:rPr>
              <w:rFonts w:ascii="Calibri" w:eastAsia="Calibri"/>
            </w:rPr>
          </w:pPr>
          <w:hyperlink w:history="true" w:anchor="_bookmark2">
            <w:r>
              <w:rPr/>
              <w:t>投标</w:t>
            </w:r>
            <w:r>
              <w:rPr>
                <w:spacing w:val="-3"/>
              </w:rPr>
              <w:t>人</w:t>
            </w:r>
            <w:r>
              <w:rPr/>
              <w:t>须</w:t>
            </w:r>
            <w:r>
              <w:rPr>
                <w:spacing w:val="-3"/>
              </w:rPr>
              <w:t>知</w:t>
            </w:r>
            <w:r>
              <w:rPr/>
              <w:t>前</w:t>
            </w:r>
            <w:r>
              <w:rPr>
                <w:spacing w:val="-3"/>
              </w:rPr>
              <w:t>附</w:t>
            </w:r>
            <w:r>
              <w:rPr/>
              <w:t>表</w:t>
              <w:tab/>
            </w:r>
            <w:r>
              <w:rPr>
                <w:rFonts w:ascii="Calibri" w:eastAsia="Calibri"/>
                <w:spacing w:val="-1"/>
              </w:rPr>
              <w:t>15</w:t>
            </w:r>
          </w:hyperlink>
        </w:p>
        <w:p>
          <w:pPr>
            <w:pStyle w:val="TOC1"/>
            <w:tabs>
              <w:tab w:pos="8447" w:val="left" w:leader="dot"/>
            </w:tabs>
            <w:spacing w:before="192"/>
            <w:rPr>
              <w:rFonts w:ascii="Calibri" w:eastAsia="Calibri"/>
            </w:rPr>
          </w:pPr>
          <w:hyperlink w:history="true" w:anchor="_bookmark3">
            <w:r>
              <w:rPr/>
              <w:t>投标</w:t>
            </w:r>
            <w:r>
              <w:rPr>
                <w:spacing w:val="-3"/>
              </w:rPr>
              <w:t>人</w:t>
            </w:r>
            <w:r>
              <w:rPr/>
              <w:t>须</w:t>
            </w:r>
            <w:r>
              <w:rPr>
                <w:spacing w:val="-3"/>
              </w:rPr>
              <w:t>知</w:t>
            </w:r>
            <w:r>
              <w:rPr/>
              <w:t>正</w:t>
            </w:r>
            <w:r>
              <w:rPr>
                <w:spacing w:val="-3"/>
              </w:rPr>
              <w:t>文</w:t>
            </w:r>
            <w:r>
              <w:rPr/>
              <w:t>部分</w:t>
              <w:tab/>
            </w:r>
            <w:r>
              <w:rPr>
                <w:rFonts w:ascii="Calibri" w:eastAsia="Calibri"/>
                <w:spacing w:val="-1"/>
              </w:rPr>
              <w:t>29</w:t>
            </w:r>
          </w:hyperlink>
        </w:p>
        <w:p>
          <w:pPr>
            <w:pStyle w:val="TOC1"/>
            <w:tabs>
              <w:tab w:pos="8027" w:val="left" w:leader="dot"/>
            </w:tabs>
            <w:spacing w:before="24"/>
            <w:rPr>
              <w:rFonts w:ascii="Calibri" w:eastAsia="Calibri"/>
            </w:rPr>
          </w:pPr>
          <w:hyperlink w:history="true" w:anchor="_bookmark4">
            <w:r>
              <w:rPr/>
              <w:t>1 1</w:t>
            </w:r>
            <w:r>
              <w:rPr>
                <w:spacing w:val="3"/>
              </w:rPr>
              <w:t> </w:t>
            </w:r>
            <w:r>
              <w:rPr>
                <w:spacing w:val="-3"/>
              </w:rPr>
              <w:t>总则</w:t>
              <w:tab/>
            </w:r>
            <w:r>
              <w:rPr>
                <w:rFonts w:ascii="Calibri" w:eastAsia="Calibri"/>
                <w:spacing w:val="-1"/>
              </w:rPr>
              <w:t>29</w:t>
            </w:r>
          </w:hyperlink>
        </w:p>
        <w:p>
          <w:pPr>
            <w:pStyle w:val="TOC1"/>
            <w:tabs>
              <w:tab w:pos="7607" w:val="left" w:leader="dot"/>
            </w:tabs>
            <w:rPr>
              <w:rFonts w:ascii="Calibri" w:eastAsia="Calibri"/>
            </w:rPr>
          </w:pPr>
          <w:hyperlink w:history="true" w:anchor="_bookmark5">
            <w:r>
              <w:rPr/>
              <w:t>1.1</w:t>
            </w:r>
            <w:r>
              <w:rPr>
                <w:spacing w:val="3"/>
              </w:rPr>
              <w:t> </w:t>
            </w:r>
            <w:r>
              <w:rPr>
                <w:spacing w:val="-3"/>
              </w:rPr>
              <w:t>项</w:t>
            </w:r>
            <w:r>
              <w:rPr/>
              <w:t>目</w:t>
            </w:r>
            <w:r>
              <w:rPr>
                <w:spacing w:val="-3"/>
              </w:rPr>
              <w:t>概</w:t>
            </w:r>
            <w:r>
              <w:rPr/>
              <w:t>况</w:t>
              <w:tab/>
            </w:r>
            <w:r>
              <w:rPr>
                <w:rFonts w:ascii="Calibri" w:eastAsia="Calibri"/>
                <w:spacing w:val="-1"/>
              </w:rPr>
              <w:t>29</w:t>
            </w:r>
          </w:hyperlink>
        </w:p>
        <w:p>
          <w:pPr>
            <w:pStyle w:val="TOC3"/>
            <w:numPr>
              <w:ilvl w:val="1"/>
              <w:numId w:val="2"/>
            </w:numPr>
            <w:tabs>
              <w:tab w:pos="1836" w:val="left" w:leader="none"/>
              <w:tab w:pos="9125" w:val="left" w:leader="dot"/>
            </w:tabs>
            <w:spacing w:line="240" w:lineRule="auto" w:before="4" w:after="0"/>
            <w:ind w:left="1835" w:right="0" w:hanging="318"/>
            <w:jc w:val="left"/>
            <w:rPr>
              <w:rFonts w:ascii="Calibri" w:eastAsia="Calibri"/>
            </w:rPr>
          </w:pPr>
          <w:hyperlink w:history="true" w:anchor="_bookmark6">
            <w:r>
              <w:rPr>
                <w:spacing w:val="-3"/>
              </w:rPr>
              <w:t>资</w:t>
            </w:r>
            <w:r>
              <w:rPr/>
              <w:t>金</w:t>
            </w:r>
            <w:r>
              <w:rPr>
                <w:spacing w:val="-3"/>
              </w:rPr>
              <w:t>来</w:t>
            </w:r>
            <w:r>
              <w:rPr/>
              <w:t>源</w:t>
            </w:r>
            <w:r>
              <w:rPr>
                <w:spacing w:val="-3"/>
              </w:rPr>
              <w:t>和</w:t>
            </w:r>
            <w:r>
              <w:rPr/>
              <w:t>落</w:t>
            </w:r>
            <w:r>
              <w:rPr>
                <w:spacing w:val="-3"/>
              </w:rPr>
              <w:t>实</w:t>
            </w:r>
            <w:r>
              <w:rPr/>
              <w:t>及</w:t>
            </w:r>
            <w:r>
              <w:rPr>
                <w:spacing w:val="-3"/>
              </w:rPr>
              <w:t>增</w:t>
            </w:r>
            <w:r>
              <w:rPr/>
              <w:t>值税</w:t>
            </w:r>
            <w:r>
              <w:rPr>
                <w:spacing w:val="-3"/>
              </w:rPr>
              <w:t>计</w:t>
            </w:r>
            <w:r>
              <w:rPr/>
              <w:t>税</w:t>
            </w:r>
            <w:r>
              <w:rPr>
                <w:spacing w:val="-3"/>
              </w:rPr>
              <w:t>方</w:t>
            </w:r>
            <w:r>
              <w:rPr/>
              <w:t>法</w:t>
            </w:r>
            <w:r>
              <w:rPr>
                <w:spacing w:val="-3"/>
              </w:rPr>
              <w:t>情</w:t>
            </w:r>
            <w:r>
              <w:rPr/>
              <w:t>况</w:t>
              <w:tab/>
            </w:r>
            <w:r>
              <w:rPr>
                <w:rFonts w:ascii="Calibri" w:eastAsia="Calibri"/>
              </w:rPr>
              <w:t>29</w:t>
            </w:r>
          </w:hyperlink>
        </w:p>
        <w:p>
          <w:pPr>
            <w:pStyle w:val="TOC3"/>
            <w:numPr>
              <w:ilvl w:val="1"/>
              <w:numId w:val="2"/>
            </w:numPr>
            <w:tabs>
              <w:tab w:pos="1836" w:val="left" w:leader="none"/>
              <w:tab w:pos="9125" w:val="left" w:leader="dot"/>
            </w:tabs>
            <w:spacing w:line="240" w:lineRule="auto" w:before="2" w:after="0"/>
            <w:ind w:left="1835" w:right="0" w:hanging="318"/>
            <w:jc w:val="left"/>
            <w:rPr>
              <w:rFonts w:ascii="Calibri" w:eastAsia="Calibri"/>
            </w:rPr>
          </w:pPr>
          <w:hyperlink w:history="true" w:anchor="_bookmark7">
            <w:r>
              <w:rPr>
                <w:spacing w:val="-3"/>
              </w:rPr>
              <w:t>招</w:t>
            </w:r>
            <w:r>
              <w:rPr/>
              <w:t>标</w:t>
            </w:r>
            <w:r>
              <w:rPr>
                <w:spacing w:val="-3"/>
              </w:rPr>
              <w:t>范</w:t>
            </w:r>
            <w:r>
              <w:rPr/>
              <w:t>围</w:t>
            </w:r>
            <w:r>
              <w:rPr>
                <w:spacing w:val="-3"/>
              </w:rPr>
              <w:t>、</w:t>
            </w:r>
            <w:r>
              <w:rPr/>
              <w:t>计</w:t>
            </w:r>
            <w:r>
              <w:rPr>
                <w:spacing w:val="-3"/>
              </w:rPr>
              <w:t>划</w:t>
            </w:r>
            <w:r>
              <w:rPr/>
              <w:t>工</w:t>
            </w:r>
            <w:r>
              <w:rPr>
                <w:spacing w:val="-3"/>
              </w:rPr>
              <w:t>期</w:t>
            </w:r>
            <w:r>
              <w:rPr/>
              <w:t>和质</w:t>
            </w:r>
            <w:r>
              <w:rPr>
                <w:spacing w:val="-3"/>
              </w:rPr>
              <w:t>量</w:t>
            </w:r>
            <w:r>
              <w:rPr/>
              <w:t>要求</w:t>
              <w:tab/>
            </w:r>
            <w:r>
              <w:rPr>
                <w:rFonts w:ascii="Calibri" w:eastAsia="Calibri"/>
              </w:rPr>
              <w:t>29</w:t>
            </w:r>
          </w:hyperlink>
        </w:p>
        <w:p>
          <w:pPr>
            <w:pStyle w:val="TOC3"/>
            <w:numPr>
              <w:ilvl w:val="1"/>
              <w:numId w:val="2"/>
            </w:numPr>
            <w:tabs>
              <w:tab w:pos="1836" w:val="left" w:leader="none"/>
              <w:tab w:pos="9125" w:val="left" w:leader="dot"/>
            </w:tabs>
            <w:spacing w:line="240" w:lineRule="auto" w:before="5" w:after="0"/>
            <w:ind w:left="1835" w:right="0" w:hanging="318"/>
            <w:jc w:val="left"/>
            <w:rPr>
              <w:rFonts w:ascii="Calibri" w:eastAsia="Calibri"/>
            </w:rPr>
          </w:pPr>
          <w:hyperlink w:history="true" w:anchor="_bookmark8">
            <w:r>
              <w:rPr>
                <w:spacing w:val="-3"/>
              </w:rPr>
              <w:t>投</w:t>
            </w:r>
            <w:r>
              <w:rPr/>
              <w:t>标</w:t>
            </w:r>
            <w:r>
              <w:rPr>
                <w:spacing w:val="-3"/>
              </w:rPr>
              <w:t>人</w:t>
            </w:r>
            <w:r>
              <w:rPr/>
              <w:t>资</w:t>
            </w:r>
            <w:r>
              <w:rPr>
                <w:spacing w:val="-3"/>
              </w:rPr>
              <w:t>格</w:t>
            </w:r>
            <w:r>
              <w:rPr/>
              <w:t>要求</w:t>
              <w:tab/>
            </w:r>
            <w:r>
              <w:rPr>
                <w:rFonts w:ascii="Calibri" w:eastAsia="Calibri"/>
              </w:rPr>
              <w:t>29</w:t>
            </w:r>
          </w:hyperlink>
        </w:p>
        <w:p>
          <w:pPr>
            <w:pStyle w:val="TOC3"/>
            <w:numPr>
              <w:ilvl w:val="1"/>
              <w:numId w:val="2"/>
            </w:numPr>
            <w:tabs>
              <w:tab w:pos="1836" w:val="left" w:leader="none"/>
              <w:tab w:pos="9125" w:val="left" w:leader="dot"/>
            </w:tabs>
            <w:spacing w:line="240" w:lineRule="auto" w:before="3" w:after="0"/>
            <w:ind w:left="1835" w:right="0" w:hanging="318"/>
            <w:jc w:val="left"/>
            <w:rPr>
              <w:rFonts w:ascii="Calibri" w:eastAsia="Calibri"/>
            </w:rPr>
          </w:pPr>
          <w:hyperlink w:history="true" w:anchor="_bookmark9">
            <w:r>
              <w:rPr>
                <w:spacing w:val="-3"/>
              </w:rPr>
              <w:t>费</w:t>
            </w:r>
            <w:r>
              <w:rPr/>
              <w:t>用</w:t>
            </w:r>
            <w:r>
              <w:rPr>
                <w:spacing w:val="-3"/>
              </w:rPr>
              <w:t>承</w:t>
            </w:r>
            <w:r>
              <w:rPr/>
              <w:t>担</w:t>
              <w:tab/>
            </w:r>
            <w:r>
              <w:rPr>
                <w:rFonts w:ascii="Calibri" w:eastAsia="Calibri"/>
              </w:rPr>
              <w:t>30</w:t>
            </w:r>
          </w:hyperlink>
        </w:p>
        <w:p>
          <w:pPr>
            <w:pStyle w:val="TOC3"/>
            <w:tabs>
              <w:tab w:pos="9125" w:val="left" w:leader="dot"/>
            </w:tabs>
            <w:spacing w:before="4"/>
            <w:ind w:left="1518" w:firstLine="0"/>
            <w:rPr>
              <w:rFonts w:ascii="Calibri" w:eastAsia="Calibri"/>
            </w:rPr>
          </w:pPr>
          <w:hyperlink w:history="true" w:anchor="_bookmark10">
            <w:r>
              <w:rPr/>
              <w:t>1.6</w:t>
            </w:r>
            <w:r>
              <w:rPr>
                <w:spacing w:val="2"/>
              </w:rPr>
              <w:t> </w:t>
            </w:r>
            <w:r>
              <w:rPr>
                <w:spacing w:val="-3"/>
              </w:rPr>
              <w:t>保密</w:t>
              <w:tab/>
            </w:r>
            <w:r>
              <w:rPr>
                <w:rFonts w:ascii="Calibri" w:eastAsia="Calibri"/>
              </w:rPr>
              <w:t>30</w:t>
            </w:r>
          </w:hyperlink>
        </w:p>
        <w:p>
          <w:pPr>
            <w:pStyle w:val="TOC3"/>
            <w:numPr>
              <w:ilvl w:val="1"/>
              <w:numId w:val="3"/>
            </w:numPr>
            <w:tabs>
              <w:tab w:pos="1836" w:val="left" w:leader="none"/>
              <w:tab w:pos="9125" w:val="left" w:leader="dot"/>
            </w:tabs>
            <w:spacing w:line="240" w:lineRule="auto" w:before="2" w:after="0"/>
            <w:ind w:left="1835" w:right="0" w:hanging="318"/>
            <w:jc w:val="left"/>
            <w:rPr>
              <w:rFonts w:ascii="Calibri" w:eastAsia="Calibri"/>
            </w:rPr>
          </w:pPr>
          <w:hyperlink w:history="true" w:anchor="_bookmark11">
            <w:r>
              <w:rPr>
                <w:spacing w:val="-3"/>
              </w:rPr>
              <w:t>语</w:t>
            </w:r>
            <w:r>
              <w:rPr/>
              <w:t>言</w:t>
            </w:r>
            <w:r>
              <w:rPr>
                <w:spacing w:val="-3"/>
              </w:rPr>
              <w:t>文</w:t>
            </w:r>
            <w:r>
              <w:rPr/>
              <w:t>字</w:t>
              <w:tab/>
            </w:r>
            <w:r>
              <w:rPr>
                <w:rFonts w:ascii="Calibri" w:eastAsia="Calibri"/>
              </w:rPr>
              <w:t>31</w:t>
            </w:r>
          </w:hyperlink>
        </w:p>
        <w:p>
          <w:pPr>
            <w:pStyle w:val="TOC3"/>
            <w:numPr>
              <w:ilvl w:val="1"/>
              <w:numId w:val="3"/>
            </w:numPr>
            <w:tabs>
              <w:tab w:pos="1836" w:val="left" w:leader="none"/>
              <w:tab w:pos="9125" w:val="left" w:leader="dot"/>
            </w:tabs>
            <w:spacing w:line="240" w:lineRule="auto" w:before="2" w:after="0"/>
            <w:ind w:left="1835" w:right="0" w:hanging="318"/>
            <w:jc w:val="left"/>
            <w:rPr>
              <w:rFonts w:ascii="Calibri" w:eastAsia="Calibri"/>
            </w:rPr>
          </w:pPr>
          <w:hyperlink w:history="true" w:anchor="_bookmark12">
            <w:r>
              <w:rPr>
                <w:spacing w:val="-3"/>
              </w:rPr>
              <w:t>计</w:t>
            </w:r>
            <w:r>
              <w:rPr/>
              <w:t>量</w:t>
            </w:r>
            <w:r>
              <w:rPr>
                <w:spacing w:val="-3"/>
              </w:rPr>
              <w:t>单</w:t>
            </w:r>
            <w:r>
              <w:rPr/>
              <w:t>位</w:t>
              <w:tab/>
            </w:r>
            <w:r>
              <w:rPr>
                <w:rFonts w:ascii="Calibri" w:eastAsia="Calibri"/>
              </w:rPr>
              <w:t>31</w:t>
            </w:r>
          </w:hyperlink>
        </w:p>
        <w:p>
          <w:pPr>
            <w:pStyle w:val="TOC3"/>
            <w:numPr>
              <w:ilvl w:val="1"/>
              <w:numId w:val="3"/>
            </w:numPr>
            <w:tabs>
              <w:tab w:pos="1836" w:val="left" w:leader="none"/>
              <w:tab w:pos="9125" w:val="left" w:leader="dot"/>
            </w:tabs>
            <w:spacing w:line="240" w:lineRule="auto" w:before="5" w:after="0"/>
            <w:ind w:left="1835" w:right="0" w:hanging="318"/>
            <w:jc w:val="left"/>
            <w:rPr>
              <w:rFonts w:ascii="Calibri" w:eastAsia="Calibri"/>
            </w:rPr>
          </w:pPr>
          <w:hyperlink w:history="true" w:anchor="_bookmark13">
            <w:r>
              <w:rPr>
                <w:spacing w:val="-3"/>
              </w:rPr>
              <w:t>踏</w:t>
            </w:r>
            <w:r>
              <w:rPr/>
              <w:t>勘</w:t>
            </w:r>
            <w:r>
              <w:rPr>
                <w:spacing w:val="-3"/>
              </w:rPr>
              <w:t>现</w:t>
            </w:r>
            <w:r>
              <w:rPr/>
              <w:t>场</w:t>
              <w:tab/>
            </w:r>
            <w:r>
              <w:rPr>
                <w:rFonts w:ascii="Calibri" w:eastAsia="Calibri"/>
              </w:rPr>
              <w:t>31</w:t>
            </w:r>
          </w:hyperlink>
        </w:p>
        <w:p>
          <w:pPr>
            <w:pStyle w:val="TOC3"/>
            <w:numPr>
              <w:ilvl w:val="1"/>
              <w:numId w:val="3"/>
            </w:numPr>
            <w:tabs>
              <w:tab w:pos="1942" w:val="left" w:leader="none"/>
              <w:tab w:pos="9125" w:val="left" w:leader="dot"/>
            </w:tabs>
            <w:spacing w:line="240" w:lineRule="auto" w:before="2" w:after="0"/>
            <w:ind w:left="1941" w:right="0" w:hanging="424"/>
            <w:jc w:val="left"/>
            <w:rPr>
              <w:rFonts w:ascii="Calibri" w:eastAsia="Calibri"/>
            </w:rPr>
          </w:pPr>
          <w:hyperlink w:history="true" w:anchor="_bookmark14">
            <w:r>
              <w:rPr/>
              <w:t>投</w:t>
            </w:r>
            <w:r>
              <w:rPr>
                <w:spacing w:val="-3"/>
              </w:rPr>
              <w:t>标</w:t>
            </w:r>
            <w:r>
              <w:rPr/>
              <w:t>预</w:t>
            </w:r>
            <w:r>
              <w:rPr>
                <w:spacing w:val="-3"/>
              </w:rPr>
              <w:t>备</w:t>
            </w:r>
            <w:r>
              <w:rPr/>
              <w:t>会</w:t>
              <w:tab/>
            </w:r>
            <w:r>
              <w:rPr>
                <w:rFonts w:ascii="Calibri" w:eastAsia="Calibri"/>
              </w:rPr>
              <w:t>31</w:t>
            </w:r>
          </w:hyperlink>
        </w:p>
        <w:p>
          <w:pPr>
            <w:pStyle w:val="TOC3"/>
            <w:tabs>
              <w:tab w:pos="9125" w:val="left" w:leader="dot"/>
            </w:tabs>
            <w:spacing w:before="5"/>
            <w:ind w:left="1518" w:firstLine="0"/>
            <w:rPr>
              <w:rFonts w:ascii="Calibri" w:eastAsia="Calibri"/>
            </w:rPr>
          </w:pPr>
          <w:hyperlink w:history="true" w:anchor="_bookmark15">
            <w:r>
              <w:rPr/>
              <w:t>1.11</w:t>
            </w:r>
            <w:r>
              <w:rPr>
                <w:spacing w:val="-1"/>
              </w:rPr>
              <w:t> </w:t>
            </w:r>
            <w:r>
              <w:rPr/>
              <w:t>分包</w:t>
              <w:tab/>
            </w:r>
            <w:r>
              <w:rPr>
                <w:rFonts w:ascii="Calibri" w:eastAsia="Calibri"/>
              </w:rPr>
              <w:t>31</w:t>
            </w:r>
          </w:hyperlink>
        </w:p>
        <w:p>
          <w:pPr>
            <w:pStyle w:val="TOC3"/>
            <w:tabs>
              <w:tab w:pos="9125" w:val="left" w:leader="dot"/>
            </w:tabs>
            <w:ind w:left="1518" w:firstLine="0"/>
            <w:rPr>
              <w:rFonts w:ascii="Calibri" w:eastAsia="Calibri"/>
            </w:rPr>
          </w:pPr>
          <w:hyperlink w:history="true" w:anchor="_bookmark16">
            <w:r>
              <w:rPr/>
              <w:t>1.12</w:t>
            </w:r>
            <w:r>
              <w:rPr>
                <w:spacing w:val="-1"/>
              </w:rPr>
              <w:t> </w:t>
            </w:r>
            <w:r>
              <w:rPr/>
              <w:t>偏离</w:t>
              <w:tab/>
            </w:r>
            <w:r>
              <w:rPr>
                <w:rFonts w:ascii="Calibri" w:eastAsia="Calibri"/>
              </w:rPr>
              <w:t>31</w:t>
            </w:r>
          </w:hyperlink>
        </w:p>
        <w:p>
          <w:pPr>
            <w:pStyle w:val="TOC1"/>
            <w:tabs>
              <w:tab w:pos="8027" w:val="left" w:leader="dot"/>
            </w:tabs>
            <w:spacing w:before="4"/>
            <w:rPr>
              <w:rFonts w:ascii="Calibri" w:eastAsia="Calibri"/>
            </w:rPr>
          </w:pPr>
          <w:hyperlink w:history="true" w:anchor="_bookmark17">
            <w:r>
              <w:rPr/>
              <w:t>2</w:t>
            </w:r>
            <w:r>
              <w:rPr>
                <w:spacing w:val="2"/>
              </w:rPr>
              <w:t> </w:t>
            </w:r>
            <w:r>
              <w:rPr/>
              <w:t>招</w:t>
            </w:r>
            <w:r>
              <w:rPr>
                <w:spacing w:val="-3"/>
              </w:rPr>
              <w:t>标</w:t>
            </w:r>
            <w:r>
              <w:rPr/>
              <w:t>文件</w:t>
              <w:tab/>
            </w:r>
            <w:r>
              <w:rPr>
                <w:rFonts w:ascii="Calibri" w:eastAsia="Calibri"/>
                <w:spacing w:val="-1"/>
              </w:rPr>
              <w:t>31</w:t>
            </w:r>
          </w:hyperlink>
        </w:p>
        <w:p>
          <w:pPr>
            <w:pStyle w:val="TOC1"/>
            <w:numPr>
              <w:ilvl w:val="1"/>
              <w:numId w:val="4"/>
            </w:numPr>
            <w:tabs>
              <w:tab w:pos="318" w:val="left" w:leader="none"/>
              <w:tab w:pos="7607" w:val="left" w:leader="dot"/>
            </w:tabs>
            <w:spacing w:line="240" w:lineRule="auto" w:before="3" w:after="0"/>
            <w:ind w:left="1835" w:right="1163" w:hanging="1836"/>
            <w:jc w:val="right"/>
            <w:rPr>
              <w:rFonts w:ascii="Calibri" w:eastAsia="Calibri"/>
            </w:rPr>
          </w:pPr>
          <w:hyperlink w:history="true" w:anchor="_bookmark18">
            <w:r>
              <w:rPr>
                <w:spacing w:val="-3"/>
              </w:rPr>
              <w:t>招</w:t>
            </w:r>
            <w:r>
              <w:rPr/>
              <w:t>标</w:t>
            </w:r>
            <w:r>
              <w:rPr>
                <w:spacing w:val="-3"/>
              </w:rPr>
              <w:t>文</w:t>
            </w:r>
            <w:r>
              <w:rPr/>
              <w:t>件</w:t>
            </w:r>
            <w:r>
              <w:rPr>
                <w:spacing w:val="-3"/>
              </w:rPr>
              <w:t>的</w:t>
            </w:r>
            <w:r>
              <w:rPr/>
              <w:t>组成</w:t>
              <w:tab/>
            </w:r>
            <w:r>
              <w:rPr>
                <w:rFonts w:ascii="Calibri" w:eastAsia="Calibri"/>
                <w:spacing w:val="-1"/>
              </w:rPr>
              <w:t>31</w:t>
            </w:r>
          </w:hyperlink>
        </w:p>
        <w:p>
          <w:pPr>
            <w:pStyle w:val="TOC1"/>
            <w:numPr>
              <w:ilvl w:val="1"/>
              <w:numId w:val="4"/>
            </w:numPr>
            <w:tabs>
              <w:tab w:pos="318" w:val="left" w:leader="none"/>
              <w:tab w:pos="7607" w:val="left" w:leader="dot"/>
            </w:tabs>
            <w:spacing w:line="240" w:lineRule="auto" w:before="4" w:after="0"/>
            <w:ind w:left="1835" w:right="1163" w:hanging="1836"/>
            <w:jc w:val="right"/>
            <w:rPr>
              <w:rFonts w:ascii="Calibri" w:eastAsia="Calibri"/>
            </w:rPr>
          </w:pPr>
          <w:hyperlink w:history="true" w:anchor="_bookmark19">
            <w:r>
              <w:rPr>
                <w:spacing w:val="-3"/>
              </w:rPr>
              <w:t>招</w:t>
            </w:r>
            <w:r>
              <w:rPr/>
              <w:t>标</w:t>
            </w:r>
            <w:r>
              <w:rPr>
                <w:spacing w:val="-3"/>
              </w:rPr>
              <w:t>文</w:t>
            </w:r>
            <w:r>
              <w:rPr/>
              <w:t>件</w:t>
            </w:r>
            <w:r>
              <w:rPr>
                <w:spacing w:val="-3"/>
              </w:rPr>
              <w:t>的</w:t>
            </w:r>
            <w:r>
              <w:rPr/>
              <w:t>澄清</w:t>
              <w:tab/>
            </w:r>
            <w:r>
              <w:rPr>
                <w:rFonts w:ascii="Calibri" w:eastAsia="Calibri"/>
                <w:spacing w:val="-1"/>
              </w:rPr>
              <w:t>32</w:t>
            </w:r>
          </w:hyperlink>
        </w:p>
        <w:p>
          <w:pPr>
            <w:pStyle w:val="TOC1"/>
            <w:numPr>
              <w:ilvl w:val="1"/>
              <w:numId w:val="4"/>
            </w:numPr>
            <w:tabs>
              <w:tab w:pos="318" w:val="left" w:leader="none"/>
              <w:tab w:pos="7607" w:val="left" w:leader="dot"/>
            </w:tabs>
            <w:spacing w:line="240" w:lineRule="auto" w:before="2" w:after="0"/>
            <w:ind w:left="1835" w:right="1163" w:hanging="1836"/>
            <w:jc w:val="right"/>
            <w:rPr>
              <w:rFonts w:ascii="Calibri" w:eastAsia="Calibri"/>
            </w:rPr>
          </w:pPr>
          <w:hyperlink w:history="true" w:anchor="_bookmark20">
            <w:r>
              <w:rPr>
                <w:spacing w:val="-3"/>
              </w:rPr>
              <w:t>招</w:t>
            </w:r>
            <w:r>
              <w:rPr/>
              <w:t>标</w:t>
            </w:r>
            <w:r>
              <w:rPr>
                <w:spacing w:val="-3"/>
              </w:rPr>
              <w:t>文</w:t>
            </w:r>
            <w:r>
              <w:rPr/>
              <w:t>件</w:t>
            </w:r>
            <w:r>
              <w:rPr>
                <w:spacing w:val="-3"/>
              </w:rPr>
              <w:t>的</w:t>
            </w:r>
            <w:r>
              <w:rPr/>
              <w:t>修改</w:t>
              <w:tab/>
            </w:r>
            <w:r>
              <w:rPr>
                <w:rFonts w:ascii="Calibri" w:eastAsia="Calibri"/>
                <w:spacing w:val="-1"/>
              </w:rPr>
              <w:t>32</w:t>
            </w:r>
          </w:hyperlink>
        </w:p>
        <w:p>
          <w:pPr>
            <w:pStyle w:val="TOC1"/>
            <w:tabs>
              <w:tab w:pos="8027" w:val="left" w:leader="dot"/>
            </w:tabs>
            <w:spacing w:before="5"/>
            <w:rPr>
              <w:rFonts w:ascii="Calibri" w:eastAsia="Calibri"/>
            </w:rPr>
          </w:pPr>
          <w:hyperlink w:history="true" w:anchor="_bookmark21">
            <w:r>
              <w:rPr/>
              <w:t>3</w:t>
            </w:r>
            <w:r>
              <w:rPr>
                <w:spacing w:val="2"/>
              </w:rPr>
              <w:t> </w:t>
            </w:r>
            <w:r>
              <w:rPr/>
              <w:t>投</w:t>
            </w:r>
            <w:r>
              <w:rPr>
                <w:spacing w:val="-3"/>
              </w:rPr>
              <w:t>标</w:t>
            </w:r>
            <w:r>
              <w:rPr/>
              <w:t>文件</w:t>
              <w:tab/>
            </w:r>
            <w:r>
              <w:rPr>
                <w:rFonts w:ascii="Calibri" w:eastAsia="Calibri"/>
                <w:spacing w:val="-1"/>
              </w:rPr>
              <w:t>32</w:t>
            </w:r>
          </w:hyperlink>
        </w:p>
        <w:p>
          <w:pPr>
            <w:pStyle w:val="TOC1"/>
            <w:numPr>
              <w:ilvl w:val="1"/>
              <w:numId w:val="5"/>
            </w:numPr>
            <w:tabs>
              <w:tab w:pos="318" w:val="left" w:leader="none"/>
              <w:tab w:pos="7607" w:val="left" w:leader="dot"/>
            </w:tabs>
            <w:spacing w:line="240" w:lineRule="auto" w:before="2" w:after="0"/>
            <w:ind w:left="1835" w:right="1163" w:hanging="1836"/>
            <w:jc w:val="right"/>
            <w:rPr>
              <w:rFonts w:ascii="Calibri" w:eastAsia="Calibri"/>
            </w:rPr>
          </w:pPr>
          <w:hyperlink w:history="true" w:anchor="_bookmark22">
            <w:r>
              <w:rPr>
                <w:spacing w:val="-3"/>
              </w:rPr>
              <w:t>投</w:t>
            </w:r>
            <w:r>
              <w:rPr/>
              <w:t>标</w:t>
            </w:r>
            <w:r>
              <w:rPr>
                <w:spacing w:val="-3"/>
              </w:rPr>
              <w:t>文</w:t>
            </w:r>
            <w:r>
              <w:rPr/>
              <w:t>件</w:t>
            </w:r>
            <w:r>
              <w:rPr>
                <w:spacing w:val="-3"/>
              </w:rPr>
              <w:t>的</w:t>
            </w:r>
            <w:r>
              <w:rPr/>
              <w:t>组成</w:t>
              <w:tab/>
            </w:r>
            <w:r>
              <w:rPr>
                <w:rFonts w:ascii="Calibri" w:eastAsia="Calibri"/>
                <w:spacing w:val="-1"/>
              </w:rPr>
              <w:t>32</w:t>
            </w:r>
          </w:hyperlink>
        </w:p>
        <w:p>
          <w:pPr>
            <w:pStyle w:val="TOC1"/>
            <w:numPr>
              <w:ilvl w:val="1"/>
              <w:numId w:val="5"/>
            </w:numPr>
            <w:tabs>
              <w:tab w:pos="318" w:val="left" w:leader="none"/>
              <w:tab w:pos="7607" w:val="left" w:leader="dot"/>
            </w:tabs>
            <w:spacing w:line="240" w:lineRule="auto" w:before="5" w:after="0"/>
            <w:ind w:left="1835" w:right="1163" w:hanging="1836"/>
            <w:jc w:val="right"/>
            <w:rPr>
              <w:rFonts w:ascii="Calibri" w:eastAsia="Calibri"/>
            </w:rPr>
          </w:pPr>
          <w:hyperlink w:history="true" w:anchor="_bookmark23">
            <w:r>
              <w:rPr>
                <w:spacing w:val="-3"/>
              </w:rPr>
              <w:t>投</w:t>
            </w:r>
            <w:r>
              <w:rPr/>
              <w:t>标</w:t>
            </w:r>
            <w:r>
              <w:rPr>
                <w:spacing w:val="-3"/>
              </w:rPr>
              <w:t>报</w:t>
            </w:r>
            <w:r>
              <w:rPr/>
              <w:t>价</w:t>
              <w:tab/>
            </w:r>
            <w:r>
              <w:rPr>
                <w:rFonts w:ascii="Calibri" w:eastAsia="Calibri"/>
                <w:spacing w:val="-1"/>
              </w:rPr>
              <w:t>33</w:t>
            </w:r>
          </w:hyperlink>
        </w:p>
        <w:p>
          <w:pPr>
            <w:pStyle w:val="TOC1"/>
            <w:numPr>
              <w:ilvl w:val="1"/>
              <w:numId w:val="5"/>
            </w:numPr>
            <w:tabs>
              <w:tab w:pos="318" w:val="left" w:leader="none"/>
              <w:tab w:pos="7607" w:val="left" w:leader="dot"/>
            </w:tabs>
            <w:spacing w:line="240" w:lineRule="auto" w:before="2" w:after="0"/>
            <w:ind w:left="1835" w:right="1163" w:hanging="1836"/>
            <w:jc w:val="right"/>
            <w:rPr>
              <w:rFonts w:ascii="Calibri" w:eastAsia="Calibri"/>
            </w:rPr>
          </w:pPr>
          <w:hyperlink w:history="true" w:anchor="_bookmark24">
            <w:r>
              <w:rPr>
                <w:spacing w:val="-3"/>
              </w:rPr>
              <w:t>投</w:t>
            </w:r>
            <w:r>
              <w:rPr/>
              <w:t>标</w:t>
            </w:r>
            <w:r>
              <w:rPr>
                <w:spacing w:val="-3"/>
              </w:rPr>
              <w:t>有</w:t>
            </w:r>
            <w:r>
              <w:rPr/>
              <w:t>效期</w:t>
              <w:tab/>
            </w:r>
            <w:r>
              <w:rPr>
                <w:rFonts w:ascii="Calibri" w:eastAsia="Calibri"/>
                <w:spacing w:val="-1"/>
              </w:rPr>
              <w:t>33</w:t>
            </w:r>
          </w:hyperlink>
        </w:p>
        <w:p>
          <w:pPr>
            <w:pStyle w:val="TOC1"/>
            <w:numPr>
              <w:ilvl w:val="1"/>
              <w:numId w:val="5"/>
            </w:numPr>
            <w:tabs>
              <w:tab w:pos="318" w:val="left" w:leader="none"/>
              <w:tab w:pos="7607" w:val="left" w:leader="dot"/>
            </w:tabs>
            <w:spacing w:line="240" w:lineRule="auto" w:before="4" w:after="0"/>
            <w:ind w:left="1835" w:right="1163" w:hanging="1836"/>
            <w:jc w:val="right"/>
            <w:rPr>
              <w:rFonts w:ascii="Calibri" w:eastAsia="Calibri"/>
            </w:rPr>
          </w:pPr>
          <w:hyperlink w:history="true" w:anchor="_bookmark25">
            <w:r>
              <w:rPr>
                <w:spacing w:val="-3"/>
              </w:rPr>
              <w:t>投</w:t>
            </w:r>
            <w:r>
              <w:rPr/>
              <w:t>标</w:t>
            </w:r>
            <w:r>
              <w:rPr>
                <w:spacing w:val="-3"/>
              </w:rPr>
              <w:t>保</w:t>
            </w:r>
            <w:r>
              <w:rPr/>
              <w:t>证金</w:t>
              <w:tab/>
            </w:r>
            <w:r>
              <w:rPr>
                <w:rFonts w:ascii="Calibri" w:eastAsia="Calibri"/>
                <w:spacing w:val="-1"/>
              </w:rPr>
              <w:t>33</w:t>
            </w:r>
          </w:hyperlink>
        </w:p>
        <w:p>
          <w:pPr>
            <w:pStyle w:val="TOC1"/>
            <w:numPr>
              <w:ilvl w:val="1"/>
              <w:numId w:val="5"/>
            </w:numPr>
            <w:tabs>
              <w:tab w:pos="318" w:val="left" w:leader="none"/>
              <w:tab w:pos="7607" w:val="left" w:leader="dot"/>
            </w:tabs>
            <w:spacing w:line="240" w:lineRule="auto" w:before="3" w:after="0"/>
            <w:ind w:left="1835" w:right="1163" w:hanging="1836"/>
            <w:jc w:val="right"/>
            <w:rPr>
              <w:rFonts w:ascii="Calibri" w:eastAsia="Calibri"/>
            </w:rPr>
          </w:pPr>
          <w:hyperlink w:history="true" w:anchor="_bookmark26">
            <w:r>
              <w:rPr>
                <w:spacing w:val="-3"/>
              </w:rPr>
              <w:t>备</w:t>
            </w:r>
            <w:r>
              <w:rPr/>
              <w:t>选</w:t>
            </w:r>
            <w:r>
              <w:rPr>
                <w:spacing w:val="-3"/>
              </w:rPr>
              <w:t>投</w:t>
            </w:r>
            <w:r>
              <w:rPr/>
              <w:t>标</w:t>
            </w:r>
            <w:r>
              <w:rPr>
                <w:spacing w:val="-3"/>
              </w:rPr>
              <w:t>方</w:t>
            </w:r>
            <w:r>
              <w:rPr/>
              <w:t>案</w:t>
              <w:tab/>
            </w:r>
            <w:r>
              <w:rPr>
                <w:rFonts w:ascii="Calibri" w:eastAsia="Calibri"/>
                <w:spacing w:val="-1"/>
              </w:rPr>
              <w:t>35</w:t>
            </w:r>
          </w:hyperlink>
        </w:p>
        <w:p>
          <w:pPr>
            <w:pStyle w:val="TOC1"/>
            <w:numPr>
              <w:ilvl w:val="1"/>
              <w:numId w:val="5"/>
            </w:numPr>
            <w:tabs>
              <w:tab w:pos="318" w:val="left" w:leader="none"/>
              <w:tab w:pos="7607" w:val="left" w:leader="dot"/>
            </w:tabs>
            <w:spacing w:line="240" w:lineRule="auto" w:before="4" w:after="0"/>
            <w:ind w:left="1835" w:right="1163" w:hanging="1836"/>
            <w:jc w:val="right"/>
            <w:rPr>
              <w:rFonts w:ascii="Calibri" w:eastAsia="Calibri"/>
            </w:rPr>
          </w:pPr>
          <w:hyperlink w:history="true" w:anchor="_bookmark27">
            <w:r>
              <w:rPr>
                <w:spacing w:val="-3"/>
              </w:rPr>
              <w:t>投</w:t>
            </w:r>
            <w:r>
              <w:rPr/>
              <w:t>标</w:t>
            </w:r>
            <w:r>
              <w:rPr>
                <w:spacing w:val="-3"/>
              </w:rPr>
              <w:t>文</w:t>
            </w:r>
            <w:r>
              <w:rPr/>
              <w:t>件</w:t>
            </w:r>
            <w:r>
              <w:rPr>
                <w:spacing w:val="-3"/>
              </w:rPr>
              <w:t>的</w:t>
            </w:r>
            <w:r>
              <w:rPr/>
              <w:t>编制</w:t>
              <w:tab/>
            </w:r>
            <w:r>
              <w:rPr>
                <w:rFonts w:ascii="Calibri" w:eastAsia="Calibri"/>
                <w:spacing w:val="-1"/>
              </w:rPr>
              <w:t>35</w:t>
            </w:r>
          </w:hyperlink>
        </w:p>
        <w:p>
          <w:pPr>
            <w:pStyle w:val="TOC1"/>
            <w:tabs>
              <w:tab w:pos="8027" w:val="left" w:leader="dot"/>
            </w:tabs>
            <w:rPr>
              <w:rFonts w:ascii="Calibri" w:eastAsia="Calibri"/>
            </w:rPr>
          </w:pPr>
          <w:hyperlink w:history="true" w:anchor="_bookmark28">
            <w:r>
              <w:rPr/>
              <w:t>4</w:t>
            </w:r>
            <w:r>
              <w:rPr>
                <w:spacing w:val="1"/>
              </w:rPr>
              <w:t> </w:t>
            </w:r>
            <w:r>
              <w:rPr/>
              <w:t>投标</w:t>
              <w:tab/>
            </w:r>
            <w:r>
              <w:rPr>
                <w:rFonts w:ascii="Calibri" w:eastAsia="Calibri"/>
                <w:spacing w:val="-1"/>
              </w:rPr>
              <w:t>35</w:t>
            </w:r>
          </w:hyperlink>
        </w:p>
        <w:p>
          <w:pPr>
            <w:pStyle w:val="TOC3"/>
            <w:numPr>
              <w:ilvl w:val="1"/>
              <w:numId w:val="6"/>
            </w:numPr>
            <w:tabs>
              <w:tab w:pos="1888" w:val="left" w:leader="none"/>
              <w:tab w:pos="9125" w:val="left" w:leader="dot"/>
            </w:tabs>
            <w:spacing w:line="240" w:lineRule="auto" w:before="5" w:after="0"/>
            <w:ind w:left="1887" w:right="0" w:hanging="370"/>
            <w:jc w:val="left"/>
            <w:rPr>
              <w:rFonts w:ascii="Calibri" w:eastAsia="Calibri"/>
            </w:rPr>
          </w:pPr>
          <w:hyperlink w:history="true" w:anchor="_bookmark29">
            <w:r>
              <w:rPr>
                <w:spacing w:val="-3"/>
              </w:rPr>
              <w:t>投</w:t>
            </w:r>
            <w:r>
              <w:rPr/>
              <w:t>标</w:t>
            </w:r>
            <w:r>
              <w:rPr>
                <w:spacing w:val="-3"/>
              </w:rPr>
              <w:t>文</w:t>
            </w:r>
            <w:r>
              <w:rPr/>
              <w:t>件</w:t>
            </w:r>
            <w:r>
              <w:rPr>
                <w:spacing w:val="-3"/>
              </w:rPr>
              <w:t>的</w:t>
            </w:r>
            <w:r>
              <w:rPr/>
              <w:t>加</w:t>
            </w:r>
            <w:r>
              <w:rPr>
                <w:spacing w:val="-3"/>
              </w:rPr>
              <w:t>密</w:t>
            </w:r>
            <w:r>
              <w:rPr/>
              <w:t>和</w:t>
            </w:r>
            <w:r>
              <w:rPr>
                <w:spacing w:val="-3"/>
              </w:rPr>
              <w:t>数</w:t>
            </w:r>
            <w:r>
              <w:rPr/>
              <w:t>字证</w:t>
            </w:r>
            <w:r>
              <w:rPr>
                <w:spacing w:val="-3"/>
              </w:rPr>
              <w:t>书</w:t>
            </w:r>
            <w:r>
              <w:rPr/>
              <w:t>认证</w:t>
              <w:tab/>
            </w:r>
            <w:r>
              <w:rPr>
                <w:rFonts w:ascii="Calibri" w:eastAsia="Calibri"/>
              </w:rPr>
              <w:t>35</w:t>
            </w:r>
          </w:hyperlink>
        </w:p>
        <w:p>
          <w:pPr>
            <w:pStyle w:val="TOC3"/>
            <w:numPr>
              <w:ilvl w:val="1"/>
              <w:numId w:val="6"/>
            </w:numPr>
            <w:tabs>
              <w:tab w:pos="1836" w:val="left" w:leader="none"/>
              <w:tab w:pos="9125" w:val="left" w:leader="dot"/>
            </w:tabs>
            <w:spacing w:line="240" w:lineRule="auto" w:before="2" w:after="0"/>
            <w:ind w:left="1835" w:right="0" w:hanging="318"/>
            <w:jc w:val="left"/>
            <w:rPr>
              <w:rFonts w:ascii="Calibri" w:eastAsia="Calibri"/>
            </w:rPr>
          </w:pPr>
          <w:hyperlink w:history="true" w:anchor="_bookmark30">
            <w:r>
              <w:rPr>
                <w:spacing w:val="-3"/>
              </w:rPr>
              <w:t>未</w:t>
            </w:r>
            <w:r>
              <w:rPr/>
              <w:t>加</w:t>
            </w:r>
            <w:r>
              <w:rPr>
                <w:spacing w:val="-3"/>
              </w:rPr>
              <w:t>密</w:t>
            </w:r>
            <w:r>
              <w:rPr/>
              <w:t>的</w:t>
            </w:r>
            <w:r>
              <w:rPr>
                <w:spacing w:val="-3"/>
              </w:rPr>
              <w:t>电</w:t>
            </w:r>
            <w:r>
              <w:rPr/>
              <w:t>子</w:t>
            </w:r>
            <w:r>
              <w:rPr>
                <w:spacing w:val="-3"/>
              </w:rPr>
              <w:t>投</w:t>
            </w:r>
            <w:r>
              <w:rPr/>
              <w:t>标</w:t>
            </w:r>
            <w:r>
              <w:rPr>
                <w:spacing w:val="-3"/>
              </w:rPr>
              <w:t>文</w:t>
            </w:r>
            <w:r>
              <w:rPr/>
              <w:t>件光</w:t>
            </w:r>
            <w:r>
              <w:rPr>
                <w:spacing w:val="-3"/>
              </w:rPr>
              <w:t>盘</w:t>
            </w:r>
            <w:r>
              <w:rPr/>
              <w:t>的</w:t>
            </w:r>
            <w:r>
              <w:rPr>
                <w:spacing w:val="-3"/>
              </w:rPr>
              <w:t>密</w:t>
            </w:r>
            <w:r>
              <w:rPr/>
              <w:t>封</w:t>
            </w:r>
            <w:r>
              <w:rPr>
                <w:spacing w:val="-3"/>
              </w:rPr>
              <w:t>和</w:t>
            </w:r>
            <w:r>
              <w:rPr/>
              <w:t>标记</w:t>
              <w:tab/>
            </w:r>
            <w:r>
              <w:rPr>
                <w:rFonts w:ascii="Calibri" w:eastAsia="Calibri"/>
              </w:rPr>
              <w:t>35</w:t>
            </w:r>
          </w:hyperlink>
        </w:p>
        <w:p>
          <w:pPr>
            <w:pStyle w:val="TOC3"/>
            <w:numPr>
              <w:ilvl w:val="1"/>
              <w:numId w:val="6"/>
            </w:numPr>
            <w:tabs>
              <w:tab w:pos="1836" w:val="left" w:leader="none"/>
              <w:tab w:pos="9125" w:val="left" w:leader="dot"/>
            </w:tabs>
            <w:spacing w:line="240" w:lineRule="auto" w:before="4" w:after="0"/>
            <w:ind w:left="1835" w:right="0" w:hanging="318"/>
            <w:jc w:val="left"/>
            <w:rPr>
              <w:rFonts w:ascii="Calibri" w:eastAsia="Calibri"/>
            </w:rPr>
          </w:pPr>
          <w:hyperlink w:history="true" w:anchor="_bookmark31">
            <w:r>
              <w:rPr>
                <w:spacing w:val="-3"/>
              </w:rPr>
              <w:t>投</w:t>
            </w:r>
            <w:r>
              <w:rPr/>
              <w:t>标</w:t>
            </w:r>
            <w:r>
              <w:rPr>
                <w:spacing w:val="-3"/>
              </w:rPr>
              <w:t>文</w:t>
            </w:r>
            <w:r>
              <w:rPr/>
              <w:t>件</w:t>
            </w:r>
            <w:r>
              <w:rPr>
                <w:spacing w:val="-3"/>
              </w:rPr>
              <w:t>的</w:t>
            </w:r>
            <w:r>
              <w:rPr/>
              <w:t>递交</w:t>
              <w:tab/>
            </w:r>
            <w:r>
              <w:rPr>
                <w:rFonts w:ascii="Calibri" w:eastAsia="Calibri"/>
              </w:rPr>
              <w:t>36</w:t>
            </w:r>
          </w:hyperlink>
        </w:p>
        <w:p>
          <w:pPr>
            <w:pStyle w:val="TOC3"/>
            <w:numPr>
              <w:ilvl w:val="1"/>
              <w:numId w:val="6"/>
            </w:numPr>
            <w:tabs>
              <w:tab w:pos="1836" w:val="left" w:leader="none"/>
              <w:tab w:pos="9125" w:val="left" w:leader="dot"/>
            </w:tabs>
            <w:spacing w:line="240" w:lineRule="auto" w:before="3" w:after="0"/>
            <w:ind w:left="1835" w:right="0" w:hanging="318"/>
            <w:jc w:val="left"/>
            <w:rPr>
              <w:rFonts w:ascii="Calibri" w:eastAsia="Calibri"/>
            </w:rPr>
          </w:pPr>
          <w:hyperlink w:history="true" w:anchor="_bookmark32">
            <w:r>
              <w:rPr>
                <w:spacing w:val="-3"/>
              </w:rPr>
              <w:t>投</w:t>
            </w:r>
            <w:r>
              <w:rPr/>
              <w:t>标</w:t>
            </w:r>
            <w:r>
              <w:rPr>
                <w:spacing w:val="-3"/>
              </w:rPr>
              <w:t>文</w:t>
            </w:r>
            <w:r>
              <w:rPr/>
              <w:t>件</w:t>
            </w:r>
            <w:r>
              <w:rPr>
                <w:spacing w:val="-3"/>
              </w:rPr>
              <w:t>的</w:t>
            </w:r>
            <w:r>
              <w:rPr/>
              <w:t>修</w:t>
            </w:r>
            <w:r>
              <w:rPr>
                <w:spacing w:val="-3"/>
              </w:rPr>
              <w:t>改</w:t>
            </w:r>
            <w:r>
              <w:rPr/>
              <w:t>与</w:t>
            </w:r>
            <w:r>
              <w:rPr>
                <w:spacing w:val="-3"/>
              </w:rPr>
              <w:t>撤</w:t>
            </w:r>
            <w:r>
              <w:rPr/>
              <w:t>回</w:t>
              <w:tab/>
            </w:r>
            <w:r>
              <w:rPr>
                <w:rFonts w:ascii="Calibri" w:eastAsia="Calibri"/>
              </w:rPr>
              <w:t>36</w:t>
            </w:r>
          </w:hyperlink>
        </w:p>
        <w:p>
          <w:pPr>
            <w:pStyle w:val="TOC1"/>
            <w:tabs>
              <w:tab w:pos="8027" w:val="left" w:leader="dot"/>
            </w:tabs>
            <w:rPr>
              <w:rFonts w:ascii="Calibri" w:eastAsia="Calibri"/>
            </w:rPr>
          </w:pPr>
          <w:hyperlink w:history="true" w:anchor="_bookmark33">
            <w:r>
              <w:rPr/>
              <w:t>5</w:t>
            </w:r>
            <w:r>
              <w:rPr>
                <w:spacing w:val="1"/>
              </w:rPr>
              <w:t> </w:t>
            </w:r>
            <w:r>
              <w:rPr/>
              <w:t>开标</w:t>
              <w:tab/>
            </w:r>
            <w:r>
              <w:rPr>
                <w:rFonts w:ascii="Calibri" w:eastAsia="Calibri"/>
                <w:spacing w:val="-1"/>
              </w:rPr>
              <w:t>36</w:t>
            </w:r>
          </w:hyperlink>
        </w:p>
        <w:p>
          <w:pPr>
            <w:pStyle w:val="TOC1"/>
            <w:numPr>
              <w:ilvl w:val="1"/>
              <w:numId w:val="7"/>
            </w:numPr>
            <w:tabs>
              <w:tab w:pos="318" w:val="left" w:leader="none"/>
              <w:tab w:pos="7607" w:val="left" w:leader="dot"/>
            </w:tabs>
            <w:spacing w:line="240" w:lineRule="auto" w:before="4" w:after="0"/>
            <w:ind w:left="1835" w:right="1163" w:hanging="1836"/>
            <w:jc w:val="right"/>
            <w:rPr>
              <w:rFonts w:ascii="Calibri" w:eastAsia="Calibri"/>
            </w:rPr>
          </w:pPr>
          <w:hyperlink w:history="true" w:anchor="_bookmark34">
            <w:r>
              <w:rPr>
                <w:spacing w:val="-3"/>
              </w:rPr>
              <w:t>开</w:t>
            </w:r>
            <w:r>
              <w:rPr/>
              <w:t>标</w:t>
            </w:r>
            <w:r>
              <w:rPr>
                <w:spacing w:val="-3"/>
              </w:rPr>
              <w:t>时</w:t>
            </w:r>
            <w:r>
              <w:rPr/>
              <w:t>间</w:t>
            </w:r>
            <w:r>
              <w:rPr>
                <w:spacing w:val="-3"/>
              </w:rPr>
              <w:t>和</w:t>
            </w:r>
            <w:r>
              <w:rPr/>
              <w:t>地点</w:t>
              <w:tab/>
            </w:r>
            <w:r>
              <w:rPr>
                <w:rFonts w:ascii="Calibri" w:eastAsia="Calibri"/>
                <w:spacing w:val="-1"/>
              </w:rPr>
              <w:t>36</w:t>
            </w:r>
          </w:hyperlink>
        </w:p>
        <w:p>
          <w:pPr>
            <w:pStyle w:val="TOC1"/>
            <w:numPr>
              <w:ilvl w:val="1"/>
              <w:numId w:val="7"/>
            </w:numPr>
            <w:tabs>
              <w:tab w:pos="318" w:val="left" w:leader="none"/>
              <w:tab w:pos="7607" w:val="left" w:leader="dot"/>
            </w:tabs>
            <w:spacing w:line="240" w:lineRule="auto" w:before="3" w:after="0"/>
            <w:ind w:left="1835" w:right="1163" w:hanging="1836"/>
            <w:jc w:val="right"/>
            <w:rPr>
              <w:rFonts w:ascii="Calibri" w:eastAsia="Calibri"/>
            </w:rPr>
          </w:pPr>
          <w:hyperlink w:history="true" w:anchor="_bookmark35">
            <w:r>
              <w:rPr>
                <w:spacing w:val="-3"/>
              </w:rPr>
              <w:t>开</w:t>
            </w:r>
            <w:r>
              <w:rPr/>
              <w:t>标</w:t>
            </w:r>
            <w:r>
              <w:rPr>
                <w:spacing w:val="-3"/>
              </w:rPr>
              <w:t>程</w:t>
            </w:r>
            <w:r>
              <w:rPr/>
              <w:t>序</w:t>
              <w:tab/>
            </w:r>
            <w:r>
              <w:rPr>
                <w:rFonts w:ascii="Calibri" w:eastAsia="Calibri"/>
                <w:spacing w:val="-1"/>
              </w:rPr>
              <w:t>36</w:t>
            </w:r>
          </w:hyperlink>
        </w:p>
        <w:p>
          <w:pPr>
            <w:pStyle w:val="TOC3"/>
            <w:numPr>
              <w:ilvl w:val="1"/>
              <w:numId w:val="7"/>
            </w:numPr>
            <w:tabs>
              <w:tab w:pos="1888" w:val="left" w:leader="none"/>
              <w:tab w:pos="9129" w:val="left" w:leader="dot"/>
            </w:tabs>
            <w:spacing w:line="240" w:lineRule="auto" w:before="5" w:after="0"/>
            <w:ind w:left="1887" w:right="0" w:hanging="370"/>
            <w:jc w:val="left"/>
            <w:rPr>
              <w:rFonts w:ascii="Calibri" w:eastAsia="Calibri"/>
            </w:rPr>
          </w:pPr>
          <w:hyperlink w:history="true" w:anchor="_bookmark36">
            <w:r>
              <w:rPr>
                <w:spacing w:val="-3"/>
              </w:rPr>
              <w:t>电</w:t>
            </w:r>
            <w:r>
              <w:rPr/>
              <w:t>子</w:t>
            </w:r>
            <w:r>
              <w:rPr>
                <w:spacing w:val="-3"/>
              </w:rPr>
              <w:t>开</w:t>
            </w:r>
            <w:r>
              <w:rPr/>
              <w:t>标</w:t>
            </w:r>
            <w:r>
              <w:rPr>
                <w:spacing w:val="-3"/>
              </w:rPr>
              <w:t>的</w:t>
            </w:r>
            <w:r>
              <w:rPr/>
              <w:t>应</w:t>
            </w:r>
            <w:r>
              <w:rPr>
                <w:spacing w:val="-3"/>
              </w:rPr>
              <w:t>急</w:t>
            </w:r>
            <w:r>
              <w:rPr/>
              <w:t>措施</w:t>
              <w:tab/>
            </w:r>
            <w:r>
              <w:rPr>
                <w:rFonts w:ascii="Calibri" w:eastAsia="Calibri"/>
                <w:spacing w:val="-4"/>
              </w:rPr>
              <w:t>37</w:t>
            </w:r>
          </w:hyperlink>
        </w:p>
        <w:p>
          <w:pPr>
            <w:pStyle w:val="TOC3"/>
            <w:numPr>
              <w:ilvl w:val="1"/>
              <w:numId w:val="7"/>
            </w:numPr>
            <w:tabs>
              <w:tab w:pos="1836" w:val="left" w:leader="none"/>
              <w:tab w:pos="9125" w:val="left" w:leader="dot"/>
            </w:tabs>
            <w:spacing w:line="240" w:lineRule="auto" w:before="2" w:after="0"/>
            <w:ind w:left="1835" w:right="0" w:hanging="318"/>
            <w:jc w:val="left"/>
            <w:rPr>
              <w:rFonts w:ascii="Calibri" w:eastAsia="Calibri"/>
            </w:rPr>
          </w:pPr>
          <w:hyperlink w:history="true" w:anchor="_bookmark37">
            <w:r>
              <w:rPr>
                <w:spacing w:val="-3"/>
              </w:rPr>
              <w:t>不</w:t>
            </w:r>
            <w:r>
              <w:rPr/>
              <w:t>予</w:t>
            </w:r>
            <w:r>
              <w:rPr>
                <w:spacing w:val="-3"/>
              </w:rPr>
              <w:t>开</w:t>
            </w:r>
            <w:r>
              <w:rPr/>
              <w:t>标</w:t>
              <w:tab/>
            </w:r>
            <w:r>
              <w:rPr>
                <w:rFonts w:ascii="Calibri" w:eastAsia="Calibri"/>
              </w:rPr>
              <w:t>38</w:t>
            </w:r>
          </w:hyperlink>
        </w:p>
        <w:p>
          <w:pPr>
            <w:pStyle w:val="TOC3"/>
            <w:numPr>
              <w:ilvl w:val="1"/>
              <w:numId w:val="7"/>
            </w:numPr>
            <w:tabs>
              <w:tab w:pos="1836" w:val="left" w:leader="none"/>
              <w:tab w:pos="9125" w:val="left" w:leader="dot"/>
            </w:tabs>
            <w:spacing w:line="240" w:lineRule="auto" w:before="4" w:after="0"/>
            <w:ind w:left="1835" w:right="0" w:hanging="318"/>
            <w:jc w:val="left"/>
            <w:rPr>
              <w:rFonts w:ascii="Calibri" w:eastAsia="Calibri"/>
            </w:rPr>
          </w:pPr>
          <w:hyperlink w:history="true" w:anchor="_bookmark38">
            <w:r>
              <w:rPr>
                <w:spacing w:val="-3"/>
              </w:rPr>
              <w:t>开</w:t>
            </w:r>
            <w:r>
              <w:rPr/>
              <w:t>标</w:t>
            </w:r>
            <w:r>
              <w:rPr>
                <w:spacing w:val="-3"/>
              </w:rPr>
              <w:t>异</w:t>
            </w:r>
            <w:r>
              <w:rPr/>
              <w:t>议</w:t>
              <w:tab/>
            </w:r>
            <w:r>
              <w:rPr>
                <w:rFonts w:ascii="Calibri" w:eastAsia="Calibri"/>
              </w:rPr>
              <w:t>38</w:t>
            </w:r>
          </w:hyperlink>
        </w:p>
        <w:p>
          <w:pPr>
            <w:pStyle w:val="TOC1"/>
            <w:tabs>
              <w:tab w:pos="8027" w:val="left" w:leader="dot"/>
            </w:tabs>
            <w:rPr>
              <w:rFonts w:ascii="Calibri" w:eastAsia="Calibri"/>
            </w:rPr>
          </w:pPr>
          <w:hyperlink w:history="true" w:anchor="_bookmark39">
            <w:r>
              <w:rPr/>
              <w:t>6</w:t>
            </w:r>
            <w:r>
              <w:rPr>
                <w:spacing w:val="1"/>
              </w:rPr>
              <w:t> </w:t>
            </w:r>
            <w:r>
              <w:rPr/>
              <w:t>评标</w:t>
              <w:tab/>
            </w:r>
            <w:r>
              <w:rPr>
                <w:rFonts w:ascii="Calibri" w:eastAsia="Calibri"/>
                <w:spacing w:val="-1"/>
              </w:rPr>
              <w:t>38</w:t>
            </w:r>
          </w:hyperlink>
        </w:p>
        <w:p>
          <w:pPr>
            <w:pStyle w:val="TOC1"/>
            <w:numPr>
              <w:ilvl w:val="1"/>
              <w:numId w:val="8"/>
            </w:numPr>
            <w:tabs>
              <w:tab w:pos="318" w:val="left" w:leader="none"/>
              <w:tab w:pos="7607" w:val="left" w:leader="dot"/>
            </w:tabs>
            <w:spacing w:line="240" w:lineRule="auto" w:before="5" w:after="0"/>
            <w:ind w:left="1835" w:right="1163" w:hanging="1836"/>
            <w:jc w:val="right"/>
            <w:rPr>
              <w:rFonts w:ascii="Calibri" w:eastAsia="Calibri"/>
            </w:rPr>
          </w:pPr>
          <w:hyperlink w:history="true" w:anchor="_bookmark40">
            <w:r>
              <w:rPr>
                <w:spacing w:val="-3"/>
              </w:rPr>
              <w:t>评</w:t>
            </w:r>
            <w:r>
              <w:rPr/>
              <w:t>标</w:t>
            </w:r>
            <w:r>
              <w:rPr>
                <w:spacing w:val="-3"/>
              </w:rPr>
              <w:t>委</w:t>
            </w:r>
            <w:r>
              <w:rPr/>
              <w:t>员会</w:t>
              <w:tab/>
            </w:r>
            <w:r>
              <w:rPr>
                <w:rFonts w:ascii="Calibri" w:eastAsia="Calibri"/>
                <w:spacing w:val="-1"/>
              </w:rPr>
              <w:t>38</w:t>
            </w:r>
          </w:hyperlink>
        </w:p>
        <w:p>
          <w:pPr>
            <w:pStyle w:val="TOC1"/>
            <w:numPr>
              <w:ilvl w:val="1"/>
              <w:numId w:val="8"/>
            </w:numPr>
            <w:tabs>
              <w:tab w:pos="318" w:val="left" w:leader="none"/>
              <w:tab w:pos="7607" w:val="left" w:leader="dot"/>
            </w:tabs>
            <w:spacing w:line="240" w:lineRule="auto" w:before="2" w:after="0"/>
            <w:ind w:left="1835" w:right="1163" w:hanging="1836"/>
            <w:jc w:val="right"/>
            <w:rPr>
              <w:rFonts w:ascii="Calibri" w:eastAsia="Calibri"/>
            </w:rPr>
          </w:pPr>
          <w:hyperlink w:history="true" w:anchor="_bookmark41">
            <w:r>
              <w:rPr>
                <w:spacing w:val="-3"/>
              </w:rPr>
              <w:t>评</w:t>
            </w:r>
            <w:r>
              <w:rPr/>
              <w:t>标</w:t>
            </w:r>
            <w:r>
              <w:rPr>
                <w:spacing w:val="-3"/>
              </w:rPr>
              <w:t>原</w:t>
            </w:r>
            <w:r>
              <w:rPr/>
              <w:t>则</w:t>
              <w:tab/>
            </w:r>
            <w:r>
              <w:rPr>
                <w:rFonts w:ascii="Calibri" w:eastAsia="Calibri"/>
                <w:spacing w:val="-1"/>
              </w:rPr>
              <w:t>39</w:t>
            </w:r>
          </w:hyperlink>
        </w:p>
        <w:p>
          <w:pPr>
            <w:pStyle w:val="TOC1"/>
            <w:numPr>
              <w:ilvl w:val="1"/>
              <w:numId w:val="8"/>
            </w:numPr>
            <w:tabs>
              <w:tab w:pos="318" w:val="left" w:leader="none"/>
              <w:tab w:pos="7607" w:val="left" w:leader="dot"/>
            </w:tabs>
            <w:spacing w:line="240" w:lineRule="auto" w:before="5" w:after="0"/>
            <w:ind w:left="1835" w:right="1163" w:hanging="1836"/>
            <w:jc w:val="right"/>
            <w:rPr>
              <w:rFonts w:ascii="Calibri" w:eastAsia="Calibri"/>
            </w:rPr>
          </w:pPr>
          <w:hyperlink w:history="true" w:anchor="_bookmark42">
            <w:r>
              <w:rPr>
                <w:spacing w:val="-3"/>
              </w:rPr>
              <w:t>评</w:t>
            </w:r>
            <w:r>
              <w:rPr/>
              <w:t>标</w:t>
            </w:r>
            <w:r>
              <w:rPr>
                <w:spacing w:val="-3"/>
              </w:rPr>
              <w:t>方</w:t>
            </w:r>
            <w:r>
              <w:rPr/>
              <w:t>式</w:t>
              <w:tab/>
            </w:r>
            <w:r>
              <w:rPr>
                <w:rFonts w:ascii="Calibri" w:eastAsia="Calibri"/>
                <w:spacing w:val="-1"/>
              </w:rPr>
              <w:t>39</w:t>
            </w:r>
          </w:hyperlink>
        </w:p>
        <w:p>
          <w:pPr>
            <w:pStyle w:val="TOC1"/>
            <w:numPr>
              <w:ilvl w:val="1"/>
              <w:numId w:val="8"/>
            </w:numPr>
            <w:tabs>
              <w:tab w:pos="318" w:val="left" w:leader="none"/>
              <w:tab w:pos="7607" w:val="left" w:leader="dot"/>
            </w:tabs>
            <w:spacing w:line="240" w:lineRule="auto" w:before="2" w:after="0"/>
            <w:ind w:left="1835" w:right="1163" w:hanging="1836"/>
            <w:jc w:val="right"/>
            <w:rPr>
              <w:rFonts w:ascii="Calibri" w:eastAsia="Calibri"/>
            </w:rPr>
          </w:pPr>
          <w:hyperlink w:history="true" w:anchor="_bookmark43">
            <w:r>
              <w:rPr>
                <w:spacing w:val="-3"/>
              </w:rPr>
              <w:t>移</w:t>
            </w:r>
            <w:r>
              <w:rPr/>
              <w:t>交</w:t>
            </w:r>
            <w:r>
              <w:rPr>
                <w:spacing w:val="-3"/>
              </w:rPr>
              <w:t>评</w:t>
            </w:r>
            <w:r>
              <w:rPr/>
              <w:t>标</w:t>
            </w:r>
            <w:r>
              <w:rPr>
                <w:spacing w:val="-3"/>
              </w:rPr>
              <w:t>资</w:t>
            </w:r>
            <w:r>
              <w:rPr/>
              <w:t>料</w:t>
              <w:tab/>
            </w:r>
            <w:r>
              <w:rPr>
                <w:rFonts w:ascii="Calibri" w:eastAsia="Calibri"/>
                <w:spacing w:val="-1"/>
              </w:rPr>
              <w:t>39</w:t>
            </w:r>
          </w:hyperlink>
        </w:p>
        <w:p>
          <w:pPr>
            <w:pStyle w:val="TOC1"/>
            <w:numPr>
              <w:ilvl w:val="1"/>
              <w:numId w:val="8"/>
            </w:numPr>
            <w:tabs>
              <w:tab w:pos="318" w:val="left" w:leader="none"/>
              <w:tab w:pos="7607" w:val="left" w:leader="dot"/>
            </w:tabs>
            <w:spacing w:line="240" w:lineRule="auto" w:before="4" w:after="116"/>
            <w:ind w:left="1835" w:right="1163" w:hanging="1836"/>
            <w:jc w:val="right"/>
            <w:rPr>
              <w:rFonts w:ascii="Calibri" w:eastAsia="Calibri"/>
            </w:rPr>
          </w:pPr>
          <w:hyperlink w:history="true" w:anchor="_bookmark44">
            <w:r>
              <w:rPr>
                <w:spacing w:val="-3"/>
              </w:rPr>
              <w:t>评</w:t>
            </w:r>
            <w:r>
              <w:rPr/>
              <w:t>标</w:t>
            </w:r>
            <w:r>
              <w:rPr>
                <w:spacing w:val="-3"/>
              </w:rPr>
              <w:t>资</w:t>
            </w:r>
            <w:r>
              <w:rPr/>
              <w:t>料</w:t>
            </w:r>
            <w:r>
              <w:rPr>
                <w:spacing w:val="-3"/>
              </w:rPr>
              <w:t>封</w:t>
            </w:r>
            <w:r>
              <w:rPr/>
              <w:t>存</w:t>
            </w:r>
            <w:r>
              <w:rPr>
                <w:spacing w:val="-3"/>
              </w:rPr>
              <w:t>和</w:t>
            </w:r>
            <w:r>
              <w:rPr/>
              <w:t>启封</w:t>
              <w:tab/>
            </w:r>
            <w:r>
              <w:rPr>
                <w:rFonts w:ascii="Calibri" w:eastAsia="Calibri"/>
                <w:spacing w:val="-1"/>
              </w:rPr>
              <w:t>39</w:t>
            </w:r>
          </w:hyperlink>
        </w:p>
        <w:p>
          <w:pPr>
            <w:pStyle w:val="TOC3"/>
            <w:numPr>
              <w:ilvl w:val="1"/>
              <w:numId w:val="8"/>
            </w:numPr>
            <w:tabs>
              <w:tab w:pos="1836" w:val="left" w:leader="none"/>
              <w:tab w:pos="9125" w:val="left" w:leader="dot"/>
            </w:tabs>
            <w:spacing w:line="240" w:lineRule="auto" w:before="43" w:after="0"/>
            <w:ind w:left="1835" w:right="0" w:hanging="318"/>
            <w:jc w:val="left"/>
            <w:rPr>
              <w:rFonts w:ascii="Calibri" w:eastAsia="Calibri"/>
            </w:rPr>
          </w:pPr>
          <w:hyperlink w:history="true" w:anchor="_bookmark45">
            <w:r>
              <w:rPr>
                <w:spacing w:val="-3"/>
              </w:rPr>
              <w:t>中</w:t>
            </w:r>
            <w:r>
              <w:rPr/>
              <w:t>标</w:t>
            </w:r>
            <w:r>
              <w:rPr>
                <w:spacing w:val="-3"/>
              </w:rPr>
              <w:t>候</w:t>
            </w:r>
            <w:r>
              <w:rPr/>
              <w:t>选</w:t>
            </w:r>
            <w:r>
              <w:rPr>
                <w:spacing w:val="-3"/>
              </w:rPr>
              <w:t>人</w:t>
            </w:r>
            <w:r>
              <w:rPr/>
              <w:t>公示</w:t>
              <w:tab/>
            </w:r>
            <w:r>
              <w:rPr>
                <w:rFonts w:ascii="Calibri" w:eastAsia="Calibri"/>
              </w:rPr>
              <w:t>39</w:t>
            </w:r>
          </w:hyperlink>
        </w:p>
        <w:p>
          <w:pPr>
            <w:pStyle w:val="TOC3"/>
            <w:numPr>
              <w:ilvl w:val="1"/>
              <w:numId w:val="8"/>
            </w:numPr>
            <w:tabs>
              <w:tab w:pos="1888" w:val="left" w:leader="none"/>
              <w:tab w:pos="9125" w:val="left" w:leader="dot"/>
            </w:tabs>
            <w:spacing w:line="240" w:lineRule="auto" w:before="2" w:after="0"/>
            <w:ind w:left="1887" w:right="0" w:hanging="370"/>
            <w:jc w:val="left"/>
            <w:rPr>
              <w:rFonts w:ascii="Calibri" w:eastAsia="Calibri"/>
            </w:rPr>
          </w:pPr>
          <w:hyperlink w:history="true" w:anchor="_bookmark46">
            <w:r>
              <w:rPr>
                <w:spacing w:val="-3"/>
              </w:rPr>
              <w:t>履</w:t>
            </w:r>
            <w:r>
              <w:rPr/>
              <w:t>约</w:t>
            </w:r>
            <w:r>
              <w:rPr>
                <w:spacing w:val="-3"/>
              </w:rPr>
              <w:t>能</w:t>
            </w:r>
            <w:r>
              <w:rPr/>
              <w:t>力</w:t>
            </w:r>
            <w:r>
              <w:rPr>
                <w:spacing w:val="-3"/>
              </w:rPr>
              <w:t>审</w:t>
            </w:r>
            <w:r>
              <w:rPr/>
              <w:t>查</w:t>
              <w:tab/>
            </w:r>
            <w:r>
              <w:rPr>
                <w:rFonts w:ascii="Calibri" w:eastAsia="Calibri"/>
              </w:rPr>
              <w:t>40</w:t>
            </w:r>
          </w:hyperlink>
        </w:p>
        <w:p>
          <w:pPr>
            <w:pStyle w:val="TOC1"/>
            <w:tabs>
              <w:tab w:pos="8027" w:val="left" w:leader="dot"/>
            </w:tabs>
            <w:spacing w:before="5"/>
            <w:rPr>
              <w:rFonts w:ascii="Calibri" w:eastAsia="Calibri"/>
            </w:rPr>
          </w:pPr>
          <w:hyperlink w:history="true" w:anchor="_bookmark47">
            <w:r>
              <w:rPr/>
              <w:t>7</w:t>
            </w:r>
            <w:r>
              <w:rPr>
                <w:spacing w:val="2"/>
              </w:rPr>
              <w:t> </w:t>
            </w:r>
            <w:r>
              <w:rPr/>
              <w:t>合</w:t>
            </w:r>
            <w:r>
              <w:rPr>
                <w:spacing w:val="-3"/>
              </w:rPr>
              <w:t>同</w:t>
            </w:r>
            <w:r>
              <w:rPr/>
              <w:t>授予</w:t>
              <w:tab/>
            </w:r>
            <w:r>
              <w:rPr>
                <w:rFonts w:ascii="Calibri" w:eastAsia="Calibri"/>
                <w:spacing w:val="-1"/>
              </w:rPr>
              <w:t>40</w:t>
            </w:r>
          </w:hyperlink>
        </w:p>
        <w:p>
          <w:pPr>
            <w:pStyle w:val="TOC1"/>
            <w:numPr>
              <w:ilvl w:val="1"/>
              <w:numId w:val="9"/>
            </w:numPr>
            <w:tabs>
              <w:tab w:pos="318" w:val="left" w:leader="none"/>
              <w:tab w:pos="7607" w:val="left" w:leader="dot"/>
            </w:tabs>
            <w:spacing w:line="240" w:lineRule="auto" w:before="2" w:after="0"/>
            <w:ind w:left="1835" w:right="1163" w:hanging="1836"/>
            <w:jc w:val="right"/>
            <w:rPr>
              <w:rFonts w:ascii="Calibri" w:eastAsia="Calibri"/>
            </w:rPr>
          </w:pPr>
          <w:hyperlink w:history="true" w:anchor="_bookmark48">
            <w:r>
              <w:rPr>
                <w:spacing w:val="-3"/>
              </w:rPr>
              <w:t>定</w:t>
            </w:r>
            <w:r>
              <w:rPr/>
              <w:t>标</w:t>
            </w:r>
            <w:r>
              <w:rPr>
                <w:spacing w:val="-3"/>
              </w:rPr>
              <w:t>方</w:t>
            </w:r>
            <w:r>
              <w:rPr/>
              <w:t>式</w:t>
              <w:tab/>
            </w:r>
            <w:r>
              <w:rPr>
                <w:rFonts w:ascii="Calibri" w:eastAsia="Calibri"/>
                <w:spacing w:val="-1"/>
              </w:rPr>
              <w:t>40</w:t>
            </w:r>
          </w:hyperlink>
        </w:p>
        <w:p>
          <w:pPr>
            <w:pStyle w:val="TOC1"/>
            <w:numPr>
              <w:ilvl w:val="1"/>
              <w:numId w:val="9"/>
            </w:numPr>
            <w:tabs>
              <w:tab w:pos="318" w:val="left" w:leader="none"/>
              <w:tab w:pos="7607" w:val="left" w:leader="dot"/>
            </w:tabs>
            <w:spacing w:line="240" w:lineRule="auto" w:before="4" w:after="0"/>
            <w:ind w:left="1835" w:right="1163" w:hanging="1836"/>
            <w:jc w:val="right"/>
            <w:rPr>
              <w:rFonts w:ascii="Calibri" w:eastAsia="Calibri"/>
            </w:rPr>
          </w:pPr>
          <w:hyperlink w:history="true" w:anchor="_bookmark49">
            <w:r>
              <w:rPr>
                <w:spacing w:val="-3"/>
              </w:rPr>
              <w:t>中</w:t>
            </w:r>
            <w:r>
              <w:rPr/>
              <w:t>标</w:t>
            </w:r>
            <w:r>
              <w:rPr>
                <w:spacing w:val="-3"/>
              </w:rPr>
              <w:t>通</w:t>
            </w:r>
            <w:r>
              <w:rPr/>
              <w:t>知</w:t>
            </w:r>
            <w:r>
              <w:rPr>
                <w:spacing w:val="-3"/>
              </w:rPr>
              <w:t>及</w:t>
            </w:r>
            <w:r>
              <w:rPr/>
              <w:t>中</w:t>
            </w:r>
            <w:r>
              <w:rPr>
                <w:spacing w:val="-3"/>
              </w:rPr>
              <w:t>标</w:t>
            </w:r>
            <w:r>
              <w:rPr/>
              <w:t>公告</w:t>
              <w:tab/>
            </w:r>
            <w:r>
              <w:rPr>
                <w:rFonts w:ascii="Calibri" w:eastAsia="Calibri"/>
                <w:spacing w:val="-1"/>
              </w:rPr>
              <w:t>40</w:t>
            </w:r>
          </w:hyperlink>
        </w:p>
        <w:p>
          <w:pPr>
            <w:pStyle w:val="TOC1"/>
            <w:numPr>
              <w:ilvl w:val="1"/>
              <w:numId w:val="9"/>
            </w:numPr>
            <w:tabs>
              <w:tab w:pos="318" w:val="left" w:leader="none"/>
              <w:tab w:pos="7607" w:val="left" w:leader="dot"/>
            </w:tabs>
            <w:spacing w:line="240" w:lineRule="auto" w:before="2" w:after="0"/>
            <w:ind w:left="1835" w:right="1163" w:hanging="1836"/>
            <w:jc w:val="right"/>
            <w:rPr>
              <w:rFonts w:ascii="Calibri" w:eastAsia="Calibri"/>
            </w:rPr>
          </w:pPr>
          <w:hyperlink w:history="true" w:anchor="_bookmark50">
            <w:r>
              <w:rPr>
                <w:spacing w:val="-3"/>
              </w:rPr>
              <w:t>履</w:t>
            </w:r>
            <w:r>
              <w:rPr/>
              <w:t>约</w:t>
            </w:r>
            <w:r>
              <w:rPr>
                <w:spacing w:val="-3"/>
              </w:rPr>
              <w:t>保</w:t>
            </w:r>
            <w:r>
              <w:rPr/>
              <w:t>证金</w:t>
              <w:tab/>
            </w:r>
            <w:r>
              <w:rPr>
                <w:rFonts w:ascii="Calibri" w:eastAsia="Calibri"/>
                <w:spacing w:val="-1"/>
              </w:rPr>
              <w:t>40</w:t>
            </w:r>
          </w:hyperlink>
        </w:p>
        <w:p>
          <w:pPr>
            <w:pStyle w:val="TOC1"/>
            <w:numPr>
              <w:ilvl w:val="1"/>
              <w:numId w:val="9"/>
            </w:numPr>
            <w:tabs>
              <w:tab w:pos="318" w:val="left" w:leader="none"/>
              <w:tab w:pos="7607" w:val="left" w:leader="dot"/>
            </w:tabs>
            <w:spacing w:line="240" w:lineRule="auto" w:before="5" w:after="0"/>
            <w:ind w:left="1835" w:right="1163" w:hanging="1836"/>
            <w:jc w:val="right"/>
            <w:rPr>
              <w:rFonts w:ascii="Calibri" w:eastAsia="Calibri"/>
            </w:rPr>
          </w:pPr>
          <w:hyperlink w:history="true" w:anchor="_bookmark51">
            <w:r>
              <w:rPr>
                <w:spacing w:val="-3"/>
              </w:rPr>
              <w:t>签</w:t>
            </w:r>
            <w:r>
              <w:rPr/>
              <w:t>订</w:t>
            </w:r>
            <w:r>
              <w:rPr>
                <w:spacing w:val="-3"/>
              </w:rPr>
              <w:t>合</w:t>
            </w:r>
            <w:r>
              <w:rPr/>
              <w:t>同</w:t>
              <w:tab/>
            </w:r>
            <w:r>
              <w:rPr>
                <w:rFonts w:ascii="Calibri" w:eastAsia="Calibri"/>
                <w:spacing w:val="-1"/>
              </w:rPr>
              <w:t>41</w:t>
            </w:r>
          </w:hyperlink>
        </w:p>
        <w:p>
          <w:pPr>
            <w:pStyle w:val="TOC1"/>
            <w:tabs>
              <w:tab w:pos="8027" w:val="left" w:leader="dot"/>
            </w:tabs>
            <w:rPr>
              <w:rFonts w:ascii="Calibri" w:eastAsia="Calibri"/>
            </w:rPr>
          </w:pPr>
          <w:hyperlink w:history="true" w:anchor="_bookmark52">
            <w:r>
              <w:rPr/>
              <w:t>8</w:t>
            </w:r>
            <w:r>
              <w:rPr>
                <w:spacing w:val="5"/>
              </w:rPr>
              <w:t> </w:t>
            </w:r>
            <w:r>
              <w:rPr/>
              <w:t>重</w:t>
            </w:r>
            <w:r>
              <w:rPr>
                <w:spacing w:val="-3"/>
              </w:rPr>
              <w:t>新</w:t>
            </w:r>
            <w:r>
              <w:rPr/>
              <w:t>招</w:t>
            </w:r>
            <w:r>
              <w:rPr>
                <w:spacing w:val="-3"/>
              </w:rPr>
              <w:t>标</w:t>
            </w:r>
            <w:r>
              <w:rPr/>
              <w:t>和</w:t>
            </w:r>
            <w:r>
              <w:rPr>
                <w:spacing w:val="-3"/>
              </w:rPr>
              <w:t>不</w:t>
            </w:r>
            <w:r>
              <w:rPr/>
              <w:t>再</w:t>
            </w:r>
            <w:r>
              <w:rPr>
                <w:spacing w:val="-3"/>
              </w:rPr>
              <w:t>招</w:t>
            </w:r>
            <w:r>
              <w:rPr/>
              <w:t>标</w:t>
              <w:tab/>
            </w:r>
            <w:r>
              <w:rPr>
                <w:rFonts w:ascii="Calibri" w:eastAsia="Calibri"/>
                <w:spacing w:val="-1"/>
              </w:rPr>
              <w:t>41</w:t>
            </w:r>
          </w:hyperlink>
        </w:p>
        <w:p>
          <w:pPr>
            <w:pStyle w:val="TOC1"/>
            <w:numPr>
              <w:ilvl w:val="1"/>
              <w:numId w:val="10"/>
            </w:numPr>
            <w:tabs>
              <w:tab w:pos="318" w:val="left" w:leader="none"/>
              <w:tab w:pos="7607" w:val="left" w:leader="dot"/>
            </w:tabs>
            <w:spacing w:line="240" w:lineRule="auto" w:before="5" w:after="0"/>
            <w:ind w:left="1835" w:right="1163" w:hanging="1836"/>
            <w:jc w:val="right"/>
            <w:rPr>
              <w:rFonts w:ascii="Calibri" w:eastAsia="Calibri"/>
            </w:rPr>
          </w:pPr>
          <w:hyperlink w:history="true" w:anchor="_bookmark53">
            <w:r>
              <w:rPr>
                <w:spacing w:val="-3"/>
              </w:rPr>
              <w:t>重</w:t>
            </w:r>
            <w:r>
              <w:rPr/>
              <w:t>新</w:t>
            </w:r>
            <w:r>
              <w:rPr>
                <w:spacing w:val="-3"/>
              </w:rPr>
              <w:t>招</w:t>
            </w:r>
            <w:r>
              <w:rPr/>
              <w:t>标</w:t>
              <w:tab/>
            </w:r>
            <w:r>
              <w:rPr>
                <w:rFonts w:ascii="Calibri" w:eastAsia="Calibri"/>
                <w:spacing w:val="-1"/>
              </w:rPr>
              <w:t>41</w:t>
            </w:r>
          </w:hyperlink>
        </w:p>
        <w:p>
          <w:pPr>
            <w:pStyle w:val="TOC1"/>
            <w:numPr>
              <w:ilvl w:val="1"/>
              <w:numId w:val="10"/>
            </w:numPr>
            <w:tabs>
              <w:tab w:pos="318" w:val="left" w:leader="none"/>
              <w:tab w:pos="7607" w:val="left" w:leader="dot"/>
            </w:tabs>
            <w:spacing w:line="240" w:lineRule="auto" w:before="2" w:after="0"/>
            <w:ind w:left="1835" w:right="1163" w:hanging="1836"/>
            <w:jc w:val="right"/>
            <w:rPr>
              <w:rFonts w:ascii="Calibri" w:eastAsia="Calibri"/>
            </w:rPr>
          </w:pPr>
          <w:hyperlink w:history="true" w:anchor="_bookmark54">
            <w:r>
              <w:rPr>
                <w:spacing w:val="-3"/>
              </w:rPr>
              <w:t>不</w:t>
            </w:r>
            <w:r>
              <w:rPr/>
              <w:t>再</w:t>
            </w:r>
            <w:r>
              <w:rPr>
                <w:spacing w:val="-3"/>
              </w:rPr>
              <w:t>招</w:t>
            </w:r>
            <w:r>
              <w:rPr/>
              <w:t>标</w:t>
              <w:tab/>
            </w:r>
            <w:r>
              <w:rPr>
                <w:rFonts w:ascii="Calibri" w:eastAsia="Calibri"/>
                <w:spacing w:val="-1"/>
              </w:rPr>
              <w:t>41</w:t>
            </w:r>
          </w:hyperlink>
        </w:p>
        <w:p>
          <w:pPr>
            <w:pStyle w:val="TOC1"/>
            <w:tabs>
              <w:tab w:pos="8027" w:val="left" w:leader="dot"/>
            </w:tabs>
            <w:spacing w:before="4"/>
            <w:rPr>
              <w:rFonts w:ascii="Calibri" w:eastAsia="Calibri"/>
            </w:rPr>
          </w:pPr>
          <w:hyperlink w:history="true" w:anchor="_bookmark55">
            <w:r>
              <w:rPr/>
              <w:t>9</w:t>
            </w:r>
            <w:r>
              <w:rPr>
                <w:spacing w:val="3"/>
              </w:rPr>
              <w:t> </w:t>
            </w:r>
            <w:r>
              <w:rPr/>
              <w:t>纪</w:t>
            </w:r>
            <w:r>
              <w:rPr>
                <w:spacing w:val="-3"/>
              </w:rPr>
              <w:t>律</w:t>
            </w:r>
            <w:r>
              <w:rPr/>
              <w:t>和</w:t>
            </w:r>
            <w:r>
              <w:rPr>
                <w:spacing w:val="-3"/>
              </w:rPr>
              <w:t>监</w:t>
            </w:r>
            <w:r>
              <w:rPr/>
              <w:t>督</w:t>
              <w:tab/>
            </w:r>
            <w:r>
              <w:rPr>
                <w:rFonts w:ascii="Calibri" w:eastAsia="Calibri"/>
                <w:spacing w:val="-1"/>
              </w:rPr>
              <w:t>42</w:t>
            </w:r>
          </w:hyperlink>
        </w:p>
        <w:p>
          <w:pPr>
            <w:pStyle w:val="TOC3"/>
            <w:numPr>
              <w:ilvl w:val="1"/>
              <w:numId w:val="11"/>
            </w:numPr>
            <w:tabs>
              <w:tab w:pos="1836" w:val="left" w:leader="none"/>
              <w:tab w:pos="9125" w:val="left" w:leader="dot"/>
            </w:tabs>
            <w:spacing w:line="240" w:lineRule="auto" w:before="2" w:after="0"/>
            <w:ind w:left="1835" w:right="0" w:hanging="318"/>
            <w:jc w:val="left"/>
            <w:rPr>
              <w:rFonts w:ascii="Calibri" w:eastAsia="Calibri"/>
            </w:rPr>
          </w:pPr>
          <w:hyperlink w:history="true" w:anchor="_bookmark56">
            <w:r>
              <w:rPr>
                <w:spacing w:val="-3"/>
              </w:rPr>
              <w:t>对</w:t>
            </w:r>
            <w:r>
              <w:rPr/>
              <w:t>招</w:t>
            </w:r>
            <w:r>
              <w:rPr>
                <w:spacing w:val="-3"/>
              </w:rPr>
              <w:t>标</w:t>
            </w:r>
            <w:r>
              <w:rPr/>
              <w:t>人</w:t>
            </w:r>
            <w:r>
              <w:rPr>
                <w:spacing w:val="-3"/>
              </w:rPr>
              <w:t>或</w:t>
            </w:r>
            <w:r>
              <w:rPr/>
              <w:t>招</w:t>
            </w:r>
            <w:r>
              <w:rPr>
                <w:spacing w:val="-3"/>
              </w:rPr>
              <w:t>标</w:t>
            </w:r>
            <w:r>
              <w:rPr/>
              <w:t>代</w:t>
            </w:r>
            <w:r>
              <w:rPr>
                <w:spacing w:val="-3"/>
              </w:rPr>
              <w:t>理</w:t>
            </w:r>
            <w:r>
              <w:rPr/>
              <w:t>机构</w:t>
            </w:r>
            <w:r>
              <w:rPr>
                <w:spacing w:val="-3"/>
              </w:rPr>
              <w:t>的</w:t>
            </w:r>
            <w:r>
              <w:rPr/>
              <w:t>纪</w:t>
            </w:r>
            <w:r>
              <w:rPr>
                <w:spacing w:val="-3"/>
              </w:rPr>
              <w:t>律</w:t>
            </w:r>
            <w:r>
              <w:rPr/>
              <w:t>要求</w:t>
              <w:tab/>
            </w:r>
            <w:r>
              <w:rPr>
                <w:rFonts w:ascii="Calibri" w:eastAsia="Calibri"/>
              </w:rPr>
              <w:t>42</w:t>
            </w:r>
          </w:hyperlink>
        </w:p>
        <w:p>
          <w:pPr>
            <w:pStyle w:val="TOC3"/>
            <w:numPr>
              <w:ilvl w:val="1"/>
              <w:numId w:val="11"/>
            </w:numPr>
            <w:tabs>
              <w:tab w:pos="1836" w:val="left" w:leader="none"/>
              <w:tab w:pos="9125" w:val="left" w:leader="dot"/>
            </w:tabs>
            <w:spacing w:line="240" w:lineRule="auto" w:before="5" w:after="0"/>
            <w:ind w:left="1835" w:right="0" w:hanging="318"/>
            <w:jc w:val="left"/>
            <w:rPr>
              <w:rFonts w:ascii="Calibri" w:eastAsia="Calibri"/>
            </w:rPr>
          </w:pPr>
          <w:hyperlink w:history="true" w:anchor="_bookmark57">
            <w:r>
              <w:rPr>
                <w:spacing w:val="-3"/>
              </w:rPr>
              <w:t>对</w:t>
            </w:r>
            <w:r>
              <w:rPr/>
              <w:t>投</w:t>
            </w:r>
            <w:r>
              <w:rPr>
                <w:spacing w:val="-3"/>
              </w:rPr>
              <w:t>标</w:t>
            </w:r>
            <w:r>
              <w:rPr/>
              <w:t>人</w:t>
            </w:r>
            <w:r>
              <w:rPr>
                <w:spacing w:val="-3"/>
              </w:rPr>
              <w:t>的</w:t>
            </w:r>
            <w:r>
              <w:rPr/>
              <w:t>纪</w:t>
            </w:r>
            <w:r>
              <w:rPr>
                <w:spacing w:val="-3"/>
              </w:rPr>
              <w:t>律</w:t>
            </w:r>
            <w:r>
              <w:rPr/>
              <w:t>要求</w:t>
              <w:tab/>
            </w:r>
            <w:r>
              <w:rPr>
                <w:rFonts w:ascii="Calibri" w:eastAsia="Calibri"/>
              </w:rPr>
              <w:t>42</w:t>
            </w:r>
          </w:hyperlink>
        </w:p>
        <w:p>
          <w:pPr>
            <w:pStyle w:val="TOC3"/>
            <w:numPr>
              <w:ilvl w:val="1"/>
              <w:numId w:val="11"/>
            </w:numPr>
            <w:tabs>
              <w:tab w:pos="1836" w:val="left" w:leader="none"/>
              <w:tab w:pos="9125" w:val="left" w:leader="dot"/>
            </w:tabs>
            <w:spacing w:line="240" w:lineRule="auto" w:before="2" w:after="0"/>
            <w:ind w:left="1835" w:right="0" w:hanging="318"/>
            <w:jc w:val="left"/>
            <w:rPr>
              <w:rFonts w:ascii="Calibri" w:eastAsia="Calibri"/>
            </w:rPr>
          </w:pPr>
          <w:hyperlink w:history="true" w:anchor="_bookmark58">
            <w:r>
              <w:rPr>
                <w:spacing w:val="-3"/>
              </w:rPr>
              <w:t>对</w:t>
            </w:r>
            <w:r>
              <w:rPr/>
              <w:t>评</w:t>
            </w:r>
            <w:r>
              <w:rPr>
                <w:spacing w:val="-3"/>
              </w:rPr>
              <w:t>标</w:t>
            </w:r>
            <w:r>
              <w:rPr/>
              <w:t>委</w:t>
            </w:r>
            <w:r>
              <w:rPr>
                <w:spacing w:val="-3"/>
              </w:rPr>
              <w:t>员</w:t>
            </w:r>
            <w:r>
              <w:rPr/>
              <w:t>会</w:t>
            </w:r>
            <w:r>
              <w:rPr>
                <w:spacing w:val="-3"/>
              </w:rPr>
              <w:t>成</w:t>
            </w:r>
            <w:r>
              <w:rPr/>
              <w:t>员</w:t>
            </w:r>
            <w:r>
              <w:rPr>
                <w:spacing w:val="-3"/>
              </w:rPr>
              <w:t>的</w:t>
            </w:r>
            <w:r>
              <w:rPr/>
              <w:t>纪律</w:t>
            </w:r>
            <w:r>
              <w:rPr>
                <w:spacing w:val="-3"/>
              </w:rPr>
              <w:t>要</w:t>
            </w:r>
            <w:r>
              <w:rPr/>
              <w:t>求</w:t>
              <w:tab/>
            </w:r>
            <w:r>
              <w:rPr>
                <w:rFonts w:ascii="Calibri" w:eastAsia="Calibri"/>
              </w:rPr>
              <w:t>43</w:t>
            </w:r>
          </w:hyperlink>
        </w:p>
        <w:p>
          <w:pPr>
            <w:pStyle w:val="TOC3"/>
            <w:numPr>
              <w:ilvl w:val="1"/>
              <w:numId w:val="11"/>
            </w:numPr>
            <w:tabs>
              <w:tab w:pos="1836" w:val="left" w:leader="none"/>
              <w:tab w:pos="9125" w:val="left" w:leader="dot"/>
            </w:tabs>
            <w:spacing w:line="240" w:lineRule="auto" w:before="5" w:after="0"/>
            <w:ind w:left="1835" w:right="0" w:hanging="318"/>
            <w:jc w:val="left"/>
            <w:rPr>
              <w:rFonts w:ascii="Calibri" w:eastAsia="Calibri"/>
            </w:rPr>
          </w:pPr>
          <w:hyperlink w:history="true" w:anchor="_bookmark59">
            <w:r>
              <w:rPr>
                <w:spacing w:val="-3"/>
              </w:rPr>
              <w:t>对</w:t>
            </w:r>
            <w:r>
              <w:rPr/>
              <w:t>与</w:t>
            </w:r>
            <w:r>
              <w:rPr>
                <w:spacing w:val="-3"/>
              </w:rPr>
              <w:t>评</w:t>
            </w:r>
            <w:r>
              <w:rPr/>
              <w:t>标</w:t>
            </w:r>
            <w:r>
              <w:rPr>
                <w:spacing w:val="-3"/>
              </w:rPr>
              <w:t>活</w:t>
            </w:r>
            <w:r>
              <w:rPr/>
              <w:t>动</w:t>
            </w:r>
            <w:r>
              <w:rPr>
                <w:spacing w:val="-3"/>
              </w:rPr>
              <w:t>有</w:t>
            </w:r>
            <w:r>
              <w:rPr/>
              <w:t>关</w:t>
            </w:r>
            <w:r>
              <w:rPr>
                <w:spacing w:val="-3"/>
              </w:rPr>
              <w:t>的</w:t>
            </w:r>
            <w:r>
              <w:rPr/>
              <w:t>工作</w:t>
            </w:r>
            <w:r>
              <w:rPr>
                <w:spacing w:val="-3"/>
              </w:rPr>
              <w:t>人</w:t>
            </w:r>
            <w:r>
              <w:rPr/>
              <w:t>员</w:t>
            </w:r>
            <w:r>
              <w:rPr>
                <w:spacing w:val="-3"/>
              </w:rPr>
              <w:t>的</w:t>
            </w:r>
            <w:r>
              <w:rPr/>
              <w:t>纪</w:t>
            </w:r>
            <w:r>
              <w:rPr>
                <w:spacing w:val="-3"/>
              </w:rPr>
              <w:t>律</w:t>
            </w:r>
            <w:r>
              <w:rPr/>
              <w:t>要求</w:t>
              <w:tab/>
            </w:r>
            <w:r>
              <w:rPr>
                <w:rFonts w:ascii="Calibri" w:eastAsia="Calibri"/>
              </w:rPr>
              <w:t>44</w:t>
            </w:r>
          </w:hyperlink>
        </w:p>
        <w:p>
          <w:pPr>
            <w:pStyle w:val="TOC3"/>
            <w:tabs>
              <w:tab w:pos="9125" w:val="left" w:leader="dot"/>
            </w:tabs>
            <w:ind w:left="1518" w:firstLine="0"/>
            <w:rPr>
              <w:rFonts w:ascii="Calibri" w:eastAsia="Calibri"/>
            </w:rPr>
          </w:pPr>
          <w:hyperlink w:history="true" w:anchor="_bookmark60">
            <w:r>
              <w:rPr/>
              <w:t>9.5</w:t>
            </w:r>
            <w:r>
              <w:rPr>
                <w:spacing w:val="2"/>
              </w:rPr>
              <w:t> </w:t>
            </w:r>
            <w:r>
              <w:rPr>
                <w:spacing w:val="-3"/>
              </w:rPr>
              <w:t>投诉</w:t>
              <w:tab/>
            </w:r>
            <w:r>
              <w:rPr>
                <w:rFonts w:ascii="Calibri" w:eastAsia="Calibri"/>
              </w:rPr>
              <w:t>44</w:t>
            </w:r>
          </w:hyperlink>
        </w:p>
        <w:p>
          <w:pPr>
            <w:pStyle w:val="TOC1"/>
            <w:tabs>
              <w:tab w:pos="8027" w:val="left" w:leader="dot"/>
            </w:tabs>
            <w:spacing w:before="5"/>
            <w:rPr>
              <w:rFonts w:ascii="Calibri" w:eastAsia="Calibri"/>
            </w:rPr>
          </w:pPr>
          <w:hyperlink w:history="true" w:anchor="_bookmark61">
            <w:r>
              <w:rPr/>
              <w:t>10</w:t>
            </w:r>
            <w:r>
              <w:rPr>
                <w:spacing w:val="5"/>
              </w:rPr>
              <w:t> </w:t>
            </w:r>
            <w:r>
              <w:rPr>
                <w:spacing w:val="-3"/>
              </w:rPr>
              <w:t>需</w:t>
            </w:r>
            <w:r>
              <w:rPr/>
              <w:t>要</w:t>
            </w:r>
            <w:r>
              <w:rPr>
                <w:spacing w:val="-3"/>
              </w:rPr>
              <w:t>补</w:t>
            </w:r>
            <w:r>
              <w:rPr/>
              <w:t>充</w:t>
            </w:r>
            <w:r>
              <w:rPr>
                <w:spacing w:val="-3"/>
              </w:rPr>
              <w:t>的</w:t>
            </w:r>
            <w:r>
              <w:rPr/>
              <w:t>其</w:t>
            </w:r>
            <w:r>
              <w:rPr>
                <w:spacing w:val="-3"/>
              </w:rPr>
              <w:t>他</w:t>
            </w:r>
            <w:r>
              <w:rPr/>
              <w:t>内容</w:t>
              <w:tab/>
            </w:r>
            <w:r>
              <w:rPr>
                <w:rFonts w:ascii="Calibri" w:eastAsia="Calibri"/>
                <w:spacing w:val="-1"/>
              </w:rPr>
              <w:t>44</w:t>
            </w:r>
          </w:hyperlink>
        </w:p>
        <w:p>
          <w:pPr>
            <w:pStyle w:val="TOC1"/>
            <w:numPr>
              <w:ilvl w:val="1"/>
              <w:numId w:val="12"/>
            </w:numPr>
            <w:tabs>
              <w:tab w:pos="424" w:val="left" w:leader="none"/>
              <w:tab w:pos="7607" w:val="left" w:leader="dot"/>
            </w:tabs>
            <w:spacing w:line="240" w:lineRule="auto" w:before="2" w:after="0"/>
            <w:ind w:left="1941" w:right="1163" w:hanging="1942"/>
            <w:jc w:val="right"/>
            <w:rPr>
              <w:rFonts w:ascii="Calibri" w:eastAsia="Calibri"/>
            </w:rPr>
          </w:pPr>
          <w:hyperlink w:history="true" w:anchor="_bookmark62">
            <w:r>
              <w:rPr/>
              <w:t>词</w:t>
            </w:r>
            <w:r>
              <w:rPr>
                <w:spacing w:val="-3"/>
              </w:rPr>
              <w:t>语</w:t>
            </w:r>
            <w:r>
              <w:rPr/>
              <w:t>定义</w:t>
              <w:tab/>
            </w:r>
            <w:r>
              <w:rPr>
                <w:rFonts w:ascii="Calibri" w:eastAsia="Calibri"/>
                <w:spacing w:val="-1"/>
              </w:rPr>
              <w:t>44</w:t>
            </w:r>
          </w:hyperlink>
        </w:p>
        <w:p>
          <w:pPr>
            <w:pStyle w:val="TOC1"/>
            <w:numPr>
              <w:ilvl w:val="1"/>
              <w:numId w:val="12"/>
            </w:numPr>
            <w:tabs>
              <w:tab w:pos="424" w:val="left" w:leader="none"/>
              <w:tab w:pos="7607" w:val="left" w:leader="dot"/>
            </w:tabs>
            <w:spacing w:line="240" w:lineRule="auto" w:before="5" w:after="0"/>
            <w:ind w:left="1941" w:right="1163" w:hanging="1942"/>
            <w:jc w:val="right"/>
            <w:rPr>
              <w:rFonts w:ascii="Calibri" w:eastAsia="Calibri"/>
            </w:rPr>
          </w:pPr>
          <w:hyperlink w:history="true" w:anchor="_bookmark63">
            <w:r>
              <w:rPr/>
              <w:t>招</w:t>
            </w:r>
            <w:r>
              <w:rPr>
                <w:spacing w:val="-3"/>
              </w:rPr>
              <w:t>标</w:t>
            </w:r>
            <w:r>
              <w:rPr/>
              <w:t>控</w:t>
            </w:r>
            <w:r>
              <w:rPr>
                <w:spacing w:val="-3"/>
              </w:rPr>
              <w:t>制</w:t>
            </w:r>
            <w:r>
              <w:rPr/>
              <w:t>价</w:t>
              <w:tab/>
            </w:r>
            <w:r>
              <w:rPr>
                <w:rFonts w:ascii="Calibri" w:eastAsia="Calibri"/>
                <w:spacing w:val="-1"/>
              </w:rPr>
              <w:t>44</w:t>
            </w:r>
          </w:hyperlink>
        </w:p>
        <w:p>
          <w:pPr>
            <w:pStyle w:val="TOC1"/>
            <w:numPr>
              <w:ilvl w:val="1"/>
              <w:numId w:val="12"/>
            </w:numPr>
            <w:tabs>
              <w:tab w:pos="424" w:val="left" w:leader="none"/>
              <w:tab w:pos="7607" w:val="left" w:leader="dot"/>
            </w:tabs>
            <w:spacing w:line="240" w:lineRule="auto" w:before="2" w:after="0"/>
            <w:ind w:left="1941" w:right="1163" w:hanging="1942"/>
            <w:jc w:val="right"/>
            <w:rPr>
              <w:rFonts w:ascii="Calibri" w:eastAsia="Calibri"/>
            </w:rPr>
          </w:pPr>
          <w:hyperlink w:history="true" w:anchor="_bookmark64">
            <w:r>
              <w:rPr/>
              <w:t>技</w:t>
            </w:r>
            <w:r>
              <w:rPr>
                <w:spacing w:val="-3"/>
              </w:rPr>
              <w:t>术</w:t>
            </w:r>
            <w:r>
              <w:rPr/>
              <w:t>标</w:t>
            </w:r>
            <w:r>
              <w:rPr>
                <w:spacing w:val="-3"/>
              </w:rPr>
              <w:t>评</w:t>
            </w:r>
            <w:r>
              <w:rPr/>
              <w:t>审</w:t>
            </w:r>
            <w:r>
              <w:rPr>
                <w:spacing w:val="-3"/>
              </w:rPr>
              <w:t>方</w:t>
            </w:r>
            <w:r>
              <w:rPr/>
              <w:t>式</w:t>
              <w:tab/>
            </w:r>
            <w:r>
              <w:rPr>
                <w:rFonts w:ascii="Calibri" w:eastAsia="Calibri"/>
                <w:spacing w:val="-1"/>
              </w:rPr>
              <w:t>44</w:t>
            </w:r>
          </w:hyperlink>
        </w:p>
        <w:p>
          <w:pPr>
            <w:pStyle w:val="TOC1"/>
            <w:numPr>
              <w:ilvl w:val="1"/>
              <w:numId w:val="12"/>
            </w:numPr>
            <w:tabs>
              <w:tab w:pos="424" w:val="left" w:leader="none"/>
              <w:tab w:pos="7607" w:val="left" w:leader="dot"/>
            </w:tabs>
            <w:spacing w:line="240" w:lineRule="auto" w:before="4" w:after="0"/>
            <w:ind w:left="1941" w:right="1163" w:hanging="1942"/>
            <w:jc w:val="right"/>
            <w:rPr>
              <w:rFonts w:ascii="Calibri" w:eastAsia="Calibri"/>
            </w:rPr>
          </w:pPr>
          <w:hyperlink w:history="true" w:anchor="_bookmark65">
            <w:r>
              <w:rPr/>
              <w:t>电</w:t>
            </w:r>
            <w:r>
              <w:rPr>
                <w:spacing w:val="-3"/>
              </w:rPr>
              <w:t>子</w:t>
            </w:r>
            <w:r>
              <w:rPr/>
              <w:t>投</w:t>
            </w:r>
            <w:r>
              <w:rPr>
                <w:spacing w:val="-3"/>
              </w:rPr>
              <w:t>标</w:t>
            </w:r>
            <w:r>
              <w:rPr/>
              <w:t>文件</w:t>
              <w:tab/>
            </w:r>
            <w:r>
              <w:rPr>
                <w:rFonts w:ascii="Calibri" w:eastAsia="Calibri"/>
                <w:spacing w:val="-1"/>
              </w:rPr>
              <w:t>44</w:t>
            </w:r>
          </w:hyperlink>
        </w:p>
        <w:p>
          <w:pPr>
            <w:pStyle w:val="TOC1"/>
            <w:numPr>
              <w:ilvl w:val="1"/>
              <w:numId w:val="12"/>
            </w:numPr>
            <w:tabs>
              <w:tab w:pos="424" w:val="left" w:leader="none"/>
              <w:tab w:pos="7607" w:val="left" w:leader="dot"/>
            </w:tabs>
            <w:spacing w:line="240" w:lineRule="auto" w:before="2" w:after="0"/>
            <w:ind w:left="1941" w:right="1163" w:hanging="1942"/>
            <w:jc w:val="right"/>
            <w:rPr>
              <w:rFonts w:ascii="Calibri" w:eastAsia="Calibri"/>
            </w:rPr>
          </w:pPr>
          <w:hyperlink w:history="true" w:anchor="_bookmark66">
            <w:r>
              <w:rPr/>
              <w:t>知</w:t>
            </w:r>
            <w:r>
              <w:rPr>
                <w:spacing w:val="-3"/>
              </w:rPr>
              <w:t>识</w:t>
            </w:r>
            <w:r>
              <w:rPr/>
              <w:t>产权</w:t>
              <w:tab/>
            </w:r>
            <w:r>
              <w:rPr>
                <w:rFonts w:ascii="Calibri" w:eastAsia="Calibri"/>
                <w:spacing w:val="-1"/>
              </w:rPr>
              <w:t>44</w:t>
            </w:r>
          </w:hyperlink>
        </w:p>
        <w:p>
          <w:pPr>
            <w:pStyle w:val="TOC3"/>
            <w:numPr>
              <w:ilvl w:val="1"/>
              <w:numId w:val="12"/>
            </w:numPr>
            <w:tabs>
              <w:tab w:pos="1942" w:val="left" w:leader="none"/>
              <w:tab w:pos="9125" w:val="left" w:leader="dot"/>
            </w:tabs>
            <w:spacing w:line="240" w:lineRule="auto" w:before="3" w:after="0"/>
            <w:ind w:left="1941" w:right="0" w:hanging="424"/>
            <w:jc w:val="left"/>
            <w:rPr>
              <w:rFonts w:ascii="Calibri" w:eastAsia="Calibri"/>
            </w:rPr>
          </w:pPr>
          <w:hyperlink w:history="true" w:anchor="_bookmark67">
            <w:r>
              <w:rPr/>
              <w:t>重</w:t>
            </w:r>
            <w:r>
              <w:rPr>
                <w:spacing w:val="-3"/>
              </w:rPr>
              <w:t>新</w:t>
            </w:r>
            <w:r>
              <w:rPr/>
              <w:t>招</w:t>
            </w:r>
            <w:r>
              <w:rPr>
                <w:spacing w:val="-3"/>
              </w:rPr>
              <w:t>标</w:t>
            </w:r>
            <w:r>
              <w:rPr/>
              <w:t>的</w:t>
            </w:r>
            <w:r>
              <w:rPr>
                <w:spacing w:val="-3"/>
              </w:rPr>
              <w:t>其</w:t>
            </w:r>
            <w:r>
              <w:rPr/>
              <w:t>他</w:t>
            </w:r>
            <w:r>
              <w:rPr>
                <w:spacing w:val="-3"/>
              </w:rPr>
              <w:t>情</w:t>
            </w:r>
            <w:r>
              <w:rPr/>
              <w:t>形</w:t>
              <w:tab/>
            </w:r>
            <w:r>
              <w:rPr>
                <w:rFonts w:ascii="Calibri" w:eastAsia="Calibri"/>
              </w:rPr>
              <w:t>45</w:t>
            </w:r>
          </w:hyperlink>
        </w:p>
        <w:p>
          <w:pPr>
            <w:pStyle w:val="TOC3"/>
            <w:numPr>
              <w:ilvl w:val="1"/>
              <w:numId w:val="12"/>
            </w:numPr>
            <w:tabs>
              <w:tab w:pos="1942" w:val="left" w:leader="none"/>
              <w:tab w:pos="9125" w:val="left" w:leader="dot"/>
            </w:tabs>
            <w:spacing w:line="240" w:lineRule="auto" w:before="4" w:after="0"/>
            <w:ind w:left="1941" w:right="0" w:hanging="424"/>
            <w:jc w:val="left"/>
            <w:rPr>
              <w:rFonts w:ascii="Calibri" w:eastAsia="Calibri"/>
            </w:rPr>
          </w:pPr>
          <w:hyperlink w:history="true" w:anchor="_bookmark68">
            <w:r>
              <w:rPr/>
              <w:t>同</w:t>
            </w:r>
            <w:r>
              <w:rPr>
                <w:spacing w:val="-3"/>
              </w:rPr>
              <w:t>义</w:t>
            </w:r>
            <w:r>
              <w:rPr/>
              <w:t>词语</w:t>
              <w:tab/>
            </w:r>
            <w:r>
              <w:rPr>
                <w:rFonts w:ascii="Calibri" w:eastAsia="Calibri"/>
              </w:rPr>
              <w:t>45</w:t>
            </w:r>
          </w:hyperlink>
        </w:p>
        <w:p>
          <w:pPr>
            <w:pStyle w:val="TOC3"/>
            <w:tabs>
              <w:tab w:pos="9125" w:val="left" w:leader="dot"/>
            </w:tabs>
            <w:ind w:left="1518" w:firstLine="0"/>
            <w:rPr>
              <w:rFonts w:ascii="Calibri" w:eastAsia="Calibri"/>
            </w:rPr>
          </w:pPr>
          <w:hyperlink w:history="true" w:anchor="_bookmark69">
            <w:r>
              <w:rPr/>
              <w:t>10.8</w:t>
            </w:r>
            <w:r>
              <w:rPr>
                <w:spacing w:val="-1"/>
              </w:rPr>
              <w:t> </w:t>
            </w:r>
            <w:r>
              <w:rPr/>
              <w:t>监督</w:t>
              <w:tab/>
            </w:r>
            <w:r>
              <w:rPr>
                <w:rFonts w:ascii="Calibri" w:eastAsia="Calibri"/>
              </w:rPr>
              <w:t>45</w:t>
            </w:r>
          </w:hyperlink>
        </w:p>
        <w:p>
          <w:pPr>
            <w:pStyle w:val="TOC3"/>
            <w:tabs>
              <w:tab w:pos="9125" w:val="left" w:leader="dot"/>
            </w:tabs>
            <w:spacing w:before="5"/>
            <w:ind w:left="1518" w:firstLine="0"/>
            <w:rPr>
              <w:rFonts w:ascii="Calibri" w:eastAsia="Calibri"/>
            </w:rPr>
          </w:pPr>
          <w:hyperlink w:history="true" w:anchor="_bookmark70">
            <w:r>
              <w:rPr/>
              <w:t>10.9 解</w:t>
            </w:r>
            <w:r>
              <w:rPr>
                <w:spacing w:val="-3"/>
              </w:rPr>
              <w:t>释</w:t>
            </w:r>
            <w:r>
              <w:rPr/>
              <w:t>权</w:t>
              <w:tab/>
            </w:r>
            <w:r>
              <w:rPr>
                <w:rFonts w:ascii="Calibri" w:eastAsia="Calibri"/>
              </w:rPr>
              <w:t>45</w:t>
            </w:r>
          </w:hyperlink>
        </w:p>
        <w:p>
          <w:pPr>
            <w:pStyle w:val="TOC3"/>
            <w:numPr>
              <w:ilvl w:val="1"/>
              <w:numId w:val="13"/>
            </w:numPr>
            <w:tabs>
              <w:tab w:pos="2047" w:val="left" w:leader="none"/>
              <w:tab w:pos="9125" w:val="left" w:leader="dot"/>
            </w:tabs>
            <w:spacing w:line="240" w:lineRule="auto" w:before="2" w:after="0"/>
            <w:ind w:left="2047" w:right="0" w:hanging="529"/>
            <w:jc w:val="left"/>
            <w:rPr>
              <w:rFonts w:ascii="Calibri" w:eastAsia="Calibri"/>
            </w:rPr>
          </w:pPr>
          <w:hyperlink w:history="true" w:anchor="_bookmark71">
            <w:r>
              <w:rPr/>
              <w:t>招</w:t>
            </w:r>
            <w:r>
              <w:rPr>
                <w:spacing w:val="-3"/>
              </w:rPr>
              <w:t>标</w:t>
            </w:r>
            <w:r>
              <w:rPr/>
              <w:t>人</w:t>
            </w:r>
            <w:r>
              <w:rPr>
                <w:spacing w:val="-3"/>
              </w:rPr>
              <w:t>补</w:t>
            </w:r>
            <w:r>
              <w:rPr/>
              <w:t>充</w:t>
            </w:r>
            <w:r>
              <w:rPr>
                <w:spacing w:val="-3"/>
              </w:rPr>
              <w:t>的</w:t>
            </w:r>
            <w:r>
              <w:rPr/>
              <w:t>其</w:t>
            </w:r>
            <w:r>
              <w:rPr>
                <w:spacing w:val="-3"/>
              </w:rPr>
              <w:t>他</w:t>
            </w:r>
            <w:r>
              <w:rPr/>
              <w:t>内容</w:t>
              <w:tab/>
            </w:r>
            <w:r>
              <w:rPr>
                <w:rFonts w:ascii="Calibri" w:eastAsia="Calibri"/>
              </w:rPr>
              <w:t>45</w:t>
            </w:r>
          </w:hyperlink>
        </w:p>
        <w:p>
          <w:pPr>
            <w:pStyle w:val="TOC3"/>
            <w:numPr>
              <w:ilvl w:val="1"/>
              <w:numId w:val="13"/>
            </w:numPr>
            <w:tabs>
              <w:tab w:pos="2047" w:val="left" w:leader="none"/>
              <w:tab w:pos="9125" w:val="left" w:leader="dot"/>
            </w:tabs>
            <w:spacing w:line="240" w:lineRule="auto" w:before="5" w:after="0"/>
            <w:ind w:left="2047" w:right="0" w:hanging="529"/>
            <w:jc w:val="left"/>
            <w:rPr>
              <w:rFonts w:ascii="Calibri" w:eastAsia="Calibri"/>
            </w:rPr>
          </w:pPr>
          <w:hyperlink w:history="true" w:anchor="_bookmark72">
            <w:r>
              <w:rPr/>
              <w:t>投</w:t>
            </w:r>
            <w:r>
              <w:rPr>
                <w:spacing w:val="-3"/>
              </w:rPr>
              <w:t>标</w:t>
            </w:r>
            <w:r>
              <w:rPr/>
              <w:t>人</w:t>
            </w:r>
            <w:r>
              <w:rPr>
                <w:spacing w:val="-3"/>
              </w:rPr>
              <w:t>递</w:t>
            </w:r>
            <w:r>
              <w:rPr/>
              <w:t>交</w:t>
            </w:r>
            <w:r>
              <w:rPr>
                <w:spacing w:val="-3"/>
              </w:rPr>
              <w:t>投</w:t>
            </w:r>
            <w:r>
              <w:rPr/>
              <w:t>标</w:t>
            </w:r>
            <w:r>
              <w:rPr>
                <w:spacing w:val="-3"/>
              </w:rPr>
              <w:t>文</w:t>
            </w:r>
            <w:r>
              <w:rPr/>
              <w:t>件、</w:t>
            </w:r>
            <w:r>
              <w:rPr>
                <w:spacing w:val="-3"/>
              </w:rPr>
              <w:t>参</w:t>
            </w:r>
            <w:r>
              <w:rPr/>
              <w:t>加</w:t>
            </w:r>
            <w:r>
              <w:rPr>
                <w:spacing w:val="-3"/>
              </w:rPr>
              <w:t>开</w:t>
            </w:r>
            <w:r>
              <w:rPr/>
              <w:t>标</w:t>
            </w:r>
            <w:r>
              <w:rPr>
                <w:spacing w:val="-3"/>
              </w:rPr>
              <w:t>会</w:t>
            </w:r>
            <w:r>
              <w:rPr/>
              <w:t>须</w:t>
            </w:r>
            <w:r>
              <w:rPr>
                <w:spacing w:val="-3"/>
              </w:rPr>
              <w:t>提</w:t>
            </w:r>
            <w:r>
              <w:rPr/>
              <w:t>交</w:t>
            </w:r>
            <w:r>
              <w:rPr>
                <w:spacing w:val="-3"/>
              </w:rPr>
              <w:t>的</w:t>
            </w:r>
            <w:r>
              <w:rPr/>
              <w:t>授权</w:t>
            </w:r>
            <w:r>
              <w:rPr>
                <w:spacing w:val="-3"/>
              </w:rPr>
              <w:t>委</w:t>
            </w:r>
            <w:r>
              <w:rPr/>
              <w:t>托</w:t>
            </w:r>
            <w:r>
              <w:rPr>
                <w:spacing w:val="-3"/>
              </w:rPr>
              <w:t>书</w:t>
            </w:r>
            <w:r>
              <w:rPr/>
              <w:t>等</w:t>
            </w:r>
            <w:r>
              <w:rPr>
                <w:spacing w:val="-3"/>
              </w:rPr>
              <w:t>文</w:t>
            </w:r>
            <w:r>
              <w:rPr/>
              <w:t>件</w:t>
            </w:r>
            <w:r>
              <w:rPr>
                <w:spacing w:val="-3"/>
              </w:rPr>
              <w:t>格</w:t>
            </w:r>
            <w:r>
              <w:rPr/>
              <w:t>式</w:t>
              <w:tab/>
            </w:r>
            <w:r>
              <w:rPr>
                <w:rFonts w:ascii="Calibri" w:eastAsia="Calibri"/>
              </w:rPr>
              <w:t>45</w:t>
            </w:r>
          </w:hyperlink>
        </w:p>
        <w:p>
          <w:pPr>
            <w:pStyle w:val="TOC1"/>
            <w:tabs>
              <w:tab w:pos="8451" w:val="left" w:leader="dot"/>
            </w:tabs>
            <w:spacing w:before="170"/>
            <w:ind w:right="1168"/>
            <w:rPr>
              <w:rFonts w:ascii="Calibri" w:eastAsia="Calibri"/>
            </w:rPr>
          </w:pPr>
          <w:hyperlink w:history="true" w:anchor="_bookmark73">
            <w:r>
              <w:rPr/>
              <w:t>第三</w:t>
            </w:r>
            <w:r>
              <w:rPr>
                <w:spacing w:val="-3"/>
              </w:rPr>
              <w:t>章 </w:t>
            </w:r>
            <w:r>
              <w:rPr>
                <w:spacing w:val="14"/>
              </w:rPr>
              <w:t> </w:t>
            </w:r>
            <w:r>
              <w:rPr>
                <w:spacing w:val="-3"/>
              </w:rPr>
              <w:t>评</w:t>
            </w:r>
            <w:r>
              <w:rPr/>
              <w:t>标</w:t>
            </w:r>
            <w:r>
              <w:rPr>
                <w:spacing w:val="-3"/>
              </w:rPr>
              <w:t>办</w:t>
            </w:r>
            <w:r>
              <w:rPr/>
              <w:t>法</w:t>
            </w:r>
            <w:r>
              <w:rPr>
                <w:spacing w:val="-3"/>
              </w:rPr>
              <w:t>（</w:t>
            </w:r>
            <w:r>
              <w:rPr/>
              <w:t>综</w:t>
            </w:r>
            <w:r>
              <w:rPr>
                <w:spacing w:val="-3"/>
              </w:rPr>
              <w:t>合</w:t>
            </w:r>
            <w:r>
              <w:rPr/>
              <w:t>评估</w:t>
            </w:r>
            <w:r>
              <w:rPr>
                <w:spacing w:val="-3"/>
              </w:rPr>
              <w:t>法</w:t>
            </w:r>
            <w:r>
              <w:rPr/>
              <w:t>）</w:t>
              <w:tab/>
            </w:r>
            <w:r>
              <w:rPr>
                <w:rFonts w:ascii="Calibri" w:eastAsia="Calibri"/>
                <w:spacing w:val="-4"/>
              </w:rPr>
              <w:t>47</w:t>
            </w:r>
          </w:hyperlink>
        </w:p>
        <w:p>
          <w:pPr>
            <w:pStyle w:val="TOC1"/>
            <w:tabs>
              <w:tab w:pos="8451" w:val="left" w:leader="dot"/>
            </w:tabs>
            <w:spacing w:before="192"/>
            <w:ind w:right="1168"/>
            <w:rPr>
              <w:rFonts w:ascii="Calibri" w:eastAsia="Calibri"/>
            </w:rPr>
          </w:pPr>
          <w:hyperlink w:history="true" w:anchor="_bookmark74">
            <w:r>
              <w:rPr/>
              <w:t>评标</w:t>
            </w:r>
            <w:r>
              <w:rPr>
                <w:spacing w:val="-3"/>
              </w:rPr>
              <w:t>办</w:t>
            </w:r>
            <w:r>
              <w:rPr/>
              <w:t>法</w:t>
            </w:r>
            <w:r>
              <w:rPr>
                <w:spacing w:val="-3"/>
              </w:rPr>
              <w:t>前</w:t>
            </w:r>
            <w:r>
              <w:rPr/>
              <w:t>附表</w:t>
              <w:tab/>
            </w:r>
            <w:r>
              <w:rPr>
                <w:rFonts w:ascii="Calibri" w:eastAsia="Calibri"/>
                <w:spacing w:val="-4"/>
              </w:rPr>
              <w:t>47</w:t>
            </w:r>
          </w:hyperlink>
        </w:p>
        <w:p>
          <w:pPr>
            <w:pStyle w:val="TOC1"/>
            <w:tabs>
              <w:tab w:pos="8447" w:val="left" w:leader="dot"/>
            </w:tabs>
            <w:spacing w:before="191"/>
            <w:rPr>
              <w:rFonts w:ascii="Calibri" w:eastAsia="Calibri"/>
            </w:rPr>
          </w:pPr>
          <w:hyperlink w:history="true" w:anchor="_bookmark75">
            <w:r>
              <w:rPr/>
              <w:t>评标</w:t>
            </w:r>
            <w:r>
              <w:rPr>
                <w:spacing w:val="-3"/>
              </w:rPr>
              <w:t>办</w:t>
            </w:r>
            <w:r>
              <w:rPr/>
              <w:t>法</w:t>
            </w:r>
            <w:r>
              <w:rPr>
                <w:spacing w:val="-3"/>
              </w:rPr>
              <w:t>（</w:t>
            </w:r>
            <w:r>
              <w:rPr/>
              <w:t>综</w:t>
            </w:r>
            <w:r>
              <w:rPr>
                <w:spacing w:val="-3"/>
              </w:rPr>
              <w:t>合</w:t>
            </w:r>
            <w:r>
              <w:rPr/>
              <w:t>评</w:t>
            </w:r>
            <w:r>
              <w:rPr>
                <w:spacing w:val="-3"/>
              </w:rPr>
              <w:t>估</w:t>
            </w:r>
            <w:r>
              <w:rPr/>
              <w:t>法</w:t>
            </w:r>
            <w:r>
              <w:rPr>
                <w:spacing w:val="-3"/>
              </w:rPr>
              <w:t>）</w:t>
            </w:r>
            <w:r>
              <w:rPr/>
              <w:t>正文</w:t>
            </w:r>
            <w:r>
              <w:rPr>
                <w:spacing w:val="-3"/>
              </w:rPr>
              <w:t>部</w:t>
            </w:r>
            <w:r>
              <w:rPr/>
              <w:t>分</w:t>
              <w:tab/>
            </w:r>
            <w:r>
              <w:rPr>
                <w:rFonts w:ascii="Calibri" w:eastAsia="Calibri"/>
                <w:spacing w:val="-1"/>
              </w:rPr>
              <w:t>58</w:t>
            </w:r>
          </w:hyperlink>
        </w:p>
        <w:p>
          <w:pPr>
            <w:pStyle w:val="TOC1"/>
            <w:tabs>
              <w:tab w:pos="8027" w:val="left" w:leader="dot"/>
            </w:tabs>
            <w:spacing w:before="22"/>
            <w:rPr>
              <w:rFonts w:ascii="Calibri" w:eastAsia="Calibri"/>
            </w:rPr>
          </w:pPr>
          <w:hyperlink w:history="true" w:anchor="_bookmark76">
            <w:r>
              <w:rPr/>
              <w:t>1</w:t>
            </w:r>
            <w:r>
              <w:rPr>
                <w:spacing w:val="2"/>
              </w:rPr>
              <w:t> </w:t>
            </w:r>
            <w:r>
              <w:rPr/>
              <w:t>评</w:t>
            </w:r>
            <w:r>
              <w:rPr>
                <w:spacing w:val="-3"/>
              </w:rPr>
              <w:t>标</w:t>
            </w:r>
            <w:r>
              <w:rPr/>
              <w:t>方法</w:t>
              <w:tab/>
            </w:r>
            <w:r>
              <w:rPr>
                <w:rFonts w:ascii="Calibri" w:eastAsia="Calibri"/>
                <w:spacing w:val="-1"/>
              </w:rPr>
              <w:t>58</w:t>
            </w:r>
          </w:hyperlink>
        </w:p>
        <w:p>
          <w:pPr>
            <w:pStyle w:val="TOC1"/>
            <w:tabs>
              <w:tab w:pos="8027" w:val="left" w:leader="dot"/>
            </w:tabs>
            <w:spacing w:before="4"/>
            <w:rPr>
              <w:rFonts w:ascii="Calibri" w:eastAsia="Calibri"/>
            </w:rPr>
          </w:pPr>
          <w:hyperlink w:history="true" w:anchor="_bookmark77">
            <w:r>
              <w:rPr/>
              <w:t>2</w:t>
            </w:r>
            <w:r>
              <w:rPr>
                <w:spacing w:val="2"/>
              </w:rPr>
              <w:t> </w:t>
            </w:r>
            <w:r>
              <w:rPr/>
              <w:t>评</w:t>
            </w:r>
            <w:r>
              <w:rPr>
                <w:spacing w:val="-3"/>
              </w:rPr>
              <w:t>审</w:t>
            </w:r>
            <w:r>
              <w:rPr/>
              <w:t>标准</w:t>
              <w:tab/>
            </w:r>
            <w:r>
              <w:rPr>
                <w:rFonts w:ascii="Calibri" w:eastAsia="Calibri"/>
                <w:spacing w:val="-1"/>
              </w:rPr>
              <w:t>58</w:t>
            </w:r>
          </w:hyperlink>
        </w:p>
        <w:p>
          <w:pPr>
            <w:pStyle w:val="TOC1"/>
            <w:numPr>
              <w:ilvl w:val="1"/>
              <w:numId w:val="14"/>
            </w:numPr>
            <w:tabs>
              <w:tab w:pos="318" w:val="left" w:leader="none"/>
              <w:tab w:pos="7607" w:val="left" w:leader="dot"/>
            </w:tabs>
            <w:spacing w:line="240" w:lineRule="auto" w:before="2" w:after="0"/>
            <w:ind w:left="1835" w:right="1163" w:hanging="1836"/>
            <w:jc w:val="right"/>
            <w:rPr>
              <w:rFonts w:ascii="Calibri" w:eastAsia="Calibri"/>
            </w:rPr>
          </w:pPr>
          <w:hyperlink w:history="true" w:anchor="_bookmark78">
            <w:r>
              <w:rPr>
                <w:spacing w:val="-3"/>
              </w:rPr>
              <w:t>初</w:t>
            </w:r>
            <w:r>
              <w:rPr/>
              <w:t>步</w:t>
            </w:r>
            <w:r>
              <w:rPr>
                <w:spacing w:val="-3"/>
              </w:rPr>
              <w:t>评</w:t>
            </w:r>
            <w:r>
              <w:rPr/>
              <w:t>审</w:t>
            </w:r>
            <w:r>
              <w:rPr>
                <w:spacing w:val="-3"/>
              </w:rPr>
              <w:t>标</w:t>
            </w:r>
            <w:r>
              <w:rPr/>
              <w:t>准</w:t>
              <w:tab/>
            </w:r>
            <w:r>
              <w:rPr>
                <w:rFonts w:ascii="Calibri" w:eastAsia="Calibri"/>
                <w:spacing w:val="-1"/>
              </w:rPr>
              <w:t>58</w:t>
            </w:r>
          </w:hyperlink>
        </w:p>
        <w:p>
          <w:pPr>
            <w:pStyle w:val="TOC1"/>
            <w:numPr>
              <w:ilvl w:val="1"/>
              <w:numId w:val="14"/>
            </w:numPr>
            <w:tabs>
              <w:tab w:pos="318" w:val="left" w:leader="none"/>
              <w:tab w:pos="7607" w:val="left" w:leader="dot"/>
            </w:tabs>
            <w:spacing w:line="240" w:lineRule="auto" w:before="5" w:after="0"/>
            <w:ind w:left="1835" w:right="1163" w:hanging="1836"/>
            <w:jc w:val="right"/>
            <w:rPr>
              <w:rFonts w:ascii="Calibri" w:eastAsia="Calibri"/>
            </w:rPr>
          </w:pPr>
          <w:hyperlink w:history="true" w:anchor="_bookmark79">
            <w:r>
              <w:rPr>
                <w:spacing w:val="-3"/>
              </w:rPr>
              <w:t>详</w:t>
            </w:r>
            <w:r>
              <w:rPr/>
              <w:t>细</w:t>
            </w:r>
            <w:r>
              <w:rPr>
                <w:spacing w:val="-3"/>
              </w:rPr>
              <w:t>评</w:t>
            </w:r>
            <w:r>
              <w:rPr/>
              <w:t>审</w:t>
            </w:r>
            <w:r>
              <w:rPr>
                <w:spacing w:val="-3"/>
              </w:rPr>
              <w:t>标</w:t>
            </w:r>
            <w:r>
              <w:rPr/>
              <w:t>准</w:t>
              <w:tab/>
            </w:r>
            <w:r>
              <w:rPr>
                <w:rFonts w:ascii="Calibri" w:eastAsia="Calibri"/>
                <w:spacing w:val="-1"/>
              </w:rPr>
              <w:t>59</w:t>
            </w:r>
          </w:hyperlink>
        </w:p>
        <w:p>
          <w:pPr>
            <w:pStyle w:val="TOC1"/>
            <w:tabs>
              <w:tab w:pos="8027" w:val="left" w:leader="dot"/>
            </w:tabs>
            <w:rPr>
              <w:rFonts w:ascii="Calibri" w:eastAsia="Calibri"/>
            </w:rPr>
          </w:pPr>
          <w:hyperlink w:history="true" w:anchor="_bookmark80">
            <w:r>
              <w:rPr/>
              <w:t>3</w:t>
            </w:r>
            <w:r>
              <w:rPr>
                <w:spacing w:val="2"/>
              </w:rPr>
              <w:t> </w:t>
            </w:r>
            <w:r>
              <w:rPr/>
              <w:t>评</w:t>
            </w:r>
            <w:r>
              <w:rPr>
                <w:spacing w:val="-3"/>
              </w:rPr>
              <w:t>标</w:t>
            </w:r>
            <w:r>
              <w:rPr/>
              <w:t>程序</w:t>
              <w:tab/>
            </w:r>
            <w:r>
              <w:rPr>
                <w:rFonts w:ascii="Calibri" w:eastAsia="Calibri"/>
                <w:spacing w:val="-1"/>
              </w:rPr>
              <w:t>59</w:t>
            </w:r>
          </w:hyperlink>
        </w:p>
        <w:p>
          <w:pPr>
            <w:pStyle w:val="TOC1"/>
            <w:numPr>
              <w:ilvl w:val="1"/>
              <w:numId w:val="15"/>
            </w:numPr>
            <w:tabs>
              <w:tab w:pos="318" w:val="left" w:leader="none"/>
              <w:tab w:pos="7607" w:val="left" w:leader="dot"/>
            </w:tabs>
            <w:spacing w:line="240" w:lineRule="auto" w:before="5" w:after="0"/>
            <w:ind w:left="1835" w:right="1163" w:hanging="1836"/>
            <w:jc w:val="right"/>
            <w:rPr>
              <w:rFonts w:ascii="Calibri" w:eastAsia="Calibri"/>
            </w:rPr>
          </w:pPr>
          <w:hyperlink w:history="true" w:anchor="_bookmark81">
            <w:r>
              <w:rPr>
                <w:spacing w:val="-3"/>
              </w:rPr>
              <w:t>初</w:t>
            </w:r>
            <w:r>
              <w:rPr/>
              <w:t>步</w:t>
            </w:r>
            <w:r>
              <w:rPr>
                <w:spacing w:val="-3"/>
              </w:rPr>
              <w:t>评</w:t>
            </w:r>
            <w:r>
              <w:rPr/>
              <w:t>审</w:t>
              <w:tab/>
            </w:r>
            <w:r>
              <w:rPr>
                <w:rFonts w:ascii="Calibri" w:eastAsia="Calibri"/>
                <w:spacing w:val="-1"/>
              </w:rPr>
              <w:t>59</w:t>
            </w:r>
          </w:hyperlink>
        </w:p>
        <w:p>
          <w:pPr>
            <w:pStyle w:val="TOC1"/>
            <w:numPr>
              <w:ilvl w:val="1"/>
              <w:numId w:val="15"/>
            </w:numPr>
            <w:tabs>
              <w:tab w:pos="318" w:val="left" w:leader="none"/>
              <w:tab w:pos="7607" w:val="left" w:leader="dot"/>
            </w:tabs>
            <w:spacing w:line="240" w:lineRule="auto" w:before="2" w:after="0"/>
            <w:ind w:left="1835" w:right="1163" w:hanging="1836"/>
            <w:jc w:val="right"/>
            <w:rPr>
              <w:rFonts w:ascii="Calibri" w:eastAsia="Calibri"/>
            </w:rPr>
          </w:pPr>
          <w:hyperlink w:history="true" w:anchor="_bookmark82">
            <w:r>
              <w:rPr>
                <w:spacing w:val="-3"/>
              </w:rPr>
              <w:t>详</w:t>
            </w:r>
            <w:r>
              <w:rPr/>
              <w:t>细</w:t>
            </w:r>
            <w:r>
              <w:rPr>
                <w:spacing w:val="-3"/>
              </w:rPr>
              <w:t>评</w:t>
            </w:r>
            <w:r>
              <w:rPr/>
              <w:t>审</w:t>
              <w:tab/>
            </w:r>
            <w:r>
              <w:rPr>
                <w:rFonts w:ascii="Calibri" w:eastAsia="Calibri"/>
                <w:spacing w:val="-1"/>
              </w:rPr>
              <w:t>59</w:t>
            </w:r>
          </w:hyperlink>
        </w:p>
        <w:p>
          <w:pPr>
            <w:pStyle w:val="TOC3"/>
            <w:numPr>
              <w:ilvl w:val="1"/>
              <w:numId w:val="15"/>
            </w:numPr>
            <w:tabs>
              <w:tab w:pos="1836" w:val="left" w:leader="none"/>
              <w:tab w:pos="9125" w:val="left" w:leader="dot"/>
            </w:tabs>
            <w:spacing w:line="240" w:lineRule="auto" w:before="5" w:after="0"/>
            <w:ind w:left="1835" w:right="0" w:hanging="318"/>
            <w:jc w:val="left"/>
            <w:rPr>
              <w:rFonts w:ascii="Calibri" w:eastAsia="Calibri"/>
            </w:rPr>
          </w:pPr>
          <w:hyperlink w:history="true" w:anchor="_bookmark83">
            <w:r>
              <w:rPr>
                <w:spacing w:val="-3"/>
              </w:rPr>
              <w:t>投</w:t>
            </w:r>
            <w:r>
              <w:rPr/>
              <w:t>标</w:t>
            </w:r>
            <w:r>
              <w:rPr>
                <w:spacing w:val="-3"/>
              </w:rPr>
              <w:t>文</w:t>
            </w:r>
            <w:r>
              <w:rPr/>
              <w:t>件</w:t>
            </w:r>
            <w:r>
              <w:rPr>
                <w:spacing w:val="-3"/>
              </w:rPr>
              <w:t>的</w:t>
            </w:r>
            <w:r>
              <w:rPr/>
              <w:t>澄</w:t>
            </w:r>
            <w:r>
              <w:rPr>
                <w:spacing w:val="-3"/>
              </w:rPr>
              <w:t>清</w:t>
            </w:r>
            <w:r>
              <w:rPr/>
              <w:t>和</w:t>
            </w:r>
            <w:r>
              <w:rPr>
                <w:spacing w:val="-3"/>
              </w:rPr>
              <w:t>补</w:t>
            </w:r>
            <w:r>
              <w:rPr/>
              <w:t>正</w:t>
              <w:tab/>
            </w:r>
            <w:r>
              <w:rPr>
                <w:rFonts w:ascii="Calibri" w:eastAsia="Calibri"/>
              </w:rPr>
              <w:t>60</w:t>
            </w:r>
          </w:hyperlink>
        </w:p>
        <w:p>
          <w:pPr>
            <w:pStyle w:val="TOC3"/>
            <w:numPr>
              <w:ilvl w:val="1"/>
              <w:numId w:val="15"/>
            </w:numPr>
            <w:tabs>
              <w:tab w:pos="1836" w:val="left" w:leader="none"/>
              <w:tab w:pos="9125" w:val="left" w:leader="dot"/>
            </w:tabs>
            <w:spacing w:line="240" w:lineRule="auto" w:before="2" w:after="0"/>
            <w:ind w:left="1835" w:right="0" w:hanging="318"/>
            <w:jc w:val="left"/>
            <w:rPr>
              <w:rFonts w:ascii="Calibri" w:eastAsia="Calibri"/>
            </w:rPr>
          </w:pPr>
          <w:hyperlink w:history="true" w:anchor="_bookmark84">
            <w:r>
              <w:rPr>
                <w:spacing w:val="-3"/>
              </w:rPr>
              <w:t>评</w:t>
            </w:r>
            <w:r>
              <w:rPr/>
              <w:t>标</w:t>
            </w:r>
            <w:r>
              <w:rPr>
                <w:spacing w:val="-3"/>
              </w:rPr>
              <w:t>结</w:t>
            </w:r>
            <w:r>
              <w:rPr/>
              <w:t>果</w:t>
              <w:tab/>
            </w:r>
            <w:r>
              <w:rPr>
                <w:rFonts w:ascii="Calibri" w:eastAsia="Calibri"/>
              </w:rPr>
              <w:t>60</w:t>
            </w:r>
          </w:hyperlink>
        </w:p>
        <w:p>
          <w:pPr>
            <w:pStyle w:val="TOC1"/>
            <w:tabs>
              <w:tab w:pos="8447" w:val="left" w:leader="dot"/>
            </w:tabs>
            <w:spacing w:before="173"/>
            <w:rPr>
              <w:rFonts w:ascii="Calibri" w:eastAsia="Calibri"/>
            </w:rPr>
          </w:pPr>
          <w:hyperlink w:history="true" w:anchor="_bookmark85">
            <w:r>
              <w:rPr/>
              <w:t>附件</w:t>
            </w:r>
            <w:r>
              <w:rPr>
                <w:spacing w:val="-52"/>
              </w:rPr>
              <w:t> </w:t>
            </w:r>
            <w:r>
              <w:rPr>
                <w:spacing w:val="-3"/>
              </w:rPr>
              <w:t>A </w:t>
            </w:r>
            <w:r>
              <w:rPr>
                <w:spacing w:val="8"/>
              </w:rPr>
              <w:t> </w:t>
            </w:r>
            <w:r>
              <w:rPr>
                <w:spacing w:val="-3"/>
              </w:rPr>
              <w:t>评</w:t>
            </w:r>
            <w:r>
              <w:rPr/>
              <w:t>标</w:t>
            </w:r>
            <w:r>
              <w:rPr>
                <w:spacing w:val="-3"/>
              </w:rPr>
              <w:t>详</w:t>
            </w:r>
            <w:r>
              <w:rPr/>
              <w:t>细</w:t>
            </w:r>
            <w:r>
              <w:rPr>
                <w:spacing w:val="-3"/>
              </w:rPr>
              <w:t>程</w:t>
            </w:r>
            <w:r>
              <w:rPr/>
              <w:t>序</w:t>
              <w:tab/>
            </w:r>
            <w:r>
              <w:rPr>
                <w:rFonts w:ascii="Calibri" w:eastAsia="Calibri"/>
                <w:spacing w:val="-1"/>
              </w:rPr>
              <w:t>61</w:t>
            </w:r>
          </w:hyperlink>
        </w:p>
        <w:p>
          <w:pPr>
            <w:pStyle w:val="TOC1"/>
            <w:tabs>
              <w:tab w:pos="8027" w:val="left" w:leader="dot"/>
            </w:tabs>
            <w:spacing w:before="21"/>
            <w:rPr>
              <w:rFonts w:ascii="Calibri" w:eastAsia="Calibri"/>
            </w:rPr>
          </w:pPr>
          <w:hyperlink w:history="true" w:anchor="_bookmark86">
            <w:r>
              <w:rPr/>
              <w:t>A0</w:t>
            </w:r>
            <w:r>
              <w:rPr>
                <w:spacing w:val="1"/>
              </w:rPr>
              <w:t> </w:t>
            </w:r>
            <w:r>
              <w:rPr/>
              <w:t>总  则</w:t>
              <w:tab/>
            </w:r>
            <w:r>
              <w:rPr>
                <w:rFonts w:ascii="Calibri" w:eastAsia="Calibri"/>
                <w:spacing w:val="-1"/>
              </w:rPr>
              <w:t>61</w:t>
            </w:r>
          </w:hyperlink>
        </w:p>
        <w:p>
          <w:pPr>
            <w:pStyle w:val="TOC1"/>
            <w:tabs>
              <w:tab w:pos="8027" w:val="left" w:leader="dot"/>
            </w:tabs>
            <w:spacing w:before="4"/>
            <w:rPr>
              <w:rFonts w:ascii="Calibri" w:eastAsia="Calibri"/>
            </w:rPr>
          </w:pPr>
          <w:hyperlink w:history="true" w:anchor="_bookmark87">
            <w:r>
              <w:rPr/>
              <w:t>A1</w:t>
            </w:r>
            <w:r>
              <w:rPr>
                <w:spacing w:val="3"/>
              </w:rPr>
              <w:t> </w:t>
            </w:r>
            <w:r>
              <w:rPr>
                <w:spacing w:val="-3"/>
              </w:rPr>
              <w:t>基</w:t>
            </w:r>
            <w:r>
              <w:rPr/>
              <w:t>本</w:t>
            </w:r>
            <w:r>
              <w:rPr>
                <w:spacing w:val="-3"/>
              </w:rPr>
              <w:t>程</w:t>
            </w:r>
            <w:r>
              <w:rPr/>
              <w:t>序</w:t>
              <w:tab/>
            </w:r>
            <w:r>
              <w:rPr>
                <w:rFonts w:ascii="Calibri" w:eastAsia="Calibri"/>
                <w:spacing w:val="-1"/>
              </w:rPr>
              <w:t>61</w:t>
            </w:r>
          </w:hyperlink>
        </w:p>
        <w:p>
          <w:pPr>
            <w:pStyle w:val="TOC1"/>
            <w:tabs>
              <w:tab w:pos="8027" w:val="left" w:leader="dot"/>
            </w:tabs>
            <w:spacing w:before="3"/>
            <w:rPr>
              <w:rFonts w:ascii="Calibri" w:eastAsia="Calibri"/>
            </w:rPr>
          </w:pPr>
          <w:hyperlink w:history="true" w:anchor="_bookmark88">
            <w:r>
              <w:rPr/>
              <w:t>A2</w:t>
            </w:r>
            <w:r>
              <w:rPr>
                <w:spacing w:val="3"/>
              </w:rPr>
              <w:t> </w:t>
            </w:r>
            <w:r>
              <w:rPr>
                <w:spacing w:val="-3"/>
              </w:rPr>
              <w:t>评</w:t>
            </w:r>
            <w:r>
              <w:rPr/>
              <w:t>标</w:t>
            </w:r>
            <w:r>
              <w:rPr>
                <w:spacing w:val="-3"/>
              </w:rPr>
              <w:t>准</w:t>
            </w:r>
            <w:r>
              <w:rPr/>
              <w:t>备</w:t>
              <w:tab/>
            </w:r>
            <w:r>
              <w:rPr>
                <w:rFonts w:ascii="Calibri" w:eastAsia="Calibri"/>
                <w:spacing w:val="-1"/>
              </w:rPr>
              <w:t>61</w:t>
            </w:r>
          </w:hyperlink>
        </w:p>
        <w:p>
          <w:pPr>
            <w:pStyle w:val="TOC1"/>
            <w:tabs>
              <w:tab w:pos="8029" w:val="left" w:leader="dot"/>
            </w:tabs>
            <w:spacing w:before="4"/>
            <w:ind w:right="1165"/>
            <w:rPr>
              <w:rFonts w:ascii="Calibri" w:eastAsia="Calibri"/>
            </w:rPr>
          </w:pPr>
          <w:hyperlink w:history="true" w:anchor="_bookmark89">
            <w:r>
              <w:rPr/>
              <w:t>A3</w:t>
            </w:r>
            <w:r>
              <w:rPr>
                <w:spacing w:val="3"/>
              </w:rPr>
              <w:t> </w:t>
            </w:r>
            <w:r>
              <w:rPr>
                <w:spacing w:val="-3"/>
              </w:rPr>
              <w:t>初</w:t>
            </w:r>
            <w:r>
              <w:rPr/>
              <w:t>步</w:t>
            </w:r>
            <w:r>
              <w:rPr>
                <w:spacing w:val="-3"/>
              </w:rPr>
              <w:t>评</w:t>
            </w:r>
            <w:r>
              <w:rPr/>
              <w:t>审</w:t>
              <w:tab/>
            </w:r>
            <w:r>
              <w:rPr>
                <w:rFonts w:ascii="Calibri" w:eastAsia="Calibri"/>
                <w:spacing w:val="-3"/>
              </w:rPr>
              <w:t>62</w:t>
            </w:r>
          </w:hyperlink>
        </w:p>
        <w:p>
          <w:pPr>
            <w:pStyle w:val="TOC1"/>
            <w:tabs>
              <w:tab w:pos="8029" w:val="left" w:leader="dot"/>
            </w:tabs>
            <w:ind w:right="1165"/>
            <w:rPr>
              <w:rFonts w:ascii="Calibri" w:eastAsia="Calibri"/>
            </w:rPr>
          </w:pPr>
          <w:hyperlink w:history="true" w:anchor="_bookmark90">
            <w:r>
              <w:rPr/>
              <w:t>A4</w:t>
            </w:r>
            <w:r>
              <w:rPr>
                <w:spacing w:val="3"/>
              </w:rPr>
              <w:t> </w:t>
            </w:r>
            <w:r>
              <w:rPr>
                <w:spacing w:val="-3"/>
              </w:rPr>
              <w:t>详</w:t>
            </w:r>
            <w:r>
              <w:rPr/>
              <w:t>细</w:t>
            </w:r>
            <w:r>
              <w:rPr>
                <w:spacing w:val="-3"/>
              </w:rPr>
              <w:t>评</w:t>
            </w:r>
            <w:r>
              <w:rPr/>
              <w:t>审</w:t>
              <w:tab/>
            </w:r>
            <w:r>
              <w:rPr>
                <w:rFonts w:ascii="Calibri" w:eastAsia="Calibri"/>
                <w:spacing w:val="-3"/>
              </w:rPr>
              <w:t>62</w:t>
            </w:r>
          </w:hyperlink>
        </w:p>
        <w:p>
          <w:pPr>
            <w:pStyle w:val="TOC1"/>
            <w:tabs>
              <w:tab w:pos="8027" w:val="left" w:leader="dot"/>
            </w:tabs>
            <w:spacing w:before="5"/>
            <w:rPr>
              <w:rFonts w:ascii="Calibri" w:eastAsia="Calibri"/>
            </w:rPr>
          </w:pPr>
          <w:hyperlink w:history="true" w:anchor="_bookmark91">
            <w:r>
              <w:rPr/>
              <w:t>A5</w:t>
            </w:r>
            <w:r>
              <w:rPr>
                <w:spacing w:val="9"/>
              </w:rPr>
              <w:t> </w:t>
            </w:r>
            <w:r>
              <w:rPr>
                <w:spacing w:val="-3"/>
              </w:rPr>
              <w:t>推</w:t>
            </w:r>
            <w:r>
              <w:rPr/>
              <w:t>荐</w:t>
            </w:r>
            <w:r>
              <w:rPr>
                <w:spacing w:val="-3"/>
              </w:rPr>
              <w:t>中</w:t>
            </w:r>
            <w:r>
              <w:rPr/>
              <w:t>标</w:t>
            </w:r>
            <w:r>
              <w:rPr>
                <w:spacing w:val="-3"/>
              </w:rPr>
              <w:t>候</w:t>
            </w:r>
            <w:r>
              <w:rPr/>
              <w:t>选</w:t>
            </w:r>
            <w:r>
              <w:rPr>
                <w:spacing w:val="-3"/>
              </w:rPr>
              <w:t>人</w:t>
            </w:r>
            <w:r>
              <w:rPr/>
              <w:t>或</w:t>
            </w:r>
            <w:r>
              <w:rPr>
                <w:spacing w:val="-3"/>
              </w:rPr>
              <w:t>者直</w:t>
            </w:r>
            <w:r>
              <w:rPr/>
              <w:t>接确</w:t>
            </w:r>
            <w:r>
              <w:rPr>
                <w:spacing w:val="-3"/>
              </w:rPr>
              <w:t>定</w:t>
            </w:r>
            <w:r>
              <w:rPr/>
              <w:t>中</w:t>
            </w:r>
            <w:r>
              <w:rPr>
                <w:spacing w:val="-3"/>
              </w:rPr>
              <w:t>标</w:t>
            </w:r>
            <w:r>
              <w:rPr/>
              <w:t>人</w:t>
              <w:tab/>
            </w:r>
            <w:r>
              <w:rPr>
                <w:rFonts w:ascii="Calibri" w:eastAsia="Calibri"/>
                <w:spacing w:val="-1"/>
              </w:rPr>
              <w:t>64</w:t>
            </w:r>
          </w:hyperlink>
        </w:p>
        <w:p>
          <w:pPr>
            <w:pStyle w:val="TOC1"/>
            <w:tabs>
              <w:tab w:pos="8027" w:val="left" w:leader="dot"/>
            </w:tabs>
            <w:spacing w:after="20"/>
            <w:rPr>
              <w:rFonts w:ascii="Calibri" w:eastAsia="Calibri"/>
            </w:rPr>
          </w:pPr>
          <w:hyperlink w:history="true" w:anchor="_bookmark92">
            <w:r>
              <w:rPr/>
              <w:t>A6</w:t>
            </w:r>
            <w:r>
              <w:rPr>
                <w:spacing w:val="5"/>
              </w:rPr>
              <w:t> </w:t>
            </w:r>
            <w:r>
              <w:rPr>
                <w:spacing w:val="-3"/>
              </w:rPr>
              <w:t>特</w:t>
            </w:r>
            <w:r>
              <w:rPr/>
              <w:t>殊</w:t>
            </w:r>
            <w:r>
              <w:rPr>
                <w:spacing w:val="-3"/>
              </w:rPr>
              <w:t>情</w:t>
            </w:r>
            <w:r>
              <w:rPr/>
              <w:t>况</w:t>
            </w:r>
            <w:r>
              <w:rPr>
                <w:spacing w:val="-3"/>
              </w:rPr>
              <w:t>的</w:t>
            </w:r>
            <w:r>
              <w:rPr/>
              <w:t>处</w:t>
            </w:r>
            <w:r>
              <w:rPr>
                <w:spacing w:val="-3"/>
              </w:rPr>
              <w:t>置</w:t>
            </w:r>
            <w:r>
              <w:rPr/>
              <w:t>程序</w:t>
              <w:tab/>
            </w:r>
            <w:r>
              <w:rPr>
                <w:rFonts w:ascii="Calibri" w:eastAsia="Calibri"/>
                <w:spacing w:val="-1"/>
              </w:rPr>
              <w:t>65</w:t>
            </w:r>
          </w:hyperlink>
        </w:p>
        <w:p>
          <w:pPr>
            <w:pStyle w:val="TOC1"/>
            <w:tabs>
              <w:tab w:pos="8027" w:val="left" w:leader="dot"/>
            </w:tabs>
            <w:spacing w:before="43"/>
            <w:rPr>
              <w:rFonts w:ascii="Calibri" w:eastAsia="Calibri"/>
            </w:rPr>
          </w:pPr>
          <w:hyperlink w:history="true" w:anchor="_bookmark93">
            <w:r>
              <w:rPr/>
              <w:t>A7</w:t>
            </w:r>
            <w:r>
              <w:rPr>
                <w:spacing w:val="3"/>
              </w:rPr>
              <w:t> </w:t>
            </w:r>
            <w:r>
              <w:rPr>
                <w:spacing w:val="-3"/>
              </w:rPr>
              <w:t>补</w:t>
            </w:r>
            <w:r>
              <w:rPr/>
              <w:t>充</w:t>
            </w:r>
            <w:r>
              <w:rPr>
                <w:spacing w:val="-3"/>
              </w:rPr>
              <w:t>条</w:t>
            </w:r>
            <w:r>
              <w:rPr/>
              <w:t>款</w:t>
              <w:tab/>
            </w:r>
            <w:r>
              <w:rPr>
                <w:rFonts w:ascii="Calibri" w:eastAsia="Calibri"/>
                <w:spacing w:val="-1"/>
              </w:rPr>
              <w:t>65</w:t>
            </w:r>
          </w:hyperlink>
        </w:p>
        <w:p>
          <w:pPr>
            <w:pStyle w:val="TOC1"/>
            <w:tabs>
              <w:tab w:pos="8447" w:val="left" w:leader="dot"/>
            </w:tabs>
            <w:spacing w:before="170"/>
            <w:rPr>
              <w:rFonts w:ascii="Calibri" w:eastAsia="Calibri"/>
            </w:rPr>
          </w:pPr>
          <w:hyperlink w:history="true" w:anchor="_bookmark94">
            <w:r>
              <w:rPr/>
              <w:t>附件</w:t>
            </w:r>
            <w:r>
              <w:rPr>
                <w:spacing w:val="-52"/>
              </w:rPr>
              <w:t> </w:t>
            </w:r>
            <w:r>
              <w:rPr>
                <w:spacing w:val="-3"/>
              </w:rPr>
              <w:t>B </w:t>
            </w:r>
            <w:r>
              <w:rPr>
                <w:spacing w:val="8"/>
              </w:rPr>
              <w:t> </w:t>
            </w:r>
            <w:r>
              <w:rPr>
                <w:spacing w:val="-3"/>
              </w:rPr>
              <w:t>否</w:t>
            </w:r>
            <w:r>
              <w:rPr/>
              <w:t>决</w:t>
            </w:r>
            <w:r>
              <w:rPr>
                <w:spacing w:val="-3"/>
              </w:rPr>
              <w:t>投</w:t>
            </w:r>
            <w:r>
              <w:rPr/>
              <w:t>标</w:t>
            </w:r>
            <w:r>
              <w:rPr>
                <w:spacing w:val="-3"/>
              </w:rPr>
              <w:t>条</w:t>
            </w:r>
            <w:r>
              <w:rPr/>
              <w:t>件</w:t>
              <w:tab/>
            </w:r>
            <w:r>
              <w:rPr>
                <w:rFonts w:ascii="Calibri" w:eastAsia="Calibri"/>
                <w:spacing w:val="-1"/>
              </w:rPr>
              <w:t>65</w:t>
            </w:r>
          </w:hyperlink>
        </w:p>
        <w:p>
          <w:pPr>
            <w:pStyle w:val="TOC1"/>
            <w:tabs>
              <w:tab w:pos="8027" w:val="left" w:leader="dot"/>
            </w:tabs>
            <w:spacing w:before="24"/>
            <w:rPr>
              <w:rFonts w:ascii="Calibri" w:eastAsia="Calibri"/>
            </w:rPr>
          </w:pPr>
          <w:hyperlink w:history="true" w:anchor="_bookmark95">
            <w:r>
              <w:rPr/>
              <w:t>B0</w:t>
            </w:r>
            <w:r>
              <w:rPr>
                <w:spacing w:val="1"/>
              </w:rPr>
              <w:t> </w:t>
            </w:r>
            <w:r>
              <w:rPr/>
              <w:t>总  则</w:t>
              <w:tab/>
            </w:r>
            <w:r>
              <w:rPr>
                <w:rFonts w:ascii="Calibri" w:eastAsia="Calibri"/>
                <w:spacing w:val="-1"/>
              </w:rPr>
              <w:t>65</w:t>
            </w:r>
          </w:hyperlink>
        </w:p>
        <w:p>
          <w:pPr>
            <w:pStyle w:val="TOC1"/>
            <w:tabs>
              <w:tab w:pos="8027" w:val="left" w:leader="dot"/>
            </w:tabs>
            <w:spacing w:before="4"/>
            <w:rPr>
              <w:rFonts w:ascii="Calibri" w:eastAsia="Calibri"/>
            </w:rPr>
          </w:pPr>
          <w:hyperlink w:history="true" w:anchor="_bookmark96">
            <w:r>
              <w:rPr/>
              <w:t>B1</w:t>
            </w:r>
            <w:r>
              <w:rPr>
                <w:spacing w:val="4"/>
              </w:rPr>
              <w:t> </w:t>
            </w:r>
            <w:r>
              <w:rPr>
                <w:spacing w:val="-3"/>
              </w:rPr>
              <w:t>否</w:t>
            </w:r>
            <w:r>
              <w:rPr/>
              <w:t>决</w:t>
            </w:r>
            <w:r>
              <w:rPr>
                <w:spacing w:val="-3"/>
              </w:rPr>
              <w:t>投</w:t>
            </w:r>
            <w:r>
              <w:rPr/>
              <w:t>标</w:t>
            </w:r>
            <w:r>
              <w:rPr>
                <w:spacing w:val="-3"/>
              </w:rPr>
              <w:t>条</w:t>
            </w:r>
            <w:r>
              <w:rPr/>
              <w:t>件</w:t>
              <w:tab/>
            </w:r>
            <w:r>
              <w:rPr>
                <w:rFonts w:ascii="Calibri" w:eastAsia="Calibri"/>
                <w:spacing w:val="-1"/>
              </w:rPr>
              <w:t>66</w:t>
            </w:r>
          </w:hyperlink>
        </w:p>
        <w:p>
          <w:pPr>
            <w:pStyle w:val="TOC1"/>
            <w:tabs>
              <w:tab w:pos="8447" w:val="left" w:leader="dot"/>
            </w:tabs>
            <w:spacing w:before="170"/>
            <w:rPr>
              <w:rFonts w:ascii="Calibri" w:eastAsia="Calibri"/>
            </w:rPr>
          </w:pPr>
          <w:hyperlink w:history="true" w:anchor="_bookmark97">
            <w:r>
              <w:rPr/>
              <w:t>第四</w:t>
            </w:r>
            <w:r>
              <w:rPr>
                <w:spacing w:val="-3"/>
              </w:rPr>
              <w:t>章 </w:t>
            </w:r>
            <w:r>
              <w:rPr>
                <w:spacing w:val="11"/>
              </w:rPr>
              <w:t> </w:t>
            </w:r>
            <w:r>
              <w:rPr>
                <w:spacing w:val="-3"/>
              </w:rPr>
              <w:t>合</w:t>
            </w:r>
            <w:r>
              <w:rPr/>
              <w:t>同</w:t>
            </w:r>
            <w:r>
              <w:rPr>
                <w:spacing w:val="-3"/>
              </w:rPr>
              <w:t>条</w:t>
            </w:r>
            <w:r>
              <w:rPr/>
              <w:t>款</w:t>
            </w:r>
            <w:r>
              <w:rPr>
                <w:spacing w:val="-3"/>
              </w:rPr>
              <w:t>及</w:t>
            </w:r>
            <w:r>
              <w:rPr/>
              <w:t>格式</w:t>
              <w:tab/>
            </w:r>
            <w:r>
              <w:rPr>
                <w:rFonts w:ascii="Calibri" w:eastAsia="Calibri"/>
                <w:spacing w:val="-1"/>
              </w:rPr>
              <w:t>68</w:t>
            </w:r>
          </w:hyperlink>
        </w:p>
        <w:p>
          <w:pPr>
            <w:pStyle w:val="TOC1"/>
            <w:tabs>
              <w:tab w:pos="8447" w:val="left" w:leader="dot"/>
            </w:tabs>
            <w:spacing w:before="192"/>
            <w:rPr>
              <w:rFonts w:ascii="Calibri" w:eastAsia="Calibri"/>
            </w:rPr>
          </w:pPr>
          <w:hyperlink w:history="true" w:anchor="_bookmark98">
            <w:r>
              <w:rPr/>
              <w:t>第一</w:t>
            </w:r>
            <w:r>
              <w:rPr>
                <w:spacing w:val="-3"/>
              </w:rPr>
              <w:t>部</w:t>
            </w:r>
            <w:r>
              <w:rPr/>
              <w:t>分</w:t>
            </w:r>
            <w:r>
              <w:rPr>
                <w:spacing w:val="1"/>
              </w:rPr>
              <w:t> </w:t>
            </w:r>
            <w:r>
              <w:rPr/>
              <w:t>合</w:t>
            </w:r>
            <w:r>
              <w:rPr>
                <w:spacing w:val="-3"/>
              </w:rPr>
              <w:t>同</w:t>
            </w:r>
            <w:r>
              <w:rPr/>
              <w:t>协</w:t>
            </w:r>
            <w:r>
              <w:rPr>
                <w:spacing w:val="-3"/>
              </w:rPr>
              <w:t>议</w:t>
            </w:r>
            <w:r>
              <w:rPr/>
              <w:t>书</w:t>
              <w:tab/>
            </w:r>
            <w:r>
              <w:rPr>
                <w:rFonts w:ascii="Calibri" w:eastAsia="Calibri"/>
                <w:spacing w:val="-1"/>
              </w:rPr>
              <w:t>68</w:t>
            </w:r>
          </w:hyperlink>
        </w:p>
        <w:p>
          <w:pPr>
            <w:pStyle w:val="TOC1"/>
            <w:tabs>
              <w:tab w:pos="8444" w:val="left" w:leader="dot"/>
            </w:tabs>
            <w:spacing w:before="190"/>
            <w:ind w:right="1160"/>
            <w:rPr>
              <w:rFonts w:ascii="Calibri" w:eastAsia="Calibri"/>
            </w:rPr>
          </w:pPr>
          <w:hyperlink w:history="true" w:anchor="_bookmark99">
            <w:r>
              <w:rPr/>
              <w:t>第二</w:t>
            </w:r>
            <w:r>
              <w:rPr>
                <w:spacing w:val="-3"/>
              </w:rPr>
              <w:t>部</w:t>
            </w:r>
            <w:r>
              <w:rPr/>
              <w:t>分</w:t>
            </w:r>
            <w:r>
              <w:rPr>
                <w:spacing w:val="2"/>
              </w:rPr>
              <w:t> </w:t>
            </w:r>
            <w:r>
              <w:rPr/>
              <w:t>通</w:t>
            </w:r>
            <w:r>
              <w:rPr>
                <w:spacing w:val="-3"/>
              </w:rPr>
              <w:t>用</w:t>
            </w:r>
            <w:r>
              <w:rPr/>
              <w:t>合</w:t>
            </w:r>
            <w:r>
              <w:rPr>
                <w:spacing w:val="-3"/>
              </w:rPr>
              <w:t>同</w:t>
            </w:r>
            <w:r>
              <w:rPr/>
              <w:t>条款</w:t>
              <w:tab/>
            </w:r>
            <w:r>
              <w:rPr>
                <w:rFonts w:ascii="Calibri" w:eastAsia="Calibri"/>
                <w:spacing w:val="2"/>
              </w:rPr>
              <w:t>71</w:t>
            </w:r>
          </w:hyperlink>
        </w:p>
        <w:p>
          <w:pPr>
            <w:pStyle w:val="TOC1"/>
            <w:tabs>
              <w:tab w:pos="8444" w:val="left" w:leader="dot"/>
            </w:tabs>
            <w:spacing w:before="191"/>
            <w:ind w:right="1160"/>
            <w:rPr>
              <w:rFonts w:ascii="Calibri" w:eastAsia="Calibri"/>
            </w:rPr>
          </w:pPr>
          <w:hyperlink w:history="true" w:anchor="_bookmark100">
            <w:r>
              <w:rPr/>
              <w:t>第三</w:t>
            </w:r>
            <w:r>
              <w:rPr>
                <w:spacing w:val="-3"/>
              </w:rPr>
              <w:t>部</w:t>
            </w:r>
            <w:r>
              <w:rPr/>
              <w:t>分</w:t>
            </w:r>
            <w:r>
              <w:rPr>
                <w:spacing w:val="2"/>
              </w:rPr>
              <w:t> </w:t>
            </w:r>
            <w:r>
              <w:rPr/>
              <w:t>专</w:t>
            </w:r>
            <w:r>
              <w:rPr>
                <w:spacing w:val="-3"/>
              </w:rPr>
              <w:t>用</w:t>
            </w:r>
            <w:r>
              <w:rPr/>
              <w:t>合</w:t>
            </w:r>
            <w:r>
              <w:rPr>
                <w:spacing w:val="-3"/>
              </w:rPr>
              <w:t>同</w:t>
            </w:r>
            <w:r>
              <w:rPr/>
              <w:t>条款</w:t>
              <w:tab/>
            </w:r>
            <w:r>
              <w:rPr>
                <w:rFonts w:ascii="Calibri" w:eastAsia="Calibri"/>
                <w:spacing w:val="2"/>
              </w:rPr>
              <w:t>71</w:t>
            </w:r>
          </w:hyperlink>
        </w:p>
        <w:p>
          <w:pPr>
            <w:pStyle w:val="TOC1"/>
            <w:tabs>
              <w:tab w:pos="8341" w:val="left" w:leader="dot"/>
            </w:tabs>
            <w:spacing w:before="192"/>
            <w:ind w:right="1164"/>
            <w:rPr>
              <w:rFonts w:ascii="Calibri" w:eastAsia="Calibri"/>
            </w:rPr>
          </w:pPr>
          <w:hyperlink w:history="true" w:anchor="_bookmark101">
            <w:r>
              <w:rPr/>
              <w:t>第五</w:t>
            </w:r>
            <w:r>
              <w:rPr>
                <w:spacing w:val="-3"/>
              </w:rPr>
              <w:t>章</w:t>
            </w:r>
            <w:r>
              <w:rPr>
                <w:spacing w:val="4"/>
              </w:rPr>
              <w:t> </w:t>
            </w:r>
            <w:r>
              <w:rPr>
                <w:spacing w:val="-3"/>
              </w:rPr>
              <w:t>工</w:t>
            </w:r>
            <w:r>
              <w:rPr/>
              <w:t>程</w:t>
            </w:r>
            <w:r>
              <w:rPr>
                <w:spacing w:val="-3"/>
              </w:rPr>
              <w:t>量</w:t>
            </w:r>
            <w:r>
              <w:rPr/>
              <w:t>清单</w:t>
              <w:tab/>
            </w:r>
            <w:r>
              <w:rPr>
                <w:rFonts w:ascii="Calibri" w:eastAsia="Calibri"/>
                <w:spacing w:val="-1"/>
              </w:rPr>
              <w:t>109</w:t>
            </w:r>
          </w:hyperlink>
        </w:p>
        <w:p>
          <w:pPr>
            <w:pStyle w:val="TOC1"/>
            <w:tabs>
              <w:tab w:pos="7921" w:val="left" w:leader="dot"/>
            </w:tabs>
            <w:spacing w:before="21"/>
            <w:ind w:right="1164"/>
            <w:rPr>
              <w:rFonts w:ascii="Calibri" w:eastAsia="Calibri"/>
            </w:rPr>
          </w:pPr>
          <w:hyperlink w:history="true" w:anchor="_bookmark102">
            <w:r>
              <w:rPr/>
              <w:t>1</w:t>
            </w:r>
            <w:r>
              <w:rPr>
                <w:spacing w:val="5"/>
              </w:rPr>
              <w:t> </w:t>
            </w:r>
            <w:r>
              <w:rPr/>
              <w:t>工</w:t>
            </w:r>
            <w:r>
              <w:rPr>
                <w:spacing w:val="-3"/>
              </w:rPr>
              <w:t>程</w:t>
            </w:r>
            <w:r>
              <w:rPr/>
              <w:t>量</w:t>
            </w:r>
            <w:r>
              <w:rPr>
                <w:spacing w:val="-3"/>
              </w:rPr>
              <w:t>清</w:t>
            </w:r>
            <w:r>
              <w:rPr/>
              <w:t>单</w:t>
            </w:r>
            <w:r>
              <w:rPr>
                <w:spacing w:val="-3"/>
              </w:rPr>
              <w:t>编</w:t>
            </w:r>
            <w:r>
              <w:rPr/>
              <w:t>制</w:t>
            </w:r>
            <w:r>
              <w:rPr>
                <w:spacing w:val="-3"/>
              </w:rPr>
              <w:t>说</w:t>
            </w:r>
            <w:r>
              <w:rPr/>
              <w:t>明</w:t>
              <w:tab/>
            </w:r>
            <w:r>
              <w:rPr>
                <w:rFonts w:ascii="Calibri" w:eastAsia="Calibri"/>
                <w:spacing w:val="-1"/>
              </w:rPr>
              <w:t>109</w:t>
            </w:r>
          </w:hyperlink>
        </w:p>
        <w:p>
          <w:pPr>
            <w:pStyle w:val="TOC1"/>
            <w:tabs>
              <w:tab w:pos="7921" w:val="left" w:leader="dot"/>
            </w:tabs>
            <w:spacing w:before="5"/>
            <w:ind w:right="1164"/>
            <w:rPr>
              <w:rFonts w:ascii="Calibri" w:eastAsia="Calibri"/>
            </w:rPr>
          </w:pPr>
          <w:hyperlink w:history="true" w:anchor="_bookmark103">
            <w:r>
              <w:rPr/>
              <w:t>2</w:t>
            </w:r>
            <w:r>
              <w:rPr>
                <w:spacing w:val="5"/>
              </w:rPr>
              <w:t> </w:t>
            </w:r>
            <w:r>
              <w:rPr/>
              <w:t>招</w:t>
            </w:r>
            <w:r>
              <w:rPr>
                <w:spacing w:val="-3"/>
              </w:rPr>
              <w:t>标</w:t>
            </w:r>
            <w:r>
              <w:rPr/>
              <w:t>控</w:t>
            </w:r>
            <w:r>
              <w:rPr>
                <w:spacing w:val="-3"/>
              </w:rPr>
              <w:t>制</w:t>
            </w:r>
            <w:r>
              <w:rPr/>
              <w:t>价</w:t>
            </w:r>
            <w:r>
              <w:rPr>
                <w:spacing w:val="-3"/>
              </w:rPr>
              <w:t>编</w:t>
            </w:r>
            <w:r>
              <w:rPr/>
              <w:t>制</w:t>
            </w:r>
            <w:r>
              <w:rPr>
                <w:spacing w:val="-3"/>
              </w:rPr>
              <w:t>说</w:t>
            </w:r>
            <w:r>
              <w:rPr/>
              <w:t>明</w:t>
              <w:tab/>
            </w:r>
            <w:r>
              <w:rPr>
                <w:rFonts w:ascii="Calibri" w:eastAsia="Calibri"/>
                <w:spacing w:val="-1"/>
              </w:rPr>
              <w:t>110</w:t>
            </w:r>
          </w:hyperlink>
        </w:p>
        <w:p>
          <w:pPr>
            <w:pStyle w:val="TOC1"/>
            <w:tabs>
              <w:tab w:pos="7921" w:val="left" w:leader="dot"/>
            </w:tabs>
            <w:spacing w:before="3"/>
            <w:ind w:right="1164"/>
            <w:rPr>
              <w:rFonts w:ascii="Calibri" w:eastAsia="Calibri"/>
            </w:rPr>
          </w:pPr>
          <w:hyperlink w:history="true" w:anchor="_bookmark104">
            <w:r>
              <w:rPr/>
              <w:t>3</w:t>
            </w:r>
            <w:r>
              <w:rPr>
                <w:spacing w:val="9"/>
              </w:rPr>
              <w:t> </w:t>
            </w:r>
            <w:r>
              <w:rPr/>
              <w:t>投</w:t>
            </w:r>
            <w:r>
              <w:rPr>
                <w:spacing w:val="-3"/>
              </w:rPr>
              <w:t>标</w:t>
            </w:r>
            <w:r>
              <w:rPr/>
              <w:t>报</w:t>
            </w:r>
            <w:r>
              <w:rPr>
                <w:spacing w:val="-3"/>
              </w:rPr>
              <w:t>价</w:t>
            </w:r>
            <w:r>
              <w:rPr/>
              <w:t>（</w:t>
            </w:r>
            <w:r>
              <w:rPr>
                <w:spacing w:val="-3"/>
              </w:rPr>
              <w:t>已</w:t>
            </w:r>
            <w:r>
              <w:rPr/>
              <w:t>标</w:t>
            </w:r>
            <w:r>
              <w:rPr>
                <w:spacing w:val="-3"/>
              </w:rPr>
              <w:t>价</w:t>
            </w:r>
            <w:r>
              <w:rPr/>
              <w:t>工</w:t>
            </w:r>
            <w:r>
              <w:rPr>
                <w:spacing w:val="-3"/>
              </w:rPr>
              <w:t>程</w:t>
            </w:r>
            <w:r>
              <w:rPr/>
              <w:t>量清</w:t>
            </w:r>
            <w:r>
              <w:rPr>
                <w:spacing w:val="-3"/>
              </w:rPr>
              <w:t>单</w:t>
            </w:r>
            <w:r>
              <w:rPr/>
              <w:t>）</w:t>
            </w:r>
            <w:r>
              <w:rPr>
                <w:spacing w:val="-3"/>
              </w:rPr>
              <w:t>编</w:t>
            </w:r>
            <w:r>
              <w:rPr/>
              <w:t>制</w:t>
            </w:r>
            <w:r>
              <w:rPr>
                <w:spacing w:val="-3"/>
              </w:rPr>
              <w:t>说</w:t>
            </w:r>
            <w:r>
              <w:rPr/>
              <w:t>明</w:t>
              <w:tab/>
            </w:r>
            <w:r>
              <w:rPr>
                <w:rFonts w:ascii="Calibri" w:eastAsia="Calibri"/>
                <w:spacing w:val="-1"/>
              </w:rPr>
              <w:t>112</w:t>
            </w:r>
          </w:hyperlink>
        </w:p>
        <w:p>
          <w:pPr>
            <w:pStyle w:val="TOC1"/>
            <w:tabs>
              <w:tab w:pos="8341" w:val="left" w:leader="dot"/>
            </w:tabs>
            <w:spacing w:before="172"/>
            <w:ind w:right="1164"/>
            <w:rPr>
              <w:rFonts w:ascii="Calibri" w:eastAsia="Calibri"/>
            </w:rPr>
          </w:pPr>
          <w:hyperlink w:history="true" w:anchor="_bookmark105">
            <w:r>
              <w:rPr/>
              <w:t>第六</w:t>
            </w:r>
            <w:r>
              <w:rPr>
                <w:spacing w:val="-3"/>
              </w:rPr>
              <w:t>章</w:t>
            </w:r>
            <w:r>
              <w:rPr>
                <w:spacing w:val="1"/>
              </w:rPr>
              <w:t> </w:t>
            </w:r>
            <w:r>
              <w:rPr/>
              <w:t>图 </w:t>
            </w:r>
            <w:r>
              <w:rPr>
                <w:spacing w:val="1"/>
              </w:rPr>
              <w:t> </w:t>
            </w:r>
            <w:r>
              <w:rPr/>
              <w:t>纸</w:t>
              <w:tab/>
            </w:r>
            <w:r>
              <w:rPr>
                <w:rFonts w:ascii="Calibri" w:eastAsia="Calibri"/>
                <w:spacing w:val="-1"/>
              </w:rPr>
              <w:t>114</w:t>
            </w:r>
          </w:hyperlink>
        </w:p>
        <w:p>
          <w:pPr>
            <w:pStyle w:val="TOC1"/>
            <w:tabs>
              <w:tab w:pos="8341" w:val="left" w:leader="dot"/>
            </w:tabs>
            <w:spacing w:before="192"/>
            <w:ind w:right="1164"/>
            <w:rPr>
              <w:rFonts w:ascii="Calibri" w:eastAsia="Calibri"/>
            </w:rPr>
          </w:pPr>
          <w:hyperlink w:history="true" w:anchor="_bookmark106">
            <w:r>
              <w:rPr/>
              <w:t>第七</w:t>
            </w:r>
            <w:r>
              <w:rPr>
                <w:spacing w:val="-3"/>
              </w:rPr>
              <w:t>章</w:t>
            </w:r>
            <w:r>
              <w:rPr>
                <w:spacing w:val="11"/>
              </w:rPr>
              <w:t> </w:t>
            </w:r>
            <w:r>
              <w:rPr>
                <w:spacing w:val="-3"/>
              </w:rPr>
              <w:t>危</w:t>
            </w:r>
            <w:r>
              <w:rPr/>
              <w:t>险</w:t>
            </w:r>
            <w:r>
              <w:rPr>
                <w:spacing w:val="-3"/>
              </w:rPr>
              <w:t>性</w:t>
            </w:r>
            <w:r>
              <w:rPr/>
              <w:t>较</w:t>
            </w:r>
            <w:r>
              <w:rPr>
                <w:spacing w:val="-3"/>
              </w:rPr>
              <w:t>大</w:t>
            </w:r>
            <w:r>
              <w:rPr/>
              <w:t>的</w:t>
            </w:r>
            <w:r>
              <w:rPr>
                <w:spacing w:val="-3"/>
              </w:rPr>
              <w:t>分部</w:t>
            </w:r>
            <w:r>
              <w:rPr/>
              <w:t>分项</w:t>
            </w:r>
            <w:r>
              <w:rPr>
                <w:spacing w:val="-3"/>
              </w:rPr>
              <w:t>工</w:t>
            </w:r>
            <w:r>
              <w:rPr/>
              <w:t>程</w:t>
            </w:r>
            <w:r>
              <w:rPr>
                <w:spacing w:val="-3"/>
              </w:rPr>
              <w:t>清</w:t>
            </w:r>
            <w:r>
              <w:rPr/>
              <w:t>单</w:t>
            </w:r>
            <w:r>
              <w:rPr>
                <w:spacing w:val="-3"/>
              </w:rPr>
              <w:t>（</w:t>
            </w:r>
            <w:r>
              <w:rPr/>
              <w:t>如</w:t>
            </w:r>
            <w:r>
              <w:rPr>
                <w:spacing w:val="-3"/>
              </w:rPr>
              <w:t>有</w:t>
            </w:r>
            <w:r>
              <w:rPr/>
              <w:t>）</w:t>
              <w:tab/>
            </w:r>
            <w:r>
              <w:rPr>
                <w:rFonts w:ascii="Calibri" w:eastAsia="Calibri"/>
                <w:spacing w:val="-1"/>
              </w:rPr>
              <w:t>115</w:t>
            </w:r>
          </w:hyperlink>
        </w:p>
        <w:p>
          <w:pPr>
            <w:pStyle w:val="TOC1"/>
            <w:tabs>
              <w:tab w:pos="8341" w:val="left" w:leader="dot"/>
            </w:tabs>
            <w:spacing w:before="189"/>
            <w:ind w:right="1164"/>
            <w:rPr>
              <w:rFonts w:ascii="Calibri" w:eastAsia="Calibri"/>
            </w:rPr>
          </w:pPr>
          <w:hyperlink w:history="true" w:anchor="_bookmark107">
            <w:r>
              <w:rPr/>
              <w:t>第八</w:t>
            </w:r>
            <w:r>
              <w:rPr>
                <w:spacing w:val="-3"/>
              </w:rPr>
              <w:t>章</w:t>
            </w:r>
            <w:r>
              <w:rPr>
                <w:spacing w:val="5"/>
              </w:rPr>
              <w:t> </w:t>
            </w:r>
            <w:r>
              <w:rPr>
                <w:spacing w:val="-3"/>
              </w:rPr>
              <w:t>技</w:t>
            </w:r>
            <w:r>
              <w:rPr/>
              <w:t>术</w:t>
            </w:r>
            <w:r>
              <w:rPr>
                <w:spacing w:val="-3"/>
              </w:rPr>
              <w:t>标</w:t>
            </w:r>
            <w:r>
              <w:rPr/>
              <w:t>准</w:t>
            </w:r>
            <w:r>
              <w:rPr>
                <w:spacing w:val="-3"/>
              </w:rPr>
              <w:t>和</w:t>
            </w:r>
            <w:r>
              <w:rPr/>
              <w:t>要求</w:t>
              <w:tab/>
            </w:r>
            <w:r>
              <w:rPr>
                <w:rFonts w:ascii="Calibri" w:eastAsia="Calibri"/>
                <w:spacing w:val="-1"/>
              </w:rPr>
              <w:t>116</w:t>
            </w:r>
          </w:hyperlink>
        </w:p>
        <w:p>
          <w:pPr>
            <w:pStyle w:val="TOC1"/>
            <w:tabs>
              <w:tab w:pos="8343" w:val="left" w:leader="dot"/>
            </w:tabs>
            <w:spacing w:before="192"/>
            <w:ind w:right="1164"/>
            <w:rPr>
              <w:rFonts w:ascii="Calibri" w:eastAsia="Calibri"/>
            </w:rPr>
          </w:pPr>
          <w:hyperlink w:history="true" w:anchor="_bookmark108">
            <w:r>
              <w:rPr/>
              <w:t>第九</w:t>
            </w:r>
            <w:r>
              <w:rPr>
                <w:spacing w:val="-3"/>
              </w:rPr>
              <w:t>章</w:t>
            </w:r>
            <w:r>
              <w:rPr>
                <w:spacing w:val="5"/>
              </w:rPr>
              <w:t> </w:t>
            </w:r>
            <w:r>
              <w:rPr>
                <w:spacing w:val="-3"/>
              </w:rPr>
              <w:t>投</w:t>
            </w:r>
            <w:r>
              <w:rPr/>
              <w:t>标</w:t>
            </w:r>
            <w:r>
              <w:rPr>
                <w:spacing w:val="-3"/>
              </w:rPr>
              <w:t>文</w:t>
            </w:r>
            <w:r>
              <w:rPr/>
              <w:t>件</w:t>
            </w:r>
            <w:r>
              <w:rPr>
                <w:spacing w:val="-3"/>
              </w:rPr>
              <w:t>格</w:t>
            </w:r>
            <w:r>
              <w:rPr/>
              <w:t>式</w:t>
              <w:tab/>
            </w:r>
            <w:r>
              <w:rPr>
                <w:rFonts w:ascii="Calibri" w:eastAsia="Calibri"/>
                <w:spacing w:val="-2"/>
              </w:rPr>
              <w:t>117</w:t>
            </w:r>
          </w:hyperlink>
        </w:p>
        <w:p>
          <w:pPr>
            <w:pStyle w:val="TOC1"/>
            <w:tabs>
              <w:tab w:pos="8341" w:val="left" w:leader="dot"/>
            </w:tabs>
            <w:spacing w:before="192"/>
            <w:ind w:right="1164"/>
            <w:rPr>
              <w:rFonts w:ascii="Calibri" w:eastAsia="Calibri"/>
            </w:rPr>
          </w:pPr>
          <w:hyperlink w:history="true" w:anchor="_bookmark109">
            <w:r>
              <w:rPr>
                <w:rFonts w:ascii="Calibri" w:eastAsia="Calibri"/>
              </w:rPr>
              <w:t>1</w:t>
            </w:r>
            <w:r>
              <w:rPr>
                <w:spacing w:val="-3"/>
              </w:rPr>
              <w:t>、</w:t>
            </w:r>
            <w:r>
              <w:rPr/>
              <w:t>投</w:t>
            </w:r>
            <w:r>
              <w:rPr>
                <w:spacing w:val="-3"/>
              </w:rPr>
              <w:t>标</w:t>
            </w:r>
            <w:r>
              <w:rPr/>
              <w:t>人</w:t>
            </w:r>
            <w:r>
              <w:rPr>
                <w:spacing w:val="-3"/>
              </w:rPr>
              <w:t>基</w:t>
            </w:r>
            <w:r>
              <w:rPr/>
              <w:t>本</w:t>
            </w:r>
            <w:r>
              <w:rPr>
                <w:spacing w:val="-3"/>
              </w:rPr>
              <w:t>情</w:t>
            </w:r>
            <w:r>
              <w:rPr/>
              <w:t>况</w:t>
            </w:r>
            <w:r>
              <w:rPr>
                <w:spacing w:val="-3"/>
              </w:rPr>
              <w:t>表</w:t>
            </w:r>
            <w:r>
              <w:rPr/>
              <w:t>（</w:t>
            </w:r>
            <w:r>
              <w:rPr>
                <w:spacing w:val="-3"/>
              </w:rPr>
              <w:t>包</w:t>
            </w:r>
            <w:r>
              <w:rPr/>
              <w:t>含联</w:t>
            </w:r>
            <w:r>
              <w:rPr>
                <w:spacing w:val="-3"/>
              </w:rPr>
              <w:t>合</w:t>
            </w:r>
            <w:r>
              <w:rPr/>
              <w:t>体</w:t>
            </w:r>
            <w:r>
              <w:rPr>
                <w:spacing w:val="-3"/>
              </w:rPr>
              <w:t>各</w:t>
            </w:r>
            <w:r>
              <w:rPr/>
              <w:t>方）</w:t>
              <w:tab/>
            </w:r>
            <w:r>
              <w:rPr>
                <w:rFonts w:ascii="Calibri" w:eastAsia="Calibri"/>
                <w:spacing w:val="-1"/>
              </w:rPr>
              <w:t>118</w:t>
            </w:r>
          </w:hyperlink>
        </w:p>
        <w:p>
          <w:pPr>
            <w:pStyle w:val="TOC1"/>
            <w:tabs>
              <w:tab w:pos="8341" w:val="left" w:leader="dot"/>
            </w:tabs>
            <w:spacing w:before="189"/>
            <w:ind w:right="1164"/>
            <w:rPr>
              <w:rFonts w:ascii="Calibri" w:eastAsia="Calibri"/>
            </w:rPr>
          </w:pPr>
          <w:hyperlink w:history="true" w:anchor="_bookmark110">
            <w:r>
              <w:rPr>
                <w:rFonts w:ascii="Calibri" w:eastAsia="Calibri"/>
              </w:rPr>
              <w:t>2</w:t>
            </w:r>
            <w:r>
              <w:rPr>
                <w:spacing w:val="-3"/>
              </w:rPr>
              <w:t>、</w:t>
            </w:r>
            <w:r>
              <w:rPr/>
              <w:t>联</w:t>
            </w:r>
            <w:r>
              <w:rPr>
                <w:spacing w:val="-3"/>
              </w:rPr>
              <w:t>合</w:t>
            </w:r>
            <w:r>
              <w:rPr/>
              <w:t>体</w:t>
            </w:r>
            <w:r>
              <w:rPr>
                <w:spacing w:val="-3"/>
              </w:rPr>
              <w:t>协</w:t>
            </w:r>
            <w:r>
              <w:rPr/>
              <w:t>议</w:t>
            </w:r>
            <w:r>
              <w:rPr>
                <w:spacing w:val="-3"/>
              </w:rPr>
              <w:t>书</w:t>
            </w:r>
            <w:r>
              <w:rPr/>
              <w:t>（</w:t>
            </w:r>
            <w:r>
              <w:rPr>
                <w:spacing w:val="-3"/>
              </w:rPr>
              <w:t>联</w:t>
            </w:r>
            <w:r>
              <w:rPr/>
              <w:t>合</w:t>
            </w:r>
            <w:r>
              <w:rPr>
                <w:spacing w:val="-3"/>
              </w:rPr>
              <w:t>体</w:t>
            </w:r>
            <w:r>
              <w:rPr/>
              <w:t>投标</w:t>
            </w:r>
            <w:r>
              <w:rPr>
                <w:spacing w:val="-3"/>
              </w:rPr>
              <w:t>人</w:t>
            </w:r>
            <w:r>
              <w:rPr/>
              <w:t>适</w:t>
            </w:r>
            <w:r>
              <w:rPr>
                <w:spacing w:val="-3"/>
              </w:rPr>
              <w:t>用</w:t>
            </w:r>
            <w:r>
              <w:rPr/>
              <w:t>）</w:t>
              <w:tab/>
            </w:r>
            <w:r>
              <w:rPr>
                <w:rFonts w:ascii="Calibri" w:eastAsia="Calibri"/>
                <w:spacing w:val="-1"/>
              </w:rPr>
              <w:t>119</w:t>
            </w:r>
          </w:hyperlink>
        </w:p>
        <w:p>
          <w:pPr>
            <w:pStyle w:val="TOC2"/>
            <w:tabs>
              <w:tab w:pos="9019" w:val="left" w:leader="dot"/>
            </w:tabs>
            <w:rPr>
              <w:rFonts w:ascii="Calibri" w:eastAsia="Calibri"/>
            </w:rPr>
          </w:pPr>
          <w:hyperlink w:history="true" w:anchor="_bookmark111">
            <w:r>
              <w:rPr>
                <w:rFonts w:ascii="Calibri" w:eastAsia="Calibri"/>
              </w:rPr>
              <w:t>4</w:t>
            </w:r>
            <w:r>
              <w:rPr>
                <w:spacing w:val="-3"/>
              </w:rPr>
              <w:t>、</w:t>
            </w:r>
            <w:r>
              <w:rPr/>
              <w:t>建</w:t>
            </w:r>
            <w:r>
              <w:rPr>
                <w:spacing w:val="-3"/>
              </w:rPr>
              <w:t>设</w:t>
            </w:r>
            <w:r>
              <w:rPr/>
              <w:t>工</w:t>
            </w:r>
            <w:r>
              <w:rPr>
                <w:spacing w:val="-3"/>
              </w:rPr>
              <w:t>程</w:t>
            </w:r>
            <w:r>
              <w:rPr/>
              <w:t>项</w:t>
            </w:r>
            <w:r>
              <w:rPr>
                <w:spacing w:val="-3"/>
              </w:rPr>
              <w:t>目</w:t>
            </w:r>
            <w:r>
              <w:rPr/>
              <w:t>管</w:t>
            </w:r>
            <w:r>
              <w:rPr>
                <w:spacing w:val="-3"/>
              </w:rPr>
              <w:t>理</w:t>
            </w:r>
            <w:r>
              <w:rPr/>
              <w:t>承</w:t>
            </w:r>
            <w:r>
              <w:rPr>
                <w:spacing w:val="-3"/>
              </w:rPr>
              <w:t>诺</w:t>
            </w:r>
            <w:r>
              <w:rPr/>
              <w:t>书</w:t>
              <w:tab/>
            </w:r>
            <w:r>
              <w:rPr>
                <w:rFonts w:ascii="Calibri" w:eastAsia="Calibri"/>
              </w:rPr>
              <w:t>120</w:t>
            </w:r>
          </w:hyperlink>
        </w:p>
        <w:p>
          <w:pPr>
            <w:pStyle w:val="TOC2"/>
            <w:tabs>
              <w:tab w:pos="9019" w:val="left" w:leader="dot"/>
            </w:tabs>
            <w:spacing w:line="355" w:lineRule="auto"/>
            <w:ind w:right="1151"/>
            <w:rPr>
              <w:rFonts w:ascii="Calibri" w:eastAsia="Calibri"/>
            </w:rPr>
          </w:pPr>
          <w:hyperlink w:history="true" w:anchor="_bookmark112">
            <w:r>
              <w:rPr>
                <w:rFonts w:ascii="Calibri" w:eastAsia="Calibri"/>
              </w:rPr>
              <w:t>5</w:t>
            </w:r>
            <w:r>
              <w:rPr>
                <w:spacing w:val="-27"/>
              </w:rPr>
              <w:t>、</w:t>
            </w:r>
            <w:r>
              <w:rPr/>
              <w:t>项</w:t>
            </w:r>
            <w:r>
              <w:rPr>
                <w:spacing w:val="-3"/>
              </w:rPr>
              <w:t>目</w:t>
            </w:r>
            <w:r>
              <w:rPr/>
              <w:t>经理</w:t>
            </w:r>
            <w:r>
              <w:rPr>
                <w:spacing w:val="-3"/>
              </w:rPr>
              <w:t>简</w:t>
            </w:r>
            <w:r>
              <w:rPr/>
              <w:t>历</w:t>
            </w:r>
            <w:r>
              <w:rPr>
                <w:spacing w:val="-27"/>
              </w:rPr>
              <w:t>表</w:t>
            </w:r>
            <w:r>
              <w:rPr/>
              <w:t>（</w:t>
            </w:r>
            <w:r>
              <w:rPr>
                <w:spacing w:val="-3"/>
              </w:rPr>
              <w:t>附已</w:t>
            </w:r>
            <w:r>
              <w:rPr/>
              <w:t>录入</w:t>
            </w:r>
            <w:r>
              <w:rPr>
                <w:spacing w:val="-3"/>
              </w:rPr>
              <w:t>广</w:t>
            </w:r>
            <w:r>
              <w:rPr/>
              <w:t>西</w:t>
            </w:r>
            <w:r>
              <w:rPr>
                <w:spacing w:val="-3"/>
              </w:rPr>
              <w:t>建</w:t>
            </w:r>
            <w:r>
              <w:rPr/>
              <w:t>筑</w:t>
            </w:r>
            <w:r>
              <w:rPr>
                <w:spacing w:val="-3"/>
              </w:rPr>
              <w:t>业</w:t>
            </w:r>
            <w:r>
              <w:rPr/>
              <w:t>企</w:t>
            </w:r>
            <w:r>
              <w:rPr>
                <w:spacing w:val="-3"/>
              </w:rPr>
              <w:t>业</w:t>
            </w:r>
            <w:r>
              <w:rPr/>
              <w:t>诚</w:t>
            </w:r>
            <w:r>
              <w:rPr>
                <w:spacing w:val="-3"/>
              </w:rPr>
              <w:t>信</w:t>
            </w:r>
            <w:r>
              <w:rPr/>
              <w:t>信息</w:t>
            </w:r>
            <w:r>
              <w:rPr>
                <w:spacing w:val="-3"/>
              </w:rPr>
              <w:t>库</w:t>
            </w:r>
            <w:r>
              <w:rPr/>
              <w:t>的</w:t>
            </w:r>
            <w:r>
              <w:rPr>
                <w:spacing w:val="-3"/>
              </w:rPr>
              <w:t>项</w:t>
            </w:r>
            <w:r>
              <w:rPr/>
              <w:t>目</w:t>
            </w:r>
            <w:r>
              <w:rPr>
                <w:spacing w:val="-3"/>
              </w:rPr>
              <w:t>经</w:t>
            </w:r>
            <w:r>
              <w:rPr/>
              <w:t>理</w:t>
            </w:r>
            <w:r>
              <w:rPr>
                <w:spacing w:val="-3"/>
              </w:rPr>
              <w:t>注</w:t>
            </w:r>
            <w:r>
              <w:rPr/>
              <w:t>册</w:t>
            </w:r>
            <w:r>
              <w:rPr>
                <w:spacing w:val="-3"/>
              </w:rPr>
              <w:t>建</w:t>
            </w:r>
            <w:r>
              <w:rPr/>
              <w:t>造师</w:t>
            </w:r>
            <w:r>
              <w:rPr>
                <w:spacing w:val="-3"/>
              </w:rPr>
              <w:t>执</w:t>
            </w:r>
            <w:r>
              <w:rPr/>
              <w:t>业</w:t>
            </w:r>
            <w:r>
              <w:rPr>
                <w:spacing w:val="-3"/>
              </w:rPr>
              <w:t>资</w:t>
            </w:r>
            <w:r>
              <w:rPr/>
              <w:t>格</w:t>
            </w:r>
            <w:r>
              <w:rPr>
                <w:spacing w:val="-3"/>
              </w:rPr>
              <w:t>证</w:t>
            </w:r>
            <w:r>
              <w:rPr/>
              <w:t>书</w:t>
            </w:r>
          </w:hyperlink>
          <w:hyperlink w:history="true" w:anchor="_bookmark112">
            <w:r>
              <w:rPr>
                <w:w w:val="100"/>
              </w:rPr>
              <w:t>和安</w:t>
            </w:r>
            <w:r>
              <w:rPr>
                <w:spacing w:val="-3"/>
                <w:w w:val="100"/>
              </w:rPr>
              <w:t>全</w:t>
            </w:r>
            <w:r>
              <w:rPr>
                <w:w w:val="100"/>
              </w:rPr>
              <w:t>生</w:t>
            </w:r>
            <w:r>
              <w:rPr>
                <w:spacing w:val="-3"/>
                <w:w w:val="100"/>
              </w:rPr>
              <w:t>产</w:t>
            </w:r>
            <w:r>
              <w:rPr>
                <w:w w:val="100"/>
              </w:rPr>
              <w:t>考</w:t>
            </w:r>
            <w:r>
              <w:rPr>
                <w:spacing w:val="-3"/>
                <w:w w:val="100"/>
              </w:rPr>
              <w:t>核</w:t>
            </w:r>
            <w:r>
              <w:rPr>
                <w:w w:val="100"/>
              </w:rPr>
              <w:t>合</w:t>
            </w:r>
            <w:r>
              <w:rPr>
                <w:spacing w:val="-3"/>
                <w:w w:val="100"/>
              </w:rPr>
              <w:t>格</w:t>
            </w:r>
            <w:r>
              <w:rPr>
                <w:w w:val="100"/>
              </w:rPr>
              <w:t>证</w:t>
            </w:r>
            <w:r>
              <w:rPr>
                <w:spacing w:val="-3"/>
                <w:w w:val="100"/>
              </w:rPr>
              <w:t>书</w:t>
            </w:r>
            <w:r>
              <w:rPr>
                <w:w w:val="100"/>
              </w:rPr>
              <w:t>（</w:t>
            </w:r>
            <w:r>
              <w:rPr>
                <w:rFonts w:ascii="Calibri" w:eastAsia="Calibri"/>
                <w:w w:val="100"/>
              </w:rPr>
              <w:t>B</w:t>
            </w:r>
            <w:r>
              <w:rPr>
                <w:rFonts w:ascii="Calibri" w:eastAsia="Calibri"/>
                <w:spacing w:val="3"/>
              </w:rPr>
              <w:t> </w:t>
            </w:r>
            <w:r>
              <w:rPr>
                <w:w w:val="100"/>
              </w:rPr>
              <w:t>类）</w:t>
            </w:r>
            <w:r>
              <w:rPr>
                <w:spacing w:val="-3"/>
                <w:w w:val="100"/>
              </w:rPr>
              <w:t>的</w:t>
            </w:r>
            <w:r>
              <w:rPr>
                <w:w w:val="100"/>
              </w:rPr>
              <w:t>扫</w:t>
            </w:r>
            <w:r>
              <w:rPr>
                <w:spacing w:val="-3"/>
                <w:w w:val="100"/>
              </w:rPr>
              <w:t>描</w:t>
            </w:r>
            <w:r>
              <w:rPr>
                <w:w w:val="100"/>
              </w:rPr>
              <w:t>件</w:t>
            </w:r>
            <w:r>
              <w:rPr>
                <w:spacing w:val="-108"/>
                <w:w w:val="100"/>
              </w:rPr>
              <w:t>）</w:t>
            </w:r>
            <w:r>
              <w:rPr>
                <w:w w:val="100"/>
              </w:rPr>
              <w:t>；</w:t>
            </w:r>
            <w:r>
              <w:rPr>
                <w:rFonts w:ascii="Times New Roman" w:eastAsia="Times New Roman"/>
                <w:w w:val="100"/>
              </w:rPr>
              <w:t> </w:t>
            </w:r>
            <w:r>
              <w:rPr>
                <w:rFonts w:ascii="Times New Roman" w:eastAsia="Times New Roman"/>
              </w:rPr>
              <w:tab/>
            </w:r>
            <w:r>
              <w:rPr>
                <w:rFonts w:ascii="Calibri" w:eastAsia="Calibri"/>
                <w:spacing w:val="-2"/>
                <w:w w:val="100"/>
              </w:rPr>
              <w:t>1</w:t>
            </w:r>
            <w:r>
              <w:rPr>
                <w:rFonts w:ascii="Calibri" w:eastAsia="Calibri"/>
                <w:w w:val="100"/>
              </w:rPr>
              <w:t>25</w:t>
            </w:r>
          </w:hyperlink>
        </w:p>
        <w:p>
          <w:pPr>
            <w:pStyle w:val="TOC2"/>
            <w:tabs>
              <w:tab w:pos="9019" w:val="left" w:leader="dot"/>
            </w:tabs>
            <w:spacing w:before="63"/>
            <w:rPr>
              <w:rFonts w:ascii="Calibri" w:eastAsia="Calibri"/>
            </w:rPr>
          </w:pPr>
          <w:hyperlink w:history="true" w:anchor="_bookmark113">
            <w:r>
              <w:rPr>
                <w:rFonts w:ascii="Calibri" w:eastAsia="Calibri"/>
              </w:rPr>
              <w:t>6</w:t>
            </w:r>
            <w:r>
              <w:rPr>
                <w:spacing w:val="-3"/>
              </w:rPr>
              <w:t>、</w:t>
            </w:r>
            <w:r>
              <w:rPr/>
              <w:t>项</w:t>
            </w:r>
            <w:r>
              <w:rPr>
                <w:spacing w:val="-3"/>
              </w:rPr>
              <w:t>目</w:t>
            </w:r>
            <w:r>
              <w:rPr/>
              <w:t>技</w:t>
            </w:r>
            <w:r>
              <w:rPr>
                <w:spacing w:val="-3"/>
              </w:rPr>
              <w:t>术</w:t>
            </w:r>
            <w:r>
              <w:rPr/>
              <w:t>负</w:t>
            </w:r>
            <w:r>
              <w:rPr>
                <w:spacing w:val="-3"/>
              </w:rPr>
              <w:t>责</w:t>
            </w:r>
            <w:r>
              <w:rPr/>
              <w:t>人</w:t>
            </w:r>
            <w:r>
              <w:rPr>
                <w:spacing w:val="-3"/>
              </w:rPr>
              <w:t>简</w:t>
            </w:r>
            <w:r>
              <w:rPr/>
              <w:t>历</w:t>
            </w:r>
            <w:r>
              <w:rPr>
                <w:spacing w:val="-3"/>
              </w:rPr>
              <w:t>表</w:t>
            </w:r>
            <w:r>
              <w:rPr/>
              <w:t>（附</w:t>
            </w:r>
            <w:r>
              <w:rPr>
                <w:spacing w:val="-3"/>
              </w:rPr>
              <w:t>已</w:t>
            </w:r>
            <w:r>
              <w:rPr/>
              <w:t>录</w:t>
            </w:r>
            <w:r>
              <w:rPr>
                <w:spacing w:val="-3"/>
              </w:rPr>
              <w:t>入</w:t>
            </w:r>
            <w:r>
              <w:rPr/>
              <w:t>广</w:t>
            </w:r>
            <w:r>
              <w:rPr>
                <w:spacing w:val="-3"/>
              </w:rPr>
              <w:t>西</w:t>
            </w:r>
            <w:r>
              <w:rPr/>
              <w:t>建</w:t>
            </w:r>
            <w:r>
              <w:rPr>
                <w:spacing w:val="-3"/>
              </w:rPr>
              <w:t>筑</w:t>
            </w:r>
            <w:r>
              <w:rPr/>
              <w:t>业</w:t>
            </w:r>
            <w:r>
              <w:rPr>
                <w:spacing w:val="-3"/>
              </w:rPr>
              <w:t>企</w:t>
            </w:r>
            <w:r>
              <w:rPr/>
              <w:t>业诚</w:t>
            </w:r>
            <w:r>
              <w:rPr>
                <w:spacing w:val="-3"/>
              </w:rPr>
              <w:t>信</w:t>
            </w:r>
            <w:r>
              <w:rPr/>
              <w:t>信</w:t>
            </w:r>
            <w:r>
              <w:rPr>
                <w:spacing w:val="-3"/>
              </w:rPr>
              <w:t>息</w:t>
            </w:r>
            <w:r>
              <w:rPr/>
              <w:t>库</w:t>
            </w:r>
            <w:r>
              <w:rPr>
                <w:spacing w:val="-3"/>
              </w:rPr>
              <w:t>的</w:t>
            </w:r>
            <w:r>
              <w:rPr/>
              <w:t>职</w:t>
            </w:r>
            <w:r>
              <w:rPr>
                <w:spacing w:val="-3"/>
              </w:rPr>
              <w:t>称</w:t>
            </w:r>
            <w:r>
              <w:rPr/>
              <w:t>证</w:t>
            </w:r>
            <w:r>
              <w:rPr>
                <w:spacing w:val="-3"/>
              </w:rPr>
              <w:t>书</w:t>
            </w:r>
            <w:r>
              <w:rPr/>
              <w:t>的扫</w:t>
            </w:r>
            <w:r>
              <w:rPr>
                <w:spacing w:val="-3"/>
              </w:rPr>
              <w:t>描</w:t>
            </w:r>
            <w:r>
              <w:rPr/>
              <w:t>件；</w:t>
              <w:tab/>
            </w:r>
            <w:r>
              <w:rPr>
                <w:rFonts w:ascii="Calibri" w:eastAsia="Calibri"/>
              </w:rPr>
              <w:t>125</w:t>
            </w:r>
          </w:hyperlink>
        </w:p>
      </w:sdtContent>
    </w:sdt>
    <w:p>
      <w:pPr>
        <w:spacing w:after="0"/>
        <w:rPr>
          <w:rFonts w:ascii="Calibri" w:eastAsia="Calibri"/>
        </w:rPr>
        <w:sectPr>
          <w:type w:val="continuous"/>
          <w:pgSz w:w="11910" w:h="16840"/>
          <w:pgMar w:top="1399" w:bottom="1555" w:left="1120" w:right="280"/>
        </w:sectPr>
      </w:pPr>
    </w:p>
    <w:p>
      <w:pPr>
        <w:pStyle w:val="BodyText"/>
        <w:spacing w:before="191"/>
      </w:pPr>
      <w:hyperlink w:history="true" w:anchor="_bookmark114">
        <w:r>
          <w:rPr>
            <w:rFonts w:ascii="Calibri" w:eastAsia="Calibri"/>
            <w:spacing w:val="3"/>
          </w:rPr>
          <w:t>7</w:t>
        </w:r>
        <w:r>
          <w:rPr/>
          <w:t>、已录入广西建筑业企业诚信信息库的安全员的安全生产考核合格证书</w:t>
        </w:r>
        <w:r>
          <w:rPr>
            <w:spacing w:val="2"/>
          </w:rPr>
          <w:t>（</w:t>
        </w:r>
        <w:r>
          <w:rPr>
            <w:rFonts w:ascii="Calibri" w:eastAsia="Calibri"/>
            <w:spacing w:val="2"/>
          </w:rPr>
          <w:t>C</w:t>
        </w:r>
        <w:r>
          <w:rPr>
            <w:rFonts w:ascii="Calibri" w:eastAsia="Calibri"/>
            <w:spacing w:val="7"/>
          </w:rPr>
          <w:t>    </w:t>
        </w:r>
        <w:r>
          <w:rPr/>
          <w:t>类）的扫描件）</w:t>
        </w:r>
      </w:hyperlink>
    </w:p>
    <w:p>
      <w:pPr>
        <w:pStyle w:val="BodyText"/>
        <w:spacing w:before="140"/>
        <w:ind w:left="728"/>
        <w:rPr>
          <w:rFonts w:ascii="Calibri"/>
        </w:rPr>
      </w:pPr>
      <w:hyperlink w:history="true" w:anchor="_bookmark114">
        <w:r>
          <w:rPr>
            <w:rFonts w:ascii="Calibri"/>
          </w:rPr>
          <w:t>.............................................................................................................................................................125</w:t>
        </w:r>
      </w:hyperlink>
    </w:p>
    <w:p>
      <w:pPr>
        <w:pStyle w:val="BodyText"/>
        <w:spacing w:before="11"/>
        <w:ind w:left="0"/>
        <w:rPr>
          <w:rFonts w:ascii="Calibri"/>
          <w:sz w:val="15"/>
        </w:rPr>
      </w:pPr>
    </w:p>
    <w:p>
      <w:pPr>
        <w:pStyle w:val="BodyText"/>
      </w:pPr>
      <w:hyperlink w:history="true" w:anchor="_bookmark115">
        <w:r>
          <w:rPr>
            <w:rFonts w:ascii="Calibri" w:eastAsia="Calibri"/>
          </w:rPr>
          <w:t>8</w:t>
        </w:r>
        <w:r>
          <w:rPr>
            <w:spacing w:val="-7"/>
          </w:rPr>
          <w:t>、已录入广西建筑业企业诚信信息库的专职投标员、项目经理、技术负责人和主要管理人员近</w:t>
        </w:r>
      </w:hyperlink>
    </w:p>
    <w:p>
      <w:pPr>
        <w:pStyle w:val="BodyText"/>
        <w:tabs>
          <w:tab w:pos="9019" w:val="left" w:leader="dot"/>
        </w:tabs>
        <w:spacing w:before="132"/>
        <w:rPr>
          <w:rFonts w:ascii="Calibri" w:eastAsia="Calibri"/>
        </w:rPr>
      </w:pPr>
      <w:hyperlink w:history="true" w:anchor="_bookmark115">
        <w:r>
          <w:rPr>
            <w:rFonts w:ascii="Calibri" w:eastAsia="Calibri"/>
          </w:rPr>
          <w:t>3</w:t>
        </w:r>
        <w:r>
          <w:rPr>
            <w:rFonts w:ascii="Calibri" w:eastAsia="Calibri"/>
            <w:spacing w:val="14"/>
          </w:rPr>
          <w:t> </w:t>
        </w:r>
        <w:r>
          <w:rPr>
            <w:spacing w:val="-3"/>
          </w:rPr>
          <w:t>个</w:t>
        </w:r>
        <w:r>
          <w:rPr/>
          <w:t>月</w:t>
        </w:r>
        <w:r>
          <w:rPr>
            <w:spacing w:val="-3"/>
          </w:rPr>
          <w:t>在</w:t>
        </w:r>
        <w:r>
          <w:rPr/>
          <w:t>现</w:t>
        </w:r>
        <w:r>
          <w:rPr>
            <w:spacing w:val="-3"/>
          </w:rPr>
          <w:t>任</w:t>
        </w:r>
        <w:r>
          <w:rPr/>
          <w:t>职</w:t>
        </w:r>
        <w:r>
          <w:rPr>
            <w:spacing w:val="-3"/>
          </w:rPr>
          <w:t>单</w:t>
        </w:r>
        <w:r>
          <w:rPr/>
          <w:t>位</w:t>
        </w:r>
        <w:r>
          <w:rPr>
            <w:spacing w:val="-3"/>
          </w:rPr>
          <w:t>依法</w:t>
        </w:r>
        <w:r>
          <w:rPr/>
          <w:t>缴纳</w:t>
        </w:r>
        <w:r>
          <w:rPr>
            <w:spacing w:val="-3"/>
          </w:rPr>
          <w:t>社</w:t>
        </w:r>
        <w:r>
          <w:rPr/>
          <w:t>会</w:t>
        </w:r>
        <w:r>
          <w:rPr>
            <w:spacing w:val="-3"/>
          </w:rPr>
          <w:t>保</w:t>
        </w:r>
        <w:r>
          <w:rPr/>
          <w:t>险</w:t>
        </w:r>
        <w:r>
          <w:rPr>
            <w:spacing w:val="-3"/>
          </w:rPr>
          <w:t>的</w:t>
        </w:r>
        <w:r>
          <w:rPr/>
          <w:t>证</w:t>
        </w:r>
        <w:r>
          <w:rPr>
            <w:spacing w:val="-3"/>
          </w:rPr>
          <w:t>明</w:t>
        </w:r>
        <w:r>
          <w:rPr/>
          <w:t>材</w:t>
        </w:r>
        <w:r>
          <w:rPr>
            <w:spacing w:val="-3"/>
          </w:rPr>
          <w:t>料</w:t>
        </w:r>
        <w:r>
          <w:rPr/>
          <w:t>的扫</w:t>
        </w:r>
        <w:r>
          <w:rPr>
            <w:spacing w:val="-3"/>
          </w:rPr>
          <w:t>描</w:t>
        </w:r>
        <w:r>
          <w:rPr/>
          <w:t>件；</w:t>
          <w:tab/>
        </w:r>
        <w:r>
          <w:rPr>
            <w:rFonts w:ascii="Calibri" w:eastAsia="Calibri"/>
          </w:rPr>
          <w:t>125</w:t>
        </w:r>
      </w:hyperlink>
    </w:p>
    <w:p>
      <w:pPr>
        <w:pStyle w:val="BodyText"/>
        <w:spacing w:before="190"/>
        <w:rPr>
          <w:rFonts w:ascii="Calibri" w:eastAsia="Calibri"/>
        </w:rPr>
      </w:pPr>
      <w:hyperlink w:history="true" w:anchor="_bookmark116">
        <w:r>
          <w:rPr>
            <w:rFonts w:ascii="Calibri" w:eastAsia="Calibri"/>
          </w:rPr>
          <w:t>9</w:t>
        </w:r>
        <w:r>
          <w:rPr>
            <w:spacing w:val="-20"/>
          </w:rPr>
          <w:t>、资格审查需要的其他材料：项目管理机构配备情况表、拟投入施工机械设备情况表、企业 </w:t>
        </w:r>
        <w:r>
          <w:rPr>
            <w:rFonts w:ascii="Calibri" w:eastAsia="Calibri"/>
          </w:rPr>
          <w:t>2017</w:t>
        </w:r>
      </w:hyperlink>
    </w:p>
    <w:p>
      <w:pPr>
        <w:pStyle w:val="BodyText"/>
        <w:spacing w:before="132"/>
      </w:pPr>
      <w:hyperlink w:history="true" w:anchor="_bookmark116">
        <w:r>
          <w:rPr>
            <w:spacing w:val="-14"/>
          </w:rPr>
          <w:t>年 </w:t>
        </w:r>
        <w:r>
          <w:rPr>
            <w:rFonts w:ascii="Calibri" w:eastAsia="Calibri"/>
          </w:rPr>
          <w:t>7</w:t>
        </w:r>
        <w:r>
          <w:rPr>
            <w:rFonts w:ascii="Calibri" w:eastAsia="Calibri"/>
            <w:spacing w:val="27"/>
          </w:rPr>
          <w:t> </w:t>
        </w:r>
        <w:r>
          <w:rPr>
            <w:spacing w:val="-5"/>
          </w:rPr>
          <w:t>月至投标截止日期止</w:t>
        </w:r>
        <w:r>
          <w:rPr/>
          <w:t>（</w:t>
        </w:r>
        <w:r>
          <w:rPr>
            <w:spacing w:val="-3"/>
          </w:rPr>
          <w:t>一般为近三年</w:t>
        </w:r>
        <w:r>
          <w:rPr>
            <w:spacing w:val="-13"/>
          </w:rPr>
          <w:t>）</w:t>
        </w:r>
        <w:r>
          <w:rPr>
            <w:spacing w:val="-5"/>
          </w:rPr>
          <w:t>已完成类似项目一览表</w:t>
        </w:r>
        <w:r>
          <w:rPr/>
          <w:t>（</w:t>
        </w:r>
        <w:r>
          <w:rPr>
            <w:spacing w:val="-2"/>
          </w:rPr>
          <w:t>如有</w:t>
        </w:r>
        <w:r>
          <w:rPr>
            <w:spacing w:val="-108"/>
          </w:rPr>
          <w:t>）</w:t>
        </w:r>
        <w:r>
          <w:rPr>
            <w:spacing w:val="-5"/>
          </w:rPr>
          <w:t>、企业诚信情况一览</w:t>
        </w:r>
      </w:hyperlink>
    </w:p>
    <w:p>
      <w:pPr>
        <w:pStyle w:val="BodyText"/>
        <w:spacing w:before="131"/>
      </w:pPr>
      <w:hyperlink w:history="true" w:anchor="_bookmark116">
        <w:r>
          <w:rPr/>
          <w:t>表（</w:t>
        </w:r>
        <w:r>
          <w:rPr>
            <w:spacing w:val="-2"/>
          </w:rPr>
          <w:t>如有</w:t>
        </w:r>
        <w:r>
          <w:rPr>
            <w:spacing w:val="-108"/>
          </w:rPr>
          <w:t>）</w:t>
        </w:r>
        <w:r>
          <w:rPr>
            <w:spacing w:val="-12"/>
          </w:rPr>
          <w:t>、企业 </w:t>
        </w:r>
        <w:r>
          <w:rPr>
            <w:rFonts w:ascii="Calibri" w:eastAsia="Calibri"/>
          </w:rPr>
          <w:t>2017</w:t>
        </w:r>
        <w:r>
          <w:rPr>
            <w:rFonts w:ascii="Calibri" w:eastAsia="Calibri"/>
            <w:spacing w:val="15"/>
          </w:rPr>
          <w:t> </w:t>
        </w:r>
        <w:r>
          <w:rPr>
            <w:spacing w:val="-16"/>
          </w:rPr>
          <w:t>年至 </w:t>
        </w:r>
        <w:r>
          <w:rPr>
            <w:rFonts w:ascii="Calibri" w:eastAsia="Calibri"/>
          </w:rPr>
          <w:t>2019</w:t>
        </w:r>
        <w:r>
          <w:rPr>
            <w:rFonts w:ascii="Calibri" w:eastAsia="Calibri"/>
            <w:spacing w:val="15"/>
          </w:rPr>
          <w:t> </w:t>
        </w:r>
        <w:r>
          <w:rPr>
            <w:spacing w:val="-3"/>
          </w:rPr>
          <w:t>年</w:t>
        </w:r>
        <w:r>
          <w:rPr/>
          <w:t>（</w:t>
        </w:r>
        <w:r>
          <w:rPr>
            <w:spacing w:val="-3"/>
          </w:rPr>
          <w:t>一般为近三年</w:t>
        </w:r>
        <w:r>
          <w:rPr/>
          <w:t>）</w:t>
        </w:r>
        <w:r>
          <w:rPr>
            <w:spacing w:val="-8"/>
          </w:rPr>
          <w:t>财务状况表、企业 </w:t>
        </w:r>
        <w:r>
          <w:rPr>
            <w:rFonts w:ascii="Calibri" w:eastAsia="Calibri"/>
          </w:rPr>
          <w:t>2017</w:t>
        </w:r>
        <w:r>
          <w:rPr>
            <w:rFonts w:ascii="Calibri" w:eastAsia="Calibri"/>
            <w:spacing w:val="13"/>
          </w:rPr>
          <w:t> </w:t>
        </w:r>
        <w:r>
          <w:rPr>
            <w:spacing w:val="-22"/>
          </w:rPr>
          <w:t>年 </w:t>
        </w:r>
        <w:r>
          <w:rPr>
            <w:rFonts w:ascii="Calibri" w:eastAsia="Calibri"/>
          </w:rPr>
          <w:t>7</w:t>
        </w:r>
        <w:r>
          <w:rPr>
            <w:rFonts w:ascii="Calibri" w:eastAsia="Calibri"/>
            <w:spacing w:val="15"/>
          </w:rPr>
          <w:t> </w:t>
        </w:r>
        <w:r>
          <w:rPr>
            <w:spacing w:val="-3"/>
          </w:rPr>
          <w:t>月至投标截</w:t>
        </w:r>
      </w:hyperlink>
    </w:p>
    <w:p>
      <w:pPr>
        <w:pStyle w:val="BodyText"/>
        <w:tabs>
          <w:tab w:pos="9019" w:val="left" w:leader="dot"/>
        </w:tabs>
        <w:spacing w:before="130"/>
        <w:rPr>
          <w:rFonts w:ascii="Calibri" w:eastAsia="Calibri"/>
        </w:rPr>
      </w:pPr>
      <w:hyperlink w:history="true" w:anchor="_bookmark116">
        <w:r>
          <w:rPr/>
          <w:t>止日</w:t>
        </w:r>
        <w:r>
          <w:rPr>
            <w:spacing w:val="-3"/>
          </w:rPr>
          <w:t>期</w:t>
        </w:r>
        <w:r>
          <w:rPr/>
          <w:t>止</w:t>
        </w:r>
        <w:r>
          <w:rPr>
            <w:spacing w:val="-3"/>
          </w:rPr>
          <w:t>（</w:t>
        </w:r>
        <w:r>
          <w:rPr/>
          <w:t>一</w:t>
        </w:r>
        <w:r>
          <w:rPr>
            <w:spacing w:val="-3"/>
          </w:rPr>
          <w:t>般</w:t>
        </w:r>
        <w:r>
          <w:rPr/>
          <w:t>为</w:t>
        </w:r>
        <w:r>
          <w:rPr>
            <w:spacing w:val="-3"/>
          </w:rPr>
          <w:t>近</w:t>
        </w:r>
        <w:r>
          <w:rPr/>
          <w:t>三</w:t>
        </w:r>
        <w:r>
          <w:rPr>
            <w:spacing w:val="-3"/>
          </w:rPr>
          <w:t>年</w:t>
        </w:r>
        <w:r>
          <w:rPr/>
          <w:t>）发</w:t>
        </w:r>
        <w:r>
          <w:rPr>
            <w:spacing w:val="-3"/>
          </w:rPr>
          <w:t>生</w:t>
        </w:r>
        <w:r>
          <w:rPr/>
          <w:t>的</w:t>
        </w:r>
        <w:r>
          <w:rPr>
            <w:spacing w:val="-3"/>
          </w:rPr>
          <w:t>诉</w:t>
        </w:r>
        <w:r>
          <w:rPr/>
          <w:t>讼</w:t>
        </w:r>
        <w:r>
          <w:rPr>
            <w:spacing w:val="-3"/>
          </w:rPr>
          <w:t>和</w:t>
        </w:r>
        <w:r>
          <w:rPr/>
          <w:t>仲</w:t>
        </w:r>
        <w:r>
          <w:rPr>
            <w:spacing w:val="-3"/>
          </w:rPr>
          <w:t>裁</w:t>
        </w:r>
        <w:r>
          <w:rPr/>
          <w:t>情</w:t>
        </w:r>
        <w:r>
          <w:rPr>
            <w:spacing w:val="-3"/>
          </w:rPr>
          <w:t>况</w:t>
        </w:r>
        <w:r>
          <w:rPr/>
          <w:t>（如</w:t>
        </w:r>
        <w:r>
          <w:rPr>
            <w:spacing w:val="-3"/>
          </w:rPr>
          <w:t>有</w:t>
        </w:r>
        <w:r>
          <w:rPr/>
          <w:t>）</w:t>
        </w:r>
        <w:r>
          <w:rPr>
            <w:spacing w:val="-3"/>
          </w:rPr>
          <w:t>等</w:t>
        </w:r>
        <w:r>
          <w:rPr/>
          <w:t>。</w:t>
          <w:tab/>
        </w:r>
        <w:r>
          <w:rPr>
            <w:rFonts w:ascii="Calibri" w:eastAsia="Calibri"/>
          </w:rPr>
          <w:t>125</w:t>
        </w:r>
      </w:hyperlink>
    </w:p>
    <w:p>
      <w:pPr>
        <w:pStyle w:val="BodyText"/>
        <w:tabs>
          <w:tab w:pos="9019" w:val="left" w:leader="dot"/>
        </w:tabs>
        <w:spacing w:before="191"/>
        <w:rPr>
          <w:rFonts w:ascii="Calibri" w:eastAsia="Calibri"/>
        </w:rPr>
      </w:pPr>
      <w:hyperlink w:history="true" w:anchor="_bookmark117">
        <w:r>
          <w:rPr/>
          <w:t>一、</w:t>
        </w:r>
        <w:r>
          <w:rPr>
            <w:spacing w:val="-3"/>
          </w:rPr>
          <w:t>投</w:t>
        </w:r>
        <w:r>
          <w:rPr/>
          <w:t>标函</w:t>
          <w:tab/>
        </w:r>
        <w:r>
          <w:rPr>
            <w:rFonts w:ascii="Calibri" w:eastAsia="Calibri"/>
          </w:rPr>
          <w:t>131</w:t>
        </w:r>
      </w:hyperlink>
    </w:p>
    <w:p>
      <w:pPr>
        <w:pStyle w:val="BodyText"/>
        <w:tabs>
          <w:tab w:pos="9019" w:val="left" w:leader="dot"/>
        </w:tabs>
        <w:spacing w:before="192"/>
        <w:rPr>
          <w:rFonts w:ascii="Calibri" w:eastAsia="Calibri"/>
        </w:rPr>
      </w:pPr>
      <w:hyperlink w:history="true" w:anchor="_bookmark118">
        <w:r>
          <w:rPr/>
          <w:t>二、</w:t>
        </w:r>
        <w:r>
          <w:rPr>
            <w:spacing w:val="-3"/>
          </w:rPr>
          <w:t>投</w:t>
        </w:r>
        <w:r>
          <w:rPr/>
          <w:t>标</w:t>
        </w:r>
        <w:r>
          <w:rPr>
            <w:spacing w:val="-3"/>
          </w:rPr>
          <w:t>函</w:t>
        </w:r>
        <w:r>
          <w:rPr/>
          <w:t>附录</w:t>
          <w:tab/>
        </w:r>
        <w:r>
          <w:rPr>
            <w:rFonts w:ascii="Calibri" w:eastAsia="Calibri"/>
          </w:rPr>
          <w:t>132</w:t>
        </w:r>
      </w:hyperlink>
    </w:p>
    <w:p>
      <w:pPr>
        <w:pStyle w:val="BodyText"/>
        <w:tabs>
          <w:tab w:pos="9019" w:val="left" w:leader="dot"/>
        </w:tabs>
        <w:spacing w:before="189"/>
        <w:rPr>
          <w:rFonts w:ascii="Calibri" w:eastAsia="Calibri"/>
        </w:rPr>
      </w:pPr>
      <w:hyperlink w:history="true" w:anchor="_bookmark119">
        <w:r>
          <w:rPr/>
          <w:t>三、</w:t>
        </w:r>
        <w:r>
          <w:rPr>
            <w:spacing w:val="-3"/>
          </w:rPr>
          <w:t>投</w:t>
        </w:r>
        <w:r>
          <w:rPr/>
          <w:t>标</w:t>
        </w:r>
        <w:r>
          <w:rPr>
            <w:spacing w:val="-3"/>
          </w:rPr>
          <w:t>报</w:t>
        </w:r>
        <w:r>
          <w:rPr/>
          <w:t>价表</w:t>
          <w:tab/>
        </w:r>
        <w:r>
          <w:rPr>
            <w:rFonts w:ascii="Calibri" w:eastAsia="Calibri"/>
          </w:rPr>
          <w:t>133</w:t>
        </w:r>
      </w:hyperlink>
    </w:p>
    <w:p>
      <w:pPr>
        <w:spacing w:after="0"/>
        <w:rPr>
          <w:rFonts w:ascii="Calibri" w:eastAsia="Calibri"/>
        </w:rPr>
        <w:sectPr>
          <w:type w:val="continuous"/>
          <w:pgSz w:w="11910" w:h="16840"/>
          <w:pgMar w:top="1380" w:bottom="1040" w:left="1120" w:right="280"/>
        </w:sectPr>
      </w:pPr>
    </w:p>
    <w:p>
      <w:pPr>
        <w:pStyle w:val="BodyText"/>
        <w:tabs>
          <w:tab w:pos="9339" w:val="right" w:leader="dot"/>
        </w:tabs>
        <w:spacing w:before="50"/>
        <w:rPr>
          <w:rFonts w:ascii="Calibri" w:eastAsia="Calibri"/>
        </w:rPr>
      </w:pPr>
      <w:hyperlink w:history="true" w:anchor="_bookmark120">
        <w:r>
          <w:rPr/>
          <w:t>四、</w:t>
        </w:r>
        <w:r>
          <w:rPr>
            <w:spacing w:val="-3"/>
          </w:rPr>
          <w:t>已</w:t>
        </w:r>
        <w:r>
          <w:rPr/>
          <w:t>标</w:t>
        </w:r>
        <w:r>
          <w:rPr>
            <w:spacing w:val="-3"/>
          </w:rPr>
          <w:t>价</w:t>
        </w:r>
        <w:r>
          <w:rPr/>
          <w:t>工</w:t>
        </w:r>
        <w:r>
          <w:rPr>
            <w:spacing w:val="-3"/>
          </w:rPr>
          <w:t>程</w:t>
        </w:r>
        <w:r>
          <w:rPr/>
          <w:t>量</w:t>
        </w:r>
        <w:r>
          <w:rPr>
            <w:spacing w:val="-3"/>
          </w:rPr>
          <w:t>清</w:t>
        </w:r>
        <w:r>
          <w:rPr/>
          <w:t>单</w:t>
          <w:tab/>
        </w:r>
        <w:r>
          <w:rPr>
            <w:rFonts w:ascii="Calibri" w:eastAsia="Calibri"/>
          </w:rPr>
          <w:t>133</w:t>
        </w:r>
      </w:hyperlink>
    </w:p>
    <w:p>
      <w:pPr>
        <w:pStyle w:val="BodyText"/>
        <w:tabs>
          <w:tab w:pos="9339" w:val="right" w:leader="dot"/>
        </w:tabs>
        <w:spacing w:before="193"/>
        <w:rPr>
          <w:rFonts w:ascii="Calibri" w:eastAsia="Calibri"/>
        </w:rPr>
      </w:pPr>
      <w:hyperlink w:history="true" w:anchor="_bookmark121">
        <w:r>
          <w:rPr/>
          <w:t>一、</w:t>
        </w:r>
        <w:r>
          <w:rPr>
            <w:spacing w:val="-3"/>
          </w:rPr>
          <w:t>施</w:t>
        </w:r>
        <w:r>
          <w:rPr/>
          <w:t>工</w:t>
        </w:r>
        <w:r>
          <w:rPr>
            <w:spacing w:val="-3"/>
          </w:rPr>
          <w:t>组</w:t>
        </w:r>
        <w:r>
          <w:rPr/>
          <w:t>织</w:t>
        </w:r>
        <w:r>
          <w:rPr>
            <w:spacing w:val="-3"/>
          </w:rPr>
          <w:t>设</w:t>
        </w:r>
        <w:r>
          <w:rPr/>
          <w:t>计</w:t>
          <w:tab/>
        </w:r>
        <w:r>
          <w:rPr>
            <w:rFonts w:ascii="Calibri" w:eastAsia="Calibri"/>
          </w:rPr>
          <w:t>138</w:t>
        </w:r>
      </w:hyperlink>
    </w:p>
    <w:p>
      <w:pPr>
        <w:pStyle w:val="BodyText"/>
        <w:tabs>
          <w:tab w:pos="9339" w:val="right" w:leader="dot"/>
        </w:tabs>
        <w:spacing w:before="189"/>
        <w:rPr>
          <w:rFonts w:ascii="Calibri" w:eastAsia="Calibri"/>
        </w:rPr>
      </w:pPr>
      <w:hyperlink w:history="true" w:anchor="_bookmark122">
        <w:r>
          <w:rPr/>
          <w:t>二、</w:t>
        </w:r>
        <w:r>
          <w:rPr>
            <w:spacing w:val="-3"/>
          </w:rPr>
          <w:t>拟</w:t>
        </w:r>
        <w:r>
          <w:rPr/>
          <w:t>分</w:t>
        </w:r>
        <w:r>
          <w:rPr>
            <w:spacing w:val="-3"/>
          </w:rPr>
          <w:t>包</w:t>
        </w:r>
        <w:r>
          <w:rPr/>
          <w:t>计</w:t>
        </w:r>
        <w:r>
          <w:rPr>
            <w:spacing w:val="-3"/>
          </w:rPr>
          <w:t>划</w:t>
        </w:r>
        <w:r>
          <w:rPr/>
          <w:t>表</w:t>
          <w:tab/>
        </w:r>
        <w:r>
          <w:rPr>
            <w:rFonts w:ascii="Calibri" w:eastAsia="Calibri"/>
          </w:rPr>
          <w:t>141</w:t>
        </w:r>
      </w:hyperlink>
    </w:p>
    <w:p>
      <w:pPr>
        <w:pStyle w:val="BodyText"/>
        <w:tabs>
          <w:tab w:pos="9339" w:val="right" w:leader="dot"/>
        </w:tabs>
        <w:spacing w:before="192"/>
        <w:rPr>
          <w:rFonts w:ascii="Calibri" w:eastAsia="Calibri"/>
        </w:rPr>
      </w:pPr>
      <w:hyperlink w:history="true" w:anchor="_bookmark123">
        <w:r>
          <w:rPr/>
          <w:t>三、</w:t>
        </w:r>
        <w:r>
          <w:rPr>
            <w:spacing w:val="-3"/>
          </w:rPr>
          <w:t>项</w:t>
        </w:r>
        <w:r>
          <w:rPr/>
          <w:t>目</w:t>
        </w:r>
        <w:r>
          <w:rPr>
            <w:spacing w:val="-3"/>
          </w:rPr>
          <w:t>管</w:t>
        </w:r>
        <w:r>
          <w:rPr/>
          <w:t>理</w:t>
        </w:r>
        <w:r>
          <w:rPr>
            <w:spacing w:val="-3"/>
          </w:rPr>
          <w:t>机</w:t>
        </w:r>
        <w:r>
          <w:rPr/>
          <w:t>构</w:t>
          <w:tab/>
        </w:r>
        <w:r>
          <w:rPr>
            <w:rFonts w:ascii="Calibri" w:eastAsia="Calibri"/>
          </w:rPr>
          <w:t>142</w:t>
        </w:r>
      </w:hyperlink>
    </w:p>
    <w:p>
      <w:pPr>
        <w:pStyle w:val="BodyText"/>
        <w:spacing w:before="23"/>
      </w:pPr>
      <w:r>
        <w:rPr>
          <w:w w:val="100"/>
        </w:rPr>
        <w:t> </w:t>
      </w:r>
    </w:p>
    <w:p>
      <w:pPr>
        <w:pStyle w:val="BodyText"/>
        <w:spacing w:before="3"/>
      </w:pPr>
      <w:r>
        <w:rPr>
          <w:w w:val="100"/>
        </w:rPr>
        <w:t>   </w:t>
      </w:r>
    </w:p>
    <w:p>
      <w:pPr>
        <w:spacing w:after="0"/>
        <w:sectPr>
          <w:footerReference w:type="default" r:id="rId10"/>
          <w:pgSz w:w="11910" w:h="16840"/>
          <w:pgMar w:footer="860" w:header="0" w:top="1480" w:bottom="1040" w:left="1120" w:right="280"/>
          <w:pgNumType w:start="11"/>
        </w:sectPr>
      </w:pPr>
    </w:p>
    <w:p>
      <w:pPr>
        <w:pStyle w:val="Heading1"/>
        <w:spacing w:before="169"/>
      </w:pPr>
      <w:bookmarkStart w:name="第一章  招标公告" w:id="1"/>
      <w:bookmarkEnd w:id="1"/>
      <w:r>
        <w:rPr>
          <w:b w:val="0"/>
        </w:rPr>
      </w:r>
      <w:bookmarkStart w:name="_bookmark0" w:id="2"/>
      <w:bookmarkEnd w:id="2"/>
      <w:r>
        <w:rPr>
          <w:b w:val="0"/>
        </w:rPr>
      </w:r>
      <w:r>
        <w:rPr/>
        <w:t>第一章   招标公告</w:t>
      </w:r>
      <w:r>
        <w:rPr>
          <w:w w:val="199"/>
        </w:rPr>
        <w:t> </w:t>
      </w:r>
    </w:p>
    <w:p>
      <w:pPr>
        <w:pStyle w:val="BodyText"/>
        <w:ind w:left="0"/>
        <w:rPr>
          <w:rFonts w:ascii="Microsoft JhengHei"/>
          <w:b/>
          <w:sz w:val="24"/>
        </w:rPr>
      </w:pPr>
    </w:p>
    <w:p>
      <w:pPr>
        <w:pStyle w:val="BodyText"/>
        <w:spacing w:before="18"/>
        <w:ind w:left="0"/>
        <w:rPr>
          <w:rFonts w:ascii="Microsoft JhengHei"/>
          <w:b/>
          <w:sz w:val="28"/>
        </w:rPr>
      </w:pPr>
    </w:p>
    <w:p>
      <w:pPr>
        <w:spacing w:line="291" w:lineRule="exact" w:before="0"/>
        <w:ind w:left="678" w:right="0" w:firstLine="0"/>
        <w:jc w:val="left"/>
        <w:rPr>
          <w:sz w:val="24"/>
        </w:rPr>
      </w:pPr>
      <w:r>
        <w:rPr>
          <w:w w:val="100"/>
          <w:sz w:val="21"/>
        </w:rPr>
        <w:t> </w:t>
      </w:r>
      <w:r>
        <w:rPr>
          <w:sz w:val="21"/>
        </w:rPr>
        <w:t> </w:t>
      </w:r>
      <w:r>
        <w:rPr>
          <w:sz w:val="24"/>
        </w:rPr>
        <w:t> </w:t>
      </w:r>
    </w:p>
    <w:p>
      <w:pPr>
        <w:spacing w:line="287" w:lineRule="exact" w:before="0"/>
        <w:ind w:left="678" w:right="0" w:firstLine="0"/>
        <w:jc w:val="left"/>
        <w:rPr>
          <w:sz w:val="24"/>
        </w:rPr>
      </w:pPr>
      <w:r>
        <w:rPr>
          <w:w w:val="100"/>
          <w:sz w:val="21"/>
        </w:rPr>
        <w:t> </w:t>
      </w:r>
      <w:r>
        <w:rPr>
          <w:sz w:val="21"/>
        </w:rPr>
        <w:t> </w:t>
      </w:r>
      <w:r>
        <w:rPr>
          <w:sz w:val="24"/>
        </w:rPr>
        <w:t> </w:t>
      </w:r>
    </w:p>
    <w:p>
      <w:pPr>
        <w:pStyle w:val="BodyText"/>
        <w:spacing w:line="266" w:lineRule="exact"/>
      </w:pPr>
      <w:r>
        <w:rPr>
          <w:w w:val="100"/>
        </w:rPr>
        <w:t> </w:t>
      </w:r>
      <w:r>
        <w:rPr/>
        <w:t> </w:t>
      </w:r>
      <w:r>
        <w:rPr>
          <w:w w:val="100"/>
        </w:rPr>
        <w:t> </w:t>
      </w:r>
      <w:r>
        <w:rPr/>
        <w:t> </w:t>
      </w:r>
      <w:r>
        <w:rPr>
          <w:w w:val="100"/>
        </w:rPr>
        <w:t> </w:t>
      </w:r>
      <w:r>
        <w:rPr/>
        <w:t> </w:t>
      </w:r>
      <w:r>
        <w:rPr>
          <w:w w:val="100"/>
        </w:rPr>
        <w:t> </w:t>
      </w:r>
      <w:r>
        <w:rPr/>
        <w:t> </w:t>
      </w:r>
      <w:r>
        <w:rPr>
          <w:w w:val="100"/>
        </w:rPr>
        <w:t> </w:t>
      </w:r>
      <w:r>
        <w:rPr/>
        <w:t> </w:t>
      </w:r>
      <w:r>
        <w:rPr>
          <w:w w:val="100"/>
        </w:rPr>
        <w:t> </w:t>
      </w:r>
      <w:r>
        <w:rPr/>
        <w:t> </w:t>
      </w:r>
      <w:r>
        <w:rPr>
          <w:w w:val="100"/>
        </w:rPr>
        <w:t> </w:t>
      </w:r>
      <w:r>
        <w:rPr/>
        <w:t> </w:t>
      </w:r>
      <w:r>
        <w:rPr>
          <w:w w:val="100"/>
        </w:rPr>
        <w:t> </w:t>
      </w:r>
      <w:r>
        <w:rPr/>
        <w:t> </w:t>
      </w:r>
      <w:r>
        <w:rPr>
          <w:w w:val="100"/>
        </w:rPr>
        <w:t> </w:t>
      </w:r>
      <w:r>
        <w:rPr/>
        <w:t> </w:t>
      </w:r>
      <w:r>
        <w:rPr>
          <w:w w:val="100"/>
        </w:rPr>
        <w:t>  </w:t>
      </w:r>
      <w:r>
        <w:rPr/>
        <w:t> </w:t>
      </w:r>
      <w:r>
        <w:rPr>
          <w:w w:val="100"/>
        </w:rPr>
        <w:t> </w:t>
      </w:r>
      <w:r>
        <w:rPr/>
        <w:t> </w:t>
      </w:r>
      <w:r>
        <w:rPr>
          <w:w w:val="100"/>
        </w:rPr>
        <w:t> </w:t>
      </w:r>
      <w:r>
        <w:rPr/>
        <w:t> </w:t>
      </w:r>
      <w:r>
        <w:rPr>
          <w:w w:val="100"/>
        </w:rPr>
        <w:t> </w:t>
      </w:r>
      <w:r>
        <w:rPr/>
        <w:t> </w:t>
      </w:r>
      <w:r>
        <w:rPr>
          <w:w w:val="100"/>
        </w:rPr>
        <w:t> </w:t>
      </w:r>
      <w:r>
        <w:rPr/>
        <w:t> </w:t>
      </w:r>
      <w:r>
        <w:rPr>
          <w:w w:val="100"/>
        </w:rPr>
        <w:t> </w:t>
      </w:r>
      <w:r>
        <w:rPr/>
        <w:t> </w:t>
      </w:r>
      <w:r>
        <w:rPr>
          <w:w w:val="100"/>
        </w:rPr>
        <w:t> </w:t>
      </w:r>
      <w:r>
        <w:rPr/>
        <w:t> </w:t>
      </w:r>
      <w:r>
        <w:rPr>
          <w:w w:val="100"/>
        </w:rPr>
        <w:t> </w:t>
      </w:r>
      <w:r>
        <w:rPr/>
        <w:t> </w:t>
      </w:r>
      <w:r>
        <w:rPr>
          <w:w w:val="100"/>
        </w:rPr>
        <w:t> </w:t>
      </w:r>
      <w:r>
        <w:rPr/>
        <w:t> </w:t>
      </w:r>
      <w:r>
        <w:rPr>
          <w:w w:val="100"/>
        </w:rPr>
        <w:t> </w:t>
      </w:r>
      <w:r>
        <w:rPr/>
        <w:t> </w:t>
      </w:r>
      <w:r>
        <w:rPr>
          <w:w w:val="100"/>
        </w:rPr>
        <w:t>  </w:t>
      </w:r>
      <w:r>
        <w:rPr/>
        <w:t> </w:t>
      </w:r>
      <w:r>
        <w:rPr>
          <w:w w:val="100"/>
        </w:rPr>
        <w:t> </w:t>
      </w:r>
      <w:r>
        <w:rPr/>
        <w:t> </w:t>
      </w:r>
      <w:r>
        <w:rPr>
          <w:w w:val="100"/>
        </w:rPr>
        <w:t> </w:t>
      </w:r>
      <w:r>
        <w:rPr>
          <w:u w:val="single"/>
        </w:rPr>
        <w:t>横县横州镇茉莉小学工程</w:t>
      </w:r>
      <w:r>
        <w:rPr/>
        <w:t> 施工招标公告  </w:t>
      </w:r>
    </w:p>
    <w:p>
      <w:pPr>
        <w:pStyle w:val="BodyText"/>
        <w:spacing w:before="4"/>
      </w:pPr>
      <w:r>
        <w:rPr>
          <w:w w:val="100"/>
        </w:rPr>
        <w:t> </w:t>
      </w:r>
      <w:r>
        <w:rPr/>
        <w:t> </w:t>
      </w:r>
      <w:r>
        <w:rPr>
          <w:w w:val="100"/>
        </w:rPr>
        <w:t> </w:t>
      </w:r>
    </w:p>
    <w:p>
      <w:pPr>
        <w:pStyle w:val="Heading8"/>
        <w:spacing w:line="237" w:lineRule="exact" w:before="2"/>
        <w:ind w:left="678" w:firstLine="0"/>
        <w:rPr>
          <w:rFonts w:ascii="宋体"/>
          <w:b w:val="0"/>
        </w:rPr>
      </w:pPr>
      <w:r>
        <w:rPr>
          <w:w w:val="201"/>
        </w:rPr>
        <w:t> </w:t>
      </w:r>
      <w:r>
        <w:rPr/>
        <w:t>  </w:t>
      </w:r>
      <w:r>
        <w:rPr>
          <w:w w:val="201"/>
        </w:rPr>
        <w:t> </w:t>
      </w:r>
      <w:r>
        <w:rPr/>
        <w:t>  </w:t>
      </w:r>
      <w:r>
        <w:rPr>
          <w:w w:val="201"/>
        </w:rPr>
        <w:t>  </w:t>
      </w:r>
      <w:r>
        <w:rPr/>
        <w:t> </w:t>
      </w:r>
      <w:r>
        <w:rPr>
          <w:spacing w:val="-2"/>
        </w:rPr>
        <w:t> </w:t>
      </w:r>
      <w:r>
        <w:rPr>
          <w:rFonts w:ascii="宋体"/>
          <w:b w:val="0"/>
          <w:w w:val="100"/>
        </w:rPr>
        <w:t> </w:t>
      </w:r>
    </w:p>
    <w:p>
      <w:pPr>
        <w:pStyle w:val="ListParagraph"/>
        <w:numPr>
          <w:ilvl w:val="0"/>
          <w:numId w:val="16"/>
        </w:numPr>
        <w:tabs>
          <w:tab w:pos="891" w:val="left" w:leader="none"/>
        </w:tabs>
        <w:spacing w:line="331" w:lineRule="exact" w:before="0" w:after="0"/>
        <w:ind w:left="890" w:right="0" w:hanging="213"/>
        <w:jc w:val="left"/>
        <w:rPr>
          <w:sz w:val="21"/>
        </w:rPr>
      </w:pPr>
      <w:r>
        <w:rPr>
          <w:rFonts w:ascii="Microsoft JhengHei" w:eastAsia="Microsoft JhengHei" w:hint="eastAsia"/>
          <w:b/>
          <w:sz w:val="21"/>
        </w:rPr>
        <w:t>招标条件</w:t>
      </w:r>
      <w:r>
        <w:rPr>
          <w:rFonts w:ascii="Microsoft JhengHei" w:eastAsia="Microsoft JhengHei" w:hint="eastAsia"/>
          <w:b/>
          <w:w w:val="201"/>
          <w:sz w:val="21"/>
        </w:rPr>
        <w:t> </w:t>
      </w:r>
      <w:r>
        <w:rPr>
          <w:w w:val="100"/>
          <w:sz w:val="21"/>
        </w:rPr>
        <w:t> </w:t>
      </w:r>
    </w:p>
    <w:p>
      <w:pPr>
        <w:pStyle w:val="BodyText"/>
        <w:spacing w:line="246" w:lineRule="exact"/>
      </w:pPr>
      <w:r>
        <w:rPr/>
        <w:t>本招标项目 </w:t>
      </w:r>
      <w:r>
        <w:rPr>
          <w:u w:val="single"/>
        </w:rPr>
        <w:t>横县横州镇茉莉小学工程 </w:t>
      </w:r>
      <w:r>
        <w:rPr/>
        <w:t>已由 </w:t>
      </w:r>
      <w:r>
        <w:rPr>
          <w:u w:val="single"/>
        </w:rPr>
        <w:t>横县发展和改革局 </w:t>
      </w:r>
      <w:r>
        <w:rPr/>
        <w:t>以 </w:t>
      </w:r>
      <w:r>
        <w:rPr>
          <w:u w:val="single"/>
        </w:rPr>
        <w:t>横发改基【2016】77 号、横</w:t>
      </w:r>
    </w:p>
    <w:p>
      <w:pPr>
        <w:pStyle w:val="BodyText"/>
        <w:spacing w:line="242" w:lineRule="auto" w:before="6"/>
        <w:ind w:right="1158"/>
        <w:jc w:val="both"/>
      </w:pPr>
      <w:r>
        <w:rPr>
          <w:spacing w:val="-1"/>
          <w:u w:val="single"/>
        </w:rPr>
        <w:t>发改基【</w:t>
      </w:r>
      <w:r>
        <w:rPr>
          <w:u w:val="single"/>
        </w:rPr>
        <w:t>2020</w:t>
      </w:r>
      <w:r>
        <w:rPr>
          <w:spacing w:val="-3"/>
          <w:u w:val="single"/>
        </w:rPr>
        <w:t>】</w:t>
      </w:r>
      <w:r>
        <w:rPr>
          <w:u w:val="single"/>
        </w:rPr>
        <w:t>65</w:t>
      </w:r>
      <w:r>
        <w:rPr>
          <w:spacing w:val="-16"/>
          <w:u w:val="single"/>
        </w:rPr>
        <w:t> 号 </w:t>
      </w:r>
      <w:r>
        <w:rPr>
          <w:spacing w:val="-3"/>
        </w:rPr>
        <w:t>批准建设, 招标人 为 </w:t>
      </w:r>
      <w:r>
        <w:rPr>
          <w:spacing w:val="-2"/>
          <w:u w:val="single"/>
        </w:rPr>
        <w:t>横县教育局 </w:t>
      </w:r>
      <w:r>
        <w:rPr>
          <w:spacing w:val="-3"/>
        </w:rPr>
        <w:t>,建设资金来自 </w:t>
      </w:r>
      <w:r>
        <w:rPr>
          <w:u w:val="single"/>
        </w:rPr>
        <w:t>财政 </w:t>
      </w:r>
      <w:r>
        <w:rPr>
          <w:spacing w:val="-3"/>
        </w:rPr>
        <w:t>,项目出资比例</w:t>
      </w:r>
      <w:r>
        <w:rPr>
          <w:spacing w:val="-1"/>
        </w:rPr>
        <w:t>为 </w:t>
      </w:r>
      <w:r>
        <w:rPr>
          <w:u w:val="single"/>
        </w:rPr>
        <w:t>100% </w:t>
      </w:r>
      <w:r>
        <w:rPr>
          <w:spacing w:val="-3"/>
        </w:rPr>
        <w:t>。项目已具备招标条件,现对该项目的施工进行公开招标。 </w:t>
      </w:r>
      <w:r>
        <w:rPr/>
        <w:t> </w:t>
      </w:r>
    </w:p>
    <w:p>
      <w:pPr>
        <w:pStyle w:val="Heading8"/>
        <w:numPr>
          <w:ilvl w:val="0"/>
          <w:numId w:val="16"/>
        </w:numPr>
        <w:tabs>
          <w:tab w:pos="891" w:val="left" w:leader="none"/>
        </w:tabs>
        <w:spacing w:line="295" w:lineRule="exact" w:before="0" w:after="0"/>
        <w:ind w:left="890" w:right="0" w:hanging="213"/>
        <w:jc w:val="left"/>
        <w:rPr>
          <w:rFonts w:ascii="宋体" w:eastAsia="宋体" w:hint="eastAsia"/>
          <w:b w:val="0"/>
        </w:rPr>
      </w:pPr>
      <w:r>
        <w:rPr/>
        <w:t>项目概况与招标范围</w:t>
      </w:r>
      <w:r>
        <w:rPr>
          <w:spacing w:val="-3"/>
          <w:w w:val="201"/>
        </w:rPr>
        <w:t> </w:t>
      </w:r>
      <w:r>
        <w:rPr>
          <w:rFonts w:ascii="宋体" w:eastAsia="宋体" w:hint="eastAsia"/>
          <w:b w:val="0"/>
          <w:w w:val="100"/>
        </w:rPr>
        <w:t> </w:t>
      </w:r>
    </w:p>
    <w:p>
      <w:pPr>
        <w:pStyle w:val="BodyText"/>
        <w:spacing w:line="246" w:lineRule="exact"/>
      </w:pPr>
      <w:r>
        <w:rPr/>
        <w:t>项目招标编号: </w:t>
      </w:r>
      <w:r>
        <w:rPr>
          <w:u w:val="single"/>
        </w:rPr>
        <w:t>GXJZZB(ZB)2020-124</w:t>
      </w:r>
      <w:r>
        <w:rPr/>
        <w:t> </w:t>
      </w:r>
    </w:p>
    <w:p>
      <w:pPr>
        <w:pStyle w:val="BodyText"/>
        <w:spacing w:before="4"/>
      </w:pPr>
      <w:r>
        <w:rPr/>
        <w:t>报建号（如有）： </w:t>
      </w:r>
      <w:r>
        <w:rPr>
          <w:u w:val="single"/>
        </w:rPr>
        <w:t>80000008142620</w:t>
      </w:r>
      <w:r>
        <w:rPr/>
        <w:t> </w:t>
      </w:r>
    </w:p>
    <w:p>
      <w:pPr>
        <w:pStyle w:val="BodyText"/>
        <w:spacing w:before="2"/>
      </w:pPr>
      <w:r>
        <w:rPr/>
        <w:t>建设地点: </w:t>
      </w:r>
      <w:r>
        <w:rPr>
          <w:u w:val="single"/>
        </w:rPr>
        <w:t>横县横州镇茉莉花大道西边 </w:t>
      </w:r>
      <w:r>
        <w:rPr/>
        <w:t> </w:t>
      </w:r>
    </w:p>
    <w:p>
      <w:pPr>
        <w:pStyle w:val="BodyText"/>
        <w:spacing w:line="242" w:lineRule="auto" w:before="5"/>
        <w:ind w:right="1151"/>
        <w:jc w:val="both"/>
      </w:pPr>
      <w:r>
        <w:rPr>
          <w:spacing w:val="6"/>
        </w:rPr>
        <w:t>建设规模: </w:t>
      </w:r>
      <w:r>
        <w:rPr>
          <w:spacing w:val="-3"/>
          <w:u w:val="single"/>
        </w:rPr>
        <w:t>主要建设内容包括校舍建筑（包含教学综合楼、图书信息综合楼、学生午托楼、配</w:t>
      </w:r>
      <w:r>
        <w:rPr>
          <w:spacing w:val="-175"/>
          <w:u w:val="single"/>
        </w:rPr>
        <w:t>电房</w:t>
      </w:r>
      <w:r>
        <w:rPr>
          <w:spacing w:val="-7"/>
          <w:u w:val="single"/>
        </w:rPr>
        <w:t>、传达室</w:t>
      </w:r>
      <w:r>
        <w:rPr>
          <w:spacing w:val="-22"/>
          <w:u w:val="single"/>
        </w:rPr>
        <w:t>）</w:t>
      </w:r>
      <w:r>
        <w:rPr>
          <w:spacing w:val="-13"/>
          <w:u w:val="single"/>
        </w:rPr>
        <w:t>、田径场、绿化景观、停车场、道路广场、围墙和大门及相应室外配套设施</w:t>
      </w:r>
      <w:r>
        <w:rPr>
          <w:spacing w:val="-3"/>
          <w:u w:val="single"/>
        </w:rPr>
        <w:t>（</w:t>
      </w:r>
      <w:r>
        <w:rPr>
          <w:u w:val="single"/>
        </w:rPr>
        <w:t>详见施</w:t>
      </w:r>
      <w:r>
        <w:rPr>
          <w:spacing w:val="-3"/>
          <w:u w:val="single"/>
        </w:rPr>
        <w:t>工图纸</w:t>
      </w:r>
      <w:r>
        <w:rPr>
          <w:u w:val="single"/>
        </w:rPr>
        <w:t>）</w:t>
      </w:r>
      <w:r>
        <w:rPr>
          <w:spacing w:val="-3"/>
          <w:u w:val="single"/>
        </w:rPr>
        <w:t>。 </w:t>
      </w:r>
      <w:r>
        <w:rPr/>
        <w:t> </w:t>
      </w:r>
    </w:p>
    <w:p>
      <w:pPr>
        <w:pStyle w:val="BodyText"/>
        <w:spacing w:line="235" w:lineRule="exact" w:before="1"/>
        <w:jc w:val="both"/>
      </w:pPr>
      <w:r>
        <w:rPr/>
        <w:t>合同估算价: </w:t>
      </w:r>
      <w:r>
        <w:rPr>
          <w:u w:val="single"/>
        </w:rPr>
        <w:t>9521.796536 万元 </w:t>
      </w:r>
      <w:r>
        <w:rPr/>
        <w:t> </w:t>
      </w:r>
    </w:p>
    <w:p>
      <w:pPr>
        <w:spacing w:line="170" w:lineRule="auto" w:before="47"/>
        <w:ind w:left="678" w:right="1151" w:firstLine="0"/>
        <w:jc w:val="both"/>
        <w:rPr>
          <w:sz w:val="21"/>
        </w:rPr>
      </w:pPr>
      <w:r>
        <w:rPr>
          <w:spacing w:val="-10"/>
          <w:sz w:val="21"/>
        </w:rPr>
        <w:t>要求工期: </w:t>
      </w:r>
      <w:r>
        <w:rPr>
          <w:sz w:val="21"/>
          <w:u w:val="single"/>
        </w:rPr>
        <w:t>227 </w:t>
      </w:r>
      <w:r>
        <w:rPr>
          <w:spacing w:val="-1"/>
          <w:sz w:val="21"/>
        </w:rPr>
        <w:t>日 历天，定额工期 </w:t>
      </w:r>
      <w:r>
        <w:rPr>
          <w:sz w:val="21"/>
          <w:u w:val="single"/>
        </w:rPr>
        <w:t>227</w:t>
      </w:r>
      <w:r>
        <w:rPr>
          <w:spacing w:val="-2"/>
          <w:sz w:val="21"/>
        </w:rPr>
        <w:t> 日历天</w:t>
      </w:r>
      <w:r>
        <w:rPr>
          <w:rFonts w:ascii="Microsoft JhengHei" w:eastAsia="Microsoft JhengHei" w:hint="eastAsia"/>
          <w:b/>
          <w:spacing w:val="-3"/>
          <w:sz w:val="21"/>
        </w:rPr>
        <w:t>【备注： 建筑安装工程定额工期应按《建筑安</w:t>
      </w:r>
      <w:r>
        <w:rPr>
          <w:rFonts w:ascii="Microsoft JhengHei" w:eastAsia="Microsoft JhengHei" w:hint="eastAsia"/>
          <w:b/>
          <w:spacing w:val="-5"/>
          <w:w w:val="95"/>
          <w:sz w:val="21"/>
        </w:rPr>
        <w:t>装工程工期定额</w:t>
      </w:r>
      <w:r>
        <w:rPr>
          <w:rFonts w:ascii="Microsoft JhengHei" w:eastAsia="Microsoft JhengHei" w:hint="eastAsia"/>
          <w:b/>
          <w:w w:val="95"/>
          <w:sz w:val="21"/>
        </w:rPr>
        <w:t>（TY01-89-2016）</w:t>
      </w:r>
      <w:r>
        <w:rPr>
          <w:rFonts w:ascii="Microsoft JhengHei" w:eastAsia="Microsoft JhengHei" w:hint="eastAsia"/>
          <w:b/>
          <w:spacing w:val="-12"/>
          <w:w w:val="95"/>
          <w:sz w:val="21"/>
        </w:rPr>
        <w:t>》确定，      工期压缩时，宜组织专家论证，且在招标工程量清</w:t>
      </w:r>
      <w:r>
        <w:rPr>
          <w:rFonts w:ascii="Microsoft JhengHei" w:eastAsia="Microsoft JhengHei" w:hint="eastAsia"/>
          <w:b/>
          <w:sz w:val="21"/>
        </w:rPr>
        <w:t>单中增设提前竣工</w:t>
      </w:r>
      <w:r>
        <w:rPr>
          <w:rFonts w:ascii="Microsoft JhengHei" w:eastAsia="Microsoft JhengHei" w:hint="eastAsia"/>
          <w:b/>
          <w:spacing w:val="-3"/>
          <w:sz w:val="21"/>
        </w:rPr>
        <w:t>（</w:t>
      </w:r>
      <w:r>
        <w:rPr>
          <w:rFonts w:ascii="Microsoft JhengHei" w:eastAsia="Microsoft JhengHei" w:hint="eastAsia"/>
          <w:b/>
          <w:spacing w:val="-2"/>
          <w:sz w:val="21"/>
        </w:rPr>
        <w:t>赶工补偿</w:t>
      </w:r>
      <w:r>
        <w:rPr>
          <w:rFonts w:ascii="Microsoft JhengHei" w:eastAsia="Microsoft JhengHei" w:hint="eastAsia"/>
          <w:b/>
          <w:sz w:val="21"/>
        </w:rPr>
        <w:t>）</w:t>
      </w:r>
      <w:r>
        <w:rPr>
          <w:rFonts w:ascii="Microsoft JhengHei" w:eastAsia="Microsoft JhengHei" w:hint="eastAsia"/>
          <w:b/>
          <w:spacing w:val="-1"/>
          <w:sz w:val="21"/>
        </w:rPr>
        <w:t> 费项目清单。】</w:t>
      </w:r>
      <w:r>
        <w:rPr>
          <w:spacing w:val="-3"/>
          <w:sz w:val="21"/>
        </w:rPr>
        <w:t> </w:t>
      </w:r>
      <w:r>
        <w:rPr>
          <w:sz w:val="21"/>
        </w:rPr>
        <w:t> </w:t>
      </w:r>
    </w:p>
    <w:p>
      <w:pPr>
        <w:pStyle w:val="BodyText"/>
        <w:spacing w:line="254" w:lineRule="exact"/>
      </w:pPr>
      <w:r>
        <w:rPr/>
        <w:t>招标范围: </w:t>
      </w:r>
      <w:r>
        <w:rPr>
          <w:u w:val="single"/>
        </w:rPr>
        <w:t>包括教学综合楼、图书信息综合楼、学生午托楼、配电房、传达室、田径场、绿化</w:t>
      </w:r>
    </w:p>
    <w:p>
      <w:pPr>
        <w:pStyle w:val="BodyText"/>
        <w:spacing w:line="244" w:lineRule="auto" w:before="2"/>
        <w:ind w:right="1209"/>
      </w:pPr>
      <w:r>
        <w:rPr>
          <w:spacing w:val="-3"/>
          <w:u w:val="single"/>
        </w:rPr>
        <w:t>景观、停车场、道路广场、围墙和大门及相应室外配套设施土建工程、装饰装修工程、给排水</w:t>
      </w:r>
      <w:r>
        <w:rPr>
          <w:spacing w:val="-205"/>
          <w:u w:val="single"/>
        </w:rPr>
        <w:t>工程</w:t>
      </w:r>
      <w:r>
        <w:rPr>
          <w:spacing w:val="-3"/>
          <w:u w:val="single"/>
        </w:rPr>
        <w:t>、电气工程及配套工程等施工图纸及工程量清单包含的内容。 </w:t>
      </w:r>
      <w:r>
        <w:rPr/>
        <w:t> </w:t>
      </w:r>
    </w:p>
    <w:p>
      <w:pPr>
        <w:pStyle w:val="BodyText"/>
        <w:spacing w:line="265" w:lineRule="exact"/>
      </w:pPr>
      <w:r>
        <w:rPr/>
        <w:t>标段划分: </w:t>
      </w:r>
      <w:r>
        <w:rPr>
          <w:u w:val="single"/>
        </w:rPr>
        <w:t>1 个标段 </w:t>
      </w:r>
      <w:r>
        <w:rPr/>
        <w:t> </w:t>
      </w:r>
    </w:p>
    <w:p>
      <w:pPr>
        <w:pStyle w:val="BodyText"/>
        <w:spacing w:line="242" w:lineRule="auto" w:before="5"/>
        <w:ind w:right="5623"/>
      </w:pPr>
      <w:r>
        <w:rPr/>
        <w:t>设计单位: </w:t>
      </w:r>
      <w:r>
        <w:rPr>
          <w:u w:val="single"/>
        </w:rPr>
        <w:t>北京汉通建筑规划设计有限公司</w:t>
      </w:r>
      <w:r>
        <w:rPr/>
        <w:t>勘察单位: </w:t>
      </w:r>
      <w:r>
        <w:rPr>
          <w:u w:val="single"/>
        </w:rPr>
        <w:t>广西华南岩土工程有限公司 </w:t>
      </w:r>
      <w:r>
        <w:rPr/>
        <w:t> </w:t>
      </w:r>
    </w:p>
    <w:p>
      <w:pPr>
        <w:pStyle w:val="Heading8"/>
        <w:numPr>
          <w:ilvl w:val="0"/>
          <w:numId w:val="16"/>
        </w:numPr>
        <w:tabs>
          <w:tab w:pos="891" w:val="left" w:leader="none"/>
        </w:tabs>
        <w:spacing w:line="295" w:lineRule="exact" w:before="0" w:after="0"/>
        <w:ind w:left="890" w:right="0" w:hanging="213"/>
        <w:jc w:val="left"/>
        <w:rPr>
          <w:rFonts w:ascii="宋体" w:eastAsia="宋体" w:hint="eastAsia"/>
          <w:b w:val="0"/>
        </w:rPr>
      </w:pPr>
      <w:r>
        <w:rPr/>
        <w:t>投标人资格要求</w:t>
      </w:r>
      <w:r>
        <w:rPr>
          <w:spacing w:val="-3"/>
          <w:w w:val="201"/>
        </w:rPr>
        <w:t> </w:t>
      </w:r>
      <w:r>
        <w:rPr>
          <w:rFonts w:ascii="宋体" w:eastAsia="宋体" w:hint="eastAsia"/>
          <w:b w:val="0"/>
          <w:w w:val="100"/>
        </w:rPr>
        <w:t> </w:t>
      </w:r>
    </w:p>
    <w:p>
      <w:pPr>
        <w:pStyle w:val="ListParagraph"/>
        <w:numPr>
          <w:ilvl w:val="1"/>
          <w:numId w:val="16"/>
        </w:numPr>
        <w:tabs>
          <w:tab w:pos="996" w:val="left" w:leader="none"/>
        </w:tabs>
        <w:spacing w:line="182" w:lineRule="auto" w:before="27" w:after="0"/>
        <w:ind w:left="678" w:right="1151" w:firstLine="0"/>
        <w:jc w:val="both"/>
        <w:rPr>
          <w:sz w:val="21"/>
        </w:rPr>
      </w:pPr>
      <w:r>
        <w:rPr>
          <w:spacing w:val="-3"/>
          <w:sz w:val="21"/>
        </w:rPr>
        <w:t>本次招标要求投标人须已办理诚信库入库手续并处于有效状态 ,具备</w:t>
      </w:r>
      <w:r>
        <w:rPr>
          <w:spacing w:val="-2"/>
          <w:sz w:val="21"/>
          <w:u w:val="single"/>
        </w:rPr>
        <w:t> [建筑工程施工总承</w:t>
      </w:r>
      <w:r>
        <w:rPr>
          <w:spacing w:val="-175"/>
          <w:sz w:val="21"/>
          <w:u w:val="single"/>
        </w:rPr>
        <w:t>包三</w:t>
      </w:r>
      <w:r>
        <w:rPr>
          <w:spacing w:val="-3"/>
          <w:sz w:val="21"/>
          <w:u w:val="single"/>
        </w:rPr>
        <w:t>级](含)以上 </w:t>
      </w:r>
      <w:r>
        <w:rPr>
          <w:spacing w:val="32"/>
          <w:sz w:val="21"/>
        </w:rPr>
        <w:t> 资质 </w:t>
      </w:r>
      <w:r>
        <w:rPr>
          <w:rFonts w:ascii="Microsoft JhengHei" w:eastAsia="Microsoft JhengHei" w:hint="eastAsia"/>
          <w:b/>
          <w:spacing w:val="-6"/>
          <w:sz w:val="21"/>
        </w:rPr>
        <w:t>【备注：招标人应当根据国家法律法规对企业资质等级许可的相关规定以</w:t>
      </w:r>
      <w:r>
        <w:rPr>
          <w:rFonts w:ascii="Microsoft JhengHei" w:eastAsia="Microsoft JhengHei" w:hint="eastAsia"/>
          <w:b/>
          <w:spacing w:val="-9"/>
          <w:sz w:val="21"/>
        </w:rPr>
        <w:t>及招标项目特点，合理设置企业资质等级，不得提高 资质等级要求；资质设置为施工总承包已可满足项目建设要求的，不得额外同时设置专业承包资质】 </w:t>
      </w:r>
      <w:r>
        <w:rPr>
          <w:spacing w:val="-8"/>
          <w:sz w:val="21"/>
        </w:rPr>
        <w:t>，并在人员、设备、资金等方面具备相应的施工 能力。其中,投标人拟派 项目经理须具备</w:t>
      </w:r>
      <w:r>
        <w:rPr>
          <w:spacing w:val="-2"/>
          <w:sz w:val="21"/>
          <w:u w:val="single"/>
        </w:rPr>
        <w:t> [建筑工程二级](含)以上</w:t>
      </w:r>
      <w:r>
        <w:rPr>
          <w:sz w:val="21"/>
        </w:rPr>
        <w:t> 注册建造</w:t>
      </w:r>
    </w:p>
    <w:p>
      <w:pPr>
        <w:pStyle w:val="BodyText"/>
        <w:spacing w:line="242" w:lineRule="auto" w:before="24"/>
        <w:ind w:right="1151"/>
        <w:jc w:val="both"/>
      </w:pPr>
      <w:r>
        <w:rPr>
          <w:spacing w:val="-2"/>
        </w:rPr>
        <w:t>师执业资格,具备有效的安全生产考核合格证书 </w:t>
      </w:r>
      <w:r>
        <w:rPr/>
        <w:t>(B</w:t>
      </w:r>
      <w:r>
        <w:rPr>
          <w:spacing w:val="-14"/>
        </w:rPr>
        <w:t> 类)。本项目不接受有在建、已中标未开工或</w:t>
      </w:r>
      <w:r>
        <w:rPr>
          <w:spacing w:val="-8"/>
        </w:rPr>
        <w:t>已列为其他项目中标候选人第一名的建造师作为项目经理</w:t>
      </w:r>
      <w:r>
        <w:rPr/>
        <w:t>（</w:t>
      </w:r>
      <w:r>
        <w:rPr>
          <w:spacing w:val="-3"/>
        </w:rPr>
        <w:t>符合《 广西壮族自治区建筑市场诚信卡管理暂行办法》第十六条第一款除外</w:t>
      </w:r>
      <w:r>
        <w:rPr/>
        <w:t>）</w:t>
      </w:r>
      <w:r>
        <w:rPr>
          <w:spacing w:val="-3"/>
        </w:rPr>
        <w:t>。</w:t>
      </w:r>
      <w:r>
        <w:rPr/>
        <w:t> </w:t>
      </w:r>
    </w:p>
    <w:p>
      <w:pPr>
        <w:pStyle w:val="ListParagraph"/>
        <w:numPr>
          <w:ilvl w:val="1"/>
          <w:numId w:val="16"/>
        </w:numPr>
        <w:tabs>
          <w:tab w:pos="996" w:val="left" w:leader="none"/>
        </w:tabs>
        <w:spacing w:line="240" w:lineRule="auto" w:before="1" w:after="0"/>
        <w:ind w:left="995" w:right="0" w:hanging="318"/>
        <w:jc w:val="left"/>
        <w:rPr>
          <w:sz w:val="21"/>
        </w:rPr>
      </w:pPr>
      <w:r>
        <w:rPr>
          <w:spacing w:val="-3"/>
          <w:sz w:val="21"/>
        </w:rPr>
        <w:t>业绩要求： </w:t>
      </w:r>
      <w:r>
        <w:rPr>
          <w:spacing w:val="-2"/>
          <w:sz w:val="21"/>
          <w:u w:val="single"/>
        </w:rPr>
        <w:t>无要求</w:t>
      </w:r>
      <w:r>
        <w:rPr>
          <w:spacing w:val="-1"/>
          <w:sz w:val="21"/>
        </w:rPr>
        <w:t> 。</w:t>
      </w:r>
      <w:r>
        <w:rPr>
          <w:spacing w:val="-3"/>
          <w:sz w:val="21"/>
        </w:rPr>
        <w:t> </w:t>
      </w:r>
      <w:r>
        <w:rPr>
          <w:sz w:val="21"/>
        </w:rPr>
        <w:t> </w:t>
      </w:r>
    </w:p>
    <w:p>
      <w:pPr>
        <w:pStyle w:val="ListParagraph"/>
        <w:numPr>
          <w:ilvl w:val="1"/>
          <w:numId w:val="16"/>
        </w:numPr>
        <w:tabs>
          <w:tab w:pos="996" w:val="left" w:leader="none"/>
        </w:tabs>
        <w:spacing w:line="242" w:lineRule="auto" w:before="2" w:after="0"/>
        <w:ind w:left="678" w:right="1151" w:firstLine="0"/>
        <w:jc w:val="left"/>
        <w:rPr>
          <w:sz w:val="21"/>
        </w:rPr>
      </w:pPr>
      <w:r>
        <w:rPr>
          <w:spacing w:val="-1"/>
          <w:sz w:val="21"/>
        </w:rPr>
        <w:t>本次招标 </w:t>
      </w:r>
      <w:r>
        <w:rPr>
          <w:sz w:val="21"/>
          <w:u w:val="single"/>
        </w:rPr>
        <w:t>接受</w:t>
      </w:r>
      <w:r>
        <w:rPr>
          <w:spacing w:val="-3"/>
          <w:sz w:val="21"/>
        </w:rPr>
        <w:t> 联合体投标。联合体投标的,应满足下列要求:联合体应按项目情况采取以</w:t>
      </w:r>
      <w:r>
        <w:rPr>
          <w:spacing w:val="-7"/>
          <w:sz w:val="21"/>
        </w:rPr>
        <w:t>下两种模式之一： </w:t>
      </w:r>
      <w:r>
        <w:rPr>
          <w:spacing w:val="-4"/>
          <w:sz w:val="21"/>
        </w:rPr>
        <w:t>（1）1+1+N</w:t>
      </w:r>
      <w:r>
        <w:rPr>
          <w:spacing w:val="-17"/>
          <w:sz w:val="21"/>
        </w:rPr>
        <w:t> 模式：第一个 </w:t>
      </w:r>
      <w:r>
        <w:rPr>
          <w:sz w:val="21"/>
        </w:rPr>
        <w:t>1</w:t>
      </w:r>
      <w:r>
        <w:rPr>
          <w:spacing w:val="-14"/>
          <w:sz w:val="21"/>
        </w:rPr>
        <w:t> 为联合体主办单位，第二个 </w:t>
      </w:r>
      <w:r>
        <w:rPr>
          <w:sz w:val="21"/>
        </w:rPr>
        <w:t>1</w:t>
      </w:r>
      <w:r>
        <w:rPr>
          <w:spacing w:val="-8"/>
          <w:sz w:val="21"/>
        </w:rPr>
        <w:t> 为联合体主办单位</w:t>
      </w:r>
      <w:r>
        <w:rPr>
          <w:spacing w:val="-10"/>
          <w:w w:val="100"/>
          <w:sz w:val="21"/>
        </w:rPr>
        <w:t>控股且在南宁市注册具备法人资格的下属公司，</w:t>
      </w:r>
      <w:r>
        <w:rPr>
          <w:w w:val="100"/>
          <w:sz w:val="21"/>
        </w:rPr>
        <w:t>N</w:t>
      </w:r>
      <w:r>
        <w:rPr>
          <w:spacing w:val="-55"/>
          <w:sz w:val="21"/>
        </w:rPr>
        <w:t> </w:t>
      </w:r>
      <w:r>
        <w:rPr>
          <w:spacing w:val="-3"/>
          <w:w w:val="100"/>
          <w:sz w:val="21"/>
        </w:rPr>
        <w:t>为联合体主办单位控股的具备法人资格的下属</w:t>
      </w:r>
      <w:r>
        <w:rPr>
          <w:spacing w:val="-3"/>
          <w:sz w:val="21"/>
        </w:rPr>
        <w:t>施工企业或注册地在南宁市的施工企业。 </w:t>
      </w:r>
      <w:r>
        <w:rPr>
          <w:sz w:val="21"/>
        </w:rPr>
        <w:t>（2）1+N</w:t>
      </w:r>
      <w:r>
        <w:rPr>
          <w:spacing w:val="-11"/>
          <w:sz w:val="21"/>
        </w:rPr>
        <w:t> 模式：○</w:t>
      </w:r>
      <w:r>
        <w:rPr>
          <w:sz w:val="21"/>
        </w:rPr>
        <w:t>1</w:t>
      </w:r>
      <w:r>
        <w:rPr>
          <w:spacing w:val="11"/>
          <w:sz w:val="21"/>
        </w:rPr>
        <w:t> </w:t>
      </w:r>
      <w:r>
        <w:rPr>
          <w:sz w:val="21"/>
        </w:rPr>
        <w:t>1</w:t>
      </w:r>
      <w:r>
        <w:rPr>
          <w:spacing w:val="-9"/>
          <w:sz w:val="21"/>
        </w:rPr>
        <w:t> 为联合体主办单位</w:t>
      </w:r>
      <w:r>
        <w:rPr>
          <w:sz w:val="21"/>
        </w:rPr>
        <w:t>，N</w:t>
      </w:r>
      <w:r>
        <w:rPr>
          <w:spacing w:val="-14"/>
          <w:sz w:val="21"/>
        </w:rPr>
        <w:t> 为联合</w:t>
      </w:r>
      <w:r>
        <w:rPr>
          <w:spacing w:val="-7"/>
          <w:sz w:val="21"/>
        </w:rPr>
        <w:t>体主办单位控股且在南宁市注册具备法人资格的下属施工企业或者注册地在南宁市的施工企  业；○2</w:t>
      </w:r>
      <w:r>
        <w:rPr>
          <w:spacing w:val="1"/>
          <w:sz w:val="21"/>
        </w:rPr>
        <w:t> </w:t>
      </w:r>
      <w:r>
        <w:rPr>
          <w:sz w:val="21"/>
        </w:rPr>
        <w:t>1</w:t>
      </w:r>
      <w:r>
        <w:rPr>
          <w:spacing w:val="-8"/>
          <w:sz w:val="21"/>
        </w:rPr>
        <w:t> 为注册地在南宁市的联合体主办单位，</w:t>
      </w:r>
      <w:r>
        <w:rPr>
          <w:sz w:val="21"/>
        </w:rPr>
        <w:t>N</w:t>
      </w:r>
      <w:r>
        <w:rPr>
          <w:spacing w:val="-10"/>
          <w:sz w:val="21"/>
        </w:rPr>
        <w:t> 为施工企业。。</w:t>
      </w:r>
      <w:r>
        <w:rPr>
          <w:sz w:val="21"/>
        </w:rPr>
        <w:t> </w:t>
      </w:r>
    </w:p>
    <w:p>
      <w:pPr>
        <w:spacing w:after="0" w:line="242" w:lineRule="auto"/>
        <w:jc w:val="left"/>
        <w:rPr>
          <w:sz w:val="21"/>
        </w:rPr>
        <w:sectPr>
          <w:footerReference w:type="default" r:id="rId11"/>
          <w:pgSz w:w="11910" w:h="16840"/>
          <w:pgMar w:footer="779" w:header="0" w:top="1380" w:bottom="960" w:left="1120" w:right="280"/>
          <w:pgNumType w:start="12"/>
        </w:sectPr>
      </w:pPr>
    </w:p>
    <w:p>
      <w:pPr>
        <w:pStyle w:val="ListParagraph"/>
        <w:numPr>
          <w:ilvl w:val="1"/>
          <w:numId w:val="16"/>
        </w:numPr>
        <w:tabs>
          <w:tab w:pos="996" w:val="left" w:leader="none"/>
        </w:tabs>
        <w:spacing w:line="242" w:lineRule="auto" w:before="43" w:after="0"/>
        <w:ind w:left="678" w:right="1151" w:firstLine="0"/>
        <w:jc w:val="both"/>
        <w:rPr>
          <w:sz w:val="21"/>
        </w:rPr>
      </w:pPr>
      <w:r>
        <w:rPr>
          <w:spacing w:val="-3"/>
          <w:sz w:val="21"/>
        </w:rPr>
        <w:t>各投标人可就本招标项目的所有标段进行投标，并允许中标所有标段。但投标人应就不同 </w:t>
      </w:r>
      <w:r>
        <w:rPr>
          <w:spacing w:val="-6"/>
          <w:sz w:val="21"/>
        </w:rPr>
        <w:t>标段派出不同的项目经理和项 目专职安全员，否则同一项目经理或项目专职安全员所投其它标</w:t>
      </w:r>
      <w:r>
        <w:rPr>
          <w:spacing w:val="-4"/>
          <w:sz w:val="21"/>
        </w:rPr>
        <w:t>段作否决投标处理</w:t>
      </w:r>
      <w:r>
        <w:rPr>
          <w:spacing w:val="-3"/>
          <w:sz w:val="21"/>
        </w:rPr>
        <w:t>（符合桂建管</w:t>
      </w:r>
      <w:r>
        <w:rPr>
          <w:sz w:val="21"/>
        </w:rPr>
        <w:t>﹝2013﹞17</w:t>
      </w:r>
      <w:r>
        <w:rPr>
          <w:spacing w:val="-11"/>
          <w:sz w:val="21"/>
        </w:rPr>
        <w:t> 号和桂建管</w:t>
      </w:r>
      <w:r>
        <w:rPr>
          <w:sz w:val="21"/>
        </w:rPr>
        <w:t>﹝2014﹞25</w:t>
      </w:r>
      <w:r>
        <w:rPr>
          <w:spacing w:val="-13"/>
          <w:sz w:val="21"/>
        </w:rPr>
        <w:t> 号文除外</w:t>
      </w:r>
      <w:r>
        <w:rPr>
          <w:sz w:val="21"/>
        </w:rPr>
        <w:t>）。</w:t>
      </w:r>
      <w:r>
        <w:rPr>
          <w:spacing w:val="-3"/>
          <w:sz w:val="21"/>
        </w:rPr>
        <w:t> </w:t>
      </w:r>
      <w:r>
        <w:rPr>
          <w:sz w:val="21"/>
        </w:rPr>
        <w:t> </w:t>
      </w:r>
    </w:p>
    <w:p>
      <w:pPr>
        <w:pStyle w:val="ListParagraph"/>
        <w:numPr>
          <w:ilvl w:val="1"/>
          <w:numId w:val="16"/>
        </w:numPr>
        <w:tabs>
          <w:tab w:pos="996" w:val="left" w:leader="none"/>
        </w:tabs>
        <w:spacing w:line="240" w:lineRule="auto" w:before="1" w:after="0"/>
        <w:ind w:left="995" w:right="0" w:hanging="318"/>
        <w:jc w:val="left"/>
        <w:rPr>
          <w:sz w:val="21"/>
        </w:rPr>
      </w:pPr>
      <w:r>
        <w:rPr>
          <w:spacing w:val="-9"/>
          <w:sz w:val="21"/>
        </w:rPr>
        <w:t>根据最高人民法院等 </w:t>
      </w:r>
      <w:r>
        <w:rPr>
          <w:sz w:val="21"/>
        </w:rPr>
        <w:t>9</w:t>
      </w:r>
      <w:r>
        <w:rPr>
          <w:spacing w:val="-12"/>
          <w:sz w:val="21"/>
        </w:rPr>
        <w:t> 部门《关于在招标投标活动中对失信被执行人实施联合惩戒的通知》</w:t>
      </w:r>
    </w:p>
    <w:p>
      <w:pPr>
        <w:pStyle w:val="BodyText"/>
        <w:spacing w:before="4"/>
      </w:pPr>
      <w:r>
        <w:rPr/>
        <w:t>（法〔2016〕285 号）规定，投标人不得为失信被执行人（以 评标阶段通过“信用中国”网站</w:t>
      </w:r>
    </w:p>
    <w:p>
      <w:pPr>
        <w:pStyle w:val="BodyText"/>
        <w:spacing w:before="2"/>
      </w:pPr>
      <w:r>
        <w:rPr/>
        <w:t>（</w:t>
      </w:r>
      <w:hyperlink r:id="rId9">
        <w:r>
          <w:rPr/>
          <w:t>www.creditchina.gov.cn</w:t>
        </w:r>
      </w:hyperlink>
      <w:r>
        <w:rPr/>
        <w:t>）查询的结果为准）。  </w:t>
      </w:r>
    </w:p>
    <w:p>
      <w:pPr>
        <w:pStyle w:val="BodyText"/>
        <w:spacing w:line="242" w:lineRule="auto" w:before="5"/>
        <w:ind w:right="1151"/>
        <w:jc w:val="both"/>
      </w:pPr>
      <w:r>
        <w:rPr>
          <w:spacing w:val="-6"/>
        </w:rPr>
        <w:t>根据《广西壮族自治区建筑市场主体“黑名单”管理办法</w:t>
      </w:r>
      <w:r>
        <w:rPr>
          <w:spacing w:val="-3"/>
        </w:rPr>
        <w:t>（</w:t>
      </w:r>
      <w:r>
        <w:rPr>
          <w:spacing w:val="-2"/>
        </w:rPr>
        <w:t>试行</w:t>
      </w:r>
      <w:r>
        <w:rPr>
          <w:spacing w:val="-13"/>
        </w:rPr>
        <w:t>）</w:t>
      </w:r>
      <w:r>
        <w:rPr>
          <w:spacing w:val="-27"/>
        </w:rPr>
        <w:t>》</w:t>
      </w:r>
      <w:r>
        <w:rPr/>
        <w:t>（</w:t>
      </w:r>
      <w:r>
        <w:rPr>
          <w:spacing w:val="-6"/>
        </w:rPr>
        <w:t>桂建发【</w:t>
      </w:r>
      <w:r>
        <w:rPr/>
        <w:t>2018</w:t>
      </w:r>
      <w:r>
        <w:rPr>
          <w:spacing w:val="-12"/>
        </w:rPr>
        <w:t>】</w:t>
      </w:r>
      <w:r>
        <w:rPr/>
        <w:t>5</w:t>
      </w:r>
      <w:r>
        <w:rPr>
          <w:spacing w:val="-13"/>
        </w:rPr>
        <w:t> 号</w:t>
      </w:r>
      <w:r>
        <w:rPr>
          <w:spacing w:val="-15"/>
        </w:rPr>
        <w:t>）</w:t>
      </w:r>
      <w:r>
        <w:rPr/>
        <w:t>规</w:t>
      </w:r>
      <w:r>
        <w:rPr>
          <w:spacing w:val="-7"/>
        </w:rPr>
        <w:t>定，投标人、拟派项目经理不得为建筑市场主体“黑名单 ”</w:t>
      </w:r>
      <w:r>
        <w:rPr>
          <w:spacing w:val="-10"/>
        </w:rPr>
        <w:t>（</w:t>
      </w:r>
      <w:r>
        <w:rPr>
          <w:spacing w:val="-3"/>
        </w:rPr>
        <w:t>以评标阶段通过建筑市场监管与诚信信息一体化平台查询的结果为准</w:t>
      </w:r>
      <w:r>
        <w:rPr/>
        <w:t>）</w:t>
      </w:r>
      <w:r>
        <w:rPr>
          <w:spacing w:val="-3"/>
        </w:rPr>
        <w:t>【备注：此款可由招标人自主选择，如不采用，还须向本项目招标的监督部门说明理由】。 </w:t>
      </w:r>
      <w:r>
        <w:rPr/>
        <w:t> </w:t>
      </w:r>
    </w:p>
    <w:p>
      <w:pPr>
        <w:pStyle w:val="ListParagraph"/>
        <w:numPr>
          <w:ilvl w:val="1"/>
          <w:numId w:val="16"/>
        </w:numPr>
        <w:tabs>
          <w:tab w:pos="996" w:val="left" w:leader="none"/>
        </w:tabs>
        <w:spacing w:line="235" w:lineRule="exact" w:before="2" w:after="0"/>
        <w:ind w:left="995" w:right="0" w:hanging="318"/>
        <w:jc w:val="left"/>
        <w:rPr>
          <w:sz w:val="21"/>
        </w:rPr>
      </w:pPr>
      <w:r>
        <w:rPr>
          <w:spacing w:val="-3"/>
          <w:sz w:val="21"/>
        </w:rPr>
        <w:t>投标人信息以广西建筑业企业诚信信息库为准。 </w:t>
      </w:r>
      <w:r>
        <w:rPr>
          <w:sz w:val="21"/>
        </w:rPr>
        <w:t> </w:t>
      </w:r>
    </w:p>
    <w:p>
      <w:pPr>
        <w:pStyle w:val="Heading8"/>
        <w:numPr>
          <w:ilvl w:val="0"/>
          <w:numId w:val="16"/>
        </w:numPr>
        <w:tabs>
          <w:tab w:pos="891" w:val="left" w:leader="none"/>
        </w:tabs>
        <w:spacing w:line="331" w:lineRule="exact" w:before="0" w:after="0"/>
        <w:ind w:left="890" w:right="0" w:hanging="213"/>
        <w:jc w:val="left"/>
        <w:rPr>
          <w:rFonts w:ascii="宋体" w:eastAsia="宋体" w:hint="eastAsia"/>
          <w:b w:val="0"/>
        </w:rPr>
      </w:pPr>
      <w:r>
        <w:rPr/>
        <w:t>招标文件的获取</w:t>
      </w:r>
      <w:r>
        <w:rPr>
          <w:spacing w:val="-3"/>
          <w:w w:val="201"/>
        </w:rPr>
        <w:t> </w:t>
      </w:r>
      <w:r>
        <w:rPr>
          <w:rFonts w:ascii="宋体" w:eastAsia="宋体" w:hint="eastAsia"/>
          <w:b w:val="0"/>
          <w:w w:val="100"/>
        </w:rPr>
        <w:t> </w:t>
      </w:r>
    </w:p>
    <w:p>
      <w:pPr>
        <w:pStyle w:val="BodyText"/>
        <w:spacing w:line="247" w:lineRule="exact"/>
      </w:pPr>
      <w:r>
        <w:rPr/>
        <w:t>4.1 请于 </w:t>
      </w:r>
      <w:r>
        <w:rPr>
          <w:u w:val="single"/>
        </w:rPr>
        <w:t>2020 年 11 月 16 日 0 时 00 分</w:t>
      </w:r>
      <w:r>
        <w:rPr/>
        <w:t>至 </w:t>
      </w:r>
      <w:r>
        <w:rPr>
          <w:u w:val="single"/>
        </w:rPr>
        <w:t>2020 年 12 月 7 日 9 时 30 分</w:t>
      </w:r>
      <w:r>
        <w:rPr/>
        <w:t>（不少于 20 日），由潜</w:t>
      </w:r>
    </w:p>
    <w:p>
      <w:pPr>
        <w:pStyle w:val="BodyText"/>
        <w:spacing w:line="244" w:lineRule="auto" w:before="3"/>
        <w:ind w:right="1211"/>
        <w:jc w:val="both"/>
      </w:pPr>
      <w:r>
        <w:rPr>
          <w:spacing w:val="-5"/>
        </w:rPr>
        <w:t>在投标人的专职投标员凭本人的身份证证号及密码或企业 </w:t>
      </w:r>
      <w:r>
        <w:rPr/>
        <w:t>CA</w:t>
      </w:r>
      <w:r>
        <w:rPr>
          <w:spacing w:val="-6"/>
        </w:rPr>
        <w:t> 锁登陆南宁市公共资源 交易平台(https</w:t>
      </w:r>
      <w:hyperlink r:id="rId12">
        <w:r>
          <w:rPr>
            <w:spacing w:val="-6"/>
          </w:rPr>
          <w:t>://www.nnggzy.or</w:t>
        </w:r>
      </w:hyperlink>
      <w:r>
        <w:rPr>
          <w:spacing w:val="-6"/>
        </w:rPr>
        <w:t>g</w:t>
      </w:r>
      <w:hyperlink r:id="rId12">
        <w:r>
          <w:rPr>
            <w:spacing w:val="-6"/>
          </w:rPr>
          <w:t>.cn/gxnnhy</w:t>
        </w:r>
      </w:hyperlink>
      <w:r>
        <w:rPr>
          <w:spacing w:val="-5"/>
        </w:rPr>
        <w:t>)免</w:t>
      </w:r>
      <w:hyperlink r:id="rId12">
        <w:r>
          <w:rPr>
            <w:spacing w:val="-3"/>
          </w:rPr>
          <w:t>费下载招标文件。</w:t>
        </w:r>
      </w:hyperlink>
      <w:r>
        <w:rPr/>
        <w:t> </w:t>
      </w:r>
    </w:p>
    <w:p>
      <w:pPr>
        <w:pStyle w:val="Heading8"/>
        <w:numPr>
          <w:ilvl w:val="0"/>
          <w:numId w:val="16"/>
        </w:numPr>
        <w:tabs>
          <w:tab w:pos="891" w:val="left" w:leader="none"/>
        </w:tabs>
        <w:spacing w:line="292" w:lineRule="exact" w:before="0" w:after="0"/>
        <w:ind w:left="890" w:right="0" w:hanging="213"/>
        <w:jc w:val="left"/>
        <w:rPr>
          <w:rFonts w:ascii="宋体" w:eastAsia="宋体" w:hint="eastAsia"/>
          <w:b w:val="0"/>
        </w:rPr>
      </w:pPr>
      <w:r>
        <w:rPr/>
        <w:t>投标文件的递交</w:t>
      </w:r>
      <w:r>
        <w:rPr>
          <w:spacing w:val="-3"/>
          <w:w w:val="201"/>
        </w:rPr>
        <w:t> </w:t>
      </w:r>
      <w:r>
        <w:rPr>
          <w:rFonts w:ascii="宋体" w:eastAsia="宋体" w:hint="eastAsia"/>
          <w:b w:val="0"/>
          <w:w w:val="100"/>
        </w:rPr>
        <w:t> </w:t>
      </w:r>
    </w:p>
    <w:p>
      <w:pPr>
        <w:pStyle w:val="ListParagraph"/>
        <w:numPr>
          <w:ilvl w:val="1"/>
          <w:numId w:val="16"/>
        </w:numPr>
        <w:tabs>
          <w:tab w:pos="996" w:val="left" w:leader="none"/>
        </w:tabs>
        <w:spacing w:line="247" w:lineRule="exact" w:before="0" w:after="0"/>
        <w:ind w:left="995" w:right="0" w:hanging="318"/>
        <w:jc w:val="left"/>
        <w:rPr>
          <w:sz w:val="21"/>
        </w:rPr>
      </w:pPr>
      <w:r>
        <w:rPr>
          <w:spacing w:val="-10"/>
          <w:sz w:val="21"/>
        </w:rPr>
        <w:t>投标文件应通过南宁市公共资源交易平台提交，截止时间 ( 投标截止时间,下同 ) 为 </w:t>
      </w:r>
      <w:r>
        <w:rPr>
          <w:sz w:val="21"/>
          <w:u w:val="single"/>
        </w:rPr>
        <w:t>2020</w:t>
      </w:r>
    </w:p>
    <w:p>
      <w:pPr>
        <w:pStyle w:val="BodyText"/>
        <w:spacing w:line="242" w:lineRule="auto" w:before="2"/>
        <w:ind w:right="1052"/>
      </w:pPr>
      <w:r>
        <w:rPr>
          <w:spacing w:val="-25"/>
          <w:u w:val="single"/>
        </w:rPr>
        <w:t>年 </w:t>
      </w:r>
      <w:r>
        <w:rPr>
          <w:u w:val="single"/>
        </w:rPr>
        <w:t>12</w:t>
      </w:r>
      <w:r>
        <w:rPr>
          <w:spacing w:val="-34"/>
          <w:u w:val="single"/>
        </w:rPr>
        <w:t> 月 </w:t>
      </w:r>
      <w:r>
        <w:rPr>
          <w:u w:val="single"/>
        </w:rPr>
        <w:t>7</w:t>
      </w:r>
      <w:r>
        <w:rPr>
          <w:spacing w:val="-14"/>
          <w:u w:val="single"/>
        </w:rPr>
        <w:t> 日 </w:t>
      </w:r>
      <w:r>
        <w:rPr>
          <w:u w:val="single"/>
        </w:rPr>
        <w:t>9</w:t>
      </w:r>
      <w:r>
        <w:rPr>
          <w:spacing w:val="-34"/>
          <w:u w:val="single"/>
        </w:rPr>
        <w:t> 时 </w:t>
      </w:r>
      <w:r>
        <w:rPr>
          <w:u w:val="single"/>
        </w:rPr>
        <w:t>30</w:t>
      </w:r>
      <w:r>
        <w:rPr>
          <w:spacing w:val="-14"/>
          <w:u w:val="single"/>
        </w:rPr>
        <w:t> 分 </w:t>
      </w:r>
      <w:r>
        <w:rPr>
          <w:spacing w:val="-3"/>
        </w:rPr>
        <w:t>。未加密的电子投标文件光盘提交地点为</w:t>
      </w:r>
      <w:r>
        <w:rPr>
          <w:spacing w:val="-3"/>
          <w:u w:val="single"/>
        </w:rPr>
        <w:t>本项目为全流程电子化项目，</w:t>
      </w:r>
      <w:r>
        <w:rPr>
          <w:spacing w:val="-203"/>
          <w:u w:val="single"/>
        </w:rPr>
        <w:t>无需</w:t>
      </w:r>
      <w:r>
        <w:rPr>
          <w:spacing w:val="-3"/>
          <w:u w:val="single"/>
        </w:rPr>
        <w:t>投标人来现场开标，投标人的电子投标文件直接上传至南宁市公共资源交易中心电子标系统中 并在网上进行投标文件解密。</w:t>
      </w:r>
      <w:r>
        <w:rPr>
          <w:spacing w:val="-3"/>
        </w:rPr>
        <w:t>（当地交易中心</w:t>
      </w:r>
      <w:r>
        <w:rPr/>
        <w:t>）。</w:t>
      </w:r>
      <w:r>
        <w:rPr>
          <w:spacing w:val="-3"/>
        </w:rPr>
        <w:t> </w:t>
      </w:r>
      <w:r>
        <w:rPr/>
        <w:t> </w:t>
      </w:r>
    </w:p>
    <w:p>
      <w:pPr>
        <w:pStyle w:val="ListParagraph"/>
        <w:numPr>
          <w:ilvl w:val="1"/>
          <w:numId w:val="16"/>
        </w:numPr>
        <w:tabs>
          <w:tab w:pos="1048" w:val="left" w:leader="none"/>
        </w:tabs>
        <w:spacing w:line="242" w:lineRule="auto" w:before="3" w:after="0"/>
        <w:ind w:left="678" w:right="1151" w:firstLine="0"/>
        <w:jc w:val="both"/>
        <w:rPr>
          <w:sz w:val="21"/>
        </w:rPr>
      </w:pPr>
      <w:r>
        <w:rPr>
          <w:spacing w:val="-6"/>
          <w:sz w:val="21"/>
        </w:rPr>
        <w:t>投标人须在投标截止前将加密的投标文件通过南宁市公共资源交易平台成功上传，并将与成</w:t>
      </w:r>
      <w:r>
        <w:rPr>
          <w:spacing w:val="-5"/>
          <w:sz w:val="21"/>
        </w:rPr>
        <w:t>功上传的投标文件同一时间生成的未加密投标文件电子文本刻 录光盘包装密封后，于投标截止</w:t>
      </w:r>
      <w:r>
        <w:rPr>
          <w:spacing w:val="-2"/>
          <w:sz w:val="21"/>
        </w:rPr>
        <w:t>前由企业法定代表人或其授权的专职投标员提交到 </w:t>
      </w:r>
      <w:r>
        <w:rPr>
          <w:spacing w:val="-7"/>
          <w:sz w:val="21"/>
          <w:u w:val="single"/>
        </w:rPr>
        <w:t>本项目为全流程电子化项目，无需投标人来</w:t>
      </w:r>
      <w:r>
        <w:rPr>
          <w:spacing w:val="-205"/>
          <w:sz w:val="21"/>
          <w:u w:val="single"/>
        </w:rPr>
        <w:t>现场</w:t>
      </w:r>
      <w:r>
        <w:rPr>
          <w:spacing w:val="-3"/>
          <w:sz w:val="21"/>
          <w:u w:val="single"/>
        </w:rPr>
        <w:t>开标，投标人的电子投标文件直接上传至南宁市公共资源交易中心电子标系统中并在网上进行</w:t>
      </w:r>
      <w:r>
        <w:rPr>
          <w:spacing w:val="-7"/>
          <w:sz w:val="21"/>
          <w:u w:val="single"/>
        </w:rPr>
        <w:t>投标文件解密。</w:t>
      </w:r>
      <w:r>
        <w:rPr>
          <w:spacing w:val="-4"/>
          <w:sz w:val="21"/>
        </w:rPr>
        <w:t> 并持专职投标员本人身份证原件</w:t>
      </w:r>
      <w:r>
        <w:rPr>
          <w:sz w:val="21"/>
        </w:rPr>
        <w:t>（</w:t>
      </w:r>
      <w:r>
        <w:rPr>
          <w:spacing w:val="-3"/>
          <w:sz w:val="21"/>
        </w:rPr>
        <w:t>如为法定代表人递交时可持本人身份证原件及本企业任一专职投标员的身份证复印件</w:t>
      </w:r>
      <w:r>
        <w:rPr>
          <w:sz w:val="21"/>
        </w:rPr>
        <w:t>）</w:t>
      </w:r>
      <w:r>
        <w:rPr>
          <w:spacing w:val="-3"/>
          <w:sz w:val="21"/>
        </w:rPr>
        <w:t>、拟投入的项目经理和所有专职安全员的身份证复</w:t>
      </w:r>
      <w:r>
        <w:rPr>
          <w:spacing w:val="-6"/>
          <w:sz w:val="21"/>
        </w:rPr>
        <w:t>印件通过广西电子招标投标系统验证，否则投标无效。投标人拟投入项目经理被标注为注册状</w:t>
      </w:r>
      <w:r>
        <w:rPr>
          <w:spacing w:val="-7"/>
          <w:sz w:val="21"/>
        </w:rPr>
        <w:t>态异常的，拟投入的项目经理本人须持本人身份证原件出席开标会现场，否则 招标人有权拒绝</w:t>
      </w:r>
      <w:r>
        <w:rPr>
          <w:spacing w:val="-3"/>
          <w:sz w:val="21"/>
        </w:rPr>
        <w:t>该投标人投标。</w:t>
      </w:r>
      <w:r>
        <w:rPr>
          <w:spacing w:val="-2"/>
          <w:sz w:val="21"/>
        </w:rPr>
        <w:t> </w:t>
      </w:r>
      <w:r>
        <w:rPr>
          <w:sz w:val="21"/>
        </w:rPr>
        <w:t> </w:t>
      </w:r>
    </w:p>
    <w:p>
      <w:pPr>
        <w:pStyle w:val="Heading8"/>
        <w:numPr>
          <w:ilvl w:val="0"/>
          <w:numId w:val="16"/>
        </w:numPr>
        <w:tabs>
          <w:tab w:pos="891" w:val="left" w:leader="none"/>
        </w:tabs>
        <w:spacing w:line="299" w:lineRule="exact" w:before="0" w:after="0"/>
        <w:ind w:left="890" w:right="0" w:hanging="213"/>
        <w:jc w:val="left"/>
        <w:rPr>
          <w:rFonts w:ascii="宋体" w:eastAsia="宋体" w:hint="eastAsia"/>
          <w:b w:val="0"/>
        </w:rPr>
      </w:pPr>
      <w:r>
        <w:rPr/>
        <w:t>评标方式</w:t>
      </w:r>
      <w:r>
        <w:rPr>
          <w:rFonts w:ascii="宋体" w:eastAsia="宋体" w:hint="eastAsia"/>
          <w:b w:val="0"/>
        </w:rPr>
        <w:t> </w:t>
      </w:r>
    </w:p>
    <w:p>
      <w:pPr>
        <w:pStyle w:val="BodyText"/>
        <w:spacing w:line="214" w:lineRule="exact"/>
      </w:pPr>
      <w:r>
        <w:rPr/>
        <w:t>综合评估法  </w:t>
      </w:r>
    </w:p>
    <w:p>
      <w:pPr>
        <w:pStyle w:val="Heading8"/>
        <w:numPr>
          <w:ilvl w:val="0"/>
          <w:numId w:val="16"/>
        </w:numPr>
        <w:tabs>
          <w:tab w:pos="891" w:val="left" w:leader="none"/>
        </w:tabs>
        <w:spacing w:line="331" w:lineRule="exact" w:before="0" w:after="0"/>
        <w:ind w:left="890" w:right="0" w:hanging="213"/>
        <w:jc w:val="left"/>
        <w:rPr>
          <w:rFonts w:ascii="宋体" w:eastAsia="宋体" w:hint="eastAsia"/>
          <w:b w:val="0"/>
          <w:sz w:val="24"/>
        </w:rPr>
      </w:pPr>
      <w:r>
        <w:rPr>
          <w:spacing w:val="-3"/>
        </w:rPr>
        <w:t>预付款和进度款支付方式【备注：该项为可选项】</w:t>
      </w:r>
      <w:r>
        <w:rPr>
          <w:spacing w:val="-3"/>
          <w:w w:val="201"/>
        </w:rPr>
        <w:t> </w:t>
      </w:r>
      <w:r>
        <w:rPr>
          <w:rFonts w:ascii="宋体" w:eastAsia="宋体" w:hint="eastAsia"/>
          <w:b w:val="0"/>
          <w:spacing w:val="-3"/>
          <w:sz w:val="24"/>
        </w:rPr>
        <w:t> </w:t>
      </w:r>
    </w:p>
    <w:p>
      <w:pPr>
        <w:pStyle w:val="BodyText"/>
        <w:spacing w:line="246" w:lineRule="exact"/>
      </w:pPr>
      <w:r>
        <w:rPr>
          <w:u w:val="single"/>
        </w:rPr>
        <w:t>预付款支付比例或金额：暂定为合同价款的 30%，最终以实际签订的合同为准。 预付款扣回的</w:t>
      </w:r>
    </w:p>
    <w:p>
      <w:pPr>
        <w:pStyle w:val="BodyText"/>
        <w:spacing w:line="242" w:lineRule="auto" w:before="4"/>
        <w:ind w:right="1151"/>
      </w:pPr>
      <w:r>
        <w:rPr>
          <w:spacing w:val="-7"/>
          <w:u w:val="single"/>
        </w:rPr>
        <w:t>方式：预付款在进度付款的累计金额未达到签约合同价的 </w:t>
      </w:r>
      <w:r>
        <w:rPr>
          <w:u w:val="single"/>
        </w:rPr>
        <w:t>30</w:t>
      </w:r>
      <w:r>
        <w:rPr>
          <w:spacing w:val="-8"/>
          <w:u w:val="single"/>
        </w:rPr>
        <w:t>%之前不予扣回，在完成工程量 </w:t>
      </w:r>
      <w:r>
        <w:rPr>
          <w:u w:val="single"/>
        </w:rPr>
        <w:t>30%</w:t>
      </w:r>
      <w:r>
        <w:rPr>
          <w:spacing w:val="-204"/>
          <w:u w:val="single"/>
        </w:rPr>
        <w:t>以上</w:t>
      </w:r>
      <w:r>
        <w:rPr>
          <w:spacing w:val="-3"/>
          <w:u w:val="single"/>
        </w:rPr>
        <w:t>方可申请工程进度款，按工程进度一次性从进度款中扣回。</w:t>
      </w:r>
      <w:r>
        <w:rPr>
          <w:spacing w:val="-3"/>
        </w:rPr>
        <w:t> </w:t>
      </w:r>
      <w:r>
        <w:rPr/>
        <w:t> </w:t>
      </w:r>
    </w:p>
    <w:p>
      <w:pPr>
        <w:pStyle w:val="ListParagraph"/>
        <w:numPr>
          <w:ilvl w:val="0"/>
          <w:numId w:val="16"/>
        </w:numPr>
        <w:tabs>
          <w:tab w:pos="891" w:val="left" w:leader="none"/>
        </w:tabs>
        <w:spacing w:line="295" w:lineRule="exact" w:before="0" w:after="0"/>
        <w:ind w:left="890" w:right="0" w:hanging="213"/>
        <w:jc w:val="left"/>
        <w:rPr>
          <w:sz w:val="24"/>
        </w:rPr>
      </w:pPr>
      <w:r>
        <w:rPr>
          <w:rFonts w:ascii="Microsoft JhengHei" w:eastAsia="Microsoft JhengHei" w:hint="eastAsia"/>
          <w:b/>
          <w:sz w:val="21"/>
        </w:rPr>
        <w:t>发布媒介</w:t>
      </w:r>
      <w:r>
        <w:rPr>
          <w:spacing w:val="-3"/>
          <w:sz w:val="21"/>
        </w:rPr>
        <w:t> </w:t>
      </w:r>
      <w:r>
        <w:rPr>
          <w:sz w:val="24"/>
        </w:rPr>
        <w:t> </w:t>
      </w:r>
    </w:p>
    <w:p>
      <w:pPr>
        <w:pStyle w:val="BodyText"/>
        <w:spacing w:line="246" w:lineRule="exact"/>
      </w:pPr>
      <w:r>
        <w:rPr/>
        <w:t>本次招标公告同时在中国采购与招标网 </w:t>
      </w:r>
      <w:hyperlink r:id="rId13">
        <w:r>
          <w:rPr/>
          <w:t>www.chinabidding.com.cn</w:t>
        </w:r>
      </w:hyperlink>
      <w:r>
        <w:rPr/>
        <w:t>、中国招标投标公共服务平台</w:t>
      </w:r>
    </w:p>
    <w:p>
      <w:pPr>
        <w:pStyle w:val="BodyText"/>
        <w:spacing w:line="242" w:lineRule="auto" w:before="5"/>
        <w:ind w:right="1153"/>
      </w:pPr>
      <w:hyperlink r:id="rId14">
        <w:r>
          <w:rPr/>
          <w:t>http://www.cebpubservice.com</w:t>
        </w:r>
      </w:hyperlink>
      <w:r>
        <w:rPr>
          <w:spacing w:val="-6"/>
        </w:rPr>
        <w:t>、广西壮族自治区招标投标公共服务平台 </w:t>
      </w:r>
      <w:r>
        <w:rPr/>
        <w:t>ztb.gxi.gov.cn、南</w:t>
      </w:r>
      <w:r>
        <w:rPr>
          <w:spacing w:val="-8"/>
        </w:rPr>
        <w:t>宁市公共资源招标网 </w:t>
      </w:r>
      <w:r>
        <w:rPr/>
        <w:t>http</w:t>
      </w:r>
      <w:hyperlink r:id="rId15">
        <w:r>
          <w:rPr/>
          <w:t>s://ww</w:t>
        </w:r>
      </w:hyperlink>
      <w:r>
        <w:rPr/>
        <w:t>w.nn</w:t>
      </w:r>
      <w:hyperlink r:id="rId15">
        <w:r>
          <w:rPr/>
          <w:t>ggzy.org.cn</w:t>
        </w:r>
      </w:hyperlink>
      <w:r>
        <w:rPr>
          <w:spacing w:val="-12"/>
        </w:rPr>
        <w:t>、中国政府采购网 </w:t>
      </w:r>
      <w:hyperlink r:id="rId16">
        <w:r>
          <w:rPr/>
          <w:t>www.ccgp.gov.cn</w:t>
        </w:r>
      </w:hyperlink>
      <w:r>
        <w:rPr>
          <w:spacing w:val="-8"/>
        </w:rPr>
        <w:t>、广西壮</w:t>
      </w:r>
      <w:r>
        <w:rPr>
          <w:spacing w:val="-5"/>
        </w:rPr>
        <w:t>族自治区政府采购网</w:t>
      </w:r>
      <w:r>
        <w:rPr/>
        <w:t>(http://zfcg.gxzf.gov.cn)</w:t>
      </w:r>
      <w:r>
        <w:rPr>
          <w:spacing w:val="-3"/>
        </w:rPr>
        <w:t>、南宁政府采购网</w:t>
      </w:r>
      <w:hyperlink r:id="rId17">
        <w:r>
          <w:rPr>
            <w:spacing w:val="-3"/>
          </w:rPr>
          <w:t>http://zfcg.nanning.gov.cn </w:t>
        </w:r>
      </w:hyperlink>
      <w:r>
        <w:rPr>
          <w:spacing w:val="-3"/>
        </w:rPr>
        <w:t>上发布。（公告发布媒体包含但不限于上述媒体</w:t>
      </w:r>
      <w:r>
        <w:rPr/>
        <w:t>）</w:t>
      </w:r>
      <w:r>
        <w:rPr>
          <w:spacing w:val="-3"/>
        </w:rPr>
        <w:t>。</w:t>
      </w:r>
      <w:r>
        <w:rPr/>
        <w:t> </w:t>
      </w:r>
    </w:p>
    <w:p>
      <w:pPr>
        <w:pStyle w:val="Heading8"/>
        <w:numPr>
          <w:ilvl w:val="0"/>
          <w:numId w:val="16"/>
        </w:numPr>
        <w:tabs>
          <w:tab w:pos="891" w:val="left" w:leader="none"/>
        </w:tabs>
        <w:spacing w:line="297" w:lineRule="exact" w:before="0" w:after="0"/>
        <w:ind w:left="890" w:right="0" w:hanging="213"/>
        <w:jc w:val="left"/>
        <w:rPr>
          <w:rFonts w:ascii="宋体" w:eastAsia="宋体" w:hint="eastAsia"/>
          <w:b w:val="0"/>
          <w:sz w:val="24"/>
        </w:rPr>
      </w:pPr>
      <w:r>
        <w:rPr/>
        <w:t>交易服务单位</w:t>
      </w:r>
      <w:r>
        <w:rPr>
          <w:spacing w:val="-3"/>
          <w:w w:val="201"/>
        </w:rPr>
        <w:t> </w:t>
      </w:r>
      <w:r>
        <w:rPr>
          <w:rFonts w:ascii="宋体" w:eastAsia="宋体" w:hint="eastAsia"/>
          <w:b w:val="0"/>
          <w:sz w:val="24"/>
        </w:rPr>
        <w:t> </w:t>
      </w:r>
    </w:p>
    <w:p>
      <w:pPr>
        <w:spacing w:line="192" w:lineRule="auto" w:before="19"/>
        <w:ind w:left="678" w:right="7409" w:firstLine="0"/>
        <w:jc w:val="left"/>
        <w:rPr>
          <w:sz w:val="24"/>
        </w:rPr>
      </w:pPr>
      <w:r>
        <w:rPr>
          <w:sz w:val="21"/>
          <w:u w:val="single"/>
        </w:rPr>
        <w:t>南宁市公共资源交易中心</w:t>
      </w:r>
      <w:r>
        <w:rPr>
          <w:rFonts w:ascii="Microsoft JhengHei" w:eastAsia="Microsoft JhengHei" w:hint="eastAsia"/>
          <w:b/>
          <w:sz w:val="21"/>
        </w:rPr>
        <w:t>10.监督部门及电话</w:t>
      </w:r>
      <w:r>
        <w:rPr>
          <w:sz w:val="21"/>
        </w:rPr>
        <w:t> </w:t>
      </w:r>
      <w:r>
        <w:rPr>
          <w:sz w:val="24"/>
        </w:rPr>
        <w:t> </w:t>
      </w:r>
    </w:p>
    <w:p>
      <w:pPr>
        <w:spacing w:line="192" w:lineRule="auto" w:before="21"/>
        <w:ind w:left="678" w:right="4259" w:firstLine="0"/>
        <w:jc w:val="left"/>
        <w:rPr>
          <w:sz w:val="24"/>
        </w:rPr>
      </w:pPr>
      <w:r>
        <w:rPr>
          <w:sz w:val="21"/>
          <w:u w:val="single"/>
        </w:rPr>
        <w:t>广西横县建筑工程招标投标站（监督电话：0771-7228132）</w:t>
      </w:r>
      <w:r>
        <w:rPr>
          <w:sz w:val="21"/>
        </w:rPr>
        <w:t> </w:t>
      </w:r>
      <w:r>
        <w:rPr>
          <w:rFonts w:ascii="Microsoft JhengHei" w:eastAsia="Microsoft JhengHei" w:hint="eastAsia"/>
          <w:b/>
          <w:sz w:val="21"/>
        </w:rPr>
        <w:t>11.注意事项</w:t>
      </w:r>
      <w:r>
        <w:rPr>
          <w:rFonts w:ascii="Microsoft JhengHei" w:eastAsia="Microsoft JhengHei" w:hint="eastAsia"/>
          <w:b/>
          <w:w w:val="201"/>
          <w:sz w:val="21"/>
        </w:rPr>
        <w:t> </w:t>
      </w:r>
      <w:r>
        <w:rPr>
          <w:sz w:val="24"/>
        </w:rPr>
        <w:t> </w:t>
      </w:r>
    </w:p>
    <w:p>
      <w:pPr>
        <w:pStyle w:val="BodyText"/>
        <w:spacing w:line="248" w:lineRule="exact"/>
      </w:pPr>
      <w:r>
        <w:rPr>
          <w:w w:val="100"/>
        </w:rPr>
        <w:t> </w:t>
      </w:r>
      <w:r>
        <w:rPr/>
        <w:t> </w:t>
      </w:r>
      <w:r>
        <w:rPr>
          <w:w w:val="100"/>
        </w:rPr>
        <w:t> </w:t>
      </w:r>
      <w:r>
        <w:rPr/>
        <w:t> 11.1 潜在投标人必须录入广西建筑业企业诚信信息库管理系统，广西建筑业企业诚信信息</w:t>
      </w:r>
    </w:p>
    <w:p>
      <w:pPr>
        <w:pStyle w:val="BodyText"/>
        <w:spacing w:line="242" w:lineRule="auto" w:before="2"/>
        <w:ind w:right="1105"/>
      </w:pPr>
      <w:r>
        <w:rPr/>
        <w:t>库管理 系统登陆地址（</w:t>
      </w:r>
      <w:r>
        <w:rPr>
          <w:color w:val="0000FF"/>
          <w:u w:val="single" w:color="0000FF"/>
        </w:rPr>
        <w:t>http://ztb.gxzjt.gov.cn:1121/zjthy/</w:t>
      </w:r>
      <w:r>
        <w:rPr/>
        <w:t>）。由于广西建筑企业诚信信息 库与自治区招标投标系统的相关信息同步存在时间差（非实时同步，每天晚上同步一次）， 因此投标人应至少提前 2 天将所需投标材料在诚信库内审核通过。  </w:t>
      </w:r>
    </w:p>
    <w:p>
      <w:pPr>
        <w:spacing w:after="0" w:line="242" w:lineRule="auto"/>
        <w:sectPr>
          <w:pgSz w:w="11910" w:h="16840"/>
          <w:pgMar w:header="0" w:footer="779" w:top="1380" w:bottom="1040" w:left="1120" w:right="280"/>
        </w:sectPr>
      </w:pPr>
    </w:p>
    <w:p>
      <w:pPr>
        <w:pStyle w:val="BodyText"/>
        <w:spacing w:line="242" w:lineRule="auto" w:before="43"/>
        <w:ind w:right="1165"/>
      </w:pPr>
      <w:r>
        <w:rPr>
          <w:w w:val="100"/>
        </w:rPr>
        <w:t> </w:t>
      </w:r>
      <w:r>
        <w:rPr/>
        <w:t> </w:t>
      </w:r>
      <w:r>
        <w:rPr>
          <w:w w:val="100"/>
        </w:rPr>
        <w:t> </w:t>
      </w:r>
      <w:r>
        <w:rPr/>
        <w:t> 11.2</w:t>
      </w:r>
      <w:r>
        <w:rPr>
          <w:spacing w:val="-12"/>
        </w:rPr>
        <w:t> 投标人须办理企业 </w:t>
      </w:r>
      <w:r>
        <w:rPr/>
        <w:t>CA</w:t>
      </w:r>
      <w:r>
        <w:rPr>
          <w:spacing w:val="-8"/>
        </w:rPr>
        <w:t> 锁后并确保在有效期内才能进行制作投标文件及上传投标文件</w:t>
      </w:r>
      <w:r>
        <w:rPr>
          <w:spacing w:val="-11"/>
        </w:rPr>
        <w:t>等业务。未办理企业 </w:t>
      </w:r>
      <w:r>
        <w:rPr/>
        <w:t>CA</w:t>
      </w:r>
      <w:r>
        <w:rPr>
          <w:spacing w:val="-6"/>
        </w:rPr>
        <w:t> 锁的单位， 请到 </w:t>
      </w:r>
      <w:r>
        <w:rPr>
          <w:spacing w:val="-3"/>
          <w:u w:val="single"/>
        </w:rPr>
        <w:t>广西壮族自治区数字证书认证中心有限公司办理</w:t>
      </w:r>
      <w:r>
        <w:rPr>
          <w:spacing w:val="-15"/>
        </w:rPr>
        <w:t>，客</w:t>
      </w:r>
      <w:r>
        <w:rPr>
          <w:spacing w:val="-1"/>
        </w:rPr>
        <w:t>服电话：</w:t>
      </w:r>
      <w:r>
        <w:rPr>
          <w:u w:val="single"/>
        </w:rPr>
        <w:t>0771-5869801</w:t>
      </w:r>
      <w:r>
        <w:rPr>
          <w:spacing w:val="-3"/>
        </w:rPr>
        <w:t>。 </w:t>
      </w:r>
      <w:r>
        <w:rPr/>
        <w:t> </w:t>
      </w:r>
    </w:p>
    <w:p>
      <w:pPr>
        <w:pStyle w:val="Heading8"/>
        <w:spacing w:line="318" w:lineRule="exact"/>
        <w:ind w:left="678" w:firstLine="0"/>
        <w:rPr>
          <w:rFonts w:ascii="宋体" w:eastAsia="宋体" w:hint="eastAsia"/>
          <w:b w:val="0"/>
        </w:rPr>
      </w:pPr>
      <w:r>
        <w:rPr/>
        <w:t>13 联系方式</w:t>
      </w:r>
      <w:r>
        <w:rPr>
          <w:w w:val="201"/>
        </w:rPr>
        <w:t> </w:t>
      </w:r>
      <w:r>
        <w:rPr>
          <w:rFonts w:ascii="宋体" w:eastAsia="宋体" w:hint="eastAsia"/>
          <w:b w:val="0"/>
          <w:w w:val="100"/>
        </w:rPr>
        <w:t> </w:t>
      </w:r>
    </w:p>
    <w:tbl>
      <w:tblPr>
        <w:tblW w:w="0" w:type="auto"/>
        <w:jc w:val="left"/>
        <w:tblInd w:w="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3"/>
        <w:gridCol w:w="2740"/>
        <w:gridCol w:w="1162"/>
        <w:gridCol w:w="2919"/>
      </w:tblGrid>
      <w:tr>
        <w:trPr>
          <w:trHeight w:val="527" w:hRule="atLeast"/>
        </w:trPr>
        <w:tc>
          <w:tcPr>
            <w:tcW w:w="1383" w:type="dxa"/>
          </w:tcPr>
          <w:p>
            <w:pPr>
              <w:pStyle w:val="TableParagraph"/>
              <w:spacing w:line="212" w:lineRule="exact"/>
              <w:ind w:left="200"/>
              <w:rPr>
                <w:sz w:val="24"/>
              </w:rPr>
            </w:pPr>
            <w:r>
              <w:rPr>
                <w:sz w:val="21"/>
              </w:rPr>
              <w:t>招标人:</w:t>
            </w:r>
            <w:r>
              <w:rPr>
                <w:sz w:val="24"/>
              </w:rPr>
              <w:t> </w:t>
            </w:r>
          </w:p>
          <w:p>
            <w:pPr>
              <w:pStyle w:val="TableParagraph"/>
              <w:spacing w:line="277" w:lineRule="exact"/>
              <w:ind w:left="200"/>
              <w:rPr>
                <w:sz w:val="24"/>
              </w:rPr>
            </w:pPr>
            <w:r>
              <w:rPr>
                <w:w w:val="100"/>
                <w:sz w:val="21"/>
              </w:rPr>
              <w:t> </w:t>
            </w:r>
            <w:r>
              <w:rPr>
                <w:sz w:val="21"/>
              </w:rPr>
              <w:t> </w:t>
            </w:r>
            <w:r>
              <w:rPr>
                <w:sz w:val="24"/>
              </w:rPr>
              <w:t> </w:t>
            </w:r>
          </w:p>
        </w:tc>
        <w:tc>
          <w:tcPr>
            <w:tcW w:w="2740" w:type="dxa"/>
          </w:tcPr>
          <w:p>
            <w:pPr>
              <w:pStyle w:val="TableParagraph"/>
              <w:spacing w:line="226" w:lineRule="exact"/>
              <w:ind w:left="117"/>
              <w:rPr>
                <w:sz w:val="24"/>
              </w:rPr>
            </w:pPr>
            <w:r>
              <w:rPr>
                <w:w w:val="100"/>
                <w:sz w:val="21"/>
              </w:rPr>
              <w:t> </w:t>
            </w:r>
            <w:r>
              <w:rPr>
                <w:sz w:val="21"/>
              </w:rPr>
              <w:t> 横县教育局</w:t>
            </w:r>
            <w:r>
              <w:rPr>
                <w:sz w:val="24"/>
              </w:rPr>
              <w:t> </w:t>
            </w:r>
          </w:p>
        </w:tc>
        <w:tc>
          <w:tcPr>
            <w:tcW w:w="1162" w:type="dxa"/>
          </w:tcPr>
          <w:p>
            <w:pPr>
              <w:pStyle w:val="TableParagraph"/>
              <w:spacing w:line="226" w:lineRule="exact"/>
              <w:ind w:left="-20"/>
              <w:rPr>
                <w:sz w:val="21"/>
              </w:rPr>
            </w:pPr>
            <w:r>
              <w:rPr>
                <w:sz w:val="21"/>
              </w:rPr>
              <w:t>招标代理机</w:t>
            </w:r>
          </w:p>
          <w:p>
            <w:pPr>
              <w:pStyle w:val="TableParagraph"/>
              <w:spacing w:line="261" w:lineRule="exact" w:before="2"/>
              <w:ind w:left="-20"/>
              <w:rPr>
                <w:sz w:val="24"/>
              </w:rPr>
            </w:pPr>
            <w:r>
              <w:rPr>
                <w:sz w:val="21"/>
              </w:rPr>
              <w:t>构:</w:t>
            </w:r>
            <w:r>
              <w:rPr>
                <w:sz w:val="24"/>
              </w:rPr>
              <w:t> </w:t>
            </w:r>
          </w:p>
        </w:tc>
        <w:tc>
          <w:tcPr>
            <w:tcW w:w="2919" w:type="dxa"/>
          </w:tcPr>
          <w:p>
            <w:pPr>
              <w:pStyle w:val="TableParagraph"/>
              <w:spacing w:line="226" w:lineRule="exact"/>
              <w:ind w:left="116"/>
              <w:rPr>
                <w:sz w:val="21"/>
              </w:rPr>
            </w:pPr>
            <w:r>
              <w:rPr>
                <w:w w:val="100"/>
                <w:sz w:val="21"/>
              </w:rPr>
              <w:t> </w:t>
            </w:r>
            <w:r>
              <w:rPr>
                <w:sz w:val="21"/>
              </w:rPr>
              <w:t> 广西景钲工程咨询有限公</w:t>
            </w:r>
          </w:p>
          <w:p>
            <w:pPr>
              <w:pStyle w:val="TableParagraph"/>
              <w:spacing w:line="261" w:lineRule="exact" w:before="2"/>
              <w:ind w:left="116"/>
              <w:rPr>
                <w:sz w:val="24"/>
              </w:rPr>
            </w:pPr>
            <w:r>
              <w:rPr>
                <w:sz w:val="21"/>
              </w:rPr>
              <w:t>司</w:t>
            </w:r>
            <w:r>
              <w:rPr>
                <w:sz w:val="24"/>
              </w:rPr>
              <w:t> </w:t>
            </w:r>
          </w:p>
        </w:tc>
      </w:tr>
      <w:tr>
        <w:trPr>
          <w:trHeight w:val="1089" w:hRule="atLeast"/>
        </w:trPr>
        <w:tc>
          <w:tcPr>
            <w:tcW w:w="1383" w:type="dxa"/>
          </w:tcPr>
          <w:p>
            <w:pPr>
              <w:pStyle w:val="TableParagraph"/>
              <w:spacing w:line="242" w:lineRule="exact"/>
              <w:ind w:left="200"/>
              <w:rPr>
                <w:sz w:val="24"/>
              </w:rPr>
            </w:pPr>
            <w:r>
              <w:rPr>
                <w:sz w:val="21"/>
              </w:rPr>
              <w:t>地 址 :</w:t>
            </w:r>
            <w:r>
              <w:rPr>
                <w:sz w:val="24"/>
              </w:rPr>
              <w:t> </w:t>
            </w:r>
          </w:p>
        </w:tc>
        <w:tc>
          <w:tcPr>
            <w:tcW w:w="2740" w:type="dxa"/>
          </w:tcPr>
          <w:p>
            <w:pPr>
              <w:pStyle w:val="TableParagraph"/>
              <w:spacing w:line="242" w:lineRule="exact"/>
              <w:ind w:left="117"/>
              <w:rPr>
                <w:sz w:val="24"/>
              </w:rPr>
            </w:pPr>
            <w:r>
              <w:rPr>
                <w:w w:val="100"/>
                <w:sz w:val="21"/>
              </w:rPr>
              <w:t> </w:t>
            </w:r>
            <w:r>
              <w:rPr>
                <w:sz w:val="21"/>
              </w:rPr>
              <w:t> </w:t>
            </w:r>
            <w:r>
              <w:rPr>
                <w:spacing w:val="-9"/>
                <w:sz w:val="21"/>
              </w:rPr>
              <w:t>南宁市横县洪德路 </w:t>
            </w:r>
            <w:r>
              <w:rPr>
                <w:sz w:val="21"/>
              </w:rPr>
              <w:t>266</w:t>
            </w:r>
            <w:r>
              <w:rPr>
                <w:spacing w:val="-26"/>
                <w:sz w:val="21"/>
              </w:rPr>
              <w:t> 号</w:t>
            </w:r>
            <w:r>
              <w:rPr>
                <w:spacing w:val="-41"/>
                <w:sz w:val="24"/>
              </w:rPr>
              <w:t> </w:t>
            </w:r>
          </w:p>
        </w:tc>
        <w:tc>
          <w:tcPr>
            <w:tcW w:w="1162" w:type="dxa"/>
          </w:tcPr>
          <w:p>
            <w:pPr>
              <w:pStyle w:val="TableParagraph"/>
              <w:spacing w:line="242" w:lineRule="exact"/>
              <w:ind w:left="-20"/>
              <w:rPr>
                <w:sz w:val="24"/>
              </w:rPr>
            </w:pPr>
            <w:r>
              <w:rPr>
                <w:sz w:val="21"/>
              </w:rPr>
              <w:t>地 址 :</w:t>
            </w:r>
            <w:r>
              <w:rPr>
                <w:sz w:val="24"/>
              </w:rPr>
              <w:t> </w:t>
            </w:r>
          </w:p>
        </w:tc>
        <w:tc>
          <w:tcPr>
            <w:tcW w:w="2919" w:type="dxa"/>
          </w:tcPr>
          <w:p>
            <w:pPr>
              <w:pStyle w:val="TableParagraph"/>
              <w:spacing w:line="242" w:lineRule="exact"/>
              <w:ind w:left="116"/>
              <w:rPr>
                <w:sz w:val="21"/>
              </w:rPr>
            </w:pPr>
            <w:r>
              <w:rPr>
                <w:w w:val="100"/>
                <w:sz w:val="21"/>
              </w:rPr>
              <w:t> </w:t>
            </w:r>
            <w:r>
              <w:rPr>
                <w:sz w:val="21"/>
              </w:rPr>
              <w:t> </w:t>
            </w:r>
            <w:r>
              <w:rPr>
                <w:spacing w:val="-2"/>
                <w:sz w:val="21"/>
              </w:rPr>
              <w:t>中国</w:t>
            </w:r>
            <w:r>
              <w:rPr>
                <w:sz w:val="21"/>
              </w:rPr>
              <w:t>（</w:t>
            </w:r>
            <w:r>
              <w:rPr>
                <w:spacing w:val="-2"/>
                <w:sz w:val="21"/>
              </w:rPr>
              <w:t>广西</w:t>
            </w:r>
            <w:r>
              <w:rPr>
                <w:spacing w:val="-3"/>
                <w:sz w:val="21"/>
              </w:rPr>
              <w:t>）自由贸易试</w:t>
            </w:r>
          </w:p>
          <w:p>
            <w:pPr>
              <w:pStyle w:val="TableParagraph"/>
              <w:spacing w:before="2"/>
              <w:ind w:left="116"/>
              <w:rPr>
                <w:sz w:val="21"/>
              </w:rPr>
            </w:pPr>
            <w:r>
              <w:rPr>
                <w:spacing w:val="-8"/>
                <w:sz w:val="21"/>
              </w:rPr>
              <w:t>验区南宁片区盘歌路 </w:t>
            </w:r>
            <w:r>
              <w:rPr>
                <w:sz w:val="21"/>
              </w:rPr>
              <w:t>6</w:t>
            </w:r>
            <w:r>
              <w:rPr>
                <w:spacing w:val="-18"/>
                <w:sz w:val="21"/>
              </w:rPr>
              <w:t> 号富</w:t>
            </w:r>
          </w:p>
          <w:p>
            <w:pPr>
              <w:pStyle w:val="TableParagraph"/>
              <w:spacing w:before="4"/>
              <w:ind w:left="116"/>
              <w:rPr>
                <w:sz w:val="21"/>
              </w:rPr>
            </w:pPr>
            <w:r>
              <w:rPr>
                <w:sz w:val="21"/>
              </w:rPr>
              <w:t>雅.国际生活广场 1 号楼五层</w:t>
            </w:r>
          </w:p>
          <w:p>
            <w:pPr>
              <w:pStyle w:val="TableParagraph"/>
              <w:spacing w:line="261" w:lineRule="exact" w:before="3"/>
              <w:ind w:left="116"/>
              <w:rPr>
                <w:sz w:val="24"/>
              </w:rPr>
            </w:pPr>
            <w:r>
              <w:rPr>
                <w:sz w:val="21"/>
              </w:rPr>
              <w:t>509 号房</w:t>
            </w:r>
            <w:r>
              <w:rPr>
                <w:sz w:val="24"/>
              </w:rPr>
              <w:t> </w:t>
            </w:r>
          </w:p>
        </w:tc>
      </w:tr>
      <w:tr>
        <w:trPr>
          <w:trHeight w:val="272" w:hRule="atLeast"/>
        </w:trPr>
        <w:tc>
          <w:tcPr>
            <w:tcW w:w="1383" w:type="dxa"/>
          </w:tcPr>
          <w:p>
            <w:pPr>
              <w:pStyle w:val="TableParagraph"/>
              <w:spacing w:line="233" w:lineRule="exact"/>
              <w:ind w:left="200"/>
              <w:rPr>
                <w:sz w:val="24"/>
              </w:rPr>
            </w:pPr>
            <w:r>
              <w:rPr>
                <w:sz w:val="21"/>
              </w:rPr>
              <w:t>邮 编 :</w:t>
            </w:r>
            <w:r>
              <w:rPr>
                <w:sz w:val="24"/>
              </w:rPr>
              <w:t> </w:t>
            </w:r>
          </w:p>
        </w:tc>
        <w:tc>
          <w:tcPr>
            <w:tcW w:w="2740" w:type="dxa"/>
          </w:tcPr>
          <w:p>
            <w:pPr>
              <w:pStyle w:val="TableParagraph"/>
              <w:spacing w:line="233" w:lineRule="exact"/>
              <w:ind w:left="117"/>
              <w:rPr>
                <w:sz w:val="24"/>
              </w:rPr>
            </w:pPr>
            <w:r>
              <w:rPr>
                <w:w w:val="100"/>
                <w:sz w:val="21"/>
              </w:rPr>
              <w:t> </w:t>
            </w:r>
            <w:r>
              <w:rPr>
                <w:sz w:val="21"/>
              </w:rPr>
              <w:t> </w:t>
            </w:r>
            <w:r>
              <w:rPr>
                <w:sz w:val="24"/>
              </w:rPr>
              <w:t> </w:t>
            </w:r>
          </w:p>
        </w:tc>
        <w:tc>
          <w:tcPr>
            <w:tcW w:w="1162" w:type="dxa"/>
          </w:tcPr>
          <w:p>
            <w:pPr>
              <w:pStyle w:val="TableParagraph"/>
              <w:spacing w:line="233" w:lineRule="exact"/>
              <w:ind w:left="-20"/>
              <w:rPr>
                <w:sz w:val="24"/>
              </w:rPr>
            </w:pPr>
            <w:r>
              <w:rPr>
                <w:sz w:val="21"/>
              </w:rPr>
              <w:t>邮 编 :</w:t>
            </w:r>
            <w:r>
              <w:rPr>
                <w:sz w:val="24"/>
              </w:rPr>
              <w:t> </w:t>
            </w:r>
          </w:p>
        </w:tc>
        <w:tc>
          <w:tcPr>
            <w:tcW w:w="2919" w:type="dxa"/>
          </w:tcPr>
          <w:p>
            <w:pPr>
              <w:pStyle w:val="TableParagraph"/>
              <w:spacing w:line="233" w:lineRule="exact"/>
              <w:ind w:left="116"/>
              <w:rPr>
                <w:sz w:val="24"/>
              </w:rPr>
            </w:pPr>
            <w:r>
              <w:rPr>
                <w:w w:val="100"/>
                <w:sz w:val="21"/>
              </w:rPr>
              <w:t> </w:t>
            </w:r>
            <w:r>
              <w:rPr>
                <w:sz w:val="21"/>
              </w:rPr>
              <w:t> </w:t>
            </w:r>
            <w:r>
              <w:rPr>
                <w:sz w:val="24"/>
              </w:rPr>
              <w:t> </w:t>
            </w:r>
          </w:p>
        </w:tc>
      </w:tr>
      <w:tr>
        <w:trPr>
          <w:trHeight w:val="272" w:hRule="atLeast"/>
        </w:trPr>
        <w:tc>
          <w:tcPr>
            <w:tcW w:w="1383" w:type="dxa"/>
          </w:tcPr>
          <w:p>
            <w:pPr>
              <w:pStyle w:val="TableParagraph"/>
              <w:spacing w:line="233" w:lineRule="exact"/>
              <w:ind w:left="200"/>
              <w:rPr>
                <w:sz w:val="24"/>
              </w:rPr>
            </w:pPr>
            <w:r>
              <w:rPr>
                <w:sz w:val="21"/>
              </w:rPr>
              <w:t>联 系 人:</w:t>
            </w:r>
            <w:r>
              <w:rPr>
                <w:sz w:val="24"/>
              </w:rPr>
              <w:t> </w:t>
            </w:r>
          </w:p>
        </w:tc>
        <w:tc>
          <w:tcPr>
            <w:tcW w:w="2740" w:type="dxa"/>
          </w:tcPr>
          <w:p>
            <w:pPr>
              <w:pStyle w:val="TableParagraph"/>
              <w:spacing w:line="233" w:lineRule="exact"/>
              <w:ind w:left="117"/>
              <w:rPr>
                <w:sz w:val="24"/>
              </w:rPr>
            </w:pPr>
            <w:r>
              <w:rPr>
                <w:w w:val="100"/>
                <w:sz w:val="21"/>
              </w:rPr>
              <w:t> </w:t>
            </w:r>
            <w:r>
              <w:rPr>
                <w:sz w:val="21"/>
              </w:rPr>
              <w:t> 黄工</w:t>
            </w:r>
            <w:r>
              <w:rPr>
                <w:sz w:val="24"/>
              </w:rPr>
              <w:t> </w:t>
            </w:r>
          </w:p>
        </w:tc>
        <w:tc>
          <w:tcPr>
            <w:tcW w:w="1162" w:type="dxa"/>
          </w:tcPr>
          <w:p>
            <w:pPr>
              <w:pStyle w:val="TableParagraph"/>
              <w:spacing w:line="233" w:lineRule="exact"/>
              <w:ind w:left="-20"/>
              <w:rPr>
                <w:sz w:val="24"/>
              </w:rPr>
            </w:pPr>
            <w:r>
              <w:rPr>
                <w:sz w:val="21"/>
              </w:rPr>
              <w:t>联 系 人:</w:t>
            </w:r>
            <w:r>
              <w:rPr>
                <w:sz w:val="24"/>
              </w:rPr>
              <w:t> </w:t>
            </w:r>
          </w:p>
        </w:tc>
        <w:tc>
          <w:tcPr>
            <w:tcW w:w="2919" w:type="dxa"/>
          </w:tcPr>
          <w:p>
            <w:pPr>
              <w:pStyle w:val="TableParagraph"/>
              <w:spacing w:line="233" w:lineRule="exact"/>
              <w:ind w:left="116"/>
              <w:rPr>
                <w:sz w:val="24"/>
              </w:rPr>
            </w:pPr>
            <w:r>
              <w:rPr>
                <w:w w:val="100"/>
                <w:sz w:val="21"/>
              </w:rPr>
              <w:t> </w:t>
            </w:r>
            <w:r>
              <w:rPr>
                <w:sz w:val="21"/>
              </w:rPr>
              <w:t> 田工</w:t>
            </w:r>
            <w:r>
              <w:rPr>
                <w:sz w:val="24"/>
              </w:rPr>
              <w:t> </w:t>
            </w:r>
          </w:p>
        </w:tc>
      </w:tr>
      <w:tr>
        <w:trPr>
          <w:trHeight w:val="272" w:hRule="atLeast"/>
        </w:trPr>
        <w:tc>
          <w:tcPr>
            <w:tcW w:w="1383" w:type="dxa"/>
          </w:tcPr>
          <w:p>
            <w:pPr>
              <w:pStyle w:val="TableParagraph"/>
              <w:spacing w:line="233" w:lineRule="exact"/>
              <w:ind w:left="200"/>
              <w:rPr>
                <w:sz w:val="24"/>
              </w:rPr>
            </w:pPr>
            <w:r>
              <w:rPr>
                <w:sz w:val="21"/>
              </w:rPr>
              <w:t>电 话 :</w:t>
            </w:r>
            <w:r>
              <w:rPr>
                <w:sz w:val="24"/>
              </w:rPr>
              <w:t> </w:t>
            </w:r>
          </w:p>
        </w:tc>
        <w:tc>
          <w:tcPr>
            <w:tcW w:w="2740" w:type="dxa"/>
          </w:tcPr>
          <w:p>
            <w:pPr>
              <w:pStyle w:val="TableParagraph"/>
              <w:spacing w:line="233" w:lineRule="exact"/>
              <w:ind w:left="117"/>
              <w:rPr>
                <w:sz w:val="24"/>
              </w:rPr>
            </w:pPr>
            <w:r>
              <w:rPr>
                <w:w w:val="100"/>
                <w:sz w:val="21"/>
              </w:rPr>
              <w:t> </w:t>
            </w:r>
            <w:r>
              <w:rPr>
                <w:sz w:val="21"/>
              </w:rPr>
              <w:t> 0771-7226886</w:t>
            </w:r>
            <w:r>
              <w:rPr>
                <w:sz w:val="24"/>
              </w:rPr>
              <w:t> </w:t>
            </w:r>
          </w:p>
        </w:tc>
        <w:tc>
          <w:tcPr>
            <w:tcW w:w="1162" w:type="dxa"/>
          </w:tcPr>
          <w:p>
            <w:pPr>
              <w:pStyle w:val="TableParagraph"/>
              <w:spacing w:line="233" w:lineRule="exact"/>
              <w:ind w:left="-20"/>
              <w:rPr>
                <w:sz w:val="24"/>
              </w:rPr>
            </w:pPr>
            <w:r>
              <w:rPr>
                <w:sz w:val="21"/>
              </w:rPr>
              <w:t>电 话 :</w:t>
            </w:r>
            <w:r>
              <w:rPr>
                <w:sz w:val="24"/>
              </w:rPr>
              <w:t> </w:t>
            </w:r>
          </w:p>
        </w:tc>
        <w:tc>
          <w:tcPr>
            <w:tcW w:w="2919" w:type="dxa"/>
          </w:tcPr>
          <w:p>
            <w:pPr>
              <w:pStyle w:val="TableParagraph"/>
              <w:spacing w:line="233" w:lineRule="exact"/>
              <w:ind w:left="116"/>
              <w:rPr>
                <w:sz w:val="24"/>
              </w:rPr>
            </w:pPr>
            <w:r>
              <w:rPr>
                <w:w w:val="100"/>
                <w:sz w:val="21"/>
              </w:rPr>
              <w:t> </w:t>
            </w:r>
            <w:r>
              <w:rPr>
                <w:sz w:val="21"/>
              </w:rPr>
              <w:t> 0771-2822223</w:t>
            </w:r>
            <w:r>
              <w:rPr>
                <w:sz w:val="24"/>
              </w:rPr>
              <w:t> </w:t>
            </w:r>
          </w:p>
        </w:tc>
      </w:tr>
      <w:tr>
        <w:trPr>
          <w:trHeight w:val="272" w:hRule="atLeast"/>
        </w:trPr>
        <w:tc>
          <w:tcPr>
            <w:tcW w:w="1383" w:type="dxa"/>
          </w:tcPr>
          <w:p>
            <w:pPr>
              <w:pStyle w:val="TableParagraph"/>
              <w:spacing w:line="233" w:lineRule="exact"/>
              <w:ind w:left="200"/>
              <w:rPr>
                <w:sz w:val="24"/>
              </w:rPr>
            </w:pPr>
            <w:r>
              <w:rPr>
                <w:sz w:val="21"/>
              </w:rPr>
              <w:t>传 真 :</w:t>
            </w:r>
            <w:r>
              <w:rPr>
                <w:sz w:val="24"/>
              </w:rPr>
              <w:t> </w:t>
            </w:r>
          </w:p>
        </w:tc>
        <w:tc>
          <w:tcPr>
            <w:tcW w:w="2740" w:type="dxa"/>
          </w:tcPr>
          <w:p>
            <w:pPr>
              <w:pStyle w:val="TableParagraph"/>
              <w:spacing w:line="233" w:lineRule="exact"/>
              <w:ind w:left="117"/>
              <w:rPr>
                <w:sz w:val="24"/>
              </w:rPr>
            </w:pPr>
            <w:r>
              <w:rPr>
                <w:w w:val="100"/>
                <w:sz w:val="21"/>
              </w:rPr>
              <w:t> </w:t>
            </w:r>
            <w:r>
              <w:rPr>
                <w:sz w:val="21"/>
              </w:rPr>
              <w:t> </w:t>
            </w:r>
            <w:r>
              <w:rPr>
                <w:sz w:val="24"/>
              </w:rPr>
              <w:t> </w:t>
            </w:r>
          </w:p>
        </w:tc>
        <w:tc>
          <w:tcPr>
            <w:tcW w:w="1162" w:type="dxa"/>
          </w:tcPr>
          <w:p>
            <w:pPr>
              <w:pStyle w:val="TableParagraph"/>
              <w:spacing w:line="233" w:lineRule="exact"/>
              <w:ind w:left="-20"/>
              <w:rPr>
                <w:sz w:val="24"/>
              </w:rPr>
            </w:pPr>
            <w:r>
              <w:rPr>
                <w:sz w:val="21"/>
              </w:rPr>
              <w:t>传 真 :</w:t>
            </w:r>
            <w:r>
              <w:rPr>
                <w:sz w:val="24"/>
              </w:rPr>
              <w:t> </w:t>
            </w:r>
          </w:p>
        </w:tc>
        <w:tc>
          <w:tcPr>
            <w:tcW w:w="2919" w:type="dxa"/>
          </w:tcPr>
          <w:p>
            <w:pPr>
              <w:pStyle w:val="TableParagraph"/>
              <w:spacing w:line="233" w:lineRule="exact"/>
              <w:ind w:left="116"/>
              <w:rPr>
                <w:sz w:val="24"/>
              </w:rPr>
            </w:pPr>
            <w:r>
              <w:rPr>
                <w:w w:val="100"/>
                <w:sz w:val="21"/>
              </w:rPr>
              <w:t> </w:t>
            </w:r>
            <w:r>
              <w:rPr>
                <w:sz w:val="21"/>
              </w:rPr>
              <w:t> 0771-2833339</w:t>
            </w:r>
            <w:r>
              <w:rPr>
                <w:sz w:val="24"/>
              </w:rPr>
              <w:t> </w:t>
            </w:r>
          </w:p>
        </w:tc>
      </w:tr>
      <w:tr>
        <w:trPr>
          <w:trHeight w:val="272" w:hRule="atLeast"/>
        </w:trPr>
        <w:tc>
          <w:tcPr>
            <w:tcW w:w="1383" w:type="dxa"/>
          </w:tcPr>
          <w:p>
            <w:pPr>
              <w:pStyle w:val="TableParagraph"/>
              <w:spacing w:line="233" w:lineRule="exact"/>
              <w:ind w:left="200"/>
              <w:rPr>
                <w:sz w:val="24"/>
              </w:rPr>
            </w:pPr>
            <w:r>
              <w:rPr>
                <w:sz w:val="21"/>
              </w:rPr>
              <w:t>电子邮箱:</w:t>
            </w:r>
            <w:r>
              <w:rPr>
                <w:sz w:val="24"/>
              </w:rPr>
              <w:t> </w:t>
            </w:r>
          </w:p>
        </w:tc>
        <w:tc>
          <w:tcPr>
            <w:tcW w:w="2740" w:type="dxa"/>
          </w:tcPr>
          <w:p>
            <w:pPr>
              <w:pStyle w:val="TableParagraph"/>
              <w:spacing w:line="233" w:lineRule="exact"/>
              <w:ind w:left="117"/>
              <w:rPr>
                <w:sz w:val="24"/>
              </w:rPr>
            </w:pPr>
            <w:r>
              <w:rPr>
                <w:w w:val="100"/>
                <w:sz w:val="21"/>
              </w:rPr>
              <w:t> </w:t>
            </w:r>
            <w:r>
              <w:rPr>
                <w:sz w:val="21"/>
              </w:rPr>
              <w:t> </w:t>
            </w:r>
            <w:r>
              <w:rPr>
                <w:sz w:val="24"/>
              </w:rPr>
              <w:t> </w:t>
            </w:r>
          </w:p>
        </w:tc>
        <w:tc>
          <w:tcPr>
            <w:tcW w:w="1162" w:type="dxa"/>
          </w:tcPr>
          <w:p>
            <w:pPr>
              <w:pStyle w:val="TableParagraph"/>
              <w:spacing w:line="233" w:lineRule="exact"/>
              <w:ind w:left="-20"/>
              <w:rPr>
                <w:sz w:val="24"/>
              </w:rPr>
            </w:pPr>
            <w:r>
              <w:rPr>
                <w:sz w:val="21"/>
              </w:rPr>
              <w:t>电子邮箱:</w:t>
            </w:r>
            <w:r>
              <w:rPr>
                <w:sz w:val="24"/>
              </w:rPr>
              <w:t> </w:t>
            </w:r>
          </w:p>
        </w:tc>
        <w:tc>
          <w:tcPr>
            <w:tcW w:w="2919" w:type="dxa"/>
          </w:tcPr>
          <w:p>
            <w:pPr>
              <w:pStyle w:val="TableParagraph"/>
              <w:spacing w:line="233" w:lineRule="exact"/>
              <w:ind w:left="116"/>
              <w:rPr>
                <w:sz w:val="24"/>
              </w:rPr>
            </w:pPr>
            <w:r>
              <w:rPr>
                <w:w w:val="100"/>
                <w:sz w:val="21"/>
              </w:rPr>
              <w:t> </w:t>
            </w:r>
            <w:r>
              <w:rPr>
                <w:sz w:val="21"/>
              </w:rPr>
              <w:t> </w:t>
            </w:r>
            <w:r>
              <w:rPr>
                <w:sz w:val="24"/>
              </w:rPr>
              <w:t> </w:t>
            </w:r>
          </w:p>
        </w:tc>
      </w:tr>
      <w:tr>
        <w:trPr>
          <w:trHeight w:val="255" w:hRule="atLeast"/>
        </w:trPr>
        <w:tc>
          <w:tcPr>
            <w:tcW w:w="1383" w:type="dxa"/>
          </w:tcPr>
          <w:p>
            <w:pPr>
              <w:pStyle w:val="TableParagraph"/>
              <w:spacing w:line="216" w:lineRule="exact"/>
              <w:ind w:left="200"/>
              <w:rPr>
                <w:sz w:val="24"/>
              </w:rPr>
            </w:pPr>
            <w:r>
              <w:rPr>
                <w:sz w:val="21"/>
              </w:rPr>
              <w:t>网 址 :</w:t>
            </w:r>
            <w:r>
              <w:rPr>
                <w:sz w:val="24"/>
              </w:rPr>
              <w:t> </w:t>
            </w:r>
          </w:p>
        </w:tc>
        <w:tc>
          <w:tcPr>
            <w:tcW w:w="2740" w:type="dxa"/>
          </w:tcPr>
          <w:p>
            <w:pPr>
              <w:pStyle w:val="TableParagraph"/>
              <w:spacing w:line="216" w:lineRule="exact"/>
              <w:ind w:left="117"/>
              <w:rPr>
                <w:sz w:val="24"/>
              </w:rPr>
            </w:pPr>
            <w:r>
              <w:rPr>
                <w:w w:val="100"/>
                <w:sz w:val="21"/>
              </w:rPr>
              <w:t> </w:t>
            </w:r>
            <w:r>
              <w:rPr>
                <w:sz w:val="21"/>
              </w:rPr>
              <w:t> </w:t>
            </w:r>
            <w:r>
              <w:rPr>
                <w:sz w:val="24"/>
              </w:rPr>
              <w:t> </w:t>
            </w:r>
          </w:p>
        </w:tc>
        <w:tc>
          <w:tcPr>
            <w:tcW w:w="1162" w:type="dxa"/>
          </w:tcPr>
          <w:p>
            <w:pPr>
              <w:pStyle w:val="TableParagraph"/>
              <w:spacing w:line="216" w:lineRule="exact"/>
              <w:ind w:left="-20"/>
              <w:rPr>
                <w:sz w:val="24"/>
              </w:rPr>
            </w:pPr>
            <w:r>
              <w:rPr>
                <w:sz w:val="21"/>
              </w:rPr>
              <w:t>网 址 :</w:t>
            </w:r>
            <w:r>
              <w:rPr>
                <w:sz w:val="24"/>
              </w:rPr>
              <w:t> </w:t>
            </w:r>
          </w:p>
        </w:tc>
        <w:tc>
          <w:tcPr>
            <w:tcW w:w="2919" w:type="dxa"/>
          </w:tcPr>
          <w:p>
            <w:pPr>
              <w:pStyle w:val="TableParagraph"/>
              <w:spacing w:line="216" w:lineRule="exact"/>
              <w:ind w:left="116"/>
              <w:rPr>
                <w:sz w:val="24"/>
              </w:rPr>
            </w:pPr>
            <w:r>
              <w:rPr>
                <w:w w:val="100"/>
                <w:sz w:val="21"/>
              </w:rPr>
              <w:t> </w:t>
            </w:r>
            <w:r>
              <w:rPr>
                <w:sz w:val="21"/>
              </w:rPr>
              <w:t> </w:t>
            </w:r>
            <w:r>
              <w:rPr>
                <w:sz w:val="24"/>
              </w:rPr>
              <w:t> </w:t>
            </w:r>
          </w:p>
        </w:tc>
      </w:tr>
    </w:tbl>
    <w:p>
      <w:pPr>
        <w:spacing w:line="264" w:lineRule="exact" w:before="0"/>
        <w:ind w:left="678" w:right="0" w:firstLine="0"/>
        <w:jc w:val="left"/>
        <w:rPr>
          <w:sz w:val="24"/>
        </w:rPr>
      </w:pPr>
      <w:r>
        <w:rPr>
          <w:w w:val="100"/>
          <w:sz w:val="21"/>
        </w:rPr>
        <w:t> </w:t>
      </w:r>
      <w:r>
        <w:rPr>
          <w:sz w:val="21"/>
        </w:rPr>
        <w:t> </w:t>
      </w:r>
      <w:r>
        <w:rPr>
          <w:sz w:val="24"/>
        </w:rPr>
        <w:t> </w:t>
      </w:r>
    </w:p>
    <w:p>
      <w:pPr>
        <w:pStyle w:val="BodyText"/>
        <w:spacing w:line="253" w:lineRule="exact"/>
      </w:pPr>
      <w:r>
        <w:rPr/>
        <w:t>2020 年 11 月 16 日 </w:t>
      </w:r>
    </w:p>
    <w:p>
      <w:pPr>
        <w:spacing w:line="277" w:lineRule="exact" w:before="0"/>
        <w:ind w:left="678" w:right="0" w:firstLine="0"/>
        <w:jc w:val="left"/>
        <w:rPr>
          <w:sz w:val="24"/>
        </w:rPr>
      </w:pPr>
      <w:r>
        <w:rPr>
          <w:w w:val="100"/>
          <w:sz w:val="21"/>
        </w:rPr>
        <w:t> </w:t>
      </w:r>
      <w:r>
        <w:rPr>
          <w:sz w:val="21"/>
        </w:rPr>
        <w:t> </w:t>
      </w:r>
      <w:r>
        <w:rPr>
          <w:sz w:val="24"/>
        </w:rPr>
        <w:t> </w:t>
      </w:r>
    </w:p>
    <w:p>
      <w:pPr>
        <w:pStyle w:val="BodyText"/>
        <w:spacing w:line="272" w:lineRule="exact"/>
        <w:rPr>
          <w:sz w:val="24"/>
        </w:rPr>
      </w:pPr>
      <w:r>
        <w:rPr>
          <w:w w:val="100"/>
        </w:rPr>
        <w:t> </w:t>
      </w:r>
      <w:r>
        <w:rPr/>
        <w:t> </w:t>
      </w:r>
      <w:r>
        <w:rPr>
          <w:w w:val="100"/>
        </w:rPr>
        <w:t> </w:t>
      </w:r>
      <w:r>
        <w:rPr/>
        <w:t> </w:t>
      </w:r>
      <w:r>
        <w:rPr>
          <w:w w:val="100"/>
        </w:rPr>
        <w:t> </w:t>
      </w:r>
      <w:r>
        <w:rPr>
          <w:spacing w:val="-2"/>
        </w:rPr>
        <w:t> </w:t>
      </w:r>
      <w:r>
        <w:rPr>
          <w:w w:val="100"/>
        </w:rPr>
        <w:t> </w:t>
      </w:r>
      <w:r>
        <w:rPr/>
        <w:t> </w:t>
      </w:r>
      <w:r>
        <w:rPr>
          <w:w w:val="100"/>
        </w:rPr>
        <w:t> </w:t>
      </w:r>
      <w:r>
        <w:rPr>
          <w:spacing w:val="-2"/>
        </w:rPr>
        <w:t> </w:t>
      </w:r>
      <w:r>
        <w:rPr>
          <w:sz w:val="24"/>
        </w:rPr>
        <w:t> </w:t>
      </w:r>
    </w:p>
    <w:p>
      <w:pPr>
        <w:spacing w:line="272" w:lineRule="exact" w:before="0"/>
        <w:ind w:left="678" w:right="0" w:firstLine="0"/>
        <w:jc w:val="left"/>
        <w:rPr>
          <w:sz w:val="24"/>
        </w:rPr>
      </w:pPr>
      <w:r>
        <w:rPr>
          <w:w w:val="100"/>
          <w:sz w:val="21"/>
        </w:rPr>
        <w:t> </w:t>
      </w:r>
      <w:r>
        <w:rPr>
          <w:sz w:val="21"/>
        </w:rPr>
        <w:t> </w:t>
      </w:r>
      <w:r>
        <w:rPr>
          <w:sz w:val="24"/>
        </w:rPr>
        <w:t> </w:t>
      </w:r>
    </w:p>
    <w:p>
      <w:pPr>
        <w:spacing w:line="289" w:lineRule="exact" w:before="0"/>
        <w:ind w:left="678" w:right="0" w:firstLine="0"/>
        <w:jc w:val="left"/>
        <w:rPr>
          <w:sz w:val="24"/>
        </w:rPr>
      </w:pPr>
      <w:r>
        <w:rPr>
          <w:w w:val="100"/>
          <w:sz w:val="21"/>
        </w:rPr>
        <w:t> </w:t>
      </w:r>
      <w:r>
        <w:rPr>
          <w:sz w:val="21"/>
        </w:rPr>
        <w:t> </w:t>
      </w:r>
      <w:r>
        <w:rPr>
          <w:sz w:val="24"/>
        </w:rPr>
        <w:t> </w:t>
      </w:r>
    </w:p>
    <w:p>
      <w:pPr>
        <w:pStyle w:val="BodyText"/>
        <w:ind w:left="0"/>
        <w:rPr>
          <w:sz w:val="20"/>
        </w:rPr>
      </w:pPr>
    </w:p>
    <w:p>
      <w:pPr>
        <w:pStyle w:val="BodyText"/>
        <w:ind w:left="0"/>
        <w:rPr>
          <w:sz w:val="20"/>
        </w:rPr>
      </w:pPr>
    </w:p>
    <w:p>
      <w:pPr>
        <w:pStyle w:val="BodyText"/>
        <w:spacing w:before="12"/>
        <w:ind w:left="0"/>
        <w:rPr>
          <w:sz w:val="18"/>
        </w:rPr>
      </w:pPr>
    </w:p>
    <w:p>
      <w:pPr>
        <w:spacing w:before="71"/>
        <w:ind w:left="678" w:right="0" w:firstLine="0"/>
        <w:jc w:val="left"/>
        <w:rPr>
          <w:sz w:val="20"/>
        </w:rPr>
      </w:pPr>
      <w:r>
        <w:rPr>
          <w:color w:val="000080"/>
          <w:spacing w:val="1"/>
          <w:w w:val="99"/>
          <w:sz w:val="20"/>
        </w:rPr>
        <w:t> </w:t>
      </w:r>
      <w:r>
        <w:rPr>
          <w:color w:val="000080"/>
          <w:w w:val="99"/>
          <w:sz w:val="20"/>
        </w:rPr>
        <w:t> </w:t>
      </w:r>
    </w:p>
    <w:p>
      <w:pPr>
        <w:pStyle w:val="BodyText"/>
        <w:spacing w:before="3"/>
      </w:pPr>
      <w:r>
        <w:rPr>
          <w:w w:val="100"/>
        </w:rPr>
        <w:t> </w:t>
      </w:r>
    </w:p>
    <w:p>
      <w:pPr>
        <w:spacing w:before="5"/>
        <w:ind w:left="678" w:right="0" w:firstLine="0"/>
        <w:jc w:val="left"/>
        <w:rPr>
          <w:sz w:val="20"/>
        </w:rPr>
      </w:pPr>
      <w:r>
        <w:rPr>
          <w:color w:val="000080"/>
          <w:spacing w:val="1"/>
          <w:w w:val="99"/>
          <w:sz w:val="20"/>
        </w:rPr>
        <w:t> </w:t>
      </w:r>
      <w:r>
        <w:rPr>
          <w:color w:val="000080"/>
          <w:w w:val="99"/>
          <w:sz w:val="20"/>
        </w:rPr>
        <w:t> </w:t>
      </w:r>
    </w:p>
    <w:p>
      <w:pPr>
        <w:spacing w:before="3"/>
        <w:ind w:left="678" w:right="0" w:firstLine="0"/>
        <w:jc w:val="left"/>
        <w:rPr>
          <w:sz w:val="20"/>
        </w:rPr>
      </w:pPr>
      <w:r>
        <w:rPr>
          <w:color w:val="000080"/>
          <w:w w:val="99"/>
          <w:sz w:val="20"/>
        </w:rPr>
        <w:t> </w:t>
      </w:r>
    </w:p>
    <w:p>
      <w:pPr>
        <w:spacing w:before="3"/>
        <w:ind w:left="678" w:right="0" w:firstLine="0"/>
        <w:jc w:val="left"/>
        <w:rPr>
          <w:sz w:val="21"/>
        </w:rPr>
      </w:pPr>
      <w:r>
        <w:rPr>
          <w:color w:val="000080"/>
          <w:spacing w:val="1"/>
          <w:w w:val="99"/>
          <w:sz w:val="20"/>
        </w:rPr>
        <w:t> </w:t>
      </w:r>
      <w:r>
        <w:rPr>
          <w:w w:val="100"/>
          <w:sz w:val="21"/>
        </w:rPr>
        <w:t> </w:t>
      </w:r>
    </w:p>
    <w:p>
      <w:pPr>
        <w:spacing w:before="12"/>
        <w:ind w:left="678" w:right="0" w:firstLine="0"/>
        <w:jc w:val="left"/>
        <w:rPr>
          <w:sz w:val="20"/>
        </w:rPr>
      </w:pPr>
      <w:r>
        <w:rPr>
          <w:color w:val="000080"/>
          <w:w w:val="99"/>
          <w:sz w:val="20"/>
        </w:rPr>
        <w:t> </w:t>
      </w:r>
    </w:p>
    <w:p>
      <w:pPr>
        <w:spacing w:after="0"/>
        <w:jc w:val="left"/>
        <w:rPr>
          <w:sz w:val="20"/>
        </w:rPr>
        <w:sectPr>
          <w:pgSz w:w="11910" w:h="16840"/>
          <w:pgMar w:header="0" w:footer="779" w:top="1380" w:bottom="1040" w:left="1120" w:right="280"/>
        </w:sectPr>
      </w:pPr>
    </w:p>
    <w:p>
      <w:pPr>
        <w:pStyle w:val="BodyText"/>
        <w:ind w:left="0"/>
        <w:rPr>
          <w:sz w:val="23"/>
        </w:rPr>
      </w:pPr>
    </w:p>
    <w:p>
      <w:pPr>
        <w:pStyle w:val="Heading1"/>
        <w:spacing w:line="702" w:lineRule="exact"/>
      </w:pPr>
      <w:bookmarkStart w:name="第二章  投标人须知" w:id="3"/>
      <w:bookmarkEnd w:id="3"/>
      <w:r>
        <w:rPr>
          <w:b w:val="0"/>
        </w:rPr>
      </w:r>
      <w:bookmarkStart w:name="_bookmark1" w:id="4"/>
      <w:bookmarkEnd w:id="4"/>
      <w:r>
        <w:rPr>
          <w:b w:val="0"/>
        </w:rPr>
      </w:r>
      <w:r>
        <w:rPr/>
        <w:t>第二章 投标人须知</w:t>
      </w:r>
      <w:r>
        <w:rPr>
          <w:w w:val="199"/>
        </w:rPr>
        <w:t> </w:t>
      </w:r>
    </w:p>
    <w:p>
      <w:pPr>
        <w:pStyle w:val="Heading1"/>
        <w:spacing w:before="47"/>
      </w:pPr>
      <w:bookmarkStart w:name="投标人须知前附表" w:id="5"/>
      <w:bookmarkEnd w:id="5"/>
      <w:r>
        <w:rPr>
          <w:b w:val="0"/>
        </w:rPr>
      </w:r>
      <w:bookmarkStart w:name="_bookmark2" w:id="6"/>
      <w:bookmarkEnd w:id="6"/>
      <w:r>
        <w:rPr>
          <w:b w:val="0"/>
        </w:rPr>
      </w:r>
      <w:r>
        <w:rPr/>
        <w:t>投标人须知前附表</w:t>
      </w:r>
      <w:r>
        <w:rPr>
          <w:w w:val="199"/>
        </w:rPr>
        <w:t> </w:t>
      </w:r>
    </w:p>
    <w:p>
      <w:pPr>
        <w:pStyle w:val="BodyText"/>
        <w:spacing w:before="8"/>
        <w:ind w:left="0"/>
        <w:rPr>
          <w:rFonts w:ascii="Microsoft JhengHei"/>
          <w:b/>
          <w:sz w:val="10"/>
        </w:rPr>
      </w:pPr>
    </w:p>
    <w:tbl>
      <w:tblPr>
        <w:tblW w:w="0" w:type="auto"/>
        <w:jc w:val="left"/>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6"/>
        <w:gridCol w:w="3253"/>
        <w:gridCol w:w="4749"/>
      </w:tblGrid>
      <w:tr>
        <w:trPr>
          <w:trHeight w:val="470" w:hRule="atLeast"/>
        </w:trPr>
        <w:tc>
          <w:tcPr>
            <w:tcW w:w="886" w:type="dxa"/>
            <w:shd w:val="clear" w:color="auto" w:fill="E6E6E6"/>
          </w:tcPr>
          <w:p>
            <w:pPr>
              <w:pStyle w:val="TableParagraph"/>
              <w:spacing w:line="349" w:lineRule="exact"/>
              <w:ind w:right="10"/>
              <w:jc w:val="right"/>
              <w:rPr>
                <w:rFonts w:ascii="Microsoft JhengHei" w:eastAsia="Microsoft JhengHei" w:hint="eastAsia"/>
                <w:b/>
                <w:sz w:val="21"/>
              </w:rPr>
            </w:pPr>
            <w:r>
              <w:rPr>
                <w:rFonts w:ascii="Microsoft JhengHei" w:eastAsia="Microsoft JhengHei" w:hint="eastAsia"/>
                <w:b/>
                <w:sz w:val="21"/>
                <w:shd w:fill="FFFFFF" w:color="auto" w:val="clear"/>
              </w:rPr>
              <w:t>条款号</w:t>
            </w:r>
            <w:r>
              <w:rPr>
                <w:rFonts w:ascii="Microsoft JhengHei" w:eastAsia="Microsoft JhengHei" w:hint="eastAsia"/>
                <w:b/>
                <w:w w:val="201"/>
                <w:sz w:val="21"/>
              </w:rPr>
              <w:t> </w:t>
            </w:r>
          </w:p>
        </w:tc>
        <w:tc>
          <w:tcPr>
            <w:tcW w:w="3253" w:type="dxa"/>
            <w:shd w:val="clear" w:color="auto" w:fill="E6E6E6"/>
          </w:tcPr>
          <w:p>
            <w:pPr>
              <w:pStyle w:val="TableParagraph"/>
              <w:spacing w:line="349" w:lineRule="exact"/>
              <w:ind w:left="887"/>
              <w:rPr>
                <w:rFonts w:ascii="Microsoft JhengHei" w:eastAsia="Microsoft JhengHei" w:hint="eastAsia"/>
                <w:b/>
                <w:sz w:val="21"/>
              </w:rPr>
            </w:pPr>
            <w:r>
              <w:rPr>
                <w:rFonts w:ascii="Microsoft JhengHei" w:eastAsia="Microsoft JhengHei" w:hint="eastAsia"/>
                <w:b/>
                <w:sz w:val="21"/>
                <w:shd w:fill="FFFFFF" w:color="auto" w:val="clear"/>
              </w:rPr>
              <w:t>条 款 名 称</w:t>
            </w:r>
            <w:r>
              <w:rPr>
                <w:rFonts w:ascii="Microsoft JhengHei" w:eastAsia="Microsoft JhengHei" w:hint="eastAsia"/>
                <w:b/>
                <w:w w:val="201"/>
                <w:sz w:val="21"/>
              </w:rPr>
              <w:t> </w:t>
            </w:r>
          </w:p>
        </w:tc>
        <w:tc>
          <w:tcPr>
            <w:tcW w:w="4749" w:type="dxa"/>
            <w:shd w:val="clear" w:color="auto" w:fill="E6E6E6"/>
          </w:tcPr>
          <w:p>
            <w:pPr>
              <w:pStyle w:val="TableParagraph"/>
              <w:spacing w:line="349" w:lineRule="exact"/>
              <w:ind w:left="1633"/>
              <w:rPr>
                <w:rFonts w:ascii="Microsoft JhengHei" w:eastAsia="Microsoft JhengHei" w:hint="eastAsia"/>
                <w:b/>
                <w:sz w:val="21"/>
              </w:rPr>
            </w:pPr>
            <w:r>
              <w:rPr>
                <w:rFonts w:ascii="Microsoft JhengHei" w:eastAsia="Microsoft JhengHei" w:hint="eastAsia"/>
                <w:b/>
                <w:sz w:val="21"/>
                <w:shd w:fill="FFFFFF" w:color="auto" w:val="clear"/>
              </w:rPr>
              <w:t>编 列 内 容</w:t>
            </w:r>
            <w:r>
              <w:rPr>
                <w:rFonts w:ascii="Microsoft JhengHei" w:eastAsia="Microsoft JhengHei" w:hint="eastAsia"/>
                <w:b/>
                <w:w w:val="201"/>
                <w:sz w:val="21"/>
              </w:rPr>
              <w:t> </w:t>
            </w:r>
          </w:p>
        </w:tc>
      </w:tr>
      <w:tr>
        <w:trPr>
          <w:trHeight w:val="4084" w:hRule="atLeast"/>
        </w:trPr>
        <w:tc>
          <w:tcPr>
            <w:tcW w:w="886" w:type="dxa"/>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1"/>
              <w:rPr>
                <w:rFonts w:ascii="Microsoft JhengHei"/>
                <w:b/>
                <w:sz w:val="20"/>
              </w:rPr>
            </w:pPr>
          </w:p>
          <w:p>
            <w:pPr>
              <w:pStyle w:val="TableParagraph"/>
              <w:ind w:right="63"/>
              <w:jc w:val="right"/>
              <w:rPr>
                <w:sz w:val="21"/>
              </w:rPr>
            </w:pPr>
            <w:r>
              <w:rPr>
                <w:sz w:val="21"/>
              </w:rPr>
              <w:t>1.1.2 </w:t>
            </w:r>
          </w:p>
        </w:tc>
        <w:tc>
          <w:tcPr>
            <w:tcW w:w="3253" w:type="dxa"/>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1"/>
              <w:rPr>
                <w:rFonts w:ascii="Microsoft JhengHei"/>
                <w:b/>
                <w:sz w:val="20"/>
              </w:rPr>
            </w:pPr>
          </w:p>
          <w:p>
            <w:pPr>
              <w:pStyle w:val="TableParagraph"/>
              <w:ind w:left="107"/>
              <w:rPr>
                <w:sz w:val="21"/>
              </w:rPr>
            </w:pPr>
            <w:r>
              <w:rPr>
                <w:sz w:val="21"/>
              </w:rPr>
              <w:t>招标人 </w:t>
            </w:r>
          </w:p>
        </w:tc>
        <w:tc>
          <w:tcPr>
            <w:tcW w:w="4749" w:type="dxa"/>
          </w:tcPr>
          <w:p>
            <w:pPr>
              <w:pStyle w:val="TableParagraph"/>
              <w:spacing w:before="1"/>
              <w:ind w:left="106"/>
              <w:rPr>
                <w:sz w:val="21"/>
              </w:rPr>
            </w:pPr>
            <w:r>
              <w:rPr>
                <w:spacing w:val="-1"/>
                <w:sz w:val="21"/>
              </w:rPr>
              <w:t>名称： </w:t>
            </w:r>
          </w:p>
          <w:p>
            <w:pPr>
              <w:pStyle w:val="TableParagraph"/>
              <w:spacing w:line="364" w:lineRule="auto" w:before="141"/>
              <w:ind w:left="106" w:right="3472"/>
              <w:rPr>
                <w:sz w:val="21"/>
              </w:rPr>
            </w:pPr>
            <w:r>
              <w:rPr>
                <w:color w:val="0000FF"/>
                <w:spacing w:val="-2"/>
                <w:sz w:val="21"/>
              </w:rPr>
              <w:t>横县教育局</w:t>
            </w:r>
            <w:r>
              <w:rPr>
                <w:sz w:val="21"/>
              </w:rPr>
              <w:t>地址： </w:t>
            </w:r>
          </w:p>
          <w:p>
            <w:pPr>
              <w:pStyle w:val="TableParagraph"/>
              <w:spacing w:line="364" w:lineRule="auto"/>
              <w:ind w:left="106" w:right="2212"/>
              <w:rPr>
                <w:sz w:val="21"/>
              </w:rPr>
            </w:pPr>
            <w:r>
              <w:rPr>
                <w:color w:val="0000FF"/>
                <w:sz w:val="21"/>
              </w:rPr>
              <w:t>南宁市横县洪德路 266 号</w:t>
            </w:r>
            <w:r>
              <w:rPr>
                <w:sz w:val="21"/>
              </w:rPr>
              <w:t>联系人： </w:t>
            </w:r>
          </w:p>
          <w:p>
            <w:pPr>
              <w:pStyle w:val="TableParagraph"/>
              <w:spacing w:line="367" w:lineRule="auto"/>
              <w:ind w:left="106" w:right="3892"/>
              <w:rPr>
                <w:sz w:val="21"/>
              </w:rPr>
            </w:pPr>
            <w:r>
              <w:rPr>
                <w:color w:val="0000FF"/>
                <w:sz w:val="21"/>
              </w:rPr>
              <w:t>黄 工</w:t>
            </w:r>
            <w:r>
              <w:rPr>
                <w:sz w:val="21"/>
              </w:rPr>
              <w:t> 电话： </w:t>
            </w:r>
          </w:p>
          <w:p>
            <w:pPr>
              <w:pStyle w:val="TableParagraph"/>
              <w:spacing w:line="264" w:lineRule="exact"/>
              <w:ind w:left="106"/>
              <w:rPr>
                <w:sz w:val="21"/>
              </w:rPr>
            </w:pPr>
            <w:r>
              <w:rPr>
                <w:color w:val="0000FF"/>
                <w:sz w:val="21"/>
              </w:rPr>
              <w:t>0771-7226886</w:t>
            </w:r>
            <w:r>
              <w:rPr>
                <w:sz w:val="21"/>
              </w:rPr>
              <w:t> </w:t>
            </w:r>
          </w:p>
          <w:p>
            <w:pPr>
              <w:pStyle w:val="TableParagraph"/>
              <w:spacing w:before="136"/>
              <w:ind w:left="106"/>
              <w:rPr>
                <w:sz w:val="21"/>
              </w:rPr>
            </w:pPr>
            <w:r>
              <w:rPr>
                <w:sz w:val="21"/>
              </w:rPr>
              <w:t>电子邮箱： </w:t>
            </w:r>
          </w:p>
          <w:p>
            <w:pPr>
              <w:pStyle w:val="TableParagraph"/>
              <w:spacing w:before="139"/>
              <w:ind w:left="106"/>
              <w:rPr>
                <w:sz w:val="21"/>
              </w:rPr>
            </w:pPr>
            <w:r>
              <w:rPr>
                <w:color w:val="0000FF"/>
                <w:w w:val="100"/>
                <w:sz w:val="21"/>
              </w:rPr>
              <w:t>  </w:t>
            </w:r>
            <w:r>
              <w:rPr>
                <w:w w:val="100"/>
                <w:sz w:val="21"/>
              </w:rPr>
              <w:t> </w:t>
            </w:r>
          </w:p>
        </w:tc>
      </w:tr>
      <w:tr>
        <w:trPr>
          <w:trHeight w:val="4495" w:hRule="atLeast"/>
        </w:trPr>
        <w:tc>
          <w:tcPr>
            <w:tcW w:w="886" w:type="dxa"/>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5"/>
              <w:rPr>
                <w:rFonts w:ascii="Microsoft JhengHei"/>
                <w:b/>
                <w:sz w:val="11"/>
              </w:rPr>
            </w:pPr>
          </w:p>
          <w:p>
            <w:pPr>
              <w:pStyle w:val="TableParagraph"/>
              <w:ind w:right="63"/>
              <w:jc w:val="right"/>
              <w:rPr>
                <w:sz w:val="21"/>
              </w:rPr>
            </w:pPr>
            <w:r>
              <w:rPr>
                <w:sz w:val="21"/>
              </w:rPr>
              <w:t>1.1.3 </w:t>
            </w:r>
          </w:p>
        </w:tc>
        <w:tc>
          <w:tcPr>
            <w:tcW w:w="3253" w:type="dxa"/>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5"/>
              <w:rPr>
                <w:rFonts w:ascii="Microsoft JhengHei"/>
                <w:b/>
                <w:sz w:val="11"/>
              </w:rPr>
            </w:pPr>
          </w:p>
          <w:p>
            <w:pPr>
              <w:pStyle w:val="TableParagraph"/>
              <w:ind w:left="107"/>
              <w:rPr>
                <w:sz w:val="21"/>
              </w:rPr>
            </w:pPr>
            <w:r>
              <w:rPr>
                <w:sz w:val="21"/>
              </w:rPr>
              <w:t>招标代理机构 </w:t>
            </w:r>
          </w:p>
        </w:tc>
        <w:tc>
          <w:tcPr>
            <w:tcW w:w="4749" w:type="dxa"/>
          </w:tcPr>
          <w:p>
            <w:pPr>
              <w:pStyle w:val="TableParagraph"/>
              <w:spacing w:before="3"/>
              <w:ind w:left="106"/>
              <w:rPr>
                <w:sz w:val="21"/>
              </w:rPr>
            </w:pPr>
            <w:r>
              <w:rPr>
                <w:spacing w:val="-1"/>
                <w:sz w:val="21"/>
              </w:rPr>
              <w:t>名称： </w:t>
            </w:r>
          </w:p>
          <w:p>
            <w:pPr>
              <w:pStyle w:val="TableParagraph"/>
              <w:spacing w:line="364" w:lineRule="auto" w:before="139"/>
              <w:ind w:left="106" w:right="2001"/>
              <w:rPr>
                <w:sz w:val="21"/>
              </w:rPr>
            </w:pPr>
            <w:r>
              <w:rPr>
                <w:color w:val="0000FF"/>
                <w:spacing w:val="-3"/>
                <w:sz w:val="21"/>
              </w:rPr>
              <w:t>广西景钲工程咨询有限公司</w:t>
            </w:r>
            <w:r>
              <w:rPr>
                <w:spacing w:val="-3"/>
                <w:sz w:val="21"/>
              </w:rPr>
              <w:t>地址： </w:t>
            </w:r>
          </w:p>
          <w:p>
            <w:pPr>
              <w:pStyle w:val="TableParagraph"/>
              <w:spacing w:line="267" w:lineRule="exact"/>
              <w:ind w:left="106"/>
              <w:rPr>
                <w:sz w:val="21"/>
              </w:rPr>
            </w:pPr>
            <w:r>
              <w:rPr>
                <w:color w:val="0000FF"/>
                <w:sz w:val="21"/>
              </w:rPr>
              <w:t>中国（广西）自由贸易试验区南宁片区盘歌路 6</w:t>
            </w:r>
          </w:p>
          <w:p>
            <w:pPr>
              <w:pStyle w:val="TableParagraph"/>
              <w:spacing w:line="364" w:lineRule="auto" w:before="142"/>
              <w:ind w:left="106" w:right="637"/>
              <w:rPr>
                <w:sz w:val="21"/>
              </w:rPr>
            </w:pPr>
            <w:r>
              <w:rPr>
                <w:color w:val="0000FF"/>
                <w:spacing w:val="-8"/>
                <w:sz w:val="21"/>
              </w:rPr>
              <w:t>号富雅.国际生活广场 </w:t>
            </w:r>
            <w:r>
              <w:rPr>
                <w:color w:val="0000FF"/>
                <w:sz w:val="21"/>
              </w:rPr>
              <w:t>1</w:t>
            </w:r>
            <w:r>
              <w:rPr>
                <w:color w:val="0000FF"/>
                <w:spacing w:val="-19"/>
                <w:sz w:val="21"/>
              </w:rPr>
              <w:t> 号楼五层 </w:t>
            </w:r>
            <w:r>
              <w:rPr>
                <w:color w:val="0000FF"/>
                <w:sz w:val="21"/>
              </w:rPr>
              <w:t>509</w:t>
            </w:r>
            <w:r>
              <w:rPr>
                <w:color w:val="0000FF"/>
                <w:spacing w:val="-19"/>
                <w:sz w:val="21"/>
              </w:rPr>
              <w:t> 号房</w:t>
            </w:r>
            <w:r>
              <w:rPr>
                <w:spacing w:val="-2"/>
                <w:sz w:val="21"/>
              </w:rPr>
              <w:t>联系人：</w:t>
            </w:r>
            <w:r>
              <w:rPr>
                <w:sz w:val="21"/>
              </w:rPr>
              <w:t> </w:t>
            </w:r>
          </w:p>
          <w:p>
            <w:pPr>
              <w:pStyle w:val="TableParagraph"/>
              <w:spacing w:line="364" w:lineRule="auto"/>
              <w:ind w:left="106" w:right="3892"/>
              <w:rPr>
                <w:sz w:val="21"/>
              </w:rPr>
            </w:pPr>
            <w:r>
              <w:rPr>
                <w:color w:val="0000FF"/>
                <w:sz w:val="21"/>
              </w:rPr>
              <w:t>田 工</w:t>
            </w:r>
            <w:r>
              <w:rPr>
                <w:sz w:val="21"/>
              </w:rPr>
              <w:t> 电话： </w:t>
            </w:r>
          </w:p>
          <w:p>
            <w:pPr>
              <w:pStyle w:val="TableParagraph"/>
              <w:spacing w:line="267" w:lineRule="exact"/>
              <w:ind w:left="106"/>
              <w:rPr>
                <w:sz w:val="21"/>
              </w:rPr>
            </w:pPr>
            <w:r>
              <w:rPr>
                <w:color w:val="0000FF"/>
                <w:sz w:val="21"/>
              </w:rPr>
              <w:t>0771-2822223</w:t>
            </w:r>
            <w:r>
              <w:rPr>
                <w:sz w:val="21"/>
              </w:rPr>
              <w:t> </w:t>
            </w:r>
          </w:p>
          <w:p>
            <w:pPr>
              <w:pStyle w:val="TableParagraph"/>
              <w:spacing w:before="140"/>
              <w:ind w:left="106"/>
              <w:rPr>
                <w:sz w:val="21"/>
              </w:rPr>
            </w:pPr>
            <w:r>
              <w:rPr>
                <w:sz w:val="21"/>
              </w:rPr>
              <w:t>电子邮箱： </w:t>
            </w:r>
          </w:p>
          <w:p>
            <w:pPr>
              <w:pStyle w:val="TableParagraph"/>
              <w:spacing w:before="139"/>
              <w:ind w:left="106"/>
              <w:rPr>
                <w:sz w:val="21"/>
              </w:rPr>
            </w:pPr>
            <w:r>
              <w:rPr>
                <w:color w:val="0000FF"/>
                <w:w w:val="100"/>
                <w:sz w:val="21"/>
              </w:rPr>
              <w:t>  </w:t>
            </w:r>
            <w:r>
              <w:rPr>
                <w:w w:val="100"/>
                <w:sz w:val="21"/>
              </w:rPr>
              <w:t> </w:t>
            </w:r>
          </w:p>
        </w:tc>
      </w:tr>
      <w:tr>
        <w:trPr>
          <w:trHeight w:val="1682" w:hRule="atLeast"/>
        </w:trPr>
        <w:tc>
          <w:tcPr>
            <w:tcW w:w="886" w:type="dxa"/>
          </w:tcPr>
          <w:p>
            <w:pPr>
              <w:pStyle w:val="TableParagraph"/>
              <w:rPr>
                <w:rFonts w:ascii="Microsoft JhengHei"/>
                <w:b/>
                <w:sz w:val="20"/>
              </w:rPr>
            </w:pPr>
          </w:p>
          <w:p>
            <w:pPr>
              <w:pStyle w:val="TableParagraph"/>
              <w:spacing w:before="14"/>
              <w:rPr>
                <w:rFonts w:ascii="Microsoft JhengHei"/>
                <w:b/>
                <w:sz w:val="14"/>
              </w:rPr>
            </w:pPr>
          </w:p>
          <w:p>
            <w:pPr>
              <w:pStyle w:val="TableParagraph"/>
              <w:ind w:right="63"/>
              <w:jc w:val="right"/>
              <w:rPr>
                <w:sz w:val="21"/>
              </w:rPr>
            </w:pPr>
            <w:r>
              <w:rPr>
                <w:sz w:val="21"/>
              </w:rPr>
              <w:t>1.1.4 </w:t>
            </w:r>
          </w:p>
        </w:tc>
        <w:tc>
          <w:tcPr>
            <w:tcW w:w="3253" w:type="dxa"/>
          </w:tcPr>
          <w:p>
            <w:pPr>
              <w:pStyle w:val="TableParagraph"/>
              <w:rPr>
                <w:rFonts w:ascii="Microsoft JhengHei"/>
                <w:b/>
                <w:sz w:val="20"/>
              </w:rPr>
            </w:pPr>
          </w:p>
          <w:p>
            <w:pPr>
              <w:pStyle w:val="TableParagraph"/>
              <w:spacing w:before="14"/>
              <w:rPr>
                <w:rFonts w:ascii="Microsoft JhengHei"/>
                <w:b/>
                <w:sz w:val="14"/>
              </w:rPr>
            </w:pPr>
          </w:p>
          <w:p>
            <w:pPr>
              <w:pStyle w:val="TableParagraph"/>
              <w:ind w:left="107"/>
              <w:rPr>
                <w:sz w:val="21"/>
              </w:rPr>
            </w:pPr>
            <w:r>
              <w:rPr>
                <w:sz w:val="21"/>
              </w:rPr>
              <w:t>项目名称及项目招标编号 </w:t>
            </w:r>
          </w:p>
        </w:tc>
        <w:tc>
          <w:tcPr>
            <w:tcW w:w="4749" w:type="dxa"/>
          </w:tcPr>
          <w:p>
            <w:pPr>
              <w:pStyle w:val="TableParagraph"/>
              <w:spacing w:before="12"/>
              <w:rPr>
                <w:rFonts w:ascii="Microsoft JhengHei"/>
                <w:b/>
                <w:sz w:val="23"/>
              </w:rPr>
            </w:pPr>
          </w:p>
          <w:p>
            <w:pPr>
              <w:pStyle w:val="TableParagraph"/>
              <w:spacing w:line="364" w:lineRule="auto"/>
              <w:ind w:left="106" w:right="2212"/>
              <w:rPr>
                <w:sz w:val="21"/>
              </w:rPr>
            </w:pPr>
            <w:r>
              <w:rPr>
                <w:color w:val="0000FF"/>
                <w:sz w:val="21"/>
              </w:rPr>
              <w:t>横县横州镇茉莉小学工程GXJZZB(ZB)2020-124</w:t>
            </w:r>
            <w:r>
              <w:rPr>
                <w:sz w:val="21"/>
              </w:rPr>
              <w:t> </w:t>
            </w:r>
          </w:p>
        </w:tc>
      </w:tr>
      <w:tr>
        <w:trPr>
          <w:trHeight w:val="410" w:hRule="atLeast"/>
        </w:trPr>
        <w:tc>
          <w:tcPr>
            <w:tcW w:w="886" w:type="dxa"/>
          </w:tcPr>
          <w:p>
            <w:pPr>
              <w:pStyle w:val="TableParagraph"/>
              <w:spacing w:before="3"/>
              <w:ind w:right="63"/>
              <w:jc w:val="right"/>
              <w:rPr>
                <w:sz w:val="21"/>
              </w:rPr>
            </w:pPr>
            <w:r>
              <w:rPr>
                <w:sz w:val="21"/>
              </w:rPr>
              <w:t>1.1.5 </w:t>
            </w:r>
          </w:p>
        </w:tc>
        <w:tc>
          <w:tcPr>
            <w:tcW w:w="3253" w:type="dxa"/>
          </w:tcPr>
          <w:p>
            <w:pPr>
              <w:pStyle w:val="TableParagraph"/>
              <w:spacing w:before="3"/>
              <w:ind w:left="107"/>
              <w:rPr>
                <w:sz w:val="21"/>
              </w:rPr>
            </w:pPr>
            <w:r>
              <w:rPr>
                <w:sz w:val="21"/>
              </w:rPr>
              <w:t>建设地点 </w:t>
            </w:r>
          </w:p>
        </w:tc>
        <w:tc>
          <w:tcPr>
            <w:tcW w:w="4749" w:type="dxa"/>
          </w:tcPr>
          <w:p>
            <w:pPr>
              <w:pStyle w:val="TableParagraph"/>
              <w:spacing w:before="3"/>
              <w:ind w:left="106"/>
              <w:rPr>
                <w:sz w:val="21"/>
              </w:rPr>
            </w:pPr>
            <w:r>
              <w:rPr>
                <w:color w:val="0000FF"/>
                <w:sz w:val="21"/>
              </w:rPr>
              <w:t>横县横州镇茉莉花大道西边</w:t>
            </w:r>
            <w:r>
              <w:rPr>
                <w:sz w:val="21"/>
              </w:rPr>
              <w:t> </w:t>
            </w:r>
          </w:p>
        </w:tc>
      </w:tr>
    </w:tbl>
    <w:p>
      <w:pPr>
        <w:spacing w:after="0"/>
        <w:rPr>
          <w:sz w:val="21"/>
        </w:rPr>
        <w:sectPr>
          <w:pgSz w:w="11910" w:h="16850"/>
          <w:pgMar w:header="0" w:footer="779" w:top="1380" w:bottom="1040" w:left="1120" w:right="280"/>
        </w:sectPr>
      </w:pPr>
    </w:p>
    <w:tbl>
      <w:tblPr>
        <w:tblW w:w="0" w:type="auto"/>
        <w:jc w:val="left"/>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6"/>
        <w:gridCol w:w="3253"/>
        <w:gridCol w:w="4749"/>
      </w:tblGrid>
      <w:tr>
        <w:trPr>
          <w:trHeight w:val="470" w:hRule="atLeast"/>
        </w:trPr>
        <w:tc>
          <w:tcPr>
            <w:tcW w:w="886" w:type="dxa"/>
            <w:shd w:val="clear" w:color="auto" w:fill="E6E6E6"/>
          </w:tcPr>
          <w:p>
            <w:pPr>
              <w:pStyle w:val="TableParagraph"/>
              <w:spacing w:line="349" w:lineRule="exact"/>
              <w:ind w:right="10"/>
              <w:jc w:val="right"/>
              <w:rPr>
                <w:rFonts w:ascii="Microsoft JhengHei" w:eastAsia="Microsoft JhengHei" w:hint="eastAsia"/>
                <w:b/>
                <w:sz w:val="21"/>
              </w:rPr>
            </w:pPr>
            <w:r>
              <w:rPr>
                <w:rFonts w:ascii="Microsoft JhengHei" w:eastAsia="Microsoft JhengHei" w:hint="eastAsia"/>
                <w:b/>
                <w:sz w:val="21"/>
                <w:shd w:fill="FFFFFF" w:color="auto" w:val="clear"/>
              </w:rPr>
              <w:t>条款号</w:t>
            </w:r>
            <w:r>
              <w:rPr>
                <w:rFonts w:ascii="Microsoft JhengHei" w:eastAsia="Microsoft JhengHei" w:hint="eastAsia"/>
                <w:b/>
                <w:w w:val="201"/>
                <w:sz w:val="21"/>
              </w:rPr>
              <w:t> </w:t>
            </w:r>
          </w:p>
        </w:tc>
        <w:tc>
          <w:tcPr>
            <w:tcW w:w="3253" w:type="dxa"/>
            <w:shd w:val="clear" w:color="auto" w:fill="E6E6E6"/>
          </w:tcPr>
          <w:p>
            <w:pPr>
              <w:pStyle w:val="TableParagraph"/>
              <w:spacing w:line="349" w:lineRule="exact"/>
              <w:ind w:left="887"/>
              <w:rPr>
                <w:rFonts w:ascii="Microsoft JhengHei" w:eastAsia="Microsoft JhengHei" w:hint="eastAsia"/>
                <w:b/>
                <w:sz w:val="21"/>
              </w:rPr>
            </w:pPr>
            <w:r>
              <w:rPr>
                <w:rFonts w:ascii="Microsoft JhengHei" w:eastAsia="Microsoft JhengHei" w:hint="eastAsia"/>
                <w:b/>
                <w:sz w:val="21"/>
                <w:shd w:fill="FFFFFF" w:color="auto" w:val="clear"/>
              </w:rPr>
              <w:t>条 款 名 称</w:t>
            </w:r>
            <w:r>
              <w:rPr>
                <w:rFonts w:ascii="Microsoft JhengHei" w:eastAsia="Microsoft JhengHei" w:hint="eastAsia"/>
                <w:b/>
                <w:w w:val="201"/>
                <w:sz w:val="21"/>
              </w:rPr>
              <w:t> </w:t>
            </w:r>
          </w:p>
        </w:tc>
        <w:tc>
          <w:tcPr>
            <w:tcW w:w="4749" w:type="dxa"/>
            <w:shd w:val="clear" w:color="auto" w:fill="E6E6E6"/>
          </w:tcPr>
          <w:p>
            <w:pPr>
              <w:pStyle w:val="TableParagraph"/>
              <w:spacing w:line="349" w:lineRule="exact"/>
              <w:ind w:left="1633"/>
              <w:rPr>
                <w:rFonts w:ascii="Microsoft JhengHei" w:eastAsia="Microsoft JhengHei" w:hint="eastAsia"/>
                <w:b/>
                <w:sz w:val="21"/>
              </w:rPr>
            </w:pPr>
            <w:r>
              <w:rPr>
                <w:rFonts w:ascii="Microsoft JhengHei" w:eastAsia="Microsoft JhengHei" w:hint="eastAsia"/>
                <w:b/>
                <w:sz w:val="21"/>
                <w:shd w:fill="FFFFFF" w:color="auto" w:val="clear"/>
              </w:rPr>
              <w:t>编 列 内 容</w:t>
            </w:r>
            <w:r>
              <w:rPr>
                <w:rFonts w:ascii="Microsoft JhengHei" w:eastAsia="Microsoft JhengHei" w:hint="eastAsia"/>
                <w:b/>
                <w:w w:val="201"/>
                <w:sz w:val="21"/>
              </w:rPr>
              <w:t> </w:t>
            </w:r>
          </w:p>
        </w:tc>
      </w:tr>
      <w:tr>
        <w:trPr>
          <w:trHeight w:val="1370" w:hRule="atLeast"/>
        </w:trPr>
        <w:tc>
          <w:tcPr>
            <w:tcW w:w="886" w:type="dxa"/>
          </w:tcPr>
          <w:p>
            <w:pPr>
              <w:pStyle w:val="TableParagraph"/>
              <w:spacing w:before="2"/>
              <w:rPr>
                <w:rFonts w:ascii="Microsoft JhengHei"/>
                <w:b/>
                <w:sz w:val="26"/>
              </w:rPr>
            </w:pPr>
          </w:p>
          <w:p>
            <w:pPr>
              <w:pStyle w:val="TableParagraph"/>
              <w:spacing w:before="1"/>
              <w:ind w:right="63"/>
              <w:jc w:val="right"/>
              <w:rPr>
                <w:sz w:val="21"/>
              </w:rPr>
            </w:pPr>
            <w:r>
              <w:rPr>
                <w:sz w:val="21"/>
              </w:rPr>
              <w:t>1.2.1 </w:t>
            </w:r>
          </w:p>
        </w:tc>
        <w:tc>
          <w:tcPr>
            <w:tcW w:w="3253" w:type="dxa"/>
          </w:tcPr>
          <w:p>
            <w:pPr>
              <w:pStyle w:val="TableParagraph"/>
              <w:spacing w:before="2"/>
              <w:rPr>
                <w:rFonts w:ascii="Microsoft JhengHei"/>
                <w:b/>
                <w:sz w:val="26"/>
              </w:rPr>
            </w:pPr>
          </w:p>
          <w:p>
            <w:pPr>
              <w:pStyle w:val="TableParagraph"/>
              <w:spacing w:before="1"/>
              <w:ind w:left="107"/>
              <w:rPr>
                <w:sz w:val="21"/>
              </w:rPr>
            </w:pPr>
            <w:r>
              <w:rPr>
                <w:sz w:val="21"/>
              </w:rPr>
              <w:t>资金来源 </w:t>
            </w:r>
          </w:p>
        </w:tc>
        <w:tc>
          <w:tcPr>
            <w:tcW w:w="4749" w:type="dxa"/>
          </w:tcPr>
          <w:p>
            <w:pPr>
              <w:pStyle w:val="TableParagraph"/>
              <w:spacing w:before="2"/>
              <w:rPr>
                <w:rFonts w:ascii="Microsoft JhengHei"/>
                <w:b/>
                <w:sz w:val="26"/>
              </w:rPr>
            </w:pPr>
          </w:p>
          <w:p>
            <w:pPr>
              <w:pStyle w:val="TableParagraph"/>
              <w:spacing w:before="1"/>
              <w:ind w:left="106"/>
              <w:rPr>
                <w:sz w:val="21"/>
              </w:rPr>
            </w:pPr>
            <w:r>
              <w:rPr>
                <w:color w:val="0000FF"/>
                <w:sz w:val="21"/>
              </w:rPr>
              <w:t>财政</w:t>
            </w:r>
            <w:r>
              <w:rPr>
                <w:sz w:val="21"/>
              </w:rPr>
              <w:t> </w:t>
            </w:r>
          </w:p>
        </w:tc>
      </w:tr>
      <w:tr>
        <w:trPr>
          <w:trHeight w:val="407" w:hRule="atLeast"/>
        </w:trPr>
        <w:tc>
          <w:tcPr>
            <w:tcW w:w="886" w:type="dxa"/>
          </w:tcPr>
          <w:p>
            <w:pPr>
              <w:pStyle w:val="TableParagraph"/>
              <w:spacing w:before="1"/>
              <w:ind w:right="63"/>
              <w:jc w:val="right"/>
              <w:rPr>
                <w:sz w:val="21"/>
              </w:rPr>
            </w:pPr>
            <w:r>
              <w:rPr>
                <w:sz w:val="21"/>
              </w:rPr>
              <w:t>1.2.2 </w:t>
            </w:r>
          </w:p>
        </w:tc>
        <w:tc>
          <w:tcPr>
            <w:tcW w:w="3253" w:type="dxa"/>
          </w:tcPr>
          <w:p>
            <w:pPr>
              <w:pStyle w:val="TableParagraph"/>
              <w:spacing w:before="1"/>
              <w:ind w:left="107"/>
              <w:rPr>
                <w:sz w:val="21"/>
              </w:rPr>
            </w:pPr>
            <w:r>
              <w:rPr>
                <w:sz w:val="21"/>
              </w:rPr>
              <w:t>出资比例 </w:t>
            </w:r>
          </w:p>
        </w:tc>
        <w:tc>
          <w:tcPr>
            <w:tcW w:w="4749" w:type="dxa"/>
          </w:tcPr>
          <w:p>
            <w:pPr>
              <w:pStyle w:val="TableParagraph"/>
              <w:spacing w:before="1"/>
              <w:ind w:left="106"/>
              <w:rPr>
                <w:sz w:val="21"/>
              </w:rPr>
            </w:pPr>
            <w:r>
              <w:rPr>
                <w:color w:val="0000FF"/>
                <w:sz w:val="21"/>
              </w:rPr>
              <w:t>100%</w:t>
            </w:r>
            <w:r>
              <w:rPr>
                <w:sz w:val="21"/>
              </w:rPr>
              <w:t> </w:t>
            </w:r>
          </w:p>
        </w:tc>
      </w:tr>
      <w:tr>
        <w:trPr>
          <w:trHeight w:val="407" w:hRule="atLeast"/>
        </w:trPr>
        <w:tc>
          <w:tcPr>
            <w:tcW w:w="886" w:type="dxa"/>
          </w:tcPr>
          <w:p>
            <w:pPr>
              <w:pStyle w:val="TableParagraph"/>
              <w:spacing w:before="1"/>
              <w:ind w:right="63"/>
              <w:jc w:val="right"/>
              <w:rPr>
                <w:sz w:val="21"/>
              </w:rPr>
            </w:pPr>
            <w:r>
              <w:rPr>
                <w:sz w:val="21"/>
              </w:rPr>
              <w:t>1.2.3 </w:t>
            </w:r>
          </w:p>
        </w:tc>
        <w:tc>
          <w:tcPr>
            <w:tcW w:w="3253" w:type="dxa"/>
          </w:tcPr>
          <w:p>
            <w:pPr>
              <w:pStyle w:val="TableParagraph"/>
              <w:spacing w:before="1"/>
              <w:ind w:left="107"/>
              <w:rPr>
                <w:sz w:val="21"/>
              </w:rPr>
            </w:pPr>
            <w:r>
              <w:rPr>
                <w:sz w:val="21"/>
              </w:rPr>
              <w:t>资金落实情况 </w:t>
            </w:r>
          </w:p>
        </w:tc>
        <w:tc>
          <w:tcPr>
            <w:tcW w:w="4749" w:type="dxa"/>
          </w:tcPr>
          <w:p>
            <w:pPr>
              <w:pStyle w:val="TableParagraph"/>
              <w:spacing w:before="1"/>
              <w:ind w:left="106"/>
              <w:rPr>
                <w:sz w:val="21"/>
              </w:rPr>
            </w:pPr>
            <w:r>
              <w:rPr>
                <w:color w:val="0000FF"/>
                <w:sz w:val="21"/>
              </w:rPr>
              <w:t>已落实</w:t>
            </w:r>
            <w:r>
              <w:rPr>
                <w:sz w:val="21"/>
              </w:rPr>
              <w:t> </w:t>
            </w:r>
          </w:p>
        </w:tc>
      </w:tr>
      <w:tr>
        <w:trPr>
          <w:trHeight w:val="2388" w:hRule="atLeast"/>
        </w:trPr>
        <w:tc>
          <w:tcPr>
            <w:tcW w:w="886" w:type="dxa"/>
          </w:tcPr>
          <w:p>
            <w:pPr>
              <w:pStyle w:val="TableParagraph"/>
              <w:rPr>
                <w:rFonts w:ascii="Microsoft JhengHei"/>
                <w:b/>
                <w:sz w:val="20"/>
              </w:rPr>
            </w:pPr>
          </w:p>
          <w:p>
            <w:pPr>
              <w:pStyle w:val="TableParagraph"/>
              <w:rPr>
                <w:rFonts w:ascii="Microsoft JhengHei"/>
                <w:b/>
                <w:sz w:val="20"/>
              </w:rPr>
            </w:pPr>
          </w:p>
          <w:p>
            <w:pPr>
              <w:pStyle w:val="TableParagraph"/>
              <w:spacing w:before="18"/>
              <w:rPr>
                <w:rFonts w:ascii="Microsoft JhengHei"/>
                <w:b/>
                <w:sz w:val="13"/>
              </w:rPr>
            </w:pPr>
          </w:p>
          <w:p>
            <w:pPr>
              <w:pStyle w:val="TableParagraph"/>
              <w:ind w:right="63"/>
              <w:jc w:val="right"/>
              <w:rPr>
                <w:sz w:val="21"/>
              </w:rPr>
            </w:pPr>
            <w:r>
              <w:rPr>
                <w:sz w:val="21"/>
              </w:rPr>
              <w:t>1.2.4 </w:t>
            </w:r>
          </w:p>
        </w:tc>
        <w:tc>
          <w:tcPr>
            <w:tcW w:w="3253" w:type="dxa"/>
          </w:tcPr>
          <w:p>
            <w:pPr>
              <w:pStyle w:val="TableParagraph"/>
              <w:rPr>
                <w:rFonts w:ascii="Microsoft JhengHei"/>
                <w:b/>
                <w:sz w:val="20"/>
              </w:rPr>
            </w:pPr>
          </w:p>
          <w:p>
            <w:pPr>
              <w:pStyle w:val="TableParagraph"/>
              <w:rPr>
                <w:rFonts w:ascii="Microsoft JhengHei"/>
                <w:b/>
                <w:sz w:val="20"/>
              </w:rPr>
            </w:pPr>
          </w:p>
          <w:p>
            <w:pPr>
              <w:pStyle w:val="TableParagraph"/>
              <w:spacing w:before="18"/>
              <w:rPr>
                <w:rFonts w:ascii="Microsoft JhengHei"/>
                <w:b/>
                <w:sz w:val="13"/>
              </w:rPr>
            </w:pPr>
          </w:p>
          <w:p>
            <w:pPr>
              <w:pStyle w:val="TableParagraph"/>
              <w:ind w:left="107"/>
              <w:rPr>
                <w:sz w:val="21"/>
              </w:rPr>
            </w:pPr>
            <w:r>
              <w:rPr>
                <w:sz w:val="21"/>
              </w:rPr>
              <w:t>本工程增值税计税方法 </w:t>
            </w:r>
          </w:p>
        </w:tc>
        <w:tc>
          <w:tcPr>
            <w:tcW w:w="4749" w:type="dxa"/>
          </w:tcPr>
          <w:p>
            <w:pPr>
              <w:pStyle w:val="TableParagraph"/>
              <w:spacing w:before="157"/>
              <w:ind w:left="106"/>
              <w:jc w:val="both"/>
              <w:rPr>
                <w:sz w:val="21"/>
              </w:rPr>
            </w:pPr>
            <w:r>
              <w:rPr>
                <w:rFonts w:ascii="Segoe UI Symbol" w:hAnsi="Segoe UI Symbol" w:eastAsia="Segoe UI Symbol"/>
                <w:color w:val="0000FF"/>
                <w:sz w:val="21"/>
              </w:rPr>
              <w:t>☑ </w:t>
            </w:r>
            <w:r>
              <w:rPr>
                <w:sz w:val="21"/>
              </w:rPr>
              <w:t>一般计税法 </w:t>
            </w:r>
            <w:r>
              <w:rPr>
                <w:color w:val="0000FF"/>
                <w:sz w:val="21"/>
              </w:rPr>
              <w:t>□</w:t>
            </w:r>
            <w:r>
              <w:rPr>
                <w:sz w:val="21"/>
              </w:rPr>
              <w:t>简易计税法 </w:t>
            </w:r>
          </w:p>
          <w:p>
            <w:pPr>
              <w:pStyle w:val="TableParagraph"/>
              <w:spacing w:line="364" w:lineRule="auto" w:before="139"/>
              <w:ind w:left="106" w:right="59"/>
              <w:jc w:val="both"/>
              <w:rPr>
                <w:sz w:val="21"/>
              </w:rPr>
            </w:pPr>
            <w:r>
              <w:rPr>
                <w:spacing w:val="-11"/>
                <w:sz w:val="21"/>
              </w:rPr>
              <w:t>【备注：根据《关于全面推开营业税改征增值税试</w:t>
            </w:r>
            <w:r>
              <w:rPr>
                <w:spacing w:val="-30"/>
                <w:sz w:val="21"/>
              </w:rPr>
              <w:t>点的通知》</w:t>
            </w:r>
            <w:r>
              <w:rPr>
                <w:sz w:val="21"/>
              </w:rPr>
              <w:t>（</w:t>
            </w:r>
            <w:r>
              <w:rPr>
                <w:spacing w:val="-5"/>
                <w:sz w:val="21"/>
              </w:rPr>
              <w:t>财税〔</w:t>
            </w:r>
            <w:r>
              <w:rPr>
                <w:sz w:val="21"/>
              </w:rPr>
              <w:t>2016</w:t>
            </w:r>
            <w:r>
              <w:rPr>
                <w:spacing w:val="-12"/>
                <w:sz w:val="21"/>
              </w:rPr>
              <w:t>〕</w:t>
            </w:r>
            <w:r>
              <w:rPr>
                <w:sz w:val="21"/>
              </w:rPr>
              <w:t>36</w:t>
            </w:r>
            <w:r>
              <w:rPr>
                <w:spacing w:val="-21"/>
                <w:sz w:val="21"/>
              </w:rPr>
              <w:t> 号</w:t>
            </w:r>
            <w:r>
              <w:rPr>
                <w:spacing w:val="-108"/>
                <w:sz w:val="21"/>
              </w:rPr>
              <w:t>）</w:t>
            </w:r>
            <w:r>
              <w:rPr>
                <w:spacing w:val="-17"/>
                <w:sz w:val="21"/>
              </w:rPr>
              <w:t>、《关于建筑服务</w:t>
            </w:r>
            <w:r>
              <w:rPr>
                <w:spacing w:val="-16"/>
                <w:sz w:val="21"/>
              </w:rPr>
              <w:t>等营改增试点政策的通知》</w:t>
            </w:r>
            <w:r>
              <w:rPr>
                <w:sz w:val="21"/>
              </w:rPr>
              <w:t>（</w:t>
            </w:r>
            <w:r>
              <w:rPr>
                <w:spacing w:val="-2"/>
                <w:sz w:val="21"/>
              </w:rPr>
              <w:t>财税〔</w:t>
            </w:r>
            <w:r>
              <w:rPr>
                <w:sz w:val="21"/>
              </w:rPr>
              <w:t>2017</w:t>
            </w:r>
            <w:r>
              <w:rPr>
                <w:spacing w:val="-3"/>
                <w:sz w:val="21"/>
              </w:rPr>
              <w:t>〕</w:t>
            </w:r>
            <w:r>
              <w:rPr>
                <w:sz w:val="21"/>
              </w:rPr>
              <w:t>58</w:t>
            </w:r>
            <w:r>
              <w:rPr>
                <w:spacing w:val="-19"/>
                <w:sz w:val="21"/>
              </w:rPr>
              <w:t> 号</w:t>
            </w:r>
            <w:r>
              <w:rPr>
                <w:sz w:val="21"/>
              </w:rPr>
              <w:t>） </w:t>
            </w:r>
            <w:r>
              <w:rPr>
                <w:spacing w:val="-3"/>
                <w:sz w:val="21"/>
              </w:rPr>
              <w:t>文件规定选择】</w:t>
            </w:r>
            <w:r>
              <w:rPr>
                <w:sz w:val="21"/>
              </w:rPr>
              <w:t> </w:t>
            </w:r>
          </w:p>
        </w:tc>
      </w:tr>
      <w:tr>
        <w:trPr>
          <w:trHeight w:val="1226" w:hRule="atLeast"/>
        </w:trPr>
        <w:tc>
          <w:tcPr>
            <w:tcW w:w="886" w:type="dxa"/>
          </w:tcPr>
          <w:p>
            <w:pPr>
              <w:pStyle w:val="TableParagraph"/>
              <w:spacing w:before="4"/>
              <w:rPr>
                <w:rFonts w:ascii="Microsoft JhengHei"/>
                <w:b/>
                <w:sz w:val="22"/>
              </w:rPr>
            </w:pPr>
          </w:p>
          <w:p>
            <w:pPr>
              <w:pStyle w:val="TableParagraph"/>
              <w:ind w:left="107"/>
              <w:rPr>
                <w:sz w:val="21"/>
              </w:rPr>
            </w:pPr>
            <w:r>
              <w:rPr>
                <w:sz w:val="21"/>
              </w:rPr>
              <w:t>1.3.1 </w:t>
            </w:r>
          </w:p>
        </w:tc>
        <w:tc>
          <w:tcPr>
            <w:tcW w:w="3253" w:type="dxa"/>
          </w:tcPr>
          <w:p>
            <w:pPr>
              <w:pStyle w:val="TableParagraph"/>
              <w:spacing w:before="4"/>
              <w:rPr>
                <w:rFonts w:ascii="Microsoft JhengHei"/>
                <w:b/>
                <w:sz w:val="22"/>
              </w:rPr>
            </w:pPr>
          </w:p>
          <w:p>
            <w:pPr>
              <w:pStyle w:val="TableParagraph"/>
              <w:ind w:left="107"/>
              <w:rPr>
                <w:sz w:val="21"/>
              </w:rPr>
            </w:pPr>
            <w:r>
              <w:rPr>
                <w:sz w:val="21"/>
              </w:rPr>
              <w:t>招标范围 </w:t>
            </w:r>
          </w:p>
        </w:tc>
        <w:tc>
          <w:tcPr>
            <w:tcW w:w="4749" w:type="dxa"/>
          </w:tcPr>
          <w:p>
            <w:pPr>
              <w:pStyle w:val="TableParagraph"/>
              <w:spacing w:line="364" w:lineRule="auto" w:before="1"/>
              <w:ind w:left="106" w:right="95"/>
              <w:rPr>
                <w:sz w:val="21"/>
              </w:rPr>
            </w:pPr>
            <w:r>
              <w:rPr>
                <w:color w:val="0000FF"/>
                <w:spacing w:val="-11"/>
                <w:sz w:val="21"/>
              </w:rPr>
              <w:t>包括土建工程、装饰装修工程、给排水工程、电气</w:t>
            </w:r>
            <w:r>
              <w:rPr>
                <w:color w:val="0000FF"/>
                <w:spacing w:val="3"/>
                <w:sz w:val="21"/>
              </w:rPr>
              <w:t>工程及配套工程等施工图纸及工程量清单包含的</w:t>
            </w:r>
          </w:p>
          <w:p>
            <w:pPr>
              <w:pStyle w:val="TableParagraph"/>
              <w:ind w:left="106"/>
              <w:rPr>
                <w:sz w:val="21"/>
              </w:rPr>
            </w:pPr>
            <w:r>
              <w:rPr>
                <w:color w:val="0000FF"/>
                <w:sz w:val="21"/>
              </w:rPr>
              <w:t>内容。</w:t>
            </w:r>
            <w:r>
              <w:rPr>
                <w:sz w:val="21"/>
              </w:rPr>
              <w:t> </w:t>
            </w:r>
          </w:p>
        </w:tc>
      </w:tr>
      <w:tr>
        <w:trPr>
          <w:trHeight w:val="4903" w:hRule="atLeast"/>
        </w:trPr>
        <w:tc>
          <w:tcPr>
            <w:tcW w:w="886" w:type="dxa"/>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4"/>
              <w:rPr>
                <w:rFonts w:ascii="Microsoft JhengHei"/>
                <w:b/>
                <w:sz w:val="22"/>
              </w:rPr>
            </w:pPr>
          </w:p>
          <w:p>
            <w:pPr>
              <w:pStyle w:val="TableParagraph"/>
              <w:ind w:right="63"/>
              <w:jc w:val="right"/>
              <w:rPr>
                <w:sz w:val="21"/>
              </w:rPr>
            </w:pPr>
            <w:r>
              <w:rPr>
                <w:sz w:val="21"/>
              </w:rPr>
              <w:t>1.3.2 </w:t>
            </w:r>
          </w:p>
        </w:tc>
        <w:tc>
          <w:tcPr>
            <w:tcW w:w="3253" w:type="dxa"/>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4"/>
              <w:rPr>
                <w:rFonts w:ascii="Microsoft JhengHei"/>
                <w:b/>
                <w:sz w:val="22"/>
              </w:rPr>
            </w:pPr>
          </w:p>
          <w:p>
            <w:pPr>
              <w:pStyle w:val="TableParagraph"/>
              <w:ind w:left="107"/>
              <w:rPr>
                <w:sz w:val="21"/>
              </w:rPr>
            </w:pPr>
            <w:r>
              <w:rPr>
                <w:sz w:val="21"/>
              </w:rPr>
              <w:t>要求工期 </w:t>
            </w:r>
          </w:p>
        </w:tc>
        <w:tc>
          <w:tcPr>
            <w:tcW w:w="4749" w:type="dxa"/>
          </w:tcPr>
          <w:p>
            <w:pPr>
              <w:pStyle w:val="TableParagraph"/>
              <w:spacing w:before="1"/>
              <w:ind w:left="106"/>
              <w:rPr>
                <w:sz w:val="21"/>
              </w:rPr>
            </w:pPr>
            <w:r>
              <w:rPr>
                <w:spacing w:val="-1"/>
                <w:sz w:val="21"/>
              </w:rPr>
              <w:t>要求工期：</w:t>
            </w:r>
            <w:r>
              <w:rPr>
                <w:color w:val="0000FF"/>
                <w:sz w:val="21"/>
              </w:rPr>
              <w:t>227</w:t>
            </w:r>
            <w:r>
              <w:rPr>
                <w:color w:val="0000FF"/>
                <w:spacing w:val="-55"/>
                <w:sz w:val="21"/>
              </w:rPr>
              <w:t> </w:t>
            </w:r>
            <w:r>
              <w:rPr>
                <w:spacing w:val="-3"/>
                <w:sz w:val="21"/>
              </w:rPr>
              <w:t>日历天</w:t>
            </w:r>
            <w:r>
              <w:rPr>
                <w:sz w:val="21"/>
              </w:rPr>
              <w:t> </w:t>
            </w:r>
          </w:p>
          <w:p>
            <w:pPr>
              <w:pStyle w:val="TableParagraph"/>
              <w:spacing w:line="254" w:lineRule="auto" w:before="69"/>
              <w:ind w:left="106" w:right="96"/>
              <w:jc w:val="both"/>
              <w:rPr>
                <w:rFonts w:ascii="Microsoft JhengHei" w:eastAsia="Microsoft JhengHei" w:hint="eastAsia"/>
                <w:b/>
                <w:sz w:val="21"/>
              </w:rPr>
            </w:pPr>
            <w:r>
              <w:rPr>
                <w:spacing w:val="-2"/>
                <w:sz w:val="21"/>
              </w:rPr>
              <w:t>定额工期：</w:t>
            </w:r>
            <w:r>
              <w:rPr>
                <w:color w:val="0000FF"/>
                <w:spacing w:val="-5"/>
                <w:sz w:val="21"/>
              </w:rPr>
              <w:t>227 </w:t>
            </w:r>
            <w:r>
              <w:rPr>
                <w:spacing w:val="-7"/>
                <w:sz w:val="21"/>
              </w:rPr>
              <w:t>日历天【备注：</w:t>
            </w:r>
            <w:r>
              <w:rPr>
                <w:rFonts w:ascii="Microsoft JhengHei" w:eastAsia="Microsoft JhengHei" w:hint="eastAsia"/>
                <w:b/>
                <w:spacing w:val="-2"/>
                <w:sz w:val="21"/>
              </w:rPr>
              <w:t>建筑安装工程定额</w:t>
            </w:r>
            <w:r>
              <w:rPr>
                <w:rFonts w:ascii="Microsoft JhengHei" w:eastAsia="Microsoft JhengHei" w:hint="eastAsia"/>
                <w:b/>
                <w:spacing w:val="16"/>
                <w:sz w:val="21"/>
              </w:rPr>
              <w:t>工 期 应 按 《 建 筑 安 装 工 程 工 期 定 额</w:t>
            </w:r>
          </w:p>
          <w:p>
            <w:pPr>
              <w:pStyle w:val="TableParagraph"/>
              <w:spacing w:line="254" w:lineRule="auto"/>
              <w:ind w:left="106" w:right="95"/>
              <w:jc w:val="both"/>
              <w:rPr>
                <w:sz w:val="21"/>
              </w:rPr>
            </w:pPr>
            <w:r>
              <w:rPr>
                <w:rFonts w:ascii="Microsoft JhengHei" w:eastAsia="Microsoft JhengHei" w:hint="eastAsia"/>
                <w:b/>
                <w:w w:val="100"/>
                <w:sz w:val="21"/>
              </w:rPr>
              <w:t>（</w:t>
            </w:r>
            <w:r>
              <w:rPr>
                <w:rFonts w:ascii="Microsoft JhengHei" w:eastAsia="Microsoft JhengHei" w:hint="eastAsia"/>
                <w:b/>
                <w:w w:val="83"/>
                <w:sz w:val="21"/>
              </w:rPr>
              <w:t>TY01</w:t>
            </w:r>
            <w:r>
              <w:rPr>
                <w:rFonts w:ascii="Microsoft JhengHei" w:eastAsia="Microsoft JhengHei" w:hint="eastAsia"/>
                <w:b/>
                <w:w w:val="115"/>
                <w:sz w:val="21"/>
              </w:rPr>
              <w:t>-</w:t>
            </w:r>
            <w:r>
              <w:rPr>
                <w:rFonts w:ascii="Microsoft JhengHei" w:eastAsia="Microsoft JhengHei" w:hint="eastAsia"/>
                <w:b/>
                <w:spacing w:val="2"/>
                <w:w w:val="84"/>
                <w:sz w:val="21"/>
              </w:rPr>
              <w:t>8</w:t>
            </w:r>
            <w:r>
              <w:rPr>
                <w:rFonts w:ascii="Microsoft JhengHei" w:eastAsia="Microsoft JhengHei" w:hint="eastAsia"/>
                <w:b/>
                <w:w w:val="84"/>
                <w:sz w:val="21"/>
              </w:rPr>
              <w:t>9</w:t>
            </w:r>
            <w:r>
              <w:rPr>
                <w:rFonts w:ascii="Microsoft JhengHei" w:eastAsia="Microsoft JhengHei" w:hint="eastAsia"/>
                <w:b/>
                <w:w w:val="115"/>
                <w:sz w:val="21"/>
              </w:rPr>
              <w:t>-</w:t>
            </w:r>
            <w:r>
              <w:rPr>
                <w:rFonts w:ascii="Microsoft JhengHei" w:eastAsia="Microsoft JhengHei" w:hint="eastAsia"/>
                <w:b/>
                <w:w w:val="84"/>
                <w:sz w:val="21"/>
              </w:rPr>
              <w:t>2016</w:t>
            </w:r>
            <w:r>
              <w:rPr>
                <w:rFonts w:ascii="Microsoft JhengHei" w:eastAsia="Microsoft JhengHei" w:hint="eastAsia"/>
                <w:b/>
                <w:spacing w:val="-106"/>
                <w:w w:val="100"/>
                <w:sz w:val="21"/>
              </w:rPr>
              <w:t>）</w:t>
            </w:r>
            <w:r>
              <w:rPr>
                <w:rFonts w:ascii="Microsoft JhengHei" w:eastAsia="Microsoft JhengHei" w:hint="eastAsia"/>
                <w:b/>
                <w:spacing w:val="-4"/>
                <w:w w:val="100"/>
                <w:sz w:val="21"/>
              </w:rPr>
              <w:t>》确定，工期压缩时，宜组织专</w:t>
            </w:r>
            <w:r>
              <w:rPr>
                <w:rFonts w:ascii="Microsoft JhengHei" w:eastAsia="Microsoft JhengHei" w:hint="eastAsia"/>
                <w:b/>
                <w:spacing w:val="-11"/>
                <w:sz w:val="21"/>
              </w:rPr>
              <w:t>家论证，且在招标工程量清单中增设提前竣工</w:t>
            </w:r>
            <w:r>
              <w:rPr>
                <w:rFonts w:ascii="Microsoft JhengHei" w:eastAsia="Microsoft JhengHei" w:hint="eastAsia"/>
                <w:b/>
                <w:sz w:val="21"/>
              </w:rPr>
              <w:t>（</w:t>
            </w:r>
            <w:r>
              <w:rPr>
                <w:rFonts w:ascii="Microsoft JhengHei" w:eastAsia="Microsoft JhengHei" w:hint="eastAsia"/>
                <w:b/>
                <w:spacing w:val="-14"/>
                <w:sz w:val="21"/>
              </w:rPr>
              <w:t>赶</w:t>
            </w:r>
            <w:r>
              <w:rPr>
                <w:rFonts w:ascii="Microsoft JhengHei" w:eastAsia="Microsoft JhengHei" w:hint="eastAsia"/>
                <w:b/>
                <w:sz w:val="21"/>
              </w:rPr>
              <w:t>工补偿）费项目清单</w:t>
            </w:r>
            <w:r>
              <w:rPr>
                <w:spacing w:val="-5"/>
                <w:sz w:val="21"/>
              </w:rPr>
              <w:t>】</w:t>
            </w:r>
            <w:r>
              <w:rPr>
                <w:sz w:val="21"/>
              </w:rPr>
              <w:t> </w:t>
            </w:r>
          </w:p>
          <w:p>
            <w:pPr>
              <w:pStyle w:val="TableParagraph"/>
              <w:spacing w:before="66"/>
              <w:ind w:left="106"/>
              <w:rPr>
                <w:sz w:val="21"/>
              </w:rPr>
            </w:pPr>
            <w:r>
              <w:rPr>
                <w:spacing w:val="-2"/>
                <w:sz w:val="21"/>
              </w:rPr>
              <w:t>计划开工日期：</w:t>
            </w:r>
            <w:r>
              <w:rPr>
                <w:color w:val="0000FF"/>
                <w:sz w:val="21"/>
              </w:rPr>
              <w:t>2020</w:t>
            </w:r>
            <w:r>
              <w:rPr>
                <w:color w:val="0000FF"/>
                <w:spacing w:val="-36"/>
                <w:sz w:val="21"/>
              </w:rPr>
              <w:t> 年 </w:t>
            </w:r>
            <w:r>
              <w:rPr>
                <w:color w:val="0000FF"/>
                <w:sz w:val="21"/>
              </w:rPr>
              <w:t>12</w:t>
            </w:r>
            <w:r>
              <w:rPr>
                <w:color w:val="0000FF"/>
                <w:spacing w:val="-35"/>
                <w:sz w:val="21"/>
              </w:rPr>
              <w:t> 月 </w:t>
            </w:r>
            <w:r>
              <w:rPr>
                <w:color w:val="0000FF"/>
                <w:sz w:val="21"/>
              </w:rPr>
              <w:t>15</w:t>
            </w:r>
            <w:r>
              <w:rPr>
                <w:color w:val="0000FF"/>
                <w:spacing w:val="-27"/>
                <w:sz w:val="21"/>
              </w:rPr>
              <w:t> 日</w:t>
            </w:r>
            <w:r>
              <w:rPr>
                <w:sz w:val="21"/>
              </w:rPr>
              <w:t> </w:t>
            </w:r>
          </w:p>
          <w:p>
            <w:pPr>
              <w:pStyle w:val="TableParagraph"/>
              <w:spacing w:before="141"/>
              <w:ind w:left="106"/>
              <w:rPr>
                <w:sz w:val="21"/>
              </w:rPr>
            </w:pPr>
            <w:r>
              <w:rPr>
                <w:spacing w:val="-2"/>
                <w:sz w:val="21"/>
              </w:rPr>
              <w:t>计划竣工日期：</w:t>
            </w:r>
            <w:r>
              <w:rPr>
                <w:color w:val="0000FF"/>
                <w:sz w:val="21"/>
              </w:rPr>
              <w:t>2021</w:t>
            </w:r>
            <w:r>
              <w:rPr>
                <w:color w:val="0000FF"/>
                <w:spacing w:val="-36"/>
                <w:sz w:val="21"/>
              </w:rPr>
              <w:t> 年 </w:t>
            </w:r>
            <w:r>
              <w:rPr>
                <w:color w:val="0000FF"/>
                <w:sz w:val="21"/>
              </w:rPr>
              <w:t>07</w:t>
            </w:r>
            <w:r>
              <w:rPr>
                <w:color w:val="0000FF"/>
                <w:spacing w:val="-35"/>
                <w:sz w:val="21"/>
              </w:rPr>
              <w:t> 月 </w:t>
            </w:r>
            <w:r>
              <w:rPr>
                <w:color w:val="0000FF"/>
                <w:sz w:val="21"/>
              </w:rPr>
              <w:t>30</w:t>
            </w:r>
            <w:r>
              <w:rPr>
                <w:color w:val="0000FF"/>
                <w:spacing w:val="-27"/>
                <w:sz w:val="21"/>
              </w:rPr>
              <w:t> 日</w:t>
            </w:r>
            <w:r>
              <w:rPr>
                <w:sz w:val="21"/>
              </w:rPr>
              <w:t> </w:t>
            </w:r>
          </w:p>
          <w:p>
            <w:pPr>
              <w:pStyle w:val="TableParagraph"/>
              <w:spacing w:line="364" w:lineRule="auto" w:before="139"/>
              <w:ind w:left="106" w:right="112"/>
              <w:rPr>
                <w:sz w:val="21"/>
              </w:rPr>
            </w:pPr>
            <w:r>
              <w:rPr>
                <w:spacing w:val="-3"/>
                <w:sz w:val="21"/>
              </w:rPr>
              <w:t>除上述总工期外，发包人还要求以下区段工期： </w:t>
            </w:r>
            <w:r>
              <w:rPr>
                <w:color w:val="0000FF"/>
                <w:sz w:val="21"/>
              </w:rPr>
              <w:t>无</w:t>
            </w:r>
            <w:r>
              <w:rPr>
                <w:sz w:val="21"/>
              </w:rPr>
              <w:t>（</w:t>
            </w:r>
            <w:r>
              <w:rPr>
                <w:spacing w:val="-3"/>
                <w:sz w:val="21"/>
              </w:rPr>
              <w:t>此项可选</w:t>
            </w:r>
            <w:r>
              <w:rPr>
                <w:spacing w:val="-108"/>
                <w:sz w:val="21"/>
              </w:rPr>
              <w:t>）</w:t>
            </w:r>
            <w:r>
              <w:rPr>
                <w:spacing w:val="-3"/>
                <w:sz w:val="21"/>
              </w:rPr>
              <w:t>。</w:t>
            </w:r>
            <w:r>
              <w:rPr>
                <w:sz w:val="21"/>
              </w:rPr>
              <w:t> </w:t>
            </w:r>
          </w:p>
          <w:p>
            <w:pPr>
              <w:pStyle w:val="TableParagraph"/>
              <w:spacing w:line="268" w:lineRule="exact"/>
              <w:ind w:left="106"/>
              <w:rPr>
                <w:sz w:val="21"/>
              </w:rPr>
            </w:pPr>
            <w:r>
              <w:rPr>
                <w:sz w:val="21"/>
              </w:rPr>
              <w:t>有关工期的详细要求见第八章“技术标准和要</w:t>
            </w:r>
          </w:p>
          <w:p>
            <w:pPr>
              <w:pStyle w:val="TableParagraph"/>
              <w:spacing w:before="139"/>
              <w:ind w:left="106"/>
              <w:rPr>
                <w:sz w:val="21"/>
              </w:rPr>
            </w:pPr>
            <w:r>
              <w:rPr>
                <w:sz w:val="21"/>
              </w:rPr>
              <w:t>求”。 </w:t>
            </w:r>
          </w:p>
        </w:tc>
      </w:tr>
      <w:tr>
        <w:trPr>
          <w:trHeight w:val="1564" w:hRule="atLeast"/>
        </w:trPr>
        <w:tc>
          <w:tcPr>
            <w:tcW w:w="886" w:type="dxa"/>
          </w:tcPr>
          <w:p>
            <w:pPr>
              <w:pStyle w:val="TableParagraph"/>
              <w:spacing w:before="1"/>
              <w:ind w:right="63"/>
              <w:jc w:val="right"/>
              <w:rPr>
                <w:sz w:val="21"/>
              </w:rPr>
            </w:pPr>
            <w:r>
              <w:rPr>
                <w:sz w:val="21"/>
              </w:rPr>
              <w:t>1.3.3 </w:t>
            </w:r>
          </w:p>
        </w:tc>
        <w:tc>
          <w:tcPr>
            <w:tcW w:w="3253" w:type="dxa"/>
          </w:tcPr>
          <w:p>
            <w:pPr>
              <w:pStyle w:val="TableParagraph"/>
              <w:rPr>
                <w:rFonts w:ascii="Microsoft JhengHei"/>
                <w:b/>
                <w:sz w:val="20"/>
              </w:rPr>
            </w:pPr>
          </w:p>
          <w:p>
            <w:pPr>
              <w:pStyle w:val="TableParagraph"/>
              <w:spacing w:before="9"/>
              <w:rPr>
                <w:rFonts w:ascii="Microsoft JhengHei"/>
                <w:b/>
                <w:sz w:val="11"/>
              </w:rPr>
            </w:pPr>
          </w:p>
          <w:p>
            <w:pPr>
              <w:pStyle w:val="TableParagraph"/>
              <w:ind w:left="107"/>
              <w:rPr>
                <w:sz w:val="21"/>
              </w:rPr>
            </w:pPr>
            <w:r>
              <w:rPr>
                <w:sz w:val="21"/>
              </w:rPr>
              <w:t>质量要求 </w:t>
            </w:r>
          </w:p>
        </w:tc>
        <w:tc>
          <w:tcPr>
            <w:tcW w:w="4749" w:type="dxa"/>
          </w:tcPr>
          <w:p>
            <w:pPr>
              <w:pStyle w:val="TableParagraph"/>
              <w:rPr>
                <w:rFonts w:ascii="Microsoft JhengHei"/>
                <w:b/>
                <w:sz w:val="20"/>
              </w:rPr>
            </w:pPr>
          </w:p>
          <w:p>
            <w:pPr>
              <w:pStyle w:val="TableParagraph"/>
              <w:spacing w:before="9"/>
              <w:rPr>
                <w:rFonts w:ascii="Microsoft JhengHei"/>
                <w:b/>
                <w:sz w:val="11"/>
              </w:rPr>
            </w:pPr>
          </w:p>
          <w:p>
            <w:pPr>
              <w:pStyle w:val="TableParagraph"/>
              <w:ind w:left="106"/>
              <w:rPr>
                <w:sz w:val="21"/>
              </w:rPr>
            </w:pPr>
            <w:r>
              <w:rPr>
                <w:sz w:val="21"/>
              </w:rPr>
              <w:t>质量标准：</w:t>
            </w:r>
            <w:r>
              <w:rPr>
                <w:color w:val="0000FF"/>
                <w:sz w:val="21"/>
              </w:rPr>
              <w:t>合格</w:t>
            </w:r>
            <w:r>
              <w:rPr>
                <w:sz w:val="21"/>
              </w:rPr>
              <w:t> </w:t>
            </w:r>
          </w:p>
        </w:tc>
      </w:tr>
      <w:tr>
        <w:trPr>
          <w:trHeight w:val="817" w:hRule="atLeast"/>
        </w:trPr>
        <w:tc>
          <w:tcPr>
            <w:tcW w:w="886" w:type="dxa"/>
          </w:tcPr>
          <w:p>
            <w:pPr>
              <w:pStyle w:val="TableParagraph"/>
              <w:spacing w:before="2"/>
              <w:rPr>
                <w:rFonts w:ascii="Microsoft JhengHei"/>
                <w:b/>
                <w:sz w:val="11"/>
              </w:rPr>
            </w:pPr>
          </w:p>
          <w:p>
            <w:pPr>
              <w:pStyle w:val="TableParagraph"/>
              <w:ind w:right="63"/>
              <w:jc w:val="right"/>
              <w:rPr>
                <w:sz w:val="21"/>
              </w:rPr>
            </w:pPr>
            <w:r>
              <w:rPr>
                <w:sz w:val="21"/>
              </w:rPr>
              <w:t>1.4.1 </w:t>
            </w:r>
          </w:p>
        </w:tc>
        <w:tc>
          <w:tcPr>
            <w:tcW w:w="3253" w:type="dxa"/>
          </w:tcPr>
          <w:p>
            <w:pPr>
              <w:pStyle w:val="TableParagraph"/>
              <w:spacing w:before="1"/>
              <w:ind w:left="107"/>
              <w:rPr>
                <w:sz w:val="21"/>
              </w:rPr>
            </w:pPr>
            <w:r>
              <w:rPr>
                <w:sz w:val="21"/>
              </w:rPr>
              <w:t>投标人资质条件、能力、诚信要</w:t>
            </w:r>
          </w:p>
          <w:p>
            <w:pPr>
              <w:pStyle w:val="TableParagraph"/>
              <w:spacing w:before="139"/>
              <w:ind w:left="107"/>
              <w:rPr>
                <w:sz w:val="21"/>
              </w:rPr>
            </w:pPr>
            <w:r>
              <w:rPr>
                <w:sz w:val="21"/>
              </w:rPr>
              <w:t>求 </w:t>
            </w:r>
          </w:p>
        </w:tc>
        <w:tc>
          <w:tcPr>
            <w:tcW w:w="4749" w:type="dxa"/>
          </w:tcPr>
          <w:p>
            <w:pPr>
              <w:pStyle w:val="TableParagraph"/>
              <w:spacing w:before="1"/>
              <w:ind w:left="106"/>
              <w:rPr>
                <w:sz w:val="21"/>
              </w:rPr>
            </w:pPr>
            <w:r>
              <w:rPr>
                <w:sz w:val="21"/>
              </w:rPr>
              <w:t>（1） 资质条件： </w:t>
            </w:r>
          </w:p>
          <w:p>
            <w:pPr>
              <w:pStyle w:val="TableParagraph"/>
              <w:spacing w:before="139"/>
              <w:ind w:left="106"/>
              <w:rPr>
                <w:sz w:val="21"/>
              </w:rPr>
            </w:pPr>
            <w:r>
              <w:rPr>
                <w:color w:val="0000FF"/>
                <w:sz w:val="21"/>
              </w:rPr>
              <w:t>[建筑工程施工总承包三级](含)以上</w:t>
            </w:r>
            <w:r>
              <w:rPr>
                <w:sz w:val="21"/>
              </w:rPr>
              <w:t> </w:t>
            </w:r>
          </w:p>
        </w:tc>
      </w:tr>
    </w:tbl>
    <w:p>
      <w:pPr>
        <w:spacing w:after="0"/>
        <w:rPr>
          <w:sz w:val="21"/>
        </w:rPr>
        <w:sectPr>
          <w:pgSz w:w="11910" w:h="16850"/>
          <w:pgMar w:header="0" w:footer="779" w:top="1440" w:bottom="960" w:left="1120" w:right="280"/>
        </w:sectPr>
      </w:pPr>
    </w:p>
    <w:tbl>
      <w:tblPr>
        <w:tblW w:w="0" w:type="auto"/>
        <w:jc w:val="left"/>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6"/>
        <w:gridCol w:w="3253"/>
        <w:gridCol w:w="4749"/>
      </w:tblGrid>
      <w:tr>
        <w:trPr>
          <w:trHeight w:val="470" w:hRule="atLeast"/>
        </w:trPr>
        <w:tc>
          <w:tcPr>
            <w:tcW w:w="886" w:type="dxa"/>
            <w:shd w:val="clear" w:color="auto" w:fill="E6E6E6"/>
          </w:tcPr>
          <w:p>
            <w:pPr>
              <w:pStyle w:val="TableParagraph"/>
              <w:spacing w:line="349" w:lineRule="exact"/>
              <w:ind w:left="124"/>
              <w:rPr>
                <w:rFonts w:ascii="Microsoft JhengHei" w:eastAsia="Microsoft JhengHei" w:hint="eastAsia"/>
                <w:b/>
                <w:sz w:val="21"/>
              </w:rPr>
            </w:pPr>
            <w:r>
              <w:rPr>
                <w:rFonts w:ascii="Microsoft JhengHei" w:eastAsia="Microsoft JhengHei" w:hint="eastAsia"/>
                <w:b/>
                <w:sz w:val="21"/>
                <w:shd w:fill="FFFFFF" w:color="auto" w:val="clear"/>
              </w:rPr>
              <w:t>条款号</w:t>
            </w:r>
            <w:r>
              <w:rPr>
                <w:rFonts w:ascii="Microsoft JhengHei" w:eastAsia="Microsoft JhengHei" w:hint="eastAsia"/>
                <w:b/>
                <w:w w:val="201"/>
                <w:sz w:val="21"/>
              </w:rPr>
              <w:t> </w:t>
            </w:r>
          </w:p>
        </w:tc>
        <w:tc>
          <w:tcPr>
            <w:tcW w:w="3253" w:type="dxa"/>
            <w:shd w:val="clear" w:color="auto" w:fill="E6E6E6"/>
          </w:tcPr>
          <w:p>
            <w:pPr>
              <w:pStyle w:val="TableParagraph"/>
              <w:spacing w:line="349" w:lineRule="exact"/>
              <w:ind w:left="887"/>
              <w:rPr>
                <w:rFonts w:ascii="Microsoft JhengHei" w:eastAsia="Microsoft JhengHei" w:hint="eastAsia"/>
                <w:b/>
                <w:sz w:val="21"/>
              </w:rPr>
            </w:pPr>
            <w:r>
              <w:rPr>
                <w:rFonts w:ascii="Microsoft JhengHei" w:eastAsia="Microsoft JhengHei" w:hint="eastAsia"/>
                <w:b/>
                <w:sz w:val="21"/>
                <w:shd w:fill="FFFFFF" w:color="auto" w:val="clear"/>
              </w:rPr>
              <w:t>条 款 名 称</w:t>
            </w:r>
            <w:r>
              <w:rPr>
                <w:rFonts w:ascii="Microsoft JhengHei" w:eastAsia="Microsoft JhengHei" w:hint="eastAsia"/>
                <w:b/>
                <w:w w:val="201"/>
                <w:sz w:val="21"/>
              </w:rPr>
              <w:t> </w:t>
            </w:r>
          </w:p>
        </w:tc>
        <w:tc>
          <w:tcPr>
            <w:tcW w:w="4749" w:type="dxa"/>
            <w:shd w:val="clear" w:color="auto" w:fill="E6E6E6"/>
          </w:tcPr>
          <w:p>
            <w:pPr>
              <w:pStyle w:val="TableParagraph"/>
              <w:spacing w:line="349" w:lineRule="exact"/>
              <w:ind w:left="1633"/>
              <w:rPr>
                <w:rFonts w:ascii="Microsoft JhengHei" w:eastAsia="Microsoft JhengHei" w:hint="eastAsia"/>
                <w:b/>
                <w:sz w:val="21"/>
              </w:rPr>
            </w:pPr>
            <w:r>
              <w:rPr>
                <w:rFonts w:ascii="Microsoft JhengHei" w:eastAsia="Microsoft JhengHei" w:hint="eastAsia"/>
                <w:b/>
                <w:sz w:val="21"/>
                <w:shd w:fill="FFFFFF" w:color="auto" w:val="clear"/>
              </w:rPr>
              <w:t>编 列 内 容</w:t>
            </w:r>
            <w:r>
              <w:rPr>
                <w:rFonts w:ascii="Microsoft JhengHei" w:eastAsia="Microsoft JhengHei" w:hint="eastAsia"/>
                <w:b/>
                <w:w w:val="201"/>
                <w:sz w:val="21"/>
              </w:rPr>
              <w:t> </w:t>
            </w:r>
          </w:p>
        </w:tc>
      </w:tr>
      <w:tr>
        <w:trPr>
          <w:trHeight w:val="13076" w:hRule="atLeast"/>
        </w:trPr>
        <w:tc>
          <w:tcPr>
            <w:tcW w:w="886" w:type="dxa"/>
          </w:tcPr>
          <w:p>
            <w:pPr>
              <w:pStyle w:val="TableParagraph"/>
              <w:rPr>
                <w:rFonts w:ascii="Times New Roman"/>
                <w:sz w:val="20"/>
              </w:rPr>
            </w:pPr>
          </w:p>
        </w:tc>
        <w:tc>
          <w:tcPr>
            <w:tcW w:w="3253" w:type="dxa"/>
          </w:tcPr>
          <w:p>
            <w:pPr>
              <w:pStyle w:val="TableParagraph"/>
              <w:rPr>
                <w:rFonts w:ascii="Times New Roman"/>
                <w:sz w:val="20"/>
              </w:rPr>
            </w:pPr>
          </w:p>
        </w:tc>
        <w:tc>
          <w:tcPr>
            <w:tcW w:w="4749" w:type="dxa"/>
          </w:tcPr>
          <w:p>
            <w:pPr>
              <w:pStyle w:val="TableParagraph"/>
              <w:numPr>
                <w:ilvl w:val="0"/>
                <w:numId w:val="17"/>
              </w:numPr>
              <w:tabs>
                <w:tab w:pos="636" w:val="left" w:leader="none"/>
              </w:tabs>
              <w:spacing w:line="364" w:lineRule="auto" w:before="3" w:after="0"/>
              <w:ind w:left="106" w:right="-15" w:firstLine="0"/>
              <w:jc w:val="left"/>
              <w:rPr>
                <w:sz w:val="21"/>
              </w:rPr>
            </w:pPr>
            <w:r>
              <w:rPr>
                <w:spacing w:val="-3"/>
                <w:sz w:val="21"/>
              </w:rPr>
              <w:t>财务要求：</w:t>
            </w:r>
            <w:r>
              <w:rPr>
                <w:color w:val="0000FF"/>
                <w:sz w:val="21"/>
              </w:rPr>
              <w:t>2017</w:t>
            </w:r>
            <w:r>
              <w:rPr>
                <w:color w:val="0000FF"/>
                <w:spacing w:val="-29"/>
                <w:sz w:val="21"/>
              </w:rPr>
              <w:t> </w:t>
            </w:r>
            <w:r>
              <w:rPr>
                <w:spacing w:val="-10"/>
                <w:sz w:val="21"/>
              </w:rPr>
              <w:t>年至 </w:t>
            </w:r>
            <w:r>
              <w:rPr>
                <w:color w:val="0000FF"/>
                <w:sz w:val="21"/>
              </w:rPr>
              <w:t>2019</w:t>
            </w:r>
            <w:r>
              <w:rPr>
                <w:color w:val="0000FF"/>
                <w:spacing w:val="-25"/>
                <w:sz w:val="21"/>
              </w:rPr>
              <w:t> </w:t>
            </w:r>
            <w:r>
              <w:rPr>
                <w:spacing w:val="-3"/>
                <w:sz w:val="21"/>
              </w:rPr>
              <w:t>年经审计的财务</w:t>
            </w:r>
            <w:r>
              <w:rPr>
                <w:spacing w:val="-25"/>
                <w:sz w:val="21"/>
              </w:rPr>
              <w:t>报表</w:t>
            </w:r>
            <w:r>
              <w:rPr>
                <w:spacing w:val="-3"/>
                <w:sz w:val="21"/>
              </w:rPr>
              <w:t>（以广西建筑业企业诚信信息库为准</w:t>
            </w:r>
            <w:r>
              <w:rPr>
                <w:spacing w:val="-152"/>
                <w:sz w:val="21"/>
              </w:rPr>
              <w:t>）</w:t>
            </w:r>
            <w:r>
              <w:rPr>
                <w:spacing w:val="-2"/>
                <w:sz w:val="21"/>
              </w:rPr>
              <w:t>【备注： </w:t>
            </w:r>
            <w:r>
              <w:rPr>
                <w:spacing w:val="3"/>
                <w:sz w:val="21"/>
              </w:rPr>
              <w:t>对于从取得营业执照时间起到投标截止时间为止</w:t>
            </w:r>
            <w:r>
              <w:rPr>
                <w:spacing w:val="-11"/>
                <w:sz w:val="21"/>
              </w:rPr>
              <w:t>不足要求年数的企业，只需提交企业取得营业执照</w:t>
            </w:r>
            <w:r>
              <w:rPr>
                <w:spacing w:val="-12"/>
                <w:sz w:val="21"/>
              </w:rPr>
              <w:t>年份至所要求最近年份经审计的财务报表】。</w:t>
            </w:r>
            <w:r>
              <w:rPr>
                <w:sz w:val="21"/>
              </w:rPr>
              <w:t> </w:t>
            </w:r>
          </w:p>
          <w:p>
            <w:pPr>
              <w:pStyle w:val="TableParagraph"/>
              <w:numPr>
                <w:ilvl w:val="0"/>
                <w:numId w:val="17"/>
              </w:numPr>
              <w:tabs>
                <w:tab w:pos="636" w:val="left" w:leader="none"/>
              </w:tabs>
              <w:spacing w:line="267" w:lineRule="exact" w:before="0" w:after="0"/>
              <w:ind w:left="635" w:right="-15" w:hanging="530"/>
              <w:jc w:val="left"/>
              <w:rPr>
                <w:sz w:val="21"/>
              </w:rPr>
            </w:pPr>
            <w:r>
              <w:rPr>
                <w:spacing w:val="-12"/>
                <w:sz w:val="21"/>
              </w:rPr>
              <w:t>业绩要求：</w:t>
            </w:r>
            <w:r>
              <w:rPr>
                <w:color w:val="0000FF"/>
                <w:spacing w:val="-6"/>
                <w:sz w:val="21"/>
              </w:rPr>
              <w:t> </w:t>
            </w:r>
            <w:r>
              <w:rPr>
                <w:sz w:val="21"/>
              </w:rPr>
              <w:t>年</w:t>
            </w:r>
            <w:r>
              <w:rPr>
                <w:color w:val="0000FF"/>
                <w:spacing w:val="7"/>
                <w:sz w:val="21"/>
              </w:rPr>
              <w:t> </w:t>
            </w:r>
            <w:r>
              <w:rPr>
                <w:spacing w:val="-12"/>
                <w:sz w:val="21"/>
              </w:rPr>
              <w:t>月至投标截止日期止企业：</w:t>
            </w:r>
            <w:r>
              <w:rPr>
                <w:sz w:val="21"/>
              </w:rPr>
              <w:t> </w:t>
            </w:r>
          </w:p>
          <w:p>
            <w:pPr>
              <w:pStyle w:val="TableParagraph"/>
              <w:spacing w:line="364" w:lineRule="auto" w:before="139"/>
              <w:ind w:left="106" w:right="95"/>
              <w:rPr>
                <w:sz w:val="21"/>
              </w:rPr>
            </w:pPr>
            <w:r>
              <w:rPr>
                <w:color w:val="0000FF"/>
                <w:sz w:val="21"/>
              </w:rPr>
              <w:t>□</w:t>
            </w:r>
            <w:r>
              <w:rPr>
                <w:spacing w:val="-10"/>
                <w:sz w:val="21"/>
              </w:rPr>
              <w:t>完成过质量合格的类似工程项目</w:t>
            </w:r>
            <w:r>
              <w:rPr>
                <w:sz w:val="21"/>
              </w:rPr>
              <w:t>（</w:t>
            </w:r>
            <w:r>
              <w:rPr>
                <w:spacing w:val="-3"/>
                <w:sz w:val="21"/>
              </w:rPr>
              <w:t>已竣工工程业绩以广西建筑业企业诚信信息库为准</w:t>
            </w:r>
            <w:r>
              <w:rPr>
                <w:sz w:val="21"/>
              </w:rPr>
              <w:t>） </w:t>
            </w:r>
          </w:p>
          <w:p>
            <w:pPr>
              <w:pStyle w:val="TableParagraph"/>
              <w:spacing w:line="268" w:lineRule="exact"/>
              <w:ind w:left="106"/>
              <w:rPr>
                <w:sz w:val="21"/>
              </w:rPr>
            </w:pPr>
            <w:r>
              <w:rPr>
                <w:color w:val="0000FF"/>
                <w:sz w:val="21"/>
              </w:rPr>
              <w:t>□</w:t>
            </w:r>
            <w:r>
              <w:rPr>
                <w:sz w:val="21"/>
              </w:rPr>
              <w:t>承接过类似工程项目（在投标文件组成的“业绩</w:t>
            </w:r>
          </w:p>
          <w:p>
            <w:pPr>
              <w:pStyle w:val="TableParagraph"/>
              <w:spacing w:line="364" w:lineRule="auto" w:before="141"/>
              <w:ind w:left="106" w:right="96"/>
              <w:rPr>
                <w:sz w:val="21"/>
              </w:rPr>
            </w:pPr>
            <w:r>
              <w:rPr>
                <w:w w:val="100"/>
                <w:sz w:val="21"/>
              </w:rPr>
              <w:t>（</w:t>
            </w:r>
            <w:r>
              <w:rPr>
                <w:spacing w:val="-1"/>
                <w:w w:val="100"/>
                <w:sz w:val="21"/>
              </w:rPr>
              <w:t>在建工程</w:t>
            </w:r>
            <w:r>
              <w:rPr>
                <w:spacing w:val="-104"/>
                <w:w w:val="100"/>
                <w:sz w:val="21"/>
              </w:rPr>
              <w:t>）</w:t>
            </w:r>
            <w:r>
              <w:rPr>
                <w:spacing w:val="-4"/>
                <w:w w:val="100"/>
                <w:sz w:val="21"/>
              </w:rPr>
              <w:t>”节点上传相关证明材料的原件扫描</w:t>
            </w:r>
            <w:r>
              <w:rPr>
                <w:sz w:val="21"/>
              </w:rPr>
              <w:t>件</w:t>
            </w:r>
            <w:r>
              <w:rPr>
                <w:spacing w:val="-106"/>
                <w:sz w:val="21"/>
              </w:rPr>
              <w:t>）。</w:t>
            </w:r>
            <w:r>
              <w:rPr>
                <w:spacing w:val="-3"/>
                <w:sz w:val="21"/>
              </w:rPr>
              <w:t>（此项可选）</w:t>
            </w:r>
            <w:r>
              <w:rPr>
                <w:sz w:val="21"/>
              </w:rPr>
              <w:t> </w:t>
            </w:r>
          </w:p>
          <w:p>
            <w:pPr>
              <w:pStyle w:val="TableParagraph"/>
              <w:numPr>
                <w:ilvl w:val="0"/>
                <w:numId w:val="17"/>
              </w:numPr>
              <w:tabs>
                <w:tab w:pos="636" w:val="left" w:leader="none"/>
              </w:tabs>
              <w:spacing w:line="364" w:lineRule="auto" w:before="0" w:after="0"/>
              <w:ind w:left="106" w:right="6" w:firstLine="0"/>
              <w:jc w:val="left"/>
              <w:rPr>
                <w:sz w:val="21"/>
              </w:rPr>
            </w:pPr>
            <w:r>
              <w:rPr>
                <w:spacing w:val="-6"/>
                <w:sz w:val="21"/>
              </w:rPr>
              <w:t>诚信要求：根据最高人民法院等 </w:t>
            </w:r>
            <w:r>
              <w:rPr>
                <w:sz w:val="21"/>
              </w:rPr>
              <w:t>9</w:t>
            </w:r>
            <w:r>
              <w:rPr>
                <w:spacing w:val="-10"/>
                <w:sz w:val="21"/>
              </w:rPr>
              <w:t> 部门《关</w:t>
            </w:r>
            <w:r>
              <w:rPr>
                <w:spacing w:val="3"/>
                <w:sz w:val="21"/>
              </w:rPr>
              <w:t>于在招标投标活动中对失信被执行人实施联合惩</w:t>
            </w:r>
            <w:r>
              <w:rPr>
                <w:spacing w:val="-19"/>
                <w:sz w:val="21"/>
              </w:rPr>
              <w:t>戒的通知》</w:t>
            </w:r>
            <w:r>
              <w:rPr>
                <w:sz w:val="21"/>
              </w:rPr>
              <w:t>（法〔2016〕285</w:t>
            </w:r>
            <w:r>
              <w:rPr>
                <w:spacing w:val="4"/>
                <w:sz w:val="21"/>
              </w:rPr>
              <w:t> 号</w:t>
            </w:r>
            <w:r>
              <w:rPr>
                <w:sz w:val="21"/>
              </w:rPr>
              <w:t>）</w:t>
            </w:r>
            <w:r>
              <w:rPr>
                <w:spacing w:val="-1"/>
                <w:sz w:val="21"/>
              </w:rPr>
              <w:t>规定，投标人不</w:t>
            </w:r>
            <w:r>
              <w:rPr>
                <w:spacing w:val="-3"/>
                <w:sz w:val="21"/>
              </w:rPr>
              <w:t>得为失信被执行人（以评标阶段通过“信用中国” </w:t>
            </w:r>
            <w:r>
              <w:rPr>
                <w:spacing w:val="12"/>
                <w:sz w:val="21"/>
              </w:rPr>
              <w:t>网站</w:t>
            </w:r>
            <w:r>
              <w:rPr>
                <w:sz w:val="21"/>
              </w:rPr>
              <w:t>（</w:t>
            </w:r>
            <w:hyperlink r:id="rId9">
              <w:r>
                <w:rPr>
                  <w:sz w:val="21"/>
                </w:rPr>
                <w:t>www.creditchina.gov.cn</w:t>
              </w:r>
            </w:hyperlink>
            <w:r>
              <w:rPr>
                <w:sz w:val="21"/>
              </w:rPr>
              <w:t>）</w:t>
            </w:r>
            <w:r>
              <w:rPr>
                <w:spacing w:val="7"/>
                <w:sz w:val="21"/>
              </w:rPr>
              <w:t>查询的结果为</w:t>
            </w:r>
            <w:r>
              <w:rPr>
                <w:spacing w:val="7"/>
                <w:w w:val="100"/>
                <w:sz w:val="21"/>
              </w:rPr>
              <w:t>准</w:t>
            </w:r>
            <w:r>
              <w:rPr>
                <w:spacing w:val="-106"/>
                <w:w w:val="100"/>
                <w:sz w:val="21"/>
              </w:rPr>
              <w:t>）</w:t>
            </w:r>
            <w:r>
              <w:rPr>
                <w:spacing w:val="-2"/>
                <w:w w:val="100"/>
                <w:sz w:val="21"/>
              </w:rPr>
              <w:t>；</w:t>
            </w:r>
            <w:r>
              <w:rPr>
                <w:w w:val="100"/>
                <w:sz w:val="21"/>
              </w:rPr>
              <w:t> </w:t>
            </w:r>
          </w:p>
          <w:p>
            <w:pPr>
              <w:pStyle w:val="TableParagraph"/>
              <w:spacing w:line="364" w:lineRule="auto"/>
              <w:ind w:left="106" w:right="-15" w:firstLine="420"/>
              <w:rPr>
                <w:sz w:val="21"/>
              </w:rPr>
            </w:pPr>
            <w:r>
              <w:rPr>
                <w:spacing w:val="-17"/>
                <w:sz w:val="21"/>
              </w:rPr>
              <w:t>根据《广西壮族自治区建筑市场主体“黑名单” </w:t>
            </w:r>
            <w:r>
              <w:rPr>
                <w:spacing w:val="-10"/>
                <w:sz w:val="21"/>
              </w:rPr>
              <w:t>管理办法</w:t>
            </w:r>
            <w:r>
              <w:rPr>
                <w:spacing w:val="-3"/>
                <w:sz w:val="21"/>
              </w:rPr>
              <w:t>（</w:t>
            </w:r>
            <w:r>
              <w:rPr>
                <w:spacing w:val="-2"/>
                <w:sz w:val="21"/>
              </w:rPr>
              <w:t>试行</w:t>
            </w:r>
            <w:r>
              <w:rPr>
                <w:spacing w:val="-106"/>
                <w:sz w:val="21"/>
              </w:rPr>
              <w:t>）》</w:t>
            </w:r>
            <w:r>
              <w:rPr>
                <w:spacing w:val="-3"/>
                <w:sz w:val="21"/>
              </w:rPr>
              <w:t>（</w:t>
            </w:r>
            <w:r>
              <w:rPr>
                <w:spacing w:val="-2"/>
                <w:sz w:val="21"/>
              </w:rPr>
              <w:t>桂建发【</w:t>
            </w:r>
            <w:r>
              <w:rPr>
                <w:sz w:val="21"/>
              </w:rPr>
              <w:t>2018</w:t>
            </w:r>
            <w:r>
              <w:rPr>
                <w:spacing w:val="-3"/>
                <w:sz w:val="21"/>
              </w:rPr>
              <w:t>】</w:t>
            </w:r>
            <w:r>
              <w:rPr>
                <w:sz w:val="21"/>
              </w:rPr>
              <w:t>5</w:t>
            </w:r>
            <w:r>
              <w:rPr>
                <w:spacing w:val="-24"/>
                <w:sz w:val="21"/>
              </w:rPr>
              <w:t> 号</w:t>
            </w:r>
            <w:r>
              <w:rPr>
                <w:sz w:val="21"/>
              </w:rPr>
              <w:t>）</w:t>
            </w:r>
            <w:r>
              <w:rPr>
                <w:spacing w:val="-2"/>
                <w:sz w:val="21"/>
              </w:rPr>
              <w:t>规定， </w:t>
            </w:r>
            <w:r>
              <w:rPr>
                <w:spacing w:val="-9"/>
                <w:w w:val="100"/>
                <w:sz w:val="21"/>
              </w:rPr>
              <w:t>投标人不得为建筑市场主体“黑名单”</w:t>
            </w:r>
            <w:r>
              <w:rPr>
                <w:w w:val="100"/>
                <w:sz w:val="21"/>
              </w:rPr>
              <w:t>（</w:t>
            </w:r>
            <w:r>
              <w:rPr>
                <w:spacing w:val="-2"/>
                <w:w w:val="100"/>
                <w:sz w:val="21"/>
              </w:rPr>
              <w:t>以评标阶</w:t>
            </w:r>
            <w:r>
              <w:rPr>
                <w:spacing w:val="3"/>
                <w:sz w:val="21"/>
              </w:rPr>
              <w:t>段通过建筑市场监管与诚信信息一体化平台查询</w:t>
            </w:r>
            <w:r>
              <w:rPr>
                <w:spacing w:val="1"/>
                <w:sz w:val="21"/>
              </w:rPr>
              <w:t>的结果为准</w:t>
            </w:r>
            <w:r>
              <w:rPr>
                <w:spacing w:val="-104"/>
                <w:sz w:val="21"/>
              </w:rPr>
              <w:t>）</w:t>
            </w:r>
            <w:r>
              <w:rPr>
                <w:spacing w:val="-3"/>
                <w:sz w:val="21"/>
              </w:rPr>
              <w:t>【备注：此款可由招标人自主选择， </w:t>
            </w:r>
            <w:r>
              <w:rPr>
                <w:spacing w:val="-21"/>
                <w:sz w:val="21"/>
              </w:rPr>
              <w:t>如不采用，须向本项目招标的监督部门说明理由】。</w:t>
            </w:r>
            <w:r>
              <w:rPr>
                <w:spacing w:val="3"/>
                <w:sz w:val="21"/>
              </w:rPr>
              <w:t>投标人企业和拟投入项目经理及专职安全员的广</w:t>
            </w:r>
            <w:r>
              <w:rPr>
                <w:spacing w:val="-3"/>
                <w:sz w:val="21"/>
              </w:rPr>
              <w:t>西建筑市场诚信信息未被锁定。 </w:t>
            </w:r>
          </w:p>
          <w:p>
            <w:pPr>
              <w:pStyle w:val="TableParagraph"/>
              <w:numPr>
                <w:ilvl w:val="0"/>
                <w:numId w:val="17"/>
              </w:numPr>
              <w:tabs>
                <w:tab w:pos="636" w:val="left" w:leader="none"/>
              </w:tabs>
              <w:spacing w:line="364" w:lineRule="auto" w:before="0" w:after="0"/>
              <w:ind w:left="106" w:right="95" w:firstLine="0"/>
              <w:jc w:val="both"/>
              <w:rPr>
                <w:sz w:val="21"/>
              </w:rPr>
            </w:pPr>
            <w:r>
              <w:rPr>
                <w:spacing w:val="-1"/>
                <w:sz w:val="21"/>
              </w:rPr>
              <w:t>项目经理资格：</w:t>
            </w:r>
            <w:r>
              <w:rPr>
                <w:color w:val="0000FF"/>
                <w:spacing w:val="-2"/>
                <w:sz w:val="21"/>
              </w:rPr>
              <w:t>建筑工程</w:t>
            </w:r>
            <w:r>
              <w:rPr>
                <w:sz w:val="21"/>
              </w:rPr>
              <w:t>专业</w:t>
            </w:r>
            <w:r>
              <w:rPr>
                <w:color w:val="0000FF"/>
                <w:sz w:val="21"/>
              </w:rPr>
              <w:t>二</w:t>
            </w:r>
            <w:r>
              <w:rPr>
                <w:spacing w:val="-1"/>
                <w:sz w:val="21"/>
              </w:rPr>
              <w:t>级以上</w:t>
            </w:r>
            <w:r>
              <w:rPr>
                <w:sz w:val="21"/>
              </w:rPr>
              <w:t>（</w:t>
            </w:r>
            <w:r>
              <w:rPr>
                <w:spacing w:val="-13"/>
                <w:sz w:val="21"/>
              </w:rPr>
              <w:t>含</w:t>
            </w:r>
            <w:r>
              <w:rPr>
                <w:sz w:val="21"/>
              </w:rPr>
              <w:t>本级</w:t>
            </w:r>
            <w:r>
              <w:rPr>
                <w:spacing w:val="-48"/>
                <w:sz w:val="21"/>
              </w:rPr>
              <w:t>）</w:t>
            </w:r>
            <w:r>
              <w:rPr>
                <w:spacing w:val="-9"/>
                <w:sz w:val="21"/>
              </w:rPr>
              <w:t>注册建造师执业资格，已录入广西建筑业企</w:t>
            </w:r>
            <w:r>
              <w:rPr>
                <w:spacing w:val="-10"/>
                <w:sz w:val="21"/>
              </w:rPr>
              <w:t>业诚信信息库并处于有效状态，具备有效的安全生产考核合格证书（B</w:t>
            </w:r>
            <w:r>
              <w:rPr>
                <w:spacing w:val="7"/>
                <w:sz w:val="21"/>
              </w:rPr>
              <w:t> 类</w:t>
            </w:r>
            <w:r>
              <w:rPr>
                <w:spacing w:val="-104"/>
                <w:sz w:val="21"/>
              </w:rPr>
              <w:t>）</w:t>
            </w:r>
            <w:r>
              <w:rPr>
                <w:spacing w:val="-4"/>
                <w:sz w:val="21"/>
              </w:rPr>
              <w:t>。本项目不接受有在建、</w:t>
            </w:r>
            <w:r>
              <w:rPr>
                <w:spacing w:val="3"/>
                <w:sz w:val="21"/>
              </w:rPr>
              <w:t>已中标未开工或已列为其他项目中标候选人第一</w:t>
            </w:r>
            <w:r>
              <w:rPr>
                <w:spacing w:val="-8"/>
                <w:sz w:val="21"/>
              </w:rPr>
              <w:t>名的建造师作为项目经理</w:t>
            </w:r>
            <w:r>
              <w:rPr>
                <w:sz w:val="21"/>
              </w:rPr>
              <w:t>（</w:t>
            </w:r>
            <w:r>
              <w:rPr>
                <w:spacing w:val="-9"/>
                <w:sz w:val="21"/>
              </w:rPr>
              <w:t>符合《广西壮族自治区</w:t>
            </w:r>
          </w:p>
          <w:p>
            <w:pPr>
              <w:pStyle w:val="TableParagraph"/>
              <w:spacing w:line="266" w:lineRule="exact"/>
              <w:ind w:left="106"/>
              <w:rPr>
                <w:sz w:val="21"/>
              </w:rPr>
            </w:pPr>
            <w:r>
              <w:rPr>
                <w:sz w:val="21"/>
              </w:rPr>
              <w:t>建筑市场诚信卡管理暂行办法》第十六条第一款除</w:t>
            </w:r>
          </w:p>
        </w:tc>
      </w:tr>
    </w:tbl>
    <w:p>
      <w:pPr>
        <w:spacing w:after="0" w:line="266" w:lineRule="exact"/>
        <w:rPr>
          <w:sz w:val="21"/>
        </w:rPr>
        <w:sectPr>
          <w:pgSz w:w="11910" w:h="16850"/>
          <w:pgMar w:header="0" w:footer="779" w:top="1440" w:bottom="960" w:left="1120" w:right="280"/>
        </w:sectPr>
      </w:pPr>
    </w:p>
    <w:tbl>
      <w:tblPr>
        <w:tblW w:w="0" w:type="auto"/>
        <w:jc w:val="left"/>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6"/>
        <w:gridCol w:w="3253"/>
        <w:gridCol w:w="4749"/>
      </w:tblGrid>
      <w:tr>
        <w:trPr>
          <w:trHeight w:val="470" w:hRule="atLeast"/>
        </w:trPr>
        <w:tc>
          <w:tcPr>
            <w:tcW w:w="886" w:type="dxa"/>
            <w:shd w:val="clear" w:color="auto" w:fill="E6E6E6"/>
          </w:tcPr>
          <w:p>
            <w:pPr>
              <w:pStyle w:val="TableParagraph"/>
              <w:spacing w:line="349" w:lineRule="exact"/>
              <w:ind w:right="10"/>
              <w:jc w:val="right"/>
              <w:rPr>
                <w:rFonts w:ascii="Microsoft JhengHei" w:eastAsia="Microsoft JhengHei" w:hint="eastAsia"/>
                <w:b/>
                <w:sz w:val="21"/>
              </w:rPr>
            </w:pPr>
            <w:r>
              <w:rPr>
                <w:rFonts w:ascii="Microsoft JhengHei" w:eastAsia="Microsoft JhengHei" w:hint="eastAsia"/>
                <w:b/>
                <w:sz w:val="21"/>
                <w:shd w:fill="FFFFFF" w:color="auto" w:val="clear"/>
              </w:rPr>
              <w:t>条款号</w:t>
            </w:r>
            <w:r>
              <w:rPr>
                <w:rFonts w:ascii="Microsoft JhengHei" w:eastAsia="Microsoft JhengHei" w:hint="eastAsia"/>
                <w:b/>
                <w:w w:val="201"/>
                <w:sz w:val="21"/>
              </w:rPr>
              <w:t> </w:t>
            </w:r>
          </w:p>
        </w:tc>
        <w:tc>
          <w:tcPr>
            <w:tcW w:w="3253" w:type="dxa"/>
            <w:shd w:val="clear" w:color="auto" w:fill="E6E6E6"/>
          </w:tcPr>
          <w:p>
            <w:pPr>
              <w:pStyle w:val="TableParagraph"/>
              <w:spacing w:line="349" w:lineRule="exact"/>
              <w:ind w:left="887"/>
              <w:rPr>
                <w:rFonts w:ascii="Microsoft JhengHei" w:eastAsia="Microsoft JhengHei" w:hint="eastAsia"/>
                <w:b/>
                <w:sz w:val="21"/>
              </w:rPr>
            </w:pPr>
            <w:r>
              <w:rPr>
                <w:rFonts w:ascii="Microsoft JhengHei" w:eastAsia="Microsoft JhengHei" w:hint="eastAsia"/>
                <w:b/>
                <w:sz w:val="21"/>
                <w:shd w:fill="FFFFFF" w:color="auto" w:val="clear"/>
              </w:rPr>
              <w:t>条 款 名 称</w:t>
            </w:r>
            <w:r>
              <w:rPr>
                <w:rFonts w:ascii="Microsoft JhengHei" w:eastAsia="Microsoft JhengHei" w:hint="eastAsia"/>
                <w:b/>
                <w:w w:val="201"/>
                <w:sz w:val="21"/>
              </w:rPr>
              <w:t> </w:t>
            </w:r>
          </w:p>
        </w:tc>
        <w:tc>
          <w:tcPr>
            <w:tcW w:w="4749" w:type="dxa"/>
            <w:shd w:val="clear" w:color="auto" w:fill="E6E6E6"/>
          </w:tcPr>
          <w:p>
            <w:pPr>
              <w:pStyle w:val="TableParagraph"/>
              <w:spacing w:line="349" w:lineRule="exact"/>
              <w:ind w:left="1633"/>
              <w:rPr>
                <w:rFonts w:ascii="Microsoft JhengHei" w:eastAsia="Microsoft JhengHei" w:hint="eastAsia"/>
                <w:b/>
                <w:sz w:val="21"/>
              </w:rPr>
            </w:pPr>
            <w:r>
              <w:rPr>
                <w:rFonts w:ascii="Microsoft JhengHei" w:eastAsia="Microsoft JhengHei" w:hint="eastAsia"/>
                <w:b/>
                <w:sz w:val="21"/>
                <w:shd w:fill="FFFFFF" w:color="auto" w:val="clear"/>
              </w:rPr>
              <w:t>编 列 内 容</w:t>
            </w:r>
            <w:r>
              <w:rPr>
                <w:rFonts w:ascii="Microsoft JhengHei" w:eastAsia="Microsoft JhengHei" w:hint="eastAsia"/>
                <w:b/>
                <w:w w:val="201"/>
                <w:sz w:val="21"/>
              </w:rPr>
              <w:t> </w:t>
            </w:r>
          </w:p>
        </w:tc>
      </w:tr>
      <w:tr>
        <w:trPr>
          <w:trHeight w:val="4903" w:hRule="atLeast"/>
        </w:trPr>
        <w:tc>
          <w:tcPr>
            <w:tcW w:w="886" w:type="dxa"/>
          </w:tcPr>
          <w:p>
            <w:pPr>
              <w:pStyle w:val="TableParagraph"/>
              <w:rPr>
                <w:rFonts w:ascii="Times New Roman"/>
                <w:sz w:val="20"/>
              </w:rPr>
            </w:pPr>
          </w:p>
        </w:tc>
        <w:tc>
          <w:tcPr>
            <w:tcW w:w="3253" w:type="dxa"/>
          </w:tcPr>
          <w:p>
            <w:pPr>
              <w:pStyle w:val="TableParagraph"/>
              <w:rPr>
                <w:rFonts w:ascii="Times New Roman"/>
                <w:sz w:val="20"/>
              </w:rPr>
            </w:pPr>
          </w:p>
        </w:tc>
        <w:tc>
          <w:tcPr>
            <w:tcW w:w="4749" w:type="dxa"/>
          </w:tcPr>
          <w:p>
            <w:pPr>
              <w:pStyle w:val="TableParagraph"/>
              <w:spacing w:before="3"/>
              <w:ind w:left="106"/>
              <w:rPr>
                <w:sz w:val="21"/>
              </w:rPr>
            </w:pPr>
            <w:r>
              <w:rPr>
                <w:sz w:val="21"/>
              </w:rPr>
              <w:t>外</w:t>
            </w:r>
            <w:r>
              <w:rPr>
                <w:spacing w:val="-106"/>
                <w:sz w:val="21"/>
              </w:rPr>
              <w:t>）</w:t>
            </w:r>
            <w:r>
              <w:rPr>
                <w:sz w:val="21"/>
              </w:rPr>
              <w:t>。 </w:t>
            </w:r>
          </w:p>
          <w:p>
            <w:pPr>
              <w:pStyle w:val="TableParagraph"/>
              <w:numPr>
                <w:ilvl w:val="0"/>
                <w:numId w:val="18"/>
              </w:numPr>
              <w:tabs>
                <w:tab w:pos="636" w:val="left" w:leader="none"/>
              </w:tabs>
              <w:spacing w:line="364" w:lineRule="auto" w:before="139" w:after="0"/>
              <w:ind w:left="106" w:right="95" w:firstLine="0"/>
              <w:jc w:val="both"/>
              <w:rPr>
                <w:sz w:val="21"/>
              </w:rPr>
            </w:pPr>
            <w:r>
              <w:rPr>
                <w:spacing w:val="-4"/>
                <w:sz w:val="21"/>
              </w:rPr>
              <w:t>专职安全员要求：专职安全员须已录入广西</w:t>
            </w:r>
            <w:r>
              <w:rPr>
                <w:spacing w:val="-8"/>
                <w:sz w:val="21"/>
              </w:rPr>
              <w:t>建筑业企业诚信信息库并处于有效状态，具备有效</w:t>
            </w:r>
            <w:r>
              <w:rPr>
                <w:sz w:val="21"/>
              </w:rPr>
              <w:t>的建筑施工企业三类人员C</w:t>
            </w:r>
            <w:r>
              <w:rPr>
                <w:spacing w:val="-16"/>
                <w:sz w:val="21"/>
              </w:rPr>
              <w:t> 证，人数符合住房和城</w:t>
            </w:r>
            <w:r>
              <w:rPr>
                <w:spacing w:val="-13"/>
                <w:sz w:val="21"/>
              </w:rPr>
              <w:t>乡建设部《建筑施工企业安全生产管理机构设置及</w:t>
            </w:r>
            <w:r>
              <w:rPr>
                <w:spacing w:val="-18"/>
                <w:sz w:val="21"/>
              </w:rPr>
              <w:t>专职安全生产管理人员配备办法》</w:t>
            </w:r>
            <w:r>
              <w:rPr>
                <w:sz w:val="21"/>
              </w:rPr>
              <w:t>（建质〔2008</w:t>
            </w:r>
            <w:r>
              <w:rPr>
                <w:spacing w:val="-13"/>
                <w:sz w:val="21"/>
              </w:rPr>
              <w:t>〕</w:t>
            </w:r>
            <w:r>
              <w:rPr>
                <w:sz w:val="21"/>
              </w:rPr>
              <w:t>91</w:t>
            </w:r>
            <w:r>
              <w:rPr>
                <w:spacing w:val="-28"/>
                <w:sz w:val="21"/>
              </w:rPr>
              <w:t> 号</w:t>
            </w:r>
            <w:r>
              <w:rPr>
                <w:sz w:val="21"/>
              </w:rPr>
              <w:t>）</w:t>
            </w:r>
            <w:r>
              <w:rPr>
                <w:spacing w:val="-11"/>
                <w:sz w:val="21"/>
              </w:rPr>
              <w:t>的规定不少于 </w:t>
            </w:r>
            <w:r>
              <w:rPr>
                <w:color w:val="0000FF"/>
                <w:sz w:val="21"/>
              </w:rPr>
              <w:t>2</w:t>
            </w:r>
            <w:r>
              <w:rPr>
                <w:color w:val="0000FF"/>
                <w:spacing w:val="-54"/>
                <w:sz w:val="21"/>
              </w:rPr>
              <w:t> </w:t>
            </w:r>
            <w:r>
              <w:rPr>
                <w:spacing w:val="-2"/>
                <w:sz w:val="21"/>
              </w:rPr>
              <w:t>人。 </w:t>
            </w:r>
          </w:p>
          <w:p>
            <w:pPr>
              <w:pStyle w:val="TableParagraph"/>
              <w:spacing w:line="364" w:lineRule="auto"/>
              <w:ind w:left="106" w:right="95"/>
              <w:jc w:val="both"/>
              <w:rPr>
                <w:sz w:val="21"/>
              </w:rPr>
            </w:pPr>
            <w:r>
              <w:rPr>
                <w:sz w:val="21"/>
              </w:rPr>
              <w:t>*</w:t>
            </w:r>
            <w:r>
              <w:rPr>
                <w:spacing w:val="-4"/>
                <w:sz w:val="21"/>
              </w:rPr>
              <w:t>备注：以上条件要求的投标人信息，如无特别出</w:t>
            </w:r>
            <w:r>
              <w:rPr>
                <w:spacing w:val="-12"/>
                <w:sz w:val="21"/>
              </w:rPr>
              <w:t>处要求的，一律以广西建筑业企业诚信信息库通过</w:t>
            </w:r>
            <w:r>
              <w:rPr>
                <w:spacing w:val="-6"/>
                <w:sz w:val="21"/>
              </w:rPr>
              <w:t>审核的信息为准。</w:t>
            </w:r>
            <w:r>
              <w:rPr>
                <w:sz w:val="21"/>
              </w:rPr>
              <w:t> </w:t>
            </w:r>
          </w:p>
          <w:p>
            <w:pPr>
              <w:pStyle w:val="TableParagraph"/>
              <w:numPr>
                <w:ilvl w:val="0"/>
                <w:numId w:val="18"/>
              </w:numPr>
              <w:tabs>
                <w:tab w:pos="636" w:val="left" w:leader="none"/>
              </w:tabs>
              <w:spacing w:line="240" w:lineRule="auto" w:before="0" w:after="0"/>
              <w:ind w:left="635" w:right="0" w:hanging="530"/>
              <w:jc w:val="left"/>
              <w:rPr>
                <w:sz w:val="21"/>
              </w:rPr>
            </w:pPr>
            <w:r>
              <w:rPr>
                <w:spacing w:val="-3"/>
                <w:sz w:val="21"/>
              </w:rPr>
              <w:t>其他要求：</w:t>
            </w:r>
            <w:r>
              <w:rPr>
                <w:sz w:val="21"/>
              </w:rPr>
              <w:t> </w:t>
            </w:r>
          </w:p>
          <w:p>
            <w:pPr>
              <w:pStyle w:val="TableParagraph"/>
              <w:spacing w:before="136"/>
              <w:ind w:left="106"/>
              <w:rPr>
                <w:sz w:val="21"/>
              </w:rPr>
            </w:pPr>
            <w:r>
              <w:rPr>
                <w:color w:val="0000FF"/>
                <w:w w:val="100"/>
                <w:sz w:val="21"/>
              </w:rPr>
              <w:t>  </w:t>
            </w:r>
            <w:r>
              <w:rPr>
                <w:w w:val="100"/>
                <w:sz w:val="21"/>
              </w:rPr>
              <w:t> </w:t>
            </w:r>
          </w:p>
        </w:tc>
      </w:tr>
      <w:tr>
        <w:trPr>
          <w:trHeight w:val="6538" w:hRule="atLeast"/>
        </w:trPr>
        <w:tc>
          <w:tcPr>
            <w:tcW w:w="886" w:type="dxa"/>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13"/>
              <w:rPr>
                <w:rFonts w:ascii="Microsoft JhengHei"/>
                <w:b/>
                <w:sz w:val="26"/>
              </w:rPr>
            </w:pPr>
          </w:p>
          <w:p>
            <w:pPr>
              <w:pStyle w:val="TableParagraph"/>
              <w:ind w:right="63"/>
              <w:jc w:val="right"/>
              <w:rPr>
                <w:sz w:val="21"/>
              </w:rPr>
            </w:pPr>
            <w:r>
              <w:rPr>
                <w:sz w:val="21"/>
              </w:rPr>
              <w:t>1.4.2 </w:t>
            </w:r>
          </w:p>
        </w:tc>
        <w:tc>
          <w:tcPr>
            <w:tcW w:w="3253" w:type="dxa"/>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13"/>
              <w:rPr>
                <w:rFonts w:ascii="Microsoft JhengHei"/>
                <w:b/>
                <w:sz w:val="26"/>
              </w:rPr>
            </w:pPr>
          </w:p>
          <w:p>
            <w:pPr>
              <w:pStyle w:val="TableParagraph"/>
              <w:ind w:left="107"/>
              <w:rPr>
                <w:sz w:val="21"/>
              </w:rPr>
            </w:pPr>
            <w:r>
              <w:rPr>
                <w:sz w:val="21"/>
              </w:rPr>
              <w:t>是否接受联合体投标 </w:t>
            </w:r>
          </w:p>
        </w:tc>
        <w:tc>
          <w:tcPr>
            <w:tcW w:w="4749" w:type="dxa"/>
          </w:tcPr>
          <w:p>
            <w:pPr>
              <w:pStyle w:val="TableParagraph"/>
              <w:spacing w:before="1"/>
              <w:ind w:left="106"/>
              <w:rPr>
                <w:sz w:val="21"/>
              </w:rPr>
            </w:pPr>
            <w:r>
              <w:rPr>
                <w:sz w:val="21"/>
              </w:rPr>
              <w:t>接受。 </w:t>
            </w:r>
          </w:p>
          <w:p>
            <w:pPr>
              <w:pStyle w:val="TableParagraph"/>
              <w:spacing w:before="141"/>
              <w:ind w:left="106"/>
              <w:rPr>
                <w:sz w:val="21"/>
              </w:rPr>
            </w:pPr>
            <w:r>
              <w:rPr>
                <w:sz w:val="21"/>
              </w:rPr>
              <w:t>联合体应按项目情况采取以下两种模式之一： </w:t>
            </w:r>
          </w:p>
          <w:p>
            <w:pPr>
              <w:pStyle w:val="TableParagraph"/>
              <w:spacing w:line="364" w:lineRule="auto" w:before="139"/>
              <w:ind w:left="106" w:right="95"/>
              <w:jc w:val="both"/>
              <w:rPr>
                <w:sz w:val="21"/>
              </w:rPr>
            </w:pPr>
            <w:r>
              <w:rPr>
                <w:sz w:val="21"/>
              </w:rPr>
              <w:t>（1）1+1+N</w:t>
            </w:r>
            <w:r>
              <w:rPr>
                <w:spacing w:val="-10"/>
                <w:sz w:val="21"/>
              </w:rPr>
              <w:t> 模式：第一个 </w:t>
            </w:r>
            <w:r>
              <w:rPr>
                <w:sz w:val="21"/>
              </w:rPr>
              <w:t>1</w:t>
            </w:r>
            <w:r>
              <w:rPr>
                <w:spacing w:val="-6"/>
                <w:sz w:val="21"/>
              </w:rPr>
              <w:t> 为联合体主办单位， </w:t>
            </w:r>
            <w:r>
              <w:rPr>
                <w:spacing w:val="-2"/>
                <w:sz w:val="21"/>
              </w:rPr>
              <w:t>第二个 </w:t>
            </w:r>
            <w:r>
              <w:rPr>
                <w:sz w:val="21"/>
              </w:rPr>
              <w:t>1</w:t>
            </w:r>
            <w:r>
              <w:rPr>
                <w:spacing w:val="-3"/>
                <w:sz w:val="21"/>
              </w:rPr>
              <w:t> 为联合体主办单位控股且在南宁市注册</w:t>
            </w:r>
            <w:r>
              <w:rPr>
                <w:spacing w:val="-5"/>
                <w:sz w:val="21"/>
              </w:rPr>
              <w:t>具备法人资格的下属公司，</w:t>
            </w:r>
            <w:r>
              <w:rPr>
                <w:spacing w:val="-18"/>
                <w:sz w:val="21"/>
              </w:rPr>
              <w:t>N</w:t>
            </w:r>
            <w:r>
              <w:rPr>
                <w:spacing w:val="-7"/>
                <w:sz w:val="21"/>
              </w:rPr>
              <w:t> 为联合体主办单位控</w:t>
            </w:r>
            <w:r>
              <w:rPr>
                <w:spacing w:val="3"/>
                <w:sz w:val="21"/>
              </w:rPr>
              <w:t>股的具备法人资格的下属施工企业或注册地在南</w:t>
            </w:r>
            <w:r>
              <w:rPr>
                <w:spacing w:val="-3"/>
                <w:sz w:val="21"/>
              </w:rPr>
              <w:t>宁市的施工企业。</w:t>
            </w:r>
            <w:r>
              <w:rPr>
                <w:sz w:val="21"/>
              </w:rPr>
              <w:t> </w:t>
            </w:r>
          </w:p>
          <w:p>
            <w:pPr>
              <w:pStyle w:val="TableParagraph"/>
              <w:spacing w:line="364" w:lineRule="auto"/>
              <w:ind w:left="106" w:right="6"/>
              <w:jc w:val="both"/>
              <w:rPr>
                <w:sz w:val="21"/>
              </w:rPr>
            </w:pPr>
            <w:r>
              <w:rPr>
                <w:w w:val="100"/>
                <w:sz w:val="21"/>
              </w:rPr>
              <w:t>（2</w:t>
            </w:r>
            <w:r>
              <w:rPr>
                <w:spacing w:val="-3"/>
                <w:w w:val="100"/>
                <w:sz w:val="21"/>
              </w:rPr>
              <w:t>）</w:t>
            </w:r>
            <w:r>
              <w:rPr>
                <w:w w:val="100"/>
                <w:sz w:val="21"/>
              </w:rPr>
              <w:t>１+N</w:t>
            </w:r>
            <w:r>
              <w:rPr>
                <w:sz w:val="21"/>
              </w:rPr>
              <w:t> </w:t>
            </w:r>
            <w:r>
              <w:rPr>
                <w:spacing w:val="-1"/>
                <w:w w:val="100"/>
                <w:sz w:val="21"/>
              </w:rPr>
              <w:t>模式：</w:t>
            </w:r>
            <w:r>
              <w:rPr>
                <w:spacing w:val="-159"/>
                <w:w w:val="100"/>
                <w:sz w:val="21"/>
              </w:rPr>
              <w:t>○</w:t>
            </w:r>
            <w:r>
              <w:rPr>
                <w:w w:val="100"/>
                <w:sz w:val="21"/>
              </w:rPr>
              <w:t>1</w:t>
            </w:r>
            <w:r>
              <w:rPr>
                <w:spacing w:val="-53"/>
                <w:sz w:val="21"/>
              </w:rPr>
              <w:t> </w:t>
            </w:r>
            <w:r>
              <w:rPr>
                <w:spacing w:val="-3"/>
                <w:w w:val="100"/>
                <w:sz w:val="21"/>
              </w:rPr>
              <w:t>１为联合体主办单位</w:t>
            </w:r>
            <w:r>
              <w:rPr>
                <w:w w:val="100"/>
                <w:sz w:val="21"/>
              </w:rPr>
              <w:t>，N</w:t>
            </w:r>
            <w:r>
              <w:rPr>
                <w:sz w:val="21"/>
              </w:rPr>
              <w:t> </w:t>
            </w:r>
            <w:r>
              <w:rPr>
                <w:w w:val="100"/>
                <w:sz w:val="21"/>
              </w:rPr>
              <w:t>为联</w:t>
            </w:r>
            <w:r>
              <w:rPr>
                <w:spacing w:val="3"/>
                <w:sz w:val="21"/>
              </w:rPr>
              <w:t>合体主办单位控股且在南宁市注册具备法人资格</w:t>
            </w:r>
            <w:r>
              <w:rPr>
                <w:spacing w:val="-3"/>
                <w:sz w:val="21"/>
              </w:rPr>
              <w:t>的下属施工企业或者注册地在南宁市的施工企业；</w:t>
            </w:r>
          </w:p>
          <w:p>
            <w:pPr>
              <w:pStyle w:val="TableParagraph"/>
              <w:spacing w:line="367" w:lineRule="auto"/>
              <w:ind w:left="106" w:right="93"/>
              <w:jc w:val="both"/>
              <w:rPr>
                <w:sz w:val="21"/>
              </w:rPr>
            </w:pPr>
            <w:r>
              <w:rPr>
                <w:spacing w:val="-159"/>
                <w:w w:val="100"/>
                <w:sz w:val="21"/>
              </w:rPr>
              <w:t>○</w:t>
            </w:r>
            <w:r>
              <w:rPr>
                <w:w w:val="100"/>
                <w:sz w:val="21"/>
              </w:rPr>
              <w:t>2</w:t>
            </w:r>
            <w:r>
              <w:rPr>
                <w:spacing w:val="-53"/>
                <w:sz w:val="21"/>
              </w:rPr>
              <w:t> </w:t>
            </w:r>
            <w:r>
              <w:rPr>
                <w:spacing w:val="-5"/>
                <w:w w:val="100"/>
                <w:sz w:val="21"/>
              </w:rPr>
              <w:t>１为注册地在南宁市的联合体主办单位，</w:t>
            </w:r>
            <w:r>
              <w:rPr>
                <w:w w:val="100"/>
                <w:sz w:val="21"/>
              </w:rPr>
              <w:t>N</w:t>
            </w:r>
            <w:r>
              <w:rPr>
                <w:spacing w:val="-55"/>
                <w:sz w:val="21"/>
              </w:rPr>
              <w:t> </w:t>
            </w:r>
            <w:r>
              <w:rPr>
                <w:w w:val="100"/>
                <w:sz w:val="21"/>
              </w:rPr>
              <w:t>为施</w:t>
            </w:r>
            <w:r>
              <w:rPr>
                <w:spacing w:val="-2"/>
                <w:sz w:val="21"/>
              </w:rPr>
              <w:t>工企业。</w:t>
            </w:r>
            <w:r>
              <w:rPr>
                <w:sz w:val="21"/>
              </w:rPr>
              <w:t> </w:t>
            </w:r>
          </w:p>
          <w:p>
            <w:pPr>
              <w:pStyle w:val="TableParagraph"/>
              <w:spacing w:line="364" w:lineRule="auto"/>
              <w:ind w:left="106" w:right="95"/>
              <w:jc w:val="both"/>
              <w:rPr>
                <w:sz w:val="21"/>
              </w:rPr>
            </w:pPr>
            <w:r>
              <w:rPr>
                <w:spacing w:val="-11"/>
                <w:sz w:val="21"/>
              </w:rPr>
              <w:t>投标人为联合体的，项目经理必须为联合体主办单</w:t>
            </w:r>
            <w:r>
              <w:rPr>
                <w:spacing w:val="-75"/>
                <w:sz w:val="21"/>
              </w:rPr>
              <w:t>位</w:t>
            </w:r>
            <w:r>
              <w:rPr>
                <w:spacing w:val="-3"/>
                <w:sz w:val="21"/>
              </w:rPr>
              <w:t>（或牵头人</w:t>
            </w:r>
            <w:r>
              <w:rPr>
                <w:spacing w:val="-75"/>
                <w:sz w:val="21"/>
              </w:rPr>
              <w:t>）</w:t>
            </w:r>
            <w:r>
              <w:rPr>
                <w:spacing w:val="-15"/>
                <w:sz w:val="21"/>
              </w:rPr>
              <w:t>人员，安全员为联合体主办单位</w:t>
            </w:r>
            <w:r>
              <w:rPr>
                <w:spacing w:val="-3"/>
                <w:sz w:val="21"/>
              </w:rPr>
              <w:t>（</w:t>
            </w:r>
            <w:r>
              <w:rPr>
                <w:sz w:val="21"/>
              </w:rPr>
              <w:t>或</w:t>
            </w:r>
            <w:r>
              <w:rPr>
                <w:spacing w:val="-1"/>
                <w:sz w:val="21"/>
              </w:rPr>
              <w:t>牵头人</w:t>
            </w:r>
            <w:r>
              <w:rPr>
                <w:spacing w:val="-92"/>
                <w:sz w:val="21"/>
              </w:rPr>
              <w:t>）</w:t>
            </w:r>
            <w:r>
              <w:rPr>
                <w:spacing w:val="-3"/>
                <w:sz w:val="21"/>
              </w:rPr>
              <w:t>人员或由联合体双方根据工程任务量合理</w:t>
            </w:r>
          </w:p>
          <w:p>
            <w:pPr>
              <w:pStyle w:val="TableParagraph"/>
              <w:spacing w:line="269" w:lineRule="exact"/>
              <w:ind w:left="106"/>
              <w:rPr>
                <w:sz w:val="21"/>
              </w:rPr>
            </w:pPr>
            <w:r>
              <w:rPr>
                <w:sz w:val="21"/>
              </w:rPr>
              <w:t>配置。 </w:t>
            </w:r>
          </w:p>
        </w:tc>
      </w:tr>
      <w:tr>
        <w:trPr>
          <w:trHeight w:val="508" w:hRule="atLeast"/>
        </w:trPr>
        <w:tc>
          <w:tcPr>
            <w:tcW w:w="886" w:type="dxa"/>
          </w:tcPr>
          <w:p>
            <w:pPr>
              <w:pStyle w:val="TableParagraph"/>
              <w:spacing w:before="51"/>
              <w:ind w:right="63"/>
              <w:jc w:val="right"/>
              <w:rPr>
                <w:sz w:val="21"/>
              </w:rPr>
            </w:pPr>
            <w:r>
              <w:rPr>
                <w:sz w:val="21"/>
              </w:rPr>
              <w:t>1.9.1 </w:t>
            </w:r>
          </w:p>
        </w:tc>
        <w:tc>
          <w:tcPr>
            <w:tcW w:w="3253" w:type="dxa"/>
          </w:tcPr>
          <w:p>
            <w:pPr>
              <w:pStyle w:val="TableParagraph"/>
              <w:spacing w:before="51"/>
              <w:ind w:left="107"/>
              <w:rPr>
                <w:sz w:val="21"/>
              </w:rPr>
            </w:pPr>
            <w:r>
              <w:rPr>
                <w:sz w:val="21"/>
              </w:rPr>
              <w:t>踏勘现场 </w:t>
            </w:r>
          </w:p>
        </w:tc>
        <w:tc>
          <w:tcPr>
            <w:tcW w:w="4749" w:type="dxa"/>
          </w:tcPr>
          <w:p>
            <w:pPr>
              <w:pStyle w:val="TableParagraph"/>
              <w:spacing w:before="51"/>
              <w:ind w:left="106"/>
              <w:rPr>
                <w:sz w:val="21"/>
              </w:rPr>
            </w:pPr>
            <w:r>
              <w:rPr>
                <w:sz w:val="21"/>
              </w:rPr>
              <w:t>不组织 </w:t>
            </w:r>
          </w:p>
        </w:tc>
      </w:tr>
      <w:tr>
        <w:trPr>
          <w:trHeight w:val="510" w:hRule="atLeast"/>
        </w:trPr>
        <w:tc>
          <w:tcPr>
            <w:tcW w:w="886" w:type="dxa"/>
          </w:tcPr>
          <w:p>
            <w:pPr>
              <w:pStyle w:val="TableParagraph"/>
              <w:spacing w:before="54"/>
              <w:ind w:right="115"/>
              <w:jc w:val="right"/>
              <w:rPr>
                <w:sz w:val="21"/>
              </w:rPr>
            </w:pPr>
            <w:r>
              <w:rPr>
                <w:sz w:val="21"/>
              </w:rPr>
              <w:t>1.10 </w:t>
            </w:r>
          </w:p>
        </w:tc>
        <w:tc>
          <w:tcPr>
            <w:tcW w:w="3253" w:type="dxa"/>
          </w:tcPr>
          <w:p>
            <w:pPr>
              <w:pStyle w:val="TableParagraph"/>
              <w:spacing w:before="54"/>
              <w:ind w:left="107"/>
              <w:rPr>
                <w:sz w:val="21"/>
              </w:rPr>
            </w:pPr>
            <w:r>
              <w:rPr>
                <w:sz w:val="21"/>
              </w:rPr>
              <w:t>投标预备会 </w:t>
            </w:r>
          </w:p>
        </w:tc>
        <w:tc>
          <w:tcPr>
            <w:tcW w:w="4749" w:type="dxa"/>
          </w:tcPr>
          <w:p>
            <w:pPr>
              <w:pStyle w:val="TableParagraph"/>
              <w:spacing w:before="54"/>
              <w:ind w:left="106"/>
              <w:rPr>
                <w:sz w:val="21"/>
              </w:rPr>
            </w:pPr>
            <w:r>
              <w:rPr>
                <w:sz w:val="21"/>
              </w:rPr>
              <w:t>不召开 </w:t>
            </w:r>
          </w:p>
        </w:tc>
      </w:tr>
    </w:tbl>
    <w:p>
      <w:pPr>
        <w:spacing w:after="0"/>
        <w:rPr>
          <w:sz w:val="21"/>
        </w:rPr>
        <w:sectPr>
          <w:pgSz w:w="11910" w:h="16850"/>
          <w:pgMar w:header="0" w:footer="779" w:top="1440" w:bottom="960" w:left="1120" w:right="280"/>
        </w:sectPr>
      </w:pPr>
    </w:p>
    <w:tbl>
      <w:tblPr>
        <w:tblW w:w="0" w:type="auto"/>
        <w:jc w:val="left"/>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6"/>
        <w:gridCol w:w="3253"/>
        <w:gridCol w:w="4749"/>
      </w:tblGrid>
      <w:tr>
        <w:trPr>
          <w:trHeight w:val="470" w:hRule="atLeast"/>
        </w:trPr>
        <w:tc>
          <w:tcPr>
            <w:tcW w:w="886" w:type="dxa"/>
            <w:shd w:val="clear" w:color="auto" w:fill="E6E6E6"/>
          </w:tcPr>
          <w:p>
            <w:pPr>
              <w:pStyle w:val="TableParagraph"/>
              <w:spacing w:line="349" w:lineRule="exact"/>
              <w:ind w:right="10"/>
              <w:jc w:val="right"/>
              <w:rPr>
                <w:rFonts w:ascii="Microsoft JhengHei" w:eastAsia="Microsoft JhengHei" w:hint="eastAsia"/>
                <w:b/>
                <w:sz w:val="21"/>
              </w:rPr>
            </w:pPr>
            <w:r>
              <w:rPr>
                <w:rFonts w:ascii="Microsoft JhengHei" w:eastAsia="Microsoft JhengHei" w:hint="eastAsia"/>
                <w:b/>
                <w:sz w:val="21"/>
                <w:shd w:fill="FFFFFF" w:color="auto" w:val="clear"/>
              </w:rPr>
              <w:t>条款号</w:t>
            </w:r>
            <w:r>
              <w:rPr>
                <w:rFonts w:ascii="Microsoft JhengHei" w:eastAsia="Microsoft JhengHei" w:hint="eastAsia"/>
                <w:b/>
                <w:w w:val="201"/>
                <w:sz w:val="21"/>
              </w:rPr>
              <w:t> </w:t>
            </w:r>
          </w:p>
        </w:tc>
        <w:tc>
          <w:tcPr>
            <w:tcW w:w="3253" w:type="dxa"/>
            <w:shd w:val="clear" w:color="auto" w:fill="E6E6E6"/>
          </w:tcPr>
          <w:p>
            <w:pPr>
              <w:pStyle w:val="TableParagraph"/>
              <w:spacing w:line="349" w:lineRule="exact"/>
              <w:ind w:left="887"/>
              <w:rPr>
                <w:rFonts w:ascii="Microsoft JhengHei" w:eastAsia="Microsoft JhengHei" w:hint="eastAsia"/>
                <w:b/>
                <w:sz w:val="21"/>
              </w:rPr>
            </w:pPr>
            <w:r>
              <w:rPr>
                <w:rFonts w:ascii="Microsoft JhengHei" w:eastAsia="Microsoft JhengHei" w:hint="eastAsia"/>
                <w:b/>
                <w:sz w:val="21"/>
                <w:shd w:fill="FFFFFF" w:color="auto" w:val="clear"/>
              </w:rPr>
              <w:t>条 款 名 称</w:t>
            </w:r>
            <w:r>
              <w:rPr>
                <w:rFonts w:ascii="Microsoft JhengHei" w:eastAsia="Microsoft JhengHei" w:hint="eastAsia"/>
                <w:b/>
                <w:w w:val="201"/>
                <w:sz w:val="21"/>
              </w:rPr>
              <w:t> </w:t>
            </w:r>
          </w:p>
        </w:tc>
        <w:tc>
          <w:tcPr>
            <w:tcW w:w="4749" w:type="dxa"/>
            <w:shd w:val="clear" w:color="auto" w:fill="E6E6E6"/>
          </w:tcPr>
          <w:p>
            <w:pPr>
              <w:pStyle w:val="TableParagraph"/>
              <w:spacing w:line="349" w:lineRule="exact"/>
              <w:ind w:left="1633"/>
              <w:rPr>
                <w:rFonts w:ascii="Microsoft JhengHei" w:eastAsia="Microsoft JhengHei" w:hint="eastAsia"/>
                <w:b/>
                <w:sz w:val="21"/>
              </w:rPr>
            </w:pPr>
            <w:r>
              <w:rPr>
                <w:rFonts w:ascii="Microsoft JhengHei" w:eastAsia="Microsoft JhengHei" w:hint="eastAsia"/>
                <w:b/>
                <w:sz w:val="21"/>
                <w:shd w:fill="FFFFFF" w:color="auto" w:val="clear"/>
              </w:rPr>
              <w:t>编 列 内 容</w:t>
            </w:r>
            <w:r>
              <w:rPr>
                <w:rFonts w:ascii="Microsoft JhengHei" w:eastAsia="Microsoft JhengHei" w:hint="eastAsia"/>
                <w:b/>
                <w:w w:val="201"/>
                <w:sz w:val="21"/>
              </w:rPr>
              <w:t> </w:t>
            </w:r>
          </w:p>
        </w:tc>
      </w:tr>
      <w:tr>
        <w:trPr>
          <w:trHeight w:val="3597" w:hRule="atLeast"/>
        </w:trPr>
        <w:tc>
          <w:tcPr>
            <w:tcW w:w="886" w:type="dxa"/>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13"/>
              <w:rPr>
                <w:rFonts w:ascii="Microsoft JhengHei"/>
                <w:b/>
                <w:sz w:val="26"/>
              </w:rPr>
            </w:pPr>
          </w:p>
          <w:p>
            <w:pPr>
              <w:pStyle w:val="TableParagraph"/>
              <w:ind w:right="115"/>
              <w:jc w:val="right"/>
              <w:rPr>
                <w:sz w:val="21"/>
              </w:rPr>
            </w:pPr>
            <w:r>
              <w:rPr>
                <w:sz w:val="21"/>
              </w:rPr>
              <w:t>1.11 </w:t>
            </w:r>
          </w:p>
        </w:tc>
        <w:tc>
          <w:tcPr>
            <w:tcW w:w="3253" w:type="dxa"/>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13"/>
              <w:rPr>
                <w:rFonts w:ascii="Microsoft JhengHei"/>
                <w:b/>
                <w:sz w:val="26"/>
              </w:rPr>
            </w:pPr>
          </w:p>
          <w:p>
            <w:pPr>
              <w:pStyle w:val="TableParagraph"/>
              <w:ind w:left="107"/>
              <w:rPr>
                <w:sz w:val="21"/>
              </w:rPr>
            </w:pPr>
            <w:r>
              <w:rPr>
                <w:sz w:val="21"/>
              </w:rPr>
              <w:t>分 包 </w:t>
            </w:r>
          </w:p>
        </w:tc>
        <w:tc>
          <w:tcPr>
            <w:tcW w:w="4749" w:type="dxa"/>
          </w:tcPr>
          <w:p>
            <w:pPr>
              <w:pStyle w:val="TableParagraph"/>
              <w:spacing w:before="4"/>
              <w:rPr>
                <w:rFonts w:ascii="Microsoft JhengHei"/>
                <w:b/>
                <w:sz w:val="19"/>
              </w:rPr>
            </w:pPr>
          </w:p>
          <w:p>
            <w:pPr>
              <w:pStyle w:val="TableParagraph"/>
              <w:ind w:left="106"/>
              <w:rPr>
                <w:sz w:val="21"/>
              </w:rPr>
            </w:pPr>
            <w:r>
              <w:rPr>
                <w:rFonts w:ascii="Segoe UI Symbol" w:hAnsi="Segoe UI Symbol" w:eastAsia="Segoe UI Symbol"/>
                <w:color w:val="0000FF"/>
                <w:sz w:val="21"/>
              </w:rPr>
              <w:t>☑ </w:t>
            </w:r>
            <w:r>
              <w:rPr>
                <w:sz w:val="21"/>
              </w:rPr>
              <w:t>不允许 </w:t>
            </w:r>
          </w:p>
          <w:p>
            <w:pPr>
              <w:pStyle w:val="TableParagraph"/>
              <w:spacing w:before="139"/>
              <w:ind w:left="106"/>
              <w:rPr>
                <w:sz w:val="21"/>
              </w:rPr>
            </w:pPr>
            <w:r>
              <w:rPr>
                <w:color w:val="0000FF"/>
                <w:sz w:val="21"/>
              </w:rPr>
              <w:t>□</w:t>
            </w:r>
            <w:r>
              <w:rPr>
                <w:sz w:val="21"/>
              </w:rPr>
              <w:t>允许，分包内容要求： </w:t>
            </w:r>
          </w:p>
          <w:p>
            <w:pPr>
              <w:pStyle w:val="TableParagraph"/>
              <w:spacing w:before="139"/>
              <w:ind w:left="106"/>
              <w:rPr>
                <w:sz w:val="21"/>
              </w:rPr>
            </w:pPr>
            <w:r>
              <w:rPr>
                <w:color w:val="0000FF"/>
                <w:w w:val="100"/>
                <w:sz w:val="21"/>
              </w:rPr>
              <w:t>  </w:t>
            </w:r>
            <w:r>
              <w:rPr>
                <w:w w:val="100"/>
                <w:sz w:val="21"/>
              </w:rPr>
              <w:t> </w:t>
            </w:r>
          </w:p>
          <w:p>
            <w:pPr>
              <w:pStyle w:val="TableParagraph"/>
              <w:spacing w:before="139"/>
              <w:ind w:left="106"/>
              <w:rPr>
                <w:sz w:val="21"/>
              </w:rPr>
            </w:pPr>
            <w:r>
              <w:rPr>
                <w:sz w:val="21"/>
              </w:rPr>
              <w:t>分包金额要求： </w:t>
            </w:r>
          </w:p>
          <w:p>
            <w:pPr>
              <w:pStyle w:val="TableParagraph"/>
              <w:spacing w:before="141"/>
              <w:ind w:left="106"/>
              <w:rPr>
                <w:sz w:val="21"/>
              </w:rPr>
            </w:pPr>
            <w:r>
              <w:rPr>
                <w:color w:val="0000FF"/>
                <w:w w:val="100"/>
                <w:sz w:val="21"/>
              </w:rPr>
              <w:t>  </w:t>
            </w:r>
            <w:r>
              <w:rPr>
                <w:w w:val="100"/>
                <w:sz w:val="21"/>
              </w:rPr>
              <w:t> </w:t>
            </w:r>
          </w:p>
          <w:p>
            <w:pPr>
              <w:pStyle w:val="TableParagraph"/>
              <w:spacing w:before="139"/>
              <w:ind w:left="106"/>
              <w:rPr>
                <w:sz w:val="21"/>
              </w:rPr>
            </w:pPr>
            <w:r>
              <w:rPr>
                <w:sz w:val="21"/>
              </w:rPr>
              <w:t>接受分包的第三人资质要求： </w:t>
            </w:r>
          </w:p>
          <w:p>
            <w:pPr>
              <w:pStyle w:val="TableParagraph"/>
              <w:spacing w:before="139"/>
              <w:ind w:left="106"/>
              <w:rPr>
                <w:sz w:val="21"/>
              </w:rPr>
            </w:pPr>
            <w:r>
              <w:rPr>
                <w:color w:val="0000FF"/>
                <w:w w:val="100"/>
                <w:sz w:val="21"/>
              </w:rPr>
              <w:t>  </w:t>
            </w:r>
            <w:r>
              <w:rPr>
                <w:w w:val="100"/>
                <w:sz w:val="21"/>
              </w:rPr>
              <w:t> </w:t>
            </w:r>
          </w:p>
        </w:tc>
      </w:tr>
      <w:tr>
        <w:trPr>
          <w:trHeight w:val="489" w:hRule="atLeast"/>
        </w:trPr>
        <w:tc>
          <w:tcPr>
            <w:tcW w:w="886" w:type="dxa"/>
          </w:tcPr>
          <w:p>
            <w:pPr>
              <w:pStyle w:val="TableParagraph"/>
              <w:spacing w:before="42"/>
              <w:ind w:right="115"/>
              <w:jc w:val="right"/>
              <w:rPr>
                <w:sz w:val="21"/>
              </w:rPr>
            </w:pPr>
            <w:r>
              <w:rPr>
                <w:sz w:val="21"/>
              </w:rPr>
              <w:t>1.12 </w:t>
            </w:r>
          </w:p>
        </w:tc>
        <w:tc>
          <w:tcPr>
            <w:tcW w:w="3253" w:type="dxa"/>
          </w:tcPr>
          <w:p>
            <w:pPr>
              <w:pStyle w:val="TableParagraph"/>
              <w:spacing w:before="42"/>
              <w:ind w:left="107"/>
              <w:rPr>
                <w:sz w:val="21"/>
              </w:rPr>
            </w:pPr>
            <w:r>
              <w:rPr>
                <w:sz w:val="21"/>
              </w:rPr>
              <w:t>偏 离 </w:t>
            </w:r>
          </w:p>
        </w:tc>
        <w:tc>
          <w:tcPr>
            <w:tcW w:w="4749" w:type="dxa"/>
          </w:tcPr>
          <w:p>
            <w:pPr>
              <w:pStyle w:val="TableParagraph"/>
              <w:spacing w:before="42"/>
              <w:ind w:left="106"/>
              <w:rPr>
                <w:sz w:val="21"/>
              </w:rPr>
            </w:pPr>
            <w:r>
              <w:rPr>
                <w:sz w:val="21"/>
              </w:rPr>
              <w:t>不允许 </w:t>
            </w:r>
          </w:p>
        </w:tc>
      </w:tr>
      <w:tr>
        <w:trPr>
          <w:trHeight w:val="815" w:hRule="atLeast"/>
        </w:trPr>
        <w:tc>
          <w:tcPr>
            <w:tcW w:w="886" w:type="dxa"/>
          </w:tcPr>
          <w:p>
            <w:pPr>
              <w:pStyle w:val="TableParagraph"/>
              <w:spacing w:before="1"/>
              <w:ind w:left="179"/>
              <w:rPr>
                <w:sz w:val="21"/>
              </w:rPr>
            </w:pPr>
            <w:r>
              <w:rPr>
                <w:sz w:val="21"/>
              </w:rPr>
              <w:t>2.1.1</w:t>
            </w:r>
          </w:p>
          <w:p>
            <w:pPr>
              <w:pStyle w:val="TableParagraph"/>
              <w:spacing w:before="139"/>
              <w:ind w:left="127"/>
              <w:rPr>
                <w:sz w:val="21"/>
              </w:rPr>
            </w:pPr>
            <w:r>
              <w:rPr>
                <w:sz w:val="21"/>
              </w:rPr>
              <w:t>（10） </w:t>
            </w:r>
          </w:p>
        </w:tc>
        <w:tc>
          <w:tcPr>
            <w:tcW w:w="3253" w:type="dxa"/>
          </w:tcPr>
          <w:p>
            <w:pPr>
              <w:pStyle w:val="TableParagraph"/>
              <w:spacing w:before="14"/>
              <w:rPr>
                <w:rFonts w:ascii="Microsoft JhengHei"/>
                <w:b/>
                <w:sz w:val="14"/>
              </w:rPr>
            </w:pPr>
          </w:p>
          <w:p>
            <w:pPr>
              <w:pStyle w:val="TableParagraph"/>
              <w:ind w:left="107"/>
              <w:rPr>
                <w:sz w:val="21"/>
              </w:rPr>
            </w:pPr>
            <w:r>
              <w:rPr>
                <w:sz w:val="21"/>
              </w:rPr>
              <w:t>构成招标文件的其他材料 </w:t>
            </w:r>
          </w:p>
        </w:tc>
        <w:tc>
          <w:tcPr>
            <w:tcW w:w="4749" w:type="dxa"/>
          </w:tcPr>
          <w:p>
            <w:pPr>
              <w:pStyle w:val="TableParagraph"/>
              <w:spacing w:before="2"/>
              <w:rPr>
                <w:rFonts w:ascii="Microsoft JhengHei"/>
                <w:b/>
                <w:sz w:val="11"/>
              </w:rPr>
            </w:pPr>
          </w:p>
          <w:p>
            <w:pPr>
              <w:pStyle w:val="TableParagraph"/>
              <w:ind w:left="106"/>
              <w:rPr>
                <w:sz w:val="21"/>
              </w:rPr>
            </w:pPr>
            <w:r>
              <w:rPr>
                <w:sz w:val="21"/>
              </w:rPr>
              <w:t>招标文件的澄清、修改、补充通知等内容 </w:t>
            </w:r>
          </w:p>
        </w:tc>
      </w:tr>
      <w:tr>
        <w:trPr>
          <w:trHeight w:val="1634" w:hRule="atLeast"/>
        </w:trPr>
        <w:tc>
          <w:tcPr>
            <w:tcW w:w="886" w:type="dxa"/>
          </w:tcPr>
          <w:p>
            <w:pPr>
              <w:pStyle w:val="TableParagraph"/>
              <w:rPr>
                <w:rFonts w:ascii="Microsoft JhengHei"/>
                <w:b/>
                <w:sz w:val="20"/>
              </w:rPr>
            </w:pPr>
          </w:p>
          <w:p>
            <w:pPr>
              <w:pStyle w:val="TableParagraph"/>
              <w:spacing w:before="8"/>
              <w:rPr>
                <w:rFonts w:ascii="Microsoft JhengHei"/>
                <w:b/>
                <w:sz w:val="13"/>
              </w:rPr>
            </w:pPr>
          </w:p>
          <w:p>
            <w:pPr>
              <w:pStyle w:val="TableParagraph"/>
              <w:ind w:right="63"/>
              <w:jc w:val="right"/>
              <w:rPr>
                <w:sz w:val="21"/>
              </w:rPr>
            </w:pPr>
            <w:r>
              <w:rPr>
                <w:sz w:val="21"/>
              </w:rPr>
              <w:t>2.2.1 </w:t>
            </w:r>
          </w:p>
        </w:tc>
        <w:tc>
          <w:tcPr>
            <w:tcW w:w="3253" w:type="dxa"/>
          </w:tcPr>
          <w:p>
            <w:pPr>
              <w:pStyle w:val="TableParagraph"/>
              <w:spacing w:before="6"/>
              <w:rPr>
                <w:rFonts w:ascii="Microsoft JhengHei"/>
                <w:b/>
                <w:sz w:val="22"/>
              </w:rPr>
            </w:pPr>
          </w:p>
          <w:p>
            <w:pPr>
              <w:pStyle w:val="TableParagraph"/>
              <w:spacing w:line="364" w:lineRule="auto" w:before="1"/>
              <w:ind w:left="107" w:right="93"/>
              <w:rPr>
                <w:sz w:val="21"/>
              </w:rPr>
            </w:pPr>
            <w:r>
              <w:rPr>
                <w:sz w:val="21"/>
              </w:rPr>
              <w:t>投标人对招标文件提出异议的截止时间 </w:t>
            </w:r>
          </w:p>
        </w:tc>
        <w:tc>
          <w:tcPr>
            <w:tcW w:w="4749" w:type="dxa"/>
          </w:tcPr>
          <w:p>
            <w:pPr>
              <w:pStyle w:val="TableParagraph"/>
              <w:spacing w:line="364" w:lineRule="auto" w:before="3"/>
              <w:ind w:left="106" w:right="95"/>
              <w:jc w:val="both"/>
              <w:rPr>
                <w:sz w:val="21"/>
              </w:rPr>
            </w:pPr>
            <w:r>
              <w:rPr>
                <w:spacing w:val="-7"/>
                <w:sz w:val="21"/>
              </w:rPr>
              <w:t>投标截止时间 </w:t>
            </w:r>
            <w:r>
              <w:rPr>
                <w:color w:val="0000FF"/>
                <w:sz w:val="21"/>
              </w:rPr>
              <w:t>10 </w:t>
            </w:r>
            <w:r>
              <w:rPr>
                <w:spacing w:val="-4"/>
                <w:sz w:val="21"/>
              </w:rPr>
              <w:t>日前。投标人不在规定期限内提</w:t>
            </w:r>
            <w:r>
              <w:rPr>
                <w:spacing w:val="-12"/>
                <w:sz w:val="21"/>
              </w:rPr>
              <w:t>出，招标人有权不予答复，或答复后投标截止时间</w:t>
            </w:r>
            <w:r>
              <w:rPr>
                <w:spacing w:val="-3"/>
                <w:sz w:val="21"/>
              </w:rPr>
              <w:t>由招标人确定是否顺延。</w:t>
            </w:r>
            <w:r>
              <w:rPr>
                <w:sz w:val="21"/>
              </w:rPr>
              <w:t> </w:t>
            </w:r>
          </w:p>
          <w:p>
            <w:pPr>
              <w:pStyle w:val="TableParagraph"/>
              <w:spacing w:line="266" w:lineRule="exact"/>
              <w:ind w:left="106" w:right="-15"/>
              <w:rPr>
                <w:sz w:val="21"/>
              </w:rPr>
            </w:pPr>
            <w:r>
              <w:rPr>
                <w:spacing w:val="-8"/>
                <w:sz w:val="21"/>
              </w:rPr>
              <w:t>澄清和答复须通过南宁市公共资源交易系统进行。</w:t>
            </w:r>
            <w:r>
              <w:rPr>
                <w:sz w:val="21"/>
              </w:rPr>
              <w:t> </w:t>
            </w:r>
          </w:p>
        </w:tc>
      </w:tr>
      <w:tr>
        <w:trPr>
          <w:trHeight w:val="455" w:hRule="atLeast"/>
        </w:trPr>
        <w:tc>
          <w:tcPr>
            <w:tcW w:w="886" w:type="dxa"/>
            <w:vMerge w:val="restart"/>
          </w:tcPr>
          <w:p>
            <w:pPr>
              <w:pStyle w:val="TableParagraph"/>
              <w:spacing w:before="13"/>
              <w:rPr>
                <w:rFonts w:ascii="Microsoft JhengHei"/>
                <w:b/>
                <w:sz w:val="12"/>
              </w:rPr>
            </w:pPr>
          </w:p>
          <w:p>
            <w:pPr>
              <w:pStyle w:val="TableParagraph"/>
              <w:ind w:left="179"/>
              <w:rPr>
                <w:sz w:val="21"/>
              </w:rPr>
            </w:pPr>
            <w:r>
              <w:rPr>
                <w:sz w:val="21"/>
              </w:rPr>
              <w:t>2.2.2 </w:t>
            </w:r>
          </w:p>
        </w:tc>
        <w:tc>
          <w:tcPr>
            <w:tcW w:w="3253" w:type="dxa"/>
          </w:tcPr>
          <w:p>
            <w:pPr>
              <w:pStyle w:val="TableParagraph"/>
              <w:spacing w:before="25"/>
              <w:ind w:left="107"/>
              <w:rPr>
                <w:sz w:val="21"/>
              </w:rPr>
            </w:pPr>
            <w:r>
              <w:rPr>
                <w:sz w:val="21"/>
              </w:rPr>
              <w:t>投标截止时间 </w:t>
            </w:r>
          </w:p>
        </w:tc>
        <w:tc>
          <w:tcPr>
            <w:tcW w:w="4749" w:type="dxa"/>
          </w:tcPr>
          <w:p>
            <w:pPr>
              <w:pStyle w:val="TableParagraph"/>
              <w:spacing w:before="25"/>
              <w:ind w:left="106"/>
              <w:rPr>
                <w:sz w:val="21"/>
              </w:rPr>
            </w:pPr>
            <w:r>
              <w:rPr>
                <w:color w:val="0000FF"/>
                <w:sz w:val="21"/>
              </w:rPr>
              <w:t>2020 年 12 月 07 日 09:30</w:t>
            </w:r>
            <w:r>
              <w:rPr>
                <w:sz w:val="21"/>
              </w:rPr>
              <w:t> </w:t>
            </w:r>
          </w:p>
        </w:tc>
      </w:tr>
      <w:tr>
        <w:trPr>
          <w:trHeight w:val="407" w:hRule="atLeast"/>
        </w:trPr>
        <w:tc>
          <w:tcPr>
            <w:tcW w:w="886" w:type="dxa"/>
            <w:vMerge/>
            <w:tcBorders>
              <w:top w:val="nil"/>
            </w:tcBorders>
          </w:tcPr>
          <w:p>
            <w:pPr>
              <w:rPr>
                <w:sz w:val="2"/>
                <w:szCs w:val="2"/>
              </w:rPr>
            </w:pPr>
          </w:p>
        </w:tc>
        <w:tc>
          <w:tcPr>
            <w:tcW w:w="3253" w:type="dxa"/>
          </w:tcPr>
          <w:p>
            <w:pPr>
              <w:pStyle w:val="TableParagraph"/>
              <w:spacing w:before="1"/>
              <w:ind w:left="107"/>
              <w:rPr>
                <w:sz w:val="21"/>
              </w:rPr>
            </w:pPr>
            <w:r>
              <w:rPr>
                <w:sz w:val="21"/>
              </w:rPr>
              <w:t>招标文件澄清发布方式 </w:t>
            </w:r>
          </w:p>
        </w:tc>
        <w:tc>
          <w:tcPr>
            <w:tcW w:w="4749" w:type="dxa"/>
          </w:tcPr>
          <w:p>
            <w:pPr>
              <w:pStyle w:val="TableParagraph"/>
              <w:spacing w:before="1"/>
              <w:ind w:left="106"/>
              <w:rPr>
                <w:sz w:val="21"/>
              </w:rPr>
            </w:pPr>
            <w:r>
              <w:rPr>
                <w:sz w:val="21"/>
              </w:rPr>
              <w:t>在发布媒介上发布 </w:t>
            </w:r>
          </w:p>
        </w:tc>
      </w:tr>
      <w:tr>
        <w:trPr>
          <w:trHeight w:val="1634" w:hRule="atLeast"/>
        </w:trPr>
        <w:tc>
          <w:tcPr>
            <w:tcW w:w="886" w:type="dxa"/>
          </w:tcPr>
          <w:p>
            <w:pPr>
              <w:pStyle w:val="TableParagraph"/>
              <w:rPr>
                <w:rFonts w:ascii="Microsoft JhengHei"/>
                <w:b/>
                <w:sz w:val="20"/>
              </w:rPr>
            </w:pPr>
          </w:p>
          <w:p>
            <w:pPr>
              <w:pStyle w:val="TableParagraph"/>
              <w:spacing w:before="8"/>
              <w:rPr>
                <w:rFonts w:ascii="Microsoft JhengHei"/>
                <w:b/>
                <w:sz w:val="13"/>
              </w:rPr>
            </w:pPr>
          </w:p>
          <w:p>
            <w:pPr>
              <w:pStyle w:val="TableParagraph"/>
              <w:ind w:right="63"/>
              <w:jc w:val="right"/>
              <w:rPr>
                <w:sz w:val="21"/>
              </w:rPr>
            </w:pPr>
            <w:r>
              <w:rPr>
                <w:sz w:val="21"/>
              </w:rPr>
              <w:t>2.2.3 </w:t>
            </w:r>
          </w:p>
        </w:tc>
        <w:tc>
          <w:tcPr>
            <w:tcW w:w="3253" w:type="dxa"/>
          </w:tcPr>
          <w:p>
            <w:pPr>
              <w:pStyle w:val="TableParagraph"/>
              <w:rPr>
                <w:rFonts w:ascii="Microsoft JhengHei"/>
                <w:b/>
                <w:sz w:val="20"/>
              </w:rPr>
            </w:pPr>
          </w:p>
          <w:p>
            <w:pPr>
              <w:pStyle w:val="TableParagraph"/>
              <w:spacing w:before="8"/>
              <w:rPr>
                <w:rFonts w:ascii="Microsoft JhengHei"/>
                <w:b/>
                <w:sz w:val="13"/>
              </w:rPr>
            </w:pPr>
          </w:p>
          <w:p>
            <w:pPr>
              <w:pStyle w:val="TableParagraph"/>
              <w:ind w:left="107"/>
              <w:rPr>
                <w:sz w:val="21"/>
              </w:rPr>
            </w:pPr>
            <w:r>
              <w:rPr>
                <w:sz w:val="21"/>
              </w:rPr>
              <w:t>投标人确认收到澄清的方式 </w:t>
            </w:r>
          </w:p>
        </w:tc>
        <w:tc>
          <w:tcPr>
            <w:tcW w:w="4749" w:type="dxa"/>
          </w:tcPr>
          <w:p>
            <w:pPr>
              <w:pStyle w:val="TableParagraph"/>
              <w:spacing w:line="364" w:lineRule="auto" w:before="1"/>
              <w:ind w:left="106" w:right="95"/>
              <w:jc w:val="both"/>
              <w:rPr>
                <w:sz w:val="21"/>
              </w:rPr>
            </w:pPr>
            <w:r>
              <w:rPr>
                <w:spacing w:val="1"/>
                <w:sz w:val="21"/>
              </w:rPr>
              <w:t>澄清文件在本章第 </w:t>
            </w:r>
            <w:r>
              <w:rPr>
                <w:sz w:val="21"/>
              </w:rPr>
              <w:t>2.2.2</w:t>
            </w:r>
            <w:r>
              <w:rPr>
                <w:spacing w:val="-3"/>
                <w:sz w:val="21"/>
              </w:rPr>
              <w:t> 款规定的网站上发布之</w:t>
            </w:r>
            <w:r>
              <w:rPr>
                <w:spacing w:val="-11"/>
                <w:sz w:val="21"/>
              </w:rPr>
              <w:t>日起，视为投标人已收到该澄清。投标人未及时关</w:t>
            </w:r>
            <w:r>
              <w:rPr>
                <w:spacing w:val="-8"/>
                <w:sz w:val="21"/>
              </w:rPr>
              <w:t>注招标人在网站上发布的澄清文件造成的损失，由</w:t>
            </w:r>
          </w:p>
          <w:p>
            <w:pPr>
              <w:pStyle w:val="TableParagraph"/>
              <w:spacing w:line="269" w:lineRule="exact"/>
              <w:ind w:left="106"/>
              <w:rPr>
                <w:sz w:val="21"/>
              </w:rPr>
            </w:pPr>
            <w:r>
              <w:rPr>
                <w:sz w:val="21"/>
              </w:rPr>
              <w:t>投标人自行负责。 </w:t>
            </w:r>
          </w:p>
        </w:tc>
      </w:tr>
      <w:tr>
        <w:trPr>
          <w:trHeight w:val="4087" w:hRule="atLeast"/>
        </w:trPr>
        <w:tc>
          <w:tcPr>
            <w:tcW w:w="886" w:type="dxa"/>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1"/>
              <w:rPr>
                <w:rFonts w:ascii="Microsoft JhengHei"/>
                <w:b/>
                <w:sz w:val="20"/>
              </w:rPr>
            </w:pPr>
          </w:p>
          <w:p>
            <w:pPr>
              <w:pStyle w:val="TableParagraph"/>
              <w:ind w:right="63"/>
              <w:jc w:val="right"/>
              <w:rPr>
                <w:sz w:val="21"/>
              </w:rPr>
            </w:pPr>
            <w:r>
              <w:rPr>
                <w:sz w:val="21"/>
              </w:rPr>
              <w:t>3.1.1 </w:t>
            </w:r>
          </w:p>
        </w:tc>
        <w:tc>
          <w:tcPr>
            <w:tcW w:w="3253" w:type="dxa"/>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9"/>
              <w:rPr>
                <w:rFonts w:ascii="Microsoft JhengHei"/>
                <w:b/>
                <w:sz w:val="21"/>
              </w:rPr>
            </w:pPr>
          </w:p>
          <w:p>
            <w:pPr>
              <w:pStyle w:val="TableParagraph"/>
              <w:ind w:left="107"/>
              <w:rPr>
                <w:sz w:val="21"/>
              </w:rPr>
            </w:pPr>
            <w:r>
              <w:rPr>
                <w:sz w:val="21"/>
              </w:rPr>
              <w:t>构成投标文件的材料 </w:t>
            </w:r>
          </w:p>
          <w:p>
            <w:pPr>
              <w:pStyle w:val="TableParagraph"/>
              <w:spacing w:line="364" w:lineRule="auto" w:before="5"/>
              <w:ind w:left="107" w:right="95"/>
              <w:rPr>
                <w:sz w:val="21"/>
              </w:rPr>
            </w:pPr>
            <w:r>
              <w:rPr>
                <w:sz w:val="21"/>
              </w:rPr>
              <w:t>【备注：右栏招标人可根据需要进行增减】 </w:t>
            </w:r>
          </w:p>
        </w:tc>
        <w:tc>
          <w:tcPr>
            <w:tcW w:w="4749" w:type="dxa"/>
          </w:tcPr>
          <w:p>
            <w:pPr>
              <w:pStyle w:val="TableParagraph"/>
              <w:spacing w:line="367" w:lineRule="auto" w:before="1"/>
              <w:ind w:left="106" w:right="-15"/>
              <w:rPr>
                <w:sz w:val="21"/>
              </w:rPr>
            </w:pPr>
            <w:r>
              <w:rPr>
                <w:color w:val="0000FF"/>
                <w:spacing w:val="-17"/>
                <w:sz w:val="21"/>
              </w:rPr>
              <w:t>投标文件的组成部分：资格审查部分、商务标部分、</w:t>
            </w:r>
            <w:r>
              <w:rPr>
                <w:color w:val="0000FF"/>
                <w:spacing w:val="-8"/>
                <w:sz w:val="21"/>
              </w:rPr>
              <w:t>技术标部分组成</w:t>
            </w:r>
            <w:r>
              <w:rPr>
                <w:sz w:val="21"/>
              </w:rPr>
              <w:t> </w:t>
            </w:r>
          </w:p>
          <w:p>
            <w:pPr>
              <w:pStyle w:val="TableParagraph"/>
              <w:spacing w:line="364" w:lineRule="auto"/>
              <w:ind w:left="106" w:right="95"/>
              <w:rPr>
                <w:sz w:val="21"/>
              </w:rPr>
            </w:pPr>
            <w:r>
              <w:rPr>
                <w:color w:val="0000FF"/>
                <w:spacing w:val="-11"/>
                <w:sz w:val="21"/>
              </w:rPr>
              <w:t>资格审查部分【备注：以下扫描件均为原件的扫描</w:t>
            </w:r>
            <w:r>
              <w:rPr>
                <w:color w:val="0000FF"/>
                <w:spacing w:val="-36"/>
                <w:sz w:val="21"/>
              </w:rPr>
              <w:t>件】： </w:t>
            </w:r>
          </w:p>
          <w:p>
            <w:pPr>
              <w:pStyle w:val="TableParagraph"/>
              <w:numPr>
                <w:ilvl w:val="0"/>
                <w:numId w:val="19"/>
              </w:numPr>
              <w:tabs>
                <w:tab w:pos="636" w:val="left" w:leader="none"/>
              </w:tabs>
              <w:spacing w:line="364" w:lineRule="auto" w:before="0" w:after="0"/>
              <w:ind w:left="106" w:right="6" w:firstLine="0"/>
              <w:jc w:val="both"/>
              <w:rPr>
                <w:sz w:val="21"/>
              </w:rPr>
            </w:pPr>
            <w:r>
              <w:rPr>
                <w:color w:val="0000FF"/>
                <w:spacing w:val="-1"/>
                <w:sz w:val="21"/>
              </w:rPr>
              <w:t>投标人基本情况表</w:t>
            </w:r>
            <w:r>
              <w:rPr>
                <w:color w:val="0000FF"/>
                <w:spacing w:val="-3"/>
                <w:sz w:val="21"/>
              </w:rPr>
              <w:t>（</w:t>
            </w:r>
            <w:r>
              <w:rPr>
                <w:color w:val="0000FF"/>
                <w:spacing w:val="-1"/>
                <w:sz w:val="21"/>
              </w:rPr>
              <w:t>附已录入广西建筑业企</w:t>
            </w:r>
            <w:r>
              <w:rPr>
                <w:color w:val="0000FF"/>
                <w:spacing w:val="-9"/>
                <w:sz w:val="21"/>
              </w:rPr>
              <w:t>业诚信信息库的有效的企业营业执照、企业资质证</w:t>
            </w:r>
            <w:r>
              <w:rPr>
                <w:color w:val="0000FF"/>
                <w:spacing w:val="-5"/>
                <w:w w:val="100"/>
                <w:sz w:val="21"/>
              </w:rPr>
              <w:t>书副本和安全生产许可证副本等的原件扫描件</w:t>
            </w:r>
            <w:r>
              <w:rPr>
                <w:color w:val="0000FF"/>
                <w:spacing w:val="-106"/>
                <w:w w:val="100"/>
                <w:sz w:val="21"/>
              </w:rPr>
              <w:t>）</w:t>
            </w:r>
            <w:r>
              <w:rPr>
                <w:color w:val="0000FF"/>
                <w:spacing w:val="-3"/>
                <w:w w:val="100"/>
                <w:sz w:val="21"/>
              </w:rPr>
              <w:t>；</w:t>
            </w:r>
            <w:r>
              <w:rPr>
                <w:color w:val="0000FF"/>
                <w:w w:val="100"/>
                <w:sz w:val="21"/>
              </w:rPr>
              <w:t> </w:t>
            </w:r>
          </w:p>
          <w:p>
            <w:pPr>
              <w:pStyle w:val="TableParagraph"/>
              <w:numPr>
                <w:ilvl w:val="0"/>
                <w:numId w:val="19"/>
              </w:numPr>
              <w:tabs>
                <w:tab w:pos="636" w:val="left" w:leader="none"/>
              </w:tabs>
              <w:spacing w:line="269" w:lineRule="exact" w:before="0" w:after="0"/>
              <w:ind w:left="635" w:right="0" w:hanging="530"/>
              <w:jc w:val="left"/>
              <w:rPr>
                <w:sz w:val="21"/>
              </w:rPr>
            </w:pPr>
            <w:r>
              <w:rPr>
                <w:color w:val="0000FF"/>
                <w:spacing w:val="-3"/>
                <w:w w:val="100"/>
                <w:sz w:val="21"/>
              </w:rPr>
              <w:t>联合体投标协议书（</w:t>
            </w:r>
            <w:r>
              <w:rPr>
                <w:color w:val="0000FF"/>
                <w:w w:val="100"/>
                <w:sz w:val="21"/>
              </w:rPr>
              <w:t>如有</w:t>
            </w:r>
            <w:r>
              <w:rPr>
                <w:color w:val="0000FF"/>
                <w:spacing w:val="-108"/>
                <w:w w:val="100"/>
                <w:sz w:val="21"/>
              </w:rPr>
              <w:t>）</w:t>
            </w:r>
            <w:r>
              <w:rPr>
                <w:color w:val="0000FF"/>
                <w:spacing w:val="-2"/>
                <w:w w:val="100"/>
                <w:sz w:val="21"/>
              </w:rPr>
              <w:t>；</w:t>
            </w:r>
            <w:r>
              <w:rPr>
                <w:color w:val="0000FF"/>
                <w:w w:val="100"/>
                <w:sz w:val="21"/>
              </w:rPr>
              <w:t> </w:t>
            </w:r>
          </w:p>
          <w:p>
            <w:pPr>
              <w:pStyle w:val="TableParagraph"/>
              <w:numPr>
                <w:ilvl w:val="0"/>
                <w:numId w:val="19"/>
              </w:numPr>
              <w:tabs>
                <w:tab w:pos="636" w:val="left" w:leader="none"/>
              </w:tabs>
              <w:spacing w:line="400" w:lineRule="atLeast" w:before="1" w:after="0"/>
              <w:ind w:left="106" w:right="95" w:firstLine="0"/>
              <w:jc w:val="left"/>
              <w:rPr>
                <w:sz w:val="21"/>
              </w:rPr>
            </w:pPr>
            <w:r>
              <w:rPr>
                <w:color w:val="0000FF"/>
                <w:spacing w:val="-1"/>
                <w:sz w:val="21"/>
              </w:rPr>
              <w:t>投标保证金的转帐</w:t>
            </w:r>
            <w:r>
              <w:rPr>
                <w:color w:val="0000FF"/>
                <w:spacing w:val="-3"/>
                <w:sz w:val="21"/>
              </w:rPr>
              <w:t>（</w:t>
            </w:r>
            <w:r>
              <w:rPr>
                <w:color w:val="0000FF"/>
                <w:sz w:val="21"/>
              </w:rPr>
              <w:t>或电汇）底单（</w:t>
            </w:r>
            <w:r>
              <w:rPr>
                <w:color w:val="0000FF"/>
                <w:spacing w:val="-6"/>
                <w:sz w:val="21"/>
              </w:rPr>
              <w:t>可提供</w:t>
            </w:r>
            <w:r>
              <w:rPr>
                <w:color w:val="0000FF"/>
                <w:spacing w:val="-3"/>
                <w:sz w:val="21"/>
              </w:rPr>
              <w:t>底单原件或网上银行电子回执单</w:t>
            </w:r>
            <w:r>
              <w:rPr>
                <w:color w:val="0000FF"/>
                <w:spacing w:val="-46"/>
                <w:sz w:val="21"/>
              </w:rPr>
              <w:t>）</w:t>
            </w:r>
            <w:r>
              <w:rPr>
                <w:color w:val="0000FF"/>
                <w:spacing w:val="-12"/>
                <w:sz w:val="21"/>
              </w:rPr>
              <w:t>或银行保函</w:t>
            </w:r>
            <w:r>
              <w:rPr>
                <w:color w:val="0000FF"/>
                <w:spacing w:val="-3"/>
                <w:sz w:val="21"/>
              </w:rPr>
              <w:t>（</w:t>
            </w:r>
            <w:r>
              <w:rPr>
                <w:color w:val="0000FF"/>
                <w:sz w:val="21"/>
              </w:rPr>
              <w:t>工</w:t>
            </w:r>
          </w:p>
        </w:tc>
      </w:tr>
    </w:tbl>
    <w:p>
      <w:pPr>
        <w:spacing w:after="0" w:line="400" w:lineRule="atLeast"/>
        <w:jc w:val="left"/>
        <w:rPr>
          <w:sz w:val="21"/>
        </w:rPr>
        <w:sectPr>
          <w:pgSz w:w="11910" w:h="16850"/>
          <w:pgMar w:header="0" w:footer="779" w:top="1440" w:bottom="960" w:left="1120" w:right="280"/>
        </w:sectPr>
      </w:pPr>
    </w:p>
    <w:tbl>
      <w:tblPr>
        <w:tblW w:w="0" w:type="auto"/>
        <w:jc w:val="left"/>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6"/>
        <w:gridCol w:w="3253"/>
        <w:gridCol w:w="4749"/>
      </w:tblGrid>
      <w:tr>
        <w:trPr>
          <w:trHeight w:val="470" w:hRule="atLeast"/>
        </w:trPr>
        <w:tc>
          <w:tcPr>
            <w:tcW w:w="886" w:type="dxa"/>
            <w:shd w:val="clear" w:color="auto" w:fill="E6E6E6"/>
          </w:tcPr>
          <w:p>
            <w:pPr>
              <w:pStyle w:val="TableParagraph"/>
              <w:spacing w:line="349" w:lineRule="exact"/>
              <w:ind w:left="124"/>
              <w:rPr>
                <w:rFonts w:ascii="Microsoft JhengHei" w:eastAsia="Microsoft JhengHei" w:hint="eastAsia"/>
                <w:b/>
                <w:sz w:val="21"/>
              </w:rPr>
            </w:pPr>
            <w:r>
              <w:rPr>
                <w:rFonts w:ascii="Microsoft JhengHei" w:eastAsia="Microsoft JhengHei" w:hint="eastAsia"/>
                <w:b/>
                <w:sz w:val="21"/>
                <w:shd w:fill="FFFFFF" w:color="auto" w:val="clear"/>
              </w:rPr>
              <w:t>条款号</w:t>
            </w:r>
            <w:r>
              <w:rPr>
                <w:rFonts w:ascii="Microsoft JhengHei" w:eastAsia="Microsoft JhengHei" w:hint="eastAsia"/>
                <w:b/>
                <w:w w:val="201"/>
                <w:sz w:val="21"/>
              </w:rPr>
              <w:t> </w:t>
            </w:r>
          </w:p>
        </w:tc>
        <w:tc>
          <w:tcPr>
            <w:tcW w:w="3253" w:type="dxa"/>
            <w:shd w:val="clear" w:color="auto" w:fill="E6E6E6"/>
          </w:tcPr>
          <w:p>
            <w:pPr>
              <w:pStyle w:val="TableParagraph"/>
              <w:spacing w:line="349" w:lineRule="exact"/>
              <w:ind w:left="887"/>
              <w:rPr>
                <w:rFonts w:ascii="Microsoft JhengHei" w:eastAsia="Microsoft JhengHei" w:hint="eastAsia"/>
                <w:b/>
                <w:sz w:val="21"/>
              </w:rPr>
            </w:pPr>
            <w:r>
              <w:rPr>
                <w:rFonts w:ascii="Microsoft JhengHei" w:eastAsia="Microsoft JhengHei" w:hint="eastAsia"/>
                <w:b/>
                <w:sz w:val="21"/>
                <w:shd w:fill="FFFFFF" w:color="auto" w:val="clear"/>
              </w:rPr>
              <w:t>条 款 名 称</w:t>
            </w:r>
            <w:r>
              <w:rPr>
                <w:rFonts w:ascii="Microsoft JhengHei" w:eastAsia="Microsoft JhengHei" w:hint="eastAsia"/>
                <w:b/>
                <w:w w:val="201"/>
                <w:sz w:val="21"/>
              </w:rPr>
              <w:t> </w:t>
            </w:r>
          </w:p>
        </w:tc>
        <w:tc>
          <w:tcPr>
            <w:tcW w:w="4749" w:type="dxa"/>
            <w:shd w:val="clear" w:color="auto" w:fill="E6E6E6"/>
          </w:tcPr>
          <w:p>
            <w:pPr>
              <w:pStyle w:val="TableParagraph"/>
              <w:spacing w:line="349" w:lineRule="exact"/>
              <w:ind w:left="1633"/>
              <w:rPr>
                <w:rFonts w:ascii="Microsoft JhengHei" w:eastAsia="Microsoft JhengHei" w:hint="eastAsia"/>
                <w:b/>
                <w:sz w:val="21"/>
              </w:rPr>
            </w:pPr>
            <w:r>
              <w:rPr>
                <w:rFonts w:ascii="Microsoft JhengHei" w:eastAsia="Microsoft JhengHei" w:hint="eastAsia"/>
                <w:b/>
                <w:sz w:val="21"/>
                <w:shd w:fill="FFFFFF" w:color="auto" w:val="clear"/>
              </w:rPr>
              <w:t>编 列 内 容</w:t>
            </w:r>
            <w:r>
              <w:rPr>
                <w:rFonts w:ascii="Microsoft JhengHei" w:eastAsia="Microsoft JhengHei" w:hint="eastAsia"/>
                <w:b/>
                <w:w w:val="201"/>
                <w:sz w:val="21"/>
              </w:rPr>
              <w:t> </w:t>
            </w:r>
          </w:p>
        </w:tc>
      </w:tr>
      <w:tr>
        <w:trPr>
          <w:trHeight w:val="13076" w:hRule="atLeast"/>
        </w:trPr>
        <w:tc>
          <w:tcPr>
            <w:tcW w:w="886" w:type="dxa"/>
          </w:tcPr>
          <w:p>
            <w:pPr>
              <w:pStyle w:val="TableParagraph"/>
              <w:rPr>
                <w:rFonts w:ascii="Times New Roman"/>
                <w:sz w:val="20"/>
              </w:rPr>
            </w:pPr>
          </w:p>
        </w:tc>
        <w:tc>
          <w:tcPr>
            <w:tcW w:w="3253" w:type="dxa"/>
          </w:tcPr>
          <w:p>
            <w:pPr>
              <w:pStyle w:val="TableParagraph"/>
              <w:rPr>
                <w:rFonts w:ascii="Times New Roman"/>
                <w:sz w:val="20"/>
              </w:rPr>
            </w:pPr>
          </w:p>
        </w:tc>
        <w:tc>
          <w:tcPr>
            <w:tcW w:w="4749" w:type="dxa"/>
          </w:tcPr>
          <w:p>
            <w:pPr>
              <w:pStyle w:val="TableParagraph"/>
              <w:spacing w:line="364" w:lineRule="auto" w:before="3"/>
              <w:ind w:left="106" w:right="95"/>
              <w:rPr>
                <w:sz w:val="21"/>
              </w:rPr>
            </w:pPr>
            <w:r>
              <w:rPr>
                <w:color w:val="0000FF"/>
                <w:spacing w:val="-3"/>
                <w:sz w:val="21"/>
              </w:rPr>
              <w:t>程担保或工程保证保险原件</w:t>
            </w:r>
            <w:r>
              <w:rPr>
                <w:color w:val="0000FF"/>
                <w:spacing w:val="-46"/>
                <w:sz w:val="21"/>
              </w:rPr>
              <w:t>）</w:t>
            </w:r>
            <w:r>
              <w:rPr>
                <w:color w:val="0000FF"/>
                <w:spacing w:val="-11"/>
                <w:sz w:val="21"/>
              </w:rPr>
              <w:t>扫描件，投标人的基</w:t>
            </w:r>
            <w:r>
              <w:rPr>
                <w:color w:val="0000FF"/>
                <w:spacing w:val="-3"/>
                <w:w w:val="100"/>
                <w:sz w:val="21"/>
              </w:rPr>
              <w:t>本账户开户许可证的原件扫描件</w:t>
            </w:r>
            <w:r>
              <w:rPr>
                <w:color w:val="0000FF"/>
                <w:w w:val="100"/>
                <w:sz w:val="21"/>
              </w:rPr>
              <w:t>（</w:t>
            </w:r>
            <w:r>
              <w:rPr>
                <w:color w:val="0000FF"/>
                <w:spacing w:val="-2"/>
                <w:w w:val="100"/>
                <w:sz w:val="21"/>
              </w:rPr>
              <w:t>如有</w:t>
            </w:r>
            <w:r>
              <w:rPr>
                <w:color w:val="0000FF"/>
                <w:spacing w:val="-108"/>
                <w:w w:val="100"/>
                <w:sz w:val="21"/>
              </w:rPr>
              <w:t>）</w:t>
            </w:r>
            <w:r>
              <w:rPr>
                <w:color w:val="0000FF"/>
                <w:spacing w:val="-3"/>
                <w:w w:val="100"/>
                <w:sz w:val="21"/>
              </w:rPr>
              <w:t>；</w:t>
            </w:r>
            <w:r>
              <w:rPr>
                <w:color w:val="0000FF"/>
                <w:w w:val="100"/>
                <w:sz w:val="21"/>
              </w:rPr>
              <w:t> </w:t>
            </w:r>
          </w:p>
          <w:p>
            <w:pPr>
              <w:pStyle w:val="TableParagraph"/>
              <w:numPr>
                <w:ilvl w:val="0"/>
                <w:numId w:val="20"/>
              </w:numPr>
              <w:tabs>
                <w:tab w:pos="636" w:val="left" w:leader="none"/>
              </w:tabs>
              <w:spacing w:line="267" w:lineRule="exact" w:before="0" w:after="0"/>
              <w:ind w:left="635" w:right="0" w:hanging="530"/>
              <w:jc w:val="left"/>
              <w:rPr>
                <w:sz w:val="21"/>
              </w:rPr>
            </w:pPr>
            <w:r>
              <w:rPr>
                <w:color w:val="0000FF"/>
                <w:spacing w:val="-3"/>
                <w:sz w:val="21"/>
              </w:rPr>
              <w:t>建设工程项目管理承诺书； </w:t>
            </w:r>
          </w:p>
          <w:p>
            <w:pPr>
              <w:pStyle w:val="TableParagraph"/>
              <w:numPr>
                <w:ilvl w:val="0"/>
                <w:numId w:val="20"/>
              </w:numPr>
              <w:tabs>
                <w:tab w:pos="636" w:val="left" w:leader="none"/>
              </w:tabs>
              <w:spacing w:line="364" w:lineRule="auto" w:before="139" w:after="0"/>
              <w:ind w:left="106" w:right="96" w:firstLine="0"/>
              <w:jc w:val="both"/>
              <w:rPr>
                <w:sz w:val="21"/>
              </w:rPr>
            </w:pPr>
            <w:r>
              <w:rPr>
                <w:color w:val="0000FF"/>
                <w:spacing w:val="-1"/>
                <w:sz w:val="21"/>
              </w:rPr>
              <w:t>项目经理简历表</w:t>
            </w:r>
            <w:r>
              <w:rPr>
                <w:color w:val="0000FF"/>
                <w:sz w:val="21"/>
              </w:rPr>
              <w:t>（</w:t>
            </w:r>
            <w:r>
              <w:rPr>
                <w:color w:val="0000FF"/>
                <w:spacing w:val="-5"/>
                <w:sz w:val="21"/>
              </w:rPr>
              <w:t>附已录入广西建筑业企业</w:t>
            </w:r>
            <w:r>
              <w:rPr>
                <w:color w:val="0000FF"/>
                <w:spacing w:val="3"/>
                <w:sz w:val="21"/>
              </w:rPr>
              <w:t>诚信信息库的项目经理注册建造师执业资格证书</w:t>
            </w:r>
            <w:r>
              <w:rPr>
                <w:color w:val="0000FF"/>
                <w:spacing w:val="-3"/>
                <w:w w:val="100"/>
                <w:sz w:val="21"/>
              </w:rPr>
              <w:t>和安全生产考核合格证书</w:t>
            </w:r>
            <w:r>
              <w:rPr>
                <w:color w:val="0000FF"/>
                <w:w w:val="100"/>
                <w:sz w:val="21"/>
              </w:rPr>
              <w:t>（B</w:t>
            </w:r>
            <w:r>
              <w:rPr>
                <w:color w:val="0000FF"/>
                <w:spacing w:val="-53"/>
                <w:sz w:val="21"/>
              </w:rPr>
              <w:t> </w:t>
            </w:r>
            <w:r>
              <w:rPr>
                <w:color w:val="0000FF"/>
                <w:spacing w:val="-3"/>
                <w:w w:val="100"/>
                <w:sz w:val="21"/>
              </w:rPr>
              <w:t>类</w:t>
            </w:r>
            <w:r>
              <w:rPr>
                <w:color w:val="0000FF"/>
                <w:w w:val="100"/>
                <w:sz w:val="21"/>
              </w:rPr>
              <w:t>）</w:t>
            </w:r>
            <w:r>
              <w:rPr>
                <w:color w:val="0000FF"/>
                <w:spacing w:val="-3"/>
                <w:w w:val="100"/>
                <w:sz w:val="21"/>
              </w:rPr>
              <w:t>的扫描件</w:t>
            </w:r>
            <w:r>
              <w:rPr>
                <w:color w:val="0000FF"/>
                <w:spacing w:val="-108"/>
                <w:w w:val="100"/>
                <w:sz w:val="21"/>
              </w:rPr>
              <w:t>）</w:t>
            </w:r>
            <w:r>
              <w:rPr>
                <w:color w:val="0000FF"/>
                <w:spacing w:val="-3"/>
                <w:w w:val="100"/>
                <w:sz w:val="21"/>
              </w:rPr>
              <w:t>；</w:t>
            </w:r>
            <w:r>
              <w:rPr>
                <w:color w:val="0000FF"/>
                <w:w w:val="100"/>
                <w:sz w:val="21"/>
              </w:rPr>
              <w:t> </w:t>
            </w:r>
          </w:p>
          <w:p>
            <w:pPr>
              <w:pStyle w:val="TableParagraph"/>
              <w:numPr>
                <w:ilvl w:val="0"/>
                <w:numId w:val="20"/>
              </w:numPr>
              <w:tabs>
                <w:tab w:pos="636" w:val="left" w:leader="none"/>
              </w:tabs>
              <w:spacing w:line="364" w:lineRule="auto" w:before="0" w:after="0"/>
              <w:ind w:left="106" w:right="96" w:firstLine="0"/>
              <w:jc w:val="left"/>
              <w:rPr>
                <w:sz w:val="21"/>
              </w:rPr>
            </w:pPr>
            <w:r>
              <w:rPr>
                <w:color w:val="0000FF"/>
                <w:spacing w:val="-2"/>
                <w:sz w:val="21"/>
              </w:rPr>
              <w:t>项目技术负责人简历表</w:t>
            </w:r>
            <w:r>
              <w:rPr>
                <w:color w:val="0000FF"/>
                <w:sz w:val="21"/>
              </w:rPr>
              <w:t>（</w:t>
            </w:r>
            <w:r>
              <w:rPr>
                <w:color w:val="0000FF"/>
                <w:spacing w:val="-3"/>
                <w:sz w:val="21"/>
              </w:rPr>
              <w:t>附已录入广西建筑</w:t>
            </w:r>
            <w:r>
              <w:rPr>
                <w:color w:val="0000FF"/>
                <w:spacing w:val="-3"/>
                <w:w w:val="100"/>
                <w:sz w:val="21"/>
              </w:rPr>
              <w:t>业企业诚信信息库的职称证书的扫描件</w:t>
            </w:r>
            <w:r>
              <w:rPr>
                <w:color w:val="0000FF"/>
                <w:spacing w:val="-108"/>
                <w:w w:val="100"/>
                <w:sz w:val="21"/>
              </w:rPr>
              <w:t>）</w:t>
            </w:r>
            <w:r>
              <w:rPr>
                <w:color w:val="0000FF"/>
                <w:spacing w:val="-3"/>
                <w:w w:val="100"/>
                <w:sz w:val="21"/>
              </w:rPr>
              <w:t>；</w:t>
            </w:r>
            <w:r>
              <w:rPr>
                <w:color w:val="0000FF"/>
                <w:w w:val="100"/>
                <w:sz w:val="21"/>
              </w:rPr>
              <w:t> </w:t>
            </w:r>
          </w:p>
          <w:p>
            <w:pPr>
              <w:pStyle w:val="TableParagraph"/>
              <w:numPr>
                <w:ilvl w:val="0"/>
                <w:numId w:val="20"/>
              </w:numPr>
              <w:tabs>
                <w:tab w:pos="636" w:val="left" w:leader="none"/>
              </w:tabs>
              <w:spacing w:line="367" w:lineRule="auto" w:before="0" w:after="0"/>
              <w:ind w:left="106" w:right="96" w:firstLine="0"/>
              <w:jc w:val="left"/>
              <w:rPr>
                <w:sz w:val="21"/>
              </w:rPr>
            </w:pPr>
            <w:r>
              <w:rPr>
                <w:color w:val="0000FF"/>
                <w:spacing w:val="-4"/>
                <w:sz w:val="21"/>
              </w:rPr>
              <w:t>已录入广西建筑业企业诚信信息库的安全员</w:t>
            </w:r>
            <w:r>
              <w:rPr>
                <w:color w:val="0000FF"/>
                <w:spacing w:val="-3"/>
                <w:sz w:val="21"/>
              </w:rPr>
              <w:t>的安全生产考核合格证书</w:t>
            </w:r>
            <w:r>
              <w:rPr>
                <w:color w:val="0000FF"/>
                <w:sz w:val="21"/>
              </w:rPr>
              <w:t>（C</w:t>
            </w:r>
            <w:r>
              <w:rPr>
                <w:color w:val="0000FF"/>
                <w:spacing w:val="-27"/>
                <w:sz w:val="21"/>
              </w:rPr>
              <w:t> 类</w:t>
            </w:r>
            <w:r>
              <w:rPr>
                <w:color w:val="0000FF"/>
                <w:sz w:val="21"/>
              </w:rPr>
              <w:t>）</w:t>
            </w:r>
            <w:r>
              <w:rPr>
                <w:color w:val="0000FF"/>
                <w:spacing w:val="-3"/>
                <w:sz w:val="21"/>
              </w:rPr>
              <w:t>的扫描件；</w:t>
            </w:r>
            <w:r>
              <w:rPr>
                <w:color w:val="0000FF"/>
                <w:sz w:val="21"/>
              </w:rPr>
              <w:t> </w:t>
            </w:r>
          </w:p>
          <w:p>
            <w:pPr>
              <w:pStyle w:val="TableParagraph"/>
              <w:numPr>
                <w:ilvl w:val="0"/>
                <w:numId w:val="20"/>
              </w:numPr>
              <w:tabs>
                <w:tab w:pos="636" w:val="left" w:leader="none"/>
              </w:tabs>
              <w:spacing w:line="364" w:lineRule="auto" w:before="0" w:after="0"/>
              <w:ind w:left="106" w:right="95" w:firstLine="0"/>
              <w:jc w:val="left"/>
              <w:rPr>
                <w:sz w:val="21"/>
              </w:rPr>
            </w:pPr>
            <w:r>
              <w:rPr>
                <w:color w:val="0000FF"/>
                <w:spacing w:val="-4"/>
                <w:sz w:val="21"/>
              </w:rPr>
              <w:t>已录入广西建筑业企业诚信信息库的专职投</w:t>
            </w:r>
            <w:r>
              <w:rPr>
                <w:color w:val="0000FF"/>
                <w:spacing w:val="-10"/>
                <w:sz w:val="21"/>
              </w:rPr>
              <w:t>标员、项目经理、技术负责人和主要管理人员近 </w:t>
            </w:r>
            <w:r>
              <w:rPr>
                <w:color w:val="0000FF"/>
                <w:spacing w:val="-11"/>
                <w:sz w:val="21"/>
              </w:rPr>
              <w:t>3</w:t>
            </w:r>
          </w:p>
          <w:p>
            <w:pPr>
              <w:pStyle w:val="TableParagraph"/>
              <w:spacing w:line="364" w:lineRule="auto"/>
              <w:ind w:left="106" w:right="95"/>
              <w:jc w:val="both"/>
              <w:rPr>
                <w:sz w:val="21"/>
              </w:rPr>
            </w:pPr>
            <w:r>
              <w:rPr>
                <w:color w:val="0000FF"/>
                <w:spacing w:val="-10"/>
                <w:w w:val="100"/>
                <w:sz w:val="21"/>
              </w:rPr>
              <w:t>个月</w:t>
            </w:r>
            <w:r>
              <w:rPr>
                <w:color w:val="0000FF"/>
                <w:w w:val="100"/>
                <w:sz w:val="21"/>
              </w:rPr>
              <w:t>（</w:t>
            </w:r>
            <w:r>
              <w:rPr>
                <w:color w:val="0000FF"/>
                <w:spacing w:val="-3"/>
                <w:w w:val="100"/>
                <w:sz w:val="21"/>
              </w:rPr>
              <w:t>2</w:t>
            </w:r>
            <w:r>
              <w:rPr>
                <w:color w:val="0000FF"/>
                <w:w w:val="100"/>
                <w:sz w:val="21"/>
              </w:rPr>
              <w:t>020</w:t>
            </w:r>
            <w:r>
              <w:rPr>
                <w:color w:val="0000FF"/>
                <w:spacing w:val="-55"/>
                <w:sz w:val="21"/>
              </w:rPr>
              <w:t> </w:t>
            </w:r>
            <w:r>
              <w:rPr>
                <w:color w:val="0000FF"/>
                <w:w w:val="100"/>
                <w:sz w:val="21"/>
              </w:rPr>
              <w:t>年</w:t>
            </w:r>
            <w:r>
              <w:rPr>
                <w:color w:val="0000FF"/>
                <w:spacing w:val="-53"/>
                <w:sz w:val="21"/>
              </w:rPr>
              <w:t> </w:t>
            </w:r>
            <w:r>
              <w:rPr>
                <w:color w:val="0000FF"/>
                <w:w w:val="100"/>
                <w:sz w:val="21"/>
              </w:rPr>
              <w:t>8</w:t>
            </w:r>
            <w:r>
              <w:rPr>
                <w:color w:val="0000FF"/>
                <w:spacing w:val="-55"/>
                <w:sz w:val="21"/>
              </w:rPr>
              <w:t> </w:t>
            </w:r>
            <w:r>
              <w:rPr>
                <w:color w:val="0000FF"/>
                <w:w w:val="100"/>
                <w:sz w:val="21"/>
              </w:rPr>
              <w:t>月至</w:t>
            </w:r>
            <w:r>
              <w:rPr>
                <w:color w:val="0000FF"/>
                <w:spacing w:val="-55"/>
                <w:sz w:val="21"/>
              </w:rPr>
              <w:t> </w:t>
            </w:r>
            <w:r>
              <w:rPr>
                <w:color w:val="0000FF"/>
                <w:w w:val="100"/>
                <w:sz w:val="21"/>
              </w:rPr>
              <w:t>2020</w:t>
            </w:r>
            <w:r>
              <w:rPr>
                <w:color w:val="0000FF"/>
                <w:spacing w:val="-55"/>
                <w:sz w:val="21"/>
              </w:rPr>
              <w:t> </w:t>
            </w:r>
            <w:r>
              <w:rPr>
                <w:color w:val="0000FF"/>
                <w:w w:val="100"/>
                <w:sz w:val="21"/>
              </w:rPr>
              <w:t>年</w:t>
            </w:r>
            <w:r>
              <w:rPr>
                <w:color w:val="0000FF"/>
                <w:spacing w:val="-53"/>
                <w:sz w:val="21"/>
              </w:rPr>
              <w:t> </w:t>
            </w:r>
            <w:r>
              <w:rPr>
                <w:color w:val="0000FF"/>
                <w:w w:val="100"/>
                <w:sz w:val="21"/>
              </w:rPr>
              <w:t>10</w:t>
            </w:r>
            <w:r>
              <w:rPr>
                <w:color w:val="0000FF"/>
                <w:spacing w:val="-54"/>
                <w:sz w:val="21"/>
              </w:rPr>
              <w:t> </w:t>
            </w:r>
            <w:r>
              <w:rPr>
                <w:color w:val="0000FF"/>
                <w:w w:val="100"/>
                <w:sz w:val="21"/>
              </w:rPr>
              <w:t>月</w:t>
            </w:r>
            <w:r>
              <w:rPr>
                <w:color w:val="0000FF"/>
                <w:spacing w:val="-125"/>
                <w:w w:val="100"/>
                <w:sz w:val="21"/>
              </w:rPr>
              <w:t>）</w:t>
            </w:r>
            <w:r>
              <w:rPr>
                <w:color w:val="0000FF"/>
                <w:spacing w:val="-3"/>
                <w:w w:val="100"/>
                <w:sz w:val="21"/>
              </w:rPr>
              <w:t>（从取得营业</w:t>
            </w:r>
            <w:r>
              <w:rPr>
                <w:color w:val="0000FF"/>
                <w:spacing w:val="3"/>
                <w:sz w:val="21"/>
              </w:rPr>
              <w:t>执照时间起到投标截止时间为止不足要求月数的</w:t>
            </w:r>
            <w:r>
              <w:rPr>
                <w:color w:val="0000FF"/>
                <w:spacing w:val="-3"/>
                <w:sz w:val="21"/>
              </w:rPr>
              <w:t>只需提供从取得营业执照起的证明材料</w:t>
            </w:r>
            <w:r>
              <w:rPr>
                <w:color w:val="0000FF"/>
                <w:spacing w:val="-89"/>
                <w:sz w:val="21"/>
              </w:rPr>
              <w:t>）</w:t>
            </w:r>
            <w:r>
              <w:rPr>
                <w:color w:val="0000FF"/>
                <w:spacing w:val="-3"/>
                <w:sz w:val="21"/>
              </w:rPr>
              <w:t>在现任职单位依法缴纳社会保险证明材料的扫描件；</w:t>
            </w:r>
            <w:r>
              <w:rPr>
                <w:color w:val="0000FF"/>
                <w:sz w:val="21"/>
              </w:rPr>
              <w:t> </w:t>
            </w:r>
          </w:p>
          <w:p>
            <w:pPr>
              <w:pStyle w:val="TableParagraph"/>
              <w:numPr>
                <w:ilvl w:val="0"/>
                <w:numId w:val="20"/>
              </w:numPr>
              <w:tabs>
                <w:tab w:pos="636" w:val="left" w:leader="none"/>
              </w:tabs>
              <w:spacing w:line="364" w:lineRule="auto" w:before="0" w:after="0"/>
              <w:ind w:left="106" w:right="95" w:firstLine="0"/>
              <w:jc w:val="both"/>
              <w:rPr>
                <w:sz w:val="21"/>
              </w:rPr>
            </w:pPr>
            <w:r>
              <w:rPr>
                <w:color w:val="0000FF"/>
                <w:spacing w:val="-4"/>
                <w:sz w:val="21"/>
              </w:rPr>
              <w:t>资格审查需要的其他材料：项目管理机构配</w:t>
            </w:r>
            <w:r>
              <w:rPr>
                <w:color w:val="0000FF"/>
                <w:spacing w:val="-15"/>
                <w:sz w:val="21"/>
              </w:rPr>
              <w:t>备情况表、拟投入施工机械设备情况表、企业 </w:t>
            </w:r>
            <w:r>
              <w:rPr>
                <w:color w:val="0000FF"/>
                <w:sz w:val="21"/>
              </w:rPr>
              <w:t>2017</w:t>
            </w:r>
          </w:p>
          <w:p>
            <w:pPr>
              <w:pStyle w:val="TableParagraph"/>
              <w:spacing w:line="267" w:lineRule="exact"/>
              <w:ind w:left="106"/>
              <w:jc w:val="both"/>
              <w:rPr>
                <w:sz w:val="21"/>
              </w:rPr>
            </w:pPr>
            <w:r>
              <w:rPr>
                <w:color w:val="0000FF"/>
                <w:spacing w:val="-17"/>
                <w:sz w:val="21"/>
              </w:rPr>
              <w:t>年 </w:t>
            </w:r>
            <w:r>
              <w:rPr>
                <w:color w:val="0000FF"/>
                <w:sz w:val="21"/>
              </w:rPr>
              <w:t>10</w:t>
            </w:r>
            <w:r>
              <w:rPr>
                <w:color w:val="0000FF"/>
                <w:spacing w:val="-7"/>
                <w:sz w:val="21"/>
              </w:rPr>
              <w:t> 月至投标截止日期止已完成类似项目一览表</w:t>
            </w:r>
          </w:p>
          <w:p>
            <w:pPr>
              <w:pStyle w:val="TableParagraph"/>
              <w:spacing w:before="132"/>
              <w:ind w:left="106"/>
              <w:rPr>
                <w:sz w:val="21"/>
              </w:rPr>
            </w:pPr>
            <w:r>
              <w:rPr>
                <w:color w:val="0000FF"/>
                <w:sz w:val="21"/>
              </w:rPr>
              <w:t>（</w:t>
            </w:r>
            <w:r>
              <w:rPr>
                <w:color w:val="0000FF"/>
                <w:spacing w:val="-2"/>
                <w:sz w:val="21"/>
              </w:rPr>
              <w:t>如有</w:t>
            </w:r>
            <w:r>
              <w:rPr>
                <w:color w:val="0000FF"/>
                <w:spacing w:val="-106"/>
                <w:sz w:val="21"/>
              </w:rPr>
              <w:t>）</w:t>
            </w:r>
            <w:r>
              <w:rPr>
                <w:color w:val="0000FF"/>
                <w:spacing w:val="-13"/>
                <w:sz w:val="21"/>
              </w:rPr>
              <w:t>、企业诚信情况一览表</w:t>
            </w:r>
            <w:r>
              <w:rPr>
                <w:color w:val="0000FF"/>
                <w:spacing w:val="-3"/>
                <w:sz w:val="21"/>
              </w:rPr>
              <w:t>（</w:t>
            </w:r>
            <w:r>
              <w:rPr>
                <w:color w:val="0000FF"/>
                <w:sz w:val="21"/>
              </w:rPr>
              <w:t>如有</w:t>
            </w:r>
            <w:r>
              <w:rPr>
                <w:color w:val="0000FF"/>
                <w:spacing w:val="-108"/>
                <w:sz w:val="21"/>
              </w:rPr>
              <w:t>）</w:t>
            </w:r>
            <w:r>
              <w:rPr>
                <w:color w:val="0000FF"/>
                <w:spacing w:val="-21"/>
                <w:sz w:val="21"/>
              </w:rPr>
              <w:t>、企业 </w:t>
            </w:r>
            <w:r>
              <w:rPr>
                <w:color w:val="0000FF"/>
                <w:sz w:val="21"/>
              </w:rPr>
              <w:t>2017</w:t>
            </w:r>
          </w:p>
          <w:p>
            <w:pPr>
              <w:pStyle w:val="TableParagraph"/>
              <w:spacing w:line="364" w:lineRule="auto" w:before="138"/>
              <w:ind w:left="106" w:right="-15"/>
              <w:rPr>
                <w:sz w:val="21"/>
              </w:rPr>
            </w:pPr>
            <w:r>
              <w:rPr>
                <w:color w:val="0000FF"/>
                <w:spacing w:val="-16"/>
                <w:sz w:val="21"/>
              </w:rPr>
              <w:t>年至 </w:t>
            </w:r>
            <w:r>
              <w:rPr>
                <w:color w:val="0000FF"/>
                <w:sz w:val="21"/>
              </w:rPr>
              <w:t>2019</w:t>
            </w:r>
            <w:r>
              <w:rPr>
                <w:color w:val="0000FF"/>
                <w:spacing w:val="-13"/>
                <w:sz w:val="21"/>
              </w:rPr>
              <w:t> 年财务状况表、企业 </w:t>
            </w:r>
            <w:r>
              <w:rPr>
                <w:color w:val="0000FF"/>
                <w:sz w:val="21"/>
              </w:rPr>
              <w:t>2017</w:t>
            </w:r>
            <w:r>
              <w:rPr>
                <w:color w:val="0000FF"/>
                <w:spacing w:val="-33"/>
                <w:sz w:val="21"/>
              </w:rPr>
              <w:t> 年 </w:t>
            </w:r>
            <w:r>
              <w:rPr>
                <w:color w:val="0000FF"/>
                <w:sz w:val="21"/>
              </w:rPr>
              <w:t>10</w:t>
            </w:r>
            <w:r>
              <w:rPr>
                <w:color w:val="0000FF"/>
                <w:spacing w:val="-14"/>
                <w:sz w:val="21"/>
              </w:rPr>
              <w:t> 月至投</w:t>
            </w:r>
            <w:r>
              <w:rPr>
                <w:color w:val="0000FF"/>
                <w:spacing w:val="-7"/>
                <w:sz w:val="21"/>
              </w:rPr>
              <w:t>标截止日期止发生的诉讼和仲裁情况</w:t>
            </w:r>
            <w:r>
              <w:rPr>
                <w:color w:val="0000FF"/>
                <w:sz w:val="21"/>
              </w:rPr>
              <w:t>（</w:t>
            </w:r>
            <w:r>
              <w:rPr>
                <w:color w:val="0000FF"/>
                <w:spacing w:val="-2"/>
                <w:sz w:val="21"/>
              </w:rPr>
              <w:t>如有</w:t>
            </w:r>
            <w:r>
              <w:rPr>
                <w:color w:val="0000FF"/>
                <w:spacing w:val="-3"/>
                <w:sz w:val="21"/>
              </w:rPr>
              <w:t>）</w:t>
            </w:r>
            <w:r>
              <w:rPr>
                <w:color w:val="0000FF"/>
                <w:spacing w:val="-47"/>
                <w:sz w:val="21"/>
              </w:rPr>
              <w:t>等。</w:t>
            </w:r>
            <w:r>
              <w:rPr>
                <w:color w:val="0000FF"/>
                <w:sz w:val="21"/>
              </w:rPr>
              <w:t> </w:t>
            </w:r>
          </w:p>
          <w:p>
            <w:pPr>
              <w:pStyle w:val="TableParagraph"/>
              <w:spacing w:line="267" w:lineRule="exact"/>
              <w:ind w:left="106"/>
              <w:rPr>
                <w:sz w:val="21"/>
              </w:rPr>
            </w:pPr>
            <w:r>
              <w:rPr>
                <w:color w:val="0000FF"/>
                <w:w w:val="100"/>
                <w:sz w:val="21"/>
              </w:rPr>
              <w:t> </w:t>
            </w:r>
          </w:p>
          <w:p>
            <w:pPr>
              <w:pStyle w:val="TableParagraph"/>
              <w:spacing w:before="142"/>
              <w:ind w:left="106"/>
              <w:rPr>
                <w:sz w:val="21"/>
              </w:rPr>
            </w:pPr>
            <w:r>
              <w:rPr>
                <w:color w:val="0000FF"/>
                <w:sz w:val="21"/>
              </w:rPr>
              <w:t>商务标部分： </w:t>
            </w:r>
          </w:p>
          <w:p>
            <w:pPr>
              <w:pStyle w:val="TableParagraph"/>
              <w:numPr>
                <w:ilvl w:val="0"/>
                <w:numId w:val="21"/>
              </w:numPr>
              <w:tabs>
                <w:tab w:pos="636" w:val="left" w:leader="none"/>
              </w:tabs>
              <w:spacing w:line="240" w:lineRule="auto" w:before="139" w:after="0"/>
              <w:ind w:left="635" w:right="0" w:hanging="530"/>
              <w:jc w:val="left"/>
              <w:rPr>
                <w:sz w:val="21"/>
              </w:rPr>
            </w:pPr>
            <w:r>
              <w:rPr>
                <w:color w:val="0000FF"/>
                <w:spacing w:val="-3"/>
                <w:sz w:val="21"/>
              </w:rPr>
              <w:t>投标函；</w:t>
            </w:r>
            <w:r>
              <w:rPr>
                <w:color w:val="0000FF"/>
                <w:sz w:val="21"/>
              </w:rPr>
              <w:t> </w:t>
            </w:r>
          </w:p>
          <w:p>
            <w:pPr>
              <w:pStyle w:val="TableParagraph"/>
              <w:numPr>
                <w:ilvl w:val="0"/>
                <w:numId w:val="21"/>
              </w:numPr>
              <w:tabs>
                <w:tab w:pos="636" w:val="left" w:leader="none"/>
              </w:tabs>
              <w:spacing w:line="240" w:lineRule="auto" w:before="139" w:after="0"/>
              <w:ind w:left="635" w:right="0" w:hanging="530"/>
              <w:jc w:val="left"/>
              <w:rPr>
                <w:sz w:val="21"/>
              </w:rPr>
            </w:pPr>
            <w:r>
              <w:rPr>
                <w:color w:val="0000FF"/>
                <w:spacing w:val="-3"/>
                <w:sz w:val="21"/>
              </w:rPr>
              <w:t>投标函附录；</w:t>
            </w:r>
            <w:r>
              <w:rPr>
                <w:color w:val="0000FF"/>
                <w:sz w:val="21"/>
              </w:rPr>
              <w:t> </w:t>
            </w:r>
          </w:p>
          <w:p>
            <w:pPr>
              <w:pStyle w:val="TableParagraph"/>
              <w:numPr>
                <w:ilvl w:val="0"/>
                <w:numId w:val="21"/>
              </w:numPr>
              <w:tabs>
                <w:tab w:pos="636" w:val="left" w:leader="none"/>
              </w:tabs>
              <w:spacing w:line="240" w:lineRule="auto" w:before="139" w:after="0"/>
              <w:ind w:left="635" w:right="0" w:hanging="530"/>
              <w:jc w:val="left"/>
              <w:rPr>
                <w:sz w:val="21"/>
              </w:rPr>
            </w:pPr>
            <w:r>
              <w:rPr>
                <w:color w:val="0000FF"/>
                <w:spacing w:val="-3"/>
                <w:sz w:val="21"/>
              </w:rPr>
              <w:t>投标报价表；</w:t>
            </w:r>
            <w:r>
              <w:rPr>
                <w:color w:val="0000FF"/>
                <w:sz w:val="21"/>
              </w:rPr>
              <w:t> </w:t>
            </w:r>
          </w:p>
          <w:p>
            <w:pPr>
              <w:pStyle w:val="TableParagraph"/>
              <w:numPr>
                <w:ilvl w:val="0"/>
                <w:numId w:val="21"/>
              </w:numPr>
              <w:tabs>
                <w:tab w:pos="636" w:val="left" w:leader="none"/>
              </w:tabs>
              <w:spacing w:line="367" w:lineRule="auto" w:before="139" w:after="0"/>
              <w:ind w:left="106" w:right="2109" w:firstLine="0"/>
              <w:jc w:val="left"/>
              <w:rPr>
                <w:sz w:val="21"/>
              </w:rPr>
            </w:pPr>
            <w:r>
              <w:rPr>
                <w:color w:val="0000FF"/>
                <w:spacing w:val="-3"/>
                <w:sz w:val="21"/>
              </w:rPr>
              <w:t>已标价工程量清单。技术标部分：</w:t>
            </w:r>
            <w:r>
              <w:rPr>
                <w:color w:val="0000FF"/>
                <w:sz w:val="21"/>
              </w:rPr>
              <w:t> </w:t>
            </w:r>
          </w:p>
          <w:p>
            <w:pPr>
              <w:pStyle w:val="TableParagraph"/>
              <w:numPr>
                <w:ilvl w:val="0"/>
                <w:numId w:val="22"/>
              </w:numPr>
              <w:tabs>
                <w:tab w:pos="636" w:val="left" w:leader="none"/>
              </w:tabs>
              <w:spacing w:line="264" w:lineRule="exact" w:before="0" w:after="0"/>
              <w:ind w:left="635" w:right="0" w:hanging="530"/>
              <w:jc w:val="left"/>
              <w:rPr>
                <w:sz w:val="21"/>
              </w:rPr>
            </w:pPr>
            <w:r>
              <w:rPr>
                <w:color w:val="0000FF"/>
                <w:spacing w:val="-3"/>
                <w:sz w:val="21"/>
              </w:rPr>
              <w:t>施工组织设计；</w:t>
            </w:r>
            <w:r>
              <w:rPr>
                <w:color w:val="0000FF"/>
                <w:sz w:val="21"/>
              </w:rPr>
              <w:t> </w:t>
            </w:r>
          </w:p>
          <w:p>
            <w:pPr>
              <w:pStyle w:val="TableParagraph"/>
              <w:numPr>
                <w:ilvl w:val="0"/>
                <w:numId w:val="22"/>
              </w:numPr>
              <w:tabs>
                <w:tab w:pos="636" w:val="left" w:leader="none"/>
              </w:tabs>
              <w:spacing w:line="240" w:lineRule="auto" w:before="139" w:after="0"/>
              <w:ind w:left="635" w:right="0" w:hanging="530"/>
              <w:jc w:val="left"/>
              <w:rPr>
                <w:sz w:val="21"/>
              </w:rPr>
            </w:pPr>
            <w:r>
              <w:rPr>
                <w:color w:val="0000FF"/>
                <w:spacing w:val="-3"/>
                <w:sz w:val="21"/>
              </w:rPr>
              <w:t>拟分包计划表；</w:t>
            </w:r>
            <w:r>
              <w:rPr>
                <w:color w:val="0000FF"/>
                <w:sz w:val="21"/>
              </w:rPr>
              <w:t> </w:t>
            </w:r>
          </w:p>
          <w:p>
            <w:pPr>
              <w:pStyle w:val="TableParagraph"/>
              <w:numPr>
                <w:ilvl w:val="0"/>
                <w:numId w:val="22"/>
              </w:numPr>
              <w:tabs>
                <w:tab w:pos="636" w:val="left" w:leader="none"/>
              </w:tabs>
              <w:spacing w:line="240" w:lineRule="auto" w:before="139" w:after="0"/>
              <w:ind w:left="635" w:right="0" w:hanging="530"/>
              <w:jc w:val="left"/>
              <w:rPr>
                <w:sz w:val="21"/>
              </w:rPr>
            </w:pPr>
            <w:r>
              <w:rPr>
                <w:color w:val="0000FF"/>
                <w:spacing w:val="-3"/>
                <w:sz w:val="21"/>
              </w:rPr>
              <w:t>项目管理机构。</w:t>
            </w:r>
            <w:r>
              <w:rPr>
                <w:color w:val="0000FF"/>
                <w:sz w:val="21"/>
              </w:rPr>
              <w:t> </w:t>
            </w:r>
          </w:p>
        </w:tc>
      </w:tr>
    </w:tbl>
    <w:p>
      <w:pPr>
        <w:spacing w:after="0" w:line="240" w:lineRule="auto"/>
        <w:jc w:val="left"/>
        <w:rPr>
          <w:sz w:val="21"/>
        </w:rPr>
        <w:sectPr>
          <w:pgSz w:w="11910" w:h="16850"/>
          <w:pgMar w:header="0" w:footer="779" w:top="1440" w:bottom="960" w:left="1120" w:right="280"/>
        </w:sectPr>
      </w:pPr>
    </w:p>
    <w:tbl>
      <w:tblPr>
        <w:tblW w:w="0" w:type="auto"/>
        <w:jc w:val="left"/>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6"/>
        <w:gridCol w:w="3253"/>
        <w:gridCol w:w="4749"/>
      </w:tblGrid>
      <w:tr>
        <w:trPr>
          <w:trHeight w:val="470" w:hRule="atLeast"/>
        </w:trPr>
        <w:tc>
          <w:tcPr>
            <w:tcW w:w="886" w:type="dxa"/>
            <w:shd w:val="clear" w:color="auto" w:fill="E6E6E6"/>
          </w:tcPr>
          <w:p>
            <w:pPr>
              <w:pStyle w:val="TableParagraph"/>
              <w:spacing w:line="349" w:lineRule="exact"/>
              <w:ind w:right="10"/>
              <w:jc w:val="right"/>
              <w:rPr>
                <w:rFonts w:ascii="Microsoft JhengHei" w:eastAsia="Microsoft JhengHei" w:hint="eastAsia"/>
                <w:b/>
                <w:sz w:val="21"/>
              </w:rPr>
            </w:pPr>
            <w:r>
              <w:rPr>
                <w:rFonts w:ascii="Microsoft JhengHei" w:eastAsia="Microsoft JhengHei" w:hint="eastAsia"/>
                <w:b/>
                <w:sz w:val="21"/>
                <w:shd w:fill="FFFFFF" w:color="auto" w:val="clear"/>
              </w:rPr>
              <w:t>条款号</w:t>
            </w:r>
            <w:r>
              <w:rPr>
                <w:rFonts w:ascii="Microsoft JhengHei" w:eastAsia="Microsoft JhengHei" w:hint="eastAsia"/>
                <w:b/>
                <w:w w:val="201"/>
                <w:sz w:val="21"/>
              </w:rPr>
              <w:t> </w:t>
            </w:r>
          </w:p>
        </w:tc>
        <w:tc>
          <w:tcPr>
            <w:tcW w:w="3253" w:type="dxa"/>
            <w:shd w:val="clear" w:color="auto" w:fill="E6E6E6"/>
          </w:tcPr>
          <w:p>
            <w:pPr>
              <w:pStyle w:val="TableParagraph"/>
              <w:spacing w:line="349" w:lineRule="exact"/>
              <w:ind w:left="887"/>
              <w:rPr>
                <w:rFonts w:ascii="Microsoft JhengHei" w:eastAsia="Microsoft JhengHei" w:hint="eastAsia"/>
                <w:b/>
                <w:sz w:val="21"/>
              </w:rPr>
            </w:pPr>
            <w:r>
              <w:rPr>
                <w:rFonts w:ascii="Microsoft JhengHei" w:eastAsia="Microsoft JhengHei" w:hint="eastAsia"/>
                <w:b/>
                <w:sz w:val="21"/>
                <w:shd w:fill="FFFFFF" w:color="auto" w:val="clear"/>
              </w:rPr>
              <w:t>条 款 名 称</w:t>
            </w:r>
            <w:r>
              <w:rPr>
                <w:rFonts w:ascii="Microsoft JhengHei" w:eastAsia="Microsoft JhengHei" w:hint="eastAsia"/>
                <w:b/>
                <w:w w:val="201"/>
                <w:sz w:val="21"/>
              </w:rPr>
              <w:t> </w:t>
            </w:r>
          </w:p>
        </w:tc>
        <w:tc>
          <w:tcPr>
            <w:tcW w:w="4749" w:type="dxa"/>
            <w:shd w:val="clear" w:color="auto" w:fill="E6E6E6"/>
          </w:tcPr>
          <w:p>
            <w:pPr>
              <w:pStyle w:val="TableParagraph"/>
              <w:spacing w:line="349" w:lineRule="exact"/>
              <w:ind w:right="1521"/>
              <w:jc w:val="right"/>
              <w:rPr>
                <w:rFonts w:ascii="Microsoft JhengHei" w:eastAsia="Microsoft JhengHei" w:hint="eastAsia"/>
                <w:b/>
                <w:sz w:val="21"/>
              </w:rPr>
            </w:pPr>
            <w:r>
              <w:rPr>
                <w:rFonts w:ascii="Microsoft JhengHei" w:eastAsia="Microsoft JhengHei" w:hint="eastAsia"/>
                <w:b/>
                <w:sz w:val="21"/>
                <w:shd w:fill="FFFFFF" w:color="auto" w:val="clear"/>
              </w:rPr>
              <w:t>编 列 内 容</w:t>
            </w:r>
            <w:r>
              <w:rPr>
                <w:rFonts w:ascii="Microsoft JhengHei" w:eastAsia="Microsoft JhengHei" w:hint="eastAsia"/>
                <w:b/>
                <w:w w:val="201"/>
                <w:sz w:val="21"/>
              </w:rPr>
              <w:t> </w:t>
            </w:r>
          </w:p>
        </w:tc>
      </w:tr>
      <w:tr>
        <w:trPr>
          <w:trHeight w:val="2044" w:hRule="atLeast"/>
        </w:trPr>
        <w:tc>
          <w:tcPr>
            <w:tcW w:w="886"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10"/>
              <w:rPr>
                <w:rFonts w:ascii="Microsoft JhengHei"/>
                <w:b/>
                <w:sz w:val="29"/>
              </w:rPr>
            </w:pPr>
          </w:p>
          <w:p>
            <w:pPr>
              <w:pStyle w:val="TableParagraph"/>
              <w:spacing w:before="1"/>
              <w:ind w:left="179"/>
              <w:rPr>
                <w:sz w:val="21"/>
              </w:rPr>
            </w:pPr>
            <w:r>
              <w:rPr>
                <w:sz w:val="21"/>
              </w:rPr>
              <w:t>3.1.4 </w:t>
            </w:r>
          </w:p>
        </w:tc>
        <w:tc>
          <w:tcPr>
            <w:tcW w:w="3253" w:type="dxa"/>
          </w:tcPr>
          <w:p>
            <w:pPr>
              <w:pStyle w:val="TableParagraph"/>
              <w:rPr>
                <w:rFonts w:ascii="Microsoft JhengHei"/>
                <w:b/>
                <w:sz w:val="20"/>
              </w:rPr>
            </w:pPr>
          </w:p>
          <w:p>
            <w:pPr>
              <w:pStyle w:val="TableParagraph"/>
              <w:spacing w:before="10"/>
              <w:rPr>
                <w:rFonts w:ascii="Microsoft JhengHei"/>
                <w:b/>
                <w:sz w:val="24"/>
              </w:rPr>
            </w:pPr>
          </w:p>
          <w:p>
            <w:pPr>
              <w:pStyle w:val="TableParagraph"/>
              <w:ind w:left="107"/>
              <w:rPr>
                <w:sz w:val="21"/>
              </w:rPr>
            </w:pPr>
            <w:r>
              <w:rPr>
                <w:sz w:val="21"/>
              </w:rPr>
              <w:t>近年财务状况的年份要求 </w:t>
            </w:r>
          </w:p>
        </w:tc>
        <w:tc>
          <w:tcPr>
            <w:tcW w:w="4749" w:type="dxa"/>
          </w:tcPr>
          <w:p>
            <w:pPr>
              <w:pStyle w:val="TableParagraph"/>
              <w:spacing w:line="364" w:lineRule="auto" w:before="3"/>
              <w:ind w:left="106" w:right="95"/>
              <w:jc w:val="both"/>
              <w:rPr>
                <w:sz w:val="21"/>
              </w:rPr>
            </w:pPr>
            <w:r>
              <w:rPr>
                <w:color w:val="0000FF"/>
                <w:w w:val="100"/>
                <w:sz w:val="21"/>
              </w:rPr>
              <w:t>三</w:t>
            </w:r>
            <w:r>
              <w:rPr>
                <w:w w:val="100"/>
                <w:sz w:val="21"/>
              </w:rPr>
              <w:t>年</w:t>
            </w:r>
            <w:r>
              <w:rPr>
                <w:spacing w:val="-3"/>
                <w:w w:val="100"/>
                <w:sz w:val="21"/>
              </w:rPr>
              <w:t>（一般为三年</w:t>
            </w:r>
            <w:r>
              <w:rPr>
                <w:spacing w:val="-108"/>
                <w:w w:val="100"/>
                <w:sz w:val="21"/>
              </w:rPr>
              <w:t>）</w:t>
            </w:r>
            <w:r>
              <w:rPr>
                <w:w w:val="100"/>
                <w:sz w:val="21"/>
              </w:rPr>
              <w:t>，指</w:t>
            </w:r>
            <w:r>
              <w:rPr>
                <w:spacing w:val="-31"/>
                <w:sz w:val="21"/>
              </w:rPr>
              <w:t> </w:t>
            </w:r>
            <w:r>
              <w:rPr>
                <w:color w:val="0000FF"/>
                <w:spacing w:val="-3"/>
                <w:w w:val="100"/>
                <w:sz w:val="21"/>
              </w:rPr>
              <w:t>2</w:t>
            </w:r>
            <w:r>
              <w:rPr>
                <w:color w:val="0000FF"/>
                <w:w w:val="100"/>
                <w:sz w:val="21"/>
              </w:rPr>
              <w:t>017</w:t>
            </w:r>
            <w:r>
              <w:rPr>
                <w:color w:val="0000FF"/>
                <w:spacing w:val="-31"/>
                <w:sz w:val="21"/>
              </w:rPr>
              <w:t> </w:t>
            </w:r>
            <w:r>
              <w:rPr>
                <w:spacing w:val="-2"/>
                <w:w w:val="100"/>
                <w:sz w:val="21"/>
              </w:rPr>
              <w:t>年度、</w:t>
            </w:r>
            <w:r>
              <w:rPr>
                <w:color w:val="0000FF"/>
                <w:w w:val="100"/>
                <w:sz w:val="21"/>
              </w:rPr>
              <w:t>2</w:t>
            </w:r>
            <w:r>
              <w:rPr>
                <w:color w:val="0000FF"/>
                <w:spacing w:val="-3"/>
                <w:w w:val="100"/>
                <w:sz w:val="21"/>
              </w:rPr>
              <w:t>0</w:t>
            </w:r>
            <w:r>
              <w:rPr>
                <w:color w:val="0000FF"/>
                <w:w w:val="100"/>
                <w:sz w:val="21"/>
              </w:rPr>
              <w:t>18</w:t>
            </w:r>
            <w:r>
              <w:rPr>
                <w:color w:val="0000FF"/>
                <w:spacing w:val="-31"/>
                <w:sz w:val="21"/>
              </w:rPr>
              <w:t> </w:t>
            </w:r>
            <w:r>
              <w:rPr>
                <w:spacing w:val="-5"/>
                <w:w w:val="100"/>
                <w:sz w:val="21"/>
              </w:rPr>
              <w:t>年度和</w:t>
            </w:r>
            <w:r>
              <w:rPr>
                <w:w w:val="100"/>
                <w:sz w:val="21"/>
              </w:rPr>
              <w:t> </w:t>
            </w:r>
            <w:r>
              <w:rPr>
                <w:color w:val="0000FF"/>
                <w:w w:val="100"/>
                <w:sz w:val="21"/>
              </w:rPr>
              <w:t>2019</w:t>
            </w:r>
            <w:r>
              <w:rPr>
                <w:color w:val="0000FF"/>
                <w:spacing w:val="-55"/>
                <w:sz w:val="21"/>
              </w:rPr>
              <w:t> </w:t>
            </w:r>
            <w:r>
              <w:rPr>
                <w:spacing w:val="-49"/>
                <w:w w:val="100"/>
                <w:sz w:val="21"/>
              </w:rPr>
              <w:t>年度，</w:t>
            </w:r>
            <w:r>
              <w:rPr>
                <w:spacing w:val="-3"/>
                <w:w w:val="100"/>
                <w:sz w:val="21"/>
              </w:rPr>
              <w:t>（对于从取得营业执照时间起到投标截</w:t>
            </w:r>
            <w:r>
              <w:rPr>
                <w:spacing w:val="-9"/>
                <w:sz w:val="21"/>
              </w:rPr>
              <w:t>止时间为止不足要求年数的企业，只需提交企业取</w:t>
            </w:r>
            <w:r>
              <w:rPr>
                <w:spacing w:val="3"/>
                <w:sz w:val="21"/>
              </w:rPr>
              <w:t>得营业执照年份至所要求最近年份经审计的财务</w:t>
            </w:r>
          </w:p>
          <w:p>
            <w:pPr>
              <w:pStyle w:val="TableParagraph"/>
              <w:spacing w:line="265" w:lineRule="exact"/>
              <w:ind w:left="106"/>
              <w:rPr>
                <w:sz w:val="21"/>
              </w:rPr>
            </w:pPr>
            <w:r>
              <w:rPr>
                <w:sz w:val="21"/>
              </w:rPr>
              <w:t>报表</w:t>
            </w:r>
            <w:r>
              <w:rPr>
                <w:spacing w:val="-108"/>
                <w:sz w:val="21"/>
              </w:rPr>
              <w:t>）</w:t>
            </w:r>
            <w:r>
              <w:rPr>
                <w:spacing w:val="-3"/>
                <w:sz w:val="21"/>
              </w:rPr>
              <w:t>。</w:t>
            </w:r>
            <w:r>
              <w:rPr>
                <w:sz w:val="21"/>
              </w:rPr>
              <w:t> </w:t>
            </w:r>
          </w:p>
        </w:tc>
      </w:tr>
      <w:tr>
        <w:trPr>
          <w:trHeight w:val="815" w:hRule="atLeast"/>
        </w:trPr>
        <w:tc>
          <w:tcPr>
            <w:tcW w:w="886" w:type="dxa"/>
            <w:vMerge/>
            <w:tcBorders>
              <w:top w:val="nil"/>
            </w:tcBorders>
          </w:tcPr>
          <w:p>
            <w:pPr>
              <w:rPr>
                <w:sz w:val="2"/>
                <w:szCs w:val="2"/>
              </w:rPr>
            </w:pPr>
          </w:p>
        </w:tc>
        <w:tc>
          <w:tcPr>
            <w:tcW w:w="3253" w:type="dxa"/>
          </w:tcPr>
          <w:p>
            <w:pPr>
              <w:pStyle w:val="TableParagraph"/>
              <w:spacing w:before="2"/>
              <w:rPr>
                <w:rFonts w:ascii="Microsoft JhengHei"/>
                <w:b/>
                <w:sz w:val="11"/>
              </w:rPr>
            </w:pPr>
          </w:p>
          <w:p>
            <w:pPr>
              <w:pStyle w:val="TableParagraph"/>
              <w:ind w:left="107"/>
              <w:rPr>
                <w:sz w:val="21"/>
              </w:rPr>
            </w:pPr>
            <w:r>
              <w:rPr>
                <w:sz w:val="21"/>
              </w:rPr>
              <w:t>近年完成的类似项目的年份要求 </w:t>
            </w:r>
          </w:p>
        </w:tc>
        <w:tc>
          <w:tcPr>
            <w:tcW w:w="4749" w:type="dxa"/>
          </w:tcPr>
          <w:p>
            <w:pPr>
              <w:pStyle w:val="TableParagraph"/>
              <w:spacing w:before="1"/>
              <w:ind w:left="106"/>
              <w:rPr>
                <w:sz w:val="21"/>
              </w:rPr>
            </w:pPr>
            <w:r>
              <w:rPr>
                <w:color w:val="0000FF"/>
                <w:sz w:val="21"/>
              </w:rPr>
              <w:t>2017</w:t>
            </w:r>
            <w:r>
              <w:rPr>
                <w:color w:val="0000FF"/>
                <w:spacing w:val="-51"/>
                <w:sz w:val="21"/>
              </w:rPr>
              <w:t> </w:t>
            </w:r>
            <w:r>
              <w:rPr>
                <w:spacing w:val="-24"/>
                <w:sz w:val="21"/>
              </w:rPr>
              <w:t>年 </w:t>
            </w:r>
            <w:r>
              <w:rPr>
                <w:color w:val="0000FF"/>
                <w:sz w:val="21"/>
              </w:rPr>
              <w:t>10 </w:t>
            </w:r>
            <w:r>
              <w:rPr>
                <w:spacing w:val="-7"/>
                <w:sz w:val="21"/>
              </w:rPr>
              <w:t>月至投标截止日期止，指项目竣工时间</w:t>
            </w:r>
          </w:p>
          <w:p>
            <w:pPr>
              <w:pStyle w:val="TableParagraph"/>
              <w:spacing w:before="139"/>
              <w:ind w:left="106"/>
              <w:rPr>
                <w:sz w:val="21"/>
              </w:rPr>
            </w:pPr>
            <w:r>
              <w:rPr>
                <w:sz w:val="21"/>
              </w:rPr>
              <w:t>至投标截止时间止不超过</w:t>
            </w:r>
            <w:r>
              <w:rPr>
                <w:color w:val="0000FF"/>
                <w:sz w:val="21"/>
              </w:rPr>
              <w:t>三</w:t>
            </w:r>
            <w:r>
              <w:rPr>
                <w:sz w:val="21"/>
              </w:rPr>
              <w:t>年 </w:t>
            </w:r>
          </w:p>
        </w:tc>
      </w:tr>
      <w:tr>
        <w:trPr>
          <w:trHeight w:val="818" w:hRule="atLeast"/>
        </w:trPr>
        <w:tc>
          <w:tcPr>
            <w:tcW w:w="886" w:type="dxa"/>
            <w:vMerge/>
            <w:tcBorders>
              <w:top w:val="nil"/>
            </w:tcBorders>
          </w:tcPr>
          <w:p>
            <w:pPr>
              <w:rPr>
                <w:sz w:val="2"/>
                <w:szCs w:val="2"/>
              </w:rPr>
            </w:pPr>
          </w:p>
        </w:tc>
        <w:tc>
          <w:tcPr>
            <w:tcW w:w="3253" w:type="dxa"/>
          </w:tcPr>
          <w:p>
            <w:pPr>
              <w:pStyle w:val="TableParagraph"/>
              <w:spacing w:before="1"/>
              <w:ind w:left="107"/>
              <w:rPr>
                <w:sz w:val="21"/>
              </w:rPr>
            </w:pPr>
            <w:r>
              <w:rPr>
                <w:sz w:val="21"/>
              </w:rPr>
              <w:t>近年发生的诉讼及仲裁情况的年</w:t>
            </w:r>
          </w:p>
          <w:p>
            <w:pPr>
              <w:pStyle w:val="TableParagraph"/>
              <w:spacing w:before="142"/>
              <w:ind w:left="107"/>
              <w:rPr>
                <w:sz w:val="21"/>
              </w:rPr>
            </w:pPr>
            <w:r>
              <w:rPr>
                <w:sz w:val="21"/>
              </w:rPr>
              <w:t>份要求 </w:t>
            </w:r>
          </w:p>
        </w:tc>
        <w:tc>
          <w:tcPr>
            <w:tcW w:w="4749" w:type="dxa"/>
          </w:tcPr>
          <w:p>
            <w:pPr>
              <w:pStyle w:val="TableParagraph"/>
              <w:spacing w:before="1"/>
              <w:ind w:left="106"/>
              <w:rPr>
                <w:sz w:val="21"/>
              </w:rPr>
            </w:pPr>
            <w:r>
              <w:rPr>
                <w:color w:val="0000FF"/>
                <w:sz w:val="21"/>
              </w:rPr>
              <w:t>2017</w:t>
            </w:r>
            <w:r>
              <w:rPr>
                <w:color w:val="0000FF"/>
                <w:spacing w:val="-51"/>
                <w:sz w:val="21"/>
              </w:rPr>
              <w:t> </w:t>
            </w:r>
            <w:r>
              <w:rPr>
                <w:spacing w:val="-24"/>
                <w:sz w:val="21"/>
              </w:rPr>
              <w:t>年 </w:t>
            </w:r>
            <w:r>
              <w:rPr>
                <w:color w:val="0000FF"/>
                <w:sz w:val="21"/>
              </w:rPr>
              <w:t>10 </w:t>
            </w:r>
            <w:r>
              <w:rPr>
                <w:spacing w:val="-7"/>
                <w:sz w:val="21"/>
              </w:rPr>
              <w:t>月至投标截止日期止，指诉讼及仲裁判</w:t>
            </w:r>
          </w:p>
          <w:p>
            <w:pPr>
              <w:pStyle w:val="TableParagraph"/>
              <w:spacing w:before="142"/>
              <w:ind w:left="106"/>
              <w:rPr>
                <w:sz w:val="21"/>
              </w:rPr>
            </w:pPr>
            <w:r>
              <w:rPr>
                <w:sz w:val="21"/>
              </w:rPr>
              <w:t>决时间至投标截止时间止不超过</w:t>
            </w:r>
            <w:r>
              <w:rPr>
                <w:color w:val="0000FF"/>
                <w:sz w:val="21"/>
              </w:rPr>
              <w:t>三</w:t>
            </w:r>
            <w:r>
              <w:rPr>
                <w:sz w:val="21"/>
              </w:rPr>
              <w:t>年 </w:t>
            </w:r>
          </w:p>
        </w:tc>
      </w:tr>
      <w:tr>
        <w:trPr>
          <w:trHeight w:val="606" w:hRule="atLeast"/>
        </w:trPr>
        <w:tc>
          <w:tcPr>
            <w:tcW w:w="886" w:type="dxa"/>
          </w:tcPr>
          <w:p>
            <w:pPr>
              <w:pStyle w:val="TableParagraph"/>
              <w:spacing w:before="99"/>
              <w:ind w:right="63"/>
              <w:jc w:val="right"/>
              <w:rPr>
                <w:sz w:val="21"/>
              </w:rPr>
            </w:pPr>
            <w:r>
              <w:rPr>
                <w:sz w:val="21"/>
              </w:rPr>
              <w:t>3.3.1 </w:t>
            </w:r>
          </w:p>
        </w:tc>
        <w:tc>
          <w:tcPr>
            <w:tcW w:w="3253" w:type="dxa"/>
          </w:tcPr>
          <w:p>
            <w:pPr>
              <w:pStyle w:val="TableParagraph"/>
              <w:spacing w:before="99"/>
              <w:ind w:left="107"/>
              <w:rPr>
                <w:sz w:val="21"/>
              </w:rPr>
            </w:pPr>
            <w:r>
              <w:rPr>
                <w:sz w:val="21"/>
              </w:rPr>
              <w:t>投标有效期 </w:t>
            </w:r>
          </w:p>
        </w:tc>
        <w:tc>
          <w:tcPr>
            <w:tcW w:w="4749" w:type="dxa"/>
          </w:tcPr>
          <w:p>
            <w:pPr>
              <w:pStyle w:val="TableParagraph"/>
              <w:spacing w:before="82"/>
              <w:ind w:right="1530"/>
              <w:jc w:val="right"/>
              <w:rPr>
                <w:sz w:val="21"/>
              </w:rPr>
            </w:pPr>
            <w:r>
              <w:rPr>
                <w:color w:val="0000FF"/>
                <w:sz w:val="21"/>
              </w:rPr>
              <w:t>□</w:t>
            </w:r>
            <w:r>
              <w:rPr>
                <w:sz w:val="21"/>
              </w:rPr>
              <w:t>45 天 </w:t>
            </w:r>
            <w:r>
              <w:rPr>
                <w:rFonts w:ascii="Segoe UI Symbol" w:hAnsi="Segoe UI Symbol" w:eastAsia="Segoe UI Symbol"/>
                <w:color w:val="0000FF"/>
                <w:sz w:val="21"/>
              </w:rPr>
              <w:t>☑ </w:t>
            </w:r>
            <w:r>
              <w:rPr>
                <w:sz w:val="21"/>
              </w:rPr>
              <w:t>60 天 </w:t>
            </w:r>
            <w:r>
              <w:rPr>
                <w:color w:val="0000FF"/>
                <w:sz w:val="21"/>
              </w:rPr>
              <w:t>□</w:t>
            </w:r>
            <w:r>
              <w:rPr>
                <w:sz w:val="21"/>
              </w:rPr>
              <w:t>90 天 </w:t>
            </w:r>
          </w:p>
        </w:tc>
      </w:tr>
      <w:tr>
        <w:trPr>
          <w:trHeight w:val="8988" w:hRule="atLeast"/>
        </w:trPr>
        <w:tc>
          <w:tcPr>
            <w:tcW w:w="886" w:type="dxa"/>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5"/>
              <w:rPr>
                <w:rFonts w:ascii="Microsoft JhengHei"/>
                <w:b/>
                <w:sz w:val="13"/>
              </w:rPr>
            </w:pPr>
          </w:p>
          <w:p>
            <w:pPr>
              <w:pStyle w:val="TableParagraph"/>
              <w:ind w:right="63"/>
              <w:jc w:val="right"/>
              <w:rPr>
                <w:sz w:val="21"/>
              </w:rPr>
            </w:pPr>
            <w:r>
              <w:rPr>
                <w:sz w:val="21"/>
              </w:rPr>
              <w:t>3.4.1 </w:t>
            </w:r>
          </w:p>
        </w:tc>
        <w:tc>
          <w:tcPr>
            <w:tcW w:w="3253" w:type="dxa"/>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2"/>
              <w:rPr>
                <w:rFonts w:ascii="Microsoft JhengHei"/>
                <w:b/>
                <w:sz w:val="11"/>
              </w:rPr>
            </w:pPr>
          </w:p>
          <w:p>
            <w:pPr>
              <w:pStyle w:val="TableParagraph"/>
              <w:ind w:left="107"/>
              <w:rPr>
                <w:sz w:val="21"/>
              </w:rPr>
            </w:pPr>
            <w:r>
              <w:rPr>
                <w:sz w:val="21"/>
              </w:rPr>
              <w:t>投标保证金 </w:t>
            </w:r>
          </w:p>
          <w:p>
            <w:pPr>
              <w:pStyle w:val="TableParagraph"/>
              <w:spacing w:line="364" w:lineRule="auto" w:before="139"/>
              <w:ind w:left="107" w:right="92"/>
              <w:jc w:val="both"/>
              <w:rPr>
                <w:sz w:val="21"/>
              </w:rPr>
            </w:pPr>
            <w:r>
              <w:rPr>
                <w:spacing w:val="3"/>
                <w:sz w:val="21"/>
              </w:rPr>
              <w:t>【根据《南宁市人民政府办公厅关于印发南宁市政府采购“放管</w:t>
            </w:r>
            <w:r>
              <w:rPr>
                <w:spacing w:val="-13"/>
                <w:sz w:val="21"/>
              </w:rPr>
              <w:t>服”改革工作方案的通知》</w:t>
            </w:r>
            <w:r>
              <w:rPr>
                <w:sz w:val="21"/>
              </w:rPr>
              <w:t>（</w:t>
            </w:r>
            <w:r>
              <w:rPr>
                <w:spacing w:val="-7"/>
                <w:sz w:val="21"/>
              </w:rPr>
              <w:t>南府</w:t>
            </w:r>
            <w:r>
              <w:rPr>
                <w:spacing w:val="-1"/>
                <w:sz w:val="21"/>
              </w:rPr>
              <w:t>办函〔</w:t>
            </w:r>
            <w:r>
              <w:rPr>
                <w:sz w:val="21"/>
              </w:rPr>
              <w:t>2019〕24</w:t>
            </w:r>
            <w:r>
              <w:rPr>
                <w:spacing w:val="-1"/>
                <w:sz w:val="21"/>
              </w:rPr>
              <w:t> 号</w:t>
            </w:r>
            <w:r>
              <w:rPr>
                <w:spacing w:val="-3"/>
                <w:sz w:val="21"/>
              </w:rPr>
              <w:t>）</w:t>
            </w:r>
            <w:r>
              <w:rPr>
                <w:spacing w:val="-5"/>
                <w:sz w:val="21"/>
              </w:rPr>
              <w:t>文件要求： </w:t>
            </w:r>
            <w:r>
              <w:rPr>
                <w:spacing w:val="4"/>
                <w:sz w:val="21"/>
              </w:rPr>
              <w:t>停止收取政府投资建设工程</w:t>
            </w:r>
            <w:r>
              <w:rPr>
                <w:spacing w:val="6"/>
                <w:sz w:val="21"/>
              </w:rPr>
              <w:t>（</w:t>
            </w:r>
            <w:r>
              <w:rPr>
                <w:sz w:val="21"/>
              </w:rPr>
              <w:t>房</w:t>
            </w:r>
            <w:r>
              <w:rPr>
                <w:spacing w:val="4"/>
                <w:sz w:val="21"/>
              </w:rPr>
              <w:t>屋建筑和市政基础设施工程</w:t>
            </w:r>
            <w:r>
              <w:rPr>
                <w:spacing w:val="6"/>
                <w:sz w:val="21"/>
              </w:rPr>
              <w:t>）</w:t>
            </w:r>
            <w:r>
              <w:rPr>
                <w:sz w:val="21"/>
              </w:rPr>
              <w:t>类</w:t>
            </w:r>
            <w:r>
              <w:rPr>
                <w:spacing w:val="3"/>
                <w:sz w:val="21"/>
              </w:rPr>
              <w:t>项目的投标保证金，政府投资建</w:t>
            </w:r>
            <w:r>
              <w:rPr>
                <w:spacing w:val="5"/>
                <w:sz w:val="21"/>
              </w:rPr>
              <w:t>设工程</w:t>
            </w:r>
            <w:r>
              <w:rPr>
                <w:spacing w:val="6"/>
                <w:sz w:val="21"/>
              </w:rPr>
              <w:t>（</w:t>
            </w:r>
            <w:r>
              <w:rPr>
                <w:spacing w:val="3"/>
                <w:sz w:val="21"/>
              </w:rPr>
              <w:t>房屋建筑和市政基础设</w:t>
            </w:r>
            <w:r>
              <w:rPr>
                <w:spacing w:val="5"/>
                <w:sz w:val="21"/>
              </w:rPr>
              <w:t>施工程</w:t>
            </w:r>
            <w:r>
              <w:rPr>
                <w:spacing w:val="6"/>
                <w:sz w:val="21"/>
              </w:rPr>
              <w:t>）</w:t>
            </w:r>
            <w:r>
              <w:rPr>
                <w:spacing w:val="3"/>
                <w:sz w:val="21"/>
              </w:rPr>
              <w:t>类项目的履约保证金由采购人根据项目特点和企业的诚</w:t>
            </w:r>
            <w:r>
              <w:rPr>
                <w:spacing w:val="-13"/>
                <w:sz w:val="21"/>
              </w:rPr>
              <w:t>信记录决定是否收取。】</w:t>
            </w:r>
            <w:r>
              <w:rPr>
                <w:sz w:val="21"/>
              </w:rPr>
              <w:t> </w:t>
            </w:r>
          </w:p>
        </w:tc>
        <w:tc>
          <w:tcPr>
            <w:tcW w:w="4749" w:type="dxa"/>
          </w:tcPr>
          <w:p>
            <w:pPr>
              <w:pStyle w:val="TableParagraph"/>
              <w:spacing w:line="364" w:lineRule="auto" w:before="1"/>
              <w:ind w:left="106" w:right="6"/>
              <w:rPr>
                <w:sz w:val="21"/>
              </w:rPr>
            </w:pPr>
            <w:r>
              <w:rPr>
                <w:spacing w:val="-3"/>
                <w:sz w:val="21"/>
              </w:rPr>
              <w:t>投标保证金的形式：银行转账、电汇或网上支付、</w:t>
            </w:r>
            <w:r>
              <w:rPr>
                <w:spacing w:val="-12"/>
                <w:sz w:val="21"/>
              </w:rPr>
              <w:t>银行保函、工程担保、工程保证保险。禁止采用现</w:t>
            </w:r>
            <w:r>
              <w:rPr>
                <w:spacing w:val="-14"/>
                <w:sz w:val="21"/>
              </w:rPr>
              <w:t>钞交纳方式。【备注：严禁要求投标人只能以现金</w:t>
            </w:r>
            <w:r>
              <w:rPr>
                <w:spacing w:val="-13"/>
                <w:sz w:val="21"/>
              </w:rPr>
              <w:t>方式提交保证金的行为。采用银行保函、工程担保</w:t>
            </w:r>
            <w:r>
              <w:rPr>
                <w:spacing w:val="-12"/>
                <w:sz w:val="21"/>
              </w:rPr>
              <w:t>或工程保证保险方式的，必须为无条件保函，保函</w:t>
            </w:r>
            <w:r>
              <w:rPr>
                <w:spacing w:val="-14"/>
                <w:sz w:val="21"/>
              </w:rPr>
              <w:t>有效期不得低于投标有效期。】</w:t>
            </w:r>
            <w:r>
              <w:rPr>
                <w:sz w:val="21"/>
              </w:rPr>
              <w:t> </w:t>
            </w:r>
          </w:p>
          <w:p>
            <w:pPr>
              <w:pStyle w:val="TableParagraph"/>
              <w:spacing w:line="364" w:lineRule="auto"/>
              <w:ind w:left="106" w:right="-15"/>
              <w:rPr>
                <w:sz w:val="21"/>
              </w:rPr>
            </w:pPr>
            <w:r>
              <w:rPr>
                <w:spacing w:val="-7"/>
                <w:sz w:val="21"/>
              </w:rPr>
              <w:t>投标保证金的金额：</w:t>
            </w:r>
            <w:r>
              <w:rPr>
                <w:color w:val="0000FF"/>
                <w:spacing w:val="-34"/>
                <w:sz w:val="21"/>
              </w:rPr>
              <w:t>0</w:t>
            </w:r>
            <w:r>
              <w:rPr>
                <w:color w:val="0000FF"/>
                <w:spacing w:val="-42"/>
                <w:sz w:val="21"/>
              </w:rPr>
              <w:t> </w:t>
            </w:r>
            <w:r>
              <w:rPr>
                <w:spacing w:val="-19"/>
                <w:sz w:val="21"/>
              </w:rPr>
              <w:t>元【备注：项目估算价的 </w:t>
            </w:r>
            <w:r>
              <w:rPr>
                <w:sz w:val="21"/>
              </w:rPr>
              <w:t>2%， </w:t>
            </w:r>
            <w:r>
              <w:rPr>
                <w:spacing w:val="-10"/>
                <w:sz w:val="21"/>
              </w:rPr>
              <w:t>且最多不超过 </w:t>
            </w:r>
            <w:r>
              <w:rPr>
                <w:sz w:val="21"/>
              </w:rPr>
              <w:t>50</w:t>
            </w:r>
            <w:r>
              <w:rPr>
                <w:spacing w:val="-15"/>
                <w:sz w:val="21"/>
              </w:rPr>
              <w:t> 万元】</w:t>
            </w:r>
            <w:r>
              <w:rPr>
                <w:sz w:val="21"/>
              </w:rPr>
              <w:t> </w:t>
            </w:r>
          </w:p>
          <w:p>
            <w:pPr>
              <w:pStyle w:val="TableParagraph"/>
              <w:spacing w:line="267" w:lineRule="exact"/>
              <w:ind w:left="106"/>
              <w:rPr>
                <w:sz w:val="21"/>
              </w:rPr>
            </w:pPr>
            <w:r>
              <w:rPr>
                <w:spacing w:val="-2"/>
                <w:sz w:val="21"/>
              </w:rPr>
              <w:t>递交方式： </w:t>
            </w:r>
            <w:r>
              <w:rPr>
                <w:sz w:val="21"/>
              </w:rPr>
              <w:t> </w:t>
            </w:r>
          </w:p>
          <w:p>
            <w:pPr>
              <w:pStyle w:val="TableParagraph"/>
              <w:spacing w:line="364" w:lineRule="auto" w:before="138"/>
              <w:ind w:left="106" w:right="95"/>
              <w:jc w:val="both"/>
              <w:rPr>
                <w:sz w:val="21"/>
              </w:rPr>
            </w:pPr>
            <w:r>
              <w:rPr>
                <w:sz w:val="21"/>
              </w:rPr>
              <w:t>1</w:t>
            </w:r>
            <w:r>
              <w:rPr>
                <w:spacing w:val="-4"/>
                <w:sz w:val="21"/>
              </w:rPr>
              <w:t>、使用银行转账时投标保证金必须从投标人的基</w:t>
            </w:r>
            <w:r>
              <w:rPr>
                <w:spacing w:val="-8"/>
                <w:sz w:val="21"/>
              </w:rPr>
              <w:t>本账户汇到以下指定的投标保证金专用帐户，否则</w:t>
            </w:r>
            <w:r>
              <w:rPr>
                <w:spacing w:val="-6"/>
                <w:sz w:val="21"/>
              </w:rPr>
              <w:t>投标无效。</w:t>
            </w:r>
            <w:r>
              <w:rPr>
                <w:sz w:val="21"/>
              </w:rPr>
              <w:t> </w:t>
            </w:r>
          </w:p>
          <w:p>
            <w:pPr>
              <w:pStyle w:val="TableParagraph"/>
              <w:spacing w:line="364" w:lineRule="auto"/>
              <w:ind w:left="106" w:right="112"/>
              <w:rPr>
                <w:sz w:val="21"/>
              </w:rPr>
            </w:pPr>
            <w:r>
              <w:rPr>
                <w:sz w:val="21"/>
              </w:rPr>
              <w:t>（ 详 见 操 作 手 册 ： https:</w:t>
            </w:r>
            <w:hyperlink r:id="rId18">
              <w:r>
                <w:rPr>
                  <w:sz w:val="21"/>
                </w:rPr>
                <w:t>//www.nnggzy</w:t>
              </w:r>
            </w:hyperlink>
            <w:r>
              <w:rPr>
                <w:sz w:val="21"/>
              </w:rPr>
              <w:t>.</w:t>
            </w:r>
            <w:hyperlink r:id="rId18">
              <w:r>
                <w:rPr>
                  <w:sz w:val="21"/>
                </w:rPr>
                <w:t>org</w:t>
              </w:r>
            </w:hyperlink>
            <w:r>
              <w:rPr>
                <w:sz w:val="21"/>
              </w:rPr>
              <w:t>.</w:t>
            </w:r>
            <w:hyperlink r:id="rId18">
              <w:r>
                <w:rPr>
                  <w:sz w:val="21"/>
                </w:rPr>
                <w:t>cn/gxnnzbw/</w:t>
              </w:r>
            </w:hyperlink>
            <w:r>
              <w:rPr>
                <w:sz w:val="21"/>
              </w:rPr>
              <w:t> infodetail/?infoid=1a9fefbb-ecb3-4498-b25a- 9c9970ccb120&amp;categoryNum=005002） </w:t>
            </w:r>
          </w:p>
          <w:p>
            <w:pPr>
              <w:pStyle w:val="TableParagraph"/>
              <w:spacing w:line="364" w:lineRule="auto"/>
              <w:ind w:left="106" w:right="6"/>
              <w:rPr>
                <w:sz w:val="21"/>
              </w:rPr>
            </w:pPr>
            <w:r>
              <w:rPr>
                <w:sz w:val="21"/>
              </w:rPr>
              <w:t>2</w:t>
            </w:r>
            <w:r>
              <w:rPr>
                <w:spacing w:val="-3"/>
                <w:sz w:val="21"/>
              </w:rPr>
              <w:t>、投标人使用银行保函、工程担保、工程保证保险等（以下统一简称为保函，下同）递交方式时， </w:t>
            </w:r>
            <w:r>
              <w:rPr>
                <w:spacing w:val="3"/>
                <w:sz w:val="21"/>
              </w:rPr>
              <w:t>投标人将保函原件电子扫描件作为投标文件的组</w:t>
            </w:r>
            <w:r>
              <w:rPr>
                <w:spacing w:val="-8"/>
                <w:sz w:val="21"/>
              </w:rPr>
              <w:t>成部分同步上传至南宁市公共资源交易系统，否则</w:t>
            </w:r>
            <w:r>
              <w:rPr>
                <w:spacing w:val="-13"/>
                <w:sz w:val="21"/>
              </w:rPr>
              <w:t>投标无效。在投标时间截止时，投标人在开标现场</w:t>
            </w:r>
          </w:p>
          <w:p>
            <w:pPr>
              <w:pStyle w:val="TableParagraph"/>
              <w:spacing w:line="267" w:lineRule="exact"/>
              <w:ind w:left="106"/>
              <w:rPr>
                <w:sz w:val="21"/>
              </w:rPr>
            </w:pPr>
            <w:r>
              <w:rPr>
                <w:spacing w:val="3"/>
                <w:sz w:val="21"/>
              </w:rPr>
              <w:t>提交单独密封的保函原件，由招标人核验保函信</w:t>
            </w:r>
          </w:p>
        </w:tc>
      </w:tr>
    </w:tbl>
    <w:p>
      <w:pPr>
        <w:spacing w:after="0" w:line="267" w:lineRule="exact"/>
        <w:rPr>
          <w:sz w:val="21"/>
        </w:rPr>
        <w:sectPr>
          <w:pgSz w:w="11910" w:h="16850"/>
          <w:pgMar w:header="0" w:footer="779" w:top="1440" w:bottom="960" w:left="1120" w:right="280"/>
        </w:sectPr>
      </w:pPr>
    </w:p>
    <w:tbl>
      <w:tblPr>
        <w:tblW w:w="0" w:type="auto"/>
        <w:jc w:val="left"/>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6"/>
        <w:gridCol w:w="3253"/>
        <w:gridCol w:w="4749"/>
      </w:tblGrid>
      <w:tr>
        <w:trPr>
          <w:trHeight w:val="470" w:hRule="atLeast"/>
        </w:trPr>
        <w:tc>
          <w:tcPr>
            <w:tcW w:w="886" w:type="dxa"/>
            <w:shd w:val="clear" w:color="auto" w:fill="E6E6E6"/>
          </w:tcPr>
          <w:p>
            <w:pPr>
              <w:pStyle w:val="TableParagraph"/>
              <w:spacing w:line="349" w:lineRule="exact"/>
              <w:ind w:left="159" w:right="47"/>
              <w:jc w:val="center"/>
              <w:rPr>
                <w:rFonts w:ascii="Microsoft JhengHei" w:eastAsia="Microsoft JhengHei" w:hint="eastAsia"/>
                <w:b/>
                <w:sz w:val="21"/>
              </w:rPr>
            </w:pPr>
            <w:r>
              <w:rPr>
                <w:rFonts w:ascii="Microsoft JhengHei" w:eastAsia="Microsoft JhengHei" w:hint="eastAsia"/>
                <w:b/>
                <w:sz w:val="21"/>
                <w:shd w:fill="FFFFFF" w:color="auto" w:val="clear"/>
              </w:rPr>
              <w:t>条款号</w:t>
            </w:r>
            <w:r>
              <w:rPr>
                <w:rFonts w:ascii="Microsoft JhengHei" w:eastAsia="Microsoft JhengHei" w:hint="eastAsia"/>
                <w:b/>
                <w:w w:val="201"/>
                <w:sz w:val="21"/>
              </w:rPr>
              <w:t> </w:t>
            </w:r>
          </w:p>
        </w:tc>
        <w:tc>
          <w:tcPr>
            <w:tcW w:w="3253" w:type="dxa"/>
            <w:shd w:val="clear" w:color="auto" w:fill="E6E6E6"/>
          </w:tcPr>
          <w:p>
            <w:pPr>
              <w:pStyle w:val="TableParagraph"/>
              <w:spacing w:line="349" w:lineRule="exact"/>
              <w:ind w:left="887"/>
              <w:rPr>
                <w:rFonts w:ascii="Microsoft JhengHei" w:eastAsia="Microsoft JhengHei" w:hint="eastAsia"/>
                <w:b/>
                <w:sz w:val="21"/>
              </w:rPr>
            </w:pPr>
            <w:r>
              <w:rPr>
                <w:rFonts w:ascii="Microsoft JhengHei" w:eastAsia="Microsoft JhengHei" w:hint="eastAsia"/>
                <w:b/>
                <w:sz w:val="21"/>
                <w:shd w:fill="FFFFFF" w:color="auto" w:val="clear"/>
              </w:rPr>
              <w:t>条 款 名 称</w:t>
            </w:r>
            <w:r>
              <w:rPr>
                <w:rFonts w:ascii="Microsoft JhengHei" w:eastAsia="Microsoft JhengHei" w:hint="eastAsia"/>
                <w:b/>
                <w:w w:val="201"/>
                <w:sz w:val="21"/>
              </w:rPr>
              <w:t> </w:t>
            </w:r>
          </w:p>
        </w:tc>
        <w:tc>
          <w:tcPr>
            <w:tcW w:w="4749" w:type="dxa"/>
            <w:shd w:val="clear" w:color="auto" w:fill="E6E6E6"/>
          </w:tcPr>
          <w:p>
            <w:pPr>
              <w:pStyle w:val="TableParagraph"/>
              <w:spacing w:line="349" w:lineRule="exact"/>
              <w:ind w:left="1633"/>
              <w:rPr>
                <w:rFonts w:ascii="Microsoft JhengHei" w:eastAsia="Microsoft JhengHei" w:hint="eastAsia"/>
                <w:b/>
                <w:sz w:val="21"/>
              </w:rPr>
            </w:pPr>
            <w:r>
              <w:rPr>
                <w:rFonts w:ascii="Microsoft JhengHei" w:eastAsia="Microsoft JhengHei" w:hint="eastAsia"/>
                <w:b/>
                <w:sz w:val="21"/>
                <w:shd w:fill="FFFFFF" w:color="auto" w:val="clear"/>
              </w:rPr>
              <w:t>编 列 内 容</w:t>
            </w:r>
            <w:r>
              <w:rPr>
                <w:rFonts w:ascii="Microsoft JhengHei" w:eastAsia="Microsoft JhengHei" w:hint="eastAsia"/>
                <w:b/>
                <w:w w:val="201"/>
                <w:sz w:val="21"/>
              </w:rPr>
              <w:t> </w:t>
            </w:r>
          </w:p>
        </w:tc>
      </w:tr>
      <w:tr>
        <w:trPr>
          <w:trHeight w:val="4903" w:hRule="atLeast"/>
        </w:trPr>
        <w:tc>
          <w:tcPr>
            <w:tcW w:w="886" w:type="dxa"/>
          </w:tcPr>
          <w:p>
            <w:pPr>
              <w:pStyle w:val="TableParagraph"/>
              <w:rPr>
                <w:rFonts w:ascii="Times New Roman"/>
                <w:sz w:val="20"/>
              </w:rPr>
            </w:pPr>
          </w:p>
        </w:tc>
        <w:tc>
          <w:tcPr>
            <w:tcW w:w="3253" w:type="dxa"/>
          </w:tcPr>
          <w:p>
            <w:pPr>
              <w:pStyle w:val="TableParagraph"/>
              <w:rPr>
                <w:rFonts w:ascii="Times New Roman"/>
                <w:sz w:val="20"/>
              </w:rPr>
            </w:pPr>
          </w:p>
        </w:tc>
        <w:tc>
          <w:tcPr>
            <w:tcW w:w="4749" w:type="dxa"/>
          </w:tcPr>
          <w:p>
            <w:pPr>
              <w:pStyle w:val="TableParagraph"/>
              <w:spacing w:line="364" w:lineRule="auto" w:before="3"/>
              <w:ind w:left="106" w:right="95"/>
              <w:jc w:val="both"/>
              <w:rPr>
                <w:sz w:val="21"/>
              </w:rPr>
            </w:pPr>
            <w:r>
              <w:rPr>
                <w:spacing w:val="-12"/>
                <w:sz w:val="21"/>
              </w:rPr>
              <w:t>息，确认保函是否有效后交由招标人或当地交易中心管理。投标人提交的保函原件未单独密封的，原</w:t>
            </w:r>
            <w:r>
              <w:rPr>
                <w:spacing w:val="-8"/>
                <w:sz w:val="21"/>
              </w:rPr>
              <w:t>件无效的或未能在投标截止时间前现场提交的，投</w:t>
            </w:r>
            <w:r>
              <w:rPr>
                <w:spacing w:val="-6"/>
                <w:sz w:val="21"/>
              </w:rPr>
              <w:t>标无效。</w:t>
            </w:r>
            <w:r>
              <w:rPr>
                <w:sz w:val="21"/>
              </w:rPr>
              <w:t> </w:t>
            </w:r>
          </w:p>
          <w:p>
            <w:pPr>
              <w:pStyle w:val="TableParagraph"/>
              <w:spacing w:line="364" w:lineRule="auto"/>
              <w:ind w:left="106" w:right="95"/>
              <w:jc w:val="both"/>
              <w:rPr>
                <w:sz w:val="21"/>
              </w:rPr>
            </w:pPr>
            <w:r>
              <w:rPr>
                <w:sz w:val="21"/>
              </w:rPr>
              <w:t>3</w:t>
            </w:r>
            <w:r>
              <w:rPr>
                <w:spacing w:val="-2"/>
                <w:sz w:val="21"/>
              </w:rPr>
              <w:t>、投标保证金不足额缴纳的，或银行保函</w:t>
            </w:r>
            <w:r>
              <w:rPr>
                <w:spacing w:val="-3"/>
                <w:sz w:val="21"/>
              </w:rPr>
              <w:t>（</w:t>
            </w:r>
            <w:r>
              <w:rPr>
                <w:spacing w:val="-7"/>
                <w:sz w:val="21"/>
              </w:rPr>
              <w:t>工程</w:t>
            </w:r>
            <w:r>
              <w:rPr>
                <w:spacing w:val="-3"/>
                <w:sz w:val="21"/>
              </w:rPr>
              <w:t>担保保函或工程保证保险</w:t>
            </w:r>
            <w:r>
              <w:rPr>
                <w:spacing w:val="-46"/>
                <w:sz w:val="21"/>
              </w:rPr>
              <w:t>）</w:t>
            </w:r>
            <w:r>
              <w:rPr>
                <w:spacing w:val="-10"/>
                <w:sz w:val="21"/>
              </w:rPr>
              <w:t>额度不足的，其投标无</w:t>
            </w:r>
            <w:r>
              <w:rPr>
                <w:sz w:val="21"/>
              </w:rPr>
              <w:t>效。 </w:t>
            </w:r>
          </w:p>
          <w:p>
            <w:pPr>
              <w:pStyle w:val="TableParagraph"/>
              <w:spacing w:line="364" w:lineRule="auto"/>
              <w:ind w:left="106" w:right="3264"/>
              <w:jc w:val="both"/>
              <w:rPr>
                <w:sz w:val="21"/>
              </w:rPr>
            </w:pPr>
            <w:r>
              <w:rPr>
                <w:spacing w:val="-2"/>
                <w:sz w:val="21"/>
              </w:rPr>
              <w:t>账户名称：</w:t>
            </w:r>
            <w:r>
              <w:rPr>
                <w:color w:val="0000FF"/>
                <w:spacing w:val="-2"/>
                <w:sz w:val="21"/>
              </w:rPr>
              <w:t> </w:t>
            </w:r>
            <w:r>
              <w:rPr>
                <w:spacing w:val="-2"/>
                <w:sz w:val="21"/>
              </w:rPr>
              <w:t> 开户银行：</w:t>
            </w:r>
            <w:r>
              <w:rPr>
                <w:color w:val="0000FF"/>
                <w:spacing w:val="-2"/>
                <w:sz w:val="21"/>
              </w:rPr>
              <w:t> </w:t>
            </w:r>
            <w:r>
              <w:rPr>
                <w:spacing w:val="-2"/>
                <w:sz w:val="21"/>
              </w:rPr>
              <w:t> 银行账号：</w:t>
            </w:r>
            <w:r>
              <w:rPr>
                <w:color w:val="0000FF"/>
                <w:sz w:val="21"/>
              </w:rPr>
              <w:t> </w:t>
            </w:r>
            <w:r>
              <w:rPr>
                <w:color w:val="0000FF"/>
                <w:spacing w:val="-3"/>
                <w:sz w:val="21"/>
              </w:rPr>
              <w:t> </w:t>
            </w:r>
            <w:r>
              <w:rPr>
                <w:color w:val="0000FF"/>
                <w:sz w:val="21"/>
              </w:rPr>
              <w:t> </w:t>
            </w:r>
          </w:p>
          <w:p>
            <w:pPr>
              <w:pStyle w:val="TableParagraph"/>
              <w:ind w:left="106"/>
              <w:rPr>
                <w:sz w:val="21"/>
              </w:rPr>
            </w:pPr>
            <w:r>
              <w:rPr>
                <w:sz w:val="21"/>
              </w:rPr>
              <w:t>南宁市公共资源交易中心负责对投标保证金的递</w:t>
            </w:r>
          </w:p>
          <w:p>
            <w:pPr>
              <w:pStyle w:val="TableParagraph"/>
              <w:spacing w:before="135"/>
              <w:ind w:left="106"/>
              <w:rPr>
                <w:sz w:val="21"/>
              </w:rPr>
            </w:pPr>
            <w:r>
              <w:rPr>
                <w:sz w:val="21"/>
              </w:rPr>
              <w:t>交方式进行解释。 </w:t>
            </w:r>
          </w:p>
        </w:tc>
      </w:tr>
      <w:tr>
        <w:trPr>
          <w:trHeight w:val="410" w:hRule="atLeast"/>
        </w:trPr>
        <w:tc>
          <w:tcPr>
            <w:tcW w:w="886" w:type="dxa"/>
          </w:tcPr>
          <w:p>
            <w:pPr>
              <w:pStyle w:val="TableParagraph"/>
              <w:spacing w:before="1"/>
              <w:ind w:left="159" w:right="45"/>
              <w:jc w:val="center"/>
              <w:rPr>
                <w:sz w:val="21"/>
              </w:rPr>
            </w:pPr>
            <w:r>
              <w:rPr>
                <w:sz w:val="21"/>
              </w:rPr>
              <w:t>3.5 </w:t>
            </w:r>
          </w:p>
        </w:tc>
        <w:tc>
          <w:tcPr>
            <w:tcW w:w="3253" w:type="dxa"/>
          </w:tcPr>
          <w:p>
            <w:pPr>
              <w:pStyle w:val="TableParagraph"/>
              <w:spacing w:before="1"/>
              <w:ind w:left="107"/>
              <w:rPr>
                <w:sz w:val="21"/>
              </w:rPr>
            </w:pPr>
            <w:r>
              <w:rPr>
                <w:sz w:val="21"/>
              </w:rPr>
              <w:t>是否允许递交备选投标方案 </w:t>
            </w:r>
          </w:p>
        </w:tc>
        <w:tc>
          <w:tcPr>
            <w:tcW w:w="4749" w:type="dxa"/>
          </w:tcPr>
          <w:p>
            <w:pPr>
              <w:pStyle w:val="TableParagraph"/>
              <w:spacing w:before="1"/>
              <w:ind w:left="106"/>
              <w:rPr>
                <w:sz w:val="21"/>
              </w:rPr>
            </w:pPr>
            <w:r>
              <w:rPr>
                <w:sz w:val="21"/>
              </w:rPr>
              <w:t>不允许 </w:t>
            </w:r>
          </w:p>
        </w:tc>
      </w:tr>
      <w:tr>
        <w:trPr>
          <w:trHeight w:val="1634" w:hRule="atLeast"/>
        </w:trPr>
        <w:tc>
          <w:tcPr>
            <w:tcW w:w="886" w:type="dxa"/>
          </w:tcPr>
          <w:p>
            <w:pPr>
              <w:pStyle w:val="TableParagraph"/>
              <w:rPr>
                <w:rFonts w:ascii="Microsoft JhengHei"/>
                <w:b/>
                <w:sz w:val="20"/>
              </w:rPr>
            </w:pPr>
          </w:p>
          <w:p>
            <w:pPr>
              <w:pStyle w:val="TableParagraph"/>
              <w:spacing w:before="6"/>
              <w:rPr>
                <w:rFonts w:ascii="Microsoft JhengHei"/>
                <w:b/>
                <w:sz w:val="13"/>
              </w:rPr>
            </w:pPr>
          </w:p>
          <w:p>
            <w:pPr>
              <w:pStyle w:val="TableParagraph"/>
              <w:ind w:left="159" w:right="45"/>
              <w:jc w:val="center"/>
              <w:rPr>
                <w:sz w:val="21"/>
              </w:rPr>
            </w:pPr>
            <w:r>
              <w:rPr>
                <w:sz w:val="21"/>
              </w:rPr>
              <w:t>3.6.3 </w:t>
            </w:r>
          </w:p>
        </w:tc>
        <w:tc>
          <w:tcPr>
            <w:tcW w:w="3253" w:type="dxa"/>
          </w:tcPr>
          <w:p>
            <w:pPr>
              <w:pStyle w:val="TableParagraph"/>
              <w:rPr>
                <w:rFonts w:ascii="Microsoft JhengHei"/>
                <w:b/>
                <w:sz w:val="20"/>
              </w:rPr>
            </w:pPr>
          </w:p>
          <w:p>
            <w:pPr>
              <w:pStyle w:val="TableParagraph"/>
              <w:spacing w:before="6"/>
              <w:rPr>
                <w:rFonts w:ascii="Microsoft JhengHei"/>
                <w:b/>
                <w:sz w:val="13"/>
              </w:rPr>
            </w:pPr>
          </w:p>
          <w:p>
            <w:pPr>
              <w:pStyle w:val="TableParagraph"/>
              <w:ind w:left="107"/>
              <w:rPr>
                <w:sz w:val="21"/>
              </w:rPr>
            </w:pPr>
            <w:r>
              <w:rPr>
                <w:sz w:val="21"/>
              </w:rPr>
              <w:t>签字和（或）盖章要求 </w:t>
            </w:r>
          </w:p>
        </w:tc>
        <w:tc>
          <w:tcPr>
            <w:tcW w:w="4749" w:type="dxa"/>
          </w:tcPr>
          <w:p>
            <w:pPr>
              <w:pStyle w:val="TableParagraph"/>
              <w:spacing w:line="364" w:lineRule="auto" w:before="1"/>
              <w:ind w:left="106" w:right="95"/>
              <w:jc w:val="both"/>
              <w:rPr>
                <w:sz w:val="21"/>
              </w:rPr>
            </w:pPr>
            <w:r>
              <w:rPr>
                <w:spacing w:val="3"/>
                <w:sz w:val="21"/>
              </w:rPr>
              <w:t>电子投标文件由投标人在招标文件规定的相关位</w:t>
            </w:r>
            <w:r>
              <w:rPr>
                <w:spacing w:val="-8"/>
                <w:sz w:val="21"/>
              </w:rPr>
              <w:t>置加盖投标人法人单位及法定代表人电子印章。投</w:t>
            </w:r>
            <w:r>
              <w:rPr>
                <w:spacing w:val="3"/>
                <w:sz w:val="21"/>
              </w:rPr>
              <w:t>标文件未经投标人单位或法定代表人加盖电子印</w:t>
            </w:r>
          </w:p>
          <w:p>
            <w:pPr>
              <w:pStyle w:val="TableParagraph"/>
              <w:spacing w:line="267" w:lineRule="exact"/>
              <w:ind w:left="106"/>
              <w:rPr>
                <w:sz w:val="21"/>
              </w:rPr>
            </w:pPr>
            <w:r>
              <w:rPr>
                <w:sz w:val="21"/>
              </w:rPr>
              <w:t>章的，作否决投标处理。 </w:t>
            </w:r>
          </w:p>
        </w:tc>
      </w:tr>
      <w:tr>
        <w:trPr>
          <w:trHeight w:val="453" w:hRule="atLeast"/>
        </w:trPr>
        <w:tc>
          <w:tcPr>
            <w:tcW w:w="886" w:type="dxa"/>
          </w:tcPr>
          <w:p>
            <w:pPr>
              <w:pStyle w:val="TableParagraph"/>
              <w:spacing w:before="22"/>
              <w:ind w:left="159" w:right="45"/>
              <w:jc w:val="center"/>
              <w:rPr>
                <w:sz w:val="21"/>
              </w:rPr>
            </w:pPr>
            <w:r>
              <w:rPr>
                <w:sz w:val="21"/>
              </w:rPr>
              <w:t>3.6.4 </w:t>
            </w:r>
          </w:p>
        </w:tc>
        <w:tc>
          <w:tcPr>
            <w:tcW w:w="3253" w:type="dxa"/>
          </w:tcPr>
          <w:p>
            <w:pPr>
              <w:pStyle w:val="TableParagraph"/>
              <w:spacing w:before="22"/>
              <w:ind w:left="107"/>
              <w:rPr>
                <w:sz w:val="21"/>
              </w:rPr>
            </w:pPr>
            <w:r>
              <w:rPr>
                <w:sz w:val="21"/>
              </w:rPr>
              <w:t>投标文件副本份数 </w:t>
            </w:r>
          </w:p>
        </w:tc>
        <w:tc>
          <w:tcPr>
            <w:tcW w:w="4749" w:type="dxa"/>
          </w:tcPr>
          <w:p>
            <w:pPr>
              <w:pStyle w:val="TableParagraph"/>
              <w:spacing w:before="22"/>
              <w:ind w:left="106"/>
              <w:rPr>
                <w:sz w:val="21"/>
              </w:rPr>
            </w:pPr>
            <w:r>
              <w:rPr>
                <w:sz w:val="21"/>
              </w:rPr>
              <w:t>无 </w:t>
            </w:r>
          </w:p>
        </w:tc>
      </w:tr>
      <w:tr>
        <w:trPr>
          <w:trHeight w:val="858" w:hRule="atLeast"/>
        </w:trPr>
        <w:tc>
          <w:tcPr>
            <w:tcW w:w="886" w:type="dxa"/>
          </w:tcPr>
          <w:p>
            <w:pPr>
              <w:pStyle w:val="TableParagraph"/>
              <w:spacing w:before="5"/>
              <w:rPr>
                <w:rFonts w:ascii="Microsoft JhengHei"/>
                <w:b/>
                <w:sz w:val="12"/>
              </w:rPr>
            </w:pPr>
          </w:p>
          <w:p>
            <w:pPr>
              <w:pStyle w:val="TableParagraph"/>
              <w:spacing w:before="1"/>
              <w:ind w:left="159" w:right="45"/>
              <w:jc w:val="center"/>
              <w:rPr>
                <w:sz w:val="21"/>
              </w:rPr>
            </w:pPr>
            <w:r>
              <w:rPr>
                <w:sz w:val="21"/>
              </w:rPr>
              <w:t>3.6.5 </w:t>
            </w:r>
          </w:p>
        </w:tc>
        <w:tc>
          <w:tcPr>
            <w:tcW w:w="3253" w:type="dxa"/>
          </w:tcPr>
          <w:p>
            <w:pPr>
              <w:pStyle w:val="TableParagraph"/>
              <w:spacing w:before="5"/>
              <w:rPr>
                <w:rFonts w:ascii="Microsoft JhengHei"/>
                <w:b/>
                <w:sz w:val="12"/>
              </w:rPr>
            </w:pPr>
          </w:p>
          <w:p>
            <w:pPr>
              <w:pStyle w:val="TableParagraph"/>
              <w:spacing w:before="1"/>
              <w:ind w:left="107"/>
              <w:rPr>
                <w:sz w:val="21"/>
              </w:rPr>
            </w:pPr>
            <w:r>
              <w:rPr>
                <w:sz w:val="21"/>
              </w:rPr>
              <w:t>投标文件装订要求 </w:t>
            </w:r>
          </w:p>
        </w:tc>
        <w:tc>
          <w:tcPr>
            <w:tcW w:w="4749" w:type="dxa"/>
          </w:tcPr>
          <w:p>
            <w:pPr>
              <w:pStyle w:val="TableParagraph"/>
              <w:spacing w:before="5"/>
              <w:rPr>
                <w:rFonts w:ascii="Microsoft JhengHei"/>
                <w:b/>
                <w:sz w:val="12"/>
              </w:rPr>
            </w:pPr>
          </w:p>
          <w:p>
            <w:pPr>
              <w:pStyle w:val="TableParagraph"/>
              <w:spacing w:before="1"/>
              <w:ind w:left="106"/>
              <w:rPr>
                <w:sz w:val="21"/>
              </w:rPr>
            </w:pPr>
            <w:r>
              <w:rPr>
                <w:sz w:val="21"/>
              </w:rPr>
              <w:t>按前附表 4.2.1 要求 </w:t>
            </w:r>
          </w:p>
        </w:tc>
      </w:tr>
      <w:tr>
        <w:trPr>
          <w:trHeight w:val="1033" w:hRule="atLeast"/>
        </w:trPr>
        <w:tc>
          <w:tcPr>
            <w:tcW w:w="886" w:type="dxa"/>
          </w:tcPr>
          <w:p>
            <w:pPr>
              <w:pStyle w:val="TableParagraph"/>
              <w:rPr>
                <w:rFonts w:ascii="Microsoft JhengHei"/>
                <w:b/>
                <w:sz w:val="17"/>
              </w:rPr>
            </w:pPr>
          </w:p>
          <w:p>
            <w:pPr>
              <w:pStyle w:val="TableParagraph"/>
              <w:ind w:left="159" w:right="45"/>
              <w:jc w:val="center"/>
              <w:rPr>
                <w:sz w:val="21"/>
              </w:rPr>
            </w:pPr>
            <w:r>
              <w:rPr>
                <w:sz w:val="21"/>
              </w:rPr>
              <w:t>3.6.6 </w:t>
            </w:r>
          </w:p>
        </w:tc>
        <w:tc>
          <w:tcPr>
            <w:tcW w:w="3253" w:type="dxa"/>
          </w:tcPr>
          <w:p>
            <w:pPr>
              <w:pStyle w:val="TableParagraph"/>
              <w:rPr>
                <w:rFonts w:ascii="Microsoft JhengHei"/>
                <w:b/>
                <w:sz w:val="17"/>
              </w:rPr>
            </w:pPr>
          </w:p>
          <w:p>
            <w:pPr>
              <w:pStyle w:val="TableParagraph"/>
              <w:ind w:left="107"/>
              <w:rPr>
                <w:sz w:val="21"/>
              </w:rPr>
            </w:pPr>
            <w:r>
              <w:rPr>
                <w:sz w:val="21"/>
              </w:rPr>
              <w:t>投标文件编制的其它要求 </w:t>
            </w:r>
          </w:p>
        </w:tc>
        <w:tc>
          <w:tcPr>
            <w:tcW w:w="4749" w:type="dxa"/>
          </w:tcPr>
          <w:p>
            <w:pPr>
              <w:pStyle w:val="TableParagraph"/>
              <w:rPr>
                <w:rFonts w:ascii="Microsoft JhengHei"/>
                <w:b/>
                <w:sz w:val="17"/>
              </w:rPr>
            </w:pPr>
          </w:p>
          <w:p>
            <w:pPr>
              <w:pStyle w:val="TableParagraph"/>
              <w:ind w:left="106"/>
              <w:rPr>
                <w:sz w:val="21"/>
              </w:rPr>
            </w:pPr>
            <w:r>
              <w:rPr>
                <w:color w:val="0000FF"/>
                <w:sz w:val="21"/>
              </w:rPr>
              <w:t>无</w:t>
            </w:r>
            <w:r>
              <w:rPr>
                <w:sz w:val="21"/>
              </w:rPr>
              <w:t> </w:t>
            </w:r>
          </w:p>
        </w:tc>
      </w:tr>
      <w:tr>
        <w:trPr>
          <w:trHeight w:val="3676" w:hRule="atLeast"/>
        </w:trPr>
        <w:tc>
          <w:tcPr>
            <w:tcW w:w="886" w:type="dxa"/>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17"/>
              <w:rPr>
                <w:rFonts w:ascii="Microsoft JhengHei"/>
                <w:b/>
                <w:sz w:val="28"/>
              </w:rPr>
            </w:pPr>
          </w:p>
          <w:p>
            <w:pPr>
              <w:pStyle w:val="TableParagraph"/>
              <w:ind w:left="159" w:right="45"/>
              <w:jc w:val="center"/>
              <w:rPr>
                <w:sz w:val="21"/>
              </w:rPr>
            </w:pPr>
            <w:r>
              <w:rPr>
                <w:sz w:val="21"/>
              </w:rPr>
              <w:t>4.2.1 </w:t>
            </w:r>
          </w:p>
        </w:tc>
        <w:tc>
          <w:tcPr>
            <w:tcW w:w="3253" w:type="dxa"/>
          </w:tcPr>
          <w:p>
            <w:pPr>
              <w:pStyle w:val="TableParagraph"/>
              <w:rPr>
                <w:rFonts w:ascii="Microsoft JhengHei"/>
                <w:b/>
                <w:sz w:val="20"/>
              </w:rPr>
            </w:pPr>
          </w:p>
          <w:p>
            <w:pPr>
              <w:pStyle w:val="TableParagraph"/>
              <w:rPr>
                <w:rFonts w:ascii="Microsoft JhengHei"/>
                <w:b/>
                <w:sz w:val="20"/>
              </w:rPr>
            </w:pPr>
          </w:p>
          <w:p>
            <w:pPr>
              <w:pStyle w:val="TableParagraph"/>
              <w:spacing w:before="10"/>
              <w:rPr>
                <w:rFonts w:ascii="Microsoft JhengHei"/>
                <w:b/>
                <w:sz w:val="15"/>
              </w:rPr>
            </w:pPr>
          </w:p>
          <w:p>
            <w:pPr>
              <w:pStyle w:val="TableParagraph"/>
              <w:spacing w:line="364" w:lineRule="auto"/>
              <w:ind w:left="107" w:right="93"/>
              <w:jc w:val="both"/>
              <w:rPr>
                <w:sz w:val="21"/>
              </w:rPr>
            </w:pPr>
            <w:r>
              <w:rPr>
                <w:sz w:val="21"/>
              </w:rPr>
              <w:t>未加密的电子投标文件光盘包装、密封【备注：右栏内容招标人可根据项目实际情况需要增减】 </w:t>
            </w:r>
          </w:p>
        </w:tc>
        <w:tc>
          <w:tcPr>
            <w:tcW w:w="4749" w:type="dxa"/>
          </w:tcPr>
          <w:p>
            <w:pPr>
              <w:pStyle w:val="TableParagraph"/>
              <w:spacing w:line="364" w:lineRule="auto" w:before="1"/>
              <w:ind w:left="106" w:right="95"/>
              <w:jc w:val="both"/>
              <w:rPr>
                <w:sz w:val="21"/>
              </w:rPr>
            </w:pPr>
            <w:r>
              <w:rPr>
                <w:spacing w:val="-9"/>
                <w:sz w:val="21"/>
              </w:rPr>
              <w:t>未加密的电子投标文件光盘密封方式：单独放入一</w:t>
            </w:r>
            <w:r>
              <w:rPr>
                <w:spacing w:val="-3"/>
                <w:sz w:val="21"/>
              </w:rPr>
              <w:t>个密封袋中，加贴封条，并在封套封口处加盖投</w:t>
            </w:r>
            <w:r>
              <w:rPr>
                <w:sz w:val="21"/>
              </w:rPr>
              <w:t>标人单位章，在封套上标记“电子投标文件”字</w:t>
            </w:r>
            <w:r>
              <w:rPr>
                <w:spacing w:val="-3"/>
                <w:sz w:val="21"/>
              </w:rPr>
              <w:t>样，在投标截止前提交。</w:t>
            </w:r>
            <w:r>
              <w:rPr>
                <w:sz w:val="21"/>
              </w:rPr>
              <w:t> </w:t>
            </w:r>
          </w:p>
          <w:p>
            <w:pPr>
              <w:pStyle w:val="TableParagraph"/>
              <w:spacing w:line="364" w:lineRule="auto"/>
              <w:ind w:left="106" w:right="95"/>
              <w:jc w:val="both"/>
              <w:rPr>
                <w:sz w:val="21"/>
              </w:rPr>
            </w:pPr>
            <w:r>
              <w:rPr>
                <w:spacing w:val="4"/>
                <w:sz w:val="21"/>
              </w:rPr>
              <w:t>（</w:t>
            </w:r>
            <w:r>
              <w:rPr>
                <w:spacing w:val="3"/>
                <w:sz w:val="21"/>
              </w:rPr>
              <w:t>由投标人自行选择是否提交未加密的电子投标文件光盘，但不提交未加密的电子投标文件光盘</w:t>
            </w:r>
            <w:r>
              <w:rPr>
                <w:spacing w:val="-11"/>
                <w:sz w:val="21"/>
              </w:rPr>
              <w:t>的，不作为否决条件；如出现招标文件投标须知正</w:t>
            </w:r>
            <w:r>
              <w:rPr>
                <w:spacing w:val="-21"/>
                <w:sz w:val="21"/>
              </w:rPr>
              <w:t>文 </w:t>
            </w:r>
            <w:r>
              <w:rPr>
                <w:sz w:val="21"/>
              </w:rPr>
              <w:t>5.3</w:t>
            </w:r>
            <w:r>
              <w:rPr>
                <w:spacing w:val="-14"/>
                <w:sz w:val="21"/>
              </w:rPr>
              <w:t> 情形时，投标人未在投标截止时间前递交电</w:t>
            </w:r>
          </w:p>
          <w:p>
            <w:pPr>
              <w:pStyle w:val="TableParagraph"/>
              <w:spacing w:line="265" w:lineRule="exact"/>
              <w:ind w:left="106"/>
              <w:rPr>
                <w:sz w:val="21"/>
              </w:rPr>
            </w:pPr>
            <w:r>
              <w:rPr>
                <w:sz w:val="21"/>
              </w:rPr>
              <w:t>子光盘的，自行承担后果） </w:t>
            </w:r>
          </w:p>
        </w:tc>
      </w:tr>
    </w:tbl>
    <w:p>
      <w:pPr>
        <w:spacing w:after="0" w:line="265" w:lineRule="exact"/>
        <w:rPr>
          <w:sz w:val="21"/>
        </w:rPr>
        <w:sectPr>
          <w:pgSz w:w="11910" w:h="16850"/>
          <w:pgMar w:header="0" w:footer="779" w:top="1440" w:bottom="960" w:left="1120" w:right="280"/>
        </w:sectPr>
      </w:pPr>
    </w:p>
    <w:tbl>
      <w:tblPr>
        <w:tblW w:w="0" w:type="auto"/>
        <w:jc w:val="left"/>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6"/>
        <w:gridCol w:w="3253"/>
        <w:gridCol w:w="4749"/>
      </w:tblGrid>
      <w:tr>
        <w:trPr>
          <w:trHeight w:val="470" w:hRule="atLeast"/>
        </w:trPr>
        <w:tc>
          <w:tcPr>
            <w:tcW w:w="886" w:type="dxa"/>
            <w:shd w:val="clear" w:color="auto" w:fill="E6E6E6"/>
          </w:tcPr>
          <w:p>
            <w:pPr>
              <w:pStyle w:val="TableParagraph"/>
              <w:spacing w:line="349" w:lineRule="exact"/>
              <w:ind w:left="159" w:right="47"/>
              <w:jc w:val="center"/>
              <w:rPr>
                <w:rFonts w:ascii="Microsoft JhengHei" w:eastAsia="Microsoft JhengHei" w:hint="eastAsia"/>
                <w:b/>
                <w:sz w:val="21"/>
              </w:rPr>
            </w:pPr>
            <w:r>
              <w:rPr>
                <w:rFonts w:ascii="Microsoft JhengHei" w:eastAsia="Microsoft JhengHei" w:hint="eastAsia"/>
                <w:b/>
                <w:sz w:val="21"/>
                <w:shd w:fill="FFFFFF" w:color="auto" w:val="clear"/>
              </w:rPr>
              <w:t>条款号</w:t>
            </w:r>
            <w:r>
              <w:rPr>
                <w:rFonts w:ascii="Microsoft JhengHei" w:eastAsia="Microsoft JhengHei" w:hint="eastAsia"/>
                <w:b/>
                <w:w w:val="201"/>
                <w:sz w:val="21"/>
              </w:rPr>
              <w:t> </w:t>
            </w:r>
          </w:p>
        </w:tc>
        <w:tc>
          <w:tcPr>
            <w:tcW w:w="3253" w:type="dxa"/>
            <w:shd w:val="clear" w:color="auto" w:fill="E6E6E6"/>
          </w:tcPr>
          <w:p>
            <w:pPr>
              <w:pStyle w:val="TableParagraph"/>
              <w:spacing w:line="349" w:lineRule="exact"/>
              <w:ind w:left="887"/>
              <w:rPr>
                <w:rFonts w:ascii="Microsoft JhengHei" w:eastAsia="Microsoft JhengHei" w:hint="eastAsia"/>
                <w:b/>
                <w:sz w:val="21"/>
              </w:rPr>
            </w:pPr>
            <w:r>
              <w:rPr>
                <w:rFonts w:ascii="Microsoft JhengHei" w:eastAsia="Microsoft JhengHei" w:hint="eastAsia"/>
                <w:b/>
                <w:sz w:val="21"/>
                <w:shd w:fill="FFFFFF" w:color="auto" w:val="clear"/>
              </w:rPr>
              <w:t>条 款 名 称</w:t>
            </w:r>
            <w:r>
              <w:rPr>
                <w:rFonts w:ascii="Microsoft JhengHei" w:eastAsia="Microsoft JhengHei" w:hint="eastAsia"/>
                <w:b/>
                <w:w w:val="201"/>
                <w:sz w:val="21"/>
              </w:rPr>
              <w:t> </w:t>
            </w:r>
          </w:p>
        </w:tc>
        <w:tc>
          <w:tcPr>
            <w:tcW w:w="4749" w:type="dxa"/>
            <w:shd w:val="clear" w:color="auto" w:fill="E6E6E6"/>
          </w:tcPr>
          <w:p>
            <w:pPr>
              <w:pStyle w:val="TableParagraph"/>
              <w:spacing w:line="349" w:lineRule="exact"/>
              <w:ind w:left="1633"/>
              <w:rPr>
                <w:rFonts w:ascii="Microsoft JhengHei" w:eastAsia="Microsoft JhengHei" w:hint="eastAsia"/>
                <w:b/>
                <w:sz w:val="21"/>
              </w:rPr>
            </w:pPr>
            <w:r>
              <w:rPr>
                <w:rFonts w:ascii="Microsoft JhengHei" w:eastAsia="Microsoft JhengHei" w:hint="eastAsia"/>
                <w:b/>
                <w:sz w:val="21"/>
                <w:shd w:fill="FFFFFF" w:color="auto" w:val="clear"/>
              </w:rPr>
              <w:t>编 列 内 容</w:t>
            </w:r>
            <w:r>
              <w:rPr>
                <w:rFonts w:ascii="Microsoft JhengHei" w:eastAsia="Microsoft JhengHei" w:hint="eastAsia"/>
                <w:b/>
                <w:w w:val="201"/>
                <w:sz w:val="21"/>
              </w:rPr>
              <w:t> </w:t>
            </w:r>
          </w:p>
        </w:tc>
      </w:tr>
      <w:tr>
        <w:trPr>
          <w:trHeight w:val="3268" w:hRule="atLeast"/>
        </w:trPr>
        <w:tc>
          <w:tcPr>
            <w:tcW w:w="886" w:type="dxa"/>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15"/>
              <w:rPr>
                <w:rFonts w:ascii="Microsoft JhengHei"/>
                <w:b/>
                <w:sz w:val="17"/>
              </w:rPr>
            </w:pPr>
          </w:p>
          <w:p>
            <w:pPr>
              <w:pStyle w:val="TableParagraph"/>
              <w:ind w:left="159" w:right="45"/>
              <w:jc w:val="center"/>
              <w:rPr>
                <w:sz w:val="21"/>
              </w:rPr>
            </w:pPr>
            <w:r>
              <w:rPr>
                <w:sz w:val="21"/>
              </w:rPr>
              <w:t>4.2.2 </w:t>
            </w:r>
          </w:p>
        </w:tc>
        <w:tc>
          <w:tcPr>
            <w:tcW w:w="3253" w:type="dxa"/>
          </w:tcPr>
          <w:p>
            <w:pPr>
              <w:pStyle w:val="TableParagraph"/>
              <w:rPr>
                <w:rFonts w:ascii="Microsoft JhengHei"/>
                <w:b/>
                <w:sz w:val="20"/>
              </w:rPr>
            </w:pPr>
          </w:p>
          <w:p>
            <w:pPr>
              <w:pStyle w:val="TableParagraph"/>
              <w:spacing w:before="10"/>
              <w:rPr>
                <w:rFonts w:ascii="Microsoft JhengHei"/>
                <w:b/>
                <w:sz w:val="24"/>
              </w:rPr>
            </w:pPr>
          </w:p>
          <w:p>
            <w:pPr>
              <w:pStyle w:val="TableParagraph"/>
              <w:spacing w:line="364" w:lineRule="auto"/>
              <w:ind w:left="107" w:right="93"/>
              <w:jc w:val="both"/>
              <w:rPr>
                <w:sz w:val="21"/>
              </w:rPr>
            </w:pPr>
            <w:r>
              <w:rPr>
                <w:sz w:val="21"/>
              </w:rPr>
              <w:t>未加密的电子投标文件光盘密封封套上写明【备注：右栏内容招标人可根据项目实际情况需要增减】 </w:t>
            </w:r>
          </w:p>
        </w:tc>
        <w:tc>
          <w:tcPr>
            <w:tcW w:w="4749" w:type="dxa"/>
          </w:tcPr>
          <w:p>
            <w:pPr>
              <w:pStyle w:val="TableParagraph"/>
              <w:spacing w:line="364" w:lineRule="auto" w:before="3"/>
              <w:ind w:left="106" w:right="3052"/>
              <w:jc w:val="both"/>
              <w:rPr>
                <w:sz w:val="21"/>
              </w:rPr>
            </w:pPr>
            <w:r>
              <w:rPr>
                <w:sz w:val="21"/>
              </w:rPr>
              <w:t>项目招标编号： 招标人的地址： 招标人名称： </w:t>
            </w:r>
          </w:p>
          <w:p>
            <w:pPr>
              <w:pStyle w:val="TableParagraph"/>
              <w:spacing w:line="266" w:lineRule="exact"/>
              <w:ind w:left="106"/>
              <w:rPr>
                <w:sz w:val="21"/>
              </w:rPr>
            </w:pPr>
            <w:r>
              <w:rPr>
                <w:w w:val="100"/>
                <w:sz w:val="21"/>
              </w:rPr>
              <w:t>标段</w:t>
            </w:r>
            <w:r>
              <w:rPr>
                <w:spacing w:val="-3"/>
                <w:w w:val="100"/>
                <w:sz w:val="21"/>
              </w:rPr>
              <w:t>（如有多个标段时</w:t>
            </w:r>
            <w:r>
              <w:rPr>
                <w:spacing w:val="-108"/>
                <w:w w:val="100"/>
                <w:sz w:val="21"/>
              </w:rPr>
              <w:t>）</w:t>
            </w:r>
            <w:r>
              <w:rPr>
                <w:spacing w:val="-3"/>
                <w:w w:val="100"/>
                <w:sz w:val="21"/>
              </w:rPr>
              <w:t>：</w:t>
            </w:r>
            <w:r>
              <w:rPr>
                <w:w w:val="100"/>
                <w:sz w:val="21"/>
              </w:rPr>
              <w:t> </w:t>
            </w:r>
          </w:p>
          <w:p>
            <w:pPr>
              <w:pStyle w:val="TableParagraph"/>
              <w:spacing w:line="367" w:lineRule="auto" w:before="139"/>
              <w:ind w:left="106" w:right="217"/>
              <w:rPr>
                <w:sz w:val="21"/>
              </w:rPr>
            </w:pPr>
            <w:r>
              <w:rPr>
                <w:w w:val="100"/>
                <w:sz w:val="21"/>
                <w:u w:val="single"/>
              </w:rPr>
              <w:t>     </w:t>
            </w:r>
            <w:r>
              <w:rPr>
                <w:spacing w:val="-3"/>
                <w:w w:val="100"/>
                <w:sz w:val="21"/>
                <w:u w:val="single"/>
              </w:rPr>
              <w:t> </w:t>
            </w:r>
            <w:r>
              <w:rPr>
                <w:w w:val="100"/>
                <w:sz w:val="21"/>
                <w:u w:val="single"/>
              </w:rPr>
              <w:t>   </w:t>
            </w:r>
            <w:r>
              <w:rPr>
                <w:spacing w:val="-3"/>
                <w:w w:val="100"/>
                <w:sz w:val="21"/>
                <w:u w:val="single"/>
              </w:rPr>
              <w:t> </w:t>
            </w:r>
            <w:r>
              <w:rPr>
                <w:w w:val="100"/>
                <w:sz w:val="21"/>
                <w:u w:val="single"/>
              </w:rPr>
              <w:t>   </w:t>
            </w:r>
            <w:r>
              <w:rPr>
                <w:spacing w:val="-3"/>
                <w:w w:val="100"/>
                <w:sz w:val="21"/>
                <w:u w:val="single"/>
              </w:rPr>
              <w:t> </w:t>
            </w:r>
            <w:r>
              <w:rPr>
                <w:w w:val="100"/>
                <w:sz w:val="21"/>
                <w:u w:val="single"/>
              </w:rPr>
              <w:t>   </w:t>
            </w:r>
            <w:r>
              <w:rPr>
                <w:spacing w:val="-3"/>
                <w:w w:val="100"/>
                <w:sz w:val="21"/>
                <w:u w:val="single"/>
              </w:rPr>
              <w:t> </w:t>
            </w:r>
            <w:r>
              <w:rPr>
                <w:w w:val="100"/>
                <w:sz w:val="21"/>
                <w:u w:val="single"/>
              </w:rPr>
              <w:t>  </w:t>
            </w:r>
            <w:r>
              <w:rPr>
                <w:spacing w:val="-3"/>
                <w:w w:val="100"/>
                <w:sz w:val="21"/>
                <w:u w:val="single"/>
              </w:rPr>
              <w:t> </w:t>
            </w:r>
            <w:r>
              <w:rPr>
                <w:spacing w:val="-3"/>
                <w:sz w:val="21"/>
              </w:rPr>
              <w:t>（</w:t>
            </w:r>
            <w:r>
              <w:rPr>
                <w:spacing w:val="-1"/>
                <w:sz w:val="21"/>
              </w:rPr>
              <w:t>项目名称</w:t>
            </w:r>
            <w:r>
              <w:rPr>
                <w:spacing w:val="-3"/>
                <w:sz w:val="21"/>
              </w:rPr>
              <w:t>）投标文件投标人地址：</w:t>
            </w:r>
            <w:r>
              <w:rPr>
                <w:sz w:val="21"/>
              </w:rPr>
              <w:t> </w:t>
            </w:r>
          </w:p>
          <w:p>
            <w:pPr>
              <w:pStyle w:val="TableParagraph"/>
              <w:spacing w:line="264" w:lineRule="exact"/>
              <w:ind w:left="106"/>
              <w:rPr>
                <w:sz w:val="21"/>
              </w:rPr>
            </w:pPr>
            <w:r>
              <w:rPr>
                <w:spacing w:val="-3"/>
                <w:sz w:val="21"/>
              </w:rPr>
              <w:t>投标人名称：</w:t>
            </w:r>
            <w:r>
              <w:rPr>
                <w:sz w:val="21"/>
              </w:rPr>
              <w:t> </w:t>
            </w:r>
          </w:p>
          <w:p>
            <w:pPr>
              <w:pStyle w:val="TableParagraph"/>
              <w:spacing w:before="139"/>
              <w:ind w:left="106"/>
              <w:rPr>
                <w:sz w:val="21"/>
              </w:rPr>
            </w:pPr>
            <w:r>
              <w:rPr>
                <w:sz w:val="21"/>
              </w:rPr>
              <w:t>在</w:t>
            </w:r>
            <w:r>
              <w:rPr>
                <w:sz w:val="21"/>
                <w:u w:val="single"/>
              </w:rPr>
              <w:t> </w:t>
            </w:r>
            <w:r>
              <w:rPr>
                <w:sz w:val="21"/>
              </w:rPr>
              <w:t>年</w:t>
            </w:r>
            <w:r>
              <w:rPr>
                <w:spacing w:val="104"/>
                <w:sz w:val="21"/>
                <w:u w:val="single"/>
              </w:rPr>
              <w:t> </w:t>
            </w:r>
            <w:r>
              <w:rPr>
                <w:spacing w:val="-3"/>
                <w:sz w:val="21"/>
              </w:rPr>
              <w:t>月</w:t>
            </w:r>
            <w:r>
              <w:rPr>
                <w:spacing w:val="-3"/>
                <w:sz w:val="21"/>
                <w:u w:val="single"/>
              </w:rPr>
              <w:t> </w:t>
            </w:r>
            <w:r>
              <w:rPr>
                <w:sz w:val="21"/>
              </w:rPr>
              <w:t>日</w:t>
            </w:r>
            <w:r>
              <w:rPr>
                <w:sz w:val="21"/>
                <w:u w:val="single"/>
              </w:rPr>
              <w:t> </w:t>
            </w:r>
            <w:r>
              <w:rPr>
                <w:sz w:val="21"/>
              </w:rPr>
              <w:t>时</w:t>
            </w:r>
            <w:r>
              <w:rPr>
                <w:sz w:val="21"/>
                <w:u w:val="single"/>
              </w:rPr>
              <w:t> </w:t>
            </w:r>
            <w:r>
              <w:rPr>
                <w:spacing w:val="-3"/>
                <w:sz w:val="21"/>
              </w:rPr>
              <w:t>分前不得开启 </w:t>
            </w:r>
          </w:p>
        </w:tc>
      </w:tr>
      <w:tr>
        <w:trPr>
          <w:trHeight w:val="5311" w:hRule="atLeast"/>
        </w:trPr>
        <w:tc>
          <w:tcPr>
            <w:tcW w:w="886" w:type="dxa"/>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8"/>
              <w:rPr>
                <w:rFonts w:ascii="Microsoft JhengHei"/>
                <w:b/>
                <w:sz w:val="13"/>
              </w:rPr>
            </w:pPr>
          </w:p>
          <w:p>
            <w:pPr>
              <w:pStyle w:val="TableParagraph"/>
              <w:ind w:left="159" w:right="45"/>
              <w:jc w:val="center"/>
              <w:rPr>
                <w:sz w:val="21"/>
              </w:rPr>
            </w:pPr>
            <w:r>
              <w:rPr>
                <w:sz w:val="21"/>
              </w:rPr>
              <w:t>4.3.2 </w:t>
            </w:r>
          </w:p>
        </w:tc>
        <w:tc>
          <w:tcPr>
            <w:tcW w:w="3253" w:type="dxa"/>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8"/>
              <w:rPr>
                <w:rFonts w:ascii="Microsoft JhengHei"/>
                <w:b/>
                <w:sz w:val="13"/>
              </w:rPr>
            </w:pPr>
          </w:p>
          <w:p>
            <w:pPr>
              <w:pStyle w:val="TableParagraph"/>
              <w:ind w:left="107"/>
              <w:rPr>
                <w:sz w:val="21"/>
              </w:rPr>
            </w:pPr>
            <w:r>
              <w:rPr>
                <w:sz w:val="21"/>
              </w:rPr>
              <w:t>递交投标文件地点 </w:t>
            </w:r>
          </w:p>
        </w:tc>
        <w:tc>
          <w:tcPr>
            <w:tcW w:w="4749" w:type="dxa"/>
          </w:tcPr>
          <w:p>
            <w:pPr>
              <w:pStyle w:val="TableParagraph"/>
              <w:spacing w:line="367" w:lineRule="auto" w:before="1"/>
              <w:ind w:left="106" w:right="96"/>
              <w:rPr>
                <w:sz w:val="21"/>
              </w:rPr>
            </w:pPr>
            <w:r>
              <w:rPr>
                <w:sz w:val="21"/>
              </w:rPr>
              <w:t>电子投标文件由各投标人在投标时间截止前自行在南宁市公共资源交易中心系统上传； </w:t>
            </w:r>
          </w:p>
          <w:p>
            <w:pPr>
              <w:pStyle w:val="TableParagraph"/>
              <w:spacing w:line="264" w:lineRule="exact"/>
              <w:ind w:left="106"/>
              <w:rPr>
                <w:sz w:val="21"/>
              </w:rPr>
            </w:pPr>
            <w:r>
              <w:rPr>
                <w:sz w:val="21"/>
              </w:rPr>
              <w:t>未加密的电子投标文件光盘现场提交地点： </w:t>
            </w:r>
          </w:p>
          <w:p>
            <w:pPr>
              <w:pStyle w:val="TableParagraph"/>
              <w:spacing w:line="364" w:lineRule="auto" w:before="139"/>
              <w:ind w:left="106" w:right="95"/>
              <w:jc w:val="both"/>
              <w:rPr>
                <w:sz w:val="21"/>
              </w:rPr>
            </w:pPr>
            <w:r>
              <w:rPr>
                <w:color w:val="0000FF"/>
                <w:sz w:val="21"/>
                <w:u w:val="single" w:color="0000FF"/>
              </w:rPr>
              <w:t>1</w:t>
            </w:r>
            <w:r>
              <w:rPr>
                <w:color w:val="0000FF"/>
                <w:spacing w:val="-4"/>
                <w:sz w:val="21"/>
                <w:u w:val="single" w:color="0000FF"/>
              </w:rPr>
              <w:t>、本项目为全流程电子化项目，无需投标人来现</w:t>
            </w:r>
            <w:r>
              <w:rPr>
                <w:color w:val="0000FF"/>
                <w:spacing w:val="-192"/>
                <w:sz w:val="21"/>
                <w:u w:val="single" w:color="0000FF"/>
              </w:rPr>
              <w:t>场</w:t>
            </w:r>
            <w:r>
              <w:rPr>
                <w:color w:val="0000FF"/>
                <w:spacing w:val="-11"/>
                <w:sz w:val="21"/>
                <w:u w:val="single" w:color="0000FF"/>
              </w:rPr>
              <w:t>开标，投标人在开标当天接到招标代理机构负责人</w:t>
            </w:r>
            <w:r>
              <w:rPr>
                <w:color w:val="0000FF"/>
                <w:spacing w:val="-12"/>
                <w:sz w:val="21"/>
                <w:u w:val="single" w:color="0000FF"/>
              </w:rPr>
              <w:t>电话通知后，登录南宁市公告资源交易中心平台系</w:t>
            </w:r>
            <w:r>
              <w:rPr>
                <w:color w:val="0000FF"/>
                <w:spacing w:val="-5"/>
                <w:sz w:val="21"/>
                <w:u w:val="single" w:color="0000FF"/>
              </w:rPr>
              <w:t>统远程解密即可；</w:t>
            </w:r>
            <w:r>
              <w:rPr>
                <w:sz w:val="21"/>
              </w:rPr>
              <w:t> </w:t>
            </w:r>
          </w:p>
          <w:p>
            <w:pPr>
              <w:pStyle w:val="TableParagraph"/>
              <w:spacing w:line="268" w:lineRule="exact"/>
              <w:ind w:left="106"/>
              <w:rPr>
                <w:sz w:val="21"/>
              </w:rPr>
            </w:pPr>
            <w:r>
              <w:rPr>
                <w:color w:val="0000FF"/>
                <w:sz w:val="21"/>
                <w:u w:val="single" w:color="0000FF"/>
              </w:rPr>
              <w:t>2、本项目电子投标文件不需要提供不加密光盘；</w:t>
            </w:r>
            <w:r>
              <w:rPr>
                <w:color w:val="0000FF"/>
                <w:sz w:val="21"/>
              </w:rPr>
              <w:t> </w:t>
            </w:r>
          </w:p>
          <w:p>
            <w:pPr>
              <w:pStyle w:val="TableParagraph"/>
              <w:spacing w:line="364" w:lineRule="auto" w:before="139"/>
              <w:ind w:left="106" w:right="95"/>
              <w:jc w:val="both"/>
              <w:rPr>
                <w:sz w:val="21"/>
              </w:rPr>
            </w:pPr>
            <w:r>
              <w:rPr>
                <w:color w:val="0000FF"/>
                <w:sz w:val="21"/>
                <w:u w:val="single" w:color="0000FF"/>
              </w:rPr>
              <w:t>3</w:t>
            </w:r>
            <w:r>
              <w:rPr>
                <w:color w:val="0000FF"/>
                <w:spacing w:val="-4"/>
                <w:sz w:val="21"/>
                <w:u w:val="single" w:color="0000FF"/>
              </w:rPr>
              <w:t>、招标文件开标程序里规定的相关的投标人需要</w:t>
            </w:r>
            <w:r>
              <w:rPr>
                <w:color w:val="0000FF"/>
                <w:spacing w:val="-192"/>
                <w:sz w:val="21"/>
                <w:u w:val="single" w:color="0000FF"/>
              </w:rPr>
              <w:t>到</w:t>
            </w:r>
            <w:r>
              <w:rPr>
                <w:color w:val="0000FF"/>
                <w:spacing w:val="-11"/>
                <w:sz w:val="21"/>
                <w:u w:val="single" w:color="0000FF"/>
              </w:rPr>
              <w:t>现场签到、投标人需要对相关材料进行签字等内容</w:t>
            </w:r>
            <w:r>
              <w:rPr>
                <w:color w:val="0000FF"/>
                <w:spacing w:val="-12"/>
                <w:sz w:val="21"/>
                <w:u w:val="single" w:color="0000FF"/>
              </w:rPr>
              <w:t>全部为不需到现场签到，不需对相关材料进行签字。本项目投标文件网上解密技术支持的联系电</w:t>
            </w:r>
          </w:p>
          <w:p>
            <w:pPr>
              <w:pStyle w:val="TableParagraph"/>
              <w:spacing w:line="268" w:lineRule="exact"/>
              <w:ind w:left="106"/>
              <w:rPr>
                <w:sz w:val="21"/>
              </w:rPr>
            </w:pPr>
            <w:r>
              <w:rPr>
                <w:color w:val="0000FF"/>
                <w:sz w:val="21"/>
                <w:u w:val="single" w:color="0000FF"/>
              </w:rPr>
              <w:t>话：4009980000,0771-2856756</w:t>
            </w:r>
            <w:r>
              <w:rPr>
                <w:color w:val="0000FF"/>
                <w:sz w:val="21"/>
              </w:rPr>
              <w:t> </w:t>
            </w:r>
          </w:p>
        </w:tc>
      </w:tr>
      <w:tr>
        <w:trPr>
          <w:trHeight w:val="410" w:hRule="atLeast"/>
        </w:trPr>
        <w:tc>
          <w:tcPr>
            <w:tcW w:w="886" w:type="dxa"/>
          </w:tcPr>
          <w:p>
            <w:pPr>
              <w:pStyle w:val="TableParagraph"/>
              <w:spacing w:before="1"/>
              <w:ind w:left="159" w:right="45"/>
              <w:jc w:val="center"/>
              <w:rPr>
                <w:sz w:val="21"/>
              </w:rPr>
            </w:pPr>
            <w:r>
              <w:rPr>
                <w:sz w:val="21"/>
              </w:rPr>
              <w:t>4.3.3 </w:t>
            </w:r>
          </w:p>
        </w:tc>
        <w:tc>
          <w:tcPr>
            <w:tcW w:w="3253" w:type="dxa"/>
          </w:tcPr>
          <w:p>
            <w:pPr>
              <w:pStyle w:val="TableParagraph"/>
              <w:spacing w:before="1"/>
              <w:ind w:left="107"/>
              <w:rPr>
                <w:sz w:val="21"/>
              </w:rPr>
            </w:pPr>
            <w:r>
              <w:rPr>
                <w:sz w:val="21"/>
              </w:rPr>
              <w:t>是否退还投标文件 </w:t>
            </w:r>
          </w:p>
        </w:tc>
        <w:tc>
          <w:tcPr>
            <w:tcW w:w="4749" w:type="dxa"/>
          </w:tcPr>
          <w:p>
            <w:pPr>
              <w:pStyle w:val="TableParagraph"/>
              <w:spacing w:before="1"/>
              <w:ind w:left="106"/>
              <w:rPr>
                <w:sz w:val="21"/>
              </w:rPr>
            </w:pPr>
            <w:r>
              <w:rPr>
                <w:sz w:val="21"/>
              </w:rPr>
              <w:t>否 </w:t>
            </w:r>
          </w:p>
        </w:tc>
      </w:tr>
      <w:tr>
        <w:trPr>
          <w:trHeight w:val="2042" w:hRule="atLeast"/>
        </w:trPr>
        <w:tc>
          <w:tcPr>
            <w:tcW w:w="886" w:type="dxa"/>
          </w:tcPr>
          <w:p>
            <w:pPr>
              <w:pStyle w:val="TableParagraph"/>
              <w:rPr>
                <w:rFonts w:ascii="Microsoft JhengHei"/>
                <w:b/>
                <w:sz w:val="20"/>
              </w:rPr>
            </w:pPr>
          </w:p>
          <w:p>
            <w:pPr>
              <w:pStyle w:val="TableParagraph"/>
              <w:spacing w:before="8"/>
              <w:rPr>
                <w:rFonts w:ascii="Microsoft JhengHei"/>
                <w:b/>
                <w:sz w:val="24"/>
              </w:rPr>
            </w:pPr>
          </w:p>
          <w:p>
            <w:pPr>
              <w:pStyle w:val="TableParagraph"/>
              <w:ind w:left="159" w:right="45"/>
              <w:jc w:val="center"/>
              <w:rPr>
                <w:sz w:val="21"/>
              </w:rPr>
            </w:pPr>
            <w:r>
              <w:rPr>
                <w:sz w:val="21"/>
              </w:rPr>
              <w:t>5.1 </w:t>
            </w:r>
          </w:p>
        </w:tc>
        <w:tc>
          <w:tcPr>
            <w:tcW w:w="3253" w:type="dxa"/>
          </w:tcPr>
          <w:p>
            <w:pPr>
              <w:pStyle w:val="TableParagraph"/>
              <w:rPr>
                <w:rFonts w:ascii="Microsoft JhengHei"/>
                <w:b/>
                <w:sz w:val="20"/>
              </w:rPr>
            </w:pPr>
          </w:p>
          <w:p>
            <w:pPr>
              <w:pStyle w:val="TableParagraph"/>
              <w:spacing w:before="8"/>
              <w:rPr>
                <w:rFonts w:ascii="Microsoft JhengHei"/>
                <w:b/>
                <w:sz w:val="24"/>
              </w:rPr>
            </w:pPr>
          </w:p>
          <w:p>
            <w:pPr>
              <w:pStyle w:val="TableParagraph"/>
              <w:ind w:left="107"/>
              <w:rPr>
                <w:sz w:val="21"/>
              </w:rPr>
            </w:pPr>
            <w:r>
              <w:rPr>
                <w:sz w:val="21"/>
              </w:rPr>
              <w:t>开标时间和地点 </w:t>
            </w:r>
          </w:p>
        </w:tc>
        <w:tc>
          <w:tcPr>
            <w:tcW w:w="4749" w:type="dxa"/>
          </w:tcPr>
          <w:p>
            <w:pPr>
              <w:pStyle w:val="TableParagraph"/>
              <w:spacing w:before="1"/>
              <w:ind w:left="106"/>
              <w:rPr>
                <w:sz w:val="21"/>
              </w:rPr>
            </w:pPr>
            <w:r>
              <w:rPr>
                <w:sz w:val="21"/>
              </w:rPr>
              <w:t>开标时间：同投标截止时间 </w:t>
            </w:r>
          </w:p>
          <w:p>
            <w:pPr>
              <w:pStyle w:val="TableParagraph"/>
              <w:spacing w:line="364" w:lineRule="auto" w:before="139"/>
              <w:ind w:left="106" w:right="95"/>
              <w:jc w:val="both"/>
              <w:rPr>
                <w:sz w:val="21"/>
              </w:rPr>
            </w:pPr>
            <w:r>
              <w:rPr>
                <w:spacing w:val="-11"/>
                <w:sz w:val="21"/>
              </w:rPr>
              <w:t>开标地点：</w:t>
            </w:r>
            <w:r>
              <w:rPr>
                <w:color w:val="0000FF"/>
                <w:spacing w:val="-8"/>
                <w:sz w:val="21"/>
              </w:rPr>
              <w:t>本项目为全流程电子化项目，无需投标</w:t>
            </w:r>
            <w:r>
              <w:rPr>
                <w:color w:val="0000FF"/>
                <w:spacing w:val="-12"/>
                <w:sz w:val="21"/>
              </w:rPr>
              <w:t>人来现场开标，投标人的电子投标文件直接上传至</w:t>
            </w:r>
            <w:r>
              <w:rPr>
                <w:color w:val="0000FF"/>
                <w:spacing w:val="3"/>
                <w:sz w:val="21"/>
              </w:rPr>
              <w:t>南宁市公共资源交易中心电子标系统中并在网上</w:t>
            </w:r>
          </w:p>
          <w:p>
            <w:pPr>
              <w:pStyle w:val="TableParagraph"/>
              <w:ind w:left="106"/>
              <w:rPr>
                <w:sz w:val="21"/>
              </w:rPr>
            </w:pPr>
            <w:r>
              <w:rPr>
                <w:color w:val="0000FF"/>
                <w:sz w:val="21"/>
              </w:rPr>
              <w:t>进行投标文件解密。</w:t>
            </w:r>
            <w:r>
              <w:rPr>
                <w:sz w:val="21"/>
              </w:rPr>
              <w:t> </w:t>
            </w:r>
          </w:p>
        </w:tc>
      </w:tr>
      <w:tr>
        <w:trPr>
          <w:trHeight w:val="407" w:hRule="atLeast"/>
        </w:trPr>
        <w:tc>
          <w:tcPr>
            <w:tcW w:w="886" w:type="dxa"/>
          </w:tcPr>
          <w:p>
            <w:pPr>
              <w:pStyle w:val="TableParagraph"/>
              <w:spacing w:before="1"/>
              <w:ind w:left="159" w:right="45"/>
              <w:jc w:val="center"/>
              <w:rPr>
                <w:sz w:val="21"/>
              </w:rPr>
            </w:pPr>
            <w:r>
              <w:rPr>
                <w:sz w:val="21"/>
              </w:rPr>
              <w:t>5.2 </w:t>
            </w:r>
          </w:p>
        </w:tc>
        <w:tc>
          <w:tcPr>
            <w:tcW w:w="3253" w:type="dxa"/>
          </w:tcPr>
          <w:p>
            <w:pPr>
              <w:pStyle w:val="TableParagraph"/>
              <w:spacing w:before="1"/>
              <w:ind w:left="107"/>
              <w:rPr>
                <w:sz w:val="21"/>
              </w:rPr>
            </w:pPr>
            <w:r>
              <w:rPr>
                <w:sz w:val="21"/>
              </w:rPr>
              <w:t>开标程序 </w:t>
            </w:r>
          </w:p>
        </w:tc>
        <w:tc>
          <w:tcPr>
            <w:tcW w:w="4749" w:type="dxa"/>
          </w:tcPr>
          <w:p>
            <w:pPr>
              <w:pStyle w:val="TableParagraph"/>
              <w:spacing w:before="1"/>
              <w:ind w:left="106"/>
              <w:rPr>
                <w:sz w:val="21"/>
              </w:rPr>
            </w:pPr>
            <w:r>
              <w:rPr>
                <w:sz w:val="21"/>
              </w:rPr>
              <w:t>见正文 5.2 条 </w:t>
            </w:r>
          </w:p>
        </w:tc>
      </w:tr>
      <w:tr>
        <w:trPr>
          <w:trHeight w:val="1633" w:hRule="atLeast"/>
        </w:trPr>
        <w:tc>
          <w:tcPr>
            <w:tcW w:w="886" w:type="dxa"/>
          </w:tcPr>
          <w:p>
            <w:pPr>
              <w:pStyle w:val="TableParagraph"/>
              <w:rPr>
                <w:rFonts w:ascii="Microsoft JhengHei"/>
                <w:b/>
                <w:sz w:val="20"/>
              </w:rPr>
            </w:pPr>
          </w:p>
          <w:p>
            <w:pPr>
              <w:pStyle w:val="TableParagraph"/>
              <w:spacing w:before="8"/>
              <w:rPr>
                <w:rFonts w:ascii="Microsoft JhengHei"/>
                <w:b/>
                <w:sz w:val="13"/>
              </w:rPr>
            </w:pPr>
          </w:p>
          <w:p>
            <w:pPr>
              <w:pStyle w:val="TableParagraph"/>
              <w:ind w:left="159" w:right="45"/>
              <w:jc w:val="center"/>
              <w:rPr>
                <w:sz w:val="21"/>
              </w:rPr>
            </w:pPr>
            <w:r>
              <w:rPr>
                <w:sz w:val="21"/>
              </w:rPr>
              <w:t>6.1.1 </w:t>
            </w:r>
          </w:p>
        </w:tc>
        <w:tc>
          <w:tcPr>
            <w:tcW w:w="3253" w:type="dxa"/>
          </w:tcPr>
          <w:p>
            <w:pPr>
              <w:pStyle w:val="TableParagraph"/>
              <w:rPr>
                <w:rFonts w:ascii="Microsoft JhengHei"/>
                <w:b/>
                <w:sz w:val="20"/>
              </w:rPr>
            </w:pPr>
          </w:p>
          <w:p>
            <w:pPr>
              <w:pStyle w:val="TableParagraph"/>
              <w:spacing w:before="8"/>
              <w:rPr>
                <w:rFonts w:ascii="Microsoft JhengHei"/>
                <w:b/>
                <w:sz w:val="13"/>
              </w:rPr>
            </w:pPr>
          </w:p>
          <w:p>
            <w:pPr>
              <w:pStyle w:val="TableParagraph"/>
              <w:ind w:left="107"/>
              <w:rPr>
                <w:sz w:val="21"/>
              </w:rPr>
            </w:pPr>
            <w:r>
              <w:rPr>
                <w:sz w:val="21"/>
              </w:rPr>
              <w:t>评标委员会的组建 </w:t>
            </w:r>
          </w:p>
        </w:tc>
        <w:tc>
          <w:tcPr>
            <w:tcW w:w="4749" w:type="dxa"/>
          </w:tcPr>
          <w:p>
            <w:pPr>
              <w:pStyle w:val="TableParagraph"/>
              <w:spacing w:line="367" w:lineRule="auto" w:before="1"/>
              <w:ind w:left="106" w:right="42"/>
              <w:rPr>
                <w:sz w:val="21"/>
              </w:rPr>
            </w:pPr>
            <w:r>
              <w:rPr>
                <w:spacing w:val="-4"/>
                <w:sz w:val="21"/>
              </w:rPr>
              <w:t>评标委员会构成：</w:t>
            </w:r>
            <w:r>
              <w:rPr>
                <w:color w:val="0000FF"/>
                <w:spacing w:val="-6"/>
                <w:sz w:val="21"/>
              </w:rPr>
              <w:t>7 </w:t>
            </w:r>
            <w:r>
              <w:rPr>
                <w:spacing w:val="-9"/>
                <w:sz w:val="21"/>
              </w:rPr>
              <w:t>人，其中招标人代表 </w:t>
            </w:r>
            <w:r>
              <w:rPr>
                <w:color w:val="0000FF"/>
                <w:sz w:val="21"/>
              </w:rPr>
              <w:t>2 </w:t>
            </w:r>
            <w:r>
              <w:rPr>
                <w:spacing w:val="-9"/>
                <w:sz w:val="21"/>
              </w:rPr>
              <w:t>人【资</w:t>
            </w:r>
            <w:r>
              <w:rPr>
                <w:spacing w:val="-15"/>
                <w:sz w:val="21"/>
              </w:rPr>
              <w:t>格要求详见本表后的备注】，专家 </w:t>
            </w:r>
            <w:r>
              <w:rPr>
                <w:color w:val="0000FF"/>
                <w:sz w:val="21"/>
              </w:rPr>
              <w:t>5</w:t>
            </w:r>
            <w:r>
              <w:rPr>
                <w:color w:val="0000FF"/>
                <w:spacing w:val="-52"/>
                <w:sz w:val="21"/>
              </w:rPr>
              <w:t> </w:t>
            </w:r>
            <w:r>
              <w:rPr>
                <w:spacing w:val="-3"/>
                <w:sz w:val="21"/>
              </w:rPr>
              <w:t>人。</w:t>
            </w:r>
            <w:r>
              <w:rPr>
                <w:sz w:val="21"/>
              </w:rPr>
              <w:t> </w:t>
            </w:r>
          </w:p>
          <w:p>
            <w:pPr>
              <w:pStyle w:val="TableParagraph"/>
              <w:spacing w:line="264" w:lineRule="exact"/>
              <w:ind w:left="106"/>
              <w:rPr>
                <w:sz w:val="21"/>
              </w:rPr>
            </w:pPr>
            <w:r>
              <w:rPr>
                <w:spacing w:val="-11"/>
                <w:sz w:val="21"/>
              </w:rPr>
              <w:t>评标专家分工：分技术、经济类，其中，招标人代</w:t>
            </w:r>
          </w:p>
          <w:p>
            <w:pPr>
              <w:pStyle w:val="TableParagraph"/>
              <w:spacing w:before="139"/>
              <w:ind w:left="106"/>
              <w:rPr>
                <w:sz w:val="21"/>
              </w:rPr>
            </w:pPr>
            <w:r>
              <w:rPr>
                <w:spacing w:val="-4"/>
                <w:sz w:val="21"/>
              </w:rPr>
              <w:t>表参加技术类 </w:t>
            </w:r>
            <w:r>
              <w:rPr>
                <w:color w:val="0000FF"/>
                <w:sz w:val="21"/>
              </w:rPr>
              <w:t>2</w:t>
            </w:r>
            <w:r>
              <w:rPr>
                <w:color w:val="0000FF"/>
                <w:spacing w:val="-14"/>
                <w:sz w:val="21"/>
              </w:rPr>
              <w:t> </w:t>
            </w:r>
            <w:r>
              <w:rPr>
                <w:spacing w:val="-5"/>
                <w:sz w:val="21"/>
              </w:rPr>
              <w:t>人、经济类 </w:t>
            </w:r>
            <w:r>
              <w:rPr>
                <w:color w:val="0000FF"/>
                <w:sz w:val="21"/>
              </w:rPr>
              <w:t>0</w:t>
            </w:r>
            <w:r>
              <w:rPr>
                <w:color w:val="0000FF"/>
                <w:spacing w:val="-15"/>
                <w:sz w:val="21"/>
              </w:rPr>
              <w:t> </w:t>
            </w:r>
            <w:r>
              <w:rPr>
                <w:spacing w:val="-5"/>
                <w:sz w:val="21"/>
              </w:rPr>
              <w:t>人；技术类专家 </w:t>
            </w:r>
            <w:r>
              <w:rPr>
                <w:color w:val="0000FF"/>
                <w:sz w:val="21"/>
              </w:rPr>
              <w:t>3</w:t>
            </w:r>
          </w:p>
        </w:tc>
      </w:tr>
    </w:tbl>
    <w:p>
      <w:pPr>
        <w:spacing w:after="0"/>
        <w:rPr>
          <w:sz w:val="21"/>
        </w:rPr>
        <w:sectPr>
          <w:pgSz w:w="11910" w:h="16850"/>
          <w:pgMar w:header="0" w:footer="779" w:top="1440" w:bottom="960" w:left="1120" w:right="280"/>
        </w:sectPr>
      </w:pPr>
    </w:p>
    <w:tbl>
      <w:tblPr>
        <w:tblW w:w="0" w:type="auto"/>
        <w:jc w:val="left"/>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6"/>
        <w:gridCol w:w="3253"/>
        <w:gridCol w:w="4749"/>
      </w:tblGrid>
      <w:tr>
        <w:trPr>
          <w:trHeight w:val="470" w:hRule="atLeast"/>
        </w:trPr>
        <w:tc>
          <w:tcPr>
            <w:tcW w:w="886" w:type="dxa"/>
            <w:shd w:val="clear" w:color="auto" w:fill="E6E6E6"/>
          </w:tcPr>
          <w:p>
            <w:pPr>
              <w:pStyle w:val="TableParagraph"/>
              <w:spacing w:line="349" w:lineRule="exact"/>
              <w:ind w:left="159" w:right="47"/>
              <w:jc w:val="center"/>
              <w:rPr>
                <w:rFonts w:ascii="Microsoft JhengHei" w:eastAsia="Microsoft JhengHei" w:hint="eastAsia"/>
                <w:b/>
                <w:sz w:val="21"/>
              </w:rPr>
            </w:pPr>
            <w:r>
              <w:rPr>
                <w:rFonts w:ascii="Microsoft JhengHei" w:eastAsia="Microsoft JhengHei" w:hint="eastAsia"/>
                <w:b/>
                <w:sz w:val="21"/>
                <w:shd w:fill="FFFFFF" w:color="auto" w:val="clear"/>
              </w:rPr>
              <w:t>条款号</w:t>
            </w:r>
            <w:r>
              <w:rPr>
                <w:rFonts w:ascii="Microsoft JhengHei" w:eastAsia="Microsoft JhengHei" w:hint="eastAsia"/>
                <w:b/>
                <w:w w:val="201"/>
                <w:sz w:val="21"/>
              </w:rPr>
              <w:t> </w:t>
            </w:r>
          </w:p>
        </w:tc>
        <w:tc>
          <w:tcPr>
            <w:tcW w:w="3253" w:type="dxa"/>
            <w:shd w:val="clear" w:color="auto" w:fill="E6E6E6"/>
          </w:tcPr>
          <w:p>
            <w:pPr>
              <w:pStyle w:val="TableParagraph"/>
              <w:spacing w:line="349" w:lineRule="exact"/>
              <w:ind w:left="887"/>
              <w:rPr>
                <w:rFonts w:ascii="Microsoft JhengHei" w:eastAsia="Microsoft JhengHei" w:hint="eastAsia"/>
                <w:b/>
                <w:sz w:val="21"/>
              </w:rPr>
            </w:pPr>
            <w:r>
              <w:rPr>
                <w:rFonts w:ascii="Microsoft JhengHei" w:eastAsia="Microsoft JhengHei" w:hint="eastAsia"/>
                <w:b/>
                <w:sz w:val="21"/>
                <w:shd w:fill="FFFFFF" w:color="auto" w:val="clear"/>
              </w:rPr>
              <w:t>条 款 名 称</w:t>
            </w:r>
            <w:r>
              <w:rPr>
                <w:rFonts w:ascii="Microsoft JhengHei" w:eastAsia="Microsoft JhengHei" w:hint="eastAsia"/>
                <w:b/>
                <w:w w:val="201"/>
                <w:sz w:val="21"/>
              </w:rPr>
              <w:t> </w:t>
            </w:r>
          </w:p>
        </w:tc>
        <w:tc>
          <w:tcPr>
            <w:tcW w:w="4749" w:type="dxa"/>
            <w:shd w:val="clear" w:color="auto" w:fill="E6E6E6"/>
          </w:tcPr>
          <w:p>
            <w:pPr>
              <w:pStyle w:val="TableParagraph"/>
              <w:spacing w:line="349" w:lineRule="exact"/>
              <w:ind w:left="1633"/>
              <w:rPr>
                <w:rFonts w:ascii="Microsoft JhengHei" w:eastAsia="Microsoft JhengHei" w:hint="eastAsia"/>
                <w:b/>
                <w:sz w:val="21"/>
              </w:rPr>
            </w:pPr>
            <w:r>
              <w:rPr>
                <w:rFonts w:ascii="Microsoft JhengHei" w:eastAsia="Microsoft JhengHei" w:hint="eastAsia"/>
                <w:b/>
                <w:sz w:val="21"/>
                <w:shd w:fill="FFFFFF" w:color="auto" w:val="clear"/>
              </w:rPr>
              <w:t>编 列 内 容</w:t>
            </w:r>
            <w:r>
              <w:rPr>
                <w:rFonts w:ascii="Microsoft JhengHei" w:eastAsia="Microsoft JhengHei" w:hint="eastAsia"/>
                <w:b/>
                <w:w w:val="201"/>
                <w:sz w:val="21"/>
              </w:rPr>
              <w:t> </w:t>
            </w:r>
          </w:p>
        </w:tc>
      </w:tr>
      <w:tr>
        <w:trPr>
          <w:trHeight w:val="1225" w:hRule="atLeast"/>
        </w:trPr>
        <w:tc>
          <w:tcPr>
            <w:tcW w:w="886" w:type="dxa"/>
          </w:tcPr>
          <w:p>
            <w:pPr>
              <w:pStyle w:val="TableParagraph"/>
              <w:rPr>
                <w:rFonts w:ascii="Times New Roman"/>
                <w:sz w:val="20"/>
              </w:rPr>
            </w:pPr>
          </w:p>
        </w:tc>
        <w:tc>
          <w:tcPr>
            <w:tcW w:w="3253" w:type="dxa"/>
          </w:tcPr>
          <w:p>
            <w:pPr>
              <w:pStyle w:val="TableParagraph"/>
              <w:rPr>
                <w:rFonts w:ascii="Times New Roman"/>
                <w:sz w:val="20"/>
              </w:rPr>
            </w:pPr>
          </w:p>
        </w:tc>
        <w:tc>
          <w:tcPr>
            <w:tcW w:w="4749" w:type="dxa"/>
          </w:tcPr>
          <w:p>
            <w:pPr>
              <w:pStyle w:val="TableParagraph"/>
              <w:spacing w:before="3"/>
              <w:ind w:left="106"/>
              <w:rPr>
                <w:sz w:val="21"/>
              </w:rPr>
            </w:pPr>
            <w:r>
              <w:rPr>
                <w:spacing w:val="-7"/>
                <w:sz w:val="21"/>
              </w:rPr>
              <w:t>人、经济类专家 </w:t>
            </w:r>
            <w:r>
              <w:rPr>
                <w:color w:val="0000FF"/>
                <w:sz w:val="21"/>
              </w:rPr>
              <w:t>2 </w:t>
            </w:r>
            <w:r>
              <w:rPr>
                <w:spacing w:val="-12"/>
                <w:sz w:val="21"/>
              </w:rPr>
              <w:t>人。【注：经济类评委人数不应</w:t>
            </w:r>
          </w:p>
          <w:p>
            <w:pPr>
              <w:pStyle w:val="TableParagraph"/>
              <w:spacing w:before="139"/>
              <w:ind w:left="106"/>
              <w:rPr>
                <w:sz w:val="21"/>
              </w:rPr>
            </w:pPr>
            <w:r>
              <w:rPr>
                <w:spacing w:val="-18"/>
                <w:sz w:val="21"/>
              </w:rPr>
              <w:t>多于 </w:t>
            </w:r>
            <w:r>
              <w:rPr>
                <w:sz w:val="21"/>
              </w:rPr>
              <w:t>2</w:t>
            </w:r>
            <w:r>
              <w:rPr>
                <w:spacing w:val="-55"/>
                <w:sz w:val="21"/>
              </w:rPr>
              <w:t> 人。】。</w:t>
            </w:r>
            <w:r>
              <w:rPr>
                <w:sz w:val="21"/>
              </w:rPr>
              <w:t> </w:t>
            </w:r>
          </w:p>
          <w:p>
            <w:pPr>
              <w:pStyle w:val="TableParagraph"/>
              <w:spacing w:before="139"/>
              <w:ind w:left="106"/>
              <w:rPr>
                <w:sz w:val="21"/>
              </w:rPr>
            </w:pPr>
            <w:r>
              <w:rPr>
                <w:sz w:val="21"/>
              </w:rPr>
              <w:t>评标专家确定方式：</w:t>
            </w:r>
            <w:r>
              <w:rPr>
                <w:color w:val="0000FF"/>
                <w:sz w:val="21"/>
              </w:rPr>
              <w:t>随机抽取</w:t>
            </w:r>
            <w:r>
              <w:rPr>
                <w:sz w:val="21"/>
              </w:rPr>
              <w:t> </w:t>
            </w:r>
          </w:p>
        </w:tc>
      </w:tr>
      <w:tr>
        <w:trPr>
          <w:trHeight w:val="817" w:hRule="atLeast"/>
        </w:trPr>
        <w:tc>
          <w:tcPr>
            <w:tcW w:w="886" w:type="dxa"/>
          </w:tcPr>
          <w:p>
            <w:pPr>
              <w:pStyle w:val="TableParagraph"/>
              <w:spacing w:before="5"/>
              <w:rPr>
                <w:rFonts w:ascii="Microsoft JhengHei"/>
                <w:b/>
                <w:sz w:val="11"/>
              </w:rPr>
            </w:pPr>
          </w:p>
          <w:p>
            <w:pPr>
              <w:pStyle w:val="TableParagraph"/>
              <w:ind w:left="159" w:right="45"/>
              <w:jc w:val="center"/>
              <w:rPr>
                <w:sz w:val="21"/>
              </w:rPr>
            </w:pPr>
            <w:r>
              <w:rPr>
                <w:sz w:val="21"/>
              </w:rPr>
              <w:t>6.3 </w:t>
            </w:r>
          </w:p>
        </w:tc>
        <w:tc>
          <w:tcPr>
            <w:tcW w:w="3253" w:type="dxa"/>
          </w:tcPr>
          <w:p>
            <w:pPr>
              <w:pStyle w:val="TableParagraph"/>
              <w:spacing w:before="5"/>
              <w:rPr>
                <w:rFonts w:ascii="Microsoft JhengHei"/>
                <w:b/>
                <w:sz w:val="11"/>
              </w:rPr>
            </w:pPr>
          </w:p>
          <w:p>
            <w:pPr>
              <w:pStyle w:val="TableParagraph"/>
              <w:ind w:left="107"/>
              <w:rPr>
                <w:sz w:val="21"/>
              </w:rPr>
            </w:pPr>
            <w:r>
              <w:rPr>
                <w:sz w:val="21"/>
              </w:rPr>
              <w:t>评标方式 </w:t>
            </w:r>
          </w:p>
        </w:tc>
        <w:tc>
          <w:tcPr>
            <w:tcW w:w="4749" w:type="dxa"/>
          </w:tcPr>
          <w:p>
            <w:pPr>
              <w:pStyle w:val="TableParagraph"/>
              <w:spacing w:before="1"/>
              <w:ind w:left="106"/>
              <w:rPr>
                <w:sz w:val="21"/>
              </w:rPr>
            </w:pPr>
            <w:r>
              <w:rPr>
                <w:color w:val="0000FF"/>
                <w:sz w:val="21"/>
              </w:rPr>
              <w:t>□</w:t>
            </w:r>
            <w:r>
              <w:rPr>
                <w:sz w:val="21"/>
              </w:rPr>
              <w:t>经评审的合理低价法 </w:t>
            </w:r>
          </w:p>
          <w:p>
            <w:pPr>
              <w:pStyle w:val="TableParagraph"/>
              <w:spacing w:before="124"/>
              <w:ind w:left="106"/>
              <w:rPr>
                <w:sz w:val="21"/>
              </w:rPr>
            </w:pPr>
            <w:r>
              <w:rPr>
                <w:rFonts w:ascii="Segoe UI Symbol" w:hAnsi="Segoe UI Symbol" w:eastAsia="Segoe UI Symbol"/>
                <w:color w:val="0000FF"/>
                <w:sz w:val="21"/>
              </w:rPr>
              <w:t>☑ </w:t>
            </w:r>
            <w:r>
              <w:rPr>
                <w:sz w:val="21"/>
              </w:rPr>
              <w:t>综合评估法 </w:t>
            </w:r>
          </w:p>
        </w:tc>
      </w:tr>
      <w:tr>
        <w:trPr>
          <w:trHeight w:val="815" w:hRule="atLeast"/>
        </w:trPr>
        <w:tc>
          <w:tcPr>
            <w:tcW w:w="886" w:type="dxa"/>
          </w:tcPr>
          <w:p>
            <w:pPr>
              <w:pStyle w:val="TableParagraph"/>
              <w:spacing w:before="2"/>
              <w:rPr>
                <w:rFonts w:ascii="Microsoft JhengHei"/>
                <w:b/>
                <w:sz w:val="11"/>
              </w:rPr>
            </w:pPr>
          </w:p>
          <w:p>
            <w:pPr>
              <w:pStyle w:val="TableParagraph"/>
              <w:ind w:left="159" w:right="45"/>
              <w:jc w:val="center"/>
              <w:rPr>
                <w:sz w:val="21"/>
              </w:rPr>
            </w:pPr>
            <w:r>
              <w:rPr>
                <w:sz w:val="21"/>
              </w:rPr>
              <w:t>6.5 </w:t>
            </w:r>
          </w:p>
        </w:tc>
        <w:tc>
          <w:tcPr>
            <w:tcW w:w="3253" w:type="dxa"/>
          </w:tcPr>
          <w:p>
            <w:pPr>
              <w:pStyle w:val="TableParagraph"/>
              <w:spacing w:before="1"/>
              <w:ind w:left="107"/>
              <w:rPr>
                <w:sz w:val="21"/>
              </w:rPr>
            </w:pPr>
            <w:r>
              <w:rPr>
                <w:sz w:val="21"/>
              </w:rPr>
              <w:t>评标资料封存方式【备注：由当</w:t>
            </w:r>
          </w:p>
          <w:p>
            <w:pPr>
              <w:pStyle w:val="TableParagraph"/>
              <w:spacing w:before="139"/>
              <w:ind w:left="107"/>
              <w:rPr>
                <w:sz w:val="21"/>
              </w:rPr>
            </w:pPr>
            <w:r>
              <w:rPr>
                <w:sz w:val="21"/>
              </w:rPr>
              <w:t>地招投标监督管理部门确定】 </w:t>
            </w:r>
          </w:p>
        </w:tc>
        <w:tc>
          <w:tcPr>
            <w:tcW w:w="4749" w:type="dxa"/>
          </w:tcPr>
          <w:p>
            <w:pPr>
              <w:pStyle w:val="TableParagraph"/>
              <w:spacing w:line="270" w:lineRule="exact"/>
              <w:ind w:left="106"/>
              <w:rPr>
                <w:sz w:val="21"/>
              </w:rPr>
            </w:pPr>
            <w:r>
              <w:rPr>
                <w:rFonts w:ascii="Segoe UI Symbol" w:hAnsi="Segoe UI Symbol" w:eastAsia="Segoe UI Symbol"/>
                <w:color w:val="0000FF"/>
                <w:sz w:val="21"/>
              </w:rPr>
              <w:t>☑ </w:t>
            </w:r>
            <w:r>
              <w:rPr>
                <w:sz w:val="21"/>
              </w:rPr>
              <w:t>在交易中心封存 </w:t>
            </w:r>
          </w:p>
          <w:p>
            <w:pPr>
              <w:pStyle w:val="TableParagraph"/>
              <w:spacing w:before="139"/>
              <w:ind w:left="106"/>
              <w:rPr>
                <w:sz w:val="21"/>
              </w:rPr>
            </w:pPr>
            <w:r>
              <w:rPr>
                <w:color w:val="0000FF"/>
                <w:sz w:val="21"/>
              </w:rPr>
              <w:t>□</w:t>
            </w:r>
            <w:r>
              <w:rPr>
                <w:sz w:val="21"/>
              </w:rPr>
              <w:t>当地招投标监督管理部门封存 </w:t>
            </w:r>
          </w:p>
        </w:tc>
      </w:tr>
      <w:tr>
        <w:trPr>
          <w:trHeight w:val="1197" w:hRule="atLeast"/>
        </w:trPr>
        <w:tc>
          <w:tcPr>
            <w:tcW w:w="886" w:type="dxa"/>
          </w:tcPr>
          <w:p>
            <w:pPr>
              <w:pStyle w:val="TableParagraph"/>
              <w:spacing w:before="9"/>
              <w:rPr>
                <w:rFonts w:ascii="Microsoft JhengHei"/>
                <w:b/>
                <w:sz w:val="10"/>
              </w:rPr>
            </w:pPr>
          </w:p>
          <w:p>
            <w:pPr>
              <w:pStyle w:val="TableParagraph"/>
              <w:ind w:left="179"/>
              <w:rPr>
                <w:sz w:val="21"/>
              </w:rPr>
            </w:pPr>
            <w:r>
              <w:rPr>
                <w:sz w:val="21"/>
              </w:rPr>
              <w:t>6.5.1</w:t>
            </w:r>
          </w:p>
          <w:p>
            <w:pPr>
              <w:pStyle w:val="TableParagraph"/>
              <w:spacing w:before="139"/>
              <w:ind w:left="179"/>
              <w:rPr>
                <w:sz w:val="21"/>
              </w:rPr>
            </w:pPr>
            <w:r>
              <w:rPr>
                <w:sz w:val="21"/>
              </w:rPr>
              <w:t>（3） </w:t>
            </w:r>
          </w:p>
        </w:tc>
        <w:tc>
          <w:tcPr>
            <w:tcW w:w="3253" w:type="dxa"/>
          </w:tcPr>
          <w:p>
            <w:pPr>
              <w:pStyle w:val="TableParagraph"/>
              <w:spacing w:before="11"/>
              <w:rPr>
                <w:rFonts w:ascii="Microsoft JhengHei"/>
                <w:b/>
                <w:sz w:val="21"/>
              </w:rPr>
            </w:pPr>
          </w:p>
          <w:p>
            <w:pPr>
              <w:pStyle w:val="TableParagraph"/>
              <w:ind w:left="107"/>
              <w:rPr>
                <w:sz w:val="21"/>
              </w:rPr>
            </w:pPr>
            <w:r>
              <w:rPr>
                <w:sz w:val="21"/>
              </w:rPr>
              <w:t>封存的其它材料 </w:t>
            </w:r>
          </w:p>
        </w:tc>
        <w:tc>
          <w:tcPr>
            <w:tcW w:w="4749" w:type="dxa"/>
          </w:tcPr>
          <w:p>
            <w:pPr>
              <w:pStyle w:val="TableParagraph"/>
              <w:spacing w:before="11"/>
              <w:rPr>
                <w:rFonts w:ascii="Microsoft JhengHei"/>
                <w:b/>
                <w:sz w:val="21"/>
              </w:rPr>
            </w:pPr>
          </w:p>
          <w:p>
            <w:pPr>
              <w:pStyle w:val="TableParagraph"/>
              <w:ind w:left="106"/>
              <w:rPr>
                <w:sz w:val="21"/>
              </w:rPr>
            </w:pPr>
            <w:r>
              <w:rPr>
                <w:color w:val="0000FF"/>
                <w:sz w:val="21"/>
              </w:rPr>
              <w:t>无</w:t>
            </w:r>
            <w:r>
              <w:rPr>
                <w:sz w:val="21"/>
              </w:rPr>
              <w:t> </w:t>
            </w:r>
          </w:p>
        </w:tc>
      </w:tr>
      <w:tr>
        <w:trPr>
          <w:trHeight w:val="410" w:hRule="atLeast"/>
        </w:trPr>
        <w:tc>
          <w:tcPr>
            <w:tcW w:w="886" w:type="dxa"/>
          </w:tcPr>
          <w:p>
            <w:pPr>
              <w:pStyle w:val="TableParagraph"/>
              <w:spacing w:before="3"/>
              <w:ind w:left="159" w:right="45"/>
              <w:jc w:val="center"/>
              <w:rPr>
                <w:sz w:val="21"/>
              </w:rPr>
            </w:pPr>
            <w:r>
              <w:rPr>
                <w:sz w:val="21"/>
              </w:rPr>
              <w:t>6.6.1 </w:t>
            </w:r>
          </w:p>
        </w:tc>
        <w:tc>
          <w:tcPr>
            <w:tcW w:w="3253" w:type="dxa"/>
          </w:tcPr>
          <w:p>
            <w:pPr>
              <w:pStyle w:val="TableParagraph"/>
              <w:spacing w:before="3"/>
              <w:ind w:left="107"/>
              <w:rPr>
                <w:sz w:val="21"/>
              </w:rPr>
            </w:pPr>
            <w:r>
              <w:rPr>
                <w:sz w:val="21"/>
              </w:rPr>
              <w:t>中标候选人公示的媒介 </w:t>
            </w:r>
          </w:p>
        </w:tc>
        <w:tc>
          <w:tcPr>
            <w:tcW w:w="4749" w:type="dxa"/>
          </w:tcPr>
          <w:p>
            <w:pPr>
              <w:pStyle w:val="TableParagraph"/>
              <w:spacing w:before="3"/>
              <w:ind w:left="106"/>
              <w:rPr>
                <w:sz w:val="21"/>
              </w:rPr>
            </w:pPr>
            <w:r>
              <w:rPr>
                <w:sz w:val="21"/>
              </w:rPr>
              <w:t>在发布媒介上公示 </w:t>
            </w:r>
          </w:p>
        </w:tc>
      </w:tr>
      <w:tr>
        <w:trPr>
          <w:trHeight w:val="2042" w:hRule="atLeast"/>
        </w:trPr>
        <w:tc>
          <w:tcPr>
            <w:tcW w:w="886" w:type="dxa"/>
          </w:tcPr>
          <w:p>
            <w:pPr>
              <w:pStyle w:val="TableParagraph"/>
              <w:rPr>
                <w:rFonts w:ascii="Microsoft JhengHei"/>
                <w:b/>
                <w:sz w:val="20"/>
              </w:rPr>
            </w:pPr>
          </w:p>
          <w:p>
            <w:pPr>
              <w:pStyle w:val="TableParagraph"/>
              <w:spacing w:before="7"/>
              <w:rPr>
                <w:rFonts w:ascii="Microsoft JhengHei"/>
                <w:b/>
                <w:sz w:val="24"/>
              </w:rPr>
            </w:pPr>
          </w:p>
          <w:p>
            <w:pPr>
              <w:pStyle w:val="TableParagraph"/>
              <w:spacing w:before="1"/>
              <w:ind w:left="159" w:right="45"/>
              <w:jc w:val="center"/>
              <w:rPr>
                <w:sz w:val="21"/>
              </w:rPr>
            </w:pPr>
            <w:r>
              <w:rPr>
                <w:sz w:val="21"/>
              </w:rPr>
              <w:t>6.7 </w:t>
            </w:r>
          </w:p>
        </w:tc>
        <w:tc>
          <w:tcPr>
            <w:tcW w:w="3253" w:type="dxa"/>
          </w:tcPr>
          <w:p>
            <w:pPr>
              <w:pStyle w:val="TableParagraph"/>
              <w:rPr>
                <w:rFonts w:ascii="Microsoft JhengHei"/>
                <w:b/>
                <w:sz w:val="20"/>
              </w:rPr>
            </w:pPr>
          </w:p>
          <w:p>
            <w:pPr>
              <w:pStyle w:val="TableParagraph"/>
              <w:spacing w:before="7"/>
              <w:rPr>
                <w:rFonts w:ascii="Microsoft JhengHei"/>
                <w:b/>
                <w:sz w:val="24"/>
              </w:rPr>
            </w:pPr>
          </w:p>
          <w:p>
            <w:pPr>
              <w:pStyle w:val="TableParagraph"/>
              <w:spacing w:before="1"/>
              <w:ind w:left="107"/>
              <w:rPr>
                <w:sz w:val="21"/>
              </w:rPr>
            </w:pPr>
            <w:r>
              <w:rPr>
                <w:sz w:val="21"/>
              </w:rPr>
              <w:t>履约能力审查的标准和方法 </w:t>
            </w:r>
          </w:p>
        </w:tc>
        <w:tc>
          <w:tcPr>
            <w:tcW w:w="4749" w:type="dxa"/>
          </w:tcPr>
          <w:p>
            <w:pPr>
              <w:pStyle w:val="TableParagraph"/>
              <w:spacing w:line="364" w:lineRule="auto" w:before="1"/>
              <w:ind w:left="106" w:right="96"/>
              <w:rPr>
                <w:sz w:val="21"/>
              </w:rPr>
            </w:pPr>
            <w:r>
              <w:rPr>
                <w:sz w:val="21"/>
              </w:rPr>
              <w:t>在中标通知书发出前，中标候选人不得有以下情形：1、被吊销营业执照 </w:t>
            </w:r>
          </w:p>
          <w:p>
            <w:pPr>
              <w:pStyle w:val="TableParagraph"/>
              <w:spacing w:line="267" w:lineRule="exact"/>
              <w:ind w:left="106"/>
              <w:rPr>
                <w:sz w:val="21"/>
              </w:rPr>
            </w:pPr>
            <w:r>
              <w:rPr>
                <w:sz w:val="21"/>
              </w:rPr>
              <w:t>2、进入破产程序 </w:t>
            </w:r>
          </w:p>
          <w:p>
            <w:pPr>
              <w:pStyle w:val="TableParagraph"/>
              <w:spacing w:before="141"/>
              <w:ind w:left="106"/>
              <w:rPr>
                <w:sz w:val="21"/>
              </w:rPr>
            </w:pPr>
            <w:r>
              <w:rPr>
                <w:sz w:val="21"/>
              </w:rPr>
              <w:t>3、其他:  </w:t>
            </w:r>
          </w:p>
          <w:p>
            <w:pPr>
              <w:pStyle w:val="TableParagraph"/>
              <w:spacing w:before="139"/>
              <w:ind w:left="106"/>
              <w:rPr>
                <w:sz w:val="21"/>
              </w:rPr>
            </w:pPr>
            <w:r>
              <w:rPr>
                <w:color w:val="0000FF"/>
                <w:w w:val="100"/>
                <w:sz w:val="21"/>
              </w:rPr>
              <w:t>  </w:t>
            </w:r>
            <w:r>
              <w:rPr>
                <w:w w:val="100"/>
                <w:sz w:val="21"/>
              </w:rPr>
              <w:t> </w:t>
            </w:r>
          </w:p>
        </w:tc>
      </w:tr>
      <w:tr>
        <w:trPr>
          <w:trHeight w:val="818" w:hRule="atLeast"/>
        </w:trPr>
        <w:tc>
          <w:tcPr>
            <w:tcW w:w="886" w:type="dxa"/>
          </w:tcPr>
          <w:p>
            <w:pPr>
              <w:pStyle w:val="TableParagraph"/>
              <w:spacing w:before="2"/>
              <w:rPr>
                <w:rFonts w:ascii="Microsoft JhengHei"/>
                <w:b/>
                <w:sz w:val="11"/>
              </w:rPr>
            </w:pPr>
          </w:p>
          <w:p>
            <w:pPr>
              <w:pStyle w:val="TableParagraph"/>
              <w:ind w:left="159" w:right="45"/>
              <w:jc w:val="center"/>
              <w:rPr>
                <w:sz w:val="21"/>
              </w:rPr>
            </w:pPr>
            <w:r>
              <w:rPr>
                <w:sz w:val="21"/>
              </w:rPr>
              <w:t>7.1 </w:t>
            </w:r>
          </w:p>
        </w:tc>
        <w:tc>
          <w:tcPr>
            <w:tcW w:w="3253" w:type="dxa"/>
          </w:tcPr>
          <w:p>
            <w:pPr>
              <w:pStyle w:val="TableParagraph"/>
              <w:spacing w:before="2"/>
              <w:rPr>
                <w:rFonts w:ascii="Microsoft JhengHei"/>
                <w:b/>
                <w:sz w:val="11"/>
              </w:rPr>
            </w:pPr>
          </w:p>
          <w:p>
            <w:pPr>
              <w:pStyle w:val="TableParagraph"/>
              <w:ind w:left="107"/>
              <w:rPr>
                <w:sz w:val="21"/>
              </w:rPr>
            </w:pPr>
            <w:r>
              <w:rPr>
                <w:sz w:val="21"/>
              </w:rPr>
              <w:t>是否授权评标委员会确定中标人 </w:t>
            </w:r>
          </w:p>
        </w:tc>
        <w:tc>
          <w:tcPr>
            <w:tcW w:w="4749" w:type="dxa"/>
          </w:tcPr>
          <w:p>
            <w:pPr>
              <w:pStyle w:val="TableParagraph"/>
              <w:spacing w:before="1"/>
              <w:ind w:left="106"/>
              <w:rPr>
                <w:sz w:val="21"/>
              </w:rPr>
            </w:pPr>
            <w:r>
              <w:rPr>
                <w:color w:val="0000FF"/>
                <w:sz w:val="21"/>
              </w:rPr>
              <w:t>□</w:t>
            </w:r>
            <w:r>
              <w:rPr>
                <w:sz w:val="21"/>
              </w:rPr>
              <w:t>是 </w:t>
            </w:r>
          </w:p>
          <w:p>
            <w:pPr>
              <w:pStyle w:val="TableParagraph"/>
              <w:spacing w:before="122"/>
              <w:ind w:left="106"/>
              <w:rPr>
                <w:sz w:val="21"/>
              </w:rPr>
            </w:pPr>
            <w:r>
              <w:rPr>
                <w:rFonts w:ascii="Segoe UI Symbol" w:hAnsi="Segoe UI Symbol" w:eastAsia="Segoe UI Symbol"/>
                <w:color w:val="0000FF"/>
                <w:sz w:val="21"/>
              </w:rPr>
              <w:t>☑ </w:t>
            </w:r>
            <w:r>
              <w:rPr>
                <w:sz w:val="21"/>
              </w:rPr>
              <w:t>否，推荐的中标候选人数：</w:t>
            </w:r>
            <w:r>
              <w:rPr>
                <w:color w:val="0000FF"/>
                <w:sz w:val="21"/>
              </w:rPr>
              <w:t>3</w:t>
            </w:r>
            <w:r>
              <w:rPr>
                <w:sz w:val="21"/>
              </w:rPr>
              <w:t> </w:t>
            </w:r>
          </w:p>
        </w:tc>
      </w:tr>
      <w:tr>
        <w:trPr>
          <w:trHeight w:val="4900" w:hRule="atLeast"/>
        </w:trPr>
        <w:tc>
          <w:tcPr>
            <w:tcW w:w="886" w:type="dxa"/>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4"/>
              <w:rPr>
                <w:rFonts w:ascii="Microsoft JhengHei"/>
                <w:b/>
                <w:sz w:val="22"/>
              </w:rPr>
            </w:pPr>
          </w:p>
          <w:p>
            <w:pPr>
              <w:pStyle w:val="TableParagraph"/>
              <w:ind w:left="159" w:right="45"/>
              <w:jc w:val="center"/>
              <w:rPr>
                <w:sz w:val="21"/>
              </w:rPr>
            </w:pPr>
            <w:r>
              <w:rPr>
                <w:sz w:val="21"/>
              </w:rPr>
              <w:t>7.3.1 </w:t>
            </w:r>
          </w:p>
        </w:tc>
        <w:tc>
          <w:tcPr>
            <w:tcW w:w="3253" w:type="dxa"/>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4"/>
              <w:rPr>
                <w:rFonts w:ascii="Microsoft JhengHei"/>
                <w:b/>
                <w:sz w:val="22"/>
              </w:rPr>
            </w:pPr>
          </w:p>
          <w:p>
            <w:pPr>
              <w:pStyle w:val="TableParagraph"/>
              <w:ind w:left="107"/>
              <w:rPr>
                <w:sz w:val="21"/>
              </w:rPr>
            </w:pPr>
            <w:r>
              <w:rPr>
                <w:sz w:val="21"/>
              </w:rPr>
              <w:t>履约保证金 </w:t>
            </w:r>
          </w:p>
        </w:tc>
        <w:tc>
          <w:tcPr>
            <w:tcW w:w="4749" w:type="dxa"/>
          </w:tcPr>
          <w:p>
            <w:pPr>
              <w:pStyle w:val="TableParagraph"/>
              <w:spacing w:line="364" w:lineRule="auto" w:before="1"/>
              <w:ind w:left="106" w:right="-15"/>
              <w:rPr>
                <w:rFonts w:ascii="Microsoft JhengHei" w:hAnsi="Microsoft JhengHei" w:eastAsia="Microsoft JhengHei" w:hint="eastAsia"/>
                <w:b/>
                <w:sz w:val="21"/>
              </w:rPr>
            </w:pPr>
            <w:r>
              <w:rPr>
                <w:color w:val="0000FF"/>
                <w:sz w:val="21"/>
              </w:rPr>
              <w:t>□</w:t>
            </w:r>
            <w:r>
              <w:rPr>
                <w:spacing w:val="-17"/>
                <w:sz w:val="21"/>
              </w:rPr>
              <w:t>是 履约担保的形式：可以采用现金、银行保函、</w:t>
            </w:r>
            <w:r>
              <w:rPr>
                <w:spacing w:val="-14"/>
                <w:sz w:val="21"/>
              </w:rPr>
              <w:t>工程担保或保证保险等形式【备注：严禁要求中标</w:t>
            </w:r>
            <w:r>
              <w:rPr>
                <w:spacing w:val="-12"/>
                <w:sz w:val="21"/>
              </w:rPr>
              <w:t>人只能以现金方式提交保证金的行为，严禁现金形</w:t>
            </w:r>
            <w:r>
              <w:rPr>
                <w:spacing w:val="-6"/>
                <w:sz w:val="21"/>
              </w:rPr>
              <w:t>式缴纳的额度与其他形式不一致】</w:t>
            </w:r>
            <w:r>
              <w:rPr>
                <w:rFonts w:ascii="Microsoft JhengHei" w:hAnsi="Microsoft JhengHei" w:eastAsia="Microsoft JhengHei" w:hint="eastAsia"/>
                <w:b/>
                <w:w w:val="201"/>
                <w:sz w:val="21"/>
              </w:rPr>
              <w:t> </w:t>
            </w:r>
          </w:p>
          <w:p>
            <w:pPr>
              <w:pStyle w:val="TableParagraph"/>
              <w:spacing w:line="364" w:lineRule="auto"/>
              <w:ind w:left="106" w:right="95"/>
              <w:jc w:val="both"/>
              <w:rPr>
                <w:rFonts w:ascii="Microsoft JhengHei" w:eastAsia="Microsoft JhengHei" w:hint="eastAsia"/>
                <w:b/>
                <w:sz w:val="21"/>
              </w:rPr>
            </w:pPr>
            <w:r>
              <w:rPr>
                <w:spacing w:val="-6"/>
                <w:sz w:val="21"/>
              </w:rPr>
              <w:t>履约保证金的金额：</w:t>
            </w:r>
            <w:r>
              <w:rPr>
                <w:color w:val="0000FF"/>
                <w:spacing w:val="-25"/>
                <w:sz w:val="21"/>
              </w:rPr>
              <w:t> </w:t>
            </w:r>
            <w:r>
              <w:rPr>
                <w:spacing w:val="-9"/>
                <w:sz w:val="21"/>
              </w:rPr>
              <w:t>万元【备注：上限为合同价</w:t>
            </w:r>
            <w:r>
              <w:rPr>
                <w:spacing w:val="-12"/>
                <w:sz w:val="21"/>
              </w:rPr>
              <w:t>款扣除发包人材料价款、暂估专业工程、暂列金额</w:t>
            </w:r>
            <w:r>
              <w:rPr>
                <w:spacing w:val="-18"/>
                <w:sz w:val="21"/>
              </w:rPr>
              <w:t>后的 </w:t>
            </w:r>
            <w:r>
              <w:rPr>
                <w:sz w:val="21"/>
              </w:rPr>
              <w:t>10</w:t>
            </w:r>
            <w:r>
              <w:rPr>
                <w:spacing w:val="-2"/>
                <w:sz w:val="21"/>
              </w:rPr>
              <w:t>%】</w:t>
            </w:r>
            <w:r>
              <w:rPr>
                <w:rFonts w:ascii="Microsoft JhengHei" w:eastAsia="Microsoft JhengHei" w:hint="eastAsia"/>
                <w:b/>
                <w:w w:val="201"/>
                <w:sz w:val="21"/>
              </w:rPr>
              <w:t> </w:t>
            </w:r>
          </w:p>
          <w:p>
            <w:pPr>
              <w:pStyle w:val="TableParagraph"/>
              <w:spacing w:line="364" w:lineRule="auto"/>
              <w:ind w:left="106" w:right="95"/>
              <w:jc w:val="both"/>
              <w:rPr>
                <w:sz w:val="21"/>
              </w:rPr>
            </w:pPr>
            <w:r>
              <w:rPr>
                <w:spacing w:val="-10"/>
                <w:sz w:val="21"/>
              </w:rPr>
              <w:t>投标人在收到中标通知书后，须在</w:t>
            </w:r>
            <w:r>
              <w:rPr>
                <w:color w:val="0000FF"/>
                <w:spacing w:val="-10"/>
                <w:sz w:val="21"/>
              </w:rPr>
              <w:t> </w:t>
            </w:r>
            <w:r>
              <w:rPr>
                <w:spacing w:val="-3"/>
                <w:sz w:val="21"/>
              </w:rPr>
              <w:t>日内向招标人</w:t>
            </w:r>
            <w:r>
              <w:rPr>
                <w:spacing w:val="-11"/>
                <w:sz w:val="21"/>
              </w:rPr>
              <w:t>足额提交履约保证金，否则招标人可以取消其中标</w:t>
            </w:r>
            <w:r>
              <w:rPr>
                <w:spacing w:val="4"/>
                <w:sz w:val="21"/>
              </w:rPr>
              <w:t>资格【备注：此处约定应与合同专用条款第 </w:t>
            </w:r>
            <w:r>
              <w:rPr>
                <w:sz w:val="21"/>
              </w:rPr>
              <w:t>3.7 </w:t>
            </w:r>
            <w:r>
              <w:rPr>
                <w:spacing w:val="-23"/>
                <w:sz w:val="21"/>
              </w:rPr>
              <w:t>条一致】。</w:t>
            </w:r>
            <w:r>
              <w:rPr>
                <w:sz w:val="21"/>
              </w:rPr>
              <w:t> </w:t>
            </w:r>
          </w:p>
          <w:p>
            <w:pPr>
              <w:pStyle w:val="TableParagraph"/>
              <w:spacing w:line="268" w:lineRule="exact"/>
              <w:ind w:left="106"/>
              <w:jc w:val="both"/>
              <w:rPr>
                <w:sz w:val="21"/>
              </w:rPr>
            </w:pPr>
            <w:r>
              <w:rPr>
                <w:rFonts w:ascii="Segoe UI Symbol" w:hAnsi="Segoe UI Symbol" w:eastAsia="Segoe UI Symbol"/>
                <w:color w:val="0000FF"/>
                <w:sz w:val="21"/>
              </w:rPr>
              <w:t>☑ </w:t>
            </w:r>
            <w:r>
              <w:rPr>
                <w:sz w:val="21"/>
              </w:rPr>
              <w:t>否 </w:t>
            </w:r>
          </w:p>
        </w:tc>
      </w:tr>
      <w:tr>
        <w:trPr>
          <w:trHeight w:val="409" w:hRule="atLeast"/>
        </w:trPr>
        <w:tc>
          <w:tcPr>
            <w:tcW w:w="8888" w:type="dxa"/>
            <w:gridSpan w:val="3"/>
          </w:tcPr>
          <w:p>
            <w:pPr>
              <w:pStyle w:val="TableParagraph"/>
              <w:spacing w:before="1"/>
              <w:ind w:left="107"/>
              <w:rPr>
                <w:sz w:val="21"/>
              </w:rPr>
            </w:pPr>
            <w:r>
              <w:rPr>
                <w:sz w:val="21"/>
              </w:rPr>
              <w:t>10. 需要补充的其他内容 </w:t>
            </w:r>
          </w:p>
        </w:tc>
      </w:tr>
      <w:tr>
        <w:trPr>
          <w:trHeight w:val="407" w:hRule="atLeast"/>
        </w:trPr>
        <w:tc>
          <w:tcPr>
            <w:tcW w:w="8888" w:type="dxa"/>
            <w:gridSpan w:val="3"/>
          </w:tcPr>
          <w:p>
            <w:pPr>
              <w:pStyle w:val="TableParagraph"/>
              <w:spacing w:before="1"/>
              <w:ind w:left="107"/>
              <w:rPr>
                <w:sz w:val="21"/>
              </w:rPr>
            </w:pPr>
            <w:r>
              <w:rPr>
                <w:sz w:val="21"/>
              </w:rPr>
              <w:t>10.1 词语定义 </w:t>
            </w:r>
          </w:p>
        </w:tc>
      </w:tr>
    </w:tbl>
    <w:p>
      <w:pPr>
        <w:spacing w:after="0"/>
        <w:rPr>
          <w:sz w:val="21"/>
        </w:rPr>
        <w:sectPr>
          <w:pgSz w:w="11910" w:h="16850"/>
          <w:pgMar w:header="0" w:footer="779" w:top="1440" w:bottom="960" w:left="1120" w:right="280"/>
        </w:sectPr>
      </w:pPr>
    </w:p>
    <w:tbl>
      <w:tblPr>
        <w:tblW w:w="0" w:type="auto"/>
        <w:jc w:val="left"/>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6"/>
        <w:gridCol w:w="3253"/>
        <w:gridCol w:w="4749"/>
      </w:tblGrid>
      <w:tr>
        <w:trPr>
          <w:trHeight w:val="470" w:hRule="atLeast"/>
        </w:trPr>
        <w:tc>
          <w:tcPr>
            <w:tcW w:w="886" w:type="dxa"/>
            <w:shd w:val="clear" w:color="auto" w:fill="E6E6E6"/>
          </w:tcPr>
          <w:p>
            <w:pPr>
              <w:pStyle w:val="TableParagraph"/>
              <w:spacing w:line="349" w:lineRule="exact"/>
              <w:ind w:left="124"/>
              <w:rPr>
                <w:rFonts w:ascii="Microsoft JhengHei" w:eastAsia="Microsoft JhengHei" w:hint="eastAsia"/>
                <w:b/>
                <w:sz w:val="21"/>
              </w:rPr>
            </w:pPr>
            <w:r>
              <w:rPr>
                <w:rFonts w:ascii="Microsoft JhengHei" w:eastAsia="Microsoft JhengHei" w:hint="eastAsia"/>
                <w:b/>
                <w:sz w:val="21"/>
                <w:shd w:fill="FFFFFF" w:color="auto" w:val="clear"/>
              </w:rPr>
              <w:t>条款号</w:t>
            </w:r>
            <w:r>
              <w:rPr>
                <w:rFonts w:ascii="Microsoft JhengHei" w:eastAsia="Microsoft JhengHei" w:hint="eastAsia"/>
                <w:b/>
                <w:w w:val="201"/>
                <w:sz w:val="21"/>
              </w:rPr>
              <w:t> </w:t>
            </w:r>
          </w:p>
        </w:tc>
        <w:tc>
          <w:tcPr>
            <w:tcW w:w="3253" w:type="dxa"/>
            <w:shd w:val="clear" w:color="auto" w:fill="E6E6E6"/>
          </w:tcPr>
          <w:p>
            <w:pPr>
              <w:pStyle w:val="TableParagraph"/>
              <w:spacing w:line="349" w:lineRule="exact"/>
              <w:ind w:left="887"/>
              <w:rPr>
                <w:rFonts w:ascii="Microsoft JhengHei" w:eastAsia="Microsoft JhengHei" w:hint="eastAsia"/>
                <w:b/>
                <w:sz w:val="21"/>
              </w:rPr>
            </w:pPr>
            <w:r>
              <w:rPr>
                <w:rFonts w:ascii="Microsoft JhengHei" w:eastAsia="Microsoft JhengHei" w:hint="eastAsia"/>
                <w:b/>
                <w:sz w:val="21"/>
                <w:shd w:fill="FFFFFF" w:color="auto" w:val="clear"/>
              </w:rPr>
              <w:t>条 款 名 称</w:t>
            </w:r>
            <w:r>
              <w:rPr>
                <w:rFonts w:ascii="Microsoft JhengHei" w:eastAsia="Microsoft JhengHei" w:hint="eastAsia"/>
                <w:b/>
                <w:w w:val="201"/>
                <w:sz w:val="21"/>
              </w:rPr>
              <w:t> </w:t>
            </w:r>
          </w:p>
        </w:tc>
        <w:tc>
          <w:tcPr>
            <w:tcW w:w="4749" w:type="dxa"/>
            <w:shd w:val="clear" w:color="auto" w:fill="E6E6E6"/>
          </w:tcPr>
          <w:p>
            <w:pPr>
              <w:pStyle w:val="TableParagraph"/>
              <w:spacing w:line="349" w:lineRule="exact"/>
              <w:ind w:left="1633"/>
              <w:rPr>
                <w:rFonts w:ascii="Microsoft JhengHei" w:eastAsia="Microsoft JhengHei" w:hint="eastAsia"/>
                <w:b/>
                <w:sz w:val="21"/>
              </w:rPr>
            </w:pPr>
            <w:r>
              <w:rPr>
                <w:rFonts w:ascii="Microsoft JhengHei" w:eastAsia="Microsoft JhengHei" w:hint="eastAsia"/>
                <w:b/>
                <w:sz w:val="21"/>
                <w:shd w:fill="FFFFFF" w:color="auto" w:val="clear"/>
              </w:rPr>
              <w:t>编 列 内 容</w:t>
            </w:r>
            <w:r>
              <w:rPr>
                <w:rFonts w:ascii="Microsoft JhengHei" w:eastAsia="Microsoft JhengHei" w:hint="eastAsia"/>
                <w:b/>
                <w:w w:val="201"/>
                <w:sz w:val="21"/>
              </w:rPr>
              <w:t> </w:t>
            </w:r>
          </w:p>
        </w:tc>
      </w:tr>
      <w:tr>
        <w:trPr>
          <w:trHeight w:val="2044" w:hRule="atLeast"/>
        </w:trPr>
        <w:tc>
          <w:tcPr>
            <w:tcW w:w="886" w:type="dxa"/>
          </w:tcPr>
          <w:p>
            <w:pPr>
              <w:pStyle w:val="TableParagraph"/>
              <w:rPr>
                <w:rFonts w:ascii="Microsoft JhengHei"/>
                <w:b/>
                <w:sz w:val="20"/>
              </w:rPr>
            </w:pPr>
          </w:p>
          <w:p>
            <w:pPr>
              <w:pStyle w:val="TableParagraph"/>
              <w:spacing w:before="10"/>
              <w:rPr>
                <w:rFonts w:ascii="Microsoft JhengHei"/>
                <w:b/>
                <w:sz w:val="24"/>
              </w:rPr>
            </w:pPr>
          </w:p>
          <w:p>
            <w:pPr>
              <w:pStyle w:val="TableParagraph"/>
              <w:ind w:left="107"/>
              <w:rPr>
                <w:sz w:val="21"/>
              </w:rPr>
            </w:pPr>
            <w:r>
              <w:rPr>
                <w:sz w:val="21"/>
              </w:rPr>
              <w:t>10.1.1 </w:t>
            </w:r>
          </w:p>
        </w:tc>
        <w:tc>
          <w:tcPr>
            <w:tcW w:w="3253" w:type="dxa"/>
          </w:tcPr>
          <w:p>
            <w:pPr>
              <w:pStyle w:val="TableParagraph"/>
              <w:rPr>
                <w:rFonts w:ascii="Microsoft JhengHei"/>
                <w:b/>
                <w:sz w:val="20"/>
              </w:rPr>
            </w:pPr>
          </w:p>
          <w:p>
            <w:pPr>
              <w:pStyle w:val="TableParagraph"/>
              <w:spacing w:before="10"/>
              <w:rPr>
                <w:rFonts w:ascii="Microsoft JhengHei"/>
                <w:b/>
                <w:sz w:val="24"/>
              </w:rPr>
            </w:pPr>
          </w:p>
          <w:p>
            <w:pPr>
              <w:pStyle w:val="TableParagraph"/>
              <w:ind w:left="107"/>
              <w:rPr>
                <w:sz w:val="21"/>
              </w:rPr>
            </w:pPr>
            <w:r>
              <w:rPr>
                <w:sz w:val="21"/>
              </w:rPr>
              <w:t>类似项目 </w:t>
            </w:r>
          </w:p>
        </w:tc>
        <w:tc>
          <w:tcPr>
            <w:tcW w:w="4749" w:type="dxa"/>
          </w:tcPr>
          <w:p>
            <w:pPr>
              <w:pStyle w:val="TableParagraph"/>
              <w:spacing w:before="3"/>
              <w:ind w:left="106"/>
              <w:rPr>
                <w:sz w:val="21"/>
              </w:rPr>
            </w:pPr>
            <w:r>
              <w:rPr>
                <w:sz w:val="21"/>
              </w:rPr>
              <w:t>类似项目是指： </w:t>
            </w:r>
          </w:p>
          <w:p>
            <w:pPr>
              <w:pStyle w:val="TableParagraph"/>
              <w:spacing w:before="139"/>
              <w:ind w:left="106"/>
              <w:rPr>
                <w:sz w:val="21"/>
              </w:rPr>
            </w:pPr>
            <w:r>
              <w:rPr>
                <w:color w:val="0000FF"/>
                <w:sz w:val="21"/>
              </w:rPr>
              <w:t>在建或已完成单项合同总建筑面积达 20000 ㎡或</w:t>
            </w:r>
          </w:p>
          <w:p>
            <w:pPr>
              <w:pStyle w:val="TableParagraph"/>
              <w:spacing w:line="364" w:lineRule="auto" w:before="139"/>
              <w:ind w:left="106" w:right="97"/>
              <w:rPr>
                <w:sz w:val="21"/>
              </w:rPr>
            </w:pPr>
            <w:r>
              <w:rPr>
                <w:color w:val="0000FF"/>
                <w:sz w:val="21"/>
              </w:rPr>
              <w:t>单项合同金额达 7000 万元或以上的建筑工程项目。</w:t>
            </w:r>
            <w:r>
              <w:rPr>
                <w:sz w:val="21"/>
              </w:rPr>
              <w:t> </w:t>
            </w:r>
          </w:p>
          <w:p>
            <w:pPr>
              <w:pStyle w:val="TableParagraph"/>
              <w:spacing w:line="267" w:lineRule="exact"/>
              <w:ind w:left="106"/>
              <w:rPr>
                <w:sz w:val="21"/>
              </w:rPr>
            </w:pPr>
            <w:r>
              <w:rPr>
                <w:color w:val="0000FF"/>
                <w:sz w:val="21"/>
              </w:rPr>
              <w:t>联合体任一成员的业绩可认同为联合体业绩。 </w:t>
            </w:r>
          </w:p>
        </w:tc>
      </w:tr>
      <w:tr>
        <w:trPr>
          <w:trHeight w:val="1255" w:hRule="atLeast"/>
        </w:trPr>
        <w:tc>
          <w:tcPr>
            <w:tcW w:w="886" w:type="dxa"/>
          </w:tcPr>
          <w:p>
            <w:pPr>
              <w:pStyle w:val="TableParagraph"/>
              <w:rPr>
                <w:rFonts w:ascii="Microsoft JhengHei"/>
                <w:b/>
                <w:sz w:val="23"/>
              </w:rPr>
            </w:pPr>
          </w:p>
          <w:p>
            <w:pPr>
              <w:pStyle w:val="TableParagraph"/>
              <w:ind w:left="107"/>
              <w:rPr>
                <w:sz w:val="21"/>
              </w:rPr>
            </w:pPr>
            <w:r>
              <w:rPr>
                <w:sz w:val="21"/>
              </w:rPr>
              <w:t>10.1.2 </w:t>
            </w:r>
          </w:p>
        </w:tc>
        <w:tc>
          <w:tcPr>
            <w:tcW w:w="3253" w:type="dxa"/>
          </w:tcPr>
          <w:p>
            <w:pPr>
              <w:pStyle w:val="TableParagraph"/>
              <w:rPr>
                <w:rFonts w:ascii="Microsoft JhengHei"/>
                <w:b/>
                <w:sz w:val="23"/>
              </w:rPr>
            </w:pPr>
          </w:p>
          <w:p>
            <w:pPr>
              <w:pStyle w:val="TableParagraph"/>
              <w:ind w:left="107"/>
              <w:rPr>
                <w:sz w:val="21"/>
              </w:rPr>
            </w:pPr>
            <w:r>
              <w:rPr>
                <w:sz w:val="21"/>
              </w:rPr>
              <w:t>不良行为记录 </w:t>
            </w:r>
          </w:p>
        </w:tc>
        <w:tc>
          <w:tcPr>
            <w:tcW w:w="4749" w:type="dxa"/>
          </w:tcPr>
          <w:p>
            <w:pPr>
              <w:pStyle w:val="TableParagraph"/>
              <w:spacing w:before="17"/>
              <w:rPr>
                <w:rFonts w:ascii="Microsoft JhengHei"/>
                <w:b/>
                <w:sz w:val="11"/>
              </w:rPr>
            </w:pPr>
          </w:p>
          <w:p>
            <w:pPr>
              <w:pStyle w:val="TableParagraph"/>
              <w:ind w:left="106"/>
              <w:rPr>
                <w:sz w:val="21"/>
              </w:rPr>
            </w:pPr>
            <w:r>
              <w:rPr>
                <w:sz w:val="21"/>
              </w:rPr>
              <w:t>不良行为记录是指： </w:t>
            </w:r>
          </w:p>
          <w:p>
            <w:pPr>
              <w:pStyle w:val="TableParagraph"/>
              <w:spacing w:before="139"/>
              <w:ind w:left="106" w:right="-15"/>
              <w:rPr>
                <w:sz w:val="21"/>
              </w:rPr>
            </w:pPr>
            <w:r>
              <w:rPr>
                <w:color w:val="0000FF"/>
                <w:spacing w:val="-7"/>
                <w:sz w:val="21"/>
              </w:rPr>
              <w:t>以广西建筑业企业诚信信息库中的不良记录为准。</w:t>
            </w:r>
            <w:r>
              <w:rPr>
                <w:sz w:val="21"/>
              </w:rPr>
              <w:t> </w:t>
            </w:r>
          </w:p>
        </w:tc>
      </w:tr>
      <w:tr>
        <w:trPr>
          <w:trHeight w:val="3676" w:hRule="atLeast"/>
        </w:trPr>
        <w:tc>
          <w:tcPr>
            <w:tcW w:w="886" w:type="dxa"/>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17"/>
              <w:rPr>
                <w:rFonts w:ascii="Microsoft JhengHei"/>
                <w:b/>
                <w:sz w:val="28"/>
              </w:rPr>
            </w:pPr>
          </w:p>
          <w:p>
            <w:pPr>
              <w:pStyle w:val="TableParagraph"/>
              <w:ind w:left="107"/>
              <w:rPr>
                <w:sz w:val="21"/>
              </w:rPr>
            </w:pPr>
            <w:r>
              <w:rPr>
                <w:sz w:val="21"/>
              </w:rPr>
              <w:t>10.1.3 </w:t>
            </w:r>
          </w:p>
        </w:tc>
        <w:tc>
          <w:tcPr>
            <w:tcW w:w="3253" w:type="dxa"/>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17"/>
              <w:rPr>
                <w:rFonts w:ascii="Microsoft JhengHei"/>
                <w:b/>
                <w:sz w:val="28"/>
              </w:rPr>
            </w:pPr>
          </w:p>
          <w:p>
            <w:pPr>
              <w:pStyle w:val="TableParagraph"/>
              <w:ind w:left="107"/>
              <w:rPr>
                <w:sz w:val="21"/>
              </w:rPr>
            </w:pPr>
            <w:r>
              <w:rPr>
                <w:sz w:val="21"/>
              </w:rPr>
              <w:t>发布媒介 </w:t>
            </w:r>
          </w:p>
        </w:tc>
        <w:tc>
          <w:tcPr>
            <w:tcW w:w="4749" w:type="dxa"/>
          </w:tcPr>
          <w:p>
            <w:pPr>
              <w:pStyle w:val="TableParagraph"/>
              <w:spacing w:line="364" w:lineRule="auto" w:before="1"/>
              <w:ind w:left="106" w:right="95"/>
              <w:rPr>
                <w:sz w:val="21"/>
              </w:rPr>
            </w:pPr>
            <w:r>
              <w:rPr>
                <w:spacing w:val="-8"/>
                <w:sz w:val="21"/>
              </w:rPr>
              <w:t>发布媒介是指招标公告规定的发布招标公告、招标</w:t>
            </w:r>
            <w:r>
              <w:rPr>
                <w:spacing w:val="3"/>
                <w:sz w:val="21"/>
              </w:rPr>
              <w:t>文件澄清、评标结果公示、中标公告等信息的媒</w:t>
            </w:r>
          </w:p>
          <w:p>
            <w:pPr>
              <w:pStyle w:val="TableParagraph"/>
              <w:spacing w:line="364" w:lineRule="auto"/>
              <w:ind w:left="106" w:right="95"/>
              <w:jc w:val="both"/>
              <w:rPr>
                <w:sz w:val="21"/>
              </w:rPr>
            </w:pPr>
            <w:r>
              <w:rPr>
                <w:sz w:val="21"/>
              </w:rPr>
              <w:t>（体</w:t>
            </w:r>
            <w:r>
              <w:rPr>
                <w:spacing w:val="-48"/>
                <w:sz w:val="21"/>
              </w:rPr>
              <w:t>）</w:t>
            </w:r>
            <w:r>
              <w:rPr>
                <w:spacing w:val="-9"/>
                <w:sz w:val="21"/>
              </w:rPr>
              <w:t>介。按照招标公告规定还需在其它媒介上公</w:t>
            </w:r>
            <w:r>
              <w:rPr>
                <w:spacing w:val="-12"/>
                <w:sz w:val="21"/>
              </w:rPr>
              <w:t>示的，发布内容、发布期限应以法规指定媒介发布</w:t>
            </w:r>
            <w:r>
              <w:rPr>
                <w:spacing w:val="-27"/>
                <w:sz w:val="21"/>
              </w:rPr>
              <w:t>的为准。</w:t>
            </w:r>
            <w:r>
              <w:rPr>
                <w:sz w:val="21"/>
              </w:rPr>
              <w:t>（</w:t>
            </w:r>
            <w:r>
              <w:rPr>
                <w:spacing w:val="-4"/>
                <w:sz w:val="21"/>
              </w:rPr>
              <w:t>备注：对于依法必须招标的项目和公共</w:t>
            </w:r>
            <w:r>
              <w:rPr>
                <w:spacing w:val="3"/>
                <w:sz w:val="21"/>
              </w:rPr>
              <w:t>资源配置领域工程建设项目招标投标领域的中标候选人公示的指定媒介即优先公开载体均为广西</w:t>
            </w:r>
            <w:r>
              <w:rPr>
                <w:spacing w:val="-9"/>
                <w:sz w:val="21"/>
              </w:rPr>
              <w:t>壮族自治区招标投标公共服务平台，属于政府采购</w:t>
            </w:r>
          </w:p>
          <w:p>
            <w:pPr>
              <w:pStyle w:val="TableParagraph"/>
              <w:spacing w:line="268" w:lineRule="exact"/>
              <w:ind w:left="106"/>
              <w:rPr>
                <w:sz w:val="21"/>
              </w:rPr>
            </w:pPr>
            <w:r>
              <w:rPr>
                <w:spacing w:val="-8"/>
                <w:sz w:val="21"/>
              </w:rPr>
              <w:t>项目的还应按政府采购法信息发布的要求执行。</w:t>
            </w:r>
            <w:r>
              <w:rPr>
                <w:spacing w:val="-3"/>
                <w:sz w:val="21"/>
              </w:rPr>
              <w:t>）</w:t>
            </w:r>
            <w:r>
              <w:rPr>
                <w:sz w:val="21"/>
              </w:rPr>
              <w:t> </w:t>
            </w:r>
          </w:p>
        </w:tc>
      </w:tr>
      <w:tr>
        <w:trPr>
          <w:trHeight w:val="407" w:hRule="atLeast"/>
        </w:trPr>
        <w:tc>
          <w:tcPr>
            <w:tcW w:w="8888" w:type="dxa"/>
            <w:gridSpan w:val="3"/>
          </w:tcPr>
          <w:p>
            <w:pPr>
              <w:pStyle w:val="TableParagraph"/>
              <w:spacing w:before="1"/>
              <w:ind w:left="107"/>
              <w:rPr>
                <w:sz w:val="21"/>
              </w:rPr>
            </w:pPr>
            <w:r>
              <w:rPr>
                <w:sz w:val="21"/>
              </w:rPr>
              <w:t>10.2 招标控制价 </w:t>
            </w:r>
          </w:p>
        </w:tc>
      </w:tr>
      <w:tr>
        <w:trPr>
          <w:trHeight w:val="1225" w:hRule="atLeast"/>
        </w:trPr>
        <w:tc>
          <w:tcPr>
            <w:tcW w:w="886" w:type="dxa"/>
          </w:tcPr>
          <w:p>
            <w:pPr>
              <w:pStyle w:val="TableParagraph"/>
              <w:spacing w:before="6"/>
              <w:rPr>
                <w:rFonts w:ascii="Microsoft JhengHei"/>
                <w:b/>
                <w:sz w:val="22"/>
              </w:rPr>
            </w:pPr>
          </w:p>
          <w:p>
            <w:pPr>
              <w:pStyle w:val="TableParagraph"/>
              <w:spacing w:before="1"/>
              <w:ind w:left="107"/>
              <w:rPr>
                <w:sz w:val="21"/>
              </w:rPr>
            </w:pPr>
            <w:r>
              <w:rPr>
                <w:w w:val="100"/>
                <w:sz w:val="21"/>
              </w:rPr>
              <w:t> </w:t>
            </w:r>
          </w:p>
        </w:tc>
        <w:tc>
          <w:tcPr>
            <w:tcW w:w="3253" w:type="dxa"/>
          </w:tcPr>
          <w:p>
            <w:pPr>
              <w:pStyle w:val="TableParagraph"/>
              <w:spacing w:before="6"/>
              <w:rPr>
                <w:rFonts w:ascii="Microsoft JhengHei"/>
                <w:b/>
                <w:sz w:val="22"/>
              </w:rPr>
            </w:pPr>
          </w:p>
          <w:p>
            <w:pPr>
              <w:pStyle w:val="TableParagraph"/>
              <w:spacing w:before="1"/>
              <w:ind w:left="107"/>
              <w:rPr>
                <w:sz w:val="21"/>
              </w:rPr>
            </w:pPr>
            <w:r>
              <w:rPr>
                <w:sz w:val="21"/>
              </w:rPr>
              <w:t>招标控制价 </w:t>
            </w:r>
          </w:p>
        </w:tc>
        <w:tc>
          <w:tcPr>
            <w:tcW w:w="4749" w:type="dxa"/>
          </w:tcPr>
          <w:p>
            <w:pPr>
              <w:pStyle w:val="TableParagraph"/>
              <w:spacing w:line="270" w:lineRule="exact"/>
              <w:ind w:left="106"/>
              <w:rPr>
                <w:sz w:val="21"/>
              </w:rPr>
            </w:pPr>
            <w:r>
              <w:rPr>
                <w:rFonts w:ascii="Segoe UI Symbol" w:hAnsi="Segoe UI Symbol" w:eastAsia="Segoe UI Symbol"/>
                <w:color w:val="0000FF"/>
                <w:sz w:val="21"/>
              </w:rPr>
              <w:t>☑ </w:t>
            </w:r>
            <w:r>
              <w:rPr>
                <w:sz w:val="21"/>
              </w:rPr>
              <w:t>设招标控制价【备注：政府及国有资金投资的</w:t>
            </w:r>
          </w:p>
          <w:p>
            <w:pPr>
              <w:pStyle w:val="TableParagraph"/>
              <w:spacing w:before="141"/>
              <w:ind w:left="106"/>
              <w:rPr>
                <w:sz w:val="21"/>
              </w:rPr>
            </w:pPr>
            <w:r>
              <w:rPr>
                <w:sz w:val="21"/>
              </w:rPr>
              <w:t>工程建设项目招标，招标人必须勾选】 </w:t>
            </w:r>
          </w:p>
          <w:p>
            <w:pPr>
              <w:pStyle w:val="TableParagraph"/>
              <w:spacing w:before="139"/>
              <w:ind w:left="106"/>
              <w:rPr>
                <w:sz w:val="21"/>
              </w:rPr>
            </w:pPr>
            <w:r>
              <w:rPr>
                <w:color w:val="0000FF"/>
                <w:sz w:val="21"/>
              </w:rPr>
              <w:t>□</w:t>
            </w:r>
            <w:r>
              <w:rPr>
                <w:sz w:val="21"/>
              </w:rPr>
              <w:t>不设招标控制价 </w:t>
            </w:r>
          </w:p>
        </w:tc>
      </w:tr>
      <w:tr>
        <w:trPr>
          <w:trHeight w:val="407" w:hRule="atLeast"/>
        </w:trPr>
        <w:tc>
          <w:tcPr>
            <w:tcW w:w="8888" w:type="dxa"/>
            <w:gridSpan w:val="3"/>
          </w:tcPr>
          <w:p>
            <w:pPr>
              <w:pStyle w:val="TableParagraph"/>
              <w:spacing w:before="1"/>
              <w:ind w:left="107"/>
              <w:rPr>
                <w:sz w:val="21"/>
              </w:rPr>
            </w:pPr>
            <w:r>
              <w:rPr>
                <w:sz w:val="21"/>
              </w:rPr>
              <w:t>10.3 技术标评审方式 </w:t>
            </w:r>
          </w:p>
        </w:tc>
      </w:tr>
      <w:tr>
        <w:trPr>
          <w:trHeight w:val="1634" w:hRule="atLeast"/>
        </w:trPr>
        <w:tc>
          <w:tcPr>
            <w:tcW w:w="886" w:type="dxa"/>
          </w:tcPr>
          <w:p>
            <w:pPr>
              <w:pStyle w:val="TableParagraph"/>
              <w:rPr>
                <w:rFonts w:ascii="Microsoft JhengHei"/>
                <w:b/>
                <w:sz w:val="20"/>
              </w:rPr>
            </w:pPr>
          </w:p>
          <w:p>
            <w:pPr>
              <w:pStyle w:val="TableParagraph"/>
              <w:spacing w:before="9"/>
              <w:rPr>
                <w:rFonts w:ascii="Microsoft JhengHei"/>
                <w:b/>
                <w:sz w:val="13"/>
              </w:rPr>
            </w:pPr>
          </w:p>
          <w:p>
            <w:pPr>
              <w:pStyle w:val="TableParagraph"/>
              <w:ind w:left="107"/>
              <w:rPr>
                <w:sz w:val="21"/>
              </w:rPr>
            </w:pPr>
            <w:r>
              <w:rPr>
                <w:w w:val="100"/>
                <w:sz w:val="21"/>
              </w:rPr>
              <w:t> </w:t>
            </w:r>
          </w:p>
        </w:tc>
        <w:tc>
          <w:tcPr>
            <w:tcW w:w="3253" w:type="dxa"/>
          </w:tcPr>
          <w:p>
            <w:pPr>
              <w:pStyle w:val="TableParagraph"/>
              <w:spacing w:line="364" w:lineRule="auto" w:before="3"/>
              <w:ind w:left="107" w:right="92"/>
              <w:rPr>
                <w:sz w:val="21"/>
              </w:rPr>
            </w:pPr>
            <w:r>
              <w:rPr>
                <w:sz w:val="21"/>
              </w:rPr>
              <w:t>施工组织设计采用“暗标”评审方式  </w:t>
            </w:r>
          </w:p>
          <w:p>
            <w:pPr>
              <w:pStyle w:val="TableParagraph"/>
              <w:spacing w:line="268" w:lineRule="exact"/>
              <w:ind w:left="107"/>
              <w:rPr>
                <w:sz w:val="21"/>
              </w:rPr>
            </w:pPr>
            <w:r>
              <w:rPr>
                <w:sz w:val="21"/>
              </w:rPr>
              <w:t>拟分包计划表、项目管理机构采</w:t>
            </w:r>
          </w:p>
          <w:p>
            <w:pPr>
              <w:pStyle w:val="TableParagraph"/>
              <w:spacing w:before="139"/>
              <w:ind w:left="107"/>
              <w:rPr>
                <w:sz w:val="21"/>
              </w:rPr>
            </w:pPr>
            <w:r>
              <w:rPr>
                <w:sz w:val="21"/>
              </w:rPr>
              <w:t>用“明标”评审方式 </w:t>
            </w:r>
          </w:p>
        </w:tc>
        <w:tc>
          <w:tcPr>
            <w:tcW w:w="4749" w:type="dxa"/>
          </w:tcPr>
          <w:p>
            <w:pPr>
              <w:pStyle w:val="TableParagraph"/>
              <w:spacing w:before="5"/>
              <w:rPr>
                <w:rFonts w:ascii="Microsoft JhengHei"/>
                <w:b/>
                <w:sz w:val="11"/>
              </w:rPr>
            </w:pPr>
          </w:p>
          <w:p>
            <w:pPr>
              <w:pStyle w:val="TableParagraph"/>
              <w:spacing w:line="364" w:lineRule="auto"/>
              <w:ind w:left="106" w:right="95"/>
              <w:jc w:val="both"/>
              <w:rPr>
                <w:sz w:val="21"/>
              </w:rPr>
            </w:pPr>
            <w:r>
              <w:rPr>
                <w:spacing w:val="13"/>
                <w:sz w:val="21"/>
              </w:rPr>
              <w:t>投标人应严格按照第九章“投标文件格式”中</w:t>
            </w:r>
            <w:r>
              <w:rPr>
                <w:spacing w:val="-5"/>
                <w:sz w:val="21"/>
              </w:rPr>
              <w:t>“施工组织设计</w:t>
            </w:r>
            <w:r>
              <w:rPr>
                <w:spacing w:val="-3"/>
                <w:sz w:val="21"/>
              </w:rPr>
              <w:t>（</w:t>
            </w:r>
            <w:r>
              <w:rPr>
                <w:spacing w:val="-2"/>
                <w:sz w:val="21"/>
              </w:rPr>
              <w:t>暗标</w:t>
            </w:r>
            <w:r>
              <w:rPr>
                <w:spacing w:val="-46"/>
                <w:sz w:val="21"/>
              </w:rPr>
              <w:t>）</w:t>
            </w:r>
            <w:r>
              <w:rPr>
                <w:spacing w:val="-4"/>
                <w:sz w:val="21"/>
              </w:rPr>
              <w:t>编制要求”编制施工组织</w:t>
            </w:r>
            <w:r>
              <w:rPr>
                <w:sz w:val="21"/>
              </w:rPr>
              <w:t>设计。 </w:t>
            </w:r>
          </w:p>
        </w:tc>
      </w:tr>
      <w:tr>
        <w:trPr>
          <w:trHeight w:val="410" w:hRule="atLeast"/>
        </w:trPr>
        <w:tc>
          <w:tcPr>
            <w:tcW w:w="8888" w:type="dxa"/>
            <w:gridSpan w:val="3"/>
          </w:tcPr>
          <w:p>
            <w:pPr>
              <w:pStyle w:val="TableParagraph"/>
              <w:spacing w:before="3"/>
              <w:ind w:left="107"/>
              <w:rPr>
                <w:sz w:val="21"/>
              </w:rPr>
            </w:pPr>
            <w:r>
              <w:rPr>
                <w:sz w:val="21"/>
              </w:rPr>
              <w:t>10.4 电子投标文件 </w:t>
            </w:r>
          </w:p>
        </w:tc>
      </w:tr>
      <w:tr>
        <w:trPr>
          <w:trHeight w:val="2041" w:hRule="atLeast"/>
        </w:trPr>
        <w:tc>
          <w:tcPr>
            <w:tcW w:w="886" w:type="dxa"/>
          </w:tcPr>
          <w:p>
            <w:pPr>
              <w:pStyle w:val="TableParagraph"/>
              <w:rPr>
                <w:rFonts w:ascii="Microsoft JhengHei"/>
                <w:b/>
                <w:sz w:val="20"/>
              </w:rPr>
            </w:pPr>
          </w:p>
          <w:p>
            <w:pPr>
              <w:pStyle w:val="TableParagraph"/>
              <w:spacing w:before="7"/>
              <w:rPr>
                <w:rFonts w:ascii="Microsoft JhengHei"/>
                <w:b/>
                <w:sz w:val="24"/>
              </w:rPr>
            </w:pPr>
          </w:p>
          <w:p>
            <w:pPr>
              <w:pStyle w:val="TableParagraph"/>
              <w:spacing w:before="1"/>
              <w:ind w:left="107"/>
              <w:rPr>
                <w:sz w:val="21"/>
              </w:rPr>
            </w:pPr>
            <w:r>
              <w:rPr>
                <w:w w:val="100"/>
                <w:sz w:val="21"/>
              </w:rPr>
              <w:t> </w:t>
            </w:r>
          </w:p>
        </w:tc>
        <w:tc>
          <w:tcPr>
            <w:tcW w:w="3253" w:type="dxa"/>
          </w:tcPr>
          <w:p>
            <w:pPr>
              <w:pStyle w:val="TableParagraph"/>
              <w:spacing w:before="2"/>
              <w:rPr>
                <w:rFonts w:ascii="Microsoft JhengHei"/>
                <w:b/>
                <w:sz w:val="11"/>
              </w:rPr>
            </w:pPr>
          </w:p>
          <w:p>
            <w:pPr>
              <w:pStyle w:val="TableParagraph"/>
              <w:ind w:left="107"/>
              <w:rPr>
                <w:sz w:val="21"/>
              </w:rPr>
            </w:pPr>
            <w:r>
              <w:rPr>
                <w:sz w:val="21"/>
              </w:rPr>
              <w:t>投标人递交电子投标文件的要求</w:t>
            </w:r>
          </w:p>
          <w:p>
            <w:pPr>
              <w:pStyle w:val="TableParagraph"/>
              <w:spacing w:line="364" w:lineRule="auto" w:before="139"/>
              <w:ind w:left="107" w:right="85"/>
              <w:jc w:val="both"/>
              <w:rPr>
                <w:sz w:val="21"/>
              </w:rPr>
            </w:pPr>
            <w:r>
              <w:rPr>
                <w:sz w:val="21"/>
              </w:rPr>
              <w:t>【备注：右栏内容可由招标人根据招投标监督管理部门的要求修改，并应与 4.1.2 条内容一致】 </w:t>
            </w:r>
          </w:p>
        </w:tc>
        <w:tc>
          <w:tcPr>
            <w:tcW w:w="4749" w:type="dxa"/>
          </w:tcPr>
          <w:p>
            <w:pPr>
              <w:pStyle w:val="TableParagraph"/>
              <w:spacing w:before="1"/>
              <w:ind w:left="106"/>
              <w:rPr>
                <w:sz w:val="21"/>
              </w:rPr>
            </w:pPr>
            <w:r>
              <w:rPr>
                <w:sz w:val="21"/>
              </w:rPr>
              <w:t>电子投标文件格式： </w:t>
            </w:r>
          </w:p>
          <w:p>
            <w:pPr>
              <w:pStyle w:val="TableParagraph"/>
              <w:spacing w:line="364" w:lineRule="auto" w:before="139"/>
              <w:ind w:left="106" w:right="95"/>
              <w:jc w:val="both"/>
              <w:rPr>
                <w:sz w:val="21"/>
              </w:rPr>
            </w:pPr>
            <w:r>
              <w:rPr>
                <w:w w:val="100"/>
                <w:sz w:val="21"/>
              </w:rPr>
              <w:t>    </w:t>
            </w:r>
            <w:r>
              <w:rPr>
                <w:spacing w:val="3"/>
                <w:sz w:val="21"/>
              </w:rPr>
              <w:t>电子投标文件是投标人应用公共资源招投标</w:t>
            </w:r>
            <w:r>
              <w:rPr>
                <w:spacing w:val="-8"/>
                <w:sz w:val="21"/>
              </w:rPr>
              <w:t>会员网交易系统兼容的投标文件制作软件，根据招</w:t>
            </w:r>
            <w:r>
              <w:rPr>
                <w:spacing w:val="26"/>
                <w:sz w:val="21"/>
              </w:rPr>
              <w:t>标文件要求编制完成的投标文件。加密格式</w:t>
            </w:r>
          </w:p>
          <w:p>
            <w:pPr>
              <w:pStyle w:val="TableParagraph"/>
              <w:spacing w:line="268" w:lineRule="exact"/>
              <w:ind w:left="106"/>
              <w:rPr>
                <w:sz w:val="21"/>
              </w:rPr>
            </w:pPr>
            <w:r>
              <w:rPr>
                <w:w w:val="100"/>
                <w:sz w:val="21"/>
              </w:rPr>
              <w:t>（*.G</w:t>
            </w:r>
            <w:r>
              <w:rPr>
                <w:spacing w:val="-3"/>
                <w:w w:val="100"/>
                <w:sz w:val="21"/>
              </w:rPr>
              <w:t>X</w:t>
            </w:r>
            <w:r>
              <w:rPr>
                <w:w w:val="100"/>
                <w:sz w:val="21"/>
              </w:rPr>
              <w:t>TF</w:t>
            </w:r>
            <w:r>
              <w:rPr>
                <w:spacing w:val="-108"/>
                <w:w w:val="100"/>
                <w:sz w:val="21"/>
              </w:rPr>
              <w:t>）</w:t>
            </w:r>
            <w:r>
              <w:rPr>
                <w:spacing w:val="-3"/>
                <w:w w:val="100"/>
                <w:sz w:val="21"/>
              </w:rPr>
              <w:t>、未加密格式（</w:t>
            </w:r>
            <w:r>
              <w:rPr>
                <w:w w:val="100"/>
                <w:sz w:val="21"/>
              </w:rPr>
              <w:t>*.NGX</w:t>
            </w:r>
            <w:r>
              <w:rPr>
                <w:spacing w:val="-3"/>
                <w:w w:val="100"/>
                <w:sz w:val="21"/>
              </w:rPr>
              <w:t>T</w:t>
            </w:r>
            <w:r>
              <w:rPr>
                <w:w w:val="100"/>
                <w:sz w:val="21"/>
              </w:rPr>
              <w:t>F）</w:t>
            </w:r>
            <w:r>
              <w:rPr>
                <w:spacing w:val="-3"/>
                <w:w w:val="100"/>
                <w:sz w:val="21"/>
              </w:rPr>
              <w:t> </w:t>
            </w:r>
            <w:r>
              <w:rPr>
                <w:w w:val="100"/>
                <w:sz w:val="21"/>
              </w:rPr>
              <w:t> </w:t>
            </w:r>
          </w:p>
        </w:tc>
      </w:tr>
    </w:tbl>
    <w:p>
      <w:pPr>
        <w:spacing w:after="0" w:line="268" w:lineRule="exact"/>
        <w:rPr>
          <w:sz w:val="21"/>
        </w:rPr>
        <w:sectPr>
          <w:pgSz w:w="11910" w:h="16850"/>
          <w:pgMar w:header="0" w:footer="779" w:top="1440" w:bottom="960" w:left="1120" w:right="280"/>
        </w:sectPr>
      </w:pPr>
    </w:p>
    <w:tbl>
      <w:tblPr>
        <w:tblW w:w="0" w:type="auto"/>
        <w:jc w:val="left"/>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6"/>
        <w:gridCol w:w="3253"/>
        <w:gridCol w:w="4749"/>
      </w:tblGrid>
      <w:tr>
        <w:trPr>
          <w:trHeight w:val="470" w:hRule="atLeast"/>
        </w:trPr>
        <w:tc>
          <w:tcPr>
            <w:tcW w:w="886" w:type="dxa"/>
            <w:shd w:val="clear" w:color="auto" w:fill="E6E6E6"/>
          </w:tcPr>
          <w:p>
            <w:pPr>
              <w:pStyle w:val="TableParagraph"/>
              <w:spacing w:line="349" w:lineRule="exact"/>
              <w:ind w:left="124"/>
              <w:rPr>
                <w:rFonts w:ascii="Microsoft JhengHei" w:eastAsia="Microsoft JhengHei" w:hint="eastAsia"/>
                <w:b/>
                <w:sz w:val="21"/>
              </w:rPr>
            </w:pPr>
            <w:r>
              <w:rPr>
                <w:rFonts w:ascii="Microsoft JhengHei" w:eastAsia="Microsoft JhengHei" w:hint="eastAsia"/>
                <w:b/>
                <w:sz w:val="21"/>
                <w:shd w:fill="FFFFFF" w:color="auto" w:val="clear"/>
              </w:rPr>
              <w:t>条款号</w:t>
            </w:r>
            <w:r>
              <w:rPr>
                <w:rFonts w:ascii="Microsoft JhengHei" w:eastAsia="Microsoft JhengHei" w:hint="eastAsia"/>
                <w:b/>
                <w:w w:val="201"/>
                <w:sz w:val="21"/>
              </w:rPr>
              <w:t> </w:t>
            </w:r>
          </w:p>
        </w:tc>
        <w:tc>
          <w:tcPr>
            <w:tcW w:w="3253" w:type="dxa"/>
            <w:shd w:val="clear" w:color="auto" w:fill="E6E6E6"/>
          </w:tcPr>
          <w:p>
            <w:pPr>
              <w:pStyle w:val="TableParagraph"/>
              <w:spacing w:line="349" w:lineRule="exact"/>
              <w:ind w:left="887"/>
              <w:rPr>
                <w:rFonts w:ascii="Microsoft JhengHei" w:eastAsia="Microsoft JhengHei" w:hint="eastAsia"/>
                <w:b/>
                <w:sz w:val="21"/>
              </w:rPr>
            </w:pPr>
            <w:r>
              <w:rPr>
                <w:rFonts w:ascii="Microsoft JhengHei" w:eastAsia="Microsoft JhengHei" w:hint="eastAsia"/>
                <w:b/>
                <w:sz w:val="21"/>
                <w:shd w:fill="FFFFFF" w:color="auto" w:val="clear"/>
              </w:rPr>
              <w:t>条 款 名 称</w:t>
            </w:r>
            <w:r>
              <w:rPr>
                <w:rFonts w:ascii="Microsoft JhengHei" w:eastAsia="Microsoft JhengHei" w:hint="eastAsia"/>
                <w:b/>
                <w:w w:val="201"/>
                <w:sz w:val="21"/>
              </w:rPr>
              <w:t> </w:t>
            </w:r>
          </w:p>
        </w:tc>
        <w:tc>
          <w:tcPr>
            <w:tcW w:w="4749" w:type="dxa"/>
            <w:shd w:val="clear" w:color="auto" w:fill="E6E6E6"/>
          </w:tcPr>
          <w:p>
            <w:pPr>
              <w:pStyle w:val="TableParagraph"/>
              <w:spacing w:line="349" w:lineRule="exact"/>
              <w:ind w:left="1633"/>
              <w:rPr>
                <w:rFonts w:ascii="Microsoft JhengHei" w:eastAsia="Microsoft JhengHei" w:hint="eastAsia"/>
                <w:b/>
                <w:sz w:val="21"/>
              </w:rPr>
            </w:pPr>
            <w:r>
              <w:rPr>
                <w:rFonts w:ascii="Microsoft JhengHei" w:eastAsia="Microsoft JhengHei" w:hint="eastAsia"/>
                <w:b/>
                <w:sz w:val="21"/>
                <w:shd w:fill="FFFFFF" w:color="auto" w:val="clear"/>
              </w:rPr>
              <w:t>编 列 内 容</w:t>
            </w:r>
            <w:r>
              <w:rPr>
                <w:rFonts w:ascii="Microsoft JhengHei" w:eastAsia="Microsoft JhengHei" w:hint="eastAsia"/>
                <w:b/>
                <w:w w:val="201"/>
                <w:sz w:val="21"/>
              </w:rPr>
              <w:t> </w:t>
            </w:r>
          </w:p>
        </w:tc>
      </w:tr>
      <w:tr>
        <w:trPr>
          <w:trHeight w:val="4495" w:hRule="atLeast"/>
        </w:trPr>
        <w:tc>
          <w:tcPr>
            <w:tcW w:w="886" w:type="dxa"/>
          </w:tcPr>
          <w:p>
            <w:pPr>
              <w:pStyle w:val="TableParagraph"/>
              <w:rPr>
                <w:rFonts w:ascii="Times New Roman"/>
                <w:sz w:val="20"/>
              </w:rPr>
            </w:pPr>
          </w:p>
        </w:tc>
        <w:tc>
          <w:tcPr>
            <w:tcW w:w="3253" w:type="dxa"/>
          </w:tcPr>
          <w:p>
            <w:pPr>
              <w:pStyle w:val="TableParagraph"/>
              <w:rPr>
                <w:rFonts w:ascii="Times New Roman"/>
                <w:sz w:val="20"/>
              </w:rPr>
            </w:pPr>
          </w:p>
        </w:tc>
        <w:tc>
          <w:tcPr>
            <w:tcW w:w="4749" w:type="dxa"/>
          </w:tcPr>
          <w:p>
            <w:pPr>
              <w:pStyle w:val="TableParagraph"/>
              <w:spacing w:line="364" w:lineRule="auto" w:before="3"/>
              <w:ind w:left="106" w:right="95" w:firstLine="434"/>
              <w:rPr>
                <w:sz w:val="21"/>
              </w:rPr>
            </w:pPr>
            <w:r>
              <w:rPr>
                <w:spacing w:val="-3"/>
                <w:sz w:val="21"/>
              </w:rPr>
              <w:t>投标人登陆南宁市公共资源交易系统上传加</w:t>
            </w:r>
            <w:r>
              <w:rPr>
                <w:spacing w:val="-11"/>
                <w:sz w:val="21"/>
              </w:rPr>
              <w:t>密的电子投标文件，并在开标时提交刻录成光盘的</w:t>
            </w:r>
            <w:r>
              <w:rPr>
                <w:spacing w:val="-16"/>
                <w:sz w:val="21"/>
              </w:rPr>
              <w:t>未加密电子投标文件</w:t>
            </w:r>
            <w:r>
              <w:rPr>
                <w:spacing w:val="-3"/>
                <w:sz w:val="21"/>
              </w:rPr>
              <w:t>（与加密的电子投标文件为同时生成的版本</w:t>
            </w:r>
            <w:r>
              <w:rPr>
                <w:spacing w:val="-108"/>
                <w:sz w:val="21"/>
              </w:rPr>
              <w:t>）</w:t>
            </w:r>
            <w:r>
              <w:rPr>
                <w:spacing w:val="-3"/>
                <w:sz w:val="21"/>
              </w:rPr>
              <w:t>。投标人专职投标员必须携带生成</w:t>
            </w:r>
            <w:r>
              <w:rPr>
                <w:spacing w:val="-7"/>
                <w:sz w:val="21"/>
              </w:rPr>
              <w:t>投标文件时所使用的企业 </w:t>
            </w:r>
            <w:r>
              <w:rPr>
                <w:sz w:val="21"/>
              </w:rPr>
              <w:t>CA</w:t>
            </w:r>
            <w:r>
              <w:rPr>
                <w:spacing w:val="-8"/>
                <w:sz w:val="21"/>
              </w:rPr>
              <w:t> 锁参加开标，现场对</w:t>
            </w:r>
            <w:r>
              <w:rPr>
                <w:spacing w:val="-12"/>
                <w:sz w:val="21"/>
              </w:rPr>
              <w:t>电子投标文件进行解密，否则，由此造成投标文件</w:t>
            </w:r>
            <w:r>
              <w:rPr>
                <w:spacing w:val="-3"/>
                <w:sz w:val="21"/>
              </w:rPr>
              <w:t>不能解密评审的后果由投标人自行承担。 </w:t>
            </w:r>
          </w:p>
          <w:p>
            <w:pPr>
              <w:pStyle w:val="TableParagraph"/>
              <w:spacing w:line="364" w:lineRule="auto"/>
              <w:ind w:left="106" w:right="-15" w:firstLine="434"/>
              <w:rPr>
                <w:sz w:val="21"/>
              </w:rPr>
            </w:pPr>
            <w:r>
              <w:rPr>
                <w:spacing w:val="-10"/>
                <w:sz w:val="21"/>
              </w:rPr>
              <w:t>未加密的电子投标文件光盘密封方式：单独放</w:t>
            </w:r>
            <w:r>
              <w:rPr>
                <w:spacing w:val="-3"/>
                <w:sz w:val="21"/>
              </w:rPr>
              <w:t>入一个密封袋中，加贴封条，并在封套封口处加</w:t>
            </w:r>
            <w:r>
              <w:rPr>
                <w:spacing w:val="-4"/>
                <w:sz w:val="21"/>
              </w:rPr>
              <w:t>盖投标人单位章，在封套上标记“电子投标文件”</w:t>
            </w:r>
          </w:p>
          <w:p>
            <w:pPr>
              <w:pStyle w:val="TableParagraph"/>
              <w:ind w:left="106"/>
              <w:rPr>
                <w:sz w:val="21"/>
              </w:rPr>
            </w:pPr>
            <w:r>
              <w:rPr>
                <w:sz w:val="21"/>
              </w:rPr>
              <w:t>字样，在投标截止前提交。 </w:t>
            </w:r>
          </w:p>
        </w:tc>
      </w:tr>
      <w:tr>
        <w:trPr>
          <w:trHeight w:val="407" w:hRule="atLeast"/>
        </w:trPr>
        <w:tc>
          <w:tcPr>
            <w:tcW w:w="8888" w:type="dxa"/>
            <w:gridSpan w:val="3"/>
          </w:tcPr>
          <w:p>
            <w:pPr>
              <w:pStyle w:val="TableParagraph"/>
              <w:spacing w:before="1"/>
              <w:ind w:left="107"/>
              <w:rPr>
                <w:sz w:val="21"/>
              </w:rPr>
            </w:pPr>
            <w:r>
              <w:rPr>
                <w:sz w:val="21"/>
              </w:rPr>
              <w:t>10.5 知识产权 </w:t>
            </w:r>
          </w:p>
        </w:tc>
      </w:tr>
      <w:tr>
        <w:trPr>
          <w:trHeight w:val="1226" w:hRule="atLeast"/>
        </w:trPr>
        <w:tc>
          <w:tcPr>
            <w:tcW w:w="886" w:type="dxa"/>
          </w:tcPr>
          <w:p>
            <w:pPr>
              <w:pStyle w:val="TableParagraph"/>
              <w:spacing w:before="1"/>
              <w:ind w:left="107"/>
              <w:rPr>
                <w:sz w:val="21"/>
              </w:rPr>
            </w:pPr>
            <w:r>
              <w:rPr>
                <w:w w:val="100"/>
                <w:sz w:val="21"/>
              </w:rPr>
              <w:t> </w:t>
            </w:r>
          </w:p>
        </w:tc>
        <w:tc>
          <w:tcPr>
            <w:tcW w:w="8002" w:type="dxa"/>
            <w:gridSpan w:val="2"/>
          </w:tcPr>
          <w:p>
            <w:pPr>
              <w:pStyle w:val="TableParagraph"/>
              <w:spacing w:before="1"/>
              <w:ind w:left="107"/>
              <w:rPr>
                <w:sz w:val="21"/>
              </w:rPr>
            </w:pPr>
            <w:r>
              <w:rPr>
                <w:sz w:val="21"/>
              </w:rPr>
              <w:t>构成本招标文件各个组成部分的文件，未经招标人书面同意，投标人不得擅自复印和</w:t>
            </w:r>
          </w:p>
          <w:p>
            <w:pPr>
              <w:pStyle w:val="TableParagraph"/>
              <w:spacing w:line="400" w:lineRule="atLeast" w:before="10"/>
              <w:ind w:left="107" w:right="96"/>
              <w:rPr>
                <w:sz w:val="21"/>
              </w:rPr>
            </w:pPr>
            <w:r>
              <w:rPr>
                <w:sz w:val="21"/>
              </w:rPr>
              <w:t>用于非本招标项目所需的其他目的。招标人全部或者部分使用未中标人投标文件中的技术成果或技术方案时，需征得其书面同意，并不得擅自复印或提供给第三人。 </w:t>
            </w:r>
          </w:p>
        </w:tc>
      </w:tr>
      <w:tr>
        <w:trPr>
          <w:trHeight w:val="410" w:hRule="atLeast"/>
        </w:trPr>
        <w:tc>
          <w:tcPr>
            <w:tcW w:w="8888" w:type="dxa"/>
            <w:gridSpan w:val="3"/>
          </w:tcPr>
          <w:p>
            <w:pPr>
              <w:pStyle w:val="TableParagraph"/>
              <w:spacing w:before="1"/>
              <w:ind w:left="107"/>
              <w:rPr>
                <w:sz w:val="21"/>
              </w:rPr>
            </w:pPr>
            <w:r>
              <w:rPr>
                <w:sz w:val="21"/>
              </w:rPr>
              <w:t>10.6 重新招标的其他情形 </w:t>
            </w:r>
          </w:p>
        </w:tc>
      </w:tr>
      <w:tr>
        <w:trPr>
          <w:trHeight w:val="1223" w:hRule="atLeast"/>
        </w:trPr>
        <w:tc>
          <w:tcPr>
            <w:tcW w:w="886" w:type="dxa"/>
          </w:tcPr>
          <w:p>
            <w:pPr>
              <w:pStyle w:val="TableParagraph"/>
              <w:spacing w:before="1"/>
              <w:ind w:left="107"/>
              <w:rPr>
                <w:sz w:val="21"/>
              </w:rPr>
            </w:pPr>
            <w:r>
              <w:rPr>
                <w:w w:val="100"/>
                <w:sz w:val="21"/>
              </w:rPr>
              <w:t> </w:t>
            </w:r>
          </w:p>
        </w:tc>
        <w:tc>
          <w:tcPr>
            <w:tcW w:w="8002" w:type="dxa"/>
            <w:gridSpan w:val="2"/>
          </w:tcPr>
          <w:p>
            <w:pPr>
              <w:pStyle w:val="TableParagraph"/>
              <w:spacing w:before="1"/>
              <w:ind w:left="107"/>
              <w:rPr>
                <w:sz w:val="21"/>
              </w:rPr>
            </w:pPr>
            <w:r>
              <w:rPr>
                <w:sz w:val="21"/>
              </w:rPr>
              <w:t>除投标人须知正文第 8 条规定的情形外，除非已经产生中标候选人，在投标有效期内</w:t>
            </w:r>
          </w:p>
          <w:p>
            <w:pPr>
              <w:pStyle w:val="TableParagraph"/>
              <w:spacing w:line="400" w:lineRule="atLeast" w:before="8"/>
              <w:ind w:left="107" w:right="95"/>
              <w:rPr>
                <w:sz w:val="21"/>
              </w:rPr>
            </w:pPr>
            <w:r>
              <w:rPr>
                <w:sz w:val="21"/>
              </w:rPr>
              <w:t>同意延长投标有效期的投标人少于三个的，招标人在分析招标失败的原因并采取相应措施后，应当依法重新招标。 </w:t>
            </w:r>
          </w:p>
        </w:tc>
      </w:tr>
      <w:tr>
        <w:trPr>
          <w:trHeight w:val="513" w:hRule="atLeast"/>
        </w:trPr>
        <w:tc>
          <w:tcPr>
            <w:tcW w:w="8888" w:type="dxa"/>
            <w:gridSpan w:val="3"/>
          </w:tcPr>
          <w:p>
            <w:pPr>
              <w:pStyle w:val="TableParagraph"/>
              <w:spacing w:before="54"/>
              <w:ind w:left="107"/>
              <w:rPr>
                <w:sz w:val="21"/>
              </w:rPr>
            </w:pPr>
            <w:r>
              <w:rPr>
                <w:sz w:val="21"/>
              </w:rPr>
              <w:t>10.7 同义词语 </w:t>
            </w:r>
          </w:p>
        </w:tc>
      </w:tr>
      <w:tr>
        <w:trPr>
          <w:trHeight w:val="1226" w:hRule="atLeast"/>
        </w:trPr>
        <w:tc>
          <w:tcPr>
            <w:tcW w:w="886" w:type="dxa"/>
          </w:tcPr>
          <w:p>
            <w:pPr>
              <w:pStyle w:val="TableParagraph"/>
              <w:spacing w:before="6"/>
              <w:rPr>
                <w:rFonts w:ascii="Microsoft JhengHei"/>
                <w:b/>
                <w:sz w:val="22"/>
              </w:rPr>
            </w:pPr>
          </w:p>
          <w:p>
            <w:pPr>
              <w:pStyle w:val="TableParagraph"/>
              <w:spacing w:before="1"/>
              <w:ind w:left="107"/>
              <w:rPr>
                <w:sz w:val="21"/>
              </w:rPr>
            </w:pPr>
            <w:r>
              <w:rPr>
                <w:w w:val="100"/>
                <w:sz w:val="21"/>
              </w:rPr>
              <w:t> </w:t>
            </w:r>
          </w:p>
        </w:tc>
        <w:tc>
          <w:tcPr>
            <w:tcW w:w="8002" w:type="dxa"/>
            <w:gridSpan w:val="2"/>
          </w:tcPr>
          <w:p>
            <w:pPr>
              <w:pStyle w:val="TableParagraph"/>
              <w:spacing w:before="1"/>
              <w:ind w:left="107"/>
              <w:rPr>
                <w:sz w:val="21"/>
              </w:rPr>
            </w:pPr>
            <w:r>
              <w:rPr>
                <w:spacing w:val="-12"/>
                <w:sz w:val="21"/>
              </w:rPr>
              <w:t>构成招标文件组成部分的“通用合同条款”、“专用合同条款”、“技术标准和要求”</w:t>
            </w:r>
          </w:p>
          <w:p>
            <w:pPr>
              <w:pStyle w:val="TableParagraph"/>
              <w:spacing w:line="400" w:lineRule="atLeast" w:before="10"/>
              <w:ind w:left="107" w:right="95"/>
              <w:rPr>
                <w:sz w:val="21"/>
              </w:rPr>
            </w:pPr>
            <w:r>
              <w:rPr>
                <w:sz w:val="21"/>
              </w:rPr>
              <w:t>和“工程量清单”等章节中出现的措辞“发包人”和“承包人”，在招标投标阶段应当分别按“招标人”和“投标人”进行理解。 </w:t>
            </w:r>
          </w:p>
        </w:tc>
      </w:tr>
      <w:tr>
        <w:trPr>
          <w:trHeight w:val="513" w:hRule="atLeast"/>
        </w:trPr>
        <w:tc>
          <w:tcPr>
            <w:tcW w:w="8888" w:type="dxa"/>
            <w:gridSpan w:val="3"/>
          </w:tcPr>
          <w:p>
            <w:pPr>
              <w:pStyle w:val="TableParagraph"/>
              <w:spacing w:before="53"/>
              <w:ind w:left="107"/>
              <w:rPr>
                <w:sz w:val="21"/>
              </w:rPr>
            </w:pPr>
            <w:r>
              <w:rPr>
                <w:sz w:val="21"/>
              </w:rPr>
              <w:t>10.8 监督 </w:t>
            </w:r>
          </w:p>
        </w:tc>
      </w:tr>
      <w:tr>
        <w:trPr>
          <w:trHeight w:val="1226" w:hRule="atLeast"/>
        </w:trPr>
        <w:tc>
          <w:tcPr>
            <w:tcW w:w="886" w:type="dxa"/>
          </w:tcPr>
          <w:p>
            <w:pPr>
              <w:pStyle w:val="TableParagraph"/>
              <w:spacing w:before="4"/>
              <w:rPr>
                <w:rFonts w:ascii="Microsoft JhengHei"/>
                <w:b/>
                <w:sz w:val="22"/>
              </w:rPr>
            </w:pPr>
          </w:p>
          <w:p>
            <w:pPr>
              <w:pStyle w:val="TableParagraph"/>
              <w:ind w:left="107"/>
              <w:rPr>
                <w:sz w:val="21"/>
              </w:rPr>
            </w:pPr>
            <w:r>
              <w:rPr>
                <w:w w:val="100"/>
                <w:sz w:val="21"/>
              </w:rPr>
              <w:t> </w:t>
            </w:r>
          </w:p>
        </w:tc>
        <w:tc>
          <w:tcPr>
            <w:tcW w:w="8002" w:type="dxa"/>
            <w:gridSpan w:val="2"/>
          </w:tcPr>
          <w:p>
            <w:pPr>
              <w:pStyle w:val="TableParagraph"/>
              <w:spacing w:line="364" w:lineRule="auto" w:before="1"/>
              <w:ind w:left="107" w:right="96"/>
              <w:rPr>
                <w:sz w:val="21"/>
              </w:rPr>
            </w:pPr>
            <w:r>
              <w:rPr>
                <w:sz w:val="21"/>
              </w:rPr>
              <w:t>本项目的招标投标活动及其相关当事人应当接受有管辖权的建设工程招标投标行政监督部门依法实施的监督，如项目属于公共资源范围，应同时接受本级公共资源交易监</w:t>
            </w:r>
          </w:p>
          <w:p>
            <w:pPr>
              <w:pStyle w:val="TableParagraph"/>
              <w:ind w:left="107"/>
              <w:rPr>
                <w:sz w:val="21"/>
              </w:rPr>
            </w:pPr>
            <w:r>
              <w:rPr>
                <w:sz w:val="21"/>
              </w:rPr>
              <w:t>督机构的监管。 </w:t>
            </w:r>
          </w:p>
        </w:tc>
      </w:tr>
      <w:tr>
        <w:trPr>
          <w:trHeight w:val="513" w:hRule="atLeast"/>
        </w:trPr>
        <w:tc>
          <w:tcPr>
            <w:tcW w:w="8888" w:type="dxa"/>
            <w:gridSpan w:val="3"/>
          </w:tcPr>
          <w:p>
            <w:pPr>
              <w:pStyle w:val="TableParagraph"/>
              <w:spacing w:before="53"/>
              <w:ind w:left="107"/>
              <w:rPr>
                <w:sz w:val="21"/>
              </w:rPr>
            </w:pPr>
            <w:r>
              <w:rPr>
                <w:sz w:val="21"/>
              </w:rPr>
              <w:t>10.9 解释权 </w:t>
            </w:r>
          </w:p>
        </w:tc>
      </w:tr>
      <w:tr>
        <w:trPr>
          <w:trHeight w:val="1533" w:hRule="atLeast"/>
        </w:trPr>
        <w:tc>
          <w:tcPr>
            <w:tcW w:w="886" w:type="dxa"/>
          </w:tcPr>
          <w:p>
            <w:pPr>
              <w:pStyle w:val="TableParagraph"/>
              <w:rPr>
                <w:rFonts w:ascii="Microsoft JhengHei"/>
                <w:b/>
                <w:sz w:val="20"/>
              </w:rPr>
            </w:pPr>
          </w:p>
          <w:p>
            <w:pPr>
              <w:pStyle w:val="TableParagraph"/>
              <w:spacing w:before="10"/>
              <w:rPr>
                <w:rFonts w:ascii="Microsoft JhengHei"/>
                <w:b/>
                <w:sz w:val="10"/>
              </w:rPr>
            </w:pPr>
          </w:p>
          <w:p>
            <w:pPr>
              <w:pStyle w:val="TableParagraph"/>
              <w:spacing w:before="1"/>
              <w:ind w:left="107"/>
              <w:rPr>
                <w:sz w:val="21"/>
              </w:rPr>
            </w:pPr>
            <w:r>
              <w:rPr>
                <w:w w:val="100"/>
                <w:sz w:val="21"/>
              </w:rPr>
              <w:t> </w:t>
            </w:r>
          </w:p>
        </w:tc>
        <w:tc>
          <w:tcPr>
            <w:tcW w:w="8002" w:type="dxa"/>
            <w:gridSpan w:val="2"/>
          </w:tcPr>
          <w:p>
            <w:pPr>
              <w:pStyle w:val="TableParagraph"/>
              <w:spacing w:line="364" w:lineRule="auto" w:before="154"/>
              <w:ind w:left="107" w:right="95"/>
              <w:jc w:val="both"/>
              <w:rPr>
                <w:sz w:val="21"/>
              </w:rPr>
            </w:pPr>
            <w:r>
              <w:rPr>
                <w:sz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w:t>
            </w:r>
          </w:p>
        </w:tc>
      </w:tr>
    </w:tbl>
    <w:p>
      <w:pPr>
        <w:spacing w:after="0" w:line="364" w:lineRule="auto"/>
        <w:jc w:val="both"/>
        <w:rPr>
          <w:sz w:val="21"/>
        </w:rPr>
        <w:sectPr>
          <w:pgSz w:w="11910" w:h="16850"/>
          <w:pgMar w:header="0" w:footer="779" w:top="1440" w:bottom="960" w:left="1120" w:right="280"/>
        </w:sectPr>
      </w:pPr>
    </w:p>
    <w:tbl>
      <w:tblPr>
        <w:tblW w:w="0" w:type="auto"/>
        <w:jc w:val="left"/>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6"/>
        <w:gridCol w:w="3253"/>
        <w:gridCol w:w="4749"/>
      </w:tblGrid>
      <w:tr>
        <w:trPr>
          <w:trHeight w:val="470" w:hRule="atLeast"/>
        </w:trPr>
        <w:tc>
          <w:tcPr>
            <w:tcW w:w="886" w:type="dxa"/>
            <w:shd w:val="clear" w:color="auto" w:fill="E6E6E6"/>
          </w:tcPr>
          <w:p>
            <w:pPr>
              <w:pStyle w:val="TableParagraph"/>
              <w:spacing w:line="349" w:lineRule="exact"/>
              <w:ind w:left="124"/>
              <w:rPr>
                <w:rFonts w:ascii="Microsoft JhengHei" w:eastAsia="Microsoft JhengHei" w:hint="eastAsia"/>
                <w:b/>
                <w:sz w:val="21"/>
              </w:rPr>
            </w:pPr>
            <w:r>
              <w:rPr>
                <w:rFonts w:ascii="Microsoft JhengHei" w:eastAsia="Microsoft JhengHei" w:hint="eastAsia"/>
                <w:b/>
                <w:sz w:val="21"/>
                <w:shd w:fill="FFFFFF" w:color="auto" w:val="clear"/>
              </w:rPr>
              <w:t>条款号</w:t>
            </w:r>
            <w:r>
              <w:rPr>
                <w:rFonts w:ascii="Microsoft JhengHei" w:eastAsia="Microsoft JhengHei" w:hint="eastAsia"/>
                <w:b/>
                <w:w w:val="201"/>
                <w:sz w:val="21"/>
              </w:rPr>
              <w:t> </w:t>
            </w:r>
          </w:p>
        </w:tc>
        <w:tc>
          <w:tcPr>
            <w:tcW w:w="3253" w:type="dxa"/>
            <w:shd w:val="clear" w:color="auto" w:fill="E6E6E6"/>
          </w:tcPr>
          <w:p>
            <w:pPr>
              <w:pStyle w:val="TableParagraph"/>
              <w:spacing w:line="349" w:lineRule="exact"/>
              <w:ind w:left="887"/>
              <w:rPr>
                <w:rFonts w:ascii="Microsoft JhengHei" w:eastAsia="Microsoft JhengHei" w:hint="eastAsia"/>
                <w:b/>
                <w:sz w:val="21"/>
              </w:rPr>
            </w:pPr>
            <w:r>
              <w:rPr>
                <w:rFonts w:ascii="Microsoft JhengHei" w:eastAsia="Microsoft JhengHei" w:hint="eastAsia"/>
                <w:b/>
                <w:sz w:val="21"/>
                <w:shd w:fill="FFFFFF" w:color="auto" w:val="clear"/>
              </w:rPr>
              <w:t>条 款 名 称</w:t>
            </w:r>
            <w:r>
              <w:rPr>
                <w:rFonts w:ascii="Microsoft JhengHei" w:eastAsia="Microsoft JhengHei" w:hint="eastAsia"/>
                <w:b/>
                <w:w w:val="201"/>
                <w:sz w:val="21"/>
              </w:rPr>
              <w:t> </w:t>
            </w:r>
          </w:p>
        </w:tc>
        <w:tc>
          <w:tcPr>
            <w:tcW w:w="4749" w:type="dxa"/>
            <w:shd w:val="clear" w:color="auto" w:fill="E6E6E6"/>
          </w:tcPr>
          <w:p>
            <w:pPr>
              <w:pStyle w:val="TableParagraph"/>
              <w:spacing w:line="349" w:lineRule="exact"/>
              <w:ind w:left="1633"/>
              <w:rPr>
                <w:rFonts w:ascii="Microsoft JhengHei" w:eastAsia="Microsoft JhengHei" w:hint="eastAsia"/>
                <w:b/>
                <w:sz w:val="21"/>
              </w:rPr>
            </w:pPr>
            <w:r>
              <w:rPr>
                <w:rFonts w:ascii="Microsoft JhengHei" w:eastAsia="Microsoft JhengHei" w:hint="eastAsia"/>
                <w:b/>
                <w:sz w:val="21"/>
                <w:shd w:fill="FFFFFF" w:color="auto" w:val="clear"/>
              </w:rPr>
              <w:t>编 列 内 容</w:t>
            </w:r>
            <w:r>
              <w:rPr>
                <w:rFonts w:ascii="Microsoft JhengHei" w:eastAsia="Microsoft JhengHei" w:hint="eastAsia"/>
                <w:b/>
                <w:w w:val="201"/>
                <w:sz w:val="21"/>
              </w:rPr>
              <w:t> </w:t>
            </w:r>
          </w:p>
        </w:tc>
      </w:tr>
      <w:tr>
        <w:trPr>
          <w:trHeight w:val="2044" w:hRule="atLeast"/>
        </w:trPr>
        <w:tc>
          <w:tcPr>
            <w:tcW w:w="886" w:type="dxa"/>
          </w:tcPr>
          <w:p>
            <w:pPr>
              <w:pStyle w:val="TableParagraph"/>
              <w:rPr>
                <w:rFonts w:ascii="Times New Roman"/>
                <w:sz w:val="20"/>
              </w:rPr>
            </w:pPr>
          </w:p>
        </w:tc>
        <w:tc>
          <w:tcPr>
            <w:tcW w:w="8002" w:type="dxa"/>
            <w:gridSpan w:val="2"/>
          </w:tcPr>
          <w:p>
            <w:pPr>
              <w:pStyle w:val="TableParagraph"/>
              <w:spacing w:line="364" w:lineRule="auto" w:before="3"/>
              <w:ind w:left="107" w:right="95"/>
              <w:jc w:val="both"/>
              <w:rPr>
                <w:sz w:val="21"/>
              </w:rPr>
            </w:pPr>
            <w:r>
              <w:rPr>
                <w:spacing w:val="-8"/>
                <w:sz w:val="21"/>
              </w:rPr>
              <w:t>补遗或澄清文件、招标公告</w:t>
            </w:r>
            <w:r>
              <w:rPr>
                <w:sz w:val="21"/>
              </w:rPr>
              <w:t>（</w:t>
            </w:r>
            <w:r>
              <w:rPr>
                <w:spacing w:val="-3"/>
                <w:sz w:val="21"/>
              </w:rPr>
              <w:t>投标邀请书</w:t>
            </w:r>
            <w:r>
              <w:rPr>
                <w:spacing w:val="-106"/>
                <w:sz w:val="21"/>
              </w:rPr>
              <w:t>）</w:t>
            </w:r>
            <w:r>
              <w:rPr>
                <w:spacing w:val="-10"/>
                <w:sz w:val="21"/>
              </w:rPr>
              <w:t>、投标人须知、评标办法、投标文件格式的</w:t>
            </w:r>
            <w:r>
              <w:rPr>
                <w:spacing w:val="-7"/>
                <w:sz w:val="21"/>
              </w:rPr>
              <w:t>先后顺序解释；同一组成文件中就同一事项的规定或约定不一致的，以编排顺序在后</w:t>
            </w:r>
            <w:r>
              <w:rPr>
                <w:spacing w:val="-5"/>
                <w:sz w:val="21"/>
              </w:rPr>
              <w:t>者为准；同一组成文件不同版本之间有不一致的，以形成时间在后者为准；补遗或澄</w:t>
            </w:r>
            <w:r>
              <w:rPr>
                <w:spacing w:val="-4"/>
                <w:sz w:val="21"/>
              </w:rPr>
              <w:t>清文件与同步更新的招标文件不一致时以补遗或澄清文件为准。按本款前述规定仍不</w:t>
            </w:r>
          </w:p>
          <w:p>
            <w:pPr>
              <w:pStyle w:val="TableParagraph"/>
              <w:spacing w:line="265" w:lineRule="exact"/>
              <w:ind w:left="107"/>
              <w:rPr>
                <w:sz w:val="21"/>
              </w:rPr>
            </w:pPr>
            <w:r>
              <w:rPr>
                <w:sz w:val="21"/>
              </w:rPr>
              <w:t>能形成结论的，由招标人负责解释。 </w:t>
            </w:r>
          </w:p>
        </w:tc>
      </w:tr>
      <w:tr>
        <w:trPr>
          <w:trHeight w:val="510" w:hRule="atLeast"/>
        </w:trPr>
        <w:tc>
          <w:tcPr>
            <w:tcW w:w="8888" w:type="dxa"/>
            <w:gridSpan w:val="3"/>
          </w:tcPr>
          <w:p>
            <w:pPr>
              <w:pStyle w:val="TableParagraph"/>
              <w:spacing w:before="51"/>
              <w:ind w:left="107"/>
              <w:rPr>
                <w:sz w:val="21"/>
              </w:rPr>
            </w:pPr>
            <w:r>
              <w:rPr>
                <w:sz w:val="21"/>
              </w:rPr>
              <w:t>10.10 招标人补充的其他内容 </w:t>
            </w:r>
          </w:p>
        </w:tc>
      </w:tr>
      <w:tr>
        <w:trPr>
          <w:trHeight w:val="3676" w:hRule="atLeast"/>
        </w:trPr>
        <w:tc>
          <w:tcPr>
            <w:tcW w:w="886" w:type="dxa"/>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16"/>
              <w:rPr>
                <w:rFonts w:ascii="Microsoft JhengHei"/>
                <w:b/>
                <w:sz w:val="17"/>
              </w:rPr>
            </w:pPr>
          </w:p>
          <w:p>
            <w:pPr>
              <w:pStyle w:val="TableParagraph"/>
              <w:ind w:left="107"/>
              <w:rPr>
                <w:sz w:val="21"/>
              </w:rPr>
            </w:pPr>
            <w:r>
              <w:rPr>
                <w:sz w:val="21"/>
              </w:rPr>
              <w:t>10.10.</w:t>
            </w:r>
          </w:p>
          <w:p>
            <w:pPr>
              <w:pStyle w:val="TableParagraph"/>
              <w:spacing w:before="139"/>
              <w:ind w:left="107"/>
              <w:rPr>
                <w:sz w:val="21"/>
              </w:rPr>
            </w:pPr>
            <w:r>
              <w:rPr>
                <w:sz w:val="21"/>
              </w:rPr>
              <w:t>1 </w:t>
            </w:r>
          </w:p>
        </w:tc>
        <w:tc>
          <w:tcPr>
            <w:tcW w:w="3253" w:type="dxa"/>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17"/>
              <w:rPr>
                <w:rFonts w:ascii="Microsoft JhengHei"/>
                <w:b/>
                <w:sz w:val="28"/>
              </w:rPr>
            </w:pPr>
          </w:p>
          <w:p>
            <w:pPr>
              <w:pStyle w:val="TableParagraph"/>
              <w:ind w:left="107"/>
              <w:rPr>
                <w:sz w:val="21"/>
              </w:rPr>
            </w:pPr>
            <w:r>
              <w:rPr>
                <w:sz w:val="21"/>
              </w:rPr>
              <w:t>招标代理服务费的计算与收取 </w:t>
            </w:r>
          </w:p>
        </w:tc>
        <w:tc>
          <w:tcPr>
            <w:tcW w:w="4749" w:type="dxa"/>
          </w:tcPr>
          <w:p>
            <w:pPr>
              <w:pStyle w:val="TableParagraph"/>
              <w:spacing w:line="364" w:lineRule="auto" w:before="1"/>
              <w:ind w:left="106" w:right="6"/>
              <w:rPr>
                <w:sz w:val="21"/>
              </w:rPr>
            </w:pPr>
            <w:r>
              <w:rPr>
                <w:color w:val="0000FF"/>
                <w:sz w:val="21"/>
              </w:rPr>
              <w:t>□</w:t>
            </w:r>
            <w:r>
              <w:rPr>
                <w:spacing w:val="-11"/>
                <w:sz w:val="21"/>
              </w:rPr>
              <w:t>招标人支付【备注：政府及国有资金投资的项目</w:t>
            </w:r>
            <w:r>
              <w:rPr>
                <w:spacing w:val="-6"/>
                <w:sz w:val="21"/>
              </w:rPr>
              <w:t>在建设项目费用组成中已包含招标代理服务费的， </w:t>
            </w:r>
            <w:r>
              <w:rPr>
                <w:spacing w:val="-4"/>
                <w:sz w:val="21"/>
              </w:rPr>
              <w:t>应选择由招标人支付】</w:t>
            </w:r>
            <w:r>
              <w:rPr>
                <w:sz w:val="21"/>
              </w:rPr>
              <w:t> </w:t>
            </w:r>
          </w:p>
          <w:p>
            <w:pPr>
              <w:pStyle w:val="TableParagraph"/>
              <w:spacing w:line="269" w:lineRule="exact"/>
              <w:ind w:left="106"/>
              <w:rPr>
                <w:sz w:val="21"/>
              </w:rPr>
            </w:pPr>
            <w:r>
              <w:rPr>
                <w:rFonts w:ascii="Segoe UI Symbol" w:hAnsi="Segoe UI Symbol" w:eastAsia="Segoe UI Symbol"/>
                <w:color w:val="0000FF"/>
                <w:spacing w:val="14"/>
                <w:sz w:val="21"/>
              </w:rPr>
              <w:t>☑  </w:t>
            </w:r>
            <w:r>
              <w:rPr>
                <w:spacing w:val="-3"/>
                <w:sz w:val="21"/>
              </w:rPr>
              <w:t>中标人支付。具体为：根据招标人与代理人签</w:t>
            </w:r>
          </w:p>
          <w:p>
            <w:pPr>
              <w:pStyle w:val="TableParagraph"/>
              <w:spacing w:line="364" w:lineRule="auto" w:before="139"/>
              <w:ind w:left="106" w:right="95"/>
              <w:jc w:val="both"/>
              <w:rPr>
                <w:sz w:val="21"/>
              </w:rPr>
            </w:pPr>
            <w:r>
              <w:rPr>
                <w:spacing w:val="-11"/>
                <w:sz w:val="21"/>
              </w:rPr>
              <w:t>订的《建设工程招标代理合同》，本项目委托招标</w:t>
            </w:r>
            <w:r>
              <w:rPr>
                <w:spacing w:val="5"/>
                <w:sz w:val="21"/>
              </w:rPr>
              <w:t>代理服务费按</w:t>
            </w:r>
            <w:r>
              <w:rPr>
                <w:color w:val="0000FF"/>
                <w:spacing w:val="3"/>
                <w:sz w:val="21"/>
              </w:rPr>
              <w:t>计价格[</w:t>
            </w:r>
            <w:r>
              <w:rPr>
                <w:color w:val="0000FF"/>
                <w:sz w:val="21"/>
              </w:rPr>
              <w:t>2002]</w:t>
            </w:r>
            <w:r>
              <w:rPr>
                <w:color w:val="0000FF"/>
                <w:spacing w:val="13"/>
                <w:sz w:val="21"/>
              </w:rPr>
              <w:t> </w:t>
            </w:r>
            <w:r>
              <w:rPr>
                <w:color w:val="0000FF"/>
                <w:sz w:val="21"/>
              </w:rPr>
              <w:t>1980</w:t>
            </w:r>
            <w:r>
              <w:rPr>
                <w:color w:val="0000FF"/>
                <w:spacing w:val="4"/>
                <w:sz w:val="21"/>
              </w:rPr>
              <w:t> 号及发改办价格[2003]857</w:t>
            </w:r>
            <w:r>
              <w:rPr>
                <w:color w:val="0000FF"/>
                <w:sz w:val="21"/>
              </w:rPr>
              <w:t> 号和[2011]534</w:t>
            </w:r>
            <w:r>
              <w:rPr>
                <w:color w:val="0000FF"/>
                <w:spacing w:val="-1"/>
                <w:sz w:val="21"/>
              </w:rPr>
              <w:t> 号文件规定</w:t>
            </w:r>
            <w:r>
              <w:rPr>
                <w:spacing w:val="-24"/>
                <w:sz w:val="21"/>
              </w:rPr>
              <w:t>计取，由</w:t>
            </w:r>
            <w:r>
              <w:rPr>
                <w:spacing w:val="-14"/>
                <w:sz w:val="21"/>
              </w:rPr>
              <w:t>中标人在领取中标通知书时，一次性向招标代理机</w:t>
            </w:r>
          </w:p>
          <w:p>
            <w:pPr>
              <w:pStyle w:val="TableParagraph"/>
              <w:spacing w:line="268" w:lineRule="exact"/>
              <w:ind w:left="106"/>
              <w:rPr>
                <w:sz w:val="21"/>
              </w:rPr>
            </w:pPr>
            <w:r>
              <w:rPr>
                <w:sz w:val="21"/>
              </w:rPr>
              <w:t>构支付。 </w:t>
            </w:r>
          </w:p>
        </w:tc>
      </w:tr>
      <w:tr>
        <w:trPr>
          <w:trHeight w:val="2306" w:hRule="atLeast"/>
        </w:trPr>
        <w:tc>
          <w:tcPr>
            <w:tcW w:w="886" w:type="dxa"/>
          </w:tcPr>
          <w:p>
            <w:pPr>
              <w:pStyle w:val="TableParagraph"/>
              <w:rPr>
                <w:rFonts w:ascii="Microsoft JhengHei"/>
                <w:b/>
                <w:sz w:val="20"/>
              </w:rPr>
            </w:pPr>
          </w:p>
          <w:p>
            <w:pPr>
              <w:pStyle w:val="TableParagraph"/>
              <w:spacing w:before="9"/>
              <w:rPr>
                <w:rFonts w:ascii="Microsoft JhengHei"/>
                <w:b/>
                <w:sz w:val="20"/>
              </w:rPr>
            </w:pPr>
          </w:p>
          <w:p>
            <w:pPr>
              <w:pStyle w:val="TableParagraph"/>
              <w:spacing w:before="1"/>
              <w:ind w:left="107"/>
              <w:rPr>
                <w:sz w:val="21"/>
              </w:rPr>
            </w:pPr>
            <w:r>
              <w:rPr>
                <w:sz w:val="21"/>
              </w:rPr>
              <w:t>10.10.</w:t>
            </w:r>
          </w:p>
          <w:p>
            <w:pPr>
              <w:pStyle w:val="TableParagraph"/>
              <w:spacing w:before="141"/>
              <w:ind w:left="107"/>
              <w:rPr>
                <w:sz w:val="21"/>
              </w:rPr>
            </w:pPr>
            <w:r>
              <w:rPr>
                <w:sz w:val="21"/>
              </w:rPr>
              <w:t>2 </w:t>
            </w:r>
          </w:p>
        </w:tc>
        <w:tc>
          <w:tcPr>
            <w:tcW w:w="8002" w:type="dxa"/>
            <w:gridSpan w:val="2"/>
          </w:tcPr>
          <w:p>
            <w:pPr>
              <w:pStyle w:val="TableParagraph"/>
              <w:rPr>
                <w:rFonts w:ascii="Microsoft JhengHei"/>
                <w:b/>
                <w:sz w:val="20"/>
              </w:rPr>
            </w:pPr>
          </w:p>
          <w:p>
            <w:pPr>
              <w:pStyle w:val="TableParagraph"/>
              <w:spacing w:before="9"/>
              <w:rPr>
                <w:rFonts w:ascii="Microsoft JhengHei"/>
                <w:b/>
                <w:sz w:val="20"/>
              </w:rPr>
            </w:pPr>
          </w:p>
          <w:p>
            <w:pPr>
              <w:pStyle w:val="TableParagraph"/>
              <w:spacing w:line="367" w:lineRule="auto" w:before="1"/>
              <w:ind w:left="107" w:right="3784"/>
              <w:rPr>
                <w:sz w:val="21"/>
              </w:rPr>
            </w:pPr>
            <w:r>
              <w:rPr>
                <w:spacing w:val="-2"/>
                <w:sz w:val="21"/>
              </w:rPr>
              <w:t>勘察单位：</w:t>
            </w:r>
            <w:r>
              <w:rPr>
                <w:color w:val="0000FF"/>
                <w:spacing w:val="-3"/>
                <w:sz w:val="21"/>
              </w:rPr>
              <w:t>广西华南岩土勘察工程限公司</w:t>
            </w:r>
            <w:r>
              <w:rPr>
                <w:spacing w:val="-3"/>
                <w:sz w:val="21"/>
              </w:rPr>
              <w:t>  设计单位：</w:t>
            </w:r>
            <w:r>
              <w:rPr>
                <w:color w:val="0000FF"/>
                <w:spacing w:val="-3"/>
                <w:sz w:val="21"/>
              </w:rPr>
              <w:t>北京汉通建筑规划设计有限公司</w:t>
            </w:r>
            <w:r>
              <w:rPr>
                <w:spacing w:val="-3"/>
                <w:sz w:val="21"/>
              </w:rPr>
              <w:t> </w:t>
            </w:r>
          </w:p>
        </w:tc>
      </w:tr>
      <w:tr>
        <w:trPr>
          <w:trHeight w:val="4495" w:hRule="atLeast"/>
        </w:trPr>
        <w:tc>
          <w:tcPr>
            <w:tcW w:w="886" w:type="dxa"/>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1"/>
              <w:rPr>
                <w:rFonts w:ascii="Microsoft JhengHei"/>
                <w:b/>
                <w:sz w:val="20"/>
              </w:rPr>
            </w:pPr>
          </w:p>
          <w:p>
            <w:pPr>
              <w:pStyle w:val="TableParagraph"/>
              <w:ind w:left="107"/>
              <w:rPr>
                <w:sz w:val="21"/>
              </w:rPr>
            </w:pPr>
            <w:r>
              <w:rPr>
                <w:sz w:val="21"/>
              </w:rPr>
              <w:t>10.10.</w:t>
            </w:r>
          </w:p>
          <w:p>
            <w:pPr>
              <w:pStyle w:val="TableParagraph"/>
              <w:spacing w:before="139"/>
              <w:ind w:left="107"/>
              <w:rPr>
                <w:sz w:val="21"/>
              </w:rPr>
            </w:pPr>
            <w:r>
              <w:rPr>
                <w:sz w:val="21"/>
              </w:rPr>
              <w:t>3 </w:t>
            </w:r>
          </w:p>
        </w:tc>
        <w:tc>
          <w:tcPr>
            <w:tcW w:w="3253" w:type="dxa"/>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2"/>
              <w:rPr>
                <w:rFonts w:ascii="Microsoft JhengHei"/>
                <w:b/>
                <w:sz w:val="11"/>
              </w:rPr>
            </w:pPr>
          </w:p>
          <w:p>
            <w:pPr>
              <w:pStyle w:val="TableParagraph"/>
              <w:spacing w:before="1"/>
              <w:ind w:left="107"/>
              <w:rPr>
                <w:sz w:val="21"/>
              </w:rPr>
            </w:pPr>
            <w:r>
              <w:rPr>
                <w:sz w:val="21"/>
              </w:rPr>
              <w:t>项目工会组建 </w:t>
            </w:r>
          </w:p>
        </w:tc>
        <w:tc>
          <w:tcPr>
            <w:tcW w:w="4749" w:type="dxa"/>
          </w:tcPr>
          <w:p>
            <w:pPr>
              <w:pStyle w:val="TableParagraph"/>
              <w:spacing w:line="364" w:lineRule="auto" w:before="1"/>
              <w:ind w:left="106" w:right="95" w:firstLine="434"/>
              <w:jc w:val="both"/>
              <w:rPr>
                <w:sz w:val="21"/>
              </w:rPr>
            </w:pPr>
            <w:r>
              <w:rPr>
                <w:spacing w:val="-12"/>
                <w:sz w:val="21"/>
              </w:rPr>
              <w:t>为维护农民工权益，确保项目工会日常工作正</w:t>
            </w:r>
            <w:r>
              <w:rPr>
                <w:spacing w:val="-17"/>
                <w:sz w:val="21"/>
              </w:rPr>
              <w:t>常开展，按照《中华人民共和国工会法》</w:t>
            </w:r>
            <w:r>
              <w:rPr>
                <w:spacing w:val="-29"/>
                <w:sz w:val="21"/>
              </w:rPr>
              <w:t>、《国务院</w:t>
            </w:r>
            <w:r>
              <w:rPr>
                <w:spacing w:val="-15"/>
                <w:sz w:val="21"/>
              </w:rPr>
              <w:t>关于进一步做好为农民工服务工作的意见》</w:t>
            </w:r>
            <w:r>
              <w:rPr>
                <w:spacing w:val="-3"/>
                <w:sz w:val="21"/>
              </w:rPr>
              <w:t>（</w:t>
            </w:r>
            <w:r>
              <w:rPr>
                <w:sz w:val="21"/>
              </w:rPr>
              <w:t>国发</w:t>
            </w:r>
          </w:p>
          <w:p>
            <w:pPr>
              <w:pStyle w:val="TableParagraph"/>
              <w:spacing w:line="364" w:lineRule="auto"/>
              <w:ind w:left="106" w:right="95"/>
              <w:jc w:val="both"/>
              <w:rPr>
                <w:sz w:val="21"/>
              </w:rPr>
            </w:pPr>
            <w:r>
              <w:rPr>
                <w:sz w:val="21"/>
              </w:rPr>
              <w:t>〔2014〕40</w:t>
            </w:r>
            <w:r>
              <w:rPr>
                <w:spacing w:val="-23"/>
                <w:sz w:val="21"/>
              </w:rPr>
              <w:t> 号</w:t>
            </w:r>
            <w:r>
              <w:rPr>
                <w:spacing w:val="-108"/>
                <w:sz w:val="21"/>
              </w:rPr>
              <w:t>）</w:t>
            </w:r>
            <w:r>
              <w:rPr>
                <w:spacing w:val="-13"/>
                <w:sz w:val="21"/>
              </w:rPr>
              <w:t>、《中华全国总工会关于深入贯彻</w:t>
            </w:r>
            <w:r>
              <w:rPr>
                <w:spacing w:val="-6"/>
                <w:sz w:val="21"/>
              </w:rPr>
              <w:t>落实&lt;国务院关于进一步做好为农民工服务工作的</w:t>
            </w:r>
            <w:r>
              <w:rPr>
                <w:spacing w:val="-16"/>
                <w:sz w:val="21"/>
              </w:rPr>
              <w:t>意见&gt;的实施意见》</w:t>
            </w:r>
            <w:r>
              <w:rPr>
                <w:spacing w:val="-3"/>
                <w:sz w:val="21"/>
              </w:rPr>
              <w:t>（</w:t>
            </w:r>
            <w:r>
              <w:rPr>
                <w:spacing w:val="-2"/>
                <w:sz w:val="21"/>
              </w:rPr>
              <w:t>总工发〔</w:t>
            </w:r>
            <w:r>
              <w:rPr>
                <w:sz w:val="21"/>
              </w:rPr>
              <w:t>2015</w:t>
            </w:r>
            <w:r>
              <w:rPr>
                <w:spacing w:val="-3"/>
                <w:sz w:val="21"/>
              </w:rPr>
              <w:t>〕</w:t>
            </w:r>
            <w:r>
              <w:rPr>
                <w:sz w:val="21"/>
              </w:rPr>
              <w:t>14</w:t>
            </w:r>
            <w:r>
              <w:rPr>
                <w:spacing w:val="-24"/>
                <w:sz w:val="21"/>
              </w:rPr>
              <w:t> 号</w:t>
            </w:r>
            <w:r>
              <w:rPr>
                <w:spacing w:val="-3"/>
                <w:sz w:val="21"/>
              </w:rPr>
              <w:t>）</w:t>
            </w:r>
            <w:r>
              <w:rPr>
                <w:sz w:val="21"/>
              </w:rPr>
              <w:t>有关</w:t>
            </w:r>
            <w:r>
              <w:rPr>
                <w:spacing w:val="-9"/>
                <w:sz w:val="21"/>
              </w:rPr>
              <w:t>要求，深入开展“农民工入会集中行动”。认真落</w:t>
            </w:r>
            <w:r>
              <w:rPr>
                <w:spacing w:val="-10"/>
                <w:sz w:val="21"/>
              </w:rPr>
              <w:t>实《关于新形势下加强基层工会建设的意见》和工</w:t>
            </w:r>
            <w:r>
              <w:rPr>
                <w:spacing w:val="-5"/>
                <w:sz w:val="21"/>
              </w:rPr>
              <w:t>会组建五年规划,创新工会组织形式和农民工入会</w:t>
            </w:r>
            <w:r>
              <w:rPr>
                <w:spacing w:val="-3"/>
                <w:sz w:val="21"/>
              </w:rPr>
              <w:t>方式,重点做好开发区(工业园区)和建筑项目、物</w:t>
            </w:r>
          </w:p>
          <w:p>
            <w:pPr>
              <w:pStyle w:val="TableParagraph"/>
              <w:spacing w:line="265" w:lineRule="exact"/>
              <w:ind w:left="106"/>
              <w:rPr>
                <w:sz w:val="21"/>
              </w:rPr>
            </w:pPr>
            <w:r>
              <w:rPr>
                <w:spacing w:val="-12"/>
                <w:sz w:val="21"/>
              </w:rPr>
              <w:t>流(快递)业、家政服务业、农业专业合作组织等农</w:t>
            </w:r>
          </w:p>
        </w:tc>
      </w:tr>
    </w:tbl>
    <w:p>
      <w:pPr>
        <w:spacing w:after="0" w:line="265" w:lineRule="exact"/>
        <w:rPr>
          <w:sz w:val="21"/>
        </w:rPr>
        <w:sectPr>
          <w:pgSz w:w="11910" w:h="16850"/>
          <w:pgMar w:header="0" w:footer="779" w:top="1440" w:bottom="960" w:left="1120" w:right="280"/>
        </w:sectPr>
      </w:pPr>
    </w:p>
    <w:tbl>
      <w:tblPr>
        <w:tblW w:w="0" w:type="auto"/>
        <w:jc w:val="left"/>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6"/>
        <w:gridCol w:w="3253"/>
        <w:gridCol w:w="4749"/>
      </w:tblGrid>
      <w:tr>
        <w:trPr>
          <w:trHeight w:val="470" w:hRule="atLeast"/>
        </w:trPr>
        <w:tc>
          <w:tcPr>
            <w:tcW w:w="886" w:type="dxa"/>
            <w:shd w:val="clear" w:color="auto" w:fill="E6E6E6"/>
          </w:tcPr>
          <w:p>
            <w:pPr>
              <w:pStyle w:val="TableParagraph"/>
              <w:spacing w:line="349" w:lineRule="exact"/>
              <w:ind w:left="124"/>
              <w:rPr>
                <w:rFonts w:ascii="Microsoft JhengHei" w:eastAsia="Microsoft JhengHei" w:hint="eastAsia"/>
                <w:b/>
                <w:sz w:val="21"/>
              </w:rPr>
            </w:pPr>
            <w:r>
              <w:rPr>
                <w:rFonts w:ascii="Microsoft JhengHei" w:eastAsia="Microsoft JhengHei" w:hint="eastAsia"/>
                <w:b/>
                <w:sz w:val="21"/>
                <w:shd w:fill="FFFFFF" w:color="auto" w:val="clear"/>
              </w:rPr>
              <w:t>条款号</w:t>
            </w:r>
            <w:r>
              <w:rPr>
                <w:rFonts w:ascii="Microsoft JhengHei" w:eastAsia="Microsoft JhengHei" w:hint="eastAsia"/>
                <w:b/>
                <w:w w:val="201"/>
                <w:sz w:val="21"/>
              </w:rPr>
              <w:t> </w:t>
            </w:r>
          </w:p>
        </w:tc>
        <w:tc>
          <w:tcPr>
            <w:tcW w:w="3253" w:type="dxa"/>
            <w:shd w:val="clear" w:color="auto" w:fill="E6E6E6"/>
          </w:tcPr>
          <w:p>
            <w:pPr>
              <w:pStyle w:val="TableParagraph"/>
              <w:spacing w:line="349" w:lineRule="exact"/>
              <w:ind w:left="887"/>
              <w:rPr>
                <w:rFonts w:ascii="Microsoft JhengHei" w:eastAsia="Microsoft JhengHei" w:hint="eastAsia"/>
                <w:b/>
                <w:sz w:val="21"/>
              </w:rPr>
            </w:pPr>
            <w:r>
              <w:rPr>
                <w:rFonts w:ascii="Microsoft JhengHei" w:eastAsia="Microsoft JhengHei" w:hint="eastAsia"/>
                <w:b/>
                <w:sz w:val="21"/>
                <w:shd w:fill="FFFFFF" w:color="auto" w:val="clear"/>
              </w:rPr>
              <w:t>条 款 名 称</w:t>
            </w:r>
            <w:r>
              <w:rPr>
                <w:rFonts w:ascii="Microsoft JhengHei" w:eastAsia="Microsoft JhengHei" w:hint="eastAsia"/>
                <w:b/>
                <w:w w:val="201"/>
                <w:sz w:val="21"/>
              </w:rPr>
              <w:t> </w:t>
            </w:r>
          </w:p>
        </w:tc>
        <w:tc>
          <w:tcPr>
            <w:tcW w:w="4749" w:type="dxa"/>
            <w:shd w:val="clear" w:color="auto" w:fill="E6E6E6"/>
          </w:tcPr>
          <w:p>
            <w:pPr>
              <w:pStyle w:val="TableParagraph"/>
              <w:spacing w:line="349" w:lineRule="exact"/>
              <w:ind w:left="1633"/>
              <w:rPr>
                <w:rFonts w:ascii="Microsoft JhengHei" w:eastAsia="Microsoft JhengHei" w:hint="eastAsia"/>
                <w:b/>
                <w:sz w:val="21"/>
              </w:rPr>
            </w:pPr>
            <w:r>
              <w:rPr>
                <w:rFonts w:ascii="Microsoft JhengHei" w:eastAsia="Microsoft JhengHei" w:hint="eastAsia"/>
                <w:b/>
                <w:sz w:val="21"/>
                <w:shd w:fill="FFFFFF" w:color="auto" w:val="clear"/>
              </w:rPr>
              <w:t>编 列 内 容</w:t>
            </w:r>
            <w:r>
              <w:rPr>
                <w:rFonts w:ascii="Microsoft JhengHei" w:eastAsia="Microsoft JhengHei" w:hint="eastAsia"/>
                <w:b/>
                <w:w w:val="201"/>
                <w:sz w:val="21"/>
              </w:rPr>
              <w:t> </w:t>
            </w:r>
          </w:p>
        </w:tc>
      </w:tr>
      <w:tr>
        <w:trPr>
          <w:trHeight w:val="1636" w:hRule="atLeast"/>
        </w:trPr>
        <w:tc>
          <w:tcPr>
            <w:tcW w:w="886" w:type="dxa"/>
          </w:tcPr>
          <w:p>
            <w:pPr>
              <w:pStyle w:val="TableParagraph"/>
              <w:rPr>
                <w:rFonts w:ascii="Times New Roman"/>
                <w:sz w:val="20"/>
              </w:rPr>
            </w:pPr>
          </w:p>
        </w:tc>
        <w:tc>
          <w:tcPr>
            <w:tcW w:w="3253" w:type="dxa"/>
          </w:tcPr>
          <w:p>
            <w:pPr>
              <w:pStyle w:val="TableParagraph"/>
              <w:rPr>
                <w:rFonts w:ascii="Times New Roman"/>
                <w:sz w:val="20"/>
              </w:rPr>
            </w:pPr>
          </w:p>
        </w:tc>
        <w:tc>
          <w:tcPr>
            <w:tcW w:w="4749" w:type="dxa"/>
          </w:tcPr>
          <w:p>
            <w:pPr>
              <w:pStyle w:val="TableParagraph"/>
              <w:spacing w:line="364" w:lineRule="auto" w:before="3"/>
              <w:ind w:left="106" w:right="109"/>
              <w:rPr>
                <w:sz w:val="21"/>
              </w:rPr>
            </w:pPr>
            <w:r>
              <w:rPr>
                <w:spacing w:val="-4"/>
                <w:sz w:val="21"/>
              </w:rPr>
              <w:t>民工相对集中的区域和行业建会工作,组织开展农</w:t>
            </w:r>
            <w:r>
              <w:rPr>
                <w:spacing w:val="-3"/>
                <w:sz w:val="21"/>
              </w:rPr>
              <w:t>民工入会集中行动,最大限度地吸收农民工入会, </w:t>
            </w:r>
            <w:r>
              <w:rPr>
                <w:spacing w:val="-13"/>
                <w:sz w:val="21"/>
              </w:rPr>
              <w:t>扩大工会组织的覆盖面。</w:t>
            </w:r>
            <w:r>
              <w:rPr>
                <w:spacing w:val="-3"/>
                <w:sz w:val="21"/>
              </w:rPr>
              <w:t>（详情请咨询南宁市建设</w:t>
            </w:r>
          </w:p>
          <w:p>
            <w:pPr>
              <w:pStyle w:val="TableParagraph"/>
              <w:spacing w:line="266" w:lineRule="exact"/>
              <w:ind w:left="106"/>
              <w:rPr>
                <w:sz w:val="21"/>
              </w:rPr>
            </w:pPr>
            <w:r>
              <w:rPr>
                <w:sz w:val="21"/>
              </w:rPr>
              <w:t>工会 5521531、5593709） </w:t>
            </w:r>
          </w:p>
        </w:tc>
      </w:tr>
    </w:tbl>
    <w:p>
      <w:pPr>
        <w:pStyle w:val="BodyText"/>
      </w:pPr>
      <w:r>
        <w:rPr>
          <w:w w:val="100"/>
        </w:rPr>
        <w:t> </w:t>
      </w:r>
    </w:p>
    <w:p>
      <w:pPr>
        <w:pStyle w:val="BodyText"/>
        <w:spacing w:before="139"/>
      </w:pPr>
      <w:r>
        <w:rPr/>
        <w:t>备注： </w:t>
      </w:r>
    </w:p>
    <w:p>
      <w:pPr>
        <w:pStyle w:val="ListParagraph"/>
        <w:numPr>
          <w:ilvl w:val="0"/>
          <w:numId w:val="23"/>
        </w:numPr>
        <w:tabs>
          <w:tab w:pos="1311" w:val="left" w:leader="none"/>
        </w:tabs>
        <w:spacing w:line="364" w:lineRule="auto" w:before="139" w:after="0"/>
        <w:ind w:left="678" w:right="1148" w:firstLine="419"/>
        <w:jc w:val="left"/>
        <w:rPr>
          <w:sz w:val="21"/>
        </w:rPr>
      </w:pPr>
      <w:r>
        <w:rPr>
          <w:spacing w:val="-3"/>
          <w:sz w:val="21"/>
        </w:rPr>
        <w:t>“投标人须知前附表”中的条款名称、编列内容，招标人可根据项目实际需要进行适当的增减。</w:t>
      </w:r>
      <w:r>
        <w:rPr>
          <w:sz w:val="21"/>
        </w:rPr>
        <w:t> </w:t>
      </w:r>
    </w:p>
    <w:p>
      <w:pPr>
        <w:pStyle w:val="ListParagraph"/>
        <w:numPr>
          <w:ilvl w:val="0"/>
          <w:numId w:val="23"/>
        </w:numPr>
        <w:tabs>
          <w:tab w:pos="1311" w:val="left" w:leader="none"/>
        </w:tabs>
        <w:spacing w:line="367" w:lineRule="auto" w:before="0" w:after="0"/>
        <w:ind w:left="678" w:right="1151" w:firstLine="419"/>
        <w:jc w:val="left"/>
        <w:rPr>
          <w:sz w:val="21"/>
        </w:rPr>
      </w:pPr>
      <w:r>
        <w:rPr>
          <w:spacing w:val="-5"/>
          <w:sz w:val="21"/>
        </w:rPr>
        <w:t>招标人如需要对“投标人须知”正文条款进行细化调整的，应在“投标人须知前附表” 中进行。</w:t>
      </w:r>
      <w:r>
        <w:rPr>
          <w:sz w:val="21"/>
        </w:rPr>
        <w:t> </w:t>
      </w:r>
    </w:p>
    <w:p>
      <w:pPr>
        <w:pStyle w:val="ListParagraph"/>
        <w:numPr>
          <w:ilvl w:val="0"/>
          <w:numId w:val="23"/>
        </w:numPr>
        <w:tabs>
          <w:tab w:pos="1311" w:val="left" w:leader="none"/>
        </w:tabs>
        <w:spacing w:line="364" w:lineRule="auto" w:before="0" w:after="0"/>
        <w:ind w:left="678" w:right="1059" w:firstLine="419"/>
        <w:jc w:val="both"/>
        <w:rPr>
          <w:sz w:val="21"/>
        </w:rPr>
      </w:pPr>
      <w:r>
        <w:rPr>
          <w:spacing w:val="-4"/>
          <w:w w:val="100"/>
          <w:sz w:val="21"/>
        </w:rPr>
        <w:t>招标人派出评委参加评标的，须符合以下条件之一</w:t>
      </w:r>
      <w:r>
        <w:rPr>
          <w:spacing w:val="-120"/>
          <w:w w:val="100"/>
          <w:sz w:val="21"/>
        </w:rPr>
        <w:t>：</w:t>
      </w:r>
      <w:r>
        <w:rPr>
          <w:spacing w:val="-3"/>
          <w:w w:val="100"/>
          <w:sz w:val="21"/>
        </w:rPr>
        <w:t>（</w:t>
      </w:r>
      <w:r>
        <w:rPr>
          <w:w w:val="100"/>
          <w:sz w:val="21"/>
        </w:rPr>
        <w:t>1</w:t>
      </w:r>
      <w:r>
        <w:rPr>
          <w:spacing w:val="-17"/>
          <w:w w:val="100"/>
          <w:sz w:val="21"/>
        </w:rPr>
        <w:t>）</w:t>
      </w:r>
      <w:r>
        <w:rPr>
          <w:spacing w:val="-3"/>
          <w:w w:val="100"/>
          <w:sz w:val="21"/>
        </w:rPr>
        <w:t>必须是本单位具备工程技术或工</w:t>
      </w:r>
      <w:r>
        <w:rPr>
          <w:sz w:val="21"/>
        </w:rPr>
        <w:t>程经济类中级及以上职称（对于取得专业技术类职业资格的人员，可按照《广西壮族自治区人力资源和社会保障厅关于在部分职业领域建立职称与专业技术类职业资格对应关系的通知》</w:t>
      </w:r>
    </w:p>
    <w:p>
      <w:pPr>
        <w:pStyle w:val="BodyText"/>
        <w:spacing w:line="364" w:lineRule="auto"/>
        <w:ind w:right="1153"/>
        <w:jc w:val="both"/>
      </w:pPr>
      <w:r>
        <w:rPr/>
        <w:t>（</w:t>
      </w:r>
      <w:r>
        <w:rPr>
          <w:spacing w:val="-6"/>
        </w:rPr>
        <w:t>桂人社规〔</w:t>
      </w:r>
      <w:r>
        <w:rPr/>
        <w:t>2019</w:t>
      </w:r>
      <w:r>
        <w:rPr>
          <w:spacing w:val="-20"/>
        </w:rPr>
        <w:t>〕</w:t>
      </w:r>
      <w:r>
        <w:rPr/>
        <w:t>5</w:t>
      </w:r>
      <w:r>
        <w:rPr>
          <w:spacing w:val="-12"/>
        </w:rPr>
        <w:t> 号</w:t>
      </w:r>
      <w:r>
        <w:rPr>
          <w:spacing w:val="-22"/>
        </w:rPr>
        <w:t>）</w:t>
      </w:r>
      <w:r>
        <w:rPr>
          <w:spacing w:val="-13"/>
        </w:rPr>
        <w:t>精神，认定其具备相应等级的职称。</w:t>
      </w:r>
      <w:r>
        <w:rPr>
          <w:spacing w:val="-108"/>
        </w:rPr>
        <w:t>）</w:t>
      </w:r>
      <w:r>
        <w:rPr>
          <w:spacing w:val="-6"/>
        </w:rPr>
        <w:t>、同时具备与评标工程技术要求</w:t>
      </w:r>
      <w:r>
        <w:rPr>
          <w:spacing w:val="-7"/>
        </w:rPr>
        <w:t>相当条件和能力水平的人员出任；职称证上的工作单位与招标人名称不符的，须附招标人为其</w:t>
      </w:r>
      <w:r>
        <w:rPr>
          <w:spacing w:val="-12"/>
        </w:rPr>
        <w:t>缴纳的近 </w:t>
      </w:r>
      <w:r>
        <w:rPr/>
        <w:t>3</w:t>
      </w:r>
      <w:r>
        <w:rPr>
          <w:spacing w:val="-8"/>
        </w:rPr>
        <w:t> 个月的社会保险证明或者工作编制证明文件的扫描件； </w:t>
      </w:r>
      <w:r>
        <w:rPr/>
        <w:t> </w:t>
      </w:r>
    </w:p>
    <w:p>
      <w:pPr>
        <w:pStyle w:val="BodyText"/>
        <w:spacing w:line="364" w:lineRule="auto"/>
        <w:ind w:right="1148" w:firstLine="419"/>
        <w:jc w:val="both"/>
      </w:pPr>
      <w:r>
        <w:rPr>
          <w:spacing w:val="-6"/>
        </w:rPr>
        <w:t>（2）</w:t>
      </w:r>
      <w:r>
        <w:rPr>
          <w:spacing w:val="-5"/>
        </w:rPr>
        <w:t>本单位无符合上述条件的人员时，可以委托持《广西壮族自治区建设工程招标投标评标专家资格证书》的人员出任，持证人员已退休的，应附退休证明文件的扫描件，持证人员在</w:t>
      </w:r>
      <w:r>
        <w:rPr>
          <w:spacing w:val="-4"/>
        </w:rPr>
        <w:t>职的，应附现任职单位为其缴纳的近 </w:t>
      </w:r>
      <w:r>
        <w:rPr/>
        <w:t>3</w:t>
      </w:r>
      <w:r>
        <w:rPr>
          <w:spacing w:val="-3"/>
        </w:rPr>
        <w:t> 个月的社会保险证明或者工作编制证明文件的扫描件。以上扫描件应在开标前通过广西电子招标投标系统提交并审核通过。</w:t>
      </w:r>
      <w:r>
        <w:rPr/>
        <w:t> </w:t>
      </w:r>
    </w:p>
    <w:p>
      <w:pPr>
        <w:spacing w:line="268" w:lineRule="exact" w:before="0"/>
        <w:ind w:left="678" w:right="0" w:firstLine="0"/>
        <w:jc w:val="left"/>
        <w:rPr>
          <w:sz w:val="21"/>
        </w:rPr>
      </w:pPr>
      <w:r>
        <w:rPr>
          <w:color w:val="000080"/>
          <w:spacing w:val="1"/>
          <w:w w:val="99"/>
          <w:sz w:val="20"/>
        </w:rPr>
        <w:t> </w:t>
      </w:r>
      <w:r>
        <w:rPr>
          <w:w w:val="100"/>
          <w:sz w:val="21"/>
        </w:rPr>
        <w:t> </w:t>
      </w:r>
    </w:p>
    <w:p>
      <w:pPr>
        <w:spacing w:before="0"/>
        <w:ind w:left="678" w:right="0" w:firstLine="0"/>
        <w:jc w:val="left"/>
        <w:rPr>
          <w:sz w:val="20"/>
        </w:rPr>
      </w:pPr>
      <w:r>
        <w:rPr>
          <w:color w:val="000080"/>
          <w:spacing w:val="1"/>
          <w:w w:val="99"/>
          <w:sz w:val="20"/>
        </w:rPr>
        <w:t> </w:t>
      </w:r>
      <w:r>
        <w:rPr>
          <w:color w:val="000080"/>
          <w:spacing w:val="-2"/>
          <w:w w:val="99"/>
          <w:sz w:val="20"/>
        </w:rPr>
        <w:t> </w:t>
      </w:r>
      <w:r>
        <w:rPr>
          <w:color w:val="000080"/>
          <w:w w:val="99"/>
          <w:sz w:val="20"/>
        </w:rPr>
        <w:t> </w:t>
      </w:r>
    </w:p>
    <w:p>
      <w:pPr>
        <w:spacing w:after="0"/>
        <w:jc w:val="left"/>
        <w:rPr>
          <w:sz w:val="20"/>
        </w:rPr>
        <w:sectPr>
          <w:pgSz w:w="11910" w:h="16850"/>
          <w:pgMar w:header="0" w:footer="779" w:top="1440" w:bottom="960" w:left="1120" w:right="280"/>
        </w:sectPr>
      </w:pPr>
    </w:p>
    <w:p>
      <w:pPr>
        <w:pStyle w:val="BodyText"/>
        <w:ind w:left="0"/>
        <w:rPr>
          <w:sz w:val="23"/>
        </w:rPr>
      </w:pPr>
    </w:p>
    <w:p>
      <w:pPr>
        <w:pStyle w:val="Heading1"/>
        <w:spacing w:line="702" w:lineRule="exact"/>
      </w:pPr>
      <w:bookmarkStart w:name="投标人须知正文部分" w:id="7"/>
      <w:bookmarkEnd w:id="7"/>
      <w:r>
        <w:rPr>
          <w:b w:val="0"/>
        </w:rPr>
      </w:r>
      <w:bookmarkStart w:name="_bookmark3" w:id="8"/>
      <w:bookmarkEnd w:id="8"/>
      <w:r>
        <w:rPr>
          <w:b w:val="0"/>
        </w:rPr>
      </w:r>
      <w:r>
        <w:rPr/>
        <w:t>投标人须知正文部分</w:t>
      </w:r>
      <w:r>
        <w:rPr>
          <w:w w:val="199"/>
        </w:rPr>
        <w:t> </w:t>
      </w:r>
    </w:p>
    <w:p>
      <w:pPr>
        <w:pStyle w:val="BodyText"/>
        <w:spacing w:before="12"/>
        <w:ind w:left="0"/>
        <w:rPr>
          <w:rFonts w:ascii="Microsoft JhengHei"/>
          <w:b/>
          <w:sz w:val="10"/>
        </w:rPr>
      </w:pPr>
    </w:p>
    <w:p>
      <w:pPr>
        <w:pStyle w:val="Heading2"/>
        <w:spacing w:line="537" w:lineRule="exact"/>
        <w:ind w:left="678"/>
      </w:pPr>
      <w:bookmarkStart w:name="1 1 总则" w:id="9"/>
      <w:bookmarkEnd w:id="9"/>
      <w:r>
        <w:rPr>
          <w:b w:val="0"/>
        </w:rPr>
      </w:r>
      <w:bookmarkStart w:name="_bookmark4" w:id="10"/>
      <w:bookmarkEnd w:id="10"/>
      <w:r>
        <w:rPr>
          <w:b w:val="0"/>
        </w:rPr>
      </w:r>
      <w:r>
        <w:rPr>
          <w:w w:val="110"/>
        </w:rPr>
        <w:t>1 1 总则</w:t>
      </w:r>
      <w:r>
        <w:rPr>
          <w:w w:val="199"/>
        </w:rPr>
        <w:t> </w:t>
      </w:r>
    </w:p>
    <w:p>
      <w:pPr>
        <w:pStyle w:val="ListParagraph"/>
        <w:numPr>
          <w:ilvl w:val="1"/>
          <w:numId w:val="24"/>
        </w:numPr>
        <w:tabs>
          <w:tab w:pos="1163" w:val="left" w:leader="none"/>
        </w:tabs>
        <w:spacing w:line="240" w:lineRule="auto" w:before="189" w:after="0"/>
        <w:ind w:left="1162" w:right="0" w:hanging="485"/>
        <w:jc w:val="left"/>
        <w:rPr>
          <w:rFonts w:ascii="Microsoft JhengHei" w:eastAsia="Microsoft JhengHei" w:hint="eastAsia"/>
          <w:b/>
          <w:sz w:val="32"/>
        </w:rPr>
      </w:pPr>
      <w:bookmarkStart w:name="1.1 项目概况" w:id="11"/>
      <w:bookmarkEnd w:id="11"/>
      <w:r>
        <w:rPr/>
      </w:r>
      <w:bookmarkStart w:name="_bookmark5" w:id="12"/>
      <w:bookmarkEnd w:id="12"/>
      <w:r>
        <w:rPr/>
      </w:r>
      <w:bookmarkStart w:name="_bookmark5" w:id="13"/>
      <w:bookmarkEnd w:id="13"/>
      <w:r>
        <w:rPr>
          <w:rFonts w:ascii="Microsoft JhengHei" w:eastAsia="Microsoft JhengHei" w:hint="eastAsia"/>
          <w:b/>
          <w:sz w:val="32"/>
        </w:rPr>
        <w:t>项目概况</w:t>
      </w:r>
      <w:r>
        <w:rPr>
          <w:rFonts w:ascii="Microsoft JhengHei" w:eastAsia="Microsoft JhengHei" w:hint="eastAsia"/>
          <w:b/>
          <w:w w:val="199"/>
          <w:sz w:val="32"/>
        </w:rPr>
        <w:t> </w:t>
      </w:r>
    </w:p>
    <w:p>
      <w:pPr>
        <w:pStyle w:val="ListParagraph"/>
        <w:numPr>
          <w:ilvl w:val="2"/>
          <w:numId w:val="24"/>
        </w:numPr>
        <w:tabs>
          <w:tab w:pos="1627" w:val="left" w:leader="none"/>
        </w:tabs>
        <w:spacing w:line="364" w:lineRule="auto" w:before="138" w:after="0"/>
        <w:ind w:left="678" w:right="1155" w:firstLine="419"/>
        <w:jc w:val="left"/>
        <w:rPr>
          <w:sz w:val="21"/>
        </w:rPr>
      </w:pPr>
      <w:r>
        <w:rPr>
          <w:spacing w:val="-1"/>
          <w:sz w:val="21"/>
        </w:rPr>
        <w:t>根据《中华人民共和国招标投标法》等有关法律、法规和规章的规定，本招标项目</w:t>
      </w:r>
      <w:r>
        <w:rPr>
          <w:spacing w:val="-3"/>
          <w:sz w:val="21"/>
        </w:rPr>
        <w:t>已具备招标条件，现对本标段施工进行招标。</w:t>
      </w:r>
      <w:r>
        <w:rPr>
          <w:sz w:val="21"/>
        </w:rPr>
        <w:t> </w:t>
      </w:r>
    </w:p>
    <w:p>
      <w:pPr>
        <w:pStyle w:val="ListParagraph"/>
        <w:numPr>
          <w:ilvl w:val="2"/>
          <w:numId w:val="24"/>
        </w:numPr>
        <w:tabs>
          <w:tab w:pos="1627" w:val="left" w:leader="none"/>
        </w:tabs>
        <w:spacing w:line="268" w:lineRule="exact" w:before="0" w:after="0"/>
        <w:ind w:left="1627" w:right="0" w:hanging="529"/>
        <w:jc w:val="left"/>
        <w:rPr>
          <w:sz w:val="21"/>
        </w:rPr>
      </w:pPr>
      <w:r>
        <w:rPr>
          <w:spacing w:val="-3"/>
          <w:sz w:val="21"/>
        </w:rPr>
        <w:t>本招标项目招标人：见“投标人须知前附表”。</w:t>
      </w:r>
      <w:r>
        <w:rPr>
          <w:sz w:val="21"/>
        </w:rPr>
        <w:t> </w:t>
      </w:r>
    </w:p>
    <w:p>
      <w:pPr>
        <w:pStyle w:val="ListParagraph"/>
        <w:numPr>
          <w:ilvl w:val="2"/>
          <w:numId w:val="24"/>
        </w:numPr>
        <w:tabs>
          <w:tab w:pos="1627" w:val="left" w:leader="none"/>
        </w:tabs>
        <w:spacing w:line="240" w:lineRule="auto" w:before="142" w:after="0"/>
        <w:ind w:left="1627" w:right="0" w:hanging="529"/>
        <w:jc w:val="left"/>
        <w:rPr>
          <w:sz w:val="21"/>
        </w:rPr>
      </w:pPr>
      <w:r>
        <w:rPr>
          <w:spacing w:val="-3"/>
          <w:sz w:val="21"/>
        </w:rPr>
        <w:t>本标段招标代理机构：见“投标人须知前附表”。</w:t>
      </w:r>
      <w:r>
        <w:rPr>
          <w:sz w:val="21"/>
        </w:rPr>
        <w:t> </w:t>
      </w:r>
    </w:p>
    <w:p>
      <w:pPr>
        <w:pStyle w:val="ListParagraph"/>
        <w:numPr>
          <w:ilvl w:val="2"/>
          <w:numId w:val="24"/>
        </w:numPr>
        <w:tabs>
          <w:tab w:pos="1627" w:val="left" w:leader="none"/>
        </w:tabs>
        <w:spacing w:line="240" w:lineRule="auto" w:before="139" w:after="0"/>
        <w:ind w:left="1627" w:right="0" w:hanging="529"/>
        <w:jc w:val="left"/>
        <w:rPr>
          <w:sz w:val="21"/>
        </w:rPr>
      </w:pPr>
      <w:r>
        <w:rPr>
          <w:spacing w:val="-3"/>
          <w:sz w:val="21"/>
        </w:rPr>
        <w:t>本招标项目名称及项目招标编号：见“投标人须知前附表”。</w:t>
      </w:r>
      <w:r>
        <w:rPr>
          <w:sz w:val="21"/>
        </w:rPr>
        <w:t> </w:t>
      </w:r>
    </w:p>
    <w:p>
      <w:pPr>
        <w:pStyle w:val="ListParagraph"/>
        <w:numPr>
          <w:ilvl w:val="2"/>
          <w:numId w:val="24"/>
        </w:numPr>
        <w:tabs>
          <w:tab w:pos="1627" w:val="left" w:leader="none"/>
        </w:tabs>
        <w:spacing w:line="240" w:lineRule="auto" w:before="138" w:after="0"/>
        <w:ind w:left="1627" w:right="0" w:hanging="529"/>
        <w:jc w:val="left"/>
        <w:rPr>
          <w:sz w:val="21"/>
        </w:rPr>
      </w:pPr>
      <w:r>
        <w:rPr>
          <w:spacing w:val="-3"/>
          <w:sz w:val="21"/>
        </w:rPr>
        <w:t>本标段建设地点：见“投标人须知前附表”。 </w:t>
      </w:r>
    </w:p>
    <w:p>
      <w:pPr>
        <w:pStyle w:val="Heading2"/>
        <w:numPr>
          <w:ilvl w:val="1"/>
          <w:numId w:val="24"/>
        </w:numPr>
        <w:tabs>
          <w:tab w:pos="1163" w:val="left" w:leader="none"/>
        </w:tabs>
        <w:spacing w:line="240" w:lineRule="auto" w:before="34" w:after="0"/>
        <w:ind w:left="1162" w:right="0" w:hanging="485"/>
        <w:jc w:val="left"/>
      </w:pPr>
      <w:bookmarkStart w:name="1.2 资金来源和落实及增值税计税方法情况" w:id="14"/>
      <w:bookmarkEnd w:id="14"/>
      <w:r>
        <w:rPr>
          <w:b w:val="0"/>
        </w:rPr>
      </w:r>
      <w:bookmarkStart w:name="_bookmark6" w:id="15"/>
      <w:bookmarkEnd w:id="15"/>
      <w:r>
        <w:rPr>
          <w:b w:val="0"/>
        </w:rPr>
      </w:r>
      <w:bookmarkStart w:name="_bookmark6" w:id="16"/>
      <w:bookmarkEnd w:id="16"/>
      <w:r>
        <w:rPr/>
        <w:t>资金来源和落实及增值税计税方法情况</w:t>
      </w:r>
      <w:r>
        <w:rPr>
          <w:w w:val="199"/>
        </w:rPr>
        <w:t> </w:t>
      </w:r>
    </w:p>
    <w:p>
      <w:pPr>
        <w:pStyle w:val="ListParagraph"/>
        <w:numPr>
          <w:ilvl w:val="2"/>
          <w:numId w:val="24"/>
        </w:numPr>
        <w:tabs>
          <w:tab w:pos="1627" w:val="left" w:leader="none"/>
        </w:tabs>
        <w:spacing w:line="240" w:lineRule="auto" w:before="141" w:after="0"/>
        <w:ind w:left="1627" w:right="0" w:hanging="529"/>
        <w:jc w:val="left"/>
        <w:rPr>
          <w:sz w:val="21"/>
        </w:rPr>
      </w:pPr>
      <w:r>
        <w:rPr>
          <w:spacing w:val="-3"/>
          <w:sz w:val="21"/>
        </w:rPr>
        <w:t>本招标项目的资金来源：见“投标人须知前附表”。</w:t>
      </w:r>
      <w:r>
        <w:rPr>
          <w:sz w:val="21"/>
        </w:rPr>
        <w:t> </w:t>
      </w:r>
    </w:p>
    <w:p>
      <w:pPr>
        <w:pStyle w:val="ListParagraph"/>
        <w:numPr>
          <w:ilvl w:val="2"/>
          <w:numId w:val="24"/>
        </w:numPr>
        <w:tabs>
          <w:tab w:pos="1627" w:val="left" w:leader="none"/>
        </w:tabs>
        <w:spacing w:line="240" w:lineRule="auto" w:before="139" w:after="0"/>
        <w:ind w:left="1627" w:right="0" w:hanging="529"/>
        <w:jc w:val="left"/>
        <w:rPr>
          <w:sz w:val="21"/>
        </w:rPr>
      </w:pPr>
      <w:r>
        <w:rPr>
          <w:spacing w:val="-3"/>
          <w:sz w:val="21"/>
        </w:rPr>
        <w:t>本招标项目的出资比例：见“投标人须知前附表”。</w:t>
      </w:r>
      <w:r>
        <w:rPr>
          <w:sz w:val="21"/>
        </w:rPr>
        <w:t> </w:t>
      </w:r>
    </w:p>
    <w:p>
      <w:pPr>
        <w:pStyle w:val="ListParagraph"/>
        <w:numPr>
          <w:ilvl w:val="2"/>
          <w:numId w:val="24"/>
        </w:numPr>
        <w:tabs>
          <w:tab w:pos="1627" w:val="left" w:leader="none"/>
        </w:tabs>
        <w:spacing w:line="240" w:lineRule="auto" w:before="139" w:after="0"/>
        <w:ind w:left="1627" w:right="0" w:hanging="529"/>
        <w:jc w:val="left"/>
        <w:rPr>
          <w:sz w:val="21"/>
        </w:rPr>
      </w:pPr>
      <w:r>
        <w:rPr>
          <w:spacing w:val="-3"/>
          <w:sz w:val="21"/>
        </w:rPr>
        <w:t>本招标项目的资金落实情况：见“投标人须知前附表”。</w:t>
      </w:r>
      <w:r>
        <w:rPr>
          <w:sz w:val="21"/>
        </w:rPr>
        <w:t> </w:t>
      </w:r>
    </w:p>
    <w:p>
      <w:pPr>
        <w:pStyle w:val="ListParagraph"/>
        <w:numPr>
          <w:ilvl w:val="2"/>
          <w:numId w:val="24"/>
        </w:numPr>
        <w:tabs>
          <w:tab w:pos="1677" w:val="left" w:leader="none"/>
        </w:tabs>
        <w:spacing w:line="240" w:lineRule="auto" w:before="139" w:after="0"/>
        <w:ind w:left="1676" w:right="0" w:hanging="579"/>
        <w:jc w:val="left"/>
        <w:rPr>
          <w:sz w:val="21"/>
        </w:rPr>
      </w:pPr>
      <w:r>
        <w:rPr>
          <w:spacing w:val="-3"/>
          <w:sz w:val="21"/>
        </w:rPr>
        <w:t>本招标项目的增值税计税方法：见“投标人须知前附表”。</w:t>
      </w:r>
      <w:r>
        <w:rPr>
          <w:sz w:val="21"/>
        </w:rPr>
        <w:t> </w:t>
      </w:r>
    </w:p>
    <w:p>
      <w:pPr>
        <w:pStyle w:val="Heading2"/>
        <w:numPr>
          <w:ilvl w:val="1"/>
          <w:numId w:val="24"/>
        </w:numPr>
        <w:tabs>
          <w:tab w:pos="1163" w:val="left" w:leader="none"/>
        </w:tabs>
        <w:spacing w:line="240" w:lineRule="auto" w:before="36" w:after="0"/>
        <w:ind w:left="1162" w:right="0" w:hanging="485"/>
        <w:jc w:val="left"/>
      </w:pPr>
      <w:bookmarkStart w:name="1.3 招标范围、计划工期和质量要求" w:id="17"/>
      <w:bookmarkEnd w:id="17"/>
      <w:r>
        <w:rPr>
          <w:b w:val="0"/>
        </w:rPr>
      </w:r>
      <w:bookmarkStart w:name="_bookmark7" w:id="18"/>
      <w:bookmarkEnd w:id="18"/>
      <w:r>
        <w:rPr>
          <w:b w:val="0"/>
        </w:rPr>
      </w:r>
      <w:bookmarkStart w:name="_bookmark7" w:id="19"/>
      <w:bookmarkEnd w:id="19"/>
      <w:r>
        <w:rPr/>
        <w:t>招标范围、计划工期和质量要求</w:t>
      </w:r>
      <w:r>
        <w:rPr>
          <w:w w:val="199"/>
        </w:rPr>
        <w:t> </w:t>
      </w:r>
    </w:p>
    <w:p>
      <w:pPr>
        <w:pStyle w:val="ListParagraph"/>
        <w:numPr>
          <w:ilvl w:val="2"/>
          <w:numId w:val="24"/>
        </w:numPr>
        <w:tabs>
          <w:tab w:pos="1627" w:val="left" w:leader="none"/>
        </w:tabs>
        <w:spacing w:line="240" w:lineRule="auto" w:before="139" w:after="0"/>
        <w:ind w:left="1627" w:right="0" w:hanging="529"/>
        <w:jc w:val="left"/>
        <w:rPr>
          <w:sz w:val="21"/>
        </w:rPr>
      </w:pPr>
      <w:r>
        <w:rPr>
          <w:spacing w:val="-3"/>
          <w:sz w:val="21"/>
        </w:rPr>
        <w:t>本次招标范围：见“投标人须知前附表”。</w:t>
      </w:r>
      <w:r>
        <w:rPr>
          <w:sz w:val="21"/>
        </w:rPr>
        <w:t> </w:t>
      </w:r>
    </w:p>
    <w:p>
      <w:pPr>
        <w:pStyle w:val="ListParagraph"/>
        <w:numPr>
          <w:ilvl w:val="2"/>
          <w:numId w:val="24"/>
        </w:numPr>
        <w:tabs>
          <w:tab w:pos="1627" w:val="left" w:leader="none"/>
        </w:tabs>
        <w:spacing w:line="240" w:lineRule="auto" w:before="139" w:after="0"/>
        <w:ind w:left="1627" w:right="0" w:hanging="529"/>
        <w:jc w:val="left"/>
        <w:rPr>
          <w:sz w:val="21"/>
        </w:rPr>
      </w:pPr>
      <w:r>
        <w:rPr>
          <w:spacing w:val="-3"/>
          <w:sz w:val="21"/>
        </w:rPr>
        <w:t>本标段的要求工期：见“投标人须知前附表”。</w:t>
      </w:r>
      <w:r>
        <w:rPr>
          <w:sz w:val="21"/>
        </w:rPr>
        <w:t> </w:t>
      </w:r>
    </w:p>
    <w:p>
      <w:pPr>
        <w:pStyle w:val="ListParagraph"/>
        <w:numPr>
          <w:ilvl w:val="2"/>
          <w:numId w:val="24"/>
        </w:numPr>
        <w:tabs>
          <w:tab w:pos="1627" w:val="left" w:leader="none"/>
        </w:tabs>
        <w:spacing w:line="240" w:lineRule="auto" w:before="139" w:after="0"/>
        <w:ind w:left="1627" w:right="0" w:hanging="529"/>
        <w:jc w:val="left"/>
        <w:rPr>
          <w:sz w:val="21"/>
        </w:rPr>
      </w:pPr>
      <w:r>
        <w:rPr>
          <w:spacing w:val="-3"/>
          <w:sz w:val="21"/>
        </w:rPr>
        <w:t>本标段的质量要求：见“投标人须知前附表”。</w:t>
      </w:r>
      <w:r>
        <w:rPr>
          <w:sz w:val="21"/>
        </w:rPr>
        <w:t> </w:t>
      </w:r>
    </w:p>
    <w:p>
      <w:pPr>
        <w:pStyle w:val="Heading2"/>
        <w:numPr>
          <w:ilvl w:val="1"/>
          <w:numId w:val="24"/>
        </w:numPr>
        <w:tabs>
          <w:tab w:pos="1163" w:val="left" w:leader="none"/>
        </w:tabs>
        <w:spacing w:line="240" w:lineRule="auto" w:before="36" w:after="0"/>
        <w:ind w:left="1162" w:right="0" w:hanging="485"/>
        <w:jc w:val="left"/>
      </w:pPr>
      <w:bookmarkStart w:name="1.4 投标人资格要求" w:id="20"/>
      <w:bookmarkEnd w:id="20"/>
      <w:r>
        <w:rPr>
          <w:b w:val="0"/>
        </w:rPr>
      </w:r>
      <w:bookmarkStart w:name="_bookmark8" w:id="21"/>
      <w:bookmarkEnd w:id="21"/>
      <w:r>
        <w:rPr>
          <w:b w:val="0"/>
        </w:rPr>
      </w:r>
      <w:bookmarkStart w:name="_bookmark8" w:id="22"/>
      <w:bookmarkEnd w:id="22"/>
      <w:r>
        <w:rPr/>
        <w:t>投标人资格要求</w:t>
      </w:r>
      <w:r>
        <w:rPr>
          <w:w w:val="199"/>
        </w:rPr>
        <w:t> </w:t>
      </w:r>
    </w:p>
    <w:p>
      <w:pPr>
        <w:pStyle w:val="ListParagraph"/>
        <w:numPr>
          <w:ilvl w:val="2"/>
          <w:numId w:val="24"/>
        </w:numPr>
        <w:tabs>
          <w:tab w:pos="1627" w:val="left" w:leader="none"/>
        </w:tabs>
        <w:spacing w:line="240" w:lineRule="auto" w:before="138" w:after="0"/>
        <w:ind w:left="1627" w:right="0" w:hanging="529"/>
        <w:jc w:val="left"/>
        <w:rPr>
          <w:sz w:val="21"/>
        </w:rPr>
      </w:pPr>
      <w:r>
        <w:rPr>
          <w:spacing w:val="-3"/>
          <w:sz w:val="21"/>
        </w:rPr>
        <w:t>投标人应具备承担本项目施工的资质条件、能力、诚信等要求。</w:t>
      </w:r>
      <w:r>
        <w:rPr>
          <w:sz w:val="21"/>
        </w:rPr>
        <w:t> </w:t>
      </w:r>
    </w:p>
    <w:p>
      <w:pPr>
        <w:pStyle w:val="ListParagraph"/>
        <w:numPr>
          <w:ilvl w:val="0"/>
          <w:numId w:val="25"/>
        </w:numPr>
        <w:tabs>
          <w:tab w:pos="1627" w:val="left" w:leader="none"/>
        </w:tabs>
        <w:spacing w:line="240" w:lineRule="auto" w:before="140" w:after="0"/>
        <w:ind w:left="1627" w:right="0" w:hanging="529"/>
        <w:jc w:val="left"/>
        <w:rPr>
          <w:sz w:val="21"/>
        </w:rPr>
      </w:pPr>
      <w:r>
        <w:rPr>
          <w:spacing w:val="-3"/>
          <w:sz w:val="21"/>
        </w:rPr>
        <w:t>资质条件：见“投标人须知前附表”；</w:t>
      </w:r>
      <w:r>
        <w:rPr>
          <w:sz w:val="21"/>
        </w:rPr>
        <w:t> </w:t>
      </w:r>
    </w:p>
    <w:p>
      <w:pPr>
        <w:pStyle w:val="ListParagraph"/>
        <w:numPr>
          <w:ilvl w:val="0"/>
          <w:numId w:val="25"/>
        </w:numPr>
        <w:tabs>
          <w:tab w:pos="1627" w:val="left" w:leader="none"/>
        </w:tabs>
        <w:spacing w:line="240" w:lineRule="auto" w:before="139" w:after="0"/>
        <w:ind w:left="1627" w:right="0" w:hanging="529"/>
        <w:jc w:val="left"/>
        <w:rPr>
          <w:sz w:val="21"/>
        </w:rPr>
      </w:pPr>
      <w:r>
        <w:rPr>
          <w:spacing w:val="-3"/>
          <w:sz w:val="21"/>
        </w:rPr>
        <w:t>财务要求：见“投标人须知前附表”；</w:t>
      </w:r>
      <w:r>
        <w:rPr>
          <w:sz w:val="21"/>
        </w:rPr>
        <w:t> </w:t>
      </w:r>
    </w:p>
    <w:p>
      <w:pPr>
        <w:pStyle w:val="ListParagraph"/>
        <w:numPr>
          <w:ilvl w:val="0"/>
          <w:numId w:val="25"/>
        </w:numPr>
        <w:tabs>
          <w:tab w:pos="1627" w:val="left" w:leader="none"/>
        </w:tabs>
        <w:spacing w:line="240" w:lineRule="auto" w:before="141" w:after="0"/>
        <w:ind w:left="1627" w:right="0" w:hanging="529"/>
        <w:jc w:val="left"/>
        <w:rPr>
          <w:sz w:val="21"/>
        </w:rPr>
      </w:pPr>
      <w:r>
        <w:rPr>
          <w:spacing w:val="-3"/>
          <w:sz w:val="21"/>
        </w:rPr>
        <w:t>业绩要求：见“投标人须知前附表”；</w:t>
      </w:r>
      <w:r>
        <w:rPr>
          <w:sz w:val="21"/>
        </w:rPr>
        <w:t> </w:t>
      </w:r>
    </w:p>
    <w:p>
      <w:pPr>
        <w:pStyle w:val="ListParagraph"/>
        <w:numPr>
          <w:ilvl w:val="0"/>
          <w:numId w:val="25"/>
        </w:numPr>
        <w:tabs>
          <w:tab w:pos="1627" w:val="left" w:leader="none"/>
        </w:tabs>
        <w:spacing w:line="240" w:lineRule="auto" w:before="139" w:after="0"/>
        <w:ind w:left="1627" w:right="0" w:hanging="529"/>
        <w:jc w:val="left"/>
        <w:rPr>
          <w:sz w:val="21"/>
        </w:rPr>
      </w:pPr>
      <w:r>
        <w:rPr>
          <w:spacing w:val="-3"/>
          <w:sz w:val="21"/>
        </w:rPr>
        <w:t>诚信要求：见“投标人须知前附表”；</w:t>
      </w:r>
      <w:r>
        <w:rPr>
          <w:sz w:val="21"/>
        </w:rPr>
        <w:t> </w:t>
      </w:r>
    </w:p>
    <w:p>
      <w:pPr>
        <w:pStyle w:val="ListParagraph"/>
        <w:numPr>
          <w:ilvl w:val="0"/>
          <w:numId w:val="25"/>
        </w:numPr>
        <w:tabs>
          <w:tab w:pos="1627" w:val="left" w:leader="none"/>
        </w:tabs>
        <w:spacing w:line="240" w:lineRule="auto" w:before="139" w:after="0"/>
        <w:ind w:left="1627" w:right="0" w:hanging="529"/>
        <w:jc w:val="left"/>
        <w:rPr>
          <w:sz w:val="21"/>
        </w:rPr>
      </w:pPr>
      <w:r>
        <w:rPr>
          <w:spacing w:val="-3"/>
          <w:sz w:val="21"/>
        </w:rPr>
        <w:t>项目经理资格：见“投标人须知前附表”；</w:t>
      </w:r>
      <w:r>
        <w:rPr>
          <w:sz w:val="21"/>
        </w:rPr>
        <w:t> </w:t>
      </w:r>
    </w:p>
    <w:p>
      <w:pPr>
        <w:pStyle w:val="ListParagraph"/>
        <w:numPr>
          <w:ilvl w:val="0"/>
          <w:numId w:val="25"/>
        </w:numPr>
        <w:tabs>
          <w:tab w:pos="1627" w:val="left" w:leader="none"/>
        </w:tabs>
        <w:spacing w:line="240" w:lineRule="auto" w:before="139" w:after="0"/>
        <w:ind w:left="1627" w:right="0" w:hanging="529"/>
        <w:jc w:val="left"/>
        <w:rPr>
          <w:sz w:val="21"/>
        </w:rPr>
      </w:pPr>
      <w:r>
        <w:rPr>
          <w:spacing w:val="-3"/>
          <w:sz w:val="21"/>
        </w:rPr>
        <w:t>专职安全员要求：见“投标人须知前附表”； </w:t>
      </w:r>
    </w:p>
    <w:p>
      <w:pPr>
        <w:pStyle w:val="ListParagraph"/>
        <w:numPr>
          <w:ilvl w:val="0"/>
          <w:numId w:val="25"/>
        </w:numPr>
        <w:tabs>
          <w:tab w:pos="1627" w:val="left" w:leader="none"/>
        </w:tabs>
        <w:spacing w:line="240" w:lineRule="auto" w:before="139" w:after="0"/>
        <w:ind w:left="1627" w:right="0" w:hanging="529"/>
        <w:jc w:val="left"/>
        <w:rPr>
          <w:sz w:val="21"/>
        </w:rPr>
      </w:pPr>
      <w:r>
        <w:rPr>
          <w:spacing w:val="-3"/>
          <w:sz w:val="21"/>
        </w:rPr>
        <w:t>其他要求：见“投标人须知前附表”。 </w:t>
      </w:r>
    </w:p>
    <w:p>
      <w:pPr>
        <w:pStyle w:val="ListParagraph"/>
        <w:numPr>
          <w:ilvl w:val="2"/>
          <w:numId w:val="24"/>
        </w:numPr>
        <w:tabs>
          <w:tab w:pos="1627" w:val="left" w:leader="none"/>
        </w:tabs>
        <w:spacing w:line="364" w:lineRule="auto" w:before="141" w:after="0"/>
        <w:ind w:left="678" w:right="1148" w:firstLine="419"/>
        <w:jc w:val="left"/>
        <w:rPr>
          <w:sz w:val="21"/>
        </w:rPr>
      </w:pPr>
      <w:r>
        <w:rPr>
          <w:spacing w:val="-4"/>
          <w:sz w:val="21"/>
        </w:rPr>
        <w:t>“投标人须知前附表”规定接受联合体投标的，除应符合本章第 </w:t>
      </w:r>
      <w:r>
        <w:rPr>
          <w:sz w:val="21"/>
        </w:rPr>
        <w:t>1.4.1</w:t>
      </w:r>
      <w:r>
        <w:rPr>
          <w:spacing w:val="-4"/>
          <w:sz w:val="21"/>
        </w:rPr>
        <w:t> 项和“投标</w:t>
      </w:r>
      <w:r>
        <w:rPr>
          <w:spacing w:val="-3"/>
          <w:sz w:val="21"/>
        </w:rPr>
        <w:t>人须知前附表”的要求外，还应遵守以下规定：</w:t>
      </w:r>
      <w:r>
        <w:rPr>
          <w:sz w:val="21"/>
        </w:rPr>
        <w:t> </w:t>
      </w:r>
    </w:p>
    <w:p>
      <w:pPr>
        <w:spacing w:after="0" w:line="364" w:lineRule="auto"/>
        <w:jc w:val="left"/>
        <w:rPr>
          <w:sz w:val="21"/>
        </w:rPr>
        <w:sectPr>
          <w:pgSz w:w="11910" w:h="16850"/>
          <w:pgMar w:header="0" w:footer="779" w:top="1380" w:bottom="1040" w:left="1120" w:right="280"/>
        </w:sectPr>
      </w:pPr>
    </w:p>
    <w:p>
      <w:pPr>
        <w:pStyle w:val="ListParagraph"/>
        <w:numPr>
          <w:ilvl w:val="0"/>
          <w:numId w:val="26"/>
        </w:numPr>
        <w:tabs>
          <w:tab w:pos="1625" w:val="left" w:leader="none"/>
        </w:tabs>
        <w:spacing w:line="364" w:lineRule="auto" w:before="60" w:after="0"/>
        <w:ind w:left="678" w:right="1151" w:firstLine="419"/>
        <w:jc w:val="left"/>
        <w:rPr>
          <w:sz w:val="21"/>
        </w:rPr>
      </w:pPr>
      <w:r>
        <w:rPr>
          <w:spacing w:val="-4"/>
          <w:sz w:val="21"/>
        </w:rPr>
        <w:t>联合体各方应按招标文件提供的格式签订联合体协议书，明确联合体牵头人和各方 </w:t>
      </w:r>
      <w:r>
        <w:rPr>
          <w:spacing w:val="-2"/>
          <w:sz w:val="21"/>
        </w:rPr>
        <w:t>权利义务；</w:t>
      </w:r>
      <w:r>
        <w:rPr>
          <w:sz w:val="21"/>
        </w:rPr>
        <w:t> </w:t>
      </w:r>
    </w:p>
    <w:p>
      <w:pPr>
        <w:pStyle w:val="ListParagraph"/>
        <w:numPr>
          <w:ilvl w:val="0"/>
          <w:numId w:val="26"/>
        </w:numPr>
        <w:tabs>
          <w:tab w:pos="1627" w:val="left" w:leader="none"/>
        </w:tabs>
        <w:spacing w:line="268" w:lineRule="exact" w:before="0" w:after="0"/>
        <w:ind w:left="1627" w:right="0" w:hanging="529"/>
        <w:jc w:val="left"/>
        <w:rPr>
          <w:sz w:val="21"/>
        </w:rPr>
      </w:pPr>
      <w:r>
        <w:rPr>
          <w:spacing w:val="-3"/>
          <w:sz w:val="21"/>
        </w:rPr>
        <w:t>由同一专业的单位组成的联合体，按照资质等级较低的单位确定资质等级；</w:t>
      </w:r>
      <w:r>
        <w:rPr>
          <w:sz w:val="21"/>
        </w:rPr>
        <w:t> </w:t>
      </w:r>
    </w:p>
    <w:p>
      <w:pPr>
        <w:pStyle w:val="ListParagraph"/>
        <w:numPr>
          <w:ilvl w:val="0"/>
          <w:numId w:val="26"/>
        </w:numPr>
        <w:tabs>
          <w:tab w:pos="1627" w:val="left" w:leader="none"/>
        </w:tabs>
        <w:spacing w:line="364" w:lineRule="auto" w:before="141" w:after="0"/>
        <w:ind w:left="1098" w:right="2051" w:firstLine="0"/>
        <w:jc w:val="left"/>
        <w:rPr>
          <w:sz w:val="21"/>
        </w:rPr>
      </w:pPr>
      <w:r>
        <w:rPr>
          <w:spacing w:val="-3"/>
          <w:sz w:val="21"/>
        </w:rPr>
        <w:t>联合体各方不得再以自己名义单独或参加其他联合体在同一标段中投标。1.4.3 投标人不得存在下列情形之一：</w:t>
      </w:r>
      <w:r>
        <w:rPr>
          <w:sz w:val="21"/>
        </w:rPr>
        <w:t> </w:t>
      </w:r>
    </w:p>
    <w:p>
      <w:pPr>
        <w:pStyle w:val="ListParagraph"/>
        <w:numPr>
          <w:ilvl w:val="0"/>
          <w:numId w:val="27"/>
        </w:numPr>
        <w:tabs>
          <w:tab w:pos="1627" w:val="left" w:leader="none"/>
        </w:tabs>
        <w:spacing w:line="267" w:lineRule="exact" w:before="0" w:after="0"/>
        <w:ind w:left="1627" w:right="0" w:hanging="529"/>
        <w:jc w:val="left"/>
        <w:rPr>
          <w:sz w:val="21"/>
        </w:rPr>
      </w:pPr>
      <w:r>
        <w:rPr>
          <w:spacing w:val="-3"/>
          <w:sz w:val="21"/>
        </w:rPr>
        <w:t>与招标人存在利害关系可能影响招标公正性的法人、其他组织；</w:t>
      </w:r>
      <w:r>
        <w:rPr>
          <w:sz w:val="21"/>
        </w:rPr>
        <w:t> </w:t>
      </w:r>
    </w:p>
    <w:p>
      <w:pPr>
        <w:pStyle w:val="ListParagraph"/>
        <w:numPr>
          <w:ilvl w:val="0"/>
          <w:numId w:val="27"/>
        </w:numPr>
        <w:tabs>
          <w:tab w:pos="1627" w:val="left" w:leader="none"/>
        </w:tabs>
        <w:spacing w:line="240" w:lineRule="auto" w:before="139" w:after="0"/>
        <w:ind w:left="1627" w:right="0" w:hanging="529"/>
        <w:jc w:val="left"/>
        <w:rPr>
          <w:sz w:val="21"/>
        </w:rPr>
      </w:pPr>
      <w:r>
        <w:rPr>
          <w:spacing w:val="-3"/>
          <w:sz w:val="21"/>
        </w:rPr>
        <w:t>为本标段前期准备提供设计或咨询服务的，但设计施工总承包的除外；</w:t>
      </w:r>
      <w:r>
        <w:rPr>
          <w:sz w:val="21"/>
        </w:rPr>
        <w:t> </w:t>
      </w:r>
    </w:p>
    <w:p>
      <w:pPr>
        <w:pStyle w:val="ListParagraph"/>
        <w:numPr>
          <w:ilvl w:val="0"/>
          <w:numId w:val="27"/>
        </w:numPr>
        <w:tabs>
          <w:tab w:pos="1627" w:val="left" w:leader="none"/>
        </w:tabs>
        <w:spacing w:line="240" w:lineRule="auto" w:before="142" w:after="0"/>
        <w:ind w:left="1627" w:right="0" w:hanging="529"/>
        <w:jc w:val="left"/>
        <w:rPr>
          <w:sz w:val="21"/>
        </w:rPr>
      </w:pPr>
      <w:r>
        <w:rPr>
          <w:spacing w:val="-3"/>
          <w:sz w:val="21"/>
        </w:rPr>
        <w:t>为本标段的监理人；</w:t>
      </w:r>
      <w:r>
        <w:rPr>
          <w:sz w:val="21"/>
        </w:rPr>
        <w:t> </w:t>
      </w:r>
    </w:p>
    <w:p>
      <w:pPr>
        <w:pStyle w:val="ListParagraph"/>
        <w:numPr>
          <w:ilvl w:val="0"/>
          <w:numId w:val="27"/>
        </w:numPr>
        <w:tabs>
          <w:tab w:pos="1627" w:val="left" w:leader="none"/>
        </w:tabs>
        <w:spacing w:line="240" w:lineRule="auto" w:before="139" w:after="0"/>
        <w:ind w:left="1627" w:right="0" w:hanging="529"/>
        <w:jc w:val="left"/>
        <w:rPr>
          <w:sz w:val="21"/>
        </w:rPr>
      </w:pPr>
      <w:r>
        <w:rPr>
          <w:spacing w:val="-3"/>
          <w:sz w:val="21"/>
        </w:rPr>
        <w:t>为本标段的代建人；</w:t>
      </w:r>
      <w:r>
        <w:rPr>
          <w:sz w:val="21"/>
        </w:rPr>
        <w:t> </w:t>
      </w:r>
    </w:p>
    <w:p>
      <w:pPr>
        <w:pStyle w:val="ListParagraph"/>
        <w:numPr>
          <w:ilvl w:val="0"/>
          <w:numId w:val="27"/>
        </w:numPr>
        <w:tabs>
          <w:tab w:pos="1627" w:val="left" w:leader="none"/>
        </w:tabs>
        <w:spacing w:line="240" w:lineRule="auto" w:before="139" w:after="0"/>
        <w:ind w:left="1627" w:right="0" w:hanging="529"/>
        <w:jc w:val="left"/>
        <w:rPr>
          <w:sz w:val="21"/>
        </w:rPr>
      </w:pPr>
      <w:r>
        <w:rPr>
          <w:spacing w:val="-3"/>
          <w:sz w:val="21"/>
        </w:rPr>
        <w:t>为本标段提供招标代理服务的；</w:t>
      </w:r>
      <w:r>
        <w:rPr>
          <w:sz w:val="21"/>
        </w:rPr>
        <w:t> </w:t>
      </w:r>
    </w:p>
    <w:p>
      <w:pPr>
        <w:pStyle w:val="ListParagraph"/>
        <w:numPr>
          <w:ilvl w:val="0"/>
          <w:numId w:val="27"/>
        </w:numPr>
        <w:tabs>
          <w:tab w:pos="1627" w:val="left" w:leader="none"/>
        </w:tabs>
        <w:spacing w:line="240" w:lineRule="auto" w:before="139" w:after="0"/>
        <w:ind w:left="1627" w:right="0" w:hanging="529"/>
        <w:jc w:val="left"/>
        <w:rPr>
          <w:sz w:val="21"/>
        </w:rPr>
      </w:pPr>
      <w:r>
        <w:rPr>
          <w:spacing w:val="-3"/>
          <w:sz w:val="21"/>
        </w:rPr>
        <w:t>与本标段的监理人或代建人或招标代理机构同为一个法定代表人的； </w:t>
      </w:r>
    </w:p>
    <w:p>
      <w:pPr>
        <w:pStyle w:val="ListParagraph"/>
        <w:numPr>
          <w:ilvl w:val="0"/>
          <w:numId w:val="27"/>
        </w:numPr>
        <w:tabs>
          <w:tab w:pos="1627" w:val="left" w:leader="none"/>
        </w:tabs>
        <w:spacing w:line="240" w:lineRule="auto" w:before="139" w:after="0"/>
        <w:ind w:left="1627" w:right="0" w:hanging="529"/>
        <w:jc w:val="left"/>
        <w:rPr>
          <w:sz w:val="21"/>
        </w:rPr>
      </w:pPr>
      <w:r>
        <w:rPr>
          <w:spacing w:val="-3"/>
          <w:sz w:val="21"/>
        </w:rPr>
        <w:t>与本标段的监理人或代建人或招标代理机构相互控股或参股的；</w:t>
      </w:r>
      <w:r>
        <w:rPr>
          <w:sz w:val="21"/>
        </w:rPr>
        <w:t> </w:t>
      </w:r>
    </w:p>
    <w:p>
      <w:pPr>
        <w:pStyle w:val="ListParagraph"/>
        <w:numPr>
          <w:ilvl w:val="0"/>
          <w:numId w:val="27"/>
        </w:numPr>
        <w:tabs>
          <w:tab w:pos="1627" w:val="left" w:leader="none"/>
        </w:tabs>
        <w:spacing w:line="240" w:lineRule="auto" w:before="141" w:after="0"/>
        <w:ind w:left="1627" w:right="0" w:hanging="529"/>
        <w:jc w:val="left"/>
        <w:rPr>
          <w:sz w:val="21"/>
        </w:rPr>
      </w:pPr>
      <w:r>
        <w:rPr>
          <w:spacing w:val="-3"/>
          <w:sz w:val="21"/>
        </w:rPr>
        <w:t>与本标段的监理人或代建人或招标代理机构相互任职或工作的；</w:t>
      </w:r>
      <w:r>
        <w:rPr>
          <w:sz w:val="21"/>
        </w:rPr>
        <w:t> </w:t>
      </w:r>
    </w:p>
    <w:p>
      <w:pPr>
        <w:pStyle w:val="ListParagraph"/>
        <w:numPr>
          <w:ilvl w:val="0"/>
          <w:numId w:val="27"/>
        </w:numPr>
        <w:tabs>
          <w:tab w:pos="1627" w:val="left" w:leader="none"/>
        </w:tabs>
        <w:spacing w:line="240" w:lineRule="auto" w:before="139" w:after="0"/>
        <w:ind w:left="1627" w:right="0" w:hanging="529"/>
        <w:jc w:val="left"/>
        <w:rPr>
          <w:sz w:val="21"/>
        </w:rPr>
      </w:pPr>
      <w:r>
        <w:rPr>
          <w:spacing w:val="-3"/>
          <w:sz w:val="21"/>
        </w:rPr>
        <w:t>吊销或暂扣营业执照、安全生产许可证期间；</w:t>
      </w:r>
      <w:r>
        <w:rPr>
          <w:sz w:val="21"/>
        </w:rPr>
        <w:t> </w:t>
      </w:r>
    </w:p>
    <w:p>
      <w:pPr>
        <w:pStyle w:val="ListParagraph"/>
        <w:numPr>
          <w:ilvl w:val="0"/>
          <w:numId w:val="27"/>
        </w:numPr>
        <w:tabs>
          <w:tab w:pos="1733" w:val="left" w:leader="none"/>
        </w:tabs>
        <w:spacing w:line="240" w:lineRule="auto" w:before="139" w:after="0"/>
        <w:ind w:left="1732" w:right="0" w:hanging="635"/>
        <w:jc w:val="left"/>
        <w:rPr>
          <w:sz w:val="21"/>
        </w:rPr>
      </w:pPr>
      <w:r>
        <w:rPr>
          <w:spacing w:val="-3"/>
          <w:sz w:val="21"/>
        </w:rPr>
        <w:t>在本行政区域被暂停或取消投标资格的；</w:t>
      </w:r>
      <w:r>
        <w:rPr>
          <w:sz w:val="21"/>
        </w:rPr>
        <w:t> </w:t>
      </w:r>
    </w:p>
    <w:p>
      <w:pPr>
        <w:pStyle w:val="ListParagraph"/>
        <w:numPr>
          <w:ilvl w:val="0"/>
          <w:numId w:val="27"/>
        </w:numPr>
        <w:tabs>
          <w:tab w:pos="1733" w:val="left" w:leader="none"/>
        </w:tabs>
        <w:spacing w:line="240" w:lineRule="auto" w:before="139" w:after="0"/>
        <w:ind w:left="1732" w:right="0" w:hanging="635"/>
        <w:jc w:val="left"/>
        <w:rPr>
          <w:sz w:val="21"/>
        </w:rPr>
      </w:pPr>
      <w:r>
        <w:rPr>
          <w:spacing w:val="-3"/>
          <w:sz w:val="21"/>
        </w:rPr>
        <w:t>财产被接管或或基本账户被冻结的；</w:t>
      </w:r>
      <w:r>
        <w:rPr>
          <w:sz w:val="21"/>
        </w:rPr>
        <w:t> </w:t>
      </w:r>
    </w:p>
    <w:p>
      <w:pPr>
        <w:pStyle w:val="ListParagraph"/>
        <w:numPr>
          <w:ilvl w:val="0"/>
          <w:numId w:val="27"/>
        </w:numPr>
        <w:tabs>
          <w:tab w:pos="1734" w:val="left" w:leader="none"/>
        </w:tabs>
        <w:spacing w:line="367" w:lineRule="auto" w:before="139" w:after="0"/>
        <w:ind w:left="678" w:right="1154" w:firstLine="419"/>
        <w:jc w:val="left"/>
        <w:rPr>
          <w:sz w:val="21"/>
        </w:rPr>
      </w:pPr>
      <w:r>
        <w:rPr>
          <w:spacing w:val="-1"/>
          <w:sz w:val="21"/>
        </w:rPr>
        <w:t>有骗取中标或严重违约或工程质量安全问题，在本行政区域正处在停业整顿或暂停</w:t>
      </w:r>
      <w:r>
        <w:rPr>
          <w:spacing w:val="-3"/>
          <w:sz w:val="21"/>
        </w:rPr>
        <w:t>投标期间的；</w:t>
      </w:r>
      <w:r>
        <w:rPr>
          <w:sz w:val="21"/>
        </w:rPr>
        <w:t> </w:t>
      </w:r>
    </w:p>
    <w:p>
      <w:pPr>
        <w:pStyle w:val="ListParagraph"/>
        <w:numPr>
          <w:ilvl w:val="0"/>
          <w:numId w:val="27"/>
        </w:numPr>
        <w:tabs>
          <w:tab w:pos="1733" w:val="left" w:leader="none"/>
        </w:tabs>
        <w:spacing w:line="265" w:lineRule="exact" w:before="0" w:after="0"/>
        <w:ind w:left="1732" w:right="0" w:hanging="635"/>
        <w:jc w:val="left"/>
        <w:rPr>
          <w:sz w:val="21"/>
        </w:rPr>
      </w:pPr>
      <w:r>
        <w:rPr>
          <w:spacing w:val="-3"/>
          <w:sz w:val="21"/>
        </w:rPr>
        <w:t>被责令停业的。</w:t>
      </w:r>
      <w:r>
        <w:rPr>
          <w:sz w:val="21"/>
        </w:rPr>
        <w:t> </w:t>
      </w:r>
    </w:p>
    <w:p>
      <w:pPr>
        <w:pStyle w:val="BodyText"/>
        <w:spacing w:line="364" w:lineRule="auto" w:before="139"/>
        <w:ind w:right="1149" w:firstLine="419"/>
        <w:jc w:val="both"/>
      </w:pPr>
      <w:r>
        <w:rPr>
          <w:spacing w:val="-1"/>
        </w:rPr>
        <w:t>注：代建人是指政府通过招标方式对公益型、非经营性政府投资且经发改委批复同意实施</w:t>
      </w:r>
      <w:r>
        <w:rPr/>
        <w:t>代建的项目选择的社会专业化的项目管理企业，代建人须经过政府采购平台招标中标，并在建设行政主管部门备案，其代建内容包含代为项目业主履行项目施工招标、投资管理、建设实施</w:t>
      </w:r>
      <w:r>
        <w:rPr>
          <w:spacing w:val="-9"/>
        </w:rPr>
        <w:t>及竣工验收后移交给使用单位等工作。</w:t>
      </w:r>
      <w:r>
        <w:rPr/>
        <w:t>PPP</w:t>
      </w:r>
      <w:r>
        <w:rPr>
          <w:spacing w:val="-5"/>
        </w:rPr>
        <w:t> 项目的社会资本方及工程总承包项目的总承包方作为</w:t>
      </w:r>
      <w:r>
        <w:rPr>
          <w:spacing w:val="-4"/>
        </w:rPr>
        <w:t>代建人的不在此范畴。</w:t>
      </w:r>
      <w:r>
        <w:rPr/>
        <w:t> </w:t>
      </w:r>
    </w:p>
    <w:p>
      <w:pPr>
        <w:pStyle w:val="BodyText"/>
        <w:spacing w:line="364" w:lineRule="auto"/>
        <w:ind w:right="1155" w:firstLine="419"/>
      </w:pPr>
      <w:r>
        <w:rPr/>
        <w:t>1.4.4 单位负责人为同一人或者存在控股、管理关系的不同单位，不得参加同一标段投标或者未划分标段的同一招标项目投标，违反本规定的，相关投标均无效。 </w:t>
      </w:r>
    </w:p>
    <w:p>
      <w:pPr>
        <w:pStyle w:val="Heading2"/>
        <w:numPr>
          <w:ilvl w:val="1"/>
          <w:numId w:val="24"/>
        </w:numPr>
        <w:tabs>
          <w:tab w:pos="1163" w:val="left" w:leader="none"/>
        </w:tabs>
        <w:spacing w:line="484" w:lineRule="exact" w:before="0" w:after="0"/>
        <w:ind w:left="1162" w:right="0" w:hanging="485"/>
        <w:jc w:val="left"/>
      </w:pPr>
      <w:bookmarkStart w:name="1.5 费用承担" w:id="23"/>
      <w:bookmarkEnd w:id="23"/>
      <w:r>
        <w:rPr>
          <w:b w:val="0"/>
        </w:rPr>
      </w:r>
      <w:bookmarkStart w:name="_bookmark9" w:id="24"/>
      <w:bookmarkEnd w:id="24"/>
      <w:r>
        <w:rPr>
          <w:b w:val="0"/>
        </w:rPr>
      </w:r>
      <w:bookmarkStart w:name="_bookmark9" w:id="25"/>
      <w:bookmarkEnd w:id="25"/>
      <w:r>
        <w:rPr/>
        <w:t>费用承担</w:t>
      </w:r>
      <w:r>
        <w:rPr>
          <w:w w:val="199"/>
        </w:rPr>
        <w:t> </w:t>
      </w:r>
    </w:p>
    <w:p>
      <w:pPr>
        <w:pStyle w:val="BodyText"/>
        <w:spacing w:before="136"/>
        <w:ind w:left="1098"/>
      </w:pPr>
      <w:r>
        <w:rPr/>
        <w:t>投标人准备和参加投标活动发生的费用自理。 </w:t>
      </w:r>
    </w:p>
    <w:p>
      <w:pPr>
        <w:pStyle w:val="Heading2"/>
        <w:numPr>
          <w:ilvl w:val="1"/>
          <w:numId w:val="24"/>
        </w:numPr>
        <w:tabs>
          <w:tab w:pos="1163" w:val="left" w:leader="none"/>
        </w:tabs>
        <w:spacing w:line="240" w:lineRule="auto" w:before="34" w:after="0"/>
        <w:ind w:left="1162" w:right="0" w:hanging="485"/>
        <w:jc w:val="left"/>
      </w:pPr>
      <w:bookmarkStart w:name="1.6 保密" w:id="26"/>
      <w:bookmarkEnd w:id="26"/>
      <w:r>
        <w:rPr>
          <w:b w:val="0"/>
        </w:rPr>
      </w:r>
      <w:bookmarkStart w:name="_bookmark10" w:id="27"/>
      <w:bookmarkEnd w:id="27"/>
      <w:r>
        <w:rPr>
          <w:b w:val="0"/>
        </w:rPr>
      </w:r>
      <w:bookmarkStart w:name="_bookmark10" w:id="28"/>
      <w:bookmarkEnd w:id="28"/>
      <w:r>
        <w:rPr/>
        <w:t>保密</w:t>
      </w:r>
      <w:r>
        <w:rPr>
          <w:w w:val="199"/>
        </w:rPr>
        <w:t> </w:t>
      </w:r>
    </w:p>
    <w:p>
      <w:pPr>
        <w:pStyle w:val="BodyText"/>
        <w:spacing w:line="364" w:lineRule="auto" w:before="141"/>
        <w:ind w:right="1154" w:firstLine="419"/>
      </w:pPr>
      <w:r>
        <w:rPr/>
        <w:t>参与招标投标活动的各方应对招标文件和投标文件中的商业和技术等秘密保密，违者应对由此造成的后果承担法律责任。 </w:t>
      </w:r>
    </w:p>
    <w:p>
      <w:pPr>
        <w:spacing w:after="0" w:line="364" w:lineRule="auto"/>
        <w:sectPr>
          <w:pgSz w:w="11910" w:h="16850"/>
          <w:pgMar w:header="0" w:footer="779" w:top="1380" w:bottom="1040" w:left="1120" w:right="280"/>
        </w:sectPr>
      </w:pPr>
    </w:p>
    <w:p>
      <w:pPr>
        <w:pStyle w:val="Heading2"/>
        <w:numPr>
          <w:ilvl w:val="1"/>
          <w:numId w:val="24"/>
        </w:numPr>
        <w:tabs>
          <w:tab w:pos="1163" w:val="left" w:leader="none"/>
        </w:tabs>
        <w:spacing w:line="524" w:lineRule="exact" w:before="0" w:after="0"/>
        <w:ind w:left="1162" w:right="0" w:hanging="485"/>
        <w:jc w:val="left"/>
      </w:pPr>
      <w:bookmarkStart w:name="1.7 语言文字" w:id="29"/>
      <w:bookmarkEnd w:id="29"/>
      <w:r>
        <w:rPr>
          <w:b w:val="0"/>
        </w:rPr>
      </w:r>
      <w:bookmarkStart w:name="_bookmark11" w:id="30"/>
      <w:bookmarkEnd w:id="30"/>
      <w:r>
        <w:rPr>
          <w:b w:val="0"/>
        </w:rPr>
      </w:r>
      <w:bookmarkStart w:name="_bookmark11" w:id="31"/>
      <w:bookmarkEnd w:id="31"/>
      <w:r>
        <w:rPr/>
        <w:t>语言文字</w:t>
      </w:r>
      <w:r>
        <w:rPr>
          <w:w w:val="199"/>
        </w:rPr>
        <w:t> </w:t>
      </w:r>
    </w:p>
    <w:p>
      <w:pPr>
        <w:pStyle w:val="BodyText"/>
        <w:spacing w:before="138"/>
        <w:ind w:left="1098"/>
      </w:pPr>
      <w:r>
        <w:rPr/>
        <w:t>除专用术语外，与招标投标有关的语言均使用中文。必要时专用术语应附有中文注释。 </w:t>
      </w:r>
    </w:p>
    <w:p>
      <w:pPr>
        <w:pStyle w:val="Heading2"/>
        <w:numPr>
          <w:ilvl w:val="1"/>
          <w:numId w:val="24"/>
        </w:numPr>
        <w:tabs>
          <w:tab w:pos="1163" w:val="left" w:leader="none"/>
        </w:tabs>
        <w:spacing w:line="240" w:lineRule="auto" w:before="36" w:after="0"/>
        <w:ind w:left="1162" w:right="0" w:hanging="485"/>
        <w:jc w:val="left"/>
      </w:pPr>
      <w:bookmarkStart w:name="1.8 计量单位" w:id="32"/>
      <w:bookmarkEnd w:id="32"/>
      <w:r>
        <w:rPr>
          <w:b w:val="0"/>
        </w:rPr>
      </w:r>
      <w:bookmarkStart w:name="_bookmark12" w:id="33"/>
      <w:bookmarkEnd w:id="33"/>
      <w:r>
        <w:rPr>
          <w:b w:val="0"/>
        </w:rPr>
      </w:r>
      <w:bookmarkStart w:name="_bookmark12" w:id="34"/>
      <w:bookmarkEnd w:id="34"/>
      <w:r>
        <w:rPr/>
        <w:t>计量单位</w:t>
      </w:r>
      <w:r>
        <w:rPr>
          <w:w w:val="199"/>
        </w:rPr>
        <w:t> </w:t>
      </w:r>
    </w:p>
    <w:p>
      <w:pPr>
        <w:pStyle w:val="BodyText"/>
        <w:spacing w:before="139"/>
        <w:ind w:left="1098"/>
      </w:pPr>
      <w:r>
        <w:rPr/>
        <w:t>所有计量均采用中华人民共和国法定计量单位。 </w:t>
      </w:r>
    </w:p>
    <w:p>
      <w:pPr>
        <w:pStyle w:val="Heading2"/>
        <w:numPr>
          <w:ilvl w:val="1"/>
          <w:numId w:val="24"/>
        </w:numPr>
        <w:tabs>
          <w:tab w:pos="1163" w:val="left" w:leader="none"/>
        </w:tabs>
        <w:spacing w:line="240" w:lineRule="auto" w:before="33" w:after="0"/>
        <w:ind w:left="1162" w:right="0" w:hanging="485"/>
        <w:jc w:val="left"/>
      </w:pPr>
      <w:bookmarkStart w:name="1.9 踏勘现场" w:id="35"/>
      <w:bookmarkEnd w:id="35"/>
      <w:r>
        <w:rPr>
          <w:b w:val="0"/>
        </w:rPr>
      </w:r>
      <w:bookmarkStart w:name="_bookmark13" w:id="36"/>
      <w:bookmarkEnd w:id="36"/>
      <w:r>
        <w:rPr>
          <w:b w:val="0"/>
        </w:rPr>
      </w:r>
      <w:bookmarkStart w:name="_bookmark13" w:id="37"/>
      <w:bookmarkEnd w:id="37"/>
      <w:r>
        <w:rPr/>
        <w:t>踏勘现场</w:t>
      </w:r>
      <w:r>
        <w:rPr>
          <w:w w:val="199"/>
        </w:rPr>
        <w:t> </w:t>
      </w:r>
    </w:p>
    <w:p>
      <w:pPr>
        <w:pStyle w:val="ListParagraph"/>
        <w:numPr>
          <w:ilvl w:val="2"/>
          <w:numId w:val="24"/>
        </w:numPr>
        <w:tabs>
          <w:tab w:pos="1627" w:val="left" w:leader="none"/>
        </w:tabs>
        <w:spacing w:line="240" w:lineRule="auto" w:before="141" w:after="0"/>
        <w:ind w:left="1627" w:right="0" w:hanging="529"/>
        <w:jc w:val="left"/>
        <w:rPr>
          <w:sz w:val="21"/>
        </w:rPr>
      </w:pPr>
      <w:r>
        <w:rPr>
          <w:spacing w:val="-3"/>
          <w:sz w:val="21"/>
        </w:rPr>
        <w:t>投标人根据需要自行踏勘项目现场。</w:t>
      </w:r>
      <w:r>
        <w:rPr>
          <w:sz w:val="21"/>
        </w:rPr>
        <w:t> </w:t>
      </w:r>
    </w:p>
    <w:p>
      <w:pPr>
        <w:pStyle w:val="ListParagraph"/>
        <w:numPr>
          <w:ilvl w:val="2"/>
          <w:numId w:val="24"/>
        </w:numPr>
        <w:tabs>
          <w:tab w:pos="1627" w:val="left" w:leader="none"/>
        </w:tabs>
        <w:spacing w:line="240" w:lineRule="auto" w:before="139" w:after="0"/>
        <w:ind w:left="1627" w:right="0" w:hanging="529"/>
        <w:jc w:val="left"/>
        <w:rPr>
          <w:sz w:val="21"/>
        </w:rPr>
      </w:pPr>
      <w:r>
        <w:rPr>
          <w:spacing w:val="-3"/>
          <w:sz w:val="21"/>
        </w:rPr>
        <w:t>投标人踏勘现场发生的费用自理。</w:t>
      </w:r>
      <w:r>
        <w:rPr>
          <w:sz w:val="21"/>
        </w:rPr>
        <w:t> </w:t>
      </w:r>
    </w:p>
    <w:p>
      <w:pPr>
        <w:pStyle w:val="ListParagraph"/>
        <w:numPr>
          <w:ilvl w:val="2"/>
          <w:numId w:val="24"/>
        </w:numPr>
        <w:tabs>
          <w:tab w:pos="1627" w:val="left" w:leader="none"/>
        </w:tabs>
        <w:spacing w:line="240" w:lineRule="auto" w:before="140" w:after="0"/>
        <w:ind w:left="1627" w:right="0" w:hanging="529"/>
        <w:jc w:val="left"/>
        <w:rPr>
          <w:sz w:val="21"/>
        </w:rPr>
      </w:pPr>
      <w:r>
        <w:rPr>
          <w:spacing w:val="-3"/>
          <w:sz w:val="21"/>
        </w:rPr>
        <w:t>投标人自行负责在踏勘现场中所发生的人员伤亡和财产损失。</w:t>
      </w:r>
      <w:r>
        <w:rPr>
          <w:sz w:val="21"/>
        </w:rPr>
        <w:t> </w:t>
      </w:r>
    </w:p>
    <w:p>
      <w:pPr>
        <w:pStyle w:val="Heading2"/>
        <w:numPr>
          <w:ilvl w:val="1"/>
          <w:numId w:val="24"/>
        </w:numPr>
        <w:tabs>
          <w:tab w:pos="1323" w:val="left" w:leader="none"/>
        </w:tabs>
        <w:spacing w:line="240" w:lineRule="auto" w:before="33" w:after="0"/>
        <w:ind w:left="1322" w:right="0" w:hanging="645"/>
        <w:jc w:val="left"/>
      </w:pPr>
      <w:bookmarkStart w:name="1.10 投标预备会" w:id="38"/>
      <w:bookmarkEnd w:id="38"/>
      <w:r>
        <w:rPr>
          <w:b w:val="0"/>
        </w:rPr>
      </w:r>
      <w:bookmarkStart w:name="_bookmark14" w:id="39"/>
      <w:bookmarkEnd w:id="39"/>
      <w:r>
        <w:rPr>
          <w:b w:val="0"/>
        </w:rPr>
      </w:r>
      <w:bookmarkStart w:name="_bookmark14" w:id="40"/>
      <w:bookmarkEnd w:id="40"/>
      <w:r>
        <w:rPr/>
        <w:t>投标预备会</w:t>
      </w:r>
      <w:r>
        <w:rPr>
          <w:w w:val="199"/>
        </w:rPr>
        <w:t> </w:t>
      </w:r>
    </w:p>
    <w:p>
      <w:pPr>
        <w:pStyle w:val="BodyText"/>
        <w:spacing w:before="141"/>
        <w:ind w:left="1098"/>
      </w:pPr>
      <w:r>
        <w:rPr/>
        <w:t>不召开。 </w:t>
      </w:r>
    </w:p>
    <w:p>
      <w:pPr>
        <w:pStyle w:val="Heading2"/>
        <w:numPr>
          <w:ilvl w:val="1"/>
          <w:numId w:val="24"/>
        </w:numPr>
        <w:tabs>
          <w:tab w:pos="1323" w:val="left" w:leader="none"/>
        </w:tabs>
        <w:spacing w:line="240" w:lineRule="auto" w:before="34" w:after="0"/>
        <w:ind w:left="1322" w:right="0" w:hanging="645"/>
        <w:jc w:val="left"/>
      </w:pPr>
      <w:bookmarkStart w:name="1.11 分包" w:id="41"/>
      <w:bookmarkEnd w:id="41"/>
      <w:r>
        <w:rPr>
          <w:b w:val="0"/>
        </w:rPr>
      </w:r>
      <w:bookmarkStart w:name="_bookmark15" w:id="42"/>
      <w:bookmarkEnd w:id="42"/>
      <w:r>
        <w:rPr>
          <w:b w:val="0"/>
        </w:rPr>
      </w:r>
      <w:bookmarkStart w:name="_bookmark15" w:id="43"/>
      <w:bookmarkEnd w:id="43"/>
      <w:r>
        <w:rPr/>
        <w:t>分包</w:t>
      </w:r>
      <w:r>
        <w:rPr>
          <w:w w:val="199"/>
        </w:rPr>
        <w:t> </w:t>
      </w:r>
    </w:p>
    <w:p>
      <w:pPr>
        <w:pStyle w:val="BodyText"/>
        <w:spacing w:line="364" w:lineRule="auto" w:before="138"/>
        <w:ind w:right="1151" w:firstLine="419"/>
      </w:pPr>
      <w:r>
        <w:rPr/>
        <w:t>投标人拟在中标后将中标项目的部分非主体、非关键性工作进行分包的，应符合“投标人须知前附表”规定的分包内容、分包金额和接受分包的第三人资质要求等限制性条件。 </w:t>
      </w:r>
    </w:p>
    <w:p>
      <w:pPr>
        <w:pStyle w:val="Heading2"/>
        <w:numPr>
          <w:ilvl w:val="1"/>
          <w:numId w:val="24"/>
        </w:numPr>
        <w:tabs>
          <w:tab w:pos="1323" w:val="left" w:leader="none"/>
        </w:tabs>
        <w:spacing w:line="484" w:lineRule="exact" w:before="0" w:after="0"/>
        <w:ind w:left="1322" w:right="0" w:hanging="645"/>
        <w:jc w:val="left"/>
      </w:pPr>
      <w:bookmarkStart w:name="1.12 偏离" w:id="44"/>
      <w:bookmarkEnd w:id="44"/>
      <w:r>
        <w:rPr>
          <w:b w:val="0"/>
        </w:rPr>
      </w:r>
      <w:bookmarkStart w:name="_bookmark16" w:id="45"/>
      <w:bookmarkEnd w:id="45"/>
      <w:r>
        <w:rPr>
          <w:b w:val="0"/>
        </w:rPr>
      </w:r>
      <w:bookmarkStart w:name="_bookmark16" w:id="46"/>
      <w:bookmarkEnd w:id="46"/>
      <w:r>
        <w:rPr/>
        <w:t>偏离</w:t>
      </w:r>
      <w:r>
        <w:rPr>
          <w:w w:val="199"/>
        </w:rPr>
        <w:t> </w:t>
      </w:r>
    </w:p>
    <w:p>
      <w:pPr>
        <w:pStyle w:val="BodyText"/>
        <w:spacing w:before="139"/>
        <w:ind w:left="1098"/>
      </w:pPr>
      <w:r>
        <w:rPr/>
        <w:t>不允许。 </w:t>
      </w:r>
    </w:p>
    <w:p>
      <w:pPr>
        <w:pStyle w:val="BodyText"/>
        <w:ind w:left="0"/>
        <w:rPr>
          <w:sz w:val="20"/>
        </w:rPr>
      </w:pPr>
    </w:p>
    <w:p>
      <w:pPr>
        <w:pStyle w:val="Heading2"/>
        <w:spacing w:before="109"/>
        <w:ind w:left="678"/>
      </w:pPr>
      <w:bookmarkStart w:name="2 招标文件" w:id="47"/>
      <w:bookmarkEnd w:id="47"/>
      <w:r>
        <w:rPr>
          <w:b w:val="0"/>
        </w:rPr>
      </w:r>
      <w:bookmarkStart w:name="_bookmark17" w:id="48"/>
      <w:bookmarkEnd w:id="48"/>
      <w:r>
        <w:rPr>
          <w:b w:val="0"/>
        </w:rPr>
      </w:r>
      <w:r>
        <w:rPr>
          <w:w w:val="105"/>
        </w:rPr>
        <w:t>2 招标文件</w:t>
      </w:r>
      <w:r>
        <w:rPr>
          <w:w w:val="199"/>
        </w:rPr>
        <w:t> </w:t>
      </w:r>
    </w:p>
    <w:p>
      <w:pPr>
        <w:pStyle w:val="ListParagraph"/>
        <w:numPr>
          <w:ilvl w:val="1"/>
          <w:numId w:val="28"/>
        </w:numPr>
        <w:tabs>
          <w:tab w:pos="1163" w:val="left" w:leader="none"/>
        </w:tabs>
        <w:spacing w:line="240" w:lineRule="auto" w:before="186" w:after="0"/>
        <w:ind w:left="1162" w:right="0" w:hanging="485"/>
        <w:jc w:val="left"/>
        <w:rPr>
          <w:rFonts w:ascii="Microsoft JhengHei" w:eastAsia="Microsoft JhengHei" w:hint="eastAsia"/>
          <w:b/>
          <w:sz w:val="32"/>
        </w:rPr>
      </w:pPr>
      <w:bookmarkStart w:name="2.1 招标文件的组成" w:id="49"/>
      <w:bookmarkEnd w:id="49"/>
      <w:r>
        <w:rPr/>
      </w:r>
      <w:bookmarkStart w:name="_bookmark18" w:id="50"/>
      <w:bookmarkEnd w:id="50"/>
      <w:r>
        <w:rPr/>
      </w:r>
      <w:bookmarkStart w:name="_bookmark18" w:id="51"/>
      <w:bookmarkEnd w:id="51"/>
      <w:r>
        <w:rPr>
          <w:rFonts w:ascii="Microsoft JhengHei" w:eastAsia="Microsoft JhengHei" w:hint="eastAsia"/>
          <w:b/>
          <w:sz w:val="32"/>
        </w:rPr>
        <w:t>招标文件的组成</w:t>
      </w:r>
      <w:r>
        <w:rPr>
          <w:rFonts w:ascii="Microsoft JhengHei" w:eastAsia="Microsoft JhengHei" w:hint="eastAsia"/>
          <w:b/>
          <w:w w:val="199"/>
          <w:sz w:val="32"/>
        </w:rPr>
        <w:t> </w:t>
      </w:r>
    </w:p>
    <w:p>
      <w:pPr>
        <w:pStyle w:val="ListParagraph"/>
        <w:numPr>
          <w:ilvl w:val="2"/>
          <w:numId w:val="28"/>
        </w:numPr>
        <w:tabs>
          <w:tab w:pos="1627" w:val="left" w:leader="none"/>
        </w:tabs>
        <w:spacing w:line="240" w:lineRule="auto" w:before="141" w:after="0"/>
        <w:ind w:left="1627" w:right="0" w:hanging="529"/>
        <w:jc w:val="left"/>
        <w:rPr>
          <w:sz w:val="21"/>
        </w:rPr>
      </w:pPr>
      <w:r>
        <w:rPr>
          <w:spacing w:val="-3"/>
          <w:sz w:val="21"/>
        </w:rPr>
        <w:t>本招标文件包括：</w:t>
      </w:r>
      <w:r>
        <w:rPr>
          <w:sz w:val="21"/>
        </w:rPr>
        <w:t> </w:t>
      </w:r>
    </w:p>
    <w:p>
      <w:pPr>
        <w:pStyle w:val="ListParagraph"/>
        <w:numPr>
          <w:ilvl w:val="0"/>
          <w:numId w:val="29"/>
        </w:numPr>
        <w:tabs>
          <w:tab w:pos="1627" w:val="left" w:leader="none"/>
        </w:tabs>
        <w:spacing w:line="240" w:lineRule="auto" w:before="139" w:after="0"/>
        <w:ind w:left="1627" w:right="0" w:hanging="529"/>
        <w:jc w:val="left"/>
        <w:rPr>
          <w:sz w:val="21"/>
        </w:rPr>
      </w:pPr>
      <w:r>
        <w:rPr>
          <w:spacing w:val="-3"/>
          <w:w w:val="100"/>
          <w:sz w:val="21"/>
        </w:rPr>
        <w:t>招标公告</w:t>
      </w:r>
      <w:r>
        <w:rPr>
          <w:w w:val="100"/>
          <w:sz w:val="21"/>
        </w:rPr>
        <w:t>（</w:t>
      </w:r>
      <w:r>
        <w:rPr>
          <w:spacing w:val="-3"/>
          <w:w w:val="100"/>
          <w:sz w:val="21"/>
        </w:rPr>
        <w:t>或投标邀请书</w:t>
      </w:r>
      <w:r>
        <w:rPr>
          <w:spacing w:val="-108"/>
          <w:w w:val="100"/>
          <w:sz w:val="21"/>
        </w:rPr>
        <w:t>）</w:t>
      </w:r>
      <w:r>
        <w:rPr>
          <w:spacing w:val="-3"/>
          <w:w w:val="100"/>
          <w:sz w:val="21"/>
        </w:rPr>
        <w:t>；</w:t>
      </w:r>
      <w:r>
        <w:rPr>
          <w:w w:val="100"/>
          <w:sz w:val="21"/>
        </w:rPr>
        <w:t> </w:t>
      </w:r>
    </w:p>
    <w:p>
      <w:pPr>
        <w:pStyle w:val="ListParagraph"/>
        <w:numPr>
          <w:ilvl w:val="0"/>
          <w:numId w:val="29"/>
        </w:numPr>
        <w:tabs>
          <w:tab w:pos="1627" w:val="left" w:leader="none"/>
        </w:tabs>
        <w:spacing w:line="240" w:lineRule="auto" w:before="139" w:after="0"/>
        <w:ind w:left="1627" w:right="0" w:hanging="529"/>
        <w:jc w:val="left"/>
        <w:rPr>
          <w:sz w:val="21"/>
        </w:rPr>
      </w:pPr>
      <w:r>
        <w:rPr>
          <w:spacing w:val="-3"/>
          <w:sz w:val="21"/>
        </w:rPr>
        <w:t>投标人须知；</w:t>
      </w:r>
      <w:r>
        <w:rPr>
          <w:sz w:val="21"/>
        </w:rPr>
        <w:t> </w:t>
      </w:r>
    </w:p>
    <w:p>
      <w:pPr>
        <w:pStyle w:val="ListParagraph"/>
        <w:numPr>
          <w:ilvl w:val="0"/>
          <w:numId w:val="29"/>
        </w:numPr>
        <w:tabs>
          <w:tab w:pos="1627" w:val="left" w:leader="none"/>
        </w:tabs>
        <w:spacing w:line="240" w:lineRule="auto" w:before="140" w:after="0"/>
        <w:ind w:left="1627" w:right="0" w:hanging="529"/>
        <w:jc w:val="left"/>
        <w:rPr>
          <w:sz w:val="21"/>
        </w:rPr>
      </w:pPr>
      <w:r>
        <w:rPr>
          <w:spacing w:val="-3"/>
          <w:sz w:val="21"/>
        </w:rPr>
        <w:t>评标办法；</w:t>
      </w:r>
      <w:r>
        <w:rPr>
          <w:sz w:val="21"/>
        </w:rPr>
        <w:t> </w:t>
      </w:r>
    </w:p>
    <w:p>
      <w:pPr>
        <w:pStyle w:val="ListParagraph"/>
        <w:numPr>
          <w:ilvl w:val="0"/>
          <w:numId w:val="29"/>
        </w:numPr>
        <w:tabs>
          <w:tab w:pos="1627" w:val="left" w:leader="none"/>
        </w:tabs>
        <w:spacing w:line="240" w:lineRule="auto" w:before="139" w:after="0"/>
        <w:ind w:left="1627" w:right="0" w:hanging="529"/>
        <w:jc w:val="left"/>
        <w:rPr>
          <w:sz w:val="21"/>
        </w:rPr>
      </w:pPr>
      <w:r>
        <w:rPr>
          <w:spacing w:val="-3"/>
          <w:sz w:val="21"/>
        </w:rPr>
        <w:t>合同条款及格式；</w:t>
      </w:r>
      <w:r>
        <w:rPr>
          <w:sz w:val="21"/>
        </w:rPr>
        <w:t> </w:t>
      </w:r>
    </w:p>
    <w:p>
      <w:pPr>
        <w:pStyle w:val="ListParagraph"/>
        <w:numPr>
          <w:ilvl w:val="0"/>
          <w:numId w:val="29"/>
        </w:numPr>
        <w:tabs>
          <w:tab w:pos="1627" w:val="left" w:leader="none"/>
        </w:tabs>
        <w:spacing w:line="240" w:lineRule="auto" w:before="141" w:after="0"/>
        <w:ind w:left="1627" w:right="0" w:hanging="529"/>
        <w:jc w:val="left"/>
        <w:rPr>
          <w:sz w:val="21"/>
        </w:rPr>
      </w:pPr>
      <w:r>
        <w:rPr>
          <w:spacing w:val="-3"/>
          <w:w w:val="100"/>
          <w:sz w:val="21"/>
        </w:rPr>
        <w:t>工程量清单（电子版，后缀名“</w:t>
      </w:r>
      <w:r>
        <w:rPr>
          <w:w w:val="100"/>
          <w:sz w:val="21"/>
        </w:rPr>
        <w:t>.gx</w:t>
      </w:r>
      <w:r>
        <w:rPr>
          <w:spacing w:val="-3"/>
          <w:w w:val="100"/>
          <w:sz w:val="21"/>
        </w:rPr>
        <w:t>z</w:t>
      </w:r>
      <w:r>
        <w:rPr>
          <w:spacing w:val="-1"/>
          <w:w w:val="100"/>
          <w:sz w:val="21"/>
        </w:rPr>
        <w:t>b</w:t>
      </w:r>
      <w:r>
        <w:rPr>
          <w:spacing w:val="-106"/>
          <w:w w:val="100"/>
          <w:sz w:val="21"/>
        </w:rPr>
        <w:t>”</w:t>
      </w:r>
      <w:r>
        <w:rPr>
          <w:spacing w:val="-108"/>
          <w:w w:val="100"/>
          <w:sz w:val="21"/>
        </w:rPr>
        <w:t>）</w:t>
      </w:r>
      <w:r>
        <w:rPr>
          <w:spacing w:val="-3"/>
          <w:w w:val="100"/>
          <w:sz w:val="21"/>
        </w:rPr>
        <w:t>；</w:t>
      </w:r>
      <w:r>
        <w:rPr>
          <w:w w:val="100"/>
          <w:sz w:val="21"/>
        </w:rPr>
        <w:t> </w:t>
      </w:r>
    </w:p>
    <w:p>
      <w:pPr>
        <w:pStyle w:val="ListParagraph"/>
        <w:numPr>
          <w:ilvl w:val="0"/>
          <w:numId w:val="29"/>
        </w:numPr>
        <w:tabs>
          <w:tab w:pos="1627" w:val="left" w:leader="none"/>
        </w:tabs>
        <w:spacing w:line="240" w:lineRule="auto" w:before="139" w:after="0"/>
        <w:ind w:left="1627" w:right="0" w:hanging="529"/>
        <w:jc w:val="left"/>
        <w:rPr>
          <w:sz w:val="21"/>
        </w:rPr>
      </w:pPr>
      <w:r>
        <w:rPr>
          <w:spacing w:val="-3"/>
          <w:sz w:val="21"/>
        </w:rPr>
        <w:t>招标控制价；</w:t>
      </w:r>
      <w:r>
        <w:rPr>
          <w:sz w:val="21"/>
        </w:rPr>
        <w:t> </w:t>
      </w:r>
    </w:p>
    <w:p>
      <w:pPr>
        <w:pStyle w:val="ListParagraph"/>
        <w:numPr>
          <w:ilvl w:val="0"/>
          <w:numId w:val="29"/>
        </w:numPr>
        <w:tabs>
          <w:tab w:pos="1627" w:val="left" w:leader="none"/>
        </w:tabs>
        <w:spacing w:line="240" w:lineRule="auto" w:before="139" w:after="0"/>
        <w:ind w:left="1627" w:right="0" w:hanging="529"/>
        <w:jc w:val="left"/>
        <w:rPr>
          <w:sz w:val="21"/>
        </w:rPr>
      </w:pPr>
      <w:r>
        <w:rPr>
          <w:spacing w:val="-2"/>
          <w:w w:val="100"/>
          <w:sz w:val="21"/>
        </w:rPr>
        <w:t>图纸</w:t>
      </w:r>
      <w:r>
        <w:rPr>
          <w:w w:val="100"/>
          <w:sz w:val="21"/>
        </w:rPr>
        <w:t>（</w:t>
      </w:r>
      <w:r>
        <w:rPr>
          <w:spacing w:val="-3"/>
          <w:w w:val="100"/>
          <w:sz w:val="21"/>
        </w:rPr>
        <w:t>电子图</w:t>
      </w:r>
      <w:r>
        <w:rPr>
          <w:w w:val="100"/>
          <w:sz w:val="21"/>
        </w:rPr>
        <w:t>，RA</w:t>
      </w:r>
      <w:r>
        <w:rPr>
          <w:spacing w:val="-3"/>
          <w:w w:val="100"/>
          <w:sz w:val="21"/>
        </w:rPr>
        <w:t>R</w:t>
      </w:r>
      <w:r>
        <w:rPr>
          <w:w w:val="100"/>
          <w:sz w:val="21"/>
        </w:rPr>
        <w:t>、ZIP</w:t>
      </w:r>
      <w:r>
        <w:rPr>
          <w:spacing w:val="-55"/>
          <w:sz w:val="21"/>
        </w:rPr>
        <w:t> </w:t>
      </w:r>
      <w:r>
        <w:rPr>
          <w:spacing w:val="-3"/>
          <w:w w:val="100"/>
          <w:sz w:val="21"/>
        </w:rPr>
        <w:t>压缩文件</w:t>
      </w:r>
      <w:r>
        <w:rPr>
          <w:spacing w:val="-106"/>
          <w:w w:val="100"/>
          <w:sz w:val="21"/>
        </w:rPr>
        <w:t>）</w:t>
      </w:r>
      <w:r>
        <w:rPr>
          <w:spacing w:val="-3"/>
          <w:w w:val="100"/>
          <w:sz w:val="21"/>
        </w:rPr>
        <w:t>；</w:t>
      </w:r>
      <w:r>
        <w:rPr>
          <w:w w:val="100"/>
          <w:sz w:val="21"/>
        </w:rPr>
        <w:t> </w:t>
      </w:r>
    </w:p>
    <w:p>
      <w:pPr>
        <w:pStyle w:val="ListParagraph"/>
        <w:numPr>
          <w:ilvl w:val="0"/>
          <w:numId w:val="29"/>
        </w:numPr>
        <w:tabs>
          <w:tab w:pos="1627" w:val="left" w:leader="none"/>
        </w:tabs>
        <w:spacing w:line="240" w:lineRule="auto" w:before="139" w:after="0"/>
        <w:ind w:left="1627" w:right="0" w:hanging="529"/>
        <w:jc w:val="left"/>
        <w:rPr>
          <w:sz w:val="21"/>
        </w:rPr>
      </w:pPr>
      <w:r>
        <w:rPr>
          <w:spacing w:val="-3"/>
          <w:w w:val="100"/>
          <w:sz w:val="21"/>
        </w:rPr>
        <w:t>危险性较大的分部分项工程清单</w:t>
      </w:r>
      <w:r>
        <w:rPr>
          <w:w w:val="100"/>
          <w:sz w:val="21"/>
        </w:rPr>
        <w:t>（</w:t>
      </w:r>
      <w:r>
        <w:rPr>
          <w:spacing w:val="-2"/>
          <w:w w:val="100"/>
          <w:sz w:val="21"/>
        </w:rPr>
        <w:t>如有</w:t>
      </w:r>
      <w:r>
        <w:rPr>
          <w:spacing w:val="-108"/>
          <w:w w:val="100"/>
          <w:sz w:val="21"/>
        </w:rPr>
        <w:t>）</w:t>
      </w:r>
      <w:r>
        <w:rPr>
          <w:spacing w:val="-3"/>
          <w:w w:val="100"/>
          <w:sz w:val="21"/>
        </w:rPr>
        <w:t>；</w:t>
      </w:r>
      <w:r>
        <w:rPr>
          <w:w w:val="100"/>
          <w:sz w:val="21"/>
        </w:rPr>
        <w:t> </w:t>
      </w:r>
    </w:p>
    <w:p>
      <w:pPr>
        <w:pStyle w:val="ListParagraph"/>
        <w:numPr>
          <w:ilvl w:val="0"/>
          <w:numId w:val="29"/>
        </w:numPr>
        <w:tabs>
          <w:tab w:pos="1627" w:val="left" w:leader="none"/>
        </w:tabs>
        <w:spacing w:line="240" w:lineRule="auto" w:before="141" w:after="0"/>
        <w:ind w:left="1627" w:right="0" w:hanging="529"/>
        <w:jc w:val="left"/>
        <w:rPr>
          <w:sz w:val="21"/>
        </w:rPr>
      </w:pPr>
      <w:r>
        <w:rPr>
          <w:spacing w:val="-3"/>
          <w:sz w:val="21"/>
        </w:rPr>
        <w:t>技术标准和要求； </w:t>
      </w:r>
      <w:r>
        <w:rPr>
          <w:sz w:val="21"/>
        </w:rPr>
        <w:t> </w:t>
      </w:r>
    </w:p>
    <w:p>
      <w:pPr>
        <w:pStyle w:val="ListParagraph"/>
        <w:numPr>
          <w:ilvl w:val="0"/>
          <w:numId w:val="29"/>
        </w:numPr>
        <w:tabs>
          <w:tab w:pos="1733" w:val="left" w:leader="none"/>
        </w:tabs>
        <w:spacing w:line="240" w:lineRule="auto" w:before="139" w:after="0"/>
        <w:ind w:left="1732" w:right="0" w:hanging="635"/>
        <w:jc w:val="left"/>
        <w:rPr>
          <w:sz w:val="21"/>
        </w:rPr>
      </w:pPr>
      <w:r>
        <w:rPr>
          <w:spacing w:val="-3"/>
          <w:sz w:val="21"/>
        </w:rPr>
        <w:t>投标文件格式；</w:t>
      </w:r>
      <w:r>
        <w:rPr>
          <w:sz w:val="21"/>
        </w:rPr>
        <w:t> </w:t>
      </w:r>
    </w:p>
    <w:p>
      <w:pPr>
        <w:pStyle w:val="ListParagraph"/>
        <w:numPr>
          <w:ilvl w:val="0"/>
          <w:numId w:val="29"/>
        </w:numPr>
        <w:tabs>
          <w:tab w:pos="1733" w:val="left" w:leader="none"/>
        </w:tabs>
        <w:spacing w:line="240" w:lineRule="auto" w:before="139" w:after="0"/>
        <w:ind w:left="1732" w:right="0" w:hanging="635"/>
        <w:jc w:val="left"/>
        <w:rPr>
          <w:sz w:val="21"/>
        </w:rPr>
      </w:pPr>
      <w:r>
        <w:rPr>
          <w:spacing w:val="-3"/>
          <w:sz w:val="21"/>
        </w:rPr>
        <w:t>“投标人须知前附表”规定的其他材料。</w:t>
      </w:r>
      <w:r>
        <w:rPr>
          <w:sz w:val="21"/>
        </w:rPr>
        <w:t> </w:t>
      </w:r>
    </w:p>
    <w:p>
      <w:pPr>
        <w:spacing w:after="0" w:line="240" w:lineRule="auto"/>
        <w:jc w:val="left"/>
        <w:rPr>
          <w:sz w:val="21"/>
        </w:rPr>
        <w:sectPr>
          <w:pgSz w:w="11910" w:h="16850"/>
          <w:pgMar w:header="0" w:footer="779" w:top="1400" w:bottom="1040" w:left="1120" w:right="280"/>
        </w:sectPr>
      </w:pPr>
    </w:p>
    <w:p>
      <w:pPr>
        <w:pStyle w:val="ListParagraph"/>
        <w:numPr>
          <w:ilvl w:val="2"/>
          <w:numId w:val="28"/>
        </w:numPr>
        <w:tabs>
          <w:tab w:pos="1627" w:val="left" w:leader="none"/>
        </w:tabs>
        <w:spacing w:line="364" w:lineRule="auto" w:before="60" w:after="0"/>
        <w:ind w:left="678" w:right="1151" w:firstLine="419"/>
        <w:jc w:val="both"/>
        <w:rPr>
          <w:sz w:val="21"/>
        </w:rPr>
      </w:pPr>
      <w:r>
        <w:rPr>
          <w:spacing w:val="-8"/>
          <w:sz w:val="21"/>
        </w:rPr>
        <w:t>根据本章第 </w:t>
      </w:r>
      <w:r>
        <w:rPr>
          <w:sz w:val="21"/>
        </w:rPr>
        <w:t>2.2</w:t>
      </w:r>
      <w:r>
        <w:rPr>
          <w:spacing w:val="-15"/>
          <w:sz w:val="21"/>
        </w:rPr>
        <w:t> 款和第 </w:t>
      </w:r>
      <w:r>
        <w:rPr>
          <w:sz w:val="21"/>
        </w:rPr>
        <w:t>2.3</w:t>
      </w:r>
      <w:r>
        <w:rPr>
          <w:spacing w:val="-8"/>
          <w:sz w:val="21"/>
        </w:rPr>
        <w:t> 款对招标文件所作的澄清、修改，构成招标文件的组成</w:t>
      </w:r>
      <w:r>
        <w:rPr>
          <w:spacing w:val="-9"/>
          <w:sz w:val="21"/>
        </w:rPr>
        <w:t>部分。当招标文件及其澄清、修改或补充文件对于同一内容表述不一致时，以最后发出的书面</w:t>
      </w:r>
      <w:r>
        <w:rPr>
          <w:spacing w:val="-2"/>
          <w:sz w:val="21"/>
        </w:rPr>
        <w:t>文件为准。</w:t>
      </w:r>
      <w:r>
        <w:rPr>
          <w:sz w:val="21"/>
        </w:rPr>
        <w:t> </w:t>
      </w:r>
    </w:p>
    <w:p>
      <w:pPr>
        <w:pStyle w:val="Heading2"/>
        <w:numPr>
          <w:ilvl w:val="1"/>
          <w:numId w:val="28"/>
        </w:numPr>
        <w:tabs>
          <w:tab w:pos="1163" w:val="left" w:leader="none"/>
        </w:tabs>
        <w:spacing w:line="483" w:lineRule="exact" w:before="0" w:after="0"/>
        <w:ind w:left="1162" w:right="0" w:hanging="485"/>
        <w:jc w:val="left"/>
      </w:pPr>
      <w:bookmarkStart w:name="2.2 招标文件的澄清" w:id="52"/>
      <w:bookmarkEnd w:id="52"/>
      <w:r>
        <w:rPr>
          <w:b w:val="0"/>
        </w:rPr>
      </w:r>
      <w:bookmarkStart w:name="_bookmark19" w:id="53"/>
      <w:bookmarkEnd w:id="53"/>
      <w:r>
        <w:rPr>
          <w:b w:val="0"/>
        </w:rPr>
      </w:r>
      <w:bookmarkStart w:name="_bookmark19" w:id="54"/>
      <w:bookmarkEnd w:id="54"/>
      <w:r>
        <w:rPr/>
        <w:t>招标文件的澄清</w:t>
      </w:r>
      <w:r>
        <w:rPr>
          <w:w w:val="199"/>
        </w:rPr>
        <w:t> </w:t>
      </w:r>
    </w:p>
    <w:p>
      <w:pPr>
        <w:pStyle w:val="ListParagraph"/>
        <w:numPr>
          <w:ilvl w:val="2"/>
          <w:numId w:val="28"/>
        </w:numPr>
        <w:tabs>
          <w:tab w:pos="1627" w:val="left" w:leader="none"/>
        </w:tabs>
        <w:spacing w:line="364" w:lineRule="auto" w:before="138" w:after="0"/>
        <w:ind w:left="678" w:right="1045" w:firstLine="419"/>
        <w:jc w:val="left"/>
        <w:rPr>
          <w:sz w:val="21"/>
        </w:rPr>
      </w:pPr>
      <w:r>
        <w:rPr>
          <w:sz w:val="21"/>
        </w:rPr>
        <w:t>投标人应仔细阅读和检查招标文件的全部内容，如有疑问或异议，应在投标人须知前</w:t>
      </w:r>
      <w:r>
        <w:rPr>
          <w:spacing w:val="-5"/>
          <w:sz w:val="21"/>
        </w:rPr>
        <w:t>附表规定的时间前通过南宁市公共资源交易系统进行网上投标询疑，要求招标人</w:t>
      </w:r>
      <w:r>
        <w:rPr>
          <w:spacing w:val="-3"/>
          <w:sz w:val="21"/>
        </w:rPr>
        <w:t>（招标代理</w:t>
      </w:r>
      <w:r>
        <w:rPr>
          <w:sz w:val="21"/>
        </w:rPr>
        <w:t>）对</w:t>
      </w:r>
      <w:r>
        <w:rPr>
          <w:spacing w:val="-3"/>
          <w:sz w:val="21"/>
        </w:rPr>
        <w:t>招标文件予以澄清。</w:t>
      </w:r>
      <w:r>
        <w:rPr>
          <w:sz w:val="21"/>
        </w:rPr>
        <w:t> </w:t>
      </w:r>
    </w:p>
    <w:p>
      <w:pPr>
        <w:pStyle w:val="ListParagraph"/>
        <w:numPr>
          <w:ilvl w:val="2"/>
          <w:numId w:val="28"/>
        </w:numPr>
        <w:tabs>
          <w:tab w:pos="1627" w:val="left" w:leader="none"/>
        </w:tabs>
        <w:spacing w:line="364" w:lineRule="auto" w:before="0" w:after="0"/>
        <w:ind w:left="678" w:right="1151" w:firstLine="419"/>
        <w:jc w:val="both"/>
        <w:rPr>
          <w:sz w:val="21"/>
        </w:rPr>
      </w:pPr>
      <w:r>
        <w:rPr>
          <w:spacing w:val="-15"/>
          <w:sz w:val="21"/>
        </w:rPr>
        <w:t>招标人对招标文件的澄清将在“投标人须知前附表”规定的投标截止时间 </w:t>
      </w:r>
      <w:r>
        <w:rPr>
          <w:sz w:val="21"/>
        </w:rPr>
        <w:t>15</w:t>
      </w:r>
      <w:r>
        <w:rPr>
          <w:spacing w:val="-45"/>
          <w:sz w:val="21"/>
        </w:rPr>
        <w:t> 日前</w:t>
      </w:r>
      <w:r>
        <w:rPr>
          <w:spacing w:val="-3"/>
          <w:sz w:val="21"/>
        </w:rPr>
        <w:t>（</w:t>
      </w:r>
      <w:r>
        <w:rPr>
          <w:sz w:val="21"/>
        </w:rPr>
        <w:t>不涉及招标文件实质性内容修改的除外）</w:t>
      </w:r>
      <w:r>
        <w:rPr>
          <w:spacing w:val="-1"/>
          <w:sz w:val="21"/>
        </w:rPr>
        <w:t>以“投标人须知前附表”规定的方式发布，并提供给所有下载了招标文件的投标人下载，但不得指明澄清问题的来源。如果澄清发出的时间距投标截</w:t>
      </w:r>
      <w:r>
        <w:rPr>
          <w:spacing w:val="-11"/>
          <w:sz w:val="21"/>
        </w:rPr>
        <w:t>止时间不足 </w:t>
      </w:r>
      <w:r>
        <w:rPr>
          <w:sz w:val="21"/>
        </w:rPr>
        <w:t>15</w:t>
      </w:r>
      <w:r>
        <w:rPr>
          <w:spacing w:val="-9"/>
          <w:sz w:val="21"/>
        </w:rPr>
        <w:t> 日，相应延长投标截止时间。</w:t>
      </w:r>
      <w:r>
        <w:rPr>
          <w:sz w:val="21"/>
        </w:rPr>
        <w:t> </w:t>
      </w:r>
    </w:p>
    <w:p>
      <w:pPr>
        <w:pStyle w:val="ListParagraph"/>
        <w:numPr>
          <w:ilvl w:val="2"/>
          <w:numId w:val="28"/>
        </w:numPr>
        <w:tabs>
          <w:tab w:pos="1677" w:val="left" w:leader="none"/>
        </w:tabs>
        <w:spacing w:line="268" w:lineRule="exact" w:before="0" w:after="0"/>
        <w:ind w:left="1676" w:right="0" w:hanging="579"/>
        <w:jc w:val="both"/>
        <w:rPr>
          <w:sz w:val="21"/>
        </w:rPr>
      </w:pPr>
      <w:r>
        <w:rPr>
          <w:spacing w:val="-3"/>
          <w:sz w:val="21"/>
        </w:rPr>
        <w:t>投标人确认收到澄清的方式：见“投标人须知前附表”。</w:t>
      </w:r>
      <w:r>
        <w:rPr>
          <w:sz w:val="21"/>
        </w:rPr>
        <w:t> </w:t>
      </w:r>
    </w:p>
    <w:p>
      <w:pPr>
        <w:pStyle w:val="Heading2"/>
        <w:numPr>
          <w:ilvl w:val="1"/>
          <w:numId w:val="28"/>
        </w:numPr>
        <w:tabs>
          <w:tab w:pos="1163" w:val="left" w:leader="none"/>
        </w:tabs>
        <w:spacing w:line="240" w:lineRule="auto" w:before="34" w:after="0"/>
        <w:ind w:left="1162" w:right="0" w:hanging="485"/>
        <w:jc w:val="left"/>
      </w:pPr>
      <w:bookmarkStart w:name="2.3 招标文件的修改" w:id="55"/>
      <w:bookmarkEnd w:id="55"/>
      <w:r>
        <w:rPr>
          <w:b w:val="0"/>
        </w:rPr>
      </w:r>
      <w:bookmarkStart w:name="_bookmark20" w:id="56"/>
      <w:bookmarkEnd w:id="56"/>
      <w:r>
        <w:rPr>
          <w:b w:val="0"/>
        </w:rPr>
      </w:r>
      <w:bookmarkStart w:name="_bookmark20" w:id="57"/>
      <w:bookmarkEnd w:id="57"/>
      <w:r>
        <w:rPr/>
        <w:t>招标文件的修改</w:t>
      </w:r>
      <w:r>
        <w:rPr>
          <w:w w:val="199"/>
        </w:rPr>
        <w:t> </w:t>
      </w:r>
    </w:p>
    <w:p>
      <w:pPr>
        <w:pStyle w:val="ListParagraph"/>
        <w:numPr>
          <w:ilvl w:val="2"/>
          <w:numId w:val="28"/>
        </w:numPr>
        <w:tabs>
          <w:tab w:pos="1627" w:val="left" w:leader="none"/>
        </w:tabs>
        <w:spacing w:line="364" w:lineRule="auto" w:before="138" w:after="0"/>
        <w:ind w:left="678" w:right="1153" w:firstLine="419"/>
        <w:jc w:val="both"/>
        <w:rPr>
          <w:sz w:val="21"/>
        </w:rPr>
      </w:pPr>
      <w:r>
        <w:rPr>
          <w:spacing w:val="-8"/>
          <w:sz w:val="21"/>
        </w:rPr>
        <w:t>在投标截止时间 </w:t>
      </w:r>
      <w:r>
        <w:rPr>
          <w:sz w:val="21"/>
        </w:rPr>
        <w:t>15</w:t>
      </w:r>
      <w:r>
        <w:rPr>
          <w:spacing w:val="-11"/>
          <w:sz w:val="21"/>
        </w:rPr>
        <w:t> 日前，招标人可以对招标文件进行修改，如修改涉及评标办法和</w:t>
      </w:r>
      <w:r>
        <w:rPr>
          <w:spacing w:val="-12"/>
          <w:sz w:val="21"/>
        </w:rPr>
        <w:t>投标文件格式的内容，招标人应将修改后的招标文件重新上传并通过南宁市公共资源交易系统</w:t>
      </w:r>
      <w:r>
        <w:rPr>
          <w:spacing w:val="-1"/>
          <w:sz w:val="21"/>
        </w:rPr>
        <w:t>通知所有下载了招标文件的投标人，投标人应按修改后的招标文件制作投标文件。如果修改招</w:t>
      </w:r>
      <w:r>
        <w:rPr>
          <w:spacing w:val="-7"/>
          <w:sz w:val="21"/>
        </w:rPr>
        <w:t>标文件的时间距投标截止时间不足 </w:t>
      </w:r>
      <w:r>
        <w:rPr>
          <w:sz w:val="21"/>
        </w:rPr>
        <w:t>15</w:t>
      </w:r>
      <w:r>
        <w:rPr>
          <w:spacing w:val="-8"/>
          <w:sz w:val="21"/>
        </w:rPr>
        <w:t> 日，相应延长投标截止时间。</w:t>
      </w:r>
      <w:r>
        <w:rPr>
          <w:sz w:val="21"/>
        </w:rPr>
        <w:t> </w:t>
      </w:r>
    </w:p>
    <w:p>
      <w:pPr>
        <w:pStyle w:val="ListParagraph"/>
        <w:numPr>
          <w:ilvl w:val="2"/>
          <w:numId w:val="28"/>
        </w:numPr>
        <w:tabs>
          <w:tab w:pos="1677" w:val="left" w:leader="none"/>
        </w:tabs>
        <w:spacing w:line="364" w:lineRule="auto" w:before="0" w:after="0"/>
        <w:ind w:left="678" w:right="1048" w:firstLine="419"/>
        <w:jc w:val="both"/>
        <w:rPr>
          <w:sz w:val="21"/>
        </w:rPr>
      </w:pPr>
      <w:r>
        <w:rPr>
          <w:spacing w:val="-16"/>
          <w:sz w:val="21"/>
        </w:rPr>
        <w:t>当招标文件、招标文件的修改、补充在同一内容表述不一致时，以最后的更正、补遗、</w:t>
      </w:r>
      <w:r>
        <w:rPr>
          <w:spacing w:val="-7"/>
          <w:sz w:val="21"/>
        </w:rPr>
        <w:t>澄清为准。未在系统发布的更正、补遗、澄清为无效更正、补遗、澄清。</w:t>
      </w:r>
      <w:r>
        <w:rPr>
          <w:sz w:val="21"/>
        </w:rPr>
        <w:t> </w:t>
      </w:r>
    </w:p>
    <w:p>
      <w:pPr>
        <w:pStyle w:val="BodyText"/>
        <w:spacing w:line="367" w:lineRule="auto"/>
        <w:ind w:right="1154" w:firstLine="419"/>
      </w:pPr>
      <w:r>
        <w:rPr/>
        <w:t>招标人应根据系统发布的更正、补遗、澄清重新生成招标文件。除更正、补遗、澄清内容外，其他内容以原招标文件为准。 </w:t>
      </w:r>
    </w:p>
    <w:p>
      <w:pPr>
        <w:pStyle w:val="ListParagraph"/>
        <w:numPr>
          <w:ilvl w:val="2"/>
          <w:numId w:val="28"/>
        </w:numPr>
        <w:tabs>
          <w:tab w:pos="1627" w:val="left" w:leader="none"/>
        </w:tabs>
        <w:spacing w:line="364" w:lineRule="auto" w:before="0" w:after="0"/>
        <w:ind w:left="678" w:right="1155" w:firstLine="419"/>
        <w:jc w:val="both"/>
        <w:rPr>
          <w:sz w:val="21"/>
        </w:rPr>
      </w:pPr>
      <w:r>
        <w:rPr>
          <w:spacing w:val="-1"/>
          <w:sz w:val="21"/>
        </w:rPr>
        <w:t>为使投标人在编制投标文件时有充分的时间对招标文件的修改、补充等内容进行研究并做出响应，招标人可酌情延长提交投标文件的截止时间，具体时间在招标文件的修改、补</w:t>
      </w:r>
      <w:r>
        <w:rPr>
          <w:spacing w:val="-3"/>
          <w:sz w:val="21"/>
        </w:rPr>
        <w:t>充等通知中予以明确。 </w:t>
      </w:r>
      <w:r>
        <w:rPr>
          <w:sz w:val="21"/>
        </w:rPr>
        <w:t> </w:t>
      </w:r>
    </w:p>
    <w:p>
      <w:pPr>
        <w:pStyle w:val="ListParagraph"/>
        <w:numPr>
          <w:ilvl w:val="2"/>
          <w:numId w:val="28"/>
        </w:numPr>
        <w:tabs>
          <w:tab w:pos="1627" w:val="left" w:leader="none"/>
        </w:tabs>
        <w:spacing w:line="367" w:lineRule="auto" w:before="0" w:after="0"/>
        <w:ind w:left="678" w:right="1151" w:firstLine="419"/>
        <w:jc w:val="left"/>
        <w:rPr>
          <w:sz w:val="21"/>
        </w:rPr>
      </w:pPr>
      <w:r>
        <w:rPr>
          <w:spacing w:val="-1"/>
          <w:sz w:val="21"/>
        </w:rPr>
        <w:t>招标文件的修改或补充报招标管理机构备案后，在南宁市公共资源交易系统网站上</w:t>
      </w:r>
      <w:r>
        <w:rPr>
          <w:spacing w:val="-3"/>
          <w:sz w:val="21"/>
        </w:rPr>
        <w:t>进行发布。招标文件的修改内容作为招标文件的组成部分，具有约束作用。</w:t>
      </w:r>
      <w:r>
        <w:rPr>
          <w:spacing w:val="-2"/>
          <w:sz w:val="21"/>
        </w:rPr>
        <w:t> </w:t>
      </w:r>
      <w:r>
        <w:rPr>
          <w:sz w:val="21"/>
        </w:rPr>
        <w:t> </w:t>
      </w:r>
    </w:p>
    <w:p>
      <w:pPr>
        <w:spacing w:line="241" w:lineRule="exact" w:before="0"/>
        <w:ind w:left="678" w:right="0" w:firstLine="0"/>
        <w:jc w:val="left"/>
        <w:rPr>
          <w:sz w:val="21"/>
        </w:rPr>
      </w:pPr>
      <w:r>
        <w:rPr>
          <w:color w:val="000080"/>
          <w:spacing w:val="1"/>
          <w:w w:val="99"/>
          <w:sz w:val="20"/>
        </w:rPr>
        <w:t>  </w:t>
      </w:r>
      <w:r>
        <w:rPr>
          <w:color w:val="000080"/>
          <w:spacing w:val="-2"/>
          <w:w w:val="99"/>
          <w:sz w:val="20"/>
        </w:rPr>
        <w:t> </w:t>
      </w:r>
      <w:r>
        <w:rPr>
          <w:w w:val="100"/>
          <w:sz w:val="21"/>
        </w:rPr>
        <w:t> </w:t>
      </w:r>
    </w:p>
    <w:p>
      <w:pPr>
        <w:pStyle w:val="Heading2"/>
        <w:spacing w:line="566" w:lineRule="exact"/>
        <w:ind w:left="678"/>
      </w:pPr>
      <w:bookmarkStart w:name="3 投标文件" w:id="58"/>
      <w:bookmarkEnd w:id="58"/>
      <w:r>
        <w:rPr>
          <w:b w:val="0"/>
        </w:rPr>
      </w:r>
      <w:bookmarkStart w:name="_bookmark21" w:id="59"/>
      <w:bookmarkEnd w:id="59"/>
      <w:r>
        <w:rPr>
          <w:b w:val="0"/>
        </w:rPr>
      </w:r>
      <w:r>
        <w:rPr>
          <w:w w:val="105"/>
        </w:rPr>
        <w:t>3 投标文件</w:t>
      </w:r>
      <w:r>
        <w:rPr>
          <w:w w:val="199"/>
        </w:rPr>
        <w:t> </w:t>
      </w:r>
    </w:p>
    <w:p>
      <w:pPr>
        <w:pStyle w:val="ListParagraph"/>
        <w:numPr>
          <w:ilvl w:val="1"/>
          <w:numId w:val="30"/>
        </w:numPr>
        <w:tabs>
          <w:tab w:pos="1163" w:val="left" w:leader="none"/>
        </w:tabs>
        <w:spacing w:line="240" w:lineRule="auto" w:before="179" w:after="0"/>
        <w:ind w:left="1162" w:right="0" w:hanging="485"/>
        <w:jc w:val="left"/>
        <w:rPr>
          <w:rFonts w:ascii="Microsoft JhengHei" w:eastAsia="Microsoft JhengHei" w:hint="eastAsia"/>
          <w:b/>
          <w:sz w:val="32"/>
        </w:rPr>
      </w:pPr>
      <w:bookmarkStart w:name="3.1 投标文件的组成" w:id="60"/>
      <w:bookmarkEnd w:id="60"/>
      <w:r>
        <w:rPr/>
      </w:r>
      <w:bookmarkStart w:name="_bookmark22" w:id="61"/>
      <w:bookmarkEnd w:id="61"/>
      <w:r>
        <w:rPr/>
      </w:r>
      <w:bookmarkStart w:name="_bookmark22" w:id="62"/>
      <w:bookmarkEnd w:id="62"/>
      <w:r>
        <w:rPr>
          <w:rFonts w:ascii="Microsoft JhengHei" w:eastAsia="Microsoft JhengHei" w:hint="eastAsia"/>
          <w:b/>
          <w:sz w:val="32"/>
        </w:rPr>
        <w:t>投标文件的组成</w:t>
      </w:r>
      <w:r>
        <w:rPr>
          <w:rFonts w:ascii="Microsoft JhengHei" w:eastAsia="Microsoft JhengHei" w:hint="eastAsia"/>
          <w:b/>
          <w:w w:val="199"/>
          <w:sz w:val="32"/>
        </w:rPr>
        <w:t> </w:t>
      </w:r>
    </w:p>
    <w:p>
      <w:pPr>
        <w:pStyle w:val="ListParagraph"/>
        <w:numPr>
          <w:ilvl w:val="2"/>
          <w:numId w:val="30"/>
        </w:numPr>
        <w:tabs>
          <w:tab w:pos="1627" w:val="left" w:leader="none"/>
        </w:tabs>
        <w:spacing w:line="240" w:lineRule="auto" w:before="138" w:after="0"/>
        <w:ind w:left="1627" w:right="0" w:hanging="529"/>
        <w:jc w:val="left"/>
        <w:rPr>
          <w:sz w:val="21"/>
        </w:rPr>
      </w:pPr>
      <w:r>
        <w:rPr>
          <w:spacing w:val="-3"/>
          <w:sz w:val="21"/>
        </w:rPr>
        <w:t>投标文件应包括下列内容：</w:t>
      </w:r>
      <w:r>
        <w:rPr>
          <w:sz w:val="21"/>
        </w:rPr>
        <w:t> </w:t>
      </w:r>
    </w:p>
    <w:p>
      <w:pPr>
        <w:pStyle w:val="ListParagraph"/>
        <w:numPr>
          <w:ilvl w:val="3"/>
          <w:numId w:val="30"/>
        </w:numPr>
        <w:tabs>
          <w:tab w:pos="1888" w:val="left" w:leader="none"/>
        </w:tabs>
        <w:spacing w:line="240" w:lineRule="auto" w:before="142" w:after="0"/>
        <w:ind w:left="1887" w:right="0" w:hanging="790"/>
        <w:jc w:val="both"/>
        <w:rPr>
          <w:sz w:val="21"/>
        </w:rPr>
      </w:pPr>
      <w:r>
        <w:rPr>
          <w:spacing w:val="-3"/>
          <w:sz w:val="21"/>
        </w:rPr>
        <w:t>资格审查部分：具体材料见“投标人须知前附表”； </w:t>
      </w:r>
    </w:p>
    <w:p>
      <w:pPr>
        <w:pStyle w:val="ListParagraph"/>
        <w:numPr>
          <w:ilvl w:val="3"/>
          <w:numId w:val="30"/>
        </w:numPr>
        <w:tabs>
          <w:tab w:pos="1888" w:val="left" w:leader="none"/>
        </w:tabs>
        <w:spacing w:line="240" w:lineRule="auto" w:before="139" w:after="0"/>
        <w:ind w:left="1887" w:right="0" w:hanging="790"/>
        <w:jc w:val="both"/>
        <w:rPr>
          <w:sz w:val="21"/>
        </w:rPr>
      </w:pPr>
      <w:r>
        <w:rPr>
          <w:spacing w:val="-3"/>
          <w:sz w:val="21"/>
        </w:rPr>
        <w:t>商务标部分：具体材料见“投标人须知前附表”；</w:t>
      </w:r>
      <w:r>
        <w:rPr>
          <w:sz w:val="21"/>
        </w:rPr>
        <w:t> </w:t>
      </w:r>
    </w:p>
    <w:p>
      <w:pPr>
        <w:spacing w:after="0" w:line="240" w:lineRule="auto"/>
        <w:jc w:val="both"/>
        <w:rPr>
          <w:sz w:val="21"/>
        </w:rPr>
        <w:sectPr>
          <w:pgSz w:w="11910" w:h="16850"/>
          <w:pgMar w:header="0" w:footer="779" w:top="1380" w:bottom="1040" w:left="1120" w:right="280"/>
        </w:sectPr>
      </w:pPr>
    </w:p>
    <w:p>
      <w:pPr>
        <w:pStyle w:val="ListParagraph"/>
        <w:numPr>
          <w:ilvl w:val="3"/>
          <w:numId w:val="30"/>
        </w:numPr>
        <w:tabs>
          <w:tab w:pos="1888" w:val="left" w:leader="none"/>
        </w:tabs>
        <w:spacing w:line="240" w:lineRule="auto" w:before="60" w:after="0"/>
        <w:ind w:left="1887" w:right="0" w:hanging="790"/>
        <w:jc w:val="left"/>
        <w:rPr>
          <w:sz w:val="21"/>
        </w:rPr>
      </w:pPr>
      <w:r>
        <w:rPr>
          <w:spacing w:val="-20"/>
          <w:w w:val="100"/>
          <w:sz w:val="21"/>
        </w:rPr>
        <w:t>技术标部分：具体材料见“投标人须知前附表”，其中施工组织设计具体内容如下：</w:t>
      </w:r>
      <w:r>
        <w:rPr>
          <w:w w:val="100"/>
          <w:sz w:val="21"/>
        </w:rPr>
        <w:t> </w:t>
      </w:r>
    </w:p>
    <w:p>
      <w:pPr>
        <w:pStyle w:val="ListParagraph"/>
        <w:numPr>
          <w:ilvl w:val="0"/>
          <w:numId w:val="31"/>
        </w:numPr>
        <w:tabs>
          <w:tab w:pos="1627" w:val="left" w:leader="none"/>
        </w:tabs>
        <w:spacing w:line="240" w:lineRule="auto" w:before="139" w:after="0"/>
        <w:ind w:left="1627" w:right="0" w:hanging="529"/>
        <w:jc w:val="left"/>
        <w:rPr>
          <w:sz w:val="21"/>
        </w:rPr>
      </w:pPr>
      <w:r>
        <w:rPr>
          <w:spacing w:val="-2"/>
          <w:sz w:val="21"/>
        </w:rPr>
        <w:t>概述</w:t>
      </w:r>
      <w:r>
        <w:rPr>
          <w:sz w:val="21"/>
        </w:rPr>
        <w:t> </w:t>
      </w:r>
    </w:p>
    <w:p>
      <w:pPr>
        <w:pStyle w:val="ListParagraph"/>
        <w:numPr>
          <w:ilvl w:val="0"/>
          <w:numId w:val="31"/>
        </w:numPr>
        <w:tabs>
          <w:tab w:pos="1627" w:val="left" w:leader="none"/>
        </w:tabs>
        <w:spacing w:line="240" w:lineRule="auto" w:before="139" w:after="0"/>
        <w:ind w:left="1627" w:right="0" w:hanging="529"/>
        <w:jc w:val="left"/>
        <w:rPr>
          <w:sz w:val="21"/>
        </w:rPr>
      </w:pPr>
      <w:r>
        <w:rPr>
          <w:spacing w:val="-3"/>
          <w:sz w:val="21"/>
        </w:rPr>
        <w:t>主要施工方法；</w:t>
      </w:r>
      <w:r>
        <w:rPr>
          <w:sz w:val="21"/>
        </w:rPr>
        <w:t> </w:t>
      </w:r>
    </w:p>
    <w:p>
      <w:pPr>
        <w:pStyle w:val="ListParagraph"/>
        <w:numPr>
          <w:ilvl w:val="0"/>
          <w:numId w:val="31"/>
        </w:numPr>
        <w:tabs>
          <w:tab w:pos="1627" w:val="left" w:leader="none"/>
        </w:tabs>
        <w:spacing w:line="240" w:lineRule="auto" w:before="142" w:after="0"/>
        <w:ind w:left="1627" w:right="0" w:hanging="529"/>
        <w:jc w:val="left"/>
        <w:rPr>
          <w:sz w:val="21"/>
        </w:rPr>
      </w:pPr>
      <w:r>
        <w:rPr>
          <w:spacing w:val="-3"/>
          <w:sz w:val="21"/>
        </w:rPr>
        <w:t>拟投入的主要物资计划 </w:t>
      </w:r>
    </w:p>
    <w:p>
      <w:pPr>
        <w:pStyle w:val="ListParagraph"/>
        <w:numPr>
          <w:ilvl w:val="0"/>
          <w:numId w:val="31"/>
        </w:numPr>
        <w:tabs>
          <w:tab w:pos="1627" w:val="left" w:leader="none"/>
        </w:tabs>
        <w:spacing w:line="240" w:lineRule="auto" w:before="139" w:after="0"/>
        <w:ind w:left="1627" w:right="0" w:hanging="529"/>
        <w:jc w:val="left"/>
        <w:rPr>
          <w:sz w:val="21"/>
        </w:rPr>
      </w:pPr>
      <w:r>
        <w:rPr>
          <w:spacing w:val="-3"/>
          <w:sz w:val="21"/>
        </w:rPr>
        <w:t>拟投入的主要施工机械、设备计划</w:t>
      </w:r>
      <w:r>
        <w:rPr>
          <w:sz w:val="21"/>
        </w:rPr>
        <w:t> </w:t>
      </w:r>
    </w:p>
    <w:p>
      <w:pPr>
        <w:pStyle w:val="ListParagraph"/>
        <w:numPr>
          <w:ilvl w:val="0"/>
          <w:numId w:val="31"/>
        </w:numPr>
        <w:tabs>
          <w:tab w:pos="1627" w:val="left" w:leader="none"/>
        </w:tabs>
        <w:spacing w:line="240" w:lineRule="auto" w:before="139" w:after="0"/>
        <w:ind w:left="1627" w:right="0" w:hanging="529"/>
        <w:jc w:val="left"/>
        <w:rPr>
          <w:sz w:val="21"/>
        </w:rPr>
      </w:pPr>
      <w:r>
        <w:rPr>
          <w:spacing w:val="-3"/>
          <w:sz w:val="21"/>
        </w:rPr>
        <w:t>劳动力安排计划；</w:t>
      </w:r>
      <w:r>
        <w:rPr>
          <w:sz w:val="21"/>
        </w:rPr>
        <w:t> </w:t>
      </w:r>
    </w:p>
    <w:p>
      <w:pPr>
        <w:pStyle w:val="ListParagraph"/>
        <w:numPr>
          <w:ilvl w:val="0"/>
          <w:numId w:val="31"/>
        </w:numPr>
        <w:tabs>
          <w:tab w:pos="1627" w:val="left" w:leader="none"/>
        </w:tabs>
        <w:spacing w:line="240" w:lineRule="auto" w:before="139" w:after="0"/>
        <w:ind w:left="1627" w:right="0" w:hanging="529"/>
        <w:jc w:val="left"/>
        <w:rPr>
          <w:sz w:val="21"/>
        </w:rPr>
      </w:pPr>
      <w:r>
        <w:rPr>
          <w:spacing w:val="-3"/>
          <w:sz w:val="21"/>
        </w:rPr>
        <w:t>确保工程质量的技术组织措施；</w:t>
      </w:r>
      <w:r>
        <w:rPr>
          <w:sz w:val="21"/>
        </w:rPr>
        <w:t> </w:t>
      </w:r>
    </w:p>
    <w:p>
      <w:pPr>
        <w:pStyle w:val="ListParagraph"/>
        <w:numPr>
          <w:ilvl w:val="0"/>
          <w:numId w:val="31"/>
        </w:numPr>
        <w:tabs>
          <w:tab w:pos="1627" w:val="left" w:leader="none"/>
        </w:tabs>
        <w:spacing w:line="240" w:lineRule="auto" w:before="141" w:after="0"/>
        <w:ind w:left="1627" w:right="0" w:hanging="529"/>
        <w:jc w:val="left"/>
        <w:rPr>
          <w:sz w:val="21"/>
        </w:rPr>
      </w:pPr>
      <w:r>
        <w:rPr>
          <w:spacing w:val="-3"/>
          <w:sz w:val="21"/>
        </w:rPr>
        <w:t>确保安全生产的技术组织措施；</w:t>
      </w:r>
      <w:r>
        <w:rPr>
          <w:sz w:val="21"/>
        </w:rPr>
        <w:t> </w:t>
      </w:r>
    </w:p>
    <w:p>
      <w:pPr>
        <w:pStyle w:val="ListParagraph"/>
        <w:numPr>
          <w:ilvl w:val="0"/>
          <w:numId w:val="31"/>
        </w:numPr>
        <w:tabs>
          <w:tab w:pos="1627" w:val="left" w:leader="none"/>
        </w:tabs>
        <w:spacing w:line="240" w:lineRule="auto" w:before="139" w:after="0"/>
        <w:ind w:left="1627" w:right="0" w:hanging="529"/>
        <w:jc w:val="left"/>
        <w:rPr>
          <w:sz w:val="21"/>
        </w:rPr>
      </w:pPr>
      <w:r>
        <w:rPr>
          <w:spacing w:val="-3"/>
          <w:sz w:val="21"/>
        </w:rPr>
        <w:t>确保工期的技术组织措施；</w:t>
      </w:r>
      <w:r>
        <w:rPr>
          <w:sz w:val="21"/>
        </w:rPr>
        <w:t> </w:t>
      </w:r>
    </w:p>
    <w:p>
      <w:pPr>
        <w:pStyle w:val="ListParagraph"/>
        <w:numPr>
          <w:ilvl w:val="0"/>
          <w:numId w:val="31"/>
        </w:numPr>
        <w:tabs>
          <w:tab w:pos="1627" w:val="left" w:leader="none"/>
        </w:tabs>
        <w:spacing w:line="240" w:lineRule="auto" w:before="139" w:after="0"/>
        <w:ind w:left="1627" w:right="0" w:hanging="529"/>
        <w:jc w:val="left"/>
        <w:rPr>
          <w:sz w:val="21"/>
        </w:rPr>
      </w:pPr>
      <w:r>
        <w:rPr>
          <w:spacing w:val="-3"/>
          <w:sz w:val="21"/>
        </w:rPr>
        <w:t>确保文明施工的技术组织措施；</w:t>
      </w:r>
      <w:r>
        <w:rPr>
          <w:sz w:val="21"/>
        </w:rPr>
        <w:t> </w:t>
      </w:r>
    </w:p>
    <w:p>
      <w:pPr>
        <w:pStyle w:val="ListParagraph"/>
        <w:numPr>
          <w:ilvl w:val="0"/>
          <w:numId w:val="31"/>
        </w:numPr>
        <w:tabs>
          <w:tab w:pos="1733" w:val="left" w:leader="none"/>
        </w:tabs>
        <w:spacing w:line="240" w:lineRule="auto" w:before="139" w:after="0"/>
        <w:ind w:left="1732" w:right="0" w:hanging="635"/>
        <w:jc w:val="left"/>
        <w:rPr>
          <w:sz w:val="21"/>
        </w:rPr>
      </w:pPr>
      <w:r>
        <w:rPr>
          <w:spacing w:val="-3"/>
          <w:sz w:val="21"/>
        </w:rPr>
        <w:t>工程施工的重点和难点及保证措施；</w:t>
      </w:r>
      <w:r>
        <w:rPr>
          <w:sz w:val="21"/>
        </w:rPr>
        <w:t> </w:t>
      </w:r>
    </w:p>
    <w:p>
      <w:pPr>
        <w:pStyle w:val="ListParagraph"/>
        <w:numPr>
          <w:ilvl w:val="0"/>
          <w:numId w:val="31"/>
        </w:numPr>
        <w:tabs>
          <w:tab w:pos="1733" w:val="left" w:leader="none"/>
        </w:tabs>
        <w:spacing w:line="240" w:lineRule="auto" w:before="139" w:after="0"/>
        <w:ind w:left="1732" w:right="0" w:hanging="635"/>
        <w:jc w:val="left"/>
        <w:rPr>
          <w:sz w:val="21"/>
        </w:rPr>
      </w:pPr>
      <w:r>
        <w:rPr>
          <w:spacing w:val="-3"/>
          <w:sz w:val="21"/>
        </w:rPr>
        <w:t>施工总平面布置图； </w:t>
      </w:r>
    </w:p>
    <w:p>
      <w:pPr>
        <w:pStyle w:val="ListParagraph"/>
        <w:numPr>
          <w:ilvl w:val="0"/>
          <w:numId w:val="31"/>
        </w:numPr>
        <w:tabs>
          <w:tab w:pos="1733" w:val="left" w:leader="none"/>
        </w:tabs>
        <w:spacing w:line="240" w:lineRule="auto" w:before="142" w:after="0"/>
        <w:ind w:left="1732" w:right="0" w:hanging="635"/>
        <w:jc w:val="left"/>
        <w:rPr>
          <w:sz w:val="21"/>
        </w:rPr>
      </w:pPr>
      <w:r>
        <w:rPr>
          <w:spacing w:val="-2"/>
          <w:w w:val="100"/>
          <w:sz w:val="21"/>
        </w:rPr>
        <w:t>其他</w:t>
      </w:r>
      <w:r>
        <w:rPr>
          <w:w w:val="100"/>
          <w:sz w:val="21"/>
        </w:rPr>
        <w:t>（</w:t>
      </w:r>
      <w:r>
        <w:rPr>
          <w:spacing w:val="-2"/>
          <w:w w:val="100"/>
          <w:sz w:val="21"/>
        </w:rPr>
        <w:t>如有</w:t>
      </w:r>
      <w:r>
        <w:rPr>
          <w:spacing w:val="-108"/>
          <w:w w:val="100"/>
          <w:sz w:val="21"/>
        </w:rPr>
        <w:t>）</w:t>
      </w:r>
      <w:r>
        <w:rPr>
          <w:w w:val="100"/>
          <w:sz w:val="21"/>
        </w:rPr>
        <w:t>（</w:t>
      </w:r>
      <w:r>
        <w:rPr>
          <w:spacing w:val="-3"/>
          <w:w w:val="100"/>
          <w:sz w:val="21"/>
        </w:rPr>
        <w:t>与评标办法前附表技术标评分标准一致</w:t>
      </w:r>
      <w:r>
        <w:rPr>
          <w:spacing w:val="-108"/>
          <w:w w:val="100"/>
          <w:sz w:val="21"/>
        </w:rPr>
        <w:t>）</w:t>
      </w:r>
      <w:r>
        <w:rPr>
          <w:spacing w:val="-3"/>
          <w:w w:val="100"/>
          <w:sz w:val="21"/>
        </w:rPr>
        <w:t>；</w:t>
      </w:r>
      <w:r>
        <w:rPr>
          <w:w w:val="100"/>
          <w:sz w:val="21"/>
        </w:rPr>
        <w:t> </w:t>
      </w:r>
    </w:p>
    <w:p>
      <w:pPr>
        <w:pStyle w:val="ListParagraph"/>
        <w:numPr>
          <w:ilvl w:val="2"/>
          <w:numId w:val="30"/>
        </w:numPr>
        <w:tabs>
          <w:tab w:pos="1627" w:val="left" w:leader="none"/>
        </w:tabs>
        <w:spacing w:line="364" w:lineRule="auto" w:before="138" w:after="0"/>
        <w:ind w:left="678" w:right="1151" w:firstLine="419"/>
        <w:jc w:val="left"/>
        <w:rPr>
          <w:sz w:val="21"/>
        </w:rPr>
      </w:pPr>
      <w:r>
        <w:rPr>
          <w:spacing w:val="-5"/>
          <w:sz w:val="21"/>
        </w:rPr>
        <w:t>招标文件“第九章 投标文件格式”有规定格式要求的，投标人应按规定的格式填写</w:t>
      </w:r>
      <w:r>
        <w:rPr>
          <w:spacing w:val="-4"/>
          <w:sz w:val="21"/>
        </w:rPr>
        <w:t>并按要求提交相关的证明材料。</w:t>
      </w:r>
      <w:r>
        <w:rPr>
          <w:sz w:val="21"/>
        </w:rPr>
        <w:t> </w:t>
      </w:r>
    </w:p>
    <w:p>
      <w:pPr>
        <w:pStyle w:val="ListParagraph"/>
        <w:numPr>
          <w:ilvl w:val="2"/>
          <w:numId w:val="30"/>
        </w:numPr>
        <w:tabs>
          <w:tab w:pos="1627" w:val="left" w:leader="none"/>
        </w:tabs>
        <w:spacing w:line="364" w:lineRule="auto" w:before="0" w:after="0"/>
        <w:ind w:left="678" w:right="1153" w:firstLine="419"/>
        <w:jc w:val="left"/>
        <w:rPr>
          <w:sz w:val="21"/>
        </w:rPr>
      </w:pPr>
      <w:r>
        <w:rPr>
          <w:spacing w:val="-1"/>
          <w:sz w:val="21"/>
        </w:rPr>
        <w:t>“投标人须知前附表”规定不接受联合体投标的，或投标人没有组成联合体的，投</w:t>
      </w:r>
      <w:r>
        <w:rPr>
          <w:spacing w:val="-8"/>
          <w:sz w:val="21"/>
        </w:rPr>
        <w:t>标文件不包括本章第 </w:t>
      </w:r>
      <w:r>
        <w:rPr>
          <w:sz w:val="21"/>
        </w:rPr>
        <w:t>3.1.1.1</w:t>
      </w:r>
      <w:r>
        <w:rPr>
          <w:spacing w:val="-9"/>
          <w:sz w:val="21"/>
        </w:rPr>
        <w:t> 中所指的联合体协议书。</w:t>
      </w:r>
      <w:r>
        <w:rPr>
          <w:sz w:val="21"/>
        </w:rPr>
        <w:t> </w:t>
      </w:r>
    </w:p>
    <w:p>
      <w:pPr>
        <w:pStyle w:val="ListParagraph"/>
        <w:numPr>
          <w:ilvl w:val="2"/>
          <w:numId w:val="30"/>
        </w:numPr>
        <w:tabs>
          <w:tab w:pos="1627" w:val="left" w:leader="none"/>
        </w:tabs>
        <w:spacing w:line="364" w:lineRule="auto" w:before="0" w:after="0"/>
        <w:ind w:left="678" w:right="1151" w:firstLine="419"/>
        <w:jc w:val="left"/>
        <w:rPr>
          <w:sz w:val="21"/>
        </w:rPr>
      </w:pPr>
      <w:r>
        <w:rPr>
          <w:spacing w:val="-1"/>
          <w:sz w:val="21"/>
        </w:rPr>
        <w:t>近年财务状况、完成的类似项目、发生的诉讼及仲裁情况的年份要求：见“投标人</w:t>
      </w:r>
      <w:r>
        <w:rPr>
          <w:spacing w:val="-3"/>
          <w:sz w:val="21"/>
        </w:rPr>
        <w:t>须知前附表”。</w:t>
      </w:r>
      <w:r>
        <w:rPr>
          <w:sz w:val="21"/>
        </w:rPr>
        <w:t> </w:t>
      </w:r>
    </w:p>
    <w:p>
      <w:pPr>
        <w:pStyle w:val="Heading2"/>
        <w:numPr>
          <w:ilvl w:val="1"/>
          <w:numId w:val="30"/>
        </w:numPr>
        <w:tabs>
          <w:tab w:pos="1163" w:val="left" w:leader="none"/>
        </w:tabs>
        <w:spacing w:line="481" w:lineRule="exact" w:before="0" w:after="0"/>
        <w:ind w:left="1162" w:right="0" w:hanging="485"/>
        <w:jc w:val="left"/>
      </w:pPr>
      <w:bookmarkStart w:name="3.2 投标报价" w:id="63"/>
      <w:bookmarkEnd w:id="63"/>
      <w:r>
        <w:rPr>
          <w:b w:val="0"/>
        </w:rPr>
      </w:r>
      <w:bookmarkStart w:name="_bookmark23" w:id="64"/>
      <w:bookmarkEnd w:id="64"/>
      <w:r>
        <w:rPr>
          <w:b w:val="0"/>
        </w:rPr>
      </w:r>
      <w:bookmarkStart w:name="_bookmark23" w:id="65"/>
      <w:bookmarkEnd w:id="65"/>
      <w:r>
        <w:rPr/>
        <w:t>投标报价</w:t>
      </w:r>
      <w:r>
        <w:rPr>
          <w:w w:val="199"/>
        </w:rPr>
        <w:t> </w:t>
      </w:r>
    </w:p>
    <w:p>
      <w:pPr>
        <w:pStyle w:val="ListParagraph"/>
        <w:numPr>
          <w:ilvl w:val="2"/>
          <w:numId w:val="30"/>
        </w:numPr>
        <w:tabs>
          <w:tab w:pos="1627" w:val="left" w:leader="none"/>
        </w:tabs>
        <w:spacing w:line="240" w:lineRule="auto" w:before="138" w:after="0"/>
        <w:ind w:left="1627" w:right="0" w:hanging="529"/>
        <w:jc w:val="left"/>
        <w:rPr>
          <w:sz w:val="21"/>
        </w:rPr>
      </w:pPr>
      <w:r>
        <w:rPr>
          <w:spacing w:val="-3"/>
          <w:sz w:val="21"/>
        </w:rPr>
        <w:t>投标人应按第五章“工程量清单”的要求填写相应表格。</w:t>
      </w:r>
      <w:r>
        <w:rPr>
          <w:sz w:val="21"/>
        </w:rPr>
        <w:t> </w:t>
      </w:r>
    </w:p>
    <w:p>
      <w:pPr>
        <w:pStyle w:val="ListParagraph"/>
        <w:numPr>
          <w:ilvl w:val="2"/>
          <w:numId w:val="30"/>
        </w:numPr>
        <w:tabs>
          <w:tab w:pos="1627" w:val="left" w:leader="none"/>
        </w:tabs>
        <w:spacing w:line="364" w:lineRule="auto" w:before="141" w:after="0"/>
        <w:ind w:left="678" w:right="1151" w:firstLine="419"/>
        <w:jc w:val="left"/>
        <w:rPr>
          <w:sz w:val="21"/>
        </w:rPr>
      </w:pPr>
      <w:r>
        <w:rPr>
          <w:spacing w:val="-1"/>
          <w:sz w:val="21"/>
        </w:rPr>
        <w:t>投标人在投标截止时间前修改投标函中的投标总报价，应同时修改第九章“投标文</w:t>
      </w:r>
      <w:r>
        <w:rPr>
          <w:spacing w:val="-6"/>
          <w:sz w:val="21"/>
        </w:rPr>
        <w:t>件格式”中的相应报价。此修改须符合本章第 </w:t>
      </w:r>
      <w:r>
        <w:rPr>
          <w:sz w:val="21"/>
        </w:rPr>
        <w:t>4.3</w:t>
      </w:r>
      <w:r>
        <w:rPr>
          <w:spacing w:val="-10"/>
          <w:sz w:val="21"/>
        </w:rPr>
        <w:t> 款的有关要求。</w:t>
      </w:r>
      <w:r>
        <w:rPr>
          <w:sz w:val="21"/>
        </w:rPr>
        <w:t> </w:t>
      </w:r>
    </w:p>
    <w:p>
      <w:pPr>
        <w:pStyle w:val="Heading2"/>
        <w:numPr>
          <w:ilvl w:val="1"/>
          <w:numId w:val="30"/>
        </w:numPr>
        <w:tabs>
          <w:tab w:pos="1163" w:val="left" w:leader="none"/>
        </w:tabs>
        <w:spacing w:line="481" w:lineRule="exact" w:before="0" w:after="0"/>
        <w:ind w:left="1162" w:right="0" w:hanging="485"/>
        <w:jc w:val="left"/>
      </w:pPr>
      <w:bookmarkStart w:name="3.3 投标有效期" w:id="66"/>
      <w:bookmarkEnd w:id="66"/>
      <w:r>
        <w:rPr>
          <w:b w:val="0"/>
        </w:rPr>
      </w:r>
      <w:bookmarkStart w:name="_bookmark24" w:id="67"/>
      <w:bookmarkEnd w:id="67"/>
      <w:r>
        <w:rPr>
          <w:b w:val="0"/>
        </w:rPr>
      </w:r>
      <w:bookmarkStart w:name="_bookmark24" w:id="68"/>
      <w:bookmarkEnd w:id="68"/>
      <w:r>
        <w:rPr/>
        <w:t>投标有效期</w:t>
      </w:r>
      <w:r>
        <w:rPr>
          <w:w w:val="199"/>
        </w:rPr>
        <w:t> </w:t>
      </w:r>
    </w:p>
    <w:p>
      <w:pPr>
        <w:pStyle w:val="ListParagraph"/>
        <w:numPr>
          <w:ilvl w:val="2"/>
          <w:numId w:val="30"/>
        </w:numPr>
        <w:tabs>
          <w:tab w:pos="1627" w:val="left" w:leader="none"/>
        </w:tabs>
        <w:spacing w:line="240" w:lineRule="auto" w:before="139" w:after="0"/>
        <w:ind w:left="1627" w:right="0" w:hanging="529"/>
        <w:jc w:val="left"/>
        <w:rPr>
          <w:sz w:val="21"/>
        </w:rPr>
      </w:pPr>
      <w:r>
        <w:rPr>
          <w:spacing w:val="-9"/>
          <w:sz w:val="21"/>
        </w:rPr>
        <w:t>在投标人须知前附表规定的投标有效期内，投标人不得要求撤销或修改其投标文件。</w:t>
      </w:r>
      <w:r>
        <w:rPr>
          <w:sz w:val="21"/>
        </w:rPr>
        <w:t> </w:t>
      </w:r>
    </w:p>
    <w:p>
      <w:pPr>
        <w:pStyle w:val="ListParagraph"/>
        <w:numPr>
          <w:ilvl w:val="2"/>
          <w:numId w:val="30"/>
        </w:numPr>
        <w:tabs>
          <w:tab w:pos="1627" w:val="left" w:leader="none"/>
        </w:tabs>
        <w:spacing w:line="364" w:lineRule="auto" w:before="141" w:after="0"/>
        <w:ind w:left="678" w:right="1151" w:firstLine="419"/>
        <w:jc w:val="both"/>
        <w:rPr>
          <w:sz w:val="21"/>
        </w:rPr>
      </w:pPr>
      <w:r>
        <w:rPr>
          <w:spacing w:val="-1"/>
          <w:sz w:val="21"/>
        </w:rPr>
        <w:t>出现特殊情况需要延长投标有效期的，招标人通过南宁市公共资源交易系统通知所有投标人延长投标有效期。投标人同意延长的，应相应延长其投标保证金的有效期，但不得要求或被允许修改或撤销其投标文件；投标人拒绝延长的，其投标失效，但投标人有权收回其投</w:t>
      </w:r>
      <w:r>
        <w:rPr>
          <w:spacing w:val="-2"/>
          <w:sz w:val="21"/>
        </w:rPr>
        <w:t>标保证金。</w:t>
      </w:r>
      <w:r>
        <w:rPr>
          <w:sz w:val="21"/>
        </w:rPr>
        <w:t> </w:t>
      </w:r>
    </w:p>
    <w:p>
      <w:pPr>
        <w:pStyle w:val="Heading2"/>
        <w:numPr>
          <w:ilvl w:val="1"/>
          <w:numId w:val="30"/>
        </w:numPr>
        <w:tabs>
          <w:tab w:pos="1163" w:val="left" w:leader="none"/>
        </w:tabs>
        <w:spacing w:line="482" w:lineRule="exact" w:before="0" w:after="0"/>
        <w:ind w:left="1162" w:right="0" w:hanging="485"/>
        <w:jc w:val="left"/>
      </w:pPr>
      <w:bookmarkStart w:name="3.4 投标保证金" w:id="69"/>
      <w:bookmarkEnd w:id="69"/>
      <w:r>
        <w:rPr>
          <w:b w:val="0"/>
        </w:rPr>
      </w:r>
      <w:bookmarkStart w:name="_bookmark25" w:id="70"/>
      <w:bookmarkEnd w:id="70"/>
      <w:r>
        <w:rPr>
          <w:b w:val="0"/>
        </w:rPr>
      </w:r>
      <w:bookmarkStart w:name="_bookmark25" w:id="71"/>
      <w:bookmarkEnd w:id="71"/>
      <w:r>
        <w:rPr/>
        <w:t>投标保证金</w:t>
      </w:r>
      <w:r>
        <w:rPr>
          <w:w w:val="199"/>
        </w:rPr>
        <w:t> </w:t>
      </w:r>
    </w:p>
    <w:p>
      <w:pPr>
        <w:pStyle w:val="ListParagraph"/>
        <w:numPr>
          <w:ilvl w:val="2"/>
          <w:numId w:val="30"/>
        </w:numPr>
        <w:tabs>
          <w:tab w:pos="1627" w:val="left" w:leader="none"/>
        </w:tabs>
        <w:spacing w:line="364" w:lineRule="auto" w:before="139" w:after="0"/>
        <w:ind w:left="678" w:right="1152" w:firstLine="419"/>
        <w:jc w:val="left"/>
        <w:rPr>
          <w:sz w:val="21"/>
        </w:rPr>
      </w:pPr>
      <w:r>
        <w:rPr>
          <w:spacing w:val="-1"/>
          <w:sz w:val="21"/>
        </w:rPr>
        <w:t>投标人必须在投标截止时间前，按“投标人须知前附表”规定的金额、方式和第九章“投标文件格式”规定的投标保证金格式递交投标保证金。投标保证金的递交情况以南宁市</w:t>
      </w:r>
    </w:p>
    <w:p>
      <w:pPr>
        <w:spacing w:after="0" w:line="364" w:lineRule="auto"/>
        <w:jc w:val="left"/>
        <w:rPr>
          <w:sz w:val="21"/>
        </w:rPr>
        <w:sectPr>
          <w:pgSz w:w="11910" w:h="16850"/>
          <w:pgMar w:header="0" w:footer="779" w:top="1380" w:bottom="1040" w:left="1120" w:right="280"/>
        </w:sectPr>
      </w:pPr>
    </w:p>
    <w:p>
      <w:pPr>
        <w:pStyle w:val="BodyText"/>
        <w:spacing w:line="364" w:lineRule="auto" w:before="60"/>
        <w:ind w:right="1153"/>
      </w:pPr>
      <w:r>
        <w:rPr/>
        <w:t>公共资源交易系统记录为准。联合体投标的，其投标保证金由牵头人递交，并应符合“投标人须知前附表”的规定。 </w:t>
      </w:r>
    </w:p>
    <w:p>
      <w:pPr>
        <w:pStyle w:val="ListParagraph"/>
        <w:numPr>
          <w:ilvl w:val="2"/>
          <w:numId w:val="30"/>
        </w:numPr>
        <w:tabs>
          <w:tab w:pos="1627" w:val="left" w:leader="none"/>
        </w:tabs>
        <w:spacing w:line="268" w:lineRule="exact" w:before="0" w:after="0"/>
        <w:ind w:left="1627" w:right="0" w:hanging="529"/>
        <w:jc w:val="left"/>
        <w:rPr>
          <w:sz w:val="21"/>
        </w:rPr>
      </w:pPr>
      <w:r>
        <w:rPr>
          <w:spacing w:val="-7"/>
          <w:sz w:val="21"/>
        </w:rPr>
        <w:t>投标人不按本章第 </w:t>
      </w:r>
      <w:r>
        <w:rPr>
          <w:sz w:val="21"/>
        </w:rPr>
        <w:t>3.4.1</w:t>
      </w:r>
      <w:r>
        <w:rPr>
          <w:spacing w:val="-7"/>
          <w:sz w:val="21"/>
        </w:rPr>
        <w:t> 项要求提交投标保证金的，其投标文件作否决投标处理。</w:t>
      </w:r>
      <w:r>
        <w:rPr>
          <w:sz w:val="21"/>
        </w:rPr>
        <w:t> </w:t>
      </w:r>
    </w:p>
    <w:p>
      <w:pPr>
        <w:pStyle w:val="ListParagraph"/>
        <w:numPr>
          <w:ilvl w:val="2"/>
          <w:numId w:val="30"/>
        </w:numPr>
        <w:tabs>
          <w:tab w:pos="1627" w:val="left" w:leader="none"/>
        </w:tabs>
        <w:spacing w:line="240" w:lineRule="auto" w:before="141" w:after="0"/>
        <w:ind w:left="1627" w:right="0" w:hanging="529"/>
        <w:jc w:val="left"/>
        <w:rPr>
          <w:sz w:val="21"/>
        </w:rPr>
      </w:pPr>
      <w:r>
        <w:rPr>
          <w:spacing w:val="-3"/>
          <w:sz w:val="21"/>
        </w:rPr>
        <w:t>对未中标人交纳的投标保证金</w:t>
      </w:r>
      <w:r>
        <w:rPr>
          <w:sz w:val="21"/>
        </w:rPr>
        <w:t>（</w:t>
      </w:r>
      <w:r>
        <w:rPr>
          <w:spacing w:val="-3"/>
          <w:sz w:val="21"/>
        </w:rPr>
        <w:t>保函原件）应当于中标通知书发出之日起 </w:t>
      </w:r>
      <w:r>
        <w:rPr>
          <w:sz w:val="21"/>
        </w:rPr>
        <w:t>5</w:t>
      </w:r>
      <w:r>
        <w:rPr>
          <w:spacing w:val="-3"/>
          <w:sz w:val="21"/>
        </w:rPr>
        <w:t> 日内退</w:t>
      </w:r>
    </w:p>
    <w:p>
      <w:pPr>
        <w:pStyle w:val="BodyText"/>
        <w:spacing w:line="364" w:lineRule="auto" w:before="139"/>
        <w:ind w:left="1098" w:right="2154" w:hanging="420"/>
      </w:pPr>
      <w:r>
        <w:rPr/>
        <w:t>回；对中标人交纳的投标保证金（保函原件）应当于合同签订之日起 5 日内退回。3.4.4 有下列情形之一的，投标保证金将不予退还： </w:t>
      </w:r>
    </w:p>
    <w:p>
      <w:pPr>
        <w:pStyle w:val="ListParagraph"/>
        <w:numPr>
          <w:ilvl w:val="0"/>
          <w:numId w:val="32"/>
        </w:numPr>
        <w:tabs>
          <w:tab w:pos="1627" w:val="left" w:leader="none"/>
        </w:tabs>
        <w:spacing w:line="267" w:lineRule="exact" w:before="0" w:after="0"/>
        <w:ind w:left="1627" w:right="0" w:hanging="529"/>
        <w:jc w:val="left"/>
        <w:rPr>
          <w:sz w:val="21"/>
        </w:rPr>
      </w:pPr>
      <w:r>
        <w:rPr>
          <w:spacing w:val="-3"/>
          <w:sz w:val="21"/>
        </w:rPr>
        <w:t>投标人在规定的投标有效期内撤销或修改其投标文件；</w:t>
      </w:r>
      <w:r>
        <w:rPr>
          <w:sz w:val="21"/>
        </w:rPr>
        <w:t> </w:t>
      </w:r>
    </w:p>
    <w:p>
      <w:pPr>
        <w:pStyle w:val="ListParagraph"/>
        <w:numPr>
          <w:ilvl w:val="0"/>
          <w:numId w:val="32"/>
        </w:numPr>
        <w:tabs>
          <w:tab w:pos="1625" w:val="left" w:leader="none"/>
        </w:tabs>
        <w:spacing w:line="364" w:lineRule="auto" w:before="142" w:after="0"/>
        <w:ind w:left="678" w:right="1151" w:firstLine="419"/>
        <w:jc w:val="left"/>
        <w:rPr>
          <w:sz w:val="21"/>
        </w:rPr>
      </w:pPr>
      <w:r>
        <w:rPr>
          <w:spacing w:val="-5"/>
          <w:sz w:val="21"/>
        </w:rPr>
        <w:t>中标人在收到中标通知书后，无正当理由拒签合同协议书或未按招标文件规定提交 </w:t>
      </w:r>
      <w:r>
        <w:rPr>
          <w:spacing w:val="-2"/>
          <w:sz w:val="21"/>
        </w:rPr>
        <w:t>履约保证金。</w:t>
      </w:r>
      <w:r>
        <w:rPr>
          <w:sz w:val="21"/>
        </w:rPr>
        <w:t> </w:t>
      </w:r>
    </w:p>
    <w:p>
      <w:pPr>
        <w:pStyle w:val="BodyText"/>
        <w:spacing w:line="268" w:lineRule="exact"/>
        <w:ind w:left="1098"/>
      </w:pPr>
      <w:r>
        <w:rPr/>
        <w:t>3.4.5 投标保函约定 </w:t>
      </w:r>
    </w:p>
    <w:p>
      <w:pPr>
        <w:pStyle w:val="ListParagraph"/>
        <w:numPr>
          <w:ilvl w:val="0"/>
          <w:numId w:val="33"/>
        </w:numPr>
        <w:tabs>
          <w:tab w:pos="1625" w:val="left" w:leader="none"/>
        </w:tabs>
        <w:spacing w:line="364" w:lineRule="auto" w:before="139" w:after="0"/>
        <w:ind w:left="678" w:right="1048" w:firstLine="419"/>
        <w:jc w:val="both"/>
        <w:rPr>
          <w:sz w:val="21"/>
        </w:rPr>
      </w:pPr>
      <w:r>
        <w:rPr>
          <w:spacing w:val="-4"/>
          <w:sz w:val="21"/>
        </w:rPr>
        <w:t>投标人以保函形式提交的投标保证金应当从其基本帐户开户银行开具，如保函不是从其基本帐户开户银行开具的，则须由开具保函的银行或担保机构提供从其基本帐户转帐划付资</w:t>
      </w:r>
      <w:r>
        <w:rPr>
          <w:spacing w:val="-3"/>
          <w:sz w:val="21"/>
        </w:rPr>
        <w:t>金的收款凭证或收费凭证</w:t>
      </w:r>
      <w:r>
        <w:rPr>
          <w:sz w:val="21"/>
        </w:rPr>
        <w:t>（</w:t>
      </w:r>
      <w:r>
        <w:rPr>
          <w:spacing w:val="-3"/>
          <w:sz w:val="21"/>
        </w:rPr>
        <w:t>凭证须注明对应的保函编号，并在编号处加盖银行印章予以确认</w:t>
      </w:r>
      <w:r>
        <w:rPr>
          <w:spacing w:val="-106"/>
          <w:sz w:val="21"/>
        </w:rPr>
        <w:t>）</w:t>
      </w:r>
      <w:r>
        <w:rPr>
          <w:spacing w:val="-51"/>
          <w:sz w:val="21"/>
        </w:rPr>
        <w:t>。</w:t>
      </w:r>
      <w:r>
        <w:rPr>
          <w:sz w:val="21"/>
        </w:rPr>
        <w:t> </w:t>
      </w:r>
    </w:p>
    <w:p>
      <w:pPr>
        <w:pStyle w:val="ListParagraph"/>
        <w:numPr>
          <w:ilvl w:val="0"/>
          <w:numId w:val="33"/>
        </w:numPr>
        <w:tabs>
          <w:tab w:pos="1627" w:val="left" w:leader="none"/>
        </w:tabs>
        <w:spacing w:line="269" w:lineRule="exact" w:before="0" w:after="0"/>
        <w:ind w:left="1627" w:right="0" w:hanging="529"/>
        <w:jc w:val="left"/>
        <w:rPr>
          <w:sz w:val="21"/>
        </w:rPr>
      </w:pPr>
      <w:r>
        <w:rPr>
          <w:spacing w:val="-3"/>
          <w:sz w:val="21"/>
        </w:rPr>
        <w:t>投标保证金采取保函形式的，提交流程和核验方式的具体要求如下： </w:t>
      </w:r>
    </w:p>
    <w:p>
      <w:pPr>
        <w:pStyle w:val="BodyText"/>
        <w:spacing w:line="364" w:lineRule="auto" w:before="139"/>
        <w:ind w:right="1045" w:firstLine="525"/>
      </w:pPr>
      <w:r>
        <w:rPr>
          <w:spacing w:val="-8"/>
        </w:rPr>
        <w:t>全电子流程项目：投标人将保函原件电子扫描件作为投标文件的组成部分同步上传至南宁市公共资源统一交易平台，否则投标无效。在相关项目（标段）投标时间截止时，投标人在开标现场提交单独密封的保函原件，由招标人核验保函信息，确认保函是否有效后交由交易中心管理。投标人提交的保函原件未单独密封的，原件无效的或未能在投标截止时间前现场提交的， </w:t>
      </w:r>
      <w:r>
        <w:rPr>
          <w:spacing w:val="-6"/>
        </w:rPr>
        <w:t>投标无效。</w:t>
      </w:r>
      <w:r>
        <w:rPr/>
        <w:t> </w:t>
      </w:r>
    </w:p>
    <w:p>
      <w:pPr>
        <w:pStyle w:val="ListParagraph"/>
        <w:numPr>
          <w:ilvl w:val="0"/>
          <w:numId w:val="33"/>
        </w:numPr>
        <w:tabs>
          <w:tab w:pos="1625" w:val="left" w:leader="none"/>
        </w:tabs>
        <w:spacing w:line="364" w:lineRule="auto" w:before="0" w:after="0"/>
        <w:ind w:left="678" w:right="1043" w:firstLine="419"/>
        <w:jc w:val="left"/>
        <w:rPr>
          <w:sz w:val="21"/>
        </w:rPr>
      </w:pPr>
      <w:r>
        <w:rPr>
          <w:spacing w:val="-4"/>
          <w:sz w:val="21"/>
        </w:rPr>
        <w:t>投标人所提交的保函其有效期不能少于招标文件规定的投标有效期，且仅限于当次投</w:t>
      </w:r>
      <w:r>
        <w:rPr>
          <w:spacing w:val="-8"/>
          <w:sz w:val="21"/>
        </w:rPr>
        <w:t>标项目</w:t>
      </w:r>
      <w:r>
        <w:rPr>
          <w:sz w:val="21"/>
        </w:rPr>
        <w:t>（</w:t>
      </w:r>
      <w:r>
        <w:rPr>
          <w:spacing w:val="-2"/>
          <w:sz w:val="21"/>
        </w:rPr>
        <w:t>标段</w:t>
      </w:r>
      <w:r>
        <w:rPr>
          <w:spacing w:val="-13"/>
          <w:sz w:val="21"/>
        </w:rPr>
        <w:t>）</w:t>
      </w:r>
      <w:r>
        <w:rPr>
          <w:spacing w:val="-6"/>
          <w:sz w:val="21"/>
        </w:rPr>
        <w:t>有效，不得重复替代使用。一个招标项目有多个标段并允许投标人分别报名的， </w:t>
      </w:r>
      <w:r>
        <w:rPr>
          <w:spacing w:val="-4"/>
          <w:sz w:val="21"/>
        </w:rPr>
        <w:t>投标人应按项目、标段分别提交保函。</w:t>
      </w:r>
      <w:r>
        <w:rPr>
          <w:sz w:val="21"/>
        </w:rPr>
        <w:t> </w:t>
      </w:r>
    </w:p>
    <w:p>
      <w:pPr>
        <w:pStyle w:val="ListParagraph"/>
        <w:numPr>
          <w:ilvl w:val="0"/>
          <w:numId w:val="33"/>
        </w:numPr>
        <w:tabs>
          <w:tab w:pos="1627" w:val="left" w:leader="none"/>
        </w:tabs>
        <w:spacing w:line="269" w:lineRule="exact" w:before="0" w:after="0"/>
        <w:ind w:left="1627" w:right="0" w:hanging="529"/>
        <w:jc w:val="left"/>
        <w:rPr>
          <w:sz w:val="21"/>
        </w:rPr>
      </w:pPr>
      <w:r>
        <w:rPr>
          <w:spacing w:val="-3"/>
          <w:sz w:val="21"/>
        </w:rPr>
        <w:t>保函的退还方式。</w:t>
      </w:r>
      <w:r>
        <w:rPr>
          <w:sz w:val="21"/>
        </w:rPr>
        <w:t> </w:t>
      </w:r>
    </w:p>
    <w:p>
      <w:pPr>
        <w:pStyle w:val="ListParagraph"/>
        <w:numPr>
          <w:ilvl w:val="0"/>
          <w:numId w:val="34"/>
        </w:numPr>
        <w:tabs>
          <w:tab w:pos="1416" w:val="left" w:leader="none"/>
        </w:tabs>
        <w:spacing w:line="364" w:lineRule="auto" w:before="136" w:after="0"/>
        <w:ind w:left="678" w:right="1048" w:firstLine="419"/>
        <w:jc w:val="both"/>
        <w:rPr>
          <w:sz w:val="21"/>
        </w:rPr>
      </w:pPr>
      <w:r>
        <w:rPr>
          <w:spacing w:val="-8"/>
          <w:sz w:val="21"/>
        </w:rPr>
        <w:t>非中标人的保函退还。在项目《中标通知书》发出后，招标人或招标代理机构应在 </w:t>
      </w:r>
      <w:r>
        <w:rPr>
          <w:sz w:val="21"/>
        </w:rPr>
        <w:t>3</w:t>
      </w:r>
      <w:r>
        <w:rPr>
          <w:spacing w:val="-23"/>
          <w:sz w:val="21"/>
        </w:rPr>
        <w:t> 个</w:t>
      </w:r>
      <w:r>
        <w:rPr>
          <w:spacing w:val="-15"/>
          <w:sz w:val="21"/>
        </w:rPr>
        <w:t>工作日内向交易中心提供《非中标人投标保证金退还通知书》，交易中心应在收到通知书之后的 2</w:t>
      </w:r>
      <w:r>
        <w:rPr>
          <w:spacing w:val="-11"/>
          <w:sz w:val="21"/>
        </w:rPr>
        <w:t> 个工作日内通知非中标人，非中标人持相关授权证明材料至交易中心办理保函原件退还手续。</w:t>
      </w:r>
      <w:r>
        <w:rPr>
          <w:sz w:val="21"/>
        </w:rPr>
        <w:t> </w:t>
      </w:r>
    </w:p>
    <w:p>
      <w:pPr>
        <w:pStyle w:val="ListParagraph"/>
        <w:numPr>
          <w:ilvl w:val="0"/>
          <w:numId w:val="34"/>
        </w:numPr>
        <w:tabs>
          <w:tab w:pos="1416" w:val="left" w:leader="none"/>
        </w:tabs>
        <w:spacing w:line="240" w:lineRule="auto" w:before="1" w:after="0"/>
        <w:ind w:left="1415" w:right="0" w:hanging="318"/>
        <w:jc w:val="both"/>
        <w:rPr>
          <w:sz w:val="21"/>
        </w:rPr>
      </w:pPr>
      <w:r>
        <w:rPr>
          <w:spacing w:val="-8"/>
          <w:sz w:val="21"/>
        </w:rPr>
        <w:t>中标人的保函退还。招标人与中标人签订项目合同后，应在 </w:t>
      </w:r>
      <w:r>
        <w:rPr>
          <w:sz w:val="21"/>
        </w:rPr>
        <w:t>3</w:t>
      </w:r>
      <w:r>
        <w:rPr>
          <w:spacing w:val="-9"/>
          <w:sz w:val="21"/>
        </w:rPr>
        <w:t> 个工作日内向交易中心提</w:t>
      </w:r>
    </w:p>
    <w:p>
      <w:pPr>
        <w:pStyle w:val="BodyText"/>
        <w:spacing w:line="364" w:lineRule="auto" w:before="138"/>
        <w:ind w:right="1105"/>
        <w:jc w:val="both"/>
      </w:pPr>
      <w:r>
        <w:rPr>
          <w:spacing w:val="-11"/>
        </w:rPr>
        <w:t>供《中标人投标保证金退还通知书》，交易中心在收到通知书之后的 </w:t>
      </w:r>
      <w:r>
        <w:rPr/>
        <w:t>2</w:t>
      </w:r>
      <w:r>
        <w:rPr>
          <w:spacing w:val="-7"/>
        </w:rPr>
        <w:t> 个工作日内通知中标人， </w:t>
      </w:r>
      <w:r>
        <w:rPr>
          <w:spacing w:val="-5"/>
        </w:rPr>
        <w:t>中标人持相关授权证明材料至交易中心办理保函原件退还手续。</w:t>
      </w:r>
      <w:r>
        <w:rPr/>
        <w:t> </w:t>
      </w:r>
    </w:p>
    <w:p>
      <w:pPr>
        <w:pStyle w:val="ListParagraph"/>
        <w:numPr>
          <w:ilvl w:val="0"/>
          <w:numId w:val="33"/>
        </w:numPr>
        <w:tabs>
          <w:tab w:pos="1627" w:val="left" w:leader="none"/>
        </w:tabs>
        <w:spacing w:line="364" w:lineRule="auto" w:before="0" w:after="0"/>
        <w:ind w:left="678" w:right="1151" w:firstLine="419"/>
        <w:jc w:val="left"/>
        <w:rPr>
          <w:sz w:val="21"/>
        </w:rPr>
      </w:pPr>
      <w:r>
        <w:rPr>
          <w:spacing w:val="-5"/>
          <w:sz w:val="21"/>
        </w:rPr>
        <w:t>投标人如违反法律法规或招标文件相关规定的，保函原件不予退还，并按相关规定由</w:t>
      </w:r>
      <w:r>
        <w:rPr>
          <w:spacing w:val="-4"/>
          <w:sz w:val="21"/>
        </w:rPr>
        <w:t>出具保函的银行、担保机构承担投标人违约赔付责任；投标人已中标的，中标无效。</w:t>
      </w:r>
      <w:r>
        <w:rPr>
          <w:sz w:val="21"/>
        </w:rPr>
        <w:t> </w:t>
      </w:r>
    </w:p>
    <w:p>
      <w:pPr>
        <w:pStyle w:val="ListParagraph"/>
        <w:numPr>
          <w:ilvl w:val="0"/>
          <w:numId w:val="33"/>
        </w:numPr>
        <w:tabs>
          <w:tab w:pos="1627" w:val="left" w:leader="none"/>
        </w:tabs>
        <w:spacing w:line="364" w:lineRule="auto" w:before="0" w:after="0"/>
        <w:ind w:left="678" w:right="1151" w:firstLine="419"/>
        <w:jc w:val="both"/>
        <w:rPr>
          <w:sz w:val="21"/>
        </w:rPr>
      </w:pPr>
      <w:r>
        <w:rPr>
          <w:spacing w:val="-4"/>
          <w:sz w:val="21"/>
        </w:rPr>
        <w:t>采用保函之外的支付方式</w:t>
      </w:r>
      <w:r>
        <w:rPr>
          <w:sz w:val="21"/>
        </w:rPr>
        <w:t>（</w:t>
      </w:r>
      <w:r>
        <w:rPr>
          <w:spacing w:val="-5"/>
          <w:sz w:val="21"/>
        </w:rPr>
        <w:t>电汇、转帐、网银支付等</w:t>
      </w:r>
      <w:r>
        <w:rPr>
          <w:spacing w:val="-10"/>
          <w:sz w:val="21"/>
        </w:rPr>
        <w:t>）</w:t>
      </w:r>
      <w:r>
        <w:rPr>
          <w:spacing w:val="-4"/>
          <w:sz w:val="21"/>
        </w:rPr>
        <w:t>缴纳投标保证金的，按南宁市</w:t>
      </w:r>
      <w:r>
        <w:rPr>
          <w:spacing w:val="-6"/>
          <w:sz w:val="21"/>
        </w:rPr>
        <w:t>公共资源交易监督办《关于印发南宁市公共资源交易项目投标保证金集中管理办法的通知</w:t>
      </w:r>
      <w:r>
        <w:rPr>
          <w:spacing w:val="-130"/>
          <w:sz w:val="21"/>
        </w:rPr>
        <w:t>》</w:t>
      </w:r>
      <w:r>
        <w:rPr>
          <w:spacing w:val="-3"/>
          <w:sz w:val="21"/>
        </w:rPr>
        <w:t>（</w:t>
      </w:r>
      <w:r>
        <w:rPr>
          <w:sz w:val="21"/>
        </w:rPr>
        <w:t>南</w:t>
      </w:r>
      <w:r>
        <w:rPr>
          <w:spacing w:val="-5"/>
          <w:sz w:val="21"/>
        </w:rPr>
        <w:t>公管办发〔</w:t>
      </w:r>
      <w:r>
        <w:rPr>
          <w:sz w:val="21"/>
        </w:rPr>
        <w:t>2015</w:t>
      </w:r>
      <w:r>
        <w:rPr>
          <w:spacing w:val="-15"/>
          <w:sz w:val="21"/>
        </w:rPr>
        <w:t>〕</w:t>
      </w:r>
      <w:r>
        <w:rPr>
          <w:sz w:val="21"/>
        </w:rPr>
        <w:t>4</w:t>
      </w:r>
      <w:r>
        <w:rPr>
          <w:spacing w:val="-12"/>
          <w:sz w:val="21"/>
        </w:rPr>
        <w:t> 号</w:t>
      </w:r>
      <w:r>
        <w:rPr>
          <w:spacing w:val="-15"/>
          <w:sz w:val="21"/>
        </w:rPr>
        <w:t>）</w:t>
      </w:r>
      <w:r>
        <w:rPr>
          <w:spacing w:val="-7"/>
          <w:sz w:val="21"/>
        </w:rPr>
        <w:t>的规定执行，即在相关项目</w:t>
      </w:r>
      <w:r>
        <w:rPr>
          <w:sz w:val="21"/>
        </w:rPr>
        <w:t>（</w:t>
      </w:r>
      <w:r>
        <w:rPr>
          <w:spacing w:val="-2"/>
          <w:sz w:val="21"/>
        </w:rPr>
        <w:t>标段</w:t>
      </w:r>
      <w:r>
        <w:rPr>
          <w:spacing w:val="-15"/>
          <w:sz w:val="21"/>
        </w:rPr>
        <w:t>）</w:t>
      </w:r>
      <w:r>
        <w:rPr>
          <w:spacing w:val="-6"/>
          <w:sz w:val="21"/>
        </w:rPr>
        <w:t>投标截止时，在开标现场公示南宁</w:t>
      </w:r>
    </w:p>
    <w:p>
      <w:pPr>
        <w:spacing w:after="0" w:line="364" w:lineRule="auto"/>
        <w:jc w:val="both"/>
        <w:rPr>
          <w:sz w:val="21"/>
        </w:rPr>
        <w:sectPr>
          <w:pgSz w:w="11910" w:h="16850"/>
          <w:pgMar w:header="0" w:footer="779" w:top="1380" w:bottom="1040" w:left="1120" w:right="280"/>
        </w:sectPr>
      </w:pPr>
    </w:p>
    <w:p>
      <w:pPr>
        <w:pStyle w:val="BodyText"/>
        <w:spacing w:line="364" w:lineRule="auto" w:before="60"/>
        <w:ind w:right="1151"/>
      </w:pPr>
      <w:r>
        <w:rPr>
          <w:spacing w:val="-11"/>
        </w:rPr>
        <w:t>市公共资源交易中心出具的《项目保证金到账信息表》，由招标人</w:t>
      </w:r>
      <w:r>
        <w:rPr>
          <w:spacing w:val="-3"/>
        </w:rPr>
        <w:t>（或招标代理机构</w:t>
      </w:r>
      <w:r>
        <w:rPr>
          <w:spacing w:val="-13"/>
        </w:rPr>
        <w:t>）</w:t>
      </w:r>
      <w:r>
        <w:rPr>
          <w:spacing w:val="-3"/>
        </w:rPr>
        <w:t>查验投标保证金的缴纳情况。未按规定缴纳投标保证金的，投标无效。</w:t>
      </w:r>
      <w:r>
        <w:rPr/>
        <w:t> </w:t>
      </w:r>
    </w:p>
    <w:p>
      <w:pPr>
        <w:pStyle w:val="Heading2"/>
        <w:numPr>
          <w:ilvl w:val="1"/>
          <w:numId w:val="30"/>
        </w:numPr>
        <w:tabs>
          <w:tab w:pos="1163" w:val="left" w:leader="none"/>
        </w:tabs>
        <w:spacing w:line="482" w:lineRule="exact" w:before="0" w:after="0"/>
        <w:ind w:left="1162" w:right="0" w:hanging="485"/>
        <w:jc w:val="left"/>
      </w:pPr>
      <w:bookmarkStart w:name="3.5 备选投标方案" w:id="72"/>
      <w:bookmarkEnd w:id="72"/>
      <w:r>
        <w:rPr>
          <w:b w:val="0"/>
        </w:rPr>
      </w:r>
      <w:bookmarkStart w:name="_bookmark26" w:id="73"/>
      <w:bookmarkEnd w:id="73"/>
      <w:r>
        <w:rPr>
          <w:b w:val="0"/>
        </w:rPr>
      </w:r>
      <w:bookmarkStart w:name="_bookmark26" w:id="74"/>
      <w:bookmarkEnd w:id="74"/>
      <w:r>
        <w:rPr/>
        <w:t>备选投标方案</w:t>
      </w:r>
      <w:r>
        <w:rPr>
          <w:w w:val="199"/>
        </w:rPr>
        <w:t> </w:t>
      </w:r>
    </w:p>
    <w:p>
      <w:pPr>
        <w:pStyle w:val="BodyText"/>
        <w:spacing w:line="364" w:lineRule="auto" w:before="141"/>
        <w:ind w:right="1154" w:firstLine="419"/>
        <w:jc w:val="both"/>
      </w:pPr>
      <w:r>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 </w:t>
      </w:r>
    </w:p>
    <w:p>
      <w:pPr>
        <w:pStyle w:val="Heading2"/>
        <w:numPr>
          <w:ilvl w:val="1"/>
          <w:numId w:val="30"/>
        </w:numPr>
        <w:tabs>
          <w:tab w:pos="1163" w:val="left" w:leader="none"/>
        </w:tabs>
        <w:spacing w:line="480" w:lineRule="exact" w:before="0" w:after="0"/>
        <w:ind w:left="1162" w:right="0" w:hanging="485"/>
        <w:jc w:val="left"/>
      </w:pPr>
      <w:bookmarkStart w:name="3.6 投标文件的编制" w:id="75"/>
      <w:bookmarkEnd w:id="75"/>
      <w:r>
        <w:rPr>
          <w:b w:val="0"/>
        </w:rPr>
      </w:r>
      <w:bookmarkStart w:name="_bookmark27" w:id="76"/>
      <w:bookmarkEnd w:id="76"/>
      <w:r>
        <w:rPr>
          <w:b w:val="0"/>
        </w:rPr>
      </w:r>
      <w:bookmarkStart w:name="_bookmark27" w:id="77"/>
      <w:bookmarkEnd w:id="77"/>
      <w:r>
        <w:rPr/>
        <w:t>投标文件的编制</w:t>
      </w:r>
      <w:r>
        <w:rPr>
          <w:w w:val="199"/>
        </w:rPr>
        <w:t> </w:t>
      </w:r>
    </w:p>
    <w:p>
      <w:pPr>
        <w:pStyle w:val="ListParagraph"/>
        <w:numPr>
          <w:ilvl w:val="2"/>
          <w:numId w:val="30"/>
        </w:numPr>
        <w:tabs>
          <w:tab w:pos="1677" w:val="left" w:leader="none"/>
        </w:tabs>
        <w:spacing w:line="364" w:lineRule="auto" w:before="141" w:after="0"/>
        <w:ind w:left="678" w:right="1153" w:firstLine="419"/>
        <w:jc w:val="both"/>
        <w:rPr>
          <w:sz w:val="21"/>
        </w:rPr>
      </w:pPr>
      <w:r>
        <w:rPr>
          <w:spacing w:val="-9"/>
          <w:sz w:val="21"/>
        </w:rPr>
        <w:t>投标文件应按第九章“投标文件格式”进行编写，如有必要，可以增加附页，作为投</w:t>
      </w:r>
      <w:r>
        <w:rPr>
          <w:spacing w:val="-10"/>
          <w:sz w:val="21"/>
        </w:rPr>
        <w:t>标文件的组成部分。其中，投标函附录在满足招标文件实质性要求的基础上，可以提出比招标</w:t>
      </w:r>
      <w:r>
        <w:rPr>
          <w:spacing w:val="-3"/>
          <w:sz w:val="21"/>
        </w:rPr>
        <w:t>文件要求更有利于招标人的承诺。</w:t>
      </w:r>
      <w:r>
        <w:rPr>
          <w:sz w:val="21"/>
        </w:rPr>
        <w:t> </w:t>
      </w:r>
    </w:p>
    <w:p>
      <w:pPr>
        <w:pStyle w:val="ListParagraph"/>
        <w:numPr>
          <w:ilvl w:val="2"/>
          <w:numId w:val="30"/>
        </w:numPr>
        <w:tabs>
          <w:tab w:pos="1677" w:val="left" w:leader="none"/>
        </w:tabs>
        <w:spacing w:line="367" w:lineRule="auto" w:before="0" w:after="0"/>
        <w:ind w:left="678" w:right="1154" w:firstLine="419"/>
        <w:jc w:val="both"/>
        <w:rPr>
          <w:sz w:val="21"/>
        </w:rPr>
      </w:pPr>
      <w:r>
        <w:rPr>
          <w:spacing w:val="-8"/>
          <w:sz w:val="21"/>
        </w:rPr>
        <w:t>投标文件应当对招标文件有关工期、投标有效期、质量要求、技术标准和要求、招标</w:t>
      </w:r>
      <w:r>
        <w:rPr>
          <w:spacing w:val="-5"/>
          <w:sz w:val="21"/>
        </w:rPr>
        <w:t>范围等实质性内容作出响应。</w:t>
      </w:r>
      <w:r>
        <w:rPr>
          <w:spacing w:val="-3"/>
          <w:sz w:val="21"/>
        </w:rPr>
        <w:t> </w:t>
      </w:r>
      <w:r>
        <w:rPr>
          <w:sz w:val="21"/>
        </w:rPr>
        <w:t> </w:t>
      </w:r>
    </w:p>
    <w:p>
      <w:pPr>
        <w:pStyle w:val="ListParagraph"/>
        <w:numPr>
          <w:ilvl w:val="2"/>
          <w:numId w:val="30"/>
        </w:numPr>
        <w:tabs>
          <w:tab w:pos="1730" w:val="left" w:leader="none"/>
        </w:tabs>
        <w:spacing w:line="364" w:lineRule="auto" w:before="0" w:after="0"/>
        <w:ind w:left="678" w:right="1048" w:firstLine="419"/>
        <w:jc w:val="both"/>
        <w:rPr>
          <w:sz w:val="21"/>
        </w:rPr>
      </w:pPr>
      <w:r>
        <w:rPr>
          <w:sz w:val="21"/>
        </w:rPr>
        <w:t>投标文件应采用南宁市公共资源招投标会员网上交易系统兼容的投标文件制作软件制作，电子投标文件由投标人在招标文件规定的投标文件相关位置加盖投标人法人单位及法定</w:t>
      </w:r>
      <w:r>
        <w:rPr>
          <w:spacing w:val="-10"/>
          <w:sz w:val="21"/>
        </w:rPr>
        <w:t>代表人电子印章。投标文件未经投标人单位或法定代表人加盖电子印章的，均作否决投标处理。</w:t>
      </w:r>
      <w:r>
        <w:rPr>
          <w:sz w:val="21"/>
        </w:rPr>
        <w:t> </w:t>
      </w:r>
    </w:p>
    <w:p>
      <w:pPr>
        <w:pStyle w:val="ListParagraph"/>
        <w:numPr>
          <w:ilvl w:val="2"/>
          <w:numId w:val="30"/>
        </w:numPr>
        <w:tabs>
          <w:tab w:pos="1677" w:val="left" w:leader="none"/>
        </w:tabs>
        <w:spacing w:line="269" w:lineRule="exact" w:before="0" w:after="0"/>
        <w:ind w:left="1676" w:right="0" w:hanging="579"/>
        <w:jc w:val="both"/>
        <w:rPr>
          <w:sz w:val="21"/>
        </w:rPr>
      </w:pPr>
      <w:r>
        <w:rPr>
          <w:spacing w:val="-3"/>
          <w:sz w:val="21"/>
        </w:rPr>
        <w:t>电子投标文件一份。 </w:t>
      </w:r>
    </w:p>
    <w:p>
      <w:pPr>
        <w:pStyle w:val="ListParagraph"/>
        <w:numPr>
          <w:ilvl w:val="2"/>
          <w:numId w:val="30"/>
        </w:numPr>
        <w:tabs>
          <w:tab w:pos="1677" w:val="left" w:leader="none"/>
        </w:tabs>
        <w:spacing w:line="364" w:lineRule="auto" w:before="132" w:after="0"/>
        <w:ind w:left="1098" w:right="1787" w:firstLine="0"/>
        <w:jc w:val="left"/>
        <w:rPr>
          <w:sz w:val="21"/>
        </w:rPr>
      </w:pPr>
      <w:r>
        <w:rPr>
          <w:spacing w:val="-3"/>
          <w:sz w:val="21"/>
        </w:rPr>
        <w:t>未加密的电子投标文件光盘的具体装订要求见“投标人须知前附表”规定。</w:t>
      </w:r>
      <w:r>
        <w:rPr>
          <w:sz w:val="21"/>
        </w:rPr>
        <w:t>3.6.6</w:t>
      </w:r>
      <w:r>
        <w:rPr>
          <w:spacing w:val="-7"/>
          <w:sz w:val="21"/>
        </w:rPr>
        <w:t> 补充内容：投标文件编制的其它要求详见“投标人须知前附表”。</w:t>
      </w:r>
      <w:r>
        <w:rPr>
          <w:sz w:val="21"/>
        </w:rPr>
        <w:t> </w:t>
      </w:r>
    </w:p>
    <w:p>
      <w:pPr>
        <w:spacing w:line="267" w:lineRule="exact" w:before="0"/>
        <w:ind w:left="1078" w:right="0" w:firstLine="0"/>
        <w:jc w:val="left"/>
        <w:rPr>
          <w:sz w:val="21"/>
        </w:rPr>
      </w:pPr>
      <w:r>
        <w:rPr>
          <w:color w:val="000080"/>
          <w:spacing w:val="1"/>
          <w:w w:val="99"/>
          <w:sz w:val="20"/>
        </w:rPr>
        <w:t>  </w:t>
      </w:r>
      <w:r>
        <w:rPr>
          <w:color w:val="000080"/>
          <w:spacing w:val="-2"/>
          <w:w w:val="99"/>
          <w:sz w:val="20"/>
        </w:rPr>
        <w:t> </w:t>
      </w:r>
      <w:r>
        <w:rPr>
          <w:w w:val="100"/>
          <w:sz w:val="21"/>
        </w:rPr>
        <w:t> </w:t>
      </w:r>
    </w:p>
    <w:p>
      <w:pPr>
        <w:pStyle w:val="Heading2"/>
        <w:spacing w:before="91"/>
        <w:ind w:left="678"/>
      </w:pPr>
      <w:bookmarkStart w:name="4 投标" w:id="78"/>
      <w:bookmarkEnd w:id="78"/>
      <w:r>
        <w:rPr>
          <w:b w:val="0"/>
        </w:rPr>
      </w:r>
      <w:bookmarkStart w:name="_bookmark28" w:id="79"/>
      <w:bookmarkEnd w:id="79"/>
      <w:r>
        <w:rPr>
          <w:b w:val="0"/>
        </w:rPr>
      </w:r>
      <w:r>
        <w:rPr>
          <w:w w:val="105"/>
        </w:rPr>
        <w:t>4 投标</w:t>
      </w:r>
      <w:r>
        <w:rPr>
          <w:w w:val="199"/>
        </w:rPr>
        <w:t> </w:t>
      </w:r>
    </w:p>
    <w:p>
      <w:pPr>
        <w:pStyle w:val="Heading2"/>
        <w:numPr>
          <w:ilvl w:val="1"/>
          <w:numId w:val="35"/>
        </w:numPr>
        <w:tabs>
          <w:tab w:pos="1245" w:val="left" w:leader="none"/>
        </w:tabs>
        <w:spacing w:line="240" w:lineRule="auto" w:before="189" w:after="0"/>
        <w:ind w:left="1244" w:right="0" w:hanging="567"/>
        <w:jc w:val="left"/>
      </w:pPr>
      <w:bookmarkStart w:name="4.1投标文件的加密和数字证书认证" w:id="80"/>
      <w:bookmarkEnd w:id="80"/>
      <w:r>
        <w:rPr>
          <w:b w:val="0"/>
        </w:rPr>
      </w:r>
      <w:bookmarkStart w:name="_bookmark29" w:id="81"/>
      <w:bookmarkEnd w:id="81"/>
      <w:r>
        <w:rPr>
          <w:b w:val="0"/>
        </w:rPr>
      </w:r>
      <w:bookmarkStart w:name="_bookmark29" w:id="82"/>
      <w:bookmarkEnd w:id="82"/>
      <w:r>
        <w:rPr/>
        <w:t>投标文件的加密和数字证书认证</w:t>
      </w:r>
      <w:r>
        <w:rPr>
          <w:w w:val="199"/>
        </w:rPr>
        <w:t> </w:t>
      </w:r>
    </w:p>
    <w:p>
      <w:pPr>
        <w:pStyle w:val="ListParagraph"/>
        <w:numPr>
          <w:ilvl w:val="2"/>
          <w:numId w:val="35"/>
        </w:numPr>
        <w:tabs>
          <w:tab w:pos="1627" w:val="left" w:leader="none"/>
        </w:tabs>
        <w:spacing w:line="364" w:lineRule="auto" w:before="139" w:after="0"/>
        <w:ind w:left="678" w:right="1151" w:firstLine="419"/>
        <w:jc w:val="both"/>
        <w:rPr>
          <w:sz w:val="21"/>
        </w:rPr>
      </w:pPr>
      <w:r>
        <w:rPr>
          <w:spacing w:val="-1"/>
          <w:sz w:val="21"/>
        </w:rPr>
        <w:t>投标文件应通过投标文件制作软件进行制作，并通过数字证书认证和加密，最终同</w:t>
      </w:r>
      <w:r>
        <w:rPr>
          <w:spacing w:val="-3"/>
          <w:sz w:val="21"/>
        </w:rPr>
        <w:t>时生成 </w:t>
      </w:r>
      <w:r>
        <w:rPr>
          <w:sz w:val="21"/>
        </w:rPr>
        <w:t>2</w:t>
      </w:r>
      <w:r>
        <w:rPr>
          <w:spacing w:val="-4"/>
          <w:sz w:val="21"/>
        </w:rPr>
        <w:t> 份文件，一份加密格式</w:t>
      </w:r>
      <w:r>
        <w:rPr>
          <w:sz w:val="21"/>
        </w:rPr>
        <w:t>（*.GXTF）</w:t>
      </w:r>
      <w:r>
        <w:rPr>
          <w:spacing w:val="-3"/>
          <w:sz w:val="21"/>
        </w:rPr>
        <w:t>的投标文件,一份不加密格式</w:t>
      </w:r>
      <w:r>
        <w:rPr>
          <w:sz w:val="21"/>
        </w:rPr>
        <w:t>（*.NGXTF）</w:t>
      </w:r>
      <w:r>
        <w:rPr>
          <w:spacing w:val="-3"/>
          <w:sz w:val="21"/>
        </w:rPr>
        <w:t>的投标文件。</w:t>
      </w:r>
      <w:r>
        <w:rPr>
          <w:sz w:val="21"/>
        </w:rPr>
        <w:t> </w:t>
      </w:r>
    </w:p>
    <w:p>
      <w:pPr>
        <w:pStyle w:val="ListParagraph"/>
        <w:numPr>
          <w:ilvl w:val="2"/>
          <w:numId w:val="35"/>
        </w:numPr>
        <w:tabs>
          <w:tab w:pos="1627" w:val="left" w:leader="none"/>
        </w:tabs>
        <w:spacing w:line="240" w:lineRule="auto" w:before="0" w:after="0"/>
        <w:ind w:left="1627" w:right="0" w:hanging="529"/>
        <w:jc w:val="both"/>
        <w:rPr>
          <w:sz w:val="21"/>
        </w:rPr>
      </w:pPr>
      <w:r>
        <w:rPr>
          <w:spacing w:val="-11"/>
          <w:sz w:val="21"/>
        </w:rPr>
        <w:t>未按本章第 </w:t>
      </w:r>
      <w:r>
        <w:rPr>
          <w:sz w:val="21"/>
        </w:rPr>
        <w:t>4.1.1</w:t>
      </w:r>
      <w:r>
        <w:rPr>
          <w:spacing w:val="-9"/>
          <w:sz w:val="21"/>
        </w:rPr>
        <w:t> 项要求加密和数字证书认证的投标文件，为无效投标文件。</w:t>
      </w:r>
      <w:r>
        <w:rPr>
          <w:sz w:val="21"/>
        </w:rPr>
        <w:t> </w:t>
      </w:r>
    </w:p>
    <w:p>
      <w:pPr>
        <w:pStyle w:val="Heading2"/>
        <w:numPr>
          <w:ilvl w:val="1"/>
          <w:numId w:val="35"/>
        </w:numPr>
        <w:tabs>
          <w:tab w:pos="1163" w:val="left" w:leader="none"/>
        </w:tabs>
        <w:spacing w:line="240" w:lineRule="auto" w:before="33" w:after="0"/>
        <w:ind w:left="1162" w:right="0" w:hanging="485"/>
        <w:jc w:val="left"/>
      </w:pPr>
      <w:bookmarkStart w:name="4.2 未加密的电子投标文件光盘的密封和标记" w:id="83"/>
      <w:bookmarkEnd w:id="83"/>
      <w:r>
        <w:rPr>
          <w:b w:val="0"/>
        </w:rPr>
      </w:r>
      <w:bookmarkStart w:name="_bookmark30" w:id="84"/>
      <w:bookmarkEnd w:id="84"/>
      <w:r>
        <w:rPr>
          <w:b w:val="0"/>
        </w:rPr>
      </w:r>
      <w:bookmarkStart w:name="_bookmark30" w:id="85"/>
      <w:bookmarkEnd w:id="85"/>
      <w:r>
        <w:rPr/>
        <w:t>未加密的电子投标文件光盘的密封和标记</w:t>
      </w:r>
      <w:r>
        <w:rPr>
          <w:w w:val="199"/>
        </w:rPr>
        <w:t> </w:t>
      </w:r>
    </w:p>
    <w:p>
      <w:pPr>
        <w:pStyle w:val="ListParagraph"/>
        <w:numPr>
          <w:ilvl w:val="2"/>
          <w:numId w:val="35"/>
        </w:numPr>
        <w:tabs>
          <w:tab w:pos="1627" w:val="left" w:leader="none"/>
        </w:tabs>
        <w:spacing w:line="364" w:lineRule="auto" w:before="141" w:after="0"/>
        <w:ind w:left="678" w:right="1043" w:firstLine="419"/>
        <w:jc w:val="left"/>
        <w:rPr>
          <w:sz w:val="21"/>
        </w:rPr>
      </w:pPr>
      <w:r>
        <w:rPr>
          <w:spacing w:val="-5"/>
          <w:sz w:val="21"/>
        </w:rPr>
        <w:t>未加密的电子投标文件光盘应按“投标人须知前附表”的要求进行包装，加贴封条， </w:t>
      </w:r>
      <w:r>
        <w:rPr>
          <w:spacing w:val="-4"/>
          <w:sz w:val="21"/>
        </w:rPr>
        <w:t>并在封套的封口处加盖投标人单位公章。</w:t>
      </w:r>
      <w:r>
        <w:rPr>
          <w:sz w:val="21"/>
        </w:rPr>
        <w:t> </w:t>
      </w:r>
    </w:p>
    <w:p>
      <w:pPr>
        <w:pStyle w:val="ListParagraph"/>
        <w:numPr>
          <w:ilvl w:val="2"/>
          <w:numId w:val="35"/>
        </w:numPr>
        <w:tabs>
          <w:tab w:pos="1677" w:val="left" w:leader="none"/>
        </w:tabs>
        <w:spacing w:line="267" w:lineRule="exact" w:before="0" w:after="0"/>
        <w:ind w:left="1676" w:right="0" w:hanging="579"/>
        <w:jc w:val="left"/>
        <w:rPr>
          <w:sz w:val="21"/>
        </w:rPr>
      </w:pPr>
      <w:r>
        <w:rPr>
          <w:spacing w:val="-6"/>
          <w:sz w:val="21"/>
        </w:rPr>
        <w:t>未加密的电子投标文件光盘密封封套上应写明的其他内容见“投标人须知前附表”。</w:t>
      </w:r>
      <w:r>
        <w:rPr>
          <w:sz w:val="21"/>
        </w:rPr>
        <w:t> </w:t>
      </w:r>
    </w:p>
    <w:p>
      <w:pPr>
        <w:spacing w:after="0" w:line="267" w:lineRule="exact"/>
        <w:jc w:val="left"/>
        <w:rPr>
          <w:sz w:val="21"/>
        </w:rPr>
        <w:sectPr>
          <w:pgSz w:w="11910" w:h="16850"/>
          <w:pgMar w:header="0" w:footer="779" w:top="1380" w:bottom="1040" w:left="1120" w:right="280"/>
        </w:sectPr>
      </w:pPr>
    </w:p>
    <w:p>
      <w:pPr>
        <w:pStyle w:val="Heading2"/>
        <w:numPr>
          <w:ilvl w:val="1"/>
          <w:numId w:val="35"/>
        </w:numPr>
        <w:tabs>
          <w:tab w:pos="1163" w:val="left" w:leader="none"/>
        </w:tabs>
        <w:spacing w:line="524" w:lineRule="exact" w:before="0" w:after="0"/>
        <w:ind w:left="1162" w:right="0" w:hanging="485"/>
        <w:jc w:val="left"/>
      </w:pPr>
      <w:bookmarkStart w:name="4.3 投标文件的递交" w:id="86"/>
      <w:bookmarkEnd w:id="86"/>
      <w:r>
        <w:rPr>
          <w:b w:val="0"/>
        </w:rPr>
      </w:r>
      <w:bookmarkStart w:name="_bookmark31" w:id="87"/>
      <w:bookmarkEnd w:id="87"/>
      <w:r>
        <w:rPr>
          <w:b w:val="0"/>
        </w:rPr>
      </w:r>
      <w:bookmarkStart w:name="_bookmark31" w:id="88"/>
      <w:bookmarkEnd w:id="88"/>
      <w:r>
        <w:rPr/>
        <w:t>投标文件的递交</w:t>
      </w:r>
      <w:r>
        <w:rPr>
          <w:w w:val="199"/>
        </w:rPr>
        <w:t> </w:t>
      </w:r>
    </w:p>
    <w:p>
      <w:pPr>
        <w:pStyle w:val="ListParagraph"/>
        <w:numPr>
          <w:ilvl w:val="2"/>
          <w:numId w:val="35"/>
        </w:numPr>
        <w:tabs>
          <w:tab w:pos="1627" w:val="left" w:leader="none"/>
        </w:tabs>
        <w:spacing w:line="364" w:lineRule="auto" w:before="138" w:after="0"/>
        <w:ind w:left="678" w:right="1148" w:firstLine="419"/>
        <w:jc w:val="both"/>
        <w:rPr>
          <w:sz w:val="21"/>
        </w:rPr>
      </w:pPr>
      <w:r>
        <w:rPr>
          <w:spacing w:val="-6"/>
          <w:sz w:val="21"/>
        </w:rPr>
        <w:t>投标人应在投标人须知前附表第 </w:t>
      </w:r>
      <w:r>
        <w:rPr>
          <w:sz w:val="21"/>
        </w:rPr>
        <w:t>2.2.2</w:t>
      </w:r>
      <w:r>
        <w:rPr>
          <w:spacing w:val="-3"/>
          <w:sz w:val="21"/>
        </w:rPr>
        <w:t> 项规定的投标截止时间前，向南宁市公共资源招投标会员网上交易系统提交加密后的电子投标文件，并同时提供未加密的电子投标文件光盘（与加密的电子投标文件为同时生成的版本</w:t>
      </w:r>
      <w:r>
        <w:rPr>
          <w:spacing w:val="-106"/>
          <w:sz w:val="21"/>
        </w:rPr>
        <w:t>）</w:t>
      </w:r>
      <w:r>
        <w:rPr>
          <w:spacing w:val="-3"/>
          <w:sz w:val="21"/>
        </w:rPr>
        <w:t>。</w:t>
      </w:r>
      <w:r>
        <w:rPr>
          <w:sz w:val="21"/>
        </w:rPr>
        <w:t> </w:t>
      </w:r>
    </w:p>
    <w:p>
      <w:pPr>
        <w:pStyle w:val="ListParagraph"/>
        <w:numPr>
          <w:ilvl w:val="2"/>
          <w:numId w:val="35"/>
        </w:numPr>
        <w:tabs>
          <w:tab w:pos="1677" w:val="left" w:leader="none"/>
        </w:tabs>
        <w:spacing w:line="364" w:lineRule="auto" w:before="0" w:after="0"/>
        <w:ind w:left="678" w:right="1151" w:firstLine="419"/>
        <w:jc w:val="both"/>
        <w:rPr>
          <w:sz w:val="21"/>
        </w:rPr>
      </w:pPr>
      <w:r>
        <w:rPr>
          <w:spacing w:val="-12"/>
          <w:sz w:val="21"/>
        </w:rPr>
        <w:t>递交投标文件地点：见投标人须知前附表，未在开标截止时间前通过网上招投标系统提交有效电子投标文件的，南宁市公共资源招投标会员网上交易系统不予接收。逾期上传的或</w:t>
      </w:r>
      <w:r>
        <w:rPr>
          <w:spacing w:val="-3"/>
          <w:sz w:val="21"/>
        </w:rPr>
        <w:t>者未送达指定地点的投标文件，为无效投标文件。</w:t>
      </w:r>
      <w:r>
        <w:rPr>
          <w:sz w:val="21"/>
        </w:rPr>
        <w:t> </w:t>
      </w:r>
    </w:p>
    <w:p>
      <w:pPr>
        <w:pStyle w:val="ListParagraph"/>
        <w:numPr>
          <w:ilvl w:val="2"/>
          <w:numId w:val="35"/>
        </w:numPr>
        <w:tabs>
          <w:tab w:pos="1627" w:val="left" w:leader="none"/>
        </w:tabs>
        <w:spacing w:line="269" w:lineRule="exact" w:before="0" w:after="0"/>
        <w:ind w:left="1627" w:right="0" w:hanging="529"/>
        <w:jc w:val="left"/>
        <w:rPr>
          <w:sz w:val="21"/>
        </w:rPr>
      </w:pPr>
      <w:r>
        <w:rPr>
          <w:spacing w:val="-3"/>
          <w:sz w:val="21"/>
        </w:rPr>
        <w:t>是否退还投标文件：见投标人须知前附表。</w:t>
      </w:r>
      <w:r>
        <w:rPr>
          <w:sz w:val="21"/>
        </w:rPr>
        <w:t> </w:t>
      </w:r>
    </w:p>
    <w:p>
      <w:pPr>
        <w:pStyle w:val="Heading2"/>
        <w:numPr>
          <w:ilvl w:val="1"/>
          <w:numId w:val="35"/>
        </w:numPr>
        <w:tabs>
          <w:tab w:pos="1163" w:val="left" w:leader="none"/>
        </w:tabs>
        <w:spacing w:line="240" w:lineRule="auto" w:before="34" w:after="0"/>
        <w:ind w:left="1162" w:right="0" w:hanging="485"/>
        <w:jc w:val="left"/>
      </w:pPr>
      <w:bookmarkStart w:name="4.4 投标文件的修改与撤回" w:id="89"/>
      <w:bookmarkEnd w:id="89"/>
      <w:r>
        <w:rPr>
          <w:b w:val="0"/>
        </w:rPr>
      </w:r>
      <w:bookmarkStart w:name="_bookmark32" w:id="90"/>
      <w:bookmarkEnd w:id="90"/>
      <w:r>
        <w:rPr>
          <w:b w:val="0"/>
        </w:rPr>
      </w:r>
      <w:bookmarkStart w:name="_bookmark32" w:id="91"/>
      <w:bookmarkEnd w:id="91"/>
      <w:r>
        <w:rPr/>
        <w:t>投标文件的修改与撤回</w:t>
      </w:r>
      <w:r>
        <w:rPr>
          <w:w w:val="199"/>
        </w:rPr>
        <w:t> </w:t>
      </w:r>
    </w:p>
    <w:p>
      <w:pPr>
        <w:pStyle w:val="ListParagraph"/>
        <w:numPr>
          <w:ilvl w:val="2"/>
          <w:numId w:val="35"/>
        </w:numPr>
        <w:tabs>
          <w:tab w:pos="1627" w:val="left" w:leader="none"/>
        </w:tabs>
        <w:spacing w:line="364" w:lineRule="auto" w:before="138" w:after="0"/>
        <w:ind w:left="678" w:right="1149" w:firstLine="419"/>
        <w:jc w:val="both"/>
        <w:rPr>
          <w:sz w:val="21"/>
        </w:rPr>
      </w:pPr>
      <w:r>
        <w:rPr>
          <w:spacing w:val="-4"/>
          <w:sz w:val="21"/>
        </w:rPr>
        <w:t>在投标人须知前附表第 </w:t>
      </w:r>
      <w:r>
        <w:rPr>
          <w:sz w:val="21"/>
        </w:rPr>
        <w:t>2.2.2</w:t>
      </w:r>
      <w:r>
        <w:rPr>
          <w:spacing w:val="-5"/>
          <w:sz w:val="21"/>
        </w:rPr>
        <w:t> 项规定的投标截止时间前，投标人可以修改或撤回已</w:t>
      </w:r>
      <w:r>
        <w:rPr>
          <w:spacing w:val="-6"/>
          <w:sz w:val="21"/>
        </w:rPr>
        <w:t>提交的投标文件，最终投标文件以投标截止时间前上传至南宁市公共资源招投标会员网上交易</w:t>
      </w:r>
      <w:r>
        <w:rPr>
          <w:spacing w:val="-3"/>
          <w:sz w:val="21"/>
        </w:rPr>
        <w:t>系统的最后一份投标文件为准。</w:t>
      </w:r>
      <w:r>
        <w:rPr>
          <w:sz w:val="21"/>
        </w:rPr>
        <w:t> </w:t>
      </w:r>
    </w:p>
    <w:p>
      <w:pPr>
        <w:pStyle w:val="ListParagraph"/>
        <w:numPr>
          <w:ilvl w:val="2"/>
          <w:numId w:val="35"/>
        </w:numPr>
        <w:tabs>
          <w:tab w:pos="1627" w:val="left" w:leader="none"/>
        </w:tabs>
        <w:spacing w:line="269" w:lineRule="exact" w:before="0" w:after="0"/>
        <w:ind w:left="1627" w:right="0" w:hanging="529"/>
        <w:jc w:val="left"/>
        <w:rPr>
          <w:sz w:val="21"/>
        </w:rPr>
      </w:pPr>
      <w:r>
        <w:rPr>
          <w:spacing w:val="-3"/>
          <w:sz w:val="21"/>
        </w:rPr>
        <w:t>修改的内容为投标文件的组成部分。</w:t>
      </w:r>
      <w:r>
        <w:rPr>
          <w:sz w:val="21"/>
        </w:rPr>
        <w:t> </w:t>
      </w:r>
    </w:p>
    <w:p>
      <w:pPr>
        <w:spacing w:before="139"/>
        <w:ind w:left="678" w:right="0" w:firstLine="0"/>
        <w:jc w:val="left"/>
        <w:rPr>
          <w:sz w:val="21"/>
        </w:rPr>
      </w:pPr>
      <w:r>
        <w:rPr>
          <w:color w:val="000080"/>
          <w:spacing w:val="1"/>
          <w:w w:val="99"/>
          <w:sz w:val="20"/>
        </w:rPr>
        <w:t>  </w:t>
      </w:r>
      <w:r>
        <w:rPr>
          <w:color w:val="000080"/>
          <w:spacing w:val="-2"/>
          <w:w w:val="99"/>
          <w:sz w:val="20"/>
        </w:rPr>
        <w:t> </w:t>
      </w:r>
      <w:r>
        <w:rPr>
          <w:w w:val="100"/>
          <w:sz w:val="21"/>
        </w:rPr>
        <w:t> </w:t>
      </w:r>
    </w:p>
    <w:p>
      <w:pPr>
        <w:pStyle w:val="Heading2"/>
        <w:spacing w:before="92"/>
        <w:ind w:left="678"/>
      </w:pPr>
      <w:bookmarkStart w:name="5 开标" w:id="92"/>
      <w:bookmarkEnd w:id="92"/>
      <w:r>
        <w:rPr>
          <w:b w:val="0"/>
        </w:rPr>
      </w:r>
      <w:bookmarkStart w:name="_bookmark33" w:id="93"/>
      <w:bookmarkEnd w:id="93"/>
      <w:r>
        <w:rPr>
          <w:b w:val="0"/>
        </w:rPr>
      </w:r>
      <w:r>
        <w:rPr>
          <w:w w:val="105"/>
        </w:rPr>
        <w:t>5 开标</w:t>
      </w:r>
      <w:r>
        <w:rPr>
          <w:w w:val="199"/>
        </w:rPr>
        <w:t> </w:t>
      </w:r>
    </w:p>
    <w:p>
      <w:pPr>
        <w:pStyle w:val="ListParagraph"/>
        <w:numPr>
          <w:ilvl w:val="1"/>
          <w:numId w:val="36"/>
        </w:numPr>
        <w:tabs>
          <w:tab w:pos="1163" w:val="left" w:leader="none"/>
        </w:tabs>
        <w:spacing w:line="240" w:lineRule="auto" w:before="189" w:after="0"/>
        <w:ind w:left="1162" w:right="0" w:hanging="485"/>
        <w:jc w:val="left"/>
        <w:rPr>
          <w:rFonts w:ascii="Microsoft JhengHei" w:eastAsia="Microsoft JhengHei" w:hint="eastAsia"/>
          <w:b/>
          <w:sz w:val="32"/>
        </w:rPr>
      </w:pPr>
      <w:bookmarkStart w:name="5.1 开标时间和地点" w:id="94"/>
      <w:bookmarkEnd w:id="94"/>
      <w:r>
        <w:rPr/>
      </w:r>
      <w:bookmarkStart w:name="_bookmark34" w:id="95"/>
      <w:bookmarkEnd w:id="95"/>
      <w:r>
        <w:rPr/>
      </w:r>
      <w:bookmarkStart w:name="_bookmark34" w:id="96"/>
      <w:bookmarkEnd w:id="96"/>
      <w:r>
        <w:rPr>
          <w:rFonts w:ascii="Microsoft JhengHei" w:eastAsia="Microsoft JhengHei" w:hint="eastAsia"/>
          <w:b/>
          <w:sz w:val="32"/>
        </w:rPr>
        <w:t>开标时间和地点</w:t>
      </w:r>
      <w:r>
        <w:rPr>
          <w:rFonts w:ascii="Microsoft JhengHei" w:eastAsia="Microsoft JhengHei" w:hint="eastAsia"/>
          <w:b/>
          <w:w w:val="199"/>
          <w:sz w:val="32"/>
        </w:rPr>
        <w:t> </w:t>
      </w:r>
    </w:p>
    <w:p>
      <w:pPr>
        <w:pStyle w:val="BodyText"/>
        <w:spacing w:line="364" w:lineRule="auto" w:before="138"/>
        <w:ind w:right="1148" w:firstLine="419"/>
        <w:jc w:val="both"/>
      </w:pPr>
      <w:r>
        <w:rPr>
          <w:spacing w:val="-7"/>
        </w:rPr>
        <w:t>招标人在本章第 </w:t>
      </w:r>
      <w:r>
        <w:rPr/>
        <w:t>2.2.2</w:t>
      </w:r>
      <w:r>
        <w:rPr>
          <w:spacing w:val="-2"/>
        </w:rPr>
        <w:t> 项规定的投标截止时间</w:t>
      </w:r>
      <w:r>
        <w:rPr/>
        <w:t>（</w:t>
      </w:r>
      <w:r>
        <w:rPr>
          <w:spacing w:val="-3"/>
        </w:rPr>
        <w:t>开标时间</w:t>
      </w:r>
      <w:r>
        <w:rPr/>
        <w:t>）</w:t>
      </w:r>
      <w:r>
        <w:rPr>
          <w:spacing w:val="-3"/>
        </w:rPr>
        <w:t>和“投标人须知前附表”规定的地点公开开标，并邀请所有投标人的法定代表人或其委托代理人准时参加。委托代理人应当</w:t>
      </w:r>
      <w:r>
        <w:rPr>
          <w:spacing w:val="-4"/>
        </w:rPr>
        <w:t>按时参加开标会并签到，并在投标截止前到南宁市公共资源交易中心指定地点进行被授权的专</w:t>
      </w:r>
      <w:r>
        <w:rPr/>
        <w:t>职投标员持专职投标员本人的身份证原件（如法定代表人参加开标会时可持本人身份证原件及</w:t>
      </w:r>
      <w:r>
        <w:rPr>
          <w:spacing w:val="-3"/>
        </w:rPr>
        <w:t>本企业任一专职投标员的身份证复印件</w:t>
      </w:r>
      <w:r>
        <w:rPr>
          <w:spacing w:val="-106"/>
        </w:rPr>
        <w:t>）</w:t>
      </w:r>
      <w:r>
        <w:rPr>
          <w:spacing w:val="-8"/>
        </w:rPr>
        <w:t>、本项目拟派项目经理和拟派所有专职安全员的身份证</w:t>
      </w:r>
      <w:r>
        <w:rPr>
          <w:spacing w:val="-9"/>
        </w:rPr>
        <w:t>复印件验证，否则招标人不予受理；如其中任何一人的广西建筑业企业诚信信息库信息被锁定</w:t>
      </w:r>
      <w:r>
        <w:rPr/>
        <w:t>无效，则退回其投标文件，并制作记录。验证、参加开标会和签署投标文件的专职投标员必须</w:t>
      </w:r>
      <w:r>
        <w:rPr>
          <w:spacing w:val="-3"/>
        </w:rPr>
        <w:t>为同一人，否则作无效投标处理。</w:t>
      </w:r>
      <w:r>
        <w:rPr/>
        <w:t> </w:t>
      </w:r>
    </w:p>
    <w:p>
      <w:pPr>
        <w:pStyle w:val="BodyText"/>
        <w:spacing w:line="364" w:lineRule="auto"/>
        <w:ind w:left="1098" w:right="1525"/>
      </w:pPr>
      <w:r>
        <w:rPr>
          <w:spacing w:val="-3"/>
        </w:rPr>
        <w:t>招标代理机构的招标代理员必须到场，并向招标人出示本人身份证原件并验证核验。开标会由招标人或其委托的招标代理机构主持。</w:t>
      </w:r>
      <w:r>
        <w:rPr/>
        <w:t> </w:t>
      </w:r>
    </w:p>
    <w:p>
      <w:pPr>
        <w:pStyle w:val="Heading2"/>
        <w:numPr>
          <w:ilvl w:val="1"/>
          <w:numId w:val="36"/>
        </w:numPr>
        <w:tabs>
          <w:tab w:pos="1163" w:val="left" w:leader="none"/>
        </w:tabs>
        <w:spacing w:line="481" w:lineRule="exact" w:before="0" w:after="0"/>
        <w:ind w:left="1162" w:right="0" w:hanging="485"/>
        <w:jc w:val="left"/>
      </w:pPr>
      <w:bookmarkStart w:name="5.2 开标程序" w:id="97"/>
      <w:bookmarkEnd w:id="97"/>
      <w:r>
        <w:rPr>
          <w:b w:val="0"/>
        </w:rPr>
      </w:r>
      <w:bookmarkStart w:name="_bookmark35" w:id="98"/>
      <w:bookmarkEnd w:id="98"/>
      <w:r>
        <w:rPr>
          <w:b w:val="0"/>
        </w:rPr>
      </w:r>
      <w:bookmarkStart w:name="_bookmark35" w:id="99"/>
      <w:bookmarkEnd w:id="99"/>
      <w:r>
        <w:rPr/>
        <w:t>开标程序</w:t>
      </w:r>
      <w:r>
        <w:rPr>
          <w:w w:val="199"/>
        </w:rPr>
        <w:t> </w:t>
      </w:r>
    </w:p>
    <w:p>
      <w:pPr>
        <w:pStyle w:val="BodyText"/>
        <w:spacing w:before="139"/>
        <w:ind w:left="1098"/>
      </w:pPr>
      <w:r>
        <w:rPr/>
        <w:t>主持人按以下程序进行开标： </w:t>
      </w:r>
    </w:p>
    <w:p>
      <w:pPr>
        <w:pStyle w:val="ListParagraph"/>
        <w:numPr>
          <w:ilvl w:val="2"/>
          <w:numId w:val="36"/>
        </w:numPr>
        <w:tabs>
          <w:tab w:pos="1627" w:val="left" w:leader="none"/>
        </w:tabs>
        <w:spacing w:line="240" w:lineRule="auto" w:before="139" w:after="0"/>
        <w:ind w:left="1627" w:right="0" w:hanging="529"/>
        <w:jc w:val="left"/>
        <w:rPr>
          <w:sz w:val="21"/>
        </w:rPr>
      </w:pPr>
      <w:r>
        <w:rPr>
          <w:spacing w:val="-3"/>
          <w:sz w:val="21"/>
        </w:rPr>
        <w:t>宣布开标纪律；</w:t>
      </w:r>
      <w:r>
        <w:rPr>
          <w:sz w:val="21"/>
        </w:rPr>
        <w:t> </w:t>
      </w:r>
    </w:p>
    <w:p>
      <w:pPr>
        <w:pStyle w:val="ListParagraph"/>
        <w:numPr>
          <w:ilvl w:val="2"/>
          <w:numId w:val="36"/>
        </w:numPr>
        <w:tabs>
          <w:tab w:pos="1627" w:val="left" w:leader="none"/>
        </w:tabs>
        <w:spacing w:line="240" w:lineRule="auto" w:before="139" w:after="0"/>
        <w:ind w:left="1627" w:right="0" w:hanging="529"/>
        <w:jc w:val="left"/>
        <w:rPr>
          <w:sz w:val="21"/>
        </w:rPr>
      </w:pPr>
      <w:r>
        <w:rPr>
          <w:spacing w:val="-3"/>
          <w:sz w:val="21"/>
        </w:rPr>
        <w:t>宣布开标人、唱标人、记录人等有关人员名单； </w:t>
      </w:r>
    </w:p>
    <w:p>
      <w:pPr>
        <w:pStyle w:val="ListParagraph"/>
        <w:numPr>
          <w:ilvl w:val="2"/>
          <w:numId w:val="36"/>
        </w:numPr>
        <w:tabs>
          <w:tab w:pos="1627" w:val="left" w:leader="none"/>
        </w:tabs>
        <w:spacing w:line="240" w:lineRule="auto" w:before="139" w:after="0"/>
        <w:ind w:left="1627" w:right="0" w:hanging="529"/>
        <w:jc w:val="left"/>
        <w:rPr>
          <w:sz w:val="21"/>
        </w:rPr>
      </w:pPr>
      <w:r>
        <w:rPr>
          <w:spacing w:val="-3"/>
          <w:sz w:val="21"/>
        </w:rPr>
        <w:t>公布在投标截止时间前递交投标文件的投标人名称及身份证验证等情况； </w:t>
      </w:r>
    </w:p>
    <w:p>
      <w:pPr>
        <w:spacing w:after="0" w:line="240" w:lineRule="auto"/>
        <w:jc w:val="left"/>
        <w:rPr>
          <w:sz w:val="21"/>
        </w:rPr>
        <w:sectPr>
          <w:pgSz w:w="11910" w:h="16850"/>
          <w:pgMar w:header="0" w:footer="779" w:top="1400" w:bottom="1040" w:left="1120" w:right="280"/>
        </w:sectPr>
      </w:pPr>
    </w:p>
    <w:p>
      <w:pPr>
        <w:pStyle w:val="ListParagraph"/>
        <w:numPr>
          <w:ilvl w:val="2"/>
          <w:numId w:val="36"/>
        </w:numPr>
        <w:tabs>
          <w:tab w:pos="1630" w:val="left" w:leader="none"/>
        </w:tabs>
        <w:spacing w:line="364" w:lineRule="auto" w:before="60" w:after="0"/>
        <w:ind w:left="678" w:right="1154" w:firstLine="419"/>
        <w:jc w:val="left"/>
        <w:rPr>
          <w:sz w:val="21"/>
        </w:rPr>
      </w:pPr>
      <w:r>
        <w:rPr>
          <w:w w:val="100"/>
          <w:sz w:val="21"/>
        </w:rPr>
        <w:t>由招标人代表检查投标人的资格证件（包括专职投标员身份证、授权委托书等</w:t>
      </w:r>
      <w:r>
        <w:rPr>
          <w:spacing w:val="-106"/>
          <w:w w:val="100"/>
          <w:sz w:val="21"/>
        </w:rPr>
        <w:t>）</w:t>
      </w:r>
      <w:r>
        <w:rPr>
          <w:spacing w:val="-8"/>
          <w:w w:val="100"/>
          <w:sz w:val="21"/>
        </w:rPr>
        <w:t>；公</w:t>
      </w:r>
      <w:r>
        <w:rPr>
          <w:spacing w:val="-3"/>
          <w:sz w:val="21"/>
        </w:rPr>
        <w:t>布投标人名称、标段名称、投标保证金的递交情况； </w:t>
      </w:r>
      <w:r>
        <w:rPr>
          <w:sz w:val="21"/>
        </w:rPr>
        <w:t> </w:t>
      </w:r>
    </w:p>
    <w:p>
      <w:pPr>
        <w:pStyle w:val="ListParagraph"/>
        <w:numPr>
          <w:ilvl w:val="2"/>
          <w:numId w:val="36"/>
        </w:numPr>
        <w:tabs>
          <w:tab w:pos="1625" w:val="left" w:leader="none"/>
        </w:tabs>
        <w:spacing w:line="364" w:lineRule="auto" w:before="0" w:after="0"/>
        <w:ind w:left="678" w:right="1148" w:firstLine="419"/>
        <w:jc w:val="both"/>
        <w:rPr>
          <w:sz w:val="21"/>
        </w:rPr>
      </w:pPr>
      <w:r>
        <w:rPr>
          <w:spacing w:val="-4"/>
          <w:sz w:val="21"/>
        </w:rPr>
        <w:t>检查并确认未加密的电子投标文件光盘的密封是否完好并符合招标文件的要求</w:t>
      </w:r>
      <w:r>
        <w:rPr>
          <w:spacing w:val="-3"/>
          <w:sz w:val="21"/>
        </w:rPr>
        <w:t>（</w:t>
      </w:r>
      <w:r>
        <w:rPr>
          <w:sz w:val="21"/>
        </w:rPr>
        <w:t>由 投标人自行选择是否提交未加密的电子投标文件光盘，但不提交未加密的电子投标文件光盘的</w:t>
      </w:r>
      <w:r>
        <w:rPr>
          <w:spacing w:val="-4"/>
          <w:sz w:val="21"/>
        </w:rPr>
        <w:t>，不作为否决条件；如出现招标文件投标须知正文 </w:t>
      </w:r>
      <w:r>
        <w:rPr>
          <w:sz w:val="21"/>
        </w:rPr>
        <w:t>5.3</w:t>
      </w:r>
      <w:r>
        <w:rPr>
          <w:spacing w:val="-3"/>
          <w:sz w:val="21"/>
        </w:rPr>
        <w:t> 情形时，投标人未在投标截止时间前递</w:t>
      </w:r>
      <w:r>
        <w:rPr>
          <w:spacing w:val="-3"/>
          <w:w w:val="100"/>
          <w:sz w:val="21"/>
        </w:rPr>
        <w:t>交电子光盘的，自行承担后果</w:t>
      </w:r>
      <w:r>
        <w:rPr>
          <w:spacing w:val="-106"/>
          <w:w w:val="100"/>
          <w:sz w:val="21"/>
        </w:rPr>
        <w:t>）</w:t>
      </w:r>
      <w:r>
        <w:rPr>
          <w:spacing w:val="-3"/>
          <w:w w:val="100"/>
          <w:sz w:val="21"/>
        </w:rPr>
        <w:t>；</w:t>
      </w:r>
      <w:r>
        <w:rPr>
          <w:w w:val="100"/>
          <w:sz w:val="21"/>
        </w:rPr>
        <w:t> </w:t>
      </w:r>
    </w:p>
    <w:p>
      <w:pPr>
        <w:pStyle w:val="ListParagraph"/>
        <w:numPr>
          <w:ilvl w:val="2"/>
          <w:numId w:val="36"/>
        </w:numPr>
        <w:tabs>
          <w:tab w:pos="1627" w:val="left" w:leader="none"/>
        </w:tabs>
        <w:spacing w:line="268" w:lineRule="exact" w:before="0" w:after="0"/>
        <w:ind w:left="1627" w:right="0" w:hanging="529"/>
        <w:jc w:val="both"/>
        <w:rPr>
          <w:sz w:val="21"/>
        </w:rPr>
      </w:pPr>
      <w:r>
        <w:rPr>
          <w:spacing w:val="-6"/>
          <w:sz w:val="21"/>
        </w:rPr>
        <w:t>按照上传投标文件的先后顺序依次由专职投标员持 </w:t>
      </w:r>
      <w:r>
        <w:rPr>
          <w:sz w:val="21"/>
        </w:rPr>
        <w:t>CA</w:t>
      </w:r>
      <w:r>
        <w:rPr>
          <w:spacing w:val="-13"/>
          <w:sz w:val="21"/>
        </w:rPr>
        <w:t> 锁解密；</w:t>
      </w:r>
      <w:r>
        <w:rPr>
          <w:sz w:val="21"/>
        </w:rPr>
        <w:t> </w:t>
      </w:r>
    </w:p>
    <w:p>
      <w:pPr>
        <w:pStyle w:val="ListParagraph"/>
        <w:numPr>
          <w:ilvl w:val="2"/>
          <w:numId w:val="36"/>
        </w:numPr>
        <w:tabs>
          <w:tab w:pos="1627" w:val="left" w:leader="none"/>
        </w:tabs>
        <w:spacing w:line="240" w:lineRule="auto" w:before="140" w:after="0"/>
        <w:ind w:left="1627" w:right="0" w:hanging="529"/>
        <w:jc w:val="left"/>
        <w:rPr>
          <w:sz w:val="21"/>
        </w:rPr>
      </w:pPr>
      <w:r>
        <w:rPr>
          <w:spacing w:val="-3"/>
          <w:sz w:val="21"/>
        </w:rPr>
        <w:t>招标代理对投标文件进行二次解密；</w:t>
      </w:r>
      <w:r>
        <w:rPr>
          <w:sz w:val="21"/>
        </w:rPr>
        <w:t> </w:t>
      </w:r>
    </w:p>
    <w:p>
      <w:pPr>
        <w:pStyle w:val="ListParagraph"/>
        <w:numPr>
          <w:ilvl w:val="2"/>
          <w:numId w:val="36"/>
        </w:numPr>
        <w:tabs>
          <w:tab w:pos="1627" w:val="left" w:leader="none"/>
        </w:tabs>
        <w:spacing w:line="240" w:lineRule="auto" w:before="139" w:after="0"/>
        <w:ind w:left="1627" w:right="0" w:hanging="529"/>
        <w:jc w:val="left"/>
        <w:rPr>
          <w:sz w:val="21"/>
        </w:rPr>
      </w:pPr>
      <w:r>
        <w:rPr>
          <w:spacing w:val="-3"/>
          <w:w w:val="100"/>
          <w:sz w:val="21"/>
        </w:rPr>
        <w:t>公布解密情况</w:t>
      </w:r>
      <w:r>
        <w:rPr>
          <w:w w:val="100"/>
          <w:sz w:val="21"/>
        </w:rPr>
        <w:t>（</w:t>
      </w:r>
      <w:r>
        <w:rPr>
          <w:spacing w:val="-3"/>
          <w:w w:val="100"/>
          <w:sz w:val="21"/>
        </w:rPr>
        <w:t>解密是否成功、投标人名称、投标家数等情况</w:t>
      </w:r>
      <w:r>
        <w:rPr>
          <w:spacing w:val="-106"/>
          <w:w w:val="100"/>
          <w:sz w:val="21"/>
        </w:rPr>
        <w:t>）</w:t>
      </w:r>
      <w:r>
        <w:rPr>
          <w:spacing w:val="-3"/>
          <w:w w:val="100"/>
          <w:sz w:val="21"/>
        </w:rPr>
        <w:t>；</w:t>
      </w:r>
      <w:r>
        <w:rPr>
          <w:w w:val="100"/>
          <w:sz w:val="21"/>
        </w:rPr>
        <w:t> </w:t>
      </w:r>
    </w:p>
    <w:p>
      <w:pPr>
        <w:pStyle w:val="ListParagraph"/>
        <w:numPr>
          <w:ilvl w:val="2"/>
          <w:numId w:val="36"/>
        </w:numPr>
        <w:tabs>
          <w:tab w:pos="1627" w:val="left" w:leader="none"/>
        </w:tabs>
        <w:spacing w:line="240" w:lineRule="auto" w:before="139" w:after="0"/>
        <w:ind w:left="1627" w:right="0" w:hanging="529"/>
        <w:jc w:val="left"/>
        <w:rPr>
          <w:sz w:val="21"/>
        </w:rPr>
      </w:pPr>
      <w:r>
        <w:rPr>
          <w:spacing w:val="-3"/>
          <w:w w:val="100"/>
          <w:sz w:val="21"/>
        </w:rPr>
        <w:t>招标人代表随机抽取</w:t>
      </w:r>
      <w:r>
        <w:rPr>
          <w:spacing w:val="-52"/>
          <w:sz w:val="21"/>
        </w:rPr>
        <w:t> </w:t>
      </w:r>
      <w:r>
        <w:rPr>
          <w:w w:val="100"/>
          <w:sz w:val="21"/>
        </w:rPr>
        <w:t>K</w:t>
      </w:r>
      <w:r>
        <w:rPr>
          <w:spacing w:val="-53"/>
          <w:sz w:val="21"/>
        </w:rPr>
        <w:t> </w:t>
      </w:r>
      <w:r>
        <w:rPr>
          <w:spacing w:val="-2"/>
          <w:w w:val="100"/>
          <w:sz w:val="21"/>
        </w:rPr>
        <w:t>值和</w:t>
      </w:r>
      <w:r>
        <w:rPr>
          <w:spacing w:val="-53"/>
          <w:sz w:val="21"/>
        </w:rPr>
        <w:t> </w:t>
      </w:r>
      <w:r>
        <w:rPr>
          <w:spacing w:val="-3"/>
          <w:w w:val="100"/>
          <w:sz w:val="21"/>
        </w:rPr>
        <w:t>K</w:t>
      </w:r>
      <w:r>
        <w:rPr>
          <w:spacing w:val="-2"/>
          <w:w w:val="100"/>
          <w:sz w:val="21"/>
        </w:rPr>
        <w:t>′值</w:t>
      </w:r>
      <w:r>
        <w:rPr>
          <w:w w:val="100"/>
          <w:sz w:val="21"/>
        </w:rPr>
        <w:t>（</w:t>
      </w:r>
      <w:r>
        <w:rPr>
          <w:spacing w:val="-2"/>
          <w:w w:val="100"/>
          <w:sz w:val="21"/>
        </w:rPr>
        <w:t>如有</w:t>
      </w:r>
      <w:r>
        <w:rPr>
          <w:spacing w:val="-108"/>
          <w:w w:val="100"/>
          <w:sz w:val="21"/>
        </w:rPr>
        <w:t>）</w:t>
      </w:r>
      <w:r>
        <w:rPr>
          <w:spacing w:val="-3"/>
          <w:w w:val="100"/>
          <w:sz w:val="21"/>
        </w:rPr>
        <w:t>；</w:t>
      </w:r>
      <w:r>
        <w:rPr>
          <w:w w:val="100"/>
          <w:sz w:val="21"/>
        </w:rPr>
        <w:t> </w:t>
      </w:r>
    </w:p>
    <w:p>
      <w:pPr>
        <w:pStyle w:val="ListParagraph"/>
        <w:numPr>
          <w:ilvl w:val="2"/>
          <w:numId w:val="36"/>
        </w:numPr>
        <w:tabs>
          <w:tab w:pos="1734" w:val="left" w:leader="none"/>
        </w:tabs>
        <w:spacing w:line="364" w:lineRule="auto" w:before="139" w:after="0"/>
        <w:ind w:left="678" w:right="1154" w:firstLine="419"/>
        <w:jc w:val="left"/>
        <w:rPr>
          <w:sz w:val="21"/>
        </w:rPr>
      </w:pPr>
      <w:r>
        <w:rPr>
          <w:spacing w:val="-1"/>
          <w:sz w:val="21"/>
        </w:rPr>
        <w:t>公布投标人名称、标段名称、投标保证金的提交情况、投标报价、质量目标、工期</w:t>
      </w:r>
      <w:r>
        <w:rPr>
          <w:spacing w:val="-3"/>
          <w:sz w:val="21"/>
        </w:rPr>
        <w:t>及其他内容；</w:t>
      </w:r>
      <w:r>
        <w:rPr>
          <w:sz w:val="21"/>
        </w:rPr>
        <w:t> </w:t>
      </w:r>
    </w:p>
    <w:p>
      <w:pPr>
        <w:pStyle w:val="ListParagraph"/>
        <w:numPr>
          <w:ilvl w:val="2"/>
          <w:numId w:val="36"/>
        </w:numPr>
        <w:tabs>
          <w:tab w:pos="1733" w:val="left" w:leader="none"/>
        </w:tabs>
        <w:spacing w:line="240" w:lineRule="auto" w:before="1" w:after="0"/>
        <w:ind w:left="1732" w:right="0" w:hanging="635"/>
        <w:jc w:val="left"/>
        <w:rPr>
          <w:sz w:val="21"/>
        </w:rPr>
      </w:pPr>
      <w:r>
        <w:rPr>
          <w:spacing w:val="-3"/>
          <w:sz w:val="21"/>
        </w:rPr>
        <w:t>公布招标控制价及相关内容；设有标底的，公布标底；</w:t>
      </w:r>
      <w:r>
        <w:rPr>
          <w:sz w:val="21"/>
        </w:rPr>
        <w:t> </w:t>
      </w:r>
    </w:p>
    <w:p>
      <w:pPr>
        <w:pStyle w:val="ListParagraph"/>
        <w:numPr>
          <w:ilvl w:val="2"/>
          <w:numId w:val="36"/>
        </w:numPr>
        <w:tabs>
          <w:tab w:pos="1733" w:val="left" w:leader="none"/>
        </w:tabs>
        <w:spacing w:line="240" w:lineRule="auto" w:before="139" w:after="0"/>
        <w:ind w:left="1732" w:right="0" w:hanging="635"/>
        <w:jc w:val="left"/>
        <w:rPr>
          <w:sz w:val="21"/>
        </w:rPr>
      </w:pPr>
      <w:r>
        <w:rPr>
          <w:spacing w:val="-3"/>
          <w:sz w:val="21"/>
        </w:rPr>
        <w:t>投标人代表、招标人代表、监标人、记录人等有关人员在开标记录上签字确认；</w:t>
      </w:r>
      <w:r>
        <w:rPr>
          <w:sz w:val="21"/>
        </w:rPr>
        <w:t> </w:t>
      </w:r>
    </w:p>
    <w:p>
      <w:pPr>
        <w:pStyle w:val="ListParagraph"/>
        <w:numPr>
          <w:ilvl w:val="2"/>
          <w:numId w:val="36"/>
        </w:numPr>
        <w:tabs>
          <w:tab w:pos="1733" w:val="left" w:leader="none"/>
        </w:tabs>
        <w:spacing w:line="240" w:lineRule="auto" w:before="139" w:after="0"/>
        <w:ind w:left="1732" w:right="0" w:hanging="635"/>
        <w:jc w:val="left"/>
        <w:rPr>
          <w:sz w:val="21"/>
        </w:rPr>
      </w:pPr>
      <w:r>
        <w:rPr>
          <w:spacing w:val="-3"/>
          <w:sz w:val="21"/>
        </w:rPr>
        <w:t>开标结束。</w:t>
      </w:r>
      <w:r>
        <w:rPr>
          <w:sz w:val="21"/>
        </w:rPr>
        <w:t> </w:t>
      </w:r>
    </w:p>
    <w:p>
      <w:pPr>
        <w:pStyle w:val="Heading2"/>
        <w:numPr>
          <w:ilvl w:val="1"/>
          <w:numId w:val="36"/>
        </w:numPr>
        <w:tabs>
          <w:tab w:pos="1245" w:val="left" w:leader="none"/>
        </w:tabs>
        <w:spacing w:line="240" w:lineRule="auto" w:before="33" w:after="0"/>
        <w:ind w:left="1244" w:right="0" w:hanging="567"/>
        <w:jc w:val="left"/>
      </w:pPr>
      <w:bookmarkStart w:name="5.3电子开标的应急措施" w:id="100"/>
      <w:bookmarkEnd w:id="100"/>
      <w:r>
        <w:rPr>
          <w:b w:val="0"/>
        </w:rPr>
      </w:r>
      <w:bookmarkStart w:name="_bookmark36" w:id="101"/>
      <w:bookmarkEnd w:id="101"/>
      <w:r>
        <w:rPr>
          <w:b w:val="0"/>
        </w:rPr>
      </w:r>
      <w:bookmarkStart w:name="_bookmark36" w:id="102"/>
      <w:bookmarkEnd w:id="102"/>
      <w:r>
        <w:rPr/>
        <w:t>电子开标的应急措施</w:t>
      </w:r>
      <w:r>
        <w:rPr>
          <w:w w:val="199"/>
        </w:rPr>
        <w:t> </w:t>
      </w:r>
    </w:p>
    <w:p>
      <w:pPr>
        <w:pStyle w:val="ListParagraph"/>
        <w:numPr>
          <w:ilvl w:val="2"/>
          <w:numId w:val="37"/>
        </w:numPr>
        <w:tabs>
          <w:tab w:pos="1790" w:val="left" w:leader="none"/>
        </w:tabs>
        <w:spacing w:line="364" w:lineRule="auto" w:before="141" w:after="0"/>
        <w:ind w:left="678" w:right="1149" w:firstLine="525"/>
        <w:jc w:val="left"/>
        <w:rPr>
          <w:sz w:val="21"/>
        </w:rPr>
      </w:pPr>
      <w:r>
        <w:rPr>
          <w:spacing w:val="-3"/>
          <w:sz w:val="21"/>
        </w:rPr>
        <w:t>电子开标如出现下列原因，导致系统无法正常运行，或者无法保证招投标过程的公平、公正和信息安全时，招标监管部门和交易中心应采取应急措施。</w:t>
      </w:r>
      <w:r>
        <w:rPr>
          <w:sz w:val="21"/>
        </w:rPr>
        <w:t> </w:t>
      </w:r>
    </w:p>
    <w:p>
      <w:pPr>
        <w:pStyle w:val="ListParagraph"/>
        <w:numPr>
          <w:ilvl w:val="0"/>
          <w:numId w:val="38"/>
        </w:numPr>
        <w:tabs>
          <w:tab w:pos="1733" w:val="left" w:leader="none"/>
        </w:tabs>
        <w:spacing w:line="268" w:lineRule="exact" w:before="0" w:after="0"/>
        <w:ind w:left="1732" w:right="0" w:hanging="530"/>
        <w:jc w:val="left"/>
        <w:rPr>
          <w:sz w:val="21"/>
        </w:rPr>
      </w:pPr>
      <w:r>
        <w:rPr>
          <w:spacing w:val="-3"/>
          <w:sz w:val="21"/>
        </w:rPr>
        <w:t>系统服务器发生故障或停电等情况，无法访问或无法使用系统；</w:t>
      </w:r>
      <w:r>
        <w:rPr>
          <w:spacing w:val="-2"/>
          <w:sz w:val="21"/>
        </w:rPr>
        <w:t> </w:t>
      </w:r>
      <w:r>
        <w:rPr>
          <w:sz w:val="21"/>
        </w:rPr>
        <w:t> </w:t>
      </w:r>
    </w:p>
    <w:p>
      <w:pPr>
        <w:pStyle w:val="ListParagraph"/>
        <w:numPr>
          <w:ilvl w:val="0"/>
          <w:numId w:val="38"/>
        </w:numPr>
        <w:tabs>
          <w:tab w:pos="1733" w:val="left" w:leader="none"/>
        </w:tabs>
        <w:spacing w:line="240" w:lineRule="auto" w:before="139" w:after="0"/>
        <w:ind w:left="1732" w:right="0" w:hanging="530"/>
        <w:jc w:val="left"/>
        <w:rPr>
          <w:sz w:val="21"/>
        </w:rPr>
      </w:pPr>
      <w:r>
        <w:rPr>
          <w:spacing w:val="-3"/>
          <w:sz w:val="21"/>
        </w:rPr>
        <w:t>系统的软件或数据库出现错误，不能进行正常操作； </w:t>
      </w:r>
      <w:r>
        <w:rPr>
          <w:sz w:val="21"/>
        </w:rPr>
        <w:t> </w:t>
      </w:r>
    </w:p>
    <w:p>
      <w:pPr>
        <w:pStyle w:val="ListParagraph"/>
        <w:numPr>
          <w:ilvl w:val="0"/>
          <w:numId w:val="38"/>
        </w:numPr>
        <w:tabs>
          <w:tab w:pos="1733" w:val="left" w:leader="none"/>
        </w:tabs>
        <w:spacing w:line="240" w:lineRule="auto" w:before="139" w:after="0"/>
        <w:ind w:left="1732" w:right="0" w:hanging="530"/>
        <w:jc w:val="left"/>
        <w:rPr>
          <w:sz w:val="21"/>
        </w:rPr>
      </w:pPr>
      <w:r>
        <w:rPr>
          <w:spacing w:val="-3"/>
          <w:sz w:val="21"/>
        </w:rPr>
        <w:t>系统发现有安全漏洞，有潜在的泄密危险； </w:t>
      </w:r>
      <w:r>
        <w:rPr>
          <w:sz w:val="21"/>
        </w:rPr>
        <w:t> </w:t>
      </w:r>
    </w:p>
    <w:p>
      <w:pPr>
        <w:pStyle w:val="ListParagraph"/>
        <w:numPr>
          <w:ilvl w:val="0"/>
          <w:numId w:val="38"/>
        </w:numPr>
        <w:tabs>
          <w:tab w:pos="1733" w:val="left" w:leader="none"/>
        </w:tabs>
        <w:spacing w:line="240" w:lineRule="auto" w:before="141" w:after="0"/>
        <w:ind w:left="1732" w:right="0" w:hanging="530"/>
        <w:jc w:val="left"/>
        <w:rPr>
          <w:sz w:val="21"/>
        </w:rPr>
      </w:pPr>
      <w:r>
        <w:rPr>
          <w:spacing w:val="-3"/>
          <w:sz w:val="21"/>
        </w:rPr>
        <w:t>病毒发作或受到外来的攻击； </w:t>
      </w:r>
      <w:r>
        <w:rPr>
          <w:sz w:val="21"/>
        </w:rPr>
        <w:t> </w:t>
      </w:r>
    </w:p>
    <w:p>
      <w:pPr>
        <w:pStyle w:val="ListParagraph"/>
        <w:numPr>
          <w:ilvl w:val="0"/>
          <w:numId w:val="38"/>
        </w:numPr>
        <w:tabs>
          <w:tab w:pos="1733" w:val="left" w:leader="none"/>
        </w:tabs>
        <w:spacing w:line="240" w:lineRule="auto" w:before="139" w:after="0"/>
        <w:ind w:left="1732" w:right="0" w:hanging="530"/>
        <w:jc w:val="left"/>
        <w:rPr>
          <w:sz w:val="21"/>
        </w:rPr>
      </w:pPr>
      <w:r>
        <w:rPr>
          <w:spacing w:val="-3"/>
          <w:sz w:val="21"/>
        </w:rPr>
        <w:t>其他无法保证招投标过程公平、公正和信息安全的情形。 </w:t>
      </w:r>
      <w:r>
        <w:rPr>
          <w:sz w:val="21"/>
        </w:rPr>
        <w:t> </w:t>
      </w:r>
    </w:p>
    <w:p>
      <w:pPr>
        <w:pStyle w:val="BodyText"/>
        <w:spacing w:line="364" w:lineRule="auto" w:before="139"/>
        <w:ind w:right="1151" w:firstLine="525"/>
        <w:jc w:val="both"/>
      </w:pPr>
      <w:r>
        <w:rPr>
          <w:spacing w:val="-7"/>
        </w:rPr>
        <w:t>出现上述情况时，应对未开标的暂停开标。已在系统内开标立即停止，经招标监督部门确认后，可采用未加密的电子投标文件光盘和应急开标系统开标。若仍无法正常开标， 则对原有</w:t>
      </w:r>
      <w:r>
        <w:rPr>
          <w:spacing w:val="-5"/>
        </w:rPr>
        <w:t>资料及信息作出保密处理，或等待系统恢复正常后再组织进行开标。</w:t>
      </w:r>
      <w:r>
        <w:rPr/>
        <w:t> </w:t>
      </w:r>
    </w:p>
    <w:p>
      <w:pPr>
        <w:pStyle w:val="ListParagraph"/>
        <w:numPr>
          <w:ilvl w:val="2"/>
          <w:numId w:val="37"/>
        </w:numPr>
        <w:tabs>
          <w:tab w:pos="1733" w:val="left" w:leader="none"/>
        </w:tabs>
        <w:spacing w:line="364" w:lineRule="auto" w:before="0" w:after="0"/>
        <w:ind w:left="678" w:right="1148" w:firstLine="525"/>
        <w:jc w:val="both"/>
        <w:rPr>
          <w:sz w:val="21"/>
        </w:rPr>
      </w:pPr>
      <w:r>
        <w:rPr>
          <w:spacing w:val="-4"/>
          <w:sz w:val="21"/>
        </w:rPr>
        <w:t>投标人在个人解密开始后 </w:t>
      </w:r>
      <w:r>
        <w:rPr>
          <w:sz w:val="21"/>
        </w:rPr>
        <w:t>15</w:t>
      </w:r>
      <w:r>
        <w:rPr>
          <w:spacing w:val="-5"/>
          <w:sz w:val="21"/>
        </w:rPr>
        <w:t> 分钟内完成投标文件的解密工作</w:t>
      </w:r>
      <w:r>
        <w:rPr>
          <w:spacing w:val="-3"/>
          <w:sz w:val="21"/>
        </w:rPr>
        <w:t>（以南宁市公共资源交易系统解密倒计时为准</w:t>
      </w:r>
      <w:r>
        <w:rPr>
          <w:spacing w:val="-108"/>
          <w:sz w:val="21"/>
        </w:rPr>
        <w:t>）</w:t>
      </w:r>
      <w:r>
        <w:rPr>
          <w:spacing w:val="-7"/>
          <w:sz w:val="21"/>
        </w:rPr>
        <w:t>。因投标人原因造成投标文件在规定时间内未解密的，视为投标人撤销其投标文件；因投标人之外的原因造成投标文件在规定时间内未解密的，经招标监督部门确认并经招标人同意后，招标人可在开标现场直接导入投标人在投标截止时间前递交的未加密的电子投标文件光盘进行开标；如投标人电子光盘未提供或无法导入上传时，视为投标人撤销其</w:t>
      </w:r>
      <w:r>
        <w:rPr>
          <w:spacing w:val="-5"/>
          <w:sz w:val="21"/>
        </w:rPr>
        <w:t>投标文件。</w:t>
      </w:r>
      <w:r>
        <w:rPr>
          <w:sz w:val="21"/>
        </w:rPr>
        <w:t> </w:t>
      </w:r>
    </w:p>
    <w:p>
      <w:pPr>
        <w:pStyle w:val="ListParagraph"/>
        <w:numPr>
          <w:ilvl w:val="2"/>
          <w:numId w:val="37"/>
        </w:numPr>
        <w:tabs>
          <w:tab w:pos="1790" w:val="left" w:leader="none"/>
        </w:tabs>
        <w:spacing w:line="266" w:lineRule="exact" w:before="0" w:after="0"/>
        <w:ind w:left="1789" w:right="0" w:hanging="587"/>
        <w:jc w:val="both"/>
        <w:rPr>
          <w:sz w:val="21"/>
        </w:rPr>
      </w:pPr>
      <w:r>
        <w:rPr>
          <w:spacing w:val="-3"/>
          <w:sz w:val="21"/>
        </w:rPr>
        <w:t>因网络问题或者诚信库系统问题导致电子开标系统无法正常访问诚信库进行身份证</w:t>
      </w:r>
    </w:p>
    <w:p>
      <w:pPr>
        <w:spacing w:after="0" w:line="266" w:lineRule="exact"/>
        <w:jc w:val="both"/>
        <w:rPr>
          <w:sz w:val="21"/>
        </w:rPr>
        <w:sectPr>
          <w:pgSz w:w="11910" w:h="16850"/>
          <w:pgMar w:header="0" w:footer="779" w:top="1380" w:bottom="1040" w:left="1120" w:right="280"/>
        </w:sectPr>
      </w:pPr>
    </w:p>
    <w:p>
      <w:pPr>
        <w:pStyle w:val="BodyText"/>
        <w:spacing w:line="364" w:lineRule="auto" w:before="60"/>
        <w:ind w:right="1156"/>
        <w:jc w:val="both"/>
      </w:pPr>
      <w:r>
        <w:rPr/>
        <w:t>验证时，可暂停开标，等待网络或者诚信库恢复访问时再进行身份证验证。如投标人在投标截止时间前已正常提交相关开评标材料，但因以上原因导致系统显示验证迟到的，经过招标监督部门和招标人确认后，可以继续进行开标。 </w:t>
      </w:r>
    </w:p>
    <w:p>
      <w:pPr>
        <w:pStyle w:val="ListParagraph"/>
        <w:numPr>
          <w:ilvl w:val="2"/>
          <w:numId w:val="37"/>
        </w:numPr>
        <w:tabs>
          <w:tab w:pos="1733" w:val="left" w:leader="none"/>
        </w:tabs>
        <w:spacing w:line="364" w:lineRule="auto" w:before="0" w:after="0"/>
        <w:ind w:left="678" w:right="1151" w:firstLine="525"/>
        <w:jc w:val="both"/>
        <w:rPr>
          <w:sz w:val="21"/>
        </w:rPr>
      </w:pPr>
      <w:r>
        <w:rPr>
          <w:spacing w:val="-6"/>
          <w:sz w:val="21"/>
        </w:rPr>
        <w:t>开标时显示保证金状态为未提交时，应通过当地交易中心、系统维护方以及银行核</w:t>
      </w:r>
      <w:r>
        <w:rPr>
          <w:spacing w:val="-7"/>
          <w:sz w:val="21"/>
        </w:rPr>
        <w:t>实原因。如果是因为投标人提交保证金的账号与诚信库备案的企业基本户不一致的，或者投标</w:t>
      </w:r>
      <w:r>
        <w:rPr>
          <w:spacing w:val="-1"/>
          <w:sz w:val="21"/>
        </w:rPr>
        <w:t>人提交的保证金金额少于招标文件要求的，经过招标监督部门确认并经招标人同意后，招标人在开标时当场拒收其投标，不得进入评标。如果是因为网络原因或者广西电子招标投标系统、银行系统原因导致的，并且银行最终确认投标人已按时足额提交了保证金的，可以继续进行开</w:t>
      </w:r>
      <w:r>
        <w:rPr>
          <w:spacing w:val="-2"/>
          <w:sz w:val="21"/>
        </w:rPr>
        <w:t>标。</w:t>
      </w:r>
      <w:r>
        <w:rPr>
          <w:sz w:val="21"/>
        </w:rPr>
        <w:t> </w:t>
      </w:r>
    </w:p>
    <w:p>
      <w:pPr>
        <w:pStyle w:val="Heading2"/>
        <w:numPr>
          <w:ilvl w:val="1"/>
          <w:numId w:val="36"/>
        </w:numPr>
        <w:tabs>
          <w:tab w:pos="1163" w:val="left" w:leader="none"/>
        </w:tabs>
        <w:spacing w:line="480" w:lineRule="exact" w:before="0" w:after="0"/>
        <w:ind w:left="1162" w:right="0" w:hanging="485"/>
        <w:jc w:val="left"/>
      </w:pPr>
      <w:bookmarkStart w:name="5.4 不予开标" w:id="103"/>
      <w:bookmarkEnd w:id="103"/>
      <w:r>
        <w:rPr>
          <w:b w:val="0"/>
        </w:rPr>
      </w:r>
      <w:bookmarkStart w:name="_bookmark37" w:id="104"/>
      <w:bookmarkEnd w:id="104"/>
      <w:r>
        <w:rPr>
          <w:b w:val="0"/>
        </w:rPr>
      </w:r>
      <w:bookmarkStart w:name="_bookmark37" w:id="105"/>
      <w:bookmarkEnd w:id="105"/>
      <w:r>
        <w:rPr/>
        <w:t>不予开标</w:t>
      </w:r>
      <w:r>
        <w:rPr>
          <w:w w:val="199"/>
        </w:rPr>
        <w:t> </w:t>
      </w:r>
    </w:p>
    <w:p>
      <w:pPr>
        <w:pStyle w:val="BodyText"/>
        <w:spacing w:before="138"/>
        <w:ind w:left="1098"/>
      </w:pPr>
      <w:r>
        <w:rPr/>
        <w:t>符合下列情况之一的投标，招标人拒绝受理</w:t>
      </w:r>
      <w:r>
        <w:rPr>
          <w:color w:val="FF0000"/>
        </w:rPr>
        <w:t>或在开标室当场拒绝</w:t>
      </w:r>
      <w:r>
        <w:rPr/>
        <w:t>其投标，不得进入评标： </w:t>
      </w:r>
    </w:p>
    <w:p>
      <w:pPr>
        <w:pStyle w:val="ListParagraph"/>
        <w:numPr>
          <w:ilvl w:val="0"/>
          <w:numId w:val="39"/>
        </w:numPr>
        <w:tabs>
          <w:tab w:pos="1627" w:val="left" w:leader="none"/>
        </w:tabs>
        <w:spacing w:line="240" w:lineRule="auto" w:before="142" w:after="0"/>
        <w:ind w:left="1627" w:right="0" w:hanging="529"/>
        <w:jc w:val="left"/>
        <w:rPr>
          <w:sz w:val="21"/>
        </w:rPr>
      </w:pPr>
      <w:r>
        <w:rPr>
          <w:spacing w:val="-3"/>
          <w:sz w:val="21"/>
        </w:rPr>
        <w:t>加密的电子投标文件未能在投标截止时间前成功上传的；</w:t>
      </w:r>
      <w:r>
        <w:rPr>
          <w:sz w:val="21"/>
        </w:rPr>
        <w:t> </w:t>
      </w:r>
    </w:p>
    <w:p>
      <w:pPr>
        <w:pStyle w:val="ListParagraph"/>
        <w:numPr>
          <w:ilvl w:val="0"/>
          <w:numId w:val="39"/>
        </w:numPr>
        <w:tabs>
          <w:tab w:pos="1627" w:val="left" w:leader="none"/>
        </w:tabs>
        <w:spacing w:line="364" w:lineRule="auto" w:before="139" w:after="0"/>
        <w:ind w:left="678" w:right="1149" w:firstLine="419"/>
        <w:jc w:val="left"/>
        <w:rPr>
          <w:sz w:val="21"/>
        </w:rPr>
      </w:pPr>
      <w:r>
        <w:rPr>
          <w:spacing w:val="-3"/>
          <w:sz w:val="21"/>
        </w:rPr>
        <w:t>投标人法定代表人或被授权的专职投标员未按时出席开标会或开标要求的授权委托 书完整材料和身份证未通过核验或验证的（或其中任何一人的身份证被锁定无效的</w:t>
      </w:r>
      <w:r>
        <w:rPr>
          <w:spacing w:val="-108"/>
          <w:sz w:val="21"/>
        </w:rPr>
        <w:t>）</w:t>
      </w:r>
      <w:r>
        <w:rPr>
          <w:spacing w:val="-3"/>
          <w:sz w:val="21"/>
        </w:rPr>
        <w:t>。</w:t>
      </w:r>
      <w:r>
        <w:rPr>
          <w:sz w:val="21"/>
        </w:rPr>
        <w:t> </w:t>
      </w:r>
    </w:p>
    <w:p>
      <w:pPr>
        <w:pStyle w:val="ListParagraph"/>
        <w:numPr>
          <w:ilvl w:val="0"/>
          <w:numId w:val="39"/>
        </w:numPr>
        <w:tabs>
          <w:tab w:pos="1627" w:val="left" w:leader="none"/>
        </w:tabs>
        <w:spacing w:line="364" w:lineRule="auto" w:before="0" w:after="0"/>
        <w:ind w:left="678" w:right="1151" w:firstLine="419"/>
        <w:jc w:val="left"/>
        <w:rPr>
          <w:sz w:val="21"/>
        </w:rPr>
      </w:pPr>
      <w:r>
        <w:rPr>
          <w:spacing w:val="-5"/>
          <w:sz w:val="21"/>
        </w:rPr>
        <w:t>现场持身份证的专职投标员与通过身份证验证、授权出席开标会、授权签署投标文件</w:t>
      </w:r>
      <w:r>
        <w:rPr>
          <w:spacing w:val="-4"/>
          <w:sz w:val="21"/>
        </w:rPr>
        <w:t>的专职投标员非同一人的。 </w:t>
      </w:r>
    </w:p>
    <w:p>
      <w:pPr>
        <w:pStyle w:val="ListParagraph"/>
        <w:numPr>
          <w:ilvl w:val="0"/>
          <w:numId w:val="39"/>
        </w:numPr>
        <w:tabs>
          <w:tab w:pos="1625" w:val="left" w:leader="none"/>
        </w:tabs>
        <w:spacing w:line="364" w:lineRule="auto" w:before="0" w:after="0"/>
        <w:ind w:left="678" w:right="1151" w:firstLine="419"/>
        <w:jc w:val="left"/>
        <w:rPr>
          <w:sz w:val="21"/>
        </w:rPr>
      </w:pPr>
      <w:r>
        <w:rPr>
          <w:spacing w:val="-4"/>
          <w:sz w:val="21"/>
        </w:rPr>
        <w:t>投标人拟投入项目经理被标注为注册状态异常，且拟投入的项目经理本人未持本人 </w:t>
      </w:r>
      <w:r>
        <w:rPr>
          <w:spacing w:val="-3"/>
          <w:sz w:val="21"/>
        </w:rPr>
        <w:t>身份证原件出席开标会现场的。</w:t>
      </w:r>
      <w:r>
        <w:rPr>
          <w:sz w:val="21"/>
        </w:rPr>
        <w:t> </w:t>
      </w:r>
    </w:p>
    <w:p>
      <w:pPr>
        <w:pStyle w:val="Heading2"/>
        <w:numPr>
          <w:ilvl w:val="1"/>
          <w:numId w:val="36"/>
        </w:numPr>
        <w:tabs>
          <w:tab w:pos="1163" w:val="left" w:leader="none"/>
        </w:tabs>
        <w:spacing w:line="482" w:lineRule="exact" w:before="0" w:after="0"/>
        <w:ind w:left="1162" w:right="0" w:hanging="485"/>
        <w:jc w:val="left"/>
        <w:rPr>
          <w:rFonts w:ascii="宋体" w:eastAsia="宋体" w:hint="eastAsia"/>
          <w:b w:val="0"/>
        </w:rPr>
      </w:pPr>
      <w:bookmarkStart w:name="5.5 开标异议" w:id="106"/>
      <w:bookmarkEnd w:id="106"/>
      <w:r>
        <w:rPr>
          <w:b w:val="0"/>
        </w:rPr>
      </w:r>
      <w:bookmarkStart w:name="_bookmark38" w:id="107"/>
      <w:bookmarkEnd w:id="107"/>
      <w:r>
        <w:rPr>
          <w:b w:val="0"/>
        </w:rPr>
      </w:r>
      <w:bookmarkStart w:name="_bookmark38" w:id="108"/>
      <w:bookmarkEnd w:id="108"/>
      <w:r>
        <w:rPr/>
        <w:t>开标异议</w:t>
      </w:r>
      <w:r>
        <w:rPr>
          <w:spacing w:val="1"/>
          <w:w w:val="199"/>
        </w:rPr>
        <w:t>  </w:t>
      </w:r>
      <w:r>
        <w:rPr>
          <w:rFonts w:ascii="宋体" w:eastAsia="宋体" w:hint="eastAsia"/>
          <w:b w:val="0"/>
          <w:w w:val="99"/>
        </w:rPr>
        <w:t> </w:t>
      </w:r>
    </w:p>
    <w:p>
      <w:pPr>
        <w:pStyle w:val="BodyText"/>
        <w:spacing w:before="137"/>
        <w:ind w:left="1098"/>
      </w:pPr>
      <w:r>
        <w:rPr/>
        <w:t>投标人对开标有异议的，应当在开标现场提出，招标人应当场作出答复，并制作记录。 </w:t>
      </w:r>
    </w:p>
    <w:p>
      <w:pPr>
        <w:pStyle w:val="BodyText"/>
        <w:ind w:left="0"/>
        <w:rPr>
          <w:sz w:val="20"/>
        </w:rPr>
      </w:pPr>
    </w:p>
    <w:p>
      <w:pPr>
        <w:pStyle w:val="BodyText"/>
        <w:spacing w:before="1"/>
        <w:ind w:left="0"/>
        <w:rPr>
          <w:sz w:val="23"/>
        </w:rPr>
      </w:pPr>
    </w:p>
    <w:p>
      <w:pPr>
        <w:pStyle w:val="Heading2"/>
        <w:spacing w:line="538" w:lineRule="exact"/>
        <w:ind w:left="678"/>
      </w:pPr>
      <w:bookmarkStart w:name="6 评标" w:id="109"/>
      <w:bookmarkEnd w:id="109"/>
      <w:r>
        <w:rPr>
          <w:b w:val="0"/>
        </w:rPr>
      </w:r>
      <w:bookmarkStart w:name="_bookmark39" w:id="110"/>
      <w:bookmarkEnd w:id="110"/>
      <w:r>
        <w:rPr>
          <w:b w:val="0"/>
        </w:rPr>
      </w:r>
      <w:r>
        <w:rPr>
          <w:w w:val="105"/>
        </w:rPr>
        <w:t>6 评标</w:t>
      </w:r>
      <w:r>
        <w:rPr>
          <w:w w:val="199"/>
        </w:rPr>
        <w:t> </w:t>
      </w:r>
    </w:p>
    <w:p>
      <w:pPr>
        <w:pStyle w:val="ListParagraph"/>
        <w:numPr>
          <w:ilvl w:val="1"/>
          <w:numId w:val="40"/>
        </w:numPr>
        <w:tabs>
          <w:tab w:pos="1163" w:val="left" w:leader="none"/>
        </w:tabs>
        <w:spacing w:line="240" w:lineRule="auto" w:before="186" w:after="0"/>
        <w:ind w:left="1162" w:right="0" w:hanging="485"/>
        <w:jc w:val="left"/>
        <w:rPr>
          <w:rFonts w:ascii="Microsoft JhengHei" w:eastAsia="Microsoft JhengHei" w:hint="eastAsia"/>
          <w:b/>
          <w:sz w:val="32"/>
        </w:rPr>
      </w:pPr>
      <w:bookmarkStart w:name="6.1 评标委员会" w:id="111"/>
      <w:bookmarkEnd w:id="111"/>
      <w:r>
        <w:rPr/>
      </w:r>
      <w:bookmarkStart w:name="_bookmark40" w:id="112"/>
      <w:bookmarkEnd w:id="112"/>
      <w:r>
        <w:rPr/>
      </w:r>
      <w:bookmarkStart w:name="_bookmark40" w:id="113"/>
      <w:bookmarkEnd w:id="113"/>
      <w:r>
        <w:rPr>
          <w:rFonts w:ascii="Microsoft JhengHei" w:eastAsia="Microsoft JhengHei" w:hint="eastAsia"/>
          <w:b/>
          <w:sz w:val="32"/>
        </w:rPr>
        <w:t>评标委员会</w:t>
      </w:r>
      <w:r>
        <w:rPr>
          <w:rFonts w:ascii="Microsoft JhengHei" w:eastAsia="Microsoft JhengHei" w:hint="eastAsia"/>
          <w:b/>
          <w:w w:val="199"/>
          <w:sz w:val="32"/>
        </w:rPr>
        <w:t> </w:t>
      </w:r>
    </w:p>
    <w:p>
      <w:pPr>
        <w:pStyle w:val="ListParagraph"/>
        <w:numPr>
          <w:ilvl w:val="2"/>
          <w:numId w:val="40"/>
        </w:numPr>
        <w:tabs>
          <w:tab w:pos="1627" w:val="left" w:leader="none"/>
        </w:tabs>
        <w:spacing w:line="364" w:lineRule="auto" w:before="142" w:after="0"/>
        <w:ind w:left="678" w:right="1151" w:firstLine="419"/>
        <w:jc w:val="both"/>
        <w:rPr>
          <w:sz w:val="21"/>
        </w:rPr>
      </w:pPr>
      <w:r>
        <w:rPr>
          <w:spacing w:val="-1"/>
          <w:sz w:val="21"/>
        </w:rPr>
        <w:t>评标由招标人依法组建的评标委员会负责。评标委员会成员人数以及技术、经济等方面专家的确定方式见“投标人须知前附表”。截标前，招标人应就评委会组成情况通过南宁</w:t>
      </w:r>
      <w:r>
        <w:rPr>
          <w:spacing w:val="-3"/>
          <w:sz w:val="21"/>
        </w:rPr>
        <w:t>市公共资源交易系统向招标监督部门提交申请。</w:t>
      </w:r>
      <w:r>
        <w:rPr>
          <w:sz w:val="21"/>
        </w:rPr>
        <w:t> </w:t>
      </w:r>
    </w:p>
    <w:p>
      <w:pPr>
        <w:pStyle w:val="ListParagraph"/>
        <w:numPr>
          <w:ilvl w:val="2"/>
          <w:numId w:val="40"/>
        </w:numPr>
        <w:tabs>
          <w:tab w:pos="1627" w:val="left" w:leader="none"/>
        </w:tabs>
        <w:spacing w:line="266" w:lineRule="exact" w:before="0" w:after="0"/>
        <w:ind w:left="1627" w:right="0" w:hanging="529"/>
        <w:jc w:val="left"/>
        <w:rPr>
          <w:sz w:val="21"/>
        </w:rPr>
      </w:pPr>
      <w:r>
        <w:rPr>
          <w:spacing w:val="-3"/>
          <w:sz w:val="21"/>
        </w:rPr>
        <w:t>评标委员会成员有下列情形之一的，应当回避：</w:t>
      </w:r>
      <w:r>
        <w:rPr>
          <w:sz w:val="21"/>
        </w:rPr>
        <w:t> </w:t>
      </w:r>
    </w:p>
    <w:p>
      <w:pPr>
        <w:pStyle w:val="ListParagraph"/>
        <w:numPr>
          <w:ilvl w:val="0"/>
          <w:numId w:val="41"/>
        </w:numPr>
        <w:tabs>
          <w:tab w:pos="1627" w:val="left" w:leader="none"/>
        </w:tabs>
        <w:spacing w:line="240" w:lineRule="auto" w:before="141" w:after="0"/>
        <w:ind w:left="1627" w:right="0" w:hanging="529"/>
        <w:jc w:val="left"/>
        <w:rPr>
          <w:sz w:val="21"/>
        </w:rPr>
      </w:pPr>
      <w:r>
        <w:rPr>
          <w:spacing w:val="-3"/>
          <w:sz w:val="21"/>
        </w:rPr>
        <w:t>投标人或者投标人主要负责人的近亲属；</w:t>
      </w:r>
      <w:r>
        <w:rPr>
          <w:sz w:val="21"/>
        </w:rPr>
        <w:t> </w:t>
      </w:r>
    </w:p>
    <w:p>
      <w:pPr>
        <w:pStyle w:val="ListParagraph"/>
        <w:numPr>
          <w:ilvl w:val="0"/>
          <w:numId w:val="41"/>
        </w:numPr>
        <w:tabs>
          <w:tab w:pos="1627" w:val="left" w:leader="none"/>
        </w:tabs>
        <w:spacing w:line="240" w:lineRule="auto" w:before="139" w:after="0"/>
        <w:ind w:left="1627" w:right="0" w:hanging="529"/>
        <w:jc w:val="left"/>
        <w:rPr>
          <w:sz w:val="21"/>
        </w:rPr>
      </w:pPr>
      <w:r>
        <w:rPr>
          <w:spacing w:val="-3"/>
          <w:sz w:val="21"/>
        </w:rPr>
        <w:t>招标项目主管部门或者招标投标行政监督部门的工作人员；</w:t>
      </w:r>
      <w:r>
        <w:rPr>
          <w:sz w:val="21"/>
        </w:rPr>
        <w:t> </w:t>
      </w:r>
    </w:p>
    <w:p>
      <w:pPr>
        <w:pStyle w:val="ListParagraph"/>
        <w:numPr>
          <w:ilvl w:val="0"/>
          <w:numId w:val="41"/>
        </w:numPr>
        <w:tabs>
          <w:tab w:pos="1627" w:val="left" w:leader="none"/>
        </w:tabs>
        <w:spacing w:line="240" w:lineRule="auto" w:before="139" w:after="0"/>
        <w:ind w:left="1627" w:right="0" w:hanging="529"/>
        <w:jc w:val="left"/>
        <w:rPr>
          <w:sz w:val="21"/>
        </w:rPr>
      </w:pPr>
      <w:r>
        <w:rPr>
          <w:spacing w:val="-3"/>
          <w:sz w:val="21"/>
        </w:rPr>
        <w:t>与投标人有经济利益关系，可能影响对投标公正评审的人员；</w:t>
      </w:r>
      <w:r>
        <w:rPr>
          <w:sz w:val="21"/>
        </w:rPr>
        <w:t> </w:t>
      </w:r>
    </w:p>
    <w:p>
      <w:pPr>
        <w:pStyle w:val="ListParagraph"/>
        <w:numPr>
          <w:ilvl w:val="0"/>
          <w:numId w:val="41"/>
        </w:numPr>
        <w:tabs>
          <w:tab w:pos="1627" w:val="left" w:leader="none"/>
        </w:tabs>
        <w:spacing w:line="240" w:lineRule="auto" w:before="139" w:after="0"/>
        <w:ind w:left="1627" w:right="0" w:hanging="529"/>
        <w:jc w:val="left"/>
        <w:rPr>
          <w:sz w:val="21"/>
        </w:rPr>
      </w:pPr>
      <w:r>
        <w:rPr>
          <w:spacing w:val="-3"/>
          <w:sz w:val="21"/>
        </w:rPr>
        <w:t>与投标人有其他利害关系的人员。</w:t>
      </w:r>
      <w:r>
        <w:rPr>
          <w:sz w:val="21"/>
        </w:rPr>
        <w:t> </w:t>
      </w:r>
    </w:p>
    <w:p>
      <w:pPr>
        <w:spacing w:after="0" w:line="240" w:lineRule="auto"/>
        <w:jc w:val="left"/>
        <w:rPr>
          <w:sz w:val="21"/>
        </w:rPr>
        <w:sectPr>
          <w:pgSz w:w="11910" w:h="16850"/>
          <w:pgMar w:header="0" w:footer="779" w:top="1380" w:bottom="1040" w:left="1120" w:right="280"/>
        </w:sectPr>
      </w:pPr>
    </w:p>
    <w:p>
      <w:pPr>
        <w:pStyle w:val="ListParagraph"/>
        <w:numPr>
          <w:ilvl w:val="2"/>
          <w:numId w:val="40"/>
        </w:numPr>
        <w:tabs>
          <w:tab w:pos="1627" w:val="left" w:leader="none"/>
        </w:tabs>
        <w:spacing w:line="240" w:lineRule="auto" w:before="60" w:after="0"/>
        <w:ind w:left="1627" w:right="0" w:hanging="529"/>
        <w:jc w:val="left"/>
        <w:rPr>
          <w:sz w:val="21"/>
        </w:rPr>
      </w:pPr>
      <w:r>
        <w:rPr>
          <w:spacing w:val="-3"/>
          <w:sz w:val="21"/>
        </w:rPr>
        <w:t>有下列情形之一的专家不能参与评标活动，应主动退出：</w:t>
      </w:r>
      <w:r>
        <w:rPr>
          <w:sz w:val="21"/>
        </w:rPr>
        <w:t> </w:t>
      </w:r>
    </w:p>
    <w:p>
      <w:pPr>
        <w:pStyle w:val="ListParagraph"/>
        <w:numPr>
          <w:ilvl w:val="0"/>
          <w:numId w:val="42"/>
        </w:numPr>
        <w:tabs>
          <w:tab w:pos="1627" w:val="left" w:leader="none"/>
        </w:tabs>
        <w:spacing w:line="240" w:lineRule="auto" w:before="139" w:after="0"/>
        <w:ind w:left="1627" w:right="0" w:hanging="529"/>
        <w:jc w:val="left"/>
        <w:rPr>
          <w:sz w:val="21"/>
        </w:rPr>
      </w:pPr>
      <w:r>
        <w:rPr>
          <w:spacing w:val="-3"/>
          <w:sz w:val="21"/>
        </w:rPr>
        <w:t>曾在招标投标活动中从事违法行为而受过行政处罚或者刑事处罚的人员； </w:t>
      </w:r>
    </w:p>
    <w:p>
      <w:pPr>
        <w:pStyle w:val="ListParagraph"/>
        <w:numPr>
          <w:ilvl w:val="0"/>
          <w:numId w:val="42"/>
        </w:numPr>
        <w:tabs>
          <w:tab w:pos="1627" w:val="left" w:leader="none"/>
        </w:tabs>
        <w:spacing w:line="367" w:lineRule="auto" w:before="139" w:after="0"/>
        <w:ind w:left="678" w:right="1105" w:firstLine="419"/>
        <w:jc w:val="left"/>
        <w:rPr>
          <w:sz w:val="21"/>
        </w:rPr>
      </w:pPr>
      <w:r>
        <w:rPr>
          <w:spacing w:val="-3"/>
          <w:sz w:val="21"/>
        </w:rPr>
        <w:t>评标时期在“建筑市场监管与诚信信息一体化平台”被列为建筑市场主体“黑名单” 的人员；</w:t>
      </w:r>
      <w:r>
        <w:rPr>
          <w:sz w:val="21"/>
        </w:rPr>
        <w:t> </w:t>
      </w:r>
    </w:p>
    <w:p>
      <w:pPr>
        <w:pStyle w:val="ListParagraph"/>
        <w:numPr>
          <w:ilvl w:val="0"/>
          <w:numId w:val="42"/>
        </w:numPr>
        <w:tabs>
          <w:tab w:pos="1627" w:val="left" w:leader="none"/>
        </w:tabs>
        <w:spacing w:line="364" w:lineRule="auto" w:before="0" w:after="0"/>
        <w:ind w:left="678" w:right="1149" w:firstLine="419"/>
        <w:jc w:val="left"/>
        <w:rPr>
          <w:sz w:val="21"/>
        </w:rPr>
      </w:pPr>
      <w:r>
        <w:rPr>
          <w:spacing w:val="-7"/>
          <w:sz w:val="21"/>
        </w:rPr>
        <w:t>评标时期在“信用中国”网站</w:t>
      </w:r>
      <w:r>
        <w:rPr>
          <w:spacing w:val="-1"/>
          <w:sz w:val="21"/>
        </w:rPr>
        <w:t>（</w:t>
      </w:r>
      <w:hyperlink r:id="rId9">
        <w:r>
          <w:rPr>
            <w:spacing w:val="-1"/>
            <w:sz w:val="21"/>
          </w:rPr>
          <w:t>www.creditchina.gov.cn</w:t>
        </w:r>
      </w:hyperlink>
      <w:r>
        <w:rPr>
          <w:spacing w:val="-1"/>
          <w:sz w:val="21"/>
        </w:rPr>
        <w:t>）</w:t>
      </w:r>
      <w:r>
        <w:rPr>
          <w:spacing w:val="-3"/>
          <w:sz w:val="21"/>
        </w:rPr>
        <w:t>中被列为失信被执行人的人员。</w:t>
      </w:r>
      <w:r>
        <w:rPr>
          <w:sz w:val="21"/>
        </w:rPr>
        <w:t> </w:t>
      </w:r>
    </w:p>
    <w:p>
      <w:pPr>
        <w:pStyle w:val="Heading2"/>
        <w:numPr>
          <w:ilvl w:val="1"/>
          <w:numId w:val="40"/>
        </w:numPr>
        <w:tabs>
          <w:tab w:pos="1163" w:val="left" w:leader="none"/>
        </w:tabs>
        <w:spacing w:line="481" w:lineRule="exact" w:before="0" w:after="0"/>
        <w:ind w:left="1162" w:right="0" w:hanging="485"/>
        <w:jc w:val="left"/>
      </w:pPr>
      <w:bookmarkStart w:name="6.2 评标原则" w:id="114"/>
      <w:bookmarkEnd w:id="114"/>
      <w:r>
        <w:rPr>
          <w:b w:val="0"/>
        </w:rPr>
      </w:r>
      <w:bookmarkStart w:name="_bookmark41" w:id="115"/>
      <w:bookmarkEnd w:id="115"/>
      <w:r>
        <w:rPr>
          <w:b w:val="0"/>
        </w:rPr>
      </w:r>
      <w:bookmarkStart w:name="_bookmark41" w:id="116"/>
      <w:bookmarkEnd w:id="116"/>
      <w:r>
        <w:rPr/>
        <w:t>评标原则</w:t>
      </w:r>
      <w:r>
        <w:rPr>
          <w:w w:val="199"/>
        </w:rPr>
        <w:t> </w:t>
      </w:r>
    </w:p>
    <w:p>
      <w:pPr>
        <w:pStyle w:val="ListParagraph"/>
        <w:numPr>
          <w:ilvl w:val="2"/>
          <w:numId w:val="40"/>
        </w:numPr>
        <w:tabs>
          <w:tab w:pos="1627" w:val="left" w:leader="none"/>
        </w:tabs>
        <w:spacing w:line="240" w:lineRule="auto" w:before="136" w:after="0"/>
        <w:ind w:left="1627" w:right="0" w:hanging="529"/>
        <w:jc w:val="left"/>
        <w:rPr>
          <w:sz w:val="21"/>
        </w:rPr>
      </w:pPr>
      <w:r>
        <w:rPr>
          <w:spacing w:val="-3"/>
          <w:sz w:val="21"/>
        </w:rPr>
        <w:t>评标活动遵循公平、公正、科学和择优的原则。</w:t>
      </w:r>
      <w:r>
        <w:rPr>
          <w:sz w:val="21"/>
        </w:rPr>
        <w:t> </w:t>
      </w:r>
    </w:p>
    <w:p>
      <w:pPr>
        <w:pStyle w:val="ListParagraph"/>
        <w:numPr>
          <w:ilvl w:val="2"/>
          <w:numId w:val="40"/>
        </w:numPr>
        <w:tabs>
          <w:tab w:pos="1627" w:val="left" w:leader="none"/>
        </w:tabs>
        <w:spacing w:line="240" w:lineRule="auto" w:before="140" w:after="0"/>
        <w:ind w:left="1627" w:right="0" w:hanging="529"/>
        <w:jc w:val="left"/>
        <w:rPr>
          <w:sz w:val="21"/>
        </w:rPr>
      </w:pPr>
      <w:r>
        <w:rPr>
          <w:spacing w:val="-3"/>
          <w:sz w:val="21"/>
        </w:rPr>
        <w:t>电子评标的应急措施：</w:t>
      </w:r>
      <w:r>
        <w:rPr>
          <w:sz w:val="21"/>
        </w:rPr>
        <w:t> </w:t>
      </w:r>
    </w:p>
    <w:p>
      <w:pPr>
        <w:pStyle w:val="BodyText"/>
        <w:spacing w:line="364" w:lineRule="auto" w:before="139"/>
        <w:ind w:right="1152" w:firstLine="419"/>
        <w:jc w:val="both"/>
      </w:pPr>
      <w:r>
        <w:rPr/>
        <w:t>开标结束后，因电子招标投标系统故障无法评标时，经招标监督部门同意后，招标人可以选择暂停评标活动，等待故障排除后继续评标；也可以选择启用未加密的电子投标文件光盘， 使用应急评标系统继续进行评标活动。评标前评标委员会应验证上传的投标文件与未加密的电子投标文件光盘的一致性，如出现不一致的情况，评标委员会应否决其投标。远程评标时如遇上述情形，经招标监督部门确认后，可在本地抽取专家，采用未加密的电子投标文件光盘进行继续评标，或等待系统恢复正常后再组织评标。采取应急措施时，必须对原有资料及信息作出妥善保密处理。 </w:t>
      </w:r>
    </w:p>
    <w:p>
      <w:pPr>
        <w:pStyle w:val="Heading2"/>
        <w:numPr>
          <w:ilvl w:val="1"/>
          <w:numId w:val="40"/>
        </w:numPr>
        <w:tabs>
          <w:tab w:pos="1163" w:val="left" w:leader="none"/>
        </w:tabs>
        <w:spacing w:line="482" w:lineRule="exact" w:before="0" w:after="0"/>
        <w:ind w:left="1162" w:right="0" w:hanging="485"/>
        <w:jc w:val="left"/>
      </w:pPr>
      <w:bookmarkStart w:name="6.3 评标方式" w:id="117"/>
      <w:bookmarkEnd w:id="117"/>
      <w:r>
        <w:rPr>
          <w:b w:val="0"/>
        </w:rPr>
      </w:r>
      <w:bookmarkStart w:name="_bookmark42" w:id="118"/>
      <w:bookmarkEnd w:id="118"/>
      <w:r>
        <w:rPr>
          <w:b w:val="0"/>
        </w:rPr>
      </w:r>
      <w:bookmarkStart w:name="_bookmark42" w:id="119"/>
      <w:bookmarkEnd w:id="119"/>
      <w:r>
        <w:rPr/>
        <w:t>评标方式</w:t>
      </w:r>
      <w:r>
        <w:rPr>
          <w:w w:val="199"/>
        </w:rPr>
        <w:t> </w:t>
      </w:r>
    </w:p>
    <w:p>
      <w:pPr>
        <w:pStyle w:val="BodyText"/>
        <w:spacing w:line="364" w:lineRule="auto" w:before="138"/>
        <w:ind w:right="1153" w:firstLine="419"/>
        <w:jc w:val="both"/>
      </w:pPr>
      <w:r>
        <w:rPr/>
        <w:t>评标委员会按照第三章“评标办法”规定的方法、评审因素、标准和程序对投标文件进行评审。第三章“评标办法”没有规定的方法、评审因素和标准，不作为评标依据。具体评标方式见“投标人须知前附表”。 </w:t>
      </w:r>
    </w:p>
    <w:p>
      <w:pPr>
        <w:pStyle w:val="Heading2"/>
        <w:numPr>
          <w:ilvl w:val="1"/>
          <w:numId w:val="40"/>
        </w:numPr>
        <w:tabs>
          <w:tab w:pos="1163" w:val="left" w:leader="none"/>
        </w:tabs>
        <w:spacing w:line="483" w:lineRule="exact" w:before="0" w:after="0"/>
        <w:ind w:left="1162" w:right="0" w:hanging="485"/>
        <w:jc w:val="left"/>
      </w:pPr>
      <w:bookmarkStart w:name="6.4 移交评标资料" w:id="120"/>
      <w:bookmarkEnd w:id="120"/>
      <w:r>
        <w:rPr>
          <w:b w:val="0"/>
        </w:rPr>
      </w:r>
      <w:bookmarkStart w:name="_bookmark43" w:id="121"/>
      <w:bookmarkEnd w:id="121"/>
      <w:r>
        <w:rPr>
          <w:b w:val="0"/>
        </w:rPr>
      </w:r>
      <w:bookmarkStart w:name="_bookmark43" w:id="122"/>
      <w:bookmarkEnd w:id="122"/>
      <w:r>
        <w:rPr/>
        <w:t>移交评标资料</w:t>
      </w:r>
      <w:r>
        <w:rPr>
          <w:w w:val="199"/>
        </w:rPr>
        <w:t> </w:t>
      </w:r>
    </w:p>
    <w:p>
      <w:pPr>
        <w:pStyle w:val="BodyText"/>
        <w:spacing w:line="364" w:lineRule="auto" w:before="138"/>
        <w:ind w:right="1152" w:firstLine="419"/>
      </w:pPr>
      <w:r>
        <w:rPr/>
        <w:t>评标委员会完成评标后，立即通过南宁市公共资源交易系统提交评标报告和中标候选人名单，并同时向招标人移交所有评标所涉资料。 </w:t>
      </w:r>
    </w:p>
    <w:p>
      <w:pPr>
        <w:pStyle w:val="Heading2"/>
        <w:numPr>
          <w:ilvl w:val="1"/>
          <w:numId w:val="40"/>
        </w:numPr>
        <w:tabs>
          <w:tab w:pos="1163" w:val="left" w:leader="none"/>
        </w:tabs>
        <w:spacing w:line="482" w:lineRule="exact" w:before="0" w:after="0"/>
        <w:ind w:left="1162" w:right="0" w:hanging="485"/>
        <w:jc w:val="left"/>
      </w:pPr>
      <w:bookmarkStart w:name="6.5 评标资料封存和启封" w:id="123"/>
      <w:bookmarkEnd w:id="123"/>
      <w:r>
        <w:rPr>
          <w:b w:val="0"/>
        </w:rPr>
      </w:r>
      <w:bookmarkStart w:name="_bookmark44" w:id="124"/>
      <w:bookmarkEnd w:id="124"/>
      <w:r>
        <w:rPr>
          <w:b w:val="0"/>
        </w:rPr>
      </w:r>
      <w:bookmarkStart w:name="_bookmark44" w:id="125"/>
      <w:bookmarkEnd w:id="125"/>
      <w:r>
        <w:rPr/>
        <w:t>评标资料封存和启封</w:t>
      </w:r>
      <w:r>
        <w:rPr>
          <w:w w:val="199"/>
        </w:rPr>
        <w:t> </w:t>
      </w:r>
    </w:p>
    <w:p>
      <w:pPr>
        <w:pStyle w:val="ListParagraph"/>
        <w:numPr>
          <w:ilvl w:val="2"/>
          <w:numId w:val="40"/>
        </w:numPr>
        <w:tabs>
          <w:tab w:pos="1627" w:val="left" w:leader="none"/>
        </w:tabs>
        <w:spacing w:line="364" w:lineRule="auto" w:before="141" w:after="0"/>
        <w:ind w:left="678" w:right="1155" w:firstLine="419"/>
        <w:jc w:val="left"/>
        <w:rPr>
          <w:sz w:val="21"/>
        </w:rPr>
      </w:pPr>
      <w:r>
        <w:rPr>
          <w:spacing w:val="-1"/>
          <w:sz w:val="21"/>
        </w:rPr>
        <w:t>评标结束至中标通知书发放时，招标人按“投标人须知前附表”规定的封存方式封</w:t>
      </w:r>
      <w:r>
        <w:rPr>
          <w:spacing w:val="-3"/>
          <w:sz w:val="21"/>
        </w:rPr>
        <w:t>存评标资料。</w:t>
      </w:r>
      <w:r>
        <w:rPr>
          <w:sz w:val="21"/>
        </w:rPr>
        <w:t> </w:t>
      </w:r>
    </w:p>
    <w:p>
      <w:pPr>
        <w:pStyle w:val="ListParagraph"/>
        <w:numPr>
          <w:ilvl w:val="2"/>
          <w:numId w:val="40"/>
        </w:numPr>
        <w:tabs>
          <w:tab w:pos="1627" w:val="left" w:leader="none"/>
        </w:tabs>
        <w:spacing w:line="364" w:lineRule="auto" w:before="0" w:after="0"/>
        <w:ind w:left="678" w:right="1155" w:firstLine="419"/>
        <w:jc w:val="left"/>
        <w:rPr>
          <w:sz w:val="21"/>
        </w:rPr>
      </w:pPr>
      <w:r>
        <w:rPr>
          <w:spacing w:val="-1"/>
          <w:sz w:val="21"/>
        </w:rPr>
        <w:t>如在封存期间处理招标投标利害当事人提出异议或者投诉时需要启封评标资料的， </w:t>
      </w:r>
      <w:r>
        <w:rPr>
          <w:spacing w:val="-3"/>
          <w:sz w:val="21"/>
        </w:rPr>
        <w:t>应按当地招投标监督管理部门规定的程序启封。</w:t>
      </w:r>
      <w:r>
        <w:rPr>
          <w:sz w:val="21"/>
        </w:rPr>
        <w:t> </w:t>
      </w:r>
    </w:p>
    <w:p>
      <w:pPr>
        <w:pStyle w:val="ListParagraph"/>
        <w:numPr>
          <w:ilvl w:val="2"/>
          <w:numId w:val="40"/>
        </w:numPr>
        <w:tabs>
          <w:tab w:pos="1627" w:val="left" w:leader="none"/>
        </w:tabs>
        <w:spacing w:line="240" w:lineRule="auto" w:before="0" w:after="0"/>
        <w:ind w:left="1627" w:right="0" w:hanging="529"/>
        <w:jc w:val="left"/>
        <w:rPr>
          <w:sz w:val="21"/>
        </w:rPr>
      </w:pPr>
      <w:r>
        <w:rPr>
          <w:spacing w:val="-3"/>
          <w:sz w:val="21"/>
        </w:rPr>
        <w:t>评标资料封存和启封应符合当地招投标监督管理部门的规定。</w:t>
      </w:r>
      <w:r>
        <w:rPr>
          <w:sz w:val="21"/>
        </w:rPr>
        <w:t> </w:t>
      </w:r>
    </w:p>
    <w:p>
      <w:pPr>
        <w:pStyle w:val="Heading2"/>
        <w:numPr>
          <w:ilvl w:val="1"/>
          <w:numId w:val="40"/>
        </w:numPr>
        <w:tabs>
          <w:tab w:pos="1163" w:val="left" w:leader="none"/>
        </w:tabs>
        <w:spacing w:line="240" w:lineRule="auto" w:before="32" w:after="0"/>
        <w:ind w:left="1162" w:right="0" w:hanging="485"/>
        <w:jc w:val="left"/>
      </w:pPr>
      <w:bookmarkStart w:name="6.6 中标候选人公示" w:id="126"/>
      <w:bookmarkEnd w:id="126"/>
      <w:r>
        <w:rPr>
          <w:b w:val="0"/>
        </w:rPr>
      </w:r>
      <w:bookmarkStart w:name="_bookmark45" w:id="127"/>
      <w:bookmarkEnd w:id="127"/>
      <w:r>
        <w:rPr>
          <w:b w:val="0"/>
        </w:rPr>
      </w:r>
      <w:bookmarkStart w:name="_bookmark45" w:id="128"/>
      <w:bookmarkEnd w:id="128"/>
      <w:r>
        <w:rPr/>
        <w:t>中标候选人公示</w:t>
      </w:r>
      <w:r>
        <w:rPr>
          <w:w w:val="199"/>
        </w:rPr>
        <w:t> </w:t>
      </w:r>
    </w:p>
    <w:p>
      <w:pPr>
        <w:pStyle w:val="ListParagraph"/>
        <w:numPr>
          <w:ilvl w:val="2"/>
          <w:numId w:val="40"/>
        </w:numPr>
        <w:tabs>
          <w:tab w:pos="1677" w:val="left" w:leader="none"/>
        </w:tabs>
        <w:spacing w:line="240" w:lineRule="auto" w:before="139" w:after="0"/>
        <w:ind w:left="1676" w:right="0" w:hanging="579"/>
        <w:jc w:val="left"/>
        <w:rPr>
          <w:sz w:val="21"/>
        </w:rPr>
      </w:pPr>
      <w:r>
        <w:rPr>
          <w:spacing w:val="-7"/>
          <w:sz w:val="21"/>
        </w:rPr>
        <w:t>招标人在收到评标报告之日起 </w:t>
      </w:r>
      <w:r>
        <w:rPr>
          <w:sz w:val="21"/>
        </w:rPr>
        <w:t>3</w:t>
      </w:r>
      <w:r>
        <w:rPr>
          <w:spacing w:val="-14"/>
          <w:sz w:val="21"/>
        </w:rPr>
        <w:t> 日内通过南宁市公共资源交易系统对外发布，公示期</w:t>
      </w:r>
    </w:p>
    <w:p>
      <w:pPr>
        <w:spacing w:after="0" w:line="240" w:lineRule="auto"/>
        <w:jc w:val="left"/>
        <w:rPr>
          <w:sz w:val="21"/>
        </w:rPr>
        <w:sectPr>
          <w:pgSz w:w="11910" w:h="16850"/>
          <w:pgMar w:header="0" w:footer="779" w:top="1380" w:bottom="1040" w:left="1120" w:right="280"/>
        </w:sectPr>
      </w:pPr>
    </w:p>
    <w:p>
      <w:pPr>
        <w:pStyle w:val="BodyText"/>
        <w:spacing w:line="364" w:lineRule="auto" w:before="60"/>
        <w:ind w:right="1093"/>
      </w:pPr>
      <w:r>
        <w:rPr/>
        <w:t>不少于 3 个工作日。按照“投标人须知前附表”约定还需在其它媒介上公示的，公示内容、公示期限应以南宁市公共资源交易系统发布的公示为准。 </w:t>
      </w:r>
    </w:p>
    <w:p>
      <w:pPr>
        <w:pStyle w:val="ListParagraph"/>
        <w:numPr>
          <w:ilvl w:val="2"/>
          <w:numId w:val="40"/>
        </w:numPr>
        <w:tabs>
          <w:tab w:pos="1627" w:val="left" w:leader="none"/>
        </w:tabs>
        <w:spacing w:line="367" w:lineRule="auto" w:before="0" w:after="0"/>
        <w:ind w:left="678" w:right="1043" w:firstLine="419"/>
        <w:jc w:val="left"/>
        <w:rPr>
          <w:sz w:val="21"/>
        </w:rPr>
      </w:pPr>
      <w:r>
        <w:rPr>
          <w:spacing w:val="-6"/>
          <w:sz w:val="21"/>
        </w:rPr>
        <w:t>投标人或者其他利害关系人对评标结果有异议的，应当在中标候选人公示期间提出。</w:t>
      </w:r>
      <w:r>
        <w:rPr>
          <w:spacing w:val="-5"/>
          <w:sz w:val="21"/>
        </w:rPr>
        <w:t>招标人自收到异议之日起 </w:t>
      </w:r>
      <w:r>
        <w:rPr>
          <w:sz w:val="21"/>
        </w:rPr>
        <w:t>3</w:t>
      </w:r>
      <w:r>
        <w:rPr>
          <w:spacing w:val="-4"/>
          <w:sz w:val="21"/>
        </w:rPr>
        <w:t> 日内作出答复。对招标人答复不满意或招标人拒不答复的，投标人</w:t>
      </w:r>
    </w:p>
    <w:p>
      <w:pPr>
        <w:pStyle w:val="BodyText"/>
        <w:spacing w:line="264" w:lineRule="exact"/>
      </w:pPr>
      <w:r>
        <w:rPr/>
        <w:t>可按照本章第 9.5 条的规定程序向有关行政监督部门投诉。 </w:t>
      </w:r>
    </w:p>
    <w:p>
      <w:pPr>
        <w:pStyle w:val="ListParagraph"/>
        <w:numPr>
          <w:ilvl w:val="2"/>
          <w:numId w:val="40"/>
        </w:numPr>
        <w:tabs>
          <w:tab w:pos="1627" w:val="left" w:leader="none"/>
        </w:tabs>
        <w:spacing w:line="240" w:lineRule="auto" w:before="137" w:after="0"/>
        <w:ind w:left="1627" w:right="0" w:hanging="529"/>
        <w:jc w:val="both"/>
        <w:rPr>
          <w:sz w:val="21"/>
        </w:rPr>
      </w:pPr>
      <w:r>
        <w:rPr>
          <w:spacing w:val="-6"/>
          <w:sz w:val="21"/>
        </w:rPr>
        <w:t>招标人对中标候选人有投诉的，按照本章第 </w:t>
      </w:r>
      <w:r>
        <w:rPr>
          <w:sz w:val="21"/>
        </w:rPr>
        <w:t>9.5</w:t>
      </w:r>
      <w:r>
        <w:rPr>
          <w:spacing w:val="-9"/>
          <w:sz w:val="21"/>
        </w:rPr>
        <w:t> 条的规定程序执行。</w:t>
      </w:r>
      <w:r>
        <w:rPr>
          <w:sz w:val="21"/>
        </w:rPr>
        <w:t> </w:t>
      </w:r>
    </w:p>
    <w:p>
      <w:pPr>
        <w:pStyle w:val="Heading2"/>
        <w:numPr>
          <w:ilvl w:val="1"/>
          <w:numId w:val="40"/>
        </w:numPr>
        <w:tabs>
          <w:tab w:pos="1245" w:val="left" w:leader="none"/>
        </w:tabs>
        <w:spacing w:line="240" w:lineRule="auto" w:before="34" w:after="0"/>
        <w:ind w:left="1244" w:right="0" w:hanging="567"/>
        <w:jc w:val="left"/>
      </w:pPr>
      <w:bookmarkStart w:name="6.7履约能力审查" w:id="129"/>
      <w:bookmarkEnd w:id="129"/>
      <w:r>
        <w:rPr>
          <w:b w:val="0"/>
        </w:rPr>
      </w:r>
      <w:bookmarkStart w:name="_bookmark46" w:id="130"/>
      <w:bookmarkEnd w:id="130"/>
      <w:r>
        <w:rPr>
          <w:b w:val="0"/>
        </w:rPr>
      </w:r>
      <w:bookmarkStart w:name="_bookmark46" w:id="131"/>
      <w:bookmarkEnd w:id="131"/>
      <w:r>
        <w:rPr/>
        <w:t>履约能力审查</w:t>
      </w:r>
      <w:r>
        <w:rPr>
          <w:w w:val="199"/>
        </w:rPr>
        <w:t> </w:t>
      </w:r>
    </w:p>
    <w:p>
      <w:pPr>
        <w:pStyle w:val="BodyText"/>
        <w:spacing w:line="364" w:lineRule="auto" w:before="141"/>
        <w:ind w:right="1152" w:firstLine="419"/>
        <w:jc w:val="both"/>
      </w:pPr>
      <w:r>
        <w:rPr/>
        <w:t>在中标通知书发出前，如果中标候选人的经营、财务状况发生较大变化或存在“投标人须知前附表”规定的情形，可能造成不能履行合同、无法按照招标文件要求提交履约保证金等情形，不符合中标条件的，应在中标公示期及时书面告知招标人。 </w:t>
      </w:r>
    </w:p>
    <w:p>
      <w:pPr>
        <w:pStyle w:val="BodyText"/>
        <w:spacing w:line="364" w:lineRule="auto"/>
        <w:ind w:right="1151" w:firstLine="419"/>
        <w:jc w:val="both"/>
      </w:pPr>
      <w:r>
        <w:rPr/>
        <w:t>如招标人认为中标候选人的经营、财务状况发生较大变化存在违法行为、或存在“投标人须知前附表”规定的情形，可能影响其履约能力的，应当在中标通知书发出前由原评标委员会按照招标文件规定的标准和方法审查确认。 </w:t>
      </w:r>
    </w:p>
    <w:p>
      <w:pPr>
        <w:spacing w:line="269" w:lineRule="exact" w:before="0"/>
        <w:ind w:left="678" w:right="0" w:firstLine="0"/>
        <w:jc w:val="left"/>
        <w:rPr>
          <w:sz w:val="21"/>
        </w:rPr>
      </w:pPr>
      <w:r>
        <w:rPr>
          <w:color w:val="000080"/>
          <w:spacing w:val="1"/>
          <w:w w:val="99"/>
          <w:sz w:val="20"/>
        </w:rPr>
        <w:t>  </w:t>
      </w:r>
      <w:r>
        <w:rPr>
          <w:color w:val="000080"/>
          <w:spacing w:val="-2"/>
          <w:w w:val="99"/>
          <w:sz w:val="20"/>
        </w:rPr>
        <w:t> </w:t>
      </w:r>
      <w:r>
        <w:rPr>
          <w:w w:val="100"/>
          <w:sz w:val="21"/>
        </w:rPr>
        <w:t> </w:t>
      </w:r>
    </w:p>
    <w:p>
      <w:pPr>
        <w:pStyle w:val="Heading2"/>
        <w:spacing w:before="89"/>
        <w:ind w:left="678"/>
      </w:pPr>
      <w:bookmarkStart w:name="7 合同授予" w:id="132"/>
      <w:bookmarkEnd w:id="132"/>
      <w:r>
        <w:rPr>
          <w:b w:val="0"/>
        </w:rPr>
      </w:r>
      <w:bookmarkStart w:name="_bookmark47" w:id="133"/>
      <w:bookmarkEnd w:id="133"/>
      <w:r>
        <w:rPr>
          <w:b w:val="0"/>
        </w:rPr>
      </w:r>
      <w:r>
        <w:rPr>
          <w:w w:val="105"/>
        </w:rPr>
        <w:t>7 合同授予</w:t>
      </w:r>
      <w:r>
        <w:rPr>
          <w:w w:val="199"/>
        </w:rPr>
        <w:t> </w:t>
      </w:r>
    </w:p>
    <w:p>
      <w:pPr>
        <w:pStyle w:val="ListParagraph"/>
        <w:numPr>
          <w:ilvl w:val="1"/>
          <w:numId w:val="43"/>
        </w:numPr>
        <w:tabs>
          <w:tab w:pos="1163" w:val="left" w:leader="none"/>
        </w:tabs>
        <w:spacing w:line="240" w:lineRule="auto" w:before="190" w:after="0"/>
        <w:ind w:left="1162" w:right="0" w:hanging="485"/>
        <w:jc w:val="left"/>
        <w:rPr>
          <w:rFonts w:ascii="Microsoft JhengHei" w:eastAsia="Microsoft JhengHei" w:hint="eastAsia"/>
          <w:b/>
          <w:sz w:val="32"/>
        </w:rPr>
      </w:pPr>
      <w:bookmarkStart w:name="7.1 定标方式" w:id="134"/>
      <w:bookmarkEnd w:id="134"/>
      <w:r>
        <w:rPr/>
      </w:r>
      <w:bookmarkStart w:name="_bookmark48" w:id="135"/>
      <w:bookmarkEnd w:id="135"/>
      <w:r>
        <w:rPr/>
      </w:r>
      <w:bookmarkStart w:name="_bookmark48" w:id="136"/>
      <w:bookmarkEnd w:id="136"/>
      <w:r>
        <w:rPr>
          <w:rFonts w:ascii="Microsoft JhengHei" w:eastAsia="Microsoft JhengHei" w:hint="eastAsia"/>
          <w:b/>
          <w:sz w:val="32"/>
        </w:rPr>
        <w:t>定标方式</w:t>
      </w:r>
      <w:r>
        <w:rPr>
          <w:rFonts w:ascii="Microsoft JhengHei" w:eastAsia="Microsoft JhengHei" w:hint="eastAsia"/>
          <w:b/>
          <w:w w:val="199"/>
          <w:sz w:val="32"/>
        </w:rPr>
        <w:t> </w:t>
      </w:r>
    </w:p>
    <w:p>
      <w:pPr>
        <w:pStyle w:val="BodyText"/>
        <w:spacing w:line="364" w:lineRule="auto" w:before="138"/>
        <w:ind w:right="1153" w:firstLine="419"/>
      </w:pPr>
      <w:r>
        <w:rPr/>
        <w:t>除“投标人须知前附表”规定评标委员会直接确定中标人外，招标人依据评标委员会推荐的中标候选人确定中标人，评标委员会推荐中标候选人的人数见“投标人须知前附表”。 </w:t>
      </w:r>
    </w:p>
    <w:p>
      <w:pPr>
        <w:pStyle w:val="Heading2"/>
        <w:numPr>
          <w:ilvl w:val="1"/>
          <w:numId w:val="43"/>
        </w:numPr>
        <w:tabs>
          <w:tab w:pos="1163" w:val="left" w:leader="none"/>
        </w:tabs>
        <w:spacing w:line="484" w:lineRule="exact" w:before="0" w:after="0"/>
        <w:ind w:left="1162" w:right="0" w:hanging="485"/>
        <w:jc w:val="left"/>
      </w:pPr>
      <w:bookmarkStart w:name="7.2 中标通知及中标公告" w:id="137"/>
      <w:bookmarkEnd w:id="137"/>
      <w:r>
        <w:rPr>
          <w:b w:val="0"/>
        </w:rPr>
      </w:r>
      <w:bookmarkStart w:name="_bookmark49" w:id="138"/>
      <w:bookmarkEnd w:id="138"/>
      <w:r>
        <w:rPr>
          <w:b w:val="0"/>
        </w:rPr>
      </w:r>
      <w:bookmarkStart w:name="_bookmark49" w:id="139"/>
      <w:bookmarkEnd w:id="139"/>
      <w:r>
        <w:rPr/>
        <w:t>中标通知及中标公告</w:t>
      </w:r>
      <w:r>
        <w:rPr>
          <w:w w:val="199"/>
        </w:rPr>
        <w:t> </w:t>
      </w:r>
    </w:p>
    <w:p>
      <w:pPr>
        <w:pStyle w:val="BodyText"/>
        <w:spacing w:before="138"/>
        <w:ind w:left="1098"/>
        <w:jc w:val="both"/>
      </w:pPr>
      <w:r>
        <w:rPr/>
        <w:t>中标候选人公示期满无异议或异议不成立的，招标人应在公示期结束后 5 日内按照招标文</w:t>
      </w:r>
    </w:p>
    <w:p>
      <w:pPr>
        <w:pStyle w:val="BodyText"/>
        <w:spacing w:line="364" w:lineRule="auto" w:before="139"/>
        <w:ind w:right="1148"/>
        <w:jc w:val="both"/>
      </w:pPr>
      <w:r>
        <w:rPr>
          <w:spacing w:val="-7"/>
        </w:rPr>
        <w:t>件规定的定标方式确定中标人，招标人应当自确定中标人之日起 </w:t>
      </w:r>
      <w:r>
        <w:rPr/>
        <w:t>15</w:t>
      </w:r>
      <w:r>
        <w:rPr>
          <w:spacing w:val="-9"/>
        </w:rPr>
        <w:t> 日内，向工程所在地的县级</w:t>
      </w:r>
      <w:r>
        <w:rPr>
          <w:spacing w:val="-10"/>
        </w:rPr>
        <w:t>以上地方人民政府建设行政主管部门提交施工招标投标情况的书面报告，建设行政主管部门自</w:t>
      </w:r>
      <w:r>
        <w:rPr>
          <w:spacing w:val="-3"/>
        </w:rPr>
        <w:t>收到书面报告之日起 </w:t>
      </w:r>
      <w:r>
        <w:rPr/>
        <w:t>5</w:t>
      </w:r>
      <w:r>
        <w:rPr>
          <w:spacing w:val="-3"/>
        </w:rPr>
        <w:t> 日内未通知招标人在招标投标活动中有违法行为的，招标人可以向中标人发出中标通知书，同时按规定的格式在南宁市公共资源交易系统网站发出中标公告（备注： 属政府采购项目的还应同时在广西壮族自治区政府采购网发出中标公告</w:t>
      </w:r>
      <w:r>
        <w:rPr>
          <w:spacing w:val="-76"/>
        </w:rPr>
        <w:t>）</w:t>
      </w:r>
      <w:r>
        <w:rPr>
          <w:spacing w:val="-11"/>
        </w:rPr>
        <w:t>，将中标结果通知未中</w:t>
      </w:r>
      <w:r>
        <w:rPr>
          <w:spacing w:val="-7"/>
        </w:rPr>
        <w:t>标的投标人。</w:t>
      </w:r>
      <w:r>
        <w:rPr/>
        <w:t> </w:t>
      </w:r>
    </w:p>
    <w:p>
      <w:pPr>
        <w:pStyle w:val="Heading2"/>
        <w:numPr>
          <w:ilvl w:val="1"/>
          <w:numId w:val="43"/>
        </w:numPr>
        <w:tabs>
          <w:tab w:pos="1163" w:val="left" w:leader="none"/>
        </w:tabs>
        <w:spacing w:line="480" w:lineRule="exact" w:before="0" w:after="0"/>
        <w:ind w:left="1162" w:right="0" w:hanging="485"/>
        <w:jc w:val="left"/>
      </w:pPr>
      <w:bookmarkStart w:name="7.3 履约保证金" w:id="140"/>
      <w:bookmarkEnd w:id="140"/>
      <w:r>
        <w:rPr>
          <w:b w:val="0"/>
        </w:rPr>
      </w:r>
      <w:bookmarkStart w:name="_bookmark50" w:id="141"/>
      <w:bookmarkEnd w:id="141"/>
      <w:r>
        <w:rPr>
          <w:b w:val="0"/>
        </w:rPr>
      </w:r>
      <w:bookmarkStart w:name="_bookmark50" w:id="142"/>
      <w:bookmarkEnd w:id="142"/>
      <w:r>
        <w:rPr/>
        <w:t>履约保证金</w:t>
      </w:r>
      <w:r>
        <w:rPr>
          <w:w w:val="199"/>
        </w:rPr>
        <w:t> </w:t>
      </w:r>
    </w:p>
    <w:p>
      <w:pPr>
        <w:pStyle w:val="ListParagraph"/>
        <w:numPr>
          <w:ilvl w:val="2"/>
          <w:numId w:val="43"/>
        </w:numPr>
        <w:tabs>
          <w:tab w:pos="1627" w:val="left" w:leader="none"/>
        </w:tabs>
        <w:spacing w:line="364" w:lineRule="auto" w:before="141" w:after="0"/>
        <w:ind w:left="678" w:right="1152" w:firstLine="419"/>
        <w:jc w:val="both"/>
        <w:rPr>
          <w:sz w:val="21"/>
        </w:rPr>
      </w:pPr>
      <w:r>
        <w:rPr>
          <w:spacing w:val="-1"/>
          <w:sz w:val="21"/>
        </w:rPr>
        <w:t>在签订合同前，中标人应按“投标人须知前附表”规定的金额、担保形式和招标文件第四章“合同条款及格式”规定的履约担保格式向招标人提交履约保证金。联合体中标的， 其履约保证金由牵头人递交，并应符合“投标人须知前附表”规定的金额、担保形式和招标文</w:t>
      </w:r>
      <w:r>
        <w:rPr>
          <w:spacing w:val="-3"/>
          <w:sz w:val="21"/>
        </w:rPr>
        <w:t>件第四章“合同条款及格式”规定的履约担保要求。 </w:t>
      </w:r>
    </w:p>
    <w:p>
      <w:pPr>
        <w:spacing w:after="0" w:line="364" w:lineRule="auto"/>
        <w:jc w:val="both"/>
        <w:rPr>
          <w:sz w:val="21"/>
        </w:rPr>
        <w:sectPr>
          <w:pgSz w:w="11910" w:h="16850"/>
          <w:pgMar w:header="0" w:footer="779" w:top="1380" w:bottom="1040" w:left="1120" w:right="280"/>
        </w:sectPr>
      </w:pPr>
    </w:p>
    <w:p>
      <w:pPr>
        <w:pStyle w:val="ListParagraph"/>
        <w:numPr>
          <w:ilvl w:val="2"/>
          <w:numId w:val="43"/>
        </w:numPr>
        <w:tabs>
          <w:tab w:pos="1627" w:val="left" w:leader="none"/>
        </w:tabs>
        <w:spacing w:line="364" w:lineRule="auto" w:before="60" w:after="0"/>
        <w:ind w:left="678" w:right="1148" w:firstLine="419"/>
        <w:jc w:val="both"/>
        <w:rPr>
          <w:sz w:val="21"/>
        </w:rPr>
      </w:pPr>
      <w:r>
        <w:rPr>
          <w:spacing w:val="-4"/>
          <w:sz w:val="21"/>
        </w:rPr>
        <w:t>中标人不能按本章第 </w:t>
      </w:r>
      <w:r>
        <w:rPr>
          <w:sz w:val="21"/>
        </w:rPr>
        <w:t>7.3.1</w:t>
      </w:r>
      <w:r>
        <w:rPr>
          <w:spacing w:val="-5"/>
          <w:sz w:val="21"/>
        </w:rPr>
        <w:t> 项要求提交履约保证金的，视为放弃中标，招标人有权没收其投标保证金，给招标人造成的损失超过投标保证金数额的，中标人还应当对超过部分予以赔偿。</w:t>
      </w:r>
      <w:r>
        <w:rPr>
          <w:sz w:val="21"/>
        </w:rPr>
        <w:t> </w:t>
      </w:r>
    </w:p>
    <w:p>
      <w:pPr>
        <w:pStyle w:val="Heading2"/>
        <w:numPr>
          <w:ilvl w:val="1"/>
          <w:numId w:val="43"/>
        </w:numPr>
        <w:tabs>
          <w:tab w:pos="1163" w:val="left" w:leader="none"/>
        </w:tabs>
        <w:spacing w:line="483" w:lineRule="exact" w:before="0" w:after="0"/>
        <w:ind w:left="1162" w:right="0" w:hanging="485"/>
        <w:jc w:val="left"/>
      </w:pPr>
      <w:bookmarkStart w:name="7.4 签订合同" w:id="143"/>
      <w:bookmarkEnd w:id="143"/>
      <w:r>
        <w:rPr>
          <w:b w:val="0"/>
        </w:rPr>
      </w:r>
      <w:bookmarkStart w:name="_bookmark51" w:id="144"/>
      <w:bookmarkEnd w:id="144"/>
      <w:r>
        <w:rPr>
          <w:b w:val="0"/>
        </w:rPr>
      </w:r>
      <w:bookmarkStart w:name="_bookmark51" w:id="145"/>
      <w:bookmarkEnd w:id="145"/>
      <w:r>
        <w:rPr/>
        <w:t>签订合同</w:t>
      </w:r>
      <w:r>
        <w:rPr>
          <w:w w:val="199"/>
        </w:rPr>
        <w:t> </w:t>
      </w:r>
    </w:p>
    <w:p>
      <w:pPr>
        <w:pStyle w:val="ListParagraph"/>
        <w:numPr>
          <w:ilvl w:val="2"/>
          <w:numId w:val="43"/>
        </w:numPr>
        <w:tabs>
          <w:tab w:pos="1627" w:val="left" w:leader="none"/>
        </w:tabs>
        <w:spacing w:line="364" w:lineRule="auto" w:before="138" w:after="0"/>
        <w:ind w:left="678" w:right="1150" w:firstLine="419"/>
        <w:jc w:val="both"/>
        <w:rPr>
          <w:sz w:val="21"/>
        </w:rPr>
      </w:pPr>
      <w:r>
        <w:rPr>
          <w:spacing w:val="-5"/>
          <w:sz w:val="21"/>
        </w:rPr>
        <w:t>招标人和中标人应当在投标有效期内以及中标通知书发出之日起 </w:t>
      </w:r>
      <w:r>
        <w:rPr>
          <w:sz w:val="21"/>
        </w:rPr>
        <w:t>30</w:t>
      </w:r>
      <w:r>
        <w:rPr>
          <w:spacing w:val="-14"/>
          <w:sz w:val="21"/>
        </w:rPr>
        <w:t> 天内，根据招标文件和中标人的投标文件订立书面合同。中标人无正当理由拒签合同的，招标人取消其中标资</w:t>
      </w:r>
      <w:r>
        <w:rPr>
          <w:spacing w:val="-1"/>
          <w:sz w:val="21"/>
        </w:rPr>
        <w:t>格，招标人有权没收其投标保证金；给招标人造成的损失超过投标保证金数额的，中标人还应</w:t>
      </w:r>
      <w:r>
        <w:rPr>
          <w:spacing w:val="-3"/>
          <w:sz w:val="21"/>
        </w:rPr>
        <w:t>当对超过部分予以赔偿。对依法必须招标的项目的中标人，由有关行政监督部门责令改正。</w:t>
      </w:r>
      <w:r>
        <w:rPr>
          <w:sz w:val="21"/>
        </w:rPr>
        <w:t> </w:t>
      </w:r>
    </w:p>
    <w:p>
      <w:pPr>
        <w:pStyle w:val="ListParagraph"/>
        <w:numPr>
          <w:ilvl w:val="2"/>
          <w:numId w:val="43"/>
        </w:numPr>
        <w:tabs>
          <w:tab w:pos="1677" w:val="left" w:leader="none"/>
        </w:tabs>
        <w:spacing w:line="364" w:lineRule="auto" w:before="0" w:after="0"/>
        <w:ind w:left="678" w:right="1151" w:firstLine="419"/>
        <w:jc w:val="both"/>
        <w:rPr>
          <w:sz w:val="21"/>
        </w:rPr>
      </w:pPr>
      <w:r>
        <w:rPr>
          <w:spacing w:val="-7"/>
          <w:sz w:val="21"/>
        </w:rPr>
        <w:t>国有资金占控股或者主导地位的依法必须进行招标的项目，招标人应当确定排名第一的中标候选人为中标人。排名第一的中标候选人（</w:t>
      </w:r>
      <w:r>
        <w:rPr>
          <w:spacing w:val="-8"/>
          <w:sz w:val="21"/>
        </w:rPr>
        <w:t>或者评标委员会依据招标人的授权直接确定</w:t>
      </w:r>
      <w:r>
        <w:rPr>
          <w:sz w:val="21"/>
        </w:rPr>
        <w:t>的中标人）</w:t>
      </w:r>
      <w:r>
        <w:rPr>
          <w:spacing w:val="-1"/>
          <w:sz w:val="21"/>
        </w:rPr>
        <w:t>放弃中标，或因不可抗力提出不能履行合同，或者被查实存在影响中标结果的违法</w:t>
      </w:r>
      <w:r>
        <w:rPr>
          <w:sz w:val="21"/>
        </w:rPr>
        <w:t>行为等情形，不符合中标条件的，招标人可以按照评标委员会提出的中标候选人名单排序（</w:t>
      </w:r>
      <w:r>
        <w:rPr>
          <w:spacing w:val="-12"/>
          <w:sz w:val="21"/>
        </w:rPr>
        <w:t>或</w:t>
      </w:r>
      <w:r>
        <w:rPr>
          <w:sz w:val="21"/>
        </w:rPr>
        <w:t>者评标结果排序）</w:t>
      </w:r>
      <w:r>
        <w:rPr>
          <w:spacing w:val="-1"/>
          <w:sz w:val="21"/>
        </w:rPr>
        <w:t>依次确定其他中标候选人为中标人。依次确定其他中标候选人与招标人预期</w:t>
      </w:r>
      <w:r>
        <w:rPr>
          <w:spacing w:val="-7"/>
          <w:sz w:val="21"/>
        </w:rPr>
        <w:t>差距较大，或者对招标人明显不利的，招标人可以重新招标。。</w:t>
      </w:r>
      <w:r>
        <w:rPr>
          <w:sz w:val="21"/>
        </w:rPr>
        <w:t> </w:t>
      </w:r>
    </w:p>
    <w:p>
      <w:pPr>
        <w:pStyle w:val="ListParagraph"/>
        <w:numPr>
          <w:ilvl w:val="2"/>
          <w:numId w:val="43"/>
        </w:numPr>
        <w:tabs>
          <w:tab w:pos="1627" w:val="left" w:leader="none"/>
        </w:tabs>
        <w:spacing w:line="364" w:lineRule="auto" w:before="0" w:after="0"/>
        <w:ind w:left="678" w:right="1045" w:firstLine="419"/>
        <w:jc w:val="left"/>
        <w:rPr>
          <w:sz w:val="21"/>
        </w:rPr>
      </w:pPr>
      <w:r>
        <w:rPr>
          <w:spacing w:val="-7"/>
          <w:sz w:val="21"/>
        </w:rPr>
        <w:t>发出中标通知书后，招标人无正当理由拒签合同的，由有关行政监督部门给予警告， </w:t>
      </w:r>
      <w:r>
        <w:rPr>
          <w:spacing w:val="-5"/>
          <w:sz w:val="21"/>
        </w:rPr>
        <w:t>责令改正。同时招标人向中标人退还投标保证金；给中标人造成损失的，还应当赔偿损失。</w:t>
      </w:r>
      <w:r>
        <w:rPr>
          <w:sz w:val="21"/>
        </w:rPr>
        <w:t> </w:t>
      </w:r>
    </w:p>
    <w:p>
      <w:pPr>
        <w:spacing w:before="0"/>
        <w:ind w:left="678" w:right="0" w:firstLine="0"/>
        <w:jc w:val="left"/>
        <w:rPr>
          <w:sz w:val="21"/>
        </w:rPr>
      </w:pPr>
      <w:r>
        <w:rPr>
          <w:color w:val="000080"/>
          <w:spacing w:val="1"/>
          <w:w w:val="99"/>
          <w:sz w:val="20"/>
        </w:rPr>
        <w:t>  </w:t>
      </w:r>
      <w:r>
        <w:rPr>
          <w:color w:val="000080"/>
          <w:spacing w:val="-2"/>
          <w:w w:val="99"/>
          <w:sz w:val="20"/>
        </w:rPr>
        <w:t> </w:t>
      </w:r>
      <w:r>
        <w:rPr>
          <w:w w:val="100"/>
          <w:sz w:val="21"/>
        </w:rPr>
        <w:t> </w:t>
      </w:r>
    </w:p>
    <w:p>
      <w:pPr>
        <w:pStyle w:val="Heading2"/>
        <w:spacing w:before="88"/>
        <w:ind w:left="678"/>
      </w:pPr>
      <w:bookmarkStart w:name="8 重新招标和不再招标" w:id="146"/>
      <w:bookmarkEnd w:id="146"/>
      <w:r>
        <w:rPr>
          <w:b w:val="0"/>
        </w:rPr>
      </w:r>
      <w:bookmarkStart w:name="_bookmark52" w:id="147"/>
      <w:bookmarkEnd w:id="147"/>
      <w:r>
        <w:rPr>
          <w:b w:val="0"/>
        </w:rPr>
      </w:r>
      <w:r>
        <w:rPr/>
        <w:t>8 重新招标和不再招标</w:t>
      </w:r>
      <w:r>
        <w:rPr>
          <w:w w:val="199"/>
        </w:rPr>
        <w:t> </w:t>
      </w:r>
    </w:p>
    <w:p>
      <w:pPr>
        <w:pStyle w:val="ListParagraph"/>
        <w:numPr>
          <w:ilvl w:val="1"/>
          <w:numId w:val="44"/>
        </w:numPr>
        <w:tabs>
          <w:tab w:pos="1163" w:val="left" w:leader="none"/>
        </w:tabs>
        <w:spacing w:line="240" w:lineRule="auto" w:before="187" w:after="0"/>
        <w:ind w:left="1162" w:right="0" w:hanging="485"/>
        <w:jc w:val="left"/>
        <w:rPr>
          <w:rFonts w:ascii="Microsoft JhengHei" w:eastAsia="Microsoft JhengHei" w:hint="eastAsia"/>
          <w:b/>
          <w:sz w:val="32"/>
        </w:rPr>
      </w:pPr>
      <w:bookmarkStart w:name="8.1 重新招标" w:id="148"/>
      <w:bookmarkEnd w:id="148"/>
      <w:r>
        <w:rPr/>
      </w:r>
      <w:bookmarkStart w:name="_bookmark53" w:id="149"/>
      <w:bookmarkEnd w:id="149"/>
      <w:r>
        <w:rPr/>
      </w:r>
      <w:bookmarkStart w:name="_bookmark53" w:id="150"/>
      <w:bookmarkEnd w:id="150"/>
      <w:r>
        <w:rPr>
          <w:rFonts w:ascii="Microsoft JhengHei" w:eastAsia="Microsoft JhengHei" w:hint="eastAsia"/>
          <w:b/>
          <w:sz w:val="32"/>
        </w:rPr>
        <w:t>重新招标</w:t>
      </w:r>
      <w:r>
        <w:rPr>
          <w:rFonts w:ascii="Microsoft JhengHei" w:eastAsia="Microsoft JhengHei" w:hint="eastAsia"/>
          <w:b/>
          <w:w w:val="199"/>
          <w:sz w:val="32"/>
        </w:rPr>
        <w:t> </w:t>
      </w:r>
    </w:p>
    <w:p>
      <w:pPr>
        <w:pStyle w:val="BodyText"/>
        <w:spacing w:before="141"/>
        <w:ind w:left="1098"/>
      </w:pPr>
      <w:r>
        <w:rPr/>
        <w:t>有下列情形之一的，招标人将重新招标： </w:t>
      </w:r>
    </w:p>
    <w:p>
      <w:pPr>
        <w:pStyle w:val="ListParagraph"/>
        <w:numPr>
          <w:ilvl w:val="2"/>
          <w:numId w:val="44"/>
        </w:numPr>
        <w:tabs>
          <w:tab w:pos="1627" w:val="left" w:leader="none"/>
        </w:tabs>
        <w:spacing w:line="240" w:lineRule="auto" w:before="139" w:after="0"/>
        <w:ind w:left="1627" w:right="0" w:hanging="529"/>
        <w:jc w:val="left"/>
        <w:rPr>
          <w:sz w:val="21"/>
        </w:rPr>
      </w:pPr>
      <w:r>
        <w:rPr>
          <w:spacing w:val="-8"/>
          <w:sz w:val="21"/>
        </w:rPr>
        <w:t>投标截止时，投标人少于 </w:t>
      </w:r>
      <w:r>
        <w:rPr>
          <w:sz w:val="21"/>
        </w:rPr>
        <w:t>3</w:t>
      </w:r>
      <w:r>
        <w:rPr>
          <w:spacing w:val="-16"/>
          <w:sz w:val="21"/>
        </w:rPr>
        <w:t> 个的；</w:t>
      </w:r>
      <w:r>
        <w:rPr>
          <w:sz w:val="21"/>
        </w:rPr>
        <w:t> </w:t>
      </w:r>
    </w:p>
    <w:p>
      <w:pPr>
        <w:pStyle w:val="ListParagraph"/>
        <w:numPr>
          <w:ilvl w:val="2"/>
          <w:numId w:val="44"/>
        </w:numPr>
        <w:tabs>
          <w:tab w:pos="1627" w:val="left" w:leader="none"/>
        </w:tabs>
        <w:spacing w:line="364" w:lineRule="auto" w:before="139" w:after="0"/>
        <w:ind w:left="678" w:right="1108" w:firstLine="419"/>
        <w:jc w:val="left"/>
        <w:rPr>
          <w:sz w:val="21"/>
        </w:rPr>
      </w:pPr>
      <w:r>
        <w:rPr>
          <w:spacing w:val="-4"/>
          <w:sz w:val="21"/>
        </w:rPr>
        <w:t>经评标委员会评审后，所有投标被否决或者部分投标被否决后，有效投标不足 </w:t>
      </w:r>
      <w:r>
        <w:rPr>
          <w:sz w:val="21"/>
        </w:rPr>
        <w:t>3</w:t>
      </w:r>
      <w:r>
        <w:rPr>
          <w:spacing w:val="-14"/>
          <w:sz w:val="21"/>
        </w:rPr>
        <w:t> 个， </w:t>
      </w:r>
      <w:r>
        <w:rPr>
          <w:spacing w:val="-3"/>
          <w:sz w:val="21"/>
        </w:rPr>
        <w:t>导致投标明显缺乏竞争的； </w:t>
      </w:r>
    </w:p>
    <w:p>
      <w:pPr>
        <w:pStyle w:val="ListParagraph"/>
        <w:numPr>
          <w:ilvl w:val="2"/>
          <w:numId w:val="44"/>
        </w:numPr>
        <w:tabs>
          <w:tab w:pos="1627" w:val="left" w:leader="none"/>
        </w:tabs>
        <w:spacing w:line="240" w:lineRule="auto" w:before="1" w:after="0"/>
        <w:ind w:left="1627" w:right="0" w:hanging="529"/>
        <w:jc w:val="left"/>
        <w:rPr>
          <w:sz w:val="21"/>
        </w:rPr>
      </w:pPr>
      <w:r>
        <w:rPr>
          <w:spacing w:val="-3"/>
          <w:sz w:val="21"/>
        </w:rPr>
        <w:t>其他有关法规和文件规定的应当重新招标的情形。</w:t>
      </w:r>
      <w:r>
        <w:rPr>
          <w:sz w:val="21"/>
        </w:rPr>
        <w:t> </w:t>
      </w:r>
    </w:p>
    <w:p>
      <w:pPr>
        <w:pStyle w:val="Heading2"/>
        <w:numPr>
          <w:ilvl w:val="1"/>
          <w:numId w:val="44"/>
        </w:numPr>
        <w:tabs>
          <w:tab w:pos="1163" w:val="left" w:leader="none"/>
        </w:tabs>
        <w:spacing w:line="240" w:lineRule="auto" w:before="33" w:after="0"/>
        <w:ind w:left="1162" w:right="0" w:hanging="485"/>
        <w:jc w:val="left"/>
      </w:pPr>
      <w:bookmarkStart w:name="8.2 不再招标" w:id="151"/>
      <w:bookmarkEnd w:id="151"/>
      <w:r>
        <w:rPr>
          <w:b w:val="0"/>
        </w:rPr>
      </w:r>
      <w:bookmarkStart w:name="_bookmark54" w:id="152"/>
      <w:bookmarkEnd w:id="152"/>
      <w:r>
        <w:rPr>
          <w:b w:val="0"/>
        </w:rPr>
      </w:r>
      <w:bookmarkStart w:name="_bookmark54" w:id="153"/>
      <w:bookmarkEnd w:id="153"/>
      <w:r>
        <w:rPr/>
        <w:t>不再招标</w:t>
      </w:r>
      <w:r>
        <w:rPr>
          <w:w w:val="199"/>
        </w:rPr>
        <w:t> </w:t>
      </w:r>
    </w:p>
    <w:p>
      <w:pPr>
        <w:pStyle w:val="BodyText"/>
        <w:spacing w:line="364" w:lineRule="auto" w:before="139"/>
        <w:ind w:right="1094" w:firstLine="419"/>
      </w:pPr>
      <w:r>
        <w:rPr/>
        <w:t>重新招标后投标人仍少于 3 个或者所有投标被否决的，属于必须审批或核准的工程建设项目，经原审批或核准部门批准后可不再进行招标。 </w:t>
      </w:r>
    </w:p>
    <w:p>
      <w:pPr>
        <w:spacing w:before="0"/>
        <w:ind w:left="678" w:right="0" w:firstLine="0"/>
        <w:jc w:val="left"/>
        <w:rPr>
          <w:sz w:val="21"/>
        </w:rPr>
      </w:pPr>
      <w:r>
        <w:rPr>
          <w:color w:val="000080"/>
          <w:spacing w:val="1"/>
          <w:w w:val="99"/>
          <w:sz w:val="20"/>
        </w:rPr>
        <w:t>  </w:t>
      </w:r>
      <w:r>
        <w:rPr>
          <w:color w:val="000080"/>
          <w:spacing w:val="-2"/>
          <w:w w:val="99"/>
          <w:sz w:val="20"/>
        </w:rPr>
        <w:t> </w:t>
      </w:r>
      <w:r>
        <w:rPr>
          <w:w w:val="100"/>
          <w:sz w:val="21"/>
        </w:rPr>
        <w:t> </w:t>
      </w:r>
    </w:p>
    <w:p>
      <w:pPr>
        <w:spacing w:after="0"/>
        <w:jc w:val="left"/>
        <w:rPr>
          <w:sz w:val="21"/>
        </w:rPr>
        <w:sectPr>
          <w:pgSz w:w="11910" w:h="16850"/>
          <w:pgMar w:header="0" w:footer="779" w:top="1380" w:bottom="1040" w:left="1120" w:right="280"/>
        </w:sectPr>
      </w:pPr>
    </w:p>
    <w:p>
      <w:pPr>
        <w:pStyle w:val="Heading2"/>
        <w:spacing w:line="522" w:lineRule="exact"/>
        <w:ind w:left="678"/>
      </w:pPr>
      <w:bookmarkStart w:name="9 纪律和监督" w:id="154"/>
      <w:bookmarkEnd w:id="154"/>
      <w:r>
        <w:rPr>
          <w:b w:val="0"/>
        </w:rPr>
      </w:r>
      <w:bookmarkStart w:name="_bookmark55" w:id="155"/>
      <w:bookmarkEnd w:id="155"/>
      <w:r>
        <w:rPr>
          <w:b w:val="0"/>
        </w:rPr>
      </w:r>
      <w:r>
        <w:rPr>
          <w:w w:val="105"/>
        </w:rPr>
        <w:t>9 纪律和监督</w:t>
      </w:r>
      <w:r>
        <w:rPr>
          <w:w w:val="199"/>
        </w:rPr>
        <w:t> </w:t>
      </w:r>
    </w:p>
    <w:p>
      <w:pPr>
        <w:pStyle w:val="Heading2"/>
        <w:numPr>
          <w:ilvl w:val="1"/>
          <w:numId w:val="45"/>
        </w:numPr>
        <w:tabs>
          <w:tab w:pos="1163" w:val="left" w:leader="none"/>
        </w:tabs>
        <w:spacing w:line="240" w:lineRule="auto" w:before="189" w:after="0"/>
        <w:ind w:left="1162" w:right="0" w:hanging="485"/>
        <w:jc w:val="left"/>
      </w:pPr>
      <w:bookmarkStart w:name="9.1 对招标人或招标代理机构的纪律要求" w:id="156"/>
      <w:bookmarkEnd w:id="156"/>
      <w:r>
        <w:rPr>
          <w:b w:val="0"/>
        </w:rPr>
      </w:r>
      <w:bookmarkStart w:name="_bookmark56" w:id="157"/>
      <w:bookmarkEnd w:id="157"/>
      <w:r>
        <w:rPr>
          <w:b w:val="0"/>
        </w:rPr>
      </w:r>
      <w:bookmarkStart w:name="_bookmark56" w:id="158"/>
      <w:bookmarkEnd w:id="158"/>
      <w:r>
        <w:rPr/>
        <w:t>对招标人或招标代理机构的纪律要求</w:t>
      </w:r>
      <w:r>
        <w:rPr>
          <w:w w:val="199"/>
        </w:rPr>
        <w:t> </w:t>
      </w:r>
    </w:p>
    <w:p>
      <w:pPr>
        <w:pStyle w:val="BodyText"/>
        <w:spacing w:line="364" w:lineRule="auto" w:before="138"/>
        <w:ind w:right="1043" w:firstLine="419"/>
      </w:pPr>
      <w:r>
        <w:rPr>
          <w:spacing w:val="-5"/>
        </w:rPr>
        <w:t>招标人不得泄漏招标投标活动中应当保密的情况和资料，不得与投标人串通损害国家利益、社会公共利益或者他人合法权益。有下列情形之一的，属于招标人或招标代理机构与投标人串通投标：</w:t>
      </w:r>
      <w:r>
        <w:rPr/>
        <w:t> </w:t>
      </w:r>
    </w:p>
    <w:p>
      <w:pPr>
        <w:pStyle w:val="ListParagraph"/>
        <w:numPr>
          <w:ilvl w:val="2"/>
          <w:numId w:val="45"/>
        </w:numPr>
        <w:tabs>
          <w:tab w:pos="1627" w:val="left" w:leader="none"/>
        </w:tabs>
        <w:spacing w:line="269" w:lineRule="exact" w:before="0" w:after="0"/>
        <w:ind w:left="1627" w:right="0" w:hanging="529"/>
        <w:jc w:val="left"/>
        <w:rPr>
          <w:sz w:val="21"/>
        </w:rPr>
      </w:pPr>
      <w:r>
        <w:rPr>
          <w:spacing w:val="-3"/>
          <w:sz w:val="21"/>
        </w:rPr>
        <w:t>招标人在开标前开启投标文件并将有关信息泄露给其他投标人；</w:t>
      </w:r>
      <w:r>
        <w:rPr>
          <w:sz w:val="21"/>
        </w:rPr>
        <w:t> </w:t>
      </w:r>
    </w:p>
    <w:p>
      <w:pPr>
        <w:pStyle w:val="ListParagraph"/>
        <w:numPr>
          <w:ilvl w:val="2"/>
          <w:numId w:val="45"/>
        </w:numPr>
        <w:tabs>
          <w:tab w:pos="1627" w:val="left" w:leader="none"/>
        </w:tabs>
        <w:spacing w:line="240" w:lineRule="auto" w:before="139" w:after="0"/>
        <w:ind w:left="1627" w:right="0" w:hanging="529"/>
        <w:jc w:val="left"/>
        <w:rPr>
          <w:sz w:val="21"/>
        </w:rPr>
      </w:pPr>
      <w:r>
        <w:rPr>
          <w:spacing w:val="-3"/>
          <w:sz w:val="21"/>
        </w:rPr>
        <w:t>招标人直接或者间接向投标人泄露标底、评标委员会成员等信息； </w:t>
      </w:r>
    </w:p>
    <w:p>
      <w:pPr>
        <w:pStyle w:val="ListParagraph"/>
        <w:numPr>
          <w:ilvl w:val="2"/>
          <w:numId w:val="45"/>
        </w:numPr>
        <w:tabs>
          <w:tab w:pos="1627" w:val="left" w:leader="none"/>
        </w:tabs>
        <w:spacing w:line="240" w:lineRule="auto" w:before="140" w:after="0"/>
        <w:ind w:left="1627" w:right="0" w:hanging="529"/>
        <w:jc w:val="left"/>
        <w:rPr>
          <w:sz w:val="21"/>
        </w:rPr>
      </w:pPr>
      <w:r>
        <w:rPr>
          <w:spacing w:val="-3"/>
          <w:sz w:val="21"/>
        </w:rPr>
        <w:t>招标人明示或者暗示投标人压低或者抬高投标报价；</w:t>
      </w:r>
      <w:r>
        <w:rPr>
          <w:sz w:val="21"/>
        </w:rPr>
        <w:t> </w:t>
      </w:r>
    </w:p>
    <w:p>
      <w:pPr>
        <w:pStyle w:val="ListParagraph"/>
        <w:numPr>
          <w:ilvl w:val="2"/>
          <w:numId w:val="45"/>
        </w:numPr>
        <w:tabs>
          <w:tab w:pos="1627" w:val="left" w:leader="none"/>
        </w:tabs>
        <w:spacing w:line="240" w:lineRule="auto" w:before="139" w:after="0"/>
        <w:ind w:left="1627" w:right="0" w:hanging="529"/>
        <w:jc w:val="left"/>
        <w:rPr>
          <w:sz w:val="21"/>
        </w:rPr>
      </w:pPr>
      <w:r>
        <w:rPr>
          <w:spacing w:val="-3"/>
          <w:sz w:val="21"/>
        </w:rPr>
        <w:t>招标人授意投标人撤换、修改投标文件；</w:t>
      </w:r>
      <w:r>
        <w:rPr>
          <w:sz w:val="21"/>
        </w:rPr>
        <w:t> </w:t>
      </w:r>
    </w:p>
    <w:p>
      <w:pPr>
        <w:pStyle w:val="ListParagraph"/>
        <w:numPr>
          <w:ilvl w:val="2"/>
          <w:numId w:val="45"/>
        </w:numPr>
        <w:tabs>
          <w:tab w:pos="1627" w:val="left" w:leader="none"/>
        </w:tabs>
        <w:spacing w:line="240" w:lineRule="auto" w:before="139" w:after="0"/>
        <w:ind w:left="1627" w:right="0" w:hanging="529"/>
        <w:jc w:val="left"/>
        <w:rPr>
          <w:sz w:val="21"/>
        </w:rPr>
      </w:pPr>
      <w:r>
        <w:rPr>
          <w:spacing w:val="-3"/>
          <w:sz w:val="21"/>
        </w:rPr>
        <w:t>招标人明示或者暗示投标人为特定投标人中标提供方便；</w:t>
      </w:r>
      <w:r>
        <w:rPr>
          <w:sz w:val="21"/>
        </w:rPr>
        <w:t> </w:t>
      </w:r>
    </w:p>
    <w:p>
      <w:pPr>
        <w:pStyle w:val="ListParagraph"/>
        <w:numPr>
          <w:ilvl w:val="2"/>
          <w:numId w:val="45"/>
        </w:numPr>
        <w:tabs>
          <w:tab w:pos="1627" w:val="left" w:leader="none"/>
        </w:tabs>
        <w:spacing w:line="240" w:lineRule="auto" w:before="141" w:after="0"/>
        <w:ind w:left="1627" w:right="0" w:hanging="529"/>
        <w:jc w:val="left"/>
        <w:rPr>
          <w:sz w:val="21"/>
        </w:rPr>
      </w:pPr>
      <w:r>
        <w:rPr>
          <w:spacing w:val="-3"/>
          <w:sz w:val="21"/>
        </w:rPr>
        <w:t>招标人与投标人为谋求特定投标人中标而采取的其他串通行为。</w:t>
      </w:r>
      <w:r>
        <w:rPr>
          <w:sz w:val="21"/>
        </w:rPr>
        <w:t> </w:t>
      </w:r>
    </w:p>
    <w:p>
      <w:pPr>
        <w:pStyle w:val="ListParagraph"/>
        <w:numPr>
          <w:ilvl w:val="2"/>
          <w:numId w:val="45"/>
        </w:numPr>
        <w:tabs>
          <w:tab w:pos="1627" w:val="left" w:leader="none"/>
        </w:tabs>
        <w:spacing w:line="364" w:lineRule="auto" w:before="139" w:after="0"/>
        <w:ind w:left="678" w:right="1151" w:firstLine="419"/>
        <w:jc w:val="left"/>
        <w:rPr>
          <w:sz w:val="21"/>
        </w:rPr>
      </w:pPr>
      <w:r>
        <w:rPr>
          <w:spacing w:val="-6"/>
          <w:sz w:val="21"/>
        </w:rPr>
        <w:t>发现不同投标人的法定代表人、委托代理人、项目负责人属于同一单位，仍同意其继</w:t>
      </w:r>
      <w:r>
        <w:rPr>
          <w:spacing w:val="-4"/>
          <w:sz w:val="21"/>
        </w:rPr>
        <w:t>续参加投标；</w:t>
      </w:r>
      <w:r>
        <w:rPr>
          <w:sz w:val="21"/>
        </w:rPr>
        <w:t> </w:t>
      </w:r>
    </w:p>
    <w:p>
      <w:pPr>
        <w:pStyle w:val="ListParagraph"/>
        <w:numPr>
          <w:ilvl w:val="2"/>
          <w:numId w:val="45"/>
        </w:numPr>
        <w:tabs>
          <w:tab w:pos="1627" w:val="left" w:leader="none"/>
        </w:tabs>
        <w:spacing w:line="367" w:lineRule="auto" w:before="0" w:after="0"/>
        <w:ind w:left="678" w:right="1151" w:firstLine="419"/>
        <w:jc w:val="left"/>
        <w:rPr>
          <w:sz w:val="21"/>
        </w:rPr>
      </w:pPr>
      <w:r>
        <w:rPr>
          <w:spacing w:val="-7"/>
          <w:sz w:val="21"/>
        </w:rPr>
        <w:t>招标人</w:t>
      </w:r>
      <w:r>
        <w:rPr>
          <w:sz w:val="21"/>
        </w:rPr>
        <w:t>（</w:t>
      </w:r>
      <w:r>
        <w:rPr>
          <w:spacing w:val="-3"/>
          <w:sz w:val="21"/>
        </w:rPr>
        <w:t>招标代理机构</w:t>
      </w:r>
      <w:r>
        <w:rPr>
          <w:spacing w:val="-13"/>
          <w:sz w:val="21"/>
        </w:rPr>
        <w:t>）</w:t>
      </w:r>
      <w:r>
        <w:rPr>
          <w:spacing w:val="-5"/>
          <w:sz w:val="21"/>
        </w:rPr>
        <w:t>编制的招标公告、招标文件专门为某个特定投标人设置明显</w:t>
      </w:r>
      <w:r>
        <w:rPr>
          <w:spacing w:val="-4"/>
          <w:sz w:val="21"/>
        </w:rPr>
        <w:t>倾向性条款；</w:t>
      </w:r>
      <w:r>
        <w:rPr>
          <w:sz w:val="21"/>
        </w:rPr>
        <w:t> </w:t>
      </w:r>
    </w:p>
    <w:p>
      <w:pPr>
        <w:pStyle w:val="ListParagraph"/>
        <w:numPr>
          <w:ilvl w:val="2"/>
          <w:numId w:val="45"/>
        </w:numPr>
        <w:tabs>
          <w:tab w:pos="1627" w:val="left" w:leader="none"/>
        </w:tabs>
        <w:spacing w:line="364" w:lineRule="auto" w:before="0" w:after="0"/>
        <w:ind w:left="678" w:right="1154" w:firstLine="419"/>
        <w:jc w:val="left"/>
        <w:rPr>
          <w:sz w:val="21"/>
        </w:rPr>
      </w:pPr>
      <w:r>
        <w:rPr>
          <w:spacing w:val="-5"/>
          <w:sz w:val="21"/>
        </w:rPr>
        <w:t>在规定提交投标文件截止时间后，协助投标人撤换或修改投标文件</w:t>
      </w:r>
      <w:r>
        <w:rPr>
          <w:spacing w:val="-3"/>
          <w:sz w:val="21"/>
        </w:rPr>
        <w:t>（包括修改电子 投标文件相关数据</w:t>
      </w:r>
      <w:r>
        <w:rPr>
          <w:sz w:val="21"/>
        </w:rPr>
        <w:t>）； </w:t>
      </w:r>
    </w:p>
    <w:p>
      <w:pPr>
        <w:pStyle w:val="ListParagraph"/>
        <w:numPr>
          <w:ilvl w:val="2"/>
          <w:numId w:val="45"/>
        </w:numPr>
        <w:tabs>
          <w:tab w:pos="1734" w:val="left" w:leader="none"/>
        </w:tabs>
        <w:spacing w:line="364" w:lineRule="auto" w:before="0" w:after="0"/>
        <w:ind w:left="678" w:right="1154" w:firstLine="419"/>
        <w:jc w:val="both"/>
        <w:rPr>
          <w:sz w:val="21"/>
        </w:rPr>
      </w:pPr>
      <w:r>
        <w:rPr>
          <w:sz w:val="21"/>
        </w:rPr>
        <w:t>发现有由同一人或存在利益关系的几个利害关系人携带两个以上（含两个）</w:t>
      </w:r>
      <w:r>
        <w:rPr>
          <w:spacing w:val="-5"/>
          <w:sz w:val="21"/>
        </w:rPr>
        <w:t>投标人</w:t>
      </w:r>
      <w:r>
        <w:rPr>
          <w:sz w:val="21"/>
        </w:rPr>
        <w:t>的企业资料参与领取招标资料，或代表两个以上（含两个）</w:t>
      </w:r>
      <w:r>
        <w:rPr>
          <w:spacing w:val="-1"/>
          <w:sz w:val="21"/>
        </w:rPr>
        <w:t>投标人缴纳或退还投标保证金、开</w:t>
      </w:r>
      <w:r>
        <w:rPr>
          <w:spacing w:val="-3"/>
          <w:sz w:val="21"/>
        </w:rPr>
        <w:t>标等情形而不制止，反而同意其继续参加投标的；</w:t>
      </w:r>
      <w:r>
        <w:rPr>
          <w:sz w:val="21"/>
        </w:rPr>
        <w:t> </w:t>
      </w:r>
    </w:p>
    <w:p>
      <w:pPr>
        <w:pStyle w:val="ListParagraph"/>
        <w:numPr>
          <w:ilvl w:val="2"/>
          <w:numId w:val="45"/>
        </w:numPr>
        <w:tabs>
          <w:tab w:pos="1734" w:val="left" w:leader="none"/>
        </w:tabs>
        <w:spacing w:line="364" w:lineRule="auto" w:before="0" w:after="0"/>
        <w:ind w:left="678" w:right="1154" w:firstLine="419"/>
        <w:jc w:val="left"/>
        <w:rPr>
          <w:sz w:val="21"/>
        </w:rPr>
      </w:pPr>
      <w:r>
        <w:rPr>
          <w:sz w:val="21"/>
        </w:rPr>
        <w:t>在开标时发现不同投标人的投标资料（包括电子资料）</w:t>
      </w:r>
      <w:r>
        <w:rPr>
          <w:spacing w:val="-2"/>
          <w:sz w:val="21"/>
        </w:rPr>
        <w:t>相互混装等情形而不制止， </w:t>
      </w:r>
      <w:r>
        <w:rPr>
          <w:spacing w:val="-3"/>
          <w:sz w:val="21"/>
        </w:rPr>
        <w:t>反而同意其继续参加评标的；</w:t>
      </w:r>
      <w:r>
        <w:rPr>
          <w:sz w:val="21"/>
        </w:rPr>
        <w:t> </w:t>
      </w:r>
    </w:p>
    <w:p>
      <w:pPr>
        <w:pStyle w:val="ListParagraph"/>
        <w:numPr>
          <w:ilvl w:val="2"/>
          <w:numId w:val="45"/>
        </w:numPr>
        <w:tabs>
          <w:tab w:pos="1734" w:val="left" w:leader="none"/>
        </w:tabs>
        <w:spacing w:line="364" w:lineRule="auto" w:before="0" w:after="0"/>
        <w:ind w:left="678" w:right="1154" w:firstLine="419"/>
        <w:jc w:val="left"/>
        <w:rPr>
          <w:sz w:val="21"/>
        </w:rPr>
      </w:pPr>
      <w:r>
        <w:rPr>
          <w:spacing w:val="-1"/>
          <w:sz w:val="21"/>
        </w:rPr>
        <w:t>招标代理机构在同一房屋建筑和市政工程招标投标活动中，既为招标人提供招标代</w:t>
      </w:r>
      <w:r>
        <w:rPr>
          <w:spacing w:val="-3"/>
          <w:sz w:val="21"/>
        </w:rPr>
        <w:t>理服务又为参加该项目投标人提供投标咨询的；</w:t>
      </w:r>
      <w:r>
        <w:rPr>
          <w:sz w:val="21"/>
        </w:rPr>
        <w:t> </w:t>
      </w:r>
    </w:p>
    <w:p>
      <w:pPr>
        <w:pStyle w:val="ListParagraph"/>
        <w:numPr>
          <w:ilvl w:val="2"/>
          <w:numId w:val="45"/>
        </w:numPr>
        <w:tabs>
          <w:tab w:pos="1734" w:val="left" w:leader="none"/>
        </w:tabs>
        <w:spacing w:line="364" w:lineRule="auto" w:before="0" w:after="0"/>
        <w:ind w:left="678" w:right="1154" w:firstLine="419"/>
        <w:jc w:val="left"/>
        <w:rPr>
          <w:sz w:val="21"/>
        </w:rPr>
      </w:pPr>
      <w:r>
        <w:rPr>
          <w:sz w:val="21"/>
        </w:rPr>
        <w:t>在招标文件以外招标人（招标代理机构）</w:t>
      </w:r>
      <w:r>
        <w:rPr>
          <w:spacing w:val="-1"/>
          <w:sz w:val="21"/>
        </w:rPr>
        <w:t>与投标人之间另行约定给予未中标的其他</w:t>
      </w:r>
      <w:r>
        <w:rPr>
          <w:spacing w:val="-3"/>
          <w:sz w:val="21"/>
        </w:rPr>
        <w:t>投标人费用补偿的；</w:t>
      </w:r>
      <w:r>
        <w:rPr>
          <w:sz w:val="21"/>
        </w:rPr>
        <w:t> </w:t>
      </w:r>
    </w:p>
    <w:p>
      <w:pPr>
        <w:pStyle w:val="ListParagraph"/>
        <w:numPr>
          <w:ilvl w:val="2"/>
          <w:numId w:val="45"/>
        </w:numPr>
        <w:tabs>
          <w:tab w:pos="1733" w:val="left" w:leader="none"/>
        </w:tabs>
        <w:spacing w:line="267" w:lineRule="exact" w:before="0" w:after="0"/>
        <w:ind w:left="1732" w:right="0" w:hanging="635"/>
        <w:jc w:val="left"/>
        <w:rPr>
          <w:sz w:val="21"/>
        </w:rPr>
      </w:pPr>
      <w:r>
        <w:rPr>
          <w:spacing w:val="-3"/>
          <w:sz w:val="21"/>
        </w:rPr>
        <w:t>在评标时，对评标委员会进行倾向性引导或干扰正常评标秩序的； </w:t>
      </w:r>
    </w:p>
    <w:p>
      <w:pPr>
        <w:pStyle w:val="ListParagraph"/>
        <w:numPr>
          <w:ilvl w:val="2"/>
          <w:numId w:val="45"/>
        </w:numPr>
        <w:tabs>
          <w:tab w:pos="1734" w:val="left" w:leader="none"/>
        </w:tabs>
        <w:spacing w:line="367" w:lineRule="auto" w:before="129" w:after="0"/>
        <w:ind w:left="678" w:right="1154" w:firstLine="419"/>
        <w:jc w:val="left"/>
        <w:rPr>
          <w:sz w:val="21"/>
        </w:rPr>
      </w:pPr>
      <w:r>
        <w:rPr>
          <w:spacing w:val="-1"/>
          <w:sz w:val="21"/>
        </w:rPr>
        <w:t>依法应当公开招标的建设工程，未确定中标人前，投标人已开展该工程招标范围内工作。</w:t>
      </w:r>
      <w:r>
        <w:rPr>
          <w:sz w:val="21"/>
        </w:rPr>
        <w:t> </w:t>
      </w:r>
    </w:p>
    <w:p>
      <w:pPr>
        <w:pStyle w:val="Heading2"/>
        <w:numPr>
          <w:ilvl w:val="1"/>
          <w:numId w:val="45"/>
        </w:numPr>
        <w:tabs>
          <w:tab w:pos="1163" w:val="left" w:leader="none"/>
        </w:tabs>
        <w:spacing w:line="478" w:lineRule="exact" w:before="0" w:after="0"/>
        <w:ind w:left="1162" w:right="0" w:hanging="485"/>
        <w:jc w:val="left"/>
      </w:pPr>
      <w:bookmarkStart w:name="9.2 对投标人的纪律要求" w:id="159"/>
      <w:bookmarkEnd w:id="159"/>
      <w:r>
        <w:rPr>
          <w:b w:val="0"/>
        </w:rPr>
      </w:r>
      <w:bookmarkStart w:name="_bookmark57" w:id="160"/>
      <w:bookmarkEnd w:id="160"/>
      <w:r>
        <w:rPr>
          <w:b w:val="0"/>
        </w:rPr>
      </w:r>
      <w:bookmarkStart w:name="_bookmark57" w:id="161"/>
      <w:bookmarkEnd w:id="161"/>
      <w:r>
        <w:rPr/>
        <w:t>对投标人的纪律要求</w:t>
      </w:r>
      <w:r>
        <w:rPr>
          <w:w w:val="199"/>
        </w:rPr>
        <w:t> </w:t>
      </w:r>
    </w:p>
    <w:p>
      <w:pPr>
        <w:pStyle w:val="ListParagraph"/>
        <w:numPr>
          <w:ilvl w:val="2"/>
          <w:numId w:val="46"/>
        </w:numPr>
        <w:tabs>
          <w:tab w:pos="1677" w:val="left" w:leader="none"/>
        </w:tabs>
        <w:spacing w:line="364" w:lineRule="auto" w:before="138" w:after="0"/>
        <w:ind w:left="678" w:right="1151" w:firstLine="419"/>
        <w:jc w:val="left"/>
        <w:rPr>
          <w:sz w:val="21"/>
        </w:rPr>
      </w:pPr>
      <w:r>
        <w:rPr>
          <w:spacing w:val="-8"/>
          <w:sz w:val="21"/>
        </w:rPr>
        <w:t>投标人不得相互串通投标或者与招标人串通投标，不得向招标人或者评标委员会成员</w:t>
      </w:r>
      <w:r>
        <w:rPr>
          <w:spacing w:val="-9"/>
          <w:sz w:val="21"/>
        </w:rPr>
        <w:t>行贿谋取中标，不得以他人名义投标或者以其他方式弄虚作假骗取中标；投标人不得以任何方</w:t>
      </w:r>
    </w:p>
    <w:p>
      <w:pPr>
        <w:spacing w:after="0" w:line="364" w:lineRule="auto"/>
        <w:jc w:val="left"/>
        <w:rPr>
          <w:sz w:val="21"/>
        </w:rPr>
        <w:sectPr>
          <w:pgSz w:w="11910" w:h="16850"/>
          <w:pgMar w:header="0" w:footer="779" w:top="1400" w:bottom="1040" w:left="1120" w:right="280"/>
        </w:sectPr>
      </w:pPr>
    </w:p>
    <w:p>
      <w:pPr>
        <w:pStyle w:val="BodyText"/>
        <w:spacing w:before="60"/>
      </w:pPr>
      <w:r>
        <w:rPr/>
        <w:t>式干扰、影响评标工作。有下列情形之一的，属于投标人相互串通投标： </w:t>
      </w:r>
    </w:p>
    <w:p>
      <w:pPr>
        <w:pStyle w:val="ListParagraph"/>
        <w:numPr>
          <w:ilvl w:val="0"/>
          <w:numId w:val="47"/>
        </w:numPr>
        <w:tabs>
          <w:tab w:pos="1627" w:val="left" w:leader="none"/>
        </w:tabs>
        <w:spacing w:line="240" w:lineRule="auto" w:before="139" w:after="0"/>
        <w:ind w:left="1627" w:right="0" w:hanging="529"/>
        <w:jc w:val="left"/>
        <w:rPr>
          <w:sz w:val="21"/>
        </w:rPr>
      </w:pPr>
      <w:r>
        <w:rPr>
          <w:spacing w:val="-3"/>
          <w:sz w:val="21"/>
        </w:rPr>
        <w:t>投标人之间协商投标报价等投标文件的实质性内容；</w:t>
      </w:r>
      <w:r>
        <w:rPr>
          <w:sz w:val="21"/>
        </w:rPr>
        <w:t> </w:t>
      </w:r>
    </w:p>
    <w:p>
      <w:pPr>
        <w:pStyle w:val="ListParagraph"/>
        <w:numPr>
          <w:ilvl w:val="0"/>
          <w:numId w:val="47"/>
        </w:numPr>
        <w:tabs>
          <w:tab w:pos="1627" w:val="left" w:leader="none"/>
        </w:tabs>
        <w:spacing w:line="240" w:lineRule="auto" w:before="139" w:after="0"/>
        <w:ind w:left="1627" w:right="0" w:hanging="529"/>
        <w:jc w:val="left"/>
        <w:rPr>
          <w:sz w:val="21"/>
        </w:rPr>
      </w:pPr>
      <w:r>
        <w:rPr>
          <w:spacing w:val="-3"/>
          <w:sz w:val="21"/>
        </w:rPr>
        <w:t>投标人之间约定中标人；</w:t>
      </w:r>
      <w:r>
        <w:rPr>
          <w:sz w:val="21"/>
        </w:rPr>
        <w:t> </w:t>
      </w:r>
    </w:p>
    <w:p>
      <w:pPr>
        <w:pStyle w:val="ListParagraph"/>
        <w:numPr>
          <w:ilvl w:val="0"/>
          <w:numId w:val="47"/>
        </w:numPr>
        <w:tabs>
          <w:tab w:pos="1627" w:val="left" w:leader="none"/>
        </w:tabs>
        <w:spacing w:line="240" w:lineRule="auto" w:before="142" w:after="0"/>
        <w:ind w:left="1627" w:right="0" w:hanging="529"/>
        <w:jc w:val="left"/>
        <w:rPr>
          <w:sz w:val="21"/>
        </w:rPr>
      </w:pPr>
      <w:r>
        <w:rPr>
          <w:spacing w:val="-3"/>
          <w:sz w:val="21"/>
        </w:rPr>
        <w:t>投标人之间约定部分投标人放弃投标或者中标； </w:t>
      </w:r>
    </w:p>
    <w:p>
      <w:pPr>
        <w:pStyle w:val="ListParagraph"/>
        <w:numPr>
          <w:ilvl w:val="0"/>
          <w:numId w:val="47"/>
        </w:numPr>
        <w:tabs>
          <w:tab w:pos="1627" w:val="left" w:leader="none"/>
        </w:tabs>
        <w:spacing w:line="240" w:lineRule="auto" w:before="139" w:after="0"/>
        <w:ind w:left="1627" w:right="0" w:hanging="529"/>
        <w:jc w:val="left"/>
        <w:rPr>
          <w:sz w:val="21"/>
        </w:rPr>
      </w:pPr>
      <w:r>
        <w:rPr>
          <w:spacing w:val="-3"/>
          <w:sz w:val="21"/>
        </w:rPr>
        <w:t>属于同一集团、协会、商会等组织成员的投标人按照该组织要求协同投标；</w:t>
      </w:r>
      <w:r>
        <w:rPr>
          <w:sz w:val="21"/>
        </w:rPr>
        <w:t> </w:t>
      </w:r>
    </w:p>
    <w:p>
      <w:pPr>
        <w:pStyle w:val="ListParagraph"/>
        <w:numPr>
          <w:ilvl w:val="0"/>
          <w:numId w:val="47"/>
        </w:numPr>
        <w:tabs>
          <w:tab w:pos="1627" w:val="left" w:leader="none"/>
        </w:tabs>
        <w:spacing w:line="240" w:lineRule="auto" w:before="139" w:after="0"/>
        <w:ind w:left="1627" w:right="0" w:hanging="529"/>
        <w:jc w:val="left"/>
        <w:rPr>
          <w:sz w:val="21"/>
        </w:rPr>
      </w:pPr>
      <w:r>
        <w:rPr>
          <w:spacing w:val="-3"/>
          <w:sz w:val="21"/>
        </w:rPr>
        <w:t>投标人之间为谋取中标或者排斥特定投标人而采取的其他联合行动； </w:t>
      </w:r>
    </w:p>
    <w:p>
      <w:pPr>
        <w:pStyle w:val="ListParagraph"/>
        <w:numPr>
          <w:ilvl w:val="0"/>
          <w:numId w:val="47"/>
        </w:numPr>
        <w:tabs>
          <w:tab w:pos="1627" w:val="left" w:leader="none"/>
        </w:tabs>
        <w:spacing w:line="240" w:lineRule="auto" w:before="139" w:after="0"/>
        <w:ind w:left="1627" w:right="0" w:hanging="529"/>
        <w:jc w:val="left"/>
        <w:rPr>
          <w:sz w:val="21"/>
        </w:rPr>
      </w:pPr>
      <w:r>
        <w:rPr>
          <w:spacing w:val="-3"/>
          <w:sz w:val="21"/>
        </w:rPr>
        <w:t>不同投标人的投标文件由同一单位或者个人或者同一台电脑</w:t>
      </w:r>
      <w:r>
        <w:rPr>
          <w:sz w:val="21"/>
        </w:rPr>
        <w:t>（MAC</w:t>
      </w:r>
      <w:r>
        <w:rPr>
          <w:spacing w:val="-28"/>
          <w:sz w:val="21"/>
        </w:rPr>
        <w:t> 码</w:t>
      </w:r>
      <w:r>
        <w:rPr>
          <w:spacing w:val="-3"/>
          <w:sz w:val="21"/>
        </w:rPr>
        <w:t>）</w:t>
      </w:r>
      <w:r>
        <w:rPr>
          <w:sz w:val="21"/>
        </w:rPr>
        <w:t>编制； </w:t>
      </w:r>
    </w:p>
    <w:p>
      <w:pPr>
        <w:pStyle w:val="ListParagraph"/>
        <w:numPr>
          <w:ilvl w:val="0"/>
          <w:numId w:val="47"/>
        </w:numPr>
        <w:tabs>
          <w:tab w:pos="1627" w:val="left" w:leader="none"/>
        </w:tabs>
        <w:spacing w:line="364" w:lineRule="auto" w:before="141" w:after="0"/>
        <w:ind w:left="678" w:right="1149" w:firstLine="419"/>
        <w:jc w:val="left"/>
        <w:rPr>
          <w:sz w:val="21"/>
        </w:rPr>
      </w:pPr>
      <w:r>
        <w:rPr>
          <w:spacing w:val="-3"/>
          <w:sz w:val="21"/>
        </w:rPr>
        <w:t>不同投标人委托同一个人或注册在同一家企业的注册人员或同一家企业为其投标提 供投标咨询、商务报价、技术咨询</w:t>
      </w:r>
      <w:r>
        <w:rPr>
          <w:sz w:val="21"/>
        </w:rPr>
        <w:t>（</w:t>
      </w:r>
      <w:r>
        <w:rPr>
          <w:spacing w:val="-3"/>
          <w:sz w:val="21"/>
        </w:rPr>
        <w:t>招标工程本身要求采用专有技术的除外）</w:t>
      </w:r>
      <w:r>
        <w:rPr>
          <w:spacing w:val="-2"/>
          <w:sz w:val="21"/>
        </w:rPr>
        <w:t>等服务；</w:t>
      </w:r>
      <w:r>
        <w:rPr>
          <w:sz w:val="21"/>
        </w:rPr>
        <w:t> </w:t>
      </w:r>
    </w:p>
    <w:p>
      <w:pPr>
        <w:pStyle w:val="ListParagraph"/>
        <w:numPr>
          <w:ilvl w:val="0"/>
          <w:numId w:val="47"/>
        </w:numPr>
        <w:tabs>
          <w:tab w:pos="1627" w:val="left" w:leader="none"/>
        </w:tabs>
        <w:spacing w:line="268" w:lineRule="exact" w:before="0" w:after="0"/>
        <w:ind w:left="1627" w:right="0" w:hanging="529"/>
        <w:jc w:val="left"/>
        <w:rPr>
          <w:sz w:val="21"/>
        </w:rPr>
      </w:pPr>
      <w:r>
        <w:rPr>
          <w:spacing w:val="-3"/>
          <w:sz w:val="21"/>
        </w:rPr>
        <w:t>不同投标人的投标文件载明的项目管理成员为同一人；</w:t>
      </w:r>
      <w:r>
        <w:rPr>
          <w:sz w:val="21"/>
        </w:rPr>
        <w:t> </w:t>
      </w:r>
    </w:p>
    <w:p>
      <w:pPr>
        <w:pStyle w:val="ListParagraph"/>
        <w:numPr>
          <w:ilvl w:val="0"/>
          <w:numId w:val="47"/>
        </w:numPr>
        <w:tabs>
          <w:tab w:pos="1627" w:val="left" w:leader="none"/>
        </w:tabs>
        <w:spacing w:line="364" w:lineRule="auto" w:before="139" w:after="0"/>
        <w:ind w:left="678" w:right="1151" w:firstLine="419"/>
        <w:jc w:val="both"/>
        <w:rPr>
          <w:sz w:val="21"/>
        </w:rPr>
      </w:pPr>
      <w:r>
        <w:rPr>
          <w:spacing w:val="-5"/>
          <w:sz w:val="21"/>
        </w:rPr>
        <w:t>不同投标人的技术文件经电子招标投标交易平台查重分析，内容异常一致</w:t>
      </w:r>
      <w:r>
        <w:rPr>
          <w:spacing w:val="-3"/>
          <w:sz w:val="21"/>
        </w:rPr>
        <w:t>（</w:t>
      </w:r>
      <w:r>
        <w:rPr>
          <w:spacing w:val="-2"/>
          <w:sz w:val="21"/>
        </w:rPr>
        <w:t>相似度达70%以上的</w:t>
      </w:r>
      <w:r>
        <w:rPr>
          <w:spacing w:val="-15"/>
          <w:sz w:val="21"/>
        </w:rPr>
        <w:t>）</w:t>
      </w:r>
      <w:r>
        <w:rPr>
          <w:spacing w:val="-6"/>
          <w:sz w:val="21"/>
        </w:rPr>
        <w:t>或者实质性相同的，或者投标报价呈规律性差异</w:t>
      </w:r>
      <w:r>
        <w:rPr>
          <w:spacing w:val="-3"/>
          <w:sz w:val="21"/>
        </w:rPr>
        <w:t>（</w:t>
      </w:r>
      <w:r>
        <w:rPr>
          <w:spacing w:val="-4"/>
          <w:sz w:val="21"/>
        </w:rPr>
        <w:t>不同投标人报价呈等差数列、不</w:t>
      </w:r>
      <w:r>
        <w:rPr>
          <w:spacing w:val="-3"/>
          <w:w w:val="100"/>
          <w:sz w:val="21"/>
        </w:rPr>
        <w:t>同投标人的投标报价的差额本身呈等差数列或者规律性的百分比等</w:t>
      </w:r>
      <w:r>
        <w:rPr>
          <w:spacing w:val="-106"/>
          <w:w w:val="100"/>
          <w:sz w:val="21"/>
        </w:rPr>
        <w:t>）</w:t>
      </w:r>
      <w:r>
        <w:rPr>
          <w:spacing w:val="-3"/>
          <w:w w:val="100"/>
          <w:sz w:val="21"/>
        </w:rPr>
        <w:t>；</w:t>
      </w:r>
      <w:r>
        <w:rPr>
          <w:w w:val="100"/>
          <w:sz w:val="21"/>
        </w:rPr>
        <w:t> </w:t>
      </w:r>
    </w:p>
    <w:p>
      <w:pPr>
        <w:pStyle w:val="ListParagraph"/>
        <w:numPr>
          <w:ilvl w:val="0"/>
          <w:numId w:val="47"/>
        </w:numPr>
        <w:tabs>
          <w:tab w:pos="1733" w:val="left" w:leader="none"/>
        </w:tabs>
        <w:spacing w:line="269" w:lineRule="exact" w:before="0" w:after="0"/>
        <w:ind w:left="1732" w:right="0" w:hanging="635"/>
        <w:jc w:val="left"/>
        <w:rPr>
          <w:sz w:val="21"/>
        </w:rPr>
      </w:pPr>
      <w:r>
        <w:rPr>
          <w:spacing w:val="-3"/>
          <w:sz w:val="21"/>
        </w:rPr>
        <w:t>在资格审查或开标时不同投标人的投标资料</w:t>
      </w:r>
      <w:r>
        <w:rPr>
          <w:sz w:val="21"/>
        </w:rPr>
        <w:t>（</w:t>
      </w:r>
      <w:r>
        <w:rPr>
          <w:spacing w:val="-3"/>
          <w:sz w:val="21"/>
        </w:rPr>
        <w:t>包括电子资料</w:t>
      </w:r>
      <w:r>
        <w:rPr>
          <w:sz w:val="21"/>
        </w:rPr>
        <w:t>）</w:t>
      </w:r>
      <w:r>
        <w:rPr>
          <w:spacing w:val="-3"/>
          <w:sz w:val="21"/>
        </w:rPr>
        <w:t>相互混装； </w:t>
      </w:r>
    </w:p>
    <w:p>
      <w:pPr>
        <w:pStyle w:val="ListParagraph"/>
        <w:numPr>
          <w:ilvl w:val="0"/>
          <w:numId w:val="47"/>
        </w:numPr>
        <w:tabs>
          <w:tab w:pos="1733" w:val="left" w:leader="none"/>
        </w:tabs>
        <w:spacing w:line="240" w:lineRule="auto" w:before="139" w:after="0"/>
        <w:ind w:left="1732" w:right="0" w:hanging="635"/>
        <w:jc w:val="left"/>
        <w:rPr>
          <w:sz w:val="21"/>
        </w:rPr>
      </w:pPr>
      <w:r>
        <w:rPr>
          <w:spacing w:val="-3"/>
          <w:sz w:val="21"/>
        </w:rPr>
        <w:t>不同投标人的投标保证金从同一单位或者个人的账户转出；</w:t>
      </w:r>
      <w:r>
        <w:rPr>
          <w:sz w:val="21"/>
        </w:rPr>
        <w:t> </w:t>
      </w:r>
    </w:p>
    <w:p>
      <w:pPr>
        <w:pStyle w:val="ListParagraph"/>
        <w:numPr>
          <w:ilvl w:val="0"/>
          <w:numId w:val="47"/>
        </w:numPr>
        <w:tabs>
          <w:tab w:pos="1734" w:val="left" w:leader="none"/>
        </w:tabs>
        <w:spacing w:line="364" w:lineRule="auto" w:before="139" w:after="0"/>
        <w:ind w:left="678" w:right="1154" w:firstLine="419"/>
        <w:jc w:val="left"/>
        <w:rPr>
          <w:sz w:val="21"/>
        </w:rPr>
      </w:pPr>
      <w:r>
        <w:rPr>
          <w:spacing w:val="-1"/>
          <w:sz w:val="21"/>
        </w:rPr>
        <w:t>不同投标人的投标文件由同一电脑编制、上传，或投标报价用同一个预算编制软件</w:t>
      </w:r>
      <w:r>
        <w:rPr>
          <w:spacing w:val="-3"/>
          <w:sz w:val="21"/>
        </w:rPr>
        <w:t>密码锁制作或出自同一电子文档；</w:t>
      </w:r>
      <w:r>
        <w:rPr>
          <w:sz w:val="21"/>
        </w:rPr>
        <w:t> </w:t>
      </w:r>
    </w:p>
    <w:p>
      <w:pPr>
        <w:pStyle w:val="ListParagraph"/>
        <w:numPr>
          <w:ilvl w:val="0"/>
          <w:numId w:val="47"/>
        </w:numPr>
        <w:tabs>
          <w:tab w:pos="1733" w:val="left" w:leader="none"/>
        </w:tabs>
        <w:spacing w:line="240" w:lineRule="auto" w:before="1" w:after="0"/>
        <w:ind w:left="1732" w:right="0" w:hanging="635"/>
        <w:jc w:val="left"/>
        <w:rPr>
          <w:sz w:val="21"/>
        </w:rPr>
      </w:pPr>
      <w:r>
        <w:rPr>
          <w:spacing w:val="-3"/>
          <w:sz w:val="21"/>
        </w:rPr>
        <w:t>不同投标人的投标文件上传的文件制作机器码一致的；</w:t>
      </w:r>
      <w:r>
        <w:rPr>
          <w:sz w:val="21"/>
        </w:rPr>
        <w:t> </w:t>
      </w:r>
    </w:p>
    <w:p>
      <w:pPr>
        <w:pStyle w:val="ListParagraph"/>
        <w:numPr>
          <w:ilvl w:val="0"/>
          <w:numId w:val="47"/>
        </w:numPr>
        <w:tabs>
          <w:tab w:pos="1734" w:val="left" w:leader="none"/>
        </w:tabs>
        <w:spacing w:line="364" w:lineRule="auto" w:before="138" w:after="0"/>
        <w:ind w:left="678" w:right="1154" w:firstLine="419"/>
        <w:jc w:val="both"/>
        <w:rPr>
          <w:sz w:val="21"/>
        </w:rPr>
      </w:pPr>
      <w:r>
        <w:rPr>
          <w:sz w:val="21"/>
        </w:rPr>
        <w:t>由同一人或分别由几个有利害关系人携带两个以上（含两个）</w:t>
      </w:r>
      <w:r>
        <w:rPr>
          <w:spacing w:val="-2"/>
          <w:sz w:val="21"/>
        </w:rPr>
        <w:t>投标人的企业资料参</w:t>
      </w:r>
      <w:r>
        <w:rPr>
          <w:sz w:val="21"/>
        </w:rPr>
        <w:t>与资格审查、领取招标资料，或代表两个以上（含两个）</w:t>
      </w:r>
      <w:r>
        <w:rPr>
          <w:spacing w:val="-1"/>
          <w:sz w:val="21"/>
        </w:rPr>
        <w:t>投标人参加招标答疑会、缴纳或退还</w:t>
      </w:r>
      <w:r>
        <w:rPr>
          <w:spacing w:val="-3"/>
          <w:sz w:val="21"/>
        </w:rPr>
        <w:t>投标保证金、开标；</w:t>
      </w:r>
      <w:r>
        <w:rPr>
          <w:sz w:val="21"/>
        </w:rPr>
        <w:t> </w:t>
      </w:r>
    </w:p>
    <w:p>
      <w:pPr>
        <w:pStyle w:val="ListParagraph"/>
        <w:numPr>
          <w:ilvl w:val="0"/>
          <w:numId w:val="47"/>
        </w:numPr>
        <w:tabs>
          <w:tab w:pos="1734" w:val="left" w:leader="none"/>
        </w:tabs>
        <w:spacing w:line="364" w:lineRule="auto" w:before="0" w:after="0"/>
        <w:ind w:left="678" w:right="1154" w:firstLine="419"/>
        <w:jc w:val="left"/>
        <w:rPr>
          <w:sz w:val="21"/>
        </w:rPr>
      </w:pPr>
      <w:r>
        <w:rPr>
          <w:spacing w:val="-1"/>
          <w:sz w:val="21"/>
        </w:rPr>
        <w:t>不同投标人的法定代表人、委托代理人、项目负责人、项目总监等人员有在同一个</w:t>
      </w:r>
      <w:r>
        <w:rPr>
          <w:spacing w:val="-3"/>
          <w:sz w:val="21"/>
        </w:rPr>
        <w:t>单位缴纳社会保险；</w:t>
      </w:r>
      <w:r>
        <w:rPr>
          <w:sz w:val="21"/>
        </w:rPr>
        <w:t> </w:t>
      </w:r>
    </w:p>
    <w:p>
      <w:pPr>
        <w:pStyle w:val="ListParagraph"/>
        <w:numPr>
          <w:ilvl w:val="0"/>
          <w:numId w:val="47"/>
        </w:numPr>
        <w:tabs>
          <w:tab w:pos="1733" w:val="left" w:leader="none"/>
        </w:tabs>
        <w:spacing w:line="267" w:lineRule="exact" w:before="0" w:after="0"/>
        <w:ind w:left="1732" w:right="0" w:hanging="635"/>
        <w:jc w:val="left"/>
        <w:rPr>
          <w:sz w:val="21"/>
        </w:rPr>
      </w:pPr>
      <w:r>
        <w:rPr>
          <w:spacing w:val="-3"/>
          <w:sz w:val="21"/>
        </w:rPr>
        <w:t>投标人之间相互约定给予未中标的投标人费用补偿；</w:t>
      </w:r>
      <w:r>
        <w:rPr>
          <w:sz w:val="21"/>
        </w:rPr>
        <w:t> </w:t>
      </w:r>
    </w:p>
    <w:p>
      <w:pPr>
        <w:pStyle w:val="ListParagraph"/>
        <w:numPr>
          <w:ilvl w:val="0"/>
          <w:numId w:val="47"/>
        </w:numPr>
        <w:tabs>
          <w:tab w:pos="1733" w:val="left" w:leader="none"/>
        </w:tabs>
        <w:spacing w:line="240" w:lineRule="auto" w:before="139" w:after="0"/>
        <w:ind w:left="1732" w:right="0" w:hanging="635"/>
        <w:jc w:val="left"/>
        <w:rPr>
          <w:sz w:val="21"/>
        </w:rPr>
      </w:pPr>
      <w:r>
        <w:rPr>
          <w:spacing w:val="-3"/>
          <w:sz w:val="21"/>
        </w:rPr>
        <w:t>不同投标人编制的投标文件存在两处以上错误一致。</w:t>
      </w:r>
      <w:r>
        <w:rPr>
          <w:sz w:val="21"/>
        </w:rPr>
        <w:t> </w:t>
      </w:r>
    </w:p>
    <w:p>
      <w:pPr>
        <w:pStyle w:val="ListParagraph"/>
        <w:numPr>
          <w:ilvl w:val="2"/>
          <w:numId w:val="46"/>
        </w:numPr>
        <w:tabs>
          <w:tab w:pos="1677" w:val="left" w:leader="none"/>
        </w:tabs>
        <w:spacing w:line="240" w:lineRule="auto" w:before="139" w:after="0"/>
        <w:ind w:left="1676" w:right="0" w:hanging="579"/>
        <w:jc w:val="left"/>
        <w:rPr>
          <w:sz w:val="21"/>
        </w:rPr>
      </w:pPr>
      <w:r>
        <w:rPr>
          <w:spacing w:val="-3"/>
          <w:sz w:val="21"/>
        </w:rPr>
        <w:t>投标人有下列情形之一的，属于投标人弄虚作假：</w:t>
      </w:r>
      <w:r>
        <w:rPr>
          <w:sz w:val="21"/>
        </w:rPr>
        <w:t>   </w:t>
      </w:r>
      <w:r>
        <w:rPr>
          <w:spacing w:val="-3"/>
          <w:sz w:val="21"/>
        </w:rPr>
        <w:t> </w:t>
      </w:r>
      <w:r>
        <w:rPr>
          <w:sz w:val="21"/>
        </w:rPr>
        <w:t> </w:t>
      </w:r>
    </w:p>
    <w:p>
      <w:pPr>
        <w:pStyle w:val="ListParagraph"/>
        <w:numPr>
          <w:ilvl w:val="0"/>
          <w:numId w:val="48"/>
        </w:numPr>
        <w:tabs>
          <w:tab w:pos="1627" w:val="left" w:leader="none"/>
        </w:tabs>
        <w:spacing w:line="240" w:lineRule="auto" w:before="142" w:after="0"/>
        <w:ind w:left="1627" w:right="0" w:hanging="529"/>
        <w:jc w:val="left"/>
        <w:rPr>
          <w:sz w:val="21"/>
        </w:rPr>
      </w:pPr>
      <w:r>
        <w:rPr>
          <w:spacing w:val="-3"/>
          <w:sz w:val="21"/>
        </w:rPr>
        <w:t>使用虚假的业绩、荣誉、建设工程合同、财务状况、信用状况等； </w:t>
      </w:r>
    </w:p>
    <w:p>
      <w:pPr>
        <w:pStyle w:val="ListParagraph"/>
        <w:numPr>
          <w:ilvl w:val="0"/>
          <w:numId w:val="48"/>
        </w:numPr>
        <w:tabs>
          <w:tab w:pos="1627" w:val="left" w:leader="none"/>
        </w:tabs>
        <w:spacing w:line="240" w:lineRule="auto" w:before="139" w:after="0"/>
        <w:ind w:left="1627" w:right="0" w:hanging="529"/>
        <w:jc w:val="left"/>
        <w:rPr>
          <w:sz w:val="21"/>
        </w:rPr>
      </w:pPr>
      <w:r>
        <w:rPr>
          <w:spacing w:val="-3"/>
          <w:sz w:val="21"/>
        </w:rPr>
        <w:t>提供虚假的项目负责人或者主要技术人员简历、劳动关系证明、社保证明等；</w:t>
      </w:r>
      <w:r>
        <w:rPr>
          <w:sz w:val="21"/>
        </w:rPr>
        <w:t> </w:t>
      </w:r>
    </w:p>
    <w:p>
      <w:pPr>
        <w:pStyle w:val="ListParagraph"/>
        <w:numPr>
          <w:ilvl w:val="0"/>
          <w:numId w:val="48"/>
        </w:numPr>
        <w:tabs>
          <w:tab w:pos="1627" w:val="left" w:leader="none"/>
        </w:tabs>
        <w:spacing w:line="240" w:lineRule="auto" w:before="139" w:after="0"/>
        <w:ind w:left="1627" w:right="0" w:hanging="529"/>
        <w:jc w:val="left"/>
        <w:rPr>
          <w:sz w:val="21"/>
        </w:rPr>
      </w:pPr>
      <w:r>
        <w:rPr>
          <w:spacing w:val="-3"/>
          <w:sz w:val="21"/>
        </w:rPr>
        <w:t>其他弄虚作假的行为。 </w:t>
      </w:r>
    </w:p>
    <w:p>
      <w:pPr>
        <w:pStyle w:val="ListParagraph"/>
        <w:numPr>
          <w:ilvl w:val="2"/>
          <w:numId w:val="46"/>
        </w:numPr>
        <w:tabs>
          <w:tab w:pos="1677" w:val="left" w:leader="none"/>
        </w:tabs>
        <w:spacing w:line="240" w:lineRule="auto" w:before="139" w:after="0"/>
        <w:ind w:left="1676" w:right="0" w:hanging="579"/>
        <w:jc w:val="left"/>
        <w:rPr>
          <w:sz w:val="21"/>
        </w:rPr>
      </w:pPr>
      <w:r>
        <w:rPr>
          <w:spacing w:val="-6"/>
          <w:sz w:val="21"/>
        </w:rPr>
        <w:t>投标人不得向招标人或评标委员会成员或其他有关人员索问评标过程的情况和材料。</w:t>
      </w:r>
      <w:r>
        <w:rPr>
          <w:sz w:val="21"/>
        </w:rPr>
        <w:t> </w:t>
      </w:r>
    </w:p>
    <w:p>
      <w:pPr>
        <w:pStyle w:val="Heading2"/>
        <w:numPr>
          <w:ilvl w:val="1"/>
          <w:numId w:val="45"/>
        </w:numPr>
        <w:tabs>
          <w:tab w:pos="1163" w:val="left" w:leader="none"/>
        </w:tabs>
        <w:spacing w:line="240" w:lineRule="auto" w:before="33" w:after="0"/>
        <w:ind w:left="1162" w:right="0" w:hanging="485"/>
        <w:jc w:val="left"/>
      </w:pPr>
      <w:bookmarkStart w:name="9.3 对评标委员会成员的纪律要求" w:id="162"/>
      <w:bookmarkEnd w:id="162"/>
      <w:r>
        <w:rPr>
          <w:b w:val="0"/>
        </w:rPr>
      </w:r>
      <w:bookmarkStart w:name="_bookmark58" w:id="163"/>
      <w:bookmarkEnd w:id="163"/>
      <w:r>
        <w:rPr>
          <w:b w:val="0"/>
        </w:rPr>
      </w:r>
      <w:bookmarkStart w:name="_bookmark58" w:id="164"/>
      <w:bookmarkEnd w:id="164"/>
      <w:r>
        <w:rPr/>
        <w:t>对评标委员会成员的纪律要求</w:t>
      </w:r>
      <w:r>
        <w:rPr>
          <w:w w:val="199"/>
        </w:rPr>
        <w:t> </w:t>
      </w:r>
    </w:p>
    <w:p>
      <w:pPr>
        <w:pStyle w:val="BodyText"/>
        <w:spacing w:line="364" w:lineRule="auto" w:before="141"/>
        <w:ind w:right="1154" w:firstLine="419"/>
      </w:pPr>
      <w:r>
        <w:rPr/>
        <w:t>评标委员会成员不得收受他人的财物或者其他好处，不得向他人透漏对投标文件的评审和比较、中标候选人的推荐情况以及评标有关的其他情况。在评标活动中，评标委员会成员不得</w:t>
      </w:r>
    </w:p>
    <w:p>
      <w:pPr>
        <w:spacing w:after="0" w:line="364" w:lineRule="auto"/>
        <w:sectPr>
          <w:pgSz w:w="11910" w:h="16850"/>
          <w:pgMar w:header="0" w:footer="779" w:top="1380" w:bottom="1040" w:left="1120" w:right="280"/>
        </w:sectPr>
      </w:pPr>
    </w:p>
    <w:p>
      <w:pPr>
        <w:pStyle w:val="BodyText"/>
        <w:spacing w:line="364" w:lineRule="auto" w:before="60"/>
        <w:ind w:right="1154"/>
      </w:pPr>
      <w:r>
        <w:rPr/>
        <w:t>擅离职守，影响评标程序正常进行，不得使用第三章“评标办法”没有规定的评审因素和标准进行评标。 </w:t>
      </w:r>
    </w:p>
    <w:p>
      <w:pPr>
        <w:pStyle w:val="Heading2"/>
        <w:numPr>
          <w:ilvl w:val="1"/>
          <w:numId w:val="45"/>
        </w:numPr>
        <w:tabs>
          <w:tab w:pos="1163" w:val="left" w:leader="none"/>
        </w:tabs>
        <w:spacing w:line="482" w:lineRule="exact" w:before="0" w:after="0"/>
        <w:ind w:left="1162" w:right="0" w:hanging="485"/>
        <w:jc w:val="left"/>
      </w:pPr>
      <w:bookmarkStart w:name="9.4 对与评标活动有关的工作人员的纪律要求" w:id="165"/>
      <w:bookmarkEnd w:id="165"/>
      <w:r>
        <w:rPr>
          <w:b w:val="0"/>
        </w:rPr>
      </w:r>
      <w:bookmarkStart w:name="_bookmark59" w:id="166"/>
      <w:bookmarkEnd w:id="166"/>
      <w:r>
        <w:rPr>
          <w:b w:val="0"/>
        </w:rPr>
      </w:r>
      <w:bookmarkStart w:name="_bookmark59" w:id="167"/>
      <w:bookmarkEnd w:id="167"/>
      <w:r>
        <w:rPr/>
        <w:t>对与评标活动有关的工作人员的纪律要求</w:t>
      </w:r>
      <w:r>
        <w:rPr>
          <w:w w:val="199"/>
        </w:rPr>
        <w:t> </w:t>
      </w:r>
    </w:p>
    <w:p>
      <w:pPr>
        <w:pStyle w:val="BodyText"/>
        <w:spacing w:line="364" w:lineRule="auto" w:before="141"/>
        <w:ind w:right="1154" w:firstLine="419"/>
        <w:jc w:val="both"/>
      </w:pPr>
      <w:r>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pPr>
        <w:pStyle w:val="Heading2"/>
        <w:numPr>
          <w:ilvl w:val="1"/>
          <w:numId w:val="45"/>
        </w:numPr>
        <w:tabs>
          <w:tab w:pos="1163" w:val="left" w:leader="none"/>
        </w:tabs>
        <w:spacing w:line="480" w:lineRule="exact" w:before="0" w:after="0"/>
        <w:ind w:left="1162" w:right="0" w:hanging="485"/>
        <w:jc w:val="left"/>
      </w:pPr>
      <w:bookmarkStart w:name="9.5 投诉" w:id="168"/>
      <w:bookmarkEnd w:id="168"/>
      <w:r>
        <w:rPr>
          <w:b w:val="0"/>
        </w:rPr>
      </w:r>
      <w:bookmarkStart w:name="_bookmark60" w:id="169"/>
      <w:bookmarkEnd w:id="169"/>
      <w:r>
        <w:rPr>
          <w:b w:val="0"/>
        </w:rPr>
      </w:r>
      <w:bookmarkStart w:name="_bookmark60" w:id="170"/>
      <w:bookmarkEnd w:id="170"/>
      <w:r>
        <w:rPr/>
        <w:t>投诉</w:t>
      </w:r>
      <w:r>
        <w:rPr>
          <w:w w:val="199"/>
        </w:rPr>
        <w:t> </w:t>
      </w:r>
    </w:p>
    <w:p>
      <w:pPr>
        <w:pStyle w:val="BodyText"/>
        <w:spacing w:line="364" w:lineRule="auto" w:before="141"/>
        <w:ind w:right="1154" w:firstLine="419"/>
        <w:jc w:val="both"/>
      </w:pPr>
      <w:r>
        <w:rPr/>
        <w:t>投标人和其他利害关系人认为本次招标活动违反法律、法规和规章规定的，可以在知道或者应当知道之日起十日内向当地招投标监督管理部门提出书面投诉。投诉事项应先提出异议， 没有提出异议的，不予受理。 </w:t>
      </w:r>
    </w:p>
    <w:p>
      <w:pPr>
        <w:spacing w:line="245" w:lineRule="exact" w:before="0"/>
        <w:ind w:left="678" w:right="0" w:firstLine="0"/>
        <w:jc w:val="left"/>
        <w:rPr>
          <w:sz w:val="21"/>
        </w:rPr>
      </w:pPr>
      <w:r>
        <w:rPr>
          <w:color w:val="000080"/>
          <w:spacing w:val="1"/>
          <w:w w:val="99"/>
          <w:sz w:val="20"/>
        </w:rPr>
        <w:t>  </w:t>
      </w:r>
      <w:r>
        <w:rPr>
          <w:color w:val="000080"/>
          <w:spacing w:val="-2"/>
          <w:w w:val="99"/>
          <w:sz w:val="20"/>
        </w:rPr>
        <w:t> </w:t>
      </w:r>
      <w:r>
        <w:rPr>
          <w:w w:val="100"/>
          <w:sz w:val="21"/>
        </w:rPr>
        <w:t> </w:t>
      </w:r>
    </w:p>
    <w:p>
      <w:pPr>
        <w:pStyle w:val="Heading2"/>
        <w:spacing w:line="567" w:lineRule="exact"/>
        <w:ind w:left="678"/>
      </w:pPr>
      <w:bookmarkStart w:name="10 需要补充的其他内容" w:id="171"/>
      <w:bookmarkEnd w:id="171"/>
      <w:r>
        <w:rPr>
          <w:b w:val="0"/>
        </w:rPr>
      </w:r>
      <w:bookmarkStart w:name="_bookmark61" w:id="172"/>
      <w:bookmarkEnd w:id="172"/>
      <w:r>
        <w:rPr>
          <w:b w:val="0"/>
        </w:rPr>
      </w:r>
      <w:r>
        <w:rPr/>
        <w:t>10 需要补充的其他内容</w:t>
      </w:r>
      <w:r>
        <w:rPr>
          <w:w w:val="199"/>
        </w:rPr>
        <w:t> </w:t>
      </w:r>
    </w:p>
    <w:p>
      <w:pPr>
        <w:pStyle w:val="ListParagraph"/>
        <w:numPr>
          <w:ilvl w:val="1"/>
          <w:numId w:val="49"/>
        </w:numPr>
        <w:tabs>
          <w:tab w:pos="1323" w:val="left" w:leader="none"/>
        </w:tabs>
        <w:spacing w:line="240" w:lineRule="auto" w:before="189" w:after="0"/>
        <w:ind w:left="1322" w:right="0" w:hanging="645"/>
        <w:jc w:val="left"/>
        <w:rPr>
          <w:rFonts w:ascii="Microsoft JhengHei" w:eastAsia="Microsoft JhengHei" w:hint="eastAsia"/>
          <w:b/>
          <w:sz w:val="32"/>
        </w:rPr>
      </w:pPr>
      <w:bookmarkStart w:name="10.1 词语定义" w:id="173"/>
      <w:bookmarkEnd w:id="173"/>
      <w:r>
        <w:rPr/>
      </w:r>
      <w:bookmarkStart w:name="_bookmark62" w:id="174"/>
      <w:bookmarkEnd w:id="174"/>
      <w:r>
        <w:rPr/>
      </w:r>
      <w:bookmarkStart w:name="_bookmark62" w:id="175"/>
      <w:bookmarkEnd w:id="175"/>
      <w:r>
        <w:rPr>
          <w:rFonts w:ascii="Microsoft JhengHei" w:eastAsia="Microsoft JhengHei" w:hint="eastAsia"/>
          <w:b/>
          <w:sz w:val="32"/>
        </w:rPr>
        <w:t>词语定义</w:t>
      </w:r>
      <w:r>
        <w:rPr>
          <w:rFonts w:ascii="Microsoft JhengHei" w:eastAsia="Microsoft JhengHei" w:hint="eastAsia"/>
          <w:b/>
          <w:w w:val="199"/>
          <w:sz w:val="32"/>
        </w:rPr>
        <w:t> </w:t>
      </w:r>
    </w:p>
    <w:p>
      <w:pPr>
        <w:pStyle w:val="BodyText"/>
        <w:spacing w:before="138"/>
        <w:ind w:left="1098"/>
      </w:pPr>
      <w:r>
        <w:rPr/>
        <w:t>见“投标人须知前附表”。 </w:t>
      </w:r>
    </w:p>
    <w:p>
      <w:pPr>
        <w:pStyle w:val="Heading2"/>
        <w:numPr>
          <w:ilvl w:val="1"/>
          <w:numId w:val="49"/>
        </w:numPr>
        <w:tabs>
          <w:tab w:pos="1323" w:val="left" w:leader="none"/>
        </w:tabs>
        <w:spacing w:line="240" w:lineRule="auto" w:before="34" w:after="0"/>
        <w:ind w:left="1322" w:right="0" w:hanging="645"/>
        <w:jc w:val="left"/>
      </w:pPr>
      <w:bookmarkStart w:name="10.2 招标控制价" w:id="176"/>
      <w:bookmarkEnd w:id="176"/>
      <w:r>
        <w:rPr>
          <w:b w:val="0"/>
        </w:rPr>
      </w:r>
      <w:bookmarkStart w:name="_bookmark63" w:id="177"/>
      <w:bookmarkEnd w:id="177"/>
      <w:r>
        <w:rPr>
          <w:b w:val="0"/>
        </w:rPr>
      </w:r>
      <w:bookmarkStart w:name="_bookmark63" w:id="178"/>
      <w:bookmarkEnd w:id="178"/>
      <w:r>
        <w:rPr/>
        <w:t>招标控制价</w:t>
      </w:r>
      <w:r>
        <w:rPr>
          <w:w w:val="199"/>
        </w:rPr>
        <w:t> </w:t>
      </w:r>
    </w:p>
    <w:p>
      <w:pPr>
        <w:pStyle w:val="BodyText"/>
        <w:spacing w:before="139"/>
        <w:ind w:left="1098"/>
      </w:pPr>
      <w:r>
        <w:rPr/>
        <w:t>招标控制价设置要求见“投标人须知前附表”。 </w:t>
      </w:r>
    </w:p>
    <w:p>
      <w:pPr>
        <w:pStyle w:val="BodyText"/>
        <w:spacing w:line="364" w:lineRule="auto" w:before="141"/>
        <w:ind w:right="1154" w:firstLine="419"/>
      </w:pPr>
      <w:r>
        <w:rPr>
          <w:spacing w:val="-1"/>
        </w:rPr>
        <w:t>招标人或受其委托具有相应资质的中介机构，按照国家和地区的相关规定及第五章的要求</w:t>
      </w:r>
      <w:r>
        <w:rPr>
          <w:spacing w:val="-3"/>
        </w:rPr>
        <w:t>编制招标工程的招标控制价</w:t>
      </w:r>
      <w:r>
        <w:rPr/>
        <w:t>（</w:t>
      </w:r>
      <w:r>
        <w:rPr>
          <w:spacing w:val="-3"/>
        </w:rPr>
        <w:t>招标控制价不应上浮或下调</w:t>
      </w:r>
      <w:r>
        <w:rPr>
          <w:spacing w:val="-106"/>
        </w:rPr>
        <w:t>）</w:t>
      </w:r>
      <w:r>
        <w:rPr>
          <w:spacing w:val="-3"/>
        </w:rPr>
        <w:t>。</w:t>
      </w:r>
      <w:r>
        <w:rPr/>
        <w:t> </w:t>
      </w:r>
    </w:p>
    <w:p>
      <w:pPr>
        <w:pStyle w:val="BodyText"/>
        <w:spacing w:line="267" w:lineRule="exact"/>
        <w:ind w:left="1098"/>
      </w:pPr>
      <w:r>
        <w:rPr>
          <w:spacing w:val="-1"/>
        </w:rPr>
        <w:t>原则上招标控制价应于投标截止时间</w:t>
      </w:r>
      <w:r>
        <w:rPr/>
        <w:t>15</w:t>
      </w:r>
      <w:r>
        <w:rPr>
          <w:spacing w:val="-7"/>
        </w:rPr>
        <w:t> 日前通过南宁市公共资源交易系统网站向所有投标</w:t>
      </w:r>
    </w:p>
    <w:p>
      <w:pPr>
        <w:pStyle w:val="BodyText"/>
        <w:spacing w:before="139"/>
      </w:pPr>
      <w:r>
        <w:rPr>
          <w:spacing w:val="-3"/>
        </w:rPr>
        <w:t>人公布，最迟应当在投标截止时间 </w:t>
      </w:r>
      <w:r>
        <w:rPr/>
        <w:t>7</w:t>
      </w:r>
      <w:r>
        <w:rPr>
          <w:spacing w:val="-3"/>
        </w:rPr>
        <w:t> 日前公布，并报送当地招投标监督管理部门备案。潜在投</w:t>
      </w:r>
    </w:p>
    <w:p>
      <w:pPr>
        <w:pStyle w:val="BodyText"/>
        <w:spacing w:before="141"/>
      </w:pPr>
      <w:r>
        <w:rPr>
          <w:spacing w:val="-3"/>
        </w:rPr>
        <w:t>标人或者其他利害关系人对招标控制价有异议的，应当在投标截止时间 </w:t>
      </w:r>
      <w:r>
        <w:rPr/>
        <w:t>5</w:t>
      </w:r>
      <w:r>
        <w:rPr>
          <w:spacing w:val="-3"/>
        </w:rPr>
        <w:t> 日前提出。招标人应</w:t>
      </w:r>
    </w:p>
    <w:p>
      <w:pPr>
        <w:pStyle w:val="BodyText"/>
        <w:spacing w:before="139"/>
      </w:pPr>
      <w:r>
        <w:rPr>
          <w:spacing w:val="-3"/>
        </w:rPr>
        <w:t>当自收到异议之日起 </w:t>
      </w:r>
      <w:r>
        <w:rPr/>
        <w:t>3</w:t>
      </w:r>
      <w:r>
        <w:rPr>
          <w:spacing w:val="-3"/>
        </w:rPr>
        <w:t> 日内作出答复。招标人需重新公布招标控制价的，其最终公布的时间到</w:t>
      </w:r>
    </w:p>
    <w:p>
      <w:pPr>
        <w:pStyle w:val="BodyText"/>
        <w:spacing w:before="140"/>
      </w:pPr>
      <w:r>
        <w:rPr/>
        <w:t>投标截止时间不足 7 天可能影响投标文件编制的，应顺延提交投标文件的截止时间。 </w:t>
      </w:r>
    </w:p>
    <w:p>
      <w:pPr>
        <w:pStyle w:val="Heading2"/>
        <w:numPr>
          <w:ilvl w:val="1"/>
          <w:numId w:val="49"/>
        </w:numPr>
        <w:tabs>
          <w:tab w:pos="1323" w:val="left" w:leader="none"/>
        </w:tabs>
        <w:spacing w:line="240" w:lineRule="auto" w:before="34" w:after="0"/>
        <w:ind w:left="1322" w:right="0" w:hanging="645"/>
        <w:jc w:val="left"/>
      </w:pPr>
      <w:bookmarkStart w:name="10.3 技术标评审方式" w:id="179"/>
      <w:bookmarkEnd w:id="179"/>
      <w:r>
        <w:rPr>
          <w:b w:val="0"/>
        </w:rPr>
      </w:r>
      <w:bookmarkStart w:name="_bookmark64" w:id="180"/>
      <w:bookmarkEnd w:id="180"/>
      <w:r>
        <w:rPr>
          <w:b w:val="0"/>
        </w:rPr>
      </w:r>
      <w:bookmarkStart w:name="_bookmark64" w:id="181"/>
      <w:bookmarkEnd w:id="181"/>
      <w:r>
        <w:rPr/>
        <w:t>技术标评审方式</w:t>
      </w:r>
      <w:r>
        <w:rPr>
          <w:w w:val="199"/>
        </w:rPr>
        <w:t> </w:t>
      </w:r>
    </w:p>
    <w:p>
      <w:pPr>
        <w:pStyle w:val="BodyText"/>
        <w:spacing w:before="140"/>
        <w:ind w:left="1098"/>
      </w:pPr>
      <w:r>
        <w:rPr/>
        <w:t>见“投标人须知前附表”。 </w:t>
      </w:r>
    </w:p>
    <w:p>
      <w:pPr>
        <w:pStyle w:val="Heading2"/>
        <w:numPr>
          <w:ilvl w:val="1"/>
          <w:numId w:val="49"/>
        </w:numPr>
        <w:tabs>
          <w:tab w:pos="1323" w:val="left" w:leader="none"/>
        </w:tabs>
        <w:spacing w:line="240" w:lineRule="auto" w:before="34" w:after="0"/>
        <w:ind w:left="1322" w:right="0" w:hanging="645"/>
        <w:jc w:val="left"/>
      </w:pPr>
      <w:bookmarkStart w:name="10.4 电子投标文件" w:id="182"/>
      <w:bookmarkEnd w:id="182"/>
      <w:r>
        <w:rPr>
          <w:b w:val="0"/>
        </w:rPr>
      </w:r>
      <w:bookmarkStart w:name="_bookmark65" w:id="183"/>
      <w:bookmarkEnd w:id="183"/>
      <w:r>
        <w:rPr>
          <w:b w:val="0"/>
        </w:rPr>
      </w:r>
      <w:bookmarkStart w:name="_bookmark65" w:id="184"/>
      <w:bookmarkEnd w:id="184"/>
      <w:r>
        <w:rPr/>
        <w:t>电子投标文件</w:t>
      </w:r>
      <w:r>
        <w:rPr>
          <w:w w:val="199"/>
        </w:rPr>
        <w:t> </w:t>
      </w:r>
    </w:p>
    <w:p>
      <w:pPr>
        <w:pStyle w:val="BodyText"/>
        <w:spacing w:before="138"/>
        <w:ind w:left="1098"/>
      </w:pPr>
      <w:r>
        <w:rPr/>
        <w:t>电子投标文件的具体内容要求见“投标人须知前附表”。 </w:t>
      </w:r>
    </w:p>
    <w:p>
      <w:pPr>
        <w:pStyle w:val="Heading2"/>
        <w:numPr>
          <w:ilvl w:val="1"/>
          <w:numId w:val="49"/>
        </w:numPr>
        <w:tabs>
          <w:tab w:pos="1323" w:val="left" w:leader="none"/>
        </w:tabs>
        <w:spacing w:line="240" w:lineRule="auto" w:before="34" w:after="0"/>
        <w:ind w:left="1322" w:right="0" w:hanging="645"/>
        <w:jc w:val="left"/>
      </w:pPr>
      <w:bookmarkStart w:name="10.5 知识产权" w:id="185"/>
      <w:bookmarkEnd w:id="185"/>
      <w:r>
        <w:rPr>
          <w:b w:val="0"/>
        </w:rPr>
      </w:r>
      <w:bookmarkStart w:name="_bookmark66" w:id="186"/>
      <w:bookmarkEnd w:id="186"/>
      <w:r>
        <w:rPr>
          <w:b w:val="0"/>
        </w:rPr>
      </w:r>
      <w:bookmarkStart w:name="_bookmark66" w:id="187"/>
      <w:bookmarkEnd w:id="187"/>
      <w:r>
        <w:rPr/>
        <w:t>知识产权</w:t>
      </w:r>
      <w:r>
        <w:rPr>
          <w:w w:val="199"/>
        </w:rPr>
        <w:t> </w:t>
      </w:r>
    </w:p>
    <w:p>
      <w:pPr>
        <w:pStyle w:val="BodyText"/>
        <w:spacing w:before="141"/>
        <w:ind w:left="1098"/>
      </w:pPr>
      <w:r>
        <w:rPr/>
        <w:t>招标人对其知识产权的具体要求见“投标人须知前附表”。 </w:t>
      </w:r>
    </w:p>
    <w:p>
      <w:pPr>
        <w:spacing w:after="0"/>
        <w:sectPr>
          <w:pgSz w:w="11910" w:h="16850"/>
          <w:pgMar w:header="0" w:footer="779" w:top="1380" w:bottom="1040" w:left="1120" w:right="280"/>
        </w:sectPr>
      </w:pPr>
    </w:p>
    <w:p>
      <w:pPr>
        <w:pStyle w:val="Heading2"/>
        <w:numPr>
          <w:ilvl w:val="1"/>
          <w:numId w:val="49"/>
        </w:numPr>
        <w:tabs>
          <w:tab w:pos="1323" w:val="left" w:leader="none"/>
        </w:tabs>
        <w:spacing w:line="524" w:lineRule="exact" w:before="0" w:after="0"/>
        <w:ind w:left="1322" w:right="0" w:hanging="645"/>
        <w:jc w:val="left"/>
      </w:pPr>
      <w:bookmarkStart w:name="10.6 重新招标的其他情形" w:id="188"/>
      <w:bookmarkEnd w:id="188"/>
      <w:r>
        <w:rPr>
          <w:b w:val="0"/>
        </w:rPr>
      </w:r>
      <w:bookmarkStart w:name="_bookmark67" w:id="189"/>
      <w:bookmarkEnd w:id="189"/>
      <w:r>
        <w:rPr>
          <w:b w:val="0"/>
        </w:rPr>
      </w:r>
      <w:bookmarkStart w:name="_bookmark67" w:id="190"/>
      <w:bookmarkEnd w:id="190"/>
      <w:r>
        <w:rPr/>
        <w:t>重新招标的其他情形</w:t>
      </w:r>
      <w:r>
        <w:rPr>
          <w:w w:val="199"/>
        </w:rPr>
        <w:t> </w:t>
      </w:r>
    </w:p>
    <w:p>
      <w:pPr>
        <w:pStyle w:val="BodyText"/>
        <w:spacing w:before="138"/>
        <w:ind w:left="1098"/>
      </w:pPr>
      <w:r>
        <w:rPr/>
        <w:t>见“投标人须知前附表”。 </w:t>
      </w:r>
    </w:p>
    <w:p>
      <w:pPr>
        <w:pStyle w:val="Heading2"/>
        <w:numPr>
          <w:ilvl w:val="1"/>
          <w:numId w:val="49"/>
        </w:numPr>
        <w:tabs>
          <w:tab w:pos="1323" w:val="left" w:leader="none"/>
        </w:tabs>
        <w:spacing w:line="240" w:lineRule="auto" w:before="36" w:after="0"/>
        <w:ind w:left="1322" w:right="0" w:hanging="645"/>
        <w:jc w:val="left"/>
      </w:pPr>
      <w:bookmarkStart w:name="10.7 同义词语" w:id="191"/>
      <w:bookmarkEnd w:id="191"/>
      <w:r>
        <w:rPr>
          <w:b w:val="0"/>
        </w:rPr>
      </w:r>
      <w:bookmarkStart w:name="_bookmark68" w:id="192"/>
      <w:bookmarkEnd w:id="192"/>
      <w:r>
        <w:rPr>
          <w:b w:val="0"/>
        </w:rPr>
      </w:r>
      <w:bookmarkStart w:name="_bookmark68" w:id="193"/>
      <w:bookmarkEnd w:id="193"/>
      <w:r>
        <w:rPr/>
        <w:t>同义词语</w:t>
      </w:r>
      <w:r>
        <w:rPr>
          <w:w w:val="199"/>
        </w:rPr>
        <w:t> </w:t>
      </w:r>
    </w:p>
    <w:p>
      <w:pPr>
        <w:pStyle w:val="BodyText"/>
        <w:spacing w:before="139"/>
        <w:ind w:left="1098"/>
      </w:pPr>
      <w:r>
        <w:rPr/>
        <w:t>见“投标人须知前附表”。 </w:t>
      </w:r>
    </w:p>
    <w:p>
      <w:pPr>
        <w:pStyle w:val="Heading2"/>
        <w:numPr>
          <w:ilvl w:val="1"/>
          <w:numId w:val="49"/>
        </w:numPr>
        <w:tabs>
          <w:tab w:pos="1323" w:val="left" w:leader="none"/>
        </w:tabs>
        <w:spacing w:line="240" w:lineRule="auto" w:before="33" w:after="0"/>
        <w:ind w:left="1322" w:right="0" w:hanging="645"/>
        <w:jc w:val="left"/>
      </w:pPr>
      <w:bookmarkStart w:name="10.8 监督" w:id="194"/>
      <w:bookmarkEnd w:id="194"/>
      <w:r>
        <w:rPr>
          <w:b w:val="0"/>
        </w:rPr>
      </w:r>
      <w:bookmarkStart w:name="_bookmark69" w:id="195"/>
      <w:bookmarkEnd w:id="195"/>
      <w:r>
        <w:rPr>
          <w:b w:val="0"/>
        </w:rPr>
      </w:r>
      <w:bookmarkStart w:name="_bookmark69" w:id="196"/>
      <w:bookmarkEnd w:id="196"/>
      <w:r>
        <w:rPr/>
        <w:t>监督</w:t>
      </w:r>
      <w:r>
        <w:rPr>
          <w:w w:val="199"/>
        </w:rPr>
        <w:t> </w:t>
      </w:r>
    </w:p>
    <w:p>
      <w:pPr>
        <w:pStyle w:val="BodyText"/>
        <w:spacing w:before="141"/>
        <w:ind w:left="1098"/>
      </w:pPr>
      <w:r>
        <w:rPr/>
        <w:t>本项目招标的监督部门见“投标人须知前附表”。 </w:t>
      </w:r>
    </w:p>
    <w:p>
      <w:pPr>
        <w:pStyle w:val="Heading2"/>
        <w:numPr>
          <w:ilvl w:val="1"/>
          <w:numId w:val="49"/>
        </w:numPr>
        <w:tabs>
          <w:tab w:pos="1323" w:val="left" w:leader="none"/>
        </w:tabs>
        <w:spacing w:line="240" w:lineRule="auto" w:before="34" w:after="0"/>
        <w:ind w:left="1322" w:right="0" w:hanging="645"/>
        <w:jc w:val="left"/>
      </w:pPr>
      <w:bookmarkStart w:name="10.9 解释权" w:id="197"/>
      <w:bookmarkEnd w:id="197"/>
      <w:r>
        <w:rPr>
          <w:b w:val="0"/>
        </w:rPr>
      </w:r>
      <w:bookmarkStart w:name="_bookmark70" w:id="198"/>
      <w:bookmarkEnd w:id="198"/>
      <w:r>
        <w:rPr>
          <w:b w:val="0"/>
        </w:rPr>
      </w:r>
      <w:bookmarkStart w:name="_bookmark70" w:id="199"/>
      <w:bookmarkEnd w:id="199"/>
      <w:r>
        <w:rPr/>
        <w:t>解释权</w:t>
      </w:r>
      <w:r>
        <w:rPr>
          <w:w w:val="199"/>
        </w:rPr>
        <w:t> </w:t>
      </w:r>
    </w:p>
    <w:p>
      <w:pPr>
        <w:pStyle w:val="BodyText"/>
        <w:spacing w:before="139"/>
        <w:ind w:left="1098"/>
      </w:pPr>
      <w:r>
        <w:rPr/>
        <w:t>见“投标人须知前附表”。 </w:t>
      </w:r>
    </w:p>
    <w:p>
      <w:pPr>
        <w:pStyle w:val="Heading2"/>
        <w:numPr>
          <w:ilvl w:val="1"/>
          <w:numId w:val="49"/>
        </w:numPr>
        <w:tabs>
          <w:tab w:pos="1484" w:val="left" w:leader="none"/>
        </w:tabs>
        <w:spacing w:line="240" w:lineRule="auto" w:before="34" w:after="0"/>
        <w:ind w:left="1483" w:right="0" w:hanging="806"/>
        <w:jc w:val="left"/>
      </w:pPr>
      <w:bookmarkStart w:name="10.10 招标人补充的其他内容" w:id="200"/>
      <w:bookmarkEnd w:id="200"/>
      <w:r>
        <w:rPr>
          <w:b w:val="0"/>
        </w:rPr>
      </w:r>
      <w:bookmarkStart w:name="_bookmark71" w:id="201"/>
      <w:bookmarkEnd w:id="201"/>
      <w:r>
        <w:rPr>
          <w:b w:val="0"/>
        </w:rPr>
      </w:r>
      <w:bookmarkStart w:name="_bookmark71" w:id="202"/>
      <w:bookmarkEnd w:id="202"/>
      <w:r>
        <w:rPr/>
        <w:t>招标人补充的其他内容</w:t>
      </w:r>
      <w:r>
        <w:rPr>
          <w:w w:val="199"/>
        </w:rPr>
        <w:t> </w:t>
      </w:r>
    </w:p>
    <w:p>
      <w:pPr>
        <w:pStyle w:val="BodyText"/>
        <w:spacing w:line="218" w:lineRule="exact" w:before="140"/>
        <w:ind w:left="1098"/>
      </w:pPr>
      <w:r>
        <w:rPr/>
        <w:t>见“投标人须知前附表”。 </w:t>
      </w:r>
    </w:p>
    <w:p>
      <w:pPr>
        <w:pStyle w:val="Heading2"/>
        <w:numPr>
          <w:ilvl w:val="1"/>
          <w:numId w:val="49"/>
        </w:numPr>
        <w:tabs>
          <w:tab w:pos="1484" w:val="left" w:leader="none"/>
        </w:tabs>
        <w:spacing w:line="537" w:lineRule="exact" w:before="0" w:after="0"/>
        <w:ind w:left="1483" w:right="0" w:hanging="806"/>
        <w:jc w:val="left"/>
      </w:pPr>
      <w:bookmarkStart w:name="10.11 投标人递交投标文件、参加开标会须提交的授权委托书等文件格式" w:id="203"/>
      <w:bookmarkEnd w:id="203"/>
      <w:r>
        <w:rPr>
          <w:b w:val="0"/>
        </w:rPr>
      </w:r>
      <w:bookmarkStart w:name="_bookmark72" w:id="204"/>
      <w:bookmarkEnd w:id="204"/>
      <w:r>
        <w:rPr>
          <w:b w:val="0"/>
        </w:rPr>
      </w:r>
      <w:bookmarkStart w:name="_bookmark72" w:id="205"/>
      <w:bookmarkEnd w:id="205"/>
      <w:r>
        <w:rPr>
          <w:spacing w:val="-1"/>
        </w:rPr>
        <w:t>投标人递交投标文件、参加开标会须提交的授权委托书</w:t>
      </w:r>
    </w:p>
    <w:p>
      <w:pPr>
        <w:spacing w:before="36"/>
        <w:ind w:left="678" w:right="0" w:firstLine="0"/>
        <w:jc w:val="left"/>
        <w:rPr>
          <w:rFonts w:ascii="Microsoft JhengHei" w:eastAsia="Microsoft JhengHei" w:hint="eastAsia"/>
          <w:b/>
          <w:sz w:val="32"/>
        </w:rPr>
      </w:pPr>
      <w:r>
        <w:rPr>
          <w:rFonts w:ascii="Microsoft JhengHei" w:eastAsia="Microsoft JhengHei" w:hint="eastAsia"/>
          <w:b/>
          <w:sz w:val="32"/>
        </w:rPr>
        <w:t>等文件格式</w:t>
      </w:r>
      <w:r>
        <w:rPr>
          <w:rFonts w:ascii="Microsoft JhengHei" w:eastAsia="Microsoft JhengHei" w:hint="eastAsia"/>
          <w:b/>
          <w:w w:val="199"/>
          <w:sz w:val="32"/>
        </w:rPr>
        <w:t>  </w:t>
      </w:r>
    </w:p>
    <w:p>
      <w:pPr>
        <w:pStyle w:val="BodyText"/>
        <w:spacing w:before="138"/>
        <w:ind w:left="1098"/>
      </w:pPr>
      <w:r>
        <w:rPr/>
        <w:t>见本章附件。 </w:t>
      </w:r>
    </w:p>
    <w:p>
      <w:pPr>
        <w:pStyle w:val="BodyText"/>
        <w:ind w:left="0"/>
        <w:rPr>
          <w:sz w:val="20"/>
        </w:rPr>
      </w:pPr>
    </w:p>
    <w:p>
      <w:pPr>
        <w:pStyle w:val="BodyText"/>
        <w:spacing w:before="2"/>
        <w:ind w:left="0"/>
        <w:rPr>
          <w:sz w:val="17"/>
        </w:rPr>
      </w:pPr>
    </w:p>
    <w:p>
      <w:pPr>
        <w:pStyle w:val="BodyText"/>
        <w:spacing w:line="225" w:lineRule="exact" w:before="72"/>
        <w:ind w:left="1098"/>
      </w:pPr>
      <w:r>
        <w:rPr>
          <w:w w:val="100"/>
        </w:rPr>
        <w:t> </w:t>
      </w:r>
    </w:p>
    <w:p>
      <w:pPr>
        <w:pStyle w:val="Heading5"/>
        <w:spacing w:line="471" w:lineRule="exact"/>
        <w:ind w:left="678"/>
        <w:jc w:val="left"/>
      </w:pPr>
      <w:r>
        <w:rPr/>
        <w:t>附件</w:t>
      </w:r>
      <w:r>
        <w:rPr>
          <w:w w:val="200"/>
        </w:rPr>
        <w:t> </w:t>
      </w:r>
    </w:p>
    <w:p>
      <w:pPr>
        <w:pStyle w:val="BodyText"/>
        <w:spacing w:before="1"/>
        <w:ind w:left="0"/>
        <w:rPr>
          <w:rFonts w:ascii="Microsoft JhengHei"/>
          <w:b/>
          <w:sz w:val="13"/>
        </w:rPr>
      </w:pPr>
    </w:p>
    <w:p>
      <w:pPr>
        <w:spacing w:line="485" w:lineRule="exact" w:before="0"/>
        <w:ind w:left="297" w:right="634" w:firstLine="0"/>
        <w:jc w:val="center"/>
        <w:rPr>
          <w:rFonts w:ascii="Microsoft JhengHei" w:eastAsia="Microsoft JhengHei" w:hint="eastAsia"/>
          <w:b/>
          <w:sz w:val="28"/>
        </w:rPr>
      </w:pPr>
      <w:r>
        <w:rPr>
          <w:rFonts w:ascii="Microsoft JhengHei" w:eastAsia="Microsoft JhengHei" w:hint="eastAsia"/>
          <w:b/>
          <w:sz w:val="28"/>
        </w:rPr>
        <w:t>开标授权委托书</w:t>
      </w:r>
      <w:r>
        <w:rPr>
          <w:rFonts w:ascii="Microsoft JhengHei" w:eastAsia="Microsoft JhengHei" w:hint="eastAsia"/>
          <w:b/>
          <w:w w:val="200"/>
          <w:sz w:val="28"/>
        </w:rPr>
        <w:t> </w:t>
      </w:r>
    </w:p>
    <w:p>
      <w:pPr>
        <w:pStyle w:val="BodyText"/>
        <w:ind w:left="0"/>
        <w:rPr>
          <w:rFonts w:ascii="Microsoft JhengHei"/>
          <w:b/>
          <w:sz w:val="20"/>
        </w:rPr>
      </w:pPr>
    </w:p>
    <w:p>
      <w:pPr>
        <w:pStyle w:val="BodyText"/>
        <w:ind w:left="0"/>
        <w:rPr>
          <w:rFonts w:ascii="Microsoft JhengHei"/>
          <w:b/>
          <w:sz w:val="20"/>
        </w:rPr>
      </w:pPr>
    </w:p>
    <w:p>
      <w:pPr>
        <w:pStyle w:val="BodyText"/>
        <w:spacing w:before="15"/>
        <w:ind w:left="0"/>
        <w:rPr>
          <w:rFonts w:ascii="Microsoft JhengHei"/>
          <w:b/>
          <w:sz w:val="11"/>
        </w:rPr>
      </w:pPr>
    </w:p>
    <w:p>
      <w:pPr>
        <w:pStyle w:val="BodyText"/>
        <w:spacing w:before="72"/>
        <w:ind w:left="297" w:right="161"/>
        <w:jc w:val="center"/>
      </w:pPr>
      <w:r>
        <w:rPr>
          <w:spacing w:val="-4"/>
        </w:rPr>
        <w:t>本授权委托书声明：我</w:t>
      </w:r>
      <w:r>
        <w:rPr>
          <w:spacing w:val="97"/>
          <w:u w:val="single"/>
        </w:rPr>
        <w:t> </w:t>
      </w:r>
      <w:r>
        <w:rPr>
          <w:u w:val="single"/>
        </w:rPr>
        <w:t>（</w:t>
      </w:r>
      <w:r>
        <w:rPr>
          <w:spacing w:val="-2"/>
          <w:u w:val="single"/>
        </w:rPr>
        <w:t>姓名</w:t>
      </w:r>
      <w:r>
        <w:rPr>
          <w:spacing w:val="-8"/>
          <w:u w:val="single"/>
        </w:rPr>
        <w:t>）</w:t>
      </w:r>
      <w:r>
        <w:rPr/>
        <w:t>系</w:t>
      </w:r>
      <w:r>
        <w:rPr>
          <w:u w:val="single"/>
        </w:rPr>
        <w:t>                     </w:t>
      </w:r>
      <w:r>
        <w:rPr/>
        <w:t>（</w:t>
      </w:r>
      <w:r>
        <w:rPr>
          <w:spacing w:val="-3"/>
        </w:rPr>
        <w:t>投标人名称</w:t>
      </w:r>
      <w:r>
        <w:rPr>
          <w:spacing w:val="-8"/>
        </w:rPr>
        <w:t>）</w:t>
      </w:r>
      <w:r>
        <w:rPr>
          <w:spacing w:val="-1"/>
        </w:rPr>
        <w:t>的法定代表</w:t>
      </w:r>
    </w:p>
    <w:p>
      <w:pPr>
        <w:pStyle w:val="BodyText"/>
        <w:spacing w:before="5"/>
        <w:ind w:left="0"/>
        <w:rPr>
          <w:sz w:val="9"/>
        </w:rPr>
      </w:pPr>
    </w:p>
    <w:p>
      <w:pPr>
        <w:pStyle w:val="BodyText"/>
        <w:spacing w:before="71"/>
      </w:pPr>
      <w:r>
        <w:rPr>
          <w:spacing w:val="-2"/>
        </w:rPr>
        <w:t>人，我公司自愿参加 </w:t>
      </w:r>
      <w:r>
        <w:rPr>
          <w:u w:val="single"/>
        </w:rPr>
        <w:t>（</w:t>
      </w:r>
      <w:r>
        <w:rPr>
          <w:spacing w:val="-3"/>
          <w:u w:val="single"/>
        </w:rPr>
        <w:t>项目名称及项目招标编号</w:t>
      </w:r>
      <w:r>
        <w:rPr>
          <w:spacing w:val="-14"/>
          <w:u w:val="single"/>
        </w:rPr>
        <w:t>）</w:t>
      </w:r>
      <w:r>
        <w:rPr>
          <w:spacing w:val="-4"/>
        </w:rPr>
        <w:t>的招投标活动，现授权本公司的专职投标员</w:t>
      </w:r>
      <w:r>
        <w:rPr/>
        <w:t> </w:t>
      </w:r>
      <w:r>
        <w:rPr>
          <w:spacing w:val="-3"/>
        </w:rPr>
        <w:t> </w:t>
      </w:r>
      <w:r>
        <w:rPr/>
        <w:t>   </w:t>
      </w:r>
      <w:r>
        <w:rPr>
          <w:spacing w:val="-3"/>
        </w:rPr>
        <w:t>  </w:t>
      </w:r>
      <w:r>
        <w:rPr/>
        <w:t>   </w:t>
      </w:r>
    </w:p>
    <w:p>
      <w:pPr>
        <w:pStyle w:val="BodyText"/>
        <w:spacing w:before="6"/>
        <w:ind w:left="0"/>
        <w:rPr>
          <w:sz w:val="9"/>
        </w:rPr>
      </w:pPr>
    </w:p>
    <w:p>
      <w:pPr>
        <w:pStyle w:val="BodyText"/>
        <w:spacing w:before="71"/>
      </w:pPr>
      <w:r>
        <w:rPr>
          <w:u w:val="single"/>
        </w:rPr>
        <w:t>（姓名）</w:t>
      </w:r>
      <w:r>
        <w:rPr/>
        <w:t>作为公司的授权代理人，代表我公司递交投标文件、参加开标活动、签署开标记录、</w:t>
      </w:r>
    </w:p>
    <w:p>
      <w:pPr>
        <w:pStyle w:val="BodyText"/>
        <w:spacing w:before="3"/>
        <w:ind w:left="0"/>
        <w:rPr>
          <w:sz w:val="9"/>
        </w:rPr>
      </w:pPr>
    </w:p>
    <w:p>
      <w:pPr>
        <w:pStyle w:val="BodyText"/>
        <w:spacing w:line="410" w:lineRule="auto" w:before="71"/>
        <w:ind w:right="1154"/>
      </w:pPr>
      <w:r>
        <w:rPr/>
        <w:t>澄清投标文件等一系列与项目投标活动有关的事项，代理人在该活动中签署的一切文件和处理与之有关的一切事务，我均予以承认。 </w:t>
      </w:r>
    </w:p>
    <w:p>
      <w:pPr>
        <w:pStyle w:val="BodyText"/>
        <w:spacing w:before="2"/>
        <w:ind w:left="1290"/>
      </w:pPr>
      <w:r>
        <w:rPr/>
        <w:t>本授权书有效期： 年 月  日至  年 月 日止。 </w:t>
      </w:r>
    </w:p>
    <w:p>
      <w:pPr>
        <w:pStyle w:val="BodyText"/>
        <w:spacing w:before="33"/>
        <w:ind w:left="1287"/>
      </w:pPr>
      <w:r>
        <w:rPr>
          <w:w w:val="100"/>
        </w:rPr>
        <w:t> </w:t>
      </w:r>
    </w:p>
    <w:p>
      <w:pPr>
        <w:pStyle w:val="BodyText"/>
        <w:spacing w:before="7"/>
        <w:ind w:left="0"/>
      </w:pPr>
    </w:p>
    <w:p>
      <w:pPr>
        <w:pStyle w:val="BodyText"/>
        <w:ind w:left="1374"/>
      </w:pPr>
      <w:r>
        <w:rPr/>
        <w:t>代理人无转委托权，特此委托。 </w:t>
      </w:r>
    </w:p>
    <w:p>
      <w:pPr>
        <w:pStyle w:val="BodyText"/>
        <w:spacing w:before="6"/>
        <w:ind w:left="0"/>
      </w:pPr>
    </w:p>
    <w:p>
      <w:pPr>
        <w:pStyle w:val="BodyText"/>
        <w:spacing w:before="1"/>
        <w:ind w:left="1938"/>
      </w:pPr>
      <w:r>
        <w:rPr>
          <w:w w:val="100"/>
        </w:rPr>
        <w:t> </w:t>
      </w:r>
    </w:p>
    <w:p>
      <w:pPr>
        <w:pStyle w:val="BodyText"/>
        <w:spacing w:before="139"/>
        <w:ind w:left="1938"/>
      </w:pPr>
      <w:r>
        <w:rPr>
          <w:w w:val="100"/>
        </w:rPr>
        <w:t> </w:t>
      </w:r>
    </w:p>
    <w:p>
      <w:pPr>
        <w:spacing w:after="0"/>
        <w:sectPr>
          <w:pgSz w:w="11910" w:h="16850"/>
          <w:pgMar w:header="0" w:footer="779" w:top="1400" w:bottom="1040" w:left="1120" w:right="280"/>
        </w:sectPr>
      </w:pPr>
    </w:p>
    <w:p>
      <w:pPr>
        <w:pStyle w:val="BodyText"/>
        <w:ind w:left="0"/>
        <w:rPr>
          <w:sz w:val="20"/>
        </w:rPr>
      </w:pPr>
    </w:p>
    <w:p>
      <w:pPr>
        <w:pStyle w:val="BodyText"/>
        <w:ind w:left="0"/>
        <w:rPr>
          <w:sz w:val="20"/>
        </w:rPr>
      </w:pPr>
    </w:p>
    <w:p>
      <w:pPr>
        <w:pStyle w:val="BodyText"/>
        <w:spacing w:before="4"/>
        <w:ind w:left="0"/>
        <w:rPr>
          <w:sz w:val="16"/>
        </w:rPr>
      </w:pPr>
    </w:p>
    <w:p>
      <w:pPr>
        <w:pStyle w:val="BodyText"/>
        <w:tabs>
          <w:tab w:pos="9350" w:val="left" w:leader="none"/>
        </w:tabs>
        <w:spacing w:before="72"/>
        <w:ind w:left="3378"/>
      </w:pPr>
      <w:r>
        <w:rPr/>
        <w:t>代 理 </w:t>
      </w:r>
      <w:r>
        <w:rPr>
          <w:spacing w:val="-3"/>
        </w:rPr>
        <w:t>人 </w:t>
      </w:r>
      <w:r>
        <w:rPr/>
        <w:t>姓 名 </w:t>
      </w:r>
      <w:r>
        <w:rPr>
          <w:spacing w:val="-44"/>
        </w:rPr>
        <w:t>：</w:t>
      </w:r>
      <w:r>
        <w:rPr>
          <w:spacing w:val="-44"/>
          <w:u w:val="single"/>
        </w:rPr>
        <w:t>                      </w:t>
      </w:r>
      <w:r>
        <w:rPr>
          <w:spacing w:val="17"/>
          <w:u w:val="single"/>
        </w:rPr>
        <w:t> </w:t>
      </w:r>
      <w:r>
        <w:rPr>
          <w:spacing w:val="-3"/>
        </w:rPr>
        <w:t>性 </w:t>
      </w:r>
      <w:r>
        <w:rPr/>
        <w:t>别 </w:t>
      </w:r>
      <w:r>
        <w:rPr>
          <w:spacing w:val="-41"/>
        </w:rPr>
        <w:t>：</w:t>
      </w:r>
      <w:r>
        <w:rPr>
          <w:spacing w:val="-41"/>
          <w:u w:val="single"/>
        </w:rPr>
        <w:t>     </w:t>
      </w:r>
      <w:r>
        <w:rPr>
          <w:spacing w:val="16"/>
          <w:u w:val="single"/>
        </w:rPr>
        <w:t> </w:t>
      </w:r>
      <w:r>
        <w:rPr/>
        <w:t>年 龄 </w:t>
      </w:r>
      <w:r>
        <w:rPr>
          <w:u w:val="single"/>
        </w:rPr>
        <w:t>：</w:t>
        <w:tab/>
      </w:r>
      <w:r>
        <w:rPr>
          <w:w w:val="100"/>
        </w:rPr>
        <w:t> </w:t>
      </w:r>
    </w:p>
    <w:p>
      <w:pPr>
        <w:pStyle w:val="BodyText"/>
        <w:spacing w:before="12"/>
        <w:ind w:left="0"/>
        <w:rPr>
          <w:sz w:val="15"/>
        </w:rPr>
      </w:pPr>
    </w:p>
    <w:p>
      <w:pPr>
        <w:pStyle w:val="BodyText"/>
        <w:spacing w:before="71"/>
        <w:ind w:left="3378"/>
      </w:pPr>
      <w:r>
        <w:rPr/>
        <w:t>专 职 投 标 员 身 份 证 号 码 ：</w:t>
      </w:r>
      <w:r>
        <w:rPr>
          <w:u w:val="single"/>
        </w:rPr>
        <w:t> </w:t>
      </w:r>
      <w:r>
        <w:rPr/>
        <w:t>职 务 ：</w:t>
      </w:r>
      <w:r>
        <w:rPr>
          <w:u w:val="single"/>
        </w:rPr>
        <w:t>         </w:t>
      </w:r>
      <w:r>
        <w:rPr/>
        <w:t>         </w:t>
      </w:r>
    </w:p>
    <w:p>
      <w:pPr>
        <w:pStyle w:val="BodyText"/>
        <w:spacing w:before="12"/>
        <w:ind w:left="0"/>
        <w:rPr>
          <w:sz w:val="15"/>
        </w:rPr>
      </w:pPr>
    </w:p>
    <w:p>
      <w:pPr>
        <w:pStyle w:val="BodyText"/>
        <w:spacing w:before="72"/>
        <w:ind w:left="3378"/>
      </w:pPr>
      <w:r>
        <w:rPr>
          <w:spacing w:val="-2"/>
        </w:rPr>
        <w:t>投 标 人 ：</w:t>
      </w:r>
      <w:r>
        <w:rPr>
          <w:u w:val="single"/>
        </w:rPr>
        <w:t>                          </w:t>
      </w:r>
      <w:r>
        <w:rPr>
          <w:spacing w:val="-3"/>
          <w:u w:val="single"/>
        </w:rPr>
        <w:t>（ 盖 单 位 章 ）</w:t>
      </w:r>
      <w:r>
        <w:rPr/>
        <w:t> </w:t>
      </w:r>
    </w:p>
    <w:p>
      <w:pPr>
        <w:pStyle w:val="BodyText"/>
        <w:spacing w:before="12"/>
        <w:ind w:left="0"/>
        <w:rPr>
          <w:sz w:val="15"/>
        </w:rPr>
      </w:pPr>
    </w:p>
    <w:p>
      <w:pPr>
        <w:pStyle w:val="BodyText"/>
        <w:spacing w:before="71"/>
        <w:ind w:left="3378"/>
      </w:pPr>
      <w:r>
        <w:rPr>
          <w:spacing w:val="-3"/>
        </w:rPr>
        <w:t>法 定 代 表 人 ：</w:t>
      </w:r>
      <w:r>
        <w:rPr>
          <w:spacing w:val="1"/>
          <w:u w:val="single"/>
        </w:rPr>
        <w:t>                 </w:t>
      </w:r>
      <w:r>
        <w:rPr>
          <w:u w:val="single"/>
        </w:rPr>
        <w:t>（</w:t>
      </w:r>
      <w:r>
        <w:rPr>
          <w:spacing w:val="-3"/>
          <w:u w:val="single"/>
        </w:rPr>
        <w:t> 签 字 或 盖 章 ）</w:t>
      </w:r>
      <w:r>
        <w:rPr/>
        <w:t> </w:t>
      </w:r>
    </w:p>
    <w:p>
      <w:pPr>
        <w:pStyle w:val="BodyText"/>
        <w:spacing w:before="12"/>
        <w:ind w:left="0"/>
        <w:rPr>
          <w:sz w:val="15"/>
        </w:rPr>
      </w:pPr>
    </w:p>
    <w:p>
      <w:pPr>
        <w:pStyle w:val="BodyText"/>
        <w:spacing w:before="72"/>
        <w:ind w:left="3378"/>
      </w:pPr>
      <w:r>
        <w:rPr/>
        <w:t>授 权 委 托 日 期 ：</w:t>
      </w:r>
      <w:r>
        <w:rPr>
          <w:u w:val="single"/>
        </w:rPr>
        <w:t> </w:t>
      </w:r>
      <w:r>
        <w:rPr/>
        <w:t>年</w:t>
      </w:r>
      <w:r>
        <w:rPr>
          <w:u w:val="single"/>
        </w:rPr>
        <w:t> </w:t>
      </w:r>
      <w:r>
        <w:rPr/>
        <w:t>月</w:t>
      </w:r>
      <w:r>
        <w:rPr>
          <w:u w:val="single"/>
        </w:rPr>
        <w:t> </w:t>
      </w:r>
      <w:r>
        <w:rPr/>
        <w:t>日  </w:t>
      </w:r>
    </w:p>
    <w:p>
      <w:pPr>
        <w:pStyle w:val="BodyText"/>
        <w:ind w:left="0"/>
        <w:rPr>
          <w:sz w:val="20"/>
        </w:rPr>
      </w:pPr>
    </w:p>
    <w:p>
      <w:pPr>
        <w:pStyle w:val="BodyText"/>
        <w:ind w:left="0"/>
        <w:rPr>
          <w:sz w:val="20"/>
        </w:rPr>
      </w:pPr>
    </w:p>
    <w:p>
      <w:pPr>
        <w:pStyle w:val="BodyText"/>
        <w:spacing w:before="2"/>
        <w:ind w:left="0"/>
        <w:rPr>
          <w:sz w:val="17"/>
        </w:rPr>
      </w:pPr>
    </w:p>
    <w:p>
      <w:pPr>
        <w:pStyle w:val="BodyText"/>
        <w:spacing w:before="72"/>
      </w:pPr>
      <w:r>
        <w:rPr/>
        <w:t>【备注：附法定代表人身份证明及身份证、专职投标员身份证的复印件加盖投标单位公章】 </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3"/>
        <w:ind w:left="0"/>
        <w:rPr>
          <w:sz w:val="18"/>
        </w:rPr>
      </w:pPr>
    </w:p>
    <w:p>
      <w:pPr>
        <w:pStyle w:val="Heading5"/>
        <w:spacing w:line="485" w:lineRule="exact"/>
        <w:ind w:left="678"/>
        <w:jc w:val="left"/>
        <w:rPr>
          <w:rFonts w:ascii="宋体" w:eastAsia="宋体" w:hint="eastAsia"/>
          <w:b w:val="0"/>
        </w:rPr>
      </w:pPr>
      <w:r>
        <w:rPr/>
        <w:t>法定代表人身份证明</w:t>
      </w:r>
      <w:r>
        <w:rPr>
          <w:rFonts w:ascii="宋体" w:eastAsia="宋体" w:hint="eastAsia"/>
          <w:b w:val="0"/>
        </w:rPr>
        <w:t> </w:t>
      </w:r>
    </w:p>
    <w:p>
      <w:pPr>
        <w:pStyle w:val="BodyText"/>
        <w:ind w:left="0"/>
        <w:rPr>
          <w:sz w:val="28"/>
        </w:rPr>
      </w:pPr>
    </w:p>
    <w:p>
      <w:pPr>
        <w:pStyle w:val="BodyText"/>
        <w:spacing w:before="182"/>
        <w:ind w:left="1203"/>
      </w:pPr>
      <w:r>
        <w:rPr>
          <w:spacing w:val="-1"/>
        </w:rPr>
        <w:t>投 标 人：</w:t>
      </w:r>
      <w:r>
        <w:rPr>
          <w:u w:val="single"/>
        </w:rPr>
        <w:t>   </w:t>
      </w:r>
      <w:r>
        <w:rPr>
          <w:spacing w:val="-3"/>
          <w:u w:val="single"/>
        </w:rPr>
        <w:t> </w:t>
      </w:r>
      <w:r>
        <w:rPr>
          <w:u w:val="single"/>
        </w:rPr>
        <w:t>   </w:t>
      </w:r>
      <w:r>
        <w:rPr>
          <w:spacing w:val="-3"/>
          <w:u w:val="single"/>
        </w:rPr>
        <w:t> </w:t>
      </w:r>
      <w:r>
        <w:rPr>
          <w:u w:val="single"/>
        </w:rPr>
        <w:t>   </w:t>
      </w:r>
      <w:r>
        <w:rPr>
          <w:spacing w:val="-3"/>
          <w:u w:val="single"/>
        </w:rPr>
        <w:t>  </w:t>
      </w:r>
      <w:r>
        <w:rPr>
          <w:u w:val="single"/>
        </w:rPr>
        <w:t>     </w:t>
      </w:r>
      <w:r>
        <w:rPr>
          <w:spacing w:val="-3"/>
          <w:u w:val="single"/>
        </w:rPr>
        <w:t> </w:t>
      </w:r>
      <w:r>
        <w:rPr>
          <w:u w:val="single"/>
        </w:rPr>
        <w:t>   </w:t>
      </w:r>
      <w:r>
        <w:rPr>
          <w:spacing w:val="-3"/>
          <w:u w:val="single"/>
        </w:rPr>
        <w:t> </w:t>
      </w:r>
      <w:r>
        <w:rPr>
          <w:u w:val="single"/>
        </w:rPr>
        <w:t>   </w:t>
      </w:r>
      <w:r>
        <w:rPr>
          <w:spacing w:val="-3"/>
          <w:u w:val="single"/>
        </w:rPr>
        <w:t> </w:t>
      </w:r>
      <w:r>
        <w:rPr>
          <w:u w:val="single"/>
        </w:rPr>
        <w:t>   </w:t>
      </w:r>
      <w:r>
        <w:rPr>
          <w:spacing w:val="-3"/>
          <w:u w:val="single"/>
        </w:rPr>
        <w:t> </w:t>
      </w:r>
      <w:r>
        <w:rPr>
          <w:u w:val="single"/>
        </w:rPr>
        <w:t>   </w:t>
      </w:r>
      <w:r>
        <w:rPr>
          <w:spacing w:val="-3"/>
          <w:u w:val="single"/>
        </w:rPr>
        <w:t>  </w:t>
      </w:r>
      <w:r>
        <w:rPr>
          <w:u w:val="single"/>
        </w:rPr>
        <w:t>     </w:t>
      </w:r>
      <w:r>
        <w:rPr>
          <w:spacing w:val="-3"/>
          <w:u w:val="single"/>
        </w:rPr>
        <w:t> </w:t>
      </w:r>
      <w:r>
        <w:rPr>
          <w:u w:val="single"/>
        </w:rPr>
        <w:t>   </w:t>
      </w:r>
      <w:r>
        <w:rPr>
          <w:spacing w:val="-3"/>
          <w:u w:val="single"/>
        </w:rPr>
        <w:t> </w:t>
      </w:r>
      <w:r>
        <w:rPr>
          <w:u w:val="single"/>
        </w:rPr>
        <w:t>   </w:t>
      </w:r>
      <w:r>
        <w:rPr>
          <w:spacing w:val="-3"/>
          <w:u w:val="single"/>
        </w:rPr>
        <w:t> </w:t>
      </w:r>
      <w:r>
        <w:rPr>
          <w:u w:val="single"/>
        </w:rPr>
        <w:t>   </w:t>
      </w:r>
      <w:r>
        <w:rPr>
          <w:spacing w:val="-3"/>
          <w:u w:val="single"/>
        </w:rPr>
        <w:t> </w:t>
      </w:r>
      <w:r>
        <w:rPr>
          <w:u w:val="single"/>
        </w:rPr>
        <w:t> </w:t>
      </w:r>
      <w:r>
        <w:rPr>
          <w:spacing w:val="-2"/>
          <w:u w:val="single"/>
        </w:rPr>
        <w:t> </w:t>
      </w:r>
      <w:r>
        <w:rPr/>
        <w:t> </w:t>
      </w:r>
    </w:p>
    <w:p>
      <w:pPr>
        <w:pStyle w:val="BodyText"/>
        <w:spacing w:before="3"/>
        <w:ind w:left="0"/>
        <w:rPr>
          <w:sz w:val="17"/>
        </w:rPr>
      </w:pPr>
    </w:p>
    <w:p>
      <w:pPr>
        <w:pStyle w:val="BodyText"/>
        <w:spacing w:before="71"/>
        <w:ind w:left="1203"/>
      </w:pPr>
      <w:r>
        <w:rPr>
          <w:spacing w:val="-2"/>
        </w:rPr>
        <w:t>单位性质：</w:t>
      </w:r>
      <w:r>
        <w:rPr>
          <w:u w:val="single"/>
        </w:rPr>
        <w:t>   </w:t>
      </w:r>
      <w:r>
        <w:rPr>
          <w:spacing w:val="-3"/>
          <w:u w:val="single"/>
        </w:rPr>
        <w:t> </w:t>
      </w:r>
      <w:r>
        <w:rPr>
          <w:u w:val="single"/>
        </w:rPr>
        <w:t>   </w:t>
      </w:r>
      <w:r>
        <w:rPr>
          <w:spacing w:val="-3"/>
          <w:u w:val="single"/>
        </w:rPr>
        <w:t> </w:t>
      </w:r>
      <w:r>
        <w:rPr>
          <w:u w:val="single"/>
        </w:rPr>
        <w:t>   </w:t>
      </w:r>
      <w:r>
        <w:rPr>
          <w:spacing w:val="-3"/>
          <w:u w:val="single"/>
        </w:rPr>
        <w:t>  </w:t>
      </w:r>
      <w:r>
        <w:rPr>
          <w:u w:val="single"/>
        </w:rPr>
        <w:t>     </w:t>
      </w:r>
      <w:r>
        <w:rPr>
          <w:spacing w:val="-3"/>
          <w:u w:val="single"/>
        </w:rPr>
        <w:t> </w:t>
      </w:r>
      <w:r>
        <w:rPr>
          <w:u w:val="single"/>
        </w:rPr>
        <w:t>   </w:t>
      </w:r>
      <w:r>
        <w:rPr>
          <w:spacing w:val="-3"/>
          <w:u w:val="single"/>
        </w:rPr>
        <w:t> </w:t>
      </w:r>
      <w:r>
        <w:rPr>
          <w:u w:val="single"/>
        </w:rPr>
        <w:t>   </w:t>
      </w:r>
      <w:r>
        <w:rPr>
          <w:spacing w:val="-3"/>
          <w:u w:val="single"/>
        </w:rPr>
        <w:t> </w:t>
      </w:r>
      <w:r>
        <w:rPr>
          <w:u w:val="single"/>
        </w:rPr>
        <w:t>   </w:t>
      </w:r>
      <w:r>
        <w:rPr>
          <w:spacing w:val="-3"/>
          <w:u w:val="single"/>
        </w:rPr>
        <w:t> </w:t>
      </w:r>
      <w:r>
        <w:rPr>
          <w:u w:val="single"/>
        </w:rPr>
        <w:t>   </w:t>
      </w:r>
      <w:r>
        <w:rPr>
          <w:spacing w:val="-3"/>
          <w:u w:val="single"/>
        </w:rPr>
        <w:t>  </w:t>
      </w:r>
      <w:r>
        <w:rPr>
          <w:u w:val="single"/>
        </w:rPr>
        <w:t>     </w:t>
      </w:r>
      <w:r>
        <w:rPr>
          <w:spacing w:val="-3"/>
          <w:u w:val="single"/>
        </w:rPr>
        <w:t> </w:t>
      </w:r>
      <w:r>
        <w:rPr>
          <w:u w:val="single"/>
        </w:rPr>
        <w:t>   </w:t>
      </w:r>
      <w:r>
        <w:rPr>
          <w:spacing w:val="-3"/>
          <w:u w:val="single"/>
        </w:rPr>
        <w:t> </w:t>
      </w:r>
      <w:r>
        <w:rPr>
          <w:u w:val="single"/>
        </w:rPr>
        <w:t>   </w:t>
      </w:r>
      <w:r>
        <w:rPr>
          <w:spacing w:val="-3"/>
          <w:u w:val="single"/>
        </w:rPr>
        <w:t> </w:t>
      </w:r>
      <w:r>
        <w:rPr>
          <w:u w:val="single"/>
        </w:rPr>
        <w:t>   </w:t>
      </w:r>
      <w:r>
        <w:rPr>
          <w:spacing w:val="-3"/>
          <w:u w:val="single"/>
        </w:rPr>
        <w:t> </w:t>
      </w:r>
      <w:r>
        <w:rPr>
          <w:u w:val="single"/>
        </w:rPr>
        <w:t> </w:t>
      </w:r>
      <w:r>
        <w:rPr>
          <w:spacing w:val="-2"/>
          <w:u w:val="single"/>
        </w:rPr>
        <w:t> </w:t>
      </w:r>
      <w:r>
        <w:rPr/>
        <w:t> </w:t>
      </w:r>
    </w:p>
    <w:p>
      <w:pPr>
        <w:pStyle w:val="BodyText"/>
        <w:spacing w:before="1"/>
        <w:ind w:left="0"/>
        <w:rPr>
          <w:sz w:val="17"/>
        </w:rPr>
      </w:pPr>
    </w:p>
    <w:p>
      <w:pPr>
        <w:pStyle w:val="BodyText"/>
        <w:spacing w:before="72"/>
        <w:ind w:left="1203"/>
      </w:pPr>
      <w:r>
        <w:rPr>
          <w:spacing w:val="-1"/>
        </w:rPr>
        <w:t>地   址 ：</w:t>
      </w:r>
      <w:r>
        <w:rPr>
          <w:u w:val="single"/>
        </w:rPr>
        <w:t>   </w:t>
      </w:r>
      <w:r>
        <w:rPr>
          <w:spacing w:val="-3"/>
          <w:u w:val="single"/>
        </w:rPr>
        <w:t> </w:t>
      </w:r>
      <w:r>
        <w:rPr>
          <w:u w:val="single"/>
        </w:rPr>
        <w:t>   </w:t>
      </w:r>
      <w:r>
        <w:rPr>
          <w:spacing w:val="-3"/>
          <w:u w:val="single"/>
        </w:rPr>
        <w:t> </w:t>
      </w:r>
      <w:r>
        <w:rPr>
          <w:u w:val="single"/>
        </w:rPr>
        <w:t>   </w:t>
      </w:r>
      <w:r>
        <w:rPr>
          <w:spacing w:val="-3"/>
          <w:u w:val="single"/>
        </w:rPr>
        <w:t>  </w:t>
      </w:r>
      <w:r>
        <w:rPr>
          <w:u w:val="single"/>
        </w:rPr>
        <w:t>     </w:t>
      </w:r>
      <w:r>
        <w:rPr>
          <w:spacing w:val="-3"/>
          <w:u w:val="single"/>
        </w:rPr>
        <w:t> </w:t>
      </w:r>
      <w:r>
        <w:rPr>
          <w:u w:val="single"/>
        </w:rPr>
        <w:t>   </w:t>
      </w:r>
      <w:r>
        <w:rPr>
          <w:spacing w:val="-3"/>
          <w:u w:val="single"/>
        </w:rPr>
        <w:t> </w:t>
      </w:r>
      <w:r>
        <w:rPr>
          <w:u w:val="single"/>
        </w:rPr>
        <w:t>   </w:t>
      </w:r>
      <w:r>
        <w:rPr>
          <w:spacing w:val="-3"/>
          <w:u w:val="single"/>
        </w:rPr>
        <w:t> </w:t>
      </w:r>
      <w:r>
        <w:rPr>
          <w:u w:val="single"/>
        </w:rPr>
        <w:t>   </w:t>
      </w:r>
      <w:r>
        <w:rPr>
          <w:spacing w:val="-3"/>
          <w:u w:val="single"/>
        </w:rPr>
        <w:t> </w:t>
      </w:r>
      <w:r>
        <w:rPr>
          <w:u w:val="single"/>
        </w:rPr>
        <w:t>   </w:t>
      </w:r>
      <w:r>
        <w:rPr>
          <w:spacing w:val="-3"/>
          <w:u w:val="single"/>
        </w:rPr>
        <w:t>  </w:t>
      </w:r>
      <w:r>
        <w:rPr>
          <w:u w:val="single"/>
        </w:rPr>
        <w:t>     </w:t>
      </w:r>
      <w:r>
        <w:rPr>
          <w:spacing w:val="-3"/>
          <w:u w:val="single"/>
        </w:rPr>
        <w:t> </w:t>
      </w:r>
      <w:r>
        <w:rPr>
          <w:u w:val="single"/>
        </w:rPr>
        <w:t>   </w:t>
      </w:r>
      <w:r>
        <w:rPr>
          <w:spacing w:val="-3"/>
          <w:u w:val="single"/>
        </w:rPr>
        <w:t> </w:t>
      </w:r>
      <w:r>
        <w:rPr>
          <w:u w:val="single"/>
        </w:rPr>
        <w:t>   </w:t>
      </w:r>
      <w:r>
        <w:rPr>
          <w:spacing w:val="-3"/>
          <w:u w:val="single"/>
        </w:rPr>
        <w:t> </w:t>
      </w:r>
      <w:r>
        <w:rPr>
          <w:u w:val="single"/>
        </w:rPr>
        <w:t>   </w:t>
      </w:r>
      <w:r>
        <w:rPr>
          <w:spacing w:val="-3"/>
          <w:u w:val="single"/>
        </w:rPr>
        <w:t> </w:t>
      </w:r>
      <w:r>
        <w:rPr>
          <w:u w:val="single"/>
        </w:rPr>
        <w:t> </w:t>
      </w:r>
      <w:r>
        <w:rPr>
          <w:spacing w:val="-3"/>
          <w:u w:val="single"/>
        </w:rPr>
        <w:t> </w:t>
      </w:r>
      <w:r>
        <w:rPr/>
        <w:t> </w:t>
      </w:r>
    </w:p>
    <w:p>
      <w:pPr>
        <w:pStyle w:val="BodyText"/>
        <w:ind w:left="0"/>
        <w:rPr>
          <w:sz w:val="17"/>
        </w:rPr>
      </w:pPr>
    </w:p>
    <w:p>
      <w:pPr>
        <w:pStyle w:val="BodyText"/>
        <w:spacing w:before="72"/>
        <w:ind w:left="1203"/>
      </w:pPr>
      <w:r>
        <w:rPr/>
        <w:t>成 立 时 间 ：</w:t>
      </w:r>
      <w:r>
        <w:rPr>
          <w:u w:val="single"/>
        </w:rPr>
        <w:t> </w:t>
      </w:r>
      <w:r>
        <w:rPr/>
        <w:t>年</w:t>
      </w:r>
      <w:r>
        <w:rPr>
          <w:u w:val="single"/>
        </w:rPr>
        <w:t> </w:t>
      </w:r>
      <w:r>
        <w:rPr/>
        <w:t>月</w:t>
      </w:r>
      <w:r>
        <w:rPr>
          <w:u w:val="single"/>
        </w:rPr>
        <w:t> </w:t>
      </w:r>
      <w:r>
        <w:rPr/>
        <w:t>日 </w:t>
      </w:r>
    </w:p>
    <w:p>
      <w:pPr>
        <w:pStyle w:val="BodyText"/>
        <w:spacing w:before="3"/>
        <w:ind w:left="0"/>
        <w:rPr>
          <w:sz w:val="17"/>
        </w:rPr>
      </w:pPr>
    </w:p>
    <w:p>
      <w:pPr>
        <w:pStyle w:val="BodyText"/>
        <w:spacing w:before="72"/>
        <w:ind w:left="1203"/>
      </w:pPr>
      <w:r>
        <w:rPr/>
        <w:t>经营期限：</w:t>
      </w:r>
      <w:r>
        <w:rPr>
          <w:u w:val="single"/>
        </w:rPr>
        <w:t>                                                        </w:t>
      </w:r>
      <w:r>
        <w:rPr/>
        <w:t> </w:t>
      </w:r>
    </w:p>
    <w:p>
      <w:pPr>
        <w:pStyle w:val="BodyText"/>
        <w:ind w:left="0"/>
        <w:rPr>
          <w:sz w:val="17"/>
        </w:rPr>
      </w:pPr>
    </w:p>
    <w:p>
      <w:pPr>
        <w:pStyle w:val="BodyText"/>
        <w:spacing w:before="72"/>
        <w:ind w:left="1203"/>
      </w:pPr>
      <w:r>
        <w:rPr>
          <w:spacing w:val="-1"/>
        </w:rPr>
        <w:t>姓    名 ：</w:t>
      </w:r>
      <w:r>
        <w:rPr>
          <w:spacing w:val="-3"/>
          <w:u w:val="single"/>
        </w:rPr>
        <w:t>                           </w:t>
      </w:r>
      <w:r>
        <w:rPr>
          <w:spacing w:val="12"/>
        </w:rPr>
        <w:t>性  别 ：</w:t>
      </w:r>
      <w:r>
        <w:rPr>
          <w:spacing w:val="12"/>
          <w:u w:val="single"/>
        </w:rPr>
        <w:t>   </w:t>
      </w:r>
      <w:r>
        <w:rPr>
          <w:spacing w:val="-3"/>
          <w:u w:val="single"/>
        </w:rPr>
        <w:t> </w:t>
      </w:r>
      <w:r>
        <w:rPr>
          <w:u w:val="single"/>
        </w:rPr>
        <w:t>   </w:t>
      </w:r>
      <w:r>
        <w:rPr>
          <w:spacing w:val="-3"/>
          <w:u w:val="single"/>
        </w:rPr>
        <w:t> </w:t>
      </w:r>
      <w:r>
        <w:rPr>
          <w:u w:val="single"/>
        </w:rPr>
        <w:t>   </w:t>
      </w:r>
      <w:r>
        <w:rPr>
          <w:spacing w:val="-3"/>
          <w:u w:val="single"/>
        </w:rPr>
        <w:t> </w:t>
      </w:r>
      <w:r>
        <w:rPr>
          <w:u w:val="single"/>
        </w:rPr>
        <w:t>   </w:t>
      </w:r>
      <w:r>
        <w:rPr>
          <w:spacing w:val="-3"/>
          <w:u w:val="single"/>
        </w:rPr>
        <w:t> </w:t>
      </w:r>
      <w:r>
        <w:rPr>
          <w:u w:val="single"/>
        </w:rPr>
        <w:t>  </w:t>
      </w:r>
      <w:r>
        <w:rPr>
          <w:spacing w:val="-3"/>
          <w:u w:val="single"/>
        </w:rPr>
        <w:t> </w:t>
      </w:r>
      <w:r>
        <w:rPr/>
        <w:t> </w:t>
      </w:r>
    </w:p>
    <w:p>
      <w:pPr>
        <w:pStyle w:val="BodyText"/>
        <w:spacing w:before="1"/>
        <w:ind w:left="0"/>
        <w:rPr>
          <w:sz w:val="17"/>
        </w:rPr>
      </w:pPr>
    </w:p>
    <w:p>
      <w:pPr>
        <w:pStyle w:val="BodyText"/>
        <w:spacing w:before="72"/>
        <w:ind w:left="1203"/>
      </w:pPr>
      <w:r>
        <w:rPr>
          <w:spacing w:val="-1"/>
        </w:rPr>
        <w:t>年    龄 ：</w:t>
      </w:r>
      <w:r>
        <w:rPr>
          <w:spacing w:val="-3"/>
          <w:u w:val="single"/>
        </w:rPr>
        <w:t>                           </w:t>
      </w:r>
      <w:r>
        <w:rPr>
          <w:spacing w:val="12"/>
        </w:rPr>
        <w:t>职  务 ：</w:t>
      </w:r>
      <w:r>
        <w:rPr>
          <w:spacing w:val="12"/>
          <w:u w:val="single"/>
        </w:rPr>
        <w:t>   </w:t>
      </w:r>
      <w:r>
        <w:rPr>
          <w:spacing w:val="-3"/>
          <w:u w:val="single"/>
        </w:rPr>
        <w:t> </w:t>
      </w:r>
      <w:r>
        <w:rPr>
          <w:u w:val="single"/>
        </w:rPr>
        <w:t>   </w:t>
      </w:r>
      <w:r>
        <w:rPr>
          <w:spacing w:val="-3"/>
          <w:u w:val="single"/>
        </w:rPr>
        <w:t> </w:t>
      </w:r>
      <w:r>
        <w:rPr>
          <w:u w:val="single"/>
        </w:rPr>
        <w:t>   </w:t>
      </w:r>
      <w:r>
        <w:rPr>
          <w:spacing w:val="-3"/>
          <w:u w:val="single"/>
        </w:rPr>
        <w:t> </w:t>
      </w:r>
      <w:r>
        <w:rPr>
          <w:u w:val="single"/>
        </w:rPr>
        <w:t>   </w:t>
      </w:r>
      <w:r>
        <w:rPr>
          <w:spacing w:val="-3"/>
          <w:u w:val="single"/>
        </w:rPr>
        <w:t> </w:t>
      </w:r>
      <w:r>
        <w:rPr>
          <w:u w:val="single"/>
        </w:rPr>
        <w:t>  </w:t>
      </w:r>
      <w:r>
        <w:rPr>
          <w:spacing w:val="-3"/>
          <w:u w:val="single"/>
        </w:rPr>
        <w:t> </w:t>
      </w:r>
      <w:r>
        <w:rPr/>
        <w:t> </w:t>
      </w:r>
    </w:p>
    <w:p>
      <w:pPr>
        <w:pStyle w:val="BodyText"/>
        <w:spacing w:before="3"/>
        <w:ind w:left="0"/>
        <w:rPr>
          <w:sz w:val="17"/>
        </w:rPr>
      </w:pPr>
    </w:p>
    <w:p>
      <w:pPr>
        <w:pStyle w:val="BodyText"/>
        <w:spacing w:before="72"/>
        <w:ind w:left="1203"/>
      </w:pPr>
      <w:r>
        <w:rPr/>
        <w:t>系</w:t>
      </w:r>
      <w:r>
        <w:rPr>
          <w:u w:val="single"/>
        </w:rPr>
        <w:t> </w:t>
      </w:r>
      <w:r>
        <w:rPr/>
        <w:t>（ 投 标 人 名 称 ） 的 法 定 代 表 人 。 </w:t>
      </w:r>
    </w:p>
    <w:p>
      <w:pPr>
        <w:pStyle w:val="BodyText"/>
        <w:ind w:left="0"/>
        <w:rPr>
          <w:sz w:val="17"/>
        </w:rPr>
      </w:pPr>
    </w:p>
    <w:p>
      <w:pPr>
        <w:pStyle w:val="BodyText"/>
        <w:spacing w:before="72"/>
        <w:ind w:left="1203"/>
      </w:pPr>
      <w:r>
        <w:rPr/>
        <w:t>特此证明。 </w:t>
      </w:r>
    </w:p>
    <w:p>
      <w:pPr>
        <w:pStyle w:val="BodyText"/>
        <w:ind w:left="0"/>
        <w:rPr>
          <w:sz w:val="20"/>
        </w:rPr>
      </w:pPr>
    </w:p>
    <w:p>
      <w:pPr>
        <w:pStyle w:val="BodyText"/>
        <w:ind w:left="0"/>
        <w:rPr>
          <w:sz w:val="20"/>
        </w:rPr>
      </w:pPr>
    </w:p>
    <w:p>
      <w:pPr>
        <w:pStyle w:val="BodyText"/>
        <w:spacing w:before="1"/>
        <w:ind w:left="0"/>
        <w:rPr>
          <w:sz w:val="18"/>
        </w:rPr>
      </w:pPr>
    </w:p>
    <w:p>
      <w:pPr>
        <w:pStyle w:val="BodyText"/>
        <w:ind w:left="4521"/>
      </w:pPr>
      <w:r>
        <w:rPr>
          <w:spacing w:val="-2"/>
        </w:rPr>
        <w:t>投 标 人 ：</w:t>
      </w:r>
      <w:r>
        <w:rPr>
          <w:spacing w:val="1"/>
          <w:u w:val="single"/>
        </w:rPr>
        <w:t>                  </w:t>
      </w:r>
      <w:r>
        <w:rPr>
          <w:spacing w:val="-3"/>
        </w:rPr>
        <w:t>（ 盖 单 位 章 ）</w:t>
      </w:r>
      <w:r>
        <w:rPr/>
        <w:t> </w:t>
      </w:r>
    </w:p>
    <w:p>
      <w:pPr>
        <w:pStyle w:val="BodyText"/>
        <w:spacing w:before="4"/>
        <w:ind w:left="0"/>
        <w:rPr>
          <w:sz w:val="12"/>
        </w:rPr>
      </w:pPr>
    </w:p>
    <w:p>
      <w:pPr>
        <w:pStyle w:val="BodyText"/>
        <w:spacing w:before="72"/>
        <w:ind w:left="5361"/>
      </w:pPr>
      <w:r>
        <w:rPr>
          <w:w w:val="100"/>
          <w:u w:val="single"/>
        </w:rPr>
        <w:t>     </w:t>
      </w:r>
      <w:r>
        <w:rPr>
          <w:spacing w:val="-3"/>
          <w:w w:val="100"/>
          <w:u w:val="single"/>
        </w:rPr>
        <w:t> </w:t>
      </w:r>
      <w:r>
        <w:rPr>
          <w:w w:val="100"/>
          <w:u w:val="single"/>
        </w:rPr>
        <w:t>   </w:t>
      </w:r>
      <w:r>
        <w:rPr>
          <w:spacing w:val="-3"/>
          <w:w w:val="100"/>
          <w:u w:val="single"/>
        </w:rPr>
        <w:t> </w:t>
      </w:r>
      <w:r>
        <w:rPr>
          <w:w w:val="100"/>
          <w:u w:val="single"/>
        </w:rPr>
        <w:t>   </w:t>
      </w:r>
      <w:r>
        <w:rPr>
          <w:spacing w:val="-3"/>
          <w:w w:val="100"/>
          <w:u w:val="single"/>
        </w:rPr>
        <w:t> </w:t>
      </w:r>
      <w:r>
        <w:rPr>
          <w:w w:val="100"/>
          <w:u w:val="single"/>
        </w:rPr>
        <w:t> </w:t>
      </w:r>
      <w:r>
        <w:rPr>
          <w:spacing w:val="-1"/>
          <w:w w:val="100"/>
          <w:u w:val="single"/>
        </w:rPr>
        <w:t> </w:t>
      </w:r>
      <w:r>
        <w:rPr>
          <w:spacing w:val="-3"/>
        </w:rPr>
        <w:t>年</w:t>
      </w:r>
      <w:r>
        <w:rPr>
          <w:spacing w:val="-3"/>
          <w:u w:val="single"/>
        </w:rPr>
        <w:t>        </w:t>
      </w:r>
      <w:r>
        <w:rPr/>
        <w:t>月</w:t>
      </w:r>
      <w:r>
        <w:rPr>
          <w:spacing w:val="2"/>
          <w:u w:val="single"/>
        </w:rPr>
        <w:t>        </w:t>
      </w:r>
      <w:r>
        <w:rPr>
          <w:spacing w:val="-3"/>
        </w:rPr>
        <w:t>日</w:t>
      </w:r>
      <w:r>
        <w:rPr/>
        <w:t> </w:t>
      </w:r>
    </w:p>
    <w:p>
      <w:pPr>
        <w:spacing w:after="0"/>
        <w:sectPr>
          <w:pgSz w:w="11910" w:h="16850"/>
          <w:pgMar w:header="0" w:footer="779" w:top="1600" w:bottom="1040" w:left="1120" w:right="280"/>
        </w:sectPr>
      </w:pPr>
    </w:p>
    <w:p>
      <w:pPr>
        <w:pStyle w:val="BodyText"/>
        <w:ind w:left="0"/>
        <w:rPr>
          <w:sz w:val="20"/>
        </w:rPr>
      </w:pPr>
    </w:p>
    <w:p>
      <w:pPr>
        <w:pStyle w:val="BodyText"/>
        <w:ind w:left="0"/>
        <w:rPr>
          <w:sz w:val="20"/>
        </w:rPr>
      </w:pPr>
    </w:p>
    <w:p>
      <w:pPr>
        <w:pStyle w:val="BodyText"/>
        <w:spacing w:before="6"/>
        <w:ind w:left="0"/>
        <w:rPr>
          <w:sz w:val="25"/>
        </w:rPr>
      </w:pPr>
    </w:p>
    <w:p>
      <w:pPr>
        <w:pStyle w:val="Heading1"/>
        <w:spacing w:line="702" w:lineRule="exact"/>
      </w:pPr>
      <w:bookmarkStart w:name="第三章  评标办法（综合评估法）" w:id="206"/>
      <w:bookmarkEnd w:id="206"/>
      <w:r>
        <w:rPr>
          <w:b w:val="0"/>
        </w:rPr>
      </w:r>
      <w:bookmarkStart w:name="_bookmark73" w:id="207"/>
      <w:bookmarkEnd w:id="207"/>
      <w:r>
        <w:rPr>
          <w:b w:val="0"/>
        </w:rPr>
      </w:r>
      <w:r>
        <w:rPr/>
        <w:t>第三章 评标办法（综合评估法）</w:t>
      </w:r>
      <w:r>
        <w:rPr>
          <w:w w:val="199"/>
        </w:rPr>
        <w:t> </w:t>
      </w:r>
    </w:p>
    <w:p>
      <w:pPr>
        <w:pStyle w:val="Heading1"/>
        <w:spacing w:before="47"/>
      </w:pPr>
      <w:bookmarkStart w:name="评标办法前附表" w:id="208"/>
      <w:bookmarkEnd w:id="208"/>
      <w:r>
        <w:rPr>
          <w:b w:val="0"/>
        </w:rPr>
      </w:r>
      <w:bookmarkStart w:name="_bookmark74" w:id="209"/>
      <w:bookmarkEnd w:id="209"/>
      <w:r>
        <w:rPr>
          <w:b w:val="0"/>
        </w:rPr>
      </w:r>
      <w:r>
        <w:rPr/>
        <w:t>评标办法前附表</w:t>
      </w:r>
      <w:r>
        <w:rPr>
          <w:w w:val="199"/>
        </w:rPr>
        <w:t> </w:t>
      </w:r>
    </w:p>
    <w:p>
      <w:pPr>
        <w:pStyle w:val="BodyText"/>
        <w:spacing w:before="8"/>
        <w:ind w:left="0"/>
        <w:rPr>
          <w:rFonts w:ascii="Microsoft JhengHei"/>
          <w:b/>
          <w:sz w:val="10"/>
        </w:rPr>
      </w:pPr>
    </w:p>
    <w:tbl>
      <w:tblPr>
        <w:tblW w:w="0" w:type="auto"/>
        <w:jc w:val="left"/>
        <w:tblInd w:w="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8"/>
        <w:gridCol w:w="874"/>
        <w:gridCol w:w="1098"/>
        <w:gridCol w:w="1837"/>
        <w:gridCol w:w="4339"/>
      </w:tblGrid>
      <w:tr>
        <w:trPr>
          <w:trHeight w:val="844" w:hRule="atLeast"/>
        </w:trPr>
        <w:tc>
          <w:tcPr>
            <w:tcW w:w="828" w:type="dxa"/>
          </w:tcPr>
          <w:p>
            <w:pPr>
              <w:pStyle w:val="TableParagraph"/>
              <w:spacing w:line="244" w:lineRule="auto" w:before="149"/>
              <w:ind w:left="309" w:right="184" w:hanging="106"/>
              <w:rPr>
                <w:sz w:val="21"/>
              </w:rPr>
            </w:pPr>
            <w:r>
              <w:rPr>
                <w:sz w:val="21"/>
              </w:rPr>
              <w:t>条款号</w:t>
            </w:r>
          </w:p>
        </w:tc>
        <w:tc>
          <w:tcPr>
            <w:tcW w:w="3809" w:type="dxa"/>
            <w:gridSpan w:val="3"/>
          </w:tcPr>
          <w:p>
            <w:pPr>
              <w:pStyle w:val="TableParagraph"/>
              <w:spacing w:before="10"/>
              <w:rPr>
                <w:rFonts w:ascii="Microsoft JhengHei"/>
                <w:b/>
                <w:sz w:val="15"/>
              </w:rPr>
            </w:pPr>
          </w:p>
          <w:p>
            <w:pPr>
              <w:pStyle w:val="TableParagraph"/>
              <w:ind w:left="1462" w:right="1452"/>
              <w:jc w:val="center"/>
              <w:rPr>
                <w:sz w:val="21"/>
              </w:rPr>
            </w:pPr>
            <w:r>
              <w:rPr>
                <w:sz w:val="21"/>
              </w:rPr>
              <w:t>评审因素</w:t>
            </w:r>
          </w:p>
        </w:tc>
        <w:tc>
          <w:tcPr>
            <w:tcW w:w="4339" w:type="dxa"/>
          </w:tcPr>
          <w:p>
            <w:pPr>
              <w:pStyle w:val="TableParagraph"/>
              <w:spacing w:before="10"/>
              <w:rPr>
                <w:rFonts w:ascii="Microsoft JhengHei"/>
                <w:b/>
                <w:sz w:val="15"/>
              </w:rPr>
            </w:pPr>
          </w:p>
          <w:p>
            <w:pPr>
              <w:pStyle w:val="TableParagraph"/>
              <w:ind w:left="1726" w:right="1718"/>
              <w:jc w:val="center"/>
              <w:rPr>
                <w:sz w:val="21"/>
              </w:rPr>
            </w:pPr>
            <w:r>
              <w:rPr>
                <w:sz w:val="21"/>
              </w:rPr>
              <w:t>评审标准</w:t>
            </w:r>
          </w:p>
        </w:tc>
      </w:tr>
      <w:tr>
        <w:trPr>
          <w:trHeight w:val="3024" w:hRule="atLeast"/>
        </w:trPr>
        <w:tc>
          <w:tcPr>
            <w:tcW w:w="828"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6"/>
              <w:rPr>
                <w:rFonts w:ascii="Microsoft JhengHei"/>
                <w:b/>
                <w:sz w:val="17"/>
              </w:rPr>
            </w:pPr>
          </w:p>
          <w:p>
            <w:pPr>
              <w:pStyle w:val="TableParagraph"/>
              <w:ind w:left="201"/>
              <w:rPr>
                <w:rFonts w:ascii="Calibri"/>
                <w:sz w:val="21"/>
              </w:rPr>
            </w:pPr>
            <w:r>
              <w:rPr>
                <w:rFonts w:ascii="Calibri"/>
                <w:sz w:val="21"/>
              </w:rPr>
              <w:t>2.1.1</w:t>
            </w:r>
          </w:p>
        </w:tc>
        <w:tc>
          <w:tcPr>
            <w:tcW w:w="874"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2"/>
              <w:rPr>
                <w:rFonts w:ascii="Microsoft JhengHei"/>
                <w:b/>
                <w:sz w:val="20"/>
              </w:rPr>
            </w:pPr>
          </w:p>
          <w:p>
            <w:pPr>
              <w:pStyle w:val="TableParagraph"/>
              <w:spacing w:line="242" w:lineRule="auto"/>
              <w:ind w:left="328" w:right="317"/>
              <w:jc w:val="both"/>
              <w:rPr>
                <w:sz w:val="21"/>
              </w:rPr>
            </w:pPr>
            <w:r>
              <w:rPr>
                <w:sz w:val="21"/>
              </w:rPr>
              <w:t>资格评审标准</w:t>
            </w:r>
          </w:p>
        </w:tc>
        <w:tc>
          <w:tcPr>
            <w:tcW w:w="1098"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6"/>
              <w:rPr>
                <w:rFonts w:ascii="Microsoft JhengHei"/>
                <w:b/>
                <w:sz w:val="25"/>
              </w:rPr>
            </w:pPr>
          </w:p>
          <w:p>
            <w:pPr>
              <w:pStyle w:val="TableParagraph"/>
              <w:spacing w:line="242" w:lineRule="auto" w:before="1"/>
              <w:ind w:left="229" w:right="217"/>
              <w:jc w:val="center"/>
              <w:rPr>
                <w:sz w:val="21"/>
              </w:rPr>
            </w:pPr>
            <w:r>
              <w:rPr>
                <w:spacing w:val="-6"/>
                <w:sz w:val="21"/>
              </w:rPr>
              <w:t>有限数</w:t>
            </w:r>
            <w:r>
              <w:rPr>
                <w:sz w:val="21"/>
              </w:rPr>
              <w:t>量制 </w:t>
            </w:r>
            <w:r>
              <w:rPr>
                <w:spacing w:val="-6"/>
                <w:sz w:val="21"/>
              </w:rPr>
              <w:t>资信审查评分</w:t>
            </w:r>
          </w:p>
          <w:p>
            <w:pPr>
              <w:pStyle w:val="TableParagraph"/>
              <w:spacing w:line="242" w:lineRule="auto" w:before="2"/>
              <w:ind w:left="148" w:right="94" w:hanging="42"/>
              <w:jc w:val="center"/>
              <w:rPr>
                <w:sz w:val="21"/>
              </w:rPr>
            </w:pPr>
            <w:r>
              <w:rPr>
                <w:sz w:val="21"/>
              </w:rPr>
              <w:t>（满分</w:t>
            </w:r>
            <w:r>
              <w:rPr>
                <w:rFonts w:ascii="Calibri" w:eastAsia="Calibri"/>
                <w:sz w:val="21"/>
              </w:rPr>
              <w:t>100</w:t>
            </w:r>
            <w:r>
              <w:rPr>
                <w:rFonts w:ascii="Calibri" w:eastAsia="Calibri"/>
                <w:spacing w:val="5"/>
                <w:sz w:val="21"/>
              </w:rPr>
              <w:t> </w:t>
            </w:r>
            <w:r>
              <w:rPr>
                <w:sz w:val="21"/>
              </w:rPr>
              <w:t>分， 分值权 </w:t>
            </w:r>
            <w:r>
              <w:rPr>
                <w:spacing w:val="-24"/>
                <w:sz w:val="21"/>
              </w:rPr>
              <w:t>重 </w:t>
            </w:r>
            <w:r>
              <w:rPr>
                <w:rFonts w:ascii="Calibri" w:eastAsia="Calibri"/>
                <w:spacing w:val="-5"/>
                <w:sz w:val="21"/>
              </w:rPr>
              <w:t>10%</w:t>
            </w:r>
            <w:r>
              <w:rPr>
                <w:spacing w:val="-5"/>
                <w:sz w:val="21"/>
              </w:rPr>
              <w:t>）</w:t>
            </w:r>
          </w:p>
        </w:tc>
        <w:tc>
          <w:tcPr>
            <w:tcW w:w="6176" w:type="dxa"/>
            <w:gridSpan w:val="2"/>
          </w:tcPr>
          <w:p>
            <w:pPr>
              <w:pStyle w:val="TableParagraph"/>
              <w:spacing w:line="242" w:lineRule="auto" w:before="152"/>
              <w:ind w:left="147" w:right="29"/>
              <w:rPr>
                <w:sz w:val="21"/>
              </w:rPr>
            </w:pPr>
            <w:r>
              <w:rPr>
                <w:rFonts w:ascii="Calibri" w:hAnsi="Calibri" w:eastAsia="Calibri"/>
                <w:sz w:val="21"/>
              </w:rPr>
              <w:t>1</w:t>
            </w:r>
            <w:r>
              <w:rPr>
                <w:spacing w:val="-5"/>
                <w:sz w:val="21"/>
              </w:rPr>
              <w:t>、投标人符合第二章</w:t>
            </w:r>
            <w:r>
              <w:rPr>
                <w:rFonts w:ascii="Calibri" w:hAnsi="Calibri" w:eastAsia="Calibri"/>
                <w:sz w:val="21"/>
              </w:rPr>
              <w:t>“</w:t>
            </w:r>
            <w:r>
              <w:rPr>
                <w:spacing w:val="-3"/>
                <w:sz w:val="21"/>
              </w:rPr>
              <w:t>投标人须知</w:t>
            </w:r>
            <w:r>
              <w:rPr>
                <w:rFonts w:ascii="Calibri" w:hAnsi="Calibri" w:eastAsia="Calibri"/>
                <w:sz w:val="21"/>
              </w:rPr>
              <w:t>”</w:t>
            </w:r>
            <w:r>
              <w:rPr>
                <w:spacing w:val="-25"/>
                <w:sz w:val="21"/>
              </w:rPr>
              <w:t>第 </w:t>
            </w:r>
            <w:r>
              <w:rPr>
                <w:rFonts w:ascii="Calibri" w:hAnsi="Calibri" w:eastAsia="Calibri"/>
                <w:sz w:val="21"/>
              </w:rPr>
              <w:t>1.4 </w:t>
            </w:r>
            <w:r>
              <w:rPr>
                <w:spacing w:val="-6"/>
                <w:sz w:val="21"/>
              </w:rPr>
              <w:t>项规定的，且按规定提</w:t>
            </w:r>
            <w:r>
              <w:rPr>
                <w:spacing w:val="-4"/>
                <w:w w:val="100"/>
                <w:sz w:val="21"/>
              </w:rPr>
              <w:t>交了第二章</w:t>
            </w:r>
            <w:r>
              <w:rPr>
                <w:rFonts w:ascii="Calibri" w:hAnsi="Calibri" w:eastAsia="Calibri"/>
                <w:w w:val="100"/>
                <w:sz w:val="21"/>
              </w:rPr>
              <w:t>“</w:t>
            </w:r>
            <w:r>
              <w:rPr>
                <w:spacing w:val="-3"/>
                <w:w w:val="100"/>
                <w:sz w:val="21"/>
              </w:rPr>
              <w:t>投标人须知前附表</w:t>
            </w:r>
            <w:r>
              <w:rPr>
                <w:rFonts w:ascii="Calibri" w:hAnsi="Calibri" w:eastAsia="Calibri"/>
                <w:spacing w:val="-2"/>
                <w:w w:val="100"/>
                <w:sz w:val="21"/>
              </w:rPr>
              <w:t>”</w:t>
            </w:r>
            <w:r>
              <w:rPr>
                <w:rFonts w:ascii="Calibri" w:hAnsi="Calibri" w:eastAsia="Calibri"/>
                <w:w w:val="100"/>
                <w:sz w:val="21"/>
              </w:rPr>
              <w:t>3</w:t>
            </w:r>
            <w:r>
              <w:rPr>
                <w:rFonts w:ascii="Calibri" w:hAnsi="Calibri" w:eastAsia="Calibri"/>
                <w:spacing w:val="-3"/>
                <w:w w:val="100"/>
                <w:sz w:val="21"/>
              </w:rPr>
              <w:t>.</w:t>
            </w:r>
            <w:r>
              <w:rPr>
                <w:rFonts w:ascii="Calibri" w:hAnsi="Calibri" w:eastAsia="Calibri"/>
                <w:w w:val="100"/>
                <w:sz w:val="21"/>
              </w:rPr>
              <w:t>1</w:t>
            </w:r>
            <w:r>
              <w:rPr>
                <w:rFonts w:ascii="Calibri" w:hAnsi="Calibri" w:eastAsia="Calibri"/>
                <w:spacing w:val="-1"/>
                <w:w w:val="100"/>
                <w:sz w:val="21"/>
              </w:rPr>
              <w:t>.</w:t>
            </w:r>
            <w:r>
              <w:rPr>
                <w:rFonts w:ascii="Calibri" w:hAnsi="Calibri" w:eastAsia="Calibri"/>
                <w:w w:val="100"/>
                <w:sz w:val="21"/>
              </w:rPr>
              <w:t>1</w:t>
            </w:r>
            <w:r>
              <w:rPr>
                <w:rFonts w:ascii="Calibri" w:hAnsi="Calibri" w:eastAsia="Calibri"/>
                <w:sz w:val="21"/>
              </w:rPr>
              <w:t> </w:t>
            </w:r>
            <w:r>
              <w:rPr>
                <w:spacing w:val="-15"/>
                <w:w w:val="100"/>
                <w:sz w:val="21"/>
              </w:rPr>
              <w:t>项资格审查部分</w:t>
            </w:r>
            <w:r>
              <w:rPr>
                <w:w w:val="100"/>
                <w:sz w:val="21"/>
              </w:rPr>
              <w:t>（</w:t>
            </w:r>
            <w:r>
              <w:rPr>
                <w:rFonts w:ascii="Calibri" w:hAnsi="Calibri" w:eastAsia="Calibri"/>
                <w:w w:val="100"/>
                <w:sz w:val="21"/>
              </w:rPr>
              <w:t>1</w:t>
            </w:r>
            <w:r>
              <w:rPr>
                <w:rFonts w:ascii="Calibri" w:hAnsi="Calibri" w:eastAsia="Calibri"/>
                <w:spacing w:val="5"/>
                <w:sz w:val="21"/>
              </w:rPr>
              <w:t>  </w:t>
            </w:r>
            <w:r>
              <w:rPr>
                <w:spacing w:val="-85"/>
                <w:w w:val="100"/>
                <w:sz w:val="21"/>
              </w:rPr>
              <w:t>）</w:t>
            </w:r>
            <w:r>
              <w:rPr>
                <w:spacing w:val="-82"/>
                <w:w w:val="100"/>
                <w:sz w:val="21"/>
              </w:rPr>
              <w:t>～</w:t>
            </w:r>
            <w:r>
              <w:rPr>
                <w:spacing w:val="-3"/>
                <w:w w:val="100"/>
                <w:sz w:val="21"/>
              </w:rPr>
              <w:t>（</w:t>
            </w:r>
            <w:r>
              <w:rPr>
                <w:rFonts w:ascii="Calibri" w:hAnsi="Calibri" w:eastAsia="Calibri"/>
                <w:w w:val="100"/>
                <w:sz w:val="21"/>
              </w:rPr>
              <w:t>9</w:t>
            </w:r>
            <w:r>
              <w:rPr>
                <w:w w:val="100"/>
                <w:sz w:val="21"/>
              </w:rPr>
              <w:t>）</w:t>
            </w:r>
            <w:r>
              <w:rPr>
                <w:spacing w:val="-3"/>
                <w:sz w:val="21"/>
              </w:rPr>
              <w:t>项内容的，方可进行资信审查评分。</w:t>
            </w:r>
          </w:p>
          <w:p>
            <w:pPr>
              <w:pStyle w:val="TableParagraph"/>
              <w:spacing w:before="1"/>
              <w:ind w:left="147"/>
              <w:rPr>
                <w:sz w:val="21"/>
              </w:rPr>
            </w:pPr>
            <w:r>
              <w:rPr>
                <w:rFonts w:ascii="Calibri" w:eastAsia="Calibri"/>
                <w:sz w:val="21"/>
              </w:rPr>
              <w:t>2</w:t>
            </w:r>
            <w:r>
              <w:rPr>
                <w:spacing w:val="-8"/>
                <w:sz w:val="21"/>
              </w:rPr>
              <w:t>、资信审查满分为 </w:t>
            </w:r>
            <w:r>
              <w:rPr>
                <w:rFonts w:ascii="Calibri" w:eastAsia="Calibri"/>
                <w:sz w:val="21"/>
              </w:rPr>
              <w:t>100</w:t>
            </w:r>
            <w:r>
              <w:rPr>
                <w:rFonts w:ascii="Calibri" w:eastAsia="Calibri"/>
                <w:spacing w:val="13"/>
                <w:sz w:val="21"/>
              </w:rPr>
              <w:t> </w:t>
            </w:r>
            <w:r>
              <w:rPr>
                <w:spacing w:val="-12"/>
                <w:sz w:val="21"/>
              </w:rPr>
              <w:t>分，总分 </w:t>
            </w:r>
            <w:r>
              <w:rPr>
                <w:rFonts w:ascii="Calibri" w:eastAsia="Calibri"/>
                <w:sz w:val="21"/>
              </w:rPr>
              <w:t>60</w:t>
            </w:r>
            <w:r>
              <w:rPr>
                <w:rFonts w:ascii="Calibri" w:eastAsia="Calibri"/>
                <w:spacing w:val="9"/>
                <w:sz w:val="21"/>
              </w:rPr>
              <w:t> </w:t>
            </w:r>
            <w:r>
              <w:rPr>
                <w:spacing w:val="-4"/>
                <w:sz w:val="21"/>
              </w:rPr>
              <w:t>分及以上为合格，按得分由</w:t>
            </w:r>
          </w:p>
          <w:p>
            <w:pPr>
              <w:pStyle w:val="TableParagraph"/>
              <w:spacing w:before="5"/>
              <w:ind w:left="147"/>
              <w:rPr>
                <w:sz w:val="21"/>
              </w:rPr>
            </w:pPr>
            <w:r>
              <w:rPr>
                <w:spacing w:val="-8"/>
                <w:sz w:val="21"/>
              </w:rPr>
              <w:t>高到低的顺序选择 </w:t>
            </w:r>
            <w:r>
              <w:rPr>
                <w:rFonts w:ascii="Calibri" w:eastAsia="Calibri"/>
                <w:sz w:val="21"/>
              </w:rPr>
              <w:t>9</w:t>
            </w:r>
            <w:r>
              <w:rPr>
                <w:rFonts w:ascii="Calibri" w:eastAsia="Calibri"/>
                <w:spacing w:val="17"/>
                <w:sz w:val="21"/>
              </w:rPr>
              <w:t> </w:t>
            </w:r>
            <w:r>
              <w:rPr>
                <w:spacing w:val="-3"/>
                <w:sz w:val="21"/>
              </w:rPr>
              <w:t>家投标单位作为合格投标人进入本工程的下</w:t>
            </w:r>
          </w:p>
          <w:p>
            <w:pPr>
              <w:pStyle w:val="TableParagraph"/>
              <w:spacing w:before="2"/>
              <w:ind w:left="147"/>
              <w:rPr>
                <w:sz w:val="21"/>
              </w:rPr>
            </w:pPr>
            <w:r>
              <w:rPr>
                <w:spacing w:val="-7"/>
                <w:sz w:val="21"/>
              </w:rPr>
              <w:t>一阶段评审，如前第 </w:t>
            </w:r>
            <w:r>
              <w:rPr>
                <w:rFonts w:ascii="Calibri" w:eastAsia="Calibri"/>
                <w:sz w:val="21"/>
              </w:rPr>
              <w:t>9</w:t>
            </w:r>
            <w:r>
              <w:rPr>
                <w:rFonts w:ascii="Calibri" w:eastAsia="Calibri"/>
                <w:spacing w:val="23"/>
                <w:sz w:val="21"/>
              </w:rPr>
              <w:t> </w:t>
            </w:r>
            <w:r>
              <w:rPr>
                <w:spacing w:val="-4"/>
                <w:sz w:val="21"/>
              </w:rPr>
              <w:t>名有得分相同的，则一并进入下一阶段评</w:t>
            </w:r>
          </w:p>
          <w:p>
            <w:pPr>
              <w:pStyle w:val="TableParagraph"/>
              <w:spacing w:line="242" w:lineRule="auto" w:before="4"/>
              <w:ind w:left="147" w:right="134"/>
              <w:rPr>
                <w:sz w:val="21"/>
              </w:rPr>
            </w:pPr>
            <w:r>
              <w:rPr>
                <w:spacing w:val="-3"/>
                <w:w w:val="100"/>
                <w:sz w:val="21"/>
              </w:rPr>
              <w:t>审，如参加投标的单位不足</w:t>
            </w:r>
            <w:r>
              <w:rPr>
                <w:spacing w:val="-3"/>
                <w:sz w:val="21"/>
              </w:rPr>
              <w:t> </w:t>
            </w:r>
            <w:r>
              <w:rPr>
                <w:rFonts w:ascii="Calibri" w:eastAsia="Calibri"/>
                <w:w w:val="100"/>
                <w:sz w:val="21"/>
              </w:rPr>
              <w:t>9</w:t>
            </w:r>
            <w:r>
              <w:rPr>
                <w:rFonts w:ascii="Calibri" w:eastAsia="Calibri"/>
                <w:sz w:val="21"/>
              </w:rPr>
              <w:t> </w:t>
            </w:r>
            <w:r>
              <w:rPr>
                <w:w w:val="100"/>
                <w:sz w:val="21"/>
              </w:rPr>
              <w:t>名</w:t>
            </w:r>
            <w:r>
              <w:rPr>
                <w:spacing w:val="-3"/>
                <w:w w:val="100"/>
                <w:sz w:val="21"/>
              </w:rPr>
              <w:t>（</w:t>
            </w:r>
            <w:r>
              <w:rPr>
                <w:w w:val="100"/>
                <w:sz w:val="21"/>
              </w:rPr>
              <w:t>含</w:t>
            </w:r>
            <w:r>
              <w:rPr>
                <w:spacing w:val="-55"/>
                <w:sz w:val="21"/>
              </w:rPr>
              <w:t> </w:t>
            </w:r>
            <w:r>
              <w:rPr>
                <w:rFonts w:ascii="Calibri" w:eastAsia="Calibri"/>
                <w:w w:val="100"/>
                <w:sz w:val="21"/>
              </w:rPr>
              <w:t>9</w:t>
            </w:r>
            <w:r>
              <w:rPr>
                <w:rFonts w:ascii="Calibri" w:eastAsia="Calibri"/>
                <w:sz w:val="21"/>
              </w:rPr>
              <w:t> </w:t>
            </w:r>
            <w:r>
              <w:rPr>
                <w:spacing w:val="-3"/>
                <w:w w:val="100"/>
                <w:sz w:val="21"/>
              </w:rPr>
              <w:t>名</w:t>
            </w:r>
            <w:r>
              <w:rPr>
                <w:spacing w:val="-106"/>
                <w:w w:val="100"/>
                <w:sz w:val="21"/>
              </w:rPr>
              <w:t>）</w:t>
            </w:r>
            <w:r>
              <w:rPr>
                <w:spacing w:val="-3"/>
                <w:w w:val="100"/>
                <w:sz w:val="21"/>
              </w:rPr>
              <w:t>，则全部达到合格分</w:t>
            </w:r>
            <w:r>
              <w:rPr>
                <w:spacing w:val="-11"/>
                <w:sz w:val="21"/>
              </w:rPr>
              <w:t>数线的投标人进入下一阶段评审。【备注：参照建市〔</w:t>
            </w:r>
            <w:r>
              <w:rPr>
                <w:rFonts w:ascii="Calibri" w:eastAsia="Calibri"/>
                <w:sz w:val="21"/>
              </w:rPr>
              <w:t>2005</w:t>
            </w:r>
            <w:r>
              <w:rPr>
                <w:spacing w:val="-5"/>
                <w:sz w:val="21"/>
              </w:rPr>
              <w:t>〕</w:t>
            </w:r>
            <w:r>
              <w:rPr>
                <w:rFonts w:ascii="Calibri" w:eastAsia="Calibri"/>
                <w:sz w:val="21"/>
              </w:rPr>
              <w:t>208 </w:t>
            </w:r>
            <w:r>
              <w:rPr>
                <w:spacing w:val="-7"/>
                <w:sz w:val="21"/>
              </w:rPr>
              <w:t>号文，原则上工程投资额 </w:t>
            </w:r>
            <w:r>
              <w:rPr>
                <w:rFonts w:ascii="Calibri" w:eastAsia="Calibri"/>
                <w:sz w:val="21"/>
              </w:rPr>
              <w:t>1000 </w:t>
            </w:r>
            <w:r>
              <w:rPr>
                <w:spacing w:val="-3"/>
                <w:sz w:val="21"/>
              </w:rPr>
              <w:t>万元以上的工程项目，合格投标</w:t>
            </w:r>
          </w:p>
          <w:p>
            <w:pPr>
              <w:pStyle w:val="TableParagraph"/>
              <w:spacing w:before="1"/>
              <w:ind w:left="147"/>
              <w:rPr>
                <w:sz w:val="21"/>
              </w:rPr>
            </w:pPr>
            <w:r>
              <w:rPr>
                <w:sz w:val="21"/>
              </w:rPr>
              <w:t>人家数应当不少于 </w:t>
            </w:r>
            <w:r>
              <w:rPr>
                <w:rFonts w:ascii="Calibri" w:eastAsia="Calibri"/>
                <w:sz w:val="21"/>
              </w:rPr>
              <w:t>9 </w:t>
            </w:r>
            <w:r>
              <w:rPr>
                <w:sz w:val="21"/>
              </w:rPr>
              <w:t>个】</w:t>
            </w:r>
          </w:p>
        </w:tc>
      </w:tr>
      <w:tr>
        <w:trPr>
          <w:trHeight w:val="4930" w:hRule="atLeast"/>
        </w:trPr>
        <w:tc>
          <w:tcPr>
            <w:tcW w:w="828" w:type="dxa"/>
            <w:vMerge/>
            <w:tcBorders>
              <w:top w:val="nil"/>
            </w:tcBorders>
          </w:tcPr>
          <w:p>
            <w:pPr>
              <w:rPr>
                <w:sz w:val="2"/>
                <w:szCs w:val="2"/>
              </w:rPr>
            </w:pPr>
          </w:p>
        </w:tc>
        <w:tc>
          <w:tcPr>
            <w:tcW w:w="874" w:type="dxa"/>
            <w:vMerge/>
            <w:tcBorders>
              <w:top w:val="nil"/>
            </w:tcBorders>
          </w:tcPr>
          <w:p>
            <w:pPr>
              <w:rPr>
                <w:sz w:val="2"/>
                <w:szCs w:val="2"/>
              </w:rPr>
            </w:pPr>
          </w:p>
        </w:tc>
        <w:tc>
          <w:tcPr>
            <w:tcW w:w="1098" w:type="dxa"/>
            <w:vMerge/>
            <w:tcBorders>
              <w:top w:val="nil"/>
            </w:tcBorders>
          </w:tcPr>
          <w:p>
            <w:pPr>
              <w:rPr>
                <w:sz w:val="2"/>
                <w:szCs w:val="2"/>
              </w:rPr>
            </w:pPr>
          </w:p>
        </w:tc>
        <w:tc>
          <w:tcPr>
            <w:tcW w:w="1837" w:type="dxa"/>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6"/>
              <w:rPr>
                <w:rFonts w:ascii="Microsoft JhengHei"/>
                <w:b/>
                <w:sz w:val="19"/>
              </w:rPr>
            </w:pPr>
          </w:p>
          <w:p>
            <w:pPr>
              <w:pStyle w:val="TableParagraph"/>
              <w:ind w:left="147"/>
              <w:rPr>
                <w:sz w:val="21"/>
              </w:rPr>
            </w:pPr>
            <w:r>
              <w:rPr>
                <w:sz w:val="21"/>
              </w:rPr>
              <w:t>（一）企业情况</w:t>
            </w:r>
          </w:p>
          <w:p>
            <w:pPr>
              <w:pStyle w:val="TableParagraph"/>
              <w:spacing w:before="2"/>
              <w:ind w:left="147"/>
              <w:rPr>
                <w:sz w:val="21"/>
              </w:rPr>
            </w:pPr>
            <w:r>
              <w:rPr>
                <w:sz w:val="21"/>
              </w:rPr>
              <w:t>（</w:t>
            </w:r>
            <w:r>
              <w:rPr>
                <w:spacing w:val="-20"/>
                <w:sz w:val="21"/>
              </w:rPr>
              <w:t>满分 </w:t>
            </w:r>
            <w:r>
              <w:rPr>
                <w:rFonts w:ascii="Calibri" w:eastAsia="Calibri"/>
                <w:sz w:val="21"/>
              </w:rPr>
              <w:t>20.00 </w:t>
            </w:r>
            <w:r>
              <w:rPr>
                <w:spacing w:val="-3"/>
                <w:sz w:val="21"/>
              </w:rPr>
              <w:t>分）</w:t>
            </w:r>
          </w:p>
        </w:tc>
        <w:tc>
          <w:tcPr>
            <w:tcW w:w="4339" w:type="dxa"/>
          </w:tcPr>
          <w:p>
            <w:pPr>
              <w:pStyle w:val="TableParagraph"/>
              <w:spacing w:line="242" w:lineRule="auto" w:before="152"/>
              <w:ind w:left="146" w:right="68"/>
              <w:rPr>
                <w:sz w:val="21"/>
              </w:rPr>
            </w:pPr>
            <w:r>
              <w:rPr>
                <w:sz w:val="21"/>
              </w:rPr>
              <w:t>（</w:t>
            </w:r>
            <w:r>
              <w:rPr>
                <w:rFonts w:ascii="Calibri" w:eastAsia="Calibri"/>
                <w:sz w:val="21"/>
              </w:rPr>
              <w:t>1</w:t>
            </w:r>
            <w:r>
              <w:rPr>
                <w:sz w:val="21"/>
              </w:rPr>
              <w:t>）资质条件：具备建筑工程施工总承包一级及以上资质的企业得 </w:t>
            </w:r>
            <w:r>
              <w:rPr>
                <w:rFonts w:ascii="Calibri" w:eastAsia="Calibri"/>
                <w:sz w:val="21"/>
              </w:rPr>
              <w:t>10 </w:t>
            </w:r>
            <w:r>
              <w:rPr>
                <w:sz w:val="21"/>
              </w:rPr>
              <w:t>分，具备建筑工</w:t>
            </w:r>
          </w:p>
          <w:p>
            <w:pPr>
              <w:pStyle w:val="TableParagraph"/>
              <w:spacing w:before="1"/>
              <w:ind w:left="146"/>
              <w:rPr>
                <w:sz w:val="21"/>
              </w:rPr>
            </w:pPr>
            <w:r>
              <w:rPr>
                <w:sz w:val="21"/>
              </w:rPr>
              <w:t>程施工总承包二级资质的企业得 </w:t>
            </w:r>
            <w:r>
              <w:rPr>
                <w:rFonts w:ascii="Calibri" w:eastAsia="Calibri"/>
                <w:sz w:val="21"/>
              </w:rPr>
              <w:t>7 </w:t>
            </w:r>
            <w:r>
              <w:rPr>
                <w:sz w:val="21"/>
              </w:rPr>
              <w:t>分，具备</w:t>
            </w:r>
          </w:p>
          <w:p>
            <w:pPr>
              <w:pStyle w:val="TableParagraph"/>
              <w:spacing w:line="242" w:lineRule="auto" w:before="3"/>
              <w:ind w:left="146" w:right="181"/>
              <w:rPr>
                <w:sz w:val="21"/>
              </w:rPr>
            </w:pPr>
            <w:r>
              <w:rPr>
                <w:spacing w:val="-2"/>
                <w:sz w:val="21"/>
              </w:rPr>
              <w:t>建筑工程施工总承包三级资质的企业得 </w:t>
            </w:r>
            <w:r>
              <w:rPr>
                <w:rFonts w:ascii="Calibri" w:eastAsia="Calibri"/>
                <w:sz w:val="21"/>
              </w:rPr>
              <w:t>4 </w:t>
            </w:r>
            <w:r>
              <w:rPr>
                <w:spacing w:val="5"/>
                <w:sz w:val="21"/>
              </w:rPr>
              <w:t>分。 </w:t>
            </w:r>
            <w:r>
              <w:rPr>
                <w:sz w:val="21"/>
              </w:rPr>
              <w:t>（</w:t>
            </w:r>
            <w:r>
              <w:rPr>
                <w:rFonts w:ascii="Calibri" w:eastAsia="Calibri"/>
                <w:sz w:val="21"/>
              </w:rPr>
              <w:t>2</w:t>
            </w:r>
            <w:r>
              <w:rPr>
                <w:sz w:val="21"/>
              </w:rPr>
              <w:t>）</w:t>
            </w:r>
            <w:r>
              <w:rPr>
                <w:spacing w:val="-4"/>
                <w:sz w:val="21"/>
              </w:rPr>
              <w:t>考核期内完成过类似工程项目： </w:t>
            </w:r>
            <w:r>
              <w:rPr>
                <w:rFonts w:ascii="Calibri" w:eastAsia="Calibri"/>
                <w:sz w:val="21"/>
              </w:rPr>
              <w:t>2017</w:t>
            </w:r>
            <w:r>
              <w:rPr>
                <w:rFonts w:ascii="Calibri" w:eastAsia="Calibri"/>
                <w:spacing w:val="9"/>
                <w:sz w:val="21"/>
              </w:rPr>
              <w:t> </w:t>
            </w:r>
            <w:r>
              <w:rPr>
                <w:spacing w:val="-26"/>
                <w:sz w:val="21"/>
              </w:rPr>
              <w:t>年 </w:t>
            </w:r>
            <w:r>
              <w:rPr>
                <w:rFonts w:ascii="Calibri" w:eastAsia="Calibri"/>
                <w:sz w:val="21"/>
              </w:rPr>
              <w:t>10</w:t>
            </w:r>
            <w:r>
              <w:rPr>
                <w:rFonts w:ascii="Calibri" w:eastAsia="Calibri"/>
                <w:spacing w:val="9"/>
                <w:sz w:val="21"/>
              </w:rPr>
              <w:t> </w:t>
            </w:r>
            <w:r>
              <w:rPr>
                <w:spacing w:val="-3"/>
                <w:sz w:val="21"/>
              </w:rPr>
              <w:t>月至今在建或已完成的单项合同</w:t>
            </w:r>
          </w:p>
          <w:p>
            <w:pPr>
              <w:pStyle w:val="TableParagraph"/>
              <w:spacing w:before="3"/>
              <w:ind w:left="146"/>
              <w:rPr>
                <w:rFonts w:ascii="Calibri" w:eastAsia="Calibri"/>
                <w:sz w:val="21"/>
              </w:rPr>
            </w:pPr>
            <w:r>
              <w:rPr>
                <w:spacing w:val="-10"/>
                <w:sz w:val="21"/>
              </w:rPr>
              <w:t>总建筑面积达 </w:t>
            </w:r>
            <w:r>
              <w:rPr>
                <w:rFonts w:ascii="Calibri" w:eastAsia="Calibri"/>
                <w:sz w:val="21"/>
              </w:rPr>
              <w:t>20000</w:t>
            </w:r>
            <w:r>
              <w:rPr>
                <w:rFonts w:ascii="Calibri" w:eastAsia="Calibri"/>
                <w:spacing w:val="4"/>
                <w:sz w:val="21"/>
              </w:rPr>
              <w:t> </w:t>
            </w:r>
            <w:r>
              <w:rPr>
                <w:spacing w:val="-9"/>
                <w:sz w:val="21"/>
              </w:rPr>
              <w:t>㎡或单项合同金额 </w:t>
            </w:r>
            <w:r>
              <w:rPr>
                <w:rFonts w:ascii="Calibri" w:eastAsia="Calibri"/>
                <w:sz w:val="21"/>
              </w:rPr>
              <w:t>7000</w:t>
            </w:r>
          </w:p>
          <w:p>
            <w:pPr>
              <w:pStyle w:val="TableParagraph"/>
              <w:spacing w:before="2"/>
              <w:ind w:left="146"/>
              <w:rPr>
                <w:sz w:val="21"/>
              </w:rPr>
            </w:pPr>
            <w:r>
              <w:rPr>
                <w:spacing w:val="-5"/>
                <w:sz w:val="21"/>
              </w:rPr>
              <w:t>万元及以上的建筑工程，每个得 </w:t>
            </w:r>
            <w:r>
              <w:rPr>
                <w:rFonts w:ascii="Calibri" w:eastAsia="Calibri"/>
                <w:sz w:val="21"/>
              </w:rPr>
              <w:t>3</w:t>
            </w:r>
            <w:r>
              <w:rPr>
                <w:rFonts w:ascii="Calibri" w:eastAsia="Calibri"/>
                <w:spacing w:val="10"/>
                <w:sz w:val="21"/>
              </w:rPr>
              <w:t>  </w:t>
            </w:r>
            <w:r>
              <w:rPr>
                <w:spacing w:val="-9"/>
                <w:sz w:val="21"/>
              </w:rPr>
              <w:t>分，满分</w:t>
            </w:r>
          </w:p>
          <w:p>
            <w:pPr>
              <w:pStyle w:val="TableParagraph"/>
              <w:spacing w:line="242" w:lineRule="auto" w:before="2"/>
              <w:ind w:left="146" w:right="135"/>
              <w:jc w:val="both"/>
              <w:rPr>
                <w:sz w:val="21"/>
              </w:rPr>
            </w:pPr>
            <w:r>
              <w:rPr>
                <w:rFonts w:ascii="Calibri" w:eastAsia="Calibri"/>
                <w:sz w:val="21"/>
              </w:rPr>
              <w:t>3 </w:t>
            </w:r>
            <w:r>
              <w:rPr>
                <w:spacing w:val="-59"/>
                <w:sz w:val="21"/>
              </w:rPr>
              <w:t>分。</w:t>
            </w:r>
            <w:r>
              <w:rPr>
                <w:sz w:val="21"/>
              </w:rPr>
              <w:t>（</w:t>
            </w:r>
            <w:r>
              <w:rPr>
                <w:spacing w:val="-4"/>
                <w:sz w:val="21"/>
              </w:rPr>
              <w:t>联合体任一成员的业绩可认同为联合</w:t>
            </w:r>
            <w:r>
              <w:rPr>
                <w:spacing w:val="-1"/>
                <w:sz w:val="21"/>
              </w:rPr>
              <w:t>体业绩</w:t>
            </w:r>
            <w:r>
              <w:rPr>
                <w:sz w:val="21"/>
              </w:rPr>
              <w:t>） </w:t>
            </w:r>
            <w:r>
              <w:rPr>
                <w:spacing w:val="-9"/>
                <w:sz w:val="21"/>
              </w:rPr>
              <w:t>（</w:t>
            </w:r>
            <w:r>
              <w:rPr>
                <w:rFonts w:ascii="Calibri" w:eastAsia="Calibri"/>
                <w:spacing w:val="-9"/>
                <w:sz w:val="21"/>
              </w:rPr>
              <w:t>3</w:t>
            </w:r>
            <w:r>
              <w:rPr>
                <w:spacing w:val="-9"/>
                <w:sz w:val="21"/>
              </w:rPr>
              <w:t>）</w:t>
            </w:r>
            <w:r>
              <w:rPr>
                <w:spacing w:val="-11"/>
                <w:sz w:val="21"/>
              </w:rPr>
              <w:t>企业管理体系：通过 </w:t>
            </w:r>
            <w:r>
              <w:rPr>
                <w:rFonts w:ascii="Calibri" w:eastAsia="Calibri"/>
                <w:sz w:val="21"/>
              </w:rPr>
              <w:t>ISO9001 </w:t>
            </w:r>
            <w:r>
              <w:rPr>
                <w:spacing w:val="-6"/>
                <w:sz w:val="21"/>
              </w:rPr>
              <w:t>质量管理体系认证且在有效期内，得 </w:t>
            </w:r>
            <w:r>
              <w:rPr>
                <w:rFonts w:ascii="Calibri" w:eastAsia="Calibri"/>
                <w:sz w:val="21"/>
              </w:rPr>
              <w:t>2 </w:t>
            </w:r>
            <w:r>
              <w:rPr>
                <w:sz w:val="21"/>
              </w:rPr>
              <w:t>分。</w:t>
            </w:r>
          </w:p>
          <w:p>
            <w:pPr>
              <w:pStyle w:val="TableParagraph"/>
              <w:spacing w:line="242" w:lineRule="auto" w:before="3"/>
              <w:ind w:left="146" w:right="135"/>
              <w:jc w:val="both"/>
              <w:rPr>
                <w:sz w:val="21"/>
              </w:rPr>
            </w:pPr>
            <w:r>
              <w:rPr>
                <w:sz w:val="21"/>
              </w:rPr>
              <w:t>（</w:t>
            </w:r>
            <w:r>
              <w:rPr>
                <w:spacing w:val="3"/>
                <w:sz w:val="21"/>
              </w:rPr>
              <w:t>联合体任一成员通过</w:t>
            </w:r>
            <w:r>
              <w:rPr>
                <w:rFonts w:ascii="Calibri" w:eastAsia="Calibri"/>
                <w:sz w:val="21"/>
              </w:rPr>
              <w:t>ISO9001 </w:t>
            </w:r>
            <w:r>
              <w:rPr>
                <w:spacing w:val="-3"/>
                <w:sz w:val="21"/>
              </w:rPr>
              <w:t>质量管理体</w:t>
            </w:r>
            <w:r>
              <w:rPr>
                <w:spacing w:val="-3"/>
                <w:w w:val="100"/>
                <w:sz w:val="21"/>
              </w:rPr>
              <w:t>系认证且在有效期内，得</w:t>
            </w:r>
            <w:r>
              <w:rPr>
                <w:spacing w:val="-55"/>
                <w:sz w:val="21"/>
              </w:rPr>
              <w:t> </w:t>
            </w:r>
            <w:r>
              <w:rPr>
                <w:rFonts w:ascii="Calibri" w:eastAsia="Calibri"/>
                <w:w w:val="100"/>
                <w:sz w:val="21"/>
              </w:rPr>
              <w:t>2</w:t>
            </w:r>
            <w:r>
              <w:rPr>
                <w:rFonts w:ascii="Calibri" w:eastAsia="Calibri"/>
                <w:sz w:val="21"/>
              </w:rPr>
              <w:t> </w:t>
            </w:r>
            <w:r>
              <w:rPr>
                <w:spacing w:val="-3"/>
                <w:w w:val="100"/>
                <w:sz w:val="21"/>
              </w:rPr>
              <w:t>分</w:t>
            </w:r>
            <w:r>
              <w:rPr>
                <w:spacing w:val="-106"/>
                <w:w w:val="100"/>
                <w:sz w:val="21"/>
              </w:rPr>
              <w:t>）</w:t>
            </w:r>
            <w:r>
              <w:rPr>
                <w:spacing w:val="-3"/>
                <w:w w:val="100"/>
                <w:sz w:val="21"/>
              </w:rPr>
              <w:t>（</w:t>
            </w:r>
            <w:r>
              <w:rPr>
                <w:rFonts w:ascii="Calibri" w:eastAsia="Calibri"/>
                <w:w w:val="100"/>
                <w:sz w:val="21"/>
              </w:rPr>
              <w:t>4</w:t>
            </w:r>
            <w:r>
              <w:rPr>
                <w:spacing w:val="-3"/>
                <w:w w:val="100"/>
                <w:sz w:val="21"/>
              </w:rPr>
              <w:t>）</w:t>
            </w:r>
            <w:r>
              <w:rPr>
                <w:spacing w:val="-2"/>
                <w:w w:val="100"/>
                <w:sz w:val="21"/>
              </w:rPr>
              <w:t>企业注</w:t>
            </w:r>
            <w:r>
              <w:rPr>
                <w:spacing w:val="-3"/>
                <w:sz w:val="21"/>
              </w:rPr>
              <w:t>册情况：投标人</w:t>
            </w:r>
            <w:r>
              <w:rPr>
                <w:sz w:val="21"/>
              </w:rPr>
              <w:t>（</w:t>
            </w:r>
            <w:r>
              <w:rPr>
                <w:spacing w:val="-3"/>
                <w:sz w:val="21"/>
              </w:rPr>
              <w:t>或联合体中任一成员）</w:t>
            </w:r>
            <w:r>
              <w:rPr>
                <w:sz w:val="21"/>
              </w:rPr>
              <w:t>企</w:t>
            </w:r>
            <w:r>
              <w:rPr>
                <w:spacing w:val="-3"/>
                <w:sz w:val="21"/>
              </w:rPr>
              <w:t>业注册地在南宁市且具备独立法人资格的， </w:t>
            </w:r>
            <w:r>
              <w:rPr>
                <w:spacing w:val="-27"/>
                <w:sz w:val="21"/>
              </w:rPr>
              <w:t>得 </w:t>
            </w:r>
            <w:r>
              <w:rPr>
                <w:rFonts w:ascii="Calibri" w:eastAsia="Calibri"/>
                <w:sz w:val="21"/>
              </w:rPr>
              <w:t>5 </w:t>
            </w:r>
            <w:r>
              <w:rPr>
                <w:spacing w:val="-12"/>
                <w:sz w:val="21"/>
              </w:rPr>
              <w:t>分；其它情形的得 </w:t>
            </w:r>
            <w:r>
              <w:rPr>
                <w:rFonts w:ascii="Calibri" w:eastAsia="Calibri"/>
                <w:sz w:val="21"/>
              </w:rPr>
              <w:t>3 </w:t>
            </w:r>
            <w:r>
              <w:rPr>
                <w:spacing w:val="-16"/>
                <w:sz w:val="21"/>
              </w:rPr>
              <w:t>分。满分 </w:t>
            </w:r>
            <w:r>
              <w:rPr>
                <w:rFonts w:ascii="Calibri" w:eastAsia="Calibri"/>
                <w:sz w:val="21"/>
              </w:rPr>
              <w:t>5 </w:t>
            </w:r>
            <w:r>
              <w:rPr>
                <w:spacing w:val="-64"/>
                <w:sz w:val="21"/>
              </w:rPr>
              <w:t>分。</w:t>
            </w:r>
            <w:r>
              <w:rPr>
                <w:spacing w:val="-3"/>
                <w:sz w:val="21"/>
              </w:rPr>
              <w:t>（</w:t>
            </w:r>
            <w:r>
              <w:rPr>
                <w:sz w:val="21"/>
              </w:rPr>
              <w:t>以</w:t>
            </w:r>
            <w:r>
              <w:rPr>
                <w:spacing w:val="-3"/>
                <w:sz w:val="21"/>
              </w:rPr>
              <w:t>企业营业执照为准</w:t>
            </w:r>
            <w:r>
              <w:rPr>
                <w:sz w:val="21"/>
              </w:rPr>
              <w:t>）</w:t>
            </w:r>
          </w:p>
        </w:tc>
      </w:tr>
      <w:tr>
        <w:trPr>
          <w:trHeight w:val="2481" w:hRule="atLeast"/>
        </w:trPr>
        <w:tc>
          <w:tcPr>
            <w:tcW w:w="828" w:type="dxa"/>
            <w:vMerge/>
            <w:tcBorders>
              <w:top w:val="nil"/>
            </w:tcBorders>
          </w:tcPr>
          <w:p>
            <w:pPr>
              <w:rPr>
                <w:sz w:val="2"/>
                <w:szCs w:val="2"/>
              </w:rPr>
            </w:pPr>
          </w:p>
        </w:tc>
        <w:tc>
          <w:tcPr>
            <w:tcW w:w="874" w:type="dxa"/>
            <w:vMerge/>
            <w:tcBorders>
              <w:top w:val="nil"/>
            </w:tcBorders>
          </w:tcPr>
          <w:p>
            <w:pPr>
              <w:rPr>
                <w:sz w:val="2"/>
                <w:szCs w:val="2"/>
              </w:rPr>
            </w:pPr>
          </w:p>
        </w:tc>
        <w:tc>
          <w:tcPr>
            <w:tcW w:w="1098" w:type="dxa"/>
            <w:vMerge/>
            <w:tcBorders>
              <w:top w:val="nil"/>
            </w:tcBorders>
          </w:tcPr>
          <w:p>
            <w:pPr>
              <w:rPr>
                <w:sz w:val="2"/>
                <w:szCs w:val="2"/>
              </w:rPr>
            </w:pPr>
          </w:p>
        </w:tc>
        <w:tc>
          <w:tcPr>
            <w:tcW w:w="1837" w:type="dxa"/>
          </w:tcPr>
          <w:p>
            <w:pPr>
              <w:pStyle w:val="TableParagraph"/>
              <w:rPr>
                <w:rFonts w:ascii="Microsoft JhengHei"/>
                <w:b/>
                <w:sz w:val="20"/>
              </w:rPr>
            </w:pPr>
          </w:p>
          <w:p>
            <w:pPr>
              <w:pStyle w:val="TableParagraph"/>
              <w:spacing w:before="6"/>
              <w:rPr>
                <w:rFonts w:ascii="Microsoft JhengHei"/>
                <w:b/>
                <w:sz w:val="25"/>
              </w:rPr>
            </w:pPr>
          </w:p>
          <w:p>
            <w:pPr>
              <w:pStyle w:val="TableParagraph"/>
              <w:spacing w:line="242" w:lineRule="auto"/>
              <w:ind w:left="147" w:right="135"/>
              <w:jc w:val="both"/>
              <w:rPr>
                <w:sz w:val="21"/>
              </w:rPr>
            </w:pPr>
            <w:r>
              <w:rPr>
                <w:sz w:val="21"/>
              </w:rPr>
              <w:t>（二</w:t>
            </w:r>
            <w:r>
              <w:rPr>
                <w:spacing w:val="-3"/>
                <w:sz w:val="21"/>
              </w:rPr>
              <w:t>）</w:t>
            </w:r>
            <w:r>
              <w:rPr>
                <w:spacing w:val="-2"/>
                <w:sz w:val="21"/>
              </w:rPr>
              <w:t>企业诚信</w:t>
            </w:r>
            <w:r>
              <w:rPr>
                <w:spacing w:val="-24"/>
                <w:sz w:val="21"/>
              </w:rPr>
              <w:t>情况</w:t>
            </w:r>
            <w:r>
              <w:rPr>
                <w:sz w:val="21"/>
              </w:rPr>
              <w:t>（</w:t>
            </w:r>
            <w:r>
              <w:rPr>
                <w:spacing w:val="-18"/>
                <w:sz w:val="21"/>
              </w:rPr>
              <w:t>满分 </w:t>
            </w:r>
            <w:r>
              <w:rPr>
                <w:rFonts w:ascii="Calibri" w:eastAsia="Calibri"/>
                <w:spacing w:val="-4"/>
                <w:sz w:val="21"/>
              </w:rPr>
              <w:t>15.00 </w:t>
            </w:r>
            <w:r>
              <w:rPr>
                <w:sz w:val="21"/>
              </w:rPr>
              <w:t>分）</w:t>
            </w:r>
          </w:p>
        </w:tc>
        <w:tc>
          <w:tcPr>
            <w:tcW w:w="4339" w:type="dxa"/>
          </w:tcPr>
          <w:p>
            <w:pPr>
              <w:pStyle w:val="TableParagraph"/>
              <w:spacing w:line="242" w:lineRule="auto" w:before="152"/>
              <w:ind w:left="146" w:right="133"/>
              <w:rPr>
                <w:sz w:val="21"/>
              </w:rPr>
            </w:pPr>
            <w:r>
              <w:rPr>
                <w:sz w:val="21"/>
              </w:rPr>
              <w:t>（</w:t>
            </w:r>
            <w:r>
              <w:rPr>
                <w:rFonts w:ascii="Calibri" w:hAnsi="Calibri" w:eastAsia="Calibri"/>
                <w:sz w:val="21"/>
              </w:rPr>
              <w:t>1</w:t>
            </w:r>
            <w:r>
              <w:rPr>
                <w:sz w:val="21"/>
              </w:rPr>
              <w:t>）</w:t>
            </w:r>
            <w:r>
              <w:rPr>
                <w:spacing w:val="-3"/>
                <w:sz w:val="21"/>
              </w:rPr>
              <w:t>获奖情况（</w:t>
            </w:r>
            <w:r>
              <w:rPr>
                <w:spacing w:val="-18"/>
                <w:sz w:val="21"/>
              </w:rPr>
              <w:t>满分 </w:t>
            </w:r>
            <w:r>
              <w:rPr>
                <w:rFonts w:ascii="Calibri" w:hAnsi="Calibri" w:eastAsia="Calibri"/>
                <w:sz w:val="21"/>
              </w:rPr>
              <w:t>10 </w:t>
            </w:r>
            <w:r>
              <w:rPr>
                <w:sz w:val="21"/>
              </w:rPr>
              <w:t>分） </w:t>
            </w:r>
            <w:r>
              <w:rPr>
                <w:rFonts w:ascii="Calibri" w:hAnsi="Calibri" w:eastAsia="Calibri"/>
                <w:spacing w:val="-3"/>
                <w:sz w:val="21"/>
              </w:rPr>
              <w:t>①</w:t>
            </w:r>
            <w:r>
              <w:rPr>
                <w:spacing w:val="-1"/>
                <w:sz w:val="21"/>
              </w:rPr>
              <w:t>企业完成</w:t>
            </w:r>
            <w:r>
              <w:rPr>
                <w:spacing w:val="-3"/>
                <w:sz w:val="21"/>
              </w:rPr>
              <w:t>的工程获得</w:t>
            </w:r>
            <w:r>
              <w:rPr>
                <w:rFonts w:ascii="Calibri" w:hAnsi="Calibri" w:eastAsia="Calibri"/>
                <w:sz w:val="21"/>
              </w:rPr>
              <w:t>“‘</w:t>
            </w:r>
            <w:r>
              <w:rPr>
                <w:spacing w:val="-12"/>
                <w:sz w:val="21"/>
              </w:rPr>
              <w:t>省长、自治区主席、直辖市市长</w:t>
            </w:r>
            <w:r>
              <w:rPr>
                <w:spacing w:val="-9"/>
                <w:sz w:val="21"/>
              </w:rPr>
              <w:t>质量奖</w:t>
            </w:r>
            <w:r>
              <w:rPr>
                <w:rFonts w:ascii="Calibri" w:hAnsi="Calibri" w:eastAsia="Calibri"/>
                <w:sz w:val="21"/>
              </w:rPr>
              <w:t>’</w:t>
            </w:r>
            <w:r>
              <w:rPr>
                <w:spacing w:val="-3"/>
                <w:sz w:val="21"/>
              </w:rPr>
              <w:t>、中国建设工程鲁班奖、市政金杯示</w:t>
            </w:r>
            <w:r>
              <w:rPr>
                <w:spacing w:val="-6"/>
                <w:sz w:val="21"/>
              </w:rPr>
              <w:t>范工程奖、詹天佑土木工程奖</w:t>
            </w:r>
            <w:r>
              <w:rPr>
                <w:rFonts w:ascii="Calibri" w:hAnsi="Calibri" w:eastAsia="Calibri"/>
                <w:spacing w:val="-13"/>
                <w:sz w:val="21"/>
              </w:rPr>
              <w:t>”</w:t>
            </w:r>
            <w:r>
              <w:rPr>
                <w:spacing w:val="-5"/>
                <w:sz w:val="21"/>
              </w:rPr>
              <w:t>，从获奖证书</w:t>
            </w:r>
            <w:r>
              <w:rPr>
                <w:spacing w:val="-4"/>
                <w:sz w:val="21"/>
              </w:rPr>
              <w:t>颁发之日起至投标截止之日止不超过三年 </w:t>
            </w:r>
            <w:r>
              <w:rPr>
                <w:spacing w:val="-12"/>
                <w:sz w:val="21"/>
              </w:rPr>
              <w:t>的，每个得 </w:t>
            </w:r>
            <w:r>
              <w:rPr>
                <w:rFonts w:ascii="Calibri" w:hAnsi="Calibri" w:eastAsia="Calibri"/>
                <w:sz w:val="21"/>
              </w:rPr>
              <w:t>6 </w:t>
            </w:r>
            <w:r>
              <w:rPr>
                <w:spacing w:val="1"/>
                <w:sz w:val="21"/>
              </w:rPr>
              <w:t>分。 </w:t>
            </w:r>
            <w:r>
              <w:rPr>
                <w:rFonts w:ascii="Calibri" w:hAnsi="Calibri" w:eastAsia="Calibri"/>
                <w:spacing w:val="-3"/>
                <w:sz w:val="21"/>
              </w:rPr>
              <w:t>②</w:t>
            </w:r>
            <w:r>
              <w:rPr>
                <w:spacing w:val="-3"/>
                <w:sz w:val="21"/>
              </w:rPr>
              <w:t>企业承建或完成的工程获得</w:t>
            </w:r>
            <w:r>
              <w:rPr>
                <w:rFonts w:ascii="Calibri" w:hAnsi="Calibri" w:eastAsia="Calibri"/>
                <w:sz w:val="21"/>
              </w:rPr>
              <w:t>“</w:t>
            </w:r>
            <w:r>
              <w:rPr>
                <w:spacing w:val="-8"/>
                <w:sz w:val="21"/>
              </w:rPr>
              <w:t>国家优质工程奖、中国建筑工程装饰</w:t>
            </w:r>
            <w:r>
              <w:rPr>
                <w:spacing w:val="-5"/>
                <w:sz w:val="21"/>
              </w:rPr>
              <w:t>奖、建设工程项目施工安全生产标准化建设</w:t>
            </w:r>
          </w:p>
        </w:tc>
      </w:tr>
    </w:tbl>
    <w:p>
      <w:pPr>
        <w:spacing w:after="0" w:line="242" w:lineRule="auto"/>
        <w:rPr>
          <w:sz w:val="21"/>
        </w:rPr>
        <w:sectPr>
          <w:pgSz w:w="11910" w:h="16850"/>
          <w:pgMar w:header="0" w:footer="779" w:top="1380" w:bottom="1040" w:left="1120" w:right="280"/>
        </w:sectPr>
      </w:pPr>
    </w:p>
    <w:tbl>
      <w:tblPr>
        <w:tblW w:w="0" w:type="auto"/>
        <w:jc w:val="left"/>
        <w:tblInd w:w="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8"/>
        <w:gridCol w:w="874"/>
        <w:gridCol w:w="1104"/>
        <w:gridCol w:w="1830"/>
        <w:gridCol w:w="4338"/>
      </w:tblGrid>
      <w:tr>
        <w:trPr>
          <w:trHeight w:val="1231" w:hRule="atLeast"/>
        </w:trPr>
        <w:tc>
          <w:tcPr>
            <w:tcW w:w="828" w:type="dxa"/>
            <w:vMerge w:val="restart"/>
          </w:tcPr>
          <w:p>
            <w:pPr>
              <w:pStyle w:val="TableParagraph"/>
              <w:rPr>
                <w:rFonts w:ascii="Times New Roman"/>
                <w:sz w:val="20"/>
              </w:rPr>
            </w:pPr>
          </w:p>
        </w:tc>
        <w:tc>
          <w:tcPr>
            <w:tcW w:w="874" w:type="dxa"/>
            <w:vMerge w:val="restart"/>
          </w:tcPr>
          <w:p>
            <w:pPr>
              <w:pStyle w:val="TableParagraph"/>
              <w:rPr>
                <w:rFonts w:ascii="Times New Roman"/>
                <w:sz w:val="20"/>
              </w:rPr>
            </w:pPr>
          </w:p>
        </w:tc>
        <w:tc>
          <w:tcPr>
            <w:tcW w:w="1104" w:type="dxa"/>
            <w:vMerge w:val="restart"/>
          </w:tcPr>
          <w:p>
            <w:pPr>
              <w:pStyle w:val="TableParagraph"/>
              <w:rPr>
                <w:rFonts w:ascii="Times New Roman"/>
                <w:sz w:val="20"/>
              </w:rPr>
            </w:pPr>
          </w:p>
        </w:tc>
        <w:tc>
          <w:tcPr>
            <w:tcW w:w="1830" w:type="dxa"/>
            <w:vMerge w:val="restart"/>
          </w:tcPr>
          <w:p>
            <w:pPr>
              <w:pStyle w:val="TableParagraph"/>
              <w:rPr>
                <w:rFonts w:ascii="Times New Roman"/>
                <w:sz w:val="20"/>
              </w:rPr>
            </w:pPr>
          </w:p>
        </w:tc>
        <w:tc>
          <w:tcPr>
            <w:tcW w:w="4338" w:type="dxa"/>
            <w:tcBorders>
              <w:bottom w:val="nil"/>
            </w:tcBorders>
          </w:tcPr>
          <w:p>
            <w:pPr>
              <w:pStyle w:val="TableParagraph"/>
              <w:spacing w:line="242" w:lineRule="auto" w:before="152"/>
              <w:ind w:left="147" w:right="133"/>
              <w:rPr>
                <w:sz w:val="21"/>
              </w:rPr>
            </w:pPr>
            <w:r>
              <w:rPr>
                <w:spacing w:val="-3"/>
                <w:sz w:val="21"/>
              </w:rPr>
              <w:t>工地、中国安装工程优质奖</w:t>
            </w:r>
            <w:r>
              <w:rPr>
                <w:sz w:val="21"/>
              </w:rPr>
              <w:t>（</w:t>
            </w:r>
            <w:r>
              <w:rPr>
                <w:spacing w:val="-3"/>
                <w:sz w:val="21"/>
              </w:rPr>
              <w:t>中国安装之 星</w:t>
            </w:r>
            <w:r>
              <w:rPr>
                <w:spacing w:val="-15"/>
                <w:sz w:val="21"/>
              </w:rPr>
              <w:t>）</w:t>
            </w:r>
            <w:r>
              <w:rPr>
                <w:rFonts w:ascii="Calibri" w:hAnsi="Calibri" w:eastAsia="Calibri"/>
                <w:spacing w:val="-15"/>
                <w:sz w:val="21"/>
              </w:rPr>
              <w:t>”</w:t>
            </w:r>
            <w:r>
              <w:rPr>
                <w:spacing w:val="-6"/>
                <w:sz w:val="21"/>
              </w:rPr>
              <w:t>，从获奖证书颁发之日起至投标截止之</w:t>
            </w:r>
            <w:r>
              <w:rPr>
                <w:spacing w:val="-7"/>
                <w:sz w:val="21"/>
              </w:rPr>
              <w:t>日止不超过三年的，每个得 </w:t>
            </w:r>
            <w:r>
              <w:rPr>
                <w:rFonts w:ascii="Calibri" w:hAnsi="Calibri" w:eastAsia="Calibri"/>
                <w:sz w:val="21"/>
              </w:rPr>
              <w:t>5</w:t>
            </w:r>
            <w:r>
              <w:rPr>
                <w:rFonts w:ascii="Calibri" w:hAnsi="Calibri" w:eastAsia="Calibri"/>
                <w:spacing w:val="7"/>
                <w:sz w:val="21"/>
              </w:rPr>
              <w:t> </w:t>
            </w:r>
            <w:r>
              <w:rPr>
                <w:spacing w:val="2"/>
                <w:sz w:val="21"/>
              </w:rPr>
              <w:t>分。 </w:t>
            </w:r>
            <w:r>
              <w:rPr>
                <w:rFonts w:ascii="Calibri" w:hAnsi="Calibri" w:eastAsia="Calibri"/>
                <w:spacing w:val="-3"/>
                <w:sz w:val="21"/>
              </w:rPr>
              <w:t>③</w:t>
            </w:r>
            <w:r>
              <w:rPr>
                <w:sz w:val="21"/>
              </w:rPr>
              <w:t>企业</w:t>
            </w:r>
          </w:p>
          <w:p>
            <w:pPr>
              <w:pStyle w:val="TableParagraph"/>
              <w:spacing w:line="243" w:lineRule="exact" w:before="1"/>
              <w:ind w:left="147"/>
              <w:rPr>
                <w:sz w:val="21"/>
              </w:rPr>
            </w:pPr>
            <w:r>
              <w:rPr>
                <w:spacing w:val="-3"/>
                <w:sz w:val="21"/>
              </w:rPr>
              <w:t>承建或完成的工程获得省级工程质量或安全</w:t>
            </w:r>
          </w:p>
        </w:tc>
      </w:tr>
      <w:tr>
        <w:trPr>
          <w:trHeight w:val="529" w:hRule="atLeast"/>
        </w:trPr>
        <w:tc>
          <w:tcPr>
            <w:tcW w:w="828" w:type="dxa"/>
            <w:vMerge/>
            <w:tcBorders>
              <w:top w:val="nil"/>
            </w:tcBorders>
          </w:tcPr>
          <w:p>
            <w:pPr>
              <w:rPr>
                <w:sz w:val="2"/>
                <w:szCs w:val="2"/>
              </w:rPr>
            </w:pPr>
          </w:p>
        </w:tc>
        <w:tc>
          <w:tcPr>
            <w:tcW w:w="874" w:type="dxa"/>
            <w:vMerge/>
            <w:tcBorders>
              <w:top w:val="nil"/>
            </w:tcBorders>
          </w:tcPr>
          <w:p>
            <w:pPr>
              <w:rPr>
                <w:sz w:val="2"/>
                <w:szCs w:val="2"/>
              </w:rPr>
            </w:pPr>
          </w:p>
        </w:tc>
        <w:tc>
          <w:tcPr>
            <w:tcW w:w="1104" w:type="dxa"/>
            <w:vMerge/>
            <w:tcBorders>
              <w:top w:val="nil"/>
            </w:tcBorders>
          </w:tcPr>
          <w:p>
            <w:pPr>
              <w:rPr>
                <w:sz w:val="2"/>
                <w:szCs w:val="2"/>
              </w:rPr>
            </w:pPr>
          </w:p>
        </w:tc>
        <w:tc>
          <w:tcPr>
            <w:tcW w:w="1830" w:type="dxa"/>
            <w:vMerge/>
            <w:tcBorders>
              <w:top w:val="nil"/>
            </w:tcBorders>
          </w:tcPr>
          <w:p>
            <w:pPr>
              <w:rPr>
                <w:sz w:val="2"/>
                <w:szCs w:val="2"/>
              </w:rPr>
            </w:pPr>
          </w:p>
        </w:tc>
        <w:tc>
          <w:tcPr>
            <w:tcW w:w="4338" w:type="dxa"/>
            <w:tcBorders>
              <w:top w:val="nil"/>
              <w:bottom w:val="nil"/>
            </w:tcBorders>
          </w:tcPr>
          <w:p>
            <w:pPr>
              <w:pStyle w:val="TableParagraph"/>
              <w:spacing w:line="264" w:lineRule="exact"/>
              <w:ind w:left="147"/>
              <w:rPr>
                <w:sz w:val="21"/>
              </w:rPr>
            </w:pPr>
            <w:r>
              <w:rPr>
                <w:sz w:val="21"/>
              </w:rPr>
              <w:t>文明工地奖（建筑施工安全文明标准化工</w:t>
            </w:r>
          </w:p>
          <w:p>
            <w:pPr>
              <w:pStyle w:val="TableParagraph"/>
              <w:spacing w:line="243" w:lineRule="exact" w:before="2"/>
              <w:ind w:left="147"/>
              <w:rPr>
                <w:sz w:val="21"/>
              </w:rPr>
            </w:pPr>
            <w:r>
              <w:rPr>
                <w:sz w:val="21"/>
              </w:rPr>
              <w:t>地</w:t>
            </w:r>
            <w:r>
              <w:rPr>
                <w:spacing w:val="-106"/>
                <w:sz w:val="21"/>
              </w:rPr>
              <w:t>）</w:t>
            </w:r>
            <w:r>
              <w:rPr>
                <w:spacing w:val="-9"/>
                <w:sz w:val="21"/>
              </w:rPr>
              <w:t>、省级建筑装饰工程优质奖，从获奖证书</w:t>
            </w:r>
          </w:p>
        </w:tc>
      </w:tr>
      <w:tr>
        <w:trPr>
          <w:trHeight w:val="1074" w:hRule="atLeast"/>
        </w:trPr>
        <w:tc>
          <w:tcPr>
            <w:tcW w:w="828" w:type="dxa"/>
            <w:vMerge/>
            <w:tcBorders>
              <w:top w:val="nil"/>
            </w:tcBorders>
          </w:tcPr>
          <w:p>
            <w:pPr>
              <w:rPr>
                <w:sz w:val="2"/>
                <w:szCs w:val="2"/>
              </w:rPr>
            </w:pPr>
          </w:p>
        </w:tc>
        <w:tc>
          <w:tcPr>
            <w:tcW w:w="874" w:type="dxa"/>
            <w:vMerge/>
            <w:tcBorders>
              <w:top w:val="nil"/>
            </w:tcBorders>
          </w:tcPr>
          <w:p>
            <w:pPr>
              <w:rPr>
                <w:sz w:val="2"/>
                <w:szCs w:val="2"/>
              </w:rPr>
            </w:pPr>
          </w:p>
        </w:tc>
        <w:tc>
          <w:tcPr>
            <w:tcW w:w="1104" w:type="dxa"/>
            <w:vMerge/>
            <w:tcBorders>
              <w:top w:val="nil"/>
            </w:tcBorders>
          </w:tcPr>
          <w:p>
            <w:pPr>
              <w:rPr>
                <w:sz w:val="2"/>
                <w:szCs w:val="2"/>
              </w:rPr>
            </w:pPr>
          </w:p>
        </w:tc>
        <w:tc>
          <w:tcPr>
            <w:tcW w:w="1830" w:type="dxa"/>
            <w:vMerge/>
            <w:tcBorders>
              <w:top w:val="nil"/>
            </w:tcBorders>
          </w:tcPr>
          <w:p>
            <w:pPr>
              <w:rPr>
                <w:sz w:val="2"/>
                <w:szCs w:val="2"/>
              </w:rPr>
            </w:pPr>
          </w:p>
        </w:tc>
        <w:tc>
          <w:tcPr>
            <w:tcW w:w="4338" w:type="dxa"/>
            <w:tcBorders>
              <w:top w:val="nil"/>
              <w:bottom w:val="nil"/>
            </w:tcBorders>
          </w:tcPr>
          <w:p>
            <w:pPr>
              <w:pStyle w:val="TableParagraph"/>
              <w:spacing w:line="242" w:lineRule="auto"/>
              <w:ind w:left="147" w:right="178"/>
              <w:rPr>
                <w:sz w:val="21"/>
              </w:rPr>
            </w:pPr>
            <w:r>
              <w:rPr>
                <w:spacing w:val="-3"/>
                <w:sz w:val="21"/>
              </w:rPr>
              <w:t>颁发之日起至投标截止之日止不超过二年 </w:t>
            </w:r>
            <w:r>
              <w:rPr>
                <w:spacing w:val="-11"/>
                <w:sz w:val="21"/>
              </w:rPr>
              <w:t>的，每个得 </w:t>
            </w:r>
            <w:r>
              <w:rPr>
                <w:rFonts w:ascii="Calibri" w:hAnsi="Calibri" w:eastAsia="Calibri"/>
                <w:sz w:val="21"/>
              </w:rPr>
              <w:t>4</w:t>
            </w:r>
            <w:r>
              <w:rPr>
                <w:rFonts w:ascii="Calibri" w:hAnsi="Calibri" w:eastAsia="Calibri"/>
                <w:spacing w:val="7"/>
                <w:sz w:val="21"/>
              </w:rPr>
              <w:t> </w:t>
            </w:r>
            <w:r>
              <w:rPr>
                <w:spacing w:val="2"/>
                <w:sz w:val="21"/>
              </w:rPr>
              <w:t>分。 </w:t>
            </w:r>
            <w:r>
              <w:rPr>
                <w:rFonts w:ascii="Calibri" w:hAnsi="Calibri" w:eastAsia="Calibri"/>
                <w:spacing w:val="-3"/>
                <w:sz w:val="21"/>
              </w:rPr>
              <w:t>④</w:t>
            </w:r>
            <w:r>
              <w:rPr>
                <w:spacing w:val="-3"/>
                <w:sz w:val="21"/>
              </w:rPr>
              <w:t>企业承建或完成的工</w:t>
            </w:r>
            <w:r>
              <w:rPr>
                <w:spacing w:val="-4"/>
                <w:sz w:val="21"/>
              </w:rPr>
              <w:t>程获得设区城市级工程质量或安全文明工地</w:t>
            </w:r>
          </w:p>
          <w:p>
            <w:pPr>
              <w:pStyle w:val="TableParagraph"/>
              <w:spacing w:line="243" w:lineRule="exact"/>
              <w:ind w:left="147"/>
              <w:rPr>
                <w:sz w:val="21"/>
              </w:rPr>
            </w:pPr>
            <w:r>
              <w:rPr>
                <w:sz w:val="21"/>
              </w:rPr>
              <w:t>奖（</w:t>
            </w:r>
            <w:r>
              <w:rPr>
                <w:spacing w:val="-3"/>
                <w:sz w:val="21"/>
              </w:rPr>
              <w:t>建筑施工安全文明标准化工地）</w:t>
            </w:r>
            <w:r>
              <w:rPr>
                <w:spacing w:val="-2"/>
                <w:sz w:val="21"/>
              </w:rPr>
              <w:t>的，从</w:t>
            </w:r>
          </w:p>
        </w:tc>
      </w:tr>
      <w:tr>
        <w:trPr>
          <w:trHeight w:val="801" w:hRule="atLeast"/>
        </w:trPr>
        <w:tc>
          <w:tcPr>
            <w:tcW w:w="828" w:type="dxa"/>
            <w:vMerge/>
            <w:tcBorders>
              <w:top w:val="nil"/>
            </w:tcBorders>
          </w:tcPr>
          <w:p>
            <w:pPr>
              <w:rPr>
                <w:sz w:val="2"/>
                <w:szCs w:val="2"/>
              </w:rPr>
            </w:pPr>
          </w:p>
        </w:tc>
        <w:tc>
          <w:tcPr>
            <w:tcW w:w="874" w:type="dxa"/>
            <w:vMerge/>
            <w:tcBorders>
              <w:top w:val="nil"/>
            </w:tcBorders>
          </w:tcPr>
          <w:p>
            <w:pPr>
              <w:rPr>
                <w:sz w:val="2"/>
                <w:szCs w:val="2"/>
              </w:rPr>
            </w:pPr>
          </w:p>
        </w:tc>
        <w:tc>
          <w:tcPr>
            <w:tcW w:w="1104" w:type="dxa"/>
            <w:vMerge/>
            <w:tcBorders>
              <w:top w:val="nil"/>
            </w:tcBorders>
          </w:tcPr>
          <w:p>
            <w:pPr>
              <w:rPr>
                <w:sz w:val="2"/>
                <w:szCs w:val="2"/>
              </w:rPr>
            </w:pPr>
          </w:p>
        </w:tc>
        <w:tc>
          <w:tcPr>
            <w:tcW w:w="1830" w:type="dxa"/>
            <w:vMerge/>
            <w:tcBorders>
              <w:top w:val="nil"/>
            </w:tcBorders>
          </w:tcPr>
          <w:p>
            <w:pPr>
              <w:rPr>
                <w:sz w:val="2"/>
                <w:szCs w:val="2"/>
              </w:rPr>
            </w:pPr>
          </w:p>
        </w:tc>
        <w:tc>
          <w:tcPr>
            <w:tcW w:w="4338" w:type="dxa"/>
            <w:tcBorders>
              <w:top w:val="nil"/>
              <w:bottom w:val="nil"/>
            </w:tcBorders>
          </w:tcPr>
          <w:p>
            <w:pPr>
              <w:pStyle w:val="TableParagraph"/>
              <w:spacing w:line="242" w:lineRule="auto"/>
              <w:ind w:left="147" w:right="178"/>
              <w:rPr>
                <w:sz w:val="21"/>
              </w:rPr>
            </w:pPr>
            <w:r>
              <w:rPr>
                <w:spacing w:val="-4"/>
                <w:sz w:val="21"/>
              </w:rPr>
              <w:t>获奖证书颁发之日起至投标截止之日止不超</w:t>
            </w:r>
            <w:r>
              <w:rPr>
                <w:spacing w:val="-9"/>
                <w:sz w:val="21"/>
              </w:rPr>
              <w:t>过一年的，每个得 </w:t>
            </w:r>
            <w:r>
              <w:rPr>
                <w:rFonts w:ascii="Calibri" w:hAnsi="Calibri" w:eastAsia="Calibri"/>
                <w:sz w:val="21"/>
              </w:rPr>
              <w:t>3</w:t>
            </w:r>
            <w:r>
              <w:rPr>
                <w:rFonts w:ascii="Calibri" w:hAnsi="Calibri" w:eastAsia="Calibri"/>
                <w:spacing w:val="11"/>
                <w:sz w:val="21"/>
              </w:rPr>
              <w:t> </w:t>
            </w:r>
            <w:r>
              <w:rPr>
                <w:spacing w:val="1"/>
                <w:sz w:val="21"/>
              </w:rPr>
              <w:t>分。 </w:t>
            </w:r>
            <w:r>
              <w:rPr>
                <w:rFonts w:ascii="Calibri" w:hAnsi="Calibri" w:eastAsia="Calibri"/>
                <w:sz w:val="21"/>
              </w:rPr>
              <w:t>⑤</w:t>
            </w:r>
            <w:r>
              <w:rPr>
                <w:spacing w:val="-3"/>
                <w:sz w:val="21"/>
              </w:rPr>
              <w:t>企业主编或主</w:t>
            </w:r>
          </w:p>
          <w:p>
            <w:pPr>
              <w:pStyle w:val="TableParagraph"/>
              <w:spacing w:line="243" w:lineRule="exact"/>
              <w:ind w:left="147"/>
              <w:rPr>
                <w:sz w:val="21"/>
              </w:rPr>
            </w:pPr>
            <w:r>
              <w:rPr>
                <w:spacing w:val="-3"/>
                <w:sz w:val="21"/>
              </w:rPr>
              <w:t>持完成国家或行业标准，从获奖证书颁发或</w:t>
            </w:r>
          </w:p>
        </w:tc>
      </w:tr>
      <w:tr>
        <w:trPr>
          <w:trHeight w:val="1074" w:hRule="atLeast"/>
        </w:trPr>
        <w:tc>
          <w:tcPr>
            <w:tcW w:w="828" w:type="dxa"/>
            <w:vMerge/>
            <w:tcBorders>
              <w:top w:val="nil"/>
            </w:tcBorders>
          </w:tcPr>
          <w:p>
            <w:pPr>
              <w:rPr>
                <w:sz w:val="2"/>
                <w:szCs w:val="2"/>
              </w:rPr>
            </w:pPr>
          </w:p>
        </w:tc>
        <w:tc>
          <w:tcPr>
            <w:tcW w:w="874" w:type="dxa"/>
            <w:vMerge/>
            <w:tcBorders>
              <w:top w:val="nil"/>
            </w:tcBorders>
          </w:tcPr>
          <w:p>
            <w:pPr>
              <w:rPr>
                <w:sz w:val="2"/>
                <w:szCs w:val="2"/>
              </w:rPr>
            </w:pPr>
          </w:p>
        </w:tc>
        <w:tc>
          <w:tcPr>
            <w:tcW w:w="1104" w:type="dxa"/>
            <w:vMerge/>
            <w:tcBorders>
              <w:top w:val="nil"/>
            </w:tcBorders>
          </w:tcPr>
          <w:p>
            <w:pPr>
              <w:rPr>
                <w:sz w:val="2"/>
                <w:szCs w:val="2"/>
              </w:rPr>
            </w:pPr>
          </w:p>
        </w:tc>
        <w:tc>
          <w:tcPr>
            <w:tcW w:w="1830" w:type="dxa"/>
            <w:vMerge/>
            <w:tcBorders>
              <w:top w:val="nil"/>
            </w:tcBorders>
          </w:tcPr>
          <w:p>
            <w:pPr>
              <w:rPr>
                <w:sz w:val="2"/>
                <w:szCs w:val="2"/>
              </w:rPr>
            </w:pPr>
          </w:p>
        </w:tc>
        <w:tc>
          <w:tcPr>
            <w:tcW w:w="4338" w:type="dxa"/>
            <w:tcBorders>
              <w:top w:val="nil"/>
              <w:bottom w:val="nil"/>
            </w:tcBorders>
          </w:tcPr>
          <w:p>
            <w:pPr>
              <w:pStyle w:val="TableParagraph"/>
              <w:spacing w:line="242" w:lineRule="auto"/>
              <w:ind w:left="147" w:right="178"/>
              <w:jc w:val="both"/>
              <w:rPr>
                <w:sz w:val="21"/>
              </w:rPr>
            </w:pPr>
            <w:r>
              <w:rPr>
                <w:spacing w:val="-4"/>
                <w:sz w:val="21"/>
              </w:rPr>
              <w:t>标准发布之日起至投标截止之日止不超过三</w:t>
            </w:r>
            <w:r>
              <w:rPr>
                <w:spacing w:val="-9"/>
                <w:sz w:val="21"/>
              </w:rPr>
              <w:t>年的，每项得 </w:t>
            </w:r>
            <w:r>
              <w:rPr>
                <w:rFonts w:ascii="Calibri" w:hAnsi="Calibri" w:eastAsia="Calibri"/>
                <w:sz w:val="21"/>
              </w:rPr>
              <w:t>3</w:t>
            </w:r>
            <w:r>
              <w:rPr>
                <w:rFonts w:ascii="Calibri" w:hAnsi="Calibri" w:eastAsia="Calibri"/>
                <w:spacing w:val="16"/>
                <w:sz w:val="21"/>
              </w:rPr>
              <w:t> </w:t>
            </w:r>
            <w:r>
              <w:rPr>
                <w:spacing w:val="-4"/>
                <w:sz w:val="21"/>
              </w:rPr>
              <w:t>分；参编或参与单位，每项</w:t>
            </w:r>
            <w:r>
              <w:rPr>
                <w:spacing w:val="-24"/>
                <w:sz w:val="21"/>
              </w:rPr>
              <w:t>得 </w:t>
            </w:r>
            <w:r>
              <w:rPr>
                <w:rFonts w:ascii="Calibri" w:hAnsi="Calibri" w:eastAsia="Calibri"/>
                <w:sz w:val="21"/>
              </w:rPr>
              <w:t>2</w:t>
            </w:r>
            <w:r>
              <w:rPr>
                <w:rFonts w:ascii="Calibri" w:hAnsi="Calibri" w:eastAsia="Calibri"/>
                <w:spacing w:val="8"/>
                <w:sz w:val="21"/>
              </w:rPr>
              <w:t> </w:t>
            </w:r>
            <w:r>
              <w:rPr>
                <w:spacing w:val="3"/>
                <w:sz w:val="21"/>
              </w:rPr>
              <w:t>分。 </w:t>
            </w:r>
            <w:r>
              <w:rPr>
                <w:rFonts w:ascii="Calibri" w:hAnsi="Calibri" w:eastAsia="Calibri"/>
                <w:spacing w:val="-3"/>
                <w:sz w:val="21"/>
              </w:rPr>
              <w:t>⑥</w:t>
            </w:r>
            <w:r>
              <w:rPr>
                <w:spacing w:val="-3"/>
                <w:sz w:val="21"/>
              </w:rPr>
              <w:t>企业主编或主持完成省级建设</w:t>
            </w:r>
          </w:p>
          <w:p>
            <w:pPr>
              <w:pStyle w:val="TableParagraph"/>
              <w:spacing w:line="243" w:lineRule="exact"/>
              <w:ind w:left="147"/>
              <w:rPr>
                <w:sz w:val="21"/>
              </w:rPr>
            </w:pPr>
            <w:r>
              <w:rPr>
                <w:spacing w:val="-3"/>
                <w:sz w:val="21"/>
              </w:rPr>
              <w:t>工法、省级标准的，从获奖证书颁发或标准</w:t>
            </w:r>
          </w:p>
        </w:tc>
      </w:tr>
      <w:tr>
        <w:trPr>
          <w:trHeight w:val="1619" w:hRule="atLeast"/>
        </w:trPr>
        <w:tc>
          <w:tcPr>
            <w:tcW w:w="828" w:type="dxa"/>
            <w:vMerge/>
            <w:tcBorders>
              <w:top w:val="nil"/>
            </w:tcBorders>
          </w:tcPr>
          <w:p>
            <w:pPr>
              <w:rPr>
                <w:sz w:val="2"/>
                <w:szCs w:val="2"/>
              </w:rPr>
            </w:pPr>
          </w:p>
        </w:tc>
        <w:tc>
          <w:tcPr>
            <w:tcW w:w="874" w:type="dxa"/>
            <w:vMerge/>
            <w:tcBorders>
              <w:top w:val="nil"/>
            </w:tcBorders>
          </w:tcPr>
          <w:p>
            <w:pPr>
              <w:rPr>
                <w:sz w:val="2"/>
                <w:szCs w:val="2"/>
              </w:rPr>
            </w:pPr>
          </w:p>
        </w:tc>
        <w:tc>
          <w:tcPr>
            <w:tcW w:w="1104" w:type="dxa"/>
            <w:vMerge/>
            <w:tcBorders>
              <w:top w:val="nil"/>
            </w:tcBorders>
          </w:tcPr>
          <w:p>
            <w:pPr>
              <w:rPr>
                <w:sz w:val="2"/>
                <w:szCs w:val="2"/>
              </w:rPr>
            </w:pPr>
          </w:p>
        </w:tc>
        <w:tc>
          <w:tcPr>
            <w:tcW w:w="1830" w:type="dxa"/>
            <w:vMerge/>
            <w:tcBorders>
              <w:top w:val="nil"/>
            </w:tcBorders>
          </w:tcPr>
          <w:p>
            <w:pPr>
              <w:rPr>
                <w:sz w:val="2"/>
                <w:szCs w:val="2"/>
              </w:rPr>
            </w:pPr>
          </w:p>
        </w:tc>
        <w:tc>
          <w:tcPr>
            <w:tcW w:w="4338" w:type="dxa"/>
            <w:tcBorders>
              <w:top w:val="nil"/>
              <w:bottom w:val="nil"/>
            </w:tcBorders>
          </w:tcPr>
          <w:p>
            <w:pPr>
              <w:pStyle w:val="TableParagraph"/>
              <w:spacing w:line="242" w:lineRule="auto"/>
              <w:ind w:left="147" w:right="179"/>
              <w:rPr>
                <w:sz w:val="21"/>
              </w:rPr>
            </w:pPr>
            <w:r>
              <w:rPr>
                <w:spacing w:val="-3"/>
                <w:sz w:val="21"/>
              </w:rPr>
              <w:t>发布之日起至投标截止之日止不超过二年 </w:t>
            </w:r>
            <w:r>
              <w:rPr>
                <w:spacing w:val="-10"/>
                <w:sz w:val="21"/>
              </w:rPr>
              <w:t>的，每项得 </w:t>
            </w:r>
            <w:r>
              <w:rPr>
                <w:rFonts w:ascii="Calibri" w:eastAsia="Calibri"/>
                <w:sz w:val="21"/>
              </w:rPr>
              <w:t>2</w:t>
            </w:r>
            <w:r>
              <w:rPr>
                <w:rFonts w:ascii="Calibri" w:eastAsia="Calibri"/>
                <w:spacing w:val="15"/>
                <w:sz w:val="21"/>
              </w:rPr>
              <w:t> </w:t>
            </w:r>
            <w:r>
              <w:rPr>
                <w:spacing w:val="-4"/>
                <w:sz w:val="21"/>
              </w:rPr>
              <w:t>分；参编或参与单位，每项得</w:t>
            </w:r>
          </w:p>
          <w:p>
            <w:pPr>
              <w:pStyle w:val="TableParagraph"/>
              <w:spacing w:line="242" w:lineRule="auto"/>
              <w:ind w:left="147" w:right="133"/>
              <w:rPr>
                <w:sz w:val="21"/>
              </w:rPr>
            </w:pPr>
            <w:r>
              <w:rPr>
                <w:rFonts w:ascii="Calibri" w:hAnsi="Calibri" w:eastAsia="Calibri"/>
                <w:sz w:val="21"/>
              </w:rPr>
              <w:t>1</w:t>
            </w:r>
            <w:r>
              <w:rPr>
                <w:rFonts w:ascii="Calibri" w:hAnsi="Calibri" w:eastAsia="Calibri"/>
                <w:spacing w:val="9"/>
                <w:sz w:val="21"/>
              </w:rPr>
              <w:t> </w:t>
            </w:r>
            <w:r>
              <w:rPr>
                <w:sz w:val="21"/>
              </w:rPr>
              <w:t>分。 （</w:t>
            </w:r>
            <w:r>
              <w:rPr>
                <w:rFonts w:ascii="Calibri" w:hAnsi="Calibri" w:eastAsia="Calibri"/>
                <w:sz w:val="21"/>
              </w:rPr>
              <w:t>2</w:t>
            </w:r>
            <w:r>
              <w:rPr>
                <w:sz w:val="21"/>
              </w:rPr>
              <w:t>）</w:t>
            </w:r>
            <w:r>
              <w:rPr>
                <w:spacing w:val="-3"/>
                <w:sz w:val="21"/>
              </w:rPr>
              <w:t>南宁市级的诚信综合评价（</w:t>
            </w:r>
            <w:r>
              <w:rPr>
                <w:sz w:val="21"/>
              </w:rPr>
              <w:t>满</w:t>
            </w:r>
            <w:r>
              <w:rPr>
                <w:spacing w:val="-23"/>
                <w:sz w:val="21"/>
              </w:rPr>
              <w:t>分 </w:t>
            </w:r>
            <w:r>
              <w:rPr>
                <w:rFonts w:ascii="Calibri" w:hAnsi="Calibri" w:eastAsia="Calibri"/>
                <w:sz w:val="21"/>
              </w:rPr>
              <w:t>5</w:t>
            </w:r>
            <w:r>
              <w:rPr>
                <w:rFonts w:ascii="Calibri" w:hAnsi="Calibri" w:eastAsia="Calibri"/>
                <w:spacing w:val="10"/>
                <w:sz w:val="21"/>
              </w:rPr>
              <w:t> </w:t>
            </w:r>
            <w:r>
              <w:rPr>
                <w:sz w:val="21"/>
              </w:rPr>
              <w:t>分）</w:t>
            </w:r>
            <w:r>
              <w:rPr>
                <w:spacing w:val="-10"/>
                <w:sz w:val="21"/>
              </w:rPr>
              <w:t> 根据实时公布的南宁市级的诚信综合评价分</w:t>
            </w:r>
            <w:r>
              <w:rPr>
                <w:sz w:val="21"/>
              </w:rPr>
              <w:t>（</w:t>
            </w:r>
            <w:r>
              <w:rPr>
                <w:spacing w:val="-3"/>
                <w:sz w:val="21"/>
              </w:rPr>
              <w:t>百分制</w:t>
            </w:r>
            <w:r>
              <w:rPr>
                <w:spacing w:val="-16"/>
                <w:sz w:val="21"/>
              </w:rPr>
              <w:t>）</w:t>
            </w:r>
            <w:r>
              <w:rPr>
                <w:rFonts w:ascii="Calibri" w:hAnsi="Calibri" w:eastAsia="Calibri"/>
                <w:spacing w:val="-16"/>
                <w:sz w:val="21"/>
              </w:rPr>
              <w:t>×5%</w:t>
            </w:r>
            <w:r>
              <w:rPr>
                <w:spacing w:val="-5"/>
                <w:sz w:val="21"/>
              </w:rPr>
              <w:t>，由评委在评标室中</w:t>
            </w:r>
          </w:p>
          <w:p>
            <w:pPr>
              <w:pStyle w:val="TableParagraph"/>
              <w:spacing w:line="243" w:lineRule="exact"/>
              <w:ind w:left="147"/>
              <w:rPr>
                <w:sz w:val="21"/>
              </w:rPr>
            </w:pPr>
            <w:r>
              <w:rPr>
                <w:spacing w:val="-6"/>
                <w:sz w:val="21"/>
              </w:rPr>
              <w:t>查询。 注：投标人是联合体的，获奖情况和</w:t>
            </w:r>
          </w:p>
        </w:tc>
      </w:tr>
      <w:tr>
        <w:trPr>
          <w:trHeight w:val="687" w:hRule="atLeast"/>
        </w:trPr>
        <w:tc>
          <w:tcPr>
            <w:tcW w:w="828" w:type="dxa"/>
            <w:vMerge/>
            <w:tcBorders>
              <w:top w:val="nil"/>
            </w:tcBorders>
          </w:tcPr>
          <w:p>
            <w:pPr>
              <w:rPr>
                <w:sz w:val="2"/>
                <w:szCs w:val="2"/>
              </w:rPr>
            </w:pPr>
          </w:p>
        </w:tc>
        <w:tc>
          <w:tcPr>
            <w:tcW w:w="874" w:type="dxa"/>
            <w:vMerge/>
            <w:tcBorders>
              <w:top w:val="nil"/>
            </w:tcBorders>
          </w:tcPr>
          <w:p>
            <w:pPr>
              <w:rPr>
                <w:sz w:val="2"/>
                <w:szCs w:val="2"/>
              </w:rPr>
            </w:pPr>
          </w:p>
        </w:tc>
        <w:tc>
          <w:tcPr>
            <w:tcW w:w="1104" w:type="dxa"/>
            <w:vMerge/>
            <w:tcBorders>
              <w:top w:val="nil"/>
            </w:tcBorders>
          </w:tcPr>
          <w:p>
            <w:pPr>
              <w:rPr>
                <w:sz w:val="2"/>
                <w:szCs w:val="2"/>
              </w:rPr>
            </w:pPr>
          </w:p>
        </w:tc>
        <w:tc>
          <w:tcPr>
            <w:tcW w:w="1830" w:type="dxa"/>
            <w:vMerge/>
            <w:tcBorders>
              <w:top w:val="nil"/>
            </w:tcBorders>
          </w:tcPr>
          <w:p>
            <w:pPr>
              <w:rPr>
                <w:sz w:val="2"/>
                <w:szCs w:val="2"/>
              </w:rPr>
            </w:pPr>
          </w:p>
        </w:tc>
        <w:tc>
          <w:tcPr>
            <w:tcW w:w="4338" w:type="dxa"/>
            <w:tcBorders>
              <w:top w:val="nil"/>
            </w:tcBorders>
          </w:tcPr>
          <w:p>
            <w:pPr>
              <w:pStyle w:val="TableParagraph"/>
              <w:spacing w:line="242" w:lineRule="auto"/>
              <w:ind w:left="147" w:right="181"/>
              <w:rPr>
                <w:sz w:val="21"/>
              </w:rPr>
            </w:pPr>
            <w:r>
              <w:rPr>
                <w:sz w:val="21"/>
              </w:rPr>
              <w:t>诚信综合评价分以联合体成员中高分的一方计取。</w:t>
            </w:r>
          </w:p>
        </w:tc>
      </w:tr>
      <w:tr>
        <w:trPr>
          <w:trHeight w:val="1933" w:hRule="atLeast"/>
        </w:trPr>
        <w:tc>
          <w:tcPr>
            <w:tcW w:w="828" w:type="dxa"/>
            <w:vMerge/>
            <w:tcBorders>
              <w:top w:val="nil"/>
            </w:tcBorders>
          </w:tcPr>
          <w:p>
            <w:pPr>
              <w:rPr>
                <w:sz w:val="2"/>
                <w:szCs w:val="2"/>
              </w:rPr>
            </w:pPr>
          </w:p>
        </w:tc>
        <w:tc>
          <w:tcPr>
            <w:tcW w:w="874" w:type="dxa"/>
            <w:vMerge/>
            <w:tcBorders>
              <w:top w:val="nil"/>
            </w:tcBorders>
          </w:tcPr>
          <w:p>
            <w:pPr>
              <w:rPr>
                <w:sz w:val="2"/>
                <w:szCs w:val="2"/>
              </w:rPr>
            </w:pPr>
          </w:p>
        </w:tc>
        <w:tc>
          <w:tcPr>
            <w:tcW w:w="1104" w:type="dxa"/>
            <w:vMerge/>
            <w:tcBorders>
              <w:top w:val="nil"/>
            </w:tcBorders>
          </w:tcPr>
          <w:p>
            <w:pPr>
              <w:rPr>
                <w:sz w:val="2"/>
                <w:szCs w:val="2"/>
              </w:rPr>
            </w:pPr>
          </w:p>
        </w:tc>
        <w:tc>
          <w:tcPr>
            <w:tcW w:w="1830" w:type="dxa"/>
          </w:tcPr>
          <w:p>
            <w:pPr>
              <w:pStyle w:val="TableParagraph"/>
              <w:rPr>
                <w:rFonts w:ascii="Microsoft JhengHei"/>
                <w:b/>
                <w:sz w:val="20"/>
              </w:rPr>
            </w:pPr>
          </w:p>
          <w:p>
            <w:pPr>
              <w:pStyle w:val="TableParagraph"/>
              <w:spacing w:before="8"/>
              <w:rPr>
                <w:rFonts w:ascii="Microsoft JhengHei"/>
                <w:b/>
                <w:sz w:val="10"/>
              </w:rPr>
            </w:pPr>
          </w:p>
          <w:p>
            <w:pPr>
              <w:pStyle w:val="TableParagraph"/>
              <w:spacing w:line="242" w:lineRule="auto"/>
              <w:ind w:left="141" w:right="134"/>
              <w:jc w:val="both"/>
              <w:rPr>
                <w:sz w:val="21"/>
              </w:rPr>
            </w:pPr>
            <w:r>
              <w:rPr>
                <w:sz w:val="21"/>
              </w:rPr>
              <w:t>（三</w:t>
            </w:r>
            <w:r>
              <w:rPr>
                <w:spacing w:val="-3"/>
                <w:sz w:val="21"/>
              </w:rPr>
              <w:t>）</w:t>
            </w:r>
            <w:r>
              <w:rPr>
                <w:spacing w:val="-2"/>
                <w:sz w:val="21"/>
              </w:rPr>
              <w:t>项目经理</w:t>
            </w:r>
            <w:r>
              <w:rPr>
                <w:spacing w:val="-24"/>
                <w:sz w:val="21"/>
              </w:rPr>
              <w:t>情况</w:t>
            </w:r>
            <w:r>
              <w:rPr>
                <w:sz w:val="21"/>
              </w:rPr>
              <w:t>（</w:t>
            </w:r>
            <w:r>
              <w:rPr>
                <w:spacing w:val="-18"/>
                <w:sz w:val="21"/>
              </w:rPr>
              <w:t>满分 </w:t>
            </w:r>
            <w:r>
              <w:rPr>
                <w:rFonts w:ascii="Calibri" w:eastAsia="Calibri"/>
                <w:spacing w:val="-4"/>
                <w:sz w:val="21"/>
              </w:rPr>
              <w:t>15.00 </w:t>
            </w:r>
            <w:r>
              <w:rPr>
                <w:sz w:val="21"/>
              </w:rPr>
              <w:t>分）</w:t>
            </w:r>
          </w:p>
        </w:tc>
        <w:tc>
          <w:tcPr>
            <w:tcW w:w="4338" w:type="dxa"/>
          </w:tcPr>
          <w:p>
            <w:pPr>
              <w:pStyle w:val="TableParagraph"/>
              <w:numPr>
                <w:ilvl w:val="0"/>
                <w:numId w:val="50"/>
              </w:numPr>
              <w:tabs>
                <w:tab w:pos="677" w:val="left" w:leader="none"/>
              </w:tabs>
              <w:spacing w:line="242" w:lineRule="auto" w:before="152" w:after="0"/>
              <w:ind w:left="147" w:right="133" w:firstLine="0"/>
              <w:jc w:val="left"/>
              <w:rPr>
                <w:sz w:val="21"/>
              </w:rPr>
            </w:pPr>
            <w:r>
              <w:rPr>
                <w:spacing w:val="-7"/>
                <w:sz w:val="21"/>
              </w:rPr>
              <w:t>项目经理注册资格：项目经理为建筑</w:t>
            </w:r>
            <w:r>
              <w:rPr>
                <w:spacing w:val="-3"/>
                <w:sz w:val="21"/>
              </w:rPr>
              <w:t>工程专业二级及以上注册建造师的得 </w:t>
            </w:r>
            <w:r>
              <w:rPr>
                <w:rFonts w:ascii="Calibri" w:eastAsia="Calibri"/>
                <w:sz w:val="21"/>
              </w:rPr>
              <w:t>10</w:t>
            </w:r>
            <w:r>
              <w:rPr>
                <w:rFonts w:ascii="Calibri" w:eastAsia="Calibri"/>
                <w:spacing w:val="10"/>
                <w:sz w:val="21"/>
              </w:rPr>
              <w:t> </w:t>
            </w:r>
            <w:r>
              <w:rPr>
                <w:spacing w:val="-3"/>
                <w:sz w:val="21"/>
              </w:rPr>
              <w:t>分；</w:t>
            </w:r>
          </w:p>
          <w:p>
            <w:pPr>
              <w:pStyle w:val="TableParagraph"/>
              <w:numPr>
                <w:ilvl w:val="0"/>
                <w:numId w:val="50"/>
              </w:numPr>
              <w:tabs>
                <w:tab w:pos="677" w:val="left" w:leader="none"/>
              </w:tabs>
              <w:spacing w:line="242" w:lineRule="auto" w:before="1" w:after="0"/>
              <w:ind w:left="147" w:right="133" w:firstLine="0"/>
              <w:jc w:val="left"/>
              <w:rPr>
                <w:sz w:val="21"/>
              </w:rPr>
            </w:pPr>
            <w:r>
              <w:rPr>
                <w:spacing w:val="-7"/>
                <w:sz w:val="21"/>
              </w:rPr>
              <w:t>项目经理职称：具有助理工程师及以</w:t>
            </w:r>
            <w:r>
              <w:rPr>
                <w:spacing w:val="-10"/>
                <w:sz w:val="21"/>
              </w:rPr>
              <w:t>上职称的得 </w:t>
            </w:r>
            <w:r>
              <w:rPr>
                <w:rFonts w:ascii="Calibri" w:eastAsia="Calibri"/>
                <w:sz w:val="21"/>
              </w:rPr>
              <w:t>5</w:t>
            </w:r>
            <w:r>
              <w:rPr>
                <w:rFonts w:ascii="Calibri" w:eastAsia="Calibri"/>
                <w:spacing w:val="13"/>
                <w:sz w:val="21"/>
              </w:rPr>
              <w:t> </w:t>
            </w:r>
            <w:r>
              <w:rPr>
                <w:spacing w:val="-9"/>
                <w:sz w:val="21"/>
              </w:rPr>
              <w:t>分； 注：未提供投标人为拟投</w:t>
            </w:r>
            <w:r>
              <w:rPr>
                <w:spacing w:val="-4"/>
                <w:sz w:val="21"/>
              </w:rPr>
              <w:t>入项目经理缴纳 </w:t>
            </w:r>
            <w:r>
              <w:rPr>
                <w:rFonts w:ascii="Calibri" w:eastAsia="Calibri"/>
                <w:sz w:val="21"/>
              </w:rPr>
              <w:t>2020</w:t>
            </w:r>
            <w:r>
              <w:rPr>
                <w:rFonts w:ascii="Calibri" w:eastAsia="Calibri"/>
                <w:spacing w:val="5"/>
                <w:sz w:val="21"/>
              </w:rPr>
              <w:t>  </w:t>
            </w:r>
            <w:r>
              <w:rPr>
                <w:sz w:val="21"/>
              </w:rPr>
              <w:t>年 </w:t>
            </w:r>
            <w:r>
              <w:rPr>
                <w:rFonts w:ascii="Calibri" w:eastAsia="Calibri"/>
                <w:sz w:val="21"/>
              </w:rPr>
              <w:t>8</w:t>
            </w:r>
            <w:r>
              <w:rPr>
                <w:rFonts w:ascii="Calibri" w:eastAsia="Calibri"/>
                <w:spacing w:val="5"/>
                <w:sz w:val="21"/>
              </w:rPr>
              <w:t>  </w:t>
            </w:r>
            <w:r>
              <w:rPr>
                <w:spacing w:val="-18"/>
                <w:sz w:val="21"/>
              </w:rPr>
              <w:t>月至 </w:t>
            </w:r>
            <w:r>
              <w:rPr>
                <w:rFonts w:ascii="Calibri" w:eastAsia="Calibri"/>
                <w:sz w:val="21"/>
              </w:rPr>
              <w:t>2020</w:t>
            </w:r>
            <w:r>
              <w:rPr>
                <w:rFonts w:ascii="Calibri" w:eastAsia="Calibri"/>
                <w:spacing w:val="5"/>
                <w:sz w:val="21"/>
              </w:rPr>
              <w:t>  </w:t>
            </w:r>
            <w:r>
              <w:rPr>
                <w:sz w:val="21"/>
              </w:rPr>
              <w:t>年</w:t>
            </w:r>
            <w:r>
              <w:rPr>
                <w:rFonts w:ascii="Calibri" w:eastAsia="Calibri"/>
                <w:sz w:val="21"/>
              </w:rPr>
              <w:t>10</w:t>
            </w:r>
            <w:r>
              <w:rPr>
                <w:spacing w:val="-3"/>
                <w:sz w:val="21"/>
              </w:rPr>
              <w:t>月社会保险的证明材料的，不得分。</w:t>
            </w:r>
          </w:p>
        </w:tc>
      </w:tr>
      <w:tr>
        <w:trPr>
          <w:trHeight w:val="1389" w:hRule="atLeast"/>
        </w:trPr>
        <w:tc>
          <w:tcPr>
            <w:tcW w:w="828" w:type="dxa"/>
            <w:vMerge/>
            <w:tcBorders>
              <w:top w:val="nil"/>
            </w:tcBorders>
          </w:tcPr>
          <w:p>
            <w:pPr>
              <w:rPr>
                <w:sz w:val="2"/>
                <w:szCs w:val="2"/>
              </w:rPr>
            </w:pPr>
          </w:p>
        </w:tc>
        <w:tc>
          <w:tcPr>
            <w:tcW w:w="874" w:type="dxa"/>
            <w:vMerge/>
            <w:tcBorders>
              <w:top w:val="nil"/>
            </w:tcBorders>
          </w:tcPr>
          <w:p>
            <w:pPr>
              <w:rPr>
                <w:sz w:val="2"/>
                <w:szCs w:val="2"/>
              </w:rPr>
            </w:pPr>
          </w:p>
        </w:tc>
        <w:tc>
          <w:tcPr>
            <w:tcW w:w="1104" w:type="dxa"/>
            <w:vMerge/>
            <w:tcBorders>
              <w:top w:val="nil"/>
            </w:tcBorders>
          </w:tcPr>
          <w:p>
            <w:pPr>
              <w:rPr>
                <w:sz w:val="2"/>
                <w:szCs w:val="2"/>
              </w:rPr>
            </w:pPr>
          </w:p>
        </w:tc>
        <w:tc>
          <w:tcPr>
            <w:tcW w:w="1830" w:type="dxa"/>
          </w:tcPr>
          <w:p>
            <w:pPr>
              <w:pStyle w:val="TableParagraph"/>
              <w:spacing w:before="13"/>
              <w:rPr>
                <w:rFonts w:ascii="Microsoft JhengHei"/>
                <w:b/>
                <w:sz w:val="15"/>
              </w:rPr>
            </w:pPr>
          </w:p>
          <w:p>
            <w:pPr>
              <w:pStyle w:val="TableParagraph"/>
              <w:spacing w:line="242" w:lineRule="auto"/>
              <w:ind w:left="141" w:right="197"/>
              <w:rPr>
                <w:sz w:val="21"/>
              </w:rPr>
            </w:pPr>
            <w:r>
              <w:rPr>
                <w:sz w:val="21"/>
              </w:rPr>
              <w:t>（四）技术负责人情况（满分</w:t>
            </w:r>
          </w:p>
          <w:p>
            <w:pPr>
              <w:pStyle w:val="TableParagraph"/>
              <w:spacing w:before="1"/>
              <w:ind w:left="141"/>
              <w:rPr>
                <w:sz w:val="21"/>
              </w:rPr>
            </w:pPr>
            <w:r>
              <w:rPr>
                <w:rFonts w:ascii="Calibri" w:eastAsia="Calibri"/>
                <w:sz w:val="21"/>
              </w:rPr>
              <w:t>10.00 </w:t>
            </w:r>
            <w:r>
              <w:rPr>
                <w:sz w:val="21"/>
              </w:rPr>
              <w:t>分）</w:t>
            </w:r>
          </w:p>
        </w:tc>
        <w:tc>
          <w:tcPr>
            <w:tcW w:w="4338" w:type="dxa"/>
          </w:tcPr>
          <w:p>
            <w:pPr>
              <w:pStyle w:val="TableParagraph"/>
              <w:spacing w:line="242" w:lineRule="auto" w:before="152"/>
              <w:ind w:left="147" w:right="133"/>
              <w:jc w:val="both"/>
              <w:rPr>
                <w:sz w:val="21"/>
              </w:rPr>
            </w:pPr>
            <w:r>
              <w:rPr>
                <w:spacing w:val="-3"/>
                <w:sz w:val="21"/>
              </w:rPr>
              <w:t>技术负责人职称：具有工程类高级工程师职</w:t>
            </w:r>
            <w:r>
              <w:rPr>
                <w:spacing w:val="-14"/>
                <w:sz w:val="21"/>
              </w:rPr>
              <w:t>称的得 </w:t>
            </w:r>
            <w:r>
              <w:rPr>
                <w:rFonts w:ascii="Calibri" w:eastAsia="Calibri"/>
                <w:sz w:val="21"/>
              </w:rPr>
              <w:t>10 </w:t>
            </w:r>
            <w:r>
              <w:rPr>
                <w:spacing w:val="-4"/>
                <w:sz w:val="21"/>
              </w:rPr>
              <w:t>分。 注：未提供投标人为技术负</w:t>
            </w:r>
            <w:r>
              <w:rPr>
                <w:spacing w:val="-14"/>
                <w:sz w:val="21"/>
              </w:rPr>
              <w:t>责人缴纳 </w:t>
            </w:r>
            <w:r>
              <w:rPr>
                <w:rFonts w:ascii="Calibri" w:eastAsia="Calibri"/>
                <w:sz w:val="21"/>
              </w:rPr>
              <w:t>2020 </w:t>
            </w:r>
            <w:r>
              <w:rPr>
                <w:spacing w:val="-32"/>
                <w:sz w:val="21"/>
              </w:rPr>
              <w:t>年 </w:t>
            </w:r>
            <w:r>
              <w:rPr>
                <w:rFonts w:ascii="Calibri" w:eastAsia="Calibri"/>
                <w:sz w:val="21"/>
              </w:rPr>
              <w:t>8 </w:t>
            </w:r>
            <w:r>
              <w:rPr>
                <w:spacing w:val="-22"/>
                <w:sz w:val="21"/>
              </w:rPr>
              <w:t>月至 </w:t>
            </w:r>
            <w:r>
              <w:rPr>
                <w:rFonts w:ascii="Calibri" w:eastAsia="Calibri"/>
                <w:sz w:val="21"/>
              </w:rPr>
              <w:t>2020 </w:t>
            </w:r>
            <w:r>
              <w:rPr>
                <w:spacing w:val="-32"/>
                <w:sz w:val="21"/>
              </w:rPr>
              <w:t>年 </w:t>
            </w:r>
            <w:r>
              <w:rPr>
                <w:rFonts w:ascii="Calibri" w:eastAsia="Calibri"/>
                <w:sz w:val="21"/>
              </w:rPr>
              <w:t>10 </w:t>
            </w:r>
            <w:r>
              <w:rPr>
                <w:spacing w:val="-2"/>
                <w:sz w:val="21"/>
              </w:rPr>
              <w:t>月社会保</w:t>
            </w:r>
            <w:r>
              <w:rPr>
                <w:spacing w:val="-3"/>
                <w:sz w:val="21"/>
              </w:rPr>
              <w:t>险的证明材料的，不得分。</w:t>
            </w:r>
          </w:p>
        </w:tc>
      </w:tr>
      <w:tr>
        <w:trPr>
          <w:trHeight w:val="415" w:hRule="atLeast"/>
        </w:trPr>
        <w:tc>
          <w:tcPr>
            <w:tcW w:w="828" w:type="dxa"/>
            <w:vMerge/>
            <w:tcBorders>
              <w:top w:val="nil"/>
            </w:tcBorders>
          </w:tcPr>
          <w:p>
            <w:pPr>
              <w:rPr>
                <w:sz w:val="2"/>
                <w:szCs w:val="2"/>
              </w:rPr>
            </w:pPr>
          </w:p>
        </w:tc>
        <w:tc>
          <w:tcPr>
            <w:tcW w:w="874" w:type="dxa"/>
            <w:vMerge/>
            <w:tcBorders>
              <w:top w:val="nil"/>
            </w:tcBorders>
          </w:tcPr>
          <w:p>
            <w:pPr>
              <w:rPr>
                <w:sz w:val="2"/>
                <w:szCs w:val="2"/>
              </w:rPr>
            </w:pPr>
          </w:p>
        </w:tc>
        <w:tc>
          <w:tcPr>
            <w:tcW w:w="1104" w:type="dxa"/>
            <w:vMerge/>
            <w:tcBorders>
              <w:top w:val="nil"/>
            </w:tcBorders>
          </w:tcPr>
          <w:p>
            <w:pPr>
              <w:rPr>
                <w:sz w:val="2"/>
                <w:szCs w:val="2"/>
              </w:rPr>
            </w:pPr>
          </w:p>
        </w:tc>
        <w:tc>
          <w:tcPr>
            <w:tcW w:w="1830" w:type="dxa"/>
            <w:tcBorders>
              <w:bottom w:val="nil"/>
            </w:tcBorders>
          </w:tcPr>
          <w:p>
            <w:pPr>
              <w:pStyle w:val="TableParagraph"/>
              <w:rPr>
                <w:rFonts w:ascii="Times New Roman"/>
                <w:sz w:val="20"/>
              </w:rPr>
            </w:pPr>
          </w:p>
        </w:tc>
        <w:tc>
          <w:tcPr>
            <w:tcW w:w="4338" w:type="dxa"/>
            <w:tcBorders>
              <w:bottom w:val="nil"/>
            </w:tcBorders>
          </w:tcPr>
          <w:p>
            <w:pPr>
              <w:pStyle w:val="TableParagraph"/>
              <w:spacing w:line="243" w:lineRule="exact" w:before="152"/>
              <w:ind w:left="147"/>
              <w:rPr>
                <w:sz w:val="21"/>
              </w:rPr>
            </w:pPr>
            <w:r>
              <w:rPr>
                <w:sz w:val="21"/>
              </w:rPr>
              <w:t>（拟投入本工程施工员、质量员、安全员、</w:t>
            </w:r>
          </w:p>
        </w:tc>
      </w:tr>
      <w:tr>
        <w:trPr>
          <w:trHeight w:val="2435" w:hRule="atLeast"/>
        </w:trPr>
        <w:tc>
          <w:tcPr>
            <w:tcW w:w="828" w:type="dxa"/>
            <w:vMerge/>
            <w:tcBorders>
              <w:top w:val="nil"/>
            </w:tcBorders>
          </w:tcPr>
          <w:p>
            <w:pPr>
              <w:rPr>
                <w:sz w:val="2"/>
                <w:szCs w:val="2"/>
              </w:rPr>
            </w:pPr>
          </w:p>
        </w:tc>
        <w:tc>
          <w:tcPr>
            <w:tcW w:w="874" w:type="dxa"/>
            <w:vMerge/>
            <w:tcBorders>
              <w:top w:val="nil"/>
            </w:tcBorders>
          </w:tcPr>
          <w:p>
            <w:pPr>
              <w:rPr>
                <w:sz w:val="2"/>
                <w:szCs w:val="2"/>
              </w:rPr>
            </w:pPr>
          </w:p>
        </w:tc>
        <w:tc>
          <w:tcPr>
            <w:tcW w:w="1104" w:type="dxa"/>
            <w:vMerge/>
            <w:tcBorders>
              <w:top w:val="nil"/>
            </w:tcBorders>
          </w:tcPr>
          <w:p>
            <w:pPr>
              <w:rPr>
                <w:sz w:val="2"/>
                <w:szCs w:val="2"/>
              </w:rPr>
            </w:pPr>
          </w:p>
        </w:tc>
        <w:tc>
          <w:tcPr>
            <w:tcW w:w="1830" w:type="dxa"/>
            <w:tcBorders>
              <w:top w:val="nil"/>
              <w:bottom w:val="nil"/>
            </w:tcBorders>
          </w:tcPr>
          <w:p>
            <w:pPr>
              <w:pStyle w:val="TableParagraph"/>
              <w:rPr>
                <w:rFonts w:ascii="Microsoft JhengHei"/>
                <w:b/>
                <w:sz w:val="20"/>
              </w:rPr>
            </w:pPr>
          </w:p>
          <w:p>
            <w:pPr>
              <w:pStyle w:val="TableParagraph"/>
              <w:spacing w:before="12"/>
              <w:rPr>
                <w:rFonts w:ascii="Microsoft JhengHei"/>
                <w:b/>
                <w:sz w:val="16"/>
              </w:rPr>
            </w:pPr>
          </w:p>
          <w:p>
            <w:pPr>
              <w:pStyle w:val="TableParagraph"/>
              <w:spacing w:line="242" w:lineRule="auto"/>
              <w:ind w:left="141" w:right="197"/>
              <w:rPr>
                <w:sz w:val="21"/>
              </w:rPr>
            </w:pPr>
            <w:r>
              <w:rPr>
                <w:sz w:val="21"/>
              </w:rPr>
              <w:t>（五）拟投入本工程管理人员情况（满分 </w:t>
            </w:r>
            <w:r>
              <w:rPr>
                <w:rFonts w:ascii="Calibri" w:eastAsia="Calibri"/>
                <w:sz w:val="21"/>
              </w:rPr>
              <w:t>10.00 </w:t>
            </w:r>
            <w:r>
              <w:rPr>
                <w:sz w:val="21"/>
              </w:rPr>
              <w:t>分）</w:t>
            </w:r>
          </w:p>
        </w:tc>
        <w:tc>
          <w:tcPr>
            <w:tcW w:w="4338" w:type="dxa"/>
            <w:tcBorders>
              <w:top w:val="nil"/>
              <w:bottom w:val="nil"/>
            </w:tcBorders>
          </w:tcPr>
          <w:p>
            <w:pPr>
              <w:pStyle w:val="TableParagraph"/>
              <w:spacing w:line="242" w:lineRule="auto"/>
              <w:ind w:left="147" w:right="27"/>
              <w:rPr>
                <w:sz w:val="21"/>
              </w:rPr>
            </w:pPr>
            <w:r>
              <w:rPr>
                <w:spacing w:val="-3"/>
                <w:sz w:val="21"/>
              </w:rPr>
              <w:t>材料员配备齐全且全部持证上岗的，按以下</w:t>
            </w:r>
            <w:r>
              <w:rPr>
                <w:spacing w:val="-18"/>
                <w:sz w:val="21"/>
              </w:rPr>
              <w:t>标准计分： 优</w:t>
            </w:r>
            <w:r>
              <w:rPr>
                <w:sz w:val="21"/>
              </w:rPr>
              <w:t>（</w:t>
            </w:r>
            <w:r>
              <w:rPr>
                <w:rFonts w:ascii="Calibri" w:eastAsia="Calibri"/>
                <w:sz w:val="21"/>
              </w:rPr>
              <w:t>10</w:t>
            </w:r>
            <w:r>
              <w:rPr>
                <w:rFonts w:ascii="Calibri" w:eastAsia="Calibri"/>
                <w:spacing w:val="22"/>
                <w:sz w:val="21"/>
              </w:rPr>
              <w:t> </w:t>
            </w:r>
            <w:r>
              <w:rPr>
                <w:sz w:val="21"/>
              </w:rPr>
              <w:t>分</w:t>
            </w:r>
            <w:r>
              <w:rPr>
                <w:spacing w:val="-83"/>
                <w:sz w:val="21"/>
              </w:rPr>
              <w:t>）</w:t>
            </w:r>
            <w:r>
              <w:rPr>
                <w:spacing w:val="-12"/>
                <w:sz w:val="21"/>
              </w:rPr>
              <w:t>：完全满足施工需要， </w:t>
            </w:r>
            <w:r>
              <w:rPr>
                <w:spacing w:val="-3"/>
                <w:sz w:val="21"/>
              </w:rPr>
              <w:t>管理人员配备齐全且经验及综合素质优秀。</w:t>
            </w:r>
            <w:r>
              <w:rPr>
                <w:spacing w:val="-20"/>
                <w:w w:val="100"/>
                <w:sz w:val="21"/>
              </w:rPr>
              <w:t>良</w:t>
            </w:r>
            <w:r>
              <w:rPr>
                <w:spacing w:val="-3"/>
                <w:w w:val="100"/>
                <w:sz w:val="21"/>
              </w:rPr>
              <w:t>（</w:t>
            </w:r>
            <w:r>
              <w:rPr>
                <w:rFonts w:ascii="Calibri" w:eastAsia="Calibri"/>
                <w:w w:val="100"/>
                <w:sz w:val="21"/>
              </w:rPr>
              <w:t>8</w:t>
            </w:r>
            <w:r>
              <w:rPr>
                <w:rFonts w:ascii="Calibri" w:eastAsia="Calibri"/>
                <w:spacing w:val="4"/>
                <w:sz w:val="21"/>
              </w:rPr>
              <w:t>  </w:t>
            </w:r>
            <w:r>
              <w:rPr>
                <w:w w:val="100"/>
                <w:sz w:val="21"/>
              </w:rPr>
              <w:t>分</w:t>
            </w:r>
            <w:r>
              <w:rPr>
                <w:spacing w:val="-108"/>
                <w:w w:val="100"/>
                <w:sz w:val="21"/>
              </w:rPr>
              <w:t>）</w:t>
            </w:r>
            <w:r>
              <w:rPr>
                <w:spacing w:val="-8"/>
                <w:w w:val="100"/>
                <w:sz w:val="21"/>
              </w:rPr>
              <w:t>：满足施工需要，管理人员配备齐</w:t>
            </w:r>
            <w:r>
              <w:rPr>
                <w:spacing w:val="-5"/>
                <w:w w:val="100"/>
                <w:sz w:val="21"/>
              </w:rPr>
              <w:t>全且经验及综合素质优秀。</w:t>
            </w:r>
            <w:r>
              <w:rPr>
                <w:sz w:val="21"/>
              </w:rPr>
              <w:t> </w:t>
            </w:r>
            <w:r>
              <w:rPr>
                <w:spacing w:val="-3"/>
                <w:w w:val="100"/>
                <w:sz w:val="21"/>
              </w:rPr>
              <w:t>中</w:t>
            </w:r>
            <w:r>
              <w:rPr>
                <w:w w:val="100"/>
                <w:sz w:val="21"/>
              </w:rPr>
              <w:t>（</w:t>
            </w:r>
            <w:r>
              <w:rPr>
                <w:rFonts w:ascii="Calibri" w:eastAsia="Calibri"/>
                <w:w w:val="100"/>
                <w:sz w:val="21"/>
              </w:rPr>
              <w:t>5</w:t>
            </w:r>
            <w:r>
              <w:rPr>
                <w:rFonts w:ascii="Calibri" w:eastAsia="Calibri"/>
                <w:spacing w:val="4"/>
                <w:sz w:val="21"/>
              </w:rPr>
              <w:t>  </w:t>
            </w:r>
            <w:r>
              <w:rPr>
                <w:w w:val="100"/>
                <w:sz w:val="21"/>
              </w:rPr>
              <w:t>分</w:t>
            </w:r>
            <w:r>
              <w:rPr>
                <w:spacing w:val="-108"/>
                <w:w w:val="100"/>
                <w:sz w:val="21"/>
              </w:rPr>
              <w:t>）</w:t>
            </w:r>
            <w:r>
              <w:rPr>
                <w:w w:val="100"/>
                <w:sz w:val="21"/>
              </w:rPr>
              <w:t>：基</w:t>
            </w:r>
            <w:r>
              <w:rPr>
                <w:spacing w:val="-15"/>
                <w:sz w:val="21"/>
              </w:rPr>
              <w:t>本满足施工需要，管理人员配备齐全。 差</w:t>
            </w:r>
            <w:r>
              <w:rPr>
                <w:sz w:val="21"/>
              </w:rPr>
              <w:t>（</w:t>
            </w:r>
            <w:r>
              <w:rPr>
                <w:rFonts w:ascii="Calibri" w:eastAsia="Calibri"/>
                <w:sz w:val="21"/>
              </w:rPr>
              <w:t>1 </w:t>
            </w:r>
            <w:r>
              <w:rPr>
                <w:sz w:val="21"/>
              </w:rPr>
              <w:t>分</w:t>
            </w:r>
            <w:r>
              <w:rPr>
                <w:spacing w:val="-30"/>
                <w:sz w:val="21"/>
              </w:rPr>
              <w:t>）</w:t>
            </w:r>
            <w:r>
              <w:rPr>
                <w:rFonts w:ascii="Calibri" w:eastAsia="Calibri"/>
                <w:spacing w:val="-30"/>
                <w:sz w:val="21"/>
              </w:rPr>
              <w:t>:</w:t>
            </w:r>
            <w:r>
              <w:rPr>
                <w:spacing w:val="-11"/>
                <w:sz w:val="21"/>
              </w:rPr>
              <w:t>不满足施工需要，管理人员配备不齐全。</w:t>
            </w:r>
            <w:r>
              <w:rPr>
                <w:spacing w:val="-3"/>
                <w:sz w:val="21"/>
              </w:rPr>
              <w:t>注：技术负责人无需提供上岗证，以专业技</w:t>
            </w:r>
          </w:p>
          <w:p>
            <w:pPr>
              <w:pStyle w:val="TableParagraph"/>
              <w:spacing w:line="243" w:lineRule="exact"/>
              <w:ind w:left="147"/>
              <w:rPr>
                <w:sz w:val="21"/>
              </w:rPr>
            </w:pPr>
            <w:r>
              <w:rPr>
                <w:spacing w:val="-3"/>
                <w:sz w:val="21"/>
              </w:rPr>
              <w:t>术职称证书为准。未提供投标人为以上人员</w:t>
            </w:r>
          </w:p>
        </w:tc>
      </w:tr>
      <w:tr>
        <w:trPr>
          <w:trHeight w:val="416" w:hRule="atLeast"/>
        </w:trPr>
        <w:tc>
          <w:tcPr>
            <w:tcW w:w="828" w:type="dxa"/>
            <w:vMerge/>
            <w:tcBorders>
              <w:top w:val="nil"/>
            </w:tcBorders>
          </w:tcPr>
          <w:p>
            <w:pPr>
              <w:rPr>
                <w:sz w:val="2"/>
                <w:szCs w:val="2"/>
              </w:rPr>
            </w:pPr>
          </w:p>
        </w:tc>
        <w:tc>
          <w:tcPr>
            <w:tcW w:w="874" w:type="dxa"/>
            <w:vMerge/>
            <w:tcBorders>
              <w:top w:val="nil"/>
            </w:tcBorders>
          </w:tcPr>
          <w:p>
            <w:pPr>
              <w:rPr>
                <w:sz w:val="2"/>
                <w:szCs w:val="2"/>
              </w:rPr>
            </w:pPr>
          </w:p>
        </w:tc>
        <w:tc>
          <w:tcPr>
            <w:tcW w:w="1104" w:type="dxa"/>
            <w:vMerge/>
            <w:tcBorders>
              <w:top w:val="nil"/>
            </w:tcBorders>
          </w:tcPr>
          <w:p>
            <w:pPr>
              <w:rPr>
                <w:sz w:val="2"/>
                <w:szCs w:val="2"/>
              </w:rPr>
            </w:pPr>
          </w:p>
        </w:tc>
        <w:tc>
          <w:tcPr>
            <w:tcW w:w="1830" w:type="dxa"/>
            <w:tcBorders>
              <w:top w:val="nil"/>
            </w:tcBorders>
          </w:tcPr>
          <w:p>
            <w:pPr>
              <w:pStyle w:val="TableParagraph"/>
              <w:rPr>
                <w:rFonts w:ascii="Times New Roman"/>
                <w:sz w:val="20"/>
              </w:rPr>
            </w:pPr>
          </w:p>
        </w:tc>
        <w:tc>
          <w:tcPr>
            <w:tcW w:w="4338" w:type="dxa"/>
            <w:tcBorders>
              <w:top w:val="nil"/>
            </w:tcBorders>
          </w:tcPr>
          <w:p>
            <w:pPr>
              <w:pStyle w:val="TableParagraph"/>
              <w:spacing w:line="264" w:lineRule="exact"/>
              <w:ind w:left="147"/>
              <w:rPr>
                <w:sz w:val="21"/>
              </w:rPr>
            </w:pPr>
            <w:r>
              <w:rPr>
                <w:sz w:val="21"/>
              </w:rPr>
              <w:t>缴纳 </w:t>
            </w:r>
            <w:r>
              <w:rPr>
                <w:rFonts w:ascii="Calibri" w:eastAsia="Calibri"/>
                <w:sz w:val="21"/>
              </w:rPr>
              <w:t>2020 </w:t>
            </w:r>
            <w:r>
              <w:rPr>
                <w:sz w:val="21"/>
              </w:rPr>
              <w:t>年 </w:t>
            </w:r>
            <w:r>
              <w:rPr>
                <w:rFonts w:ascii="Calibri" w:eastAsia="Calibri"/>
                <w:sz w:val="21"/>
              </w:rPr>
              <w:t>8 </w:t>
            </w:r>
            <w:r>
              <w:rPr>
                <w:sz w:val="21"/>
              </w:rPr>
              <w:t>月至 </w:t>
            </w:r>
            <w:r>
              <w:rPr>
                <w:rFonts w:ascii="Calibri" w:eastAsia="Calibri"/>
                <w:sz w:val="21"/>
              </w:rPr>
              <w:t>2020 </w:t>
            </w:r>
            <w:r>
              <w:rPr>
                <w:sz w:val="21"/>
              </w:rPr>
              <w:t>年 </w:t>
            </w:r>
            <w:r>
              <w:rPr>
                <w:rFonts w:ascii="Calibri" w:eastAsia="Calibri"/>
                <w:sz w:val="21"/>
              </w:rPr>
              <w:t>10 </w:t>
            </w:r>
            <w:r>
              <w:rPr>
                <w:sz w:val="21"/>
              </w:rPr>
              <w:t>月社会保险</w:t>
            </w:r>
          </w:p>
        </w:tc>
      </w:tr>
    </w:tbl>
    <w:p>
      <w:pPr>
        <w:spacing w:after="0" w:line="264" w:lineRule="exact"/>
        <w:rPr>
          <w:sz w:val="21"/>
        </w:rPr>
        <w:sectPr>
          <w:pgSz w:w="11910" w:h="16850"/>
          <w:pgMar w:header="0" w:footer="779" w:top="1440" w:bottom="960" w:left="1120" w:right="280"/>
        </w:sectPr>
      </w:pPr>
    </w:p>
    <w:tbl>
      <w:tblPr>
        <w:tblW w:w="0" w:type="auto"/>
        <w:jc w:val="left"/>
        <w:tblInd w:w="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8"/>
        <w:gridCol w:w="874"/>
        <w:gridCol w:w="1098"/>
        <w:gridCol w:w="1837"/>
        <w:gridCol w:w="4339"/>
      </w:tblGrid>
      <w:tr>
        <w:trPr>
          <w:trHeight w:val="573" w:hRule="atLeast"/>
        </w:trPr>
        <w:tc>
          <w:tcPr>
            <w:tcW w:w="828" w:type="dxa"/>
            <w:vMerge w:val="restart"/>
          </w:tcPr>
          <w:p>
            <w:pPr>
              <w:pStyle w:val="TableParagraph"/>
              <w:rPr>
                <w:rFonts w:ascii="Times New Roman"/>
                <w:sz w:val="20"/>
              </w:rPr>
            </w:pPr>
          </w:p>
        </w:tc>
        <w:tc>
          <w:tcPr>
            <w:tcW w:w="874" w:type="dxa"/>
            <w:vMerge w:val="restart"/>
          </w:tcPr>
          <w:p>
            <w:pPr>
              <w:pStyle w:val="TableParagraph"/>
              <w:rPr>
                <w:rFonts w:ascii="Times New Roman"/>
                <w:sz w:val="20"/>
              </w:rPr>
            </w:pPr>
          </w:p>
        </w:tc>
        <w:tc>
          <w:tcPr>
            <w:tcW w:w="1098" w:type="dxa"/>
            <w:vMerge w:val="restart"/>
          </w:tcPr>
          <w:p>
            <w:pPr>
              <w:pStyle w:val="TableParagraph"/>
              <w:rPr>
                <w:rFonts w:ascii="Times New Roman"/>
                <w:sz w:val="20"/>
              </w:rPr>
            </w:pPr>
          </w:p>
        </w:tc>
        <w:tc>
          <w:tcPr>
            <w:tcW w:w="1837" w:type="dxa"/>
          </w:tcPr>
          <w:p>
            <w:pPr>
              <w:pStyle w:val="TableParagraph"/>
              <w:rPr>
                <w:rFonts w:ascii="Times New Roman"/>
                <w:sz w:val="20"/>
              </w:rPr>
            </w:pPr>
          </w:p>
        </w:tc>
        <w:tc>
          <w:tcPr>
            <w:tcW w:w="4339" w:type="dxa"/>
          </w:tcPr>
          <w:p>
            <w:pPr>
              <w:pStyle w:val="TableParagraph"/>
              <w:spacing w:before="152"/>
              <w:ind w:left="146"/>
              <w:rPr>
                <w:sz w:val="21"/>
              </w:rPr>
            </w:pPr>
            <w:r>
              <w:rPr>
                <w:sz w:val="21"/>
              </w:rPr>
              <w:t>的证明材料的，不得分。</w:t>
            </w:r>
          </w:p>
        </w:tc>
      </w:tr>
      <w:tr>
        <w:trPr>
          <w:trHeight w:val="3023" w:hRule="atLeast"/>
        </w:trPr>
        <w:tc>
          <w:tcPr>
            <w:tcW w:w="828" w:type="dxa"/>
            <w:vMerge/>
            <w:tcBorders>
              <w:top w:val="nil"/>
            </w:tcBorders>
          </w:tcPr>
          <w:p>
            <w:pPr>
              <w:rPr>
                <w:sz w:val="2"/>
                <w:szCs w:val="2"/>
              </w:rPr>
            </w:pPr>
          </w:p>
        </w:tc>
        <w:tc>
          <w:tcPr>
            <w:tcW w:w="874" w:type="dxa"/>
            <w:vMerge/>
            <w:tcBorders>
              <w:top w:val="nil"/>
            </w:tcBorders>
          </w:tcPr>
          <w:p>
            <w:pPr>
              <w:rPr>
                <w:sz w:val="2"/>
                <w:szCs w:val="2"/>
              </w:rPr>
            </w:pPr>
          </w:p>
        </w:tc>
        <w:tc>
          <w:tcPr>
            <w:tcW w:w="1098" w:type="dxa"/>
            <w:vMerge/>
            <w:tcBorders>
              <w:top w:val="nil"/>
            </w:tcBorders>
          </w:tcPr>
          <w:p>
            <w:pPr>
              <w:rPr>
                <w:sz w:val="2"/>
                <w:szCs w:val="2"/>
              </w:rPr>
            </w:pPr>
          </w:p>
        </w:tc>
        <w:tc>
          <w:tcPr>
            <w:tcW w:w="1837" w:type="dxa"/>
          </w:tcPr>
          <w:p>
            <w:pPr>
              <w:pStyle w:val="TableParagraph"/>
              <w:rPr>
                <w:rFonts w:ascii="Microsoft JhengHei"/>
                <w:b/>
                <w:sz w:val="20"/>
              </w:rPr>
            </w:pPr>
          </w:p>
          <w:p>
            <w:pPr>
              <w:pStyle w:val="TableParagraph"/>
              <w:rPr>
                <w:rFonts w:ascii="Microsoft JhengHei"/>
                <w:b/>
                <w:sz w:val="20"/>
              </w:rPr>
            </w:pPr>
          </w:p>
          <w:p>
            <w:pPr>
              <w:pStyle w:val="TableParagraph"/>
              <w:spacing w:before="1"/>
              <w:rPr>
                <w:rFonts w:ascii="Microsoft JhengHei"/>
                <w:b/>
                <w:sz w:val="20"/>
              </w:rPr>
            </w:pPr>
          </w:p>
          <w:p>
            <w:pPr>
              <w:pStyle w:val="TableParagraph"/>
              <w:spacing w:line="242" w:lineRule="auto"/>
              <w:ind w:left="147" w:right="198"/>
              <w:rPr>
                <w:sz w:val="21"/>
              </w:rPr>
            </w:pPr>
            <w:r>
              <w:rPr>
                <w:sz w:val="21"/>
              </w:rPr>
              <w:t>（六</w:t>
            </w:r>
            <w:r>
              <w:rPr>
                <w:spacing w:val="-3"/>
                <w:sz w:val="21"/>
              </w:rPr>
              <w:t>）</w:t>
            </w:r>
            <w:r>
              <w:rPr>
                <w:spacing w:val="-6"/>
                <w:sz w:val="21"/>
              </w:rPr>
              <w:t>拟投入施</w:t>
            </w:r>
            <w:r>
              <w:rPr>
                <w:spacing w:val="-4"/>
                <w:sz w:val="21"/>
              </w:rPr>
              <w:t>工机械设备情况</w:t>
            </w:r>
          </w:p>
          <w:p>
            <w:pPr>
              <w:pStyle w:val="TableParagraph"/>
              <w:spacing w:before="2"/>
              <w:ind w:left="147"/>
              <w:rPr>
                <w:sz w:val="21"/>
              </w:rPr>
            </w:pPr>
            <w:r>
              <w:rPr>
                <w:sz w:val="21"/>
              </w:rPr>
              <w:t>（</w:t>
            </w:r>
            <w:r>
              <w:rPr>
                <w:spacing w:val="-19"/>
                <w:sz w:val="21"/>
              </w:rPr>
              <w:t>满分 </w:t>
            </w:r>
            <w:r>
              <w:rPr>
                <w:rFonts w:ascii="Calibri" w:eastAsia="Calibri"/>
                <w:sz w:val="21"/>
              </w:rPr>
              <w:t>5.00</w:t>
            </w:r>
            <w:r>
              <w:rPr>
                <w:rFonts w:ascii="Calibri" w:eastAsia="Calibri"/>
                <w:spacing w:val="8"/>
                <w:sz w:val="21"/>
              </w:rPr>
              <w:t> </w:t>
            </w:r>
            <w:r>
              <w:rPr>
                <w:spacing w:val="-3"/>
                <w:sz w:val="21"/>
              </w:rPr>
              <w:t>分）</w:t>
            </w:r>
          </w:p>
        </w:tc>
        <w:tc>
          <w:tcPr>
            <w:tcW w:w="4339" w:type="dxa"/>
          </w:tcPr>
          <w:p>
            <w:pPr>
              <w:pStyle w:val="TableParagraph"/>
              <w:spacing w:line="242" w:lineRule="auto" w:before="149"/>
              <w:ind w:left="146" w:right="75"/>
              <w:rPr>
                <w:sz w:val="21"/>
              </w:rPr>
            </w:pPr>
            <w:r>
              <w:rPr>
                <w:w w:val="100"/>
                <w:sz w:val="21"/>
              </w:rPr>
              <w:t>优</w:t>
            </w:r>
            <w:r>
              <w:rPr>
                <w:spacing w:val="-3"/>
                <w:w w:val="100"/>
                <w:sz w:val="21"/>
              </w:rPr>
              <w:t>（</w:t>
            </w:r>
            <w:r>
              <w:rPr>
                <w:rFonts w:ascii="Calibri" w:eastAsia="Calibri"/>
                <w:w w:val="100"/>
                <w:sz w:val="21"/>
              </w:rPr>
              <w:t>5</w:t>
            </w:r>
            <w:r>
              <w:rPr>
                <w:rFonts w:ascii="Calibri" w:eastAsia="Calibri"/>
                <w:spacing w:val="5"/>
                <w:sz w:val="21"/>
              </w:rPr>
              <w:t>  </w:t>
            </w:r>
            <w:r>
              <w:rPr>
                <w:spacing w:val="-3"/>
                <w:w w:val="100"/>
                <w:sz w:val="21"/>
              </w:rPr>
              <w:t>分</w:t>
            </w:r>
            <w:r>
              <w:rPr>
                <w:spacing w:val="-106"/>
                <w:w w:val="100"/>
                <w:sz w:val="21"/>
              </w:rPr>
              <w:t>）</w:t>
            </w:r>
            <w:r>
              <w:rPr>
                <w:spacing w:val="-3"/>
                <w:w w:val="100"/>
                <w:sz w:val="21"/>
              </w:rPr>
              <w:t>：拟投入的主要、辅助施工设备、</w:t>
            </w:r>
            <w:r>
              <w:rPr>
                <w:spacing w:val="-3"/>
                <w:sz w:val="21"/>
              </w:rPr>
              <w:t>器具齐全且配备科学合理，设备型号、数量</w:t>
            </w:r>
            <w:r>
              <w:rPr>
                <w:spacing w:val="-11"/>
                <w:sz w:val="21"/>
              </w:rPr>
              <w:t>完全满足施工需要。良</w:t>
            </w:r>
            <w:r>
              <w:rPr>
                <w:sz w:val="21"/>
              </w:rPr>
              <w:t>（</w:t>
            </w:r>
            <w:r>
              <w:rPr>
                <w:rFonts w:ascii="Calibri" w:eastAsia="Calibri"/>
                <w:sz w:val="21"/>
              </w:rPr>
              <w:t>4 </w:t>
            </w:r>
            <w:r>
              <w:rPr>
                <w:sz w:val="21"/>
              </w:rPr>
              <w:t>分</w:t>
            </w:r>
            <w:r>
              <w:rPr>
                <w:spacing w:val="-99"/>
                <w:sz w:val="21"/>
              </w:rPr>
              <w:t>）</w:t>
            </w:r>
            <w:r>
              <w:rPr>
                <w:spacing w:val="-15"/>
                <w:sz w:val="21"/>
              </w:rPr>
              <w:t>：拟投入的 主</w:t>
            </w:r>
            <w:r>
              <w:rPr>
                <w:spacing w:val="-7"/>
                <w:sz w:val="21"/>
              </w:rPr>
              <w:t>要、辅助施工设备、器具齐全且配备科学合</w:t>
            </w:r>
            <w:r>
              <w:rPr>
                <w:spacing w:val="-5"/>
                <w:sz w:val="21"/>
              </w:rPr>
              <w:t>理，设备型号、数量满足施工需要。 中</w:t>
            </w:r>
            <w:r>
              <w:rPr>
                <w:sz w:val="21"/>
              </w:rPr>
              <w:t>（</w:t>
            </w:r>
            <w:r>
              <w:rPr>
                <w:rFonts w:ascii="Calibri" w:eastAsia="Calibri"/>
                <w:sz w:val="21"/>
              </w:rPr>
              <w:t>3 </w:t>
            </w:r>
            <w:r>
              <w:rPr>
                <w:sz w:val="21"/>
              </w:rPr>
              <w:t>分</w:t>
            </w:r>
            <w:r>
              <w:rPr>
                <w:spacing w:val="-64"/>
                <w:sz w:val="21"/>
              </w:rPr>
              <w:t>）</w:t>
            </w:r>
            <w:r>
              <w:rPr>
                <w:spacing w:val="-12"/>
                <w:sz w:val="21"/>
              </w:rPr>
              <w:t>：拟投入的主要、辅助施工设备、器具基</w:t>
            </w:r>
            <w:r>
              <w:rPr>
                <w:spacing w:val="-6"/>
                <w:sz w:val="21"/>
              </w:rPr>
              <w:t>本齐全无重大缺漏，设备型号、数量基本满</w:t>
            </w:r>
            <w:r>
              <w:rPr>
                <w:spacing w:val="-4"/>
                <w:w w:val="100"/>
                <w:sz w:val="21"/>
              </w:rPr>
              <w:t>足施工需要。</w:t>
            </w:r>
            <w:r>
              <w:rPr>
                <w:spacing w:val="-4"/>
                <w:sz w:val="21"/>
              </w:rPr>
              <w:t> </w:t>
            </w:r>
            <w:r>
              <w:rPr>
                <w:w w:val="100"/>
                <w:sz w:val="21"/>
              </w:rPr>
              <w:t>差</w:t>
            </w:r>
            <w:r>
              <w:rPr>
                <w:spacing w:val="-3"/>
                <w:w w:val="100"/>
                <w:sz w:val="21"/>
              </w:rPr>
              <w:t>（</w:t>
            </w:r>
            <w:r>
              <w:rPr>
                <w:rFonts w:ascii="Calibri" w:eastAsia="Calibri"/>
                <w:w w:val="100"/>
                <w:sz w:val="21"/>
              </w:rPr>
              <w:t>1</w:t>
            </w:r>
            <w:r>
              <w:rPr>
                <w:rFonts w:ascii="Calibri" w:eastAsia="Calibri"/>
                <w:spacing w:val="4"/>
                <w:sz w:val="21"/>
              </w:rPr>
              <w:t>  </w:t>
            </w:r>
            <w:r>
              <w:rPr>
                <w:w w:val="100"/>
                <w:sz w:val="21"/>
              </w:rPr>
              <w:t>分</w:t>
            </w:r>
            <w:r>
              <w:rPr>
                <w:spacing w:val="-108"/>
                <w:w w:val="100"/>
                <w:sz w:val="21"/>
              </w:rPr>
              <w:t>）</w:t>
            </w:r>
            <w:r>
              <w:rPr>
                <w:spacing w:val="-3"/>
                <w:w w:val="100"/>
                <w:sz w:val="21"/>
              </w:rPr>
              <w:t>：拟投入的主要、</w:t>
            </w:r>
            <w:r>
              <w:rPr>
                <w:spacing w:val="-3"/>
                <w:sz w:val="21"/>
              </w:rPr>
              <w:t>辅助施工设备、器具不齐全存在重大缺漏， 设备型号、数量不能满足施工需要。</w:t>
            </w:r>
          </w:p>
        </w:tc>
      </w:tr>
      <w:tr>
        <w:trPr>
          <w:trHeight w:val="2749" w:hRule="atLeast"/>
        </w:trPr>
        <w:tc>
          <w:tcPr>
            <w:tcW w:w="828" w:type="dxa"/>
            <w:vMerge/>
            <w:tcBorders>
              <w:top w:val="nil"/>
            </w:tcBorders>
          </w:tcPr>
          <w:p>
            <w:pPr>
              <w:rPr>
                <w:sz w:val="2"/>
                <w:szCs w:val="2"/>
              </w:rPr>
            </w:pPr>
          </w:p>
        </w:tc>
        <w:tc>
          <w:tcPr>
            <w:tcW w:w="874" w:type="dxa"/>
            <w:vMerge/>
            <w:tcBorders>
              <w:top w:val="nil"/>
            </w:tcBorders>
          </w:tcPr>
          <w:p>
            <w:pPr>
              <w:rPr>
                <w:sz w:val="2"/>
                <w:szCs w:val="2"/>
              </w:rPr>
            </w:pPr>
          </w:p>
        </w:tc>
        <w:tc>
          <w:tcPr>
            <w:tcW w:w="1098" w:type="dxa"/>
            <w:vMerge/>
            <w:tcBorders>
              <w:top w:val="nil"/>
            </w:tcBorders>
          </w:tcPr>
          <w:p>
            <w:pPr>
              <w:rPr>
                <w:sz w:val="2"/>
                <w:szCs w:val="2"/>
              </w:rPr>
            </w:pPr>
          </w:p>
        </w:tc>
        <w:tc>
          <w:tcPr>
            <w:tcW w:w="1837" w:type="dxa"/>
          </w:tcPr>
          <w:p>
            <w:pPr>
              <w:pStyle w:val="TableParagraph"/>
              <w:rPr>
                <w:rFonts w:ascii="Microsoft JhengHei"/>
                <w:b/>
                <w:sz w:val="20"/>
              </w:rPr>
            </w:pPr>
          </w:p>
          <w:p>
            <w:pPr>
              <w:pStyle w:val="TableParagraph"/>
              <w:rPr>
                <w:rFonts w:ascii="Microsoft JhengHei"/>
                <w:b/>
                <w:sz w:val="20"/>
              </w:rPr>
            </w:pPr>
          </w:p>
          <w:p>
            <w:pPr>
              <w:pStyle w:val="TableParagraph"/>
              <w:spacing w:before="11"/>
              <w:rPr>
                <w:rFonts w:ascii="Microsoft JhengHei"/>
                <w:b/>
                <w:sz w:val="12"/>
              </w:rPr>
            </w:pPr>
          </w:p>
          <w:p>
            <w:pPr>
              <w:pStyle w:val="TableParagraph"/>
              <w:spacing w:line="242" w:lineRule="auto" w:before="1"/>
              <w:ind w:left="147" w:right="135"/>
              <w:jc w:val="both"/>
              <w:rPr>
                <w:sz w:val="21"/>
              </w:rPr>
            </w:pPr>
            <w:r>
              <w:rPr>
                <w:sz w:val="21"/>
              </w:rPr>
              <w:t>（七</w:t>
            </w:r>
            <w:r>
              <w:rPr>
                <w:spacing w:val="-3"/>
                <w:sz w:val="21"/>
              </w:rPr>
              <w:t>）</w:t>
            </w:r>
            <w:r>
              <w:rPr>
                <w:spacing w:val="-2"/>
                <w:sz w:val="21"/>
              </w:rPr>
              <w:t>企业财务</w:t>
            </w:r>
            <w:r>
              <w:rPr>
                <w:spacing w:val="-24"/>
                <w:sz w:val="21"/>
              </w:rPr>
              <w:t>状况</w:t>
            </w:r>
            <w:r>
              <w:rPr>
                <w:sz w:val="21"/>
              </w:rPr>
              <w:t>（</w:t>
            </w:r>
            <w:r>
              <w:rPr>
                <w:spacing w:val="-18"/>
                <w:sz w:val="21"/>
              </w:rPr>
              <w:t>满分 </w:t>
            </w:r>
            <w:r>
              <w:rPr>
                <w:rFonts w:ascii="Calibri" w:eastAsia="Calibri"/>
                <w:spacing w:val="-4"/>
                <w:sz w:val="21"/>
              </w:rPr>
              <w:t>10.00 </w:t>
            </w:r>
            <w:r>
              <w:rPr>
                <w:sz w:val="21"/>
              </w:rPr>
              <w:t>分）</w:t>
            </w:r>
          </w:p>
        </w:tc>
        <w:tc>
          <w:tcPr>
            <w:tcW w:w="4339" w:type="dxa"/>
          </w:tcPr>
          <w:p>
            <w:pPr>
              <w:pStyle w:val="TableParagraph"/>
              <w:spacing w:line="242" w:lineRule="auto" w:before="149"/>
              <w:ind w:left="146" w:right="132"/>
              <w:jc w:val="both"/>
              <w:rPr>
                <w:sz w:val="21"/>
              </w:rPr>
            </w:pPr>
            <w:r>
              <w:rPr>
                <w:spacing w:val="-1"/>
                <w:sz w:val="21"/>
              </w:rPr>
              <w:t>提供 </w:t>
            </w:r>
            <w:r>
              <w:rPr>
                <w:rFonts w:ascii="Calibri" w:eastAsia="Calibri"/>
                <w:sz w:val="21"/>
              </w:rPr>
              <w:t>2017 </w:t>
            </w:r>
            <w:r>
              <w:rPr>
                <w:spacing w:val="-20"/>
                <w:sz w:val="21"/>
              </w:rPr>
              <w:t>年、</w:t>
            </w:r>
            <w:r>
              <w:rPr>
                <w:rFonts w:ascii="Calibri" w:eastAsia="Calibri"/>
                <w:sz w:val="21"/>
              </w:rPr>
              <w:t>2018 </w:t>
            </w:r>
            <w:r>
              <w:rPr>
                <w:spacing w:val="-20"/>
                <w:sz w:val="21"/>
              </w:rPr>
              <w:t>年、</w:t>
            </w:r>
            <w:r>
              <w:rPr>
                <w:rFonts w:ascii="Calibri" w:eastAsia="Calibri"/>
                <w:sz w:val="21"/>
              </w:rPr>
              <w:t>2019 </w:t>
            </w:r>
            <w:r>
              <w:rPr>
                <w:spacing w:val="-2"/>
                <w:sz w:val="21"/>
              </w:rPr>
              <w:t>年全部 </w:t>
            </w:r>
            <w:r>
              <w:rPr>
                <w:rFonts w:ascii="Calibri" w:eastAsia="Calibri"/>
                <w:sz w:val="21"/>
              </w:rPr>
              <w:t>3 </w:t>
            </w:r>
            <w:r>
              <w:rPr>
                <w:sz w:val="21"/>
              </w:rPr>
              <w:t>年</w:t>
            </w:r>
            <w:r>
              <w:rPr>
                <w:spacing w:val="-3"/>
                <w:sz w:val="21"/>
              </w:rPr>
              <w:t>经会计师事务所审计的财务报表和审计报告</w:t>
            </w:r>
            <w:r>
              <w:rPr>
                <w:spacing w:val="-15"/>
                <w:sz w:val="21"/>
              </w:rPr>
              <w:t>的，得 </w:t>
            </w:r>
            <w:r>
              <w:rPr>
                <w:rFonts w:ascii="Calibri" w:eastAsia="Calibri"/>
                <w:sz w:val="21"/>
              </w:rPr>
              <w:t>10 </w:t>
            </w:r>
            <w:r>
              <w:rPr>
                <w:spacing w:val="-3"/>
                <w:sz w:val="21"/>
              </w:rPr>
              <w:t>分，每少提供一年的扣 </w:t>
            </w:r>
            <w:r>
              <w:rPr>
                <w:rFonts w:ascii="Calibri" w:eastAsia="Calibri"/>
                <w:sz w:val="21"/>
              </w:rPr>
              <w:t>3 </w:t>
            </w:r>
            <w:r>
              <w:rPr>
                <w:spacing w:val="-2"/>
                <w:sz w:val="21"/>
              </w:rPr>
              <w:t>分；满</w:t>
            </w:r>
          </w:p>
          <w:p>
            <w:pPr>
              <w:pStyle w:val="TableParagraph"/>
              <w:spacing w:line="242" w:lineRule="auto" w:before="4"/>
              <w:ind w:left="146" w:right="135"/>
              <w:jc w:val="both"/>
              <w:rPr>
                <w:sz w:val="21"/>
              </w:rPr>
            </w:pPr>
            <w:r>
              <w:rPr>
                <w:sz w:val="21"/>
              </w:rPr>
              <w:t>分 </w:t>
            </w:r>
            <w:r>
              <w:rPr>
                <w:rFonts w:ascii="Calibri" w:eastAsia="Calibri"/>
                <w:sz w:val="21"/>
              </w:rPr>
              <w:t>10 </w:t>
            </w:r>
            <w:r>
              <w:rPr>
                <w:sz w:val="21"/>
              </w:rPr>
              <w:t>分。 【如 </w:t>
            </w:r>
            <w:r>
              <w:rPr>
                <w:rFonts w:ascii="Calibri" w:eastAsia="Calibri"/>
                <w:sz w:val="21"/>
              </w:rPr>
              <w:t>2019 </w:t>
            </w:r>
            <w:r>
              <w:rPr>
                <w:sz w:val="21"/>
              </w:rPr>
              <w:t>年正在审计的，需提供审计说明报告及正在审计的证明材料方可计分。对于从取得营业执照时间起到投标截止时间为止不足要求年数的企业，只需提交企业取得营业执照年份至所要求最近年份经审计的财务报表。】</w:t>
            </w:r>
          </w:p>
        </w:tc>
      </w:tr>
      <w:tr>
        <w:trPr>
          <w:trHeight w:val="6293" w:hRule="atLeast"/>
        </w:trPr>
        <w:tc>
          <w:tcPr>
            <w:tcW w:w="828" w:type="dxa"/>
            <w:vMerge/>
            <w:tcBorders>
              <w:top w:val="nil"/>
            </w:tcBorders>
          </w:tcPr>
          <w:p>
            <w:pPr>
              <w:rPr>
                <w:sz w:val="2"/>
                <w:szCs w:val="2"/>
              </w:rPr>
            </w:pPr>
          </w:p>
        </w:tc>
        <w:tc>
          <w:tcPr>
            <w:tcW w:w="874" w:type="dxa"/>
            <w:vMerge/>
            <w:tcBorders>
              <w:top w:val="nil"/>
            </w:tcBorders>
          </w:tcPr>
          <w:p>
            <w:pPr>
              <w:rPr>
                <w:sz w:val="2"/>
                <w:szCs w:val="2"/>
              </w:rPr>
            </w:pPr>
          </w:p>
        </w:tc>
        <w:tc>
          <w:tcPr>
            <w:tcW w:w="1098" w:type="dxa"/>
            <w:vMerge/>
            <w:tcBorders>
              <w:top w:val="nil"/>
            </w:tcBorders>
          </w:tcPr>
          <w:p>
            <w:pPr>
              <w:rPr>
                <w:sz w:val="2"/>
                <w:szCs w:val="2"/>
              </w:rPr>
            </w:pPr>
          </w:p>
        </w:tc>
        <w:tc>
          <w:tcPr>
            <w:tcW w:w="1837" w:type="dxa"/>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18"/>
              <w:rPr>
                <w:rFonts w:ascii="Microsoft JhengHei"/>
                <w:b/>
                <w:sz w:val="28"/>
              </w:rPr>
            </w:pPr>
          </w:p>
          <w:p>
            <w:pPr>
              <w:pStyle w:val="TableParagraph"/>
              <w:spacing w:line="242" w:lineRule="auto"/>
              <w:ind w:left="147" w:right="135"/>
              <w:jc w:val="both"/>
              <w:rPr>
                <w:sz w:val="21"/>
              </w:rPr>
            </w:pPr>
            <w:r>
              <w:rPr>
                <w:sz w:val="21"/>
              </w:rPr>
              <w:t>（八</w:t>
            </w:r>
            <w:r>
              <w:rPr>
                <w:spacing w:val="-3"/>
                <w:sz w:val="21"/>
              </w:rPr>
              <w:t>）</w:t>
            </w:r>
            <w:r>
              <w:rPr>
                <w:spacing w:val="-2"/>
                <w:sz w:val="21"/>
              </w:rPr>
              <w:t>经济贡献</w:t>
            </w:r>
            <w:r>
              <w:rPr>
                <w:spacing w:val="-24"/>
                <w:sz w:val="21"/>
              </w:rPr>
              <w:t>情况</w:t>
            </w:r>
            <w:r>
              <w:rPr>
                <w:sz w:val="21"/>
              </w:rPr>
              <w:t>（</w:t>
            </w:r>
            <w:r>
              <w:rPr>
                <w:spacing w:val="-18"/>
                <w:sz w:val="21"/>
              </w:rPr>
              <w:t>满分 </w:t>
            </w:r>
            <w:r>
              <w:rPr>
                <w:rFonts w:ascii="Calibri" w:eastAsia="Calibri"/>
                <w:spacing w:val="-4"/>
                <w:sz w:val="21"/>
              </w:rPr>
              <w:t>15.00 </w:t>
            </w:r>
            <w:r>
              <w:rPr>
                <w:sz w:val="21"/>
              </w:rPr>
              <w:t>分）</w:t>
            </w:r>
          </w:p>
        </w:tc>
        <w:tc>
          <w:tcPr>
            <w:tcW w:w="4339" w:type="dxa"/>
          </w:tcPr>
          <w:p>
            <w:pPr>
              <w:pStyle w:val="TableParagraph"/>
              <w:spacing w:line="244" w:lineRule="auto" w:before="152"/>
              <w:ind w:left="146" w:right="68"/>
              <w:rPr>
                <w:sz w:val="21"/>
              </w:rPr>
            </w:pPr>
            <w:r>
              <w:rPr>
                <w:sz w:val="21"/>
              </w:rPr>
              <w:t>（</w:t>
            </w:r>
            <w:r>
              <w:rPr>
                <w:rFonts w:ascii="Calibri" w:eastAsia="Calibri"/>
                <w:sz w:val="21"/>
              </w:rPr>
              <w:t>1</w:t>
            </w:r>
            <w:r>
              <w:rPr>
                <w:sz w:val="21"/>
              </w:rPr>
              <w:t>）建筑业产值统计：按照南宁市建筑业统计库内企业上一年度建筑业产值计算得分</w:t>
            </w:r>
          </w:p>
          <w:p>
            <w:pPr>
              <w:pStyle w:val="TableParagraph"/>
              <w:spacing w:line="265" w:lineRule="exact"/>
              <w:ind w:left="146"/>
              <w:rPr>
                <w:sz w:val="21"/>
              </w:rPr>
            </w:pPr>
            <w:r>
              <w:rPr>
                <w:w w:val="100"/>
                <w:sz w:val="21"/>
              </w:rPr>
              <w:t>（</w:t>
            </w:r>
            <w:r>
              <w:rPr>
                <w:spacing w:val="-2"/>
                <w:w w:val="100"/>
                <w:sz w:val="21"/>
              </w:rPr>
              <w:t>满分</w:t>
            </w:r>
            <w:r>
              <w:rPr>
                <w:spacing w:val="-53"/>
                <w:sz w:val="21"/>
              </w:rPr>
              <w:t> </w:t>
            </w:r>
            <w:r>
              <w:rPr>
                <w:rFonts w:ascii="Calibri" w:eastAsia="Calibri"/>
                <w:spacing w:val="-2"/>
                <w:w w:val="100"/>
                <w:sz w:val="21"/>
              </w:rPr>
              <w:t>1</w:t>
            </w:r>
            <w:r>
              <w:rPr>
                <w:rFonts w:ascii="Calibri" w:eastAsia="Calibri"/>
                <w:w w:val="100"/>
                <w:sz w:val="21"/>
              </w:rPr>
              <w:t>0</w:t>
            </w:r>
            <w:r>
              <w:rPr>
                <w:rFonts w:ascii="Calibri" w:eastAsia="Calibri"/>
                <w:spacing w:val="3"/>
                <w:sz w:val="21"/>
              </w:rPr>
              <w:t> </w:t>
            </w:r>
            <w:r>
              <w:rPr>
                <w:w w:val="100"/>
                <w:sz w:val="21"/>
              </w:rPr>
              <w:t>分</w:t>
            </w:r>
            <w:r>
              <w:rPr>
                <w:spacing w:val="-106"/>
                <w:w w:val="100"/>
                <w:sz w:val="21"/>
              </w:rPr>
              <w:t>）</w:t>
            </w:r>
            <w:r>
              <w:rPr>
                <w:spacing w:val="-8"/>
                <w:w w:val="100"/>
                <w:sz w:val="21"/>
              </w:rPr>
              <w:t>：</w:t>
            </w:r>
            <w:r>
              <w:rPr>
                <w:rFonts w:ascii="Calibri" w:eastAsia="Calibri"/>
                <w:spacing w:val="-2"/>
                <w:w w:val="100"/>
                <w:sz w:val="21"/>
              </w:rPr>
              <w:t>5</w:t>
            </w:r>
            <w:r>
              <w:rPr>
                <w:rFonts w:ascii="Calibri" w:eastAsia="Calibri"/>
                <w:w w:val="100"/>
                <w:sz w:val="21"/>
              </w:rPr>
              <w:t>0</w:t>
            </w:r>
            <w:r>
              <w:rPr>
                <w:rFonts w:ascii="Calibri" w:eastAsia="Calibri"/>
                <w:spacing w:val="6"/>
                <w:sz w:val="21"/>
              </w:rPr>
              <w:t> </w:t>
            </w:r>
            <w:r>
              <w:rPr>
                <w:spacing w:val="-8"/>
                <w:w w:val="100"/>
                <w:sz w:val="21"/>
              </w:rPr>
              <w:t>亿</w:t>
            </w:r>
            <w:r>
              <w:rPr>
                <w:w w:val="100"/>
                <w:sz w:val="21"/>
              </w:rPr>
              <w:t>（</w:t>
            </w:r>
            <w:r>
              <w:rPr>
                <w:spacing w:val="-3"/>
                <w:w w:val="100"/>
                <w:sz w:val="21"/>
              </w:rPr>
              <w:t>含</w:t>
            </w:r>
            <w:r>
              <w:rPr>
                <w:spacing w:val="-5"/>
                <w:w w:val="100"/>
                <w:sz w:val="21"/>
              </w:rPr>
              <w:t>）</w:t>
            </w:r>
            <w:r>
              <w:rPr>
                <w:spacing w:val="-3"/>
                <w:w w:val="100"/>
                <w:sz w:val="21"/>
              </w:rPr>
              <w:t>以上的得</w:t>
            </w:r>
            <w:r>
              <w:rPr>
                <w:spacing w:val="-52"/>
                <w:sz w:val="21"/>
              </w:rPr>
              <w:t> </w:t>
            </w:r>
            <w:r>
              <w:rPr>
                <w:rFonts w:ascii="Calibri" w:eastAsia="Calibri"/>
                <w:spacing w:val="-2"/>
                <w:w w:val="100"/>
                <w:sz w:val="21"/>
              </w:rPr>
              <w:t>1</w:t>
            </w:r>
            <w:r>
              <w:rPr>
                <w:rFonts w:ascii="Calibri" w:eastAsia="Calibri"/>
                <w:w w:val="100"/>
                <w:sz w:val="21"/>
              </w:rPr>
              <w:t>0</w:t>
            </w:r>
            <w:r>
              <w:rPr>
                <w:rFonts w:ascii="Calibri" w:eastAsia="Calibri"/>
                <w:spacing w:val="6"/>
                <w:sz w:val="21"/>
              </w:rPr>
              <w:t> </w:t>
            </w:r>
            <w:r>
              <w:rPr>
                <w:spacing w:val="-3"/>
                <w:w w:val="100"/>
                <w:sz w:val="21"/>
              </w:rPr>
              <w:t>分；</w:t>
            </w:r>
          </w:p>
          <w:p>
            <w:pPr>
              <w:pStyle w:val="TableParagraph"/>
              <w:spacing w:before="2"/>
              <w:ind w:left="146"/>
              <w:rPr>
                <w:sz w:val="21"/>
              </w:rPr>
            </w:pPr>
            <w:r>
              <w:rPr>
                <w:rFonts w:ascii="Calibri" w:eastAsia="Calibri"/>
                <w:sz w:val="21"/>
              </w:rPr>
              <w:t>20 </w:t>
            </w:r>
            <w:r>
              <w:rPr>
                <w:sz w:val="21"/>
              </w:rPr>
              <w:t>亿（含）至 </w:t>
            </w:r>
            <w:r>
              <w:rPr>
                <w:rFonts w:ascii="Calibri" w:eastAsia="Calibri"/>
                <w:sz w:val="21"/>
              </w:rPr>
              <w:t>50 </w:t>
            </w:r>
            <w:r>
              <w:rPr>
                <w:sz w:val="21"/>
              </w:rPr>
              <w:t>亿的得 </w:t>
            </w:r>
            <w:r>
              <w:rPr>
                <w:rFonts w:ascii="Calibri" w:eastAsia="Calibri"/>
                <w:sz w:val="21"/>
              </w:rPr>
              <w:t>8 </w:t>
            </w:r>
            <w:r>
              <w:rPr>
                <w:sz w:val="21"/>
              </w:rPr>
              <w:t>分；</w:t>
            </w:r>
            <w:r>
              <w:rPr>
                <w:rFonts w:ascii="Calibri" w:eastAsia="Calibri"/>
                <w:sz w:val="21"/>
              </w:rPr>
              <w:t>10 </w:t>
            </w:r>
            <w:r>
              <w:rPr>
                <w:sz w:val="21"/>
              </w:rPr>
              <w:t>亿（含）</w:t>
            </w:r>
          </w:p>
          <w:p>
            <w:pPr>
              <w:pStyle w:val="TableParagraph"/>
              <w:spacing w:line="242" w:lineRule="auto" w:before="4"/>
              <w:ind w:left="146" w:right="113"/>
              <w:jc w:val="both"/>
              <w:rPr>
                <w:sz w:val="21"/>
              </w:rPr>
            </w:pPr>
            <w:r>
              <w:rPr>
                <w:spacing w:val="-27"/>
                <w:sz w:val="21"/>
              </w:rPr>
              <w:t>至 </w:t>
            </w:r>
            <w:r>
              <w:rPr>
                <w:rFonts w:ascii="Calibri" w:eastAsia="Calibri"/>
                <w:sz w:val="21"/>
              </w:rPr>
              <w:t>20</w:t>
            </w:r>
            <w:r>
              <w:rPr>
                <w:rFonts w:ascii="Calibri" w:eastAsia="Calibri"/>
                <w:spacing w:val="4"/>
                <w:sz w:val="21"/>
              </w:rPr>
              <w:t> </w:t>
            </w:r>
            <w:r>
              <w:rPr>
                <w:spacing w:val="-15"/>
                <w:sz w:val="21"/>
              </w:rPr>
              <w:t>亿的得 </w:t>
            </w:r>
            <w:r>
              <w:rPr>
                <w:rFonts w:ascii="Calibri" w:eastAsia="Calibri"/>
                <w:sz w:val="21"/>
              </w:rPr>
              <w:t>6</w:t>
            </w:r>
            <w:r>
              <w:rPr>
                <w:rFonts w:ascii="Calibri" w:eastAsia="Calibri"/>
                <w:spacing w:val="8"/>
                <w:sz w:val="21"/>
              </w:rPr>
              <w:t> </w:t>
            </w:r>
            <w:r>
              <w:rPr>
                <w:spacing w:val="-2"/>
                <w:sz w:val="21"/>
              </w:rPr>
              <w:t>分；</w:t>
            </w:r>
            <w:r>
              <w:rPr>
                <w:rFonts w:ascii="Calibri" w:eastAsia="Calibri"/>
                <w:sz w:val="21"/>
              </w:rPr>
              <w:t>5</w:t>
            </w:r>
            <w:r>
              <w:rPr>
                <w:rFonts w:ascii="Calibri" w:eastAsia="Calibri"/>
                <w:spacing w:val="7"/>
                <w:sz w:val="21"/>
              </w:rPr>
              <w:t> </w:t>
            </w:r>
            <w:r>
              <w:rPr>
                <w:spacing w:val="-3"/>
                <w:sz w:val="21"/>
              </w:rPr>
              <w:t>亿（</w:t>
            </w:r>
            <w:r>
              <w:rPr>
                <w:sz w:val="21"/>
              </w:rPr>
              <w:t>含</w:t>
            </w:r>
            <w:r>
              <w:rPr>
                <w:spacing w:val="-3"/>
                <w:sz w:val="21"/>
              </w:rPr>
              <w:t>）</w:t>
            </w:r>
            <w:r>
              <w:rPr>
                <w:spacing w:val="-26"/>
                <w:sz w:val="21"/>
              </w:rPr>
              <w:t>至 </w:t>
            </w:r>
            <w:r>
              <w:rPr>
                <w:rFonts w:ascii="Calibri" w:eastAsia="Calibri"/>
                <w:sz w:val="21"/>
              </w:rPr>
              <w:t>10</w:t>
            </w:r>
            <w:r>
              <w:rPr>
                <w:rFonts w:ascii="Calibri" w:eastAsia="Calibri"/>
                <w:spacing w:val="5"/>
                <w:sz w:val="21"/>
              </w:rPr>
              <w:t> </w:t>
            </w:r>
            <w:r>
              <w:rPr>
                <w:spacing w:val="-18"/>
                <w:sz w:val="21"/>
              </w:rPr>
              <w:t>亿的 </w:t>
            </w:r>
            <w:r>
              <w:rPr>
                <w:rFonts w:ascii="Calibri" w:eastAsia="Calibri"/>
                <w:sz w:val="21"/>
              </w:rPr>
              <w:t>4 </w:t>
            </w:r>
            <w:r>
              <w:rPr>
                <w:sz w:val="21"/>
              </w:rPr>
              <w:t>分；</w:t>
            </w:r>
            <w:r>
              <w:rPr>
                <w:rFonts w:ascii="Calibri" w:eastAsia="Calibri"/>
                <w:sz w:val="21"/>
              </w:rPr>
              <w:t>5</w:t>
            </w:r>
            <w:r>
              <w:rPr>
                <w:rFonts w:ascii="Calibri" w:eastAsia="Calibri"/>
                <w:spacing w:val="8"/>
                <w:sz w:val="21"/>
              </w:rPr>
              <w:t> </w:t>
            </w:r>
            <w:r>
              <w:rPr>
                <w:spacing w:val="-12"/>
                <w:sz w:val="21"/>
              </w:rPr>
              <w:t>亿以下的得 </w:t>
            </w:r>
            <w:r>
              <w:rPr>
                <w:rFonts w:ascii="Calibri" w:eastAsia="Calibri"/>
                <w:sz w:val="21"/>
              </w:rPr>
              <w:t>2</w:t>
            </w:r>
            <w:r>
              <w:rPr>
                <w:rFonts w:ascii="Calibri" w:eastAsia="Calibri"/>
                <w:spacing w:val="5"/>
                <w:sz w:val="21"/>
              </w:rPr>
              <w:t> </w:t>
            </w:r>
            <w:r>
              <w:rPr>
                <w:sz w:val="21"/>
              </w:rPr>
              <w:t>分。 （</w:t>
            </w:r>
            <w:r>
              <w:rPr>
                <w:rFonts w:ascii="Calibri" w:eastAsia="Calibri"/>
                <w:sz w:val="21"/>
              </w:rPr>
              <w:t>2</w:t>
            </w:r>
            <w:r>
              <w:rPr>
                <w:sz w:val="21"/>
              </w:rPr>
              <w:t>）</w:t>
            </w:r>
            <w:r>
              <w:rPr>
                <w:spacing w:val="-3"/>
                <w:sz w:val="21"/>
              </w:rPr>
              <w:t>本地纳税情况：根据投标人提供的经南宁市税务局盖章的上一年度</w:t>
            </w:r>
            <w:r>
              <w:rPr>
                <w:sz w:val="21"/>
              </w:rPr>
              <w:t>（</w:t>
            </w:r>
            <w:r>
              <w:rPr>
                <w:rFonts w:ascii="Calibri" w:eastAsia="Calibri"/>
                <w:sz w:val="21"/>
              </w:rPr>
              <w:t>2019</w:t>
            </w:r>
            <w:r>
              <w:rPr>
                <w:rFonts w:ascii="Calibri" w:eastAsia="Calibri"/>
                <w:spacing w:val="5"/>
                <w:sz w:val="21"/>
              </w:rPr>
              <w:t> </w:t>
            </w:r>
            <w:r>
              <w:rPr>
                <w:spacing w:val="-26"/>
                <w:sz w:val="21"/>
              </w:rPr>
              <w:t>年 </w:t>
            </w:r>
            <w:r>
              <w:rPr>
                <w:rFonts w:ascii="Calibri" w:eastAsia="Calibri"/>
                <w:sz w:val="21"/>
              </w:rPr>
              <w:t>1</w:t>
            </w:r>
            <w:r>
              <w:rPr>
                <w:rFonts w:ascii="Calibri" w:eastAsia="Calibri"/>
                <w:spacing w:val="4"/>
                <w:sz w:val="21"/>
              </w:rPr>
              <w:t> </w:t>
            </w:r>
            <w:r>
              <w:rPr>
                <w:spacing w:val="-19"/>
                <w:sz w:val="21"/>
              </w:rPr>
              <w:t>月至 </w:t>
            </w:r>
            <w:r>
              <w:rPr>
                <w:rFonts w:ascii="Calibri" w:eastAsia="Calibri"/>
                <w:sz w:val="21"/>
              </w:rPr>
              <w:t>2019</w:t>
            </w:r>
            <w:r>
              <w:rPr>
                <w:rFonts w:ascii="Calibri" w:eastAsia="Calibri"/>
                <w:spacing w:val="7"/>
                <w:sz w:val="21"/>
              </w:rPr>
              <w:t> </w:t>
            </w:r>
            <w:r>
              <w:rPr>
                <w:spacing w:val="-27"/>
                <w:sz w:val="21"/>
              </w:rPr>
              <w:t>年 </w:t>
            </w:r>
            <w:r>
              <w:rPr>
                <w:rFonts w:ascii="Calibri" w:eastAsia="Calibri"/>
                <w:sz w:val="21"/>
              </w:rPr>
              <w:t>12</w:t>
            </w:r>
            <w:r>
              <w:rPr>
                <w:rFonts w:ascii="Calibri" w:eastAsia="Calibri"/>
                <w:spacing w:val="8"/>
                <w:sz w:val="21"/>
              </w:rPr>
              <w:t> </w:t>
            </w:r>
            <w:r>
              <w:rPr>
                <w:sz w:val="21"/>
              </w:rPr>
              <w:t>月）</w:t>
            </w:r>
          </w:p>
          <w:p>
            <w:pPr>
              <w:pStyle w:val="TableParagraph"/>
              <w:spacing w:line="242" w:lineRule="auto" w:before="3"/>
              <w:ind w:left="146" w:right="135"/>
              <w:jc w:val="both"/>
              <w:rPr>
                <w:sz w:val="21"/>
              </w:rPr>
            </w:pPr>
            <w:r>
              <w:rPr>
                <w:spacing w:val="-3"/>
                <w:sz w:val="21"/>
              </w:rPr>
              <w:t>《涉税信息查询结果告知书》中投标人纳税</w:t>
            </w:r>
            <w:r>
              <w:rPr>
                <w:spacing w:val="-7"/>
                <w:sz w:val="21"/>
              </w:rPr>
              <w:t>合计金额计算得分</w:t>
            </w:r>
            <w:r>
              <w:rPr>
                <w:sz w:val="21"/>
              </w:rPr>
              <w:t>（</w:t>
            </w:r>
            <w:r>
              <w:rPr>
                <w:spacing w:val="-16"/>
                <w:sz w:val="21"/>
              </w:rPr>
              <w:t>满分 </w:t>
            </w:r>
            <w:r>
              <w:rPr>
                <w:rFonts w:ascii="Calibri" w:eastAsia="Calibri"/>
                <w:sz w:val="21"/>
              </w:rPr>
              <w:t>5</w:t>
            </w:r>
            <w:r>
              <w:rPr>
                <w:rFonts w:ascii="Calibri" w:eastAsia="Calibri"/>
                <w:spacing w:val="18"/>
                <w:sz w:val="21"/>
              </w:rPr>
              <w:t> </w:t>
            </w:r>
            <w:r>
              <w:rPr>
                <w:spacing w:val="-3"/>
                <w:sz w:val="21"/>
              </w:rPr>
              <w:t>分</w:t>
            </w:r>
            <w:r>
              <w:rPr>
                <w:spacing w:val="-69"/>
                <w:sz w:val="21"/>
              </w:rPr>
              <w:t>）</w:t>
            </w:r>
            <w:r>
              <w:rPr>
                <w:spacing w:val="-14"/>
                <w:sz w:val="21"/>
              </w:rPr>
              <w:t>：纳税合计金</w:t>
            </w:r>
          </w:p>
          <w:p>
            <w:pPr>
              <w:pStyle w:val="TableParagraph"/>
              <w:spacing w:before="1"/>
              <w:ind w:left="146"/>
              <w:jc w:val="both"/>
              <w:rPr>
                <w:sz w:val="21"/>
              </w:rPr>
            </w:pPr>
            <w:r>
              <w:rPr>
                <w:spacing w:val="-17"/>
                <w:sz w:val="21"/>
              </w:rPr>
              <w:t>额在 </w:t>
            </w:r>
            <w:r>
              <w:rPr>
                <w:rFonts w:ascii="Calibri" w:eastAsia="Calibri"/>
                <w:sz w:val="21"/>
              </w:rPr>
              <w:t>5000</w:t>
            </w:r>
            <w:r>
              <w:rPr>
                <w:rFonts w:ascii="Calibri" w:eastAsia="Calibri"/>
                <w:spacing w:val="11"/>
                <w:sz w:val="21"/>
              </w:rPr>
              <w:t> </w:t>
            </w:r>
            <w:r>
              <w:rPr>
                <w:spacing w:val="-13"/>
                <w:sz w:val="21"/>
              </w:rPr>
              <w:t>万元</w:t>
            </w:r>
            <w:r>
              <w:rPr>
                <w:spacing w:val="-3"/>
                <w:sz w:val="21"/>
              </w:rPr>
              <w:t>（</w:t>
            </w:r>
            <w:r>
              <w:rPr>
                <w:sz w:val="21"/>
              </w:rPr>
              <w:t>含</w:t>
            </w:r>
            <w:r>
              <w:rPr>
                <w:spacing w:val="-25"/>
                <w:sz w:val="21"/>
              </w:rPr>
              <w:t>）</w:t>
            </w:r>
            <w:r>
              <w:rPr>
                <w:spacing w:val="-12"/>
                <w:sz w:val="21"/>
              </w:rPr>
              <w:t>以上的得 </w:t>
            </w:r>
            <w:r>
              <w:rPr>
                <w:rFonts w:ascii="Calibri" w:eastAsia="Calibri"/>
                <w:sz w:val="21"/>
              </w:rPr>
              <w:t>5</w:t>
            </w:r>
            <w:r>
              <w:rPr>
                <w:rFonts w:ascii="Calibri" w:eastAsia="Calibri"/>
                <w:spacing w:val="11"/>
                <w:sz w:val="21"/>
              </w:rPr>
              <w:t> </w:t>
            </w:r>
            <w:r>
              <w:rPr>
                <w:spacing w:val="-7"/>
                <w:sz w:val="21"/>
              </w:rPr>
              <w:t>分；纳税合</w:t>
            </w:r>
          </w:p>
          <w:p>
            <w:pPr>
              <w:pStyle w:val="TableParagraph"/>
              <w:spacing w:before="2"/>
              <w:ind w:left="146"/>
              <w:jc w:val="both"/>
              <w:rPr>
                <w:rFonts w:ascii="Calibri" w:eastAsia="Calibri"/>
                <w:sz w:val="21"/>
              </w:rPr>
            </w:pPr>
            <w:r>
              <w:rPr>
                <w:spacing w:val="-12"/>
                <w:sz w:val="21"/>
              </w:rPr>
              <w:t>计金额在 </w:t>
            </w:r>
            <w:r>
              <w:rPr>
                <w:rFonts w:ascii="Calibri" w:eastAsia="Calibri"/>
                <w:sz w:val="21"/>
              </w:rPr>
              <w:t>3000</w:t>
            </w:r>
            <w:r>
              <w:rPr>
                <w:rFonts w:ascii="Calibri" w:eastAsia="Calibri"/>
                <w:spacing w:val="8"/>
                <w:sz w:val="21"/>
              </w:rPr>
              <w:t> </w:t>
            </w:r>
            <w:r>
              <w:rPr>
                <w:spacing w:val="-2"/>
                <w:sz w:val="21"/>
              </w:rPr>
              <w:t>万元</w:t>
            </w:r>
            <w:r>
              <w:rPr>
                <w:rFonts w:ascii="Calibri" w:eastAsia="Calibri"/>
                <w:sz w:val="21"/>
              </w:rPr>
              <w:t>(</w:t>
            </w:r>
            <w:r>
              <w:rPr>
                <w:sz w:val="21"/>
              </w:rPr>
              <w:t>含</w:t>
            </w:r>
            <w:r>
              <w:rPr>
                <w:rFonts w:ascii="Calibri" w:eastAsia="Calibri"/>
                <w:sz w:val="21"/>
              </w:rPr>
              <w:t>)</w:t>
            </w:r>
            <w:r>
              <w:rPr>
                <w:spacing w:val="-26"/>
                <w:sz w:val="21"/>
              </w:rPr>
              <w:t>至 </w:t>
            </w:r>
            <w:r>
              <w:rPr>
                <w:rFonts w:ascii="Calibri" w:eastAsia="Calibri"/>
                <w:sz w:val="21"/>
              </w:rPr>
              <w:t>5000</w:t>
            </w:r>
            <w:r>
              <w:rPr>
                <w:rFonts w:ascii="Calibri" w:eastAsia="Calibri"/>
                <w:spacing w:val="7"/>
                <w:sz w:val="21"/>
              </w:rPr>
              <w:t> </w:t>
            </w:r>
            <w:r>
              <w:rPr>
                <w:spacing w:val="-13"/>
                <w:sz w:val="21"/>
              </w:rPr>
              <w:t>万元的得 </w:t>
            </w:r>
            <w:r>
              <w:rPr>
                <w:rFonts w:ascii="Calibri" w:eastAsia="Calibri"/>
                <w:sz w:val="21"/>
              </w:rPr>
              <w:t>4</w:t>
            </w:r>
          </w:p>
          <w:p>
            <w:pPr>
              <w:pStyle w:val="TableParagraph"/>
              <w:spacing w:before="5"/>
              <w:ind w:left="146"/>
              <w:jc w:val="both"/>
              <w:rPr>
                <w:rFonts w:ascii="Calibri" w:eastAsia="Calibri"/>
                <w:sz w:val="21"/>
              </w:rPr>
            </w:pPr>
            <w:r>
              <w:rPr>
                <w:spacing w:val="-8"/>
                <w:sz w:val="21"/>
              </w:rPr>
              <w:t>分；纳税合计金额在 </w:t>
            </w:r>
            <w:r>
              <w:rPr>
                <w:rFonts w:ascii="Calibri" w:eastAsia="Calibri"/>
                <w:sz w:val="21"/>
              </w:rPr>
              <w:t>2000</w:t>
            </w:r>
            <w:r>
              <w:rPr>
                <w:rFonts w:ascii="Calibri" w:eastAsia="Calibri"/>
                <w:spacing w:val="7"/>
                <w:sz w:val="21"/>
              </w:rPr>
              <w:t> </w:t>
            </w:r>
            <w:r>
              <w:rPr>
                <w:sz w:val="21"/>
              </w:rPr>
              <w:t>万元</w:t>
            </w:r>
            <w:r>
              <w:rPr>
                <w:rFonts w:ascii="Calibri" w:eastAsia="Calibri"/>
                <w:sz w:val="21"/>
              </w:rPr>
              <w:t>(</w:t>
            </w:r>
            <w:r>
              <w:rPr>
                <w:sz w:val="21"/>
              </w:rPr>
              <w:t>含</w:t>
            </w:r>
            <w:r>
              <w:rPr>
                <w:rFonts w:ascii="Calibri" w:eastAsia="Calibri"/>
                <w:sz w:val="21"/>
              </w:rPr>
              <w:t>)</w:t>
            </w:r>
            <w:r>
              <w:rPr>
                <w:spacing w:val="-26"/>
                <w:sz w:val="21"/>
              </w:rPr>
              <w:t>至 </w:t>
            </w:r>
            <w:r>
              <w:rPr>
                <w:rFonts w:ascii="Calibri" w:eastAsia="Calibri"/>
                <w:sz w:val="21"/>
              </w:rPr>
              <w:t>3000</w:t>
            </w:r>
          </w:p>
          <w:p>
            <w:pPr>
              <w:pStyle w:val="TableParagraph"/>
              <w:spacing w:before="2"/>
              <w:ind w:left="146"/>
              <w:jc w:val="both"/>
              <w:rPr>
                <w:rFonts w:ascii="Calibri" w:eastAsia="Calibri"/>
                <w:sz w:val="21"/>
              </w:rPr>
            </w:pPr>
            <w:r>
              <w:rPr>
                <w:sz w:val="21"/>
              </w:rPr>
              <w:t>万元的得</w:t>
            </w:r>
            <w:r>
              <w:rPr>
                <w:rFonts w:ascii="Calibri" w:eastAsia="Calibri"/>
                <w:sz w:val="21"/>
              </w:rPr>
              <w:t>3 </w:t>
            </w:r>
            <w:r>
              <w:rPr>
                <w:sz w:val="21"/>
              </w:rPr>
              <w:t>分；纳税合计金额在</w:t>
            </w:r>
            <w:r>
              <w:rPr>
                <w:rFonts w:ascii="Calibri" w:eastAsia="Calibri"/>
                <w:sz w:val="21"/>
              </w:rPr>
              <w:t>1000 </w:t>
            </w:r>
            <w:r>
              <w:rPr>
                <w:sz w:val="21"/>
              </w:rPr>
              <w:t>万元</w:t>
            </w:r>
            <w:r>
              <w:rPr>
                <w:rFonts w:ascii="Calibri" w:eastAsia="Calibri"/>
                <w:sz w:val="21"/>
              </w:rPr>
              <w:t>(</w:t>
            </w:r>
            <w:r>
              <w:rPr>
                <w:sz w:val="21"/>
              </w:rPr>
              <w:t>含</w:t>
            </w:r>
            <w:r>
              <w:rPr>
                <w:rFonts w:ascii="Calibri" w:eastAsia="Calibri"/>
                <w:sz w:val="21"/>
              </w:rPr>
              <w:t>)</w:t>
            </w:r>
          </w:p>
          <w:p>
            <w:pPr>
              <w:pStyle w:val="TableParagraph"/>
              <w:spacing w:line="242" w:lineRule="auto" w:before="5"/>
              <w:ind w:left="146" w:right="136"/>
              <w:jc w:val="both"/>
              <w:rPr>
                <w:sz w:val="21"/>
              </w:rPr>
            </w:pPr>
            <w:r>
              <w:rPr>
                <w:spacing w:val="-28"/>
                <w:sz w:val="21"/>
              </w:rPr>
              <w:t>至 </w:t>
            </w:r>
            <w:r>
              <w:rPr>
                <w:rFonts w:ascii="Calibri" w:eastAsia="Calibri"/>
                <w:sz w:val="21"/>
              </w:rPr>
              <w:t>2000 </w:t>
            </w:r>
            <w:r>
              <w:rPr>
                <w:spacing w:val="-13"/>
                <w:sz w:val="21"/>
              </w:rPr>
              <w:t>万元的得 </w:t>
            </w:r>
            <w:r>
              <w:rPr>
                <w:rFonts w:ascii="Calibri" w:eastAsia="Calibri"/>
                <w:sz w:val="21"/>
              </w:rPr>
              <w:t>2 </w:t>
            </w:r>
            <w:r>
              <w:rPr>
                <w:spacing w:val="-20"/>
                <w:sz w:val="21"/>
              </w:rPr>
              <w:t>分；纳税合计金额在 </w:t>
            </w:r>
            <w:r>
              <w:rPr>
                <w:rFonts w:ascii="Calibri" w:eastAsia="Calibri"/>
                <w:sz w:val="21"/>
              </w:rPr>
              <w:t>1000 </w:t>
            </w:r>
            <w:r>
              <w:rPr>
                <w:spacing w:val="-10"/>
                <w:sz w:val="21"/>
              </w:rPr>
              <w:t>万元以下的得 </w:t>
            </w:r>
            <w:r>
              <w:rPr>
                <w:rFonts w:ascii="Calibri" w:eastAsia="Calibri"/>
                <w:sz w:val="21"/>
              </w:rPr>
              <w:t>1 </w:t>
            </w:r>
            <w:r>
              <w:rPr>
                <w:sz w:val="21"/>
              </w:rPr>
              <w:t>分。 注：</w:t>
            </w:r>
            <w:r>
              <w:rPr>
                <w:rFonts w:ascii="Calibri" w:eastAsia="Calibri"/>
                <w:sz w:val="21"/>
              </w:rPr>
              <w:t>1</w:t>
            </w:r>
            <w:r>
              <w:rPr>
                <w:spacing w:val="-3"/>
                <w:sz w:val="21"/>
              </w:rPr>
              <w:t>、投标人是联合体的，以联合体成员中高分的一方计取建筑</w:t>
            </w:r>
            <w:r>
              <w:rPr>
                <w:spacing w:val="-2"/>
                <w:sz w:val="21"/>
              </w:rPr>
              <w:t>业产值及纳税情况。 </w:t>
            </w:r>
            <w:r>
              <w:rPr>
                <w:rFonts w:ascii="Calibri" w:eastAsia="Calibri"/>
                <w:sz w:val="21"/>
              </w:rPr>
              <w:t>2</w:t>
            </w:r>
            <w:r>
              <w:rPr>
                <w:spacing w:val="-3"/>
                <w:sz w:val="21"/>
              </w:rPr>
              <w:t>、相关部门提供的南宁市建筑业统计库内企业上一年度建筑业产值由评委在评标室查询。在新一年度建筑业产值未确定前，均以上一年度的建筑业产值计分。</w:t>
            </w:r>
          </w:p>
        </w:tc>
      </w:tr>
      <w:tr>
        <w:trPr>
          <w:trHeight w:val="844" w:hRule="atLeast"/>
        </w:trPr>
        <w:tc>
          <w:tcPr>
            <w:tcW w:w="828" w:type="dxa"/>
          </w:tcPr>
          <w:p>
            <w:pPr>
              <w:pStyle w:val="TableParagraph"/>
              <w:spacing w:before="15"/>
              <w:rPr>
                <w:rFonts w:ascii="Microsoft JhengHei"/>
                <w:b/>
                <w:sz w:val="15"/>
              </w:rPr>
            </w:pPr>
          </w:p>
          <w:p>
            <w:pPr>
              <w:pStyle w:val="TableParagraph"/>
              <w:spacing w:before="1"/>
              <w:ind w:left="201"/>
              <w:rPr>
                <w:rFonts w:ascii="Calibri"/>
                <w:sz w:val="21"/>
              </w:rPr>
            </w:pPr>
            <w:r>
              <w:rPr>
                <w:rFonts w:ascii="Calibri"/>
                <w:sz w:val="21"/>
              </w:rPr>
              <w:t>2.1.2</w:t>
            </w:r>
          </w:p>
        </w:tc>
        <w:tc>
          <w:tcPr>
            <w:tcW w:w="1972" w:type="dxa"/>
            <w:gridSpan w:val="2"/>
          </w:tcPr>
          <w:p>
            <w:pPr>
              <w:pStyle w:val="TableParagraph"/>
              <w:spacing w:line="242" w:lineRule="auto" w:before="152"/>
              <w:ind w:left="561" w:right="551" w:firstLine="211"/>
              <w:rPr>
                <w:sz w:val="21"/>
              </w:rPr>
            </w:pPr>
            <w:r>
              <w:rPr>
                <w:sz w:val="21"/>
              </w:rPr>
              <w:t>形 式 评审标准</w:t>
            </w:r>
          </w:p>
        </w:tc>
        <w:tc>
          <w:tcPr>
            <w:tcW w:w="6176" w:type="dxa"/>
            <w:gridSpan w:val="2"/>
          </w:tcPr>
          <w:p>
            <w:pPr>
              <w:pStyle w:val="TableParagraph"/>
              <w:spacing w:line="168" w:lineRule="auto" w:before="166"/>
              <w:ind w:left="147" w:right="99"/>
              <w:rPr>
                <w:rFonts w:ascii="Microsoft JhengHei" w:eastAsia="Microsoft JhengHei" w:hint="eastAsia"/>
                <w:b/>
                <w:sz w:val="21"/>
              </w:rPr>
            </w:pPr>
            <w:r>
              <w:rPr>
                <w:rFonts w:ascii="Microsoft JhengHei" w:eastAsia="Microsoft JhengHei" w:hint="eastAsia"/>
                <w:b/>
                <w:sz w:val="21"/>
              </w:rPr>
              <w:t>合格标准：缺少任何一项或有任何一项不合格者，其形式评审视为不合格</w:t>
            </w:r>
          </w:p>
        </w:tc>
      </w:tr>
    </w:tbl>
    <w:p>
      <w:pPr>
        <w:spacing w:after="0" w:line="168" w:lineRule="auto"/>
        <w:rPr>
          <w:rFonts w:ascii="Microsoft JhengHei" w:eastAsia="Microsoft JhengHei" w:hint="eastAsia"/>
          <w:sz w:val="21"/>
        </w:rPr>
        <w:sectPr>
          <w:pgSz w:w="11910" w:h="16850"/>
          <w:pgMar w:header="0" w:footer="779" w:top="1440" w:bottom="960" w:left="1120" w:right="280"/>
        </w:sectPr>
      </w:pPr>
    </w:p>
    <w:tbl>
      <w:tblPr>
        <w:tblW w:w="0" w:type="auto"/>
        <w:jc w:val="left"/>
        <w:tblInd w:w="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8"/>
        <w:gridCol w:w="1971"/>
        <w:gridCol w:w="1836"/>
        <w:gridCol w:w="4338"/>
      </w:tblGrid>
      <w:tr>
        <w:trPr>
          <w:trHeight w:val="844" w:hRule="atLeast"/>
        </w:trPr>
        <w:tc>
          <w:tcPr>
            <w:tcW w:w="828" w:type="dxa"/>
            <w:vMerge w:val="restart"/>
          </w:tcPr>
          <w:p>
            <w:pPr>
              <w:pStyle w:val="TableParagraph"/>
              <w:rPr>
                <w:rFonts w:ascii="Times New Roman"/>
                <w:sz w:val="20"/>
              </w:rPr>
            </w:pPr>
          </w:p>
        </w:tc>
        <w:tc>
          <w:tcPr>
            <w:tcW w:w="1971" w:type="dxa"/>
            <w:vMerge w:val="restart"/>
          </w:tcPr>
          <w:p>
            <w:pPr>
              <w:pStyle w:val="TableParagraph"/>
              <w:rPr>
                <w:rFonts w:ascii="Times New Roman"/>
                <w:sz w:val="20"/>
              </w:rPr>
            </w:pPr>
          </w:p>
        </w:tc>
        <w:tc>
          <w:tcPr>
            <w:tcW w:w="1836" w:type="dxa"/>
          </w:tcPr>
          <w:p>
            <w:pPr>
              <w:pStyle w:val="TableParagraph"/>
              <w:spacing w:before="11"/>
              <w:rPr>
                <w:rFonts w:ascii="Microsoft JhengHei"/>
                <w:b/>
                <w:sz w:val="15"/>
              </w:rPr>
            </w:pPr>
          </w:p>
          <w:p>
            <w:pPr>
              <w:pStyle w:val="TableParagraph"/>
              <w:ind w:left="148"/>
              <w:rPr>
                <w:sz w:val="21"/>
              </w:rPr>
            </w:pPr>
            <w:r>
              <w:rPr>
                <w:sz w:val="21"/>
              </w:rPr>
              <w:t>投标人名称</w:t>
            </w:r>
          </w:p>
        </w:tc>
        <w:tc>
          <w:tcPr>
            <w:tcW w:w="4338" w:type="dxa"/>
          </w:tcPr>
          <w:p>
            <w:pPr>
              <w:pStyle w:val="TableParagraph"/>
              <w:spacing w:line="242" w:lineRule="auto" w:before="152"/>
              <w:ind w:left="148" w:right="177"/>
              <w:rPr>
                <w:sz w:val="21"/>
              </w:rPr>
            </w:pPr>
            <w:r>
              <w:rPr>
                <w:sz w:val="21"/>
              </w:rPr>
              <w:t>与营业执照、资质证书、安全生产许可证一致</w:t>
            </w:r>
          </w:p>
        </w:tc>
      </w:tr>
      <w:tr>
        <w:trPr>
          <w:trHeight w:val="844" w:hRule="atLeast"/>
        </w:trPr>
        <w:tc>
          <w:tcPr>
            <w:tcW w:w="828" w:type="dxa"/>
            <w:vMerge/>
            <w:tcBorders>
              <w:top w:val="nil"/>
            </w:tcBorders>
          </w:tcPr>
          <w:p>
            <w:pPr>
              <w:rPr>
                <w:sz w:val="2"/>
                <w:szCs w:val="2"/>
              </w:rPr>
            </w:pPr>
          </w:p>
        </w:tc>
        <w:tc>
          <w:tcPr>
            <w:tcW w:w="1971" w:type="dxa"/>
            <w:vMerge/>
            <w:tcBorders>
              <w:top w:val="nil"/>
            </w:tcBorders>
          </w:tcPr>
          <w:p>
            <w:pPr>
              <w:rPr>
                <w:sz w:val="2"/>
                <w:szCs w:val="2"/>
              </w:rPr>
            </w:pPr>
          </w:p>
        </w:tc>
        <w:tc>
          <w:tcPr>
            <w:tcW w:w="1836" w:type="dxa"/>
          </w:tcPr>
          <w:p>
            <w:pPr>
              <w:pStyle w:val="TableParagraph"/>
              <w:spacing w:before="13"/>
              <w:rPr>
                <w:rFonts w:ascii="Microsoft JhengHei"/>
                <w:b/>
                <w:sz w:val="15"/>
              </w:rPr>
            </w:pPr>
          </w:p>
          <w:p>
            <w:pPr>
              <w:pStyle w:val="TableParagraph"/>
              <w:ind w:left="148"/>
              <w:rPr>
                <w:sz w:val="21"/>
              </w:rPr>
            </w:pPr>
            <w:r>
              <w:rPr>
                <w:sz w:val="21"/>
              </w:rPr>
              <w:t>投标函签字盖章</w:t>
            </w:r>
          </w:p>
        </w:tc>
        <w:tc>
          <w:tcPr>
            <w:tcW w:w="4338" w:type="dxa"/>
          </w:tcPr>
          <w:p>
            <w:pPr>
              <w:pStyle w:val="TableParagraph"/>
              <w:spacing w:line="242" w:lineRule="auto" w:before="152"/>
              <w:ind w:left="148" w:right="177"/>
              <w:rPr>
                <w:sz w:val="21"/>
              </w:rPr>
            </w:pPr>
            <w:r>
              <w:rPr>
                <w:sz w:val="21"/>
              </w:rPr>
              <w:t>法定代表人加盖个人电子印章及单位电子印章</w:t>
            </w:r>
          </w:p>
        </w:tc>
      </w:tr>
      <w:tr>
        <w:trPr>
          <w:trHeight w:val="572" w:hRule="atLeast"/>
        </w:trPr>
        <w:tc>
          <w:tcPr>
            <w:tcW w:w="828" w:type="dxa"/>
            <w:vMerge/>
            <w:tcBorders>
              <w:top w:val="nil"/>
            </w:tcBorders>
          </w:tcPr>
          <w:p>
            <w:pPr>
              <w:rPr>
                <w:sz w:val="2"/>
                <w:szCs w:val="2"/>
              </w:rPr>
            </w:pPr>
          </w:p>
        </w:tc>
        <w:tc>
          <w:tcPr>
            <w:tcW w:w="1971" w:type="dxa"/>
            <w:vMerge/>
            <w:tcBorders>
              <w:top w:val="nil"/>
            </w:tcBorders>
          </w:tcPr>
          <w:p>
            <w:pPr>
              <w:rPr>
                <w:sz w:val="2"/>
                <w:szCs w:val="2"/>
              </w:rPr>
            </w:pPr>
          </w:p>
        </w:tc>
        <w:tc>
          <w:tcPr>
            <w:tcW w:w="1836" w:type="dxa"/>
          </w:tcPr>
          <w:p>
            <w:pPr>
              <w:pStyle w:val="TableParagraph"/>
              <w:spacing w:before="152"/>
              <w:ind w:left="148"/>
              <w:rPr>
                <w:sz w:val="21"/>
              </w:rPr>
            </w:pPr>
            <w:r>
              <w:rPr>
                <w:sz w:val="21"/>
              </w:rPr>
              <w:t>投标文件格式</w:t>
            </w:r>
          </w:p>
        </w:tc>
        <w:tc>
          <w:tcPr>
            <w:tcW w:w="4338" w:type="dxa"/>
          </w:tcPr>
          <w:p>
            <w:pPr>
              <w:pStyle w:val="TableParagraph"/>
              <w:spacing w:before="152"/>
              <w:ind w:left="148"/>
              <w:rPr>
                <w:sz w:val="21"/>
              </w:rPr>
            </w:pPr>
            <w:r>
              <w:rPr>
                <w:sz w:val="21"/>
              </w:rPr>
              <w:t>符合第九章</w:t>
            </w:r>
            <w:r>
              <w:rPr>
                <w:rFonts w:ascii="Calibri" w:hAnsi="Calibri" w:eastAsia="Calibri"/>
                <w:sz w:val="21"/>
              </w:rPr>
              <w:t>“</w:t>
            </w:r>
            <w:r>
              <w:rPr>
                <w:sz w:val="21"/>
              </w:rPr>
              <w:t>投标文件格式</w:t>
            </w:r>
            <w:r>
              <w:rPr>
                <w:rFonts w:ascii="Calibri" w:hAnsi="Calibri" w:eastAsia="Calibri"/>
                <w:sz w:val="21"/>
              </w:rPr>
              <w:t>”</w:t>
            </w:r>
            <w:r>
              <w:rPr>
                <w:sz w:val="21"/>
              </w:rPr>
              <w:t>的要求</w:t>
            </w:r>
          </w:p>
        </w:tc>
      </w:tr>
      <w:tr>
        <w:trPr>
          <w:trHeight w:val="844" w:hRule="atLeast"/>
        </w:trPr>
        <w:tc>
          <w:tcPr>
            <w:tcW w:w="828" w:type="dxa"/>
            <w:vMerge/>
            <w:tcBorders>
              <w:top w:val="nil"/>
            </w:tcBorders>
          </w:tcPr>
          <w:p>
            <w:pPr>
              <w:rPr>
                <w:sz w:val="2"/>
                <w:szCs w:val="2"/>
              </w:rPr>
            </w:pPr>
          </w:p>
        </w:tc>
        <w:tc>
          <w:tcPr>
            <w:tcW w:w="1971" w:type="dxa"/>
            <w:vMerge/>
            <w:tcBorders>
              <w:top w:val="nil"/>
            </w:tcBorders>
          </w:tcPr>
          <w:p>
            <w:pPr>
              <w:rPr>
                <w:sz w:val="2"/>
                <w:szCs w:val="2"/>
              </w:rPr>
            </w:pPr>
          </w:p>
        </w:tc>
        <w:tc>
          <w:tcPr>
            <w:tcW w:w="1836" w:type="dxa"/>
          </w:tcPr>
          <w:p>
            <w:pPr>
              <w:pStyle w:val="TableParagraph"/>
              <w:spacing w:before="152"/>
              <w:ind w:left="148"/>
              <w:rPr>
                <w:sz w:val="21"/>
              </w:rPr>
            </w:pPr>
            <w:r>
              <w:rPr>
                <w:sz w:val="21"/>
              </w:rPr>
              <w:t>联合体投标人</w:t>
            </w:r>
          </w:p>
          <w:p>
            <w:pPr>
              <w:pStyle w:val="TableParagraph"/>
              <w:spacing w:before="2"/>
              <w:ind w:left="148"/>
              <w:rPr>
                <w:sz w:val="21"/>
              </w:rPr>
            </w:pPr>
            <w:r>
              <w:rPr>
                <w:sz w:val="21"/>
              </w:rPr>
              <w:t>（如有）</w:t>
            </w:r>
          </w:p>
        </w:tc>
        <w:tc>
          <w:tcPr>
            <w:tcW w:w="4338" w:type="dxa"/>
          </w:tcPr>
          <w:p>
            <w:pPr>
              <w:pStyle w:val="TableParagraph"/>
              <w:spacing w:before="13"/>
              <w:rPr>
                <w:rFonts w:ascii="Microsoft JhengHei"/>
                <w:b/>
                <w:sz w:val="15"/>
              </w:rPr>
            </w:pPr>
          </w:p>
          <w:p>
            <w:pPr>
              <w:pStyle w:val="TableParagraph"/>
              <w:ind w:left="148"/>
              <w:rPr>
                <w:sz w:val="21"/>
              </w:rPr>
            </w:pPr>
            <w:r>
              <w:rPr>
                <w:sz w:val="21"/>
              </w:rPr>
              <w:t>提交联合体协议书，并明确联合体牵头人</w:t>
            </w:r>
          </w:p>
        </w:tc>
      </w:tr>
      <w:tr>
        <w:trPr>
          <w:trHeight w:val="573" w:hRule="atLeast"/>
        </w:trPr>
        <w:tc>
          <w:tcPr>
            <w:tcW w:w="828" w:type="dxa"/>
            <w:vMerge/>
            <w:tcBorders>
              <w:top w:val="nil"/>
            </w:tcBorders>
          </w:tcPr>
          <w:p>
            <w:pPr>
              <w:rPr>
                <w:sz w:val="2"/>
                <w:szCs w:val="2"/>
              </w:rPr>
            </w:pPr>
          </w:p>
        </w:tc>
        <w:tc>
          <w:tcPr>
            <w:tcW w:w="1971" w:type="dxa"/>
            <w:vMerge/>
            <w:tcBorders>
              <w:top w:val="nil"/>
            </w:tcBorders>
          </w:tcPr>
          <w:p>
            <w:pPr>
              <w:rPr>
                <w:sz w:val="2"/>
                <w:szCs w:val="2"/>
              </w:rPr>
            </w:pPr>
          </w:p>
        </w:tc>
        <w:tc>
          <w:tcPr>
            <w:tcW w:w="1836" w:type="dxa"/>
          </w:tcPr>
          <w:p>
            <w:pPr>
              <w:pStyle w:val="TableParagraph"/>
              <w:spacing w:before="152"/>
              <w:ind w:left="148"/>
              <w:rPr>
                <w:sz w:val="21"/>
              </w:rPr>
            </w:pPr>
            <w:r>
              <w:rPr>
                <w:sz w:val="21"/>
              </w:rPr>
              <w:t>报价唯一</w:t>
            </w:r>
          </w:p>
        </w:tc>
        <w:tc>
          <w:tcPr>
            <w:tcW w:w="4338" w:type="dxa"/>
          </w:tcPr>
          <w:p>
            <w:pPr>
              <w:pStyle w:val="TableParagraph"/>
              <w:spacing w:before="152"/>
              <w:ind w:left="148"/>
              <w:rPr>
                <w:sz w:val="21"/>
              </w:rPr>
            </w:pPr>
            <w:r>
              <w:rPr>
                <w:sz w:val="21"/>
              </w:rPr>
              <w:t>只能有一个有效报价。</w:t>
            </w:r>
          </w:p>
        </w:tc>
      </w:tr>
      <w:tr>
        <w:trPr>
          <w:trHeight w:val="844" w:hRule="atLeast"/>
        </w:trPr>
        <w:tc>
          <w:tcPr>
            <w:tcW w:w="828"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13"/>
              <w:rPr>
                <w:rFonts w:ascii="Microsoft JhengHei"/>
                <w:b/>
                <w:sz w:val="13"/>
              </w:rPr>
            </w:pPr>
          </w:p>
          <w:p>
            <w:pPr>
              <w:pStyle w:val="TableParagraph"/>
              <w:ind w:left="201"/>
              <w:rPr>
                <w:rFonts w:ascii="Calibri"/>
                <w:sz w:val="21"/>
              </w:rPr>
            </w:pPr>
            <w:r>
              <w:rPr>
                <w:rFonts w:ascii="Calibri"/>
                <w:sz w:val="21"/>
              </w:rPr>
              <w:t>2.1.3</w:t>
            </w:r>
          </w:p>
        </w:tc>
        <w:tc>
          <w:tcPr>
            <w:tcW w:w="1971"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1"/>
              <w:rPr>
                <w:rFonts w:ascii="Microsoft JhengHei"/>
                <w:b/>
                <w:sz w:val="29"/>
              </w:rPr>
            </w:pPr>
          </w:p>
          <w:p>
            <w:pPr>
              <w:pStyle w:val="TableParagraph"/>
              <w:spacing w:line="244" w:lineRule="auto"/>
              <w:ind w:left="561" w:right="550" w:firstLine="2"/>
              <w:jc w:val="center"/>
              <w:rPr>
                <w:sz w:val="21"/>
              </w:rPr>
            </w:pPr>
            <w:r>
              <w:rPr>
                <w:sz w:val="21"/>
              </w:rPr>
              <w:t>响应性 </w:t>
            </w:r>
            <w:r>
              <w:rPr>
                <w:spacing w:val="-5"/>
                <w:sz w:val="21"/>
              </w:rPr>
              <w:t>评审标准</w:t>
            </w:r>
          </w:p>
          <w:p>
            <w:pPr>
              <w:pStyle w:val="TableParagraph"/>
              <w:spacing w:line="242" w:lineRule="auto"/>
              <w:ind w:left="126" w:right="112"/>
              <w:jc w:val="center"/>
              <w:rPr>
                <w:sz w:val="21"/>
              </w:rPr>
            </w:pPr>
            <w:r>
              <w:rPr>
                <w:sz w:val="21"/>
              </w:rPr>
              <w:t>【备注：招标人可按项目需求分为商务标响应性评审和技术标响应性评审两部分】</w:t>
            </w:r>
          </w:p>
        </w:tc>
        <w:tc>
          <w:tcPr>
            <w:tcW w:w="6174" w:type="dxa"/>
            <w:gridSpan w:val="2"/>
          </w:tcPr>
          <w:p>
            <w:pPr>
              <w:pStyle w:val="TableParagraph"/>
              <w:spacing w:line="168" w:lineRule="auto" w:before="166"/>
              <w:ind w:left="148" w:right="96"/>
              <w:rPr>
                <w:rFonts w:ascii="Microsoft JhengHei" w:eastAsia="Microsoft JhengHei" w:hint="eastAsia"/>
                <w:b/>
                <w:sz w:val="21"/>
              </w:rPr>
            </w:pPr>
            <w:r>
              <w:rPr>
                <w:rFonts w:ascii="Microsoft JhengHei" w:eastAsia="Microsoft JhengHei" w:hint="eastAsia"/>
                <w:b/>
                <w:sz w:val="21"/>
              </w:rPr>
              <w:t>合格标准：缺少任何一项或有任何一项不合格者，其响应性评审视为不合格</w:t>
            </w:r>
          </w:p>
        </w:tc>
      </w:tr>
      <w:tr>
        <w:trPr>
          <w:trHeight w:val="572" w:hRule="atLeast"/>
        </w:trPr>
        <w:tc>
          <w:tcPr>
            <w:tcW w:w="828" w:type="dxa"/>
            <w:vMerge/>
            <w:tcBorders>
              <w:top w:val="nil"/>
            </w:tcBorders>
          </w:tcPr>
          <w:p>
            <w:pPr>
              <w:rPr>
                <w:sz w:val="2"/>
                <w:szCs w:val="2"/>
              </w:rPr>
            </w:pPr>
          </w:p>
        </w:tc>
        <w:tc>
          <w:tcPr>
            <w:tcW w:w="1971" w:type="dxa"/>
            <w:vMerge/>
            <w:tcBorders>
              <w:top w:val="nil"/>
            </w:tcBorders>
          </w:tcPr>
          <w:p>
            <w:pPr>
              <w:rPr>
                <w:sz w:val="2"/>
                <w:szCs w:val="2"/>
              </w:rPr>
            </w:pPr>
          </w:p>
        </w:tc>
        <w:tc>
          <w:tcPr>
            <w:tcW w:w="1836" w:type="dxa"/>
          </w:tcPr>
          <w:p>
            <w:pPr>
              <w:pStyle w:val="TableParagraph"/>
              <w:spacing w:before="152"/>
              <w:ind w:left="148"/>
              <w:rPr>
                <w:sz w:val="21"/>
              </w:rPr>
            </w:pPr>
            <w:r>
              <w:rPr>
                <w:sz w:val="21"/>
              </w:rPr>
              <w:t>投标内容</w:t>
            </w:r>
          </w:p>
        </w:tc>
        <w:tc>
          <w:tcPr>
            <w:tcW w:w="4338" w:type="dxa"/>
          </w:tcPr>
          <w:p>
            <w:pPr>
              <w:pStyle w:val="TableParagraph"/>
              <w:spacing w:before="152"/>
              <w:ind w:left="148"/>
              <w:rPr>
                <w:sz w:val="21"/>
              </w:rPr>
            </w:pPr>
            <w:r>
              <w:rPr>
                <w:sz w:val="21"/>
              </w:rPr>
              <w:t>符合第二章</w:t>
            </w:r>
            <w:r>
              <w:rPr>
                <w:rFonts w:ascii="Calibri" w:hAnsi="Calibri" w:eastAsia="Calibri"/>
                <w:sz w:val="21"/>
              </w:rPr>
              <w:t>“</w:t>
            </w:r>
            <w:r>
              <w:rPr>
                <w:sz w:val="21"/>
              </w:rPr>
              <w:t>投标人须知</w:t>
            </w:r>
            <w:r>
              <w:rPr>
                <w:rFonts w:ascii="Calibri" w:hAnsi="Calibri" w:eastAsia="Calibri"/>
                <w:sz w:val="21"/>
              </w:rPr>
              <w:t>”</w:t>
            </w:r>
            <w:r>
              <w:rPr>
                <w:sz w:val="21"/>
              </w:rPr>
              <w:t>第 </w:t>
            </w:r>
            <w:r>
              <w:rPr>
                <w:rFonts w:ascii="Calibri" w:hAnsi="Calibri" w:eastAsia="Calibri"/>
                <w:sz w:val="21"/>
              </w:rPr>
              <w:t>1.3.1 </w:t>
            </w:r>
            <w:r>
              <w:rPr>
                <w:sz w:val="21"/>
              </w:rPr>
              <w:t>项规定</w:t>
            </w:r>
          </w:p>
        </w:tc>
      </w:tr>
      <w:tr>
        <w:trPr>
          <w:trHeight w:val="573" w:hRule="atLeast"/>
        </w:trPr>
        <w:tc>
          <w:tcPr>
            <w:tcW w:w="828" w:type="dxa"/>
            <w:vMerge/>
            <w:tcBorders>
              <w:top w:val="nil"/>
            </w:tcBorders>
          </w:tcPr>
          <w:p>
            <w:pPr>
              <w:rPr>
                <w:sz w:val="2"/>
                <w:szCs w:val="2"/>
              </w:rPr>
            </w:pPr>
          </w:p>
        </w:tc>
        <w:tc>
          <w:tcPr>
            <w:tcW w:w="1971" w:type="dxa"/>
            <w:vMerge/>
            <w:tcBorders>
              <w:top w:val="nil"/>
            </w:tcBorders>
          </w:tcPr>
          <w:p>
            <w:pPr>
              <w:rPr>
                <w:sz w:val="2"/>
                <w:szCs w:val="2"/>
              </w:rPr>
            </w:pPr>
          </w:p>
        </w:tc>
        <w:tc>
          <w:tcPr>
            <w:tcW w:w="1836" w:type="dxa"/>
          </w:tcPr>
          <w:p>
            <w:pPr>
              <w:pStyle w:val="TableParagraph"/>
              <w:spacing w:before="152"/>
              <w:ind w:left="148"/>
              <w:rPr>
                <w:sz w:val="21"/>
              </w:rPr>
            </w:pPr>
            <w:r>
              <w:rPr>
                <w:sz w:val="21"/>
              </w:rPr>
              <w:t>技术标准和要求</w:t>
            </w:r>
          </w:p>
        </w:tc>
        <w:tc>
          <w:tcPr>
            <w:tcW w:w="4338" w:type="dxa"/>
          </w:tcPr>
          <w:p>
            <w:pPr>
              <w:pStyle w:val="TableParagraph"/>
              <w:spacing w:before="152"/>
              <w:ind w:left="148"/>
              <w:rPr>
                <w:sz w:val="21"/>
              </w:rPr>
            </w:pPr>
            <w:r>
              <w:rPr>
                <w:sz w:val="21"/>
              </w:rPr>
              <w:t>符合第八章 </w:t>
            </w:r>
            <w:r>
              <w:rPr>
                <w:rFonts w:ascii="Calibri" w:hAnsi="Calibri" w:eastAsia="Calibri"/>
                <w:sz w:val="21"/>
              </w:rPr>
              <w:t>“</w:t>
            </w:r>
            <w:r>
              <w:rPr>
                <w:sz w:val="21"/>
              </w:rPr>
              <w:t>技术标准和要求</w:t>
            </w:r>
            <w:r>
              <w:rPr>
                <w:rFonts w:ascii="Calibri" w:hAnsi="Calibri" w:eastAsia="Calibri"/>
                <w:sz w:val="21"/>
              </w:rPr>
              <w:t>”</w:t>
            </w:r>
            <w:r>
              <w:rPr>
                <w:sz w:val="21"/>
              </w:rPr>
              <w:t>规定</w:t>
            </w:r>
          </w:p>
        </w:tc>
      </w:tr>
      <w:tr>
        <w:trPr>
          <w:trHeight w:val="570" w:hRule="atLeast"/>
        </w:trPr>
        <w:tc>
          <w:tcPr>
            <w:tcW w:w="828" w:type="dxa"/>
            <w:vMerge/>
            <w:tcBorders>
              <w:top w:val="nil"/>
            </w:tcBorders>
          </w:tcPr>
          <w:p>
            <w:pPr>
              <w:rPr>
                <w:sz w:val="2"/>
                <w:szCs w:val="2"/>
              </w:rPr>
            </w:pPr>
          </w:p>
        </w:tc>
        <w:tc>
          <w:tcPr>
            <w:tcW w:w="1971" w:type="dxa"/>
            <w:vMerge/>
            <w:tcBorders>
              <w:top w:val="nil"/>
            </w:tcBorders>
          </w:tcPr>
          <w:p>
            <w:pPr>
              <w:rPr>
                <w:sz w:val="2"/>
                <w:szCs w:val="2"/>
              </w:rPr>
            </w:pPr>
          </w:p>
        </w:tc>
        <w:tc>
          <w:tcPr>
            <w:tcW w:w="1836" w:type="dxa"/>
          </w:tcPr>
          <w:p>
            <w:pPr>
              <w:pStyle w:val="TableParagraph"/>
              <w:spacing w:before="149"/>
              <w:ind w:left="148"/>
              <w:rPr>
                <w:sz w:val="21"/>
              </w:rPr>
            </w:pPr>
            <w:r>
              <w:rPr>
                <w:sz w:val="21"/>
              </w:rPr>
              <w:t>工期</w:t>
            </w:r>
          </w:p>
        </w:tc>
        <w:tc>
          <w:tcPr>
            <w:tcW w:w="4338" w:type="dxa"/>
          </w:tcPr>
          <w:p>
            <w:pPr>
              <w:pStyle w:val="TableParagraph"/>
              <w:spacing w:before="149"/>
              <w:ind w:left="148"/>
              <w:rPr>
                <w:sz w:val="21"/>
              </w:rPr>
            </w:pPr>
            <w:r>
              <w:rPr>
                <w:sz w:val="21"/>
              </w:rPr>
              <w:t>符合第二章</w:t>
            </w:r>
            <w:r>
              <w:rPr>
                <w:rFonts w:ascii="Calibri" w:hAnsi="Calibri" w:eastAsia="Calibri"/>
                <w:sz w:val="21"/>
              </w:rPr>
              <w:t>“</w:t>
            </w:r>
            <w:r>
              <w:rPr>
                <w:sz w:val="21"/>
              </w:rPr>
              <w:t>投标人须知</w:t>
            </w:r>
            <w:r>
              <w:rPr>
                <w:rFonts w:ascii="Calibri" w:hAnsi="Calibri" w:eastAsia="Calibri"/>
                <w:sz w:val="21"/>
              </w:rPr>
              <w:t>’’</w:t>
            </w:r>
            <w:r>
              <w:rPr>
                <w:sz w:val="21"/>
              </w:rPr>
              <w:t>第 </w:t>
            </w:r>
            <w:r>
              <w:rPr>
                <w:rFonts w:ascii="Calibri" w:hAnsi="Calibri" w:eastAsia="Calibri"/>
                <w:sz w:val="21"/>
              </w:rPr>
              <w:t>1.3.2 </w:t>
            </w:r>
            <w:r>
              <w:rPr>
                <w:sz w:val="21"/>
              </w:rPr>
              <w:t>项规定</w:t>
            </w:r>
          </w:p>
        </w:tc>
      </w:tr>
      <w:tr>
        <w:trPr>
          <w:trHeight w:val="573" w:hRule="atLeast"/>
        </w:trPr>
        <w:tc>
          <w:tcPr>
            <w:tcW w:w="828" w:type="dxa"/>
            <w:vMerge/>
            <w:tcBorders>
              <w:top w:val="nil"/>
            </w:tcBorders>
          </w:tcPr>
          <w:p>
            <w:pPr>
              <w:rPr>
                <w:sz w:val="2"/>
                <w:szCs w:val="2"/>
              </w:rPr>
            </w:pPr>
          </w:p>
        </w:tc>
        <w:tc>
          <w:tcPr>
            <w:tcW w:w="1971" w:type="dxa"/>
            <w:vMerge/>
            <w:tcBorders>
              <w:top w:val="nil"/>
            </w:tcBorders>
          </w:tcPr>
          <w:p>
            <w:pPr>
              <w:rPr>
                <w:sz w:val="2"/>
                <w:szCs w:val="2"/>
              </w:rPr>
            </w:pPr>
          </w:p>
        </w:tc>
        <w:tc>
          <w:tcPr>
            <w:tcW w:w="1836" w:type="dxa"/>
          </w:tcPr>
          <w:p>
            <w:pPr>
              <w:pStyle w:val="TableParagraph"/>
              <w:spacing w:before="152"/>
              <w:ind w:left="148"/>
              <w:rPr>
                <w:sz w:val="21"/>
              </w:rPr>
            </w:pPr>
            <w:r>
              <w:rPr>
                <w:sz w:val="21"/>
              </w:rPr>
              <w:t>分包计划</w:t>
            </w:r>
          </w:p>
        </w:tc>
        <w:tc>
          <w:tcPr>
            <w:tcW w:w="4338" w:type="dxa"/>
          </w:tcPr>
          <w:p>
            <w:pPr>
              <w:pStyle w:val="TableParagraph"/>
              <w:spacing w:before="152"/>
              <w:ind w:left="148"/>
              <w:rPr>
                <w:sz w:val="21"/>
              </w:rPr>
            </w:pPr>
            <w:r>
              <w:rPr>
                <w:sz w:val="21"/>
              </w:rPr>
              <w:t>符合第二章</w:t>
            </w:r>
            <w:r>
              <w:rPr>
                <w:rFonts w:ascii="Calibri" w:hAnsi="Calibri" w:eastAsia="Calibri"/>
                <w:sz w:val="21"/>
              </w:rPr>
              <w:t>“</w:t>
            </w:r>
            <w:r>
              <w:rPr>
                <w:sz w:val="21"/>
              </w:rPr>
              <w:t>投标人须知</w:t>
            </w:r>
            <w:r>
              <w:rPr>
                <w:rFonts w:ascii="Calibri" w:hAnsi="Calibri" w:eastAsia="Calibri"/>
                <w:sz w:val="21"/>
              </w:rPr>
              <w:t>”</w:t>
            </w:r>
            <w:r>
              <w:rPr>
                <w:sz w:val="21"/>
              </w:rPr>
              <w:t>第 </w:t>
            </w:r>
            <w:r>
              <w:rPr>
                <w:rFonts w:ascii="Calibri" w:hAnsi="Calibri" w:eastAsia="Calibri"/>
                <w:sz w:val="21"/>
              </w:rPr>
              <w:t>1.11 </w:t>
            </w:r>
            <w:r>
              <w:rPr>
                <w:sz w:val="21"/>
              </w:rPr>
              <w:t>款规定</w:t>
            </w:r>
          </w:p>
        </w:tc>
      </w:tr>
      <w:tr>
        <w:trPr>
          <w:trHeight w:val="573" w:hRule="atLeast"/>
        </w:trPr>
        <w:tc>
          <w:tcPr>
            <w:tcW w:w="828" w:type="dxa"/>
            <w:vMerge/>
            <w:tcBorders>
              <w:top w:val="nil"/>
            </w:tcBorders>
          </w:tcPr>
          <w:p>
            <w:pPr>
              <w:rPr>
                <w:sz w:val="2"/>
                <w:szCs w:val="2"/>
              </w:rPr>
            </w:pPr>
          </w:p>
        </w:tc>
        <w:tc>
          <w:tcPr>
            <w:tcW w:w="1971" w:type="dxa"/>
            <w:vMerge/>
            <w:tcBorders>
              <w:top w:val="nil"/>
            </w:tcBorders>
          </w:tcPr>
          <w:p>
            <w:pPr>
              <w:rPr>
                <w:sz w:val="2"/>
                <w:szCs w:val="2"/>
              </w:rPr>
            </w:pPr>
          </w:p>
        </w:tc>
        <w:tc>
          <w:tcPr>
            <w:tcW w:w="1836" w:type="dxa"/>
          </w:tcPr>
          <w:p>
            <w:pPr>
              <w:pStyle w:val="TableParagraph"/>
              <w:spacing w:before="152"/>
              <w:ind w:left="148"/>
              <w:rPr>
                <w:sz w:val="21"/>
              </w:rPr>
            </w:pPr>
            <w:r>
              <w:rPr>
                <w:sz w:val="21"/>
              </w:rPr>
              <w:t>工程质量</w:t>
            </w:r>
          </w:p>
        </w:tc>
        <w:tc>
          <w:tcPr>
            <w:tcW w:w="4338" w:type="dxa"/>
          </w:tcPr>
          <w:p>
            <w:pPr>
              <w:pStyle w:val="TableParagraph"/>
              <w:spacing w:before="152"/>
              <w:ind w:left="148"/>
              <w:rPr>
                <w:sz w:val="21"/>
              </w:rPr>
            </w:pPr>
            <w:r>
              <w:rPr>
                <w:sz w:val="21"/>
              </w:rPr>
              <w:t>符合第二章</w:t>
            </w:r>
            <w:r>
              <w:rPr>
                <w:rFonts w:ascii="Calibri" w:hAnsi="Calibri" w:eastAsia="Calibri"/>
                <w:sz w:val="21"/>
              </w:rPr>
              <w:t>“</w:t>
            </w:r>
            <w:r>
              <w:rPr>
                <w:sz w:val="21"/>
              </w:rPr>
              <w:t>投标人须知</w:t>
            </w:r>
            <w:r>
              <w:rPr>
                <w:rFonts w:ascii="Calibri" w:hAnsi="Calibri" w:eastAsia="Calibri"/>
                <w:sz w:val="21"/>
              </w:rPr>
              <w:t>”</w:t>
            </w:r>
            <w:r>
              <w:rPr>
                <w:sz w:val="21"/>
              </w:rPr>
              <w:t>第 </w:t>
            </w:r>
            <w:r>
              <w:rPr>
                <w:rFonts w:ascii="Calibri" w:hAnsi="Calibri" w:eastAsia="Calibri"/>
                <w:sz w:val="21"/>
              </w:rPr>
              <w:t>1.3.3 </w:t>
            </w:r>
            <w:r>
              <w:rPr>
                <w:sz w:val="21"/>
              </w:rPr>
              <w:t>项规定</w:t>
            </w:r>
          </w:p>
        </w:tc>
      </w:tr>
      <w:tr>
        <w:trPr>
          <w:trHeight w:val="573" w:hRule="atLeast"/>
        </w:trPr>
        <w:tc>
          <w:tcPr>
            <w:tcW w:w="828" w:type="dxa"/>
            <w:vMerge/>
            <w:tcBorders>
              <w:top w:val="nil"/>
            </w:tcBorders>
          </w:tcPr>
          <w:p>
            <w:pPr>
              <w:rPr>
                <w:sz w:val="2"/>
                <w:szCs w:val="2"/>
              </w:rPr>
            </w:pPr>
          </w:p>
        </w:tc>
        <w:tc>
          <w:tcPr>
            <w:tcW w:w="1971" w:type="dxa"/>
            <w:vMerge/>
            <w:tcBorders>
              <w:top w:val="nil"/>
            </w:tcBorders>
          </w:tcPr>
          <w:p>
            <w:pPr>
              <w:rPr>
                <w:sz w:val="2"/>
                <w:szCs w:val="2"/>
              </w:rPr>
            </w:pPr>
          </w:p>
        </w:tc>
        <w:tc>
          <w:tcPr>
            <w:tcW w:w="1836" w:type="dxa"/>
          </w:tcPr>
          <w:p>
            <w:pPr>
              <w:pStyle w:val="TableParagraph"/>
              <w:spacing w:before="152"/>
              <w:ind w:left="148"/>
              <w:rPr>
                <w:sz w:val="21"/>
              </w:rPr>
            </w:pPr>
            <w:r>
              <w:rPr>
                <w:sz w:val="21"/>
              </w:rPr>
              <w:t>投标有效期</w:t>
            </w:r>
          </w:p>
        </w:tc>
        <w:tc>
          <w:tcPr>
            <w:tcW w:w="4338" w:type="dxa"/>
          </w:tcPr>
          <w:p>
            <w:pPr>
              <w:pStyle w:val="TableParagraph"/>
              <w:spacing w:before="152"/>
              <w:ind w:left="148"/>
              <w:rPr>
                <w:sz w:val="21"/>
              </w:rPr>
            </w:pPr>
            <w:r>
              <w:rPr>
                <w:sz w:val="21"/>
              </w:rPr>
              <w:t>符合第二章</w:t>
            </w:r>
            <w:r>
              <w:rPr>
                <w:rFonts w:ascii="Calibri" w:hAnsi="Calibri" w:eastAsia="Calibri"/>
                <w:sz w:val="21"/>
              </w:rPr>
              <w:t>“</w:t>
            </w:r>
            <w:r>
              <w:rPr>
                <w:sz w:val="21"/>
              </w:rPr>
              <w:t>投标人须知</w:t>
            </w:r>
            <w:r>
              <w:rPr>
                <w:rFonts w:ascii="Calibri" w:hAnsi="Calibri" w:eastAsia="Calibri"/>
                <w:sz w:val="21"/>
              </w:rPr>
              <w:t>”</w:t>
            </w:r>
            <w:r>
              <w:rPr>
                <w:sz w:val="21"/>
              </w:rPr>
              <w:t>第 </w:t>
            </w:r>
            <w:r>
              <w:rPr>
                <w:rFonts w:ascii="Calibri" w:hAnsi="Calibri" w:eastAsia="Calibri"/>
                <w:sz w:val="21"/>
              </w:rPr>
              <w:t>3.3.1 </w:t>
            </w:r>
            <w:r>
              <w:rPr>
                <w:sz w:val="21"/>
              </w:rPr>
              <w:t>项规定</w:t>
            </w:r>
          </w:p>
        </w:tc>
      </w:tr>
      <w:tr>
        <w:trPr>
          <w:trHeight w:val="844" w:hRule="atLeast"/>
        </w:trPr>
        <w:tc>
          <w:tcPr>
            <w:tcW w:w="828" w:type="dxa"/>
            <w:vMerge/>
            <w:tcBorders>
              <w:top w:val="nil"/>
            </w:tcBorders>
          </w:tcPr>
          <w:p>
            <w:pPr>
              <w:rPr>
                <w:sz w:val="2"/>
                <w:szCs w:val="2"/>
              </w:rPr>
            </w:pPr>
          </w:p>
        </w:tc>
        <w:tc>
          <w:tcPr>
            <w:tcW w:w="1971" w:type="dxa"/>
            <w:vMerge/>
            <w:tcBorders>
              <w:top w:val="nil"/>
            </w:tcBorders>
          </w:tcPr>
          <w:p>
            <w:pPr>
              <w:rPr>
                <w:sz w:val="2"/>
                <w:szCs w:val="2"/>
              </w:rPr>
            </w:pPr>
          </w:p>
        </w:tc>
        <w:tc>
          <w:tcPr>
            <w:tcW w:w="1836" w:type="dxa"/>
          </w:tcPr>
          <w:p>
            <w:pPr>
              <w:pStyle w:val="TableParagraph"/>
              <w:spacing w:before="10"/>
              <w:rPr>
                <w:rFonts w:ascii="Microsoft JhengHei"/>
                <w:b/>
                <w:sz w:val="15"/>
              </w:rPr>
            </w:pPr>
          </w:p>
          <w:p>
            <w:pPr>
              <w:pStyle w:val="TableParagraph"/>
              <w:ind w:left="148"/>
              <w:rPr>
                <w:sz w:val="21"/>
              </w:rPr>
            </w:pPr>
            <w:r>
              <w:rPr>
                <w:sz w:val="21"/>
              </w:rPr>
              <w:t>权利义务</w:t>
            </w:r>
          </w:p>
        </w:tc>
        <w:tc>
          <w:tcPr>
            <w:tcW w:w="4338" w:type="dxa"/>
          </w:tcPr>
          <w:p>
            <w:pPr>
              <w:pStyle w:val="TableParagraph"/>
              <w:spacing w:before="149"/>
              <w:ind w:left="148"/>
              <w:rPr>
                <w:sz w:val="21"/>
              </w:rPr>
            </w:pPr>
            <w:r>
              <w:rPr>
                <w:sz w:val="21"/>
              </w:rPr>
              <w:t>投标函附录中的相关承诺符合或优于第四章</w:t>
            </w:r>
          </w:p>
          <w:p>
            <w:pPr>
              <w:pStyle w:val="TableParagraph"/>
              <w:spacing w:before="5"/>
              <w:ind w:left="148"/>
              <w:rPr>
                <w:sz w:val="21"/>
              </w:rPr>
            </w:pPr>
            <w:r>
              <w:rPr>
                <w:rFonts w:ascii="Calibri" w:hAnsi="Calibri" w:eastAsia="Calibri"/>
                <w:sz w:val="21"/>
              </w:rPr>
              <w:t>“</w:t>
            </w:r>
            <w:r>
              <w:rPr>
                <w:sz w:val="21"/>
              </w:rPr>
              <w:t>合同条款及格式</w:t>
            </w:r>
            <w:r>
              <w:rPr>
                <w:rFonts w:ascii="Calibri" w:hAnsi="Calibri" w:eastAsia="Calibri"/>
                <w:sz w:val="21"/>
              </w:rPr>
              <w:t>”</w:t>
            </w:r>
            <w:r>
              <w:rPr>
                <w:sz w:val="21"/>
              </w:rPr>
              <w:t>的相关规定</w:t>
            </w:r>
          </w:p>
        </w:tc>
      </w:tr>
      <w:tr>
        <w:trPr>
          <w:trHeight w:val="844" w:hRule="atLeast"/>
        </w:trPr>
        <w:tc>
          <w:tcPr>
            <w:tcW w:w="828" w:type="dxa"/>
            <w:vMerge/>
            <w:tcBorders>
              <w:top w:val="nil"/>
            </w:tcBorders>
          </w:tcPr>
          <w:p>
            <w:pPr>
              <w:rPr>
                <w:sz w:val="2"/>
                <w:szCs w:val="2"/>
              </w:rPr>
            </w:pPr>
          </w:p>
        </w:tc>
        <w:tc>
          <w:tcPr>
            <w:tcW w:w="1971" w:type="dxa"/>
            <w:vMerge/>
            <w:tcBorders>
              <w:top w:val="nil"/>
            </w:tcBorders>
          </w:tcPr>
          <w:p>
            <w:pPr>
              <w:rPr>
                <w:sz w:val="2"/>
                <w:szCs w:val="2"/>
              </w:rPr>
            </w:pPr>
          </w:p>
        </w:tc>
        <w:tc>
          <w:tcPr>
            <w:tcW w:w="1836" w:type="dxa"/>
          </w:tcPr>
          <w:p>
            <w:pPr>
              <w:pStyle w:val="TableParagraph"/>
              <w:spacing w:before="10"/>
              <w:rPr>
                <w:rFonts w:ascii="Microsoft JhengHei"/>
                <w:b/>
                <w:sz w:val="15"/>
              </w:rPr>
            </w:pPr>
          </w:p>
          <w:p>
            <w:pPr>
              <w:pStyle w:val="TableParagraph"/>
              <w:ind w:left="148"/>
              <w:rPr>
                <w:sz w:val="21"/>
              </w:rPr>
            </w:pPr>
            <w:r>
              <w:rPr>
                <w:sz w:val="21"/>
              </w:rPr>
              <w:t>投标价格</w:t>
            </w:r>
          </w:p>
        </w:tc>
        <w:tc>
          <w:tcPr>
            <w:tcW w:w="4338" w:type="dxa"/>
          </w:tcPr>
          <w:p>
            <w:pPr>
              <w:pStyle w:val="TableParagraph"/>
              <w:spacing w:line="242" w:lineRule="auto" w:before="152"/>
              <w:ind w:left="148" w:right="109"/>
              <w:rPr>
                <w:sz w:val="21"/>
              </w:rPr>
            </w:pPr>
            <w:r>
              <w:rPr>
                <w:sz w:val="21"/>
              </w:rPr>
              <w:t>低于（含等于）招标人公布的招标控制价且无本章附件 </w:t>
            </w:r>
            <w:r>
              <w:rPr>
                <w:rFonts w:ascii="Calibri" w:eastAsia="Calibri"/>
                <w:sz w:val="21"/>
              </w:rPr>
              <w:t>B </w:t>
            </w:r>
            <w:r>
              <w:rPr>
                <w:sz w:val="21"/>
              </w:rPr>
              <w:t>否决投标条件的相应情况的。</w:t>
            </w:r>
          </w:p>
        </w:tc>
      </w:tr>
      <w:tr>
        <w:trPr>
          <w:trHeight w:val="844" w:hRule="atLeast"/>
        </w:trPr>
        <w:tc>
          <w:tcPr>
            <w:tcW w:w="828" w:type="dxa"/>
            <w:vMerge/>
            <w:tcBorders>
              <w:top w:val="nil"/>
            </w:tcBorders>
          </w:tcPr>
          <w:p>
            <w:pPr>
              <w:rPr>
                <w:sz w:val="2"/>
                <w:szCs w:val="2"/>
              </w:rPr>
            </w:pPr>
          </w:p>
        </w:tc>
        <w:tc>
          <w:tcPr>
            <w:tcW w:w="1971" w:type="dxa"/>
            <w:vMerge/>
            <w:tcBorders>
              <w:top w:val="nil"/>
            </w:tcBorders>
          </w:tcPr>
          <w:p>
            <w:pPr>
              <w:rPr>
                <w:sz w:val="2"/>
                <w:szCs w:val="2"/>
              </w:rPr>
            </w:pPr>
          </w:p>
        </w:tc>
        <w:tc>
          <w:tcPr>
            <w:tcW w:w="1836" w:type="dxa"/>
          </w:tcPr>
          <w:p>
            <w:pPr>
              <w:pStyle w:val="TableParagraph"/>
              <w:spacing w:line="242" w:lineRule="auto" w:before="152"/>
              <w:ind w:left="148" w:right="196"/>
              <w:rPr>
                <w:sz w:val="21"/>
              </w:rPr>
            </w:pPr>
            <w:r>
              <w:rPr>
                <w:sz w:val="21"/>
              </w:rPr>
              <w:t>已标价工程量清单</w:t>
            </w:r>
          </w:p>
        </w:tc>
        <w:tc>
          <w:tcPr>
            <w:tcW w:w="4338" w:type="dxa"/>
          </w:tcPr>
          <w:p>
            <w:pPr>
              <w:pStyle w:val="TableParagraph"/>
              <w:spacing w:line="242" w:lineRule="auto" w:before="152"/>
              <w:ind w:left="148" w:right="214"/>
              <w:rPr>
                <w:sz w:val="21"/>
              </w:rPr>
            </w:pPr>
            <w:r>
              <w:rPr>
                <w:sz w:val="21"/>
              </w:rPr>
              <w:t>符合第五章</w:t>
            </w:r>
            <w:r>
              <w:rPr>
                <w:rFonts w:ascii="Calibri" w:hAnsi="Calibri" w:eastAsia="Calibri"/>
                <w:sz w:val="21"/>
              </w:rPr>
              <w:t>“</w:t>
            </w:r>
            <w:r>
              <w:rPr>
                <w:sz w:val="21"/>
              </w:rPr>
              <w:t>工程量清单</w:t>
            </w:r>
            <w:r>
              <w:rPr>
                <w:rFonts w:ascii="Calibri" w:hAnsi="Calibri" w:eastAsia="Calibri"/>
                <w:sz w:val="21"/>
              </w:rPr>
              <w:t>”</w:t>
            </w:r>
            <w:r>
              <w:rPr>
                <w:sz w:val="21"/>
              </w:rPr>
              <w:t>的编制要求且无本章附件 </w:t>
            </w:r>
            <w:r>
              <w:rPr>
                <w:rFonts w:ascii="Calibri" w:hAnsi="Calibri" w:eastAsia="Calibri"/>
                <w:sz w:val="21"/>
              </w:rPr>
              <w:t>B </w:t>
            </w:r>
            <w:r>
              <w:rPr>
                <w:sz w:val="21"/>
              </w:rPr>
              <w:t>否决投标条件的相应情况。</w:t>
            </w:r>
          </w:p>
        </w:tc>
      </w:tr>
      <w:tr>
        <w:trPr>
          <w:trHeight w:val="573" w:hRule="atLeast"/>
        </w:trPr>
        <w:tc>
          <w:tcPr>
            <w:tcW w:w="828" w:type="dxa"/>
            <w:vMerge/>
            <w:tcBorders>
              <w:top w:val="nil"/>
            </w:tcBorders>
          </w:tcPr>
          <w:p>
            <w:pPr>
              <w:rPr>
                <w:sz w:val="2"/>
                <w:szCs w:val="2"/>
              </w:rPr>
            </w:pPr>
          </w:p>
        </w:tc>
        <w:tc>
          <w:tcPr>
            <w:tcW w:w="1971" w:type="dxa"/>
            <w:vMerge/>
            <w:tcBorders>
              <w:top w:val="nil"/>
            </w:tcBorders>
          </w:tcPr>
          <w:p>
            <w:pPr>
              <w:rPr>
                <w:sz w:val="2"/>
                <w:szCs w:val="2"/>
              </w:rPr>
            </w:pPr>
          </w:p>
        </w:tc>
        <w:tc>
          <w:tcPr>
            <w:tcW w:w="1836" w:type="dxa"/>
          </w:tcPr>
          <w:p>
            <w:pPr>
              <w:pStyle w:val="TableParagraph"/>
              <w:spacing w:before="152"/>
              <w:ind w:left="148"/>
              <w:rPr>
                <w:sz w:val="21"/>
              </w:rPr>
            </w:pPr>
            <w:r>
              <w:rPr>
                <w:sz w:val="21"/>
              </w:rPr>
              <w:t>技术标准和要求</w:t>
            </w:r>
          </w:p>
        </w:tc>
        <w:tc>
          <w:tcPr>
            <w:tcW w:w="4338" w:type="dxa"/>
          </w:tcPr>
          <w:p>
            <w:pPr>
              <w:pStyle w:val="TableParagraph"/>
              <w:spacing w:before="152"/>
              <w:ind w:left="148"/>
              <w:rPr>
                <w:sz w:val="21"/>
              </w:rPr>
            </w:pPr>
            <w:r>
              <w:rPr>
                <w:sz w:val="21"/>
              </w:rPr>
              <w:t>符合第八章 </w:t>
            </w:r>
            <w:r>
              <w:rPr>
                <w:rFonts w:ascii="Calibri" w:hAnsi="Calibri" w:eastAsia="Calibri"/>
                <w:sz w:val="21"/>
              </w:rPr>
              <w:t>“</w:t>
            </w:r>
            <w:r>
              <w:rPr>
                <w:sz w:val="21"/>
              </w:rPr>
              <w:t>技术标准和要求</w:t>
            </w:r>
            <w:r>
              <w:rPr>
                <w:rFonts w:ascii="Calibri" w:hAnsi="Calibri" w:eastAsia="Calibri"/>
                <w:sz w:val="21"/>
              </w:rPr>
              <w:t>”</w:t>
            </w:r>
            <w:r>
              <w:rPr>
                <w:sz w:val="21"/>
              </w:rPr>
              <w:t>规定</w:t>
            </w:r>
          </w:p>
        </w:tc>
      </w:tr>
      <w:tr>
        <w:trPr>
          <w:trHeight w:val="572" w:hRule="atLeast"/>
        </w:trPr>
        <w:tc>
          <w:tcPr>
            <w:tcW w:w="828" w:type="dxa"/>
            <w:vMerge/>
            <w:tcBorders>
              <w:top w:val="nil"/>
            </w:tcBorders>
          </w:tcPr>
          <w:p>
            <w:pPr>
              <w:rPr>
                <w:sz w:val="2"/>
                <w:szCs w:val="2"/>
              </w:rPr>
            </w:pPr>
          </w:p>
        </w:tc>
        <w:tc>
          <w:tcPr>
            <w:tcW w:w="1971" w:type="dxa"/>
            <w:vMerge/>
            <w:tcBorders>
              <w:top w:val="nil"/>
            </w:tcBorders>
          </w:tcPr>
          <w:p>
            <w:pPr>
              <w:rPr>
                <w:sz w:val="2"/>
                <w:szCs w:val="2"/>
              </w:rPr>
            </w:pPr>
          </w:p>
        </w:tc>
        <w:tc>
          <w:tcPr>
            <w:tcW w:w="1836" w:type="dxa"/>
          </w:tcPr>
          <w:p>
            <w:pPr>
              <w:pStyle w:val="TableParagraph"/>
              <w:spacing w:before="152"/>
              <w:ind w:left="148"/>
              <w:rPr>
                <w:sz w:val="21"/>
              </w:rPr>
            </w:pPr>
            <w:r>
              <w:rPr>
                <w:sz w:val="21"/>
              </w:rPr>
              <w:t>分包计划</w:t>
            </w:r>
          </w:p>
        </w:tc>
        <w:tc>
          <w:tcPr>
            <w:tcW w:w="4338" w:type="dxa"/>
          </w:tcPr>
          <w:p>
            <w:pPr>
              <w:pStyle w:val="TableParagraph"/>
              <w:spacing w:before="152"/>
              <w:ind w:left="148"/>
              <w:rPr>
                <w:sz w:val="21"/>
              </w:rPr>
            </w:pPr>
            <w:r>
              <w:rPr>
                <w:sz w:val="21"/>
              </w:rPr>
              <w:t>符合第二章</w:t>
            </w:r>
            <w:r>
              <w:rPr>
                <w:rFonts w:ascii="Calibri" w:hAnsi="Calibri" w:eastAsia="Calibri"/>
                <w:sz w:val="21"/>
              </w:rPr>
              <w:t>“</w:t>
            </w:r>
            <w:r>
              <w:rPr>
                <w:sz w:val="21"/>
              </w:rPr>
              <w:t>投标人须知</w:t>
            </w:r>
            <w:r>
              <w:rPr>
                <w:rFonts w:ascii="Calibri" w:hAnsi="Calibri" w:eastAsia="Calibri"/>
                <w:sz w:val="21"/>
              </w:rPr>
              <w:t>”</w:t>
            </w:r>
            <w:r>
              <w:rPr>
                <w:sz w:val="21"/>
              </w:rPr>
              <w:t>第 </w:t>
            </w:r>
            <w:r>
              <w:rPr>
                <w:rFonts w:ascii="Calibri" w:hAnsi="Calibri" w:eastAsia="Calibri"/>
                <w:sz w:val="21"/>
              </w:rPr>
              <w:t>1.11 </w:t>
            </w:r>
            <w:r>
              <w:rPr>
                <w:sz w:val="21"/>
              </w:rPr>
              <w:t>款规定</w:t>
            </w:r>
          </w:p>
        </w:tc>
      </w:tr>
      <w:tr>
        <w:trPr>
          <w:trHeight w:val="844" w:hRule="atLeast"/>
        </w:trPr>
        <w:tc>
          <w:tcPr>
            <w:tcW w:w="828" w:type="dxa"/>
          </w:tcPr>
          <w:p>
            <w:pPr>
              <w:pStyle w:val="TableParagraph"/>
              <w:spacing w:before="15"/>
              <w:rPr>
                <w:rFonts w:ascii="Microsoft JhengHei"/>
                <w:b/>
                <w:sz w:val="15"/>
              </w:rPr>
            </w:pPr>
          </w:p>
          <w:p>
            <w:pPr>
              <w:pStyle w:val="TableParagraph"/>
              <w:spacing w:before="1"/>
              <w:ind w:left="181" w:right="166"/>
              <w:jc w:val="center"/>
              <w:rPr>
                <w:rFonts w:ascii="Calibri"/>
                <w:sz w:val="21"/>
              </w:rPr>
            </w:pPr>
            <w:r>
              <w:rPr>
                <w:rFonts w:ascii="Calibri"/>
                <w:sz w:val="21"/>
              </w:rPr>
              <w:t>2.2</w:t>
            </w:r>
          </w:p>
        </w:tc>
        <w:tc>
          <w:tcPr>
            <w:tcW w:w="1971" w:type="dxa"/>
          </w:tcPr>
          <w:p>
            <w:pPr>
              <w:pStyle w:val="TableParagraph"/>
              <w:spacing w:before="10"/>
              <w:rPr>
                <w:rFonts w:ascii="Microsoft JhengHei"/>
                <w:b/>
                <w:sz w:val="15"/>
              </w:rPr>
            </w:pPr>
          </w:p>
          <w:p>
            <w:pPr>
              <w:pStyle w:val="TableParagraph"/>
              <w:ind w:left="561"/>
              <w:rPr>
                <w:sz w:val="21"/>
              </w:rPr>
            </w:pPr>
            <w:r>
              <w:rPr>
                <w:sz w:val="21"/>
              </w:rPr>
              <w:t>详细评审</w:t>
            </w:r>
          </w:p>
        </w:tc>
        <w:tc>
          <w:tcPr>
            <w:tcW w:w="6174" w:type="dxa"/>
            <w:gridSpan w:val="2"/>
          </w:tcPr>
          <w:p>
            <w:pPr>
              <w:pStyle w:val="TableParagraph"/>
              <w:spacing w:line="244" w:lineRule="auto" w:before="149"/>
              <w:ind w:left="148" w:right="331"/>
              <w:rPr>
                <w:sz w:val="21"/>
              </w:rPr>
            </w:pPr>
            <w:r>
              <w:rPr>
                <w:sz w:val="21"/>
              </w:rPr>
              <w:t>通过资格审查的合格投标人，只有通过了形式评审和响应性评审，才能进入详细评审程序。</w:t>
            </w:r>
          </w:p>
        </w:tc>
      </w:tr>
      <w:tr>
        <w:trPr>
          <w:trHeight w:val="1118" w:hRule="atLeast"/>
        </w:trPr>
        <w:tc>
          <w:tcPr>
            <w:tcW w:w="828" w:type="dxa"/>
          </w:tcPr>
          <w:p>
            <w:pPr>
              <w:pStyle w:val="TableParagraph"/>
              <w:spacing w:before="3"/>
              <w:rPr>
                <w:rFonts w:ascii="Microsoft JhengHei"/>
                <w:b/>
                <w:sz w:val="23"/>
              </w:rPr>
            </w:pPr>
          </w:p>
          <w:p>
            <w:pPr>
              <w:pStyle w:val="TableParagraph"/>
              <w:ind w:left="181" w:right="166"/>
              <w:jc w:val="center"/>
              <w:rPr>
                <w:rFonts w:ascii="Calibri"/>
                <w:sz w:val="21"/>
              </w:rPr>
            </w:pPr>
            <w:r>
              <w:rPr>
                <w:rFonts w:ascii="Calibri"/>
                <w:sz w:val="21"/>
              </w:rPr>
              <w:t>2.2.1</w:t>
            </w:r>
          </w:p>
        </w:tc>
        <w:tc>
          <w:tcPr>
            <w:tcW w:w="1971" w:type="dxa"/>
          </w:tcPr>
          <w:p>
            <w:pPr>
              <w:pStyle w:val="TableParagraph"/>
              <w:rPr>
                <w:rFonts w:ascii="Microsoft JhengHei"/>
                <w:b/>
                <w:sz w:val="23"/>
              </w:rPr>
            </w:pPr>
          </w:p>
          <w:p>
            <w:pPr>
              <w:pStyle w:val="TableParagraph"/>
              <w:ind w:left="561"/>
              <w:rPr>
                <w:sz w:val="21"/>
              </w:rPr>
            </w:pPr>
            <w:r>
              <w:rPr>
                <w:sz w:val="21"/>
              </w:rPr>
              <w:t>分值构成</w:t>
            </w:r>
          </w:p>
        </w:tc>
        <w:tc>
          <w:tcPr>
            <w:tcW w:w="1836" w:type="dxa"/>
          </w:tcPr>
          <w:p>
            <w:pPr>
              <w:pStyle w:val="TableParagraph"/>
              <w:spacing w:before="10"/>
              <w:rPr>
                <w:rFonts w:ascii="Microsoft JhengHei"/>
                <w:b/>
                <w:sz w:val="15"/>
              </w:rPr>
            </w:pPr>
          </w:p>
          <w:p>
            <w:pPr>
              <w:pStyle w:val="TableParagraph"/>
              <w:ind w:left="148"/>
              <w:rPr>
                <w:sz w:val="21"/>
              </w:rPr>
            </w:pPr>
            <w:r>
              <w:rPr>
                <w:sz w:val="21"/>
              </w:rPr>
              <w:t>分值权重构成</w:t>
            </w:r>
          </w:p>
          <w:p>
            <w:pPr>
              <w:pStyle w:val="TableParagraph"/>
              <w:spacing w:before="5"/>
              <w:ind w:left="148"/>
              <w:rPr>
                <w:sz w:val="21"/>
              </w:rPr>
            </w:pPr>
            <w:r>
              <w:rPr>
                <w:sz w:val="21"/>
              </w:rPr>
              <w:t>（</w:t>
            </w:r>
            <w:r>
              <w:rPr>
                <w:rFonts w:ascii="Calibri" w:eastAsia="Calibri"/>
                <w:sz w:val="21"/>
              </w:rPr>
              <w:t>100%</w:t>
            </w:r>
            <w:r>
              <w:rPr>
                <w:sz w:val="21"/>
              </w:rPr>
              <w:t>）</w:t>
            </w:r>
          </w:p>
        </w:tc>
        <w:tc>
          <w:tcPr>
            <w:tcW w:w="4338" w:type="dxa"/>
          </w:tcPr>
          <w:p>
            <w:pPr>
              <w:pStyle w:val="TableParagraph"/>
              <w:numPr>
                <w:ilvl w:val="0"/>
                <w:numId w:val="51"/>
              </w:numPr>
              <w:tabs>
                <w:tab w:pos="678" w:val="left" w:leader="none"/>
              </w:tabs>
              <w:spacing w:line="240" w:lineRule="auto" w:before="152" w:after="0"/>
              <w:ind w:left="677" w:right="0" w:hanging="530"/>
              <w:jc w:val="left"/>
              <w:rPr>
                <w:rFonts w:ascii="Calibri" w:eastAsia="Calibri"/>
                <w:sz w:val="21"/>
              </w:rPr>
            </w:pPr>
            <w:r>
              <w:rPr>
                <w:spacing w:val="-3"/>
                <w:sz w:val="21"/>
              </w:rPr>
              <w:t>技术标分值权重： </w:t>
            </w:r>
            <w:r>
              <w:rPr>
                <w:rFonts w:ascii="Calibri" w:eastAsia="Calibri"/>
                <w:sz w:val="21"/>
              </w:rPr>
              <w:t>25%</w:t>
            </w:r>
          </w:p>
          <w:p>
            <w:pPr>
              <w:pStyle w:val="TableParagraph"/>
              <w:numPr>
                <w:ilvl w:val="0"/>
                <w:numId w:val="51"/>
              </w:numPr>
              <w:tabs>
                <w:tab w:pos="678" w:val="left" w:leader="none"/>
              </w:tabs>
              <w:spacing w:line="240" w:lineRule="auto" w:before="2" w:after="0"/>
              <w:ind w:left="677" w:right="0" w:hanging="530"/>
              <w:jc w:val="left"/>
              <w:rPr>
                <w:rFonts w:ascii="Calibri" w:eastAsia="Calibri"/>
                <w:sz w:val="21"/>
              </w:rPr>
            </w:pPr>
            <w:r>
              <w:rPr>
                <w:spacing w:val="-3"/>
                <w:sz w:val="21"/>
              </w:rPr>
              <w:t>资信审查评分权重：</w:t>
            </w:r>
            <w:r>
              <w:rPr>
                <w:rFonts w:ascii="Calibri" w:eastAsia="Calibri"/>
                <w:sz w:val="21"/>
              </w:rPr>
              <w:t>10%</w:t>
            </w:r>
          </w:p>
          <w:p>
            <w:pPr>
              <w:pStyle w:val="TableParagraph"/>
              <w:numPr>
                <w:ilvl w:val="0"/>
                <w:numId w:val="51"/>
              </w:numPr>
              <w:tabs>
                <w:tab w:pos="678" w:val="left" w:leader="none"/>
              </w:tabs>
              <w:spacing w:line="240" w:lineRule="auto" w:before="4" w:after="0"/>
              <w:ind w:left="677" w:right="0" w:hanging="530"/>
              <w:jc w:val="left"/>
              <w:rPr>
                <w:rFonts w:ascii="Calibri" w:eastAsia="Calibri"/>
                <w:sz w:val="21"/>
              </w:rPr>
            </w:pPr>
            <w:r>
              <w:rPr>
                <w:spacing w:val="-3"/>
                <w:sz w:val="21"/>
              </w:rPr>
              <w:t>商务标分值权重： </w:t>
            </w:r>
            <w:r>
              <w:rPr>
                <w:rFonts w:ascii="Calibri" w:eastAsia="Calibri"/>
                <w:sz w:val="21"/>
              </w:rPr>
              <w:t>65%</w:t>
            </w:r>
          </w:p>
        </w:tc>
      </w:tr>
    </w:tbl>
    <w:p>
      <w:pPr>
        <w:spacing w:after="0" w:line="240" w:lineRule="auto"/>
        <w:jc w:val="left"/>
        <w:rPr>
          <w:rFonts w:ascii="Calibri" w:eastAsia="Calibri"/>
          <w:sz w:val="21"/>
        </w:rPr>
        <w:sectPr>
          <w:pgSz w:w="11910" w:h="16850"/>
          <w:pgMar w:header="0" w:footer="779" w:top="1440" w:bottom="960" w:left="1120" w:right="280"/>
        </w:sectPr>
      </w:pPr>
    </w:p>
    <w:tbl>
      <w:tblPr>
        <w:tblW w:w="0" w:type="auto"/>
        <w:jc w:val="left"/>
        <w:tblInd w:w="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8"/>
        <w:gridCol w:w="874"/>
        <w:gridCol w:w="1098"/>
        <w:gridCol w:w="1837"/>
        <w:gridCol w:w="4339"/>
      </w:tblGrid>
      <w:tr>
        <w:trPr>
          <w:trHeight w:val="4658" w:hRule="atLeast"/>
        </w:trPr>
        <w:tc>
          <w:tcPr>
            <w:tcW w:w="828" w:type="dxa"/>
          </w:tcPr>
          <w:p>
            <w:pPr>
              <w:pStyle w:val="TableParagraph"/>
              <w:rPr>
                <w:rFonts w:ascii="Times New Roman"/>
                <w:sz w:val="20"/>
              </w:rPr>
            </w:pPr>
          </w:p>
        </w:tc>
        <w:tc>
          <w:tcPr>
            <w:tcW w:w="1972" w:type="dxa"/>
            <w:gridSpan w:val="2"/>
          </w:tcPr>
          <w:p>
            <w:pPr>
              <w:pStyle w:val="TableParagraph"/>
              <w:rPr>
                <w:rFonts w:ascii="Times New Roman"/>
                <w:sz w:val="20"/>
              </w:rPr>
            </w:pPr>
          </w:p>
        </w:tc>
        <w:tc>
          <w:tcPr>
            <w:tcW w:w="1837" w:type="dxa"/>
          </w:tcPr>
          <w:p>
            <w:pPr>
              <w:pStyle w:val="TableParagraph"/>
              <w:rPr>
                <w:rFonts w:ascii="Times New Roman"/>
                <w:sz w:val="20"/>
              </w:rPr>
            </w:pPr>
          </w:p>
        </w:tc>
        <w:tc>
          <w:tcPr>
            <w:tcW w:w="4339" w:type="dxa"/>
          </w:tcPr>
          <w:p>
            <w:pPr>
              <w:pStyle w:val="TableParagraph"/>
              <w:spacing w:line="242" w:lineRule="auto" w:before="152"/>
              <w:ind w:left="146" w:right="286"/>
              <w:rPr>
                <w:sz w:val="21"/>
              </w:rPr>
            </w:pPr>
            <w:r>
              <w:rPr>
                <w:sz w:val="21"/>
              </w:rPr>
              <w:t>商务标分值权重 </w:t>
            </w:r>
            <w:r>
              <w:rPr>
                <w:rFonts w:ascii="Calibri" w:eastAsia="Calibri"/>
                <w:sz w:val="21"/>
              </w:rPr>
              <w:t>= </w:t>
            </w:r>
            <w:r>
              <w:rPr>
                <w:sz w:val="21"/>
              </w:rPr>
              <w:t>企业信誉实力分分值权重</w:t>
            </w:r>
            <w:r>
              <w:rPr>
                <w:rFonts w:ascii="Calibri" w:eastAsia="Calibri"/>
                <w:sz w:val="21"/>
              </w:rPr>
              <w:t>+ </w:t>
            </w:r>
            <w:r>
              <w:rPr>
                <w:sz w:val="21"/>
              </w:rPr>
              <w:t>报价分分值权重</w:t>
            </w:r>
          </w:p>
          <w:p>
            <w:pPr>
              <w:pStyle w:val="TableParagraph"/>
              <w:spacing w:line="242" w:lineRule="auto" w:before="1"/>
              <w:ind w:left="146" w:right="135"/>
              <w:rPr>
                <w:sz w:val="21"/>
              </w:rPr>
            </w:pPr>
            <w:r>
              <w:rPr>
                <w:spacing w:val="-3"/>
                <w:sz w:val="21"/>
              </w:rPr>
              <w:t>先由招标人在开标现场随机抽取确定企业信誉实力分分值权重后，报价分分值权重</w:t>
            </w:r>
            <w:r>
              <w:rPr>
                <w:rFonts w:ascii="Calibri" w:eastAsia="Calibri"/>
                <w:spacing w:val="11"/>
                <w:sz w:val="21"/>
              </w:rPr>
              <w:t>= </w:t>
            </w:r>
            <w:r>
              <w:rPr>
                <w:sz w:val="21"/>
              </w:rPr>
              <w:t>商</w:t>
            </w:r>
            <w:r>
              <w:rPr>
                <w:spacing w:val="-1"/>
                <w:sz w:val="21"/>
              </w:rPr>
              <w:t>务标分值权重 </w:t>
            </w:r>
            <w:r>
              <w:rPr>
                <w:rFonts w:ascii="Calibri" w:eastAsia="Calibri"/>
                <w:spacing w:val="4"/>
                <w:sz w:val="21"/>
              </w:rPr>
              <w:t>-  </w:t>
            </w:r>
            <w:r>
              <w:rPr>
                <w:spacing w:val="-3"/>
                <w:sz w:val="21"/>
              </w:rPr>
              <w:t>企业信誉实力分分值权重企</w:t>
            </w:r>
            <w:r>
              <w:rPr>
                <w:spacing w:val="-7"/>
                <w:sz w:val="21"/>
              </w:rPr>
              <w:t>业信誉实力分分值权重按 </w:t>
            </w:r>
            <w:r>
              <w:rPr>
                <w:rFonts w:ascii="Calibri" w:eastAsia="Calibri"/>
                <w:sz w:val="21"/>
              </w:rPr>
              <w:t>6%-10%</w:t>
            </w:r>
            <w:r>
              <w:rPr>
                <w:spacing w:val="-2"/>
                <w:sz w:val="21"/>
              </w:rPr>
              <w:t>记入投标</w:t>
            </w:r>
            <w:r>
              <w:rPr>
                <w:spacing w:val="-3"/>
                <w:sz w:val="21"/>
              </w:rPr>
              <w:t>总分，具体按工程规模大小随机抽取。原则</w:t>
            </w:r>
            <w:r>
              <w:rPr>
                <w:spacing w:val="-11"/>
                <w:sz w:val="21"/>
              </w:rPr>
              <w:t>中型工程从 </w:t>
            </w:r>
            <w:r>
              <w:rPr>
                <w:rFonts w:ascii="Calibri" w:eastAsia="Calibri"/>
                <w:sz w:val="21"/>
              </w:rPr>
              <w:t>6%</w:t>
            </w:r>
            <w:r>
              <w:rPr>
                <w:sz w:val="21"/>
              </w:rPr>
              <w:t>、</w:t>
            </w:r>
            <w:r>
              <w:rPr>
                <w:rFonts w:ascii="Calibri" w:eastAsia="Calibri"/>
                <w:sz w:val="21"/>
              </w:rPr>
              <w:t>7%</w:t>
            </w:r>
            <w:r>
              <w:rPr>
                <w:spacing w:val="-3"/>
                <w:sz w:val="21"/>
              </w:rPr>
              <w:t>、</w:t>
            </w:r>
            <w:r>
              <w:rPr>
                <w:rFonts w:ascii="Calibri" w:eastAsia="Calibri"/>
                <w:sz w:val="21"/>
              </w:rPr>
              <w:t>8%</w:t>
            </w:r>
            <w:r>
              <w:rPr>
                <w:spacing w:val="-3"/>
                <w:sz w:val="21"/>
              </w:rPr>
              <w:t>中抽取一个，大型</w:t>
            </w:r>
            <w:r>
              <w:rPr>
                <w:spacing w:val="-11"/>
                <w:sz w:val="21"/>
              </w:rPr>
              <w:t>工程从取 </w:t>
            </w:r>
            <w:r>
              <w:rPr>
                <w:rFonts w:ascii="Calibri" w:eastAsia="Calibri"/>
                <w:sz w:val="21"/>
              </w:rPr>
              <w:t>8%</w:t>
            </w:r>
            <w:r>
              <w:rPr>
                <w:spacing w:val="-17"/>
                <w:sz w:val="21"/>
              </w:rPr>
              <w:t>、</w:t>
            </w:r>
            <w:r>
              <w:rPr>
                <w:rFonts w:ascii="Calibri" w:eastAsia="Calibri"/>
                <w:sz w:val="21"/>
              </w:rPr>
              <w:t>9%</w:t>
            </w:r>
            <w:r>
              <w:rPr>
                <w:spacing w:val="-17"/>
                <w:sz w:val="21"/>
              </w:rPr>
              <w:t>、</w:t>
            </w:r>
            <w:r>
              <w:rPr>
                <w:rFonts w:ascii="Calibri" w:eastAsia="Calibri"/>
                <w:sz w:val="21"/>
              </w:rPr>
              <w:t>10%</w:t>
            </w:r>
            <w:r>
              <w:rPr>
                <w:spacing w:val="-5"/>
                <w:sz w:val="21"/>
              </w:rPr>
              <w:t>中抽取一个，以随机</w:t>
            </w:r>
            <w:r>
              <w:rPr>
                <w:spacing w:val="-3"/>
                <w:sz w:val="21"/>
              </w:rPr>
              <w:t>抽取的比例乘以根据《广西壮族自治区建筑</w:t>
            </w:r>
            <w:r>
              <w:rPr>
                <w:spacing w:val="-13"/>
                <w:sz w:val="21"/>
              </w:rPr>
              <w:t>企业诚信综合评价办法》</w:t>
            </w:r>
            <w:r>
              <w:rPr>
                <w:sz w:val="21"/>
              </w:rPr>
              <w:t>（</w:t>
            </w:r>
            <w:r>
              <w:rPr>
                <w:spacing w:val="-2"/>
                <w:sz w:val="21"/>
              </w:rPr>
              <w:t>试行</w:t>
            </w:r>
            <w:r>
              <w:rPr>
                <w:rFonts w:ascii="Calibri" w:eastAsia="Calibri"/>
                <w:sz w:val="21"/>
              </w:rPr>
              <w:t>)</w:t>
            </w:r>
            <w:r>
              <w:rPr>
                <w:spacing w:val="-3"/>
                <w:sz w:val="21"/>
              </w:rPr>
              <w:t>评价得到的企业诚信综合评价分计入投标总分。</w:t>
            </w:r>
          </w:p>
          <w:p>
            <w:pPr>
              <w:pStyle w:val="TableParagraph"/>
              <w:spacing w:line="242" w:lineRule="auto" w:before="5"/>
              <w:ind w:left="146" w:right="180"/>
              <w:jc w:val="both"/>
              <w:rPr>
                <w:sz w:val="21"/>
              </w:rPr>
            </w:pPr>
            <w:r>
              <w:rPr>
                <w:spacing w:val="-6"/>
                <w:sz w:val="21"/>
              </w:rPr>
              <w:t>【例如：已经确定技术标分值权重为 </w:t>
            </w:r>
            <w:r>
              <w:rPr>
                <w:rFonts w:ascii="Calibri" w:eastAsia="Calibri"/>
                <w:sz w:val="21"/>
              </w:rPr>
              <w:t>25%</w:t>
            </w:r>
            <w:r>
              <w:rPr>
                <w:sz w:val="21"/>
              </w:rPr>
              <w:t>， </w:t>
            </w:r>
            <w:r>
              <w:rPr>
                <w:spacing w:val="-8"/>
                <w:sz w:val="21"/>
              </w:rPr>
              <w:t>商务标分值权重为 </w:t>
            </w:r>
            <w:r>
              <w:rPr>
                <w:rFonts w:ascii="Calibri" w:eastAsia="Calibri"/>
                <w:sz w:val="21"/>
              </w:rPr>
              <w:t>65%</w:t>
            </w:r>
            <w:r>
              <w:rPr>
                <w:spacing w:val="-3"/>
                <w:sz w:val="21"/>
              </w:rPr>
              <w:t>，若在开标现场随机</w:t>
            </w:r>
            <w:r>
              <w:rPr>
                <w:spacing w:val="-4"/>
                <w:sz w:val="21"/>
              </w:rPr>
              <w:t>抽取的中型工程企业信誉实力分分值权重为</w:t>
            </w:r>
            <w:r>
              <w:rPr>
                <w:rFonts w:ascii="Calibri" w:eastAsia="Calibri"/>
                <w:sz w:val="21"/>
              </w:rPr>
              <w:t>7%</w:t>
            </w:r>
            <w:r>
              <w:rPr>
                <w:spacing w:val="-8"/>
                <w:sz w:val="21"/>
              </w:rPr>
              <w:t>，则报价分分值权重应为 </w:t>
            </w:r>
            <w:r>
              <w:rPr>
                <w:rFonts w:ascii="Calibri" w:eastAsia="Calibri"/>
                <w:sz w:val="21"/>
              </w:rPr>
              <w:t>58%</w:t>
            </w:r>
            <w:r>
              <w:rPr>
                <w:spacing w:val="-106"/>
                <w:sz w:val="21"/>
              </w:rPr>
              <w:t>。】</w:t>
            </w:r>
          </w:p>
        </w:tc>
      </w:tr>
      <w:tr>
        <w:trPr>
          <w:trHeight w:val="1388" w:hRule="atLeast"/>
        </w:trPr>
        <w:tc>
          <w:tcPr>
            <w:tcW w:w="828"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15"/>
              <w:rPr>
                <w:rFonts w:ascii="Microsoft JhengHei"/>
                <w:b/>
                <w:sz w:val="15"/>
              </w:rPr>
            </w:pPr>
          </w:p>
          <w:p>
            <w:pPr>
              <w:pStyle w:val="TableParagraph"/>
              <w:spacing w:before="1"/>
              <w:ind w:left="201"/>
              <w:rPr>
                <w:rFonts w:ascii="Calibri"/>
                <w:sz w:val="21"/>
              </w:rPr>
            </w:pPr>
            <w:r>
              <w:rPr>
                <w:rFonts w:ascii="Calibri"/>
                <w:sz w:val="21"/>
              </w:rPr>
              <w:t>2.2.2</w:t>
            </w:r>
          </w:p>
          <w:p>
            <w:pPr>
              <w:pStyle w:val="TableParagraph"/>
              <w:spacing w:before="4"/>
              <w:ind w:left="150"/>
              <w:rPr>
                <w:sz w:val="21"/>
              </w:rPr>
            </w:pPr>
            <w:r>
              <w:rPr>
                <w:sz w:val="21"/>
              </w:rPr>
              <w:t>（</w:t>
            </w:r>
            <w:r>
              <w:rPr>
                <w:rFonts w:ascii="Calibri" w:eastAsia="Calibri"/>
                <w:sz w:val="21"/>
              </w:rPr>
              <w:t>1</w:t>
            </w:r>
            <w:r>
              <w:rPr>
                <w:sz w:val="21"/>
              </w:rPr>
              <w:t>）</w:t>
            </w:r>
          </w:p>
        </w:tc>
        <w:tc>
          <w:tcPr>
            <w:tcW w:w="874" w:type="dxa"/>
            <w:vMerge w:val="restart"/>
          </w:tcPr>
          <w:p>
            <w:pPr>
              <w:pStyle w:val="TableParagraph"/>
              <w:rPr>
                <w:rFonts w:ascii="Microsoft JhengHei"/>
                <w:b/>
                <w:sz w:val="22"/>
              </w:rPr>
            </w:pPr>
          </w:p>
          <w:p>
            <w:pPr>
              <w:pStyle w:val="TableParagraph"/>
              <w:rPr>
                <w:rFonts w:ascii="Microsoft JhengHei"/>
                <w:b/>
                <w:sz w:val="22"/>
              </w:rPr>
            </w:pPr>
          </w:p>
          <w:p>
            <w:pPr>
              <w:pStyle w:val="TableParagraph"/>
              <w:rPr>
                <w:rFonts w:ascii="Microsoft JhengHei"/>
                <w:b/>
                <w:sz w:val="22"/>
              </w:rPr>
            </w:pPr>
          </w:p>
          <w:p>
            <w:pPr>
              <w:pStyle w:val="TableParagraph"/>
              <w:rPr>
                <w:rFonts w:ascii="Microsoft JhengHei"/>
                <w:b/>
                <w:sz w:val="22"/>
              </w:rPr>
            </w:pPr>
          </w:p>
          <w:p>
            <w:pPr>
              <w:pStyle w:val="TableParagraph"/>
              <w:rPr>
                <w:rFonts w:ascii="Microsoft JhengHei"/>
                <w:b/>
                <w:sz w:val="22"/>
              </w:rPr>
            </w:pPr>
          </w:p>
          <w:p>
            <w:pPr>
              <w:pStyle w:val="TableParagraph"/>
              <w:rPr>
                <w:rFonts w:ascii="Microsoft JhengHei"/>
                <w:b/>
                <w:sz w:val="22"/>
              </w:rPr>
            </w:pPr>
          </w:p>
          <w:p>
            <w:pPr>
              <w:pStyle w:val="TableParagraph"/>
              <w:spacing w:before="3"/>
              <w:rPr>
                <w:rFonts w:ascii="Microsoft JhengHei"/>
                <w:b/>
                <w:sz w:val="19"/>
              </w:rPr>
            </w:pPr>
          </w:p>
          <w:p>
            <w:pPr>
              <w:pStyle w:val="TableParagraph"/>
              <w:spacing w:line="242" w:lineRule="auto" w:before="1"/>
              <w:ind w:left="148" w:right="132"/>
              <w:jc w:val="center"/>
              <w:rPr>
                <w:sz w:val="21"/>
              </w:rPr>
            </w:pPr>
            <w:r>
              <w:rPr>
                <w:sz w:val="21"/>
              </w:rPr>
              <w:t>技术标评分标 </w:t>
            </w:r>
            <w:r>
              <w:rPr>
                <w:spacing w:val="-58"/>
                <w:sz w:val="21"/>
              </w:rPr>
              <w:t>准</w:t>
            </w:r>
            <w:r>
              <w:rPr>
                <w:sz w:val="21"/>
              </w:rPr>
              <w:t>（</w:t>
            </w:r>
            <w:r>
              <w:rPr>
                <w:spacing w:val="-17"/>
                <w:sz w:val="21"/>
              </w:rPr>
              <w:t>满</w:t>
            </w:r>
            <w:r>
              <w:rPr>
                <w:sz w:val="21"/>
              </w:rPr>
              <w:t>分分值权重</w:t>
            </w:r>
            <w:r>
              <w:rPr>
                <w:rFonts w:ascii="Calibri" w:eastAsia="Calibri"/>
                <w:spacing w:val="-1"/>
                <w:sz w:val="21"/>
              </w:rPr>
              <w:t>25%</w:t>
            </w:r>
            <w:r>
              <w:rPr>
                <w:spacing w:val="-1"/>
                <w:sz w:val="21"/>
              </w:rPr>
              <w:t>）</w:t>
            </w:r>
          </w:p>
        </w:tc>
        <w:tc>
          <w:tcPr>
            <w:tcW w:w="1098"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5"/>
              <w:rPr>
                <w:rFonts w:ascii="Microsoft JhengHei"/>
                <w:b/>
                <w:sz w:val="28"/>
              </w:rPr>
            </w:pPr>
          </w:p>
          <w:p>
            <w:pPr>
              <w:pStyle w:val="TableParagraph"/>
              <w:spacing w:line="244" w:lineRule="auto"/>
              <w:ind w:left="148" w:right="299"/>
              <w:rPr>
                <w:sz w:val="21"/>
              </w:rPr>
            </w:pPr>
            <w:r>
              <w:rPr>
                <w:sz w:val="21"/>
              </w:rPr>
              <w:t>项目管理机构</w:t>
            </w:r>
          </w:p>
          <w:p>
            <w:pPr>
              <w:pStyle w:val="TableParagraph"/>
              <w:spacing w:line="265" w:lineRule="exact"/>
              <w:ind w:left="148"/>
              <w:rPr>
                <w:sz w:val="21"/>
              </w:rPr>
            </w:pPr>
            <w:r>
              <w:rPr>
                <w:sz w:val="21"/>
              </w:rPr>
              <w:t>（</w:t>
            </w:r>
            <w:r>
              <w:rPr>
                <w:rFonts w:ascii="Calibri" w:eastAsia="Calibri"/>
                <w:sz w:val="21"/>
              </w:rPr>
              <w:t>20 </w:t>
            </w:r>
            <w:r>
              <w:rPr>
                <w:sz w:val="21"/>
              </w:rPr>
              <w:t>分）</w:t>
            </w:r>
          </w:p>
        </w:tc>
        <w:tc>
          <w:tcPr>
            <w:tcW w:w="6176" w:type="dxa"/>
            <w:gridSpan w:val="2"/>
          </w:tcPr>
          <w:p>
            <w:pPr>
              <w:pStyle w:val="TableParagraph"/>
              <w:spacing w:before="152"/>
              <w:ind w:left="147"/>
              <w:rPr>
                <w:sz w:val="21"/>
              </w:rPr>
            </w:pPr>
            <w:r>
              <w:rPr>
                <w:sz w:val="21"/>
              </w:rPr>
              <w:t>合格标准：</w:t>
            </w:r>
          </w:p>
          <w:p>
            <w:pPr>
              <w:pStyle w:val="TableParagraph"/>
              <w:spacing w:line="244" w:lineRule="auto" w:before="2"/>
              <w:ind w:left="147" w:right="233"/>
              <w:rPr>
                <w:sz w:val="21"/>
              </w:rPr>
            </w:pPr>
            <w:r>
              <w:rPr>
                <w:sz w:val="21"/>
              </w:rPr>
              <w:t>技术标加权得分</w:t>
            </w:r>
            <w:r>
              <w:rPr>
                <w:rFonts w:ascii="Calibri" w:hAnsi="Calibri" w:eastAsia="Calibri"/>
                <w:sz w:val="21"/>
              </w:rPr>
              <w:t>=</w:t>
            </w:r>
            <w:r>
              <w:rPr>
                <w:sz w:val="21"/>
              </w:rPr>
              <w:t>（项目管理机构得分</w:t>
            </w:r>
            <w:r>
              <w:rPr>
                <w:rFonts w:ascii="Calibri" w:hAnsi="Calibri" w:eastAsia="Calibri"/>
                <w:sz w:val="21"/>
              </w:rPr>
              <w:t>+</w:t>
            </w:r>
            <w:r>
              <w:rPr>
                <w:sz w:val="21"/>
              </w:rPr>
              <w:t>施工组织设计得分）</w:t>
            </w:r>
            <w:r>
              <w:rPr>
                <w:rFonts w:ascii="Calibri" w:hAnsi="Calibri" w:eastAsia="Calibri"/>
                <w:sz w:val="21"/>
              </w:rPr>
              <w:t>×</w:t>
            </w:r>
            <w:r>
              <w:rPr>
                <w:sz w:val="21"/>
              </w:rPr>
              <w:t>技术标分值权重</w:t>
            </w:r>
          </w:p>
          <w:p>
            <w:pPr>
              <w:pStyle w:val="TableParagraph"/>
              <w:spacing w:line="265" w:lineRule="exact"/>
              <w:ind w:left="147"/>
              <w:rPr>
                <w:sz w:val="21"/>
              </w:rPr>
            </w:pPr>
            <w:r>
              <w:rPr>
                <w:sz w:val="21"/>
              </w:rPr>
              <w:t>技术标得分低于技术标满分的 </w:t>
            </w:r>
            <w:r>
              <w:rPr>
                <w:rFonts w:ascii="Calibri" w:eastAsia="Calibri"/>
                <w:sz w:val="21"/>
              </w:rPr>
              <w:t>60%</w:t>
            </w:r>
            <w:r>
              <w:rPr>
                <w:sz w:val="21"/>
              </w:rPr>
              <w:t>的，技术标评审不合格。</w:t>
            </w:r>
          </w:p>
        </w:tc>
      </w:tr>
      <w:tr>
        <w:trPr>
          <w:trHeight w:val="2207" w:hRule="atLeast"/>
        </w:trPr>
        <w:tc>
          <w:tcPr>
            <w:tcW w:w="828" w:type="dxa"/>
            <w:vMerge/>
            <w:tcBorders>
              <w:top w:val="nil"/>
            </w:tcBorders>
          </w:tcPr>
          <w:p>
            <w:pPr>
              <w:rPr>
                <w:sz w:val="2"/>
                <w:szCs w:val="2"/>
              </w:rPr>
            </w:pPr>
          </w:p>
        </w:tc>
        <w:tc>
          <w:tcPr>
            <w:tcW w:w="874" w:type="dxa"/>
            <w:vMerge/>
            <w:tcBorders>
              <w:top w:val="nil"/>
            </w:tcBorders>
          </w:tcPr>
          <w:p>
            <w:pPr>
              <w:rPr>
                <w:sz w:val="2"/>
                <w:szCs w:val="2"/>
              </w:rPr>
            </w:pPr>
          </w:p>
        </w:tc>
        <w:tc>
          <w:tcPr>
            <w:tcW w:w="1098" w:type="dxa"/>
            <w:vMerge/>
            <w:tcBorders>
              <w:top w:val="nil"/>
            </w:tcBorders>
          </w:tcPr>
          <w:p>
            <w:pPr>
              <w:rPr>
                <w:sz w:val="2"/>
                <w:szCs w:val="2"/>
              </w:rPr>
            </w:pPr>
          </w:p>
        </w:tc>
        <w:tc>
          <w:tcPr>
            <w:tcW w:w="1837" w:type="dxa"/>
          </w:tcPr>
          <w:p>
            <w:pPr>
              <w:pStyle w:val="TableParagraph"/>
              <w:rPr>
                <w:rFonts w:ascii="Microsoft JhengHei"/>
                <w:b/>
                <w:sz w:val="20"/>
              </w:rPr>
            </w:pPr>
          </w:p>
          <w:p>
            <w:pPr>
              <w:pStyle w:val="TableParagraph"/>
              <w:spacing w:before="8"/>
              <w:rPr>
                <w:rFonts w:ascii="Microsoft JhengHei"/>
                <w:b/>
                <w:sz w:val="10"/>
              </w:rPr>
            </w:pPr>
          </w:p>
          <w:p>
            <w:pPr>
              <w:pStyle w:val="TableParagraph"/>
              <w:spacing w:line="242" w:lineRule="auto"/>
              <w:ind w:left="147" w:right="198"/>
              <w:rPr>
                <w:sz w:val="21"/>
              </w:rPr>
            </w:pPr>
            <w:r>
              <w:rPr>
                <w:sz w:val="21"/>
              </w:rPr>
              <w:t>项目经理任职资格与业绩、工作经历等（</w:t>
            </w:r>
            <w:r>
              <w:rPr>
                <w:rFonts w:ascii="Calibri" w:eastAsia="Calibri"/>
                <w:sz w:val="21"/>
              </w:rPr>
              <w:t>10.00 </w:t>
            </w:r>
            <w:r>
              <w:rPr>
                <w:sz w:val="21"/>
              </w:rPr>
              <w:t>分）</w:t>
            </w:r>
          </w:p>
        </w:tc>
        <w:tc>
          <w:tcPr>
            <w:tcW w:w="4339" w:type="dxa"/>
          </w:tcPr>
          <w:p>
            <w:pPr>
              <w:pStyle w:val="TableParagraph"/>
              <w:spacing w:line="242" w:lineRule="auto" w:before="152"/>
              <w:ind w:left="146" w:right="29"/>
              <w:rPr>
                <w:sz w:val="21"/>
              </w:rPr>
            </w:pPr>
            <w:r>
              <w:rPr>
                <w:spacing w:val="-3"/>
                <w:sz w:val="21"/>
              </w:rPr>
              <w:t>拟拟派任项目经理（或注册建造师）</w:t>
            </w:r>
            <w:r>
              <w:rPr>
                <w:spacing w:val="-2"/>
                <w:sz w:val="21"/>
              </w:rPr>
              <w:t>必须与</w:t>
            </w:r>
            <w:r>
              <w:rPr>
                <w:spacing w:val="-3"/>
                <w:sz w:val="21"/>
              </w:rPr>
              <w:t>资格审查合格通过的项目经理（或注册建造师</w:t>
            </w:r>
            <w:r>
              <w:rPr>
                <w:spacing w:val="-97"/>
                <w:sz w:val="21"/>
              </w:rPr>
              <w:t>）</w:t>
            </w:r>
            <w:r>
              <w:rPr>
                <w:spacing w:val="-23"/>
                <w:sz w:val="21"/>
              </w:rPr>
              <w:t>在名称、专业、资格等级等方面一致。</w:t>
            </w:r>
            <w:r>
              <w:rPr>
                <w:sz w:val="21"/>
              </w:rPr>
              <w:t>（</w:t>
            </w:r>
            <w:r>
              <w:rPr>
                <w:rFonts w:ascii="Calibri" w:eastAsia="Calibri"/>
                <w:sz w:val="21"/>
              </w:rPr>
              <w:t>1</w:t>
            </w:r>
            <w:r>
              <w:rPr>
                <w:sz w:val="21"/>
              </w:rPr>
              <w:t>） </w:t>
            </w:r>
            <w:r>
              <w:rPr>
                <w:spacing w:val="-3"/>
                <w:sz w:val="21"/>
              </w:rPr>
              <w:t>拟投入的项目经理具有建筑工程专业二级及</w:t>
            </w:r>
            <w:r>
              <w:rPr>
                <w:spacing w:val="-8"/>
                <w:sz w:val="21"/>
              </w:rPr>
              <w:t>以上注册建造师资格得 </w:t>
            </w:r>
            <w:r>
              <w:rPr>
                <w:rFonts w:ascii="Calibri" w:eastAsia="Calibri"/>
                <w:sz w:val="21"/>
              </w:rPr>
              <w:t>6 </w:t>
            </w:r>
            <w:r>
              <w:rPr>
                <w:spacing w:val="1"/>
                <w:sz w:val="21"/>
              </w:rPr>
              <w:t>分； </w:t>
            </w:r>
            <w:r>
              <w:rPr>
                <w:sz w:val="21"/>
              </w:rPr>
              <w:t>（</w:t>
            </w:r>
            <w:r>
              <w:rPr>
                <w:rFonts w:ascii="Calibri" w:eastAsia="Calibri"/>
                <w:sz w:val="21"/>
              </w:rPr>
              <w:t>2</w:t>
            </w:r>
            <w:r>
              <w:rPr>
                <w:sz w:val="21"/>
              </w:rPr>
              <w:t>）</w:t>
            </w:r>
            <w:r>
              <w:rPr>
                <w:spacing w:val="-2"/>
                <w:sz w:val="21"/>
              </w:rPr>
              <w:t>拟投入</w:t>
            </w:r>
            <w:r>
              <w:rPr>
                <w:spacing w:val="-3"/>
                <w:sz w:val="21"/>
              </w:rPr>
              <w:t>的项目经理具有助理工程师及以上职称的得 </w:t>
            </w:r>
            <w:r>
              <w:rPr>
                <w:rFonts w:ascii="Calibri" w:eastAsia="Calibri"/>
                <w:spacing w:val="-3"/>
                <w:sz w:val="21"/>
              </w:rPr>
              <w:t>4 </w:t>
            </w:r>
            <w:r>
              <w:rPr>
                <w:spacing w:val="-3"/>
                <w:sz w:val="21"/>
              </w:rPr>
              <w:t>分。</w:t>
            </w:r>
          </w:p>
        </w:tc>
      </w:tr>
      <w:tr>
        <w:trPr>
          <w:trHeight w:val="4113" w:hRule="atLeast"/>
        </w:trPr>
        <w:tc>
          <w:tcPr>
            <w:tcW w:w="828" w:type="dxa"/>
            <w:vMerge/>
            <w:tcBorders>
              <w:top w:val="nil"/>
            </w:tcBorders>
          </w:tcPr>
          <w:p>
            <w:pPr>
              <w:rPr>
                <w:sz w:val="2"/>
                <w:szCs w:val="2"/>
              </w:rPr>
            </w:pPr>
          </w:p>
        </w:tc>
        <w:tc>
          <w:tcPr>
            <w:tcW w:w="874" w:type="dxa"/>
            <w:vMerge/>
            <w:tcBorders>
              <w:top w:val="nil"/>
            </w:tcBorders>
          </w:tcPr>
          <w:p>
            <w:pPr>
              <w:rPr>
                <w:sz w:val="2"/>
                <w:szCs w:val="2"/>
              </w:rPr>
            </w:pPr>
          </w:p>
        </w:tc>
        <w:tc>
          <w:tcPr>
            <w:tcW w:w="1098" w:type="dxa"/>
            <w:vMerge/>
            <w:tcBorders>
              <w:top w:val="nil"/>
            </w:tcBorders>
          </w:tcPr>
          <w:p>
            <w:pPr>
              <w:rPr>
                <w:sz w:val="2"/>
                <w:szCs w:val="2"/>
              </w:rPr>
            </w:pPr>
          </w:p>
        </w:tc>
        <w:tc>
          <w:tcPr>
            <w:tcW w:w="1837" w:type="dxa"/>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17"/>
              </w:rPr>
            </w:pPr>
          </w:p>
          <w:p>
            <w:pPr>
              <w:pStyle w:val="TableParagraph"/>
              <w:ind w:left="147"/>
              <w:rPr>
                <w:sz w:val="21"/>
              </w:rPr>
            </w:pPr>
            <w:r>
              <w:rPr>
                <w:sz w:val="21"/>
              </w:rPr>
              <w:t>其他主要人员</w:t>
            </w:r>
          </w:p>
          <w:p>
            <w:pPr>
              <w:pStyle w:val="TableParagraph"/>
              <w:spacing w:before="5"/>
              <w:ind w:left="147"/>
              <w:rPr>
                <w:sz w:val="21"/>
              </w:rPr>
            </w:pPr>
            <w:r>
              <w:rPr>
                <w:sz w:val="21"/>
              </w:rPr>
              <w:t>（</w:t>
            </w:r>
            <w:r>
              <w:rPr>
                <w:rFonts w:ascii="Calibri" w:eastAsia="Calibri"/>
                <w:sz w:val="21"/>
              </w:rPr>
              <w:t>10.00 </w:t>
            </w:r>
            <w:r>
              <w:rPr>
                <w:sz w:val="21"/>
              </w:rPr>
              <w:t>分）</w:t>
            </w:r>
          </w:p>
        </w:tc>
        <w:tc>
          <w:tcPr>
            <w:tcW w:w="4339" w:type="dxa"/>
          </w:tcPr>
          <w:p>
            <w:pPr>
              <w:pStyle w:val="TableParagraph"/>
              <w:spacing w:line="242" w:lineRule="auto" w:before="149"/>
              <w:ind w:left="146" w:right="30"/>
              <w:rPr>
                <w:sz w:val="21"/>
              </w:rPr>
            </w:pPr>
            <w:r>
              <w:rPr>
                <w:spacing w:val="-3"/>
                <w:sz w:val="21"/>
              </w:rPr>
              <w:t>基本要求：人员齐备、专业配套应与资格审查提供的人员配备相一致，且具备相关施工现场专业人员职业培训合格证书</w:t>
            </w:r>
            <w:r>
              <w:rPr>
                <w:sz w:val="21"/>
              </w:rPr>
              <w:t>（</w:t>
            </w:r>
            <w:r>
              <w:rPr>
                <w:spacing w:val="-3"/>
                <w:sz w:val="21"/>
              </w:rPr>
              <w:t>拟派驻本项目的技术负责人应具有工程师及以上职称证件，安全员、施工员、质量员、材料员应具有相应施工现场专业人员职业培训合格证书，且拟投入的项目管理人员符合国家及广西壮族自治区的规定</w:t>
            </w:r>
            <w:r>
              <w:rPr>
                <w:sz w:val="21"/>
              </w:rPr>
              <w:t>）</w:t>
            </w:r>
            <w:r>
              <w:rPr>
                <w:spacing w:val="8"/>
                <w:sz w:val="21"/>
              </w:rPr>
              <w:t>评分内容： 优</w:t>
            </w:r>
            <w:r>
              <w:rPr>
                <w:spacing w:val="-3"/>
                <w:sz w:val="21"/>
              </w:rPr>
              <w:t>（</w:t>
            </w:r>
            <w:r>
              <w:rPr>
                <w:rFonts w:ascii="Calibri" w:eastAsia="Calibri"/>
                <w:spacing w:val="-3"/>
                <w:sz w:val="21"/>
              </w:rPr>
              <w:t>10 </w:t>
            </w:r>
            <w:r>
              <w:rPr>
                <w:sz w:val="21"/>
              </w:rPr>
              <w:t>分</w:t>
            </w:r>
            <w:r>
              <w:rPr>
                <w:spacing w:val="-69"/>
                <w:sz w:val="21"/>
              </w:rPr>
              <w:t>）</w:t>
            </w:r>
            <w:r>
              <w:rPr>
                <w:spacing w:val="-12"/>
                <w:sz w:val="21"/>
              </w:rPr>
              <w:t>：完全满足施工需要，管理人员配备齐全</w:t>
            </w:r>
            <w:r>
              <w:rPr>
                <w:spacing w:val="-9"/>
                <w:sz w:val="21"/>
              </w:rPr>
              <w:t>且经验及综合素质优秀。 良</w:t>
            </w:r>
            <w:r>
              <w:rPr>
                <w:sz w:val="21"/>
              </w:rPr>
              <w:t>（</w:t>
            </w:r>
            <w:r>
              <w:rPr>
                <w:rFonts w:ascii="Calibri" w:eastAsia="Calibri"/>
                <w:sz w:val="21"/>
              </w:rPr>
              <w:t>7.5 </w:t>
            </w:r>
            <w:r>
              <w:rPr>
                <w:spacing w:val="-3"/>
                <w:sz w:val="21"/>
              </w:rPr>
              <w:t>分</w:t>
            </w:r>
            <w:r>
              <w:rPr>
                <w:spacing w:val="-64"/>
                <w:sz w:val="21"/>
              </w:rPr>
              <w:t>）</w:t>
            </w:r>
            <w:r>
              <w:rPr>
                <w:spacing w:val="-23"/>
                <w:sz w:val="21"/>
              </w:rPr>
              <w:t>：满足</w:t>
            </w:r>
            <w:r>
              <w:rPr>
                <w:spacing w:val="-8"/>
                <w:sz w:val="21"/>
              </w:rPr>
              <w:t>施工需要，管理人员配备齐全且经验及综合</w:t>
            </w:r>
            <w:r>
              <w:rPr>
                <w:spacing w:val="-5"/>
                <w:w w:val="100"/>
                <w:sz w:val="21"/>
              </w:rPr>
              <w:t>素质优秀。</w:t>
            </w:r>
            <w:r>
              <w:rPr>
                <w:spacing w:val="-5"/>
                <w:sz w:val="21"/>
              </w:rPr>
              <w:t> </w:t>
            </w:r>
            <w:r>
              <w:rPr>
                <w:spacing w:val="-5"/>
                <w:w w:val="100"/>
                <w:sz w:val="21"/>
              </w:rPr>
              <w:t>中</w:t>
            </w:r>
            <w:r>
              <w:rPr>
                <w:w w:val="100"/>
                <w:sz w:val="21"/>
              </w:rPr>
              <w:t>（</w:t>
            </w:r>
            <w:r>
              <w:rPr>
                <w:rFonts w:ascii="Calibri" w:eastAsia="Calibri"/>
                <w:w w:val="100"/>
                <w:sz w:val="21"/>
              </w:rPr>
              <w:t>5</w:t>
            </w:r>
            <w:r>
              <w:rPr>
                <w:rFonts w:ascii="Calibri" w:eastAsia="Calibri"/>
                <w:sz w:val="21"/>
              </w:rPr>
              <w:t> </w:t>
            </w:r>
            <w:r>
              <w:rPr>
                <w:w w:val="100"/>
                <w:sz w:val="21"/>
              </w:rPr>
              <w:t>分</w:t>
            </w:r>
            <w:r>
              <w:rPr>
                <w:spacing w:val="-108"/>
                <w:w w:val="100"/>
                <w:sz w:val="21"/>
              </w:rPr>
              <w:t>）</w:t>
            </w:r>
            <w:r>
              <w:rPr>
                <w:spacing w:val="-4"/>
                <w:w w:val="100"/>
                <w:sz w:val="21"/>
              </w:rPr>
              <w:t>：基本满足施工需要，</w:t>
            </w:r>
            <w:r>
              <w:rPr>
                <w:spacing w:val="-7"/>
                <w:sz w:val="21"/>
              </w:rPr>
              <w:t>管理人员配备齐全。 差</w:t>
            </w:r>
            <w:r>
              <w:rPr>
                <w:sz w:val="21"/>
              </w:rPr>
              <w:t>（</w:t>
            </w:r>
            <w:r>
              <w:rPr>
                <w:rFonts w:ascii="Calibri" w:eastAsia="Calibri"/>
                <w:sz w:val="21"/>
              </w:rPr>
              <w:t>2.5 </w:t>
            </w:r>
            <w:r>
              <w:rPr>
                <w:sz w:val="21"/>
              </w:rPr>
              <w:t>分</w:t>
            </w:r>
            <w:r>
              <w:rPr>
                <w:spacing w:val="-66"/>
                <w:sz w:val="21"/>
              </w:rPr>
              <w:t>）</w:t>
            </w:r>
            <w:r>
              <w:rPr>
                <w:spacing w:val="-15"/>
                <w:sz w:val="21"/>
              </w:rPr>
              <w:t>：不满足施</w:t>
            </w:r>
            <w:r>
              <w:rPr>
                <w:spacing w:val="-7"/>
                <w:sz w:val="21"/>
              </w:rPr>
              <w:t>工需要，管理人员配备不齐全。</w:t>
            </w:r>
          </w:p>
        </w:tc>
      </w:tr>
      <w:tr>
        <w:trPr>
          <w:trHeight w:val="1389" w:hRule="atLeast"/>
        </w:trPr>
        <w:tc>
          <w:tcPr>
            <w:tcW w:w="828" w:type="dxa"/>
          </w:tcPr>
          <w:p>
            <w:pPr>
              <w:pStyle w:val="TableParagraph"/>
              <w:rPr>
                <w:rFonts w:ascii="Times New Roman"/>
                <w:sz w:val="20"/>
              </w:rPr>
            </w:pPr>
          </w:p>
        </w:tc>
        <w:tc>
          <w:tcPr>
            <w:tcW w:w="874" w:type="dxa"/>
          </w:tcPr>
          <w:p>
            <w:pPr>
              <w:pStyle w:val="TableParagraph"/>
              <w:rPr>
                <w:rFonts w:ascii="Times New Roman"/>
                <w:sz w:val="20"/>
              </w:rPr>
            </w:pPr>
          </w:p>
        </w:tc>
        <w:tc>
          <w:tcPr>
            <w:tcW w:w="1098" w:type="dxa"/>
          </w:tcPr>
          <w:p>
            <w:pPr>
              <w:pStyle w:val="TableParagraph"/>
              <w:spacing w:before="10"/>
              <w:rPr>
                <w:rFonts w:ascii="Microsoft JhengHei"/>
                <w:b/>
                <w:sz w:val="15"/>
              </w:rPr>
            </w:pPr>
          </w:p>
          <w:p>
            <w:pPr>
              <w:pStyle w:val="TableParagraph"/>
              <w:spacing w:line="244" w:lineRule="auto"/>
              <w:ind w:left="148" w:right="299"/>
              <w:rPr>
                <w:sz w:val="21"/>
              </w:rPr>
            </w:pPr>
            <w:r>
              <w:rPr>
                <w:sz w:val="21"/>
              </w:rPr>
              <w:t>施工组织设计</w:t>
            </w:r>
          </w:p>
          <w:p>
            <w:pPr>
              <w:pStyle w:val="TableParagraph"/>
              <w:spacing w:line="265" w:lineRule="exact"/>
              <w:ind w:left="148"/>
              <w:rPr>
                <w:sz w:val="21"/>
              </w:rPr>
            </w:pPr>
            <w:r>
              <w:rPr>
                <w:sz w:val="21"/>
              </w:rPr>
              <w:t>（</w:t>
            </w:r>
            <w:r>
              <w:rPr>
                <w:rFonts w:ascii="Calibri" w:eastAsia="Calibri"/>
                <w:sz w:val="21"/>
              </w:rPr>
              <w:t>80 </w:t>
            </w:r>
            <w:r>
              <w:rPr>
                <w:sz w:val="21"/>
              </w:rPr>
              <w:t>分）</w:t>
            </w:r>
          </w:p>
        </w:tc>
        <w:tc>
          <w:tcPr>
            <w:tcW w:w="1837" w:type="dxa"/>
          </w:tcPr>
          <w:p>
            <w:pPr>
              <w:pStyle w:val="TableParagraph"/>
              <w:rPr>
                <w:rFonts w:ascii="Microsoft JhengHei"/>
                <w:b/>
                <w:sz w:val="23"/>
              </w:rPr>
            </w:pPr>
          </w:p>
          <w:p>
            <w:pPr>
              <w:pStyle w:val="TableParagraph"/>
              <w:ind w:left="147"/>
              <w:rPr>
                <w:sz w:val="21"/>
              </w:rPr>
            </w:pPr>
            <w:r>
              <w:rPr>
                <w:sz w:val="21"/>
              </w:rPr>
              <w:t>主要施工方法</w:t>
            </w:r>
          </w:p>
          <w:p>
            <w:pPr>
              <w:pStyle w:val="TableParagraph"/>
              <w:spacing w:before="2"/>
              <w:ind w:left="147"/>
              <w:rPr>
                <w:sz w:val="21"/>
              </w:rPr>
            </w:pPr>
            <w:r>
              <w:rPr>
                <w:sz w:val="21"/>
              </w:rPr>
              <w:t>（</w:t>
            </w:r>
            <w:r>
              <w:rPr>
                <w:rFonts w:ascii="Calibri" w:eastAsia="Calibri"/>
                <w:sz w:val="21"/>
              </w:rPr>
              <w:t>10.00 </w:t>
            </w:r>
            <w:r>
              <w:rPr>
                <w:sz w:val="21"/>
              </w:rPr>
              <w:t>分）</w:t>
            </w:r>
          </w:p>
        </w:tc>
        <w:tc>
          <w:tcPr>
            <w:tcW w:w="4339" w:type="dxa"/>
          </w:tcPr>
          <w:p>
            <w:pPr>
              <w:pStyle w:val="TableParagraph"/>
              <w:spacing w:line="242" w:lineRule="auto" w:before="149"/>
              <w:ind w:left="146" w:right="135"/>
              <w:jc w:val="both"/>
              <w:rPr>
                <w:sz w:val="21"/>
              </w:rPr>
            </w:pPr>
            <w:r>
              <w:rPr>
                <w:spacing w:val="-106"/>
                <w:sz w:val="21"/>
              </w:rPr>
              <w:t>优</w:t>
            </w:r>
            <w:r>
              <w:rPr>
                <w:sz w:val="21"/>
              </w:rPr>
              <w:t>（</w:t>
            </w:r>
            <w:r>
              <w:rPr>
                <w:rFonts w:ascii="Calibri" w:eastAsia="Calibri"/>
                <w:sz w:val="21"/>
              </w:rPr>
              <w:t>10 </w:t>
            </w:r>
            <w:r>
              <w:rPr>
                <w:sz w:val="21"/>
              </w:rPr>
              <w:t>分</w:t>
            </w:r>
            <w:r>
              <w:rPr>
                <w:spacing w:val="-107"/>
                <w:sz w:val="21"/>
              </w:rPr>
              <w:t>）</w:t>
            </w:r>
            <w:r>
              <w:rPr>
                <w:spacing w:val="-12"/>
                <w:sz w:val="21"/>
              </w:rPr>
              <w:t>：各主要分部施工方法符合项目 实</w:t>
            </w:r>
            <w:r>
              <w:rPr>
                <w:spacing w:val="-3"/>
                <w:sz w:val="21"/>
              </w:rPr>
              <w:t>际，须有详尽的施工技术方案，工艺先进、方法科学合理、可行，能指导具体施工并确</w:t>
            </w:r>
            <w:r>
              <w:rPr>
                <w:spacing w:val="-3"/>
                <w:w w:val="100"/>
                <w:sz w:val="21"/>
              </w:rPr>
              <w:t>保安全。</w:t>
            </w:r>
            <w:r>
              <w:rPr>
                <w:spacing w:val="-3"/>
                <w:sz w:val="21"/>
              </w:rPr>
              <w:t> </w:t>
            </w:r>
            <w:r>
              <w:rPr>
                <w:w w:val="100"/>
                <w:sz w:val="21"/>
              </w:rPr>
              <w:t>良</w:t>
            </w:r>
            <w:r>
              <w:rPr>
                <w:spacing w:val="-3"/>
                <w:w w:val="100"/>
                <w:sz w:val="21"/>
              </w:rPr>
              <w:t>（</w:t>
            </w:r>
            <w:r>
              <w:rPr>
                <w:rFonts w:ascii="Calibri" w:eastAsia="Calibri"/>
                <w:w w:val="100"/>
                <w:sz w:val="21"/>
              </w:rPr>
              <w:t>8</w:t>
            </w:r>
            <w:r>
              <w:rPr>
                <w:rFonts w:ascii="Calibri" w:eastAsia="Calibri"/>
                <w:sz w:val="21"/>
              </w:rPr>
              <w:t> </w:t>
            </w:r>
            <w:r>
              <w:rPr>
                <w:spacing w:val="-3"/>
                <w:w w:val="100"/>
                <w:sz w:val="21"/>
              </w:rPr>
              <w:t>分</w:t>
            </w:r>
            <w:r>
              <w:rPr>
                <w:spacing w:val="-106"/>
                <w:w w:val="100"/>
                <w:sz w:val="21"/>
              </w:rPr>
              <w:t>）</w:t>
            </w:r>
            <w:r>
              <w:rPr>
                <w:spacing w:val="-3"/>
                <w:w w:val="100"/>
                <w:sz w:val="21"/>
              </w:rPr>
              <w:t>：各主要分部施工方法</w:t>
            </w:r>
          </w:p>
        </w:tc>
      </w:tr>
    </w:tbl>
    <w:p>
      <w:pPr>
        <w:spacing w:after="0" w:line="242" w:lineRule="auto"/>
        <w:jc w:val="both"/>
        <w:rPr>
          <w:sz w:val="21"/>
        </w:rPr>
        <w:sectPr>
          <w:pgSz w:w="11910" w:h="16850"/>
          <w:pgMar w:header="0" w:footer="779" w:top="1440" w:bottom="960" w:left="1120" w:right="280"/>
        </w:sectPr>
      </w:pPr>
    </w:p>
    <w:tbl>
      <w:tblPr>
        <w:tblW w:w="0" w:type="auto"/>
        <w:jc w:val="left"/>
        <w:tblInd w:w="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8"/>
        <w:gridCol w:w="874"/>
        <w:gridCol w:w="1104"/>
        <w:gridCol w:w="1830"/>
        <w:gridCol w:w="4338"/>
      </w:tblGrid>
      <w:tr>
        <w:trPr>
          <w:trHeight w:val="687" w:hRule="atLeast"/>
        </w:trPr>
        <w:tc>
          <w:tcPr>
            <w:tcW w:w="828" w:type="dxa"/>
            <w:vMerge w:val="restart"/>
          </w:tcPr>
          <w:p>
            <w:pPr>
              <w:pStyle w:val="TableParagraph"/>
              <w:rPr>
                <w:rFonts w:ascii="Times New Roman"/>
                <w:sz w:val="20"/>
              </w:rPr>
            </w:pPr>
          </w:p>
        </w:tc>
        <w:tc>
          <w:tcPr>
            <w:tcW w:w="874" w:type="dxa"/>
            <w:vMerge w:val="restart"/>
          </w:tcPr>
          <w:p>
            <w:pPr>
              <w:pStyle w:val="TableParagraph"/>
              <w:rPr>
                <w:rFonts w:ascii="Times New Roman"/>
                <w:sz w:val="20"/>
              </w:rPr>
            </w:pPr>
          </w:p>
        </w:tc>
        <w:tc>
          <w:tcPr>
            <w:tcW w:w="1104" w:type="dxa"/>
            <w:vMerge w:val="restart"/>
          </w:tcPr>
          <w:p>
            <w:pPr>
              <w:pStyle w:val="TableParagraph"/>
              <w:rPr>
                <w:rFonts w:ascii="Times New Roman"/>
                <w:sz w:val="20"/>
              </w:rPr>
            </w:pPr>
          </w:p>
        </w:tc>
        <w:tc>
          <w:tcPr>
            <w:tcW w:w="1830" w:type="dxa"/>
            <w:vMerge w:val="restart"/>
          </w:tcPr>
          <w:p>
            <w:pPr>
              <w:pStyle w:val="TableParagraph"/>
              <w:rPr>
                <w:rFonts w:ascii="Times New Roman"/>
                <w:sz w:val="20"/>
              </w:rPr>
            </w:pPr>
          </w:p>
        </w:tc>
        <w:tc>
          <w:tcPr>
            <w:tcW w:w="4338" w:type="dxa"/>
            <w:tcBorders>
              <w:bottom w:val="nil"/>
            </w:tcBorders>
          </w:tcPr>
          <w:p>
            <w:pPr>
              <w:pStyle w:val="TableParagraph"/>
              <w:spacing w:line="270" w:lineRule="atLeast" w:before="151"/>
              <w:ind w:left="147" w:right="178"/>
              <w:rPr>
                <w:sz w:val="21"/>
              </w:rPr>
            </w:pPr>
            <w:r>
              <w:rPr>
                <w:sz w:val="21"/>
              </w:rPr>
              <w:t>符合项目实际，须有详尽的施工技术方案， 工艺一般、方法可行，能指导具体施工并确</w:t>
            </w:r>
          </w:p>
        </w:tc>
      </w:tr>
      <w:tr>
        <w:trPr>
          <w:trHeight w:val="525" w:hRule="atLeast"/>
        </w:trPr>
        <w:tc>
          <w:tcPr>
            <w:tcW w:w="828" w:type="dxa"/>
            <w:vMerge/>
            <w:tcBorders>
              <w:top w:val="nil"/>
            </w:tcBorders>
          </w:tcPr>
          <w:p>
            <w:pPr>
              <w:rPr>
                <w:sz w:val="2"/>
                <w:szCs w:val="2"/>
              </w:rPr>
            </w:pPr>
          </w:p>
        </w:tc>
        <w:tc>
          <w:tcPr>
            <w:tcW w:w="874" w:type="dxa"/>
            <w:vMerge/>
            <w:tcBorders>
              <w:top w:val="nil"/>
            </w:tcBorders>
          </w:tcPr>
          <w:p>
            <w:pPr>
              <w:rPr>
                <w:sz w:val="2"/>
                <w:szCs w:val="2"/>
              </w:rPr>
            </w:pPr>
          </w:p>
        </w:tc>
        <w:tc>
          <w:tcPr>
            <w:tcW w:w="1104" w:type="dxa"/>
            <w:vMerge/>
            <w:tcBorders>
              <w:top w:val="nil"/>
            </w:tcBorders>
          </w:tcPr>
          <w:p>
            <w:pPr>
              <w:rPr>
                <w:sz w:val="2"/>
                <w:szCs w:val="2"/>
              </w:rPr>
            </w:pPr>
          </w:p>
        </w:tc>
        <w:tc>
          <w:tcPr>
            <w:tcW w:w="1830" w:type="dxa"/>
            <w:vMerge/>
            <w:tcBorders>
              <w:top w:val="nil"/>
            </w:tcBorders>
          </w:tcPr>
          <w:p>
            <w:pPr>
              <w:rPr>
                <w:sz w:val="2"/>
                <w:szCs w:val="2"/>
              </w:rPr>
            </w:pPr>
          </w:p>
        </w:tc>
        <w:tc>
          <w:tcPr>
            <w:tcW w:w="4338" w:type="dxa"/>
            <w:tcBorders>
              <w:top w:val="nil"/>
              <w:bottom w:val="nil"/>
            </w:tcBorders>
          </w:tcPr>
          <w:p>
            <w:pPr>
              <w:pStyle w:val="TableParagraph"/>
              <w:spacing w:line="260" w:lineRule="exact"/>
              <w:ind w:left="147"/>
              <w:rPr>
                <w:sz w:val="21"/>
              </w:rPr>
            </w:pPr>
            <w:r>
              <w:rPr>
                <w:spacing w:val="-1"/>
                <w:w w:val="100"/>
                <w:sz w:val="21"/>
              </w:rPr>
              <w:t>保安全。</w:t>
            </w:r>
            <w:r>
              <w:rPr>
                <w:spacing w:val="-2"/>
                <w:sz w:val="21"/>
              </w:rPr>
              <w:t> </w:t>
            </w:r>
            <w:r>
              <w:rPr>
                <w:w w:val="100"/>
                <w:sz w:val="21"/>
              </w:rPr>
              <w:t>中</w:t>
            </w:r>
            <w:r>
              <w:rPr>
                <w:spacing w:val="-3"/>
                <w:w w:val="100"/>
                <w:sz w:val="21"/>
              </w:rPr>
              <w:t>（</w:t>
            </w:r>
            <w:r>
              <w:rPr>
                <w:rFonts w:ascii="Calibri" w:eastAsia="Calibri"/>
                <w:w w:val="100"/>
                <w:sz w:val="21"/>
              </w:rPr>
              <w:t>6</w:t>
            </w:r>
            <w:r>
              <w:rPr>
                <w:rFonts w:ascii="Calibri" w:eastAsia="Calibri"/>
                <w:spacing w:val="6"/>
                <w:sz w:val="21"/>
              </w:rPr>
              <w:t> </w:t>
            </w:r>
            <w:r>
              <w:rPr>
                <w:spacing w:val="-3"/>
                <w:w w:val="100"/>
                <w:sz w:val="21"/>
              </w:rPr>
              <w:t>分</w:t>
            </w:r>
            <w:r>
              <w:rPr>
                <w:spacing w:val="-106"/>
                <w:w w:val="100"/>
                <w:sz w:val="21"/>
              </w:rPr>
              <w:t>）</w:t>
            </w:r>
            <w:r>
              <w:rPr>
                <w:spacing w:val="-3"/>
                <w:w w:val="100"/>
                <w:sz w:val="21"/>
              </w:rPr>
              <w:t>：各主要分部施工方法</w:t>
            </w:r>
          </w:p>
          <w:p>
            <w:pPr>
              <w:pStyle w:val="TableParagraph"/>
              <w:spacing w:line="243" w:lineRule="exact" w:before="2"/>
              <w:ind w:left="147"/>
              <w:rPr>
                <w:sz w:val="21"/>
              </w:rPr>
            </w:pPr>
            <w:r>
              <w:rPr>
                <w:sz w:val="21"/>
              </w:rPr>
              <w:t>符合项目基本实际，须有详尽的施工技术方</w:t>
            </w:r>
          </w:p>
        </w:tc>
      </w:tr>
      <w:tr>
        <w:trPr>
          <w:trHeight w:val="1232" w:hRule="atLeast"/>
        </w:trPr>
        <w:tc>
          <w:tcPr>
            <w:tcW w:w="828" w:type="dxa"/>
            <w:vMerge/>
            <w:tcBorders>
              <w:top w:val="nil"/>
            </w:tcBorders>
          </w:tcPr>
          <w:p>
            <w:pPr>
              <w:rPr>
                <w:sz w:val="2"/>
                <w:szCs w:val="2"/>
              </w:rPr>
            </w:pPr>
          </w:p>
        </w:tc>
        <w:tc>
          <w:tcPr>
            <w:tcW w:w="874" w:type="dxa"/>
            <w:vMerge/>
            <w:tcBorders>
              <w:top w:val="nil"/>
            </w:tcBorders>
          </w:tcPr>
          <w:p>
            <w:pPr>
              <w:rPr>
                <w:sz w:val="2"/>
                <w:szCs w:val="2"/>
              </w:rPr>
            </w:pPr>
          </w:p>
        </w:tc>
        <w:tc>
          <w:tcPr>
            <w:tcW w:w="1104" w:type="dxa"/>
            <w:vMerge/>
            <w:tcBorders>
              <w:top w:val="nil"/>
            </w:tcBorders>
          </w:tcPr>
          <w:p>
            <w:pPr>
              <w:rPr>
                <w:sz w:val="2"/>
                <w:szCs w:val="2"/>
              </w:rPr>
            </w:pPr>
          </w:p>
        </w:tc>
        <w:tc>
          <w:tcPr>
            <w:tcW w:w="1830" w:type="dxa"/>
            <w:vMerge/>
            <w:tcBorders>
              <w:top w:val="nil"/>
            </w:tcBorders>
          </w:tcPr>
          <w:p>
            <w:pPr>
              <w:rPr>
                <w:sz w:val="2"/>
                <w:szCs w:val="2"/>
              </w:rPr>
            </w:pPr>
          </w:p>
        </w:tc>
        <w:tc>
          <w:tcPr>
            <w:tcW w:w="4338" w:type="dxa"/>
            <w:tcBorders>
              <w:top w:val="nil"/>
            </w:tcBorders>
          </w:tcPr>
          <w:p>
            <w:pPr>
              <w:pStyle w:val="TableParagraph"/>
              <w:spacing w:line="242" w:lineRule="auto"/>
              <w:ind w:left="147" w:right="178"/>
              <w:jc w:val="both"/>
              <w:rPr>
                <w:sz w:val="21"/>
              </w:rPr>
            </w:pPr>
            <w:r>
              <w:rPr>
                <w:spacing w:val="-4"/>
                <w:sz w:val="21"/>
              </w:rPr>
              <w:t>案，工艺一般、方法基本可行，能指导具体</w:t>
            </w:r>
            <w:r>
              <w:rPr>
                <w:spacing w:val="-3"/>
                <w:w w:val="100"/>
                <w:sz w:val="21"/>
              </w:rPr>
              <w:t>施工并确保安全。</w:t>
            </w:r>
            <w:r>
              <w:rPr>
                <w:spacing w:val="-3"/>
                <w:sz w:val="21"/>
              </w:rPr>
              <w:t> </w:t>
            </w:r>
            <w:r>
              <w:rPr>
                <w:w w:val="100"/>
                <w:sz w:val="21"/>
              </w:rPr>
              <w:t>差</w:t>
            </w:r>
            <w:r>
              <w:rPr>
                <w:spacing w:val="-3"/>
                <w:w w:val="100"/>
                <w:sz w:val="21"/>
              </w:rPr>
              <w:t>（</w:t>
            </w:r>
            <w:r>
              <w:rPr>
                <w:rFonts w:ascii="Calibri" w:eastAsia="Calibri"/>
                <w:w w:val="100"/>
                <w:sz w:val="21"/>
              </w:rPr>
              <w:t>1</w:t>
            </w:r>
            <w:r>
              <w:rPr>
                <w:rFonts w:ascii="Calibri" w:eastAsia="Calibri"/>
                <w:sz w:val="21"/>
              </w:rPr>
              <w:t> </w:t>
            </w:r>
            <w:r>
              <w:rPr>
                <w:w w:val="100"/>
                <w:sz w:val="21"/>
              </w:rPr>
              <w:t>分</w:t>
            </w:r>
            <w:r>
              <w:rPr>
                <w:spacing w:val="-106"/>
                <w:w w:val="100"/>
                <w:sz w:val="21"/>
              </w:rPr>
              <w:t>）</w:t>
            </w:r>
            <w:r>
              <w:rPr>
                <w:spacing w:val="-3"/>
                <w:w w:val="100"/>
                <w:sz w:val="21"/>
              </w:rPr>
              <w:t>：各主要分部</w:t>
            </w:r>
            <w:r>
              <w:rPr>
                <w:spacing w:val="-4"/>
                <w:sz w:val="21"/>
              </w:rPr>
              <w:t>施工方法不符合项目实际，无详尽的施工技</w:t>
            </w:r>
            <w:r>
              <w:rPr>
                <w:spacing w:val="-3"/>
                <w:sz w:val="21"/>
              </w:rPr>
              <w:t>术方案，不能指导具体施工并确保安全。</w:t>
            </w:r>
          </w:p>
        </w:tc>
      </w:tr>
      <w:tr>
        <w:trPr>
          <w:trHeight w:val="686" w:hRule="atLeast"/>
        </w:trPr>
        <w:tc>
          <w:tcPr>
            <w:tcW w:w="828" w:type="dxa"/>
            <w:vMerge/>
            <w:tcBorders>
              <w:top w:val="nil"/>
            </w:tcBorders>
          </w:tcPr>
          <w:p>
            <w:pPr>
              <w:rPr>
                <w:sz w:val="2"/>
                <w:szCs w:val="2"/>
              </w:rPr>
            </w:pPr>
          </w:p>
        </w:tc>
        <w:tc>
          <w:tcPr>
            <w:tcW w:w="874" w:type="dxa"/>
            <w:vMerge/>
            <w:tcBorders>
              <w:top w:val="nil"/>
            </w:tcBorders>
          </w:tcPr>
          <w:p>
            <w:pPr>
              <w:rPr>
                <w:sz w:val="2"/>
                <w:szCs w:val="2"/>
              </w:rPr>
            </w:pPr>
          </w:p>
        </w:tc>
        <w:tc>
          <w:tcPr>
            <w:tcW w:w="1104" w:type="dxa"/>
            <w:vMerge/>
            <w:tcBorders>
              <w:top w:val="nil"/>
            </w:tcBorders>
          </w:tcPr>
          <w:p>
            <w:pPr>
              <w:rPr>
                <w:sz w:val="2"/>
                <w:szCs w:val="2"/>
              </w:rPr>
            </w:pPr>
          </w:p>
        </w:tc>
        <w:tc>
          <w:tcPr>
            <w:tcW w:w="1830" w:type="dxa"/>
            <w:tcBorders>
              <w:bottom w:val="nil"/>
            </w:tcBorders>
          </w:tcPr>
          <w:p>
            <w:pPr>
              <w:pStyle w:val="TableParagraph"/>
              <w:rPr>
                <w:rFonts w:ascii="Times New Roman"/>
                <w:sz w:val="20"/>
              </w:rPr>
            </w:pPr>
          </w:p>
        </w:tc>
        <w:tc>
          <w:tcPr>
            <w:tcW w:w="4338" w:type="dxa"/>
            <w:tcBorders>
              <w:bottom w:val="nil"/>
            </w:tcBorders>
          </w:tcPr>
          <w:p>
            <w:pPr>
              <w:pStyle w:val="TableParagraph"/>
              <w:spacing w:line="270" w:lineRule="atLeast" w:before="151"/>
              <w:ind w:left="147" w:right="133"/>
              <w:rPr>
                <w:sz w:val="21"/>
              </w:rPr>
            </w:pPr>
            <w:r>
              <w:rPr>
                <w:spacing w:val="-3"/>
                <w:w w:val="100"/>
                <w:sz w:val="21"/>
              </w:rPr>
              <w:t>优（</w:t>
            </w:r>
            <w:r>
              <w:rPr>
                <w:rFonts w:ascii="Calibri" w:eastAsia="Calibri"/>
                <w:w w:val="100"/>
                <w:sz w:val="21"/>
              </w:rPr>
              <w:t>5</w:t>
            </w:r>
            <w:r>
              <w:rPr>
                <w:rFonts w:ascii="Calibri" w:eastAsia="Calibri"/>
                <w:sz w:val="21"/>
              </w:rPr>
              <w:t> </w:t>
            </w:r>
            <w:r>
              <w:rPr>
                <w:w w:val="100"/>
                <w:sz w:val="21"/>
              </w:rPr>
              <w:t>分</w:t>
            </w:r>
            <w:r>
              <w:rPr>
                <w:spacing w:val="-108"/>
                <w:w w:val="100"/>
                <w:sz w:val="21"/>
              </w:rPr>
              <w:t>）</w:t>
            </w:r>
            <w:r>
              <w:rPr>
                <w:spacing w:val="-3"/>
                <w:w w:val="100"/>
                <w:sz w:val="21"/>
              </w:rPr>
              <w:t>：投入的施工材料有详细的组织计</w:t>
            </w:r>
            <w:r>
              <w:rPr>
                <w:spacing w:val="-3"/>
                <w:sz w:val="21"/>
              </w:rPr>
              <w:t>划且计划完整周密，数量、选型配置、进场</w:t>
            </w:r>
          </w:p>
        </w:tc>
      </w:tr>
      <w:tr>
        <w:trPr>
          <w:trHeight w:val="526" w:hRule="atLeast"/>
        </w:trPr>
        <w:tc>
          <w:tcPr>
            <w:tcW w:w="828" w:type="dxa"/>
            <w:vMerge/>
            <w:tcBorders>
              <w:top w:val="nil"/>
            </w:tcBorders>
          </w:tcPr>
          <w:p>
            <w:pPr>
              <w:rPr>
                <w:sz w:val="2"/>
                <w:szCs w:val="2"/>
              </w:rPr>
            </w:pPr>
          </w:p>
        </w:tc>
        <w:tc>
          <w:tcPr>
            <w:tcW w:w="874" w:type="dxa"/>
            <w:vMerge/>
            <w:tcBorders>
              <w:top w:val="nil"/>
            </w:tcBorders>
          </w:tcPr>
          <w:p>
            <w:pPr>
              <w:rPr>
                <w:sz w:val="2"/>
                <w:szCs w:val="2"/>
              </w:rPr>
            </w:pPr>
          </w:p>
        </w:tc>
        <w:tc>
          <w:tcPr>
            <w:tcW w:w="1104" w:type="dxa"/>
            <w:vMerge/>
            <w:tcBorders>
              <w:top w:val="nil"/>
            </w:tcBorders>
          </w:tcPr>
          <w:p>
            <w:pPr>
              <w:rPr>
                <w:sz w:val="2"/>
                <w:szCs w:val="2"/>
              </w:rPr>
            </w:pPr>
          </w:p>
        </w:tc>
        <w:tc>
          <w:tcPr>
            <w:tcW w:w="1830" w:type="dxa"/>
            <w:tcBorders>
              <w:top w:val="nil"/>
              <w:bottom w:val="nil"/>
            </w:tcBorders>
          </w:tcPr>
          <w:p>
            <w:pPr>
              <w:pStyle w:val="TableParagraph"/>
              <w:rPr>
                <w:rFonts w:ascii="Times New Roman"/>
                <w:sz w:val="20"/>
              </w:rPr>
            </w:pPr>
          </w:p>
        </w:tc>
        <w:tc>
          <w:tcPr>
            <w:tcW w:w="4338" w:type="dxa"/>
            <w:tcBorders>
              <w:top w:val="nil"/>
              <w:bottom w:val="nil"/>
            </w:tcBorders>
          </w:tcPr>
          <w:p>
            <w:pPr>
              <w:pStyle w:val="TableParagraph"/>
              <w:spacing w:line="260" w:lineRule="exact"/>
              <w:ind w:left="147"/>
              <w:rPr>
                <w:rFonts w:ascii="Calibri" w:eastAsia="Calibri"/>
                <w:sz w:val="21"/>
              </w:rPr>
            </w:pPr>
            <w:r>
              <w:rPr>
                <w:sz w:val="21"/>
              </w:rPr>
              <w:t>时间安排科学合理，满足施工需要。 良（</w:t>
            </w:r>
            <w:r>
              <w:rPr>
                <w:rFonts w:ascii="Calibri" w:eastAsia="Calibri"/>
                <w:sz w:val="21"/>
              </w:rPr>
              <w:t>4</w:t>
            </w:r>
          </w:p>
          <w:p>
            <w:pPr>
              <w:pStyle w:val="TableParagraph"/>
              <w:spacing w:line="243" w:lineRule="exact" w:before="2"/>
              <w:ind w:left="147"/>
              <w:rPr>
                <w:sz w:val="21"/>
              </w:rPr>
            </w:pPr>
            <w:r>
              <w:rPr>
                <w:w w:val="100"/>
                <w:sz w:val="21"/>
              </w:rPr>
              <w:t>分</w:t>
            </w:r>
            <w:r>
              <w:rPr>
                <w:spacing w:val="-106"/>
                <w:w w:val="100"/>
                <w:sz w:val="21"/>
              </w:rPr>
              <w:t>）</w:t>
            </w:r>
            <w:r>
              <w:rPr>
                <w:spacing w:val="-3"/>
                <w:w w:val="100"/>
                <w:sz w:val="21"/>
              </w:rPr>
              <w:t>：投入的施工材料有组织计划且计划周</w:t>
            </w:r>
          </w:p>
        </w:tc>
      </w:tr>
      <w:tr>
        <w:trPr>
          <w:trHeight w:val="1074" w:hRule="atLeast"/>
        </w:trPr>
        <w:tc>
          <w:tcPr>
            <w:tcW w:w="828" w:type="dxa"/>
            <w:vMerge/>
            <w:tcBorders>
              <w:top w:val="nil"/>
            </w:tcBorders>
          </w:tcPr>
          <w:p>
            <w:pPr>
              <w:rPr>
                <w:sz w:val="2"/>
                <w:szCs w:val="2"/>
              </w:rPr>
            </w:pPr>
          </w:p>
        </w:tc>
        <w:tc>
          <w:tcPr>
            <w:tcW w:w="874" w:type="dxa"/>
            <w:vMerge/>
            <w:tcBorders>
              <w:top w:val="nil"/>
            </w:tcBorders>
          </w:tcPr>
          <w:p>
            <w:pPr>
              <w:rPr>
                <w:sz w:val="2"/>
                <w:szCs w:val="2"/>
              </w:rPr>
            </w:pPr>
          </w:p>
        </w:tc>
        <w:tc>
          <w:tcPr>
            <w:tcW w:w="1104" w:type="dxa"/>
            <w:vMerge/>
            <w:tcBorders>
              <w:top w:val="nil"/>
            </w:tcBorders>
          </w:tcPr>
          <w:p>
            <w:pPr>
              <w:rPr>
                <w:sz w:val="2"/>
                <w:szCs w:val="2"/>
              </w:rPr>
            </w:pPr>
          </w:p>
        </w:tc>
        <w:tc>
          <w:tcPr>
            <w:tcW w:w="1830" w:type="dxa"/>
            <w:tcBorders>
              <w:top w:val="nil"/>
              <w:bottom w:val="nil"/>
            </w:tcBorders>
          </w:tcPr>
          <w:p>
            <w:pPr>
              <w:pStyle w:val="TableParagraph"/>
              <w:spacing w:line="244" w:lineRule="auto" w:before="129"/>
              <w:ind w:left="141" w:right="29"/>
              <w:rPr>
                <w:sz w:val="21"/>
              </w:rPr>
            </w:pPr>
            <w:r>
              <w:rPr>
                <w:spacing w:val="-2"/>
                <w:sz w:val="21"/>
              </w:rPr>
              <w:t>拟投入的主要物</w:t>
            </w:r>
            <w:r>
              <w:rPr>
                <w:spacing w:val="-17"/>
                <w:sz w:val="21"/>
              </w:rPr>
              <w:t>资计划</w:t>
            </w:r>
            <w:r>
              <w:rPr>
                <w:sz w:val="21"/>
              </w:rPr>
              <w:t>（</w:t>
            </w:r>
            <w:r>
              <w:rPr>
                <w:rFonts w:ascii="Calibri" w:eastAsia="Calibri"/>
                <w:sz w:val="21"/>
              </w:rPr>
              <w:t>5.00 </w:t>
            </w:r>
            <w:r>
              <w:rPr>
                <w:spacing w:val="-3"/>
                <w:sz w:val="21"/>
              </w:rPr>
              <w:t>分</w:t>
            </w:r>
            <w:r>
              <w:rPr>
                <w:spacing w:val="-17"/>
                <w:sz w:val="21"/>
              </w:rPr>
              <w:t>）</w:t>
            </w:r>
          </w:p>
        </w:tc>
        <w:tc>
          <w:tcPr>
            <w:tcW w:w="4338" w:type="dxa"/>
            <w:tcBorders>
              <w:top w:val="nil"/>
              <w:bottom w:val="nil"/>
            </w:tcBorders>
          </w:tcPr>
          <w:p>
            <w:pPr>
              <w:pStyle w:val="TableParagraph"/>
              <w:spacing w:line="242" w:lineRule="auto"/>
              <w:ind w:left="147" w:right="25"/>
              <w:rPr>
                <w:sz w:val="21"/>
              </w:rPr>
            </w:pPr>
            <w:r>
              <w:rPr>
                <w:spacing w:val="-3"/>
                <w:sz w:val="21"/>
              </w:rPr>
              <w:t>密，数量、选型配置、进场时间安排合理， </w:t>
            </w:r>
            <w:r>
              <w:rPr>
                <w:spacing w:val="-3"/>
                <w:w w:val="100"/>
                <w:sz w:val="21"/>
              </w:rPr>
              <w:t>满足施工需要。</w:t>
            </w:r>
            <w:r>
              <w:rPr>
                <w:spacing w:val="-2"/>
                <w:sz w:val="21"/>
              </w:rPr>
              <w:t> </w:t>
            </w:r>
            <w:r>
              <w:rPr>
                <w:spacing w:val="-3"/>
                <w:w w:val="100"/>
                <w:sz w:val="21"/>
              </w:rPr>
              <w:t>中</w:t>
            </w:r>
            <w:r>
              <w:rPr>
                <w:w w:val="100"/>
                <w:sz w:val="21"/>
              </w:rPr>
              <w:t>（</w:t>
            </w:r>
            <w:r>
              <w:rPr>
                <w:rFonts w:ascii="Calibri" w:eastAsia="Calibri"/>
                <w:w w:val="100"/>
                <w:sz w:val="21"/>
              </w:rPr>
              <w:t>3</w:t>
            </w:r>
            <w:r>
              <w:rPr>
                <w:rFonts w:ascii="Calibri" w:eastAsia="Calibri"/>
                <w:spacing w:val="3"/>
                <w:sz w:val="21"/>
              </w:rPr>
              <w:t> </w:t>
            </w:r>
            <w:r>
              <w:rPr>
                <w:spacing w:val="-3"/>
                <w:w w:val="100"/>
                <w:sz w:val="21"/>
              </w:rPr>
              <w:t>分</w:t>
            </w:r>
            <w:r>
              <w:rPr>
                <w:spacing w:val="-106"/>
                <w:w w:val="100"/>
                <w:sz w:val="21"/>
              </w:rPr>
              <w:t>）</w:t>
            </w:r>
            <w:r>
              <w:rPr>
                <w:spacing w:val="-3"/>
                <w:w w:val="100"/>
                <w:sz w:val="21"/>
              </w:rPr>
              <w:t>：投入的施工材 </w:t>
            </w:r>
            <w:r>
              <w:rPr>
                <w:spacing w:val="-9"/>
                <w:sz w:val="21"/>
              </w:rPr>
              <w:t>料有组织计划且计划一般，数量、选型配置、</w:t>
            </w:r>
          </w:p>
          <w:p>
            <w:pPr>
              <w:pStyle w:val="TableParagraph"/>
              <w:spacing w:line="243" w:lineRule="exact"/>
              <w:ind w:left="147"/>
              <w:rPr>
                <w:sz w:val="21"/>
              </w:rPr>
            </w:pPr>
            <w:r>
              <w:rPr>
                <w:spacing w:val="-9"/>
                <w:sz w:val="21"/>
              </w:rPr>
              <w:t>进场时间安排基本合理，基本满足施工需要。</w:t>
            </w:r>
          </w:p>
        </w:tc>
      </w:tr>
      <w:tr>
        <w:trPr>
          <w:trHeight w:val="529" w:hRule="atLeast"/>
        </w:trPr>
        <w:tc>
          <w:tcPr>
            <w:tcW w:w="828" w:type="dxa"/>
            <w:vMerge/>
            <w:tcBorders>
              <w:top w:val="nil"/>
            </w:tcBorders>
          </w:tcPr>
          <w:p>
            <w:pPr>
              <w:rPr>
                <w:sz w:val="2"/>
                <w:szCs w:val="2"/>
              </w:rPr>
            </w:pPr>
          </w:p>
        </w:tc>
        <w:tc>
          <w:tcPr>
            <w:tcW w:w="874" w:type="dxa"/>
            <w:vMerge/>
            <w:tcBorders>
              <w:top w:val="nil"/>
            </w:tcBorders>
          </w:tcPr>
          <w:p>
            <w:pPr>
              <w:rPr>
                <w:sz w:val="2"/>
                <w:szCs w:val="2"/>
              </w:rPr>
            </w:pPr>
          </w:p>
        </w:tc>
        <w:tc>
          <w:tcPr>
            <w:tcW w:w="1104" w:type="dxa"/>
            <w:vMerge/>
            <w:tcBorders>
              <w:top w:val="nil"/>
            </w:tcBorders>
          </w:tcPr>
          <w:p>
            <w:pPr>
              <w:rPr>
                <w:sz w:val="2"/>
                <w:szCs w:val="2"/>
              </w:rPr>
            </w:pPr>
          </w:p>
        </w:tc>
        <w:tc>
          <w:tcPr>
            <w:tcW w:w="1830" w:type="dxa"/>
            <w:tcBorders>
              <w:top w:val="nil"/>
              <w:bottom w:val="nil"/>
            </w:tcBorders>
          </w:tcPr>
          <w:p>
            <w:pPr>
              <w:pStyle w:val="TableParagraph"/>
              <w:rPr>
                <w:rFonts w:ascii="Times New Roman"/>
                <w:sz w:val="20"/>
              </w:rPr>
            </w:pPr>
          </w:p>
        </w:tc>
        <w:tc>
          <w:tcPr>
            <w:tcW w:w="4338" w:type="dxa"/>
            <w:tcBorders>
              <w:top w:val="nil"/>
              <w:bottom w:val="nil"/>
            </w:tcBorders>
          </w:tcPr>
          <w:p>
            <w:pPr>
              <w:pStyle w:val="TableParagraph"/>
              <w:spacing w:line="264" w:lineRule="exact"/>
              <w:ind w:left="147"/>
              <w:rPr>
                <w:sz w:val="21"/>
              </w:rPr>
            </w:pPr>
            <w:r>
              <w:rPr>
                <w:spacing w:val="-3"/>
                <w:w w:val="100"/>
                <w:sz w:val="21"/>
              </w:rPr>
              <w:t>差（</w:t>
            </w:r>
            <w:r>
              <w:rPr>
                <w:rFonts w:ascii="Calibri" w:eastAsia="Calibri"/>
                <w:w w:val="100"/>
                <w:sz w:val="21"/>
              </w:rPr>
              <w:t>1</w:t>
            </w:r>
            <w:r>
              <w:rPr>
                <w:rFonts w:ascii="Calibri" w:eastAsia="Calibri"/>
                <w:spacing w:val="3"/>
                <w:sz w:val="21"/>
              </w:rPr>
              <w:t> </w:t>
            </w:r>
            <w:r>
              <w:rPr>
                <w:w w:val="100"/>
                <w:sz w:val="21"/>
              </w:rPr>
              <w:t>分</w:t>
            </w:r>
            <w:r>
              <w:rPr>
                <w:spacing w:val="-108"/>
                <w:w w:val="100"/>
                <w:sz w:val="21"/>
              </w:rPr>
              <w:t>）</w:t>
            </w:r>
            <w:r>
              <w:rPr>
                <w:spacing w:val="-3"/>
                <w:w w:val="100"/>
                <w:sz w:val="21"/>
              </w:rPr>
              <w:t>：投入的施工材料无详细的组织计</w:t>
            </w:r>
          </w:p>
          <w:p>
            <w:pPr>
              <w:pStyle w:val="TableParagraph"/>
              <w:spacing w:line="243" w:lineRule="exact" w:before="2"/>
              <w:ind w:left="147"/>
              <w:rPr>
                <w:sz w:val="21"/>
              </w:rPr>
            </w:pPr>
            <w:r>
              <w:rPr>
                <w:spacing w:val="-10"/>
                <w:sz w:val="21"/>
              </w:rPr>
              <w:t>划，数量、选型配置、进场时间安排不合理，</w:t>
            </w:r>
          </w:p>
        </w:tc>
      </w:tr>
      <w:tr>
        <w:trPr>
          <w:trHeight w:val="416" w:hRule="atLeast"/>
        </w:trPr>
        <w:tc>
          <w:tcPr>
            <w:tcW w:w="828" w:type="dxa"/>
            <w:vMerge/>
            <w:tcBorders>
              <w:top w:val="nil"/>
            </w:tcBorders>
          </w:tcPr>
          <w:p>
            <w:pPr>
              <w:rPr>
                <w:sz w:val="2"/>
                <w:szCs w:val="2"/>
              </w:rPr>
            </w:pPr>
          </w:p>
        </w:tc>
        <w:tc>
          <w:tcPr>
            <w:tcW w:w="874" w:type="dxa"/>
            <w:vMerge/>
            <w:tcBorders>
              <w:top w:val="nil"/>
            </w:tcBorders>
          </w:tcPr>
          <w:p>
            <w:pPr>
              <w:rPr>
                <w:sz w:val="2"/>
                <w:szCs w:val="2"/>
              </w:rPr>
            </w:pPr>
          </w:p>
        </w:tc>
        <w:tc>
          <w:tcPr>
            <w:tcW w:w="1104" w:type="dxa"/>
            <w:vMerge/>
            <w:tcBorders>
              <w:top w:val="nil"/>
            </w:tcBorders>
          </w:tcPr>
          <w:p>
            <w:pPr>
              <w:rPr>
                <w:sz w:val="2"/>
                <w:szCs w:val="2"/>
              </w:rPr>
            </w:pPr>
          </w:p>
        </w:tc>
        <w:tc>
          <w:tcPr>
            <w:tcW w:w="1830" w:type="dxa"/>
            <w:tcBorders>
              <w:top w:val="nil"/>
            </w:tcBorders>
          </w:tcPr>
          <w:p>
            <w:pPr>
              <w:pStyle w:val="TableParagraph"/>
              <w:rPr>
                <w:rFonts w:ascii="Times New Roman"/>
                <w:sz w:val="20"/>
              </w:rPr>
            </w:pPr>
          </w:p>
        </w:tc>
        <w:tc>
          <w:tcPr>
            <w:tcW w:w="4338" w:type="dxa"/>
            <w:tcBorders>
              <w:top w:val="nil"/>
            </w:tcBorders>
          </w:tcPr>
          <w:p>
            <w:pPr>
              <w:pStyle w:val="TableParagraph"/>
              <w:spacing w:line="264" w:lineRule="exact"/>
              <w:ind w:left="147"/>
              <w:rPr>
                <w:sz w:val="21"/>
              </w:rPr>
            </w:pPr>
            <w:r>
              <w:rPr>
                <w:sz w:val="21"/>
              </w:rPr>
              <w:t>不能满足施工需要。</w:t>
            </w:r>
          </w:p>
        </w:tc>
      </w:tr>
      <w:tr>
        <w:trPr>
          <w:trHeight w:val="958" w:hRule="atLeast"/>
        </w:trPr>
        <w:tc>
          <w:tcPr>
            <w:tcW w:w="828" w:type="dxa"/>
            <w:vMerge/>
            <w:tcBorders>
              <w:top w:val="nil"/>
            </w:tcBorders>
          </w:tcPr>
          <w:p>
            <w:pPr>
              <w:rPr>
                <w:sz w:val="2"/>
                <w:szCs w:val="2"/>
              </w:rPr>
            </w:pPr>
          </w:p>
        </w:tc>
        <w:tc>
          <w:tcPr>
            <w:tcW w:w="874" w:type="dxa"/>
            <w:vMerge/>
            <w:tcBorders>
              <w:top w:val="nil"/>
            </w:tcBorders>
          </w:tcPr>
          <w:p>
            <w:pPr>
              <w:rPr>
                <w:sz w:val="2"/>
                <w:szCs w:val="2"/>
              </w:rPr>
            </w:pPr>
          </w:p>
        </w:tc>
        <w:tc>
          <w:tcPr>
            <w:tcW w:w="1104" w:type="dxa"/>
            <w:vMerge/>
            <w:tcBorders>
              <w:top w:val="nil"/>
            </w:tcBorders>
          </w:tcPr>
          <w:p>
            <w:pPr>
              <w:rPr>
                <w:sz w:val="2"/>
                <w:szCs w:val="2"/>
              </w:rPr>
            </w:pPr>
          </w:p>
        </w:tc>
        <w:tc>
          <w:tcPr>
            <w:tcW w:w="1830" w:type="dxa"/>
            <w:tcBorders>
              <w:bottom w:val="nil"/>
            </w:tcBorders>
          </w:tcPr>
          <w:p>
            <w:pPr>
              <w:pStyle w:val="TableParagraph"/>
              <w:rPr>
                <w:rFonts w:ascii="Times New Roman"/>
                <w:sz w:val="20"/>
              </w:rPr>
            </w:pPr>
          </w:p>
        </w:tc>
        <w:tc>
          <w:tcPr>
            <w:tcW w:w="4338" w:type="dxa"/>
            <w:tcBorders>
              <w:bottom w:val="nil"/>
            </w:tcBorders>
          </w:tcPr>
          <w:p>
            <w:pPr>
              <w:pStyle w:val="TableParagraph"/>
              <w:spacing w:before="149"/>
              <w:ind w:left="147"/>
              <w:rPr>
                <w:sz w:val="21"/>
              </w:rPr>
            </w:pPr>
            <w:r>
              <w:rPr>
                <w:w w:val="100"/>
                <w:sz w:val="21"/>
              </w:rPr>
              <w:t>优</w:t>
            </w:r>
            <w:r>
              <w:rPr>
                <w:spacing w:val="-3"/>
                <w:w w:val="100"/>
                <w:sz w:val="21"/>
              </w:rPr>
              <w:t>（</w:t>
            </w:r>
            <w:r>
              <w:rPr>
                <w:rFonts w:ascii="Calibri" w:eastAsia="Calibri"/>
                <w:w w:val="100"/>
                <w:sz w:val="21"/>
              </w:rPr>
              <w:t>10</w:t>
            </w:r>
            <w:r>
              <w:rPr>
                <w:rFonts w:ascii="Calibri" w:eastAsia="Calibri"/>
                <w:spacing w:val="3"/>
                <w:sz w:val="21"/>
              </w:rPr>
              <w:t> </w:t>
            </w:r>
            <w:r>
              <w:rPr>
                <w:w w:val="100"/>
                <w:sz w:val="21"/>
              </w:rPr>
              <w:t>分</w:t>
            </w:r>
            <w:r>
              <w:rPr>
                <w:spacing w:val="-108"/>
                <w:w w:val="100"/>
                <w:sz w:val="21"/>
              </w:rPr>
              <w:t>）</w:t>
            </w:r>
            <w:r>
              <w:rPr>
                <w:spacing w:val="-3"/>
                <w:w w:val="100"/>
                <w:sz w:val="21"/>
              </w:rPr>
              <w:t>：投入的施工机械、设备、机具</w:t>
            </w:r>
          </w:p>
          <w:p>
            <w:pPr>
              <w:pStyle w:val="TableParagraph"/>
              <w:spacing w:line="270" w:lineRule="atLeast" w:before="4"/>
              <w:ind w:left="147" w:right="178"/>
              <w:rPr>
                <w:sz w:val="21"/>
              </w:rPr>
            </w:pPr>
            <w:r>
              <w:rPr>
                <w:sz w:val="21"/>
              </w:rPr>
              <w:t>有详细的组织计划且计划周密，设备数量、选型配置、进场时间安排合理，满足施工需</w:t>
            </w:r>
          </w:p>
        </w:tc>
      </w:tr>
      <w:tr>
        <w:trPr>
          <w:trHeight w:val="526" w:hRule="atLeast"/>
        </w:trPr>
        <w:tc>
          <w:tcPr>
            <w:tcW w:w="828" w:type="dxa"/>
            <w:vMerge/>
            <w:tcBorders>
              <w:top w:val="nil"/>
            </w:tcBorders>
          </w:tcPr>
          <w:p>
            <w:pPr>
              <w:rPr>
                <w:sz w:val="2"/>
                <w:szCs w:val="2"/>
              </w:rPr>
            </w:pPr>
          </w:p>
        </w:tc>
        <w:tc>
          <w:tcPr>
            <w:tcW w:w="874" w:type="dxa"/>
            <w:vMerge/>
            <w:tcBorders>
              <w:top w:val="nil"/>
            </w:tcBorders>
          </w:tcPr>
          <w:p>
            <w:pPr>
              <w:rPr>
                <w:sz w:val="2"/>
                <w:szCs w:val="2"/>
              </w:rPr>
            </w:pPr>
          </w:p>
        </w:tc>
        <w:tc>
          <w:tcPr>
            <w:tcW w:w="1104" w:type="dxa"/>
            <w:vMerge/>
            <w:tcBorders>
              <w:top w:val="nil"/>
            </w:tcBorders>
          </w:tcPr>
          <w:p>
            <w:pPr>
              <w:rPr>
                <w:sz w:val="2"/>
                <w:szCs w:val="2"/>
              </w:rPr>
            </w:pPr>
          </w:p>
        </w:tc>
        <w:tc>
          <w:tcPr>
            <w:tcW w:w="1830" w:type="dxa"/>
            <w:tcBorders>
              <w:top w:val="nil"/>
              <w:bottom w:val="nil"/>
            </w:tcBorders>
          </w:tcPr>
          <w:p>
            <w:pPr>
              <w:pStyle w:val="TableParagraph"/>
              <w:rPr>
                <w:rFonts w:ascii="Times New Roman"/>
                <w:sz w:val="20"/>
              </w:rPr>
            </w:pPr>
          </w:p>
        </w:tc>
        <w:tc>
          <w:tcPr>
            <w:tcW w:w="4338" w:type="dxa"/>
            <w:tcBorders>
              <w:top w:val="nil"/>
              <w:bottom w:val="nil"/>
            </w:tcBorders>
          </w:tcPr>
          <w:p>
            <w:pPr>
              <w:pStyle w:val="TableParagraph"/>
              <w:spacing w:line="261" w:lineRule="exact"/>
              <w:ind w:left="147"/>
              <w:rPr>
                <w:sz w:val="21"/>
              </w:rPr>
            </w:pPr>
            <w:r>
              <w:rPr>
                <w:w w:val="100"/>
                <w:sz w:val="21"/>
              </w:rPr>
              <w:t>要。</w:t>
            </w:r>
            <w:r>
              <w:rPr>
                <w:spacing w:val="-2"/>
                <w:sz w:val="21"/>
              </w:rPr>
              <w:t> </w:t>
            </w:r>
            <w:r>
              <w:rPr>
                <w:w w:val="100"/>
                <w:sz w:val="21"/>
              </w:rPr>
              <w:t>良</w:t>
            </w:r>
            <w:r>
              <w:rPr>
                <w:spacing w:val="-3"/>
                <w:w w:val="100"/>
                <w:sz w:val="21"/>
              </w:rPr>
              <w:t>（</w:t>
            </w:r>
            <w:r>
              <w:rPr>
                <w:rFonts w:ascii="Calibri" w:eastAsia="Calibri"/>
                <w:w w:val="100"/>
                <w:sz w:val="21"/>
              </w:rPr>
              <w:t>8</w:t>
            </w:r>
            <w:r>
              <w:rPr>
                <w:rFonts w:ascii="Calibri" w:eastAsia="Calibri"/>
                <w:spacing w:val="6"/>
                <w:sz w:val="21"/>
              </w:rPr>
              <w:t> </w:t>
            </w:r>
            <w:r>
              <w:rPr>
                <w:spacing w:val="-3"/>
                <w:w w:val="100"/>
                <w:sz w:val="21"/>
              </w:rPr>
              <w:t>分</w:t>
            </w:r>
            <w:r>
              <w:rPr>
                <w:spacing w:val="-106"/>
                <w:w w:val="100"/>
                <w:sz w:val="21"/>
              </w:rPr>
              <w:t>）</w:t>
            </w:r>
            <w:r>
              <w:rPr>
                <w:spacing w:val="-3"/>
                <w:w w:val="100"/>
                <w:sz w:val="21"/>
              </w:rPr>
              <w:t>：投入的施工机械、设备、</w:t>
            </w:r>
          </w:p>
          <w:p>
            <w:pPr>
              <w:pStyle w:val="TableParagraph"/>
              <w:spacing w:line="243" w:lineRule="exact" w:before="2"/>
              <w:ind w:left="147"/>
              <w:rPr>
                <w:sz w:val="21"/>
              </w:rPr>
            </w:pPr>
            <w:r>
              <w:rPr>
                <w:sz w:val="21"/>
              </w:rPr>
              <w:t>机具有组织计划且计划一般，设备数量、选</w:t>
            </w:r>
          </w:p>
        </w:tc>
      </w:tr>
      <w:tr>
        <w:trPr>
          <w:trHeight w:val="1074" w:hRule="atLeast"/>
        </w:trPr>
        <w:tc>
          <w:tcPr>
            <w:tcW w:w="828" w:type="dxa"/>
            <w:vMerge/>
            <w:tcBorders>
              <w:top w:val="nil"/>
            </w:tcBorders>
          </w:tcPr>
          <w:p>
            <w:pPr>
              <w:rPr>
                <w:sz w:val="2"/>
                <w:szCs w:val="2"/>
              </w:rPr>
            </w:pPr>
          </w:p>
        </w:tc>
        <w:tc>
          <w:tcPr>
            <w:tcW w:w="874" w:type="dxa"/>
            <w:vMerge/>
            <w:tcBorders>
              <w:top w:val="nil"/>
            </w:tcBorders>
          </w:tcPr>
          <w:p>
            <w:pPr>
              <w:rPr>
                <w:sz w:val="2"/>
                <w:szCs w:val="2"/>
              </w:rPr>
            </w:pPr>
          </w:p>
        </w:tc>
        <w:tc>
          <w:tcPr>
            <w:tcW w:w="1104" w:type="dxa"/>
            <w:vMerge/>
            <w:tcBorders>
              <w:top w:val="nil"/>
            </w:tcBorders>
          </w:tcPr>
          <w:p>
            <w:pPr>
              <w:rPr>
                <w:sz w:val="2"/>
                <w:szCs w:val="2"/>
              </w:rPr>
            </w:pPr>
          </w:p>
        </w:tc>
        <w:tc>
          <w:tcPr>
            <w:tcW w:w="1830" w:type="dxa"/>
            <w:tcBorders>
              <w:top w:val="nil"/>
              <w:bottom w:val="nil"/>
            </w:tcBorders>
          </w:tcPr>
          <w:p>
            <w:pPr>
              <w:pStyle w:val="TableParagraph"/>
              <w:spacing w:line="242" w:lineRule="auto"/>
              <w:ind w:left="141" w:right="197"/>
              <w:jc w:val="both"/>
              <w:rPr>
                <w:sz w:val="21"/>
              </w:rPr>
            </w:pPr>
            <w:r>
              <w:rPr>
                <w:sz w:val="21"/>
              </w:rPr>
              <w:t>拟投入的主要施工机械、设备计划（</w:t>
            </w:r>
            <w:r>
              <w:rPr>
                <w:rFonts w:ascii="Calibri" w:eastAsia="Calibri"/>
                <w:sz w:val="21"/>
              </w:rPr>
              <w:t>10.00 </w:t>
            </w:r>
            <w:r>
              <w:rPr>
                <w:sz w:val="21"/>
              </w:rPr>
              <w:t>分）</w:t>
            </w:r>
          </w:p>
        </w:tc>
        <w:tc>
          <w:tcPr>
            <w:tcW w:w="4338" w:type="dxa"/>
            <w:tcBorders>
              <w:top w:val="nil"/>
              <w:bottom w:val="nil"/>
            </w:tcBorders>
          </w:tcPr>
          <w:p>
            <w:pPr>
              <w:pStyle w:val="TableParagraph"/>
              <w:spacing w:line="242" w:lineRule="auto"/>
              <w:ind w:left="147" w:right="126"/>
              <w:jc w:val="both"/>
              <w:rPr>
                <w:sz w:val="21"/>
              </w:rPr>
            </w:pPr>
            <w:r>
              <w:rPr>
                <w:spacing w:val="-3"/>
                <w:sz w:val="21"/>
              </w:rPr>
              <w:t>型配置、进场时间安排合理，基本满足施工</w:t>
            </w:r>
            <w:r>
              <w:rPr>
                <w:spacing w:val="-1"/>
                <w:sz w:val="21"/>
              </w:rPr>
              <w:t>需要。 中</w:t>
            </w:r>
            <w:r>
              <w:rPr>
                <w:sz w:val="21"/>
              </w:rPr>
              <w:t>（</w:t>
            </w:r>
            <w:r>
              <w:rPr>
                <w:rFonts w:ascii="Calibri" w:eastAsia="Calibri"/>
                <w:sz w:val="21"/>
              </w:rPr>
              <w:t>5</w:t>
            </w:r>
            <w:r>
              <w:rPr>
                <w:rFonts w:ascii="Calibri" w:eastAsia="Calibri"/>
                <w:spacing w:val="10"/>
                <w:sz w:val="21"/>
              </w:rPr>
              <w:t> </w:t>
            </w:r>
            <w:r>
              <w:rPr>
                <w:sz w:val="21"/>
              </w:rPr>
              <w:t>分</w:t>
            </w:r>
            <w:r>
              <w:rPr>
                <w:spacing w:val="-3"/>
                <w:sz w:val="21"/>
              </w:rPr>
              <w:t>）</w:t>
            </w:r>
            <w:r>
              <w:rPr>
                <w:spacing w:val="-4"/>
                <w:sz w:val="21"/>
              </w:rPr>
              <w:t>投入的施工机械、设备、</w:t>
            </w:r>
            <w:r>
              <w:rPr>
                <w:spacing w:val="-3"/>
                <w:sz w:val="21"/>
              </w:rPr>
              <w:t>机具有基本的组织计划且计划较差，设备数</w:t>
            </w:r>
          </w:p>
          <w:p>
            <w:pPr>
              <w:pStyle w:val="TableParagraph"/>
              <w:spacing w:line="243" w:lineRule="exact"/>
              <w:ind w:left="147"/>
              <w:rPr>
                <w:sz w:val="21"/>
              </w:rPr>
            </w:pPr>
            <w:r>
              <w:rPr>
                <w:spacing w:val="-3"/>
                <w:sz w:val="21"/>
              </w:rPr>
              <w:t>量、选型配置、进场时间安排基本合理，基</w:t>
            </w:r>
          </w:p>
        </w:tc>
      </w:tr>
      <w:tr>
        <w:trPr>
          <w:trHeight w:val="529" w:hRule="atLeast"/>
        </w:trPr>
        <w:tc>
          <w:tcPr>
            <w:tcW w:w="828" w:type="dxa"/>
            <w:vMerge/>
            <w:tcBorders>
              <w:top w:val="nil"/>
            </w:tcBorders>
          </w:tcPr>
          <w:p>
            <w:pPr>
              <w:rPr>
                <w:sz w:val="2"/>
                <w:szCs w:val="2"/>
              </w:rPr>
            </w:pPr>
          </w:p>
        </w:tc>
        <w:tc>
          <w:tcPr>
            <w:tcW w:w="874" w:type="dxa"/>
            <w:vMerge/>
            <w:tcBorders>
              <w:top w:val="nil"/>
            </w:tcBorders>
          </w:tcPr>
          <w:p>
            <w:pPr>
              <w:rPr>
                <w:sz w:val="2"/>
                <w:szCs w:val="2"/>
              </w:rPr>
            </w:pPr>
          </w:p>
        </w:tc>
        <w:tc>
          <w:tcPr>
            <w:tcW w:w="1104" w:type="dxa"/>
            <w:vMerge/>
            <w:tcBorders>
              <w:top w:val="nil"/>
            </w:tcBorders>
          </w:tcPr>
          <w:p>
            <w:pPr>
              <w:rPr>
                <w:sz w:val="2"/>
                <w:szCs w:val="2"/>
              </w:rPr>
            </w:pPr>
          </w:p>
        </w:tc>
        <w:tc>
          <w:tcPr>
            <w:tcW w:w="1830" w:type="dxa"/>
            <w:tcBorders>
              <w:top w:val="nil"/>
              <w:bottom w:val="nil"/>
            </w:tcBorders>
          </w:tcPr>
          <w:p>
            <w:pPr>
              <w:pStyle w:val="TableParagraph"/>
              <w:rPr>
                <w:rFonts w:ascii="Times New Roman"/>
                <w:sz w:val="20"/>
              </w:rPr>
            </w:pPr>
          </w:p>
        </w:tc>
        <w:tc>
          <w:tcPr>
            <w:tcW w:w="4338" w:type="dxa"/>
            <w:tcBorders>
              <w:top w:val="nil"/>
              <w:bottom w:val="nil"/>
            </w:tcBorders>
          </w:tcPr>
          <w:p>
            <w:pPr>
              <w:pStyle w:val="TableParagraph"/>
              <w:spacing w:line="264" w:lineRule="exact"/>
              <w:ind w:left="147"/>
              <w:rPr>
                <w:sz w:val="21"/>
              </w:rPr>
            </w:pPr>
            <w:r>
              <w:rPr>
                <w:spacing w:val="-3"/>
                <w:w w:val="100"/>
                <w:sz w:val="21"/>
              </w:rPr>
              <w:t>本满足施工需要。</w:t>
            </w:r>
            <w:r>
              <w:rPr>
                <w:spacing w:val="-3"/>
                <w:sz w:val="21"/>
              </w:rPr>
              <w:t> </w:t>
            </w:r>
            <w:r>
              <w:rPr>
                <w:w w:val="100"/>
                <w:sz w:val="21"/>
              </w:rPr>
              <w:t>差</w:t>
            </w:r>
            <w:r>
              <w:rPr>
                <w:spacing w:val="-3"/>
                <w:w w:val="100"/>
                <w:sz w:val="21"/>
              </w:rPr>
              <w:t>（</w:t>
            </w:r>
            <w:r>
              <w:rPr>
                <w:rFonts w:ascii="Calibri" w:eastAsia="Calibri"/>
                <w:w w:val="100"/>
                <w:sz w:val="21"/>
              </w:rPr>
              <w:t>1</w:t>
            </w:r>
            <w:r>
              <w:rPr>
                <w:rFonts w:ascii="Calibri" w:eastAsia="Calibri"/>
                <w:spacing w:val="3"/>
                <w:sz w:val="21"/>
              </w:rPr>
              <w:t> </w:t>
            </w:r>
            <w:r>
              <w:rPr>
                <w:w w:val="100"/>
                <w:sz w:val="21"/>
              </w:rPr>
              <w:t>分</w:t>
            </w:r>
            <w:r>
              <w:rPr>
                <w:spacing w:val="-106"/>
                <w:w w:val="100"/>
                <w:sz w:val="21"/>
              </w:rPr>
              <w:t>）</w:t>
            </w:r>
            <w:r>
              <w:rPr>
                <w:spacing w:val="-3"/>
                <w:w w:val="100"/>
                <w:sz w:val="21"/>
              </w:rPr>
              <w:t>：投入的施工</w:t>
            </w:r>
          </w:p>
          <w:p>
            <w:pPr>
              <w:pStyle w:val="TableParagraph"/>
              <w:spacing w:line="243" w:lineRule="exact" w:before="2"/>
              <w:ind w:left="147"/>
              <w:rPr>
                <w:sz w:val="21"/>
              </w:rPr>
            </w:pPr>
            <w:r>
              <w:rPr>
                <w:sz w:val="21"/>
              </w:rPr>
              <w:t>机械、设备、机具无详细的组织计划，设备</w:t>
            </w:r>
          </w:p>
        </w:tc>
      </w:tr>
      <w:tr>
        <w:trPr>
          <w:trHeight w:val="687" w:hRule="atLeast"/>
        </w:trPr>
        <w:tc>
          <w:tcPr>
            <w:tcW w:w="828" w:type="dxa"/>
            <w:vMerge/>
            <w:tcBorders>
              <w:top w:val="nil"/>
            </w:tcBorders>
          </w:tcPr>
          <w:p>
            <w:pPr>
              <w:rPr>
                <w:sz w:val="2"/>
                <w:szCs w:val="2"/>
              </w:rPr>
            </w:pPr>
          </w:p>
        </w:tc>
        <w:tc>
          <w:tcPr>
            <w:tcW w:w="874" w:type="dxa"/>
            <w:vMerge/>
            <w:tcBorders>
              <w:top w:val="nil"/>
            </w:tcBorders>
          </w:tcPr>
          <w:p>
            <w:pPr>
              <w:rPr>
                <w:sz w:val="2"/>
                <w:szCs w:val="2"/>
              </w:rPr>
            </w:pPr>
          </w:p>
        </w:tc>
        <w:tc>
          <w:tcPr>
            <w:tcW w:w="1104" w:type="dxa"/>
            <w:vMerge/>
            <w:tcBorders>
              <w:top w:val="nil"/>
            </w:tcBorders>
          </w:tcPr>
          <w:p>
            <w:pPr>
              <w:rPr>
                <w:sz w:val="2"/>
                <w:szCs w:val="2"/>
              </w:rPr>
            </w:pPr>
          </w:p>
        </w:tc>
        <w:tc>
          <w:tcPr>
            <w:tcW w:w="1830" w:type="dxa"/>
            <w:tcBorders>
              <w:top w:val="nil"/>
            </w:tcBorders>
          </w:tcPr>
          <w:p>
            <w:pPr>
              <w:pStyle w:val="TableParagraph"/>
              <w:rPr>
                <w:rFonts w:ascii="Times New Roman"/>
                <w:sz w:val="20"/>
              </w:rPr>
            </w:pPr>
          </w:p>
        </w:tc>
        <w:tc>
          <w:tcPr>
            <w:tcW w:w="4338" w:type="dxa"/>
            <w:tcBorders>
              <w:top w:val="nil"/>
            </w:tcBorders>
          </w:tcPr>
          <w:p>
            <w:pPr>
              <w:pStyle w:val="TableParagraph"/>
              <w:spacing w:line="242" w:lineRule="auto"/>
              <w:ind w:left="147" w:right="178"/>
              <w:rPr>
                <w:sz w:val="21"/>
              </w:rPr>
            </w:pPr>
            <w:r>
              <w:rPr>
                <w:sz w:val="21"/>
              </w:rPr>
              <w:t>数量、选型配置、进场时间安排不合理，不能满足施工需要。</w:t>
            </w:r>
          </w:p>
        </w:tc>
      </w:tr>
      <w:tr>
        <w:trPr>
          <w:trHeight w:val="686" w:hRule="atLeast"/>
        </w:trPr>
        <w:tc>
          <w:tcPr>
            <w:tcW w:w="828" w:type="dxa"/>
            <w:vMerge/>
            <w:tcBorders>
              <w:top w:val="nil"/>
            </w:tcBorders>
          </w:tcPr>
          <w:p>
            <w:pPr>
              <w:rPr>
                <w:sz w:val="2"/>
                <w:szCs w:val="2"/>
              </w:rPr>
            </w:pPr>
          </w:p>
        </w:tc>
        <w:tc>
          <w:tcPr>
            <w:tcW w:w="874" w:type="dxa"/>
            <w:vMerge/>
            <w:tcBorders>
              <w:top w:val="nil"/>
            </w:tcBorders>
          </w:tcPr>
          <w:p>
            <w:pPr>
              <w:rPr>
                <w:sz w:val="2"/>
                <w:szCs w:val="2"/>
              </w:rPr>
            </w:pPr>
          </w:p>
        </w:tc>
        <w:tc>
          <w:tcPr>
            <w:tcW w:w="1104" w:type="dxa"/>
            <w:vMerge/>
            <w:tcBorders>
              <w:top w:val="nil"/>
            </w:tcBorders>
          </w:tcPr>
          <w:p>
            <w:pPr>
              <w:rPr>
                <w:sz w:val="2"/>
                <w:szCs w:val="2"/>
              </w:rPr>
            </w:pPr>
          </w:p>
        </w:tc>
        <w:tc>
          <w:tcPr>
            <w:tcW w:w="1830" w:type="dxa"/>
            <w:tcBorders>
              <w:bottom w:val="nil"/>
            </w:tcBorders>
          </w:tcPr>
          <w:p>
            <w:pPr>
              <w:pStyle w:val="TableParagraph"/>
              <w:rPr>
                <w:rFonts w:ascii="Times New Roman"/>
                <w:sz w:val="20"/>
              </w:rPr>
            </w:pPr>
          </w:p>
        </w:tc>
        <w:tc>
          <w:tcPr>
            <w:tcW w:w="4338" w:type="dxa"/>
            <w:tcBorders>
              <w:bottom w:val="nil"/>
            </w:tcBorders>
          </w:tcPr>
          <w:p>
            <w:pPr>
              <w:pStyle w:val="TableParagraph"/>
              <w:spacing w:line="270" w:lineRule="atLeast" w:before="151"/>
              <w:ind w:left="147" w:right="178"/>
              <w:rPr>
                <w:sz w:val="21"/>
              </w:rPr>
            </w:pPr>
            <w:r>
              <w:rPr>
                <w:w w:val="100"/>
                <w:sz w:val="21"/>
              </w:rPr>
              <w:t>优</w:t>
            </w:r>
            <w:r>
              <w:rPr>
                <w:spacing w:val="-3"/>
                <w:w w:val="100"/>
                <w:sz w:val="21"/>
              </w:rPr>
              <w:t>（</w:t>
            </w:r>
            <w:r>
              <w:rPr>
                <w:rFonts w:ascii="Calibri" w:eastAsia="Calibri"/>
                <w:w w:val="100"/>
                <w:sz w:val="21"/>
              </w:rPr>
              <w:t>10</w:t>
            </w:r>
            <w:r>
              <w:rPr>
                <w:rFonts w:ascii="Calibri" w:eastAsia="Calibri"/>
                <w:sz w:val="21"/>
              </w:rPr>
              <w:t> </w:t>
            </w:r>
            <w:r>
              <w:rPr>
                <w:w w:val="100"/>
                <w:sz w:val="21"/>
              </w:rPr>
              <w:t>分</w:t>
            </w:r>
            <w:r>
              <w:rPr>
                <w:spacing w:val="-108"/>
                <w:w w:val="100"/>
                <w:sz w:val="21"/>
              </w:rPr>
              <w:t>）</w:t>
            </w:r>
            <w:r>
              <w:rPr>
                <w:spacing w:val="-3"/>
                <w:w w:val="100"/>
                <w:sz w:val="21"/>
              </w:rPr>
              <w:t>：各主要施工工序有非常详细周</w:t>
            </w:r>
            <w:r>
              <w:rPr>
                <w:spacing w:val="-4"/>
                <w:sz w:val="21"/>
              </w:rPr>
              <w:t>密的劳动力安排计划，有非常详细周密的各</w:t>
            </w:r>
          </w:p>
        </w:tc>
      </w:tr>
      <w:tr>
        <w:trPr>
          <w:trHeight w:val="1615" w:hRule="atLeast"/>
        </w:trPr>
        <w:tc>
          <w:tcPr>
            <w:tcW w:w="828" w:type="dxa"/>
            <w:vMerge/>
            <w:tcBorders>
              <w:top w:val="nil"/>
            </w:tcBorders>
          </w:tcPr>
          <w:p>
            <w:pPr>
              <w:rPr>
                <w:sz w:val="2"/>
                <w:szCs w:val="2"/>
              </w:rPr>
            </w:pPr>
          </w:p>
        </w:tc>
        <w:tc>
          <w:tcPr>
            <w:tcW w:w="874" w:type="dxa"/>
            <w:vMerge/>
            <w:tcBorders>
              <w:top w:val="nil"/>
            </w:tcBorders>
          </w:tcPr>
          <w:p>
            <w:pPr>
              <w:rPr>
                <w:sz w:val="2"/>
                <w:szCs w:val="2"/>
              </w:rPr>
            </w:pPr>
          </w:p>
        </w:tc>
        <w:tc>
          <w:tcPr>
            <w:tcW w:w="1104" w:type="dxa"/>
            <w:vMerge/>
            <w:tcBorders>
              <w:top w:val="nil"/>
            </w:tcBorders>
          </w:tcPr>
          <w:p>
            <w:pPr>
              <w:rPr>
                <w:sz w:val="2"/>
                <w:szCs w:val="2"/>
              </w:rPr>
            </w:pPr>
          </w:p>
        </w:tc>
        <w:tc>
          <w:tcPr>
            <w:tcW w:w="1830" w:type="dxa"/>
            <w:tcBorders>
              <w:top w:val="nil"/>
              <w:bottom w:val="nil"/>
            </w:tcBorders>
          </w:tcPr>
          <w:p>
            <w:pPr>
              <w:pStyle w:val="TableParagraph"/>
              <w:rPr>
                <w:rFonts w:ascii="Microsoft JhengHei"/>
                <w:b/>
                <w:sz w:val="20"/>
              </w:rPr>
            </w:pPr>
          </w:p>
          <w:p>
            <w:pPr>
              <w:pStyle w:val="TableParagraph"/>
              <w:rPr>
                <w:rFonts w:ascii="Microsoft JhengHei"/>
                <w:b/>
                <w:sz w:val="20"/>
              </w:rPr>
            </w:pPr>
          </w:p>
          <w:p>
            <w:pPr>
              <w:pStyle w:val="TableParagraph"/>
              <w:spacing w:before="6"/>
              <w:rPr>
                <w:rFonts w:ascii="Microsoft JhengHei"/>
                <w:b/>
                <w:sz w:val="11"/>
              </w:rPr>
            </w:pPr>
          </w:p>
          <w:p>
            <w:pPr>
              <w:pStyle w:val="TableParagraph"/>
              <w:ind w:left="141"/>
              <w:rPr>
                <w:sz w:val="21"/>
              </w:rPr>
            </w:pPr>
            <w:r>
              <w:rPr>
                <w:sz w:val="21"/>
              </w:rPr>
              <w:t>劳动力安排计划</w:t>
            </w:r>
          </w:p>
          <w:p>
            <w:pPr>
              <w:pStyle w:val="TableParagraph"/>
              <w:spacing w:before="2"/>
              <w:ind w:left="141"/>
              <w:rPr>
                <w:sz w:val="21"/>
              </w:rPr>
            </w:pPr>
            <w:r>
              <w:rPr>
                <w:sz w:val="21"/>
              </w:rPr>
              <w:t>（</w:t>
            </w:r>
            <w:r>
              <w:rPr>
                <w:rFonts w:ascii="Calibri" w:eastAsia="Calibri"/>
                <w:sz w:val="21"/>
              </w:rPr>
              <w:t>10.00 </w:t>
            </w:r>
            <w:r>
              <w:rPr>
                <w:sz w:val="21"/>
              </w:rPr>
              <w:t>分）</w:t>
            </w:r>
          </w:p>
        </w:tc>
        <w:tc>
          <w:tcPr>
            <w:tcW w:w="4338" w:type="dxa"/>
            <w:tcBorders>
              <w:top w:val="nil"/>
              <w:bottom w:val="nil"/>
            </w:tcBorders>
          </w:tcPr>
          <w:p>
            <w:pPr>
              <w:pStyle w:val="TableParagraph"/>
              <w:spacing w:line="242" w:lineRule="auto"/>
              <w:ind w:left="147" w:right="25"/>
              <w:rPr>
                <w:sz w:val="21"/>
              </w:rPr>
            </w:pPr>
            <w:r>
              <w:rPr>
                <w:spacing w:val="-9"/>
                <w:sz w:val="21"/>
              </w:rPr>
              <w:t>工种劳动力安排计划，劳动力投入科学合理， </w:t>
            </w:r>
            <w:r>
              <w:rPr>
                <w:spacing w:val="-5"/>
                <w:w w:val="100"/>
                <w:sz w:val="21"/>
              </w:rPr>
              <w:t>完全满足施工需要。</w:t>
            </w:r>
            <w:r>
              <w:rPr>
                <w:spacing w:val="-5"/>
                <w:sz w:val="21"/>
              </w:rPr>
              <w:t> </w:t>
            </w:r>
            <w:r>
              <w:rPr>
                <w:spacing w:val="-3"/>
                <w:w w:val="100"/>
                <w:sz w:val="21"/>
              </w:rPr>
              <w:t>良</w:t>
            </w:r>
            <w:r>
              <w:rPr>
                <w:spacing w:val="-2"/>
                <w:w w:val="100"/>
                <w:sz w:val="21"/>
              </w:rPr>
              <w:t>（</w:t>
            </w:r>
            <w:r>
              <w:rPr>
                <w:rFonts w:ascii="Calibri" w:eastAsia="Calibri"/>
                <w:w w:val="100"/>
                <w:sz w:val="21"/>
              </w:rPr>
              <w:t>8</w:t>
            </w:r>
            <w:r>
              <w:rPr>
                <w:rFonts w:ascii="Calibri" w:eastAsia="Calibri"/>
                <w:spacing w:val="5"/>
                <w:sz w:val="21"/>
              </w:rPr>
              <w:t>  </w:t>
            </w:r>
            <w:r>
              <w:rPr>
                <w:spacing w:val="-3"/>
                <w:w w:val="100"/>
                <w:sz w:val="21"/>
              </w:rPr>
              <w:t>分</w:t>
            </w:r>
            <w:r>
              <w:rPr>
                <w:spacing w:val="-106"/>
                <w:w w:val="100"/>
                <w:sz w:val="21"/>
              </w:rPr>
              <w:t>）</w:t>
            </w:r>
            <w:r>
              <w:rPr>
                <w:spacing w:val="-3"/>
                <w:w w:val="100"/>
                <w:sz w:val="21"/>
              </w:rPr>
              <w:t>：各主要施</w:t>
            </w:r>
            <w:r>
              <w:rPr>
                <w:spacing w:val="-3"/>
                <w:sz w:val="21"/>
              </w:rPr>
              <w:t>工工序有较详细周密劳动力安排计划，有较详细周密的各工种劳动力安排计划，劳动力</w:t>
            </w:r>
            <w:r>
              <w:rPr>
                <w:spacing w:val="-4"/>
                <w:w w:val="100"/>
                <w:sz w:val="21"/>
              </w:rPr>
              <w:t>投入合理，基本满足施工需要。</w:t>
            </w:r>
            <w:r>
              <w:rPr>
                <w:spacing w:val="-4"/>
                <w:sz w:val="21"/>
              </w:rPr>
              <w:t> </w:t>
            </w:r>
            <w:r>
              <w:rPr>
                <w:spacing w:val="-5"/>
                <w:w w:val="100"/>
                <w:sz w:val="21"/>
              </w:rPr>
              <w:t>中</w:t>
            </w:r>
            <w:r>
              <w:rPr>
                <w:w w:val="100"/>
                <w:sz w:val="21"/>
              </w:rPr>
              <w:t>（</w:t>
            </w:r>
            <w:r>
              <w:rPr>
                <w:rFonts w:ascii="Calibri" w:eastAsia="Calibri"/>
                <w:w w:val="100"/>
                <w:sz w:val="21"/>
              </w:rPr>
              <w:t>6</w:t>
            </w:r>
            <w:r>
              <w:rPr>
                <w:rFonts w:ascii="Calibri" w:eastAsia="Calibri"/>
                <w:sz w:val="21"/>
              </w:rPr>
              <w:t> </w:t>
            </w:r>
            <w:r>
              <w:rPr>
                <w:w w:val="100"/>
                <w:sz w:val="21"/>
              </w:rPr>
              <w:t>分</w:t>
            </w:r>
            <w:r>
              <w:rPr>
                <w:spacing w:val="-113"/>
                <w:w w:val="100"/>
                <w:sz w:val="21"/>
              </w:rPr>
              <w:t>）</w:t>
            </w:r>
            <w:r>
              <w:rPr>
                <w:spacing w:val="-7"/>
                <w:w w:val="100"/>
                <w:sz w:val="21"/>
              </w:rPr>
              <w:t>：</w:t>
            </w:r>
          </w:p>
          <w:p>
            <w:pPr>
              <w:pStyle w:val="TableParagraph"/>
              <w:spacing w:line="243" w:lineRule="exact"/>
              <w:ind w:left="147"/>
              <w:rPr>
                <w:sz w:val="21"/>
              </w:rPr>
            </w:pPr>
            <w:r>
              <w:rPr>
                <w:sz w:val="21"/>
              </w:rPr>
              <w:t>各主要施工工序有劳动力安排计划，有各工</w:t>
            </w:r>
          </w:p>
        </w:tc>
      </w:tr>
      <w:tr>
        <w:trPr>
          <w:trHeight w:val="1505" w:hRule="atLeast"/>
        </w:trPr>
        <w:tc>
          <w:tcPr>
            <w:tcW w:w="828" w:type="dxa"/>
            <w:vMerge/>
            <w:tcBorders>
              <w:top w:val="nil"/>
            </w:tcBorders>
          </w:tcPr>
          <w:p>
            <w:pPr>
              <w:rPr>
                <w:sz w:val="2"/>
                <w:szCs w:val="2"/>
              </w:rPr>
            </w:pPr>
          </w:p>
        </w:tc>
        <w:tc>
          <w:tcPr>
            <w:tcW w:w="874" w:type="dxa"/>
            <w:vMerge/>
            <w:tcBorders>
              <w:top w:val="nil"/>
            </w:tcBorders>
          </w:tcPr>
          <w:p>
            <w:pPr>
              <w:rPr>
                <w:sz w:val="2"/>
                <w:szCs w:val="2"/>
              </w:rPr>
            </w:pPr>
          </w:p>
        </w:tc>
        <w:tc>
          <w:tcPr>
            <w:tcW w:w="1104" w:type="dxa"/>
            <w:vMerge/>
            <w:tcBorders>
              <w:top w:val="nil"/>
            </w:tcBorders>
          </w:tcPr>
          <w:p>
            <w:pPr>
              <w:rPr>
                <w:sz w:val="2"/>
                <w:szCs w:val="2"/>
              </w:rPr>
            </w:pPr>
          </w:p>
        </w:tc>
        <w:tc>
          <w:tcPr>
            <w:tcW w:w="1830" w:type="dxa"/>
            <w:tcBorders>
              <w:top w:val="nil"/>
            </w:tcBorders>
          </w:tcPr>
          <w:p>
            <w:pPr>
              <w:pStyle w:val="TableParagraph"/>
              <w:rPr>
                <w:rFonts w:ascii="Times New Roman"/>
                <w:sz w:val="20"/>
              </w:rPr>
            </w:pPr>
          </w:p>
        </w:tc>
        <w:tc>
          <w:tcPr>
            <w:tcW w:w="4338" w:type="dxa"/>
            <w:tcBorders>
              <w:top w:val="nil"/>
            </w:tcBorders>
          </w:tcPr>
          <w:p>
            <w:pPr>
              <w:pStyle w:val="TableParagraph"/>
              <w:spacing w:line="242" w:lineRule="auto"/>
              <w:ind w:left="147" w:right="178"/>
              <w:jc w:val="both"/>
              <w:rPr>
                <w:sz w:val="21"/>
              </w:rPr>
            </w:pPr>
            <w:r>
              <w:rPr>
                <w:spacing w:val="-4"/>
                <w:sz w:val="21"/>
              </w:rPr>
              <w:t>种劳动力安排计划，劳动力投入基本合理， </w:t>
            </w:r>
            <w:r>
              <w:rPr>
                <w:spacing w:val="-3"/>
                <w:w w:val="100"/>
                <w:sz w:val="21"/>
              </w:rPr>
              <w:t>基本满足施工需要。</w:t>
            </w:r>
            <w:r>
              <w:rPr>
                <w:spacing w:val="-3"/>
                <w:sz w:val="21"/>
              </w:rPr>
              <w:t> </w:t>
            </w:r>
            <w:r>
              <w:rPr>
                <w:spacing w:val="-3"/>
                <w:w w:val="100"/>
                <w:sz w:val="21"/>
              </w:rPr>
              <w:t>差</w:t>
            </w:r>
            <w:r>
              <w:rPr>
                <w:spacing w:val="-2"/>
                <w:w w:val="100"/>
                <w:sz w:val="21"/>
              </w:rPr>
              <w:t>（</w:t>
            </w:r>
            <w:r>
              <w:rPr>
                <w:rFonts w:ascii="Calibri" w:eastAsia="Calibri"/>
                <w:w w:val="100"/>
                <w:sz w:val="21"/>
              </w:rPr>
              <w:t>1</w:t>
            </w:r>
            <w:r>
              <w:rPr>
                <w:rFonts w:ascii="Calibri" w:eastAsia="Calibri"/>
                <w:sz w:val="21"/>
              </w:rPr>
              <w:t> </w:t>
            </w:r>
            <w:r>
              <w:rPr>
                <w:spacing w:val="-3"/>
                <w:w w:val="100"/>
                <w:sz w:val="21"/>
              </w:rPr>
              <w:t>分</w:t>
            </w:r>
            <w:r>
              <w:rPr>
                <w:spacing w:val="-106"/>
                <w:w w:val="100"/>
                <w:sz w:val="21"/>
              </w:rPr>
              <w:t>）</w:t>
            </w:r>
            <w:r>
              <w:rPr>
                <w:spacing w:val="-3"/>
                <w:w w:val="100"/>
                <w:sz w:val="21"/>
              </w:rPr>
              <w:t>：各主要施</w:t>
            </w:r>
            <w:r>
              <w:rPr>
                <w:spacing w:val="-4"/>
                <w:sz w:val="21"/>
              </w:rPr>
              <w:t>工工序无劳动力安排计划，无各工种劳动力安排计划，劳动力投入不合理，不能满足施</w:t>
            </w:r>
            <w:r>
              <w:rPr>
                <w:spacing w:val="-1"/>
                <w:sz w:val="21"/>
              </w:rPr>
              <w:t>工需要。</w:t>
            </w:r>
          </w:p>
        </w:tc>
      </w:tr>
    </w:tbl>
    <w:p>
      <w:pPr>
        <w:spacing w:after="0" w:line="242" w:lineRule="auto"/>
        <w:jc w:val="both"/>
        <w:rPr>
          <w:sz w:val="21"/>
        </w:rPr>
        <w:sectPr>
          <w:pgSz w:w="11910" w:h="16850"/>
          <w:pgMar w:header="0" w:footer="779" w:top="1440" w:bottom="960" w:left="1120" w:right="280"/>
        </w:sectPr>
      </w:pPr>
    </w:p>
    <w:tbl>
      <w:tblPr>
        <w:tblW w:w="0" w:type="auto"/>
        <w:jc w:val="left"/>
        <w:tblInd w:w="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8"/>
        <w:gridCol w:w="874"/>
        <w:gridCol w:w="1103"/>
        <w:gridCol w:w="1831"/>
        <w:gridCol w:w="4338"/>
      </w:tblGrid>
      <w:tr>
        <w:trPr>
          <w:trHeight w:val="5203" w:hRule="atLeast"/>
        </w:trPr>
        <w:tc>
          <w:tcPr>
            <w:tcW w:w="828" w:type="dxa"/>
            <w:vMerge w:val="restart"/>
          </w:tcPr>
          <w:p>
            <w:pPr>
              <w:pStyle w:val="TableParagraph"/>
              <w:rPr>
                <w:rFonts w:ascii="Times New Roman"/>
                <w:sz w:val="20"/>
              </w:rPr>
            </w:pPr>
          </w:p>
        </w:tc>
        <w:tc>
          <w:tcPr>
            <w:tcW w:w="874" w:type="dxa"/>
            <w:vMerge w:val="restart"/>
          </w:tcPr>
          <w:p>
            <w:pPr>
              <w:pStyle w:val="TableParagraph"/>
              <w:rPr>
                <w:rFonts w:ascii="Times New Roman"/>
                <w:sz w:val="20"/>
              </w:rPr>
            </w:pPr>
          </w:p>
        </w:tc>
        <w:tc>
          <w:tcPr>
            <w:tcW w:w="1103" w:type="dxa"/>
            <w:vMerge w:val="restart"/>
          </w:tcPr>
          <w:p>
            <w:pPr>
              <w:pStyle w:val="TableParagraph"/>
              <w:rPr>
                <w:rFonts w:ascii="Times New Roman"/>
                <w:sz w:val="20"/>
              </w:rPr>
            </w:pPr>
          </w:p>
        </w:tc>
        <w:tc>
          <w:tcPr>
            <w:tcW w:w="1831" w:type="dxa"/>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6"/>
              <w:rPr>
                <w:rFonts w:ascii="Microsoft JhengHei"/>
                <w:b/>
                <w:sz w:val="19"/>
              </w:rPr>
            </w:pPr>
          </w:p>
          <w:p>
            <w:pPr>
              <w:pStyle w:val="TableParagraph"/>
              <w:spacing w:line="242" w:lineRule="auto"/>
              <w:ind w:left="142" w:right="197"/>
              <w:rPr>
                <w:sz w:val="21"/>
              </w:rPr>
            </w:pPr>
            <w:r>
              <w:rPr>
                <w:sz w:val="21"/>
              </w:rPr>
              <w:t>确保工程质量的技术组织措施</w:t>
            </w:r>
          </w:p>
          <w:p>
            <w:pPr>
              <w:pStyle w:val="TableParagraph"/>
              <w:spacing w:before="2"/>
              <w:ind w:left="142"/>
              <w:rPr>
                <w:sz w:val="21"/>
              </w:rPr>
            </w:pPr>
            <w:r>
              <w:rPr>
                <w:sz w:val="21"/>
              </w:rPr>
              <w:t>（</w:t>
            </w:r>
            <w:r>
              <w:rPr>
                <w:rFonts w:ascii="Calibri" w:eastAsia="Calibri"/>
                <w:sz w:val="21"/>
              </w:rPr>
              <w:t>10.00 </w:t>
            </w:r>
            <w:r>
              <w:rPr>
                <w:sz w:val="21"/>
              </w:rPr>
              <w:t>分）</w:t>
            </w:r>
          </w:p>
        </w:tc>
        <w:tc>
          <w:tcPr>
            <w:tcW w:w="4338" w:type="dxa"/>
          </w:tcPr>
          <w:p>
            <w:pPr>
              <w:pStyle w:val="TableParagraph"/>
              <w:spacing w:line="242" w:lineRule="auto" w:before="152"/>
              <w:ind w:left="147" w:right="27"/>
              <w:rPr>
                <w:sz w:val="21"/>
              </w:rPr>
            </w:pPr>
            <w:r>
              <w:rPr>
                <w:w w:val="100"/>
                <w:sz w:val="21"/>
              </w:rPr>
              <w:t>优</w:t>
            </w:r>
            <w:r>
              <w:rPr>
                <w:spacing w:val="-3"/>
                <w:w w:val="100"/>
                <w:sz w:val="21"/>
              </w:rPr>
              <w:t>（</w:t>
            </w:r>
            <w:r>
              <w:rPr>
                <w:rFonts w:ascii="Calibri" w:eastAsia="Calibri"/>
                <w:w w:val="100"/>
                <w:sz w:val="21"/>
              </w:rPr>
              <w:t>10</w:t>
            </w:r>
            <w:r>
              <w:rPr>
                <w:rFonts w:ascii="Calibri" w:eastAsia="Calibri"/>
                <w:spacing w:val="3"/>
                <w:sz w:val="21"/>
              </w:rPr>
              <w:t> </w:t>
            </w:r>
            <w:r>
              <w:rPr>
                <w:w w:val="100"/>
                <w:sz w:val="21"/>
              </w:rPr>
              <w:t>分</w:t>
            </w:r>
            <w:r>
              <w:rPr>
                <w:spacing w:val="-108"/>
                <w:w w:val="100"/>
                <w:sz w:val="21"/>
              </w:rPr>
              <w:t>）</w:t>
            </w:r>
            <w:r>
              <w:rPr>
                <w:spacing w:val="-3"/>
                <w:w w:val="100"/>
                <w:sz w:val="21"/>
              </w:rPr>
              <w:t>：有专门且专业的质量技术管理 </w:t>
            </w:r>
            <w:r>
              <w:rPr>
                <w:spacing w:val="-3"/>
                <w:sz w:val="21"/>
              </w:rPr>
              <w:t>班子和制度，且人员配备科学合理，制度科学合理健全。主要工序质量技术保证措施和手段科学合理，自控体系完整，能有效保证</w:t>
            </w:r>
            <w:r>
              <w:rPr>
                <w:spacing w:val="-13"/>
                <w:w w:val="100"/>
                <w:sz w:val="21"/>
              </w:rPr>
              <w:t>技术质量，达到承诺的质量标准。良</w:t>
            </w:r>
            <w:r>
              <w:rPr>
                <w:spacing w:val="-3"/>
                <w:w w:val="100"/>
                <w:sz w:val="21"/>
              </w:rPr>
              <w:t>（</w:t>
            </w:r>
            <w:r>
              <w:rPr>
                <w:rFonts w:ascii="Calibri" w:eastAsia="Calibri"/>
                <w:w w:val="100"/>
                <w:sz w:val="21"/>
              </w:rPr>
              <w:t>8</w:t>
            </w:r>
            <w:r>
              <w:rPr>
                <w:rFonts w:ascii="Calibri" w:eastAsia="Calibri"/>
                <w:spacing w:val="6"/>
                <w:sz w:val="21"/>
              </w:rPr>
              <w:t> </w:t>
            </w:r>
            <w:r>
              <w:rPr>
                <w:w w:val="100"/>
                <w:sz w:val="21"/>
              </w:rPr>
              <w:t>分</w:t>
            </w:r>
            <w:r>
              <w:rPr>
                <w:spacing w:val="-108"/>
                <w:w w:val="100"/>
                <w:sz w:val="21"/>
              </w:rPr>
              <w:t>）</w:t>
            </w:r>
            <w:r>
              <w:rPr>
                <w:w w:val="100"/>
                <w:sz w:val="21"/>
              </w:rPr>
              <w:t>：</w:t>
            </w:r>
            <w:r>
              <w:rPr>
                <w:spacing w:val="-3"/>
                <w:sz w:val="21"/>
              </w:rPr>
              <w:t>有专门的质量技术管理班子和制度，且人员配备合理，制度合理健全。主要工序的质量技术保证措施和手段合理，自控体系完整， </w:t>
            </w:r>
            <w:r>
              <w:rPr>
                <w:spacing w:val="-15"/>
                <w:sz w:val="21"/>
              </w:rPr>
              <w:t>保证技术质量，达到承诺的质量标准。 中</w:t>
            </w:r>
            <w:r>
              <w:rPr>
                <w:sz w:val="21"/>
              </w:rPr>
              <w:t>（</w:t>
            </w:r>
            <w:r>
              <w:rPr>
                <w:rFonts w:ascii="Calibri" w:eastAsia="Calibri"/>
                <w:sz w:val="21"/>
              </w:rPr>
              <w:t>5 </w:t>
            </w:r>
            <w:r>
              <w:rPr>
                <w:sz w:val="21"/>
              </w:rPr>
              <w:t>分）</w:t>
            </w:r>
            <w:r>
              <w:rPr>
                <w:spacing w:val="-3"/>
                <w:sz w:val="21"/>
              </w:rPr>
              <w:t>有专门的质量技术管理班子和制度，且人员配备合理，制度健全。主要工序的质量技术保证措施和手段一般，自控体系一般， 基本保证技术质量，达到承诺的质量标准。</w:t>
            </w:r>
            <w:r>
              <w:rPr>
                <w:spacing w:val="-3"/>
                <w:w w:val="100"/>
                <w:sz w:val="21"/>
              </w:rPr>
              <w:t>差（</w:t>
            </w:r>
            <w:r>
              <w:rPr>
                <w:rFonts w:ascii="Calibri" w:eastAsia="Calibri"/>
                <w:w w:val="100"/>
                <w:sz w:val="21"/>
              </w:rPr>
              <w:t>1</w:t>
            </w:r>
            <w:r>
              <w:rPr>
                <w:rFonts w:ascii="Calibri" w:eastAsia="Calibri"/>
                <w:spacing w:val="3"/>
                <w:sz w:val="21"/>
              </w:rPr>
              <w:t> </w:t>
            </w:r>
            <w:r>
              <w:rPr>
                <w:w w:val="100"/>
                <w:sz w:val="21"/>
              </w:rPr>
              <w:t>分</w:t>
            </w:r>
            <w:r>
              <w:rPr>
                <w:spacing w:val="-108"/>
                <w:w w:val="100"/>
                <w:sz w:val="21"/>
              </w:rPr>
              <w:t>）</w:t>
            </w:r>
            <w:r>
              <w:rPr>
                <w:spacing w:val="-3"/>
                <w:w w:val="100"/>
                <w:sz w:val="21"/>
              </w:rPr>
              <w:t>：有专门的质量技术管理班子和制</w:t>
            </w:r>
            <w:r>
              <w:rPr>
                <w:spacing w:val="-3"/>
                <w:sz w:val="21"/>
              </w:rPr>
              <w:t>度，人员配备不合理，制度不健全。主要工序无质量技术保证措施和手段，自控体系不完整，不能有效保证技术质量，达不到承诺的质量标准。</w:t>
            </w:r>
          </w:p>
        </w:tc>
      </w:tr>
      <w:tr>
        <w:trPr>
          <w:trHeight w:val="6293" w:hRule="atLeast"/>
        </w:trPr>
        <w:tc>
          <w:tcPr>
            <w:tcW w:w="828" w:type="dxa"/>
            <w:vMerge/>
            <w:tcBorders>
              <w:top w:val="nil"/>
            </w:tcBorders>
          </w:tcPr>
          <w:p>
            <w:pPr>
              <w:rPr>
                <w:sz w:val="2"/>
                <w:szCs w:val="2"/>
              </w:rPr>
            </w:pPr>
          </w:p>
        </w:tc>
        <w:tc>
          <w:tcPr>
            <w:tcW w:w="874" w:type="dxa"/>
            <w:vMerge/>
            <w:tcBorders>
              <w:top w:val="nil"/>
            </w:tcBorders>
          </w:tcPr>
          <w:p>
            <w:pPr>
              <w:rPr>
                <w:sz w:val="2"/>
                <w:szCs w:val="2"/>
              </w:rPr>
            </w:pPr>
          </w:p>
        </w:tc>
        <w:tc>
          <w:tcPr>
            <w:tcW w:w="1103" w:type="dxa"/>
            <w:vMerge/>
            <w:tcBorders>
              <w:top w:val="nil"/>
            </w:tcBorders>
          </w:tcPr>
          <w:p>
            <w:pPr>
              <w:rPr>
                <w:sz w:val="2"/>
                <w:szCs w:val="2"/>
              </w:rPr>
            </w:pPr>
          </w:p>
        </w:tc>
        <w:tc>
          <w:tcPr>
            <w:tcW w:w="1831" w:type="dxa"/>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18"/>
              <w:rPr>
                <w:rFonts w:ascii="Microsoft JhengHei"/>
                <w:b/>
                <w:sz w:val="28"/>
              </w:rPr>
            </w:pPr>
          </w:p>
          <w:p>
            <w:pPr>
              <w:pStyle w:val="TableParagraph"/>
              <w:spacing w:line="242" w:lineRule="auto"/>
              <w:ind w:left="142" w:right="197"/>
              <w:rPr>
                <w:sz w:val="21"/>
              </w:rPr>
            </w:pPr>
            <w:r>
              <w:rPr>
                <w:sz w:val="21"/>
              </w:rPr>
              <w:t>确保安全生产的技术组织措施</w:t>
            </w:r>
          </w:p>
          <w:p>
            <w:pPr>
              <w:pStyle w:val="TableParagraph"/>
              <w:spacing w:before="1"/>
              <w:ind w:left="142"/>
              <w:rPr>
                <w:sz w:val="21"/>
              </w:rPr>
            </w:pPr>
            <w:r>
              <w:rPr>
                <w:sz w:val="21"/>
              </w:rPr>
              <w:t>（</w:t>
            </w:r>
            <w:r>
              <w:rPr>
                <w:rFonts w:ascii="Calibri" w:eastAsia="Calibri"/>
                <w:sz w:val="21"/>
              </w:rPr>
              <w:t>5.00 </w:t>
            </w:r>
            <w:r>
              <w:rPr>
                <w:sz w:val="21"/>
              </w:rPr>
              <w:t>分）</w:t>
            </w:r>
          </w:p>
        </w:tc>
        <w:tc>
          <w:tcPr>
            <w:tcW w:w="4338" w:type="dxa"/>
          </w:tcPr>
          <w:p>
            <w:pPr>
              <w:pStyle w:val="TableParagraph"/>
              <w:spacing w:line="242" w:lineRule="auto" w:before="152"/>
              <w:ind w:left="147" w:right="25"/>
              <w:rPr>
                <w:sz w:val="21"/>
              </w:rPr>
            </w:pPr>
            <w:r>
              <w:rPr>
                <w:spacing w:val="-3"/>
                <w:w w:val="100"/>
                <w:sz w:val="21"/>
              </w:rPr>
              <w:t>优（</w:t>
            </w:r>
            <w:r>
              <w:rPr>
                <w:rFonts w:ascii="Calibri" w:eastAsia="Calibri"/>
                <w:w w:val="100"/>
                <w:sz w:val="21"/>
              </w:rPr>
              <w:t>5</w:t>
            </w:r>
            <w:r>
              <w:rPr>
                <w:rFonts w:ascii="Calibri" w:eastAsia="Calibri"/>
                <w:sz w:val="21"/>
              </w:rPr>
              <w:t> </w:t>
            </w:r>
            <w:r>
              <w:rPr>
                <w:w w:val="100"/>
                <w:sz w:val="21"/>
              </w:rPr>
              <w:t>分</w:t>
            </w:r>
            <w:r>
              <w:rPr>
                <w:spacing w:val="-108"/>
                <w:w w:val="100"/>
                <w:sz w:val="21"/>
              </w:rPr>
              <w:t>）</w:t>
            </w:r>
            <w:r>
              <w:rPr>
                <w:spacing w:val="-3"/>
                <w:w w:val="100"/>
                <w:sz w:val="21"/>
              </w:rPr>
              <w:t>：有专门的专业安全管理人员和制</w:t>
            </w:r>
            <w:r>
              <w:rPr>
                <w:spacing w:val="-10"/>
                <w:sz w:val="21"/>
              </w:rPr>
              <w:t>度，且人员配备科学合理，制度科学、合理、</w:t>
            </w:r>
            <w:r>
              <w:rPr>
                <w:spacing w:val="-3"/>
                <w:sz w:val="21"/>
              </w:rPr>
              <w:t>健全，各道工序安全技术措施针对性强，确保工程质量的技术组织措施符合实际且满足有关安全技术标准要求。现场防火、应急救</w:t>
            </w:r>
            <w:r>
              <w:rPr>
                <w:spacing w:val="-3"/>
                <w:w w:val="100"/>
                <w:sz w:val="21"/>
              </w:rPr>
              <w:t>援、社会治安安全措施得力。</w:t>
            </w:r>
            <w:r>
              <w:rPr>
                <w:spacing w:val="-3"/>
                <w:sz w:val="21"/>
              </w:rPr>
              <w:t> </w:t>
            </w:r>
            <w:r>
              <w:rPr>
                <w:w w:val="100"/>
                <w:sz w:val="21"/>
              </w:rPr>
              <w:t>良</w:t>
            </w:r>
            <w:r>
              <w:rPr>
                <w:spacing w:val="-3"/>
                <w:w w:val="100"/>
                <w:sz w:val="21"/>
              </w:rPr>
              <w:t>（</w:t>
            </w:r>
            <w:r>
              <w:rPr>
                <w:rFonts w:ascii="Calibri" w:eastAsia="Calibri"/>
                <w:w w:val="100"/>
                <w:sz w:val="21"/>
              </w:rPr>
              <w:t>4</w:t>
            </w:r>
            <w:r>
              <w:rPr>
                <w:rFonts w:ascii="Calibri" w:eastAsia="Calibri"/>
                <w:sz w:val="21"/>
              </w:rPr>
              <w:t> </w:t>
            </w:r>
            <w:r>
              <w:rPr>
                <w:spacing w:val="-3"/>
                <w:w w:val="100"/>
                <w:sz w:val="21"/>
              </w:rPr>
              <w:t>分</w:t>
            </w:r>
            <w:r>
              <w:rPr>
                <w:spacing w:val="-106"/>
                <w:w w:val="100"/>
                <w:sz w:val="21"/>
              </w:rPr>
              <w:t>）</w:t>
            </w:r>
            <w:r>
              <w:rPr>
                <w:w w:val="100"/>
                <w:sz w:val="21"/>
              </w:rPr>
              <w:t>： </w:t>
            </w:r>
            <w:r>
              <w:rPr>
                <w:spacing w:val="-3"/>
                <w:sz w:val="21"/>
              </w:rPr>
              <w:t>有专门的专业安全管理人员和制度，且人员配备科学合理，制度健全、合理，各道工序安全技术措施针对性一般，确保工程质量的技术组织措施符合实际且基本满足有关安全技术标准要求。现场防火、应急救援、社会</w:t>
            </w:r>
            <w:r>
              <w:rPr>
                <w:spacing w:val="-4"/>
                <w:sz w:val="21"/>
              </w:rPr>
              <w:t>治安安全措施一般。 中</w:t>
            </w:r>
            <w:r>
              <w:rPr>
                <w:sz w:val="21"/>
              </w:rPr>
              <w:t>（</w:t>
            </w:r>
            <w:r>
              <w:rPr>
                <w:rFonts w:ascii="Calibri" w:eastAsia="Calibri"/>
                <w:sz w:val="21"/>
              </w:rPr>
              <w:t>3 </w:t>
            </w:r>
            <w:r>
              <w:rPr>
                <w:spacing w:val="-3"/>
                <w:sz w:val="21"/>
              </w:rPr>
              <w:t>分）有专门的安全管理人员和制度，且人员配备合理，制度健全，各道工序安全技术措施针对性一般， 确保工程质量的技术组织措施符合实际且基本满足有关安全技术标准要求。现场防火、应急救援、社会治安安全措施一般。 差</w:t>
            </w:r>
            <w:r>
              <w:rPr>
                <w:sz w:val="21"/>
              </w:rPr>
              <w:t>（</w:t>
            </w:r>
            <w:r>
              <w:rPr>
                <w:rFonts w:ascii="Calibri" w:eastAsia="Calibri"/>
                <w:sz w:val="21"/>
              </w:rPr>
              <w:t>1 </w:t>
            </w:r>
            <w:r>
              <w:rPr>
                <w:sz w:val="21"/>
              </w:rPr>
              <w:t>分</w:t>
            </w:r>
            <w:r>
              <w:rPr>
                <w:spacing w:val="-69"/>
                <w:sz w:val="21"/>
              </w:rPr>
              <w:t>）</w:t>
            </w:r>
            <w:r>
              <w:rPr>
                <w:spacing w:val="-12"/>
                <w:sz w:val="21"/>
              </w:rPr>
              <w:t>：有专门的安全管理人员和制度，人员配</w:t>
            </w:r>
            <w:r>
              <w:rPr>
                <w:spacing w:val="-6"/>
                <w:sz w:val="21"/>
              </w:rPr>
              <w:t>备不合理，制度不健全，各道工序安全技术</w:t>
            </w:r>
            <w:r>
              <w:rPr>
                <w:spacing w:val="-4"/>
                <w:sz w:val="21"/>
              </w:rPr>
              <w:t>措施针无对性，不满足有关安全技术标准要</w:t>
            </w:r>
            <w:r>
              <w:rPr>
                <w:spacing w:val="-3"/>
                <w:sz w:val="21"/>
              </w:rPr>
              <w:t>求。现场防火、应急救援、社会治安安全措施不得力。</w:t>
            </w:r>
          </w:p>
        </w:tc>
      </w:tr>
      <w:tr>
        <w:trPr>
          <w:trHeight w:val="2205" w:hRule="atLeast"/>
        </w:trPr>
        <w:tc>
          <w:tcPr>
            <w:tcW w:w="828" w:type="dxa"/>
            <w:vMerge/>
            <w:tcBorders>
              <w:top w:val="nil"/>
            </w:tcBorders>
          </w:tcPr>
          <w:p>
            <w:pPr>
              <w:rPr>
                <w:sz w:val="2"/>
                <w:szCs w:val="2"/>
              </w:rPr>
            </w:pPr>
          </w:p>
        </w:tc>
        <w:tc>
          <w:tcPr>
            <w:tcW w:w="874" w:type="dxa"/>
            <w:vMerge/>
            <w:tcBorders>
              <w:top w:val="nil"/>
            </w:tcBorders>
          </w:tcPr>
          <w:p>
            <w:pPr>
              <w:rPr>
                <w:sz w:val="2"/>
                <w:szCs w:val="2"/>
              </w:rPr>
            </w:pPr>
          </w:p>
        </w:tc>
        <w:tc>
          <w:tcPr>
            <w:tcW w:w="1103" w:type="dxa"/>
            <w:vMerge/>
            <w:tcBorders>
              <w:top w:val="nil"/>
            </w:tcBorders>
          </w:tcPr>
          <w:p>
            <w:pPr>
              <w:rPr>
                <w:sz w:val="2"/>
                <w:szCs w:val="2"/>
              </w:rPr>
            </w:pPr>
          </w:p>
        </w:tc>
        <w:tc>
          <w:tcPr>
            <w:tcW w:w="1831" w:type="dxa"/>
          </w:tcPr>
          <w:p>
            <w:pPr>
              <w:pStyle w:val="TableParagraph"/>
              <w:rPr>
                <w:rFonts w:ascii="Microsoft JhengHei"/>
                <w:b/>
                <w:sz w:val="20"/>
              </w:rPr>
            </w:pPr>
          </w:p>
          <w:p>
            <w:pPr>
              <w:pStyle w:val="TableParagraph"/>
              <w:spacing w:before="14"/>
              <w:rPr>
                <w:rFonts w:ascii="Microsoft JhengHei"/>
                <w:b/>
                <w:sz w:val="17"/>
              </w:rPr>
            </w:pPr>
          </w:p>
          <w:p>
            <w:pPr>
              <w:pStyle w:val="TableParagraph"/>
              <w:spacing w:line="242" w:lineRule="auto"/>
              <w:ind w:left="142" w:right="141"/>
              <w:jc w:val="both"/>
              <w:rPr>
                <w:sz w:val="21"/>
              </w:rPr>
            </w:pPr>
            <w:r>
              <w:rPr>
                <w:sz w:val="21"/>
              </w:rPr>
              <w:t>确保工期的技术组织措施（</w:t>
            </w:r>
            <w:r>
              <w:rPr>
                <w:rFonts w:ascii="Calibri" w:eastAsia="Calibri"/>
                <w:sz w:val="21"/>
              </w:rPr>
              <w:t>10.00 </w:t>
            </w:r>
            <w:r>
              <w:rPr>
                <w:sz w:val="21"/>
              </w:rPr>
              <w:t>分）</w:t>
            </w:r>
          </w:p>
        </w:tc>
        <w:tc>
          <w:tcPr>
            <w:tcW w:w="4338" w:type="dxa"/>
          </w:tcPr>
          <w:p>
            <w:pPr>
              <w:pStyle w:val="TableParagraph"/>
              <w:spacing w:line="242" w:lineRule="auto" w:before="149"/>
              <w:ind w:left="147" w:right="27"/>
              <w:rPr>
                <w:sz w:val="21"/>
              </w:rPr>
            </w:pPr>
            <w:r>
              <w:rPr>
                <w:w w:val="100"/>
                <w:sz w:val="21"/>
              </w:rPr>
              <w:t>优</w:t>
            </w:r>
            <w:r>
              <w:rPr>
                <w:spacing w:val="-3"/>
                <w:w w:val="100"/>
                <w:sz w:val="21"/>
              </w:rPr>
              <w:t>（</w:t>
            </w:r>
            <w:r>
              <w:rPr>
                <w:rFonts w:ascii="Calibri" w:eastAsia="Calibri"/>
                <w:w w:val="100"/>
                <w:sz w:val="21"/>
              </w:rPr>
              <w:t>10</w:t>
            </w:r>
            <w:r>
              <w:rPr>
                <w:rFonts w:ascii="Calibri" w:eastAsia="Calibri"/>
                <w:spacing w:val="3"/>
                <w:sz w:val="21"/>
              </w:rPr>
              <w:t> </w:t>
            </w:r>
            <w:r>
              <w:rPr>
                <w:w w:val="100"/>
                <w:sz w:val="21"/>
              </w:rPr>
              <w:t>分</w:t>
            </w:r>
            <w:r>
              <w:rPr>
                <w:spacing w:val="-108"/>
                <w:w w:val="100"/>
                <w:sz w:val="21"/>
              </w:rPr>
              <w:t>）</w:t>
            </w:r>
            <w:r>
              <w:rPr>
                <w:spacing w:val="-3"/>
                <w:w w:val="100"/>
                <w:sz w:val="21"/>
              </w:rPr>
              <w:t>：在施工工艺、施工方法、材料 </w:t>
            </w:r>
            <w:r>
              <w:rPr>
                <w:spacing w:val="-3"/>
                <w:sz w:val="21"/>
              </w:rPr>
              <w:t>选用、劳动力安排、技术等方面有保证工期的具体措施且措施得当，针对赶工措施有具</w:t>
            </w:r>
            <w:r>
              <w:rPr>
                <w:spacing w:val="-9"/>
                <w:sz w:val="21"/>
              </w:rPr>
              <w:t>体的表述，赶工措施合理科学，可操作性高。</w:t>
            </w:r>
            <w:r>
              <w:rPr>
                <w:spacing w:val="-5"/>
                <w:sz w:val="21"/>
              </w:rPr>
              <w:t>有控制工期的施工进度计划。有施工总进度</w:t>
            </w:r>
            <w:r>
              <w:rPr>
                <w:spacing w:val="-4"/>
                <w:sz w:val="21"/>
              </w:rPr>
              <w:t>表或施工网络图，各项计划图表编制完善， </w:t>
            </w:r>
            <w:r>
              <w:rPr>
                <w:spacing w:val="-8"/>
                <w:sz w:val="21"/>
              </w:rPr>
              <w:t>安排科学合理，符合本项目施工实际求。 良</w:t>
            </w:r>
          </w:p>
        </w:tc>
      </w:tr>
    </w:tbl>
    <w:p>
      <w:pPr>
        <w:spacing w:after="0" w:line="242" w:lineRule="auto"/>
        <w:rPr>
          <w:sz w:val="21"/>
        </w:rPr>
        <w:sectPr>
          <w:pgSz w:w="11910" w:h="16850"/>
          <w:pgMar w:header="0" w:footer="779" w:top="1440" w:bottom="960" w:left="1120" w:right="280"/>
        </w:sectPr>
      </w:pPr>
    </w:p>
    <w:tbl>
      <w:tblPr>
        <w:tblW w:w="0" w:type="auto"/>
        <w:jc w:val="left"/>
        <w:tblInd w:w="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8"/>
        <w:gridCol w:w="874"/>
        <w:gridCol w:w="1103"/>
        <w:gridCol w:w="1831"/>
        <w:gridCol w:w="4338"/>
      </w:tblGrid>
      <w:tr>
        <w:trPr>
          <w:trHeight w:val="687" w:hRule="atLeast"/>
        </w:trPr>
        <w:tc>
          <w:tcPr>
            <w:tcW w:w="828" w:type="dxa"/>
            <w:vMerge w:val="restart"/>
          </w:tcPr>
          <w:p>
            <w:pPr>
              <w:pStyle w:val="TableParagraph"/>
              <w:rPr>
                <w:rFonts w:ascii="Times New Roman"/>
                <w:sz w:val="20"/>
              </w:rPr>
            </w:pPr>
          </w:p>
        </w:tc>
        <w:tc>
          <w:tcPr>
            <w:tcW w:w="874" w:type="dxa"/>
            <w:vMerge w:val="restart"/>
          </w:tcPr>
          <w:p>
            <w:pPr>
              <w:pStyle w:val="TableParagraph"/>
              <w:rPr>
                <w:rFonts w:ascii="Times New Roman"/>
                <w:sz w:val="20"/>
              </w:rPr>
            </w:pPr>
          </w:p>
        </w:tc>
        <w:tc>
          <w:tcPr>
            <w:tcW w:w="1103" w:type="dxa"/>
            <w:vMerge w:val="restart"/>
          </w:tcPr>
          <w:p>
            <w:pPr>
              <w:pStyle w:val="TableParagraph"/>
              <w:rPr>
                <w:rFonts w:ascii="Times New Roman"/>
                <w:sz w:val="20"/>
              </w:rPr>
            </w:pPr>
          </w:p>
        </w:tc>
        <w:tc>
          <w:tcPr>
            <w:tcW w:w="1831" w:type="dxa"/>
            <w:vMerge w:val="restart"/>
          </w:tcPr>
          <w:p>
            <w:pPr>
              <w:pStyle w:val="TableParagraph"/>
              <w:rPr>
                <w:rFonts w:ascii="Times New Roman"/>
                <w:sz w:val="20"/>
              </w:rPr>
            </w:pPr>
          </w:p>
        </w:tc>
        <w:tc>
          <w:tcPr>
            <w:tcW w:w="4338" w:type="dxa"/>
            <w:tcBorders>
              <w:bottom w:val="nil"/>
            </w:tcBorders>
          </w:tcPr>
          <w:p>
            <w:pPr>
              <w:pStyle w:val="TableParagraph"/>
              <w:spacing w:line="270" w:lineRule="atLeast" w:before="151"/>
              <w:ind w:left="147" w:right="27"/>
              <w:rPr>
                <w:sz w:val="21"/>
              </w:rPr>
            </w:pPr>
            <w:r>
              <w:rPr>
                <w:sz w:val="21"/>
              </w:rPr>
              <w:t>（</w:t>
            </w:r>
            <w:r>
              <w:rPr>
                <w:rFonts w:ascii="Calibri" w:eastAsia="Calibri"/>
                <w:sz w:val="21"/>
              </w:rPr>
              <w:t>8 </w:t>
            </w:r>
            <w:r>
              <w:rPr>
                <w:sz w:val="21"/>
              </w:rPr>
              <w:t>分</w:t>
            </w:r>
            <w:r>
              <w:rPr>
                <w:spacing w:val="-74"/>
                <w:sz w:val="21"/>
              </w:rPr>
              <w:t>）</w:t>
            </w:r>
            <w:r>
              <w:rPr>
                <w:spacing w:val="-14"/>
                <w:sz w:val="21"/>
              </w:rPr>
              <w:t>：在施工工艺、施工方法、材料选用、</w:t>
            </w:r>
            <w:r>
              <w:rPr>
                <w:spacing w:val="-7"/>
                <w:sz w:val="21"/>
              </w:rPr>
              <w:t>劳动力安排、技术等方面有保证工期的措施</w:t>
            </w:r>
          </w:p>
        </w:tc>
      </w:tr>
      <w:tr>
        <w:trPr>
          <w:trHeight w:val="525" w:hRule="atLeast"/>
        </w:trPr>
        <w:tc>
          <w:tcPr>
            <w:tcW w:w="828" w:type="dxa"/>
            <w:vMerge/>
            <w:tcBorders>
              <w:top w:val="nil"/>
            </w:tcBorders>
          </w:tcPr>
          <w:p>
            <w:pPr>
              <w:rPr>
                <w:sz w:val="2"/>
                <w:szCs w:val="2"/>
              </w:rPr>
            </w:pPr>
          </w:p>
        </w:tc>
        <w:tc>
          <w:tcPr>
            <w:tcW w:w="874" w:type="dxa"/>
            <w:vMerge/>
            <w:tcBorders>
              <w:top w:val="nil"/>
            </w:tcBorders>
          </w:tcPr>
          <w:p>
            <w:pPr>
              <w:rPr>
                <w:sz w:val="2"/>
                <w:szCs w:val="2"/>
              </w:rPr>
            </w:pPr>
          </w:p>
        </w:tc>
        <w:tc>
          <w:tcPr>
            <w:tcW w:w="1103" w:type="dxa"/>
            <w:vMerge/>
            <w:tcBorders>
              <w:top w:val="nil"/>
            </w:tcBorders>
          </w:tcPr>
          <w:p>
            <w:pPr>
              <w:rPr>
                <w:sz w:val="2"/>
                <w:szCs w:val="2"/>
              </w:rPr>
            </w:pPr>
          </w:p>
        </w:tc>
        <w:tc>
          <w:tcPr>
            <w:tcW w:w="1831" w:type="dxa"/>
            <w:vMerge/>
            <w:tcBorders>
              <w:top w:val="nil"/>
            </w:tcBorders>
          </w:tcPr>
          <w:p>
            <w:pPr>
              <w:rPr>
                <w:sz w:val="2"/>
                <w:szCs w:val="2"/>
              </w:rPr>
            </w:pPr>
          </w:p>
        </w:tc>
        <w:tc>
          <w:tcPr>
            <w:tcW w:w="4338" w:type="dxa"/>
            <w:tcBorders>
              <w:top w:val="nil"/>
              <w:bottom w:val="nil"/>
            </w:tcBorders>
          </w:tcPr>
          <w:p>
            <w:pPr>
              <w:pStyle w:val="TableParagraph"/>
              <w:spacing w:line="260" w:lineRule="exact"/>
              <w:ind w:left="147"/>
              <w:rPr>
                <w:sz w:val="21"/>
              </w:rPr>
            </w:pPr>
            <w:r>
              <w:rPr>
                <w:sz w:val="21"/>
              </w:rPr>
              <w:t>但措施一般，有赶工措施。有控制工期的施</w:t>
            </w:r>
          </w:p>
          <w:p>
            <w:pPr>
              <w:pStyle w:val="TableParagraph"/>
              <w:spacing w:line="243" w:lineRule="exact" w:before="2"/>
              <w:ind w:left="147"/>
              <w:rPr>
                <w:sz w:val="21"/>
              </w:rPr>
            </w:pPr>
            <w:r>
              <w:rPr>
                <w:spacing w:val="-9"/>
                <w:sz w:val="21"/>
              </w:rPr>
              <w:t>工进度计划。有施工总进度表或施工网络图，</w:t>
            </w:r>
          </w:p>
        </w:tc>
      </w:tr>
      <w:tr>
        <w:trPr>
          <w:trHeight w:val="1074" w:hRule="atLeast"/>
        </w:trPr>
        <w:tc>
          <w:tcPr>
            <w:tcW w:w="828" w:type="dxa"/>
            <w:vMerge/>
            <w:tcBorders>
              <w:top w:val="nil"/>
            </w:tcBorders>
          </w:tcPr>
          <w:p>
            <w:pPr>
              <w:rPr>
                <w:sz w:val="2"/>
                <w:szCs w:val="2"/>
              </w:rPr>
            </w:pPr>
          </w:p>
        </w:tc>
        <w:tc>
          <w:tcPr>
            <w:tcW w:w="874" w:type="dxa"/>
            <w:vMerge/>
            <w:tcBorders>
              <w:top w:val="nil"/>
            </w:tcBorders>
          </w:tcPr>
          <w:p>
            <w:pPr>
              <w:rPr>
                <w:sz w:val="2"/>
                <w:szCs w:val="2"/>
              </w:rPr>
            </w:pPr>
          </w:p>
        </w:tc>
        <w:tc>
          <w:tcPr>
            <w:tcW w:w="1103" w:type="dxa"/>
            <w:vMerge/>
            <w:tcBorders>
              <w:top w:val="nil"/>
            </w:tcBorders>
          </w:tcPr>
          <w:p>
            <w:pPr>
              <w:rPr>
                <w:sz w:val="2"/>
                <w:szCs w:val="2"/>
              </w:rPr>
            </w:pPr>
          </w:p>
        </w:tc>
        <w:tc>
          <w:tcPr>
            <w:tcW w:w="1831" w:type="dxa"/>
            <w:vMerge/>
            <w:tcBorders>
              <w:top w:val="nil"/>
            </w:tcBorders>
          </w:tcPr>
          <w:p>
            <w:pPr>
              <w:rPr>
                <w:sz w:val="2"/>
                <w:szCs w:val="2"/>
              </w:rPr>
            </w:pPr>
          </w:p>
        </w:tc>
        <w:tc>
          <w:tcPr>
            <w:tcW w:w="4338" w:type="dxa"/>
            <w:tcBorders>
              <w:top w:val="nil"/>
              <w:bottom w:val="nil"/>
            </w:tcBorders>
          </w:tcPr>
          <w:p>
            <w:pPr>
              <w:pStyle w:val="TableParagraph"/>
              <w:spacing w:line="242" w:lineRule="auto"/>
              <w:ind w:left="147" w:right="133"/>
              <w:jc w:val="both"/>
              <w:rPr>
                <w:sz w:val="21"/>
              </w:rPr>
            </w:pPr>
            <w:r>
              <w:rPr>
                <w:spacing w:val="-3"/>
                <w:sz w:val="21"/>
              </w:rPr>
              <w:t>各项计划图表编制一般，安排合理，基本符合本项目施工实际要求。 中</w:t>
            </w:r>
            <w:r>
              <w:rPr>
                <w:sz w:val="21"/>
              </w:rPr>
              <w:t>（</w:t>
            </w:r>
            <w:r>
              <w:rPr>
                <w:rFonts w:ascii="Calibri" w:eastAsia="Calibri"/>
                <w:sz w:val="21"/>
              </w:rPr>
              <w:t>6</w:t>
            </w:r>
            <w:r>
              <w:rPr>
                <w:rFonts w:ascii="Calibri" w:eastAsia="Calibri"/>
                <w:spacing w:val="12"/>
                <w:sz w:val="21"/>
              </w:rPr>
              <w:t> </w:t>
            </w:r>
            <w:r>
              <w:rPr>
                <w:spacing w:val="-3"/>
                <w:sz w:val="21"/>
              </w:rPr>
              <w:t>分）</w:t>
            </w:r>
            <w:r>
              <w:rPr>
                <w:spacing w:val="-5"/>
                <w:sz w:val="21"/>
              </w:rPr>
              <w:t>在施工</w:t>
            </w:r>
            <w:r>
              <w:rPr>
                <w:spacing w:val="-3"/>
                <w:sz w:val="21"/>
              </w:rPr>
              <w:t>工艺、施工方法、材料选用、劳动力安排、</w:t>
            </w:r>
          </w:p>
          <w:p>
            <w:pPr>
              <w:pStyle w:val="TableParagraph"/>
              <w:spacing w:line="243" w:lineRule="exact"/>
              <w:ind w:left="147"/>
              <w:rPr>
                <w:sz w:val="21"/>
              </w:rPr>
            </w:pPr>
            <w:r>
              <w:rPr>
                <w:spacing w:val="-3"/>
                <w:sz w:val="21"/>
              </w:rPr>
              <w:t>技术等方面有保证工期的措施但措施较差，</w:t>
            </w:r>
          </w:p>
        </w:tc>
      </w:tr>
      <w:tr>
        <w:trPr>
          <w:trHeight w:val="529" w:hRule="atLeast"/>
        </w:trPr>
        <w:tc>
          <w:tcPr>
            <w:tcW w:w="828" w:type="dxa"/>
            <w:vMerge/>
            <w:tcBorders>
              <w:top w:val="nil"/>
            </w:tcBorders>
          </w:tcPr>
          <w:p>
            <w:pPr>
              <w:rPr>
                <w:sz w:val="2"/>
                <w:szCs w:val="2"/>
              </w:rPr>
            </w:pPr>
          </w:p>
        </w:tc>
        <w:tc>
          <w:tcPr>
            <w:tcW w:w="874" w:type="dxa"/>
            <w:vMerge/>
            <w:tcBorders>
              <w:top w:val="nil"/>
            </w:tcBorders>
          </w:tcPr>
          <w:p>
            <w:pPr>
              <w:rPr>
                <w:sz w:val="2"/>
                <w:szCs w:val="2"/>
              </w:rPr>
            </w:pPr>
          </w:p>
        </w:tc>
        <w:tc>
          <w:tcPr>
            <w:tcW w:w="1103" w:type="dxa"/>
            <w:vMerge/>
            <w:tcBorders>
              <w:top w:val="nil"/>
            </w:tcBorders>
          </w:tcPr>
          <w:p>
            <w:pPr>
              <w:rPr>
                <w:sz w:val="2"/>
                <w:szCs w:val="2"/>
              </w:rPr>
            </w:pPr>
          </w:p>
        </w:tc>
        <w:tc>
          <w:tcPr>
            <w:tcW w:w="1831" w:type="dxa"/>
            <w:vMerge/>
            <w:tcBorders>
              <w:top w:val="nil"/>
            </w:tcBorders>
          </w:tcPr>
          <w:p>
            <w:pPr>
              <w:rPr>
                <w:sz w:val="2"/>
                <w:szCs w:val="2"/>
              </w:rPr>
            </w:pPr>
          </w:p>
        </w:tc>
        <w:tc>
          <w:tcPr>
            <w:tcW w:w="4338" w:type="dxa"/>
            <w:tcBorders>
              <w:top w:val="nil"/>
              <w:bottom w:val="nil"/>
            </w:tcBorders>
          </w:tcPr>
          <w:p>
            <w:pPr>
              <w:pStyle w:val="TableParagraph"/>
              <w:spacing w:line="264" w:lineRule="exact"/>
              <w:ind w:left="147"/>
              <w:rPr>
                <w:sz w:val="21"/>
              </w:rPr>
            </w:pPr>
            <w:r>
              <w:rPr>
                <w:spacing w:val="-3"/>
                <w:sz w:val="21"/>
              </w:rPr>
              <w:t>有赶工措施。有控制工期的施工进度计划但</w:t>
            </w:r>
          </w:p>
          <w:p>
            <w:pPr>
              <w:pStyle w:val="TableParagraph"/>
              <w:spacing w:line="243" w:lineRule="exact" w:before="2"/>
              <w:ind w:left="147"/>
              <w:rPr>
                <w:sz w:val="21"/>
              </w:rPr>
            </w:pPr>
            <w:r>
              <w:rPr>
                <w:spacing w:val="-3"/>
                <w:sz w:val="21"/>
              </w:rPr>
              <w:t>不科学。有施工总进度表或施工网络图，各</w:t>
            </w:r>
          </w:p>
        </w:tc>
      </w:tr>
      <w:tr>
        <w:trPr>
          <w:trHeight w:val="801" w:hRule="atLeast"/>
        </w:trPr>
        <w:tc>
          <w:tcPr>
            <w:tcW w:w="828" w:type="dxa"/>
            <w:vMerge/>
            <w:tcBorders>
              <w:top w:val="nil"/>
            </w:tcBorders>
          </w:tcPr>
          <w:p>
            <w:pPr>
              <w:rPr>
                <w:sz w:val="2"/>
                <w:szCs w:val="2"/>
              </w:rPr>
            </w:pPr>
          </w:p>
        </w:tc>
        <w:tc>
          <w:tcPr>
            <w:tcW w:w="874" w:type="dxa"/>
            <w:vMerge/>
            <w:tcBorders>
              <w:top w:val="nil"/>
            </w:tcBorders>
          </w:tcPr>
          <w:p>
            <w:pPr>
              <w:rPr>
                <w:sz w:val="2"/>
                <w:szCs w:val="2"/>
              </w:rPr>
            </w:pPr>
          </w:p>
        </w:tc>
        <w:tc>
          <w:tcPr>
            <w:tcW w:w="1103" w:type="dxa"/>
            <w:vMerge/>
            <w:tcBorders>
              <w:top w:val="nil"/>
            </w:tcBorders>
          </w:tcPr>
          <w:p>
            <w:pPr>
              <w:rPr>
                <w:sz w:val="2"/>
                <w:szCs w:val="2"/>
              </w:rPr>
            </w:pPr>
          </w:p>
        </w:tc>
        <w:tc>
          <w:tcPr>
            <w:tcW w:w="1831" w:type="dxa"/>
            <w:vMerge/>
            <w:tcBorders>
              <w:top w:val="nil"/>
            </w:tcBorders>
          </w:tcPr>
          <w:p>
            <w:pPr>
              <w:rPr>
                <w:sz w:val="2"/>
                <w:szCs w:val="2"/>
              </w:rPr>
            </w:pPr>
          </w:p>
        </w:tc>
        <w:tc>
          <w:tcPr>
            <w:tcW w:w="4338" w:type="dxa"/>
            <w:tcBorders>
              <w:top w:val="nil"/>
              <w:bottom w:val="nil"/>
            </w:tcBorders>
          </w:tcPr>
          <w:p>
            <w:pPr>
              <w:pStyle w:val="TableParagraph"/>
              <w:spacing w:line="242" w:lineRule="auto"/>
              <w:ind w:left="147" w:right="178"/>
              <w:rPr>
                <w:sz w:val="21"/>
              </w:rPr>
            </w:pPr>
            <w:r>
              <w:rPr>
                <w:spacing w:val="-4"/>
                <w:sz w:val="21"/>
              </w:rPr>
              <w:t>项计划图表编制一般，安排基本合理，仅基</w:t>
            </w:r>
            <w:r>
              <w:rPr>
                <w:spacing w:val="-3"/>
                <w:w w:val="100"/>
                <w:sz w:val="21"/>
              </w:rPr>
              <w:t>本符合本项目施工实际要求。</w:t>
            </w:r>
            <w:r>
              <w:rPr>
                <w:spacing w:val="-3"/>
                <w:sz w:val="21"/>
              </w:rPr>
              <w:t> </w:t>
            </w:r>
            <w:r>
              <w:rPr>
                <w:w w:val="100"/>
                <w:sz w:val="21"/>
              </w:rPr>
              <w:t>差</w:t>
            </w:r>
            <w:r>
              <w:rPr>
                <w:spacing w:val="-3"/>
                <w:w w:val="100"/>
                <w:sz w:val="21"/>
              </w:rPr>
              <w:t>（</w:t>
            </w:r>
            <w:r>
              <w:rPr>
                <w:rFonts w:ascii="Calibri" w:eastAsia="Calibri"/>
                <w:w w:val="100"/>
                <w:sz w:val="21"/>
              </w:rPr>
              <w:t>1</w:t>
            </w:r>
            <w:r>
              <w:rPr>
                <w:rFonts w:ascii="Calibri" w:eastAsia="Calibri"/>
                <w:sz w:val="21"/>
              </w:rPr>
              <w:t> </w:t>
            </w:r>
            <w:r>
              <w:rPr>
                <w:spacing w:val="-3"/>
                <w:w w:val="100"/>
                <w:sz w:val="21"/>
              </w:rPr>
              <w:t>分</w:t>
            </w:r>
            <w:r>
              <w:rPr>
                <w:spacing w:val="-106"/>
                <w:w w:val="100"/>
                <w:sz w:val="21"/>
              </w:rPr>
              <w:t>）</w:t>
            </w:r>
            <w:r>
              <w:rPr>
                <w:w w:val="100"/>
                <w:sz w:val="21"/>
              </w:rPr>
              <w:t>：</w:t>
            </w:r>
          </w:p>
          <w:p>
            <w:pPr>
              <w:pStyle w:val="TableParagraph"/>
              <w:spacing w:line="243" w:lineRule="exact"/>
              <w:ind w:left="147"/>
              <w:rPr>
                <w:sz w:val="21"/>
              </w:rPr>
            </w:pPr>
            <w:r>
              <w:rPr>
                <w:sz w:val="21"/>
              </w:rPr>
              <w:t>在施工工艺、施工方法、材料选用、劳动力</w:t>
            </w:r>
          </w:p>
        </w:tc>
      </w:tr>
      <w:tr>
        <w:trPr>
          <w:trHeight w:val="529" w:hRule="atLeast"/>
        </w:trPr>
        <w:tc>
          <w:tcPr>
            <w:tcW w:w="828" w:type="dxa"/>
            <w:vMerge/>
            <w:tcBorders>
              <w:top w:val="nil"/>
            </w:tcBorders>
          </w:tcPr>
          <w:p>
            <w:pPr>
              <w:rPr>
                <w:sz w:val="2"/>
                <w:szCs w:val="2"/>
              </w:rPr>
            </w:pPr>
          </w:p>
        </w:tc>
        <w:tc>
          <w:tcPr>
            <w:tcW w:w="874" w:type="dxa"/>
            <w:vMerge/>
            <w:tcBorders>
              <w:top w:val="nil"/>
            </w:tcBorders>
          </w:tcPr>
          <w:p>
            <w:pPr>
              <w:rPr>
                <w:sz w:val="2"/>
                <w:szCs w:val="2"/>
              </w:rPr>
            </w:pPr>
          </w:p>
        </w:tc>
        <w:tc>
          <w:tcPr>
            <w:tcW w:w="1103" w:type="dxa"/>
            <w:vMerge/>
            <w:tcBorders>
              <w:top w:val="nil"/>
            </w:tcBorders>
          </w:tcPr>
          <w:p>
            <w:pPr>
              <w:rPr>
                <w:sz w:val="2"/>
                <w:szCs w:val="2"/>
              </w:rPr>
            </w:pPr>
          </w:p>
        </w:tc>
        <w:tc>
          <w:tcPr>
            <w:tcW w:w="1831" w:type="dxa"/>
            <w:vMerge/>
            <w:tcBorders>
              <w:top w:val="nil"/>
            </w:tcBorders>
          </w:tcPr>
          <w:p>
            <w:pPr>
              <w:rPr>
                <w:sz w:val="2"/>
                <w:szCs w:val="2"/>
              </w:rPr>
            </w:pPr>
          </w:p>
        </w:tc>
        <w:tc>
          <w:tcPr>
            <w:tcW w:w="4338" w:type="dxa"/>
            <w:tcBorders>
              <w:top w:val="nil"/>
              <w:bottom w:val="nil"/>
            </w:tcBorders>
          </w:tcPr>
          <w:p>
            <w:pPr>
              <w:pStyle w:val="TableParagraph"/>
              <w:spacing w:line="264" w:lineRule="exact"/>
              <w:ind w:left="147"/>
              <w:rPr>
                <w:sz w:val="21"/>
              </w:rPr>
            </w:pPr>
            <w:r>
              <w:rPr>
                <w:spacing w:val="-3"/>
                <w:sz w:val="21"/>
              </w:rPr>
              <w:t>安排、技术等方面有保证工期的措施但措施</w:t>
            </w:r>
          </w:p>
          <w:p>
            <w:pPr>
              <w:pStyle w:val="TableParagraph"/>
              <w:spacing w:line="243" w:lineRule="exact" w:before="2"/>
              <w:ind w:left="147"/>
              <w:rPr>
                <w:sz w:val="21"/>
              </w:rPr>
            </w:pPr>
            <w:r>
              <w:rPr>
                <w:spacing w:val="-3"/>
                <w:sz w:val="21"/>
              </w:rPr>
              <w:t>差。无控制工期的施工进度计划。无施工总</w:t>
            </w:r>
          </w:p>
        </w:tc>
      </w:tr>
      <w:tr>
        <w:trPr>
          <w:trHeight w:val="687" w:hRule="atLeast"/>
        </w:trPr>
        <w:tc>
          <w:tcPr>
            <w:tcW w:w="828" w:type="dxa"/>
            <w:vMerge/>
            <w:tcBorders>
              <w:top w:val="nil"/>
            </w:tcBorders>
          </w:tcPr>
          <w:p>
            <w:pPr>
              <w:rPr>
                <w:sz w:val="2"/>
                <w:szCs w:val="2"/>
              </w:rPr>
            </w:pPr>
          </w:p>
        </w:tc>
        <w:tc>
          <w:tcPr>
            <w:tcW w:w="874" w:type="dxa"/>
            <w:vMerge/>
            <w:tcBorders>
              <w:top w:val="nil"/>
            </w:tcBorders>
          </w:tcPr>
          <w:p>
            <w:pPr>
              <w:rPr>
                <w:sz w:val="2"/>
                <w:szCs w:val="2"/>
              </w:rPr>
            </w:pPr>
          </w:p>
        </w:tc>
        <w:tc>
          <w:tcPr>
            <w:tcW w:w="1103" w:type="dxa"/>
            <w:vMerge/>
            <w:tcBorders>
              <w:top w:val="nil"/>
            </w:tcBorders>
          </w:tcPr>
          <w:p>
            <w:pPr>
              <w:rPr>
                <w:sz w:val="2"/>
                <w:szCs w:val="2"/>
              </w:rPr>
            </w:pPr>
          </w:p>
        </w:tc>
        <w:tc>
          <w:tcPr>
            <w:tcW w:w="1831" w:type="dxa"/>
            <w:vMerge/>
            <w:tcBorders>
              <w:top w:val="nil"/>
            </w:tcBorders>
          </w:tcPr>
          <w:p>
            <w:pPr>
              <w:rPr>
                <w:sz w:val="2"/>
                <w:szCs w:val="2"/>
              </w:rPr>
            </w:pPr>
          </w:p>
        </w:tc>
        <w:tc>
          <w:tcPr>
            <w:tcW w:w="4338" w:type="dxa"/>
            <w:tcBorders>
              <w:top w:val="nil"/>
            </w:tcBorders>
          </w:tcPr>
          <w:p>
            <w:pPr>
              <w:pStyle w:val="TableParagraph"/>
              <w:spacing w:line="242" w:lineRule="auto"/>
              <w:ind w:left="147" w:right="178"/>
              <w:rPr>
                <w:sz w:val="21"/>
              </w:rPr>
            </w:pPr>
            <w:r>
              <w:rPr>
                <w:sz w:val="21"/>
              </w:rPr>
              <w:t>进度表或施工网络图，不符合本项目施工实际要求。</w:t>
            </w:r>
          </w:p>
        </w:tc>
      </w:tr>
      <w:tr>
        <w:trPr>
          <w:trHeight w:val="1776" w:hRule="atLeast"/>
        </w:trPr>
        <w:tc>
          <w:tcPr>
            <w:tcW w:w="828" w:type="dxa"/>
            <w:vMerge/>
            <w:tcBorders>
              <w:top w:val="nil"/>
            </w:tcBorders>
          </w:tcPr>
          <w:p>
            <w:pPr>
              <w:rPr>
                <w:sz w:val="2"/>
                <w:szCs w:val="2"/>
              </w:rPr>
            </w:pPr>
          </w:p>
        </w:tc>
        <w:tc>
          <w:tcPr>
            <w:tcW w:w="874" w:type="dxa"/>
            <w:vMerge/>
            <w:tcBorders>
              <w:top w:val="nil"/>
            </w:tcBorders>
          </w:tcPr>
          <w:p>
            <w:pPr>
              <w:rPr>
                <w:sz w:val="2"/>
                <w:szCs w:val="2"/>
              </w:rPr>
            </w:pPr>
          </w:p>
        </w:tc>
        <w:tc>
          <w:tcPr>
            <w:tcW w:w="1103" w:type="dxa"/>
            <w:vMerge/>
            <w:tcBorders>
              <w:top w:val="nil"/>
            </w:tcBorders>
          </w:tcPr>
          <w:p>
            <w:pPr>
              <w:rPr>
                <w:sz w:val="2"/>
                <w:szCs w:val="2"/>
              </w:rPr>
            </w:pPr>
          </w:p>
        </w:tc>
        <w:tc>
          <w:tcPr>
            <w:tcW w:w="1831" w:type="dxa"/>
            <w:tcBorders>
              <w:bottom w:val="nil"/>
            </w:tcBorders>
          </w:tcPr>
          <w:p>
            <w:pPr>
              <w:pStyle w:val="TableParagraph"/>
              <w:rPr>
                <w:rFonts w:ascii="Times New Roman"/>
                <w:sz w:val="20"/>
              </w:rPr>
            </w:pPr>
          </w:p>
        </w:tc>
        <w:tc>
          <w:tcPr>
            <w:tcW w:w="4338" w:type="dxa"/>
            <w:tcBorders>
              <w:bottom w:val="nil"/>
            </w:tcBorders>
          </w:tcPr>
          <w:p>
            <w:pPr>
              <w:pStyle w:val="TableParagraph"/>
              <w:spacing w:line="242" w:lineRule="auto" w:before="152"/>
              <w:ind w:left="147" w:right="133"/>
              <w:jc w:val="both"/>
              <w:rPr>
                <w:sz w:val="21"/>
              </w:rPr>
            </w:pPr>
            <w:r>
              <w:rPr>
                <w:spacing w:val="-3"/>
                <w:w w:val="100"/>
                <w:sz w:val="21"/>
              </w:rPr>
              <w:t>优（</w:t>
            </w:r>
            <w:r>
              <w:rPr>
                <w:rFonts w:ascii="Calibri" w:eastAsia="Calibri"/>
                <w:w w:val="100"/>
                <w:sz w:val="21"/>
              </w:rPr>
              <w:t>5</w:t>
            </w:r>
            <w:r>
              <w:rPr>
                <w:rFonts w:ascii="Calibri" w:eastAsia="Calibri"/>
                <w:sz w:val="21"/>
              </w:rPr>
              <w:t> </w:t>
            </w:r>
            <w:r>
              <w:rPr>
                <w:w w:val="100"/>
                <w:sz w:val="21"/>
              </w:rPr>
              <w:t>分</w:t>
            </w:r>
            <w:r>
              <w:rPr>
                <w:spacing w:val="-108"/>
                <w:w w:val="100"/>
                <w:sz w:val="21"/>
              </w:rPr>
              <w:t>）</w:t>
            </w:r>
            <w:r>
              <w:rPr>
                <w:spacing w:val="-3"/>
                <w:w w:val="100"/>
                <w:sz w:val="21"/>
              </w:rPr>
              <w:t>：针对本工程项目特点，有现场文</w:t>
            </w:r>
            <w:r>
              <w:rPr>
                <w:spacing w:val="-16"/>
                <w:sz w:val="21"/>
              </w:rPr>
              <w:t>明施工、环境保护措施，且措施内容达到《建筑施工安全生产检查标准》</w:t>
            </w:r>
            <w:r>
              <w:rPr>
                <w:sz w:val="21"/>
              </w:rPr>
              <w:t>（</w:t>
            </w:r>
            <w:r>
              <w:rPr>
                <w:rFonts w:ascii="Calibri" w:eastAsia="Calibri"/>
                <w:sz w:val="21"/>
              </w:rPr>
              <w:t>JGJ59-2011</w:t>
            </w:r>
            <w:r>
              <w:rPr>
                <w:sz w:val="21"/>
              </w:rPr>
              <w:t>）合</w:t>
            </w:r>
            <w:r>
              <w:rPr>
                <w:spacing w:val="-3"/>
                <w:sz w:val="21"/>
              </w:rPr>
              <w:t>格标准并符合《广西壮族自治区建筑工程文</w:t>
            </w:r>
          </w:p>
          <w:p>
            <w:pPr>
              <w:pStyle w:val="TableParagraph"/>
              <w:spacing w:line="270" w:lineRule="atLeast" w:before="1"/>
              <w:ind w:left="147" w:right="27"/>
              <w:rPr>
                <w:sz w:val="21"/>
              </w:rPr>
            </w:pPr>
            <w:r>
              <w:rPr>
                <w:spacing w:val="-3"/>
                <w:sz w:val="21"/>
              </w:rPr>
              <w:t>明施工导则》要求。各项措施周全、具体、</w:t>
            </w:r>
            <w:r>
              <w:rPr>
                <w:spacing w:val="-10"/>
                <w:sz w:val="21"/>
              </w:rPr>
              <w:t>有效。有具体实现现场文明施工目标的承诺。</w:t>
            </w:r>
          </w:p>
        </w:tc>
      </w:tr>
      <w:tr>
        <w:trPr>
          <w:trHeight w:val="526" w:hRule="atLeast"/>
        </w:trPr>
        <w:tc>
          <w:tcPr>
            <w:tcW w:w="828" w:type="dxa"/>
            <w:vMerge/>
            <w:tcBorders>
              <w:top w:val="nil"/>
            </w:tcBorders>
          </w:tcPr>
          <w:p>
            <w:pPr>
              <w:rPr>
                <w:sz w:val="2"/>
                <w:szCs w:val="2"/>
              </w:rPr>
            </w:pPr>
          </w:p>
        </w:tc>
        <w:tc>
          <w:tcPr>
            <w:tcW w:w="874" w:type="dxa"/>
            <w:vMerge/>
            <w:tcBorders>
              <w:top w:val="nil"/>
            </w:tcBorders>
          </w:tcPr>
          <w:p>
            <w:pPr>
              <w:rPr>
                <w:sz w:val="2"/>
                <w:szCs w:val="2"/>
              </w:rPr>
            </w:pPr>
          </w:p>
        </w:tc>
        <w:tc>
          <w:tcPr>
            <w:tcW w:w="1103" w:type="dxa"/>
            <w:vMerge/>
            <w:tcBorders>
              <w:top w:val="nil"/>
            </w:tcBorders>
          </w:tcPr>
          <w:p>
            <w:pPr>
              <w:rPr>
                <w:sz w:val="2"/>
                <w:szCs w:val="2"/>
              </w:rPr>
            </w:pPr>
          </w:p>
        </w:tc>
        <w:tc>
          <w:tcPr>
            <w:tcW w:w="1831" w:type="dxa"/>
            <w:tcBorders>
              <w:top w:val="nil"/>
              <w:bottom w:val="nil"/>
            </w:tcBorders>
          </w:tcPr>
          <w:p>
            <w:pPr>
              <w:pStyle w:val="TableParagraph"/>
              <w:rPr>
                <w:rFonts w:ascii="Times New Roman"/>
                <w:sz w:val="20"/>
              </w:rPr>
            </w:pPr>
          </w:p>
        </w:tc>
        <w:tc>
          <w:tcPr>
            <w:tcW w:w="4338" w:type="dxa"/>
            <w:tcBorders>
              <w:top w:val="nil"/>
              <w:bottom w:val="nil"/>
            </w:tcBorders>
          </w:tcPr>
          <w:p>
            <w:pPr>
              <w:pStyle w:val="TableParagraph"/>
              <w:spacing w:line="261" w:lineRule="exact"/>
              <w:ind w:left="147"/>
              <w:rPr>
                <w:sz w:val="21"/>
              </w:rPr>
            </w:pPr>
            <w:r>
              <w:rPr>
                <w:spacing w:val="-3"/>
                <w:w w:val="100"/>
                <w:sz w:val="21"/>
              </w:rPr>
              <w:t>良（</w:t>
            </w:r>
            <w:r>
              <w:rPr>
                <w:rFonts w:ascii="Calibri" w:eastAsia="Calibri"/>
                <w:w w:val="100"/>
                <w:sz w:val="21"/>
              </w:rPr>
              <w:t>4</w:t>
            </w:r>
            <w:r>
              <w:rPr>
                <w:rFonts w:ascii="Calibri" w:eastAsia="Calibri"/>
                <w:spacing w:val="6"/>
                <w:sz w:val="21"/>
              </w:rPr>
              <w:t> </w:t>
            </w:r>
            <w:r>
              <w:rPr>
                <w:w w:val="100"/>
                <w:sz w:val="21"/>
              </w:rPr>
              <w:t>分</w:t>
            </w:r>
            <w:r>
              <w:rPr>
                <w:spacing w:val="-108"/>
                <w:w w:val="100"/>
                <w:sz w:val="21"/>
              </w:rPr>
              <w:t>）</w:t>
            </w:r>
            <w:r>
              <w:rPr>
                <w:spacing w:val="-3"/>
                <w:w w:val="100"/>
                <w:sz w:val="21"/>
              </w:rPr>
              <w:t>：针对本工程项目特点，有现场文</w:t>
            </w:r>
          </w:p>
          <w:p>
            <w:pPr>
              <w:pStyle w:val="TableParagraph"/>
              <w:spacing w:line="243" w:lineRule="exact" w:before="2"/>
              <w:ind w:left="147"/>
              <w:rPr>
                <w:sz w:val="21"/>
              </w:rPr>
            </w:pPr>
            <w:r>
              <w:rPr>
                <w:spacing w:val="-16"/>
                <w:sz w:val="21"/>
              </w:rPr>
              <w:t>明施工、环境保护措施，且措施内容达到《建</w:t>
            </w:r>
          </w:p>
        </w:tc>
      </w:tr>
      <w:tr>
        <w:trPr>
          <w:trHeight w:val="529" w:hRule="atLeast"/>
        </w:trPr>
        <w:tc>
          <w:tcPr>
            <w:tcW w:w="828" w:type="dxa"/>
            <w:vMerge/>
            <w:tcBorders>
              <w:top w:val="nil"/>
            </w:tcBorders>
          </w:tcPr>
          <w:p>
            <w:pPr>
              <w:rPr>
                <w:sz w:val="2"/>
                <w:szCs w:val="2"/>
              </w:rPr>
            </w:pPr>
          </w:p>
        </w:tc>
        <w:tc>
          <w:tcPr>
            <w:tcW w:w="874" w:type="dxa"/>
            <w:vMerge/>
            <w:tcBorders>
              <w:top w:val="nil"/>
            </w:tcBorders>
          </w:tcPr>
          <w:p>
            <w:pPr>
              <w:rPr>
                <w:sz w:val="2"/>
                <w:szCs w:val="2"/>
              </w:rPr>
            </w:pPr>
          </w:p>
        </w:tc>
        <w:tc>
          <w:tcPr>
            <w:tcW w:w="1103" w:type="dxa"/>
            <w:vMerge/>
            <w:tcBorders>
              <w:top w:val="nil"/>
            </w:tcBorders>
          </w:tcPr>
          <w:p>
            <w:pPr>
              <w:rPr>
                <w:sz w:val="2"/>
                <w:szCs w:val="2"/>
              </w:rPr>
            </w:pPr>
          </w:p>
        </w:tc>
        <w:tc>
          <w:tcPr>
            <w:tcW w:w="1831" w:type="dxa"/>
            <w:tcBorders>
              <w:top w:val="nil"/>
              <w:bottom w:val="nil"/>
            </w:tcBorders>
          </w:tcPr>
          <w:p>
            <w:pPr>
              <w:pStyle w:val="TableParagraph"/>
              <w:rPr>
                <w:rFonts w:ascii="Times New Roman"/>
                <w:sz w:val="20"/>
              </w:rPr>
            </w:pPr>
          </w:p>
        </w:tc>
        <w:tc>
          <w:tcPr>
            <w:tcW w:w="4338" w:type="dxa"/>
            <w:tcBorders>
              <w:top w:val="nil"/>
              <w:bottom w:val="nil"/>
            </w:tcBorders>
          </w:tcPr>
          <w:p>
            <w:pPr>
              <w:pStyle w:val="TableParagraph"/>
              <w:spacing w:line="264" w:lineRule="exact"/>
              <w:ind w:left="147"/>
              <w:rPr>
                <w:sz w:val="21"/>
              </w:rPr>
            </w:pPr>
            <w:r>
              <w:rPr>
                <w:spacing w:val="-12"/>
                <w:sz w:val="21"/>
              </w:rPr>
              <w:t>筑施工安全生产检查标准》</w:t>
            </w:r>
            <w:r>
              <w:rPr>
                <w:spacing w:val="-1"/>
                <w:sz w:val="21"/>
              </w:rPr>
              <w:t>（</w:t>
            </w:r>
            <w:r>
              <w:rPr>
                <w:rFonts w:ascii="Calibri" w:eastAsia="Calibri"/>
                <w:spacing w:val="-1"/>
                <w:sz w:val="21"/>
              </w:rPr>
              <w:t>JGJ59-2011</w:t>
            </w:r>
            <w:r>
              <w:rPr>
                <w:spacing w:val="-1"/>
                <w:sz w:val="21"/>
              </w:rPr>
              <w:t>）</w:t>
            </w:r>
            <w:r>
              <w:rPr>
                <w:sz w:val="21"/>
              </w:rPr>
              <w:t>合</w:t>
            </w:r>
          </w:p>
          <w:p>
            <w:pPr>
              <w:pStyle w:val="TableParagraph"/>
              <w:spacing w:line="243" w:lineRule="exact" w:before="2"/>
              <w:ind w:left="147"/>
              <w:rPr>
                <w:sz w:val="21"/>
              </w:rPr>
            </w:pPr>
            <w:r>
              <w:rPr>
                <w:spacing w:val="-3"/>
                <w:sz w:val="21"/>
              </w:rPr>
              <w:t>格标准并符合《广西壮族自治区建筑工程文</w:t>
            </w:r>
          </w:p>
        </w:tc>
      </w:tr>
      <w:tr>
        <w:trPr>
          <w:trHeight w:val="1074" w:hRule="atLeast"/>
        </w:trPr>
        <w:tc>
          <w:tcPr>
            <w:tcW w:w="828" w:type="dxa"/>
            <w:vMerge/>
            <w:tcBorders>
              <w:top w:val="nil"/>
            </w:tcBorders>
          </w:tcPr>
          <w:p>
            <w:pPr>
              <w:rPr>
                <w:sz w:val="2"/>
                <w:szCs w:val="2"/>
              </w:rPr>
            </w:pPr>
          </w:p>
        </w:tc>
        <w:tc>
          <w:tcPr>
            <w:tcW w:w="874" w:type="dxa"/>
            <w:vMerge/>
            <w:tcBorders>
              <w:top w:val="nil"/>
            </w:tcBorders>
          </w:tcPr>
          <w:p>
            <w:pPr>
              <w:rPr>
                <w:sz w:val="2"/>
                <w:szCs w:val="2"/>
              </w:rPr>
            </w:pPr>
          </w:p>
        </w:tc>
        <w:tc>
          <w:tcPr>
            <w:tcW w:w="1103" w:type="dxa"/>
            <w:vMerge/>
            <w:tcBorders>
              <w:top w:val="nil"/>
            </w:tcBorders>
          </w:tcPr>
          <w:p>
            <w:pPr>
              <w:rPr>
                <w:sz w:val="2"/>
                <w:szCs w:val="2"/>
              </w:rPr>
            </w:pPr>
          </w:p>
        </w:tc>
        <w:tc>
          <w:tcPr>
            <w:tcW w:w="1831" w:type="dxa"/>
            <w:tcBorders>
              <w:top w:val="nil"/>
              <w:bottom w:val="nil"/>
            </w:tcBorders>
          </w:tcPr>
          <w:p>
            <w:pPr>
              <w:pStyle w:val="TableParagraph"/>
              <w:spacing w:line="242" w:lineRule="auto"/>
              <w:ind w:left="142" w:right="197"/>
              <w:rPr>
                <w:sz w:val="21"/>
              </w:rPr>
            </w:pPr>
            <w:r>
              <w:rPr>
                <w:sz w:val="21"/>
              </w:rPr>
              <w:t>确保文明施工的技术组织措施</w:t>
            </w:r>
          </w:p>
          <w:p>
            <w:pPr>
              <w:pStyle w:val="TableParagraph"/>
              <w:ind w:left="142"/>
              <w:rPr>
                <w:sz w:val="21"/>
              </w:rPr>
            </w:pPr>
            <w:r>
              <w:rPr>
                <w:sz w:val="21"/>
              </w:rPr>
              <w:t>（</w:t>
            </w:r>
            <w:r>
              <w:rPr>
                <w:rFonts w:ascii="Calibri" w:eastAsia="Calibri"/>
                <w:sz w:val="21"/>
              </w:rPr>
              <w:t>5.00 </w:t>
            </w:r>
            <w:r>
              <w:rPr>
                <w:sz w:val="21"/>
              </w:rPr>
              <w:t>分）</w:t>
            </w:r>
          </w:p>
        </w:tc>
        <w:tc>
          <w:tcPr>
            <w:tcW w:w="4338" w:type="dxa"/>
            <w:tcBorders>
              <w:top w:val="nil"/>
              <w:bottom w:val="nil"/>
            </w:tcBorders>
          </w:tcPr>
          <w:p>
            <w:pPr>
              <w:pStyle w:val="TableParagraph"/>
              <w:spacing w:line="242" w:lineRule="auto"/>
              <w:ind w:left="147" w:right="25"/>
              <w:rPr>
                <w:sz w:val="21"/>
              </w:rPr>
            </w:pPr>
            <w:r>
              <w:rPr>
                <w:spacing w:val="-3"/>
                <w:sz w:val="21"/>
              </w:rPr>
              <w:t>明施工导则》要求。各项措施一般。有具体</w:t>
            </w:r>
            <w:r>
              <w:rPr>
                <w:spacing w:val="-3"/>
                <w:w w:val="100"/>
                <w:sz w:val="21"/>
              </w:rPr>
              <w:t>实现现场文明施工目标的承诺。</w:t>
            </w:r>
            <w:r>
              <w:rPr>
                <w:spacing w:val="-3"/>
                <w:sz w:val="21"/>
              </w:rPr>
              <w:t> </w:t>
            </w:r>
            <w:r>
              <w:rPr>
                <w:spacing w:val="-5"/>
                <w:w w:val="100"/>
                <w:sz w:val="21"/>
              </w:rPr>
              <w:t>中</w:t>
            </w:r>
            <w:r>
              <w:rPr>
                <w:w w:val="100"/>
                <w:sz w:val="21"/>
              </w:rPr>
              <w:t>（</w:t>
            </w:r>
            <w:r>
              <w:rPr>
                <w:rFonts w:ascii="Calibri" w:eastAsia="Calibri"/>
                <w:w w:val="100"/>
                <w:sz w:val="21"/>
              </w:rPr>
              <w:t>3</w:t>
            </w:r>
            <w:r>
              <w:rPr>
                <w:rFonts w:ascii="Calibri" w:eastAsia="Calibri"/>
                <w:sz w:val="21"/>
              </w:rPr>
              <w:t> </w:t>
            </w:r>
            <w:r>
              <w:rPr>
                <w:w w:val="100"/>
                <w:sz w:val="21"/>
              </w:rPr>
              <w:t>分</w:t>
            </w:r>
            <w:r>
              <w:rPr>
                <w:spacing w:val="-112"/>
                <w:w w:val="100"/>
                <w:sz w:val="21"/>
              </w:rPr>
              <w:t>）</w:t>
            </w:r>
            <w:r>
              <w:rPr>
                <w:spacing w:val="-6"/>
                <w:w w:val="100"/>
                <w:sz w:val="21"/>
              </w:rPr>
              <w:t>：</w:t>
            </w:r>
            <w:r>
              <w:rPr>
                <w:spacing w:val="-3"/>
                <w:sz w:val="21"/>
              </w:rPr>
              <w:t>有现场文明施工、环境保护措施，且措施内</w:t>
            </w:r>
          </w:p>
          <w:p>
            <w:pPr>
              <w:pStyle w:val="TableParagraph"/>
              <w:spacing w:line="243" w:lineRule="exact"/>
              <w:ind w:left="147"/>
              <w:rPr>
                <w:sz w:val="21"/>
              </w:rPr>
            </w:pPr>
            <w:r>
              <w:rPr>
                <w:sz w:val="21"/>
              </w:rPr>
              <w:t>容达到《建筑施工安全生产检查标准》</w:t>
            </w:r>
          </w:p>
        </w:tc>
      </w:tr>
      <w:tr>
        <w:trPr>
          <w:trHeight w:val="529" w:hRule="atLeast"/>
        </w:trPr>
        <w:tc>
          <w:tcPr>
            <w:tcW w:w="828" w:type="dxa"/>
            <w:vMerge/>
            <w:tcBorders>
              <w:top w:val="nil"/>
            </w:tcBorders>
          </w:tcPr>
          <w:p>
            <w:pPr>
              <w:rPr>
                <w:sz w:val="2"/>
                <w:szCs w:val="2"/>
              </w:rPr>
            </w:pPr>
          </w:p>
        </w:tc>
        <w:tc>
          <w:tcPr>
            <w:tcW w:w="874" w:type="dxa"/>
            <w:vMerge/>
            <w:tcBorders>
              <w:top w:val="nil"/>
            </w:tcBorders>
          </w:tcPr>
          <w:p>
            <w:pPr>
              <w:rPr>
                <w:sz w:val="2"/>
                <w:szCs w:val="2"/>
              </w:rPr>
            </w:pPr>
          </w:p>
        </w:tc>
        <w:tc>
          <w:tcPr>
            <w:tcW w:w="1103" w:type="dxa"/>
            <w:vMerge/>
            <w:tcBorders>
              <w:top w:val="nil"/>
            </w:tcBorders>
          </w:tcPr>
          <w:p>
            <w:pPr>
              <w:rPr>
                <w:sz w:val="2"/>
                <w:szCs w:val="2"/>
              </w:rPr>
            </w:pPr>
          </w:p>
        </w:tc>
        <w:tc>
          <w:tcPr>
            <w:tcW w:w="1831" w:type="dxa"/>
            <w:tcBorders>
              <w:top w:val="nil"/>
              <w:bottom w:val="nil"/>
            </w:tcBorders>
          </w:tcPr>
          <w:p>
            <w:pPr>
              <w:pStyle w:val="TableParagraph"/>
              <w:rPr>
                <w:rFonts w:ascii="Times New Roman"/>
                <w:sz w:val="20"/>
              </w:rPr>
            </w:pPr>
          </w:p>
        </w:tc>
        <w:tc>
          <w:tcPr>
            <w:tcW w:w="4338" w:type="dxa"/>
            <w:tcBorders>
              <w:top w:val="nil"/>
              <w:bottom w:val="nil"/>
            </w:tcBorders>
          </w:tcPr>
          <w:p>
            <w:pPr>
              <w:pStyle w:val="TableParagraph"/>
              <w:spacing w:line="264" w:lineRule="exact"/>
              <w:ind w:left="147"/>
              <w:rPr>
                <w:sz w:val="21"/>
              </w:rPr>
            </w:pPr>
            <w:r>
              <w:rPr>
                <w:sz w:val="21"/>
              </w:rPr>
              <w:t>（</w:t>
            </w:r>
            <w:r>
              <w:rPr>
                <w:rFonts w:ascii="Calibri" w:eastAsia="Calibri"/>
                <w:sz w:val="21"/>
              </w:rPr>
              <w:t>JGJ59-2011</w:t>
            </w:r>
            <w:r>
              <w:rPr>
                <w:sz w:val="21"/>
              </w:rPr>
              <w:t>）合格标准并符合《广西壮族自</w:t>
            </w:r>
          </w:p>
          <w:p>
            <w:pPr>
              <w:pStyle w:val="TableParagraph"/>
              <w:spacing w:line="243" w:lineRule="exact" w:before="2"/>
              <w:ind w:left="147"/>
              <w:rPr>
                <w:sz w:val="21"/>
              </w:rPr>
            </w:pPr>
            <w:r>
              <w:rPr>
                <w:sz w:val="21"/>
              </w:rPr>
              <w:t>治区建筑工程文明施工导则》要求。各项措</w:t>
            </w:r>
          </w:p>
        </w:tc>
      </w:tr>
      <w:tr>
        <w:trPr>
          <w:trHeight w:val="802" w:hRule="atLeast"/>
        </w:trPr>
        <w:tc>
          <w:tcPr>
            <w:tcW w:w="828" w:type="dxa"/>
            <w:vMerge/>
            <w:tcBorders>
              <w:top w:val="nil"/>
            </w:tcBorders>
          </w:tcPr>
          <w:p>
            <w:pPr>
              <w:rPr>
                <w:sz w:val="2"/>
                <w:szCs w:val="2"/>
              </w:rPr>
            </w:pPr>
          </w:p>
        </w:tc>
        <w:tc>
          <w:tcPr>
            <w:tcW w:w="874" w:type="dxa"/>
            <w:vMerge/>
            <w:tcBorders>
              <w:top w:val="nil"/>
            </w:tcBorders>
          </w:tcPr>
          <w:p>
            <w:pPr>
              <w:rPr>
                <w:sz w:val="2"/>
                <w:szCs w:val="2"/>
              </w:rPr>
            </w:pPr>
          </w:p>
        </w:tc>
        <w:tc>
          <w:tcPr>
            <w:tcW w:w="1103" w:type="dxa"/>
            <w:vMerge/>
            <w:tcBorders>
              <w:top w:val="nil"/>
            </w:tcBorders>
          </w:tcPr>
          <w:p>
            <w:pPr>
              <w:rPr>
                <w:sz w:val="2"/>
                <w:szCs w:val="2"/>
              </w:rPr>
            </w:pPr>
          </w:p>
        </w:tc>
        <w:tc>
          <w:tcPr>
            <w:tcW w:w="1831" w:type="dxa"/>
            <w:tcBorders>
              <w:top w:val="nil"/>
              <w:bottom w:val="nil"/>
            </w:tcBorders>
          </w:tcPr>
          <w:p>
            <w:pPr>
              <w:pStyle w:val="TableParagraph"/>
              <w:rPr>
                <w:rFonts w:ascii="Times New Roman"/>
                <w:sz w:val="20"/>
              </w:rPr>
            </w:pPr>
          </w:p>
        </w:tc>
        <w:tc>
          <w:tcPr>
            <w:tcW w:w="4338" w:type="dxa"/>
            <w:tcBorders>
              <w:top w:val="nil"/>
              <w:bottom w:val="nil"/>
            </w:tcBorders>
          </w:tcPr>
          <w:p>
            <w:pPr>
              <w:pStyle w:val="TableParagraph"/>
              <w:spacing w:line="242" w:lineRule="auto"/>
              <w:ind w:left="147" w:right="178"/>
              <w:rPr>
                <w:sz w:val="21"/>
              </w:rPr>
            </w:pPr>
            <w:r>
              <w:rPr>
                <w:spacing w:val="-4"/>
                <w:sz w:val="21"/>
              </w:rPr>
              <w:t>施一般。有具体实现现场文明施工目标的承</w:t>
            </w:r>
            <w:r>
              <w:rPr>
                <w:w w:val="100"/>
                <w:sz w:val="21"/>
              </w:rPr>
              <w:t>诺。</w:t>
            </w:r>
            <w:r>
              <w:rPr>
                <w:sz w:val="21"/>
              </w:rPr>
              <w:t> </w:t>
            </w:r>
            <w:r>
              <w:rPr>
                <w:w w:val="100"/>
                <w:sz w:val="21"/>
              </w:rPr>
              <w:t>差</w:t>
            </w:r>
            <w:r>
              <w:rPr>
                <w:spacing w:val="-3"/>
                <w:w w:val="100"/>
                <w:sz w:val="21"/>
              </w:rPr>
              <w:t>（</w:t>
            </w:r>
            <w:r>
              <w:rPr>
                <w:rFonts w:ascii="Calibri" w:eastAsia="Calibri"/>
                <w:w w:val="100"/>
                <w:sz w:val="21"/>
              </w:rPr>
              <w:t>1</w:t>
            </w:r>
            <w:r>
              <w:rPr>
                <w:rFonts w:ascii="Calibri" w:eastAsia="Calibri"/>
                <w:sz w:val="21"/>
              </w:rPr>
              <w:t> </w:t>
            </w:r>
            <w:r>
              <w:rPr>
                <w:spacing w:val="-3"/>
                <w:w w:val="100"/>
                <w:sz w:val="21"/>
              </w:rPr>
              <w:t>分</w:t>
            </w:r>
            <w:r>
              <w:rPr>
                <w:spacing w:val="-106"/>
                <w:w w:val="100"/>
                <w:sz w:val="21"/>
              </w:rPr>
              <w:t>）</w:t>
            </w:r>
            <w:r>
              <w:rPr>
                <w:spacing w:val="-3"/>
                <w:w w:val="100"/>
                <w:sz w:val="21"/>
              </w:rPr>
              <w:t>：应有现场文明施工、环境</w:t>
            </w:r>
          </w:p>
          <w:p>
            <w:pPr>
              <w:pStyle w:val="TableParagraph"/>
              <w:spacing w:line="242" w:lineRule="exact"/>
              <w:ind w:left="147"/>
              <w:rPr>
                <w:sz w:val="21"/>
              </w:rPr>
            </w:pPr>
            <w:r>
              <w:rPr>
                <w:sz w:val="21"/>
              </w:rPr>
              <w:t>保护措施，且措施内容应达到《建筑施工安</w:t>
            </w:r>
          </w:p>
        </w:tc>
      </w:tr>
      <w:tr>
        <w:trPr>
          <w:trHeight w:val="802" w:hRule="atLeast"/>
        </w:trPr>
        <w:tc>
          <w:tcPr>
            <w:tcW w:w="828" w:type="dxa"/>
            <w:vMerge/>
            <w:tcBorders>
              <w:top w:val="nil"/>
            </w:tcBorders>
          </w:tcPr>
          <w:p>
            <w:pPr>
              <w:rPr>
                <w:sz w:val="2"/>
                <w:szCs w:val="2"/>
              </w:rPr>
            </w:pPr>
          </w:p>
        </w:tc>
        <w:tc>
          <w:tcPr>
            <w:tcW w:w="874" w:type="dxa"/>
            <w:vMerge/>
            <w:tcBorders>
              <w:top w:val="nil"/>
            </w:tcBorders>
          </w:tcPr>
          <w:p>
            <w:pPr>
              <w:rPr>
                <w:sz w:val="2"/>
                <w:szCs w:val="2"/>
              </w:rPr>
            </w:pPr>
          </w:p>
        </w:tc>
        <w:tc>
          <w:tcPr>
            <w:tcW w:w="1103" w:type="dxa"/>
            <w:vMerge/>
            <w:tcBorders>
              <w:top w:val="nil"/>
            </w:tcBorders>
          </w:tcPr>
          <w:p>
            <w:pPr>
              <w:rPr>
                <w:sz w:val="2"/>
                <w:szCs w:val="2"/>
              </w:rPr>
            </w:pPr>
          </w:p>
        </w:tc>
        <w:tc>
          <w:tcPr>
            <w:tcW w:w="1831" w:type="dxa"/>
            <w:tcBorders>
              <w:top w:val="nil"/>
              <w:bottom w:val="nil"/>
            </w:tcBorders>
          </w:tcPr>
          <w:p>
            <w:pPr>
              <w:pStyle w:val="TableParagraph"/>
              <w:rPr>
                <w:rFonts w:ascii="Times New Roman"/>
                <w:sz w:val="20"/>
              </w:rPr>
            </w:pPr>
          </w:p>
        </w:tc>
        <w:tc>
          <w:tcPr>
            <w:tcW w:w="4338" w:type="dxa"/>
            <w:tcBorders>
              <w:top w:val="nil"/>
              <w:bottom w:val="nil"/>
            </w:tcBorders>
          </w:tcPr>
          <w:p>
            <w:pPr>
              <w:pStyle w:val="TableParagraph"/>
              <w:spacing w:line="263" w:lineRule="exact"/>
              <w:ind w:left="147"/>
              <w:rPr>
                <w:sz w:val="21"/>
              </w:rPr>
            </w:pPr>
            <w:r>
              <w:rPr>
                <w:spacing w:val="-16"/>
                <w:sz w:val="21"/>
              </w:rPr>
              <w:t>全生产检查标准》</w:t>
            </w:r>
            <w:r>
              <w:rPr>
                <w:spacing w:val="-1"/>
                <w:sz w:val="21"/>
              </w:rPr>
              <w:t>（</w:t>
            </w:r>
            <w:r>
              <w:rPr>
                <w:rFonts w:ascii="Calibri" w:eastAsia="Calibri"/>
                <w:spacing w:val="-1"/>
                <w:sz w:val="21"/>
              </w:rPr>
              <w:t>JGJ59-2011</w:t>
            </w:r>
            <w:r>
              <w:rPr>
                <w:spacing w:val="-1"/>
                <w:sz w:val="21"/>
              </w:rPr>
              <w:t>）</w:t>
            </w:r>
            <w:r>
              <w:rPr>
                <w:spacing w:val="-3"/>
                <w:sz w:val="21"/>
              </w:rPr>
              <w:t>合格标准并</w:t>
            </w:r>
          </w:p>
          <w:p>
            <w:pPr>
              <w:pStyle w:val="TableParagraph"/>
              <w:spacing w:line="270" w:lineRule="atLeast" w:before="3"/>
              <w:ind w:left="147" w:right="178"/>
              <w:rPr>
                <w:sz w:val="21"/>
              </w:rPr>
            </w:pPr>
            <w:r>
              <w:rPr>
                <w:spacing w:val="-4"/>
                <w:sz w:val="21"/>
              </w:rPr>
              <w:t>符合《广西壮族自治区建筑工程文明施工导则》要求。各项措施不合理。无具体实现现</w:t>
            </w:r>
          </w:p>
        </w:tc>
      </w:tr>
      <w:tr>
        <w:trPr>
          <w:trHeight w:val="412" w:hRule="atLeast"/>
        </w:trPr>
        <w:tc>
          <w:tcPr>
            <w:tcW w:w="828" w:type="dxa"/>
            <w:vMerge/>
            <w:tcBorders>
              <w:top w:val="nil"/>
            </w:tcBorders>
          </w:tcPr>
          <w:p>
            <w:pPr>
              <w:rPr>
                <w:sz w:val="2"/>
                <w:szCs w:val="2"/>
              </w:rPr>
            </w:pPr>
          </w:p>
        </w:tc>
        <w:tc>
          <w:tcPr>
            <w:tcW w:w="874" w:type="dxa"/>
            <w:vMerge/>
            <w:tcBorders>
              <w:top w:val="nil"/>
            </w:tcBorders>
          </w:tcPr>
          <w:p>
            <w:pPr>
              <w:rPr>
                <w:sz w:val="2"/>
                <w:szCs w:val="2"/>
              </w:rPr>
            </w:pPr>
          </w:p>
        </w:tc>
        <w:tc>
          <w:tcPr>
            <w:tcW w:w="1103" w:type="dxa"/>
            <w:vMerge/>
            <w:tcBorders>
              <w:top w:val="nil"/>
            </w:tcBorders>
          </w:tcPr>
          <w:p>
            <w:pPr>
              <w:rPr>
                <w:sz w:val="2"/>
                <w:szCs w:val="2"/>
              </w:rPr>
            </w:pPr>
          </w:p>
        </w:tc>
        <w:tc>
          <w:tcPr>
            <w:tcW w:w="1831" w:type="dxa"/>
            <w:tcBorders>
              <w:top w:val="nil"/>
            </w:tcBorders>
          </w:tcPr>
          <w:p>
            <w:pPr>
              <w:pStyle w:val="TableParagraph"/>
              <w:rPr>
                <w:rFonts w:ascii="Times New Roman"/>
                <w:sz w:val="20"/>
              </w:rPr>
            </w:pPr>
          </w:p>
        </w:tc>
        <w:tc>
          <w:tcPr>
            <w:tcW w:w="4338" w:type="dxa"/>
            <w:tcBorders>
              <w:top w:val="nil"/>
            </w:tcBorders>
          </w:tcPr>
          <w:p>
            <w:pPr>
              <w:pStyle w:val="TableParagraph"/>
              <w:spacing w:line="260" w:lineRule="exact"/>
              <w:ind w:left="147"/>
              <w:rPr>
                <w:sz w:val="21"/>
              </w:rPr>
            </w:pPr>
            <w:r>
              <w:rPr>
                <w:sz w:val="21"/>
              </w:rPr>
              <w:t>场文明施工目标的承诺。。</w:t>
            </w:r>
          </w:p>
        </w:tc>
      </w:tr>
      <w:tr>
        <w:trPr>
          <w:trHeight w:val="2205" w:hRule="atLeast"/>
        </w:trPr>
        <w:tc>
          <w:tcPr>
            <w:tcW w:w="828" w:type="dxa"/>
            <w:vMerge/>
            <w:tcBorders>
              <w:top w:val="nil"/>
            </w:tcBorders>
          </w:tcPr>
          <w:p>
            <w:pPr>
              <w:rPr>
                <w:sz w:val="2"/>
                <w:szCs w:val="2"/>
              </w:rPr>
            </w:pPr>
          </w:p>
        </w:tc>
        <w:tc>
          <w:tcPr>
            <w:tcW w:w="874" w:type="dxa"/>
            <w:vMerge/>
            <w:tcBorders>
              <w:top w:val="nil"/>
            </w:tcBorders>
          </w:tcPr>
          <w:p>
            <w:pPr>
              <w:rPr>
                <w:sz w:val="2"/>
                <w:szCs w:val="2"/>
              </w:rPr>
            </w:pPr>
          </w:p>
        </w:tc>
        <w:tc>
          <w:tcPr>
            <w:tcW w:w="1103" w:type="dxa"/>
            <w:vMerge/>
            <w:tcBorders>
              <w:top w:val="nil"/>
            </w:tcBorders>
          </w:tcPr>
          <w:p>
            <w:pPr>
              <w:rPr>
                <w:sz w:val="2"/>
                <w:szCs w:val="2"/>
              </w:rPr>
            </w:pPr>
          </w:p>
        </w:tc>
        <w:tc>
          <w:tcPr>
            <w:tcW w:w="1831" w:type="dxa"/>
          </w:tcPr>
          <w:p>
            <w:pPr>
              <w:pStyle w:val="TableParagraph"/>
              <w:rPr>
                <w:rFonts w:ascii="Microsoft JhengHei"/>
                <w:b/>
                <w:sz w:val="22"/>
              </w:rPr>
            </w:pPr>
          </w:p>
          <w:p>
            <w:pPr>
              <w:pStyle w:val="TableParagraph"/>
              <w:spacing w:before="14"/>
              <w:rPr>
                <w:rFonts w:ascii="Microsoft JhengHei"/>
                <w:b/>
                <w:sz w:val="15"/>
              </w:rPr>
            </w:pPr>
          </w:p>
          <w:p>
            <w:pPr>
              <w:pStyle w:val="TableParagraph"/>
              <w:spacing w:line="242" w:lineRule="auto"/>
              <w:ind w:left="142" w:right="197"/>
              <w:jc w:val="both"/>
              <w:rPr>
                <w:sz w:val="21"/>
              </w:rPr>
            </w:pPr>
            <w:r>
              <w:rPr>
                <w:sz w:val="21"/>
              </w:rPr>
              <w:t>工程施工的重点和难点及保证措施（</w:t>
            </w:r>
            <w:r>
              <w:rPr>
                <w:rFonts w:ascii="Calibri" w:eastAsia="Calibri"/>
                <w:sz w:val="21"/>
              </w:rPr>
              <w:t>10.00 </w:t>
            </w:r>
            <w:r>
              <w:rPr>
                <w:sz w:val="21"/>
              </w:rPr>
              <w:t>分）</w:t>
            </w:r>
          </w:p>
        </w:tc>
        <w:tc>
          <w:tcPr>
            <w:tcW w:w="4338" w:type="dxa"/>
          </w:tcPr>
          <w:p>
            <w:pPr>
              <w:pStyle w:val="TableParagraph"/>
              <w:spacing w:line="242" w:lineRule="auto" w:before="149"/>
              <w:ind w:left="147" w:right="178"/>
              <w:jc w:val="both"/>
              <w:rPr>
                <w:sz w:val="21"/>
              </w:rPr>
            </w:pPr>
            <w:r>
              <w:rPr>
                <w:w w:val="100"/>
                <w:sz w:val="21"/>
              </w:rPr>
              <w:t>优</w:t>
            </w:r>
            <w:r>
              <w:rPr>
                <w:spacing w:val="-3"/>
                <w:w w:val="100"/>
                <w:sz w:val="21"/>
              </w:rPr>
              <w:t>（</w:t>
            </w:r>
            <w:r>
              <w:rPr>
                <w:rFonts w:ascii="Calibri" w:eastAsia="Calibri"/>
                <w:w w:val="100"/>
                <w:sz w:val="21"/>
              </w:rPr>
              <w:t>10</w:t>
            </w:r>
            <w:r>
              <w:rPr>
                <w:rFonts w:ascii="Calibri" w:eastAsia="Calibri"/>
                <w:sz w:val="21"/>
              </w:rPr>
              <w:t> </w:t>
            </w:r>
            <w:r>
              <w:rPr>
                <w:w w:val="100"/>
                <w:sz w:val="21"/>
              </w:rPr>
              <w:t>分</w:t>
            </w:r>
            <w:r>
              <w:rPr>
                <w:spacing w:val="-108"/>
                <w:w w:val="100"/>
                <w:sz w:val="21"/>
              </w:rPr>
              <w:t>）</w:t>
            </w:r>
            <w:r>
              <w:rPr>
                <w:spacing w:val="-3"/>
                <w:w w:val="100"/>
                <w:sz w:val="21"/>
              </w:rPr>
              <w:t>：针对本工程的特点，阐述本工</w:t>
            </w:r>
            <w:r>
              <w:rPr>
                <w:spacing w:val="-4"/>
                <w:sz w:val="21"/>
              </w:rPr>
              <w:t>程的重点和难点，解决重点和难点问题的方</w:t>
            </w:r>
            <w:r>
              <w:rPr>
                <w:spacing w:val="-3"/>
                <w:w w:val="100"/>
                <w:sz w:val="21"/>
              </w:rPr>
              <w:t>法科学合理且全面。</w:t>
            </w:r>
            <w:r>
              <w:rPr>
                <w:spacing w:val="-3"/>
                <w:sz w:val="21"/>
              </w:rPr>
              <w:t> </w:t>
            </w:r>
            <w:r>
              <w:rPr>
                <w:spacing w:val="-3"/>
                <w:w w:val="100"/>
                <w:sz w:val="21"/>
              </w:rPr>
              <w:t>良</w:t>
            </w:r>
            <w:r>
              <w:rPr>
                <w:spacing w:val="-2"/>
                <w:w w:val="100"/>
                <w:sz w:val="21"/>
              </w:rPr>
              <w:t>（</w:t>
            </w:r>
            <w:r>
              <w:rPr>
                <w:rFonts w:ascii="Calibri" w:eastAsia="Calibri"/>
                <w:w w:val="100"/>
                <w:sz w:val="21"/>
              </w:rPr>
              <w:t>8</w:t>
            </w:r>
            <w:r>
              <w:rPr>
                <w:rFonts w:ascii="Calibri" w:eastAsia="Calibri"/>
                <w:sz w:val="21"/>
              </w:rPr>
              <w:t> </w:t>
            </w:r>
            <w:r>
              <w:rPr>
                <w:spacing w:val="-3"/>
                <w:w w:val="100"/>
                <w:sz w:val="21"/>
              </w:rPr>
              <w:t>分</w:t>
            </w:r>
            <w:r>
              <w:rPr>
                <w:spacing w:val="-106"/>
                <w:w w:val="100"/>
                <w:sz w:val="21"/>
              </w:rPr>
              <w:t>）</w:t>
            </w:r>
            <w:r>
              <w:rPr>
                <w:spacing w:val="-3"/>
                <w:w w:val="100"/>
                <w:sz w:val="21"/>
              </w:rPr>
              <w:t>：针对本工</w:t>
            </w:r>
            <w:r>
              <w:rPr>
                <w:spacing w:val="-4"/>
                <w:sz w:val="21"/>
              </w:rPr>
              <w:t>程的特点，阐述本工程的重点和难点，解决</w:t>
            </w:r>
            <w:r>
              <w:rPr>
                <w:spacing w:val="-3"/>
                <w:w w:val="100"/>
                <w:sz w:val="21"/>
              </w:rPr>
              <w:t>重点和难点问题的方法合理。</w:t>
            </w:r>
            <w:r>
              <w:rPr>
                <w:spacing w:val="-3"/>
                <w:sz w:val="21"/>
              </w:rPr>
              <w:t> </w:t>
            </w:r>
            <w:r>
              <w:rPr>
                <w:w w:val="100"/>
                <w:sz w:val="21"/>
              </w:rPr>
              <w:t>中</w:t>
            </w:r>
            <w:r>
              <w:rPr>
                <w:spacing w:val="-3"/>
                <w:w w:val="100"/>
                <w:sz w:val="21"/>
              </w:rPr>
              <w:t>（</w:t>
            </w:r>
            <w:r>
              <w:rPr>
                <w:rFonts w:ascii="Calibri" w:eastAsia="Calibri"/>
                <w:w w:val="100"/>
                <w:sz w:val="21"/>
              </w:rPr>
              <w:t>5</w:t>
            </w:r>
            <w:r>
              <w:rPr>
                <w:rFonts w:ascii="Calibri" w:eastAsia="Calibri"/>
                <w:sz w:val="21"/>
              </w:rPr>
              <w:t> </w:t>
            </w:r>
            <w:r>
              <w:rPr>
                <w:spacing w:val="-3"/>
                <w:w w:val="100"/>
                <w:sz w:val="21"/>
              </w:rPr>
              <w:t>分</w:t>
            </w:r>
            <w:r>
              <w:rPr>
                <w:spacing w:val="-106"/>
                <w:w w:val="100"/>
                <w:sz w:val="21"/>
              </w:rPr>
              <w:t>）</w:t>
            </w:r>
            <w:r>
              <w:rPr>
                <w:w w:val="100"/>
                <w:sz w:val="21"/>
              </w:rPr>
              <w:t>：</w:t>
            </w:r>
            <w:r>
              <w:rPr>
                <w:spacing w:val="-4"/>
                <w:sz w:val="21"/>
              </w:rPr>
              <w:t>针对本工程的特点，阐述本工程的重点和难点，解决重点和难点问题的方法基本合理。</w:t>
            </w:r>
          </w:p>
        </w:tc>
      </w:tr>
    </w:tbl>
    <w:p>
      <w:pPr>
        <w:spacing w:after="0" w:line="242" w:lineRule="auto"/>
        <w:jc w:val="both"/>
        <w:rPr>
          <w:sz w:val="21"/>
        </w:rPr>
        <w:sectPr>
          <w:pgSz w:w="11910" w:h="16850"/>
          <w:pgMar w:header="0" w:footer="779" w:top="1440" w:bottom="960" w:left="1120" w:right="280"/>
        </w:sectPr>
      </w:pPr>
    </w:p>
    <w:tbl>
      <w:tblPr>
        <w:tblW w:w="0" w:type="auto"/>
        <w:jc w:val="left"/>
        <w:tblInd w:w="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8"/>
        <w:gridCol w:w="874"/>
        <w:gridCol w:w="1098"/>
        <w:gridCol w:w="1837"/>
        <w:gridCol w:w="4339"/>
      </w:tblGrid>
      <w:tr>
        <w:trPr>
          <w:trHeight w:val="687" w:hRule="atLeast"/>
        </w:trPr>
        <w:tc>
          <w:tcPr>
            <w:tcW w:w="828" w:type="dxa"/>
            <w:vMerge w:val="restart"/>
          </w:tcPr>
          <w:p>
            <w:pPr>
              <w:pStyle w:val="TableParagraph"/>
              <w:rPr>
                <w:rFonts w:ascii="Times New Roman"/>
                <w:sz w:val="20"/>
              </w:rPr>
            </w:pPr>
          </w:p>
        </w:tc>
        <w:tc>
          <w:tcPr>
            <w:tcW w:w="874" w:type="dxa"/>
            <w:vMerge w:val="restart"/>
          </w:tcPr>
          <w:p>
            <w:pPr>
              <w:pStyle w:val="TableParagraph"/>
              <w:rPr>
                <w:rFonts w:ascii="Times New Roman"/>
                <w:sz w:val="20"/>
              </w:rPr>
            </w:pPr>
          </w:p>
        </w:tc>
        <w:tc>
          <w:tcPr>
            <w:tcW w:w="1098" w:type="dxa"/>
            <w:vMerge w:val="restart"/>
          </w:tcPr>
          <w:p>
            <w:pPr>
              <w:pStyle w:val="TableParagraph"/>
              <w:rPr>
                <w:rFonts w:ascii="Times New Roman"/>
                <w:sz w:val="20"/>
              </w:rPr>
            </w:pPr>
          </w:p>
        </w:tc>
        <w:tc>
          <w:tcPr>
            <w:tcW w:w="1837" w:type="dxa"/>
            <w:vMerge w:val="restart"/>
          </w:tcPr>
          <w:p>
            <w:pPr>
              <w:pStyle w:val="TableParagraph"/>
              <w:rPr>
                <w:rFonts w:ascii="Times New Roman"/>
                <w:sz w:val="20"/>
              </w:rPr>
            </w:pPr>
          </w:p>
        </w:tc>
        <w:tc>
          <w:tcPr>
            <w:tcW w:w="4339" w:type="dxa"/>
            <w:tcBorders>
              <w:bottom w:val="nil"/>
            </w:tcBorders>
          </w:tcPr>
          <w:p>
            <w:pPr>
              <w:pStyle w:val="TableParagraph"/>
              <w:spacing w:line="270" w:lineRule="atLeast" w:before="151"/>
              <w:ind w:left="146" w:right="135"/>
              <w:rPr>
                <w:sz w:val="21"/>
              </w:rPr>
            </w:pPr>
            <w:r>
              <w:rPr>
                <w:spacing w:val="-3"/>
                <w:w w:val="100"/>
                <w:sz w:val="21"/>
              </w:rPr>
              <w:t>差（</w:t>
            </w:r>
            <w:r>
              <w:rPr>
                <w:rFonts w:ascii="Calibri" w:eastAsia="Calibri"/>
                <w:w w:val="100"/>
                <w:sz w:val="21"/>
              </w:rPr>
              <w:t>1</w:t>
            </w:r>
            <w:r>
              <w:rPr>
                <w:rFonts w:ascii="Calibri" w:eastAsia="Calibri"/>
                <w:sz w:val="21"/>
              </w:rPr>
              <w:t> </w:t>
            </w:r>
            <w:r>
              <w:rPr>
                <w:w w:val="100"/>
                <w:sz w:val="21"/>
              </w:rPr>
              <w:t>分</w:t>
            </w:r>
            <w:r>
              <w:rPr>
                <w:spacing w:val="-108"/>
                <w:w w:val="100"/>
                <w:sz w:val="21"/>
              </w:rPr>
              <w:t>）</w:t>
            </w:r>
            <w:r>
              <w:rPr>
                <w:spacing w:val="-5"/>
                <w:w w:val="100"/>
                <w:sz w:val="21"/>
              </w:rPr>
              <w:t>：针对本工程的特点，阐述本工程</w:t>
            </w:r>
            <w:r>
              <w:rPr>
                <w:spacing w:val="-3"/>
                <w:sz w:val="21"/>
              </w:rPr>
              <w:t>的重点和难点，解决重点和难点问题的方法</w:t>
            </w:r>
          </w:p>
        </w:tc>
      </w:tr>
      <w:tr>
        <w:trPr>
          <w:trHeight w:val="412" w:hRule="atLeast"/>
        </w:trPr>
        <w:tc>
          <w:tcPr>
            <w:tcW w:w="828" w:type="dxa"/>
            <w:vMerge/>
            <w:tcBorders>
              <w:top w:val="nil"/>
            </w:tcBorders>
          </w:tcPr>
          <w:p>
            <w:pPr>
              <w:rPr>
                <w:sz w:val="2"/>
                <w:szCs w:val="2"/>
              </w:rPr>
            </w:pPr>
          </w:p>
        </w:tc>
        <w:tc>
          <w:tcPr>
            <w:tcW w:w="874" w:type="dxa"/>
            <w:vMerge/>
            <w:tcBorders>
              <w:top w:val="nil"/>
            </w:tcBorders>
          </w:tcPr>
          <w:p>
            <w:pPr>
              <w:rPr>
                <w:sz w:val="2"/>
                <w:szCs w:val="2"/>
              </w:rPr>
            </w:pPr>
          </w:p>
        </w:tc>
        <w:tc>
          <w:tcPr>
            <w:tcW w:w="1098" w:type="dxa"/>
            <w:vMerge/>
            <w:tcBorders>
              <w:top w:val="nil"/>
            </w:tcBorders>
          </w:tcPr>
          <w:p>
            <w:pPr>
              <w:rPr>
                <w:sz w:val="2"/>
                <w:szCs w:val="2"/>
              </w:rPr>
            </w:pPr>
          </w:p>
        </w:tc>
        <w:tc>
          <w:tcPr>
            <w:tcW w:w="1837" w:type="dxa"/>
            <w:vMerge/>
            <w:tcBorders>
              <w:top w:val="nil"/>
            </w:tcBorders>
          </w:tcPr>
          <w:p>
            <w:pPr>
              <w:rPr>
                <w:sz w:val="2"/>
                <w:szCs w:val="2"/>
              </w:rPr>
            </w:pPr>
          </w:p>
        </w:tc>
        <w:tc>
          <w:tcPr>
            <w:tcW w:w="4339" w:type="dxa"/>
            <w:tcBorders>
              <w:top w:val="nil"/>
            </w:tcBorders>
          </w:tcPr>
          <w:p>
            <w:pPr>
              <w:pStyle w:val="TableParagraph"/>
              <w:spacing w:line="260" w:lineRule="exact"/>
              <w:ind w:left="146"/>
              <w:rPr>
                <w:sz w:val="21"/>
              </w:rPr>
            </w:pPr>
            <w:r>
              <w:rPr>
                <w:sz w:val="21"/>
              </w:rPr>
              <w:t>不合理。</w:t>
            </w:r>
          </w:p>
        </w:tc>
      </w:tr>
      <w:tr>
        <w:trPr>
          <w:trHeight w:val="1514" w:hRule="atLeast"/>
        </w:trPr>
        <w:tc>
          <w:tcPr>
            <w:tcW w:w="828" w:type="dxa"/>
            <w:vMerge/>
            <w:tcBorders>
              <w:top w:val="nil"/>
            </w:tcBorders>
          </w:tcPr>
          <w:p>
            <w:pPr>
              <w:rPr>
                <w:sz w:val="2"/>
                <w:szCs w:val="2"/>
              </w:rPr>
            </w:pPr>
          </w:p>
        </w:tc>
        <w:tc>
          <w:tcPr>
            <w:tcW w:w="874" w:type="dxa"/>
            <w:vMerge/>
            <w:tcBorders>
              <w:top w:val="nil"/>
            </w:tcBorders>
          </w:tcPr>
          <w:p>
            <w:pPr>
              <w:rPr>
                <w:sz w:val="2"/>
                <w:szCs w:val="2"/>
              </w:rPr>
            </w:pPr>
          </w:p>
        </w:tc>
        <w:tc>
          <w:tcPr>
            <w:tcW w:w="1098" w:type="dxa"/>
            <w:vMerge/>
            <w:tcBorders>
              <w:top w:val="nil"/>
            </w:tcBorders>
          </w:tcPr>
          <w:p>
            <w:pPr>
              <w:rPr>
                <w:sz w:val="2"/>
                <w:szCs w:val="2"/>
              </w:rPr>
            </w:pPr>
          </w:p>
        </w:tc>
        <w:tc>
          <w:tcPr>
            <w:tcW w:w="1837" w:type="dxa"/>
            <w:tcBorders>
              <w:bottom w:val="nil"/>
            </w:tcBorders>
          </w:tcPr>
          <w:p>
            <w:pPr>
              <w:pStyle w:val="TableParagraph"/>
              <w:rPr>
                <w:rFonts w:ascii="Microsoft JhengHei"/>
                <w:b/>
                <w:sz w:val="22"/>
              </w:rPr>
            </w:pPr>
          </w:p>
          <w:p>
            <w:pPr>
              <w:pStyle w:val="TableParagraph"/>
              <w:spacing w:before="10"/>
              <w:rPr>
                <w:rFonts w:ascii="Microsoft JhengHei"/>
                <w:b/>
                <w:sz w:val="30"/>
              </w:rPr>
            </w:pPr>
          </w:p>
          <w:p>
            <w:pPr>
              <w:pStyle w:val="TableParagraph"/>
              <w:spacing w:line="270" w:lineRule="atLeast" w:before="1"/>
              <w:ind w:left="147" w:right="198"/>
              <w:rPr>
                <w:sz w:val="21"/>
              </w:rPr>
            </w:pPr>
            <w:r>
              <w:rPr>
                <w:sz w:val="21"/>
              </w:rPr>
              <w:t>施工总平面布置图（</w:t>
            </w:r>
            <w:r>
              <w:rPr>
                <w:rFonts w:ascii="Calibri" w:eastAsia="Calibri"/>
                <w:sz w:val="21"/>
              </w:rPr>
              <w:t>5.00 </w:t>
            </w:r>
            <w:r>
              <w:rPr>
                <w:sz w:val="21"/>
              </w:rPr>
              <w:t>分）</w:t>
            </w:r>
          </w:p>
        </w:tc>
        <w:tc>
          <w:tcPr>
            <w:tcW w:w="4339" w:type="dxa"/>
            <w:tcBorders>
              <w:bottom w:val="nil"/>
            </w:tcBorders>
          </w:tcPr>
          <w:p>
            <w:pPr>
              <w:pStyle w:val="TableParagraph"/>
              <w:spacing w:line="242" w:lineRule="auto" w:before="149"/>
              <w:ind w:left="146" w:right="132"/>
              <w:jc w:val="both"/>
              <w:rPr>
                <w:sz w:val="21"/>
              </w:rPr>
            </w:pPr>
            <w:r>
              <w:rPr>
                <w:sz w:val="21"/>
              </w:rPr>
              <w:t>优（</w:t>
            </w:r>
            <w:r>
              <w:rPr>
                <w:rFonts w:ascii="Calibri" w:eastAsia="Calibri"/>
                <w:sz w:val="21"/>
              </w:rPr>
              <w:t>5 </w:t>
            </w:r>
            <w:r>
              <w:rPr>
                <w:spacing w:val="-3"/>
                <w:sz w:val="21"/>
              </w:rPr>
              <w:t>分</w:t>
            </w:r>
            <w:r>
              <w:rPr>
                <w:sz w:val="21"/>
              </w:rPr>
              <w:t>）</w:t>
            </w:r>
            <w:r>
              <w:rPr>
                <w:rFonts w:ascii="Calibri" w:eastAsia="Calibri"/>
                <w:sz w:val="21"/>
              </w:rPr>
              <w:t>:</w:t>
            </w:r>
            <w:r>
              <w:rPr>
                <w:spacing w:val="-3"/>
                <w:sz w:val="21"/>
              </w:rPr>
              <w:t>有施工总平面布置图，安排科学</w:t>
            </w:r>
            <w:r>
              <w:rPr>
                <w:spacing w:val="-15"/>
                <w:sz w:val="21"/>
              </w:rPr>
              <w:t>合理，完全符合本项目施工实际要求。 良</w:t>
            </w:r>
            <w:r>
              <w:rPr>
                <w:sz w:val="21"/>
              </w:rPr>
              <w:t>（</w:t>
            </w:r>
            <w:r>
              <w:rPr>
                <w:rFonts w:ascii="Calibri" w:eastAsia="Calibri"/>
                <w:sz w:val="21"/>
              </w:rPr>
              <w:t>4 </w:t>
            </w:r>
            <w:r>
              <w:rPr>
                <w:sz w:val="21"/>
              </w:rPr>
              <w:t>分）</w:t>
            </w:r>
            <w:r>
              <w:rPr>
                <w:rFonts w:ascii="Calibri" w:eastAsia="Calibri"/>
                <w:sz w:val="21"/>
              </w:rPr>
              <w:t>:</w:t>
            </w:r>
            <w:r>
              <w:rPr>
                <w:spacing w:val="-3"/>
                <w:sz w:val="21"/>
              </w:rPr>
              <w:t>有施工总平面布置图，安排合理，仅符</w:t>
            </w:r>
          </w:p>
          <w:p>
            <w:pPr>
              <w:pStyle w:val="TableParagraph"/>
              <w:spacing w:line="270" w:lineRule="atLeast" w:before="3"/>
              <w:ind w:left="146" w:right="135"/>
              <w:jc w:val="both"/>
              <w:rPr>
                <w:sz w:val="21"/>
              </w:rPr>
            </w:pPr>
            <w:r>
              <w:rPr>
                <w:sz w:val="21"/>
              </w:rPr>
              <w:t>合本项目施工实际要求。 中（</w:t>
            </w:r>
            <w:r>
              <w:rPr>
                <w:rFonts w:ascii="Calibri" w:eastAsia="Calibri"/>
                <w:sz w:val="21"/>
              </w:rPr>
              <w:t>3 </w:t>
            </w:r>
            <w:r>
              <w:rPr>
                <w:sz w:val="21"/>
              </w:rPr>
              <w:t>分）有施工总平面布置图，安排基本合理，基本符合本</w:t>
            </w:r>
          </w:p>
        </w:tc>
      </w:tr>
      <w:tr>
        <w:trPr>
          <w:trHeight w:val="518" w:hRule="atLeast"/>
        </w:trPr>
        <w:tc>
          <w:tcPr>
            <w:tcW w:w="828" w:type="dxa"/>
            <w:vMerge/>
            <w:tcBorders>
              <w:top w:val="nil"/>
            </w:tcBorders>
          </w:tcPr>
          <w:p>
            <w:pPr>
              <w:rPr>
                <w:sz w:val="2"/>
                <w:szCs w:val="2"/>
              </w:rPr>
            </w:pPr>
          </w:p>
        </w:tc>
        <w:tc>
          <w:tcPr>
            <w:tcW w:w="874" w:type="dxa"/>
            <w:vMerge/>
            <w:tcBorders>
              <w:top w:val="nil"/>
            </w:tcBorders>
          </w:tcPr>
          <w:p>
            <w:pPr>
              <w:rPr>
                <w:sz w:val="2"/>
                <w:szCs w:val="2"/>
              </w:rPr>
            </w:pPr>
          </w:p>
        </w:tc>
        <w:tc>
          <w:tcPr>
            <w:tcW w:w="1098" w:type="dxa"/>
            <w:vMerge/>
            <w:tcBorders>
              <w:top w:val="nil"/>
            </w:tcBorders>
          </w:tcPr>
          <w:p>
            <w:pPr>
              <w:rPr>
                <w:sz w:val="2"/>
                <w:szCs w:val="2"/>
              </w:rPr>
            </w:pPr>
          </w:p>
        </w:tc>
        <w:tc>
          <w:tcPr>
            <w:tcW w:w="1837" w:type="dxa"/>
            <w:tcBorders>
              <w:top w:val="nil"/>
              <w:bottom w:val="nil"/>
            </w:tcBorders>
          </w:tcPr>
          <w:p>
            <w:pPr>
              <w:pStyle w:val="TableParagraph"/>
              <w:rPr>
                <w:rFonts w:ascii="Times New Roman"/>
                <w:sz w:val="20"/>
              </w:rPr>
            </w:pPr>
          </w:p>
        </w:tc>
        <w:tc>
          <w:tcPr>
            <w:tcW w:w="4339" w:type="dxa"/>
            <w:tcBorders>
              <w:top w:val="nil"/>
              <w:bottom w:val="nil"/>
            </w:tcBorders>
          </w:tcPr>
          <w:p>
            <w:pPr>
              <w:pStyle w:val="TableParagraph"/>
              <w:spacing w:line="253" w:lineRule="exact"/>
              <w:ind w:left="146"/>
              <w:rPr>
                <w:sz w:val="21"/>
              </w:rPr>
            </w:pPr>
            <w:r>
              <w:rPr>
                <w:sz w:val="21"/>
              </w:rPr>
              <w:t>项目施工实际要求。 差（</w:t>
            </w:r>
            <w:r>
              <w:rPr>
                <w:rFonts w:ascii="Calibri" w:eastAsia="Calibri"/>
                <w:sz w:val="21"/>
              </w:rPr>
              <w:t>1 </w:t>
            </w:r>
            <w:r>
              <w:rPr>
                <w:sz w:val="21"/>
              </w:rPr>
              <w:t>分）</w:t>
            </w:r>
            <w:r>
              <w:rPr>
                <w:rFonts w:ascii="Calibri" w:eastAsia="Calibri"/>
                <w:sz w:val="21"/>
              </w:rPr>
              <w:t>:</w:t>
            </w:r>
            <w:r>
              <w:rPr>
                <w:sz w:val="21"/>
              </w:rPr>
              <w:t>无施工总平</w:t>
            </w:r>
          </w:p>
          <w:p>
            <w:pPr>
              <w:pStyle w:val="TableParagraph"/>
              <w:spacing w:line="243" w:lineRule="exact" w:before="2"/>
              <w:ind w:left="146"/>
              <w:rPr>
                <w:sz w:val="21"/>
              </w:rPr>
            </w:pPr>
            <w:r>
              <w:rPr>
                <w:sz w:val="21"/>
              </w:rPr>
              <w:t>面布置图，安排不合理，不符合本项目施工</w:t>
            </w:r>
          </w:p>
        </w:tc>
      </w:tr>
      <w:tr>
        <w:trPr>
          <w:trHeight w:val="416" w:hRule="atLeast"/>
        </w:trPr>
        <w:tc>
          <w:tcPr>
            <w:tcW w:w="828" w:type="dxa"/>
            <w:vMerge/>
            <w:tcBorders>
              <w:top w:val="nil"/>
            </w:tcBorders>
          </w:tcPr>
          <w:p>
            <w:pPr>
              <w:rPr>
                <w:sz w:val="2"/>
                <w:szCs w:val="2"/>
              </w:rPr>
            </w:pPr>
          </w:p>
        </w:tc>
        <w:tc>
          <w:tcPr>
            <w:tcW w:w="874" w:type="dxa"/>
            <w:vMerge/>
            <w:tcBorders>
              <w:top w:val="nil"/>
            </w:tcBorders>
          </w:tcPr>
          <w:p>
            <w:pPr>
              <w:rPr>
                <w:sz w:val="2"/>
                <w:szCs w:val="2"/>
              </w:rPr>
            </w:pPr>
          </w:p>
        </w:tc>
        <w:tc>
          <w:tcPr>
            <w:tcW w:w="1098" w:type="dxa"/>
            <w:vMerge/>
            <w:tcBorders>
              <w:top w:val="nil"/>
            </w:tcBorders>
          </w:tcPr>
          <w:p>
            <w:pPr>
              <w:rPr>
                <w:sz w:val="2"/>
                <w:szCs w:val="2"/>
              </w:rPr>
            </w:pPr>
          </w:p>
        </w:tc>
        <w:tc>
          <w:tcPr>
            <w:tcW w:w="1837" w:type="dxa"/>
            <w:tcBorders>
              <w:top w:val="nil"/>
            </w:tcBorders>
          </w:tcPr>
          <w:p>
            <w:pPr>
              <w:pStyle w:val="TableParagraph"/>
              <w:rPr>
                <w:rFonts w:ascii="Times New Roman"/>
                <w:sz w:val="20"/>
              </w:rPr>
            </w:pPr>
          </w:p>
        </w:tc>
        <w:tc>
          <w:tcPr>
            <w:tcW w:w="4339" w:type="dxa"/>
            <w:tcBorders>
              <w:top w:val="nil"/>
            </w:tcBorders>
          </w:tcPr>
          <w:p>
            <w:pPr>
              <w:pStyle w:val="TableParagraph"/>
              <w:spacing w:line="264" w:lineRule="exact"/>
              <w:ind w:left="146"/>
              <w:rPr>
                <w:sz w:val="21"/>
              </w:rPr>
            </w:pPr>
            <w:r>
              <w:rPr>
                <w:sz w:val="21"/>
              </w:rPr>
              <w:t>实际要求。</w:t>
            </w:r>
          </w:p>
        </w:tc>
      </w:tr>
      <w:tr>
        <w:trPr>
          <w:trHeight w:val="420" w:hRule="atLeast"/>
        </w:trPr>
        <w:tc>
          <w:tcPr>
            <w:tcW w:w="828" w:type="dxa"/>
            <w:tcBorders>
              <w:bottom w:val="nil"/>
            </w:tcBorders>
          </w:tcPr>
          <w:p>
            <w:pPr>
              <w:pStyle w:val="TableParagraph"/>
              <w:rPr>
                <w:rFonts w:ascii="Times New Roman"/>
                <w:sz w:val="20"/>
              </w:rPr>
            </w:pPr>
          </w:p>
        </w:tc>
        <w:tc>
          <w:tcPr>
            <w:tcW w:w="1972" w:type="dxa"/>
            <w:gridSpan w:val="2"/>
            <w:tcBorders>
              <w:bottom w:val="nil"/>
            </w:tcBorders>
          </w:tcPr>
          <w:p>
            <w:pPr>
              <w:pStyle w:val="TableParagraph"/>
              <w:rPr>
                <w:rFonts w:ascii="Times New Roman"/>
                <w:sz w:val="20"/>
              </w:rPr>
            </w:pPr>
          </w:p>
        </w:tc>
        <w:tc>
          <w:tcPr>
            <w:tcW w:w="6176" w:type="dxa"/>
            <w:gridSpan w:val="2"/>
            <w:tcBorders>
              <w:bottom w:val="nil"/>
            </w:tcBorders>
          </w:tcPr>
          <w:p>
            <w:pPr>
              <w:pStyle w:val="TableParagraph"/>
              <w:spacing w:line="320" w:lineRule="exact" w:before="80"/>
              <w:ind w:left="147"/>
              <w:rPr>
                <w:rFonts w:ascii="Microsoft JhengHei" w:eastAsia="Microsoft JhengHei" w:hint="eastAsia"/>
                <w:b/>
                <w:sz w:val="21"/>
              </w:rPr>
            </w:pPr>
            <w:r>
              <w:rPr>
                <w:rFonts w:ascii="Microsoft JhengHei" w:eastAsia="Microsoft JhengHei" w:hint="eastAsia"/>
                <w:b/>
                <w:sz w:val="21"/>
              </w:rPr>
              <w:t>评标基准价的确定方法【备注：选择以下其中一种方法】</w:t>
            </w:r>
          </w:p>
        </w:tc>
      </w:tr>
      <w:tr>
        <w:trPr>
          <w:trHeight w:val="283" w:hRule="atLeast"/>
        </w:trPr>
        <w:tc>
          <w:tcPr>
            <w:tcW w:w="828" w:type="dxa"/>
            <w:tcBorders>
              <w:top w:val="nil"/>
              <w:bottom w:val="nil"/>
            </w:tcBorders>
          </w:tcPr>
          <w:p>
            <w:pPr>
              <w:pStyle w:val="TableParagraph"/>
              <w:rPr>
                <w:rFonts w:ascii="Times New Roman"/>
                <w:sz w:val="20"/>
              </w:rPr>
            </w:pPr>
          </w:p>
        </w:tc>
        <w:tc>
          <w:tcPr>
            <w:tcW w:w="1972" w:type="dxa"/>
            <w:gridSpan w:val="2"/>
            <w:tcBorders>
              <w:top w:val="nil"/>
              <w:bottom w:val="nil"/>
            </w:tcBorders>
          </w:tcPr>
          <w:p>
            <w:pPr>
              <w:pStyle w:val="TableParagraph"/>
              <w:rPr>
                <w:rFonts w:ascii="Times New Roman"/>
                <w:sz w:val="20"/>
              </w:rPr>
            </w:pPr>
          </w:p>
        </w:tc>
        <w:tc>
          <w:tcPr>
            <w:tcW w:w="6176" w:type="dxa"/>
            <w:gridSpan w:val="2"/>
            <w:tcBorders>
              <w:top w:val="nil"/>
              <w:bottom w:val="nil"/>
            </w:tcBorders>
          </w:tcPr>
          <w:p>
            <w:pPr>
              <w:pStyle w:val="TableParagraph"/>
              <w:spacing w:line="261" w:lineRule="exact" w:before="2"/>
              <w:ind w:left="147"/>
              <w:rPr>
                <w:sz w:val="21"/>
              </w:rPr>
            </w:pPr>
            <w:r>
              <w:rPr>
                <w:sz w:val="21"/>
              </w:rPr>
              <w:t>（</w:t>
            </w:r>
            <w:r>
              <w:rPr>
                <w:rFonts w:ascii="Calibri" w:eastAsia="Calibri"/>
                <w:sz w:val="21"/>
              </w:rPr>
              <w:t>1</w:t>
            </w:r>
            <w:r>
              <w:rPr>
                <w:sz w:val="21"/>
              </w:rPr>
              <w:t>）有效报价范围：为通过资格评审、形式评审、响应性评审、</w:t>
            </w:r>
          </w:p>
        </w:tc>
      </w:tr>
      <w:tr>
        <w:trPr>
          <w:trHeight w:val="260" w:hRule="atLeast"/>
        </w:trPr>
        <w:tc>
          <w:tcPr>
            <w:tcW w:w="828" w:type="dxa"/>
            <w:tcBorders>
              <w:top w:val="nil"/>
              <w:bottom w:val="nil"/>
            </w:tcBorders>
          </w:tcPr>
          <w:p>
            <w:pPr>
              <w:pStyle w:val="TableParagraph"/>
              <w:rPr>
                <w:rFonts w:ascii="Times New Roman"/>
                <w:sz w:val="18"/>
              </w:rPr>
            </w:pPr>
          </w:p>
        </w:tc>
        <w:tc>
          <w:tcPr>
            <w:tcW w:w="1972" w:type="dxa"/>
            <w:gridSpan w:val="2"/>
            <w:tcBorders>
              <w:top w:val="nil"/>
              <w:bottom w:val="nil"/>
            </w:tcBorders>
          </w:tcPr>
          <w:p>
            <w:pPr>
              <w:pStyle w:val="TableParagraph"/>
              <w:rPr>
                <w:rFonts w:ascii="Times New Roman"/>
                <w:sz w:val="18"/>
              </w:rPr>
            </w:pPr>
          </w:p>
        </w:tc>
        <w:tc>
          <w:tcPr>
            <w:tcW w:w="6176" w:type="dxa"/>
            <w:gridSpan w:val="2"/>
            <w:tcBorders>
              <w:top w:val="nil"/>
              <w:bottom w:val="nil"/>
            </w:tcBorders>
          </w:tcPr>
          <w:p>
            <w:pPr>
              <w:pStyle w:val="TableParagraph"/>
              <w:spacing w:line="241" w:lineRule="exact"/>
              <w:ind w:left="147"/>
              <w:rPr>
                <w:sz w:val="21"/>
              </w:rPr>
            </w:pPr>
            <w:r>
              <w:rPr>
                <w:sz w:val="21"/>
              </w:rPr>
              <w:t>技术标评审合格、投标总价低于或等于招标控制价的报价。</w:t>
            </w:r>
          </w:p>
        </w:tc>
      </w:tr>
      <w:tr>
        <w:trPr>
          <w:trHeight w:val="828" w:hRule="atLeast"/>
        </w:trPr>
        <w:tc>
          <w:tcPr>
            <w:tcW w:w="828" w:type="dxa"/>
            <w:tcBorders>
              <w:top w:val="nil"/>
              <w:bottom w:val="nil"/>
            </w:tcBorders>
          </w:tcPr>
          <w:p>
            <w:pPr>
              <w:pStyle w:val="TableParagraph"/>
              <w:spacing w:before="142"/>
              <w:ind w:left="201"/>
              <w:rPr>
                <w:rFonts w:ascii="Calibri"/>
                <w:sz w:val="21"/>
              </w:rPr>
            </w:pPr>
            <w:r>
              <w:rPr>
                <w:rFonts w:ascii="Calibri"/>
                <w:sz w:val="21"/>
              </w:rPr>
              <w:t>2.2.2</w:t>
            </w:r>
          </w:p>
          <w:p>
            <w:pPr>
              <w:pStyle w:val="TableParagraph"/>
              <w:spacing w:before="5"/>
              <w:ind w:left="150"/>
              <w:rPr>
                <w:sz w:val="21"/>
              </w:rPr>
            </w:pPr>
            <w:r>
              <w:rPr>
                <w:sz w:val="21"/>
              </w:rPr>
              <w:t>（</w:t>
            </w:r>
            <w:r>
              <w:rPr>
                <w:rFonts w:ascii="Calibri" w:eastAsia="Calibri"/>
                <w:sz w:val="21"/>
              </w:rPr>
              <w:t>2</w:t>
            </w:r>
            <w:r>
              <w:rPr>
                <w:sz w:val="21"/>
              </w:rPr>
              <w:t>）</w:t>
            </w:r>
          </w:p>
        </w:tc>
        <w:tc>
          <w:tcPr>
            <w:tcW w:w="1972" w:type="dxa"/>
            <w:gridSpan w:val="2"/>
            <w:tcBorders>
              <w:top w:val="nil"/>
              <w:bottom w:val="nil"/>
            </w:tcBorders>
          </w:tcPr>
          <w:p>
            <w:pPr>
              <w:pStyle w:val="TableParagraph"/>
              <w:spacing w:before="16"/>
              <w:rPr>
                <w:rFonts w:ascii="Microsoft JhengHei"/>
                <w:b/>
                <w:sz w:val="14"/>
              </w:rPr>
            </w:pPr>
          </w:p>
          <w:p>
            <w:pPr>
              <w:pStyle w:val="TableParagraph"/>
              <w:ind w:left="246"/>
              <w:rPr>
                <w:sz w:val="21"/>
              </w:rPr>
            </w:pPr>
            <w:r>
              <w:rPr>
                <w:sz w:val="21"/>
              </w:rPr>
              <w:t>评标基准价计算</w:t>
            </w:r>
          </w:p>
        </w:tc>
        <w:tc>
          <w:tcPr>
            <w:tcW w:w="6176" w:type="dxa"/>
            <w:gridSpan w:val="2"/>
            <w:tcBorders>
              <w:top w:val="nil"/>
              <w:bottom w:val="nil"/>
            </w:tcBorders>
          </w:tcPr>
          <w:p>
            <w:pPr>
              <w:pStyle w:val="TableParagraph"/>
              <w:numPr>
                <w:ilvl w:val="0"/>
                <w:numId w:val="52"/>
              </w:numPr>
              <w:tabs>
                <w:tab w:pos="677" w:val="left" w:leader="none"/>
              </w:tabs>
              <w:spacing w:line="242" w:lineRule="auto" w:before="2" w:after="0"/>
              <w:ind w:left="147" w:right="229" w:firstLine="0"/>
              <w:jc w:val="left"/>
              <w:rPr>
                <w:sz w:val="21"/>
              </w:rPr>
            </w:pPr>
            <w:r>
              <w:rPr>
                <w:spacing w:val="-3"/>
                <w:sz w:val="21"/>
              </w:rPr>
              <w:t>将有效报价范围内的投标总价，按由低到高的顺序依次排出名次。</w:t>
            </w:r>
          </w:p>
          <w:p>
            <w:pPr>
              <w:pStyle w:val="TableParagraph"/>
              <w:numPr>
                <w:ilvl w:val="0"/>
                <w:numId w:val="52"/>
              </w:numPr>
              <w:tabs>
                <w:tab w:pos="677" w:val="left" w:leader="none"/>
              </w:tabs>
              <w:spacing w:line="261" w:lineRule="exact" w:before="2" w:after="0"/>
              <w:ind w:left="676" w:right="0" w:hanging="530"/>
              <w:jc w:val="left"/>
              <w:rPr>
                <w:sz w:val="21"/>
              </w:rPr>
            </w:pPr>
            <w:r>
              <w:rPr>
                <w:spacing w:val="-3"/>
                <w:sz w:val="21"/>
              </w:rPr>
              <w:t>评标基准价</w:t>
            </w:r>
            <w:r>
              <w:rPr>
                <w:rFonts w:ascii="Calibri" w:hAnsi="Calibri" w:eastAsia="Calibri"/>
                <w:sz w:val="21"/>
              </w:rPr>
              <w:t>=K*</w:t>
            </w:r>
            <w:r>
              <w:rPr>
                <w:sz w:val="21"/>
              </w:rPr>
              <w:t>（</w:t>
            </w:r>
            <w:r>
              <w:rPr>
                <w:rFonts w:ascii="Calibri" w:hAnsi="Calibri" w:eastAsia="Calibri"/>
                <w:sz w:val="21"/>
              </w:rPr>
              <w:t>A1+A2+A3…+An</w:t>
            </w:r>
            <w:r>
              <w:rPr>
                <w:sz w:val="21"/>
              </w:rPr>
              <w:t>）</w:t>
            </w:r>
            <w:r>
              <w:rPr>
                <w:rFonts w:ascii="Calibri" w:hAnsi="Calibri" w:eastAsia="Calibri"/>
                <w:sz w:val="21"/>
              </w:rPr>
              <w:t>/n</w:t>
            </w:r>
            <w:r>
              <w:rPr>
                <w:sz w:val="21"/>
              </w:rPr>
              <w:t>，</w:t>
            </w:r>
            <w:r>
              <w:rPr>
                <w:rFonts w:ascii="Calibri" w:hAnsi="Calibri" w:eastAsia="Calibri"/>
                <w:sz w:val="21"/>
              </w:rPr>
              <w:t>An</w:t>
            </w:r>
            <w:r>
              <w:rPr>
                <w:rFonts w:ascii="Calibri" w:hAnsi="Calibri" w:eastAsia="Calibri"/>
                <w:spacing w:val="7"/>
                <w:sz w:val="21"/>
              </w:rPr>
              <w:t> </w:t>
            </w:r>
            <w:r>
              <w:rPr>
                <w:spacing w:val="-3"/>
                <w:sz w:val="21"/>
              </w:rPr>
              <w:t>为在有效报价范</w:t>
            </w:r>
          </w:p>
        </w:tc>
      </w:tr>
      <w:tr>
        <w:trPr>
          <w:trHeight w:val="272" w:hRule="atLeast"/>
        </w:trPr>
        <w:tc>
          <w:tcPr>
            <w:tcW w:w="828" w:type="dxa"/>
            <w:tcBorders>
              <w:top w:val="nil"/>
              <w:bottom w:val="nil"/>
            </w:tcBorders>
          </w:tcPr>
          <w:p>
            <w:pPr>
              <w:pStyle w:val="TableParagraph"/>
              <w:rPr>
                <w:rFonts w:ascii="Times New Roman"/>
                <w:sz w:val="20"/>
              </w:rPr>
            </w:pPr>
          </w:p>
        </w:tc>
        <w:tc>
          <w:tcPr>
            <w:tcW w:w="1972" w:type="dxa"/>
            <w:gridSpan w:val="2"/>
            <w:tcBorders>
              <w:top w:val="nil"/>
              <w:bottom w:val="nil"/>
            </w:tcBorders>
          </w:tcPr>
          <w:p>
            <w:pPr>
              <w:pStyle w:val="TableParagraph"/>
              <w:rPr>
                <w:rFonts w:ascii="Times New Roman"/>
                <w:sz w:val="20"/>
              </w:rPr>
            </w:pPr>
          </w:p>
        </w:tc>
        <w:tc>
          <w:tcPr>
            <w:tcW w:w="6176" w:type="dxa"/>
            <w:gridSpan w:val="2"/>
            <w:tcBorders>
              <w:top w:val="nil"/>
              <w:bottom w:val="nil"/>
            </w:tcBorders>
          </w:tcPr>
          <w:p>
            <w:pPr>
              <w:pStyle w:val="TableParagraph"/>
              <w:spacing w:line="252" w:lineRule="exact"/>
              <w:ind w:left="147"/>
              <w:rPr>
                <w:sz w:val="21"/>
              </w:rPr>
            </w:pPr>
            <w:r>
              <w:rPr>
                <w:sz w:val="21"/>
              </w:rPr>
              <w:t>围内且与所有有效报价平均值偏差率在</w:t>
            </w:r>
            <w:r>
              <w:rPr>
                <w:rFonts w:ascii="Calibri" w:hAnsi="Calibri" w:eastAsia="Calibri"/>
                <w:sz w:val="21"/>
              </w:rPr>
              <w:t>±15%</w:t>
            </w:r>
            <w:r>
              <w:rPr>
                <w:sz w:val="21"/>
              </w:rPr>
              <w:t>（含）以内的报价，</w:t>
            </w:r>
          </w:p>
        </w:tc>
      </w:tr>
      <w:tr>
        <w:trPr>
          <w:trHeight w:val="272" w:hRule="atLeast"/>
        </w:trPr>
        <w:tc>
          <w:tcPr>
            <w:tcW w:w="828" w:type="dxa"/>
            <w:tcBorders>
              <w:top w:val="nil"/>
              <w:bottom w:val="nil"/>
            </w:tcBorders>
          </w:tcPr>
          <w:p>
            <w:pPr>
              <w:pStyle w:val="TableParagraph"/>
              <w:rPr>
                <w:rFonts w:ascii="Times New Roman"/>
                <w:sz w:val="20"/>
              </w:rPr>
            </w:pPr>
          </w:p>
        </w:tc>
        <w:tc>
          <w:tcPr>
            <w:tcW w:w="1972" w:type="dxa"/>
            <w:gridSpan w:val="2"/>
            <w:tcBorders>
              <w:top w:val="nil"/>
              <w:bottom w:val="nil"/>
            </w:tcBorders>
          </w:tcPr>
          <w:p>
            <w:pPr>
              <w:pStyle w:val="TableParagraph"/>
              <w:rPr>
                <w:rFonts w:ascii="Times New Roman"/>
                <w:sz w:val="20"/>
              </w:rPr>
            </w:pPr>
          </w:p>
        </w:tc>
        <w:tc>
          <w:tcPr>
            <w:tcW w:w="6176" w:type="dxa"/>
            <w:gridSpan w:val="2"/>
            <w:tcBorders>
              <w:top w:val="nil"/>
              <w:bottom w:val="nil"/>
            </w:tcBorders>
          </w:tcPr>
          <w:p>
            <w:pPr>
              <w:pStyle w:val="TableParagraph"/>
              <w:spacing w:line="252" w:lineRule="exact"/>
              <w:ind w:left="147"/>
              <w:rPr>
                <w:sz w:val="21"/>
              </w:rPr>
            </w:pPr>
            <w:r>
              <w:rPr>
                <w:rFonts w:ascii="Calibri" w:eastAsia="Calibri"/>
                <w:sz w:val="21"/>
              </w:rPr>
              <w:t>n </w:t>
            </w:r>
            <w:r>
              <w:rPr>
                <w:sz w:val="21"/>
              </w:rPr>
              <w:t>为参与评标基准价计算的有效投标报价数量。</w:t>
            </w:r>
            <w:r>
              <w:rPr>
                <w:rFonts w:ascii="Calibri" w:eastAsia="Calibri"/>
                <w:sz w:val="21"/>
              </w:rPr>
              <w:t>K </w:t>
            </w:r>
            <w:r>
              <w:rPr>
                <w:sz w:val="21"/>
              </w:rPr>
              <w:t>为开标时由招</w:t>
            </w:r>
          </w:p>
        </w:tc>
      </w:tr>
      <w:tr>
        <w:trPr>
          <w:trHeight w:val="410" w:hRule="atLeast"/>
        </w:trPr>
        <w:tc>
          <w:tcPr>
            <w:tcW w:w="828" w:type="dxa"/>
            <w:tcBorders>
              <w:top w:val="nil"/>
            </w:tcBorders>
          </w:tcPr>
          <w:p>
            <w:pPr>
              <w:pStyle w:val="TableParagraph"/>
              <w:rPr>
                <w:rFonts w:ascii="Times New Roman"/>
                <w:sz w:val="20"/>
              </w:rPr>
            </w:pPr>
          </w:p>
        </w:tc>
        <w:tc>
          <w:tcPr>
            <w:tcW w:w="1972" w:type="dxa"/>
            <w:gridSpan w:val="2"/>
            <w:tcBorders>
              <w:top w:val="nil"/>
            </w:tcBorders>
          </w:tcPr>
          <w:p>
            <w:pPr>
              <w:pStyle w:val="TableParagraph"/>
              <w:rPr>
                <w:rFonts w:ascii="Times New Roman"/>
                <w:sz w:val="20"/>
              </w:rPr>
            </w:pPr>
          </w:p>
        </w:tc>
        <w:tc>
          <w:tcPr>
            <w:tcW w:w="6176" w:type="dxa"/>
            <w:gridSpan w:val="2"/>
            <w:tcBorders>
              <w:top w:val="nil"/>
            </w:tcBorders>
          </w:tcPr>
          <w:p>
            <w:pPr>
              <w:pStyle w:val="TableParagraph"/>
              <w:spacing w:line="259" w:lineRule="exact"/>
              <w:ind w:left="147"/>
              <w:rPr>
                <w:sz w:val="21"/>
              </w:rPr>
            </w:pPr>
            <w:r>
              <w:rPr>
                <w:spacing w:val="-13"/>
                <w:sz w:val="21"/>
              </w:rPr>
              <w:t>标人从 </w:t>
            </w:r>
            <w:r>
              <w:rPr>
                <w:rFonts w:ascii="Calibri" w:eastAsia="Calibri"/>
                <w:sz w:val="21"/>
              </w:rPr>
              <w:t>0.95</w:t>
            </w:r>
            <w:r>
              <w:rPr>
                <w:spacing w:val="-48"/>
                <w:sz w:val="21"/>
              </w:rPr>
              <w:t>、</w:t>
            </w:r>
            <w:r>
              <w:rPr>
                <w:rFonts w:ascii="Calibri" w:eastAsia="Calibri"/>
                <w:sz w:val="21"/>
              </w:rPr>
              <w:t>0.96</w:t>
            </w:r>
            <w:r>
              <w:rPr>
                <w:spacing w:val="-46"/>
                <w:sz w:val="21"/>
              </w:rPr>
              <w:t>、</w:t>
            </w:r>
            <w:r>
              <w:rPr>
                <w:rFonts w:ascii="Calibri" w:eastAsia="Calibri"/>
                <w:spacing w:val="-3"/>
                <w:sz w:val="21"/>
              </w:rPr>
              <w:t>0.97</w:t>
            </w:r>
            <w:r>
              <w:rPr>
                <w:spacing w:val="-46"/>
                <w:sz w:val="21"/>
              </w:rPr>
              <w:t>、</w:t>
            </w:r>
            <w:r>
              <w:rPr>
                <w:rFonts w:ascii="Calibri" w:eastAsia="Calibri"/>
                <w:sz w:val="21"/>
              </w:rPr>
              <w:t>0.98</w:t>
            </w:r>
            <w:r>
              <w:rPr>
                <w:spacing w:val="-48"/>
                <w:sz w:val="21"/>
              </w:rPr>
              <w:t>、</w:t>
            </w:r>
            <w:r>
              <w:rPr>
                <w:rFonts w:ascii="Calibri" w:eastAsia="Calibri"/>
                <w:sz w:val="21"/>
              </w:rPr>
              <w:t>0.99 </w:t>
            </w:r>
            <w:r>
              <w:rPr>
                <w:spacing w:val="-3"/>
                <w:sz w:val="21"/>
              </w:rPr>
              <w:t>中随机抽取的其中一个系数。</w:t>
            </w:r>
          </w:p>
        </w:tc>
      </w:tr>
      <w:tr>
        <w:trPr>
          <w:trHeight w:val="415" w:hRule="atLeast"/>
        </w:trPr>
        <w:tc>
          <w:tcPr>
            <w:tcW w:w="828" w:type="dxa"/>
            <w:tcBorders>
              <w:bottom w:val="nil"/>
            </w:tcBorders>
          </w:tcPr>
          <w:p>
            <w:pPr>
              <w:pStyle w:val="TableParagraph"/>
              <w:rPr>
                <w:rFonts w:ascii="Times New Roman"/>
                <w:sz w:val="20"/>
              </w:rPr>
            </w:pPr>
          </w:p>
        </w:tc>
        <w:tc>
          <w:tcPr>
            <w:tcW w:w="874" w:type="dxa"/>
            <w:tcBorders>
              <w:bottom w:val="nil"/>
            </w:tcBorders>
          </w:tcPr>
          <w:p>
            <w:pPr>
              <w:pStyle w:val="TableParagraph"/>
              <w:spacing w:line="244" w:lineRule="exact" w:before="152"/>
              <w:ind w:left="148"/>
              <w:rPr>
                <w:sz w:val="21"/>
              </w:rPr>
            </w:pPr>
            <w:r>
              <w:rPr>
                <w:sz w:val="21"/>
              </w:rPr>
              <w:t>报价</w:t>
            </w:r>
          </w:p>
        </w:tc>
        <w:tc>
          <w:tcPr>
            <w:tcW w:w="1098"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4"/>
              <w:rPr>
                <w:rFonts w:ascii="Microsoft JhengHei"/>
                <w:b/>
                <w:sz w:val="24"/>
              </w:rPr>
            </w:pPr>
          </w:p>
          <w:p>
            <w:pPr>
              <w:pStyle w:val="TableParagraph"/>
              <w:spacing w:line="242" w:lineRule="auto"/>
              <w:ind w:left="148" w:right="299"/>
              <w:rPr>
                <w:sz w:val="21"/>
              </w:rPr>
            </w:pPr>
            <w:r>
              <w:rPr>
                <w:sz w:val="21"/>
              </w:rPr>
              <w:t>投标报价评分</w:t>
            </w:r>
          </w:p>
          <w:p>
            <w:pPr>
              <w:pStyle w:val="TableParagraph"/>
              <w:spacing w:line="253" w:lineRule="exact"/>
              <w:ind w:left="148"/>
              <w:rPr>
                <w:rFonts w:ascii="Calibri"/>
                <w:sz w:val="21"/>
              </w:rPr>
            </w:pPr>
            <w:r>
              <w:rPr>
                <w:rFonts w:ascii="Calibri"/>
                <w:sz w:val="21"/>
              </w:rPr>
              <w:t>_100</w:t>
            </w:r>
          </w:p>
          <w:p>
            <w:pPr>
              <w:pStyle w:val="TableParagraph"/>
              <w:spacing w:before="6"/>
              <w:ind w:left="148"/>
              <w:rPr>
                <w:rFonts w:ascii="Calibri" w:eastAsia="Calibri"/>
                <w:sz w:val="21"/>
              </w:rPr>
            </w:pPr>
            <w:r>
              <w:rPr>
                <w:sz w:val="21"/>
              </w:rPr>
              <w:t>（</w:t>
            </w:r>
            <w:r>
              <w:rPr>
                <w:rFonts w:ascii="Calibri" w:eastAsia="Calibri"/>
                <w:sz w:val="21"/>
              </w:rPr>
              <w:t>100.00</w:t>
            </w:r>
          </w:p>
          <w:p>
            <w:pPr>
              <w:pStyle w:val="TableParagraph"/>
              <w:spacing w:before="2"/>
              <w:ind w:left="148"/>
              <w:rPr>
                <w:sz w:val="21"/>
              </w:rPr>
            </w:pPr>
            <w:r>
              <w:rPr>
                <w:sz w:val="21"/>
              </w:rPr>
              <w:t>分）</w:t>
            </w:r>
          </w:p>
        </w:tc>
        <w:tc>
          <w:tcPr>
            <w:tcW w:w="6176" w:type="dxa"/>
            <w:gridSpan w:val="2"/>
            <w:tcBorders>
              <w:bottom w:val="nil"/>
            </w:tcBorders>
          </w:tcPr>
          <w:p>
            <w:pPr>
              <w:pStyle w:val="TableParagraph"/>
              <w:rPr>
                <w:rFonts w:ascii="Times New Roman"/>
                <w:sz w:val="20"/>
              </w:rPr>
            </w:pPr>
          </w:p>
        </w:tc>
      </w:tr>
      <w:tr>
        <w:trPr>
          <w:trHeight w:val="257" w:hRule="atLeast"/>
        </w:trPr>
        <w:tc>
          <w:tcPr>
            <w:tcW w:w="828" w:type="dxa"/>
            <w:tcBorders>
              <w:top w:val="nil"/>
              <w:bottom w:val="nil"/>
            </w:tcBorders>
          </w:tcPr>
          <w:p>
            <w:pPr>
              <w:pStyle w:val="TableParagraph"/>
              <w:rPr>
                <w:rFonts w:ascii="Times New Roman"/>
                <w:sz w:val="18"/>
              </w:rPr>
            </w:pPr>
          </w:p>
        </w:tc>
        <w:tc>
          <w:tcPr>
            <w:tcW w:w="874" w:type="dxa"/>
            <w:tcBorders>
              <w:top w:val="nil"/>
              <w:bottom w:val="nil"/>
            </w:tcBorders>
          </w:tcPr>
          <w:p>
            <w:pPr>
              <w:pStyle w:val="TableParagraph"/>
              <w:spacing w:line="238" w:lineRule="exact"/>
              <w:ind w:left="148"/>
              <w:rPr>
                <w:sz w:val="21"/>
              </w:rPr>
            </w:pPr>
            <w:r>
              <w:rPr>
                <w:sz w:val="21"/>
              </w:rPr>
              <w:t>分评</w:t>
            </w:r>
          </w:p>
        </w:tc>
        <w:tc>
          <w:tcPr>
            <w:tcW w:w="1098" w:type="dxa"/>
            <w:vMerge/>
            <w:tcBorders>
              <w:top w:val="nil"/>
            </w:tcBorders>
          </w:tcPr>
          <w:p>
            <w:pPr>
              <w:rPr>
                <w:sz w:val="2"/>
                <w:szCs w:val="2"/>
              </w:rPr>
            </w:pPr>
          </w:p>
        </w:tc>
        <w:tc>
          <w:tcPr>
            <w:tcW w:w="6176" w:type="dxa"/>
            <w:gridSpan w:val="2"/>
            <w:tcBorders>
              <w:top w:val="nil"/>
              <w:bottom w:val="nil"/>
            </w:tcBorders>
          </w:tcPr>
          <w:p>
            <w:pPr>
              <w:pStyle w:val="TableParagraph"/>
              <w:rPr>
                <w:rFonts w:ascii="Times New Roman"/>
                <w:sz w:val="18"/>
              </w:rPr>
            </w:pPr>
          </w:p>
        </w:tc>
      </w:tr>
      <w:tr>
        <w:trPr>
          <w:trHeight w:val="256" w:hRule="atLeast"/>
        </w:trPr>
        <w:tc>
          <w:tcPr>
            <w:tcW w:w="828" w:type="dxa"/>
            <w:tcBorders>
              <w:top w:val="nil"/>
              <w:bottom w:val="nil"/>
            </w:tcBorders>
          </w:tcPr>
          <w:p>
            <w:pPr>
              <w:pStyle w:val="TableParagraph"/>
              <w:rPr>
                <w:rFonts w:ascii="Times New Roman"/>
                <w:sz w:val="18"/>
              </w:rPr>
            </w:pPr>
          </w:p>
        </w:tc>
        <w:tc>
          <w:tcPr>
            <w:tcW w:w="874" w:type="dxa"/>
            <w:tcBorders>
              <w:top w:val="nil"/>
              <w:bottom w:val="nil"/>
            </w:tcBorders>
          </w:tcPr>
          <w:p>
            <w:pPr>
              <w:pStyle w:val="TableParagraph"/>
              <w:spacing w:line="236" w:lineRule="exact"/>
              <w:ind w:left="148"/>
              <w:rPr>
                <w:sz w:val="21"/>
              </w:rPr>
            </w:pPr>
            <w:r>
              <w:rPr>
                <w:sz w:val="21"/>
              </w:rPr>
              <w:t>分标</w:t>
            </w:r>
          </w:p>
        </w:tc>
        <w:tc>
          <w:tcPr>
            <w:tcW w:w="1098" w:type="dxa"/>
            <w:vMerge/>
            <w:tcBorders>
              <w:top w:val="nil"/>
            </w:tcBorders>
          </w:tcPr>
          <w:p>
            <w:pPr>
              <w:rPr>
                <w:sz w:val="2"/>
                <w:szCs w:val="2"/>
              </w:rPr>
            </w:pPr>
          </w:p>
        </w:tc>
        <w:tc>
          <w:tcPr>
            <w:tcW w:w="6176" w:type="dxa"/>
            <w:gridSpan w:val="2"/>
            <w:tcBorders>
              <w:top w:val="nil"/>
              <w:bottom w:val="nil"/>
            </w:tcBorders>
          </w:tcPr>
          <w:p>
            <w:pPr>
              <w:pStyle w:val="TableParagraph"/>
              <w:rPr>
                <w:rFonts w:ascii="Times New Roman"/>
                <w:sz w:val="18"/>
              </w:rPr>
            </w:pPr>
          </w:p>
        </w:tc>
      </w:tr>
      <w:tr>
        <w:trPr>
          <w:trHeight w:val="257" w:hRule="atLeast"/>
        </w:trPr>
        <w:tc>
          <w:tcPr>
            <w:tcW w:w="828" w:type="dxa"/>
            <w:tcBorders>
              <w:top w:val="nil"/>
              <w:bottom w:val="nil"/>
            </w:tcBorders>
          </w:tcPr>
          <w:p>
            <w:pPr>
              <w:pStyle w:val="TableParagraph"/>
              <w:rPr>
                <w:rFonts w:ascii="Times New Roman"/>
                <w:sz w:val="18"/>
              </w:rPr>
            </w:pPr>
          </w:p>
        </w:tc>
        <w:tc>
          <w:tcPr>
            <w:tcW w:w="874" w:type="dxa"/>
            <w:tcBorders>
              <w:top w:val="nil"/>
              <w:bottom w:val="nil"/>
            </w:tcBorders>
          </w:tcPr>
          <w:p>
            <w:pPr>
              <w:pStyle w:val="TableParagraph"/>
              <w:spacing w:line="237" w:lineRule="exact"/>
              <w:ind w:left="148"/>
              <w:rPr>
                <w:sz w:val="21"/>
              </w:rPr>
            </w:pPr>
            <w:r>
              <w:rPr>
                <w:spacing w:val="-58"/>
                <w:sz w:val="21"/>
              </w:rPr>
              <w:t>准</w:t>
            </w:r>
            <w:r>
              <w:rPr>
                <w:sz w:val="21"/>
              </w:rPr>
              <w:t>（报</w:t>
            </w:r>
          </w:p>
        </w:tc>
        <w:tc>
          <w:tcPr>
            <w:tcW w:w="1098" w:type="dxa"/>
            <w:vMerge/>
            <w:tcBorders>
              <w:top w:val="nil"/>
            </w:tcBorders>
          </w:tcPr>
          <w:p>
            <w:pPr>
              <w:rPr>
                <w:sz w:val="2"/>
                <w:szCs w:val="2"/>
              </w:rPr>
            </w:pPr>
          </w:p>
        </w:tc>
        <w:tc>
          <w:tcPr>
            <w:tcW w:w="6176" w:type="dxa"/>
            <w:gridSpan w:val="2"/>
            <w:tcBorders>
              <w:top w:val="nil"/>
              <w:bottom w:val="nil"/>
            </w:tcBorders>
          </w:tcPr>
          <w:p>
            <w:pPr>
              <w:pStyle w:val="TableParagraph"/>
              <w:rPr>
                <w:rFonts w:ascii="Times New Roman"/>
                <w:sz w:val="18"/>
              </w:rPr>
            </w:pPr>
          </w:p>
        </w:tc>
      </w:tr>
      <w:tr>
        <w:trPr>
          <w:trHeight w:val="257" w:hRule="atLeast"/>
        </w:trPr>
        <w:tc>
          <w:tcPr>
            <w:tcW w:w="828" w:type="dxa"/>
            <w:tcBorders>
              <w:top w:val="nil"/>
              <w:bottom w:val="nil"/>
            </w:tcBorders>
          </w:tcPr>
          <w:p>
            <w:pPr>
              <w:pStyle w:val="TableParagraph"/>
              <w:rPr>
                <w:rFonts w:ascii="Times New Roman"/>
                <w:sz w:val="18"/>
              </w:rPr>
            </w:pPr>
          </w:p>
        </w:tc>
        <w:tc>
          <w:tcPr>
            <w:tcW w:w="874" w:type="dxa"/>
            <w:tcBorders>
              <w:top w:val="nil"/>
              <w:bottom w:val="nil"/>
            </w:tcBorders>
          </w:tcPr>
          <w:p>
            <w:pPr>
              <w:pStyle w:val="TableParagraph"/>
              <w:spacing w:line="237" w:lineRule="exact"/>
              <w:ind w:left="148"/>
              <w:rPr>
                <w:sz w:val="21"/>
              </w:rPr>
            </w:pPr>
            <w:r>
              <w:rPr>
                <w:sz w:val="21"/>
              </w:rPr>
              <w:t>价分</w:t>
            </w:r>
          </w:p>
        </w:tc>
        <w:tc>
          <w:tcPr>
            <w:tcW w:w="1098" w:type="dxa"/>
            <w:vMerge/>
            <w:tcBorders>
              <w:top w:val="nil"/>
            </w:tcBorders>
          </w:tcPr>
          <w:p>
            <w:pPr>
              <w:rPr>
                <w:sz w:val="2"/>
                <w:szCs w:val="2"/>
              </w:rPr>
            </w:pPr>
          </w:p>
        </w:tc>
        <w:tc>
          <w:tcPr>
            <w:tcW w:w="6176" w:type="dxa"/>
            <w:gridSpan w:val="2"/>
            <w:tcBorders>
              <w:top w:val="nil"/>
              <w:bottom w:val="nil"/>
            </w:tcBorders>
          </w:tcPr>
          <w:p>
            <w:pPr>
              <w:pStyle w:val="TableParagraph"/>
              <w:rPr>
                <w:rFonts w:ascii="Times New Roman"/>
                <w:sz w:val="18"/>
              </w:rPr>
            </w:pPr>
          </w:p>
        </w:tc>
      </w:tr>
      <w:tr>
        <w:trPr>
          <w:trHeight w:val="257" w:hRule="atLeast"/>
        </w:trPr>
        <w:tc>
          <w:tcPr>
            <w:tcW w:w="828" w:type="dxa"/>
            <w:tcBorders>
              <w:top w:val="nil"/>
              <w:bottom w:val="nil"/>
            </w:tcBorders>
          </w:tcPr>
          <w:p>
            <w:pPr>
              <w:pStyle w:val="TableParagraph"/>
              <w:rPr>
                <w:rFonts w:ascii="Times New Roman"/>
                <w:sz w:val="18"/>
              </w:rPr>
            </w:pPr>
          </w:p>
        </w:tc>
        <w:tc>
          <w:tcPr>
            <w:tcW w:w="874" w:type="dxa"/>
            <w:tcBorders>
              <w:top w:val="nil"/>
              <w:bottom w:val="nil"/>
            </w:tcBorders>
          </w:tcPr>
          <w:p>
            <w:pPr>
              <w:pStyle w:val="TableParagraph"/>
              <w:spacing w:line="237" w:lineRule="exact"/>
              <w:ind w:left="148"/>
              <w:rPr>
                <w:sz w:val="21"/>
              </w:rPr>
            </w:pPr>
            <w:r>
              <w:rPr>
                <w:sz w:val="21"/>
              </w:rPr>
              <w:t>分值</w:t>
            </w:r>
          </w:p>
        </w:tc>
        <w:tc>
          <w:tcPr>
            <w:tcW w:w="1098" w:type="dxa"/>
            <w:vMerge/>
            <w:tcBorders>
              <w:top w:val="nil"/>
            </w:tcBorders>
          </w:tcPr>
          <w:p>
            <w:pPr>
              <w:rPr>
                <w:sz w:val="2"/>
                <w:szCs w:val="2"/>
              </w:rPr>
            </w:pPr>
          </w:p>
        </w:tc>
        <w:tc>
          <w:tcPr>
            <w:tcW w:w="6176" w:type="dxa"/>
            <w:gridSpan w:val="2"/>
            <w:tcBorders>
              <w:top w:val="nil"/>
              <w:bottom w:val="nil"/>
            </w:tcBorders>
          </w:tcPr>
          <w:p>
            <w:pPr>
              <w:pStyle w:val="TableParagraph"/>
              <w:rPr>
                <w:rFonts w:ascii="Times New Roman"/>
                <w:sz w:val="18"/>
              </w:rPr>
            </w:pPr>
          </w:p>
        </w:tc>
      </w:tr>
      <w:tr>
        <w:trPr>
          <w:trHeight w:val="257" w:hRule="atLeast"/>
        </w:trPr>
        <w:tc>
          <w:tcPr>
            <w:tcW w:w="828" w:type="dxa"/>
            <w:tcBorders>
              <w:top w:val="nil"/>
              <w:bottom w:val="nil"/>
            </w:tcBorders>
          </w:tcPr>
          <w:p>
            <w:pPr>
              <w:pStyle w:val="TableParagraph"/>
              <w:rPr>
                <w:rFonts w:ascii="Times New Roman"/>
                <w:sz w:val="18"/>
              </w:rPr>
            </w:pPr>
          </w:p>
        </w:tc>
        <w:tc>
          <w:tcPr>
            <w:tcW w:w="874" w:type="dxa"/>
            <w:tcBorders>
              <w:top w:val="nil"/>
              <w:bottom w:val="nil"/>
            </w:tcBorders>
          </w:tcPr>
          <w:p>
            <w:pPr>
              <w:pStyle w:val="TableParagraph"/>
              <w:spacing w:line="237" w:lineRule="exact"/>
              <w:ind w:left="148"/>
              <w:rPr>
                <w:sz w:val="21"/>
              </w:rPr>
            </w:pPr>
            <w:r>
              <w:rPr>
                <w:sz w:val="21"/>
              </w:rPr>
              <w:t>权重</w:t>
            </w:r>
          </w:p>
        </w:tc>
        <w:tc>
          <w:tcPr>
            <w:tcW w:w="1098" w:type="dxa"/>
            <w:vMerge/>
            <w:tcBorders>
              <w:top w:val="nil"/>
            </w:tcBorders>
          </w:tcPr>
          <w:p>
            <w:pPr>
              <w:rPr>
                <w:sz w:val="2"/>
                <w:szCs w:val="2"/>
              </w:rPr>
            </w:pPr>
          </w:p>
        </w:tc>
        <w:tc>
          <w:tcPr>
            <w:tcW w:w="6176" w:type="dxa"/>
            <w:gridSpan w:val="2"/>
            <w:tcBorders>
              <w:top w:val="nil"/>
              <w:bottom w:val="nil"/>
            </w:tcBorders>
          </w:tcPr>
          <w:p>
            <w:pPr>
              <w:pStyle w:val="TableParagraph"/>
              <w:rPr>
                <w:rFonts w:ascii="Times New Roman"/>
                <w:sz w:val="18"/>
              </w:rPr>
            </w:pPr>
          </w:p>
        </w:tc>
      </w:tr>
      <w:tr>
        <w:trPr>
          <w:trHeight w:val="268" w:hRule="atLeast"/>
        </w:trPr>
        <w:tc>
          <w:tcPr>
            <w:tcW w:w="828" w:type="dxa"/>
            <w:tcBorders>
              <w:top w:val="nil"/>
              <w:bottom w:val="nil"/>
            </w:tcBorders>
          </w:tcPr>
          <w:p>
            <w:pPr>
              <w:pStyle w:val="TableParagraph"/>
              <w:rPr>
                <w:rFonts w:ascii="Times New Roman"/>
                <w:sz w:val="18"/>
              </w:rPr>
            </w:pPr>
          </w:p>
        </w:tc>
        <w:tc>
          <w:tcPr>
            <w:tcW w:w="874" w:type="dxa"/>
            <w:tcBorders>
              <w:top w:val="nil"/>
              <w:bottom w:val="nil"/>
            </w:tcBorders>
          </w:tcPr>
          <w:p>
            <w:pPr>
              <w:pStyle w:val="TableParagraph"/>
              <w:spacing w:line="249" w:lineRule="exact"/>
              <w:ind w:left="148"/>
              <w:rPr>
                <w:sz w:val="21"/>
              </w:rPr>
            </w:pPr>
            <w:r>
              <w:rPr>
                <w:rFonts w:ascii="Calibri" w:eastAsia="Calibri"/>
                <w:sz w:val="21"/>
              </w:rPr>
              <w:t>=</w:t>
            </w:r>
            <w:r>
              <w:rPr>
                <w:sz w:val="21"/>
              </w:rPr>
              <w:t>商务</w:t>
            </w:r>
          </w:p>
        </w:tc>
        <w:tc>
          <w:tcPr>
            <w:tcW w:w="1098" w:type="dxa"/>
            <w:vMerge/>
            <w:tcBorders>
              <w:top w:val="nil"/>
            </w:tcBorders>
          </w:tcPr>
          <w:p>
            <w:pPr>
              <w:rPr>
                <w:sz w:val="2"/>
                <w:szCs w:val="2"/>
              </w:rPr>
            </w:pPr>
          </w:p>
        </w:tc>
        <w:tc>
          <w:tcPr>
            <w:tcW w:w="6176" w:type="dxa"/>
            <w:gridSpan w:val="2"/>
            <w:tcBorders>
              <w:top w:val="nil"/>
              <w:bottom w:val="nil"/>
            </w:tcBorders>
          </w:tcPr>
          <w:p>
            <w:pPr>
              <w:pStyle w:val="TableParagraph"/>
              <w:spacing w:line="249" w:lineRule="exact"/>
              <w:ind w:left="147"/>
              <w:rPr>
                <w:sz w:val="21"/>
              </w:rPr>
            </w:pPr>
            <w:r>
              <w:rPr>
                <w:sz w:val="21"/>
              </w:rPr>
              <w:t>（</w:t>
            </w:r>
            <w:r>
              <w:rPr>
                <w:rFonts w:ascii="Calibri" w:eastAsia="Calibri"/>
                <w:sz w:val="21"/>
              </w:rPr>
              <w:t>1</w:t>
            </w:r>
            <w:r>
              <w:rPr>
                <w:sz w:val="21"/>
              </w:rPr>
              <w:t>）有效报价范围：为通过资格评审、形式评审、响应性评审、</w:t>
            </w:r>
          </w:p>
        </w:tc>
      </w:tr>
      <w:tr>
        <w:trPr>
          <w:trHeight w:val="257" w:hRule="atLeast"/>
        </w:trPr>
        <w:tc>
          <w:tcPr>
            <w:tcW w:w="828" w:type="dxa"/>
            <w:tcBorders>
              <w:top w:val="nil"/>
              <w:bottom w:val="nil"/>
            </w:tcBorders>
          </w:tcPr>
          <w:p>
            <w:pPr>
              <w:pStyle w:val="TableParagraph"/>
              <w:rPr>
                <w:rFonts w:ascii="Times New Roman"/>
                <w:sz w:val="18"/>
              </w:rPr>
            </w:pPr>
          </w:p>
        </w:tc>
        <w:tc>
          <w:tcPr>
            <w:tcW w:w="874" w:type="dxa"/>
            <w:tcBorders>
              <w:top w:val="nil"/>
              <w:bottom w:val="nil"/>
            </w:tcBorders>
          </w:tcPr>
          <w:p>
            <w:pPr>
              <w:pStyle w:val="TableParagraph"/>
              <w:spacing w:line="237" w:lineRule="exact"/>
              <w:ind w:left="148"/>
              <w:rPr>
                <w:sz w:val="21"/>
              </w:rPr>
            </w:pPr>
            <w:r>
              <w:rPr>
                <w:sz w:val="21"/>
              </w:rPr>
              <w:t>标分</w:t>
            </w:r>
          </w:p>
        </w:tc>
        <w:tc>
          <w:tcPr>
            <w:tcW w:w="1098" w:type="dxa"/>
            <w:vMerge/>
            <w:tcBorders>
              <w:top w:val="nil"/>
            </w:tcBorders>
          </w:tcPr>
          <w:p>
            <w:pPr>
              <w:rPr>
                <w:sz w:val="2"/>
                <w:szCs w:val="2"/>
              </w:rPr>
            </w:pPr>
          </w:p>
        </w:tc>
        <w:tc>
          <w:tcPr>
            <w:tcW w:w="6176" w:type="dxa"/>
            <w:gridSpan w:val="2"/>
            <w:tcBorders>
              <w:top w:val="nil"/>
              <w:bottom w:val="nil"/>
            </w:tcBorders>
          </w:tcPr>
          <w:p>
            <w:pPr>
              <w:pStyle w:val="TableParagraph"/>
              <w:spacing w:line="237" w:lineRule="exact"/>
              <w:ind w:left="147"/>
              <w:rPr>
                <w:sz w:val="21"/>
              </w:rPr>
            </w:pPr>
            <w:r>
              <w:rPr>
                <w:sz w:val="21"/>
              </w:rPr>
              <w:t>技术标评审合格、投标总价低于或等于招标控制价的报价。（</w:t>
            </w:r>
            <w:r>
              <w:rPr>
                <w:rFonts w:ascii="Calibri" w:eastAsia="Calibri"/>
                <w:sz w:val="21"/>
              </w:rPr>
              <w:t>2</w:t>
            </w:r>
            <w:r>
              <w:rPr>
                <w:sz w:val="21"/>
              </w:rPr>
              <w:t>）</w:t>
            </w:r>
          </w:p>
        </w:tc>
      </w:tr>
      <w:tr>
        <w:trPr>
          <w:trHeight w:val="245" w:hRule="atLeast"/>
        </w:trPr>
        <w:tc>
          <w:tcPr>
            <w:tcW w:w="828" w:type="dxa"/>
            <w:tcBorders>
              <w:top w:val="nil"/>
              <w:bottom w:val="nil"/>
            </w:tcBorders>
          </w:tcPr>
          <w:p>
            <w:pPr>
              <w:pStyle w:val="TableParagraph"/>
              <w:rPr>
                <w:rFonts w:ascii="Times New Roman"/>
                <w:sz w:val="16"/>
              </w:rPr>
            </w:pPr>
          </w:p>
        </w:tc>
        <w:tc>
          <w:tcPr>
            <w:tcW w:w="874" w:type="dxa"/>
            <w:tcBorders>
              <w:top w:val="nil"/>
              <w:bottom w:val="nil"/>
            </w:tcBorders>
          </w:tcPr>
          <w:p>
            <w:pPr>
              <w:pStyle w:val="TableParagraph"/>
              <w:spacing w:line="226" w:lineRule="exact"/>
              <w:ind w:left="148"/>
              <w:rPr>
                <w:sz w:val="21"/>
              </w:rPr>
            </w:pPr>
            <w:r>
              <w:rPr>
                <w:sz w:val="21"/>
              </w:rPr>
              <w:t>值权</w:t>
            </w:r>
          </w:p>
        </w:tc>
        <w:tc>
          <w:tcPr>
            <w:tcW w:w="1098" w:type="dxa"/>
            <w:vMerge/>
            <w:tcBorders>
              <w:top w:val="nil"/>
            </w:tcBorders>
          </w:tcPr>
          <w:p>
            <w:pPr>
              <w:rPr>
                <w:sz w:val="2"/>
                <w:szCs w:val="2"/>
              </w:rPr>
            </w:pPr>
          </w:p>
        </w:tc>
        <w:tc>
          <w:tcPr>
            <w:tcW w:w="6176" w:type="dxa"/>
            <w:gridSpan w:val="2"/>
            <w:tcBorders>
              <w:top w:val="nil"/>
              <w:bottom w:val="nil"/>
            </w:tcBorders>
          </w:tcPr>
          <w:p>
            <w:pPr>
              <w:pStyle w:val="TableParagraph"/>
              <w:spacing w:line="226" w:lineRule="exact"/>
              <w:ind w:left="147"/>
              <w:rPr>
                <w:sz w:val="21"/>
              </w:rPr>
            </w:pPr>
            <w:r>
              <w:rPr>
                <w:sz w:val="21"/>
              </w:rPr>
              <w:t>将有效报价范围内的投标总价，按由低到高的顺序依次排出名</w:t>
            </w:r>
          </w:p>
        </w:tc>
      </w:tr>
      <w:tr>
        <w:trPr>
          <w:trHeight w:val="268" w:hRule="atLeast"/>
        </w:trPr>
        <w:tc>
          <w:tcPr>
            <w:tcW w:w="828" w:type="dxa"/>
            <w:tcBorders>
              <w:top w:val="nil"/>
              <w:bottom w:val="nil"/>
            </w:tcBorders>
          </w:tcPr>
          <w:p>
            <w:pPr>
              <w:pStyle w:val="TableParagraph"/>
              <w:rPr>
                <w:rFonts w:ascii="Times New Roman"/>
                <w:sz w:val="18"/>
              </w:rPr>
            </w:pPr>
          </w:p>
        </w:tc>
        <w:tc>
          <w:tcPr>
            <w:tcW w:w="874" w:type="dxa"/>
            <w:tcBorders>
              <w:top w:val="nil"/>
              <w:bottom w:val="nil"/>
            </w:tcBorders>
          </w:tcPr>
          <w:p>
            <w:pPr>
              <w:pStyle w:val="TableParagraph"/>
              <w:spacing w:line="249" w:lineRule="exact"/>
              <w:ind w:left="148"/>
              <w:rPr>
                <w:sz w:val="21"/>
              </w:rPr>
            </w:pPr>
            <w:r>
              <w:rPr>
                <w:sz w:val="21"/>
              </w:rPr>
              <w:t>重</w:t>
            </w:r>
            <w:r>
              <w:rPr>
                <w:rFonts w:ascii="Calibri" w:eastAsia="Calibri"/>
                <w:sz w:val="21"/>
              </w:rPr>
              <w:t>-</w:t>
            </w:r>
            <w:r>
              <w:rPr>
                <w:sz w:val="21"/>
              </w:rPr>
              <w:t>企</w:t>
            </w:r>
          </w:p>
        </w:tc>
        <w:tc>
          <w:tcPr>
            <w:tcW w:w="1098" w:type="dxa"/>
            <w:vMerge/>
            <w:tcBorders>
              <w:top w:val="nil"/>
            </w:tcBorders>
          </w:tcPr>
          <w:p>
            <w:pPr>
              <w:rPr>
                <w:sz w:val="2"/>
                <w:szCs w:val="2"/>
              </w:rPr>
            </w:pPr>
          </w:p>
        </w:tc>
        <w:tc>
          <w:tcPr>
            <w:tcW w:w="6176" w:type="dxa"/>
            <w:gridSpan w:val="2"/>
            <w:tcBorders>
              <w:top w:val="nil"/>
              <w:bottom w:val="nil"/>
            </w:tcBorders>
          </w:tcPr>
          <w:p>
            <w:pPr>
              <w:pStyle w:val="TableParagraph"/>
              <w:spacing w:line="249" w:lineRule="exact"/>
              <w:ind w:left="147"/>
              <w:rPr>
                <w:sz w:val="21"/>
              </w:rPr>
            </w:pPr>
            <w:r>
              <w:rPr>
                <w:sz w:val="21"/>
              </w:rPr>
              <w:t>次。 （</w:t>
            </w:r>
            <w:r>
              <w:rPr>
                <w:rFonts w:ascii="Calibri" w:hAnsi="Calibri" w:eastAsia="Calibri"/>
                <w:sz w:val="21"/>
              </w:rPr>
              <w:t>3</w:t>
            </w:r>
            <w:r>
              <w:rPr>
                <w:sz w:val="21"/>
              </w:rPr>
              <w:t>）评标基准价</w:t>
            </w:r>
            <w:r>
              <w:rPr>
                <w:rFonts w:ascii="Calibri" w:hAnsi="Calibri" w:eastAsia="Calibri"/>
                <w:sz w:val="21"/>
              </w:rPr>
              <w:t>=K*</w:t>
            </w:r>
            <w:r>
              <w:rPr>
                <w:sz w:val="21"/>
              </w:rPr>
              <w:t>（</w:t>
            </w:r>
            <w:r>
              <w:rPr>
                <w:rFonts w:ascii="Calibri" w:hAnsi="Calibri" w:eastAsia="Calibri"/>
                <w:sz w:val="21"/>
              </w:rPr>
              <w:t>A1+A2+A3…+An</w:t>
            </w:r>
            <w:r>
              <w:rPr>
                <w:sz w:val="21"/>
              </w:rPr>
              <w:t>）</w:t>
            </w:r>
            <w:r>
              <w:rPr>
                <w:rFonts w:ascii="Calibri" w:hAnsi="Calibri" w:eastAsia="Calibri"/>
                <w:sz w:val="21"/>
              </w:rPr>
              <w:t>/n</w:t>
            </w:r>
            <w:r>
              <w:rPr>
                <w:sz w:val="21"/>
              </w:rPr>
              <w:t>，</w:t>
            </w:r>
            <w:r>
              <w:rPr>
                <w:rFonts w:ascii="Calibri" w:hAnsi="Calibri" w:eastAsia="Calibri"/>
                <w:sz w:val="21"/>
              </w:rPr>
              <w:t>An </w:t>
            </w:r>
            <w:r>
              <w:rPr>
                <w:sz w:val="21"/>
              </w:rPr>
              <w:t>为在有效报</w:t>
            </w:r>
          </w:p>
        </w:tc>
      </w:tr>
      <w:tr>
        <w:trPr>
          <w:trHeight w:val="257" w:hRule="atLeast"/>
        </w:trPr>
        <w:tc>
          <w:tcPr>
            <w:tcW w:w="828" w:type="dxa"/>
            <w:tcBorders>
              <w:top w:val="nil"/>
              <w:bottom w:val="nil"/>
            </w:tcBorders>
          </w:tcPr>
          <w:p>
            <w:pPr>
              <w:pStyle w:val="TableParagraph"/>
              <w:rPr>
                <w:rFonts w:ascii="Times New Roman"/>
                <w:sz w:val="18"/>
              </w:rPr>
            </w:pPr>
          </w:p>
        </w:tc>
        <w:tc>
          <w:tcPr>
            <w:tcW w:w="874" w:type="dxa"/>
            <w:tcBorders>
              <w:top w:val="nil"/>
              <w:bottom w:val="nil"/>
            </w:tcBorders>
          </w:tcPr>
          <w:p>
            <w:pPr>
              <w:pStyle w:val="TableParagraph"/>
              <w:spacing w:line="237" w:lineRule="exact"/>
              <w:ind w:left="148"/>
              <w:rPr>
                <w:sz w:val="21"/>
              </w:rPr>
            </w:pPr>
            <w:r>
              <w:rPr>
                <w:sz w:val="21"/>
              </w:rPr>
              <w:t>业信</w:t>
            </w:r>
          </w:p>
        </w:tc>
        <w:tc>
          <w:tcPr>
            <w:tcW w:w="1098" w:type="dxa"/>
            <w:vMerge/>
            <w:tcBorders>
              <w:top w:val="nil"/>
            </w:tcBorders>
          </w:tcPr>
          <w:p>
            <w:pPr>
              <w:rPr>
                <w:sz w:val="2"/>
                <w:szCs w:val="2"/>
              </w:rPr>
            </w:pPr>
          </w:p>
        </w:tc>
        <w:tc>
          <w:tcPr>
            <w:tcW w:w="6176" w:type="dxa"/>
            <w:gridSpan w:val="2"/>
            <w:tcBorders>
              <w:top w:val="nil"/>
              <w:bottom w:val="nil"/>
            </w:tcBorders>
          </w:tcPr>
          <w:p>
            <w:pPr>
              <w:pStyle w:val="TableParagraph"/>
              <w:spacing w:line="237" w:lineRule="exact"/>
              <w:ind w:left="147"/>
              <w:rPr>
                <w:sz w:val="21"/>
              </w:rPr>
            </w:pPr>
            <w:r>
              <w:rPr>
                <w:sz w:val="21"/>
              </w:rPr>
              <w:t>价范围内且与所有有效报价平均值偏差率在</w:t>
            </w:r>
            <w:r>
              <w:rPr>
                <w:rFonts w:ascii="Calibri" w:hAnsi="Calibri" w:eastAsia="Calibri"/>
                <w:sz w:val="21"/>
              </w:rPr>
              <w:t>±15%</w:t>
            </w:r>
            <w:r>
              <w:rPr>
                <w:sz w:val="21"/>
              </w:rPr>
              <w:t>（含）以内的报</w:t>
            </w:r>
          </w:p>
        </w:tc>
      </w:tr>
      <w:tr>
        <w:trPr>
          <w:trHeight w:val="253" w:hRule="atLeast"/>
        </w:trPr>
        <w:tc>
          <w:tcPr>
            <w:tcW w:w="828" w:type="dxa"/>
            <w:tcBorders>
              <w:top w:val="nil"/>
              <w:bottom w:val="nil"/>
            </w:tcBorders>
          </w:tcPr>
          <w:p>
            <w:pPr>
              <w:pStyle w:val="TableParagraph"/>
              <w:spacing w:line="234" w:lineRule="exact"/>
              <w:ind w:left="150"/>
              <w:rPr>
                <w:rFonts w:ascii="Calibri"/>
                <w:sz w:val="21"/>
              </w:rPr>
            </w:pPr>
            <w:r>
              <w:rPr>
                <w:rFonts w:ascii="Calibri"/>
                <w:sz w:val="21"/>
              </w:rPr>
              <w:t>2.2.2</w:t>
            </w:r>
          </w:p>
        </w:tc>
        <w:tc>
          <w:tcPr>
            <w:tcW w:w="874" w:type="dxa"/>
            <w:tcBorders>
              <w:top w:val="nil"/>
              <w:bottom w:val="nil"/>
            </w:tcBorders>
          </w:tcPr>
          <w:p>
            <w:pPr>
              <w:pStyle w:val="TableParagraph"/>
              <w:spacing w:line="234" w:lineRule="exact"/>
              <w:ind w:left="148"/>
              <w:rPr>
                <w:sz w:val="21"/>
              </w:rPr>
            </w:pPr>
            <w:r>
              <w:rPr>
                <w:sz w:val="21"/>
              </w:rPr>
              <w:t>誉实</w:t>
            </w:r>
          </w:p>
        </w:tc>
        <w:tc>
          <w:tcPr>
            <w:tcW w:w="1098" w:type="dxa"/>
            <w:vMerge/>
            <w:tcBorders>
              <w:top w:val="nil"/>
            </w:tcBorders>
          </w:tcPr>
          <w:p>
            <w:pPr>
              <w:rPr>
                <w:sz w:val="2"/>
                <w:szCs w:val="2"/>
              </w:rPr>
            </w:pPr>
          </w:p>
        </w:tc>
        <w:tc>
          <w:tcPr>
            <w:tcW w:w="6176" w:type="dxa"/>
            <w:gridSpan w:val="2"/>
            <w:tcBorders>
              <w:top w:val="nil"/>
              <w:bottom w:val="nil"/>
            </w:tcBorders>
          </w:tcPr>
          <w:p>
            <w:pPr>
              <w:pStyle w:val="TableParagraph"/>
              <w:spacing w:line="234" w:lineRule="exact"/>
              <w:ind w:left="147"/>
              <w:rPr>
                <w:sz w:val="21"/>
              </w:rPr>
            </w:pPr>
            <w:r>
              <w:rPr>
                <w:sz w:val="21"/>
              </w:rPr>
              <w:t>价，</w:t>
            </w:r>
            <w:r>
              <w:rPr>
                <w:rFonts w:ascii="Calibri" w:eastAsia="Calibri"/>
                <w:sz w:val="21"/>
              </w:rPr>
              <w:t>n </w:t>
            </w:r>
            <w:r>
              <w:rPr>
                <w:sz w:val="21"/>
              </w:rPr>
              <w:t>为参与评标基准价计算的有效投标报价数量。</w:t>
            </w:r>
            <w:r>
              <w:rPr>
                <w:rFonts w:ascii="Calibri" w:eastAsia="Calibri"/>
                <w:sz w:val="21"/>
              </w:rPr>
              <w:t>K </w:t>
            </w:r>
            <w:r>
              <w:rPr>
                <w:sz w:val="21"/>
              </w:rPr>
              <w:t>为开标时</w:t>
            </w:r>
          </w:p>
        </w:tc>
      </w:tr>
      <w:tr>
        <w:trPr>
          <w:trHeight w:val="261" w:hRule="atLeast"/>
        </w:trPr>
        <w:tc>
          <w:tcPr>
            <w:tcW w:w="828" w:type="dxa"/>
            <w:tcBorders>
              <w:top w:val="nil"/>
              <w:bottom w:val="nil"/>
            </w:tcBorders>
          </w:tcPr>
          <w:p>
            <w:pPr>
              <w:pStyle w:val="TableParagraph"/>
              <w:spacing w:line="241" w:lineRule="exact"/>
              <w:ind w:left="150"/>
              <w:rPr>
                <w:sz w:val="21"/>
              </w:rPr>
            </w:pPr>
            <w:r>
              <w:rPr>
                <w:sz w:val="21"/>
              </w:rPr>
              <w:t>（</w:t>
            </w:r>
            <w:r>
              <w:rPr>
                <w:rFonts w:ascii="Calibri" w:eastAsia="Calibri"/>
                <w:sz w:val="21"/>
              </w:rPr>
              <w:t>3</w:t>
            </w:r>
            <w:r>
              <w:rPr>
                <w:sz w:val="21"/>
              </w:rPr>
              <w:t>）</w:t>
            </w:r>
          </w:p>
        </w:tc>
        <w:tc>
          <w:tcPr>
            <w:tcW w:w="874" w:type="dxa"/>
            <w:tcBorders>
              <w:top w:val="nil"/>
              <w:bottom w:val="nil"/>
            </w:tcBorders>
          </w:tcPr>
          <w:p>
            <w:pPr>
              <w:pStyle w:val="TableParagraph"/>
              <w:spacing w:line="241" w:lineRule="exact"/>
              <w:ind w:left="148"/>
              <w:rPr>
                <w:sz w:val="21"/>
              </w:rPr>
            </w:pPr>
            <w:r>
              <w:rPr>
                <w:sz w:val="21"/>
              </w:rPr>
              <w:t>力分</w:t>
            </w:r>
          </w:p>
        </w:tc>
        <w:tc>
          <w:tcPr>
            <w:tcW w:w="1098" w:type="dxa"/>
            <w:vMerge/>
            <w:tcBorders>
              <w:top w:val="nil"/>
            </w:tcBorders>
          </w:tcPr>
          <w:p>
            <w:pPr>
              <w:rPr>
                <w:sz w:val="2"/>
                <w:szCs w:val="2"/>
              </w:rPr>
            </w:pPr>
          </w:p>
        </w:tc>
        <w:tc>
          <w:tcPr>
            <w:tcW w:w="6176" w:type="dxa"/>
            <w:gridSpan w:val="2"/>
            <w:tcBorders>
              <w:top w:val="nil"/>
              <w:bottom w:val="nil"/>
            </w:tcBorders>
          </w:tcPr>
          <w:p>
            <w:pPr>
              <w:pStyle w:val="TableParagraph"/>
              <w:spacing w:line="241" w:lineRule="exact"/>
              <w:ind w:left="147"/>
              <w:rPr>
                <w:sz w:val="21"/>
              </w:rPr>
            </w:pPr>
            <w:r>
              <w:rPr>
                <w:sz w:val="21"/>
              </w:rPr>
              <w:t>由招标人从 </w:t>
            </w:r>
            <w:r>
              <w:rPr>
                <w:rFonts w:ascii="Calibri" w:eastAsia="Calibri"/>
                <w:sz w:val="21"/>
              </w:rPr>
              <w:t>0.95</w:t>
            </w:r>
            <w:r>
              <w:rPr>
                <w:sz w:val="21"/>
              </w:rPr>
              <w:t>、</w:t>
            </w:r>
            <w:r>
              <w:rPr>
                <w:rFonts w:ascii="Calibri" w:eastAsia="Calibri"/>
                <w:sz w:val="21"/>
              </w:rPr>
              <w:t>0.96</w:t>
            </w:r>
            <w:r>
              <w:rPr>
                <w:sz w:val="21"/>
              </w:rPr>
              <w:t>、</w:t>
            </w:r>
            <w:r>
              <w:rPr>
                <w:rFonts w:ascii="Calibri" w:eastAsia="Calibri"/>
                <w:sz w:val="21"/>
              </w:rPr>
              <w:t>0.97</w:t>
            </w:r>
            <w:r>
              <w:rPr>
                <w:sz w:val="21"/>
              </w:rPr>
              <w:t>、</w:t>
            </w:r>
            <w:r>
              <w:rPr>
                <w:rFonts w:ascii="Calibri" w:eastAsia="Calibri"/>
                <w:sz w:val="21"/>
              </w:rPr>
              <w:t>0.98</w:t>
            </w:r>
            <w:r>
              <w:rPr>
                <w:sz w:val="21"/>
              </w:rPr>
              <w:t>、</w:t>
            </w:r>
            <w:r>
              <w:rPr>
                <w:rFonts w:ascii="Calibri" w:eastAsia="Calibri"/>
                <w:sz w:val="21"/>
              </w:rPr>
              <w:t>0.99 </w:t>
            </w:r>
            <w:r>
              <w:rPr>
                <w:sz w:val="21"/>
              </w:rPr>
              <w:t>中随机抽取的其中一个</w:t>
            </w:r>
          </w:p>
        </w:tc>
      </w:tr>
      <w:tr>
        <w:trPr>
          <w:trHeight w:val="257" w:hRule="atLeast"/>
        </w:trPr>
        <w:tc>
          <w:tcPr>
            <w:tcW w:w="828" w:type="dxa"/>
            <w:tcBorders>
              <w:top w:val="nil"/>
              <w:bottom w:val="nil"/>
            </w:tcBorders>
          </w:tcPr>
          <w:p>
            <w:pPr>
              <w:pStyle w:val="TableParagraph"/>
              <w:rPr>
                <w:rFonts w:ascii="Times New Roman"/>
                <w:sz w:val="18"/>
              </w:rPr>
            </w:pPr>
          </w:p>
        </w:tc>
        <w:tc>
          <w:tcPr>
            <w:tcW w:w="874" w:type="dxa"/>
            <w:tcBorders>
              <w:top w:val="nil"/>
              <w:bottom w:val="nil"/>
            </w:tcBorders>
          </w:tcPr>
          <w:p>
            <w:pPr>
              <w:pStyle w:val="TableParagraph"/>
              <w:spacing w:line="238" w:lineRule="exact"/>
              <w:ind w:left="148"/>
              <w:rPr>
                <w:sz w:val="21"/>
              </w:rPr>
            </w:pPr>
            <w:r>
              <w:rPr>
                <w:sz w:val="21"/>
              </w:rPr>
              <w:t>分值</w:t>
            </w:r>
          </w:p>
        </w:tc>
        <w:tc>
          <w:tcPr>
            <w:tcW w:w="1098" w:type="dxa"/>
            <w:vMerge/>
            <w:tcBorders>
              <w:top w:val="nil"/>
            </w:tcBorders>
          </w:tcPr>
          <w:p>
            <w:pPr>
              <w:rPr>
                <w:sz w:val="2"/>
                <w:szCs w:val="2"/>
              </w:rPr>
            </w:pPr>
          </w:p>
        </w:tc>
        <w:tc>
          <w:tcPr>
            <w:tcW w:w="6176" w:type="dxa"/>
            <w:gridSpan w:val="2"/>
            <w:tcBorders>
              <w:top w:val="nil"/>
              <w:bottom w:val="nil"/>
            </w:tcBorders>
          </w:tcPr>
          <w:p>
            <w:pPr>
              <w:pStyle w:val="TableParagraph"/>
              <w:spacing w:line="238" w:lineRule="exact"/>
              <w:ind w:left="147"/>
              <w:rPr>
                <w:sz w:val="21"/>
              </w:rPr>
            </w:pPr>
            <w:r>
              <w:rPr>
                <w:spacing w:val="-37"/>
                <w:sz w:val="21"/>
              </w:rPr>
              <w:t>系数。</w:t>
            </w:r>
            <w:r>
              <w:rPr>
                <w:spacing w:val="-4"/>
                <w:sz w:val="21"/>
              </w:rPr>
              <w:t>（</w:t>
            </w:r>
            <w:r>
              <w:rPr>
                <w:rFonts w:ascii="Calibri" w:eastAsia="Calibri"/>
                <w:spacing w:val="-4"/>
                <w:sz w:val="21"/>
              </w:rPr>
              <w:t>1</w:t>
            </w:r>
            <w:r>
              <w:rPr>
                <w:spacing w:val="-4"/>
                <w:sz w:val="21"/>
              </w:rPr>
              <w:t>）</w:t>
            </w:r>
            <w:r>
              <w:rPr>
                <w:spacing w:val="-6"/>
                <w:sz w:val="21"/>
              </w:rPr>
              <w:t>以等于评标基准价的投标报价为满分 </w:t>
            </w:r>
            <w:r>
              <w:rPr>
                <w:rFonts w:ascii="Calibri" w:eastAsia="Calibri"/>
                <w:sz w:val="21"/>
              </w:rPr>
              <w:t>100 </w:t>
            </w:r>
            <w:r>
              <w:rPr>
                <w:spacing w:val="-3"/>
                <w:sz w:val="21"/>
              </w:rPr>
              <w:t>分，采用内</w:t>
            </w:r>
          </w:p>
        </w:tc>
      </w:tr>
      <w:tr>
        <w:trPr>
          <w:trHeight w:val="257" w:hRule="atLeast"/>
        </w:trPr>
        <w:tc>
          <w:tcPr>
            <w:tcW w:w="828" w:type="dxa"/>
            <w:tcBorders>
              <w:top w:val="nil"/>
              <w:bottom w:val="nil"/>
            </w:tcBorders>
          </w:tcPr>
          <w:p>
            <w:pPr>
              <w:pStyle w:val="TableParagraph"/>
              <w:rPr>
                <w:rFonts w:ascii="Times New Roman"/>
                <w:sz w:val="18"/>
              </w:rPr>
            </w:pPr>
          </w:p>
        </w:tc>
        <w:tc>
          <w:tcPr>
            <w:tcW w:w="874" w:type="dxa"/>
            <w:tcBorders>
              <w:top w:val="nil"/>
              <w:bottom w:val="nil"/>
            </w:tcBorders>
          </w:tcPr>
          <w:p>
            <w:pPr>
              <w:pStyle w:val="TableParagraph"/>
              <w:spacing w:line="237" w:lineRule="exact"/>
              <w:ind w:left="148"/>
              <w:rPr>
                <w:sz w:val="21"/>
              </w:rPr>
            </w:pPr>
            <w:r>
              <w:rPr>
                <w:w w:val="100"/>
                <w:sz w:val="21"/>
              </w:rPr>
              <w:t>权</w:t>
            </w:r>
          </w:p>
        </w:tc>
        <w:tc>
          <w:tcPr>
            <w:tcW w:w="1098" w:type="dxa"/>
            <w:vMerge/>
            <w:tcBorders>
              <w:top w:val="nil"/>
            </w:tcBorders>
          </w:tcPr>
          <w:p>
            <w:pPr>
              <w:rPr>
                <w:sz w:val="2"/>
                <w:szCs w:val="2"/>
              </w:rPr>
            </w:pPr>
          </w:p>
        </w:tc>
        <w:tc>
          <w:tcPr>
            <w:tcW w:w="6176" w:type="dxa"/>
            <w:gridSpan w:val="2"/>
            <w:tcBorders>
              <w:top w:val="nil"/>
              <w:bottom w:val="nil"/>
            </w:tcBorders>
          </w:tcPr>
          <w:p>
            <w:pPr>
              <w:pStyle w:val="TableParagraph"/>
              <w:spacing w:line="237" w:lineRule="exact"/>
              <w:ind w:left="147"/>
              <w:rPr>
                <w:sz w:val="21"/>
              </w:rPr>
            </w:pPr>
            <w:r>
              <w:rPr>
                <w:sz w:val="21"/>
              </w:rPr>
              <w:t>插法计算，投标人投标总价每高于评标基准价 </w:t>
            </w:r>
            <w:r>
              <w:rPr>
                <w:rFonts w:ascii="Calibri" w:eastAsia="Calibri"/>
                <w:sz w:val="21"/>
              </w:rPr>
              <w:t>1</w:t>
            </w:r>
            <w:r>
              <w:rPr>
                <w:sz w:val="21"/>
              </w:rPr>
              <w:t>％的扣 </w:t>
            </w:r>
            <w:r>
              <w:rPr>
                <w:rFonts w:ascii="Calibri" w:eastAsia="Calibri"/>
                <w:sz w:val="21"/>
              </w:rPr>
              <w:t>1.5 </w:t>
            </w:r>
            <w:r>
              <w:rPr>
                <w:sz w:val="21"/>
              </w:rPr>
              <w:t>分，</w:t>
            </w:r>
          </w:p>
        </w:tc>
      </w:tr>
      <w:tr>
        <w:trPr>
          <w:trHeight w:val="257" w:hRule="atLeast"/>
        </w:trPr>
        <w:tc>
          <w:tcPr>
            <w:tcW w:w="828" w:type="dxa"/>
            <w:tcBorders>
              <w:top w:val="nil"/>
              <w:bottom w:val="nil"/>
            </w:tcBorders>
          </w:tcPr>
          <w:p>
            <w:pPr>
              <w:pStyle w:val="TableParagraph"/>
              <w:rPr>
                <w:rFonts w:ascii="Times New Roman"/>
                <w:sz w:val="18"/>
              </w:rPr>
            </w:pPr>
          </w:p>
        </w:tc>
        <w:tc>
          <w:tcPr>
            <w:tcW w:w="874" w:type="dxa"/>
            <w:tcBorders>
              <w:top w:val="nil"/>
              <w:bottom w:val="nil"/>
            </w:tcBorders>
          </w:tcPr>
          <w:p>
            <w:pPr>
              <w:pStyle w:val="TableParagraph"/>
              <w:spacing w:line="237" w:lineRule="exact"/>
              <w:ind w:left="148"/>
              <w:rPr>
                <w:sz w:val="21"/>
              </w:rPr>
            </w:pPr>
            <w:r>
              <w:rPr>
                <w:sz w:val="21"/>
              </w:rPr>
              <w:t>重 ）</w:t>
            </w:r>
          </w:p>
        </w:tc>
        <w:tc>
          <w:tcPr>
            <w:tcW w:w="1098" w:type="dxa"/>
            <w:vMerge/>
            <w:tcBorders>
              <w:top w:val="nil"/>
            </w:tcBorders>
          </w:tcPr>
          <w:p>
            <w:pPr>
              <w:rPr>
                <w:sz w:val="2"/>
                <w:szCs w:val="2"/>
              </w:rPr>
            </w:pPr>
          </w:p>
        </w:tc>
        <w:tc>
          <w:tcPr>
            <w:tcW w:w="6176" w:type="dxa"/>
            <w:gridSpan w:val="2"/>
            <w:tcBorders>
              <w:top w:val="nil"/>
              <w:bottom w:val="nil"/>
            </w:tcBorders>
          </w:tcPr>
          <w:p>
            <w:pPr>
              <w:pStyle w:val="TableParagraph"/>
              <w:spacing w:line="237" w:lineRule="exact"/>
              <w:ind w:left="147"/>
              <w:rPr>
                <w:sz w:val="21"/>
              </w:rPr>
            </w:pPr>
            <w:r>
              <w:rPr>
                <w:spacing w:val="-8"/>
                <w:sz w:val="21"/>
              </w:rPr>
              <w:t>每低于评标基准价 </w:t>
            </w:r>
            <w:r>
              <w:rPr>
                <w:rFonts w:ascii="Calibri" w:eastAsia="Calibri"/>
                <w:sz w:val="21"/>
              </w:rPr>
              <w:t>1</w:t>
            </w:r>
            <w:r>
              <w:rPr>
                <w:spacing w:val="-13"/>
                <w:sz w:val="21"/>
              </w:rPr>
              <w:t>％的扣 </w:t>
            </w:r>
            <w:r>
              <w:rPr>
                <w:rFonts w:ascii="Calibri" w:eastAsia="Calibri"/>
                <w:sz w:val="21"/>
              </w:rPr>
              <w:t>1 </w:t>
            </w:r>
            <w:r>
              <w:rPr>
                <w:spacing w:val="-10"/>
                <w:sz w:val="21"/>
              </w:rPr>
              <w:t>分，计算出投标人的投标总价得分。</w:t>
            </w:r>
          </w:p>
        </w:tc>
      </w:tr>
      <w:tr>
        <w:trPr>
          <w:trHeight w:val="257" w:hRule="atLeast"/>
        </w:trPr>
        <w:tc>
          <w:tcPr>
            <w:tcW w:w="828" w:type="dxa"/>
            <w:tcBorders>
              <w:top w:val="nil"/>
              <w:bottom w:val="nil"/>
            </w:tcBorders>
          </w:tcPr>
          <w:p>
            <w:pPr>
              <w:pStyle w:val="TableParagraph"/>
              <w:rPr>
                <w:rFonts w:ascii="Times New Roman"/>
                <w:sz w:val="18"/>
              </w:rPr>
            </w:pPr>
          </w:p>
        </w:tc>
        <w:tc>
          <w:tcPr>
            <w:tcW w:w="874" w:type="dxa"/>
            <w:tcBorders>
              <w:top w:val="nil"/>
              <w:bottom w:val="nil"/>
            </w:tcBorders>
          </w:tcPr>
          <w:p>
            <w:pPr>
              <w:pStyle w:val="TableParagraph"/>
              <w:spacing w:line="237" w:lineRule="exact"/>
              <w:ind w:left="148"/>
              <w:rPr>
                <w:sz w:val="21"/>
              </w:rPr>
            </w:pPr>
            <w:r>
              <w:rPr>
                <w:sz w:val="21"/>
              </w:rPr>
              <w:t>【备</w:t>
            </w:r>
          </w:p>
        </w:tc>
        <w:tc>
          <w:tcPr>
            <w:tcW w:w="1098" w:type="dxa"/>
            <w:vMerge/>
            <w:tcBorders>
              <w:top w:val="nil"/>
            </w:tcBorders>
          </w:tcPr>
          <w:p>
            <w:pPr>
              <w:rPr>
                <w:sz w:val="2"/>
                <w:szCs w:val="2"/>
              </w:rPr>
            </w:pPr>
          </w:p>
        </w:tc>
        <w:tc>
          <w:tcPr>
            <w:tcW w:w="6176" w:type="dxa"/>
            <w:gridSpan w:val="2"/>
            <w:tcBorders>
              <w:top w:val="nil"/>
              <w:bottom w:val="nil"/>
            </w:tcBorders>
          </w:tcPr>
          <w:p>
            <w:pPr>
              <w:pStyle w:val="TableParagraph"/>
              <w:spacing w:line="237" w:lineRule="exact"/>
              <w:ind w:left="147"/>
              <w:rPr>
                <w:sz w:val="21"/>
              </w:rPr>
            </w:pPr>
            <w:r>
              <w:rPr>
                <w:sz w:val="21"/>
              </w:rPr>
              <w:t>（</w:t>
            </w:r>
            <w:r>
              <w:rPr>
                <w:rFonts w:ascii="Calibri" w:eastAsia="Calibri"/>
                <w:sz w:val="21"/>
              </w:rPr>
              <w:t>2</w:t>
            </w:r>
            <w:r>
              <w:rPr>
                <w:sz w:val="21"/>
              </w:rPr>
              <w:t>）报价分加权得分</w:t>
            </w:r>
            <w:r>
              <w:rPr>
                <w:rFonts w:ascii="Calibri" w:eastAsia="Calibri"/>
                <w:sz w:val="21"/>
              </w:rPr>
              <w:t>=</w:t>
            </w:r>
            <w:r>
              <w:rPr>
                <w:sz w:val="21"/>
              </w:rPr>
              <w:t>该投标人的投标总价得分（满分 </w:t>
            </w:r>
            <w:r>
              <w:rPr>
                <w:rFonts w:ascii="Calibri" w:eastAsia="Calibri"/>
                <w:sz w:val="21"/>
              </w:rPr>
              <w:t>100 </w:t>
            </w:r>
            <w:r>
              <w:rPr>
                <w:sz w:val="21"/>
              </w:rPr>
              <w:t>分）</w:t>
            </w:r>
          </w:p>
        </w:tc>
      </w:tr>
      <w:tr>
        <w:trPr>
          <w:trHeight w:val="257" w:hRule="atLeast"/>
        </w:trPr>
        <w:tc>
          <w:tcPr>
            <w:tcW w:w="828" w:type="dxa"/>
            <w:tcBorders>
              <w:top w:val="nil"/>
              <w:bottom w:val="nil"/>
            </w:tcBorders>
          </w:tcPr>
          <w:p>
            <w:pPr>
              <w:pStyle w:val="TableParagraph"/>
              <w:rPr>
                <w:rFonts w:ascii="Times New Roman"/>
                <w:sz w:val="18"/>
              </w:rPr>
            </w:pPr>
          </w:p>
        </w:tc>
        <w:tc>
          <w:tcPr>
            <w:tcW w:w="874" w:type="dxa"/>
            <w:tcBorders>
              <w:top w:val="nil"/>
              <w:bottom w:val="nil"/>
            </w:tcBorders>
          </w:tcPr>
          <w:p>
            <w:pPr>
              <w:pStyle w:val="TableParagraph"/>
              <w:spacing w:line="237" w:lineRule="exact"/>
              <w:ind w:left="148"/>
              <w:rPr>
                <w:sz w:val="21"/>
              </w:rPr>
            </w:pPr>
            <w:r>
              <w:rPr>
                <w:sz w:val="21"/>
              </w:rPr>
              <w:t>注：右</w:t>
            </w:r>
          </w:p>
        </w:tc>
        <w:tc>
          <w:tcPr>
            <w:tcW w:w="1098" w:type="dxa"/>
            <w:vMerge/>
            <w:tcBorders>
              <w:top w:val="nil"/>
            </w:tcBorders>
          </w:tcPr>
          <w:p>
            <w:pPr>
              <w:rPr>
                <w:sz w:val="2"/>
                <w:szCs w:val="2"/>
              </w:rPr>
            </w:pPr>
          </w:p>
        </w:tc>
        <w:tc>
          <w:tcPr>
            <w:tcW w:w="6176" w:type="dxa"/>
            <w:gridSpan w:val="2"/>
            <w:tcBorders>
              <w:top w:val="nil"/>
              <w:bottom w:val="nil"/>
            </w:tcBorders>
          </w:tcPr>
          <w:p>
            <w:pPr>
              <w:pStyle w:val="TableParagraph"/>
              <w:spacing w:line="237" w:lineRule="exact"/>
              <w:ind w:left="147"/>
              <w:rPr>
                <w:sz w:val="21"/>
              </w:rPr>
            </w:pPr>
            <w:r>
              <w:rPr>
                <w:rFonts w:ascii="Calibri" w:hAnsi="Calibri" w:eastAsia="Calibri"/>
                <w:sz w:val="21"/>
              </w:rPr>
              <w:t>×</w:t>
            </w:r>
            <w:r>
              <w:rPr>
                <w:sz w:val="21"/>
              </w:rPr>
              <w:t>报价分分值权重。</w:t>
            </w:r>
          </w:p>
        </w:tc>
      </w:tr>
      <w:tr>
        <w:trPr>
          <w:trHeight w:val="245" w:hRule="atLeast"/>
        </w:trPr>
        <w:tc>
          <w:tcPr>
            <w:tcW w:w="828" w:type="dxa"/>
            <w:tcBorders>
              <w:top w:val="nil"/>
              <w:bottom w:val="nil"/>
            </w:tcBorders>
          </w:tcPr>
          <w:p>
            <w:pPr>
              <w:pStyle w:val="TableParagraph"/>
              <w:rPr>
                <w:rFonts w:ascii="Times New Roman"/>
                <w:sz w:val="16"/>
              </w:rPr>
            </w:pPr>
          </w:p>
        </w:tc>
        <w:tc>
          <w:tcPr>
            <w:tcW w:w="874" w:type="dxa"/>
            <w:tcBorders>
              <w:top w:val="nil"/>
              <w:bottom w:val="nil"/>
            </w:tcBorders>
          </w:tcPr>
          <w:p>
            <w:pPr>
              <w:pStyle w:val="TableParagraph"/>
              <w:spacing w:line="226" w:lineRule="exact"/>
              <w:ind w:left="148"/>
              <w:rPr>
                <w:sz w:val="21"/>
              </w:rPr>
            </w:pPr>
            <w:r>
              <w:rPr>
                <w:sz w:val="21"/>
              </w:rPr>
              <w:t>侧评</w:t>
            </w:r>
          </w:p>
        </w:tc>
        <w:tc>
          <w:tcPr>
            <w:tcW w:w="1098" w:type="dxa"/>
            <w:vMerge/>
            <w:tcBorders>
              <w:top w:val="nil"/>
            </w:tcBorders>
          </w:tcPr>
          <w:p>
            <w:pPr>
              <w:rPr>
                <w:sz w:val="2"/>
                <w:szCs w:val="2"/>
              </w:rPr>
            </w:pPr>
          </w:p>
        </w:tc>
        <w:tc>
          <w:tcPr>
            <w:tcW w:w="6176" w:type="dxa"/>
            <w:gridSpan w:val="2"/>
            <w:tcBorders>
              <w:top w:val="nil"/>
              <w:bottom w:val="nil"/>
            </w:tcBorders>
          </w:tcPr>
          <w:p>
            <w:pPr>
              <w:pStyle w:val="TableParagraph"/>
              <w:rPr>
                <w:rFonts w:ascii="Times New Roman"/>
                <w:sz w:val="16"/>
              </w:rPr>
            </w:pPr>
          </w:p>
        </w:tc>
      </w:tr>
      <w:tr>
        <w:trPr>
          <w:trHeight w:val="257" w:hRule="atLeast"/>
        </w:trPr>
        <w:tc>
          <w:tcPr>
            <w:tcW w:w="828" w:type="dxa"/>
            <w:tcBorders>
              <w:top w:val="nil"/>
              <w:bottom w:val="nil"/>
            </w:tcBorders>
          </w:tcPr>
          <w:p>
            <w:pPr>
              <w:pStyle w:val="TableParagraph"/>
              <w:rPr>
                <w:rFonts w:ascii="Times New Roman"/>
                <w:sz w:val="18"/>
              </w:rPr>
            </w:pPr>
          </w:p>
        </w:tc>
        <w:tc>
          <w:tcPr>
            <w:tcW w:w="874" w:type="dxa"/>
            <w:tcBorders>
              <w:top w:val="nil"/>
              <w:bottom w:val="nil"/>
            </w:tcBorders>
          </w:tcPr>
          <w:p>
            <w:pPr>
              <w:pStyle w:val="TableParagraph"/>
              <w:spacing w:line="237" w:lineRule="exact"/>
              <w:ind w:left="148"/>
              <w:rPr>
                <w:sz w:val="21"/>
              </w:rPr>
            </w:pPr>
            <w:r>
              <w:rPr>
                <w:sz w:val="21"/>
              </w:rPr>
              <w:t>分标</w:t>
            </w:r>
          </w:p>
        </w:tc>
        <w:tc>
          <w:tcPr>
            <w:tcW w:w="1098" w:type="dxa"/>
            <w:vMerge/>
            <w:tcBorders>
              <w:top w:val="nil"/>
            </w:tcBorders>
          </w:tcPr>
          <w:p>
            <w:pPr>
              <w:rPr>
                <w:sz w:val="2"/>
                <w:szCs w:val="2"/>
              </w:rPr>
            </w:pPr>
          </w:p>
        </w:tc>
        <w:tc>
          <w:tcPr>
            <w:tcW w:w="6176" w:type="dxa"/>
            <w:gridSpan w:val="2"/>
            <w:tcBorders>
              <w:top w:val="nil"/>
              <w:bottom w:val="nil"/>
            </w:tcBorders>
          </w:tcPr>
          <w:p>
            <w:pPr>
              <w:pStyle w:val="TableParagraph"/>
              <w:rPr>
                <w:rFonts w:ascii="Times New Roman"/>
                <w:sz w:val="18"/>
              </w:rPr>
            </w:pPr>
          </w:p>
        </w:tc>
      </w:tr>
      <w:tr>
        <w:trPr>
          <w:trHeight w:val="257" w:hRule="atLeast"/>
        </w:trPr>
        <w:tc>
          <w:tcPr>
            <w:tcW w:w="828" w:type="dxa"/>
            <w:tcBorders>
              <w:top w:val="nil"/>
              <w:bottom w:val="nil"/>
            </w:tcBorders>
          </w:tcPr>
          <w:p>
            <w:pPr>
              <w:pStyle w:val="TableParagraph"/>
              <w:rPr>
                <w:rFonts w:ascii="Times New Roman"/>
                <w:sz w:val="18"/>
              </w:rPr>
            </w:pPr>
          </w:p>
        </w:tc>
        <w:tc>
          <w:tcPr>
            <w:tcW w:w="874" w:type="dxa"/>
            <w:tcBorders>
              <w:top w:val="nil"/>
              <w:bottom w:val="nil"/>
            </w:tcBorders>
          </w:tcPr>
          <w:p>
            <w:pPr>
              <w:pStyle w:val="TableParagraph"/>
              <w:spacing w:line="237" w:lineRule="exact"/>
              <w:ind w:left="148"/>
              <w:rPr>
                <w:sz w:val="21"/>
              </w:rPr>
            </w:pPr>
            <w:r>
              <w:rPr>
                <w:sz w:val="21"/>
              </w:rPr>
              <w:t>准不</w:t>
            </w:r>
          </w:p>
        </w:tc>
        <w:tc>
          <w:tcPr>
            <w:tcW w:w="1098" w:type="dxa"/>
            <w:vMerge/>
            <w:tcBorders>
              <w:top w:val="nil"/>
            </w:tcBorders>
          </w:tcPr>
          <w:p>
            <w:pPr>
              <w:rPr>
                <w:sz w:val="2"/>
                <w:szCs w:val="2"/>
              </w:rPr>
            </w:pPr>
          </w:p>
        </w:tc>
        <w:tc>
          <w:tcPr>
            <w:tcW w:w="6176" w:type="dxa"/>
            <w:gridSpan w:val="2"/>
            <w:tcBorders>
              <w:top w:val="nil"/>
              <w:bottom w:val="nil"/>
            </w:tcBorders>
          </w:tcPr>
          <w:p>
            <w:pPr>
              <w:pStyle w:val="TableParagraph"/>
              <w:rPr>
                <w:rFonts w:ascii="Times New Roman"/>
                <w:sz w:val="18"/>
              </w:rPr>
            </w:pPr>
          </w:p>
        </w:tc>
      </w:tr>
      <w:tr>
        <w:trPr>
          <w:trHeight w:val="257" w:hRule="atLeast"/>
        </w:trPr>
        <w:tc>
          <w:tcPr>
            <w:tcW w:w="828" w:type="dxa"/>
            <w:tcBorders>
              <w:top w:val="nil"/>
              <w:bottom w:val="nil"/>
            </w:tcBorders>
          </w:tcPr>
          <w:p>
            <w:pPr>
              <w:pStyle w:val="TableParagraph"/>
              <w:rPr>
                <w:rFonts w:ascii="Times New Roman"/>
                <w:sz w:val="18"/>
              </w:rPr>
            </w:pPr>
          </w:p>
        </w:tc>
        <w:tc>
          <w:tcPr>
            <w:tcW w:w="874" w:type="dxa"/>
            <w:tcBorders>
              <w:top w:val="nil"/>
              <w:bottom w:val="nil"/>
            </w:tcBorders>
          </w:tcPr>
          <w:p>
            <w:pPr>
              <w:pStyle w:val="TableParagraph"/>
              <w:spacing w:line="237" w:lineRule="exact"/>
              <w:ind w:left="148"/>
              <w:rPr>
                <w:sz w:val="21"/>
              </w:rPr>
            </w:pPr>
            <w:r>
              <w:rPr>
                <w:sz w:val="21"/>
              </w:rPr>
              <w:t>得修</w:t>
            </w:r>
          </w:p>
        </w:tc>
        <w:tc>
          <w:tcPr>
            <w:tcW w:w="1098" w:type="dxa"/>
            <w:vMerge/>
            <w:tcBorders>
              <w:top w:val="nil"/>
            </w:tcBorders>
          </w:tcPr>
          <w:p>
            <w:pPr>
              <w:rPr>
                <w:sz w:val="2"/>
                <w:szCs w:val="2"/>
              </w:rPr>
            </w:pPr>
          </w:p>
        </w:tc>
        <w:tc>
          <w:tcPr>
            <w:tcW w:w="6176" w:type="dxa"/>
            <w:gridSpan w:val="2"/>
            <w:tcBorders>
              <w:top w:val="nil"/>
              <w:bottom w:val="nil"/>
            </w:tcBorders>
          </w:tcPr>
          <w:p>
            <w:pPr>
              <w:pStyle w:val="TableParagraph"/>
              <w:rPr>
                <w:rFonts w:ascii="Times New Roman"/>
                <w:sz w:val="18"/>
              </w:rPr>
            </w:pPr>
          </w:p>
        </w:tc>
      </w:tr>
      <w:tr>
        <w:trPr>
          <w:trHeight w:val="256" w:hRule="atLeast"/>
        </w:trPr>
        <w:tc>
          <w:tcPr>
            <w:tcW w:w="828" w:type="dxa"/>
            <w:tcBorders>
              <w:top w:val="nil"/>
              <w:bottom w:val="nil"/>
            </w:tcBorders>
          </w:tcPr>
          <w:p>
            <w:pPr>
              <w:pStyle w:val="TableParagraph"/>
              <w:rPr>
                <w:rFonts w:ascii="Times New Roman"/>
                <w:sz w:val="18"/>
              </w:rPr>
            </w:pPr>
          </w:p>
        </w:tc>
        <w:tc>
          <w:tcPr>
            <w:tcW w:w="874" w:type="dxa"/>
            <w:tcBorders>
              <w:top w:val="nil"/>
              <w:bottom w:val="nil"/>
            </w:tcBorders>
          </w:tcPr>
          <w:p>
            <w:pPr>
              <w:pStyle w:val="TableParagraph"/>
              <w:spacing w:line="236" w:lineRule="exact"/>
              <w:ind w:left="148"/>
              <w:rPr>
                <w:sz w:val="21"/>
              </w:rPr>
            </w:pPr>
            <w:r>
              <w:rPr>
                <w:sz w:val="21"/>
              </w:rPr>
              <w:t>改，但</w:t>
            </w:r>
          </w:p>
        </w:tc>
        <w:tc>
          <w:tcPr>
            <w:tcW w:w="1098" w:type="dxa"/>
            <w:vMerge/>
            <w:tcBorders>
              <w:top w:val="nil"/>
            </w:tcBorders>
          </w:tcPr>
          <w:p>
            <w:pPr>
              <w:rPr>
                <w:sz w:val="2"/>
                <w:szCs w:val="2"/>
              </w:rPr>
            </w:pPr>
          </w:p>
        </w:tc>
        <w:tc>
          <w:tcPr>
            <w:tcW w:w="6176" w:type="dxa"/>
            <w:gridSpan w:val="2"/>
            <w:tcBorders>
              <w:top w:val="nil"/>
              <w:bottom w:val="nil"/>
            </w:tcBorders>
          </w:tcPr>
          <w:p>
            <w:pPr>
              <w:pStyle w:val="TableParagraph"/>
              <w:rPr>
                <w:rFonts w:ascii="Times New Roman"/>
                <w:sz w:val="18"/>
              </w:rPr>
            </w:pPr>
          </w:p>
        </w:tc>
      </w:tr>
      <w:tr>
        <w:trPr>
          <w:trHeight w:val="257" w:hRule="atLeast"/>
        </w:trPr>
        <w:tc>
          <w:tcPr>
            <w:tcW w:w="828" w:type="dxa"/>
            <w:tcBorders>
              <w:top w:val="nil"/>
              <w:bottom w:val="nil"/>
            </w:tcBorders>
          </w:tcPr>
          <w:p>
            <w:pPr>
              <w:pStyle w:val="TableParagraph"/>
              <w:rPr>
                <w:rFonts w:ascii="Times New Roman"/>
                <w:sz w:val="18"/>
              </w:rPr>
            </w:pPr>
          </w:p>
        </w:tc>
        <w:tc>
          <w:tcPr>
            <w:tcW w:w="874" w:type="dxa"/>
            <w:tcBorders>
              <w:top w:val="nil"/>
              <w:bottom w:val="nil"/>
            </w:tcBorders>
          </w:tcPr>
          <w:p>
            <w:pPr>
              <w:pStyle w:val="TableParagraph"/>
              <w:spacing w:line="237" w:lineRule="exact"/>
              <w:ind w:left="148"/>
              <w:rPr>
                <w:sz w:val="21"/>
              </w:rPr>
            </w:pPr>
            <w:r>
              <w:rPr>
                <w:sz w:val="21"/>
              </w:rPr>
              <w:t>招标</w:t>
            </w:r>
          </w:p>
        </w:tc>
        <w:tc>
          <w:tcPr>
            <w:tcW w:w="1098" w:type="dxa"/>
            <w:vMerge/>
            <w:tcBorders>
              <w:top w:val="nil"/>
            </w:tcBorders>
          </w:tcPr>
          <w:p>
            <w:pPr>
              <w:rPr>
                <w:sz w:val="2"/>
                <w:szCs w:val="2"/>
              </w:rPr>
            </w:pPr>
          </w:p>
        </w:tc>
        <w:tc>
          <w:tcPr>
            <w:tcW w:w="6176" w:type="dxa"/>
            <w:gridSpan w:val="2"/>
            <w:tcBorders>
              <w:top w:val="nil"/>
              <w:bottom w:val="nil"/>
            </w:tcBorders>
          </w:tcPr>
          <w:p>
            <w:pPr>
              <w:pStyle w:val="TableParagraph"/>
              <w:rPr>
                <w:rFonts w:ascii="Times New Roman"/>
                <w:sz w:val="18"/>
              </w:rPr>
            </w:pPr>
          </w:p>
        </w:tc>
      </w:tr>
      <w:tr>
        <w:trPr>
          <w:trHeight w:val="416" w:hRule="atLeast"/>
        </w:trPr>
        <w:tc>
          <w:tcPr>
            <w:tcW w:w="828" w:type="dxa"/>
            <w:tcBorders>
              <w:top w:val="nil"/>
            </w:tcBorders>
          </w:tcPr>
          <w:p>
            <w:pPr>
              <w:pStyle w:val="TableParagraph"/>
              <w:rPr>
                <w:rFonts w:ascii="Times New Roman"/>
                <w:sz w:val="20"/>
              </w:rPr>
            </w:pPr>
          </w:p>
        </w:tc>
        <w:tc>
          <w:tcPr>
            <w:tcW w:w="874" w:type="dxa"/>
            <w:tcBorders>
              <w:top w:val="nil"/>
            </w:tcBorders>
          </w:tcPr>
          <w:p>
            <w:pPr>
              <w:pStyle w:val="TableParagraph"/>
              <w:spacing w:line="264" w:lineRule="exact"/>
              <w:ind w:left="148"/>
              <w:rPr>
                <w:sz w:val="21"/>
              </w:rPr>
            </w:pPr>
            <w:r>
              <w:rPr>
                <w:sz w:val="21"/>
              </w:rPr>
              <w:t>人可</w:t>
            </w:r>
          </w:p>
        </w:tc>
        <w:tc>
          <w:tcPr>
            <w:tcW w:w="1098" w:type="dxa"/>
            <w:vMerge/>
            <w:tcBorders>
              <w:top w:val="nil"/>
            </w:tcBorders>
          </w:tcPr>
          <w:p>
            <w:pPr>
              <w:rPr>
                <w:sz w:val="2"/>
                <w:szCs w:val="2"/>
              </w:rPr>
            </w:pPr>
          </w:p>
        </w:tc>
        <w:tc>
          <w:tcPr>
            <w:tcW w:w="6176" w:type="dxa"/>
            <w:gridSpan w:val="2"/>
            <w:tcBorders>
              <w:top w:val="nil"/>
            </w:tcBorders>
          </w:tcPr>
          <w:p>
            <w:pPr>
              <w:pStyle w:val="TableParagraph"/>
              <w:rPr>
                <w:rFonts w:ascii="Times New Roman"/>
                <w:sz w:val="20"/>
              </w:rPr>
            </w:pPr>
          </w:p>
        </w:tc>
      </w:tr>
    </w:tbl>
    <w:p>
      <w:pPr>
        <w:spacing w:after="0"/>
        <w:rPr>
          <w:rFonts w:ascii="Times New Roman"/>
          <w:sz w:val="20"/>
        </w:rPr>
        <w:sectPr>
          <w:pgSz w:w="11910" w:h="16850"/>
          <w:pgMar w:header="0" w:footer="779" w:top="1440" w:bottom="960" w:left="1120" w:right="280"/>
        </w:sectPr>
      </w:pPr>
    </w:p>
    <w:tbl>
      <w:tblPr>
        <w:tblW w:w="0" w:type="auto"/>
        <w:jc w:val="left"/>
        <w:tblInd w:w="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8"/>
        <w:gridCol w:w="874"/>
        <w:gridCol w:w="1098"/>
        <w:gridCol w:w="6174"/>
      </w:tblGrid>
      <w:tr>
        <w:trPr>
          <w:trHeight w:val="1389" w:hRule="atLeast"/>
        </w:trPr>
        <w:tc>
          <w:tcPr>
            <w:tcW w:w="828" w:type="dxa"/>
          </w:tcPr>
          <w:p>
            <w:pPr>
              <w:pStyle w:val="TableParagraph"/>
              <w:rPr>
                <w:rFonts w:ascii="Times New Roman"/>
                <w:sz w:val="20"/>
              </w:rPr>
            </w:pPr>
          </w:p>
        </w:tc>
        <w:tc>
          <w:tcPr>
            <w:tcW w:w="874" w:type="dxa"/>
          </w:tcPr>
          <w:p>
            <w:pPr>
              <w:pStyle w:val="TableParagraph"/>
              <w:spacing w:line="242" w:lineRule="auto" w:before="152"/>
              <w:ind w:left="148" w:right="286"/>
              <w:jc w:val="both"/>
              <w:rPr>
                <w:sz w:val="21"/>
              </w:rPr>
            </w:pPr>
            <w:r>
              <w:rPr>
                <w:sz w:val="21"/>
              </w:rPr>
              <w:t>以选择评分方法】</w:t>
            </w:r>
          </w:p>
        </w:tc>
        <w:tc>
          <w:tcPr>
            <w:tcW w:w="1098" w:type="dxa"/>
          </w:tcPr>
          <w:p>
            <w:pPr>
              <w:pStyle w:val="TableParagraph"/>
              <w:rPr>
                <w:rFonts w:ascii="Times New Roman"/>
                <w:sz w:val="20"/>
              </w:rPr>
            </w:pPr>
          </w:p>
        </w:tc>
        <w:tc>
          <w:tcPr>
            <w:tcW w:w="6174" w:type="dxa"/>
          </w:tcPr>
          <w:p>
            <w:pPr>
              <w:pStyle w:val="TableParagraph"/>
              <w:rPr>
                <w:rFonts w:ascii="Times New Roman"/>
                <w:sz w:val="20"/>
              </w:rPr>
            </w:pPr>
          </w:p>
        </w:tc>
      </w:tr>
      <w:tr>
        <w:trPr>
          <w:trHeight w:val="12286" w:hRule="atLeast"/>
        </w:trPr>
        <w:tc>
          <w:tcPr>
            <w:tcW w:w="828" w:type="dxa"/>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9"/>
              <w:rPr>
                <w:rFonts w:ascii="Microsoft JhengHei"/>
                <w:b/>
                <w:sz w:val="19"/>
              </w:rPr>
            </w:pPr>
          </w:p>
          <w:p>
            <w:pPr>
              <w:pStyle w:val="TableParagraph"/>
              <w:ind w:left="150"/>
              <w:rPr>
                <w:rFonts w:ascii="Calibri"/>
                <w:sz w:val="21"/>
              </w:rPr>
            </w:pPr>
            <w:r>
              <w:rPr>
                <w:rFonts w:ascii="Calibri"/>
                <w:sz w:val="21"/>
              </w:rPr>
              <w:t>2.2.2</w:t>
            </w:r>
          </w:p>
          <w:p>
            <w:pPr>
              <w:pStyle w:val="TableParagraph"/>
              <w:spacing w:before="5"/>
              <w:ind w:left="150"/>
              <w:rPr>
                <w:sz w:val="21"/>
              </w:rPr>
            </w:pPr>
            <w:r>
              <w:rPr>
                <w:sz w:val="21"/>
              </w:rPr>
              <w:t>（</w:t>
            </w:r>
            <w:r>
              <w:rPr>
                <w:rFonts w:ascii="Calibri" w:eastAsia="Calibri"/>
                <w:sz w:val="21"/>
              </w:rPr>
              <w:t>4</w:t>
            </w:r>
            <w:r>
              <w:rPr>
                <w:sz w:val="21"/>
              </w:rPr>
              <w:t>）</w:t>
            </w:r>
          </w:p>
        </w:tc>
        <w:tc>
          <w:tcPr>
            <w:tcW w:w="874" w:type="dxa"/>
          </w:tcPr>
          <w:p>
            <w:pPr>
              <w:pStyle w:val="TableParagraph"/>
              <w:spacing w:line="242" w:lineRule="auto" w:before="152"/>
              <w:ind w:left="148" w:right="286"/>
              <w:jc w:val="both"/>
              <w:rPr>
                <w:sz w:val="21"/>
              </w:rPr>
            </w:pPr>
            <w:r>
              <w:rPr>
                <w:sz w:val="21"/>
              </w:rPr>
              <w:t>企业信誉实力分评分标准</w:t>
            </w:r>
          </w:p>
          <w:p>
            <w:pPr>
              <w:pStyle w:val="TableParagraph"/>
              <w:spacing w:before="4"/>
              <w:ind w:left="148" w:right="131"/>
              <w:rPr>
                <w:rFonts w:ascii="Calibri" w:hAnsi="Calibri" w:eastAsia="Calibri"/>
                <w:sz w:val="21"/>
              </w:rPr>
            </w:pPr>
            <w:r>
              <w:rPr>
                <w:sz w:val="21"/>
              </w:rPr>
              <w:t>【满分分值权重</w:t>
            </w:r>
            <w:r>
              <w:rPr>
                <w:rFonts w:ascii="Segoe UI Symbol" w:hAnsi="Segoe UI Symbol" w:eastAsia="Segoe UI Symbol"/>
                <w:spacing w:val="-77"/>
                <w:sz w:val="21"/>
              </w:rPr>
              <w:t>☑</w:t>
            </w:r>
            <w:r>
              <w:rPr>
                <w:sz w:val="21"/>
              </w:rPr>
              <w:t>中型 工 </w:t>
            </w:r>
            <w:r>
              <w:rPr>
                <w:spacing w:val="-104"/>
                <w:sz w:val="21"/>
              </w:rPr>
              <w:t>程</w:t>
            </w:r>
            <w:r>
              <w:rPr>
                <w:spacing w:val="-6"/>
                <w:sz w:val="21"/>
              </w:rPr>
              <w:t>（</w:t>
            </w:r>
            <w:r>
              <w:rPr>
                <w:rFonts w:ascii="Calibri" w:hAnsi="Calibri" w:eastAsia="Calibri"/>
                <w:spacing w:val="-6"/>
                <w:sz w:val="21"/>
              </w:rPr>
              <w:t>6%</w:t>
            </w:r>
          </w:p>
          <w:p>
            <w:pPr>
              <w:pStyle w:val="TableParagraph"/>
              <w:spacing w:line="242" w:lineRule="auto" w:before="4"/>
              <w:ind w:left="148" w:right="99"/>
              <w:rPr>
                <w:sz w:val="21"/>
              </w:rPr>
            </w:pPr>
            <w:r>
              <w:rPr>
                <w:sz w:val="21"/>
              </w:rPr>
              <w:t>或 </w:t>
            </w:r>
            <w:r>
              <w:rPr>
                <w:rFonts w:ascii="Calibri" w:hAnsi="Calibri" w:eastAsia="Calibri"/>
                <w:sz w:val="21"/>
              </w:rPr>
              <w:t>7% </w:t>
            </w:r>
            <w:r>
              <w:rPr>
                <w:sz w:val="21"/>
              </w:rPr>
              <w:t>或</w:t>
            </w:r>
            <w:r>
              <w:rPr>
                <w:rFonts w:ascii="Calibri" w:hAnsi="Calibri" w:eastAsia="Calibri"/>
                <w:sz w:val="21"/>
              </w:rPr>
              <w:t>8%</w:t>
            </w:r>
            <w:r>
              <w:rPr>
                <w:sz w:val="21"/>
              </w:rPr>
              <w:t>）</w:t>
            </w:r>
            <w:r>
              <w:rPr>
                <w:rFonts w:ascii="Calibri" w:hAnsi="Calibri" w:eastAsia="Calibri"/>
                <w:sz w:val="21"/>
              </w:rPr>
              <w:t>□ </w:t>
            </w:r>
            <w:r>
              <w:rPr>
                <w:sz w:val="21"/>
              </w:rPr>
              <w:t>大型工程</w:t>
            </w:r>
          </w:p>
          <w:p>
            <w:pPr>
              <w:pStyle w:val="TableParagraph"/>
              <w:spacing w:line="242" w:lineRule="auto" w:before="2"/>
              <w:ind w:left="148" w:right="132"/>
              <w:rPr>
                <w:sz w:val="21"/>
              </w:rPr>
            </w:pPr>
            <w:r>
              <w:rPr>
                <w:sz w:val="21"/>
              </w:rPr>
              <w:t>（</w:t>
            </w:r>
            <w:r>
              <w:rPr>
                <w:rFonts w:ascii="Calibri" w:eastAsia="Calibri"/>
                <w:sz w:val="21"/>
              </w:rPr>
              <w:t>8% </w:t>
            </w:r>
            <w:r>
              <w:rPr>
                <w:sz w:val="21"/>
              </w:rPr>
              <w:t>或 </w:t>
            </w:r>
            <w:r>
              <w:rPr>
                <w:rFonts w:ascii="Calibri" w:eastAsia="Calibri"/>
                <w:sz w:val="21"/>
              </w:rPr>
              <w:t>9% </w:t>
            </w:r>
            <w:r>
              <w:rPr>
                <w:sz w:val="21"/>
              </w:rPr>
              <w:t>或</w:t>
            </w:r>
            <w:r>
              <w:rPr>
                <w:rFonts w:ascii="Calibri" w:eastAsia="Calibri"/>
                <w:w w:val="100"/>
                <w:sz w:val="21"/>
              </w:rPr>
              <w:t>1</w:t>
            </w:r>
            <w:r>
              <w:rPr>
                <w:rFonts w:ascii="Calibri" w:eastAsia="Calibri"/>
                <w:spacing w:val="-2"/>
                <w:w w:val="100"/>
                <w:sz w:val="21"/>
              </w:rPr>
              <w:t>0</w:t>
            </w:r>
            <w:r>
              <w:rPr>
                <w:rFonts w:ascii="Calibri" w:eastAsia="Calibri"/>
                <w:w w:val="100"/>
                <w:sz w:val="21"/>
              </w:rPr>
              <w:t>%</w:t>
            </w:r>
            <w:r>
              <w:rPr>
                <w:spacing w:val="-106"/>
                <w:w w:val="100"/>
                <w:sz w:val="21"/>
              </w:rPr>
              <w:t>）</w:t>
            </w:r>
            <w:r>
              <w:rPr>
                <w:spacing w:val="-121"/>
                <w:w w:val="100"/>
                <w:sz w:val="21"/>
              </w:rPr>
              <w:t>】</w:t>
            </w:r>
          </w:p>
          <w:p>
            <w:pPr>
              <w:pStyle w:val="TableParagraph"/>
              <w:spacing w:line="242" w:lineRule="auto" w:before="3"/>
              <w:ind w:left="148" w:right="74"/>
              <w:rPr>
                <w:sz w:val="21"/>
              </w:rPr>
            </w:pPr>
            <w:r>
              <w:rPr>
                <w:sz w:val="21"/>
              </w:rPr>
              <w:t>【 备 </w:t>
            </w:r>
            <w:r>
              <w:rPr>
                <w:spacing w:val="-20"/>
                <w:sz w:val="21"/>
              </w:rPr>
              <w:t>注：招标 项 目 如 为 国 有 投 </w:t>
            </w:r>
            <w:r>
              <w:rPr>
                <w:spacing w:val="-58"/>
                <w:sz w:val="21"/>
              </w:rPr>
              <w:t>资</w:t>
            </w:r>
            <w:r>
              <w:rPr>
                <w:sz w:val="21"/>
              </w:rPr>
              <w:t>（含国 有 投 资 占 主 导 或 控 股 地位</w:t>
            </w:r>
            <w:r>
              <w:rPr>
                <w:spacing w:val="-17"/>
                <w:sz w:val="21"/>
              </w:rPr>
              <w:t>） </w:t>
            </w:r>
            <w:r>
              <w:rPr>
                <w:sz w:val="21"/>
              </w:rPr>
              <w:t>项 目 则 须 计 入 </w:t>
            </w:r>
            <w:r>
              <w:rPr>
                <w:spacing w:val="-6"/>
                <w:sz w:val="21"/>
              </w:rPr>
              <w:t>此分， </w:t>
            </w:r>
            <w:r>
              <w:rPr>
                <w:sz w:val="21"/>
              </w:rPr>
              <w:t>其 他 工 程 由 招 标 人 自 行 决定</w:t>
            </w:r>
          </w:p>
        </w:tc>
        <w:tc>
          <w:tcPr>
            <w:tcW w:w="7272" w:type="dxa"/>
            <w:gridSpan w:val="2"/>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9"/>
              <w:rPr>
                <w:rFonts w:ascii="Microsoft JhengHei"/>
                <w:b/>
                <w:sz w:val="27"/>
              </w:rPr>
            </w:pPr>
          </w:p>
          <w:p>
            <w:pPr>
              <w:pStyle w:val="TableParagraph"/>
              <w:spacing w:line="242" w:lineRule="auto"/>
              <w:ind w:left="148" w:right="130"/>
              <w:rPr>
                <w:sz w:val="21"/>
              </w:rPr>
            </w:pPr>
            <w:r>
              <w:rPr>
                <w:spacing w:val="-3"/>
                <w:sz w:val="21"/>
              </w:rPr>
              <w:t>企业信誉实力得分的确定</w:t>
            </w:r>
            <w:r>
              <w:rPr>
                <w:sz w:val="21"/>
              </w:rPr>
              <w:t>（</w:t>
            </w:r>
            <w:r>
              <w:rPr>
                <w:spacing w:val="-3"/>
                <w:sz w:val="21"/>
              </w:rPr>
              <w:t>联合体参与投标的，联合体的信誉实力分按联合</w:t>
            </w:r>
            <w:r>
              <w:rPr>
                <w:spacing w:val="-3"/>
                <w:w w:val="100"/>
                <w:sz w:val="21"/>
              </w:rPr>
              <w:t>体成员中信誉实力分最高的企业认定</w:t>
            </w:r>
            <w:r>
              <w:rPr>
                <w:spacing w:val="-106"/>
                <w:w w:val="100"/>
                <w:sz w:val="21"/>
              </w:rPr>
              <w:t>）</w:t>
            </w:r>
            <w:r>
              <w:rPr>
                <w:w w:val="100"/>
                <w:sz w:val="21"/>
              </w:rPr>
              <w:t>：</w:t>
            </w:r>
            <w:r>
              <w:rPr>
                <w:spacing w:val="-67"/>
                <w:sz w:val="21"/>
              </w:rPr>
              <w:t> </w:t>
            </w:r>
            <w:r>
              <w:rPr>
                <w:spacing w:val="-3"/>
                <w:w w:val="100"/>
                <w:sz w:val="21"/>
              </w:rPr>
              <w:t>企业信誉实力加权得分</w:t>
            </w:r>
            <w:r>
              <w:rPr>
                <w:rFonts w:ascii="Calibri" w:hAnsi="Calibri" w:eastAsia="Calibri"/>
                <w:w w:val="100"/>
                <w:sz w:val="21"/>
              </w:rPr>
              <w:t>=</w:t>
            </w:r>
            <w:r>
              <w:rPr>
                <w:spacing w:val="-3"/>
                <w:w w:val="100"/>
                <w:sz w:val="21"/>
              </w:rPr>
              <w:t>根据实时公</w:t>
            </w:r>
            <w:r>
              <w:rPr>
                <w:spacing w:val="-3"/>
                <w:sz w:val="21"/>
              </w:rPr>
              <w:t>布的自治区级诚信综合评价分（</w:t>
            </w:r>
            <w:r>
              <w:rPr>
                <w:spacing w:val="-2"/>
                <w:sz w:val="21"/>
              </w:rPr>
              <w:t>百分制</w:t>
            </w:r>
            <w:r>
              <w:rPr>
                <w:sz w:val="21"/>
              </w:rPr>
              <w:t>）</w:t>
            </w:r>
            <w:r>
              <w:rPr>
                <w:rFonts w:ascii="Calibri" w:hAnsi="Calibri" w:eastAsia="Calibri"/>
                <w:spacing w:val="2"/>
                <w:sz w:val="21"/>
              </w:rPr>
              <w:t>× </w:t>
            </w:r>
            <w:r>
              <w:rPr>
                <w:rFonts w:ascii="Calibri" w:hAnsi="Calibri" w:eastAsia="Calibri"/>
                <w:sz w:val="21"/>
              </w:rPr>
              <w:t>70</w:t>
            </w:r>
            <w:r>
              <w:rPr>
                <w:rFonts w:ascii="Calibri" w:hAnsi="Calibri" w:eastAsia="Calibri"/>
                <w:spacing w:val="2"/>
                <w:sz w:val="21"/>
              </w:rPr>
              <w:t> %×</w:t>
            </w:r>
            <w:r>
              <w:rPr>
                <w:spacing w:val="-3"/>
                <w:sz w:val="21"/>
              </w:rPr>
              <w:t>企业信誉实力分分值权重</w:t>
            </w:r>
            <w:r>
              <w:rPr>
                <w:rFonts w:ascii="Calibri" w:hAnsi="Calibri" w:eastAsia="Calibri"/>
                <w:sz w:val="21"/>
              </w:rPr>
              <w:t>+ </w:t>
            </w:r>
            <w:r>
              <w:rPr>
                <w:spacing w:val="-3"/>
                <w:sz w:val="21"/>
              </w:rPr>
              <w:t>根据实时公布的南宁市级诚信综合评价分</w:t>
            </w:r>
            <w:r>
              <w:rPr>
                <w:sz w:val="21"/>
              </w:rPr>
              <w:t>（</w:t>
            </w:r>
            <w:r>
              <w:rPr>
                <w:spacing w:val="-3"/>
                <w:sz w:val="21"/>
              </w:rPr>
              <w:t>百分制</w:t>
            </w:r>
            <w:r>
              <w:rPr>
                <w:sz w:val="21"/>
              </w:rPr>
              <w:t>）</w:t>
            </w:r>
            <w:r>
              <w:rPr>
                <w:rFonts w:ascii="Calibri" w:hAnsi="Calibri" w:eastAsia="Calibri"/>
                <w:spacing w:val="6"/>
                <w:sz w:val="21"/>
              </w:rPr>
              <w:t>× </w:t>
            </w:r>
            <w:r>
              <w:rPr>
                <w:rFonts w:ascii="Calibri" w:hAnsi="Calibri" w:eastAsia="Calibri"/>
                <w:sz w:val="21"/>
              </w:rPr>
              <w:t>30%×</w:t>
            </w:r>
            <w:r>
              <w:rPr>
                <w:spacing w:val="-3"/>
                <w:sz w:val="21"/>
              </w:rPr>
              <w:t>企业信誉实力分</w:t>
            </w:r>
            <w:r>
              <w:rPr>
                <w:spacing w:val="-7"/>
                <w:sz w:val="21"/>
              </w:rPr>
              <w:t>分值权重 【备注：自治区级诚信综合评价分占比与设区市级诚信综合评价分</w:t>
            </w:r>
            <w:r>
              <w:rPr>
                <w:spacing w:val="-8"/>
                <w:sz w:val="21"/>
              </w:rPr>
              <w:t>占比之和为 </w:t>
            </w:r>
            <w:r>
              <w:rPr>
                <w:rFonts w:ascii="Calibri" w:hAnsi="Calibri" w:eastAsia="Calibri"/>
                <w:spacing w:val="-14"/>
                <w:sz w:val="21"/>
              </w:rPr>
              <w:t>100%</w:t>
            </w:r>
            <w:r>
              <w:rPr>
                <w:spacing w:val="-5"/>
                <w:sz w:val="21"/>
              </w:rPr>
              <w:t>，具体权重由各设区市在比例范围内在发出招标文件前自行</w:t>
            </w:r>
            <w:r>
              <w:rPr>
                <w:spacing w:val="-7"/>
                <w:sz w:val="21"/>
              </w:rPr>
              <w:t>决定，把确定后的比例填入招标文件内】 注：自治区级诚信综合评价分由评</w:t>
            </w:r>
            <w:r>
              <w:rPr>
                <w:spacing w:val="-6"/>
                <w:sz w:val="21"/>
              </w:rPr>
              <w:t>委在广西建筑市场监管与诚信信息一体化平台的诚信分公示栏目中查询。 设</w:t>
            </w:r>
            <w:r>
              <w:rPr>
                <w:spacing w:val="-4"/>
                <w:sz w:val="21"/>
              </w:rPr>
              <w:t>区市级诚信综合评价分 。</w:t>
            </w:r>
          </w:p>
        </w:tc>
      </w:tr>
    </w:tbl>
    <w:p>
      <w:pPr>
        <w:spacing w:after="0" w:line="242" w:lineRule="auto"/>
        <w:rPr>
          <w:sz w:val="21"/>
        </w:rPr>
        <w:sectPr>
          <w:pgSz w:w="11910" w:h="16850"/>
          <w:pgMar w:header="0" w:footer="779" w:top="1440" w:bottom="960" w:left="1120" w:right="280"/>
        </w:sectPr>
      </w:pPr>
    </w:p>
    <w:tbl>
      <w:tblPr>
        <w:tblW w:w="0" w:type="auto"/>
        <w:jc w:val="left"/>
        <w:tblInd w:w="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8"/>
        <w:gridCol w:w="874"/>
        <w:gridCol w:w="7272"/>
      </w:tblGrid>
      <w:tr>
        <w:trPr>
          <w:trHeight w:val="1389" w:hRule="atLeast"/>
        </w:trPr>
        <w:tc>
          <w:tcPr>
            <w:tcW w:w="828" w:type="dxa"/>
          </w:tcPr>
          <w:p>
            <w:pPr>
              <w:pStyle w:val="TableParagraph"/>
              <w:rPr>
                <w:rFonts w:ascii="Times New Roman"/>
                <w:sz w:val="20"/>
              </w:rPr>
            </w:pPr>
          </w:p>
        </w:tc>
        <w:tc>
          <w:tcPr>
            <w:tcW w:w="874" w:type="dxa"/>
          </w:tcPr>
          <w:p>
            <w:pPr>
              <w:pStyle w:val="TableParagraph"/>
              <w:spacing w:line="242" w:lineRule="auto" w:before="152"/>
              <w:ind w:left="148" w:right="286"/>
              <w:jc w:val="both"/>
              <w:rPr>
                <w:sz w:val="21"/>
              </w:rPr>
            </w:pPr>
            <w:r>
              <w:rPr>
                <w:sz w:val="21"/>
              </w:rPr>
              <w:t>是否参照执</w:t>
            </w:r>
          </w:p>
          <w:p>
            <w:pPr>
              <w:pStyle w:val="TableParagraph"/>
              <w:spacing w:before="1"/>
              <w:ind w:left="148"/>
              <w:rPr>
                <w:sz w:val="21"/>
              </w:rPr>
            </w:pPr>
            <w:r>
              <w:rPr>
                <w:sz w:val="21"/>
              </w:rPr>
              <w:t>行。】</w:t>
            </w:r>
          </w:p>
        </w:tc>
        <w:tc>
          <w:tcPr>
            <w:tcW w:w="7272" w:type="dxa"/>
          </w:tcPr>
          <w:p>
            <w:pPr>
              <w:pStyle w:val="TableParagraph"/>
              <w:rPr>
                <w:rFonts w:ascii="Times New Roman"/>
                <w:sz w:val="20"/>
              </w:rPr>
            </w:pPr>
          </w:p>
        </w:tc>
      </w:tr>
      <w:tr>
        <w:trPr>
          <w:trHeight w:val="1117" w:hRule="atLeast"/>
        </w:trPr>
        <w:tc>
          <w:tcPr>
            <w:tcW w:w="1702" w:type="dxa"/>
            <w:gridSpan w:val="2"/>
          </w:tcPr>
          <w:p>
            <w:pPr>
              <w:pStyle w:val="TableParagraph"/>
              <w:spacing w:line="242" w:lineRule="auto" w:before="152"/>
              <w:ind w:left="743" w:right="201" w:hanging="524"/>
              <w:rPr>
                <w:sz w:val="21"/>
              </w:rPr>
            </w:pPr>
            <w:r>
              <w:rPr>
                <w:sz w:val="21"/>
              </w:rPr>
              <w:t>投标人汇总得分</w:t>
            </w:r>
          </w:p>
          <w:p>
            <w:pPr>
              <w:pStyle w:val="TableParagraph"/>
              <w:spacing w:before="1"/>
              <w:ind w:left="150"/>
              <w:rPr>
                <w:sz w:val="21"/>
              </w:rPr>
            </w:pPr>
            <w:r>
              <w:rPr>
                <w:sz w:val="21"/>
              </w:rPr>
              <w:t>（满分 </w:t>
            </w:r>
            <w:r>
              <w:rPr>
                <w:rFonts w:ascii="Calibri" w:eastAsia="Calibri"/>
                <w:sz w:val="21"/>
              </w:rPr>
              <w:t>100 </w:t>
            </w:r>
            <w:r>
              <w:rPr>
                <w:sz w:val="21"/>
              </w:rPr>
              <w:t>分）</w:t>
            </w:r>
          </w:p>
        </w:tc>
        <w:tc>
          <w:tcPr>
            <w:tcW w:w="7272" w:type="dxa"/>
          </w:tcPr>
          <w:p>
            <w:pPr>
              <w:pStyle w:val="TableParagraph"/>
              <w:spacing w:before="13"/>
              <w:rPr>
                <w:rFonts w:ascii="Microsoft JhengHei"/>
                <w:b/>
                <w:sz w:val="15"/>
              </w:rPr>
            </w:pPr>
          </w:p>
          <w:p>
            <w:pPr>
              <w:pStyle w:val="TableParagraph"/>
              <w:ind w:left="311" w:right="301"/>
              <w:jc w:val="center"/>
              <w:rPr>
                <w:sz w:val="21"/>
              </w:rPr>
            </w:pPr>
            <w:r>
              <w:rPr>
                <w:sz w:val="21"/>
              </w:rPr>
              <w:t>商务标得分</w:t>
            </w:r>
            <w:r>
              <w:rPr>
                <w:rFonts w:ascii="Calibri" w:eastAsia="Calibri"/>
                <w:sz w:val="21"/>
              </w:rPr>
              <w:t>= </w:t>
            </w:r>
            <w:r>
              <w:rPr>
                <w:sz w:val="21"/>
              </w:rPr>
              <w:t>报价分加权得分 </w:t>
            </w:r>
            <w:r>
              <w:rPr>
                <w:rFonts w:ascii="Calibri" w:eastAsia="Calibri"/>
                <w:sz w:val="21"/>
              </w:rPr>
              <w:t>+ </w:t>
            </w:r>
            <w:r>
              <w:rPr>
                <w:sz w:val="21"/>
              </w:rPr>
              <w:t>企业信誉实力加权得分</w:t>
            </w:r>
          </w:p>
          <w:p>
            <w:pPr>
              <w:pStyle w:val="TableParagraph"/>
              <w:spacing w:before="2"/>
              <w:ind w:left="311" w:right="301"/>
              <w:jc w:val="center"/>
              <w:rPr>
                <w:sz w:val="21"/>
              </w:rPr>
            </w:pPr>
            <w:r>
              <w:rPr>
                <w:sz w:val="21"/>
              </w:rPr>
              <w:t>投标人汇总得分</w:t>
            </w:r>
            <w:r>
              <w:rPr>
                <w:rFonts w:ascii="Calibri" w:eastAsia="Calibri"/>
                <w:sz w:val="21"/>
              </w:rPr>
              <w:t>= </w:t>
            </w:r>
            <w:r>
              <w:rPr>
                <w:sz w:val="21"/>
              </w:rPr>
              <w:t>技术标加权得分 </w:t>
            </w:r>
            <w:r>
              <w:rPr>
                <w:rFonts w:ascii="Calibri" w:eastAsia="Calibri"/>
                <w:sz w:val="21"/>
              </w:rPr>
              <w:t>+ </w:t>
            </w:r>
            <w:r>
              <w:rPr>
                <w:sz w:val="21"/>
              </w:rPr>
              <w:t>资信审查评分加权得分</w:t>
            </w:r>
            <w:r>
              <w:rPr>
                <w:rFonts w:ascii="Calibri" w:eastAsia="Calibri"/>
                <w:sz w:val="21"/>
              </w:rPr>
              <w:t>+</w:t>
            </w:r>
            <w:r>
              <w:rPr>
                <w:sz w:val="21"/>
              </w:rPr>
              <w:t>商务标得分</w:t>
            </w:r>
          </w:p>
        </w:tc>
      </w:tr>
      <w:tr>
        <w:trPr>
          <w:trHeight w:val="844" w:hRule="atLeast"/>
        </w:trPr>
        <w:tc>
          <w:tcPr>
            <w:tcW w:w="828" w:type="dxa"/>
          </w:tcPr>
          <w:p>
            <w:pPr>
              <w:pStyle w:val="TableParagraph"/>
              <w:spacing w:before="15"/>
              <w:rPr>
                <w:rFonts w:ascii="Microsoft JhengHei"/>
                <w:b/>
                <w:sz w:val="15"/>
              </w:rPr>
            </w:pPr>
          </w:p>
          <w:p>
            <w:pPr>
              <w:pStyle w:val="TableParagraph"/>
              <w:spacing w:before="1"/>
              <w:ind w:left="18"/>
              <w:jc w:val="center"/>
              <w:rPr>
                <w:rFonts w:ascii="Calibri"/>
                <w:sz w:val="21"/>
              </w:rPr>
            </w:pPr>
            <w:r>
              <w:rPr>
                <w:rFonts w:ascii="Calibri"/>
                <w:w w:val="100"/>
                <w:sz w:val="21"/>
              </w:rPr>
              <w:t>3</w:t>
            </w:r>
          </w:p>
        </w:tc>
        <w:tc>
          <w:tcPr>
            <w:tcW w:w="874" w:type="dxa"/>
          </w:tcPr>
          <w:p>
            <w:pPr>
              <w:pStyle w:val="TableParagraph"/>
              <w:spacing w:line="242" w:lineRule="auto" w:before="152"/>
              <w:ind w:left="225" w:right="209"/>
              <w:rPr>
                <w:sz w:val="21"/>
              </w:rPr>
            </w:pPr>
            <w:r>
              <w:rPr>
                <w:sz w:val="21"/>
              </w:rPr>
              <w:t>评标程序</w:t>
            </w:r>
          </w:p>
        </w:tc>
        <w:tc>
          <w:tcPr>
            <w:tcW w:w="7272" w:type="dxa"/>
          </w:tcPr>
          <w:p>
            <w:pPr>
              <w:pStyle w:val="TableParagraph"/>
              <w:spacing w:before="10"/>
              <w:rPr>
                <w:rFonts w:ascii="Microsoft JhengHei"/>
                <w:b/>
                <w:sz w:val="15"/>
              </w:rPr>
            </w:pPr>
          </w:p>
          <w:p>
            <w:pPr>
              <w:pStyle w:val="TableParagraph"/>
              <w:ind w:left="2179"/>
              <w:rPr>
                <w:sz w:val="21"/>
              </w:rPr>
            </w:pPr>
            <w:r>
              <w:rPr>
                <w:sz w:val="21"/>
              </w:rPr>
              <w:t>详见本章附件 </w:t>
            </w:r>
            <w:r>
              <w:rPr>
                <w:rFonts w:ascii="Calibri" w:eastAsia="Calibri"/>
                <w:sz w:val="21"/>
              </w:rPr>
              <w:t>A</w:t>
            </w:r>
            <w:r>
              <w:rPr>
                <w:sz w:val="21"/>
              </w:rPr>
              <w:t>：评标详细程序</w:t>
            </w:r>
          </w:p>
        </w:tc>
      </w:tr>
      <w:tr>
        <w:trPr>
          <w:trHeight w:val="1118" w:hRule="atLeast"/>
        </w:trPr>
        <w:tc>
          <w:tcPr>
            <w:tcW w:w="828" w:type="dxa"/>
          </w:tcPr>
          <w:p>
            <w:pPr>
              <w:pStyle w:val="TableParagraph"/>
              <w:spacing w:before="6"/>
              <w:rPr>
                <w:rFonts w:ascii="Microsoft JhengHei"/>
                <w:b/>
                <w:sz w:val="23"/>
              </w:rPr>
            </w:pPr>
          </w:p>
          <w:p>
            <w:pPr>
              <w:pStyle w:val="TableParagraph"/>
              <w:ind w:left="181" w:right="166"/>
              <w:jc w:val="center"/>
              <w:rPr>
                <w:rFonts w:ascii="Calibri"/>
                <w:sz w:val="21"/>
              </w:rPr>
            </w:pPr>
            <w:r>
              <w:rPr>
                <w:rFonts w:ascii="Calibri"/>
                <w:sz w:val="21"/>
              </w:rPr>
              <w:t>3.1.2</w:t>
            </w:r>
          </w:p>
        </w:tc>
        <w:tc>
          <w:tcPr>
            <w:tcW w:w="874" w:type="dxa"/>
          </w:tcPr>
          <w:p>
            <w:pPr>
              <w:pStyle w:val="TableParagraph"/>
              <w:spacing w:line="242" w:lineRule="auto" w:before="152"/>
              <w:ind w:left="225" w:right="209"/>
              <w:jc w:val="both"/>
              <w:rPr>
                <w:sz w:val="21"/>
              </w:rPr>
            </w:pPr>
            <w:r>
              <w:rPr>
                <w:sz w:val="21"/>
              </w:rPr>
              <w:t>否决投标条件</w:t>
            </w:r>
          </w:p>
        </w:tc>
        <w:tc>
          <w:tcPr>
            <w:tcW w:w="7272" w:type="dxa"/>
          </w:tcPr>
          <w:p>
            <w:pPr>
              <w:pStyle w:val="TableParagraph"/>
              <w:rPr>
                <w:rFonts w:ascii="Microsoft JhengHei"/>
                <w:b/>
                <w:sz w:val="23"/>
              </w:rPr>
            </w:pPr>
          </w:p>
          <w:p>
            <w:pPr>
              <w:pStyle w:val="TableParagraph"/>
              <w:spacing w:before="1"/>
              <w:ind w:left="2183"/>
              <w:rPr>
                <w:sz w:val="21"/>
              </w:rPr>
            </w:pPr>
            <w:r>
              <w:rPr>
                <w:sz w:val="21"/>
              </w:rPr>
              <w:t>详见本章附件 </w:t>
            </w:r>
            <w:r>
              <w:rPr>
                <w:rFonts w:ascii="Calibri" w:eastAsia="Calibri"/>
                <w:sz w:val="21"/>
              </w:rPr>
              <w:t>B</w:t>
            </w:r>
            <w:r>
              <w:rPr>
                <w:sz w:val="21"/>
              </w:rPr>
              <w:t>：否决投标条件</w:t>
            </w:r>
          </w:p>
        </w:tc>
      </w:tr>
    </w:tbl>
    <w:p>
      <w:pPr>
        <w:pStyle w:val="BodyText"/>
        <w:spacing w:before="9"/>
        <w:ind w:left="0"/>
        <w:rPr>
          <w:rFonts w:ascii="Microsoft JhengHei"/>
          <w:b/>
          <w:sz w:val="25"/>
        </w:rPr>
      </w:pPr>
    </w:p>
    <w:p>
      <w:pPr>
        <w:pStyle w:val="BodyText"/>
        <w:spacing w:before="71"/>
      </w:pPr>
      <w:r>
        <w:rPr>
          <w:w w:val="100"/>
        </w:rPr>
        <w:t> </w:t>
      </w:r>
    </w:p>
    <w:p>
      <w:pPr>
        <w:pStyle w:val="BodyText"/>
        <w:spacing w:before="3"/>
      </w:pPr>
      <w:r>
        <w:rPr>
          <w:w w:val="100"/>
        </w:rPr>
        <w:t> </w:t>
      </w:r>
    </w:p>
    <w:p>
      <w:pPr>
        <w:pStyle w:val="BodyText"/>
        <w:spacing w:before="4"/>
      </w:pPr>
      <w:r>
        <w:rPr/>
        <w:t>备注： </w:t>
      </w:r>
    </w:p>
    <w:p>
      <w:pPr>
        <w:pStyle w:val="ListParagraph"/>
        <w:numPr>
          <w:ilvl w:val="2"/>
          <w:numId w:val="49"/>
        </w:numPr>
        <w:tabs>
          <w:tab w:pos="1327" w:val="left" w:leader="none"/>
        </w:tabs>
        <w:spacing w:line="364" w:lineRule="auto" w:before="139" w:after="0"/>
        <w:ind w:left="678" w:right="1151" w:firstLine="436"/>
        <w:jc w:val="left"/>
        <w:rPr>
          <w:sz w:val="21"/>
        </w:rPr>
      </w:pPr>
      <w:r>
        <w:rPr>
          <w:spacing w:val="-6"/>
          <w:sz w:val="21"/>
        </w:rPr>
        <w:t>招标公告没有提出类似工程业绩要求的，资格评审时如果采用合格制，不得设置类似工</w:t>
      </w:r>
      <w:r>
        <w:rPr>
          <w:spacing w:val="-4"/>
          <w:sz w:val="21"/>
        </w:rPr>
        <w:t>程业绩要求；如果采用有限数量制，可以设置类似工程业绩要求。</w:t>
      </w:r>
      <w:r>
        <w:rPr>
          <w:sz w:val="21"/>
        </w:rPr>
        <w:t> </w:t>
      </w:r>
    </w:p>
    <w:p>
      <w:pPr>
        <w:pStyle w:val="ListParagraph"/>
        <w:numPr>
          <w:ilvl w:val="2"/>
          <w:numId w:val="49"/>
        </w:numPr>
        <w:tabs>
          <w:tab w:pos="1327" w:val="left" w:leader="none"/>
        </w:tabs>
        <w:spacing w:line="367" w:lineRule="auto" w:before="0" w:after="0"/>
        <w:ind w:left="678" w:right="1151" w:firstLine="436"/>
        <w:jc w:val="left"/>
        <w:rPr>
          <w:sz w:val="21"/>
        </w:rPr>
      </w:pPr>
      <w:r>
        <w:rPr>
          <w:spacing w:val="-6"/>
          <w:sz w:val="21"/>
        </w:rPr>
        <w:t>招标公告提出类似工程业绩要求的，资格评审时必须设置类似工程业绩要求，考核期同</w:t>
      </w:r>
      <w:r>
        <w:rPr>
          <w:spacing w:val="-4"/>
          <w:sz w:val="21"/>
        </w:rPr>
        <w:t>“投标人须知前附表</w:t>
      </w:r>
      <w:r>
        <w:rPr>
          <w:sz w:val="21"/>
        </w:rPr>
        <w:t>”3.1.4</w:t>
      </w:r>
      <w:r>
        <w:rPr>
          <w:spacing w:val="-9"/>
          <w:sz w:val="21"/>
        </w:rPr>
        <w:t> 条，类似工程同招标公告。</w:t>
      </w:r>
      <w:r>
        <w:rPr>
          <w:sz w:val="21"/>
        </w:rPr>
        <w:t> </w:t>
      </w:r>
    </w:p>
    <w:p>
      <w:pPr>
        <w:pStyle w:val="ListParagraph"/>
        <w:numPr>
          <w:ilvl w:val="2"/>
          <w:numId w:val="49"/>
        </w:numPr>
        <w:tabs>
          <w:tab w:pos="1327" w:val="left" w:leader="none"/>
        </w:tabs>
        <w:spacing w:line="364" w:lineRule="auto" w:before="0" w:after="0"/>
        <w:ind w:left="678" w:right="1153" w:firstLine="436"/>
        <w:jc w:val="left"/>
        <w:rPr>
          <w:sz w:val="21"/>
        </w:rPr>
      </w:pPr>
      <w:r>
        <w:rPr>
          <w:spacing w:val="-9"/>
          <w:sz w:val="21"/>
        </w:rPr>
        <w:t>资格评审采用有限数量制时，评审标准中“企业诚信情况”中的“获奖情况”一栏，招</w:t>
      </w:r>
      <w:r>
        <w:rPr>
          <w:spacing w:val="-5"/>
          <w:sz w:val="21"/>
        </w:rPr>
        <w:t>标人必须明确奖项有效期。 </w:t>
      </w:r>
    </w:p>
    <w:p>
      <w:pPr>
        <w:pStyle w:val="BodyText"/>
        <w:spacing w:line="364" w:lineRule="auto"/>
        <w:ind w:right="1152" w:firstLine="436"/>
      </w:pPr>
      <w:r>
        <w:rPr/>
        <w:t>“获奖情况”中所列奖项类别以《自治区住房城乡建设厅关于印发广西壮族自治区建筑业企业诚信综合评价办法（试行）的通知》（桂建发〔2017〕17 号）的规定为准。 </w:t>
      </w:r>
    </w:p>
    <w:p>
      <w:pPr>
        <w:pStyle w:val="BodyText"/>
        <w:ind w:left="1114"/>
      </w:pPr>
      <w:r>
        <w:rPr/>
        <w:t>其中，国家级奖项发证机关如下： </w:t>
      </w:r>
    </w:p>
    <w:p>
      <w:pPr>
        <w:pStyle w:val="ListParagraph"/>
        <w:numPr>
          <w:ilvl w:val="0"/>
          <w:numId w:val="53"/>
        </w:numPr>
        <w:tabs>
          <w:tab w:pos="1644" w:val="left" w:leader="none"/>
        </w:tabs>
        <w:spacing w:line="240" w:lineRule="auto" w:before="131" w:after="0"/>
        <w:ind w:left="1643" w:right="0" w:hanging="530"/>
        <w:jc w:val="left"/>
        <w:rPr>
          <w:sz w:val="21"/>
        </w:rPr>
      </w:pPr>
      <w:r>
        <w:rPr>
          <w:spacing w:val="-3"/>
          <w:w w:val="100"/>
          <w:sz w:val="21"/>
        </w:rPr>
        <w:t>“中国建设工程鲁班奖</w:t>
      </w:r>
      <w:r>
        <w:rPr>
          <w:w w:val="100"/>
          <w:sz w:val="21"/>
        </w:rPr>
        <w:t>（</w:t>
      </w:r>
      <w:r>
        <w:rPr>
          <w:spacing w:val="-3"/>
          <w:w w:val="100"/>
          <w:sz w:val="21"/>
        </w:rPr>
        <w:t>国家优质工程</w:t>
      </w:r>
      <w:r>
        <w:rPr>
          <w:spacing w:val="-108"/>
          <w:w w:val="100"/>
          <w:sz w:val="21"/>
        </w:rPr>
        <w:t>）</w:t>
      </w:r>
      <w:r>
        <w:rPr>
          <w:spacing w:val="-3"/>
          <w:w w:val="100"/>
          <w:sz w:val="21"/>
        </w:rPr>
        <w:t>”发证机关为中国建筑业协会；</w:t>
      </w:r>
      <w:r>
        <w:rPr>
          <w:w w:val="100"/>
          <w:sz w:val="21"/>
        </w:rPr>
        <w:t> </w:t>
      </w:r>
    </w:p>
    <w:p>
      <w:pPr>
        <w:pStyle w:val="ListParagraph"/>
        <w:numPr>
          <w:ilvl w:val="0"/>
          <w:numId w:val="53"/>
        </w:numPr>
        <w:tabs>
          <w:tab w:pos="1644" w:val="left" w:leader="none"/>
        </w:tabs>
        <w:spacing w:line="364" w:lineRule="auto" w:before="139" w:after="0"/>
        <w:ind w:left="678" w:right="1152" w:firstLine="436"/>
        <w:jc w:val="left"/>
        <w:rPr>
          <w:sz w:val="21"/>
        </w:rPr>
      </w:pPr>
      <w:r>
        <w:rPr>
          <w:spacing w:val="-1"/>
          <w:sz w:val="21"/>
        </w:rPr>
        <w:t>“中国土木工程詹天佑奖”发证机关为中国土木工程学会、北京詹天佑土木工程科</w:t>
      </w:r>
      <w:r>
        <w:rPr>
          <w:spacing w:val="-5"/>
          <w:sz w:val="21"/>
        </w:rPr>
        <w:t>学技术发展基金会；</w:t>
      </w:r>
      <w:r>
        <w:rPr>
          <w:sz w:val="21"/>
        </w:rPr>
        <w:t> </w:t>
      </w:r>
    </w:p>
    <w:p>
      <w:pPr>
        <w:pStyle w:val="ListParagraph"/>
        <w:numPr>
          <w:ilvl w:val="0"/>
          <w:numId w:val="53"/>
        </w:numPr>
        <w:tabs>
          <w:tab w:pos="1644" w:val="left" w:leader="none"/>
        </w:tabs>
        <w:spacing w:line="268" w:lineRule="exact" w:before="0" w:after="0"/>
        <w:ind w:left="1643" w:right="0" w:hanging="530"/>
        <w:jc w:val="left"/>
        <w:rPr>
          <w:sz w:val="21"/>
        </w:rPr>
      </w:pPr>
      <w:r>
        <w:rPr>
          <w:spacing w:val="-3"/>
          <w:sz w:val="21"/>
        </w:rPr>
        <w:t>“全国市政金杯示范工程”发证机关为中国市政工程协会；</w:t>
      </w:r>
      <w:r>
        <w:rPr>
          <w:sz w:val="21"/>
        </w:rPr>
        <w:t> </w:t>
      </w:r>
    </w:p>
    <w:p>
      <w:pPr>
        <w:pStyle w:val="ListParagraph"/>
        <w:numPr>
          <w:ilvl w:val="0"/>
          <w:numId w:val="53"/>
        </w:numPr>
        <w:tabs>
          <w:tab w:pos="1644" w:val="left" w:leader="none"/>
        </w:tabs>
        <w:spacing w:line="240" w:lineRule="auto" w:before="141" w:after="0"/>
        <w:ind w:left="1643" w:right="0" w:hanging="530"/>
        <w:jc w:val="left"/>
        <w:rPr>
          <w:sz w:val="21"/>
        </w:rPr>
      </w:pPr>
      <w:r>
        <w:rPr>
          <w:spacing w:val="-3"/>
          <w:sz w:val="21"/>
        </w:rPr>
        <w:t>“国家优质工程奖”发证机关为中国施工企业管理协会；</w:t>
      </w:r>
      <w:r>
        <w:rPr>
          <w:sz w:val="21"/>
        </w:rPr>
        <w:t> </w:t>
      </w:r>
    </w:p>
    <w:p>
      <w:pPr>
        <w:pStyle w:val="ListParagraph"/>
        <w:numPr>
          <w:ilvl w:val="0"/>
          <w:numId w:val="53"/>
        </w:numPr>
        <w:tabs>
          <w:tab w:pos="1644" w:val="left" w:leader="none"/>
        </w:tabs>
        <w:spacing w:line="364" w:lineRule="auto" w:before="139" w:after="0"/>
        <w:ind w:left="678" w:right="1152" w:firstLine="436"/>
        <w:jc w:val="left"/>
        <w:rPr>
          <w:sz w:val="21"/>
        </w:rPr>
      </w:pPr>
      <w:r>
        <w:rPr>
          <w:spacing w:val="-11"/>
          <w:w w:val="100"/>
          <w:sz w:val="21"/>
        </w:rPr>
        <w:t>“中国建筑工程装饰奖”</w:t>
      </w:r>
      <w:r>
        <w:rPr>
          <w:w w:val="100"/>
          <w:sz w:val="21"/>
        </w:rPr>
        <w:t>（</w:t>
      </w:r>
      <w:r>
        <w:rPr>
          <w:spacing w:val="-9"/>
          <w:w w:val="100"/>
          <w:sz w:val="21"/>
        </w:rPr>
        <w:t>原名“全国建筑工程装饰奖”</w:t>
      </w:r>
      <w:r>
        <w:rPr>
          <w:w w:val="100"/>
          <w:sz w:val="21"/>
        </w:rPr>
        <w:t>）</w:t>
      </w:r>
      <w:r>
        <w:rPr>
          <w:spacing w:val="-1"/>
          <w:w w:val="100"/>
          <w:sz w:val="21"/>
        </w:rPr>
        <w:t>发证机关为中国建筑装饰</w:t>
      </w:r>
      <w:r>
        <w:rPr>
          <w:spacing w:val="-6"/>
          <w:sz w:val="21"/>
        </w:rPr>
        <w:t>协会；</w:t>
      </w:r>
      <w:r>
        <w:rPr>
          <w:sz w:val="21"/>
        </w:rPr>
        <w:t> </w:t>
      </w:r>
    </w:p>
    <w:p>
      <w:pPr>
        <w:pStyle w:val="ListParagraph"/>
        <w:numPr>
          <w:ilvl w:val="0"/>
          <w:numId w:val="53"/>
        </w:numPr>
        <w:tabs>
          <w:tab w:pos="1644" w:val="left" w:leader="none"/>
        </w:tabs>
        <w:spacing w:line="367" w:lineRule="auto" w:before="0" w:after="0"/>
        <w:ind w:left="678" w:right="1048" w:firstLine="436"/>
        <w:jc w:val="left"/>
        <w:rPr>
          <w:sz w:val="21"/>
        </w:rPr>
      </w:pPr>
      <w:r>
        <w:rPr>
          <w:spacing w:val="-9"/>
          <w:w w:val="100"/>
          <w:sz w:val="21"/>
        </w:rPr>
        <w:t>“建设工程项目施工安全生产标准化建设工地”</w:t>
      </w:r>
      <w:r>
        <w:rPr>
          <w:w w:val="100"/>
          <w:sz w:val="21"/>
        </w:rPr>
        <w:t>（</w:t>
      </w:r>
      <w:r>
        <w:rPr>
          <w:spacing w:val="-4"/>
          <w:w w:val="100"/>
          <w:sz w:val="21"/>
        </w:rPr>
        <w:t>原名</w:t>
      </w:r>
      <w:r>
        <w:rPr>
          <w:w w:val="100"/>
          <w:sz w:val="21"/>
        </w:rPr>
        <w:t>“AAA</w:t>
      </w:r>
      <w:r>
        <w:rPr>
          <w:spacing w:val="-55"/>
          <w:sz w:val="21"/>
        </w:rPr>
        <w:t> </w:t>
      </w:r>
      <w:r>
        <w:rPr>
          <w:spacing w:val="-3"/>
          <w:w w:val="100"/>
          <w:sz w:val="21"/>
        </w:rPr>
        <w:t>级安全文明标准化工地</w:t>
      </w:r>
      <w:r>
        <w:rPr>
          <w:spacing w:val="-106"/>
          <w:w w:val="100"/>
          <w:sz w:val="21"/>
        </w:rPr>
        <w:t>”</w:t>
      </w:r>
      <w:r>
        <w:rPr>
          <w:w w:val="100"/>
          <w:sz w:val="21"/>
        </w:rPr>
        <w:t>）</w:t>
      </w:r>
      <w:r>
        <w:rPr>
          <w:spacing w:val="-3"/>
          <w:w w:val="100"/>
          <w:sz w:val="21"/>
        </w:rPr>
        <w:t>发证机关为中国建筑业协会建筑安全分会；</w:t>
      </w:r>
      <w:r>
        <w:rPr>
          <w:w w:val="100"/>
          <w:sz w:val="21"/>
        </w:rPr>
        <w:t> </w:t>
      </w:r>
    </w:p>
    <w:p>
      <w:pPr>
        <w:pStyle w:val="ListParagraph"/>
        <w:numPr>
          <w:ilvl w:val="0"/>
          <w:numId w:val="53"/>
        </w:numPr>
        <w:tabs>
          <w:tab w:pos="1644" w:val="left" w:leader="none"/>
        </w:tabs>
        <w:spacing w:line="264" w:lineRule="exact" w:before="0" w:after="0"/>
        <w:ind w:left="1643" w:right="0" w:hanging="530"/>
        <w:jc w:val="left"/>
        <w:rPr>
          <w:sz w:val="21"/>
        </w:rPr>
      </w:pPr>
      <w:r>
        <w:rPr>
          <w:spacing w:val="-3"/>
          <w:sz w:val="21"/>
        </w:rPr>
        <w:t>中国安装工程优质奖</w:t>
      </w:r>
      <w:r>
        <w:rPr>
          <w:sz w:val="21"/>
        </w:rPr>
        <w:t>（</w:t>
      </w:r>
      <w:r>
        <w:rPr>
          <w:spacing w:val="-3"/>
          <w:sz w:val="21"/>
        </w:rPr>
        <w:t>中国安装之星</w:t>
      </w:r>
      <w:r>
        <w:rPr>
          <w:sz w:val="21"/>
        </w:rPr>
        <w:t>）</w:t>
      </w:r>
      <w:r>
        <w:rPr>
          <w:spacing w:val="-3"/>
          <w:sz w:val="21"/>
        </w:rPr>
        <w:t>发证机关为中国安装协会。 </w:t>
      </w:r>
    </w:p>
    <w:p>
      <w:pPr>
        <w:spacing w:after="0" w:line="264" w:lineRule="exact"/>
        <w:jc w:val="left"/>
        <w:rPr>
          <w:sz w:val="21"/>
        </w:rPr>
        <w:sectPr>
          <w:pgSz w:w="11910" w:h="16850"/>
          <w:pgMar w:header="0" w:footer="779" w:top="1440" w:bottom="960" w:left="1120" w:right="280"/>
        </w:sectPr>
      </w:pPr>
    </w:p>
    <w:p>
      <w:pPr>
        <w:pStyle w:val="ListParagraph"/>
        <w:numPr>
          <w:ilvl w:val="2"/>
          <w:numId w:val="49"/>
        </w:numPr>
        <w:tabs>
          <w:tab w:pos="1327" w:val="left" w:leader="none"/>
        </w:tabs>
        <w:spacing w:line="364" w:lineRule="auto" w:before="60" w:after="0"/>
        <w:ind w:left="678" w:right="1151" w:firstLine="436"/>
        <w:jc w:val="both"/>
        <w:rPr>
          <w:sz w:val="21"/>
        </w:rPr>
      </w:pPr>
      <w:r>
        <w:rPr>
          <w:spacing w:val="-1"/>
          <w:sz w:val="21"/>
        </w:rPr>
        <w:t>人员资格岗位、职称、业绩、奖项等评分须附相关有效证明材料的扫描件，相关证明材</w:t>
      </w:r>
      <w:r>
        <w:rPr>
          <w:spacing w:val="4"/>
          <w:sz w:val="21"/>
        </w:rPr>
        <w:t>料未通过广西建筑业企业诚信信息库审核的（</w:t>
      </w:r>
      <w:r>
        <w:rPr>
          <w:spacing w:val="3"/>
          <w:sz w:val="21"/>
        </w:rPr>
        <w:t>除在建项目以全国建筑市场监管公共服务平台</w:t>
      </w:r>
      <w:hyperlink r:id="rId19">
        <w:r>
          <w:rPr>
            <w:spacing w:val="1"/>
            <w:w w:val="99"/>
            <w:sz w:val="20"/>
          </w:rPr>
          <w:t>htt</w:t>
        </w:r>
        <w:r>
          <w:rPr>
            <w:spacing w:val="-2"/>
            <w:w w:val="99"/>
            <w:sz w:val="20"/>
          </w:rPr>
          <w:t>p</w:t>
        </w:r>
        <w:r>
          <w:rPr>
            <w:spacing w:val="1"/>
            <w:w w:val="99"/>
            <w:sz w:val="20"/>
          </w:rPr>
          <w:t>:/</w:t>
        </w:r>
        <w:r>
          <w:rPr>
            <w:spacing w:val="-2"/>
            <w:w w:val="99"/>
            <w:sz w:val="20"/>
          </w:rPr>
          <w:t>/</w:t>
        </w:r>
        <w:r>
          <w:rPr>
            <w:spacing w:val="1"/>
            <w:w w:val="99"/>
            <w:sz w:val="20"/>
          </w:rPr>
          <w:t>jz</w:t>
        </w:r>
        <w:r>
          <w:rPr>
            <w:spacing w:val="-2"/>
            <w:w w:val="99"/>
            <w:sz w:val="20"/>
          </w:rPr>
          <w:t>s</w:t>
        </w:r>
        <w:r>
          <w:rPr>
            <w:spacing w:val="1"/>
            <w:w w:val="99"/>
            <w:sz w:val="20"/>
          </w:rPr>
          <w:t>c.</w:t>
        </w:r>
        <w:r>
          <w:rPr>
            <w:spacing w:val="-2"/>
            <w:w w:val="99"/>
            <w:sz w:val="20"/>
          </w:rPr>
          <w:t>m</w:t>
        </w:r>
        <w:r>
          <w:rPr>
            <w:spacing w:val="1"/>
            <w:w w:val="99"/>
            <w:sz w:val="20"/>
          </w:rPr>
          <w:t>oh</w:t>
        </w:r>
        <w:r>
          <w:rPr>
            <w:spacing w:val="-2"/>
            <w:w w:val="99"/>
            <w:sz w:val="20"/>
          </w:rPr>
          <w:t>u</w:t>
        </w:r>
        <w:r>
          <w:rPr>
            <w:spacing w:val="1"/>
            <w:w w:val="99"/>
            <w:sz w:val="20"/>
          </w:rPr>
          <w:t>rd</w:t>
        </w:r>
        <w:r>
          <w:rPr>
            <w:spacing w:val="-2"/>
            <w:w w:val="99"/>
            <w:sz w:val="20"/>
          </w:rPr>
          <w:t>.</w:t>
        </w:r>
        <w:r>
          <w:rPr>
            <w:spacing w:val="1"/>
            <w:w w:val="99"/>
            <w:sz w:val="20"/>
          </w:rPr>
          <w:t>go</w:t>
        </w:r>
        <w:r>
          <w:rPr>
            <w:spacing w:val="-2"/>
            <w:w w:val="99"/>
            <w:sz w:val="20"/>
          </w:rPr>
          <w:t>v</w:t>
        </w:r>
        <w:r>
          <w:rPr>
            <w:spacing w:val="1"/>
            <w:w w:val="99"/>
            <w:sz w:val="20"/>
          </w:rPr>
          <w:t>.</w:t>
        </w:r>
        <w:r>
          <w:rPr>
            <w:spacing w:val="-2"/>
            <w:w w:val="99"/>
            <w:sz w:val="20"/>
          </w:rPr>
          <w:t>c</w:t>
        </w:r>
        <w:r>
          <w:rPr>
            <w:spacing w:val="1"/>
            <w:w w:val="99"/>
            <w:sz w:val="20"/>
          </w:rPr>
          <w:t>n/a</w:t>
        </w:r>
        <w:r>
          <w:rPr>
            <w:spacing w:val="-2"/>
            <w:w w:val="99"/>
            <w:sz w:val="20"/>
          </w:rPr>
          <w:t>s</w:t>
        </w:r>
        <w:r>
          <w:rPr>
            <w:spacing w:val="1"/>
            <w:w w:val="99"/>
            <w:sz w:val="20"/>
          </w:rPr>
          <w:t>it</w:t>
        </w:r>
        <w:r>
          <w:rPr>
            <w:spacing w:val="-2"/>
            <w:w w:val="99"/>
            <w:sz w:val="20"/>
          </w:rPr>
          <w:t>e</w:t>
        </w:r>
        <w:r>
          <w:rPr>
            <w:spacing w:val="1"/>
            <w:w w:val="99"/>
            <w:sz w:val="20"/>
          </w:rPr>
          <w:t>/j</w:t>
        </w:r>
        <w:r>
          <w:rPr>
            <w:spacing w:val="-2"/>
            <w:w w:val="99"/>
            <w:sz w:val="20"/>
          </w:rPr>
          <w:t>s</w:t>
        </w:r>
        <w:r>
          <w:rPr>
            <w:spacing w:val="1"/>
            <w:w w:val="99"/>
            <w:sz w:val="20"/>
          </w:rPr>
          <w:t>bp</w:t>
        </w:r>
        <w:r>
          <w:rPr>
            <w:spacing w:val="-2"/>
            <w:w w:val="99"/>
            <w:sz w:val="20"/>
          </w:rPr>
          <w:t>p</w:t>
        </w:r>
        <w:r>
          <w:rPr>
            <w:spacing w:val="1"/>
            <w:w w:val="99"/>
            <w:sz w:val="20"/>
          </w:rPr>
          <w:t>/i</w:t>
        </w:r>
        <w:r>
          <w:rPr>
            <w:spacing w:val="-2"/>
            <w:w w:val="99"/>
            <w:sz w:val="20"/>
          </w:rPr>
          <w:t>n</w:t>
        </w:r>
        <w:r>
          <w:rPr>
            <w:spacing w:val="1"/>
            <w:w w:val="99"/>
            <w:sz w:val="20"/>
          </w:rPr>
          <w:t>de</w:t>
        </w:r>
        <w:r>
          <w:rPr>
            <w:w w:val="99"/>
            <w:sz w:val="20"/>
          </w:rPr>
          <w:t>x</w:t>
        </w:r>
        <w:r>
          <w:rPr>
            <w:spacing w:val="-31"/>
            <w:sz w:val="20"/>
          </w:rPr>
          <w:t> </w:t>
        </w:r>
      </w:hyperlink>
      <w:r>
        <w:rPr>
          <w:spacing w:val="-2"/>
          <w:w w:val="100"/>
          <w:sz w:val="21"/>
        </w:rPr>
        <w:t>为准外</w:t>
      </w:r>
      <w:r>
        <w:rPr>
          <w:spacing w:val="-106"/>
          <w:w w:val="100"/>
          <w:sz w:val="21"/>
        </w:rPr>
        <w:t>）</w:t>
      </w:r>
      <w:r>
        <w:rPr>
          <w:spacing w:val="-3"/>
          <w:w w:val="100"/>
          <w:sz w:val="21"/>
        </w:rPr>
        <w:t>，在评审时不予承认；对于取得专业技</w:t>
      </w:r>
      <w:r>
        <w:rPr>
          <w:spacing w:val="-4"/>
          <w:sz w:val="21"/>
        </w:rPr>
        <w:t>术类职业资格的人员，可按照《广西壮族自治区人力资源和社会保障厅关于在部分职业领域建</w:t>
      </w:r>
      <w:r>
        <w:rPr>
          <w:spacing w:val="-8"/>
          <w:sz w:val="21"/>
        </w:rPr>
        <w:t>立职称与专业技术类职业资格对应关系的通知》</w:t>
      </w:r>
      <w:r>
        <w:rPr>
          <w:spacing w:val="-3"/>
          <w:sz w:val="21"/>
        </w:rPr>
        <w:t>（桂人社规〔</w:t>
      </w:r>
      <w:r>
        <w:rPr>
          <w:sz w:val="21"/>
        </w:rPr>
        <w:t>2019</w:t>
      </w:r>
      <w:r>
        <w:rPr>
          <w:spacing w:val="-3"/>
          <w:sz w:val="21"/>
        </w:rPr>
        <w:t>〕</w:t>
      </w:r>
      <w:r>
        <w:rPr>
          <w:sz w:val="21"/>
        </w:rPr>
        <w:t>5</w:t>
      </w:r>
      <w:r>
        <w:rPr>
          <w:spacing w:val="-7"/>
          <w:sz w:val="21"/>
        </w:rPr>
        <w:t> 号</w:t>
      </w:r>
      <w:r>
        <w:rPr>
          <w:sz w:val="21"/>
        </w:rPr>
        <w:t>）</w:t>
      </w:r>
      <w:r>
        <w:rPr>
          <w:spacing w:val="-3"/>
          <w:sz w:val="21"/>
        </w:rPr>
        <w:t>精神，认定其具备相应等级的职称。</w:t>
      </w:r>
      <w:r>
        <w:rPr>
          <w:sz w:val="21"/>
        </w:rPr>
        <w:t> </w:t>
      </w:r>
    </w:p>
    <w:p>
      <w:pPr>
        <w:pStyle w:val="ListParagraph"/>
        <w:numPr>
          <w:ilvl w:val="2"/>
          <w:numId w:val="49"/>
        </w:numPr>
        <w:tabs>
          <w:tab w:pos="1327" w:val="left" w:leader="none"/>
        </w:tabs>
        <w:spacing w:line="364" w:lineRule="auto" w:before="0" w:after="0"/>
        <w:ind w:left="678" w:right="1149" w:firstLine="436"/>
        <w:jc w:val="both"/>
        <w:rPr>
          <w:sz w:val="21"/>
        </w:rPr>
      </w:pPr>
      <w:r>
        <w:rPr>
          <w:spacing w:val="-3"/>
          <w:sz w:val="21"/>
        </w:rPr>
        <w:t>企业信誉实力的评标标准根据广西区建筑业企业诚信综合评价系统计取</w:t>
      </w:r>
      <w:r>
        <w:rPr>
          <w:spacing w:val="-29"/>
          <w:sz w:val="21"/>
        </w:rPr>
        <w:t>。【备注：</w:t>
      </w:r>
      <w:r>
        <w:rPr>
          <w:spacing w:val="-11"/>
          <w:sz w:val="21"/>
        </w:rPr>
        <w:t>1</w:t>
      </w:r>
      <w:r>
        <w:rPr>
          <w:spacing w:val="-24"/>
          <w:sz w:val="21"/>
        </w:rPr>
        <w:t>、各</w:t>
      </w:r>
      <w:r>
        <w:rPr>
          <w:sz w:val="21"/>
        </w:rPr>
        <w:t>设区市房屋建筑及市政基础设施工程招标时，企业信誉实力分由自治区级、市级两部分组成， </w:t>
      </w:r>
      <w:r>
        <w:rPr>
          <w:spacing w:val="-4"/>
          <w:sz w:val="21"/>
        </w:rPr>
        <w:t>其中区级的诚信综合评价分占 </w:t>
      </w:r>
      <w:r>
        <w:rPr>
          <w:sz w:val="21"/>
        </w:rPr>
        <w:t>70%～100</w:t>
      </w:r>
      <w:r>
        <w:rPr>
          <w:spacing w:val="-4"/>
          <w:sz w:val="21"/>
        </w:rPr>
        <w:t>%，设区市级诚信综合评价分占 </w:t>
      </w:r>
      <w:r>
        <w:rPr>
          <w:sz w:val="21"/>
        </w:rPr>
        <w:t>0～30%（</w:t>
      </w:r>
      <w:r>
        <w:rPr>
          <w:spacing w:val="-3"/>
          <w:sz w:val="21"/>
        </w:rPr>
        <w:t>具体权重由各</w:t>
      </w:r>
      <w:r>
        <w:rPr>
          <w:spacing w:val="-3"/>
          <w:w w:val="100"/>
          <w:sz w:val="21"/>
        </w:rPr>
        <w:t>设区市在比例范围内自行决定</w:t>
      </w:r>
      <w:r>
        <w:rPr>
          <w:spacing w:val="-108"/>
          <w:w w:val="100"/>
          <w:sz w:val="21"/>
        </w:rPr>
        <w:t>）</w:t>
      </w:r>
      <w:r>
        <w:rPr>
          <w:w w:val="100"/>
          <w:sz w:val="21"/>
        </w:rPr>
        <w:t>；2</w:t>
      </w:r>
      <w:r>
        <w:rPr>
          <w:spacing w:val="-3"/>
          <w:w w:val="100"/>
          <w:sz w:val="21"/>
        </w:rPr>
        <w:t>、原则上中型工程从</w:t>
      </w:r>
      <w:r>
        <w:rPr>
          <w:spacing w:val="-45"/>
          <w:sz w:val="21"/>
        </w:rPr>
        <w:t> </w:t>
      </w:r>
      <w:r>
        <w:rPr>
          <w:w w:val="100"/>
          <w:sz w:val="21"/>
        </w:rPr>
        <w:t>6</w:t>
      </w:r>
      <w:r>
        <w:rPr>
          <w:spacing w:val="-2"/>
          <w:w w:val="100"/>
          <w:sz w:val="21"/>
        </w:rPr>
        <w:t>%、</w:t>
      </w:r>
      <w:r>
        <w:rPr>
          <w:w w:val="100"/>
          <w:sz w:val="21"/>
        </w:rPr>
        <w:t>7</w:t>
      </w:r>
      <w:r>
        <w:rPr>
          <w:spacing w:val="-2"/>
          <w:w w:val="100"/>
          <w:sz w:val="21"/>
        </w:rPr>
        <w:t>%、</w:t>
      </w:r>
      <w:r>
        <w:rPr>
          <w:w w:val="100"/>
          <w:sz w:val="21"/>
        </w:rPr>
        <w:t>8</w:t>
      </w:r>
      <w:r>
        <w:rPr>
          <w:spacing w:val="-3"/>
          <w:w w:val="100"/>
          <w:sz w:val="21"/>
        </w:rPr>
        <w:t>%中抽取一个分值，大型工程</w:t>
      </w:r>
      <w:r>
        <w:rPr>
          <w:spacing w:val="-16"/>
          <w:sz w:val="21"/>
        </w:rPr>
        <w:t>从 </w:t>
      </w:r>
      <w:r>
        <w:rPr>
          <w:sz w:val="21"/>
        </w:rPr>
        <w:t>8</w:t>
      </w:r>
      <w:r>
        <w:rPr>
          <w:spacing w:val="-12"/>
          <w:sz w:val="21"/>
        </w:rPr>
        <w:t>%、</w:t>
      </w:r>
      <w:r>
        <w:rPr>
          <w:sz w:val="21"/>
        </w:rPr>
        <w:t>9</w:t>
      </w:r>
      <w:r>
        <w:rPr>
          <w:spacing w:val="-12"/>
          <w:sz w:val="21"/>
        </w:rPr>
        <w:t>%、</w:t>
      </w:r>
      <w:r>
        <w:rPr>
          <w:sz w:val="21"/>
        </w:rPr>
        <w:t>10</w:t>
      </w:r>
      <w:r>
        <w:rPr>
          <w:spacing w:val="-8"/>
          <w:sz w:val="21"/>
        </w:rPr>
        <w:t>%中抽取一个分值。联合体参与投标的，联合体的信誉实力分按联合体成员中信誉</w:t>
      </w:r>
      <w:r>
        <w:rPr>
          <w:spacing w:val="-14"/>
          <w:sz w:val="21"/>
        </w:rPr>
        <w:t>实力分最高的企业认定。】</w:t>
      </w:r>
      <w:r>
        <w:rPr>
          <w:sz w:val="21"/>
        </w:rPr>
        <w:t> </w:t>
      </w:r>
    </w:p>
    <w:p>
      <w:pPr>
        <w:pStyle w:val="BodyText"/>
        <w:spacing w:line="269" w:lineRule="exact"/>
        <w:ind w:left="1114"/>
        <w:jc w:val="both"/>
      </w:pPr>
      <w:r>
        <w:rPr>
          <w:w w:val="100"/>
        </w:rPr>
        <w:t>6</w:t>
      </w:r>
      <w:r>
        <w:rPr>
          <w:spacing w:val="-7"/>
          <w:w w:val="100"/>
        </w:rPr>
        <w:t>、综合评估法适用于</w:t>
      </w:r>
      <w:r>
        <w:rPr>
          <w:spacing w:val="-52"/>
        </w:rPr>
        <w:t> </w:t>
      </w:r>
      <w:r>
        <w:rPr>
          <w:w w:val="100"/>
        </w:rPr>
        <w:t>10</w:t>
      </w:r>
      <w:r>
        <w:rPr>
          <w:spacing w:val="-3"/>
          <w:w w:val="100"/>
        </w:rPr>
        <w:t>0</w:t>
      </w:r>
      <w:r>
        <w:rPr>
          <w:w w:val="100"/>
        </w:rPr>
        <w:t>0</w:t>
      </w:r>
      <w:r>
        <w:rPr>
          <w:spacing w:val="-53"/>
        </w:rPr>
        <w:t> </w:t>
      </w:r>
      <w:r>
        <w:rPr>
          <w:spacing w:val="-3"/>
          <w:w w:val="100"/>
        </w:rPr>
        <w:t>万元以上大中型项目</w:t>
      </w:r>
      <w:r>
        <w:rPr>
          <w:spacing w:val="-28"/>
          <w:w w:val="100"/>
        </w:rPr>
        <w:t>，“小型工程”、“中型工程”及“大型工程”</w:t>
      </w:r>
    </w:p>
    <w:p>
      <w:pPr>
        <w:pStyle w:val="BodyText"/>
        <w:spacing w:before="136"/>
      </w:pPr>
      <w:r>
        <w:rPr>
          <w:spacing w:val="-4"/>
        </w:rPr>
        <w:t>的规模按《注册建造师管理规定</w:t>
      </w:r>
      <w:r>
        <w:rPr>
          <w:spacing w:val="-120"/>
        </w:rPr>
        <w:t>》</w:t>
      </w:r>
      <w:r>
        <w:rPr>
          <w:spacing w:val="-3"/>
        </w:rPr>
        <w:t>（</w:t>
      </w:r>
      <w:r>
        <w:rPr>
          <w:spacing w:val="-8"/>
        </w:rPr>
        <w:t>建设部令第 </w:t>
      </w:r>
      <w:r>
        <w:rPr/>
        <w:t>153</w:t>
      </w:r>
      <w:r>
        <w:rPr>
          <w:spacing w:val="-8"/>
        </w:rPr>
        <w:t> 号)编制的《注册建造师执业工程规模标准》</w:t>
      </w:r>
    </w:p>
    <w:p>
      <w:pPr>
        <w:pStyle w:val="BodyText"/>
        <w:spacing w:before="139"/>
      </w:pPr>
      <w:r>
        <w:rPr/>
        <w:t>（试行）文件划分。 </w:t>
      </w:r>
    </w:p>
    <w:p>
      <w:pPr>
        <w:spacing w:before="139"/>
        <w:ind w:left="678" w:right="0" w:firstLine="0"/>
        <w:jc w:val="left"/>
        <w:rPr>
          <w:sz w:val="21"/>
        </w:rPr>
      </w:pPr>
      <w:r>
        <w:rPr>
          <w:color w:val="000080"/>
          <w:spacing w:val="1"/>
          <w:w w:val="99"/>
          <w:sz w:val="20"/>
        </w:rPr>
        <w:t> </w:t>
      </w:r>
      <w:r>
        <w:rPr>
          <w:color w:val="000080"/>
          <w:spacing w:val="-2"/>
          <w:w w:val="99"/>
          <w:sz w:val="20"/>
        </w:rPr>
        <w:t> </w:t>
      </w:r>
      <w:r>
        <w:rPr>
          <w:w w:val="100"/>
          <w:sz w:val="21"/>
        </w:rPr>
        <w:t> </w:t>
      </w:r>
    </w:p>
    <w:p>
      <w:pPr>
        <w:pStyle w:val="Heading1"/>
        <w:spacing w:line="669" w:lineRule="exact"/>
      </w:pPr>
      <w:bookmarkStart w:name="评标办法（综合评估法）正文部分" w:id="210"/>
      <w:bookmarkEnd w:id="210"/>
      <w:r>
        <w:rPr>
          <w:b w:val="0"/>
        </w:rPr>
      </w:r>
      <w:bookmarkStart w:name="_bookmark75" w:id="211"/>
      <w:bookmarkEnd w:id="211"/>
      <w:r>
        <w:rPr>
          <w:b w:val="0"/>
        </w:rPr>
      </w:r>
      <w:r>
        <w:rPr/>
        <w:t>评标办法（综合评估法）正文部分</w:t>
      </w:r>
      <w:r>
        <w:rPr>
          <w:w w:val="199"/>
        </w:rPr>
        <w:t> </w:t>
      </w:r>
    </w:p>
    <w:p>
      <w:pPr>
        <w:pStyle w:val="BodyText"/>
        <w:spacing w:line="248" w:lineRule="exact" w:before="190"/>
      </w:pPr>
      <w:r>
        <w:rPr>
          <w:w w:val="100"/>
        </w:rPr>
        <w:t> </w:t>
      </w:r>
    </w:p>
    <w:p>
      <w:pPr>
        <w:pStyle w:val="Heading2"/>
        <w:spacing w:line="567" w:lineRule="exact"/>
        <w:ind w:left="678"/>
      </w:pPr>
      <w:bookmarkStart w:name="1 评标方法" w:id="212"/>
      <w:bookmarkEnd w:id="212"/>
      <w:r>
        <w:rPr>
          <w:b w:val="0"/>
        </w:rPr>
      </w:r>
      <w:bookmarkStart w:name="_bookmark76" w:id="213"/>
      <w:bookmarkEnd w:id="213"/>
      <w:r>
        <w:rPr>
          <w:b w:val="0"/>
        </w:rPr>
      </w:r>
      <w:r>
        <w:rPr>
          <w:w w:val="105"/>
        </w:rPr>
        <w:t>1 评标方法</w:t>
      </w:r>
      <w:r>
        <w:rPr>
          <w:w w:val="199"/>
        </w:rPr>
        <w:t> </w:t>
      </w:r>
    </w:p>
    <w:p>
      <w:pPr>
        <w:pStyle w:val="BodyText"/>
        <w:spacing w:before="16"/>
        <w:ind w:left="0"/>
        <w:rPr>
          <w:rFonts w:ascii="Microsoft JhengHei"/>
          <w:b/>
          <w:sz w:val="15"/>
        </w:rPr>
      </w:pPr>
    </w:p>
    <w:p>
      <w:pPr>
        <w:pStyle w:val="BodyText"/>
        <w:spacing w:line="364" w:lineRule="auto"/>
        <w:ind w:right="1045" w:firstLine="419"/>
      </w:pPr>
      <w:r>
        <w:rPr/>
        <w:t>本次评标采用综合评估法。评标委员会对满足招标文件实质性要求的投标文件，按照本章</w:t>
      </w:r>
      <w:r>
        <w:rPr>
          <w:spacing w:val="-7"/>
        </w:rPr>
        <w:t>“评标办法前附表”第 </w:t>
      </w:r>
      <w:r>
        <w:rPr/>
        <w:t>2.1</w:t>
      </w:r>
      <w:r>
        <w:rPr>
          <w:spacing w:val="-22"/>
        </w:rPr>
        <w:t>、</w:t>
      </w:r>
      <w:r>
        <w:rPr/>
        <w:t>2.2</w:t>
      </w:r>
      <w:r>
        <w:rPr>
          <w:spacing w:val="-10"/>
        </w:rPr>
        <w:t> 款规定的评分标准进行打分，并按综合得分由高到低顺序推荐中标候选人，或根据招标人授权直接确定中标人，但投标报价低于其成本的除外。综合评分相等时，以投标报价低的优先；投标价也相等时，以企业信誉实力分高的优先；企业信誉实力分</w:t>
      </w:r>
      <w:r>
        <w:rPr>
          <w:spacing w:val="-9"/>
        </w:rPr>
        <w:t>也相等的，以企业用于该项工程投标的资质高的优先；企业用于该项工程投标的资质也相等的， </w:t>
      </w:r>
      <w:r>
        <w:rPr>
          <w:spacing w:val="-5"/>
        </w:rPr>
        <w:t>以技术标得分高的优先；技术标得分也相等的，由评标委员会采用记名投票方式确定。</w:t>
      </w:r>
      <w:r>
        <w:rPr/>
        <w:t> </w:t>
      </w:r>
    </w:p>
    <w:p>
      <w:pPr>
        <w:pStyle w:val="Heading2"/>
        <w:spacing w:line="540" w:lineRule="exact"/>
        <w:ind w:left="678"/>
      </w:pPr>
      <w:bookmarkStart w:name="2 评审标准" w:id="214"/>
      <w:bookmarkEnd w:id="214"/>
      <w:r>
        <w:rPr>
          <w:b w:val="0"/>
        </w:rPr>
      </w:r>
      <w:bookmarkStart w:name="_bookmark77" w:id="215"/>
      <w:bookmarkEnd w:id="215"/>
      <w:r>
        <w:rPr>
          <w:b w:val="0"/>
        </w:rPr>
      </w:r>
      <w:r>
        <w:rPr>
          <w:w w:val="105"/>
        </w:rPr>
        <w:t>2 评审标准</w:t>
      </w:r>
      <w:r>
        <w:rPr>
          <w:w w:val="199"/>
        </w:rPr>
        <w:t> </w:t>
      </w:r>
    </w:p>
    <w:p>
      <w:pPr>
        <w:pStyle w:val="ListParagraph"/>
        <w:numPr>
          <w:ilvl w:val="1"/>
          <w:numId w:val="54"/>
        </w:numPr>
        <w:tabs>
          <w:tab w:pos="1582" w:val="left" w:leader="none"/>
        </w:tabs>
        <w:spacing w:line="240" w:lineRule="auto" w:before="187" w:after="0"/>
        <w:ind w:left="1581" w:right="0" w:hanging="484"/>
        <w:jc w:val="left"/>
        <w:rPr>
          <w:rFonts w:ascii="Microsoft JhengHei" w:eastAsia="Microsoft JhengHei" w:hint="eastAsia"/>
          <w:b/>
          <w:sz w:val="32"/>
        </w:rPr>
      </w:pPr>
      <w:bookmarkStart w:name="2.1 初步评审标准" w:id="216"/>
      <w:bookmarkEnd w:id="216"/>
      <w:r>
        <w:rPr/>
      </w:r>
      <w:bookmarkStart w:name="_bookmark78" w:id="217"/>
      <w:bookmarkEnd w:id="217"/>
      <w:r>
        <w:rPr/>
      </w:r>
      <w:bookmarkStart w:name="_bookmark78" w:id="218"/>
      <w:bookmarkEnd w:id="218"/>
      <w:r>
        <w:rPr>
          <w:rFonts w:ascii="Microsoft JhengHei" w:eastAsia="Microsoft JhengHei" w:hint="eastAsia"/>
          <w:b/>
          <w:sz w:val="32"/>
        </w:rPr>
        <w:t>初步评审标准</w:t>
      </w:r>
      <w:r>
        <w:rPr>
          <w:rFonts w:ascii="Microsoft JhengHei" w:eastAsia="Microsoft JhengHei" w:hint="eastAsia"/>
          <w:b/>
          <w:w w:val="199"/>
          <w:sz w:val="32"/>
        </w:rPr>
        <w:t> </w:t>
      </w:r>
    </w:p>
    <w:p>
      <w:pPr>
        <w:pStyle w:val="ListParagraph"/>
        <w:numPr>
          <w:ilvl w:val="2"/>
          <w:numId w:val="54"/>
        </w:numPr>
        <w:tabs>
          <w:tab w:pos="1627" w:val="left" w:leader="none"/>
        </w:tabs>
        <w:spacing w:line="364" w:lineRule="auto" w:before="141" w:after="0"/>
        <w:ind w:left="678" w:right="1152" w:firstLine="419"/>
        <w:jc w:val="both"/>
        <w:rPr>
          <w:sz w:val="21"/>
        </w:rPr>
      </w:pPr>
      <w:r>
        <w:rPr>
          <w:spacing w:val="-1"/>
          <w:sz w:val="21"/>
        </w:rPr>
        <w:t>资格评审标准：见“评标办法前附表”。所有在投标截止时间前提交投标文件的投标人均有资格参加资格评审。企业获奖情况中所有奖项均以广西建筑业企业诚信信息库记录内</w:t>
      </w:r>
      <w:r>
        <w:rPr>
          <w:spacing w:val="-3"/>
          <w:sz w:val="21"/>
        </w:rPr>
        <w:t>容为准，不录入诚信信息库的，视为自动放弃加分。 </w:t>
      </w:r>
    </w:p>
    <w:p>
      <w:pPr>
        <w:pStyle w:val="ListParagraph"/>
        <w:numPr>
          <w:ilvl w:val="2"/>
          <w:numId w:val="54"/>
        </w:numPr>
        <w:tabs>
          <w:tab w:pos="1627" w:val="left" w:leader="none"/>
        </w:tabs>
        <w:spacing w:line="266" w:lineRule="exact" w:before="0" w:after="0"/>
        <w:ind w:left="1627" w:right="0" w:hanging="529"/>
        <w:jc w:val="left"/>
        <w:rPr>
          <w:sz w:val="21"/>
        </w:rPr>
      </w:pPr>
      <w:r>
        <w:rPr>
          <w:spacing w:val="-3"/>
          <w:sz w:val="21"/>
        </w:rPr>
        <w:t>形式评审标准：见“评标办法前附表”。</w:t>
      </w:r>
      <w:r>
        <w:rPr>
          <w:sz w:val="21"/>
        </w:rPr>
        <w:t> </w:t>
      </w:r>
    </w:p>
    <w:p>
      <w:pPr>
        <w:spacing w:after="0" w:line="266" w:lineRule="exact"/>
        <w:jc w:val="left"/>
        <w:rPr>
          <w:sz w:val="21"/>
        </w:rPr>
        <w:sectPr>
          <w:pgSz w:w="11910" w:h="16850"/>
          <w:pgMar w:header="0" w:footer="779" w:top="1380" w:bottom="1040" w:left="1120" w:right="280"/>
        </w:sectPr>
      </w:pPr>
    </w:p>
    <w:p>
      <w:pPr>
        <w:pStyle w:val="ListParagraph"/>
        <w:numPr>
          <w:ilvl w:val="2"/>
          <w:numId w:val="54"/>
        </w:numPr>
        <w:tabs>
          <w:tab w:pos="1627" w:val="left" w:leader="none"/>
        </w:tabs>
        <w:spacing w:line="240" w:lineRule="auto" w:before="60" w:after="0"/>
        <w:ind w:left="1627" w:right="0" w:hanging="529"/>
        <w:jc w:val="left"/>
        <w:rPr>
          <w:sz w:val="21"/>
        </w:rPr>
      </w:pPr>
      <w:r>
        <w:rPr>
          <w:spacing w:val="-3"/>
          <w:sz w:val="21"/>
        </w:rPr>
        <w:t>响应性评审标准：见“评标办法前附表”。</w:t>
      </w:r>
      <w:r>
        <w:rPr>
          <w:sz w:val="21"/>
        </w:rPr>
        <w:t> </w:t>
      </w:r>
    </w:p>
    <w:p>
      <w:pPr>
        <w:pStyle w:val="Heading2"/>
        <w:numPr>
          <w:ilvl w:val="1"/>
          <w:numId w:val="54"/>
        </w:numPr>
        <w:tabs>
          <w:tab w:pos="1582" w:val="left" w:leader="none"/>
        </w:tabs>
        <w:spacing w:line="240" w:lineRule="auto" w:before="34" w:after="0"/>
        <w:ind w:left="1581" w:right="0" w:hanging="484"/>
        <w:jc w:val="left"/>
      </w:pPr>
      <w:bookmarkStart w:name="2.2 详细评审标准" w:id="219"/>
      <w:bookmarkEnd w:id="219"/>
      <w:r>
        <w:rPr>
          <w:b w:val="0"/>
        </w:rPr>
      </w:r>
      <w:bookmarkStart w:name="_bookmark79" w:id="220"/>
      <w:bookmarkEnd w:id="220"/>
      <w:r>
        <w:rPr>
          <w:b w:val="0"/>
        </w:rPr>
      </w:r>
      <w:bookmarkStart w:name="_bookmark79" w:id="221"/>
      <w:bookmarkEnd w:id="221"/>
      <w:r>
        <w:rPr/>
        <w:t>详细评审标准</w:t>
      </w:r>
      <w:r>
        <w:rPr>
          <w:w w:val="199"/>
        </w:rPr>
        <w:t> </w:t>
      </w:r>
    </w:p>
    <w:p>
      <w:pPr>
        <w:pStyle w:val="ListParagraph"/>
        <w:numPr>
          <w:ilvl w:val="2"/>
          <w:numId w:val="54"/>
        </w:numPr>
        <w:tabs>
          <w:tab w:pos="1627" w:val="left" w:leader="none"/>
        </w:tabs>
        <w:spacing w:line="240" w:lineRule="auto" w:before="141" w:after="0"/>
        <w:ind w:left="1627" w:right="0" w:hanging="529"/>
        <w:jc w:val="left"/>
        <w:rPr>
          <w:sz w:val="21"/>
        </w:rPr>
      </w:pPr>
      <w:r>
        <w:rPr>
          <w:spacing w:val="-3"/>
          <w:sz w:val="21"/>
        </w:rPr>
        <w:t>分值构成：见“评标办法前附表”。</w:t>
      </w:r>
      <w:r>
        <w:rPr>
          <w:sz w:val="21"/>
        </w:rPr>
        <w:t> </w:t>
      </w:r>
    </w:p>
    <w:p>
      <w:pPr>
        <w:pStyle w:val="ListParagraph"/>
        <w:numPr>
          <w:ilvl w:val="2"/>
          <w:numId w:val="54"/>
        </w:numPr>
        <w:tabs>
          <w:tab w:pos="1627" w:val="left" w:leader="none"/>
        </w:tabs>
        <w:spacing w:line="240" w:lineRule="auto" w:before="139" w:after="0"/>
        <w:ind w:left="1627" w:right="0" w:hanging="529"/>
        <w:jc w:val="left"/>
        <w:rPr>
          <w:sz w:val="21"/>
        </w:rPr>
      </w:pPr>
      <w:r>
        <w:rPr>
          <w:spacing w:val="-3"/>
          <w:sz w:val="21"/>
        </w:rPr>
        <w:t>评分标准</w:t>
      </w:r>
      <w:r>
        <w:rPr>
          <w:sz w:val="21"/>
        </w:rPr>
        <w:t> </w:t>
      </w:r>
    </w:p>
    <w:p>
      <w:pPr>
        <w:pStyle w:val="ListParagraph"/>
        <w:numPr>
          <w:ilvl w:val="0"/>
          <w:numId w:val="55"/>
        </w:numPr>
        <w:tabs>
          <w:tab w:pos="1627" w:val="left" w:leader="none"/>
        </w:tabs>
        <w:spacing w:line="240" w:lineRule="auto" w:before="139" w:after="0"/>
        <w:ind w:left="1627" w:right="0" w:hanging="529"/>
        <w:jc w:val="left"/>
        <w:rPr>
          <w:sz w:val="21"/>
        </w:rPr>
      </w:pPr>
      <w:r>
        <w:rPr>
          <w:spacing w:val="-3"/>
          <w:sz w:val="21"/>
        </w:rPr>
        <w:t>技术标评分标准：见“评标办法前附表”。</w:t>
      </w:r>
      <w:r>
        <w:rPr>
          <w:sz w:val="21"/>
        </w:rPr>
        <w:t> </w:t>
      </w:r>
    </w:p>
    <w:p>
      <w:pPr>
        <w:pStyle w:val="ListParagraph"/>
        <w:numPr>
          <w:ilvl w:val="0"/>
          <w:numId w:val="55"/>
        </w:numPr>
        <w:tabs>
          <w:tab w:pos="1627" w:val="left" w:leader="none"/>
        </w:tabs>
        <w:spacing w:line="240" w:lineRule="auto" w:before="139" w:after="0"/>
        <w:ind w:left="1627" w:right="0" w:hanging="529"/>
        <w:jc w:val="left"/>
        <w:rPr>
          <w:sz w:val="21"/>
        </w:rPr>
      </w:pPr>
      <w:r>
        <w:rPr>
          <w:spacing w:val="-3"/>
          <w:sz w:val="21"/>
        </w:rPr>
        <w:t>评标基准价计算方法：见“评标办法前附表”。 </w:t>
      </w:r>
    </w:p>
    <w:p>
      <w:pPr>
        <w:pStyle w:val="ListParagraph"/>
        <w:numPr>
          <w:ilvl w:val="0"/>
          <w:numId w:val="55"/>
        </w:numPr>
        <w:tabs>
          <w:tab w:pos="1627" w:val="left" w:leader="none"/>
        </w:tabs>
        <w:spacing w:line="240" w:lineRule="auto" w:before="139" w:after="0"/>
        <w:ind w:left="1627" w:right="0" w:hanging="529"/>
        <w:jc w:val="left"/>
        <w:rPr>
          <w:sz w:val="21"/>
        </w:rPr>
      </w:pPr>
      <w:r>
        <w:rPr>
          <w:spacing w:val="-3"/>
          <w:sz w:val="21"/>
        </w:rPr>
        <w:t>报价分评分标准：见“评标办法前附表”。</w:t>
      </w:r>
      <w:r>
        <w:rPr>
          <w:sz w:val="21"/>
        </w:rPr>
        <w:t> </w:t>
      </w:r>
    </w:p>
    <w:p>
      <w:pPr>
        <w:pStyle w:val="ListParagraph"/>
        <w:numPr>
          <w:ilvl w:val="0"/>
          <w:numId w:val="55"/>
        </w:numPr>
        <w:tabs>
          <w:tab w:pos="1627" w:val="left" w:leader="none"/>
        </w:tabs>
        <w:spacing w:line="240" w:lineRule="auto" w:before="141" w:after="0"/>
        <w:ind w:left="1627" w:right="0" w:hanging="529"/>
        <w:jc w:val="left"/>
        <w:rPr>
          <w:sz w:val="21"/>
        </w:rPr>
      </w:pPr>
      <w:r>
        <w:rPr>
          <w:spacing w:val="-3"/>
          <w:sz w:val="21"/>
        </w:rPr>
        <w:t>企业信誉实力分评分标准：见“评标办法前附表”。</w:t>
      </w:r>
      <w:r>
        <w:rPr>
          <w:sz w:val="21"/>
        </w:rPr>
        <w:t> </w:t>
      </w:r>
    </w:p>
    <w:p>
      <w:pPr>
        <w:pStyle w:val="Heading2"/>
        <w:spacing w:before="92"/>
        <w:ind w:left="678"/>
      </w:pPr>
      <w:bookmarkStart w:name="3 评标程序" w:id="222"/>
      <w:bookmarkEnd w:id="222"/>
      <w:r>
        <w:rPr>
          <w:b w:val="0"/>
        </w:rPr>
      </w:r>
      <w:bookmarkStart w:name="_bookmark80" w:id="223"/>
      <w:bookmarkEnd w:id="223"/>
      <w:r>
        <w:rPr>
          <w:b w:val="0"/>
        </w:rPr>
      </w:r>
      <w:r>
        <w:rPr>
          <w:w w:val="105"/>
        </w:rPr>
        <w:t>3 评标程序</w:t>
      </w:r>
      <w:r>
        <w:rPr>
          <w:w w:val="199"/>
        </w:rPr>
        <w:t> </w:t>
      </w:r>
    </w:p>
    <w:p>
      <w:pPr>
        <w:pStyle w:val="ListParagraph"/>
        <w:numPr>
          <w:ilvl w:val="1"/>
          <w:numId w:val="56"/>
        </w:numPr>
        <w:tabs>
          <w:tab w:pos="1582" w:val="left" w:leader="none"/>
        </w:tabs>
        <w:spacing w:line="240" w:lineRule="auto" w:before="187" w:after="0"/>
        <w:ind w:left="1581" w:right="0" w:hanging="484"/>
        <w:jc w:val="left"/>
        <w:rPr>
          <w:rFonts w:ascii="Microsoft JhengHei" w:eastAsia="Microsoft JhengHei" w:hint="eastAsia"/>
          <w:b/>
          <w:sz w:val="32"/>
        </w:rPr>
      </w:pPr>
      <w:bookmarkStart w:name="3.1 初步评审" w:id="224"/>
      <w:bookmarkEnd w:id="224"/>
      <w:r>
        <w:rPr/>
      </w:r>
      <w:bookmarkStart w:name="_bookmark81" w:id="225"/>
      <w:bookmarkEnd w:id="225"/>
      <w:r>
        <w:rPr/>
      </w:r>
      <w:bookmarkStart w:name="_bookmark81" w:id="226"/>
      <w:bookmarkEnd w:id="226"/>
      <w:r>
        <w:rPr>
          <w:rFonts w:ascii="Microsoft JhengHei" w:eastAsia="Microsoft JhengHei" w:hint="eastAsia"/>
          <w:b/>
          <w:sz w:val="32"/>
        </w:rPr>
        <w:t>初步评审</w:t>
      </w:r>
      <w:r>
        <w:rPr>
          <w:rFonts w:ascii="Microsoft JhengHei" w:eastAsia="Microsoft JhengHei" w:hint="eastAsia"/>
          <w:b/>
          <w:w w:val="199"/>
          <w:sz w:val="32"/>
        </w:rPr>
        <w:t> </w:t>
      </w:r>
    </w:p>
    <w:p>
      <w:pPr>
        <w:pStyle w:val="ListParagraph"/>
        <w:numPr>
          <w:ilvl w:val="2"/>
          <w:numId w:val="56"/>
        </w:numPr>
        <w:tabs>
          <w:tab w:pos="1627" w:val="left" w:leader="none"/>
        </w:tabs>
        <w:spacing w:line="364" w:lineRule="auto" w:before="141" w:after="0"/>
        <w:ind w:left="678" w:right="1148" w:firstLine="419"/>
        <w:jc w:val="left"/>
        <w:rPr>
          <w:sz w:val="21"/>
        </w:rPr>
      </w:pPr>
      <w:r>
        <w:rPr>
          <w:spacing w:val="-4"/>
          <w:sz w:val="21"/>
        </w:rPr>
        <w:t>评标委员会依据本章第 </w:t>
      </w:r>
      <w:r>
        <w:rPr>
          <w:sz w:val="21"/>
        </w:rPr>
        <w:t>2.1</w:t>
      </w:r>
      <w:r>
        <w:rPr>
          <w:spacing w:val="-5"/>
          <w:sz w:val="21"/>
        </w:rPr>
        <w:t> 款规定的标准对投标文件进行初步评审。有一项不符合</w:t>
      </w:r>
      <w:r>
        <w:rPr>
          <w:spacing w:val="-4"/>
          <w:sz w:val="21"/>
        </w:rPr>
        <w:t>评审标准的，作否决投标处理。</w:t>
      </w:r>
      <w:r>
        <w:rPr>
          <w:sz w:val="21"/>
        </w:rPr>
        <w:t> </w:t>
      </w:r>
    </w:p>
    <w:p>
      <w:pPr>
        <w:pStyle w:val="ListParagraph"/>
        <w:numPr>
          <w:ilvl w:val="2"/>
          <w:numId w:val="56"/>
        </w:numPr>
        <w:tabs>
          <w:tab w:pos="1627" w:val="left" w:leader="none"/>
        </w:tabs>
        <w:spacing w:line="267" w:lineRule="exact" w:before="0" w:after="0"/>
        <w:ind w:left="1627" w:right="0" w:hanging="529"/>
        <w:jc w:val="left"/>
        <w:rPr>
          <w:sz w:val="21"/>
        </w:rPr>
      </w:pPr>
      <w:r>
        <w:rPr>
          <w:spacing w:val="-3"/>
          <w:sz w:val="21"/>
        </w:rPr>
        <w:t>投标人有以下情形之一的，其投标作否决投标处理：</w:t>
      </w:r>
      <w:r>
        <w:rPr>
          <w:sz w:val="21"/>
        </w:rPr>
        <w:t> </w:t>
      </w:r>
    </w:p>
    <w:p>
      <w:pPr>
        <w:pStyle w:val="ListParagraph"/>
        <w:numPr>
          <w:ilvl w:val="0"/>
          <w:numId w:val="57"/>
        </w:numPr>
        <w:tabs>
          <w:tab w:pos="1627" w:val="left" w:leader="none"/>
        </w:tabs>
        <w:spacing w:line="240" w:lineRule="auto" w:before="138" w:after="0"/>
        <w:ind w:left="1627" w:right="0" w:hanging="529"/>
        <w:jc w:val="left"/>
        <w:rPr>
          <w:sz w:val="21"/>
        </w:rPr>
      </w:pPr>
      <w:r>
        <w:rPr>
          <w:spacing w:val="-8"/>
          <w:sz w:val="21"/>
        </w:rPr>
        <w:t>第二章“投标人须知”第 </w:t>
      </w:r>
      <w:r>
        <w:rPr>
          <w:sz w:val="21"/>
        </w:rPr>
        <w:t>1.4.3</w:t>
      </w:r>
      <w:r>
        <w:rPr>
          <w:spacing w:val="-3"/>
          <w:sz w:val="21"/>
        </w:rPr>
        <w:t> 项规定的任何一种情形的：</w:t>
      </w:r>
      <w:r>
        <w:rPr>
          <w:sz w:val="21"/>
        </w:rPr>
        <w:t> </w:t>
      </w:r>
    </w:p>
    <w:p>
      <w:pPr>
        <w:pStyle w:val="ListParagraph"/>
        <w:numPr>
          <w:ilvl w:val="0"/>
          <w:numId w:val="57"/>
        </w:numPr>
        <w:tabs>
          <w:tab w:pos="1627" w:val="left" w:leader="none"/>
        </w:tabs>
        <w:spacing w:line="240" w:lineRule="auto" w:before="142" w:after="0"/>
        <w:ind w:left="1627" w:right="0" w:hanging="529"/>
        <w:jc w:val="left"/>
        <w:rPr>
          <w:sz w:val="21"/>
        </w:rPr>
      </w:pPr>
      <w:r>
        <w:rPr>
          <w:spacing w:val="-3"/>
          <w:sz w:val="21"/>
        </w:rPr>
        <w:t>串通投标或弄虚作假或有其他违法行为的；</w:t>
      </w:r>
      <w:r>
        <w:rPr>
          <w:sz w:val="21"/>
        </w:rPr>
        <w:t> </w:t>
      </w:r>
    </w:p>
    <w:p>
      <w:pPr>
        <w:pStyle w:val="ListParagraph"/>
        <w:numPr>
          <w:ilvl w:val="0"/>
          <w:numId w:val="57"/>
        </w:numPr>
        <w:tabs>
          <w:tab w:pos="1627" w:val="left" w:leader="none"/>
        </w:tabs>
        <w:spacing w:line="240" w:lineRule="auto" w:before="139" w:after="0"/>
        <w:ind w:left="1627" w:right="0" w:hanging="529"/>
        <w:jc w:val="left"/>
        <w:rPr>
          <w:sz w:val="21"/>
        </w:rPr>
      </w:pPr>
      <w:r>
        <w:rPr>
          <w:spacing w:val="-3"/>
          <w:sz w:val="21"/>
        </w:rPr>
        <w:t>不按评标委员会要求澄清、说明或补正的。</w:t>
      </w:r>
      <w:r>
        <w:rPr>
          <w:sz w:val="21"/>
        </w:rPr>
        <w:t> </w:t>
      </w:r>
    </w:p>
    <w:p>
      <w:pPr>
        <w:pStyle w:val="ListParagraph"/>
        <w:numPr>
          <w:ilvl w:val="2"/>
          <w:numId w:val="56"/>
        </w:numPr>
        <w:tabs>
          <w:tab w:pos="1627" w:val="left" w:leader="none"/>
        </w:tabs>
        <w:spacing w:line="364" w:lineRule="auto" w:before="139" w:after="0"/>
        <w:ind w:left="678" w:right="1153" w:firstLine="419"/>
        <w:jc w:val="left"/>
        <w:rPr>
          <w:sz w:val="21"/>
        </w:rPr>
      </w:pPr>
      <w:r>
        <w:rPr>
          <w:spacing w:val="-1"/>
          <w:sz w:val="21"/>
        </w:rPr>
        <w:t>投标报价有算术错误的，评标委员会按以下原则对投标报价进行修正，修正的价格</w:t>
      </w:r>
      <w:r>
        <w:rPr>
          <w:spacing w:val="-3"/>
          <w:sz w:val="21"/>
        </w:rPr>
        <w:t>经投标人书面确认后具有约束力。投标人不接受修正价格的，其投标作否决投标处理。</w:t>
      </w:r>
      <w:r>
        <w:rPr>
          <w:sz w:val="21"/>
        </w:rPr>
        <w:t> </w:t>
      </w:r>
    </w:p>
    <w:p>
      <w:pPr>
        <w:pStyle w:val="ListParagraph"/>
        <w:numPr>
          <w:ilvl w:val="0"/>
          <w:numId w:val="58"/>
        </w:numPr>
        <w:tabs>
          <w:tab w:pos="1627" w:val="left" w:leader="none"/>
        </w:tabs>
        <w:spacing w:line="240" w:lineRule="auto" w:before="1" w:after="0"/>
        <w:ind w:left="1627" w:right="0" w:hanging="529"/>
        <w:jc w:val="left"/>
        <w:rPr>
          <w:sz w:val="21"/>
        </w:rPr>
      </w:pPr>
      <w:r>
        <w:rPr>
          <w:spacing w:val="-3"/>
          <w:sz w:val="21"/>
        </w:rPr>
        <w:t>投标文件中的大写金额与小写金额不一致的，以大写金额为准；</w:t>
      </w:r>
      <w:r>
        <w:rPr>
          <w:sz w:val="21"/>
        </w:rPr>
        <w:t> </w:t>
      </w:r>
    </w:p>
    <w:p>
      <w:pPr>
        <w:pStyle w:val="ListParagraph"/>
        <w:numPr>
          <w:ilvl w:val="0"/>
          <w:numId w:val="58"/>
        </w:numPr>
        <w:tabs>
          <w:tab w:pos="1627" w:val="left" w:leader="none"/>
        </w:tabs>
        <w:spacing w:line="364" w:lineRule="auto" w:before="138" w:after="0"/>
        <w:ind w:left="678" w:right="1151" w:firstLine="419"/>
        <w:jc w:val="left"/>
        <w:rPr>
          <w:sz w:val="21"/>
        </w:rPr>
      </w:pPr>
      <w:r>
        <w:rPr>
          <w:spacing w:val="-5"/>
          <w:sz w:val="21"/>
        </w:rPr>
        <w:t>总价金额与依据单价计算出的结果不一致的，以单价金额为准修正总价，但单价金额</w:t>
      </w:r>
      <w:r>
        <w:rPr>
          <w:spacing w:val="-4"/>
          <w:sz w:val="21"/>
        </w:rPr>
        <w:t>小数点有明显错误的除外。 </w:t>
      </w:r>
    </w:p>
    <w:p>
      <w:pPr>
        <w:pStyle w:val="Heading2"/>
        <w:numPr>
          <w:ilvl w:val="1"/>
          <w:numId w:val="56"/>
        </w:numPr>
        <w:tabs>
          <w:tab w:pos="1582" w:val="left" w:leader="none"/>
        </w:tabs>
        <w:spacing w:line="481" w:lineRule="exact" w:before="0" w:after="0"/>
        <w:ind w:left="1581" w:right="0" w:hanging="484"/>
        <w:jc w:val="left"/>
      </w:pPr>
      <w:bookmarkStart w:name="3.2 详细评审" w:id="227"/>
      <w:bookmarkEnd w:id="227"/>
      <w:r>
        <w:rPr>
          <w:b w:val="0"/>
        </w:rPr>
      </w:r>
      <w:bookmarkStart w:name="_bookmark82" w:id="228"/>
      <w:bookmarkEnd w:id="228"/>
      <w:r>
        <w:rPr>
          <w:b w:val="0"/>
        </w:rPr>
      </w:r>
      <w:bookmarkStart w:name="_bookmark82" w:id="229"/>
      <w:bookmarkEnd w:id="229"/>
      <w:r>
        <w:rPr/>
        <w:t>详细评审</w:t>
      </w:r>
      <w:r>
        <w:rPr>
          <w:w w:val="199"/>
        </w:rPr>
        <w:t> </w:t>
      </w:r>
    </w:p>
    <w:p>
      <w:pPr>
        <w:pStyle w:val="ListParagraph"/>
        <w:numPr>
          <w:ilvl w:val="2"/>
          <w:numId w:val="56"/>
        </w:numPr>
        <w:tabs>
          <w:tab w:pos="1627" w:val="left" w:leader="none"/>
        </w:tabs>
        <w:spacing w:line="364" w:lineRule="auto" w:before="141" w:after="0"/>
        <w:ind w:left="678" w:right="1045" w:firstLine="419"/>
        <w:jc w:val="left"/>
        <w:rPr>
          <w:sz w:val="21"/>
        </w:rPr>
      </w:pPr>
      <w:r>
        <w:rPr>
          <w:spacing w:val="-2"/>
          <w:sz w:val="21"/>
        </w:rPr>
        <w:t>评标委员会按照本章“评标办法前附表”第</w:t>
      </w:r>
      <w:r>
        <w:rPr>
          <w:sz w:val="21"/>
        </w:rPr>
        <w:t>2.2</w:t>
      </w:r>
      <w:r>
        <w:rPr>
          <w:spacing w:val="-10"/>
          <w:sz w:val="21"/>
        </w:rPr>
        <w:t> 款规定的量化因素和分值进行打分， </w:t>
      </w:r>
      <w:r>
        <w:rPr>
          <w:spacing w:val="-5"/>
          <w:sz w:val="21"/>
        </w:rPr>
        <w:t>并计算出综合评估得分。</w:t>
      </w:r>
      <w:r>
        <w:rPr>
          <w:sz w:val="21"/>
        </w:rPr>
        <w:t> </w:t>
      </w:r>
    </w:p>
    <w:p>
      <w:pPr>
        <w:pStyle w:val="ListParagraph"/>
        <w:numPr>
          <w:ilvl w:val="2"/>
          <w:numId w:val="56"/>
        </w:numPr>
        <w:tabs>
          <w:tab w:pos="1677" w:val="left" w:leader="none"/>
        </w:tabs>
        <w:spacing w:line="364" w:lineRule="auto" w:before="0" w:after="0"/>
        <w:ind w:left="678" w:right="1150" w:firstLine="419"/>
        <w:jc w:val="left"/>
        <w:rPr>
          <w:sz w:val="21"/>
        </w:rPr>
      </w:pPr>
      <w:r>
        <w:rPr>
          <w:spacing w:val="-8"/>
          <w:sz w:val="21"/>
        </w:rPr>
        <w:t>所有过程评分分值计算保留小数点后四位，投标人汇总得分保留小数点后两位，小数</w:t>
      </w:r>
      <w:r>
        <w:rPr>
          <w:spacing w:val="-5"/>
          <w:sz w:val="21"/>
        </w:rPr>
        <w:t>点后第三位“四舍五入”。 </w:t>
      </w:r>
    </w:p>
    <w:p>
      <w:pPr>
        <w:pStyle w:val="ListParagraph"/>
        <w:numPr>
          <w:ilvl w:val="2"/>
          <w:numId w:val="56"/>
        </w:numPr>
        <w:tabs>
          <w:tab w:pos="1677" w:val="left" w:leader="none"/>
        </w:tabs>
        <w:spacing w:line="267" w:lineRule="exact" w:before="0" w:after="0"/>
        <w:ind w:left="1676" w:right="0" w:hanging="579"/>
        <w:jc w:val="left"/>
        <w:rPr>
          <w:sz w:val="21"/>
        </w:rPr>
      </w:pPr>
      <w:r>
        <w:rPr>
          <w:spacing w:val="-3"/>
          <w:sz w:val="21"/>
        </w:rPr>
        <w:t>投标人汇总得分（</w:t>
      </w:r>
      <w:r>
        <w:rPr>
          <w:spacing w:val="-18"/>
          <w:sz w:val="21"/>
        </w:rPr>
        <w:t>满分 </w:t>
      </w:r>
      <w:r>
        <w:rPr>
          <w:sz w:val="21"/>
        </w:rPr>
        <w:t>100</w:t>
      </w:r>
      <w:r>
        <w:rPr>
          <w:spacing w:val="-28"/>
          <w:sz w:val="21"/>
        </w:rPr>
        <w:t> 分</w:t>
      </w:r>
      <w:r>
        <w:rPr>
          <w:sz w:val="21"/>
        </w:rPr>
        <w:t>）</w:t>
      </w:r>
      <w:r>
        <w:rPr>
          <w:spacing w:val="-3"/>
          <w:sz w:val="21"/>
        </w:rPr>
        <w:t>=商务标得分+技术标加权得分。</w:t>
      </w:r>
      <w:r>
        <w:rPr>
          <w:sz w:val="21"/>
        </w:rPr>
        <w:t> </w:t>
      </w:r>
    </w:p>
    <w:p>
      <w:pPr>
        <w:pStyle w:val="ListParagraph"/>
        <w:numPr>
          <w:ilvl w:val="2"/>
          <w:numId w:val="56"/>
        </w:numPr>
        <w:tabs>
          <w:tab w:pos="1627" w:val="left" w:leader="none"/>
        </w:tabs>
        <w:spacing w:line="364" w:lineRule="auto" w:before="140" w:after="0"/>
        <w:ind w:left="678" w:right="1155" w:firstLine="419"/>
        <w:jc w:val="both"/>
        <w:rPr>
          <w:sz w:val="21"/>
        </w:rPr>
      </w:pPr>
      <w:r>
        <w:rPr>
          <w:spacing w:val="-1"/>
          <w:sz w:val="21"/>
        </w:rPr>
        <w:t>评标委员会发现投标人的报价明显低于其他投标报价，或者在设有标底时明显低于标底，使得其投标报价可能低于其成本的，应当要求该投标人作出书面说明并提供相应的证明材料。投标人不能合理说明或者不能提供相应证明材料的，由评标委员会认定该投标人以低于</w:t>
      </w:r>
      <w:r>
        <w:rPr>
          <w:spacing w:val="-3"/>
          <w:sz w:val="21"/>
        </w:rPr>
        <w:t>成本报价竞标。</w:t>
      </w:r>
      <w:r>
        <w:rPr>
          <w:sz w:val="21"/>
        </w:rPr>
        <w:t> </w:t>
      </w:r>
    </w:p>
    <w:p>
      <w:pPr>
        <w:spacing w:after="0" w:line="364" w:lineRule="auto"/>
        <w:jc w:val="both"/>
        <w:rPr>
          <w:sz w:val="21"/>
        </w:rPr>
        <w:sectPr>
          <w:pgSz w:w="11910" w:h="16850"/>
          <w:pgMar w:header="0" w:footer="779" w:top="1380" w:bottom="1040" w:left="1120" w:right="280"/>
        </w:sectPr>
      </w:pPr>
    </w:p>
    <w:p>
      <w:pPr>
        <w:pStyle w:val="Heading2"/>
        <w:numPr>
          <w:ilvl w:val="1"/>
          <w:numId w:val="56"/>
        </w:numPr>
        <w:tabs>
          <w:tab w:pos="1582" w:val="left" w:leader="none"/>
        </w:tabs>
        <w:spacing w:line="524" w:lineRule="exact" w:before="0" w:after="0"/>
        <w:ind w:left="1581" w:right="0" w:hanging="484"/>
        <w:jc w:val="left"/>
      </w:pPr>
      <w:bookmarkStart w:name="3.3 投标文件的澄清和补正" w:id="230"/>
      <w:bookmarkEnd w:id="230"/>
      <w:r>
        <w:rPr>
          <w:b w:val="0"/>
        </w:rPr>
      </w:r>
      <w:bookmarkStart w:name="_bookmark83" w:id="231"/>
      <w:bookmarkEnd w:id="231"/>
      <w:r>
        <w:rPr>
          <w:b w:val="0"/>
        </w:rPr>
      </w:r>
      <w:bookmarkStart w:name="_bookmark83" w:id="232"/>
      <w:bookmarkEnd w:id="232"/>
      <w:r>
        <w:rPr/>
        <w:t>投标文件的澄清和补正</w:t>
      </w:r>
      <w:r>
        <w:rPr>
          <w:w w:val="199"/>
        </w:rPr>
        <w:t> </w:t>
      </w:r>
    </w:p>
    <w:p>
      <w:pPr>
        <w:pStyle w:val="ListParagraph"/>
        <w:numPr>
          <w:ilvl w:val="2"/>
          <w:numId w:val="56"/>
        </w:numPr>
        <w:tabs>
          <w:tab w:pos="1627" w:val="left" w:leader="none"/>
        </w:tabs>
        <w:spacing w:line="364" w:lineRule="auto" w:before="138" w:after="0"/>
        <w:ind w:left="678" w:right="1155" w:firstLine="419"/>
        <w:jc w:val="both"/>
        <w:rPr>
          <w:sz w:val="21"/>
        </w:rPr>
      </w:pPr>
      <w:r>
        <w:rPr>
          <w:spacing w:val="-1"/>
          <w:sz w:val="21"/>
        </w:rPr>
        <w:t>在评标过程中，评标委员会可以书面形式要求投标人对所提交的投标文件中不明确的内容进行书面澄清或说明，也可以要求投标人对细微偏差进行补正。澄清、说明和补正必须由评标委员会书面提出、投标人书面答复，否则无效。评标委员会不接受投标人主动提出的澄</w:t>
      </w:r>
      <w:r>
        <w:rPr>
          <w:spacing w:val="-3"/>
          <w:sz w:val="21"/>
        </w:rPr>
        <w:t>清、说明或补正。</w:t>
      </w:r>
      <w:r>
        <w:rPr>
          <w:sz w:val="21"/>
        </w:rPr>
        <w:t> </w:t>
      </w:r>
    </w:p>
    <w:p>
      <w:pPr>
        <w:pStyle w:val="ListParagraph"/>
        <w:numPr>
          <w:ilvl w:val="2"/>
          <w:numId w:val="56"/>
        </w:numPr>
        <w:tabs>
          <w:tab w:pos="1627" w:val="left" w:leader="none"/>
        </w:tabs>
        <w:spacing w:line="364" w:lineRule="auto" w:before="0" w:after="0"/>
        <w:ind w:left="678" w:right="1151" w:firstLine="419"/>
        <w:jc w:val="left"/>
        <w:rPr>
          <w:sz w:val="21"/>
        </w:rPr>
      </w:pPr>
      <w:r>
        <w:rPr>
          <w:spacing w:val="-6"/>
          <w:sz w:val="21"/>
        </w:rPr>
        <w:t>澄清、说明和补正不得改变投标文件的实质性内容</w:t>
      </w:r>
      <w:r>
        <w:rPr>
          <w:spacing w:val="-3"/>
          <w:sz w:val="21"/>
        </w:rPr>
        <w:t>（算术性错误修正的除外</w:t>
      </w:r>
      <w:r>
        <w:rPr>
          <w:spacing w:val="-106"/>
          <w:sz w:val="21"/>
        </w:rPr>
        <w:t>）</w:t>
      </w:r>
      <w:r>
        <w:rPr>
          <w:spacing w:val="-6"/>
          <w:sz w:val="21"/>
        </w:rPr>
        <w:t>。投标</w:t>
      </w:r>
      <w:r>
        <w:rPr>
          <w:spacing w:val="-4"/>
          <w:sz w:val="21"/>
        </w:rPr>
        <w:t>人的书面澄清、说明和补正属于投标文件的组成部分。</w:t>
      </w:r>
      <w:r>
        <w:rPr>
          <w:sz w:val="21"/>
        </w:rPr>
        <w:t> </w:t>
      </w:r>
    </w:p>
    <w:p>
      <w:pPr>
        <w:pStyle w:val="ListParagraph"/>
        <w:numPr>
          <w:ilvl w:val="2"/>
          <w:numId w:val="56"/>
        </w:numPr>
        <w:tabs>
          <w:tab w:pos="1627" w:val="left" w:leader="none"/>
        </w:tabs>
        <w:spacing w:line="364" w:lineRule="auto" w:before="0" w:after="0"/>
        <w:ind w:left="678" w:right="1155" w:firstLine="419"/>
        <w:jc w:val="left"/>
        <w:rPr>
          <w:sz w:val="21"/>
        </w:rPr>
      </w:pPr>
      <w:r>
        <w:rPr>
          <w:spacing w:val="-1"/>
          <w:sz w:val="21"/>
        </w:rPr>
        <w:t>评标委员会对投标人提交的澄清、说明或补正有疑问的，可以要求投标人进一步澄</w:t>
      </w:r>
      <w:r>
        <w:rPr>
          <w:spacing w:val="-3"/>
          <w:sz w:val="21"/>
        </w:rPr>
        <w:t>清、说明或补正，直至满足评标委员会的要求。</w:t>
      </w:r>
      <w:r>
        <w:rPr>
          <w:sz w:val="21"/>
        </w:rPr>
        <w:t> </w:t>
      </w:r>
    </w:p>
    <w:p>
      <w:pPr>
        <w:pStyle w:val="ListParagraph"/>
        <w:numPr>
          <w:ilvl w:val="2"/>
          <w:numId w:val="56"/>
        </w:numPr>
        <w:tabs>
          <w:tab w:pos="1627" w:val="left" w:leader="none"/>
        </w:tabs>
        <w:spacing w:line="364" w:lineRule="auto" w:before="0" w:after="0"/>
        <w:ind w:left="678" w:right="1155" w:firstLine="419"/>
        <w:jc w:val="left"/>
        <w:rPr>
          <w:sz w:val="21"/>
        </w:rPr>
      </w:pPr>
      <w:r>
        <w:rPr>
          <w:spacing w:val="-1"/>
          <w:sz w:val="21"/>
        </w:rPr>
        <w:t>对投标文件进行澄清、说明和补正时来往的书面材料传递，必须在招投标监督管理</w:t>
      </w:r>
      <w:r>
        <w:rPr>
          <w:spacing w:val="-3"/>
          <w:sz w:val="21"/>
        </w:rPr>
        <w:t>部门的监督下，由交易中心的工作人员进行。</w:t>
      </w:r>
      <w:r>
        <w:rPr>
          <w:sz w:val="21"/>
        </w:rPr>
        <w:t> </w:t>
      </w:r>
    </w:p>
    <w:p>
      <w:pPr>
        <w:pStyle w:val="Heading2"/>
        <w:numPr>
          <w:ilvl w:val="1"/>
          <w:numId w:val="56"/>
        </w:numPr>
        <w:tabs>
          <w:tab w:pos="1582" w:val="left" w:leader="none"/>
        </w:tabs>
        <w:spacing w:line="484" w:lineRule="exact" w:before="0" w:after="0"/>
        <w:ind w:left="1581" w:right="0" w:hanging="484"/>
        <w:jc w:val="left"/>
      </w:pPr>
      <w:bookmarkStart w:name="3.4 评标结果" w:id="233"/>
      <w:bookmarkEnd w:id="233"/>
      <w:r>
        <w:rPr>
          <w:b w:val="0"/>
        </w:rPr>
      </w:r>
      <w:bookmarkStart w:name="_bookmark84" w:id="234"/>
      <w:bookmarkEnd w:id="234"/>
      <w:r>
        <w:rPr>
          <w:b w:val="0"/>
        </w:rPr>
      </w:r>
      <w:bookmarkStart w:name="_bookmark84" w:id="235"/>
      <w:bookmarkEnd w:id="235"/>
      <w:r>
        <w:rPr/>
        <w:t>评标结果</w:t>
      </w:r>
      <w:r>
        <w:rPr>
          <w:w w:val="199"/>
        </w:rPr>
        <w:t> </w:t>
      </w:r>
    </w:p>
    <w:p>
      <w:pPr>
        <w:pStyle w:val="ListParagraph"/>
        <w:numPr>
          <w:ilvl w:val="2"/>
          <w:numId w:val="56"/>
        </w:numPr>
        <w:tabs>
          <w:tab w:pos="1627" w:val="left" w:leader="none"/>
        </w:tabs>
        <w:spacing w:line="364" w:lineRule="auto" w:before="136" w:after="0"/>
        <w:ind w:left="678" w:right="1153" w:firstLine="419"/>
        <w:jc w:val="left"/>
        <w:rPr>
          <w:sz w:val="21"/>
        </w:rPr>
      </w:pPr>
      <w:r>
        <w:rPr>
          <w:spacing w:val="-1"/>
          <w:sz w:val="21"/>
        </w:rPr>
        <w:t>除第二章“投标人须知前附表”授权直接确定中标人外，评标委员会按照本章规定</w:t>
      </w:r>
      <w:r>
        <w:rPr>
          <w:spacing w:val="-3"/>
          <w:sz w:val="21"/>
        </w:rPr>
        <w:t>的顺序推荐中标候选人。</w:t>
      </w:r>
      <w:r>
        <w:rPr>
          <w:sz w:val="21"/>
        </w:rPr>
        <w:t> </w:t>
      </w:r>
    </w:p>
    <w:p>
      <w:pPr>
        <w:pStyle w:val="ListParagraph"/>
        <w:numPr>
          <w:ilvl w:val="2"/>
          <w:numId w:val="56"/>
        </w:numPr>
        <w:tabs>
          <w:tab w:pos="1627" w:val="left" w:leader="none"/>
        </w:tabs>
        <w:spacing w:line="267" w:lineRule="exact" w:before="0" w:after="0"/>
        <w:ind w:left="1627" w:right="0" w:hanging="529"/>
        <w:jc w:val="left"/>
        <w:rPr>
          <w:sz w:val="21"/>
        </w:rPr>
      </w:pPr>
      <w:r>
        <w:rPr>
          <w:spacing w:val="-3"/>
          <w:sz w:val="21"/>
        </w:rPr>
        <w:t>评标委员会完成评标后，由应当向招标人提交书面评标报告。</w:t>
      </w:r>
      <w:r>
        <w:rPr>
          <w:sz w:val="21"/>
        </w:rPr>
        <w:t> </w:t>
      </w:r>
    </w:p>
    <w:p>
      <w:pPr>
        <w:pStyle w:val="ListParagraph"/>
        <w:numPr>
          <w:ilvl w:val="2"/>
          <w:numId w:val="56"/>
        </w:numPr>
        <w:tabs>
          <w:tab w:pos="1632" w:val="left" w:leader="none"/>
        </w:tabs>
        <w:spacing w:line="364" w:lineRule="auto" w:before="141" w:after="0"/>
        <w:ind w:left="678" w:right="1154" w:firstLine="424"/>
        <w:jc w:val="left"/>
        <w:rPr>
          <w:sz w:val="21"/>
        </w:rPr>
      </w:pPr>
      <w:r>
        <w:rPr>
          <w:spacing w:val="-1"/>
          <w:sz w:val="21"/>
        </w:rPr>
        <w:t>评标委员会应将评标过程中使用的文件、表格以及其他材料即时归还招标人。招标</w:t>
      </w:r>
      <w:r>
        <w:rPr>
          <w:spacing w:val="-3"/>
          <w:sz w:val="21"/>
        </w:rPr>
        <w:t>人应当按照“投标人须知前附表”规定的封存方式封存评标资料。</w:t>
      </w:r>
      <w:r>
        <w:rPr>
          <w:sz w:val="21"/>
        </w:rPr>
        <w:t> </w:t>
      </w:r>
    </w:p>
    <w:p>
      <w:pPr>
        <w:spacing w:after="0" w:line="364" w:lineRule="auto"/>
        <w:jc w:val="left"/>
        <w:rPr>
          <w:sz w:val="21"/>
        </w:rPr>
        <w:sectPr>
          <w:pgSz w:w="11910" w:h="16850"/>
          <w:pgMar w:header="0" w:footer="779" w:top="1400" w:bottom="1040" w:left="1120" w:right="280"/>
        </w:sectPr>
      </w:pPr>
    </w:p>
    <w:p>
      <w:pPr>
        <w:pStyle w:val="Heading1"/>
        <w:spacing w:line="685" w:lineRule="exact"/>
        <w:ind w:right="553"/>
      </w:pPr>
      <w:bookmarkStart w:name="附件A  评标详细程序" w:id="236"/>
      <w:bookmarkEnd w:id="236"/>
      <w:r>
        <w:rPr>
          <w:b w:val="0"/>
        </w:rPr>
      </w:r>
      <w:bookmarkStart w:name="_bookmark85" w:id="237"/>
      <w:bookmarkEnd w:id="237"/>
      <w:r>
        <w:rPr>
          <w:b w:val="0"/>
        </w:rPr>
      </w:r>
      <w:r>
        <w:rPr/>
        <w:t>附件 A 评标详细程序</w:t>
      </w:r>
      <w:r>
        <w:rPr>
          <w:w w:val="199"/>
        </w:rPr>
        <w:t> </w:t>
      </w:r>
    </w:p>
    <w:p>
      <w:pPr>
        <w:pStyle w:val="BodyText"/>
        <w:spacing w:before="12"/>
        <w:ind w:left="0"/>
        <w:rPr>
          <w:rFonts w:ascii="Microsoft JhengHei"/>
          <w:b/>
          <w:sz w:val="10"/>
        </w:rPr>
      </w:pPr>
    </w:p>
    <w:p>
      <w:pPr>
        <w:pStyle w:val="Heading2"/>
        <w:spacing w:line="537" w:lineRule="exact"/>
        <w:ind w:left="678"/>
      </w:pPr>
      <w:bookmarkStart w:name="A0 总  则" w:id="238"/>
      <w:bookmarkEnd w:id="238"/>
      <w:r>
        <w:rPr>
          <w:b w:val="0"/>
        </w:rPr>
      </w:r>
      <w:bookmarkStart w:name="_bookmark86" w:id="239"/>
      <w:bookmarkEnd w:id="239"/>
      <w:r>
        <w:rPr>
          <w:b w:val="0"/>
        </w:rPr>
      </w:r>
      <w:r>
        <w:rPr/>
        <w:t>A0 总 则</w:t>
      </w:r>
      <w:r>
        <w:rPr>
          <w:w w:val="199"/>
        </w:rPr>
        <w:t> </w:t>
      </w:r>
    </w:p>
    <w:p>
      <w:pPr>
        <w:pStyle w:val="BodyText"/>
        <w:spacing w:before="16"/>
        <w:ind w:left="0"/>
        <w:rPr>
          <w:rFonts w:ascii="Microsoft JhengHei"/>
          <w:b/>
          <w:sz w:val="15"/>
        </w:rPr>
      </w:pPr>
    </w:p>
    <w:p>
      <w:pPr>
        <w:pStyle w:val="BodyText"/>
        <w:spacing w:line="364" w:lineRule="auto"/>
        <w:ind w:right="1043" w:firstLine="419"/>
      </w:pPr>
      <w:r>
        <w:rPr>
          <w:spacing w:val="-8"/>
        </w:rPr>
        <w:t>本附件是本章“评标办法”的组成部分，是对本章第 </w:t>
      </w:r>
      <w:r>
        <w:rPr/>
        <w:t>3</w:t>
      </w:r>
      <w:r>
        <w:rPr>
          <w:spacing w:val="-7"/>
        </w:rPr>
        <w:t> 条所规定的评标程序的进一步细化， </w:t>
      </w:r>
      <w:r>
        <w:rPr>
          <w:spacing w:val="-5"/>
        </w:rPr>
        <w:t>评标委员会应当按照本附件所规定的详细程序开展并完成评标工作。</w:t>
      </w:r>
      <w:r>
        <w:rPr/>
        <w:t> </w:t>
      </w:r>
    </w:p>
    <w:p>
      <w:pPr>
        <w:pStyle w:val="Heading2"/>
        <w:spacing w:line="541" w:lineRule="exact"/>
        <w:ind w:left="678"/>
      </w:pPr>
      <w:bookmarkStart w:name="A1 基本程序" w:id="240"/>
      <w:bookmarkEnd w:id="240"/>
      <w:r>
        <w:rPr>
          <w:b w:val="0"/>
        </w:rPr>
      </w:r>
      <w:bookmarkStart w:name="_bookmark87" w:id="241"/>
      <w:bookmarkEnd w:id="241"/>
      <w:r>
        <w:rPr>
          <w:b w:val="0"/>
        </w:rPr>
      </w:r>
      <w:r>
        <w:rPr/>
        <w:t>A1 基本程序</w:t>
      </w:r>
      <w:r>
        <w:rPr>
          <w:w w:val="199"/>
        </w:rPr>
        <w:t> </w:t>
      </w:r>
    </w:p>
    <w:p>
      <w:pPr>
        <w:pStyle w:val="BodyText"/>
        <w:spacing w:before="16"/>
        <w:ind w:left="0"/>
        <w:rPr>
          <w:rFonts w:ascii="Microsoft JhengHei"/>
          <w:b/>
          <w:sz w:val="15"/>
        </w:rPr>
      </w:pPr>
    </w:p>
    <w:p>
      <w:pPr>
        <w:pStyle w:val="BodyText"/>
        <w:ind w:left="1098"/>
      </w:pPr>
      <w:r>
        <w:rPr/>
        <w:t>评标活动将按以下五个步骤进行： </w:t>
      </w:r>
    </w:p>
    <w:p>
      <w:pPr>
        <w:pStyle w:val="ListParagraph"/>
        <w:numPr>
          <w:ilvl w:val="0"/>
          <w:numId w:val="59"/>
        </w:numPr>
        <w:tabs>
          <w:tab w:pos="1627" w:val="left" w:leader="none"/>
        </w:tabs>
        <w:spacing w:line="240" w:lineRule="auto" w:before="140" w:after="0"/>
        <w:ind w:left="1627" w:right="0" w:hanging="529"/>
        <w:jc w:val="left"/>
        <w:rPr>
          <w:sz w:val="21"/>
        </w:rPr>
      </w:pPr>
      <w:r>
        <w:rPr>
          <w:spacing w:val="-3"/>
          <w:sz w:val="21"/>
        </w:rPr>
        <w:t>评标准备；</w:t>
      </w:r>
      <w:r>
        <w:rPr>
          <w:sz w:val="21"/>
        </w:rPr>
        <w:t> </w:t>
      </w:r>
    </w:p>
    <w:p>
      <w:pPr>
        <w:pStyle w:val="ListParagraph"/>
        <w:numPr>
          <w:ilvl w:val="0"/>
          <w:numId w:val="59"/>
        </w:numPr>
        <w:tabs>
          <w:tab w:pos="1627" w:val="left" w:leader="none"/>
        </w:tabs>
        <w:spacing w:line="240" w:lineRule="auto" w:before="141" w:after="0"/>
        <w:ind w:left="1627" w:right="0" w:hanging="529"/>
        <w:jc w:val="left"/>
        <w:rPr>
          <w:sz w:val="21"/>
        </w:rPr>
      </w:pPr>
      <w:r>
        <w:rPr>
          <w:spacing w:val="-3"/>
          <w:sz w:val="21"/>
        </w:rPr>
        <w:t>初步评审；</w:t>
      </w:r>
      <w:r>
        <w:rPr>
          <w:sz w:val="21"/>
        </w:rPr>
        <w:t> </w:t>
      </w:r>
    </w:p>
    <w:p>
      <w:pPr>
        <w:pStyle w:val="ListParagraph"/>
        <w:numPr>
          <w:ilvl w:val="0"/>
          <w:numId w:val="59"/>
        </w:numPr>
        <w:tabs>
          <w:tab w:pos="1627" w:val="left" w:leader="none"/>
        </w:tabs>
        <w:spacing w:line="240" w:lineRule="auto" w:before="139" w:after="0"/>
        <w:ind w:left="1627" w:right="0" w:hanging="529"/>
        <w:jc w:val="left"/>
        <w:rPr>
          <w:sz w:val="21"/>
        </w:rPr>
      </w:pPr>
      <w:r>
        <w:rPr>
          <w:spacing w:val="-3"/>
          <w:sz w:val="21"/>
        </w:rPr>
        <w:t>详细评审；</w:t>
      </w:r>
      <w:r>
        <w:rPr>
          <w:sz w:val="21"/>
        </w:rPr>
        <w:t> </w:t>
      </w:r>
    </w:p>
    <w:p>
      <w:pPr>
        <w:pStyle w:val="ListParagraph"/>
        <w:numPr>
          <w:ilvl w:val="0"/>
          <w:numId w:val="59"/>
        </w:numPr>
        <w:tabs>
          <w:tab w:pos="1627" w:val="left" w:leader="none"/>
        </w:tabs>
        <w:spacing w:line="240" w:lineRule="auto" w:before="139" w:after="0"/>
        <w:ind w:left="1627" w:right="0" w:hanging="529"/>
        <w:jc w:val="left"/>
        <w:rPr>
          <w:sz w:val="21"/>
        </w:rPr>
      </w:pPr>
      <w:r>
        <w:rPr>
          <w:spacing w:val="-3"/>
          <w:sz w:val="21"/>
        </w:rPr>
        <w:t>澄清、说明或补正；</w:t>
      </w:r>
      <w:r>
        <w:rPr>
          <w:sz w:val="21"/>
        </w:rPr>
        <w:t> </w:t>
      </w:r>
    </w:p>
    <w:p>
      <w:pPr>
        <w:pStyle w:val="ListParagraph"/>
        <w:numPr>
          <w:ilvl w:val="0"/>
          <w:numId w:val="59"/>
        </w:numPr>
        <w:tabs>
          <w:tab w:pos="1627" w:val="left" w:leader="none"/>
        </w:tabs>
        <w:spacing w:line="240" w:lineRule="auto" w:before="139" w:after="0"/>
        <w:ind w:left="1627" w:right="0" w:hanging="529"/>
        <w:jc w:val="left"/>
        <w:rPr>
          <w:rFonts w:ascii="Microsoft JhengHei" w:eastAsia="Microsoft JhengHei" w:hint="eastAsia"/>
          <w:b/>
          <w:sz w:val="21"/>
        </w:rPr>
      </w:pPr>
      <w:r>
        <w:rPr>
          <w:spacing w:val="-3"/>
          <w:sz w:val="21"/>
        </w:rPr>
        <w:t>推荐中标候选人或者直接确定中标人及提交评标报告。</w:t>
      </w:r>
      <w:r>
        <w:rPr>
          <w:rFonts w:ascii="Microsoft JhengHei" w:eastAsia="Microsoft JhengHei" w:hint="eastAsia"/>
          <w:b/>
          <w:w w:val="201"/>
          <w:sz w:val="21"/>
        </w:rPr>
        <w:t> </w:t>
      </w:r>
    </w:p>
    <w:p>
      <w:pPr>
        <w:pStyle w:val="Heading2"/>
        <w:spacing w:before="91"/>
        <w:ind w:left="678"/>
      </w:pPr>
      <w:bookmarkStart w:name="A2 评标准备" w:id="242"/>
      <w:bookmarkEnd w:id="242"/>
      <w:r>
        <w:rPr>
          <w:b w:val="0"/>
        </w:rPr>
      </w:r>
      <w:bookmarkStart w:name="_bookmark88" w:id="243"/>
      <w:bookmarkEnd w:id="243"/>
      <w:r>
        <w:rPr>
          <w:b w:val="0"/>
        </w:rPr>
      </w:r>
      <w:r>
        <w:rPr/>
        <w:t>A2 评标准备</w:t>
      </w:r>
      <w:r>
        <w:rPr>
          <w:w w:val="199"/>
        </w:rPr>
        <w:t> </w:t>
      </w:r>
    </w:p>
    <w:p>
      <w:pPr>
        <w:pStyle w:val="BodyText"/>
        <w:ind w:left="0"/>
        <w:rPr>
          <w:rFonts w:ascii="Microsoft JhengHei"/>
          <w:b/>
          <w:sz w:val="16"/>
        </w:rPr>
      </w:pPr>
    </w:p>
    <w:p>
      <w:pPr>
        <w:pStyle w:val="BodyText"/>
        <w:ind w:left="1098"/>
      </w:pPr>
      <w:r>
        <w:rPr/>
        <w:t>A2.1 评标委员会成员签到 </w:t>
      </w:r>
    </w:p>
    <w:p>
      <w:pPr>
        <w:pStyle w:val="BodyText"/>
        <w:spacing w:line="364" w:lineRule="auto" w:before="140"/>
        <w:ind w:left="1098" w:right="3206"/>
      </w:pPr>
      <w:r>
        <w:rPr/>
        <w:t>评标委员会成员到达评标现场时应在签到表上签到以证明其出席。A2.2 评标委员会的组建和分工 </w:t>
      </w:r>
    </w:p>
    <w:p>
      <w:pPr>
        <w:pStyle w:val="BodyText"/>
        <w:spacing w:line="364" w:lineRule="auto"/>
        <w:ind w:right="1045" w:firstLine="419"/>
      </w:pPr>
      <w:r>
        <w:rPr>
          <w:spacing w:val="-4"/>
        </w:rPr>
        <w:t>评标委员会应按照投标人须知前附表第 </w:t>
      </w:r>
      <w:r>
        <w:rPr/>
        <w:t>6.1</w:t>
      </w:r>
      <w:r>
        <w:rPr>
          <w:spacing w:val="-4"/>
        </w:rPr>
        <w:t> 条的规定组建。首先通过电子评标系统以记名</w:t>
      </w:r>
      <w:r>
        <w:rPr>
          <w:spacing w:val="-6"/>
        </w:rPr>
        <w:t>方式推选一名评标委员会主任。评标委员会主任负责评标活动的组织工作。当需要划分技术类、经济类评委时，应按照规定组建为技术组评委和经济组评委。招标人代表参加评标委员会的， </w:t>
      </w:r>
      <w:r>
        <w:rPr>
          <w:spacing w:val="-4"/>
        </w:rPr>
        <w:t>应明确参加类别。</w:t>
      </w:r>
      <w:r>
        <w:rPr/>
        <w:t> </w:t>
      </w:r>
    </w:p>
    <w:p>
      <w:pPr>
        <w:pStyle w:val="BodyText"/>
        <w:spacing w:line="364" w:lineRule="auto"/>
        <w:ind w:right="1154" w:firstLine="419"/>
      </w:pPr>
      <w:r>
        <w:rPr/>
        <w:t>在本附件的表述中，当评委划分为技术类、经济类时，除标明由技术类或经济类评委实施评审外，其余由评标委员会全体委员进行。 </w:t>
      </w:r>
    </w:p>
    <w:p>
      <w:pPr>
        <w:pStyle w:val="BodyText"/>
        <w:spacing w:line="268" w:lineRule="exact"/>
        <w:ind w:left="1098"/>
      </w:pPr>
      <w:r>
        <w:rPr/>
        <w:t>A2.3 熟悉文件资料 </w:t>
      </w:r>
    </w:p>
    <w:p>
      <w:pPr>
        <w:pStyle w:val="BodyText"/>
        <w:spacing w:line="364" w:lineRule="auto" w:before="137"/>
        <w:ind w:right="1105" w:firstLine="419"/>
        <w:jc w:val="both"/>
      </w:pPr>
      <w:r>
        <w:rPr/>
        <w:t>A2.3.1</w:t>
      </w:r>
      <w:r>
        <w:rPr>
          <w:spacing w:val="-3"/>
        </w:rPr>
        <w:t> 评标委员会主任应组织评标委员会成员认真研究招标文件，了解和熟悉招标目的、招标范围、主要合同条件、技术标准和要求、质量标准和工期要求，掌握评标标准和方法，熟悉本章及附件中包括的评标表格的使用。</w:t>
      </w:r>
      <w:r>
        <w:rPr/>
        <w:t> </w:t>
      </w:r>
    </w:p>
    <w:p>
      <w:pPr>
        <w:pStyle w:val="BodyText"/>
        <w:spacing w:line="364" w:lineRule="auto"/>
        <w:ind w:right="1151" w:firstLine="419"/>
        <w:jc w:val="both"/>
        <w:rPr>
          <w:rFonts w:ascii="Microsoft JhengHei" w:eastAsia="Microsoft JhengHei" w:hint="eastAsia"/>
          <w:b/>
        </w:rPr>
      </w:pPr>
      <w:r>
        <w:rPr/>
        <w:t>A2.3.2 招标人或招标代理机构应向评标委员会提供评标所需的信息和数据，包括招标文</w:t>
      </w:r>
      <w:r>
        <w:rPr>
          <w:spacing w:val="-1"/>
        </w:rPr>
        <w:t>件、未在开标会上当场拒绝的各投标文件、开标会记录、招标控制价、工程所在地工程造价管</w:t>
      </w:r>
      <w:r>
        <w:rPr>
          <w:spacing w:val="-5"/>
        </w:rPr>
        <w:t>理部门颁布的工程造价信息、定额</w:t>
      </w:r>
      <w:r>
        <w:rPr/>
        <w:t>（</w:t>
      </w:r>
      <w:r>
        <w:rPr>
          <w:spacing w:val="-3"/>
        </w:rPr>
        <w:t>如作为计价依据时</w:t>
      </w:r>
      <w:r>
        <w:rPr>
          <w:spacing w:val="-108"/>
        </w:rPr>
        <w:t>）</w:t>
      </w:r>
      <w:r>
        <w:rPr>
          <w:spacing w:val="-7"/>
        </w:rPr>
        <w:t>、有关的法律、法规、规章、国家标准</w:t>
      </w:r>
      <w:r>
        <w:rPr>
          <w:spacing w:val="-5"/>
        </w:rPr>
        <w:t>以及招标人或评标委员会认为必要的其他信息和数据。</w:t>
      </w:r>
      <w:r>
        <w:rPr>
          <w:rFonts w:ascii="Microsoft JhengHei" w:eastAsia="Microsoft JhengHei" w:hint="eastAsia"/>
          <w:b/>
          <w:w w:val="201"/>
        </w:rPr>
        <w:t> </w:t>
      </w:r>
    </w:p>
    <w:p>
      <w:pPr>
        <w:spacing w:after="0" w:line="364" w:lineRule="auto"/>
        <w:jc w:val="both"/>
        <w:rPr>
          <w:rFonts w:ascii="Microsoft JhengHei" w:eastAsia="Microsoft JhengHei" w:hint="eastAsia"/>
        </w:rPr>
        <w:sectPr>
          <w:pgSz w:w="11910" w:h="16850"/>
          <w:pgMar w:header="0" w:footer="779" w:top="1420" w:bottom="1040" w:left="1120" w:right="280"/>
        </w:sectPr>
      </w:pPr>
    </w:p>
    <w:p>
      <w:pPr>
        <w:pStyle w:val="Heading2"/>
        <w:spacing w:line="522" w:lineRule="exact"/>
        <w:ind w:left="678"/>
      </w:pPr>
      <w:bookmarkStart w:name="A3 初步评审" w:id="244"/>
      <w:bookmarkEnd w:id="244"/>
      <w:r>
        <w:rPr>
          <w:b w:val="0"/>
        </w:rPr>
      </w:r>
      <w:bookmarkStart w:name="_bookmark89" w:id="245"/>
      <w:bookmarkEnd w:id="245"/>
      <w:r>
        <w:rPr>
          <w:b w:val="0"/>
        </w:rPr>
      </w:r>
      <w:r>
        <w:rPr/>
        <w:t>A3</w:t>
      </w:r>
      <w:r>
        <w:rPr>
          <w:spacing w:val="-4"/>
        </w:rPr>
        <w:t> 初步评审</w:t>
      </w:r>
      <w:r>
        <w:rPr>
          <w:spacing w:val="-4"/>
          <w:w w:val="199"/>
        </w:rPr>
        <w:t> </w:t>
      </w:r>
    </w:p>
    <w:p>
      <w:pPr>
        <w:pStyle w:val="BodyText"/>
        <w:ind w:left="0"/>
        <w:rPr>
          <w:rFonts w:ascii="Microsoft JhengHei"/>
          <w:b/>
          <w:sz w:val="16"/>
        </w:rPr>
      </w:pPr>
    </w:p>
    <w:p>
      <w:pPr>
        <w:pStyle w:val="BodyText"/>
        <w:ind w:left="1098"/>
      </w:pPr>
      <w:r>
        <w:rPr/>
        <w:t>A3.1</w:t>
      </w:r>
      <w:r>
        <w:rPr>
          <w:spacing w:val="-1"/>
        </w:rPr>
        <w:t> 资格评审</w:t>
      </w:r>
      <w:r>
        <w:rPr/>
        <w:t> </w:t>
      </w:r>
    </w:p>
    <w:p>
      <w:pPr>
        <w:pStyle w:val="BodyText"/>
        <w:spacing w:line="364" w:lineRule="auto" w:before="139"/>
        <w:ind w:right="1158" w:firstLine="412"/>
      </w:pPr>
      <w:r>
        <w:rPr>
          <w:spacing w:val="-5"/>
        </w:rPr>
        <w:t>评标委员会根据“评标办法前附表”中规定的评审因素和评审标准，对投标人的投标文件进</w:t>
      </w:r>
      <w:r>
        <w:rPr>
          <w:spacing w:val="-6"/>
        </w:rPr>
        <w:t>行资格评审。</w:t>
      </w:r>
      <w:r>
        <w:rPr/>
        <w:t> </w:t>
      </w:r>
    </w:p>
    <w:p>
      <w:pPr>
        <w:pStyle w:val="BodyText"/>
        <w:spacing w:line="267" w:lineRule="exact"/>
        <w:ind w:left="1098"/>
      </w:pPr>
      <w:r>
        <w:rPr/>
        <w:t>A3.2 形式评审 </w:t>
      </w:r>
    </w:p>
    <w:p>
      <w:pPr>
        <w:pStyle w:val="BodyText"/>
        <w:spacing w:line="367" w:lineRule="auto" w:before="139"/>
        <w:ind w:right="1158" w:firstLine="412"/>
      </w:pPr>
      <w:r>
        <w:rPr>
          <w:spacing w:val="-5"/>
        </w:rPr>
        <w:t>评标委员会根据“评标办法前附表”中规定的评审因素和评审标准，对投标人的投标文件进</w:t>
      </w:r>
      <w:r>
        <w:rPr>
          <w:spacing w:val="-6"/>
        </w:rPr>
        <w:t>行形式评审。</w:t>
      </w:r>
      <w:r>
        <w:rPr/>
        <w:t> </w:t>
      </w:r>
    </w:p>
    <w:p>
      <w:pPr>
        <w:pStyle w:val="BodyText"/>
        <w:spacing w:line="264" w:lineRule="exact"/>
        <w:ind w:left="1098"/>
      </w:pPr>
      <w:r>
        <w:rPr/>
        <w:t>A3.3 响应性评审 </w:t>
      </w:r>
    </w:p>
    <w:p>
      <w:pPr>
        <w:pStyle w:val="BodyText"/>
        <w:spacing w:line="364" w:lineRule="auto" w:before="139"/>
        <w:ind w:right="1107" w:firstLine="419"/>
      </w:pPr>
      <w:r>
        <w:rPr/>
        <w:t>A3.3.1 评标委员会根据“评标办法前附表”中规定的评审因素和评审标准，对投标人的投标文件进行响应性评审。 </w:t>
      </w:r>
    </w:p>
    <w:p>
      <w:pPr>
        <w:pStyle w:val="BodyText"/>
        <w:spacing w:line="367" w:lineRule="auto"/>
        <w:ind w:right="1096" w:firstLine="419"/>
      </w:pPr>
      <w:r>
        <w:rPr/>
        <w:t>A3.3.2 投标人投标总价不得超出（不含等于）招标人公布的招标控制价，凡投标人的投标总价超出招标控制价的，该投标人的投标文件不能通过响应性评审。 </w:t>
      </w:r>
    </w:p>
    <w:p>
      <w:pPr>
        <w:pStyle w:val="BodyText"/>
        <w:spacing w:line="264" w:lineRule="exact"/>
        <w:ind w:left="1098"/>
      </w:pPr>
      <w:r>
        <w:rPr/>
        <w:t>A3.4 判断投标是否为否决投标 </w:t>
      </w:r>
    </w:p>
    <w:p>
      <w:pPr>
        <w:pStyle w:val="BodyText"/>
        <w:spacing w:line="364" w:lineRule="auto" w:before="137"/>
        <w:ind w:right="1151" w:firstLine="419"/>
        <w:jc w:val="both"/>
      </w:pPr>
      <w:r>
        <w:rPr/>
        <w:t>A3.4.1 判断投标人的投标是否为否决投标的全部条件（</w:t>
      </w:r>
      <w:r>
        <w:rPr>
          <w:spacing w:val="3"/>
        </w:rPr>
        <w:t>包括本章第 </w:t>
      </w:r>
      <w:r>
        <w:rPr/>
        <w:t>3.1.2</w:t>
      </w:r>
      <w:r>
        <w:rPr>
          <w:spacing w:val="-1"/>
        </w:rPr>
        <w:t> 项中规定的条</w:t>
      </w:r>
      <w:r>
        <w:rPr>
          <w:w w:val="100"/>
        </w:rPr>
        <w:t>件</w:t>
      </w:r>
      <w:r>
        <w:rPr>
          <w:spacing w:val="-106"/>
          <w:w w:val="100"/>
        </w:rPr>
        <w:t>）</w:t>
      </w:r>
      <w:r>
        <w:rPr>
          <w:spacing w:val="-3"/>
          <w:w w:val="100"/>
        </w:rPr>
        <w:t>，在本章附件</w:t>
      </w:r>
      <w:r>
        <w:rPr>
          <w:spacing w:val="-3"/>
        </w:rPr>
        <w:t> </w:t>
      </w:r>
      <w:r>
        <w:rPr>
          <w:w w:val="100"/>
        </w:rPr>
        <w:t>B</w:t>
      </w:r>
      <w:r>
        <w:rPr>
          <w:spacing w:val="-55"/>
        </w:rPr>
        <w:t> </w:t>
      </w:r>
      <w:r>
        <w:rPr>
          <w:spacing w:val="-3"/>
          <w:w w:val="100"/>
        </w:rPr>
        <w:t>中集中列示。</w:t>
      </w:r>
      <w:r>
        <w:rPr>
          <w:w w:val="100"/>
        </w:rPr>
        <w:t> </w:t>
      </w:r>
    </w:p>
    <w:p>
      <w:pPr>
        <w:pStyle w:val="BodyText"/>
        <w:spacing w:line="364" w:lineRule="auto" w:before="1"/>
        <w:ind w:right="1148" w:firstLine="419"/>
        <w:jc w:val="both"/>
      </w:pPr>
      <w:r>
        <w:rPr/>
        <w:t>A3.4.2</w:t>
      </w:r>
      <w:r>
        <w:rPr>
          <w:spacing w:val="9"/>
        </w:rPr>
        <w:t> 本章附件</w:t>
      </w:r>
      <w:r>
        <w:rPr/>
        <w:t>B</w:t>
      </w:r>
      <w:r>
        <w:rPr>
          <w:spacing w:val="-10"/>
        </w:rPr>
        <w:t> 集中列示的否决投标条件不应与第二章“投标人须知”和本章正文部分包括的否决投标条件抵触，如果出现相互矛盾的情况，以第二章“投标人须知”和本章正文部</w:t>
      </w:r>
      <w:r>
        <w:rPr>
          <w:spacing w:val="-5"/>
        </w:rPr>
        <w:t>分的规定为准。</w:t>
      </w:r>
      <w:r>
        <w:rPr/>
        <w:t> </w:t>
      </w:r>
    </w:p>
    <w:p>
      <w:pPr>
        <w:pStyle w:val="BodyText"/>
        <w:spacing w:line="364" w:lineRule="auto"/>
        <w:ind w:right="1151" w:firstLine="419"/>
        <w:jc w:val="both"/>
      </w:pPr>
      <w:r>
        <w:rPr/>
        <w:t>A3.4.3</w:t>
      </w:r>
      <w:r>
        <w:rPr>
          <w:spacing w:val="-9"/>
        </w:rPr>
        <w:t> 评标委员会在评标过程中，依据本章附件 </w:t>
      </w:r>
      <w:r>
        <w:rPr/>
        <w:t>B</w:t>
      </w:r>
      <w:r>
        <w:rPr>
          <w:spacing w:val="-8"/>
        </w:rPr>
        <w:t> 中规定的否决投标条件判断投标人的投</w:t>
      </w:r>
      <w:r>
        <w:rPr>
          <w:spacing w:val="-5"/>
        </w:rPr>
        <w:t>标是否为否决投标。</w:t>
      </w:r>
      <w:r>
        <w:rPr/>
        <w:t> </w:t>
      </w:r>
    </w:p>
    <w:p>
      <w:pPr>
        <w:pStyle w:val="BodyText"/>
        <w:ind w:left="1098"/>
      </w:pPr>
      <w:r>
        <w:rPr/>
        <w:t>A3.5 澄清、说明或补正 </w:t>
      </w:r>
    </w:p>
    <w:p>
      <w:pPr>
        <w:pStyle w:val="BodyText"/>
        <w:spacing w:line="364" w:lineRule="auto" w:before="137"/>
        <w:ind w:right="1045" w:firstLine="419"/>
      </w:pPr>
      <w:r>
        <w:rPr/>
        <w:t>在初步评审过程中，评标委员会应当就投标文件中不明确的内容要求投标人进行澄清、说</w:t>
      </w:r>
      <w:r>
        <w:rPr>
          <w:spacing w:val="-7"/>
        </w:rPr>
        <w:t>明或者补正。投标人应当根据问题澄清通知要求，以书面形式予以澄清、说明或者补正。澄清、</w:t>
      </w:r>
      <w:r>
        <w:rPr>
          <w:spacing w:val="-10"/>
        </w:rPr>
        <w:t>说明或补正根据本章第 </w:t>
      </w:r>
      <w:r>
        <w:rPr/>
        <w:t>3.3</w:t>
      </w:r>
      <w:r>
        <w:rPr>
          <w:spacing w:val="-10"/>
        </w:rPr>
        <w:t> 款的规定进行。</w:t>
      </w:r>
      <w:r>
        <w:rPr/>
        <w:t> </w:t>
      </w:r>
    </w:p>
    <w:p>
      <w:pPr>
        <w:pStyle w:val="Heading2"/>
        <w:spacing w:line="541" w:lineRule="exact"/>
        <w:ind w:left="678"/>
      </w:pPr>
      <w:bookmarkStart w:name="A4 详细评审" w:id="246"/>
      <w:bookmarkEnd w:id="246"/>
      <w:r>
        <w:rPr>
          <w:b w:val="0"/>
        </w:rPr>
      </w:r>
      <w:bookmarkStart w:name="_bookmark90" w:id="247"/>
      <w:bookmarkEnd w:id="247"/>
      <w:r>
        <w:rPr>
          <w:b w:val="0"/>
        </w:rPr>
      </w:r>
      <w:r>
        <w:rPr/>
        <w:t>A4 详细评审</w:t>
      </w:r>
      <w:r>
        <w:rPr>
          <w:w w:val="199"/>
        </w:rPr>
        <w:t> </w:t>
      </w:r>
    </w:p>
    <w:p>
      <w:pPr>
        <w:pStyle w:val="BodyText"/>
        <w:spacing w:before="16"/>
        <w:ind w:left="0"/>
        <w:rPr>
          <w:rFonts w:ascii="Microsoft JhengHei"/>
          <w:b/>
          <w:sz w:val="15"/>
        </w:rPr>
      </w:pPr>
    </w:p>
    <w:p>
      <w:pPr>
        <w:pStyle w:val="BodyText"/>
        <w:spacing w:line="364" w:lineRule="auto"/>
        <w:ind w:left="1098" w:right="3417"/>
      </w:pPr>
      <w:r>
        <w:rPr/>
        <w:t>只有通过了初步评审、被判定为合格的投标方可进入详细评审。A4.1 对投标文件进行基础性数据分析和整理工作（清标） </w:t>
      </w:r>
    </w:p>
    <w:p>
      <w:pPr>
        <w:pStyle w:val="BodyText"/>
        <w:spacing w:line="367" w:lineRule="auto"/>
        <w:ind w:left="1098" w:right="6149"/>
      </w:pPr>
      <w:r>
        <w:rPr/>
        <w:t>【备注：根据项目情况进行设置】A4.2 算术错误修正 </w:t>
      </w:r>
    </w:p>
    <w:p>
      <w:pPr>
        <w:pStyle w:val="BodyText"/>
        <w:spacing w:line="364" w:lineRule="auto"/>
        <w:ind w:right="1160" w:firstLine="419"/>
      </w:pPr>
      <w:r>
        <w:rPr/>
        <w:t>评标委员会经济组评委依据本章中规定的相关原则对投标报价中存在的算术错误进行修正，并根据算术错误修正结果计算评标基准价。 </w:t>
      </w:r>
    </w:p>
    <w:p>
      <w:pPr>
        <w:pStyle w:val="BodyText"/>
        <w:spacing w:line="267" w:lineRule="exact"/>
        <w:ind w:left="1098"/>
      </w:pPr>
      <w:r>
        <w:rPr/>
        <w:t>A4.3 详细评审的程序 </w:t>
      </w:r>
    </w:p>
    <w:p>
      <w:pPr>
        <w:spacing w:after="0" w:line="267" w:lineRule="exact"/>
        <w:sectPr>
          <w:pgSz w:w="11910" w:h="16850"/>
          <w:pgMar w:header="0" w:footer="779" w:top="1400" w:bottom="1040" w:left="1120" w:right="280"/>
        </w:sectPr>
      </w:pPr>
    </w:p>
    <w:p>
      <w:pPr>
        <w:pStyle w:val="BodyText"/>
        <w:spacing w:before="60"/>
        <w:ind w:left="1098"/>
      </w:pPr>
      <w:r>
        <w:rPr/>
        <w:t>A4.3.1 评标委员会按照本章第 3.2 款中规定的程序进行详细评审： </w:t>
      </w:r>
    </w:p>
    <w:p>
      <w:pPr>
        <w:pStyle w:val="ListParagraph"/>
        <w:numPr>
          <w:ilvl w:val="0"/>
          <w:numId w:val="60"/>
        </w:numPr>
        <w:tabs>
          <w:tab w:pos="1627" w:val="left" w:leader="none"/>
        </w:tabs>
        <w:spacing w:line="240" w:lineRule="auto" w:before="139" w:after="0"/>
        <w:ind w:left="1627" w:right="0" w:hanging="529"/>
        <w:jc w:val="left"/>
        <w:rPr>
          <w:sz w:val="21"/>
        </w:rPr>
      </w:pPr>
      <w:r>
        <w:rPr>
          <w:spacing w:val="-3"/>
          <w:sz w:val="21"/>
        </w:rPr>
        <w:t>技术标评审和评分；</w:t>
      </w:r>
      <w:r>
        <w:rPr>
          <w:sz w:val="21"/>
        </w:rPr>
        <w:t> </w:t>
      </w:r>
    </w:p>
    <w:p>
      <w:pPr>
        <w:pStyle w:val="ListParagraph"/>
        <w:numPr>
          <w:ilvl w:val="0"/>
          <w:numId w:val="60"/>
        </w:numPr>
        <w:tabs>
          <w:tab w:pos="1627" w:val="left" w:leader="none"/>
        </w:tabs>
        <w:spacing w:line="240" w:lineRule="auto" w:before="139" w:after="0"/>
        <w:ind w:left="1627" w:right="0" w:hanging="529"/>
        <w:jc w:val="left"/>
        <w:rPr>
          <w:sz w:val="21"/>
        </w:rPr>
      </w:pPr>
      <w:r>
        <w:rPr>
          <w:spacing w:val="-3"/>
          <w:sz w:val="21"/>
        </w:rPr>
        <w:t>商务标评审和评分；</w:t>
      </w:r>
      <w:r>
        <w:rPr>
          <w:sz w:val="21"/>
        </w:rPr>
        <w:t> </w:t>
      </w:r>
    </w:p>
    <w:p>
      <w:pPr>
        <w:pStyle w:val="BodyText"/>
        <w:spacing w:before="142"/>
        <w:ind w:left="1623"/>
      </w:pPr>
      <w:r>
        <w:rPr/>
        <w:t>①企业信誉实力评审和评分； </w:t>
      </w:r>
    </w:p>
    <w:p>
      <w:pPr>
        <w:pStyle w:val="BodyText"/>
        <w:spacing w:before="139"/>
        <w:ind w:left="1623"/>
      </w:pPr>
      <w:r>
        <w:rPr/>
        <w:t>②报价分评审和评分 </w:t>
      </w:r>
    </w:p>
    <w:p>
      <w:pPr>
        <w:pStyle w:val="ListParagraph"/>
        <w:numPr>
          <w:ilvl w:val="0"/>
          <w:numId w:val="60"/>
        </w:numPr>
        <w:tabs>
          <w:tab w:pos="1627" w:val="left" w:leader="none"/>
        </w:tabs>
        <w:spacing w:line="364" w:lineRule="auto" w:before="139" w:after="0"/>
        <w:ind w:left="1098" w:right="7094" w:firstLine="0"/>
        <w:jc w:val="left"/>
        <w:rPr>
          <w:sz w:val="21"/>
        </w:rPr>
      </w:pPr>
      <w:r>
        <w:rPr>
          <w:spacing w:val="-3"/>
          <w:sz w:val="21"/>
        </w:rPr>
        <w:t>汇总评分结果。</w:t>
      </w:r>
      <w:r>
        <w:rPr>
          <w:sz w:val="21"/>
        </w:rPr>
        <w:t>A4.4</w:t>
      </w:r>
      <w:r>
        <w:rPr>
          <w:spacing w:val="-3"/>
          <w:sz w:val="21"/>
        </w:rPr>
        <w:t> 技术标评审和评分</w:t>
      </w:r>
      <w:r>
        <w:rPr>
          <w:sz w:val="21"/>
        </w:rPr>
        <w:t> </w:t>
      </w:r>
    </w:p>
    <w:p>
      <w:pPr>
        <w:pStyle w:val="BodyText"/>
        <w:spacing w:line="364" w:lineRule="auto"/>
        <w:ind w:right="1146" w:firstLine="419"/>
      </w:pPr>
      <w:r>
        <w:rPr/>
        <w:t>按照“评标办法前附表”中规定的分值设定、各项评分因素、评分标准，由评标委员会的技术组评委进行评审和评分。 </w:t>
      </w:r>
    </w:p>
    <w:p>
      <w:pPr>
        <w:pStyle w:val="BodyText"/>
        <w:spacing w:line="268" w:lineRule="exact"/>
        <w:ind w:left="1098"/>
      </w:pPr>
      <w:r>
        <w:rPr/>
        <w:t>A4.5 报价分评审和评分 </w:t>
      </w:r>
    </w:p>
    <w:p>
      <w:pPr>
        <w:pStyle w:val="BodyText"/>
        <w:spacing w:line="364" w:lineRule="auto" w:before="139"/>
        <w:ind w:right="1148" w:firstLine="419"/>
      </w:pPr>
      <w:r>
        <w:rPr/>
        <w:t>A4.5.1 评标委员会的经济组评委按照“评标办法前附表”中规定的方法计算“评标基准价”。 </w:t>
      </w:r>
    </w:p>
    <w:p>
      <w:pPr>
        <w:pStyle w:val="BodyText"/>
        <w:spacing w:line="364" w:lineRule="auto"/>
        <w:ind w:right="1107" w:firstLine="419"/>
      </w:pPr>
      <w:r>
        <w:rPr/>
        <w:t>A4.5.2 评标委员会的经济组评委按照“评标办法前附表”中规定的方法，计算各个已通过了初步评审和技术标评审的商务标得分。 </w:t>
      </w:r>
    </w:p>
    <w:p>
      <w:pPr>
        <w:pStyle w:val="BodyText"/>
        <w:spacing w:line="267" w:lineRule="exact"/>
        <w:ind w:left="1098"/>
      </w:pPr>
      <w:r>
        <w:rPr/>
        <w:t>A4.6 企业信誉实力评审和评分 </w:t>
      </w:r>
    </w:p>
    <w:p>
      <w:pPr>
        <w:pStyle w:val="BodyText"/>
        <w:spacing w:line="364" w:lineRule="auto" w:before="139"/>
        <w:ind w:right="1155" w:firstLine="412"/>
      </w:pPr>
      <w:r>
        <w:rPr>
          <w:spacing w:val="-5"/>
        </w:rPr>
        <w:t>评标委员会根据“评标办法前附表”中规定的分值设定、各项评分因素和相应的评分标准</w:t>
      </w:r>
      <w:r>
        <w:rPr>
          <w:spacing w:val="-3"/>
        </w:rPr>
        <w:t>进行评审和评分。</w:t>
      </w:r>
      <w:r>
        <w:rPr/>
        <w:t> </w:t>
      </w:r>
    </w:p>
    <w:p>
      <w:pPr>
        <w:pStyle w:val="BodyText"/>
        <w:spacing w:before="1"/>
        <w:ind w:left="1098"/>
      </w:pPr>
      <w:r>
        <w:rPr/>
        <w:t>A4.7 判断投标报价是否低于成本 </w:t>
      </w:r>
    </w:p>
    <w:p>
      <w:pPr>
        <w:pStyle w:val="BodyText"/>
        <w:spacing w:line="364" w:lineRule="auto" w:before="139"/>
        <w:ind w:left="1098" w:right="3626"/>
      </w:pPr>
      <w:r>
        <w:rPr/>
        <w:t>由评标委员会的经济组评委认定投标人是否以低于成本竞标。A4.8 澄清、说明或补正 </w:t>
      </w:r>
    </w:p>
    <w:p>
      <w:pPr>
        <w:pStyle w:val="BodyText"/>
        <w:spacing w:line="364" w:lineRule="auto"/>
        <w:ind w:right="1148" w:firstLine="419"/>
        <w:jc w:val="both"/>
      </w:pPr>
      <w:r>
        <w:rPr/>
        <w:t>在评审过程中，评标委员会应当就投标文件中不明确的内容要求投标人进行澄清、说明或者补正。投标人对此以书面形式予以澄清、说明或者补正。澄清、说明或补正根据本章第 3.3 款的规定执行。 </w:t>
      </w:r>
    </w:p>
    <w:p>
      <w:pPr>
        <w:pStyle w:val="BodyText"/>
        <w:spacing w:line="269" w:lineRule="exact"/>
        <w:ind w:left="1098"/>
      </w:pPr>
      <w:r>
        <w:rPr/>
        <w:t>A4.9 汇总评分结果 </w:t>
      </w:r>
    </w:p>
    <w:p>
      <w:pPr>
        <w:pStyle w:val="BodyText"/>
        <w:spacing w:line="364" w:lineRule="auto" w:before="137"/>
        <w:ind w:right="1154" w:firstLine="419"/>
      </w:pPr>
      <w:r>
        <w:rPr/>
        <w:t>详细评审工作全部结束后，汇总评标委员会各成员的详细评审评分结果，并按照详细评审最终得分由高至低的次序对投标人进行排序。 </w:t>
      </w:r>
    </w:p>
    <w:p>
      <w:pPr>
        <w:pStyle w:val="BodyText"/>
        <w:spacing w:before="1"/>
        <w:ind w:left="1098"/>
      </w:pPr>
      <w:r>
        <w:rPr/>
        <w:t>评标委员会评审评分结果统计应遵循下列原则： </w:t>
      </w:r>
    </w:p>
    <w:p>
      <w:pPr>
        <w:pStyle w:val="ListParagraph"/>
        <w:numPr>
          <w:ilvl w:val="0"/>
          <w:numId w:val="61"/>
        </w:numPr>
        <w:tabs>
          <w:tab w:pos="1627" w:val="left" w:leader="none"/>
        </w:tabs>
        <w:spacing w:line="240" w:lineRule="auto" w:before="139" w:after="0"/>
        <w:ind w:left="1627" w:right="0" w:hanging="529"/>
        <w:jc w:val="left"/>
        <w:rPr>
          <w:sz w:val="21"/>
        </w:rPr>
      </w:pPr>
      <w:r>
        <w:rPr>
          <w:spacing w:val="-3"/>
          <w:sz w:val="21"/>
        </w:rPr>
        <w:t>每个评分项目</w:t>
      </w:r>
      <w:r>
        <w:rPr>
          <w:sz w:val="21"/>
        </w:rPr>
        <w:t>（</w:t>
      </w:r>
      <w:r>
        <w:rPr>
          <w:spacing w:val="-3"/>
          <w:sz w:val="21"/>
        </w:rPr>
        <w:t>单项</w:t>
      </w:r>
      <w:r>
        <w:rPr>
          <w:sz w:val="21"/>
        </w:rPr>
        <w:t>）</w:t>
      </w:r>
      <w:r>
        <w:rPr>
          <w:spacing w:val="-3"/>
          <w:sz w:val="21"/>
        </w:rPr>
        <w:t>的评分基准值为评标委员会成员评分的算术平均值。</w:t>
      </w:r>
      <w:r>
        <w:rPr>
          <w:sz w:val="21"/>
        </w:rPr>
        <w:t> </w:t>
      </w:r>
    </w:p>
    <w:p>
      <w:pPr>
        <w:pStyle w:val="ListParagraph"/>
        <w:numPr>
          <w:ilvl w:val="0"/>
          <w:numId w:val="61"/>
        </w:numPr>
        <w:tabs>
          <w:tab w:pos="1627" w:val="left" w:leader="none"/>
        </w:tabs>
        <w:spacing w:line="364" w:lineRule="auto" w:before="139" w:after="0"/>
        <w:ind w:left="678" w:right="1153" w:firstLine="419"/>
        <w:jc w:val="both"/>
        <w:rPr>
          <w:sz w:val="21"/>
        </w:rPr>
      </w:pPr>
      <w:r>
        <w:rPr>
          <w:spacing w:val="-7"/>
          <w:sz w:val="21"/>
        </w:rPr>
        <w:t>每个评分项目</w:t>
      </w:r>
      <w:r>
        <w:rPr>
          <w:sz w:val="21"/>
        </w:rPr>
        <w:t>（</w:t>
      </w:r>
      <w:r>
        <w:rPr>
          <w:spacing w:val="-3"/>
          <w:sz w:val="21"/>
        </w:rPr>
        <w:t>单项</w:t>
      </w:r>
      <w:r>
        <w:rPr>
          <w:spacing w:val="-20"/>
          <w:sz w:val="21"/>
        </w:rPr>
        <w:t>）</w:t>
      </w:r>
      <w:r>
        <w:rPr>
          <w:spacing w:val="-4"/>
          <w:sz w:val="21"/>
        </w:rPr>
        <w:t>超出该评分项目评分基准值±</w:t>
      </w:r>
      <w:r>
        <w:rPr>
          <w:spacing w:val="-5"/>
          <w:sz w:val="21"/>
        </w:rPr>
        <w:t>30%（</w:t>
      </w:r>
      <w:r>
        <w:rPr>
          <w:spacing w:val="-6"/>
          <w:sz w:val="21"/>
        </w:rPr>
        <w:t>含 30%）</w:t>
      </w:r>
      <w:r>
        <w:rPr>
          <w:spacing w:val="-3"/>
          <w:sz w:val="21"/>
        </w:rPr>
        <w:t>范围的评分为无效评分。</w:t>
      </w:r>
      <w:r>
        <w:rPr>
          <w:sz w:val="21"/>
        </w:rPr>
        <w:t> </w:t>
      </w:r>
    </w:p>
    <w:p>
      <w:pPr>
        <w:pStyle w:val="ListParagraph"/>
        <w:numPr>
          <w:ilvl w:val="0"/>
          <w:numId w:val="61"/>
        </w:numPr>
        <w:tabs>
          <w:tab w:pos="1627" w:val="left" w:leader="none"/>
        </w:tabs>
        <w:spacing w:line="364" w:lineRule="auto" w:before="0" w:after="0"/>
        <w:ind w:left="678" w:right="1105" w:firstLine="419"/>
        <w:jc w:val="both"/>
        <w:rPr>
          <w:sz w:val="21"/>
        </w:rPr>
      </w:pPr>
      <w:r>
        <w:rPr>
          <w:spacing w:val="-3"/>
          <w:sz w:val="21"/>
        </w:rPr>
        <w:t>投标人每个评分项目</w:t>
      </w:r>
      <w:r>
        <w:rPr>
          <w:sz w:val="21"/>
        </w:rPr>
        <w:t>（</w:t>
      </w:r>
      <w:r>
        <w:rPr>
          <w:spacing w:val="-2"/>
          <w:sz w:val="21"/>
        </w:rPr>
        <w:t>单项</w:t>
      </w:r>
      <w:r>
        <w:rPr>
          <w:sz w:val="21"/>
        </w:rPr>
        <w:t>）</w:t>
      </w:r>
      <w:r>
        <w:rPr>
          <w:spacing w:val="-3"/>
          <w:sz w:val="21"/>
        </w:rPr>
        <w:t>的最终得分为评标委员会成员有效评分的算术平均值； 全部评委评分均超出评分基准值</w:t>
      </w:r>
      <w:r>
        <w:rPr>
          <w:sz w:val="21"/>
        </w:rPr>
        <w:t>±30%（</w:t>
      </w:r>
      <w:r>
        <w:rPr>
          <w:spacing w:val="-13"/>
          <w:sz w:val="21"/>
        </w:rPr>
        <w:t>含 </w:t>
      </w:r>
      <w:r>
        <w:rPr>
          <w:sz w:val="21"/>
        </w:rPr>
        <w:t>30%）</w:t>
      </w:r>
      <w:r>
        <w:rPr>
          <w:spacing w:val="-3"/>
          <w:sz w:val="21"/>
        </w:rPr>
        <w:t>范围时，投标人该评分项目</w:t>
      </w:r>
      <w:r>
        <w:rPr>
          <w:sz w:val="21"/>
        </w:rPr>
        <w:t>（</w:t>
      </w:r>
      <w:r>
        <w:rPr>
          <w:spacing w:val="-2"/>
          <w:sz w:val="21"/>
        </w:rPr>
        <w:t>单项</w:t>
      </w:r>
      <w:r>
        <w:rPr>
          <w:sz w:val="21"/>
        </w:rPr>
        <w:t>）</w:t>
      </w:r>
      <w:r>
        <w:rPr>
          <w:spacing w:val="-3"/>
          <w:sz w:val="21"/>
        </w:rPr>
        <w:t>的最终得分为评分基准值。</w:t>
      </w:r>
      <w:r>
        <w:rPr>
          <w:sz w:val="21"/>
        </w:rPr>
        <w:t> </w:t>
      </w:r>
    </w:p>
    <w:p>
      <w:pPr>
        <w:pStyle w:val="ListParagraph"/>
        <w:numPr>
          <w:ilvl w:val="0"/>
          <w:numId w:val="61"/>
        </w:numPr>
        <w:tabs>
          <w:tab w:pos="1627" w:val="left" w:leader="none"/>
        </w:tabs>
        <w:spacing w:line="268" w:lineRule="exact" w:before="0" w:after="0"/>
        <w:ind w:left="1627" w:right="0" w:hanging="529"/>
        <w:jc w:val="left"/>
        <w:rPr>
          <w:rFonts w:ascii="Microsoft JhengHei" w:eastAsia="Microsoft JhengHei" w:hint="eastAsia"/>
          <w:b/>
          <w:sz w:val="21"/>
        </w:rPr>
      </w:pPr>
      <w:r>
        <w:rPr>
          <w:spacing w:val="-3"/>
          <w:sz w:val="21"/>
        </w:rPr>
        <w:t>综合评估法资格评审也按上述原则统计分数。</w:t>
      </w:r>
      <w:r>
        <w:rPr>
          <w:rFonts w:ascii="Microsoft JhengHei" w:eastAsia="Microsoft JhengHei" w:hint="eastAsia"/>
          <w:b/>
          <w:w w:val="201"/>
          <w:sz w:val="21"/>
        </w:rPr>
        <w:t> </w:t>
      </w:r>
    </w:p>
    <w:p>
      <w:pPr>
        <w:spacing w:after="0" w:line="268" w:lineRule="exact"/>
        <w:jc w:val="left"/>
        <w:rPr>
          <w:rFonts w:ascii="Microsoft JhengHei" w:eastAsia="Microsoft JhengHei" w:hint="eastAsia"/>
          <w:sz w:val="21"/>
        </w:rPr>
        <w:sectPr>
          <w:pgSz w:w="11910" w:h="16850"/>
          <w:pgMar w:header="0" w:footer="779" w:top="1380" w:bottom="1040" w:left="1120" w:right="280"/>
        </w:sectPr>
      </w:pPr>
    </w:p>
    <w:p>
      <w:pPr>
        <w:pStyle w:val="Heading2"/>
        <w:spacing w:line="522" w:lineRule="exact"/>
        <w:ind w:left="678"/>
      </w:pPr>
      <w:bookmarkStart w:name="A5 推荐中标候选人或者直接确定中标人" w:id="248"/>
      <w:bookmarkEnd w:id="248"/>
      <w:r>
        <w:rPr>
          <w:b w:val="0"/>
        </w:rPr>
      </w:r>
      <w:bookmarkStart w:name="_bookmark91" w:id="249"/>
      <w:bookmarkEnd w:id="249"/>
      <w:r>
        <w:rPr>
          <w:b w:val="0"/>
        </w:rPr>
      </w:r>
      <w:r>
        <w:rPr/>
        <w:t>A5 推荐中标候选人或者直接确定中标人</w:t>
      </w:r>
      <w:r>
        <w:rPr>
          <w:w w:val="199"/>
        </w:rPr>
        <w:t> </w:t>
      </w:r>
    </w:p>
    <w:p>
      <w:pPr>
        <w:pStyle w:val="BodyText"/>
        <w:ind w:left="0"/>
        <w:rPr>
          <w:rFonts w:ascii="Microsoft JhengHei"/>
          <w:b/>
          <w:sz w:val="16"/>
        </w:rPr>
      </w:pPr>
    </w:p>
    <w:p>
      <w:pPr>
        <w:pStyle w:val="BodyText"/>
        <w:ind w:left="1095"/>
      </w:pPr>
      <w:r>
        <w:rPr/>
        <w:t>A5.1 推荐中标候选人 </w:t>
      </w:r>
    </w:p>
    <w:p>
      <w:pPr>
        <w:pStyle w:val="BodyText"/>
        <w:spacing w:line="364" w:lineRule="auto" w:before="139"/>
        <w:ind w:left="675" w:right="1151" w:firstLine="419"/>
        <w:jc w:val="both"/>
      </w:pPr>
      <w:r>
        <w:rPr/>
        <w:t>A5.1.1</w:t>
      </w:r>
      <w:r>
        <w:rPr>
          <w:spacing w:val="-6"/>
        </w:rPr>
        <w:t> 除第二章“投标人须知”前附表第 </w:t>
      </w:r>
      <w:r>
        <w:rPr/>
        <w:t>7.1</w:t>
      </w:r>
      <w:r>
        <w:rPr>
          <w:spacing w:val="-11"/>
        </w:rPr>
        <w:t> 款授权直接确定中标人外，评标委员会在推</w:t>
      </w:r>
      <w:r>
        <w:rPr>
          <w:spacing w:val="-6"/>
        </w:rPr>
        <w:t>荐中标候选人时，应遵照以下原则：</w:t>
      </w:r>
      <w:r>
        <w:rPr/>
        <w:t> </w:t>
      </w:r>
    </w:p>
    <w:p>
      <w:pPr>
        <w:pStyle w:val="ListParagraph"/>
        <w:numPr>
          <w:ilvl w:val="0"/>
          <w:numId w:val="62"/>
        </w:numPr>
        <w:tabs>
          <w:tab w:pos="1625" w:val="left" w:leader="none"/>
        </w:tabs>
        <w:spacing w:line="364" w:lineRule="auto" w:before="0" w:after="0"/>
        <w:ind w:left="675" w:right="1151" w:firstLine="419"/>
        <w:jc w:val="both"/>
        <w:rPr>
          <w:sz w:val="21"/>
        </w:rPr>
      </w:pPr>
      <w:r>
        <w:rPr>
          <w:spacing w:val="-4"/>
          <w:sz w:val="21"/>
        </w:rPr>
        <w:t>评标委员会按照最终得分由高至低的次序排列，并根据第二章“投标人须知”前附 </w:t>
      </w:r>
      <w:r>
        <w:rPr>
          <w:spacing w:val="-18"/>
          <w:sz w:val="21"/>
        </w:rPr>
        <w:t>表第 </w:t>
      </w:r>
      <w:r>
        <w:rPr>
          <w:sz w:val="21"/>
        </w:rPr>
        <w:t>7.1</w:t>
      </w:r>
      <w:r>
        <w:rPr>
          <w:spacing w:val="-9"/>
          <w:sz w:val="21"/>
        </w:rPr>
        <w:t> 款规定及本章的规定推荐中标候选人。</w:t>
      </w:r>
      <w:r>
        <w:rPr>
          <w:sz w:val="21"/>
        </w:rPr>
        <w:t> </w:t>
      </w:r>
    </w:p>
    <w:p>
      <w:pPr>
        <w:pStyle w:val="ListParagraph"/>
        <w:numPr>
          <w:ilvl w:val="0"/>
          <w:numId w:val="62"/>
        </w:numPr>
        <w:tabs>
          <w:tab w:pos="1625" w:val="left" w:leader="none"/>
        </w:tabs>
        <w:spacing w:line="364" w:lineRule="auto" w:before="0" w:after="0"/>
        <w:ind w:left="675" w:right="1151" w:firstLine="419"/>
        <w:jc w:val="both"/>
        <w:rPr>
          <w:sz w:val="21"/>
        </w:rPr>
      </w:pPr>
      <w:r>
        <w:rPr>
          <w:spacing w:val="-5"/>
          <w:sz w:val="21"/>
        </w:rPr>
        <w:t>如果评标委员会根据本章的规定作否决投标处理后，有效投标不足三个，且少于第二</w:t>
      </w:r>
      <w:r>
        <w:rPr>
          <w:spacing w:val="-4"/>
          <w:sz w:val="21"/>
        </w:rPr>
        <w:t>章“投标人须知”前附表第 </w:t>
      </w:r>
      <w:r>
        <w:rPr>
          <w:sz w:val="21"/>
        </w:rPr>
        <w:t>7.1</w:t>
      </w:r>
      <w:r>
        <w:rPr>
          <w:spacing w:val="-3"/>
          <w:sz w:val="21"/>
        </w:rPr>
        <w:t> 款规定的中标候选人数量的，如经评标委员会评定仍具备竞争</w:t>
      </w:r>
      <w:r>
        <w:rPr>
          <w:spacing w:val="-4"/>
          <w:sz w:val="21"/>
        </w:rPr>
        <w:t>性的，可以将所有有效投标按最终得分由高至低的次序作为中标候选人向招标人推荐。如果因</w:t>
      </w:r>
      <w:r>
        <w:rPr>
          <w:spacing w:val="-1"/>
          <w:sz w:val="21"/>
        </w:rPr>
        <w:t>评标委员会否决投标后有效投标不足三个且评标委员会评定投标明显缺乏竞争的，评标委员会</w:t>
      </w:r>
      <w:r>
        <w:rPr>
          <w:spacing w:val="-3"/>
          <w:sz w:val="21"/>
        </w:rPr>
        <w:t>可以否决所有投标。</w:t>
      </w:r>
      <w:r>
        <w:rPr>
          <w:sz w:val="21"/>
        </w:rPr>
        <w:t> </w:t>
      </w:r>
    </w:p>
    <w:p>
      <w:pPr>
        <w:pStyle w:val="BodyText"/>
        <w:spacing w:line="364" w:lineRule="auto"/>
        <w:ind w:left="675" w:right="1110" w:firstLine="419"/>
      </w:pPr>
      <w:r>
        <w:rPr/>
        <w:t>A5.1.2 投标截止时间前递交投标文件的投标人数量少于三个或者所有投标被否决的，招标人应当依法重新招标。 </w:t>
      </w:r>
    </w:p>
    <w:p>
      <w:pPr>
        <w:pStyle w:val="BodyText"/>
        <w:spacing w:line="267" w:lineRule="exact"/>
        <w:ind w:left="1095"/>
      </w:pPr>
      <w:r>
        <w:rPr/>
        <w:t>A5.2 直接确定中标人 </w:t>
      </w:r>
    </w:p>
    <w:p>
      <w:pPr>
        <w:pStyle w:val="BodyText"/>
        <w:spacing w:line="367" w:lineRule="auto" w:before="135"/>
        <w:ind w:left="675" w:right="1156" w:firstLine="419"/>
      </w:pPr>
      <w:r>
        <w:rPr/>
        <w:t>第二章“投标人须知”前附表授权评标委员会直接确定中标人的，评标委员会按照最终得分由高至低的次序排列，按照本章的规定直接确定中标人。 </w:t>
      </w:r>
    </w:p>
    <w:p>
      <w:pPr>
        <w:pStyle w:val="BodyText"/>
        <w:spacing w:line="265" w:lineRule="exact"/>
        <w:ind w:left="1095"/>
      </w:pPr>
      <w:r>
        <w:rPr/>
        <w:t>A5.3 编制评标报告 </w:t>
      </w:r>
    </w:p>
    <w:p>
      <w:pPr>
        <w:pStyle w:val="BodyText"/>
        <w:spacing w:line="364" w:lineRule="auto" w:before="139"/>
        <w:ind w:left="675" w:right="1157" w:firstLine="419"/>
      </w:pPr>
      <w:r>
        <w:rPr/>
        <w:t>评标委员会向招标人提交评标报告。评标报告应当由全体评标委员会成员加盖个人电子印章，并于评标结束时抄送有关行政监督部门。评标报告应当包括但不限于以下内容： </w:t>
      </w:r>
    </w:p>
    <w:p>
      <w:pPr>
        <w:pStyle w:val="ListParagraph"/>
        <w:numPr>
          <w:ilvl w:val="0"/>
          <w:numId w:val="63"/>
        </w:numPr>
        <w:tabs>
          <w:tab w:pos="1625" w:val="left" w:leader="none"/>
        </w:tabs>
        <w:spacing w:line="267" w:lineRule="exact" w:before="0" w:after="0"/>
        <w:ind w:left="1624" w:right="0" w:hanging="530"/>
        <w:jc w:val="left"/>
        <w:rPr>
          <w:sz w:val="21"/>
        </w:rPr>
      </w:pPr>
      <w:r>
        <w:rPr>
          <w:spacing w:val="-3"/>
          <w:sz w:val="21"/>
        </w:rPr>
        <w:t>基本情况和数据表；</w:t>
      </w:r>
      <w:r>
        <w:rPr>
          <w:sz w:val="21"/>
        </w:rPr>
        <w:t> </w:t>
      </w:r>
    </w:p>
    <w:p>
      <w:pPr>
        <w:pStyle w:val="ListParagraph"/>
        <w:numPr>
          <w:ilvl w:val="0"/>
          <w:numId w:val="63"/>
        </w:numPr>
        <w:tabs>
          <w:tab w:pos="1625" w:val="left" w:leader="none"/>
        </w:tabs>
        <w:spacing w:line="240" w:lineRule="auto" w:before="142" w:after="0"/>
        <w:ind w:left="1624" w:right="0" w:hanging="530"/>
        <w:jc w:val="left"/>
        <w:rPr>
          <w:sz w:val="21"/>
        </w:rPr>
      </w:pPr>
      <w:r>
        <w:rPr>
          <w:spacing w:val="-3"/>
          <w:sz w:val="21"/>
        </w:rPr>
        <w:t>评标委员会成员名单； </w:t>
      </w:r>
    </w:p>
    <w:p>
      <w:pPr>
        <w:pStyle w:val="ListParagraph"/>
        <w:numPr>
          <w:ilvl w:val="0"/>
          <w:numId w:val="63"/>
        </w:numPr>
        <w:tabs>
          <w:tab w:pos="1625" w:val="left" w:leader="none"/>
        </w:tabs>
        <w:spacing w:line="240" w:lineRule="auto" w:before="139" w:after="0"/>
        <w:ind w:left="1624" w:right="0" w:hanging="530"/>
        <w:jc w:val="left"/>
        <w:rPr>
          <w:sz w:val="21"/>
        </w:rPr>
      </w:pPr>
      <w:r>
        <w:rPr>
          <w:spacing w:val="-3"/>
          <w:sz w:val="21"/>
        </w:rPr>
        <w:t>开标记录；</w:t>
      </w:r>
      <w:r>
        <w:rPr>
          <w:sz w:val="21"/>
        </w:rPr>
        <w:t> </w:t>
      </w:r>
    </w:p>
    <w:p>
      <w:pPr>
        <w:pStyle w:val="ListParagraph"/>
        <w:numPr>
          <w:ilvl w:val="0"/>
          <w:numId w:val="63"/>
        </w:numPr>
        <w:tabs>
          <w:tab w:pos="1625" w:val="left" w:leader="none"/>
        </w:tabs>
        <w:spacing w:line="240" w:lineRule="auto" w:before="139" w:after="0"/>
        <w:ind w:left="1624" w:right="0" w:hanging="530"/>
        <w:jc w:val="left"/>
        <w:rPr>
          <w:sz w:val="21"/>
        </w:rPr>
      </w:pPr>
      <w:r>
        <w:rPr>
          <w:spacing w:val="-3"/>
          <w:sz w:val="21"/>
        </w:rPr>
        <w:t>符合要求的投标一览表；</w:t>
      </w:r>
      <w:r>
        <w:rPr>
          <w:sz w:val="21"/>
        </w:rPr>
        <w:t> </w:t>
      </w:r>
    </w:p>
    <w:p>
      <w:pPr>
        <w:pStyle w:val="ListParagraph"/>
        <w:numPr>
          <w:ilvl w:val="0"/>
          <w:numId w:val="63"/>
        </w:numPr>
        <w:tabs>
          <w:tab w:pos="1625" w:val="left" w:leader="none"/>
        </w:tabs>
        <w:spacing w:line="240" w:lineRule="auto" w:before="138" w:after="0"/>
        <w:ind w:left="1624" w:right="0" w:hanging="530"/>
        <w:jc w:val="left"/>
        <w:rPr>
          <w:sz w:val="21"/>
        </w:rPr>
      </w:pPr>
      <w:r>
        <w:rPr>
          <w:spacing w:val="-3"/>
          <w:sz w:val="21"/>
        </w:rPr>
        <w:t>否决投标情况说明；</w:t>
      </w:r>
      <w:r>
        <w:rPr>
          <w:sz w:val="21"/>
        </w:rPr>
        <w:t> </w:t>
      </w:r>
    </w:p>
    <w:p>
      <w:pPr>
        <w:pStyle w:val="ListParagraph"/>
        <w:numPr>
          <w:ilvl w:val="0"/>
          <w:numId w:val="63"/>
        </w:numPr>
        <w:tabs>
          <w:tab w:pos="1625" w:val="left" w:leader="none"/>
        </w:tabs>
        <w:spacing w:line="240" w:lineRule="auto" w:before="142" w:after="0"/>
        <w:ind w:left="1624" w:right="0" w:hanging="530"/>
        <w:jc w:val="left"/>
        <w:rPr>
          <w:sz w:val="21"/>
        </w:rPr>
      </w:pPr>
      <w:r>
        <w:rPr>
          <w:spacing w:val="-3"/>
          <w:sz w:val="21"/>
        </w:rPr>
        <w:t>评标标准、评标方法或者评标因素一览表；</w:t>
      </w:r>
      <w:r>
        <w:rPr>
          <w:sz w:val="21"/>
        </w:rPr>
        <w:t> </w:t>
      </w:r>
    </w:p>
    <w:p>
      <w:pPr>
        <w:pStyle w:val="ListParagraph"/>
        <w:numPr>
          <w:ilvl w:val="0"/>
          <w:numId w:val="63"/>
        </w:numPr>
        <w:tabs>
          <w:tab w:pos="1625" w:val="left" w:leader="none"/>
        </w:tabs>
        <w:spacing w:line="364" w:lineRule="auto" w:before="139" w:after="0"/>
        <w:ind w:left="675" w:right="1151" w:firstLine="419"/>
        <w:jc w:val="left"/>
        <w:rPr>
          <w:sz w:val="21"/>
        </w:rPr>
      </w:pPr>
      <w:r>
        <w:rPr>
          <w:spacing w:val="-5"/>
          <w:sz w:val="21"/>
        </w:rPr>
        <w:t>经评审的价格一览表</w:t>
      </w:r>
      <w:r>
        <w:rPr>
          <w:sz w:val="21"/>
        </w:rPr>
        <w:t>（</w:t>
      </w:r>
      <w:r>
        <w:rPr>
          <w:spacing w:val="-4"/>
          <w:sz w:val="21"/>
        </w:rPr>
        <w:t>包括评标委员会在评标过程中所形成的所有记载评标结果、</w:t>
      </w:r>
      <w:r>
        <w:rPr>
          <w:w w:val="100"/>
          <w:sz w:val="21"/>
        </w:rPr>
        <w:t>结</w:t>
      </w:r>
      <w:r>
        <w:rPr>
          <w:spacing w:val="-3"/>
          <w:w w:val="100"/>
          <w:sz w:val="21"/>
        </w:rPr>
        <w:t>论的表格、说明、记录等文件</w:t>
      </w:r>
      <w:r>
        <w:rPr>
          <w:spacing w:val="-108"/>
          <w:w w:val="100"/>
          <w:sz w:val="21"/>
        </w:rPr>
        <w:t>）</w:t>
      </w:r>
      <w:r>
        <w:rPr>
          <w:spacing w:val="-3"/>
          <w:w w:val="100"/>
          <w:sz w:val="21"/>
        </w:rPr>
        <w:t>；</w:t>
      </w:r>
      <w:r>
        <w:rPr>
          <w:w w:val="100"/>
          <w:sz w:val="21"/>
        </w:rPr>
        <w:t> </w:t>
      </w:r>
    </w:p>
    <w:p>
      <w:pPr>
        <w:pStyle w:val="ListParagraph"/>
        <w:numPr>
          <w:ilvl w:val="0"/>
          <w:numId w:val="63"/>
        </w:numPr>
        <w:tabs>
          <w:tab w:pos="1625" w:val="left" w:leader="none"/>
        </w:tabs>
        <w:spacing w:line="267" w:lineRule="exact" w:before="0" w:after="0"/>
        <w:ind w:left="1624" w:right="0" w:hanging="530"/>
        <w:jc w:val="left"/>
        <w:rPr>
          <w:sz w:val="21"/>
        </w:rPr>
      </w:pPr>
      <w:r>
        <w:rPr>
          <w:spacing w:val="-3"/>
          <w:sz w:val="21"/>
        </w:rPr>
        <w:t>经评审的投标人排序； </w:t>
      </w:r>
    </w:p>
    <w:p>
      <w:pPr>
        <w:pStyle w:val="ListParagraph"/>
        <w:numPr>
          <w:ilvl w:val="0"/>
          <w:numId w:val="63"/>
        </w:numPr>
        <w:tabs>
          <w:tab w:pos="1625" w:val="left" w:leader="none"/>
        </w:tabs>
        <w:spacing w:line="367" w:lineRule="auto" w:before="139" w:after="0"/>
        <w:ind w:left="675" w:right="1151" w:firstLine="419"/>
        <w:jc w:val="left"/>
        <w:rPr>
          <w:sz w:val="21"/>
        </w:rPr>
      </w:pPr>
      <w:r>
        <w:rPr>
          <w:spacing w:val="-5"/>
          <w:sz w:val="21"/>
        </w:rPr>
        <w:t>推荐的中标候选人名单</w:t>
      </w:r>
      <w:r>
        <w:rPr>
          <w:sz w:val="21"/>
        </w:rPr>
        <w:t>（</w:t>
      </w:r>
      <w:r>
        <w:rPr>
          <w:spacing w:val="-3"/>
          <w:sz w:val="21"/>
        </w:rPr>
        <w:t>如果第二章“投标人须知”前附表授权评标委员会直接确 定中标人，则为“确定的中标人”</w:t>
      </w:r>
      <w:r>
        <w:rPr>
          <w:sz w:val="21"/>
        </w:rPr>
        <w:t>）</w:t>
      </w:r>
      <w:r>
        <w:rPr>
          <w:spacing w:val="-3"/>
          <w:sz w:val="21"/>
        </w:rPr>
        <w:t>与签订合同前要处理的事宜；</w:t>
      </w:r>
      <w:r>
        <w:rPr>
          <w:sz w:val="21"/>
        </w:rPr>
        <w:t> </w:t>
      </w:r>
    </w:p>
    <w:p>
      <w:pPr>
        <w:pStyle w:val="ListParagraph"/>
        <w:numPr>
          <w:ilvl w:val="0"/>
          <w:numId w:val="63"/>
        </w:numPr>
        <w:tabs>
          <w:tab w:pos="1731" w:val="left" w:leader="none"/>
        </w:tabs>
        <w:spacing w:line="264" w:lineRule="exact" w:before="0" w:after="0"/>
        <w:ind w:left="1730" w:right="0" w:hanging="636"/>
        <w:jc w:val="left"/>
        <w:rPr>
          <w:rFonts w:ascii="Microsoft JhengHei" w:eastAsia="Microsoft JhengHei" w:hint="eastAsia"/>
          <w:b/>
          <w:sz w:val="21"/>
        </w:rPr>
      </w:pPr>
      <w:r>
        <w:rPr>
          <w:spacing w:val="-3"/>
          <w:sz w:val="21"/>
        </w:rPr>
        <w:t>澄清、说明、补正事项纪要。</w:t>
      </w:r>
      <w:r>
        <w:rPr>
          <w:rFonts w:ascii="Microsoft JhengHei" w:eastAsia="Microsoft JhengHei" w:hint="eastAsia"/>
          <w:b/>
          <w:w w:val="201"/>
          <w:sz w:val="21"/>
        </w:rPr>
        <w:t> </w:t>
      </w:r>
    </w:p>
    <w:p>
      <w:pPr>
        <w:spacing w:after="0" w:line="264" w:lineRule="exact"/>
        <w:jc w:val="left"/>
        <w:rPr>
          <w:rFonts w:ascii="Microsoft JhengHei" w:eastAsia="Microsoft JhengHei" w:hint="eastAsia"/>
          <w:sz w:val="21"/>
        </w:rPr>
        <w:sectPr>
          <w:pgSz w:w="11910" w:h="16850"/>
          <w:pgMar w:header="0" w:footer="779" w:top="1400" w:bottom="1040" w:left="1120" w:right="280"/>
        </w:sectPr>
      </w:pPr>
    </w:p>
    <w:p>
      <w:pPr>
        <w:pStyle w:val="Heading2"/>
        <w:spacing w:line="522" w:lineRule="exact"/>
        <w:ind w:left="678"/>
      </w:pPr>
      <w:bookmarkStart w:name="A6 特殊情况的处置程序" w:id="250"/>
      <w:bookmarkEnd w:id="250"/>
      <w:r>
        <w:rPr>
          <w:b w:val="0"/>
        </w:rPr>
      </w:r>
      <w:bookmarkStart w:name="_bookmark92" w:id="251"/>
      <w:bookmarkEnd w:id="251"/>
      <w:r>
        <w:rPr>
          <w:b w:val="0"/>
        </w:rPr>
      </w:r>
      <w:r>
        <w:rPr/>
        <w:t>A6 特殊情况的处置程序</w:t>
      </w:r>
      <w:r>
        <w:rPr>
          <w:w w:val="199"/>
        </w:rPr>
        <w:t> </w:t>
      </w:r>
    </w:p>
    <w:p>
      <w:pPr>
        <w:pStyle w:val="BodyText"/>
        <w:ind w:left="0"/>
        <w:rPr>
          <w:rFonts w:ascii="Microsoft JhengHei"/>
          <w:b/>
          <w:sz w:val="16"/>
        </w:rPr>
      </w:pPr>
    </w:p>
    <w:p>
      <w:pPr>
        <w:pStyle w:val="BodyText"/>
        <w:ind w:left="1098"/>
      </w:pPr>
      <w:r>
        <w:rPr/>
        <w:t>A6.1 关于评标活动暂停 </w:t>
      </w:r>
    </w:p>
    <w:p>
      <w:pPr>
        <w:pStyle w:val="BodyText"/>
        <w:spacing w:line="364" w:lineRule="auto" w:before="139"/>
        <w:ind w:left="675" w:right="1153" w:firstLine="419"/>
      </w:pPr>
      <w:r>
        <w:rPr/>
        <w:t>A6.1.1</w:t>
      </w:r>
      <w:r>
        <w:rPr>
          <w:spacing w:val="-7"/>
        </w:rPr>
        <w:t> 评标委员会应当执行连续评标的原则，按评标办法中规定的程序、内容、方法、标</w:t>
      </w:r>
      <w:r>
        <w:rPr>
          <w:spacing w:val="-5"/>
        </w:rPr>
        <w:t>准完成全部评标工作。只有发生不可抗力导致评标工作无法继续时，评标活动方可暂停。 </w:t>
      </w:r>
    </w:p>
    <w:p>
      <w:pPr>
        <w:pStyle w:val="BodyText"/>
        <w:spacing w:line="364" w:lineRule="auto"/>
        <w:ind w:left="675" w:right="1096" w:firstLine="419"/>
      </w:pPr>
      <w:r>
        <w:rPr/>
        <w:t>A6.1.2 发生评标暂停情况时，评标委员会应当封存全部投标文件和评标记录，待不可抗力的影响结束且具备继续评标的条件时，由原评标委员会继续评标。 </w:t>
      </w:r>
    </w:p>
    <w:p>
      <w:pPr>
        <w:pStyle w:val="BodyText"/>
        <w:ind w:left="1098"/>
      </w:pPr>
      <w:r>
        <w:rPr/>
        <w:t>A6.2 关于评标中途更换评委 </w:t>
      </w:r>
    </w:p>
    <w:p>
      <w:pPr>
        <w:pStyle w:val="BodyText"/>
        <w:spacing w:before="137"/>
        <w:ind w:left="1098"/>
      </w:pPr>
      <w:r>
        <w:rPr/>
        <w:t>A6.2.1 除非发生下列情况之一，评标委员会成员不得在评标中途更换： </w:t>
      </w:r>
    </w:p>
    <w:p>
      <w:pPr>
        <w:pStyle w:val="ListParagraph"/>
        <w:numPr>
          <w:ilvl w:val="0"/>
          <w:numId w:val="64"/>
        </w:numPr>
        <w:tabs>
          <w:tab w:pos="1627" w:val="left" w:leader="none"/>
        </w:tabs>
        <w:spacing w:line="240" w:lineRule="auto" w:before="140" w:after="0"/>
        <w:ind w:left="1627" w:right="0" w:hanging="529"/>
        <w:jc w:val="left"/>
        <w:rPr>
          <w:sz w:val="21"/>
        </w:rPr>
      </w:pPr>
      <w:r>
        <w:rPr>
          <w:spacing w:val="-3"/>
          <w:sz w:val="21"/>
        </w:rPr>
        <w:t>因不可抗拒的客观原因，不能到场或需在评标中途退出评标活动。 </w:t>
      </w:r>
    </w:p>
    <w:p>
      <w:pPr>
        <w:pStyle w:val="ListParagraph"/>
        <w:numPr>
          <w:ilvl w:val="0"/>
          <w:numId w:val="64"/>
        </w:numPr>
        <w:tabs>
          <w:tab w:pos="1625" w:val="left" w:leader="none"/>
        </w:tabs>
        <w:spacing w:line="240" w:lineRule="auto" w:before="139" w:after="0"/>
        <w:ind w:left="1624" w:right="0" w:hanging="530"/>
        <w:jc w:val="left"/>
        <w:rPr>
          <w:sz w:val="21"/>
        </w:rPr>
      </w:pPr>
      <w:r>
        <w:rPr>
          <w:spacing w:val="-3"/>
          <w:sz w:val="21"/>
        </w:rPr>
        <w:t>根据法律法规规定，某个或某几个评标委员会成员需要回避。</w:t>
      </w:r>
      <w:r>
        <w:rPr>
          <w:sz w:val="21"/>
        </w:rPr>
        <w:t> </w:t>
      </w:r>
    </w:p>
    <w:p>
      <w:pPr>
        <w:pStyle w:val="BodyText"/>
        <w:spacing w:line="367" w:lineRule="auto" w:before="139"/>
        <w:ind w:left="675" w:right="1110" w:firstLine="419"/>
      </w:pPr>
      <w:r>
        <w:rPr/>
        <w:t>A6.2.2 退出评标的评标委员会成员，其已完成的评标行为无效。由招标人根据本招标文件规定的评标委员会成员生产方式另行确定替代者进行评标。 </w:t>
      </w:r>
    </w:p>
    <w:p>
      <w:pPr>
        <w:pStyle w:val="BodyText"/>
        <w:spacing w:line="264" w:lineRule="exact"/>
        <w:ind w:left="1098"/>
      </w:pPr>
      <w:r>
        <w:rPr/>
        <w:t>A6.3 记名投票 </w:t>
      </w:r>
    </w:p>
    <w:p>
      <w:pPr>
        <w:pStyle w:val="BodyText"/>
        <w:spacing w:line="364" w:lineRule="auto" w:before="139"/>
        <w:ind w:left="675" w:right="1157" w:firstLine="419"/>
        <w:rPr>
          <w:rFonts w:ascii="Microsoft JhengHei" w:eastAsia="Microsoft JhengHei" w:hint="eastAsia"/>
          <w:b/>
        </w:rPr>
      </w:pPr>
      <w:r>
        <w:rPr/>
        <w:t>需评标委员会就某项定性的评审结论做出表决的，由评标委员会全体成员按照少数服从多数的原则，以记名投票方式表决。</w:t>
      </w:r>
      <w:r>
        <w:rPr>
          <w:rFonts w:ascii="Microsoft JhengHei" w:eastAsia="Microsoft JhengHei" w:hint="eastAsia"/>
          <w:b/>
          <w:w w:val="201"/>
        </w:rPr>
        <w:t> </w:t>
      </w:r>
    </w:p>
    <w:p>
      <w:pPr>
        <w:pStyle w:val="Heading2"/>
        <w:spacing w:line="541" w:lineRule="exact"/>
        <w:ind w:left="678"/>
      </w:pPr>
      <w:bookmarkStart w:name="A7 补充条款" w:id="252"/>
      <w:bookmarkEnd w:id="252"/>
      <w:r>
        <w:rPr>
          <w:b w:val="0"/>
        </w:rPr>
      </w:r>
      <w:bookmarkStart w:name="_bookmark93" w:id="253"/>
      <w:bookmarkEnd w:id="253"/>
      <w:r>
        <w:rPr>
          <w:b w:val="0"/>
        </w:rPr>
      </w:r>
      <w:r>
        <w:rPr/>
        <w:t>A7 补充条款</w:t>
      </w:r>
      <w:r>
        <w:rPr>
          <w:w w:val="199"/>
        </w:rPr>
        <w:t> </w:t>
      </w:r>
    </w:p>
    <w:p>
      <w:pPr>
        <w:pStyle w:val="BodyText"/>
        <w:spacing w:before="16"/>
        <w:ind w:left="0"/>
        <w:rPr>
          <w:rFonts w:ascii="Microsoft JhengHei"/>
          <w:b/>
          <w:sz w:val="15"/>
        </w:rPr>
      </w:pPr>
    </w:p>
    <w:p>
      <w:pPr>
        <w:pStyle w:val="BodyText"/>
        <w:spacing w:line="242" w:lineRule="auto"/>
        <w:ind w:left="1090" w:right="1150"/>
        <w:jc w:val="both"/>
        <w:rPr>
          <w:rFonts w:ascii="Microsoft JhengHei" w:eastAsia="Microsoft JhengHei" w:hint="eastAsia"/>
          <w:b/>
        </w:rPr>
      </w:pPr>
      <w:r>
        <w:rPr>
          <w:spacing w:val="-12"/>
        </w:rPr>
        <w:t>根据《评标委员会和评标方法暂行规定》、《评标专家和评标专家库管理暂行办法》相关规</w:t>
      </w:r>
      <w:r>
        <w:rPr>
          <w:spacing w:val="-13"/>
        </w:rPr>
        <w:t>定，评标委员会不得透露对投标文件的评审和比较、中标候选人的推荐情况以及与评标有</w:t>
      </w:r>
      <w:r>
        <w:rPr>
          <w:spacing w:val="-1"/>
        </w:rPr>
        <w:t>关的其他情况。对评标结论持有异议的评标委员会成员可以书面方式阐述其不同意见和理由。评标委员会成员拒绝在评标报告上签字且不陈述其不同意见和理由的，视为同意评标</w:t>
      </w:r>
      <w:r>
        <w:rPr>
          <w:spacing w:val="-3"/>
        </w:rPr>
        <w:t>结论；评标委员会应当对此作出书面说明并记录在案。</w:t>
      </w:r>
      <w:r>
        <w:rPr>
          <w:rFonts w:ascii="Microsoft JhengHei" w:eastAsia="Microsoft JhengHei" w:hint="eastAsia"/>
          <w:b/>
          <w:w w:val="201"/>
        </w:rPr>
        <w:t> </w:t>
      </w:r>
    </w:p>
    <w:p>
      <w:pPr>
        <w:pStyle w:val="BodyText"/>
        <w:spacing w:before="5"/>
        <w:ind w:left="1095"/>
      </w:pPr>
      <w:r>
        <w:rPr>
          <w:w w:val="100"/>
        </w:rPr>
        <w:t> </w:t>
      </w:r>
    </w:p>
    <w:p>
      <w:pPr>
        <w:pStyle w:val="BodyText"/>
        <w:ind w:left="0"/>
        <w:rPr>
          <w:sz w:val="20"/>
        </w:rPr>
      </w:pPr>
    </w:p>
    <w:p>
      <w:pPr>
        <w:pStyle w:val="BodyText"/>
        <w:spacing w:before="153"/>
        <w:ind w:left="1095"/>
      </w:pPr>
      <w:r>
        <w:rPr>
          <w:w w:val="100"/>
        </w:rPr>
        <w:t> </w:t>
      </w:r>
    </w:p>
    <w:p>
      <w:pPr>
        <w:pStyle w:val="BodyText"/>
        <w:spacing w:before="139"/>
        <w:ind w:left="1095"/>
      </w:pPr>
      <w:r>
        <w:rPr>
          <w:w w:val="100"/>
        </w:rPr>
        <w:t> </w:t>
      </w:r>
    </w:p>
    <w:p>
      <w:pPr>
        <w:pStyle w:val="BodyText"/>
        <w:spacing w:before="3"/>
        <w:ind w:left="0"/>
        <w:rPr>
          <w:sz w:val="8"/>
        </w:rPr>
      </w:pPr>
    </w:p>
    <w:p>
      <w:pPr>
        <w:pStyle w:val="Heading1"/>
        <w:spacing w:line="701" w:lineRule="exact"/>
        <w:ind w:right="632"/>
        <w:rPr>
          <w:rFonts w:ascii="宋体" w:eastAsia="宋体" w:hint="eastAsia"/>
          <w:b w:val="0"/>
          <w:sz w:val="28"/>
        </w:rPr>
      </w:pPr>
      <w:bookmarkStart w:name="附件B  否决投标条件" w:id="254"/>
      <w:bookmarkEnd w:id="254"/>
      <w:r>
        <w:rPr>
          <w:b w:val="0"/>
        </w:rPr>
      </w:r>
      <w:bookmarkStart w:name="_bookmark94" w:id="255"/>
      <w:bookmarkEnd w:id="255"/>
      <w:r>
        <w:rPr>
          <w:b w:val="0"/>
        </w:rPr>
      </w:r>
      <w:r>
        <w:rPr/>
        <w:t>附件 B 否决投标条件</w:t>
      </w:r>
      <w:r>
        <w:rPr>
          <w:rFonts w:ascii="宋体" w:eastAsia="宋体" w:hint="eastAsia"/>
          <w:b w:val="0"/>
          <w:w w:val="100"/>
          <w:sz w:val="28"/>
        </w:rPr>
        <w:t> </w:t>
      </w:r>
    </w:p>
    <w:p>
      <w:pPr>
        <w:pStyle w:val="BodyText"/>
        <w:spacing w:before="1"/>
        <w:ind w:left="0"/>
        <w:rPr>
          <w:sz w:val="15"/>
        </w:rPr>
      </w:pPr>
    </w:p>
    <w:p>
      <w:pPr>
        <w:pStyle w:val="Heading2"/>
        <w:spacing w:line="538" w:lineRule="exact"/>
        <w:ind w:left="678"/>
      </w:pPr>
      <w:bookmarkStart w:name="B0 总  则" w:id="256"/>
      <w:bookmarkEnd w:id="256"/>
      <w:r>
        <w:rPr>
          <w:b w:val="0"/>
        </w:rPr>
      </w:r>
      <w:bookmarkStart w:name="_bookmark95" w:id="257"/>
      <w:bookmarkEnd w:id="257"/>
      <w:r>
        <w:rPr>
          <w:b w:val="0"/>
        </w:rPr>
      </w:r>
      <w:r>
        <w:rPr/>
        <w:t>B0 总 则</w:t>
      </w:r>
      <w:r>
        <w:rPr>
          <w:w w:val="199"/>
        </w:rPr>
        <w:t> </w:t>
      </w:r>
    </w:p>
    <w:p>
      <w:pPr>
        <w:pStyle w:val="BodyText"/>
        <w:ind w:left="0"/>
        <w:rPr>
          <w:rFonts w:ascii="Microsoft JhengHei"/>
          <w:b/>
          <w:sz w:val="16"/>
        </w:rPr>
      </w:pPr>
    </w:p>
    <w:p>
      <w:pPr>
        <w:pStyle w:val="BodyText"/>
        <w:spacing w:line="364" w:lineRule="auto"/>
        <w:ind w:right="1151" w:firstLine="419"/>
        <w:jc w:val="both"/>
      </w:pPr>
      <w:r>
        <w:rPr/>
        <w:t>本附件所集中列示的否决投标条件，是本章“评标办法”的组成部分，是对第二章“投标人须知”和本章正文部分所规定的否决投标条件的总结和补充，如果出现相互矛盾的情况，以第二章“投标人须知”和本章正文部分的规定为准。 </w:t>
      </w:r>
    </w:p>
    <w:p>
      <w:pPr>
        <w:spacing w:after="0" w:line="364" w:lineRule="auto"/>
        <w:jc w:val="both"/>
        <w:sectPr>
          <w:pgSz w:w="11910" w:h="16850"/>
          <w:pgMar w:header="0" w:footer="779" w:top="1400" w:bottom="1040" w:left="1120" w:right="280"/>
        </w:sectPr>
      </w:pPr>
    </w:p>
    <w:p>
      <w:pPr>
        <w:pStyle w:val="Heading2"/>
        <w:spacing w:line="522" w:lineRule="exact"/>
        <w:ind w:left="678"/>
      </w:pPr>
      <w:bookmarkStart w:name="B1 否决投标条件" w:id="258"/>
      <w:bookmarkEnd w:id="258"/>
      <w:r>
        <w:rPr>
          <w:b w:val="0"/>
        </w:rPr>
      </w:r>
      <w:bookmarkStart w:name="_bookmark96" w:id="259"/>
      <w:bookmarkEnd w:id="259"/>
      <w:r>
        <w:rPr>
          <w:b w:val="0"/>
        </w:rPr>
      </w:r>
      <w:r>
        <w:rPr/>
        <w:t>B1 否决投标条件</w:t>
      </w:r>
      <w:r>
        <w:rPr>
          <w:w w:val="199"/>
        </w:rPr>
        <w:t> </w:t>
      </w:r>
    </w:p>
    <w:p>
      <w:pPr>
        <w:pStyle w:val="BodyText"/>
        <w:ind w:left="0"/>
        <w:rPr>
          <w:rFonts w:ascii="Microsoft JhengHei"/>
          <w:b/>
          <w:sz w:val="16"/>
        </w:rPr>
      </w:pPr>
    </w:p>
    <w:p>
      <w:pPr>
        <w:pStyle w:val="BodyText"/>
        <w:ind w:left="1098"/>
      </w:pPr>
      <w:r>
        <w:rPr/>
        <w:t>投标人或其投标文件有下列情形之一的，其投标作否决投标处理： </w:t>
      </w:r>
    </w:p>
    <w:p>
      <w:pPr>
        <w:pStyle w:val="BodyText"/>
        <w:spacing w:line="364" w:lineRule="auto" w:before="139"/>
        <w:ind w:left="1098" w:right="2357"/>
      </w:pPr>
      <w:r>
        <w:rPr/>
        <w:t>B1.1 有第二章“投标人须知”第 1.4.3、1.4.4 项规定的任何一种情形的； B1.2 有串通投标或弄虚作假或有其他违法行为的； </w:t>
      </w:r>
    </w:p>
    <w:p>
      <w:pPr>
        <w:pStyle w:val="BodyText"/>
        <w:spacing w:line="267" w:lineRule="exact"/>
        <w:ind w:left="1098"/>
      </w:pPr>
      <w:r>
        <w:rPr/>
        <w:t>B1.3 不按评标委员会要求澄清、说明或补正的； </w:t>
      </w:r>
    </w:p>
    <w:p>
      <w:pPr>
        <w:pStyle w:val="BodyText"/>
        <w:spacing w:line="364" w:lineRule="auto" w:before="139"/>
        <w:ind w:right="1105" w:firstLine="419"/>
        <w:jc w:val="both"/>
      </w:pPr>
      <w:r>
        <w:rPr/>
        <w:t>B1.4</w:t>
      </w:r>
      <w:r>
        <w:rPr>
          <w:spacing w:val="-18"/>
        </w:rPr>
        <w:t> 在资格评审、形式评审、响应性评审中，评标委员会认定投标人的投标文件不符合“评标办法前附表”中规定的任何一项评审标准的【备注：如资格审查采用有限数量制时，资格审</w:t>
      </w:r>
      <w:r>
        <w:rPr>
          <w:spacing w:val="-9"/>
        </w:rPr>
        <w:t>查的评审内容按打分制给予对应分值，无相关证明材料的给予 </w:t>
      </w:r>
      <w:r>
        <w:rPr/>
        <w:t>0</w:t>
      </w:r>
      <w:r>
        <w:rPr>
          <w:spacing w:val="-22"/>
        </w:rPr>
        <w:t> 分，但不做否决投标处理。】；</w:t>
      </w:r>
      <w:r>
        <w:rPr/>
        <w:t> </w:t>
      </w:r>
    </w:p>
    <w:p>
      <w:pPr>
        <w:pStyle w:val="BodyText"/>
        <w:spacing w:line="364" w:lineRule="auto"/>
        <w:ind w:left="1098" w:right="2262"/>
        <w:jc w:val="both"/>
      </w:pPr>
      <w:r>
        <w:rPr/>
        <w:t>B1.5 在技术标评审中，评标委员会认定投标人的投标未能通过此项评审的； B1.6 不按第二章投标须知前附表第 3.1.1 条内容提供资料的； </w:t>
      </w:r>
    </w:p>
    <w:p>
      <w:pPr>
        <w:pStyle w:val="BodyText"/>
        <w:spacing w:line="367" w:lineRule="auto"/>
        <w:ind w:right="1154" w:firstLine="419"/>
      </w:pPr>
      <w:r>
        <w:rPr/>
        <w:t>B1.7 没有在招标文件规定的电子投标文件相关位置加盖投标人法人单位及法定代表人电子印章的； </w:t>
      </w:r>
    </w:p>
    <w:p>
      <w:pPr>
        <w:pStyle w:val="BodyText"/>
        <w:spacing w:line="264" w:lineRule="exact"/>
        <w:ind w:left="1098"/>
      </w:pPr>
      <w:r>
        <w:rPr/>
        <w:t>B1.8 投标文件的关键内容字迹模糊、辨认不清的； </w:t>
      </w:r>
    </w:p>
    <w:p>
      <w:pPr>
        <w:pStyle w:val="BodyText"/>
        <w:spacing w:line="364" w:lineRule="auto" w:before="137"/>
        <w:ind w:right="1151" w:firstLine="419"/>
      </w:pPr>
      <w:r>
        <w:rPr/>
        <w:t>B1.9</w:t>
      </w:r>
      <w:r>
        <w:rPr>
          <w:spacing w:val="-10"/>
        </w:rPr>
        <w:t> 投标人不接受评标委员会按第三章“评标办法”第 </w:t>
      </w:r>
      <w:r>
        <w:rPr/>
        <w:t>3.1.3</w:t>
      </w:r>
      <w:r>
        <w:rPr>
          <w:spacing w:val="-8"/>
        </w:rPr>
        <w:t> 条的原则对投标报价进行修</w:t>
      </w:r>
      <w:r>
        <w:rPr>
          <w:spacing w:val="-7"/>
        </w:rPr>
        <w:t>正的；</w:t>
      </w:r>
      <w:r>
        <w:rPr/>
        <w:t> </w:t>
      </w:r>
    </w:p>
    <w:p>
      <w:pPr>
        <w:pStyle w:val="BodyText"/>
        <w:spacing w:line="364" w:lineRule="auto"/>
        <w:ind w:right="1155" w:firstLine="419"/>
      </w:pPr>
      <w:r>
        <w:rPr/>
        <w:t>B1.10</w:t>
      </w:r>
      <w:r>
        <w:rPr>
          <w:spacing w:val="-1"/>
        </w:rPr>
        <w:t> 投标人不具备独立法人资格或作为独立法人资格但就本工程提交一个以上的投标文件的；</w:t>
      </w:r>
      <w:r>
        <w:rPr/>
        <w:t> </w:t>
      </w:r>
    </w:p>
    <w:p>
      <w:pPr>
        <w:pStyle w:val="BodyText"/>
        <w:spacing w:line="364" w:lineRule="auto"/>
        <w:ind w:left="1098" w:right="1048"/>
        <w:jc w:val="both"/>
      </w:pPr>
      <w:r>
        <w:rPr/>
        <w:t>B1.11</w:t>
      </w:r>
      <w:r>
        <w:rPr>
          <w:spacing w:val="-11"/>
        </w:rPr>
        <w:t> 在单价合同工程中投标人采用总价优惠或以总价百分比优惠的方式进行投标报价的； </w:t>
      </w:r>
      <w:r>
        <w:rPr/>
        <w:t>B1.12</w:t>
      </w:r>
      <w:r>
        <w:rPr>
          <w:spacing w:val="-9"/>
        </w:rPr>
        <w:t> 安全文明施工费和规费、增值税不按我区费用定额及造价管理相关文件规定报价的；</w:t>
      </w:r>
      <w:r>
        <w:rPr>
          <w:spacing w:val="-103"/>
        </w:rPr>
        <w:t> </w:t>
      </w:r>
      <w:r>
        <w:rPr/>
        <w:t>B1.13</w:t>
      </w:r>
      <w:r>
        <w:rPr>
          <w:spacing w:val="-5"/>
        </w:rPr>
        <w:t> 投标人已标价工程量清单的项目编码</w:t>
      </w:r>
      <w:r>
        <w:rPr/>
        <w:t>（12</w:t>
      </w:r>
      <w:r>
        <w:rPr>
          <w:spacing w:val="-23"/>
        </w:rPr>
        <w:t> 位</w:t>
      </w:r>
      <w:r>
        <w:rPr>
          <w:spacing w:val="-108"/>
        </w:rPr>
        <w:t>）</w:t>
      </w:r>
      <w:r>
        <w:rPr>
          <w:spacing w:val="-10"/>
        </w:rPr>
        <w:t>、计量单位、工程量任何一处与招标工</w:t>
      </w:r>
    </w:p>
    <w:p>
      <w:pPr>
        <w:pStyle w:val="BodyText"/>
        <w:spacing w:line="269" w:lineRule="exact"/>
      </w:pPr>
      <w:r>
        <w:rPr/>
        <w:t>程量清单不一致的； </w:t>
      </w:r>
    </w:p>
    <w:p>
      <w:pPr>
        <w:pStyle w:val="BodyText"/>
        <w:spacing w:line="364" w:lineRule="auto" w:before="138"/>
        <w:ind w:right="1155" w:firstLine="419"/>
      </w:pPr>
      <w:r>
        <w:rPr/>
        <w:t>B1.14 投标人已标价工程量清单的项目名称或项目特征与招标工程量清单不一致，评标委员会要求澄清、说明或补正，但投标人拒绝澄清、说明或补正的； </w:t>
      </w:r>
    </w:p>
    <w:p>
      <w:pPr>
        <w:pStyle w:val="BodyText"/>
        <w:spacing w:line="267" w:lineRule="exact"/>
        <w:ind w:left="1098"/>
      </w:pPr>
      <w:r>
        <w:rPr/>
        <w:t>B1.15 投标函中的报价与已标价的工程量清单汇总表不一致的； </w:t>
      </w:r>
    </w:p>
    <w:p>
      <w:pPr>
        <w:pStyle w:val="BodyText"/>
        <w:spacing w:line="364" w:lineRule="auto" w:before="142"/>
        <w:ind w:right="1155" w:firstLine="419"/>
      </w:pPr>
      <w:r>
        <w:rPr/>
        <w:t>B1.16 设有暂估价、暂列金额的，投标时未按招标人工程量清单给出的暂估价总价、暂列金额总价计入投标总报价中的； </w:t>
      </w:r>
    </w:p>
    <w:p>
      <w:pPr>
        <w:pStyle w:val="BodyText"/>
        <w:spacing w:line="364" w:lineRule="auto"/>
        <w:ind w:right="1110" w:firstLine="419"/>
      </w:pPr>
      <w:r>
        <w:rPr/>
        <w:t>B1.17 投标文件实质上没有响应招标文件的要求的(包括：质量要求、工期、技术标准和要求、合同价款主要条款、投标有效期等)； </w:t>
      </w:r>
    </w:p>
    <w:p>
      <w:pPr>
        <w:pStyle w:val="BodyText"/>
        <w:spacing w:line="367" w:lineRule="auto"/>
        <w:ind w:right="1094" w:firstLine="419"/>
      </w:pPr>
      <w:r>
        <w:rPr/>
        <w:t>B1.18 投标人未按照招标文件第二章投标人须知第 3.4 条的要求提供投标保证金的或未按规定提交投标保证金证明材料的； </w:t>
      </w:r>
    </w:p>
    <w:p>
      <w:pPr>
        <w:pStyle w:val="BodyText"/>
        <w:spacing w:line="364" w:lineRule="auto"/>
        <w:ind w:right="1148" w:firstLine="419"/>
        <w:jc w:val="both"/>
      </w:pPr>
      <w:r>
        <w:rPr/>
        <w:t>B1.19（1）投标人拟投入本工程的项目经理在在建项目或已中标未开工项目中任项目经理的（</w:t>
      </w:r>
      <w:r>
        <w:rPr>
          <w:spacing w:val="-3"/>
        </w:rPr>
        <w:t>符合法规规定的特殊情况和桂建管</w:t>
      </w:r>
      <w:r>
        <w:rPr/>
        <w:t>﹝2013﹞17</w:t>
      </w:r>
      <w:r>
        <w:rPr>
          <w:spacing w:val="-4"/>
        </w:rPr>
        <w:t> 号文要求的除外</w:t>
      </w:r>
      <w:r>
        <w:rPr/>
        <w:t>）</w:t>
      </w:r>
      <w:r>
        <w:rPr>
          <w:spacing w:val="-3"/>
        </w:rPr>
        <w:t>或已列为其他项目中标候选人第一名的项目经理或无有效安全生产考核合格证</w:t>
      </w:r>
      <w:r>
        <w:rPr/>
        <w:t>（B</w:t>
      </w:r>
      <w:r>
        <w:rPr>
          <w:spacing w:val="-28"/>
        </w:rPr>
        <w:t> 类</w:t>
      </w:r>
      <w:r>
        <w:rPr>
          <w:spacing w:val="-3"/>
        </w:rPr>
        <w:t>）</w:t>
      </w:r>
      <w:r>
        <w:rPr>
          <w:spacing w:val="-2"/>
        </w:rPr>
        <w:t>的；</w:t>
      </w:r>
      <w:r>
        <w:rPr/>
        <w:t> </w:t>
      </w:r>
    </w:p>
    <w:p>
      <w:pPr>
        <w:spacing w:after="0" w:line="364" w:lineRule="auto"/>
        <w:jc w:val="both"/>
        <w:sectPr>
          <w:pgSz w:w="11910" w:h="16850"/>
          <w:pgMar w:header="0" w:footer="779" w:top="1400" w:bottom="1040" w:left="1120" w:right="280"/>
        </w:sectPr>
      </w:pPr>
    </w:p>
    <w:p>
      <w:pPr>
        <w:pStyle w:val="BodyText"/>
        <w:spacing w:line="364" w:lineRule="auto" w:before="60"/>
        <w:ind w:right="1048" w:firstLine="419"/>
      </w:pPr>
      <w:r>
        <w:rPr>
          <w:spacing w:val="-9"/>
        </w:rPr>
        <w:t>（2）</w:t>
      </w:r>
      <w:r>
        <w:rPr>
          <w:spacing w:val="-4"/>
        </w:rPr>
        <w:t>投标人拟投入本工程的项目专职安全人员在在建项目中任专职安全员的</w:t>
      </w:r>
      <w:r>
        <w:rPr/>
        <w:t>（</w:t>
      </w:r>
      <w:r>
        <w:rPr>
          <w:spacing w:val="-3"/>
        </w:rPr>
        <w:t>符合法规规定的特殊情况和桂建管</w:t>
      </w:r>
      <w:r>
        <w:rPr/>
        <w:t>﹝2013﹞17</w:t>
      </w:r>
      <w:r>
        <w:rPr>
          <w:spacing w:val="-9"/>
        </w:rPr>
        <w:t> 号文要求的除外</w:t>
      </w:r>
      <w:r>
        <w:rPr>
          <w:spacing w:val="-17"/>
        </w:rPr>
        <w:t>）</w:t>
      </w:r>
      <w:r>
        <w:rPr>
          <w:spacing w:val="-5"/>
        </w:rPr>
        <w:t>或无有效安全生产考核合格证</w:t>
      </w:r>
      <w:r>
        <w:rPr/>
        <w:t>（C</w:t>
      </w:r>
      <w:r>
        <w:rPr>
          <w:spacing w:val="-24"/>
        </w:rPr>
        <w:t> 类</w:t>
      </w:r>
      <w:r>
        <w:rPr>
          <w:spacing w:val="-17"/>
        </w:rPr>
        <w:t>）</w:t>
      </w:r>
      <w:r>
        <w:rPr>
          <w:spacing w:val="-54"/>
        </w:rPr>
        <w:t>的；</w:t>
      </w:r>
      <w:r>
        <w:rPr/>
        <w:t> </w:t>
      </w:r>
    </w:p>
    <w:p>
      <w:pPr>
        <w:pStyle w:val="BodyText"/>
        <w:spacing w:line="367" w:lineRule="auto"/>
        <w:ind w:left="1098" w:right="2357"/>
      </w:pPr>
      <w:r>
        <w:rPr/>
        <w:t>B1.20 组成联合体投标的，投标文件未附联合体各方共同投标协议书的； B1.21 投标人的投标总价超出招标控制价的； </w:t>
      </w:r>
    </w:p>
    <w:p>
      <w:pPr>
        <w:pStyle w:val="BodyText"/>
        <w:spacing w:line="264" w:lineRule="exact"/>
        <w:ind w:left="1098"/>
      </w:pPr>
      <w:r>
        <w:rPr/>
        <w:t>B1.22 投标人对招标工程量清单内容进行增减或对招标范围进行调整的； </w:t>
      </w:r>
    </w:p>
    <w:p>
      <w:pPr>
        <w:pStyle w:val="BodyText"/>
        <w:spacing w:before="12"/>
        <w:ind w:left="0"/>
      </w:pPr>
    </w:p>
    <w:p>
      <w:pPr>
        <w:pStyle w:val="BodyText"/>
        <w:spacing w:line="364" w:lineRule="auto"/>
        <w:ind w:right="1155" w:firstLine="419"/>
      </w:pPr>
      <w:r>
        <w:rPr/>
        <w:t>B1.23 开标时通过身份证验证的项目经理和安全员与投标文件中的项目经理和安全员不一致的； </w:t>
      </w:r>
    </w:p>
    <w:p>
      <w:pPr>
        <w:pStyle w:val="BodyText"/>
        <w:spacing w:line="367" w:lineRule="auto"/>
        <w:ind w:right="1151" w:firstLine="419"/>
      </w:pPr>
      <w:r>
        <w:rPr/>
        <w:t>B1.24</w:t>
      </w:r>
      <w:r>
        <w:rPr>
          <w:spacing w:val="-12"/>
        </w:rPr>
        <w:t> 投标人编制的投标文件技术暗标，其封面或正文中出现投标人的名称和其他可识别投</w:t>
      </w:r>
      <w:r>
        <w:rPr>
          <w:spacing w:val="-6"/>
        </w:rPr>
        <w:t>标人身份的字符</w:t>
      </w:r>
      <w:r>
        <w:rPr/>
        <w:t>（</w:t>
      </w:r>
      <w:r>
        <w:rPr>
          <w:spacing w:val="-2"/>
        </w:rPr>
        <w:t>图表</w:t>
      </w:r>
      <w:r>
        <w:rPr>
          <w:spacing w:val="-108"/>
        </w:rPr>
        <w:t>）</w:t>
      </w:r>
      <w:r>
        <w:rPr>
          <w:spacing w:val="-3"/>
        </w:rPr>
        <w:t>、徽标、业绩、荣誉或人员姓名以及其他特殊标记等。 </w:t>
      </w:r>
    </w:p>
    <w:p>
      <w:pPr>
        <w:pStyle w:val="BodyText"/>
        <w:spacing w:line="364" w:lineRule="auto"/>
        <w:ind w:right="1148" w:firstLine="419"/>
        <w:rPr>
          <w:rFonts w:ascii="Microsoft JhengHei" w:eastAsia="Microsoft JhengHei" w:hint="eastAsia"/>
          <w:b/>
        </w:rPr>
      </w:pPr>
      <w:r>
        <w:rPr/>
        <w:t>B1.25</w:t>
      </w:r>
      <w:r>
        <w:rPr>
          <w:spacing w:val="-8"/>
        </w:rPr>
        <w:t> 投标人编制的投标文件技术暗标部分未按第九章投标文件格式技术标部分中</w:t>
      </w:r>
      <w:r>
        <w:rPr>
          <w:spacing w:val="-3"/>
        </w:rPr>
        <w:t>（二</w:t>
      </w:r>
      <w:r>
        <w:rPr>
          <w:spacing w:val="-48"/>
        </w:rPr>
        <w:t>）</w:t>
      </w:r>
      <w:r>
        <w:rPr/>
        <w:t>暗</w:t>
      </w:r>
      <w:r>
        <w:rPr>
          <w:spacing w:val="-3"/>
        </w:rPr>
        <w:t>标的编制要求编制的。</w:t>
      </w:r>
      <w:r>
        <w:rPr>
          <w:rFonts w:ascii="Microsoft JhengHei" w:eastAsia="Microsoft JhengHei" w:hint="eastAsia"/>
          <w:b/>
          <w:w w:val="201"/>
        </w:rPr>
        <w:t> </w:t>
      </w:r>
    </w:p>
    <w:p>
      <w:pPr>
        <w:pStyle w:val="BodyText"/>
        <w:spacing w:line="304" w:lineRule="auto"/>
        <w:ind w:right="5729" w:firstLine="419"/>
        <w:rPr>
          <w:rFonts w:ascii="Microsoft JhengHei" w:eastAsia="Microsoft JhengHei" w:hint="eastAsia"/>
          <w:b/>
        </w:rPr>
      </w:pPr>
      <w:r>
        <w:rPr/>
        <w:t>B1.26 法规规定的其他否决投标条款。</w:t>
      </w:r>
      <w:r>
        <w:rPr>
          <w:rFonts w:ascii="Microsoft JhengHei" w:eastAsia="Microsoft JhengHei" w:hint="eastAsia"/>
          <w:b/>
        </w:rPr>
        <w:t>备注：</w:t>
      </w:r>
      <w:r>
        <w:rPr>
          <w:rFonts w:ascii="Microsoft JhengHei" w:eastAsia="Microsoft JhengHei" w:hint="eastAsia"/>
          <w:b/>
          <w:w w:val="201"/>
        </w:rPr>
        <w:t> </w:t>
      </w:r>
    </w:p>
    <w:p>
      <w:pPr>
        <w:pStyle w:val="BodyText"/>
        <w:spacing w:line="255" w:lineRule="exact"/>
        <w:ind w:left="1098"/>
      </w:pPr>
      <w:r>
        <w:rPr/>
        <w:t>1、如果工程所在地招投标监督管理部门要求评标委员会对判定为否决投标的投标文件说明</w:t>
      </w:r>
    </w:p>
    <w:p>
      <w:pPr>
        <w:pStyle w:val="BodyText"/>
        <w:spacing w:line="364" w:lineRule="auto" w:before="131"/>
        <w:ind w:right="1155"/>
      </w:pPr>
      <w:r>
        <w:rPr/>
        <w:t>否决投标情况的，应增加“否决投标情况说明表”格式，否决投标情况说明应当对照招标文件规定的否决投标条件以及投标文件存在的具体问题，并在中标候选人公示时予以公开。 </w:t>
      </w:r>
    </w:p>
    <w:p>
      <w:pPr>
        <w:pStyle w:val="BodyText"/>
        <w:spacing w:line="364" w:lineRule="auto"/>
        <w:ind w:right="1208" w:firstLine="309"/>
        <w:jc w:val="both"/>
      </w:pPr>
      <w:r>
        <w:rPr/>
        <w:t>2、招标人可根据招标项目实际情况对上述否决投标情况进行调整，但不应与第二章“投标人须知”和本章正文部分包括的否决投标条件抵触，如果出现相互矛盾的情况，以第二章“投标人须知”和本章正文部分的规定为准。 </w:t>
      </w:r>
    </w:p>
    <w:p>
      <w:pPr>
        <w:pStyle w:val="BodyText"/>
        <w:ind w:left="0"/>
        <w:rPr>
          <w:sz w:val="20"/>
        </w:rPr>
      </w:pPr>
    </w:p>
    <w:p>
      <w:pPr>
        <w:pStyle w:val="BodyText"/>
        <w:ind w:left="0"/>
        <w:rPr>
          <w:sz w:val="20"/>
        </w:rPr>
      </w:pPr>
    </w:p>
    <w:p>
      <w:pPr>
        <w:pStyle w:val="BodyText"/>
        <w:spacing w:before="5"/>
        <w:ind w:left="0"/>
      </w:pPr>
    </w:p>
    <w:p>
      <w:pPr>
        <w:spacing w:before="71"/>
        <w:ind w:left="970" w:right="0" w:firstLine="0"/>
        <w:jc w:val="left"/>
        <w:rPr>
          <w:sz w:val="20"/>
        </w:rPr>
      </w:pPr>
      <w:r>
        <w:rPr>
          <w:color w:val="000080"/>
          <w:w w:val="99"/>
          <w:sz w:val="20"/>
        </w:rPr>
        <w:t> </w:t>
      </w:r>
    </w:p>
    <w:p>
      <w:pPr>
        <w:spacing w:after="0"/>
        <w:jc w:val="left"/>
        <w:rPr>
          <w:sz w:val="20"/>
        </w:rPr>
        <w:sectPr>
          <w:pgSz w:w="11910" w:h="16850"/>
          <w:pgMar w:header="0" w:footer="779" w:top="1380" w:bottom="1040" w:left="1120" w:right="280"/>
        </w:sectPr>
      </w:pPr>
    </w:p>
    <w:p>
      <w:pPr>
        <w:pStyle w:val="Heading1"/>
        <w:spacing w:line="685" w:lineRule="exact"/>
        <w:ind w:right="556"/>
      </w:pPr>
      <w:bookmarkStart w:name="第四章  合同条款及格式" w:id="260"/>
      <w:bookmarkEnd w:id="260"/>
      <w:r>
        <w:rPr>
          <w:b w:val="0"/>
        </w:rPr>
      </w:r>
      <w:bookmarkStart w:name="_bookmark97" w:id="261"/>
      <w:bookmarkEnd w:id="261"/>
      <w:r>
        <w:rPr>
          <w:b w:val="0"/>
        </w:rPr>
      </w:r>
      <w:r>
        <w:rPr/>
        <w:t>第四章 合同条款及格式</w:t>
      </w:r>
      <w:r>
        <w:rPr>
          <w:w w:val="199"/>
        </w:rPr>
        <w:t> </w:t>
      </w:r>
    </w:p>
    <w:p>
      <w:pPr>
        <w:pStyle w:val="Heading1"/>
        <w:spacing w:before="47"/>
      </w:pPr>
      <w:bookmarkStart w:name="第一部分 合同协议书" w:id="262"/>
      <w:bookmarkEnd w:id="262"/>
      <w:r>
        <w:rPr>
          <w:b w:val="0"/>
        </w:rPr>
      </w:r>
      <w:bookmarkStart w:name="_bookmark98" w:id="263"/>
      <w:bookmarkEnd w:id="263"/>
      <w:r>
        <w:rPr>
          <w:b w:val="0"/>
        </w:rPr>
      </w:r>
      <w:r>
        <w:rPr/>
        <w:t>第一部分 合同协议书</w:t>
      </w:r>
      <w:r>
        <w:rPr>
          <w:w w:val="199"/>
        </w:rPr>
        <w:t> </w:t>
      </w:r>
    </w:p>
    <w:p>
      <w:pPr>
        <w:pStyle w:val="BodyText"/>
        <w:spacing w:before="191"/>
      </w:pPr>
      <w:r>
        <w:rPr>
          <w:w w:val="100"/>
        </w:rPr>
        <w:t> </w:t>
      </w:r>
    </w:p>
    <w:p>
      <w:pPr>
        <w:pStyle w:val="BodyText"/>
        <w:tabs>
          <w:tab w:pos="6501" w:val="left" w:leader="none"/>
        </w:tabs>
        <w:spacing w:line="364" w:lineRule="auto" w:before="4"/>
        <w:ind w:right="4003"/>
        <w:rPr>
          <w:rFonts w:ascii="Times New Roman" w:eastAsia="Times New Roman"/>
        </w:rPr>
      </w:pPr>
      <w:r>
        <w:rPr/>
        <w:pict>
          <v:group style="position:absolute;margin-left:168.740005pt;margin-top:1.579971pt;width:52.35pt;height:10.6pt;mso-position-horizontal-relative:page;mso-position-vertical-relative:paragraph;z-index:-266754048" coordorigin="3375,32" coordsize="1047,212">
            <v:shape style="position:absolute;left:3374;top:31;width:418;height:212" type="#_x0000_t75" stroked="false">
              <v:imagedata r:id="rId20" o:title=""/>
            </v:shape>
            <v:shape style="position:absolute;left:3583;top:31;width:423;height:212" type="#_x0000_t75" stroked="false">
              <v:imagedata r:id="rId21" o:title=""/>
            </v:shape>
            <v:shape style="position:absolute;left:3795;top:31;width:418;height:212" type="#_x0000_t75" stroked="false">
              <v:imagedata r:id="rId20" o:title=""/>
            </v:shape>
            <v:shape style="position:absolute;left:4004;top:31;width:418;height:212" type="#_x0000_t75" stroked="false">
              <v:imagedata r:id="rId20" o:title=""/>
            </v:shape>
            <w10:wrap type="none"/>
          </v:group>
        </w:pict>
      </w:r>
      <w:r>
        <w:rPr/>
        <w:drawing>
          <wp:anchor distT="0" distB="0" distL="0" distR="0" allowOverlap="1" layoutInCell="1" locked="0" behindDoc="1" simplePos="0" relativeHeight="236563456">
            <wp:simplePos x="0" y="0"/>
            <wp:positionH relativeFrom="page">
              <wp:posOffset>4676521</wp:posOffset>
            </wp:positionH>
            <wp:positionV relativeFrom="paragraph">
              <wp:posOffset>20065</wp:posOffset>
            </wp:positionV>
            <wp:extent cx="265175" cy="134111"/>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20" cstate="print"/>
                    <a:stretch>
                      <a:fillRect/>
                    </a:stretch>
                  </pic:blipFill>
                  <pic:spPr>
                    <a:xfrm>
                      <a:off x="0" y="0"/>
                      <a:ext cx="265175" cy="134111"/>
                    </a:xfrm>
                    <a:prstGeom prst="rect">
                      <a:avLst/>
                    </a:prstGeom>
                  </pic:spPr>
                </pic:pic>
              </a:graphicData>
            </a:graphic>
          </wp:anchor>
        </w:drawing>
      </w:r>
      <w:r>
        <w:rPr/>
        <w:pict>
          <v:group style="position:absolute;margin-left:168.740005pt;margin-top:21.979971pt;width:52.35pt;height:10.6pt;mso-position-horizontal-relative:page;mso-position-vertical-relative:paragraph;z-index:-266752000" coordorigin="3375,440" coordsize="1047,212">
            <v:shape style="position:absolute;left:3374;top:439;width:418;height:212" type="#_x0000_t75" stroked="false">
              <v:imagedata r:id="rId20" o:title=""/>
            </v:shape>
            <v:shape style="position:absolute;left:3583;top:439;width:423;height:212" type="#_x0000_t75" stroked="false">
              <v:imagedata r:id="rId21" o:title=""/>
            </v:shape>
            <v:shape style="position:absolute;left:3795;top:439;width:418;height:212" type="#_x0000_t75" stroked="false">
              <v:imagedata r:id="rId20" o:title=""/>
            </v:shape>
            <v:shape style="position:absolute;left:4004;top:439;width:418;height:212" type="#_x0000_t75" stroked="false">
              <v:imagedata r:id="rId20" o:title=""/>
            </v:shape>
            <w10:wrap type="none"/>
          </v:group>
        </w:pict>
      </w:r>
      <w:r>
        <w:rPr/>
        <w:drawing>
          <wp:anchor distT="0" distB="0" distL="0" distR="0" allowOverlap="1" layoutInCell="1" locked="0" behindDoc="1" simplePos="0" relativeHeight="236565504">
            <wp:simplePos x="0" y="0"/>
            <wp:positionH relativeFrom="page">
              <wp:posOffset>4676521</wp:posOffset>
            </wp:positionH>
            <wp:positionV relativeFrom="paragraph">
              <wp:posOffset>279145</wp:posOffset>
            </wp:positionV>
            <wp:extent cx="265175" cy="134111"/>
            <wp:effectExtent l="0" t="0" r="0" b="0"/>
            <wp:wrapNone/>
            <wp:docPr id="5" name="image2.png"/>
            <wp:cNvGraphicFramePr>
              <a:graphicFrameLocks noChangeAspect="1"/>
            </wp:cNvGraphicFramePr>
            <a:graphic>
              <a:graphicData uri="http://schemas.openxmlformats.org/drawingml/2006/picture">
                <pic:pic>
                  <pic:nvPicPr>
                    <pic:cNvPr id="6" name="image2.png"/>
                    <pic:cNvPicPr/>
                  </pic:nvPicPr>
                  <pic:blipFill>
                    <a:blip r:embed="rId20" cstate="print"/>
                    <a:stretch>
                      <a:fillRect/>
                    </a:stretch>
                  </pic:blipFill>
                  <pic:spPr>
                    <a:xfrm>
                      <a:off x="0" y="0"/>
                      <a:ext cx="265175" cy="134111"/>
                    </a:xfrm>
                    <a:prstGeom prst="rect">
                      <a:avLst/>
                    </a:prstGeom>
                  </pic:spPr>
                </pic:pic>
              </a:graphicData>
            </a:graphic>
          </wp:anchor>
        </w:drawing>
      </w:r>
      <w:r>
        <w:rPr>
          <w:w w:val="100"/>
        </w:rPr>
        <w:t>发包</w:t>
      </w:r>
      <w:r>
        <w:rPr>
          <w:spacing w:val="-3"/>
          <w:w w:val="100"/>
        </w:rPr>
        <w:t>人</w:t>
      </w:r>
      <w:r>
        <w:rPr>
          <w:w w:val="100"/>
        </w:rPr>
        <w:t>（</w:t>
      </w:r>
      <w:r>
        <w:rPr>
          <w:spacing w:val="-3"/>
          <w:w w:val="100"/>
        </w:rPr>
        <w:t>全</w:t>
      </w:r>
      <w:r>
        <w:rPr>
          <w:w w:val="100"/>
        </w:rPr>
        <w:t>称</w:t>
      </w:r>
      <w:r>
        <w:rPr>
          <w:spacing w:val="-108"/>
          <w:w w:val="100"/>
        </w:rPr>
        <w:t>）</w:t>
      </w:r>
      <w:r>
        <w:rPr>
          <w:spacing w:val="-1"/>
          <w:w w:val="100"/>
        </w:rPr>
        <w:t>：</w:t>
      </w:r>
      <w:r>
        <w:rPr>
          <w:rFonts w:ascii="Times New Roman" w:eastAsia="Times New Roman"/>
          <w:w w:val="100"/>
          <w:u w:val="single"/>
        </w:rPr>
        <w:t> </w:t>
      </w:r>
      <w:r>
        <w:rPr>
          <w:rFonts w:ascii="Times New Roman" w:eastAsia="Times New Roman"/>
          <w:u w:val="single"/>
        </w:rPr>
        <w:tab/>
      </w:r>
      <w:r>
        <w:rPr>
          <w:w w:val="100"/>
        </w:rPr>
        <w:t>承包</w:t>
      </w:r>
      <w:r>
        <w:rPr>
          <w:spacing w:val="-3"/>
          <w:w w:val="100"/>
        </w:rPr>
        <w:t>人</w:t>
      </w:r>
      <w:r>
        <w:rPr>
          <w:w w:val="100"/>
        </w:rPr>
        <w:t>（</w:t>
      </w:r>
      <w:r>
        <w:rPr>
          <w:spacing w:val="-3"/>
          <w:w w:val="100"/>
        </w:rPr>
        <w:t>全</w:t>
      </w:r>
      <w:r>
        <w:rPr>
          <w:w w:val="100"/>
        </w:rPr>
        <w:t>称</w:t>
      </w:r>
      <w:r>
        <w:rPr>
          <w:spacing w:val="-108"/>
          <w:w w:val="100"/>
        </w:rPr>
        <w:t>）</w:t>
      </w:r>
      <w:r>
        <w:rPr>
          <w:spacing w:val="-1"/>
          <w:w w:val="100"/>
        </w:rPr>
        <w:t>：</w:t>
      </w:r>
      <w:r>
        <w:rPr>
          <w:rFonts w:ascii="Times New Roman" w:eastAsia="Times New Roman"/>
          <w:w w:val="100"/>
          <w:u w:val="single"/>
        </w:rPr>
        <w:t> </w:t>
      </w:r>
      <w:r>
        <w:rPr>
          <w:rFonts w:ascii="Times New Roman" w:eastAsia="Times New Roman"/>
          <w:u w:val="single"/>
        </w:rPr>
        <w:tab/>
      </w:r>
    </w:p>
    <w:p>
      <w:pPr>
        <w:pStyle w:val="BodyText"/>
        <w:tabs>
          <w:tab w:pos="6515" w:val="left" w:leader="none"/>
        </w:tabs>
        <w:spacing w:line="364" w:lineRule="auto"/>
        <w:ind w:right="1045" w:firstLine="419"/>
      </w:pPr>
      <w:r>
        <w:rPr/>
        <w:t>根据《中华人民共和国合同法</w:t>
      </w:r>
      <w:r>
        <w:rPr>
          <w:spacing w:val="-106"/>
        </w:rPr>
        <w:t>》、</w:t>
      </w:r>
      <w:r>
        <w:rPr/>
        <w:t>《中华人民共和国建筑法》及有关法律规定，遵循平等、自</w:t>
      </w:r>
      <w:r>
        <w:rPr>
          <w:spacing w:val="-3"/>
        </w:rPr>
        <w:t>愿</w:t>
      </w:r>
      <w:r>
        <w:rPr>
          <w:spacing w:val="-75"/>
        </w:rPr>
        <w:t>、</w:t>
      </w:r>
      <w:r>
        <w:rPr>
          <w:spacing w:val="-3"/>
        </w:rPr>
        <w:t>公</w:t>
      </w:r>
      <w:r>
        <w:rPr/>
        <w:t>平</w:t>
      </w:r>
      <w:r>
        <w:rPr>
          <w:spacing w:val="-3"/>
        </w:rPr>
        <w:t>和</w:t>
      </w:r>
      <w:r>
        <w:rPr/>
        <w:t>诚</w:t>
      </w:r>
      <w:r>
        <w:rPr>
          <w:spacing w:val="-3"/>
        </w:rPr>
        <w:t>实</w:t>
      </w:r>
      <w:r>
        <w:rPr/>
        <w:t>信</w:t>
      </w:r>
      <w:r>
        <w:rPr>
          <w:spacing w:val="-3"/>
        </w:rPr>
        <w:t>用</w:t>
      </w:r>
      <w:r>
        <w:rPr/>
        <w:t>的</w:t>
      </w:r>
      <w:r>
        <w:rPr>
          <w:spacing w:val="-3"/>
        </w:rPr>
        <w:t>原</w:t>
      </w:r>
      <w:r>
        <w:rPr/>
        <w:t>则</w:t>
      </w:r>
      <w:r>
        <w:rPr>
          <w:spacing w:val="-77"/>
        </w:rPr>
        <w:t>，</w:t>
      </w:r>
      <w:r>
        <w:rPr/>
        <w:t>双</w:t>
      </w:r>
      <w:r>
        <w:rPr>
          <w:spacing w:val="-3"/>
        </w:rPr>
        <w:t>方</w:t>
      </w:r>
      <w:r>
        <w:rPr/>
        <w:t>就</w:t>
      </w:r>
      <w:r>
        <w:rPr>
          <w:u w:val="single"/>
        </w:rPr>
        <w:t> </w:t>
        <w:tab/>
      </w:r>
      <w:r>
        <w:rPr/>
        <w:t>工</w:t>
      </w:r>
      <w:r>
        <w:rPr>
          <w:spacing w:val="-3"/>
        </w:rPr>
        <w:t>程</w:t>
      </w:r>
      <w:r>
        <w:rPr/>
        <w:t>施</w:t>
      </w:r>
      <w:r>
        <w:rPr>
          <w:spacing w:val="-3"/>
        </w:rPr>
        <w:t>工</w:t>
      </w:r>
      <w:r>
        <w:rPr/>
        <w:t>及</w:t>
      </w:r>
      <w:r>
        <w:rPr>
          <w:spacing w:val="-3"/>
        </w:rPr>
        <w:t>有关</w:t>
      </w:r>
      <w:r>
        <w:rPr/>
        <w:t>事项</w:t>
      </w:r>
      <w:r>
        <w:rPr>
          <w:spacing w:val="-3"/>
        </w:rPr>
        <w:t>协</w:t>
      </w:r>
      <w:r>
        <w:rPr/>
        <w:t>商</w:t>
      </w:r>
      <w:r>
        <w:rPr>
          <w:spacing w:val="-3"/>
        </w:rPr>
        <w:t>一</w:t>
      </w:r>
      <w:r>
        <w:rPr/>
        <w:t>致</w:t>
      </w:r>
      <w:r>
        <w:rPr>
          <w:spacing w:val="-13"/>
        </w:rPr>
        <w:t>， </w:t>
      </w:r>
      <w:r>
        <w:rPr/>
        <w:t>共同</w:t>
      </w:r>
      <w:r>
        <w:rPr>
          <w:spacing w:val="-3"/>
        </w:rPr>
        <w:t>达</w:t>
      </w:r>
      <w:r>
        <w:rPr/>
        <w:t>成</w:t>
      </w:r>
      <w:r>
        <w:rPr>
          <w:spacing w:val="-3"/>
        </w:rPr>
        <w:t>如</w:t>
      </w:r>
      <w:r>
        <w:rPr/>
        <w:t>下</w:t>
      </w:r>
      <w:r>
        <w:rPr>
          <w:spacing w:val="-3"/>
        </w:rPr>
        <w:t>协</w:t>
      </w:r>
      <w:r>
        <w:rPr/>
        <w:t>议：</w:t>
      </w:r>
    </w:p>
    <w:p>
      <w:pPr>
        <w:pStyle w:val="Heading8"/>
        <w:spacing w:line="317" w:lineRule="exact"/>
        <w:ind w:left="1100" w:firstLine="0"/>
      </w:pPr>
      <w:bookmarkStart w:name="一、工程概况" w:id="264"/>
      <w:bookmarkEnd w:id="264"/>
      <w:r>
        <w:rPr>
          <w:b w:val="0"/>
        </w:rPr>
      </w:r>
      <w:r>
        <w:rPr/>
        <w:t>一、工程概况</w:t>
      </w:r>
    </w:p>
    <w:p>
      <w:pPr>
        <w:pStyle w:val="ListParagraph"/>
        <w:numPr>
          <w:ilvl w:val="0"/>
          <w:numId w:val="65"/>
        </w:numPr>
        <w:tabs>
          <w:tab w:pos="1355" w:val="left" w:leader="none"/>
          <w:tab w:pos="6290" w:val="left" w:leader="none"/>
        </w:tabs>
        <w:spacing w:line="240" w:lineRule="auto" w:before="89" w:after="0"/>
        <w:ind w:left="1354" w:right="0" w:hanging="265"/>
        <w:jc w:val="left"/>
        <w:rPr>
          <w:sz w:val="21"/>
        </w:rPr>
      </w:pPr>
      <w:r>
        <w:rPr/>
        <w:pict>
          <v:group style="position:absolute;margin-left:176.179993pt;margin-top:5.829983pt;width:126.15pt;height:10.6pt;mso-position-horizontal-relative:page;mso-position-vertical-relative:paragraph;z-index:-266749952" coordorigin="3524,117" coordsize="2523,212">
            <v:shape style="position:absolute;left:3523;top:116;width:423;height:212" type="#_x0000_t75" stroked="false">
              <v:imagedata r:id="rId21" o:title=""/>
            </v:shape>
            <v:shape style="position:absolute;left:3734;top:116;width:418;height:212" type="#_x0000_t75" stroked="false">
              <v:imagedata r:id="rId20" o:title=""/>
            </v:shape>
            <v:shape style="position:absolute;left:3944;top:116;width:423;height:212" type="#_x0000_t75" stroked="false">
              <v:imagedata r:id="rId21" o:title=""/>
            </v:shape>
            <v:shape style="position:absolute;left:4155;top:116;width:418;height:212" type="#_x0000_t75" stroked="false">
              <v:imagedata r:id="rId20" o:title=""/>
            </v:shape>
            <v:shape style="position:absolute;left:4364;top:116;width:418;height:212" type="#_x0000_t75" stroked="false">
              <v:imagedata r:id="rId20" o:title=""/>
            </v:shape>
            <v:shape style="position:absolute;left:4573;top:116;width:423;height:212" type="#_x0000_t75" stroked="false">
              <v:imagedata r:id="rId21" o:title=""/>
            </v:shape>
            <v:shape style="position:absolute;left:4784;top:116;width:423;height:212" type="#_x0000_t75" stroked="false">
              <v:imagedata r:id="rId21" o:title=""/>
            </v:shape>
            <v:shape style="position:absolute;left:4995;top:116;width:418;height:212" type="#_x0000_t75" stroked="false">
              <v:imagedata r:id="rId20" o:title=""/>
            </v:shape>
            <v:shape style="position:absolute;left:5204;top:116;width:423;height:212" type="#_x0000_t75" stroked="false">
              <v:imagedata r:id="rId21" o:title=""/>
            </v:shape>
            <v:shape style="position:absolute;left:5415;top:116;width:418;height:212" type="#_x0000_t75" stroked="false">
              <v:imagedata r:id="rId20" o:title=""/>
            </v:shape>
            <v:shape style="position:absolute;left:5624;top:116;width:423;height:212" type="#_x0000_t75" stroked="false">
              <v:imagedata r:id="rId21" o:title=""/>
            </v:shape>
            <w10:wrap type="none"/>
          </v:group>
        </w:pict>
      </w:r>
      <w:r>
        <w:rPr/>
        <w:pict>
          <v:group style="position:absolute;margin-left:323.230011pt;margin-top:5.829983pt;width:52.7pt;height:10.6pt;mso-position-horizontal-relative:page;mso-position-vertical-relative:paragraph;z-index:-266748928" coordorigin="6465,117" coordsize="1054,212">
            <v:shape style="position:absolute;left:6464;top:116;width:423;height:212" type="#_x0000_t75" stroked="false">
              <v:imagedata r:id="rId21" o:title=""/>
            </v:shape>
            <v:shape style="position:absolute;left:6675;top:116;width:418;height:212" type="#_x0000_t75" stroked="false">
              <v:imagedata r:id="rId20" o:title=""/>
            </v:shape>
            <v:shape style="position:absolute;left:6884;top:116;width:423;height:212" type="#_x0000_t75" stroked="false">
              <v:imagedata r:id="rId21" o:title=""/>
            </v:shape>
            <v:shape style="position:absolute;left:7095;top:116;width:423;height:212" type="#_x0000_t75" stroked="false">
              <v:imagedata r:id="rId21" o:title=""/>
            </v:shape>
            <w10:wrap type="none"/>
          </v:group>
        </w:pict>
      </w:r>
      <w:r>
        <w:rPr>
          <w:spacing w:val="-3"/>
          <w:sz w:val="21"/>
        </w:rPr>
        <w:t>工</w:t>
      </w:r>
      <w:r>
        <w:rPr>
          <w:sz w:val="21"/>
        </w:rPr>
        <w:t>程</w:t>
      </w:r>
      <w:r>
        <w:rPr>
          <w:spacing w:val="-3"/>
          <w:sz w:val="21"/>
        </w:rPr>
        <w:t>名</w:t>
      </w:r>
      <w:r>
        <w:rPr>
          <w:sz w:val="21"/>
        </w:rPr>
        <w:t>称</w:t>
      </w:r>
      <w:r>
        <w:rPr>
          <w:spacing w:val="-3"/>
          <w:sz w:val="21"/>
        </w:rPr>
        <w:t>：</w:t>
      </w:r>
      <w:r>
        <w:rPr>
          <w:spacing w:val="-3"/>
          <w:sz w:val="21"/>
          <w:u w:val="single"/>
        </w:rPr>
        <w:t> </w:t>
        <w:tab/>
      </w:r>
      <w:r>
        <w:rPr>
          <w:sz w:val="21"/>
        </w:rPr>
        <w:t>。</w:t>
      </w:r>
    </w:p>
    <w:p>
      <w:pPr>
        <w:pStyle w:val="ListParagraph"/>
        <w:numPr>
          <w:ilvl w:val="0"/>
          <w:numId w:val="65"/>
        </w:numPr>
        <w:tabs>
          <w:tab w:pos="1355" w:val="left" w:leader="none"/>
          <w:tab w:pos="6290" w:val="left" w:leader="none"/>
        </w:tabs>
        <w:spacing w:line="240" w:lineRule="auto" w:before="139" w:after="0"/>
        <w:ind w:left="1354" w:right="0" w:hanging="265"/>
        <w:jc w:val="left"/>
        <w:rPr>
          <w:sz w:val="21"/>
        </w:rPr>
      </w:pPr>
      <w:r>
        <w:rPr/>
        <w:pict>
          <v:group style="position:absolute;margin-left:176.179993pt;margin-top:8.330020pt;width:136.5pt;height:10.6pt;mso-position-horizontal-relative:page;mso-position-vertical-relative:paragraph;z-index:-266747904" coordorigin="3524,167" coordsize="2730,212">
            <v:shape style="position:absolute;left:3523;top:166;width:423;height:212" type="#_x0000_t75" stroked="false">
              <v:imagedata r:id="rId21" o:title=""/>
            </v:shape>
            <v:shape style="position:absolute;left:3734;top:166;width:418;height:212" type="#_x0000_t75" stroked="false">
              <v:imagedata r:id="rId20" o:title=""/>
            </v:shape>
            <v:shape style="position:absolute;left:3944;top:166;width:423;height:212" type="#_x0000_t75" stroked="false">
              <v:imagedata r:id="rId21" o:title=""/>
            </v:shape>
            <v:shape style="position:absolute;left:4155;top:166;width:418;height:212" type="#_x0000_t75" stroked="false">
              <v:imagedata r:id="rId20" o:title=""/>
            </v:shape>
            <v:shape style="position:absolute;left:4364;top:166;width:418;height:212" type="#_x0000_t75" stroked="false">
              <v:imagedata r:id="rId20" o:title=""/>
            </v:shape>
            <v:shape style="position:absolute;left:4573;top:166;width:423;height:212" type="#_x0000_t75" stroked="false">
              <v:imagedata r:id="rId21" o:title=""/>
            </v:shape>
            <v:shape style="position:absolute;left:4784;top:166;width:423;height:212" type="#_x0000_t75" stroked="false">
              <v:imagedata r:id="rId21" o:title=""/>
            </v:shape>
            <v:shape style="position:absolute;left:4995;top:166;width:418;height:212" type="#_x0000_t75" stroked="false">
              <v:imagedata r:id="rId20" o:title=""/>
            </v:shape>
            <v:shape style="position:absolute;left:5204;top:166;width:423;height:212" type="#_x0000_t75" stroked="false">
              <v:imagedata r:id="rId21" o:title=""/>
            </v:shape>
            <v:shape style="position:absolute;left:5415;top:166;width:418;height:212" type="#_x0000_t75" stroked="false">
              <v:imagedata r:id="rId20" o:title=""/>
            </v:shape>
            <v:shape style="position:absolute;left:5624;top:166;width:423;height:212" type="#_x0000_t75" stroked="false">
              <v:imagedata r:id="rId21" o:title=""/>
            </v:shape>
            <v:shape style="position:absolute;left:5835;top:166;width:418;height:212" type="#_x0000_t75" stroked="false">
              <v:imagedata r:id="rId20" o:title=""/>
            </v:shape>
            <w10:wrap type="none"/>
          </v:group>
        </w:pict>
      </w:r>
      <w:r>
        <w:rPr/>
        <w:pict>
          <v:group style="position:absolute;margin-left:333.790009pt;margin-top:8.330020pt;width:42.15pt;height:10.6pt;mso-position-horizontal-relative:page;mso-position-vertical-relative:paragraph;z-index:-266746880" coordorigin="6676,167" coordsize="843,212">
            <v:shape style="position:absolute;left:6675;top:166;width:418;height:212" type="#_x0000_t75" stroked="false">
              <v:imagedata r:id="rId20" o:title=""/>
            </v:shape>
            <v:shape style="position:absolute;left:6884;top:166;width:423;height:212" type="#_x0000_t75" stroked="false">
              <v:imagedata r:id="rId21" o:title=""/>
            </v:shape>
            <v:shape style="position:absolute;left:7095;top:166;width:423;height:212" type="#_x0000_t75" stroked="false">
              <v:imagedata r:id="rId21" o:title=""/>
            </v:shape>
            <w10:wrap type="none"/>
          </v:group>
        </w:pict>
      </w:r>
      <w:r>
        <w:rPr>
          <w:spacing w:val="-3"/>
          <w:sz w:val="21"/>
        </w:rPr>
        <w:t>工</w:t>
      </w:r>
      <w:r>
        <w:rPr>
          <w:sz w:val="21"/>
        </w:rPr>
        <w:t>程</w:t>
      </w:r>
      <w:r>
        <w:rPr>
          <w:spacing w:val="-3"/>
          <w:sz w:val="21"/>
        </w:rPr>
        <w:t>地</w:t>
      </w:r>
      <w:r>
        <w:rPr>
          <w:sz w:val="21"/>
        </w:rPr>
        <w:t>点</w:t>
      </w:r>
      <w:r>
        <w:rPr>
          <w:spacing w:val="-3"/>
          <w:sz w:val="21"/>
        </w:rPr>
        <w:t>：</w:t>
      </w:r>
      <w:r>
        <w:rPr>
          <w:spacing w:val="-3"/>
          <w:sz w:val="21"/>
          <w:u w:val="single"/>
        </w:rPr>
        <w:t> </w:t>
        <w:tab/>
      </w:r>
      <w:r>
        <w:rPr>
          <w:sz w:val="21"/>
        </w:rPr>
        <w:t>。</w:t>
      </w:r>
    </w:p>
    <w:p>
      <w:pPr>
        <w:pStyle w:val="ListParagraph"/>
        <w:numPr>
          <w:ilvl w:val="0"/>
          <w:numId w:val="65"/>
        </w:numPr>
        <w:tabs>
          <w:tab w:pos="1355" w:val="left" w:leader="none"/>
          <w:tab w:pos="6290" w:val="left" w:leader="none"/>
        </w:tabs>
        <w:spacing w:line="240" w:lineRule="auto" w:before="139" w:after="0"/>
        <w:ind w:left="1354" w:right="0" w:hanging="265"/>
        <w:jc w:val="left"/>
        <w:rPr>
          <w:sz w:val="21"/>
        </w:rPr>
      </w:pPr>
      <w:r>
        <w:rPr/>
        <w:pict>
          <v:group style="position:absolute;margin-left:218.210007pt;margin-top:8.329995pt;width:105.15pt;height:10.6pt;mso-position-horizontal-relative:page;mso-position-vertical-relative:paragraph;z-index:-266745856" coordorigin="4364,167" coordsize="2103,212">
            <v:shape style="position:absolute;left:4364;top:166;width:418;height:212" type="#_x0000_t75" stroked="false">
              <v:imagedata r:id="rId20" o:title=""/>
            </v:shape>
            <v:shape style="position:absolute;left:4573;top:166;width:423;height:212" type="#_x0000_t75" stroked="false">
              <v:imagedata r:id="rId21" o:title=""/>
            </v:shape>
            <v:shape style="position:absolute;left:4784;top:166;width:423;height:212" type="#_x0000_t75" stroked="false">
              <v:imagedata r:id="rId21" o:title=""/>
            </v:shape>
            <v:shape style="position:absolute;left:4995;top:166;width:418;height:212" type="#_x0000_t75" stroked="false">
              <v:imagedata r:id="rId20" o:title=""/>
            </v:shape>
            <v:shape style="position:absolute;left:5204;top:166;width:423;height:212" type="#_x0000_t75" stroked="false">
              <v:imagedata r:id="rId21" o:title=""/>
            </v:shape>
            <v:shape style="position:absolute;left:5415;top:166;width:418;height:212" type="#_x0000_t75" stroked="false">
              <v:imagedata r:id="rId20" o:title=""/>
            </v:shape>
            <v:shape style="position:absolute;left:5624;top:166;width:423;height:212" type="#_x0000_t75" stroked="false">
              <v:imagedata r:id="rId21" o:title=""/>
            </v:shape>
            <v:shape style="position:absolute;left:5835;top:166;width:418;height:212" type="#_x0000_t75" stroked="false">
              <v:imagedata r:id="rId20" o:title=""/>
            </v:shape>
            <v:shape style="position:absolute;left:6044;top:166;width:423;height:212" type="#_x0000_t75" stroked="false">
              <v:imagedata r:id="rId21" o:title=""/>
            </v:shape>
            <w10:wrap type="none"/>
          </v:group>
        </w:pict>
      </w:r>
      <w:r>
        <w:rPr/>
        <w:pict>
          <v:group style="position:absolute;margin-left:344.230011pt;margin-top:8.329995pt;width:31.7pt;height:10.6pt;mso-position-horizontal-relative:page;mso-position-vertical-relative:paragraph;z-index:-266744832" coordorigin="6885,167" coordsize="634,212">
            <v:shape style="position:absolute;left:6884;top:166;width:423;height:212" type="#_x0000_t75" stroked="false">
              <v:imagedata r:id="rId21" o:title=""/>
            </v:shape>
            <v:shape style="position:absolute;left:7095;top:166;width:423;height:212" type="#_x0000_t75" stroked="false">
              <v:imagedata r:id="rId21" o:title=""/>
            </v:shape>
            <w10:wrap type="none"/>
          </v:group>
        </w:pict>
      </w:r>
      <w:r>
        <w:rPr>
          <w:spacing w:val="-3"/>
          <w:sz w:val="21"/>
        </w:rPr>
        <w:t>工</w:t>
      </w:r>
      <w:r>
        <w:rPr>
          <w:sz w:val="21"/>
        </w:rPr>
        <w:t>程</w:t>
      </w:r>
      <w:r>
        <w:rPr>
          <w:spacing w:val="-3"/>
          <w:sz w:val="21"/>
        </w:rPr>
        <w:t>立</w:t>
      </w:r>
      <w:r>
        <w:rPr>
          <w:sz w:val="21"/>
        </w:rPr>
        <w:t>项</w:t>
      </w:r>
      <w:r>
        <w:rPr>
          <w:spacing w:val="-3"/>
          <w:sz w:val="21"/>
        </w:rPr>
        <w:t>批</w:t>
      </w:r>
      <w:r>
        <w:rPr>
          <w:sz w:val="21"/>
        </w:rPr>
        <w:t>准</w:t>
      </w:r>
      <w:r>
        <w:rPr>
          <w:spacing w:val="-3"/>
          <w:sz w:val="21"/>
        </w:rPr>
        <w:t>文</w:t>
      </w:r>
      <w:r>
        <w:rPr>
          <w:sz w:val="21"/>
        </w:rPr>
        <w:t>号</w:t>
      </w:r>
      <w:r>
        <w:rPr>
          <w:spacing w:val="-3"/>
          <w:sz w:val="21"/>
        </w:rPr>
        <w:t>：</w:t>
      </w:r>
      <w:r>
        <w:rPr>
          <w:spacing w:val="-3"/>
          <w:sz w:val="21"/>
          <w:u w:val="single"/>
        </w:rPr>
        <w:t> </w:t>
        <w:tab/>
      </w:r>
      <w:r>
        <w:rPr>
          <w:sz w:val="21"/>
        </w:rPr>
        <w:t>。</w:t>
      </w:r>
    </w:p>
    <w:p>
      <w:pPr>
        <w:pStyle w:val="ListParagraph"/>
        <w:numPr>
          <w:ilvl w:val="0"/>
          <w:numId w:val="65"/>
        </w:numPr>
        <w:tabs>
          <w:tab w:pos="1355" w:val="left" w:leader="none"/>
          <w:tab w:pos="6290" w:val="left" w:leader="none"/>
        </w:tabs>
        <w:spacing w:line="240" w:lineRule="auto" w:before="141" w:after="0"/>
        <w:ind w:left="1354" w:right="0" w:hanging="265"/>
        <w:jc w:val="left"/>
        <w:rPr>
          <w:sz w:val="21"/>
        </w:rPr>
      </w:pPr>
      <w:r>
        <w:rPr/>
        <w:pict>
          <v:group style="position:absolute;margin-left:176.179993pt;margin-top:8.430006pt;width:157.5pt;height:10.6pt;mso-position-horizontal-relative:page;mso-position-vertical-relative:paragraph;z-index:-266743808" coordorigin="3524,169" coordsize="3150,212">
            <v:shape style="position:absolute;left:3523;top:168;width:423;height:212" type="#_x0000_t75" stroked="false">
              <v:imagedata r:id="rId21" o:title=""/>
            </v:shape>
            <v:shape style="position:absolute;left:3734;top:168;width:418;height:212" type="#_x0000_t75" stroked="false">
              <v:imagedata r:id="rId20" o:title=""/>
            </v:shape>
            <v:shape style="position:absolute;left:3944;top:168;width:423;height:212" type="#_x0000_t75" stroked="false">
              <v:imagedata r:id="rId21" o:title=""/>
            </v:shape>
            <v:shape style="position:absolute;left:4155;top:168;width:418;height:212" type="#_x0000_t75" stroked="false">
              <v:imagedata r:id="rId20" o:title=""/>
            </v:shape>
            <v:shape style="position:absolute;left:4364;top:168;width:418;height:212" type="#_x0000_t75" stroked="false">
              <v:imagedata r:id="rId20" o:title=""/>
            </v:shape>
            <v:shape style="position:absolute;left:4573;top:168;width:423;height:212" type="#_x0000_t75" stroked="false">
              <v:imagedata r:id="rId21" o:title=""/>
            </v:shape>
            <v:shape style="position:absolute;left:4784;top:168;width:423;height:212" type="#_x0000_t75" stroked="false">
              <v:imagedata r:id="rId21" o:title=""/>
            </v:shape>
            <v:shape style="position:absolute;left:4995;top:168;width:418;height:212" type="#_x0000_t75" stroked="false">
              <v:imagedata r:id="rId20" o:title=""/>
            </v:shape>
            <v:shape style="position:absolute;left:5204;top:168;width:423;height:212" type="#_x0000_t75" stroked="false">
              <v:imagedata r:id="rId21" o:title=""/>
            </v:shape>
            <v:shape style="position:absolute;left:5415;top:168;width:418;height:212" type="#_x0000_t75" stroked="false">
              <v:imagedata r:id="rId20" o:title=""/>
            </v:shape>
            <v:shape style="position:absolute;left:5624;top:168;width:423;height:212" type="#_x0000_t75" stroked="false">
              <v:imagedata r:id="rId21" o:title=""/>
            </v:shape>
            <v:shape style="position:absolute;left:5835;top:168;width:418;height:212" type="#_x0000_t75" stroked="false">
              <v:imagedata r:id="rId20" o:title=""/>
            </v:shape>
            <v:shape style="position:absolute;left:6044;top:168;width:423;height:212" type="#_x0000_t75" stroked="false">
              <v:imagedata r:id="rId21" o:title=""/>
            </v:shape>
            <v:shape style="position:absolute;left:6255;top:168;width:418;height:212" type="#_x0000_t75" stroked="false">
              <v:imagedata r:id="rId20" o:title=""/>
            </v:shape>
            <w10:wrap type="none"/>
          </v:group>
        </w:pict>
      </w:r>
      <w:r>
        <w:rPr/>
        <w:drawing>
          <wp:anchor distT="0" distB="0" distL="0" distR="0" allowOverlap="1" layoutInCell="1" locked="0" behindDoc="1" simplePos="0" relativeHeight="236573696">
            <wp:simplePos x="0" y="0"/>
            <wp:positionH relativeFrom="page">
              <wp:posOffset>4504309</wp:posOffset>
            </wp:positionH>
            <wp:positionV relativeFrom="paragraph">
              <wp:posOffset>107061</wp:posOffset>
            </wp:positionV>
            <wp:extent cx="268224" cy="134112"/>
            <wp:effectExtent l="0" t="0" r="0" b="0"/>
            <wp:wrapNone/>
            <wp:docPr id="7" name="image3.png"/>
            <wp:cNvGraphicFramePr>
              <a:graphicFrameLocks noChangeAspect="1"/>
            </wp:cNvGraphicFramePr>
            <a:graphic>
              <a:graphicData uri="http://schemas.openxmlformats.org/drawingml/2006/picture">
                <pic:pic>
                  <pic:nvPicPr>
                    <pic:cNvPr id="8" name="image3.png"/>
                    <pic:cNvPicPr/>
                  </pic:nvPicPr>
                  <pic:blipFill>
                    <a:blip r:embed="rId21" cstate="print"/>
                    <a:stretch>
                      <a:fillRect/>
                    </a:stretch>
                  </pic:blipFill>
                  <pic:spPr>
                    <a:xfrm>
                      <a:off x="0" y="0"/>
                      <a:ext cx="268224" cy="134112"/>
                    </a:xfrm>
                    <a:prstGeom prst="rect">
                      <a:avLst/>
                    </a:prstGeom>
                  </pic:spPr>
                </pic:pic>
              </a:graphicData>
            </a:graphic>
          </wp:anchor>
        </w:drawing>
      </w:r>
      <w:r>
        <w:rPr>
          <w:spacing w:val="-3"/>
          <w:sz w:val="21"/>
        </w:rPr>
        <w:t>资</w:t>
      </w:r>
      <w:r>
        <w:rPr>
          <w:sz w:val="21"/>
        </w:rPr>
        <w:t>金</w:t>
      </w:r>
      <w:r>
        <w:rPr>
          <w:spacing w:val="-3"/>
          <w:sz w:val="21"/>
        </w:rPr>
        <w:t>来</w:t>
      </w:r>
      <w:r>
        <w:rPr>
          <w:sz w:val="21"/>
        </w:rPr>
        <w:t>源</w:t>
      </w:r>
      <w:r>
        <w:rPr>
          <w:spacing w:val="-3"/>
          <w:sz w:val="21"/>
        </w:rPr>
        <w:t>：</w:t>
      </w:r>
      <w:r>
        <w:rPr>
          <w:spacing w:val="-3"/>
          <w:sz w:val="21"/>
          <w:u w:val="single"/>
        </w:rPr>
        <w:t> </w:t>
        <w:tab/>
      </w:r>
      <w:r>
        <w:rPr>
          <w:sz w:val="21"/>
        </w:rPr>
        <w:t>。</w:t>
      </w:r>
    </w:p>
    <w:p>
      <w:pPr>
        <w:pStyle w:val="ListParagraph"/>
        <w:numPr>
          <w:ilvl w:val="0"/>
          <w:numId w:val="65"/>
        </w:numPr>
        <w:tabs>
          <w:tab w:pos="1355" w:val="left" w:leader="none"/>
          <w:tab w:pos="6290" w:val="left" w:leader="none"/>
        </w:tabs>
        <w:spacing w:line="364" w:lineRule="auto" w:before="139" w:after="0"/>
        <w:ind w:left="1090" w:right="4003" w:firstLine="0"/>
        <w:jc w:val="left"/>
        <w:rPr>
          <w:sz w:val="21"/>
        </w:rPr>
      </w:pPr>
      <w:r>
        <w:rPr/>
        <w:pict>
          <v:group style="position:absolute;margin-left:176.179993pt;margin-top:8.330012pt;width:157.5pt;height:10.6pt;mso-position-horizontal-relative:page;mso-position-vertical-relative:paragraph;z-index:-266741760" coordorigin="3524,167" coordsize="3150,212">
            <v:shape style="position:absolute;left:3523;top:166;width:423;height:212" type="#_x0000_t75" stroked="false">
              <v:imagedata r:id="rId21" o:title=""/>
            </v:shape>
            <v:shape style="position:absolute;left:3734;top:166;width:418;height:212" type="#_x0000_t75" stroked="false">
              <v:imagedata r:id="rId20" o:title=""/>
            </v:shape>
            <v:shape style="position:absolute;left:3944;top:166;width:423;height:212" type="#_x0000_t75" stroked="false">
              <v:imagedata r:id="rId21" o:title=""/>
            </v:shape>
            <v:shape style="position:absolute;left:4155;top:166;width:418;height:212" type="#_x0000_t75" stroked="false">
              <v:imagedata r:id="rId20" o:title=""/>
            </v:shape>
            <v:shape style="position:absolute;left:4364;top:166;width:418;height:212" type="#_x0000_t75" stroked="false">
              <v:imagedata r:id="rId20" o:title=""/>
            </v:shape>
            <v:shape style="position:absolute;left:4573;top:166;width:423;height:212" type="#_x0000_t75" stroked="false">
              <v:imagedata r:id="rId21" o:title=""/>
            </v:shape>
            <v:shape style="position:absolute;left:4784;top:166;width:423;height:212" type="#_x0000_t75" stroked="false">
              <v:imagedata r:id="rId21" o:title=""/>
            </v:shape>
            <v:shape style="position:absolute;left:4995;top:166;width:418;height:212" type="#_x0000_t75" stroked="false">
              <v:imagedata r:id="rId20" o:title=""/>
            </v:shape>
            <v:shape style="position:absolute;left:5204;top:166;width:423;height:212" type="#_x0000_t75" stroked="false">
              <v:imagedata r:id="rId21" o:title=""/>
            </v:shape>
            <v:shape style="position:absolute;left:5415;top:166;width:418;height:212" type="#_x0000_t75" stroked="false">
              <v:imagedata r:id="rId20" o:title=""/>
            </v:shape>
            <v:shape style="position:absolute;left:5624;top:166;width:423;height:212" type="#_x0000_t75" stroked="false">
              <v:imagedata r:id="rId21" o:title=""/>
            </v:shape>
            <v:shape style="position:absolute;left:5835;top:166;width:418;height:212" type="#_x0000_t75" stroked="false">
              <v:imagedata r:id="rId20" o:title=""/>
            </v:shape>
            <v:shape style="position:absolute;left:6044;top:166;width:423;height:212" type="#_x0000_t75" stroked="false">
              <v:imagedata r:id="rId21" o:title=""/>
            </v:shape>
            <v:shape style="position:absolute;left:6255;top:166;width:418;height:212" type="#_x0000_t75" stroked="false">
              <v:imagedata r:id="rId20" o:title=""/>
            </v:shape>
            <w10:wrap type="none"/>
          </v:group>
        </w:pict>
      </w:r>
      <w:r>
        <w:rPr/>
        <w:drawing>
          <wp:anchor distT="0" distB="0" distL="0" distR="0" allowOverlap="1" layoutInCell="1" locked="0" behindDoc="1" simplePos="0" relativeHeight="236575744">
            <wp:simplePos x="0" y="0"/>
            <wp:positionH relativeFrom="page">
              <wp:posOffset>4504309</wp:posOffset>
            </wp:positionH>
            <wp:positionV relativeFrom="paragraph">
              <wp:posOffset>105791</wp:posOffset>
            </wp:positionV>
            <wp:extent cx="268224" cy="134112"/>
            <wp:effectExtent l="0" t="0" r="0" b="0"/>
            <wp:wrapNone/>
            <wp:docPr id="9" name="image3.png"/>
            <wp:cNvGraphicFramePr>
              <a:graphicFrameLocks noChangeAspect="1"/>
            </wp:cNvGraphicFramePr>
            <a:graphic>
              <a:graphicData uri="http://schemas.openxmlformats.org/drawingml/2006/picture">
                <pic:pic>
                  <pic:nvPicPr>
                    <pic:cNvPr id="10" name="image3.png"/>
                    <pic:cNvPicPr/>
                  </pic:nvPicPr>
                  <pic:blipFill>
                    <a:blip r:embed="rId21" cstate="print"/>
                    <a:stretch>
                      <a:fillRect/>
                    </a:stretch>
                  </pic:blipFill>
                  <pic:spPr>
                    <a:xfrm>
                      <a:off x="0" y="0"/>
                      <a:ext cx="268224" cy="134112"/>
                    </a:xfrm>
                    <a:prstGeom prst="rect">
                      <a:avLst/>
                    </a:prstGeom>
                  </pic:spPr>
                </pic:pic>
              </a:graphicData>
            </a:graphic>
          </wp:anchor>
        </w:drawing>
      </w:r>
      <w:r>
        <w:rPr>
          <w:spacing w:val="-3"/>
          <w:sz w:val="21"/>
        </w:rPr>
        <w:t>工</w:t>
      </w:r>
      <w:r>
        <w:rPr>
          <w:sz w:val="21"/>
        </w:rPr>
        <w:t>程</w:t>
      </w:r>
      <w:r>
        <w:rPr>
          <w:spacing w:val="-3"/>
          <w:sz w:val="21"/>
        </w:rPr>
        <w:t>内</w:t>
      </w:r>
      <w:r>
        <w:rPr>
          <w:sz w:val="21"/>
        </w:rPr>
        <w:t>容</w:t>
      </w:r>
      <w:r>
        <w:rPr>
          <w:spacing w:val="-3"/>
          <w:sz w:val="21"/>
        </w:rPr>
        <w:t>：</w:t>
      </w:r>
      <w:r>
        <w:rPr>
          <w:spacing w:val="-3"/>
          <w:sz w:val="21"/>
          <w:u w:val="single"/>
        </w:rPr>
        <w:t> </w:t>
        <w:tab/>
      </w:r>
      <w:r>
        <w:rPr>
          <w:spacing w:val="-18"/>
          <w:sz w:val="21"/>
        </w:rPr>
        <w:t>。</w:t>
      </w:r>
      <w:r>
        <w:rPr>
          <w:w w:val="100"/>
          <w:sz w:val="21"/>
        </w:rPr>
        <w:t>群体</w:t>
      </w:r>
      <w:r>
        <w:rPr>
          <w:spacing w:val="-3"/>
          <w:w w:val="100"/>
          <w:sz w:val="21"/>
        </w:rPr>
        <w:t>工</w:t>
      </w:r>
      <w:r>
        <w:rPr>
          <w:w w:val="100"/>
          <w:sz w:val="21"/>
        </w:rPr>
        <w:t>程</w:t>
      </w:r>
      <w:r>
        <w:rPr>
          <w:spacing w:val="-3"/>
          <w:w w:val="100"/>
          <w:sz w:val="21"/>
        </w:rPr>
        <w:t>应</w:t>
      </w:r>
      <w:r>
        <w:rPr>
          <w:w w:val="100"/>
          <w:sz w:val="21"/>
        </w:rPr>
        <w:t>附</w:t>
      </w:r>
      <w:r>
        <w:rPr>
          <w:spacing w:val="-3"/>
          <w:w w:val="100"/>
          <w:sz w:val="21"/>
        </w:rPr>
        <w:t>《</w:t>
      </w:r>
      <w:r>
        <w:rPr>
          <w:w w:val="100"/>
          <w:sz w:val="21"/>
        </w:rPr>
        <w:t>承</w:t>
      </w:r>
      <w:r>
        <w:rPr>
          <w:spacing w:val="-3"/>
          <w:w w:val="100"/>
          <w:sz w:val="21"/>
        </w:rPr>
        <w:t>包</w:t>
      </w:r>
      <w:r>
        <w:rPr>
          <w:w w:val="100"/>
          <w:sz w:val="21"/>
        </w:rPr>
        <w:t>人</w:t>
      </w:r>
      <w:r>
        <w:rPr>
          <w:spacing w:val="-3"/>
          <w:w w:val="100"/>
          <w:sz w:val="21"/>
        </w:rPr>
        <w:t>承</w:t>
      </w:r>
      <w:r>
        <w:rPr>
          <w:w w:val="100"/>
          <w:sz w:val="21"/>
        </w:rPr>
        <w:t>揽工</w:t>
      </w:r>
      <w:r>
        <w:rPr>
          <w:spacing w:val="-3"/>
          <w:w w:val="100"/>
          <w:sz w:val="21"/>
        </w:rPr>
        <w:t>程</w:t>
      </w:r>
      <w:r>
        <w:rPr>
          <w:w w:val="100"/>
          <w:sz w:val="21"/>
        </w:rPr>
        <w:t>项</w:t>
      </w:r>
      <w:r>
        <w:rPr>
          <w:spacing w:val="-3"/>
          <w:w w:val="100"/>
          <w:sz w:val="21"/>
        </w:rPr>
        <w:t>目</w:t>
      </w:r>
      <w:r>
        <w:rPr>
          <w:w w:val="100"/>
          <w:sz w:val="21"/>
        </w:rPr>
        <w:t>一</w:t>
      </w:r>
      <w:r>
        <w:rPr>
          <w:spacing w:val="-3"/>
          <w:w w:val="100"/>
          <w:sz w:val="21"/>
        </w:rPr>
        <w:t>览</w:t>
      </w:r>
      <w:r>
        <w:rPr>
          <w:w w:val="100"/>
          <w:sz w:val="21"/>
        </w:rPr>
        <w:t>表</w:t>
      </w:r>
      <w:r>
        <w:rPr>
          <w:spacing w:val="-108"/>
          <w:w w:val="100"/>
          <w:sz w:val="21"/>
        </w:rPr>
        <w:t>》</w:t>
      </w:r>
      <w:r>
        <w:rPr>
          <w:w w:val="100"/>
          <w:sz w:val="21"/>
        </w:rPr>
        <w:t>（</w:t>
      </w:r>
      <w:r>
        <w:rPr>
          <w:spacing w:val="-3"/>
          <w:w w:val="100"/>
          <w:sz w:val="21"/>
        </w:rPr>
        <w:t>附</w:t>
      </w:r>
      <w:r>
        <w:rPr>
          <w:w w:val="100"/>
          <w:sz w:val="21"/>
        </w:rPr>
        <w:t>件</w:t>
      </w:r>
      <w:r>
        <w:rPr>
          <w:spacing w:val="-52"/>
          <w:sz w:val="21"/>
        </w:rPr>
        <w:t> </w:t>
      </w:r>
      <w:r>
        <w:rPr>
          <w:rFonts w:ascii="Times New Roman" w:eastAsia="Times New Roman"/>
          <w:w w:val="100"/>
          <w:sz w:val="21"/>
        </w:rPr>
        <w:t>1</w:t>
      </w:r>
      <w:r>
        <w:rPr>
          <w:spacing w:val="-108"/>
          <w:w w:val="100"/>
          <w:sz w:val="21"/>
        </w:rPr>
        <w:t>）。</w:t>
      </w:r>
    </w:p>
    <w:p>
      <w:pPr>
        <w:pStyle w:val="ListParagraph"/>
        <w:numPr>
          <w:ilvl w:val="0"/>
          <w:numId w:val="65"/>
        </w:numPr>
        <w:tabs>
          <w:tab w:pos="1355" w:val="left" w:leader="none"/>
        </w:tabs>
        <w:spacing w:line="268" w:lineRule="exact" w:before="0" w:after="0"/>
        <w:ind w:left="1354" w:right="0" w:hanging="265"/>
        <w:jc w:val="left"/>
        <w:rPr>
          <w:sz w:val="21"/>
        </w:rPr>
      </w:pPr>
      <w:r>
        <w:rPr>
          <w:spacing w:val="-3"/>
          <w:sz w:val="21"/>
        </w:rPr>
        <w:t>工程承包范围：</w:t>
      </w:r>
    </w:p>
    <w:p>
      <w:pPr>
        <w:tabs>
          <w:tab w:pos="9014" w:val="left" w:leader="none"/>
        </w:tabs>
        <w:spacing w:line="302" w:lineRule="auto" w:before="142"/>
        <w:ind w:left="1086" w:right="1278" w:hanging="3"/>
        <w:jc w:val="left"/>
        <w:rPr>
          <w:rFonts w:ascii="Microsoft JhengHei" w:eastAsia="Microsoft JhengHei" w:hint="eastAsia"/>
          <w:b/>
          <w:sz w:val="21"/>
        </w:rPr>
      </w:pPr>
      <w:r>
        <w:rPr/>
        <w:pict>
          <v:group style="position:absolute;margin-left:110.18pt;margin-top:8.479985pt;width:241.65pt;height:10.6pt;mso-position-horizontal-relative:page;mso-position-vertical-relative:paragraph;z-index:-266739712" coordorigin="2204,170" coordsize="4833,212">
            <v:shape style="position:absolute;left:2203;top:169;width:423;height:212" type="#_x0000_t75" stroked="false">
              <v:imagedata r:id="rId21" o:title=""/>
            </v:shape>
            <v:shape style="position:absolute;left:2414;top:169;width:423;height:212" type="#_x0000_t75" stroked="false">
              <v:imagedata r:id="rId21" o:title=""/>
            </v:shape>
            <v:shape style="position:absolute;left:2626;top:169;width:418;height:212" type="#_x0000_t75" stroked="false">
              <v:imagedata r:id="rId20" o:title=""/>
            </v:shape>
            <v:shape style="position:absolute;left:2834;top:169;width:423;height:212" type="#_x0000_t75" stroked="false">
              <v:imagedata r:id="rId21" o:title=""/>
            </v:shape>
            <v:shape style="position:absolute;left:3046;top:169;width:418;height:212" type="#_x0000_t75" stroked="false">
              <v:imagedata r:id="rId20" o:title=""/>
            </v:shape>
            <v:shape style="position:absolute;left:3254;top:169;width:423;height:212" type="#_x0000_t75" stroked="false">
              <v:imagedata r:id="rId21" o:title=""/>
            </v:shape>
            <v:shape style="position:absolute;left:3466;top:169;width:418;height:212" type="#_x0000_t75" stroked="false">
              <v:imagedata r:id="rId20" o:title=""/>
            </v:shape>
            <v:shape style="position:absolute;left:3674;top:169;width:423;height:212" type="#_x0000_t75" stroked="false">
              <v:imagedata r:id="rId21" o:title=""/>
            </v:shape>
            <v:shape style="position:absolute;left:3886;top:169;width:418;height:212" type="#_x0000_t75" stroked="false">
              <v:imagedata r:id="rId20" o:title=""/>
            </v:shape>
            <v:shape style="position:absolute;left:4095;top:169;width:423;height:212" type="#_x0000_t75" stroked="false">
              <v:imagedata r:id="rId21" o:title=""/>
            </v:shape>
            <v:shape style="position:absolute;left:4306;top:169;width:418;height:212" type="#_x0000_t75" stroked="false">
              <v:imagedata r:id="rId20" o:title=""/>
            </v:shape>
            <v:shape style="position:absolute;left:4515;top:169;width:423;height:212" type="#_x0000_t75" stroked="false">
              <v:imagedata r:id="rId21" o:title=""/>
            </v:shape>
            <v:shape style="position:absolute;left:4726;top:169;width:423;height:212" type="#_x0000_t75" stroked="false">
              <v:imagedata r:id="rId21" o:title=""/>
            </v:shape>
            <v:shape style="position:absolute;left:4937;top:169;width:418;height:212" type="#_x0000_t75" stroked="false">
              <v:imagedata r:id="rId20" o:title=""/>
            </v:shape>
            <v:shape style="position:absolute;left:5146;top:169;width:423;height:212" type="#_x0000_t75" stroked="false">
              <v:imagedata r:id="rId21" o:title=""/>
            </v:shape>
            <v:shape style="position:absolute;left:5357;top:169;width:418;height:212" type="#_x0000_t75" stroked="false">
              <v:imagedata r:id="rId20" o:title=""/>
            </v:shape>
            <v:shape style="position:absolute;left:5566;top:169;width:423;height:212" type="#_x0000_t75" stroked="false">
              <v:imagedata r:id="rId21" o:title=""/>
            </v:shape>
            <v:shape style="position:absolute;left:5777;top:169;width:418;height:212" type="#_x0000_t75" stroked="false">
              <v:imagedata r:id="rId20" o:title=""/>
            </v:shape>
            <v:shape style="position:absolute;left:5986;top:169;width:423;height:212" type="#_x0000_t75" stroked="false">
              <v:imagedata r:id="rId21" o:title=""/>
            </v:shape>
            <v:shape style="position:absolute;left:6197;top:169;width:418;height:212" type="#_x0000_t75" stroked="false">
              <v:imagedata r:id="rId20" o:title=""/>
            </v:shape>
            <v:shape style="position:absolute;left:6407;top:169;width:423;height:212" type="#_x0000_t75" stroked="false">
              <v:imagedata r:id="rId21" o:title=""/>
            </v:shape>
            <v:shape style="position:absolute;left:6618;top:169;width:418;height:212" type="#_x0000_t75" stroked="false">
              <v:imagedata r:id="rId20" o:title=""/>
            </v:shape>
            <w10:wrap type="none"/>
          </v:group>
        </w:pict>
      </w:r>
      <w:r>
        <w:rPr/>
        <w:pict>
          <v:group style="position:absolute;margin-left:357.070007pt;margin-top:8.479985pt;width:160.15pt;height:10.6pt;mso-position-horizontal-relative:page;mso-position-vertical-relative:paragraph;z-index:-266738688" coordorigin="7141,170" coordsize="3203,212">
            <v:shape style="position:absolute;left:7141;top:169;width:423;height:212" type="#_x0000_t75" stroked="false">
              <v:imagedata r:id="rId21" o:title=""/>
            </v:shape>
            <v:shape style="position:absolute;left:7352;top:169;width:418;height:212" type="#_x0000_t75" stroked="false">
              <v:imagedata r:id="rId20" o:title=""/>
            </v:shape>
            <v:shape style="position:absolute;left:7561;top:169;width:423;height:212" type="#_x0000_t75" stroked="false">
              <v:imagedata r:id="rId21" o:title=""/>
            </v:shape>
            <v:shape style="position:absolute;left:7772;top:169;width:418;height:212" type="#_x0000_t75" stroked="false">
              <v:imagedata r:id="rId20" o:title=""/>
            </v:shape>
            <v:shape style="position:absolute;left:7981;top:169;width:423;height:212" type="#_x0000_t75" stroked="false">
              <v:imagedata r:id="rId21" o:title=""/>
            </v:shape>
            <v:shape style="position:absolute;left:8192;top:169;width:418;height:212" type="#_x0000_t75" stroked="false">
              <v:imagedata r:id="rId20" o:title=""/>
            </v:shape>
            <v:shape style="position:absolute;left:8401;top:169;width:423;height:212" type="#_x0000_t75" stroked="false">
              <v:imagedata r:id="rId21" o:title=""/>
            </v:shape>
            <v:shape style="position:absolute;left:8612;top:169;width:418;height:212" type="#_x0000_t75" stroked="false">
              <v:imagedata r:id="rId20" o:title=""/>
            </v:shape>
            <v:shape style="position:absolute;left:8822;top:169;width:423;height:212" type="#_x0000_t75" stroked="false">
              <v:imagedata r:id="rId21" o:title=""/>
            </v:shape>
            <v:shape style="position:absolute;left:9033;top:169;width:418;height:212" type="#_x0000_t75" stroked="false">
              <v:imagedata r:id="rId20" o:title=""/>
            </v:shape>
            <v:shape style="position:absolute;left:9242;top:169;width:423;height:212" type="#_x0000_t75" stroked="false">
              <v:imagedata r:id="rId21" o:title=""/>
            </v:shape>
            <v:shape style="position:absolute;left:9453;top:169;width:423;height:212" type="#_x0000_t75" stroked="false">
              <v:imagedata r:id="rId21" o:title=""/>
            </v:shape>
            <v:shape style="position:absolute;left:9714;top:169;width:423;height:212" type="#_x0000_t75" stroked="false">
              <v:imagedata r:id="rId21" o:title=""/>
            </v:shape>
            <v:shape style="position:absolute;left:9926;top:169;width:418;height:212" type="#_x0000_t75" stroked="false">
              <v:imagedata r:id="rId20" o:title=""/>
            </v:shape>
            <w10:wrap type="none"/>
          </v:group>
        </w:pict>
      </w:r>
      <w:r>
        <w:rPr>
          <w:rFonts w:ascii="Times New Roman" w:eastAsia="Times New Roman"/>
          <w:w w:val="100"/>
          <w:sz w:val="21"/>
          <w:u w:val="single"/>
        </w:rPr>
        <w:t> </w:t>
      </w:r>
      <w:r>
        <w:rPr>
          <w:rFonts w:ascii="Times New Roman" w:eastAsia="Times New Roman"/>
          <w:sz w:val="21"/>
          <w:u w:val="single"/>
        </w:rPr>
        <w:tab/>
      </w:r>
      <w:r>
        <w:rPr>
          <w:spacing w:val="-17"/>
          <w:sz w:val="21"/>
        </w:rPr>
        <w:t>。</w:t>
      </w:r>
      <w:bookmarkStart w:name="二、合同工期" w:id="265"/>
      <w:bookmarkEnd w:id="265"/>
      <w:r>
        <w:rPr>
          <w:spacing w:val="-17"/>
          <w:sz w:val="21"/>
        </w:rPr>
      </w:r>
      <w:r>
        <w:rPr>
          <w:rFonts w:ascii="Microsoft JhengHei" w:eastAsia="Microsoft JhengHei" w:hint="eastAsia"/>
          <w:b/>
          <w:sz w:val="21"/>
        </w:rPr>
        <w:t>二、合同工期</w:t>
      </w:r>
    </w:p>
    <w:p>
      <w:pPr>
        <w:pStyle w:val="BodyText"/>
        <w:tabs>
          <w:tab w:pos="3659" w:val="left" w:leader="none"/>
          <w:tab w:pos="4499" w:val="left" w:leader="none"/>
          <w:tab w:pos="5339" w:val="left" w:leader="none"/>
        </w:tabs>
        <w:spacing w:line="364" w:lineRule="auto"/>
        <w:ind w:left="1136" w:right="1907"/>
      </w:pPr>
      <w:r>
        <w:rPr/>
        <w:pict>
          <v:group style="position:absolute;margin-left:186.380005pt;margin-top:1.379998pt;width:147.050pt;height:10.6pt;mso-position-horizontal-relative:page;mso-position-vertical-relative:paragraph;z-index:-266737664" coordorigin="3728,28" coordsize="2941,212">
            <v:shape style="position:absolute;left:3727;top:27;width:423;height:212" type="#_x0000_t75" stroked="false">
              <v:imagedata r:id="rId21" o:title=""/>
            </v:shape>
            <v:shape style="position:absolute;left:3939;top:27;width:418;height:212" type="#_x0000_t75" stroked="false">
              <v:imagedata r:id="rId20" o:title=""/>
            </v:shape>
            <v:shape style="position:absolute;left:4148;top:27;width:423;height:212" type="#_x0000_t75" stroked="false">
              <v:imagedata r:id="rId21" o:title=""/>
            </v:shape>
            <v:shape style="position:absolute;left:4359;top:27;width:418;height:212" type="#_x0000_t75" stroked="false">
              <v:imagedata r:id="rId20" o:title=""/>
            </v:shape>
            <v:shape style="position:absolute;left:4568;top:27;width:423;height:212" type="#_x0000_t75" stroked="false">
              <v:imagedata r:id="rId21" o:title=""/>
            </v:shape>
            <v:shape style="position:absolute;left:4990;top:27;width:418;height:212" type="#_x0000_t75" stroked="false">
              <v:imagedata r:id="rId20" o:title=""/>
            </v:shape>
            <v:shape style="position:absolute;left:5199;top:27;width:423;height:212" type="#_x0000_t75" stroked="false">
              <v:imagedata r:id="rId21" o:title=""/>
            </v:shape>
            <v:shape style="position:absolute;left:5410;top:27;width:418;height:212" type="#_x0000_t75" stroked="false">
              <v:imagedata r:id="rId20" o:title=""/>
            </v:shape>
            <v:shape style="position:absolute;left:5830;top:27;width:418;height:212" type="#_x0000_t75" stroked="false">
              <v:imagedata r:id="rId20" o:title=""/>
            </v:shape>
            <v:shape style="position:absolute;left:6039;top:27;width:423;height:212" type="#_x0000_t75" stroked="false">
              <v:imagedata r:id="rId21" o:title=""/>
            </v:shape>
            <v:shape style="position:absolute;left:6250;top:27;width:418;height:212" type="#_x0000_t75" stroked="false">
              <v:imagedata r:id="rId20" o:title=""/>
            </v:shape>
            <w10:wrap type="none"/>
          </v:group>
        </w:pict>
      </w:r>
      <w:r>
        <w:rPr/>
        <w:pict>
          <v:group style="position:absolute;margin-left:186.380005pt;margin-top:21.779997pt;width:147.050pt;height:10.6pt;mso-position-horizontal-relative:page;mso-position-vertical-relative:paragraph;z-index:-266736640" coordorigin="3728,436" coordsize="2941,212">
            <v:shape style="position:absolute;left:3727;top:435;width:423;height:212" type="#_x0000_t75" stroked="false">
              <v:imagedata r:id="rId21" o:title=""/>
            </v:shape>
            <v:shape style="position:absolute;left:3939;top:435;width:418;height:212" type="#_x0000_t75" stroked="false">
              <v:imagedata r:id="rId20" o:title=""/>
            </v:shape>
            <v:shape style="position:absolute;left:4148;top:435;width:423;height:212" type="#_x0000_t75" stroked="false">
              <v:imagedata r:id="rId21" o:title=""/>
            </v:shape>
            <v:shape style="position:absolute;left:4359;top:435;width:418;height:212" type="#_x0000_t75" stroked="false">
              <v:imagedata r:id="rId20" o:title=""/>
            </v:shape>
            <v:shape style="position:absolute;left:4568;top:435;width:423;height:212" type="#_x0000_t75" stroked="false">
              <v:imagedata r:id="rId21" o:title=""/>
            </v:shape>
            <v:shape style="position:absolute;left:4990;top:435;width:418;height:212" type="#_x0000_t75" stroked="false">
              <v:imagedata r:id="rId20" o:title=""/>
            </v:shape>
            <v:shape style="position:absolute;left:5199;top:435;width:423;height:212" type="#_x0000_t75" stroked="false">
              <v:imagedata r:id="rId21" o:title=""/>
            </v:shape>
            <v:shape style="position:absolute;left:5410;top:435;width:418;height:212" type="#_x0000_t75" stroked="false">
              <v:imagedata r:id="rId20" o:title=""/>
            </v:shape>
            <v:shape style="position:absolute;left:5830;top:435;width:418;height:212" type="#_x0000_t75" stroked="false">
              <v:imagedata r:id="rId20" o:title=""/>
            </v:shape>
            <v:shape style="position:absolute;left:6039;top:435;width:423;height:212" type="#_x0000_t75" stroked="false">
              <v:imagedata r:id="rId21" o:title=""/>
            </v:shape>
            <v:shape style="position:absolute;left:6250;top:435;width:418;height:212" type="#_x0000_t75" stroked="false">
              <v:imagedata r:id="rId20" o:title=""/>
            </v:shape>
            <w10:wrap type="none"/>
          </v:group>
        </w:pict>
      </w:r>
      <w:r>
        <w:rPr/>
        <w:t>计划</w:t>
      </w:r>
      <w:r>
        <w:rPr>
          <w:spacing w:val="-3"/>
        </w:rPr>
        <w:t>开</w:t>
      </w:r>
      <w:r>
        <w:rPr/>
        <w:t>工</w:t>
      </w:r>
      <w:r>
        <w:rPr>
          <w:spacing w:val="-3"/>
        </w:rPr>
        <w:t>日</w:t>
      </w:r>
      <w:r>
        <w:rPr/>
        <w:t>期</w:t>
      </w:r>
      <w:r>
        <w:rPr>
          <w:spacing w:val="-3"/>
        </w:rPr>
        <w:t>：</w:t>
      </w:r>
      <w:r>
        <w:rPr>
          <w:spacing w:val="-3"/>
          <w:u w:val="single"/>
        </w:rPr>
        <w:t> </w:t>
        <w:tab/>
      </w:r>
      <w:r>
        <w:rPr/>
        <w:t>年</w:t>
      </w:r>
      <w:r>
        <w:rPr>
          <w:u w:val="single"/>
        </w:rPr>
        <w:t> </w:t>
        <w:tab/>
      </w:r>
      <w:r>
        <w:rPr/>
        <w:t>月</w:t>
      </w:r>
      <w:r>
        <w:rPr>
          <w:u w:val="single"/>
        </w:rPr>
        <w:t> </w:t>
        <w:tab/>
      </w:r>
      <w:r>
        <w:rPr/>
        <w:t>日</w:t>
      </w:r>
      <w:r>
        <w:rPr>
          <w:spacing w:val="-108"/>
        </w:rPr>
        <w:t>。</w:t>
      </w:r>
      <w:r>
        <w:rPr>
          <w:spacing w:val="-3"/>
        </w:rPr>
        <w:t>（</w:t>
      </w:r>
      <w:r>
        <w:rPr/>
        <w:t>具体</w:t>
      </w:r>
      <w:r>
        <w:rPr>
          <w:spacing w:val="-3"/>
        </w:rPr>
        <w:t>以</w:t>
      </w:r>
      <w:r>
        <w:rPr/>
        <w:t>发</w:t>
      </w:r>
      <w:r>
        <w:rPr>
          <w:spacing w:val="-3"/>
        </w:rPr>
        <w:t>包</w:t>
      </w:r>
      <w:r>
        <w:rPr/>
        <w:t>人</w:t>
      </w:r>
      <w:r>
        <w:rPr>
          <w:spacing w:val="-3"/>
        </w:rPr>
        <w:t>书</w:t>
      </w:r>
      <w:r>
        <w:rPr/>
        <w:t>面</w:t>
      </w:r>
      <w:r>
        <w:rPr>
          <w:spacing w:val="-3"/>
        </w:rPr>
        <w:t>通</w:t>
      </w:r>
      <w:r>
        <w:rPr/>
        <w:t>知</w:t>
      </w:r>
      <w:r>
        <w:rPr>
          <w:spacing w:val="-3"/>
        </w:rPr>
        <w:t>为</w:t>
      </w:r>
      <w:r>
        <w:rPr/>
        <w:t>准</w:t>
      </w:r>
      <w:r>
        <w:rPr>
          <w:spacing w:val="-12"/>
        </w:rPr>
        <w:t>） </w:t>
      </w:r>
      <w:r>
        <w:rPr/>
        <w:t>计划</w:t>
      </w:r>
      <w:r>
        <w:rPr>
          <w:spacing w:val="-3"/>
        </w:rPr>
        <w:t>竣</w:t>
      </w:r>
      <w:r>
        <w:rPr/>
        <w:t>工</w:t>
      </w:r>
      <w:r>
        <w:rPr>
          <w:spacing w:val="-3"/>
        </w:rPr>
        <w:t>日</w:t>
      </w:r>
      <w:r>
        <w:rPr/>
        <w:t>期</w:t>
      </w:r>
      <w:r>
        <w:rPr>
          <w:spacing w:val="-3"/>
        </w:rPr>
        <w:t>：</w:t>
      </w:r>
      <w:r>
        <w:rPr>
          <w:spacing w:val="-3"/>
          <w:u w:val="single"/>
        </w:rPr>
        <w:t> </w:t>
        <w:tab/>
      </w:r>
      <w:r>
        <w:rPr/>
        <w:t>年</w:t>
      </w:r>
      <w:r>
        <w:rPr>
          <w:u w:val="single"/>
        </w:rPr>
        <w:t> </w:t>
        <w:tab/>
      </w:r>
      <w:r>
        <w:rPr/>
        <w:t>月</w:t>
      </w:r>
      <w:r>
        <w:rPr>
          <w:u w:val="single"/>
        </w:rPr>
        <w:t> </w:t>
        <w:tab/>
      </w:r>
      <w:r>
        <w:rPr/>
        <w:t>日。</w:t>
      </w:r>
    </w:p>
    <w:p>
      <w:pPr>
        <w:pStyle w:val="BodyText"/>
        <w:tabs>
          <w:tab w:pos="3875" w:val="left" w:leader="none"/>
        </w:tabs>
        <w:spacing w:line="367" w:lineRule="auto"/>
        <w:ind w:right="1154" w:firstLine="458"/>
      </w:pPr>
      <w:r>
        <w:rPr/>
        <w:pict>
          <v:group style="position:absolute;margin-left:197.210007pt;margin-top:1.38001pt;width:63.15pt;height:10.6pt;mso-position-horizontal-relative:page;mso-position-vertical-relative:paragraph;z-index:-266735616" coordorigin="3944,28" coordsize="1263,212">
            <v:shape style="position:absolute;left:3944;top:27;width:418;height:212" type="#_x0000_t75" stroked="false">
              <v:imagedata r:id="rId20" o:title=""/>
            </v:shape>
            <v:shape style="position:absolute;left:4153;top:27;width:423;height:212" type="#_x0000_t75" stroked="false">
              <v:imagedata r:id="rId21" o:title=""/>
            </v:shape>
            <v:shape style="position:absolute;left:4364;top:27;width:418;height:212" type="#_x0000_t75" stroked="false">
              <v:imagedata r:id="rId20" o:title=""/>
            </v:shape>
            <v:shape style="position:absolute;left:4573;top:27;width:423;height:212" type="#_x0000_t75" stroked="false">
              <v:imagedata r:id="rId21" o:title=""/>
            </v:shape>
            <v:shape style="position:absolute;left:4784;top:27;width:423;height:212" type="#_x0000_t75" stroked="false">
              <v:imagedata r:id="rId21" o:title=""/>
            </v:shape>
            <w10:wrap type="none"/>
          </v:group>
        </w:pict>
      </w:r>
      <w:r>
        <w:rPr/>
        <w:t>工期总日历</w:t>
      </w:r>
      <w:r>
        <w:rPr>
          <w:spacing w:val="-3"/>
        </w:rPr>
        <w:t>天</w:t>
      </w:r>
      <w:r>
        <w:rPr/>
        <w:t>数：</w:t>
      </w:r>
      <w:r>
        <w:rPr>
          <w:u w:val="single"/>
        </w:rPr>
        <w:t> </w:t>
        <w:tab/>
      </w:r>
      <w:r>
        <w:rPr/>
        <w:t>天。</w:t>
      </w:r>
      <w:r>
        <w:rPr>
          <w:spacing w:val="-3"/>
        </w:rPr>
        <w:t>工</w:t>
      </w:r>
      <w:r>
        <w:rPr/>
        <w:t>期总日</w:t>
      </w:r>
      <w:r>
        <w:rPr>
          <w:spacing w:val="-3"/>
        </w:rPr>
        <w:t>历</w:t>
      </w:r>
      <w:r>
        <w:rPr/>
        <w:t>天</w:t>
      </w:r>
      <w:r>
        <w:rPr>
          <w:spacing w:val="-3"/>
        </w:rPr>
        <w:t>数</w:t>
      </w:r>
      <w:r>
        <w:rPr/>
        <w:t>与根据前述</w:t>
      </w:r>
      <w:r>
        <w:rPr>
          <w:spacing w:val="-3"/>
        </w:rPr>
        <w:t>计</w:t>
      </w:r>
      <w:r>
        <w:rPr/>
        <w:t>划开竣</w:t>
      </w:r>
      <w:r>
        <w:rPr>
          <w:spacing w:val="-3"/>
        </w:rPr>
        <w:t>工日</w:t>
      </w:r>
      <w:r>
        <w:rPr/>
        <w:t>期计算的</w:t>
      </w:r>
      <w:r>
        <w:rPr>
          <w:spacing w:val="-3"/>
        </w:rPr>
        <w:t>工</w:t>
      </w:r>
      <w:r>
        <w:rPr>
          <w:spacing w:val="-13"/>
        </w:rPr>
        <w:t>期</w:t>
      </w:r>
      <w:r>
        <w:rPr/>
        <w:t>天数</w:t>
      </w:r>
      <w:r>
        <w:rPr>
          <w:spacing w:val="-3"/>
        </w:rPr>
        <w:t>不</w:t>
      </w:r>
      <w:r>
        <w:rPr/>
        <w:t>一</w:t>
      </w:r>
      <w:r>
        <w:rPr>
          <w:spacing w:val="-3"/>
        </w:rPr>
        <w:t>致</w:t>
      </w:r>
      <w:r>
        <w:rPr/>
        <w:t>的</w:t>
      </w:r>
      <w:r>
        <w:rPr>
          <w:spacing w:val="-3"/>
        </w:rPr>
        <w:t>，</w:t>
      </w:r>
      <w:r>
        <w:rPr/>
        <w:t>以</w:t>
      </w:r>
      <w:r>
        <w:rPr>
          <w:spacing w:val="-3"/>
        </w:rPr>
        <w:t>工</w:t>
      </w:r>
      <w:r>
        <w:rPr/>
        <w:t>期</w:t>
      </w:r>
      <w:r>
        <w:rPr>
          <w:spacing w:val="-3"/>
        </w:rPr>
        <w:t>总</w:t>
      </w:r>
      <w:r>
        <w:rPr/>
        <w:t>日历</w:t>
      </w:r>
      <w:r>
        <w:rPr>
          <w:spacing w:val="-3"/>
        </w:rPr>
        <w:t>天</w:t>
      </w:r>
      <w:r>
        <w:rPr/>
        <w:t>数</w:t>
      </w:r>
      <w:r>
        <w:rPr>
          <w:spacing w:val="-3"/>
        </w:rPr>
        <w:t>为</w:t>
      </w:r>
      <w:r>
        <w:rPr/>
        <w:t>准。</w:t>
      </w:r>
    </w:p>
    <w:p>
      <w:pPr>
        <w:pStyle w:val="Heading8"/>
        <w:spacing w:line="312" w:lineRule="exact"/>
        <w:ind w:left="1136" w:firstLine="0"/>
      </w:pPr>
      <w:bookmarkStart w:name="三、质量标准" w:id="266"/>
      <w:bookmarkEnd w:id="266"/>
      <w:r>
        <w:rPr>
          <w:b w:val="0"/>
        </w:rPr>
      </w:r>
      <w:r>
        <w:rPr/>
        <w:t>三、质量标准</w:t>
      </w:r>
    </w:p>
    <w:p>
      <w:pPr>
        <w:tabs>
          <w:tab w:pos="5970" w:val="left" w:leader="none"/>
        </w:tabs>
        <w:spacing w:line="302" w:lineRule="auto" w:before="80"/>
        <w:ind w:left="1136" w:right="3902" w:firstLine="0"/>
        <w:jc w:val="left"/>
        <w:rPr>
          <w:rFonts w:ascii="Microsoft JhengHei" w:eastAsia="Microsoft JhengHei" w:hint="eastAsia"/>
          <w:b/>
          <w:sz w:val="21"/>
        </w:rPr>
      </w:pPr>
      <w:r>
        <w:rPr/>
        <w:pict>
          <v:group style="position:absolute;margin-left:175.940002pt;margin-top:5.380003pt;width:189.2pt;height:10.6pt;mso-position-horizontal-relative:page;mso-position-vertical-relative:paragraph;z-index:-266734592" coordorigin="3519,108" coordsize="3784,212">
            <v:shape style="position:absolute;left:3518;top:107;width:418;height:212" type="#_x0000_t75" stroked="false">
              <v:imagedata r:id="rId20" o:title=""/>
            </v:shape>
            <v:shape style="position:absolute;left:3727;top:107;width:423;height:212" type="#_x0000_t75" stroked="false">
              <v:imagedata r:id="rId21" o:title=""/>
            </v:shape>
            <v:shape style="position:absolute;left:3939;top:107;width:418;height:212" type="#_x0000_t75" stroked="false">
              <v:imagedata r:id="rId20" o:title=""/>
            </v:shape>
            <v:shape style="position:absolute;left:4148;top:107;width:423;height:212" type="#_x0000_t75" stroked="false">
              <v:imagedata r:id="rId21" o:title=""/>
            </v:shape>
            <v:shape style="position:absolute;left:4359;top:107;width:418;height:212" type="#_x0000_t75" stroked="false">
              <v:imagedata r:id="rId20" o:title=""/>
            </v:shape>
            <v:shape style="position:absolute;left:4568;top:107;width:423;height:212" type="#_x0000_t75" stroked="false">
              <v:imagedata r:id="rId21" o:title=""/>
            </v:shape>
            <v:shape style="position:absolute;left:4779;top:107;width:423;height:212" type="#_x0000_t75" stroked="false">
              <v:imagedata r:id="rId21" o:title=""/>
            </v:shape>
            <v:shape style="position:absolute;left:4990;top:107;width:418;height:212" type="#_x0000_t75" stroked="false">
              <v:imagedata r:id="rId20" o:title=""/>
            </v:shape>
            <v:shape style="position:absolute;left:5199;top:107;width:423;height:212" type="#_x0000_t75" stroked="false">
              <v:imagedata r:id="rId21" o:title=""/>
            </v:shape>
            <v:shape style="position:absolute;left:5410;top:107;width:418;height:212" type="#_x0000_t75" stroked="false">
              <v:imagedata r:id="rId20" o:title=""/>
            </v:shape>
            <v:shape style="position:absolute;left:5619;top:107;width:423;height:212" type="#_x0000_t75" stroked="false">
              <v:imagedata r:id="rId21" o:title=""/>
            </v:shape>
            <v:shape style="position:absolute;left:5830;top:107;width:418;height:212" type="#_x0000_t75" stroked="false">
              <v:imagedata r:id="rId20" o:title=""/>
            </v:shape>
            <v:shape style="position:absolute;left:6039;top:107;width:423;height:212" type="#_x0000_t75" stroked="false">
              <v:imagedata r:id="rId21" o:title=""/>
            </v:shape>
            <v:shape style="position:absolute;left:6250;top:107;width:418;height:212" type="#_x0000_t75" stroked="false">
              <v:imagedata r:id="rId20" o:title=""/>
            </v:shape>
            <v:shape style="position:absolute;left:6459;top:107;width:423;height:212" type="#_x0000_t75" stroked="false">
              <v:imagedata r:id="rId21" o:title=""/>
            </v:shape>
            <v:shape style="position:absolute;left:6671;top:107;width:418;height:212" type="#_x0000_t75" stroked="false">
              <v:imagedata r:id="rId20" o:title=""/>
            </v:shape>
            <v:shape style="position:absolute;left:6879;top:107;width:423;height:212" type="#_x0000_t75" stroked="false">
              <v:imagedata r:id="rId21" o:title=""/>
            </v:shape>
            <w10:wrap type="none"/>
          </v:group>
        </w:pict>
      </w:r>
      <w:r>
        <w:rPr>
          <w:sz w:val="21"/>
        </w:rPr>
        <w:t>工程</w:t>
      </w:r>
      <w:r>
        <w:rPr>
          <w:spacing w:val="-3"/>
          <w:sz w:val="21"/>
        </w:rPr>
        <w:t>质</w:t>
      </w:r>
      <w:r>
        <w:rPr>
          <w:sz w:val="21"/>
        </w:rPr>
        <w:t>量</w:t>
      </w:r>
      <w:r>
        <w:rPr>
          <w:spacing w:val="-3"/>
          <w:sz w:val="21"/>
        </w:rPr>
        <w:t>符</w:t>
      </w:r>
      <w:r>
        <w:rPr>
          <w:sz w:val="21"/>
        </w:rPr>
        <w:t>合</w:t>
      </w:r>
      <w:r>
        <w:rPr>
          <w:sz w:val="21"/>
          <w:u w:val="single"/>
        </w:rPr>
        <w:t> </w:t>
        <w:tab/>
      </w:r>
      <w:r>
        <w:rPr>
          <w:sz w:val="21"/>
        </w:rPr>
        <w:t>标</w:t>
      </w:r>
      <w:r>
        <w:rPr>
          <w:spacing w:val="-3"/>
          <w:sz w:val="21"/>
        </w:rPr>
        <w:t>准</w:t>
      </w:r>
      <w:r>
        <w:rPr>
          <w:spacing w:val="-17"/>
          <w:sz w:val="21"/>
        </w:rPr>
        <w:t>。</w:t>
      </w:r>
      <w:bookmarkStart w:name="四、签约合同价与合同价格形式" w:id="267"/>
      <w:bookmarkEnd w:id="267"/>
      <w:r>
        <w:rPr>
          <w:spacing w:val="-17"/>
          <w:sz w:val="21"/>
        </w:rPr>
      </w:r>
      <w:r>
        <w:rPr>
          <w:rFonts w:ascii="Microsoft JhengHei" w:eastAsia="Microsoft JhengHei" w:hint="eastAsia"/>
          <w:b/>
          <w:sz w:val="21"/>
        </w:rPr>
        <w:t>四、签约合同价与</w:t>
      </w:r>
      <w:r>
        <w:rPr>
          <w:rFonts w:ascii="Microsoft JhengHei" w:eastAsia="Microsoft JhengHei" w:hint="eastAsia"/>
          <w:b/>
          <w:spacing w:val="-3"/>
          <w:sz w:val="21"/>
        </w:rPr>
        <w:t>合</w:t>
      </w:r>
      <w:r>
        <w:rPr>
          <w:rFonts w:ascii="Microsoft JhengHei" w:eastAsia="Microsoft JhengHei" w:hint="eastAsia"/>
          <w:b/>
          <w:sz w:val="21"/>
        </w:rPr>
        <w:t>同</w:t>
      </w:r>
      <w:r>
        <w:rPr>
          <w:rFonts w:ascii="Microsoft JhengHei" w:eastAsia="Microsoft JhengHei" w:hint="eastAsia"/>
          <w:b/>
          <w:spacing w:val="-3"/>
          <w:sz w:val="21"/>
        </w:rPr>
        <w:t>价</w:t>
      </w:r>
      <w:r>
        <w:rPr>
          <w:rFonts w:ascii="Microsoft JhengHei" w:eastAsia="Microsoft JhengHei" w:hint="eastAsia"/>
          <w:b/>
          <w:sz w:val="21"/>
        </w:rPr>
        <w:t>格形式</w:t>
      </w:r>
    </w:p>
    <w:p>
      <w:pPr>
        <w:pStyle w:val="ListParagraph"/>
        <w:numPr>
          <w:ilvl w:val="0"/>
          <w:numId w:val="66"/>
        </w:numPr>
        <w:tabs>
          <w:tab w:pos="1401" w:val="left" w:leader="none"/>
        </w:tabs>
        <w:spacing w:line="259" w:lineRule="exact" w:before="0" w:after="0"/>
        <w:ind w:left="1400" w:right="0" w:hanging="265"/>
        <w:jc w:val="left"/>
        <w:rPr>
          <w:sz w:val="21"/>
        </w:rPr>
      </w:pPr>
      <w:r>
        <w:rPr>
          <w:spacing w:val="-3"/>
          <w:sz w:val="21"/>
        </w:rPr>
        <w:t>签约合同价为：</w:t>
      </w:r>
    </w:p>
    <w:p>
      <w:pPr>
        <w:pStyle w:val="BodyText"/>
        <w:tabs>
          <w:tab w:pos="4460" w:val="left" w:leader="none"/>
          <w:tab w:pos="6033" w:val="left" w:leader="none"/>
        </w:tabs>
        <w:spacing w:line="364" w:lineRule="auto" w:before="141"/>
        <w:ind w:left="1203" w:right="3943"/>
      </w:pPr>
      <w:r>
        <w:rPr>
          <w:w w:val="100"/>
        </w:rPr>
        <w:t>人民</w:t>
      </w:r>
      <w:r>
        <w:rPr>
          <w:spacing w:val="-3"/>
          <w:w w:val="100"/>
        </w:rPr>
        <w:t>币</w:t>
      </w:r>
      <w:r>
        <w:rPr>
          <w:w w:val="100"/>
        </w:rPr>
        <w:t>（</w:t>
      </w:r>
      <w:r>
        <w:rPr>
          <w:spacing w:val="-3"/>
          <w:w w:val="100"/>
        </w:rPr>
        <w:t>大</w:t>
      </w:r>
      <w:r>
        <w:rPr>
          <w:w w:val="100"/>
        </w:rPr>
        <w:t>写</w:t>
      </w:r>
      <w:r>
        <w:rPr>
          <w:spacing w:val="-2"/>
          <w:w w:val="100"/>
        </w:rPr>
        <w:t>）</w:t>
      </w:r>
      <w:r>
        <w:rPr>
          <w:rFonts w:ascii="Times New Roman" w:hAnsi="Times New Roman" w:eastAsia="Times New Roman"/>
          <w:w w:val="100"/>
          <w:u w:val="single"/>
        </w:rPr>
        <w:t> </w:t>
      </w:r>
      <w:r>
        <w:rPr>
          <w:rFonts w:ascii="Times New Roman" w:hAnsi="Times New Roman" w:eastAsia="Times New Roman"/>
          <w:u w:val="single"/>
        </w:rPr>
        <w:tab/>
      </w:r>
      <w:r>
        <w:rPr>
          <w:w w:val="100"/>
        </w:rPr>
        <w:t>（</w:t>
      </w:r>
      <w:r>
        <w:rPr>
          <w:rFonts w:ascii="Times New Roman" w:hAnsi="Times New Roman" w:eastAsia="Times New Roman"/>
          <w:spacing w:val="-3"/>
          <w:w w:val="100"/>
        </w:rPr>
        <w:t>¥</w:t>
      </w:r>
      <w:r>
        <w:rPr>
          <w:rFonts w:ascii="Times New Roman" w:hAnsi="Times New Roman" w:eastAsia="Times New Roman"/>
          <w:w w:val="100"/>
          <w:u w:val="single"/>
        </w:rPr>
        <w:t> </w:t>
      </w:r>
      <w:r>
        <w:rPr>
          <w:rFonts w:ascii="Times New Roman" w:hAnsi="Times New Roman" w:eastAsia="Times New Roman"/>
          <w:u w:val="single"/>
        </w:rPr>
        <w:tab/>
      </w:r>
      <w:r>
        <w:rPr>
          <w:w w:val="100"/>
        </w:rPr>
        <w:t>元</w:t>
      </w:r>
      <w:r>
        <w:rPr>
          <w:spacing w:val="-115"/>
          <w:w w:val="100"/>
        </w:rPr>
        <w:t>）</w:t>
      </w:r>
      <w:r>
        <w:rPr>
          <w:spacing w:val="-9"/>
          <w:w w:val="100"/>
        </w:rPr>
        <w:t>；</w:t>
      </w:r>
      <w:r>
        <w:rPr/>
        <w:t>其中：</w:t>
      </w:r>
    </w:p>
    <w:p>
      <w:pPr>
        <w:pStyle w:val="ListParagraph"/>
        <w:numPr>
          <w:ilvl w:val="0"/>
          <w:numId w:val="67"/>
        </w:numPr>
        <w:tabs>
          <w:tab w:pos="1627" w:val="left" w:leader="none"/>
        </w:tabs>
        <w:spacing w:line="267" w:lineRule="exact" w:before="0" w:after="0"/>
        <w:ind w:left="1627" w:right="0" w:hanging="529"/>
        <w:jc w:val="left"/>
        <w:rPr>
          <w:sz w:val="21"/>
        </w:rPr>
      </w:pPr>
      <w:r>
        <w:rPr>
          <w:spacing w:val="-3"/>
          <w:sz w:val="21"/>
        </w:rPr>
        <w:t>安全文明施工费：</w:t>
      </w:r>
    </w:p>
    <w:p>
      <w:pPr>
        <w:pStyle w:val="BodyText"/>
        <w:tabs>
          <w:tab w:pos="4614" w:val="left" w:leader="none"/>
          <w:tab w:pos="6035" w:val="left" w:leader="none"/>
        </w:tabs>
        <w:spacing w:before="139"/>
        <w:ind w:left="1623"/>
      </w:pPr>
      <w:r>
        <w:rPr>
          <w:w w:val="100"/>
        </w:rPr>
        <w:t>人民</w:t>
      </w:r>
      <w:r>
        <w:rPr>
          <w:spacing w:val="-3"/>
          <w:w w:val="100"/>
        </w:rPr>
        <w:t>币</w:t>
      </w:r>
      <w:r>
        <w:rPr>
          <w:w w:val="100"/>
        </w:rPr>
        <w:t>（</w:t>
      </w:r>
      <w:r>
        <w:rPr>
          <w:spacing w:val="-3"/>
          <w:w w:val="100"/>
        </w:rPr>
        <w:t>大</w:t>
      </w:r>
      <w:r>
        <w:rPr>
          <w:w w:val="100"/>
        </w:rPr>
        <w:t>写</w:t>
      </w:r>
      <w:r>
        <w:rPr>
          <w:spacing w:val="-2"/>
          <w:w w:val="100"/>
        </w:rPr>
        <w:t>）</w:t>
      </w:r>
      <w:r>
        <w:rPr>
          <w:rFonts w:ascii="Times New Roman" w:hAnsi="Times New Roman" w:eastAsia="Times New Roman"/>
          <w:w w:val="100"/>
          <w:u w:val="single"/>
        </w:rPr>
        <w:t> </w:t>
      </w:r>
      <w:r>
        <w:rPr>
          <w:rFonts w:ascii="Times New Roman" w:hAnsi="Times New Roman" w:eastAsia="Times New Roman"/>
          <w:u w:val="single"/>
        </w:rPr>
        <w:tab/>
      </w:r>
      <w:r>
        <w:rPr>
          <w:rFonts w:ascii="Times New Roman" w:hAnsi="Times New Roman" w:eastAsia="Times New Roman"/>
          <w:spacing w:val="2"/>
        </w:rPr>
        <w:t> </w:t>
      </w:r>
      <w:r>
        <w:rPr>
          <w:spacing w:val="2"/>
          <w:w w:val="100"/>
        </w:rPr>
        <w:t>（</w:t>
      </w:r>
      <w:r>
        <w:rPr>
          <w:rFonts w:ascii="Times New Roman" w:hAnsi="Times New Roman" w:eastAsia="Times New Roman"/>
          <w:spacing w:val="-3"/>
          <w:w w:val="100"/>
        </w:rPr>
        <w:t>¥</w:t>
      </w:r>
      <w:r>
        <w:rPr>
          <w:rFonts w:ascii="Times New Roman" w:hAnsi="Times New Roman" w:eastAsia="Times New Roman"/>
          <w:w w:val="100"/>
          <w:u w:val="single"/>
        </w:rPr>
        <w:t> </w:t>
      </w:r>
      <w:r>
        <w:rPr>
          <w:rFonts w:ascii="Times New Roman" w:hAnsi="Times New Roman" w:eastAsia="Times New Roman"/>
          <w:u w:val="single"/>
        </w:rPr>
        <w:tab/>
      </w:r>
      <w:r>
        <w:rPr>
          <w:w w:val="100"/>
        </w:rPr>
        <w:t>元</w:t>
      </w:r>
      <w:r>
        <w:rPr>
          <w:spacing w:val="-108"/>
          <w:w w:val="100"/>
        </w:rPr>
        <w:t>）</w:t>
      </w:r>
      <w:r>
        <w:rPr>
          <w:w w:val="100"/>
        </w:rPr>
        <w:t>；</w:t>
      </w:r>
    </w:p>
    <w:p>
      <w:pPr>
        <w:pStyle w:val="ListParagraph"/>
        <w:numPr>
          <w:ilvl w:val="0"/>
          <w:numId w:val="67"/>
        </w:numPr>
        <w:tabs>
          <w:tab w:pos="1627" w:val="left" w:leader="none"/>
        </w:tabs>
        <w:spacing w:line="240" w:lineRule="auto" w:before="142" w:after="0"/>
        <w:ind w:left="1627" w:right="0" w:hanging="529"/>
        <w:jc w:val="left"/>
        <w:rPr>
          <w:sz w:val="21"/>
        </w:rPr>
      </w:pPr>
      <w:r>
        <w:rPr>
          <w:spacing w:val="-3"/>
          <w:sz w:val="21"/>
        </w:rPr>
        <w:t>材料和工程设备暂估价金额：</w:t>
      </w:r>
    </w:p>
    <w:p>
      <w:pPr>
        <w:pStyle w:val="BodyText"/>
        <w:tabs>
          <w:tab w:pos="4614" w:val="left" w:leader="none"/>
          <w:tab w:pos="6035" w:val="left" w:leader="none"/>
        </w:tabs>
        <w:spacing w:before="138"/>
        <w:ind w:left="1623"/>
      </w:pPr>
      <w:r>
        <w:rPr>
          <w:w w:val="100"/>
        </w:rPr>
        <w:t>人民</w:t>
      </w:r>
      <w:r>
        <w:rPr>
          <w:spacing w:val="-3"/>
          <w:w w:val="100"/>
        </w:rPr>
        <w:t>币</w:t>
      </w:r>
      <w:r>
        <w:rPr>
          <w:w w:val="100"/>
        </w:rPr>
        <w:t>（</w:t>
      </w:r>
      <w:r>
        <w:rPr>
          <w:spacing w:val="-3"/>
          <w:w w:val="100"/>
        </w:rPr>
        <w:t>大</w:t>
      </w:r>
      <w:r>
        <w:rPr>
          <w:w w:val="100"/>
        </w:rPr>
        <w:t>写</w:t>
      </w:r>
      <w:r>
        <w:rPr>
          <w:spacing w:val="-2"/>
          <w:w w:val="100"/>
        </w:rPr>
        <w:t>）</w:t>
      </w:r>
      <w:r>
        <w:rPr>
          <w:rFonts w:ascii="Times New Roman" w:hAnsi="Times New Roman" w:eastAsia="Times New Roman"/>
          <w:w w:val="100"/>
          <w:u w:val="single"/>
        </w:rPr>
        <w:t> </w:t>
      </w:r>
      <w:r>
        <w:rPr>
          <w:rFonts w:ascii="Times New Roman" w:hAnsi="Times New Roman" w:eastAsia="Times New Roman"/>
          <w:u w:val="single"/>
        </w:rPr>
        <w:tab/>
      </w:r>
      <w:r>
        <w:rPr>
          <w:rFonts w:ascii="Times New Roman" w:hAnsi="Times New Roman" w:eastAsia="Times New Roman"/>
          <w:spacing w:val="2"/>
        </w:rPr>
        <w:t> </w:t>
      </w:r>
      <w:r>
        <w:rPr>
          <w:spacing w:val="2"/>
          <w:w w:val="100"/>
        </w:rPr>
        <w:t>（</w:t>
      </w:r>
      <w:r>
        <w:rPr>
          <w:rFonts w:ascii="Times New Roman" w:hAnsi="Times New Roman" w:eastAsia="Times New Roman"/>
          <w:spacing w:val="-3"/>
          <w:w w:val="100"/>
        </w:rPr>
        <w:t>¥</w:t>
      </w:r>
      <w:r>
        <w:rPr>
          <w:rFonts w:ascii="Times New Roman" w:hAnsi="Times New Roman" w:eastAsia="Times New Roman"/>
          <w:w w:val="100"/>
          <w:u w:val="single"/>
        </w:rPr>
        <w:t> </w:t>
      </w:r>
      <w:r>
        <w:rPr>
          <w:rFonts w:ascii="Times New Roman" w:hAnsi="Times New Roman" w:eastAsia="Times New Roman"/>
          <w:u w:val="single"/>
        </w:rPr>
        <w:tab/>
      </w:r>
      <w:r>
        <w:rPr>
          <w:w w:val="100"/>
        </w:rPr>
        <w:t>元</w:t>
      </w:r>
      <w:r>
        <w:rPr>
          <w:spacing w:val="-108"/>
          <w:w w:val="100"/>
        </w:rPr>
        <w:t>）</w:t>
      </w:r>
      <w:r>
        <w:rPr>
          <w:w w:val="100"/>
        </w:rPr>
        <w:t>；</w:t>
      </w:r>
    </w:p>
    <w:p>
      <w:pPr>
        <w:spacing w:after="0"/>
        <w:sectPr>
          <w:pgSz w:w="11910" w:h="16850"/>
          <w:pgMar w:header="0" w:footer="779" w:top="1420" w:bottom="1040" w:left="1120" w:right="280"/>
        </w:sectPr>
      </w:pPr>
    </w:p>
    <w:p>
      <w:pPr>
        <w:pStyle w:val="ListParagraph"/>
        <w:numPr>
          <w:ilvl w:val="0"/>
          <w:numId w:val="67"/>
        </w:numPr>
        <w:tabs>
          <w:tab w:pos="1627" w:val="left" w:leader="none"/>
        </w:tabs>
        <w:spacing w:line="240" w:lineRule="auto" w:before="60" w:after="0"/>
        <w:ind w:left="1627" w:right="0" w:hanging="529"/>
        <w:jc w:val="left"/>
        <w:rPr>
          <w:sz w:val="21"/>
        </w:rPr>
      </w:pPr>
      <w:r>
        <w:rPr>
          <w:spacing w:val="-3"/>
          <w:sz w:val="21"/>
        </w:rPr>
        <w:t>专业工程暂估价金额：</w:t>
      </w:r>
    </w:p>
    <w:p>
      <w:pPr>
        <w:pStyle w:val="BodyText"/>
        <w:tabs>
          <w:tab w:pos="4614" w:val="left" w:leader="none"/>
          <w:tab w:pos="6035" w:val="left" w:leader="none"/>
        </w:tabs>
        <w:spacing w:before="139"/>
        <w:ind w:left="1623"/>
      </w:pPr>
      <w:r>
        <w:rPr>
          <w:w w:val="100"/>
        </w:rPr>
        <w:t>人民</w:t>
      </w:r>
      <w:r>
        <w:rPr>
          <w:spacing w:val="-3"/>
          <w:w w:val="100"/>
        </w:rPr>
        <w:t>币</w:t>
      </w:r>
      <w:r>
        <w:rPr>
          <w:w w:val="100"/>
        </w:rPr>
        <w:t>（</w:t>
      </w:r>
      <w:r>
        <w:rPr>
          <w:spacing w:val="-3"/>
          <w:w w:val="100"/>
        </w:rPr>
        <w:t>大</w:t>
      </w:r>
      <w:r>
        <w:rPr>
          <w:w w:val="100"/>
        </w:rPr>
        <w:t>写</w:t>
      </w:r>
      <w:r>
        <w:rPr>
          <w:spacing w:val="-2"/>
          <w:w w:val="100"/>
        </w:rPr>
        <w:t>）</w:t>
      </w:r>
      <w:r>
        <w:rPr>
          <w:rFonts w:ascii="Times New Roman" w:hAnsi="Times New Roman" w:eastAsia="Times New Roman"/>
          <w:w w:val="100"/>
          <w:u w:val="single"/>
        </w:rPr>
        <w:t> </w:t>
      </w:r>
      <w:r>
        <w:rPr>
          <w:rFonts w:ascii="Times New Roman" w:hAnsi="Times New Roman" w:eastAsia="Times New Roman"/>
          <w:u w:val="single"/>
        </w:rPr>
        <w:tab/>
      </w:r>
      <w:r>
        <w:rPr>
          <w:rFonts w:ascii="Times New Roman" w:hAnsi="Times New Roman" w:eastAsia="Times New Roman"/>
          <w:spacing w:val="2"/>
        </w:rPr>
        <w:t> </w:t>
      </w:r>
      <w:r>
        <w:rPr>
          <w:spacing w:val="2"/>
          <w:w w:val="100"/>
        </w:rPr>
        <w:t>（</w:t>
      </w:r>
      <w:r>
        <w:rPr>
          <w:rFonts w:ascii="Times New Roman" w:hAnsi="Times New Roman" w:eastAsia="Times New Roman"/>
          <w:spacing w:val="-3"/>
          <w:w w:val="100"/>
        </w:rPr>
        <w:t>¥</w:t>
      </w:r>
      <w:r>
        <w:rPr>
          <w:rFonts w:ascii="Times New Roman" w:hAnsi="Times New Roman" w:eastAsia="Times New Roman"/>
          <w:w w:val="100"/>
          <w:u w:val="single"/>
        </w:rPr>
        <w:t> </w:t>
      </w:r>
      <w:r>
        <w:rPr>
          <w:rFonts w:ascii="Times New Roman" w:hAnsi="Times New Roman" w:eastAsia="Times New Roman"/>
          <w:u w:val="single"/>
        </w:rPr>
        <w:tab/>
      </w:r>
      <w:r>
        <w:rPr>
          <w:w w:val="100"/>
        </w:rPr>
        <w:t>元</w:t>
      </w:r>
      <w:r>
        <w:rPr>
          <w:spacing w:val="-108"/>
          <w:w w:val="100"/>
        </w:rPr>
        <w:t>）</w:t>
      </w:r>
      <w:r>
        <w:rPr>
          <w:w w:val="100"/>
        </w:rPr>
        <w:t>；</w:t>
      </w:r>
    </w:p>
    <w:p>
      <w:pPr>
        <w:pStyle w:val="ListParagraph"/>
        <w:numPr>
          <w:ilvl w:val="0"/>
          <w:numId w:val="67"/>
        </w:numPr>
        <w:tabs>
          <w:tab w:pos="1627" w:val="left" w:leader="none"/>
        </w:tabs>
        <w:spacing w:line="240" w:lineRule="auto" w:before="139" w:after="0"/>
        <w:ind w:left="1627" w:right="0" w:hanging="529"/>
        <w:jc w:val="left"/>
        <w:rPr>
          <w:sz w:val="21"/>
        </w:rPr>
      </w:pPr>
      <w:r>
        <w:rPr>
          <w:spacing w:val="-3"/>
          <w:sz w:val="21"/>
        </w:rPr>
        <w:t>暂列金额：</w:t>
      </w:r>
    </w:p>
    <w:p>
      <w:pPr>
        <w:pStyle w:val="BodyText"/>
        <w:tabs>
          <w:tab w:pos="4614" w:val="left" w:leader="none"/>
          <w:tab w:pos="6035" w:val="left" w:leader="none"/>
        </w:tabs>
        <w:spacing w:before="142"/>
        <w:ind w:left="1623"/>
      </w:pPr>
      <w:r>
        <w:rPr/>
        <w:t>人民</w:t>
      </w:r>
      <w:r>
        <w:rPr>
          <w:spacing w:val="-3"/>
        </w:rPr>
        <w:t>币</w:t>
      </w:r>
      <w:r>
        <w:rPr/>
        <w:t>（</w:t>
      </w:r>
      <w:r>
        <w:rPr>
          <w:spacing w:val="-3"/>
        </w:rPr>
        <w:t>大</w:t>
      </w:r>
      <w:r>
        <w:rPr/>
        <w:t>写）</w:t>
      </w:r>
      <w:r>
        <w:rPr>
          <w:u w:val="single"/>
        </w:rPr>
        <w:t> </w:t>
        <w:tab/>
      </w:r>
      <w:r>
        <w:rPr/>
        <w:t>（</w:t>
      </w:r>
      <w:r>
        <w:rPr>
          <w:rFonts w:ascii="Times New Roman" w:hAnsi="Times New Roman" w:eastAsia="Times New Roman"/>
        </w:rPr>
        <w:t>¥</w:t>
      </w:r>
      <w:r>
        <w:rPr>
          <w:rFonts w:ascii="Times New Roman" w:hAnsi="Times New Roman" w:eastAsia="Times New Roman"/>
          <w:u w:val="single"/>
        </w:rPr>
        <w:t> </w:t>
        <w:tab/>
      </w:r>
      <w:r>
        <w:rPr/>
        <w:t>元</w:t>
      </w:r>
      <w:r>
        <w:rPr>
          <w:spacing w:val="-108"/>
        </w:rPr>
        <w:t>）</w:t>
      </w:r>
      <w:r>
        <w:rPr/>
        <w:t>。</w:t>
      </w:r>
    </w:p>
    <w:p>
      <w:pPr>
        <w:pStyle w:val="ListParagraph"/>
        <w:numPr>
          <w:ilvl w:val="0"/>
          <w:numId w:val="67"/>
        </w:numPr>
        <w:tabs>
          <w:tab w:pos="1567" w:val="left" w:leader="none"/>
        </w:tabs>
        <w:spacing w:line="240" w:lineRule="auto" w:before="139" w:after="0"/>
        <w:ind w:left="1567" w:right="0" w:hanging="529"/>
        <w:jc w:val="left"/>
        <w:rPr>
          <w:sz w:val="21"/>
        </w:rPr>
      </w:pPr>
      <w:r>
        <w:rPr>
          <w:spacing w:val="-3"/>
          <w:sz w:val="21"/>
        </w:rPr>
        <w:t>增值税额：</w:t>
      </w:r>
    </w:p>
    <w:p>
      <w:pPr>
        <w:pStyle w:val="BodyText"/>
        <w:tabs>
          <w:tab w:pos="4396" w:val="left" w:leader="none"/>
          <w:tab w:pos="4614" w:val="left" w:leader="none"/>
          <w:tab w:pos="6035" w:val="left" w:leader="none"/>
        </w:tabs>
        <w:spacing w:line="364" w:lineRule="auto" w:before="139"/>
        <w:ind w:left="1664" w:right="3943" w:hanging="41"/>
      </w:pPr>
      <w:r>
        <w:rPr/>
        <w:t>人民</w:t>
      </w:r>
      <w:r>
        <w:rPr>
          <w:spacing w:val="-3"/>
        </w:rPr>
        <w:t>币</w:t>
      </w:r>
      <w:r>
        <w:rPr/>
        <w:t>（</w:t>
      </w:r>
      <w:r>
        <w:rPr>
          <w:spacing w:val="-3"/>
        </w:rPr>
        <w:t>大</w:t>
      </w:r>
      <w:r>
        <w:rPr/>
        <w:t>写）</w:t>
      </w:r>
      <w:r>
        <w:rPr>
          <w:u w:val="single"/>
        </w:rPr>
        <w:t> </w:t>
        <w:tab/>
        <w:tab/>
      </w:r>
      <w:r>
        <w:rPr/>
        <w:t>（</w:t>
      </w:r>
      <w:r>
        <w:rPr>
          <w:rFonts w:ascii="Times New Roman" w:hAnsi="Times New Roman" w:eastAsia="Times New Roman"/>
        </w:rPr>
        <w:t>¥</w:t>
      </w:r>
      <w:r>
        <w:rPr>
          <w:rFonts w:ascii="Times New Roman" w:hAnsi="Times New Roman" w:eastAsia="Times New Roman"/>
          <w:u w:val="single"/>
        </w:rPr>
        <w:t> </w:t>
        <w:tab/>
      </w:r>
      <w:r>
        <w:rPr/>
        <w:t>元</w:t>
      </w:r>
      <w:r>
        <w:rPr>
          <w:spacing w:val="-108"/>
        </w:rPr>
        <w:t>）</w:t>
      </w:r>
      <w:r>
        <w:rPr>
          <w:spacing w:val="-18"/>
        </w:rPr>
        <w:t>。</w:t>
      </w:r>
      <w:r>
        <w:rPr>
          <w:spacing w:val="-1"/>
        </w:rPr>
        <w:t>增值</w:t>
      </w:r>
      <w:r>
        <w:rPr>
          <w:spacing w:val="-3"/>
        </w:rPr>
        <w:t>税</w:t>
      </w:r>
      <w:r>
        <w:rPr/>
        <w:t>率：</w:t>
      </w:r>
      <w:r>
        <w:rPr>
          <w:u w:val="single"/>
        </w:rPr>
        <w:t>  </w:t>
      </w:r>
      <w:r>
        <w:rPr>
          <w:w w:val="100"/>
          <w:u w:val="single"/>
        </w:rPr>
        <w:t> </w:t>
      </w:r>
      <w:r>
        <w:rPr>
          <w:spacing w:val="-2"/>
          <w:u w:val="single"/>
        </w:rPr>
        <w:t> </w:t>
      </w:r>
      <w:r>
        <w:rPr>
          <w:w w:val="100"/>
          <w:u w:val="single"/>
        </w:rPr>
        <w:t> </w:t>
      </w:r>
      <w:r>
        <w:rPr>
          <w:u w:val="single"/>
        </w:rPr>
        <w:t> </w:t>
      </w:r>
      <w:r>
        <w:rPr>
          <w:w w:val="100"/>
          <w:u w:val="single"/>
        </w:rPr>
        <w:t> </w:t>
      </w:r>
      <w:r>
        <w:rPr>
          <w:spacing w:val="-2"/>
          <w:u w:val="single"/>
        </w:rPr>
        <w:t> </w:t>
      </w:r>
      <w:r>
        <w:rPr>
          <w:w w:val="100"/>
          <w:u w:val="single"/>
        </w:rPr>
        <w:t> </w:t>
      </w:r>
      <w:r>
        <w:rPr>
          <w:u w:val="single"/>
        </w:rPr>
        <w:t> </w:t>
      </w:r>
      <w:r>
        <w:rPr>
          <w:w w:val="100"/>
          <w:u w:val="single"/>
        </w:rPr>
        <w:t> </w:t>
      </w:r>
      <w:r>
        <w:rPr>
          <w:spacing w:val="-2"/>
          <w:u w:val="single"/>
        </w:rPr>
        <w:t> </w:t>
      </w:r>
      <w:r>
        <w:rPr>
          <w:w w:val="100"/>
          <w:u w:val="single"/>
        </w:rPr>
        <w:t> </w:t>
      </w:r>
      <w:r>
        <w:rPr>
          <w:u w:val="single"/>
        </w:rPr>
        <w:tab/>
      </w:r>
    </w:p>
    <w:p>
      <w:pPr>
        <w:pStyle w:val="ListParagraph"/>
        <w:numPr>
          <w:ilvl w:val="0"/>
          <w:numId w:val="66"/>
        </w:numPr>
        <w:tabs>
          <w:tab w:pos="1362" w:val="left" w:leader="none"/>
          <w:tab w:pos="3148" w:val="left" w:leader="none"/>
          <w:tab w:pos="4931" w:val="left" w:leader="none"/>
        </w:tabs>
        <w:spacing w:line="302" w:lineRule="auto" w:before="0" w:after="0"/>
        <w:ind w:left="1100" w:right="5361" w:hanging="3"/>
        <w:jc w:val="left"/>
        <w:rPr>
          <w:rFonts w:ascii="Microsoft JhengHei" w:eastAsia="Microsoft JhengHei" w:hint="eastAsia"/>
          <w:b/>
          <w:sz w:val="21"/>
        </w:rPr>
      </w:pPr>
      <w:r>
        <w:rPr/>
        <w:drawing>
          <wp:anchor distT="0" distB="0" distL="0" distR="0" allowOverlap="1" layoutInCell="1" locked="0" behindDoc="1" simplePos="0" relativeHeight="236582912">
            <wp:simplePos x="0" y="0"/>
            <wp:positionH relativeFrom="page">
              <wp:posOffset>2710307</wp:posOffset>
            </wp:positionH>
            <wp:positionV relativeFrom="paragraph">
              <wp:posOffset>17525</wp:posOffset>
            </wp:positionV>
            <wp:extent cx="265175" cy="134111"/>
            <wp:effectExtent l="0" t="0" r="0" b="0"/>
            <wp:wrapNone/>
            <wp:docPr id="11" name="image2.png"/>
            <wp:cNvGraphicFramePr>
              <a:graphicFrameLocks noChangeAspect="1"/>
            </wp:cNvGraphicFramePr>
            <a:graphic>
              <a:graphicData uri="http://schemas.openxmlformats.org/drawingml/2006/picture">
                <pic:pic>
                  <pic:nvPicPr>
                    <pic:cNvPr id="12" name="image2.png"/>
                    <pic:cNvPicPr/>
                  </pic:nvPicPr>
                  <pic:blipFill>
                    <a:blip r:embed="rId20" cstate="print"/>
                    <a:stretch>
                      <a:fillRect/>
                    </a:stretch>
                  </pic:blipFill>
                  <pic:spPr>
                    <a:xfrm>
                      <a:off x="0" y="0"/>
                      <a:ext cx="265175" cy="134111"/>
                    </a:xfrm>
                    <a:prstGeom prst="rect">
                      <a:avLst/>
                    </a:prstGeom>
                  </pic:spPr>
                </pic:pic>
              </a:graphicData>
            </a:graphic>
          </wp:anchor>
        </w:drawing>
      </w:r>
      <w:r>
        <w:rPr>
          <w:spacing w:val="-3"/>
          <w:sz w:val="21"/>
        </w:rPr>
        <w:t>合</w:t>
      </w:r>
      <w:r>
        <w:rPr>
          <w:sz w:val="21"/>
        </w:rPr>
        <w:t>同</w:t>
      </w:r>
      <w:r>
        <w:rPr>
          <w:spacing w:val="-3"/>
          <w:sz w:val="21"/>
        </w:rPr>
        <w:t>价</w:t>
      </w:r>
      <w:r>
        <w:rPr>
          <w:sz w:val="21"/>
        </w:rPr>
        <w:t>格</w:t>
      </w:r>
      <w:r>
        <w:rPr>
          <w:spacing w:val="-3"/>
          <w:sz w:val="21"/>
        </w:rPr>
        <w:t>形</w:t>
      </w:r>
      <w:r>
        <w:rPr>
          <w:sz w:val="21"/>
        </w:rPr>
        <w:t>式：</w:t>
        <w:tab/>
      </w:r>
      <w:r>
        <w:rPr>
          <w:sz w:val="21"/>
          <w:u w:val="single"/>
        </w:rPr>
        <w:t> </w:t>
        <w:tab/>
      </w:r>
      <w:r>
        <w:rPr>
          <w:spacing w:val="-17"/>
          <w:sz w:val="21"/>
        </w:rPr>
        <w:t>。</w:t>
      </w:r>
      <w:bookmarkStart w:name="五、项目经理" w:id="268"/>
      <w:bookmarkEnd w:id="268"/>
      <w:r>
        <w:rPr>
          <w:spacing w:val="-17"/>
          <w:sz w:val="21"/>
        </w:rPr>
      </w:r>
      <w:r>
        <w:rPr>
          <w:rFonts w:ascii="Microsoft JhengHei" w:eastAsia="Microsoft JhengHei" w:hint="eastAsia"/>
          <w:b/>
          <w:sz w:val="21"/>
        </w:rPr>
        <w:t>五、项目经理</w:t>
      </w:r>
    </w:p>
    <w:p>
      <w:pPr>
        <w:tabs>
          <w:tab w:pos="6035" w:val="left" w:leader="none"/>
        </w:tabs>
        <w:spacing w:line="302" w:lineRule="auto" w:before="0"/>
        <w:ind w:left="1100" w:right="4257" w:hanging="3"/>
        <w:jc w:val="left"/>
        <w:rPr>
          <w:rFonts w:ascii="Microsoft JhengHei" w:eastAsia="Microsoft JhengHei" w:hint="eastAsia"/>
          <w:b/>
          <w:sz w:val="21"/>
        </w:rPr>
      </w:pPr>
      <w:r>
        <w:rPr/>
        <w:pict>
          <v:group style="position:absolute;margin-left:195.050003pt;margin-top:1.380027pt;width:41.9pt;height:10.6pt;mso-position-horizontal-relative:page;mso-position-vertical-relative:paragraph;z-index:-266732544" coordorigin="3901,28" coordsize="838,212">
            <v:shape style="position:absolute;left:3901;top:27;width:418;height:212" type="#_x0000_t75" stroked="false">
              <v:imagedata r:id="rId20" o:title=""/>
            </v:shape>
            <v:shape style="position:absolute;left:4109;top:27;width:423;height:212" type="#_x0000_t75" stroked="false">
              <v:imagedata r:id="rId21" o:title=""/>
            </v:shape>
            <v:shape style="position:absolute;left:4321;top:27;width:418;height:212" type="#_x0000_t75" stroked="false">
              <v:imagedata r:id="rId20" o:title=""/>
            </v:shape>
            <w10:wrap type="none"/>
          </v:group>
        </w:pict>
      </w:r>
      <w:r>
        <w:rPr/>
        <w:drawing>
          <wp:anchor distT="0" distB="0" distL="0" distR="0" allowOverlap="1" layoutInCell="1" locked="0" behindDoc="1" simplePos="0" relativeHeight="236584960">
            <wp:simplePos x="0" y="0"/>
            <wp:positionH relativeFrom="page">
              <wp:posOffset>4010533</wp:posOffset>
            </wp:positionH>
            <wp:positionV relativeFrom="paragraph">
              <wp:posOffset>17526</wp:posOffset>
            </wp:positionV>
            <wp:extent cx="265175" cy="134111"/>
            <wp:effectExtent l="0" t="0" r="0" b="0"/>
            <wp:wrapNone/>
            <wp:docPr id="13" name="image2.png"/>
            <wp:cNvGraphicFramePr>
              <a:graphicFrameLocks noChangeAspect="1"/>
            </wp:cNvGraphicFramePr>
            <a:graphic>
              <a:graphicData uri="http://schemas.openxmlformats.org/drawingml/2006/picture">
                <pic:pic>
                  <pic:nvPicPr>
                    <pic:cNvPr id="14" name="image2.png"/>
                    <pic:cNvPicPr/>
                  </pic:nvPicPr>
                  <pic:blipFill>
                    <a:blip r:embed="rId20" cstate="print"/>
                    <a:stretch>
                      <a:fillRect/>
                    </a:stretch>
                  </pic:blipFill>
                  <pic:spPr>
                    <a:xfrm>
                      <a:off x="0" y="0"/>
                      <a:ext cx="265175" cy="134111"/>
                    </a:xfrm>
                    <a:prstGeom prst="rect">
                      <a:avLst/>
                    </a:prstGeom>
                  </pic:spPr>
                </pic:pic>
              </a:graphicData>
            </a:graphic>
          </wp:anchor>
        </w:drawing>
      </w:r>
      <w:r>
        <w:rPr/>
        <w:drawing>
          <wp:anchor distT="0" distB="0" distL="0" distR="0" allowOverlap="1" layoutInCell="1" locked="0" behindDoc="1" simplePos="0" relativeHeight="236585984">
            <wp:simplePos x="0" y="0"/>
            <wp:positionH relativeFrom="page">
              <wp:posOffset>4409821</wp:posOffset>
            </wp:positionH>
            <wp:positionV relativeFrom="paragraph">
              <wp:posOffset>17526</wp:posOffset>
            </wp:positionV>
            <wp:extent cx="268224" cy="134111"/>
            <wp:effectExtent l="0" t="0" r="0" b="0"/>
            <wp:wrapNone/>
            <wp:docPr id="15" name="image3.png"/>
            <wp:cNvGraphicFramePr>
              <a:graphicFrameLocks noChangeAspect="1"/>
            </wp:cNvGraphicFramePr>
            <a:graphic>
              <a:graphicData uri="http://schemas.openxmlformats.org/drawingml/2006/picture">
                <pic:pic>
                  <pic:nvPicPr>
                    <pic:cNvPr id="16" name="image3.png"/>
                    <pic:cNvPicPr/>
                  </pic:nvPicPr>
                  <pic:blipFill>
                    <a:blip r:embed="rId21" cstate="print"/>
                    <a:stretch>
                      <a:fillRect/>
                    </a:stretch>
                  </pic:blipFill>
                  <pic:spPr>
                    <a:xfrm>
                      <a:off x="0" y="0"/>
                      <a:ext cx="268224" cy="134111"/>
                    </a:xfrm>
                    <a:prstGeom prst="rect">
                      <a:avLst/>
                    </a:prstGeom>
                  </pic:spPr>
                </pic:pic>
              </a:graphicData>
            </a:graphic>
          </wp:anchor>
        </w:drawing>
      </w:r>
      <w:r>
        <w:rPr>
          <w:sz w:val="21"/>
        </w:rPr>
        <w:t>承包</w:t>
      </w:r>
      <w:r>
        <w:rPr>
          <w:spacing w:val="-3"/>
          <w:sz w:val="21"/>
        </w:rPr>
        <w:t>人</w:t>
      </w:r>
      <w:r>
        <w:rPr>
          <w:sz w:val="21"/>
        </w:rPr>
        <w:t>项</w:t>
      </w:r>
      <w:r>
        <w:rPr>
          <w:spacing w:val="-3"/>
          <w:sz w:val="21"/>
        </w:rPr>
        <w:t>目</w:t>
      </w:r>
      <w:r>
        <w:rPr>
          <w:sz w:val="21"/>
        </w:rPr>
        <w:t>经</w:t>
      </w:r>
      <w:r>
        <w:rPr>
          <w:spacing w:val="-3"/>
          <w:sz w:val="21"/>
        </w:rPr>
        <w:t>理</w:t>
      </w:r>
      <w:r>
        <w:rPr>
          <w:sz w:val="21"/>
        </w:rPr>
        <w:t>：</w:t>
      </w:r>
      <w:r>
        <w:rPr>
          <w:sz w:val="21"/>
          <w:u w:val="single"/>
        </w:rPr>
        <w:t> </w:t>
        <w:tab/>
      </w:r>
      <w:r>
        <w:rPr>
          <w:spacing w:val="-17"/>
          <w:sz w:val="21"/>
        </w:rPr>
        <w:t>。</w:t>
      </w:r>
      <w:bookmarkStart w:name="六、合同文件构成" w:id="269"/>
      <w:bookmarkEnd w:id="269"/>
      <w:r>
        <w:rPr>
          <w:spacing w:val="-17"/>
          <w:sz w:val="21"/>
        </w:rPr>
      </w:r>
      <w:r>
        <w:rPr>
          <w:rFonts w:ascii="Microsoft JhengHei" w:eastAsia="Microsoft JhengHei" w:hint="eastAsia"/>
          <w:b/>
          <w:sz w:val="21"/>
        </w:rPr>
        <w:t>六、合同文件构成</w:t>
      </w:r>
    </w:p>
    <w:p>
      <w:pPr>
        <w:pStyle w:val="BodyText"/>
        <w:spacing w:line="259" w:lineRule="exact"/>
        <w:ind w:left="1098"/>
      </w:pPr>
      <w:r>
        <w:rPr/>
        <w:t>本协议书与下列文件一起构成合同文件：</w:t>
      </w:r>
    </w:p>
    <w:p>
      <w:pPr>
        <w:pStyle w:val="ListParagraph"/>
        <w:numPr>
          <w:ilvl w:val="0"/>
          <w:numId w:val="68"/>
        </w:numPr>
        <w:tabs>
          <w:tab w:pos="1627" w:val="left" w:leader="none"/>
        </w:tabs>
        <w:spacing w:line="240" w:lineRule="auto" w:before="132" w:after="0"/>
        <w:ind w:left="1627" w:right="0" w:hanging="529"/>
        <w:jc w:val="left"/>
        <w:rPr>
          <w:sz w:val="21"/>
        </w:rPr>
      </w:pPr>
      <w:r>
        <w:rPr>
          <w:spacing w:val="-3"/>
          <w:w w:val="100"/>
          <w:sz w:val="21"/>
        </w:rPr>
        <w:t>中标通知书（</w:t>
      </w:r>
      <w:r>
        <w:rPr>
          <w:w w:val="100"/>
          <w:sz w:val="21"/>
        </w:rPr>
        <w:t>如有</w:t>
      </w:r>
      <w:r>
        <w:rPr>
          <w:spacing w:val="-108"/>
          <w:w w:val="100"/>
          <w:sz w:val="21"/>
        </w:rPr>
        <w:t>）</w:t>
      </w:r>
      <w:r>
        <w:rPr>
          <w:w w:val="100"/>
          <w:sz w:val="21"/>
        </w:rPr>
        <w:t>；</w:t>
      </w:r>
    </w:p>
    <w:p>
      <w:pPr>
        <w:pStyle w:val="ListParagraph"/>
        <w:numPr>
          <w:ilvl w:val="0"/>
          <w:numId w:val="68"/>
        </w:numPr>
        <w:tabs>
          <w:tab w:pos="1627" w:val="left" w:leader="none"/>
        </w:tabs>
        <w:spacing w:line="240" w:lineRule="auto" w:before="139" w:after="0"/>
        <w:ind w:left="1627" w:right="0" w:hanging="529"/>
        <w:jc w:val="left"/>
        <w:rPr>
          <w:sz w:val="21"/>
        </w:rPr>
      </w:pPr>
      <w:r>
        <w:rPr>
          <w:spacing w:val="-3"/>
          <w:w w:val="100"/>
          <w:sz w:val="21"/>
        </w:rPr>
        <w:t>投标函及其附录（</w:t>
      </w:r>
      <w:r>
        <w:rPr>
          <w:spacing w:val="-2"/>
          <w:w w:val="100"/>
          <w:sz w:val="21"/>
        </w:rPr>
        <w:t>如有</w:t>
      </w:r>
      <w:r>
        <w:rPr>
          <w:spacing w:val="-106"/>
          <w:w w:val="100"/>
          <w:sz w:val="21"/>
        </w:rPr>
        <w:t>）</w:t>
      </w:r>
      <w:r>
        <w:rPr>
          <w:w w:val="100"/>
          <w:sz w:val="21"/>
        </w:rPr>
        <w:t>；</w:t>
      </w:r>
    </w:p>
    <w:p>
      <w:pPr>
        <w:pStyle w:val="ListParagraph"/>
        <w:numPr>
          <w:ilvl w:val="0"/>
          <w:numId w:val="68"/>
        </w:numPr>
        <w:tabs>
          <w:tab w:pos="1627" w:val="left" w:leader="none"/>
        </w:tabs>
        <w:spacing w:line="240" w:lineRule="auto" w:before="139" w:after="0"/>
        <w:ind w:left="1627" w:right="0" w:hanging="529"/>
        <w:jc w:val="left"/>
        <w:rPr>
          <w:sz w:val="21"/>
        </w:rPr>
      </w:pPr>
      <w:r>
        <w:rPr>
          <w:spacing w:val="-3"/>
          <w:sz w:val="21"/>
        </w:rPr>
        <w:t>专用合同条款及其附件；</w:t>
      </w:r>
    </w:p>
    <w:p>
      <w:pPr>
        <w:pStyle w:val="ListParagraph"/>
        <w:numPr>
          <w:ilvl w:val="0"/>
          <w:numId w:val="68"/>
        </w:numPr>
        <w:tabs>
          <w:tab w:pos="1627" w:val="left" w:leader="none"/>
        </w:tabs>
        <w:spacing w:line="240" w:lineRule="auto" w:before="139" w:after="0"/>
        <w:ind w:left="1627" w:right="0" w:hanging="529"/>
        <w:jc w:val="left"/>
        <w:rPr>
          <w:sz w:val="21"/>
        </w:rPr>
      </w:pPr>
      <w:r>
        <w:rPr>
          <w:spacing w:val="-3"/>
          <w:sz w:val="21"/>
        </w:rPr>
        <w:t>通用合同条款；</w:t>
      </w:r>
    </w:p>
    <w:p>
      <w:pPr>
        <w:pStyle w:val="BodyText"/>
        <w:tabs>
          <w:tab w:pos="3512" w:val="left" w:leader="none"/>
        </w:tabs>
        <w:spacing w:before="139"/>
        <w:ind w:left="1098"/>
      </w:pPr>
      <w:r>
        <w:rPr/>
        <w:pict>
          <v:group style="position:absolute;margin-left:137.179993pt;margin-top:8.330013pt;width:42.15pt;height:10.6pt;mso-position-horizontal-relative:page;mso-position-vertical-relative:paragraph;z-index:-266729472" coordorigin="2744,167" coordsize="843,212">
            <v:shape style="position:absolute;left:2743;top:166;width:423;height:212" type="#_x0000_t75" stroked="false">
              <v:imagedata r:id="rId21" o:title=""/>
            </v:shape>
            <v:shape style="position:absolute;left:2954;top:166;width:418;height:212" type="#_x0000_t75" stroked="false">
              <v:imagedata r:id="rId20" o:title=""/>
            </v:shape>
            <v:shape style="position:absolute;left:3163;top:166;width:423;height:212" type="#_x0000_t75" stroked="false">
              <v:imagedata r:id="rId21" o:title=""/>
            </v:shape>
            <w10:wrap type="none"/>
          </v:group>
        </w:pict>
      </w:r>
      <w:r>
        <w:rPr/>
        <w:t>（</w:t>
      </w:r>
      <w:r>
        <w:rPr>
          <w:rFonts w:ascii="Times New Roman" w:eastAsia="Times New Roman"/>
        </w:rPr>
        <w:t>5</w:t>
      </w:r>
      <w:r>
        <w:rPr/>
        <w:t>）</w:t>
      </w:r>
      <w:r>
        <w:rPr>
          <w:u w:val="single"/>
        </w:rPr>
        <w:t> </w:t>
        <w:tab/>
        <w:t>；</w:t>
      </w:r>
    </w:p>
    <w:p>
      <w:pPr>
        <w:pStyle w:val="BodyText"/>
        <w:tabs>
          <w:tab w:pos="3512" w:val="left" w:leader="none"/>
        </w:tabs>
        <w:spacing w:before="142"/>
        <w:ind w:left="1098"/>
      </w:pPr>
      <w:r>
        <w:rPr/>
        <w:pict>
          <v:group style="position:absolute;margin-left:137.179993pt;margin-top:8.480005pt;width:42.15pt;height:10.6pt;mso-position-horizontal-relative:page;mso-position-vertical-relative:paragraph;z-index:-266728448" coordorigin="2744,170" coordsize="843,212">
            <v:shape style="position:absolute;left:2743;top:169;width:423;height:212" type="#_x0000_t75" stroked="false">
              <v:imagedata r:id="rId21" o:title=""/>
            </v:shape>
            <v:shape style="position:absolute;left:2954;top:169;width:418;height:212" type="#_x0000_t75" stroked="false">
              <v:imagedata r:id="rId20" o:title=""/>
            </v:shape>
            <v:shape style="position:absolute;left:3163;top:169;width:423;height:212" type="#_x0000_t75" stroked="false">
              <v:imagedata r:id="rId21" o:title=""/>
            </v:shape>
            <w10:wrap type="none"/>
          </v:group>
        </w:pict>
      </w:r>
      <w:r>
        <w:rPr/>
        <w:t>（</w:t>
      </w:r>
      <w:r>
        <w:rPr>
          <w:rFonts w:ascii="Times New Roman" w:eastAsia="Times New Roman"/>
        </w:rPr>
        <w:t>6</w:t>
      </w:r>
      <w:r>
        <w:rPr/>
        <w:t>）</w:t>
      </w:r>
      <w:r>
        <w:rPr>
          <w:u w:val="single"/>
        </w:rPr>
        <w:t> </w:t>
        <w:tab/>
        <w:t>；</w:t>
      </w:r>
    </w:p>
    <w:p>
      <w:pPr>
        <w:pStyle w:val="BodyText"/>
        <w:tabs>
          <w:tab w:pos="3512" w:val="left" w:leader="none"/>
        </w:tabs>
        <w:spacing w:before="139"/>
        <w:ind w:left="1098"/>
      </w:pPr>
      <w:r>
        <w:rPr/>
        <w:pict>
          <v:group style="position:absolute;margin-left:137.179993pt;margin-top:8.330011pt;width:42.15pt;height:10.6pt;mso-position-horizontal-relative:page;mso-position-vertical-relative:paragraph;z-index:-266727424" coordorigin="2744,167" coordsize="843,212">
            <v:shape style="position:absolute;left:2743;top:166;width:423;height:212" type="#_x0000_t75" stroked="false">
              <v:imagedata r:id="rId21" o:title=""/>
            </v:shape>
            <v:shape style="position:absolute;left:2954;top:166;width:418;height:212" type="#_x0000_t75" stroked="false">
              <v:imagedata r:id="rId20" o:title=""/>
            </v:shape>
            <v:shape style="position:absolute;left:3163;top:166;width:423;height:212" type="#_x0000_t75" stroked="false">
              <v:imagedata r:id="rId21" o:title=""/>
            </v:shape>
            <w10:wrap type="none"/>
          </v:group>
        </w:pict>
      </w:r>
      <w:r>
        <w:rPr/>
        <w:t>（</w:t>
      </w:r>
      <w:r>
        <w:rPr>
          <w:rFonts w:ascii="Times New Roman" w:eastAsia="Times New Roman"/>
        </w:rPr>
        <w:t>7</w:t>
      </w:r>
      <w:r>
        <w:rPr/>
        <w:t>）</w:t>
      </w:r>
      <w:r>
        <w:rPr>
          <w:u w:val="single"/>
        </w:rPr>
        <w:t> </w:t>
        <w:tab/>
        <w:t>；</w:t>
      </w:r>
    </w:p>
    <w:p>
      <w:pPr>
        <w:pStyle w:val="BodyText"/>
        <w:spacing w:before="139"/>
        <w:ind w:left="1098"/>
      </w:pPr>
      <w:r>
        <w:rPr/>
        <w:t>（</w:t>
      </w:r>
      <w:r>
        <w:rPr>
          <w:rFonts w:ascii="Times New Roman" w:eastAsia="Times New Roman"/>
        </w:rPr>
        <w:t>8</w:t>
      </w:r>
      <w:r>
        <w:rPr/>
        <w:t>）其他合同文件：</w:t>
      </w:r>
    </w:p>
    <w:p>
      <w:pPr>
        <w:pStyle w:val="BodyText"/>
        <w:spacing w:before="139"/>
        <w:ind w:left="1098"/>
      </w:pPr>
      <w:r>
        <w:rPr>
          <w:spacing w:val="-3"/>
          <w:w w:val="100"/>
        </w:rPr>
        <w:t>招标文件及附件</w:t>
      </w:r>
      <w:r>
        <w:rPr>
          <w:w w:val="100"/>
        </w:rPr>
        <w:t>（</w:t>
      </w:r>
      <w:r>
        <w:rPr>
          <w:spacing w:val="-3"/>
          <w:w w:val="100"/>
        </w:rPr>
        <w:t>含所有补充通知</w:t>
      </w:r>
      <w:r>
        <w:rPr>
          <w:spacing w:val="-108"/>
          <w:w w:val="100"/>
        </w:rPr>
        <w:t>）</w:t>
      </w:r>
      <w:r>
        <w:rPr>
          <w:w w:val="100"/>
        </w:rPr>
        <w:t>；</w:t>
      </w:r>
    </w:p>
    <w:p>
      <w:pPr>
        <w:pStyle w:val="BodyText"/>
        <w:spacing w:before="141"/>
        <w:ind w:left="1098"/>
      </w:pPr>
      <w:r>
        <w:rPr/>
        <w:t>在合同订立及履行过程中形成的与合同有关的文件均构成合同文件组成部分。</w:t>
      </w:r>
    </w:p>
    <w:p>
      <w:pPr>
        <w:pStyle w:val="BodyText"/>
        <w:spacing w:line="364" w:lineRule="auto" w:before="139"/>
        <w:ind w:right="1153" w:firstLine="419"/>
        <w:jc w:val="both"/>
      </w:pPr>
      <w:r>
        <w:rPr>
          <w:spacing w:val="-3"/>
        </w:rPr>
        <w:t>上述各项合同文件包括合同当事人就该项合同文件所作出的补充和修改，属于同一类内容</w:t>
      </w:r>
      <w:r>
        <w:rPr>
          <w:spacing w:val="-7"/>
        </w:rPr>
        <w:t>的文件，应以最新签署的为准</w:t>
      </w:r>
      <w:r>
        <w:rPr/>
        <w:t>（</w:t>
      </w:r>
      <w:r>
        <w:rPr>
          <w:spacing w:val="-3"/>
        </w:rPr>
        <w:t>违反招标文件实质性内容的约定除外</w:t>
      </w:r>
      <w:r>
        <w:rPr>
          <w:spacing w:val="-108"/>
        </w:rPr>
        <w:t>）</w:t>
      </w:r>
      <w:r>
        <w:rPr>
          <w:spacing w:val="-5"/>
        </w:rPr>
        <w:t>。专用合同条款及其附件</w:t>
      </w:r>
      <w:r>
        <w:rPr>
          <w:spacing w:val="-4"/>
        </w:rPr>
        <w:t>须经合同当事人签字或盖章。</w:t>
      </w:r>
    </w:p>
    <w:p>
      <w:pPr>
        <w:pStyle w:val="Heading8"/>
        <w:spacing w:line="315" w:lineRule="exact"/>
        <w:ind w:left="1100" w:firstLine="0"/>
      </w:pPr>
      <w:bookmarkStart w:name="七、承诺" w:id="270"/>
      <w:bookmarkEnd w:id="270"/>
      <w:r>
        <w:rPr>
          <w:b w:val="0"/>
        </w:rPr>
      </w:r>
      <w:r>
        <w:rPr/>
        <w:t>七、承诺</w:t>
      </w:r>
    </w:p>
    <w:p>
      <w:pPr>
        <w:pStyle w:val="ListParagraph"/>
        <w:numPr>
          <w:ilvl w:val="0"/>
          <w:numId w:val="69"/>
        </w:numPr>
        <w:tabs>
          <w:tab w:pos="1362" w:val="left" w:leader="none"/>
        </w:tabs>
        <w:spacing w:line="364" w:lineRule="auto" w:before="94" w:after="0"/>
        <w:ind w:left="678" w:right="1153" w:firstLine="419"/>
        <w:jc w:val="left"/>
        <w:rPr>
          <w:sz w:val="21"/>
        </w:rPr>
      </w:pPr>
      <w:r>
        <w:rPr>
          <w:spacing w:val="-3"/>
          <w:sz w:val="21"/>
        </w:rPr>
        <w:t>发包人承诺按照法律规定履行项目审批手续、筹集工程建设资金并按照合同约定的期限和方式支付合同价款。</w:t>
      </w:r>
    </w:p>
    <w:p>
      <w:pPr>
        <w:pStyle w:val="ListParagraph"/>
        <w:numPr>
          <w:ilvl w:val="0"/>
          <w:numId w:val="69"/>
        </w:numPr>
        <w:tabs>
          <w:tab w:pos="1362" w:val="left" w:leader="none"/>
        </w:tabs>
        <w:spacing w:line="364" w:lineRule="auto" w:before="0" w:after="0"/>
        <w:ind w:left="678" w:right="1153" w:firstLine="419"/>
        <w:jc w:val="left"/>
        <w:rPr>
          <w:sz w:val="21"/>
        </w:rPr>
      </w:pPr>
      <w:r>
        <w:rPr>
          <w:spacing w:val="-3"/>
          <w:sz w:val="21"/>
        </w:rPr>
        <w:t>承包人承诺按照法律规定及合同约定组织完成工程施工，确保工程质量和安全，不进行转包及违法分包，并在缺陷责任期及保修期内承担相应的工程维修责任。</w:t>
      </w:r>
    </w:p>
    <w:p>
      <w:pPr>
        <w:pStyle w:val="ListParagraph"/>
        <w:numPr>
          <w:ilvl w:val="0"/>
          <w:numId w:val="69"/>
        </w:numPr>
        <w:tabs>
          <w:tab w:pos="1362" w:val="left" w:leader="none"/>
        </w:tabs>
        <w:spacing w:line="367" w:lineRule="auto" w:before="0" w:after="0"/>
        <w:ind w:left="678" w:right="1153" w:firstLine="419"/>
        <w:jc w:val="left"/>
        <w:rPr>
          <w:sz w:val="21"/>
        </w:rPr>
      </w:pPr>
      <w:r>
        <w:rPr>
          <w:spacing w:val="-3"/>
          <w:sz w:val="21"/>
        </w:rPr>
        <w:t>发包人和承包人通过招投标形式签订合同的，双方理解并承诺不再就同一工程另行签订与合同实质性内容相背离的协议。</w:t>
      </w:r>
    </w:p>
    <w:p>
      <w:pPr>
        <w:pStyle w:val="Heading8"/>
        <w:spacing w:line="312" w:lineRule="exact"/>
        <w:ind w:left="1100" w:firstLine="0"/>
      </w:pPr>
      <w:bookmarkStart w:name="八、词语含义" w:id="271"/>
      <w:bookmarkEnd w:id="271"/>
      <w:r>
        <w:rPr>
          <w:b w:val="0"/>
        </w:rPr>
      </w:r>
      <w:r>
        <w:rPr/>
        <w:t>八、词语含义</w:t>
      </w:r>
    </w:p>
    <w:p>
      <w:pPr>
        <w:pStyle w:val="BodyText"/>
        <w:spacing w:before="87"/>
        <w:ind w:left="1098"/>
      </w:pPr>
      <w:r>
        <w:rPr/>
        <w:t>本协议书中词语含义与第二部分通用合同条款中赋予的含义相同。</w:t>
      </w:r>
    </w:p>
    <w:p>
      <w:pPr>
        <w:spacing w:after="0"/>
        <w:sectPr>
          <w:pgSz w:w="11910" w:h="16850"/>
          <w:pgMar w:header="0" w:footer="779" w:top="1380" w:bottom="1040" w:left="1120" w:right="280"/>
        </w:sectPr>
      </w:pPr>
    </w:p>
    <w:p>
      <w:pPr>
        <w:pStyle w:val="Heading8"/>
        <w:spacing w:line="377" w:lineRule="exact"/>
        <w:ind w:left="1100" w:firstLine="0"/>
      </w:pPr>
      <w:bookmarkStart w:name="九、签订时间" w:id="272"/>
      <w:bookmarkEnd w:id="272"/>
      <w:r>
        <w:rPr>
          <w:b w:val="0"/>
        </w:rPr>
      </w:r>
      <w:r>
        <w:rPr/>
        <w:t>九、签订时间</w:t>
      </w:r>
    </w:p>
    <w:p>
      <w:pPr>
        <w:tabs>
          <w:tab w:pos="2884" w:val="left" w:leader="none"/>
          <w:tab w:pos="3512" w:val="left" w:leader="none"/>
          <w:tab w:pos="4144" w:val="left" w:leader="none"/>
        </w:tabs>
        <w:spacing w:line="302" w:lineRule="auto" w:before="91"/>
        <w:ind w:left="1100" w:right="5517" w:hanging="3"/>
        <w:jc w:val="left"/>
        <w:rPr>
          <w:rFonts w:ascii="Microsoft JhengHei" w:eastAsia="Microsoft JhengHei" w:hint="eastAsia"/>
          <w:b/>
          <w:sz w:val="21"/>
        </w:rPr>
      </w:pPr>
      <w:r>
        <w:rPr>
          <w:sz w:val="21"/>
        </w:rPr>
        <w:t>本合</w:t>
      </w:r>
      <w:r>
        <w:rPr>
          <w:spacing w:val="-3"/>
          <w:sz w:val="21"/>
        </w:rPr>
        <w:t>同</w:t>
      </w:r>
      <w:r>
        <w:rPr>
          <w:sz w:val="21"/>
        </w:rPr>
        <w:t>于</w:t>
      </w:r>
      <w:r>
        <w:rPr>
          <w:sz w:val="21"/>
          <w:u w:val="single"/>
        </w:rPr>
        <w:t> </w:t>
        <w:tab/>
      </w:r>
      <w:r>
        <w:rPr>
          <w:sz w:val="21"/>
        </w:rPr>
        <w:t>年</w:t>
      </w:r>
      <w:r>
        <w:rPr>
          <w:sz w:val="21"/>
          <w:u w:val="single"/>
        </w:rPr>
        <w:t> </w:t>
        <w:tab/>
      </w:r>
      <w:r>
        <w:rPr>
          <w:sz w:val="21"/>
        </w:rPr>
        <w:t>月</w:t>
      </w:r>
      <w:r>
        <w:rPr>
          <w:sz w:val="21"/>
          <w:u w:val="single"/>
        </w:rPr>
        <w:t> </w:t>
        <w:tab/>
      </w:r>
      <w:r>
        <w:rPr>
          <w:sz w:val="21"/>
        </w:rPr>
        <w:t>日</w:t>
      </w:r>
      <w:r>
        <w:rPr>
          <w:spacing w:val="-3"/>
          <w:sz w:val="21"/>
        </w:rPr>
        <w:t>签</w:t>
      </w:r>
      <w:r>
        <w:rPr>
          <w:sz w:val="21"/>
        </w:rPr>
        <w:t>订</w:t>
      </w:r>
      <w:r>
        <w:rPr>
          <w:spacing w:val="-17"/>
          <w:sz w:val="21"/>
        </w:rPr>
        <w:t>。</w:t>
      </w:r>
      <w:bookmarkStart w:name="十、签订地点" w:id="273"/>
      <w:bookmarkEnd w:id="273"/>
      <w:r>
        <w:rPr>
          <w:spacing w:val="-17"/>
          <w:sz w:val="21"/>
        </w:rPr>
      </w:r>
      <w:r>
        <w:rPr>
          <w:rFonts w:ascii="Microsoft JhengHei" w:eastAsia="Microsoft JhengHei" w:hint="eastAsia"/>
          <w:b/>
          <w:sz w:val="21"/>
        </w:rPr>
        <w:t>十、签订地点</w:t>
      </w:r>
    </w:p>
    <w:p>
      <w:pPr>
        <w:tabs>
          <w:tab w:pos="5718" w:val="left" w:leader="none"/>
        </w:tabs>
        <w:spacing w:line="302" w:lineRule="auto" w:before="0"/>
        <w:ind w:left="1100" w:right="4154" w:hanging="3"/>
        <w:jc w:val="left"/>
        <w:rPr>
          <w:rFonts w:ascii="Microsoft JhengHei" w:eastAsia="Microsoft JhengHei" w:hint="eastAsia"/>
          <w:b/>
          <w:sz w:val="21"/>
        </w:rPr>
      </w:pPr>
      <w:r>
        <w:rPr>
          <w:sz w:val="21"/>
        </w:rPr>
        <w:t>本合</w:t>
      </w:r>
      <w:r>
        <w:rPr>
          <w:spacing w:val="-3"/>
          <w:sz w:val="21"/>
        </w:rPr>
        <w:t>同</w:t>
      </w:r>
      <w:r>
        <w:rPr>
          <w:sz w:val="21"/>
        </w:rPr>
        <w:t>在</w:t>
      </w:r>
      <w:r>
        <w:rPr>
          <w:sz w:val="21"/>
          <w:u w:val="single"/>
        </w:rPr>
        <w:t> </w:t>
        <w:tab/>
      </w:r>
      <w:r>
        <w:rPr>
          <w:spacing w:val="-3"/>
          <w:sz w:val="21"/>
        </w:rPr>
        <w:t>签</w:t>
      </w:r>
      <w:r>
        <w:rPr>
          <w:sz w:val="21"/>
        </w:rPr>
        <w:t>订</w:t>
      </w:r>
      <w:r>
        <w:rPr>
          <w:spacing w:val="-17"/>
          <w:sz w:val="21"/>
        </w:rPr>
        <w:t>。</w:t>
      </w:r>
      <w:bookmarkStart w:name="十一、补充协议" w:id="274"/>
      <w:bookmarkEnd w:id="274"/>
      <w:r>
        <w:rPr>
          <w:spacing w:val="-17"/>
          <w:sz w:val="21"/>
        </w:rPr>
      </w:r>
      <w:r>
        <w:rPr>
          <w:rFonts w:ascii="Microsoft JhengHei" w:eastAsia="Microsoft JhengHei" w:hint="eastAsia"/>
          <w:b/>
          <w:sz w:val="21"/>
        </w:rPr>
        <w:t>十一、补充协议</w:t>
      </w:r>
    </w:p>
    <w:p>
      <w:pPr>
        <w:pStyle w:val="BodyText"/>
        <w:spacing w:line="302" w:lineRule="auto"/>
        <w:ind w:left="1100" w:right="2260" w:hanging="3"/>
        <w:rPr>
          <w:rFonts w:ascii="Microsoft JhengHei" w:eastAsia="Microsoft JhengHei" w:hint="eastAsia"/>
          <w:b/>
        </w:rPr>
      </w:pPr>
      <w:r>
        <w:rPr>
          <w:spacing w:val="-3"/>
        </w:rPr>
        <w:t>合同未尽事宜，合同当事人另行签订补充协议，补充协议是合同的组成部分。</w:t>
      </w:r>
      <w:bookmarkStart w:name="十二、合同生效" w:id="275"/>
      <w:bookmarkEnd w:id="275"/>
      <w:r>
        <w:rPr>
          <w:spacing w:val="-3"/>
        </w:rPr>
      </w:r>
      <w:r>
        <w:rPr>
          <w:rFonts w:ascii="Microsoft JhengHei" w:eastAsia="Microsoft JhengHei" w:hint="eastAsia"/>
          <w:b/>
          <w:spacing w:val="-3"/>
        </w:rPr>
        <w:t>十二、合同生效</w:t>
      </w:r>
    </w:p>
    <w:p>
      <w:pPr>
        <w:tabs>
          <w:tab w:pos="5615" w:val="left" w:leader="none"/>
        </w:tabs>
        <w:spacing w:line="302" w:lineRule="auto" w:before="0"/>
        <w:ind w:left="1100" w:right="4257" w:hanging="3"/>
        <w:jc w:val="left"/>
        <w:rPr>
          <w:rFonts w:ascii="Microsoft JhengHei" w:eastAsia="Microsoft JhengHei" w:hint="eastAsia"/>
          <w:b/>
          <w:sz w:val="21"/>
        </w:rPr>
      </w:pPr>
      <w:r>
        <w:rPr>
          <w:sz w:val="21"/>
        </w:rPr>
        <w:t>本合</w:t>
      </w:r>
      <w:r>
        <w:rPr>
          <w:spacing w:val="-3"/>
          <w:sz w:val="21"/>
        </w:rPr>
        <w:t>同</w:t>
      </w:r>
      <w:r>
        <w:rPr>
          <w:sz w:val="21"/>
        </w:rPr>
        <w:t>自</w:t>
      </w:r>
      <w:r>
        <w:rPr>
          <w:sz w:val="21"/>
          <w:u w:val="single"/>
        </w:rPr>
        <w:t> </w:t>
        <w:tab/>
      </w:r>
      <w:r>
        <w:rPr>
          <w:spacing w:val="-3"/>
          <w:sz w:val="21"/>
        </w:rPr>
        <w:t>生</w:t>
      </w:r>
      <w:r>
        <w:rPr>
          <w:sz w:val="21"/>
        </w:rPr>
        <w:t>效</w:t>
      </w:r>
      <w:r>
        <w:rPr>
          <w:spacing w:val="-17"/>
          <w:sz w:val="21"/>
        </w:rPr>
        <w:t>。</w:t>
      </w:r>
      <w:bookmarkStart w:name="十三、合同份数" w:id="276"/>
      <w:bookmarkEnd w:id="276"/>
      <w:r>
        <w:rPr>
          <w:spacing w:val="-17"/>
          <w:sz w:val="21"/>
        </w:rPr>
      </w:r>
      <w:r>
        <w:rPr>
          <w:rFonts w:ascii="Microsoft JhengHei" w:eastAsia="Microsoft JhengHei" w:hint="eastAsia"/>
          <w:b/>
          <w:sz w:val="21"/>
        </w:rPr>
        <w:t>十三、合同份数</w:t>
      </w:r>
    </w:p>
    <w:p>
      <w:pPr>
        <w:pStyle w:val="BodyText"/>
        <w:tabs>
          <w:tab w:pos="2569" w:val="left" w:leader="none"/>
          <w:tab w:pos="6352" w:val="left" w:leader="none"/>
          <w:tab w:pos="8033" w:val="left" w:leader="none"/>
        </w:tabs>
        <w:spacing w:line="260" w:lineRule="exact"/>
        <w:ind w:left="1098"/>
      </w:pPr>
      <w:r>
        <w:rPr/>
        <w:t>本合</w:t>
      </w:r>
      <w:r>
        <w:rPr>
          <w:spacing w:val="-3"/>
        </w:rPr>
        <w:t>同</w:t>
      </w:r>
      <w:r>
        <w:rPr/>
        <w:t>一</w:t>
      </w:r>
      <w:r>
        <w:rPr>
          <w:spacing w:val="-3"/>
        </w:rPr>
        <w:t>式</w:t>
      </w:r>
      <w:r>
        <w:rPr>
          <w:spacing w:val="-3"/>
          <w:u w:val="single"/>
        </w:rPr>
        <w:t> </w:t>
        <w:tab/>
      </w:r>
      <w:r>
        <w:rPr/>
        <w:t>份</w:t>
      </w:r>
      <w:r>
        <w:rPr>
          <w:spacing w:val="-3"/>
        </w:rPr>
        <w:t>，</w:t>
      </w:r>
      <w:r>
        <w:rPr/>
        <w:t>均</w:t>
      </w:r>
      <w:r>
        <w:rPr>
          <w:spacing w:val="-3"/>
        </w:rPr>
        <w:t>具</w:t>
      </w:r>
      <w:r>
        <w:rPr/>
        <w:t>有同</w:t>
      </w:r>
      <w:r>
        <w:rPr>
          <w:spacing w:val="-3"/>
        </w:rPr>
        <w:t>等</w:t>
      </w:r>
      <w:r>
        <w:rPr/>
        <w:t>法</w:t>
      </w:r>
      <w:r>
        <w:rPr>
          <w:spacing w:val="-3"/>
        </w:rPr>
        <w:t>律</w:t>
      </w:r>
      <w:r>
        <w:rPr/>
        <w:t>效</w:t>
      </w:r>
      <w:r>
        <w:rPr>
          <w:spacing w:val="-3"/>
        </w:rPr>
        <w:t>力</w:t>
      </w:r>
      <w:r>
        <w:rPr/>
        <w:t>，</w:t>
      </w:r>
      <w:r>
        <w:rPr>
          <w:spacing w:val="-3"/>
        </w:rPr>
        <w:t>发</w:t>
      </w:r>
      <w:r>
        <w:rPr/>
        <w:t>包</w:t>
      </w:r>
      <w:r>
        <w:rPr>
          <w:spacing w:val="-3"/>
        </w:rPr>
        <w:t>人</w:t>
      </w:r>
      <w:r>
        <w:rPr/>
        <w:t>执</w:t>
      </w:r>
      <w:r>
        <w:rPr>
          <w:u w:val="single"/>
        </w:rPr>
        <w:t> </w:t>
        <w:tab/>
      </w:r>
      <w:r>
        <w:rPr/>
        <w:t>份</w:t>
      </w:r>
      <w:r>
        <w:rPr>
          <w:spacing w:val="-3"/>
        </w:rPr>
        <w:t>，</w:t>
      </w:r>
      <w:r>
        <w:rPr/>
        <w:t>承</w:t>
      </w:r>
      <w:r>
        <w:rPr>
          <w:spacing w:val="-3"/>
        </w:rPr>
        <w:t>包</w:t>
      </w:r>
      <w:r>
        <w:rPr/>
        <w:t>人</w:t>
      </w:r>
      <w:r>
        <w:rPr>
          <w:spacing w:val="-3"/>
        </w:rPr>
        <w:t>执</w:t>
      </w:r>
      <w:r>
        <w:rPr>
          <w:spacing w:val="-3"/>
          <w:u w:val="single"/>
        </w:rPr>
        <w:t> </w:t>
        <w:tab/>
      </w:r>
      <w:r>
        <w:rPr/>
        <w:t>份。</w:t>
      </w:r>
    </w:p>
    <w:p>
      <w:pPr>
        <w:pStyle w:val="BodyText"/>
        <w:ind w:left="0"/>
        <w:rPr>
          <w:sz w:val="20"/>
        </w:rPr>
      </w:pPr>
    </w:p>
    <w:p>
      <w:pPr>
        <w:pStyle w:val="BodyText"/>
        <w:ind w:left="0"/>
        <w:rPr>
          <w:sz w:val="20"/>
        </w:rPr>
      </w:pPr>
    </w:p>
    <w:p>
      <w:pPr>
        <w:pStyle w:val="BodyText"/>
        <w:ind w:left="0"/>
        <w:rPr>
          <w:sz w:val="20"/>
        </w:rPr>
      </w:pPr>
    </w:p>
    <w:p>
      <w:pPr>
        <w:pStyle w:val="BodyText"/>
        <w:tabs>
          <w:tab w:pos="1729" w:val="left" w:leader="none"/>
          <w:tab w:pos="5718" w:val="left" w:leader="none"/>
          <w:tab w:pos="6770" w:val="left" w:leader="none"/>
        </w:tabs>
        <w:spacing w:before="71"/>
      </w:pPr>
      <w:r>
        <w:rPr/>
        <w:t>发包</w:t>
      </w:r>
      <w:r>
        <w:rPr>
          <w:spacing w:val="-3"/>
        </w:rPr>
        <w:t>人</w:t>
      </w:r>
      <w:r>
        <w:rPr/>
        <w:t>：</w:t>
        <w:tab/>
        <w:t>（</w:t>
      </w:r>
      <w:r>
        <w:rPr>
          <w:spacing w:val="-3"/>
        </w:rPr>
        <w:t>公</w:t>
      </w:r>
      <w:r>
        <w:rPr/>
        <w:t>章）</w:t>
        <w:tab/>
        <w:t>承</w:t>
      </w:r>
      <w:r>
        <w:rPr>
          <w:spacing w:val="-3"/>
        </w:rPr>
        <w:t>包</w:t>
      </w:r>
      <w:r>
        <w:rPr/>
        <w:t>人：</w:t>
        <w:tab/>
      </w:r>
      <w:r>
        <w:rPr>
          <w:spacing w:val="-3"/>
        </w:rPr>
        <w:t>（</w:t>
      </w:r>
      <w:r>
        <w:rPr/>
        <w:t>公</w:t>
      </w:r>
      <w:r>
        <w:rPr>
          <w:spacing w:val="-3"/>
        </w:rPr>
        <w:t>章</w:t>
      </w:r>
      <w:r>
        <w:rPr/>
        <w:t>）</w:t>
      </w:r>
    </w:p>
    <w:p>
      <w:pPr>
        <w:pStyle w:val="BodyText"/>
        <w:ind w:left="0"/>
        <w:rPr>
          <w:sz w:val="20"/>
        </w:rPr>
      </w:pPr>
    </w:p>
    <w:p>
      <w:pPr>
        <w:pStyle w:val="BodyText"/>
        <w:spacing w:before="2"/>
        <w:ind w:left="0"/>
        <w:rPr>
          <w:sz w:val="19"/>
        </w:rPr>
      </w:pPr>
    </w:p>
    <w:p>
      <w:pPr>
        <w:pStyle w:val="BodyText"/>
        <w:tabs>
          <w:tab w:pos="5510" w:val="left" w:leader="none"/>
        </w:tabs>
      </w:pPr>
      <w:r>
        <w:rPr/>
        <w:t>法定</w:t>
      </w:r>
      <w:r>
        <w:rPr>
          <w:spacing w:val="-3"/>
        </w:rPr>
        <w:t>代</w:t>
      </w:r>
      <w:r>
        <w:rPr/>
        <w:t>表</w:t>
      </w:r>
      <w:r>
        <w:rPr>
          <w:spacing w:val="-3"/>
        </w:rPr>
        <w:t>人</w:t>
      </w:r>
      <w:r>
        <w:rPr/>
        <w:t>或</w:t>
      </w:r>
      <w:r>
        <w:rPr>
          <w:spacing w:val="-3"/>
        </w:rPr>
        <w:t>其</w:t>
      </w:r>
      <w:r>
        <w:rPr/>
        <w:t>委</w:t>
      </w:r>
      <w:r>
        <w:rPr>
          <w:spacing w:val="-3"/>
        </w:rPr>
        <w:t>托</w:t>
      </w:r>
      <w:r>
        <w:rPr/>
        <w:t>代</w:t>
      </w:r>
      <w:r>
        <w:rPr>
          <w:spacing w:val="-3"/>
        </w:rPr>
        <w:t>理</w:t>
      </w:r>
      <w:r>
        <w:rPr/>
        <w:t>人：</w:t>
        <w:tab/>
        <w:t>法</w:t>
      </w:r>
      <w:r>
        <w:rPr>
          <w:spacing w:val="-3"/>
        </w:rPr>
        <w:t>定</w:t>
      </w:r>
      <w:r>
        <w:rPr/>
        <w:t>代</w:t>
      </w:r>
      <w:r>
        <w:rPr>
          <w:spacing w:val="-3"/>
        </w:rPr>
        <w:t>表</w:t>
      </w:r>
      <w:r>
        <w:rPr/>
        <w:t>人</w:t>
      </w:r>
      <w:r>
        <w:rPr>
          <w:spacing w:val="-3"/>
        </w:rPr>
        <w:t>或</w:t>
      </w:r>
      <w:r>
        <w:rPr/>
        <w:t>其</w:t>
      </w:r>
      <w:r>
        <w:rPr>
          <w:spacing w:val="-3"/>
        </w:rPr>
        <w:t>委</w:t>
      </w:r>
      <w:r>
        <w:rPr/>
        <w:t>托</w:t>
      </w:r>
      <w:r>
        <w:rPr>
          <w:spacing w:val="-3"/>
        </w:rPr>
        <w:t>代理</w:t>
      </w:r>
      <w:r>
        <w:rPr/>
        <w:t>人：</w:t>
      </w:r>
    </w:p>
    <w:p>
      <w:pPr>
        <w:pStyle w:val="BodyText"/>
        <w:tabs>
          <w:tab w:pos="5404" w:val="left" w:leader="none"/>
        </w:tabs>
        <w:spacing w:before="139"/>
      </w:pPr>
      <w:r>
        <w:rPr/>
        <w:t>（签</w:t>
      </w:r>
      <w:r>
        <w:rPr>
          <w:spacing w:val="-3"/>
        </w:rPr>
        <w:t>字</w:t>
      </w:r>
      <w:r>
        <w:rPr/>
        <w:t>）</w:t>
        <w:tab/>
        <w:t>（签</w:t>
      </w:r>
      <w:r>
        <w:rPr>
          <w:spacing w:val="-3"/>
        </w:rPr>
        <w:t>字</w:t>
      </w:r>
      <w:r>
        <w:rPr/>
        <w:t>）</w:t>
      </w:r>
    </w:p>
    <w:p>
      <w:pPr>
        <w:pStyle w:val="BodyText"/>
        <w:ind w:left="0"/>
        <w:rPr>
          <w:sz w:val="20"/>
        </w:rPr>
      </w:pPr>
    </w:p>
    <w:p>
      <w:pPr>
        <w:pStyle w:val="BodyText"/>
        <w:spacing w:before="1"/>
        <w:ind w:left="0"/>
        <w:rPr>
          <w:sz w:val="19"/>
        </w:rPr>
      </w:pPr>
    </w:p>
    <w:p>
      <w:pPr>
        <w:pStyle w:val="BodyText"/>
        <w:tabs>
          <w:tab w:pos="3562" w:val="left" w:leader="none"/>
          <w:tab w:pos="5404" w:val="left" w:leader="none"/>
          <w:tab w:pos="8500" w:val="left" w:leader="none"/>
        </w:tabs>
        <w:spacing w:before="1"/>
        <w:rPr>
          <w:rFonts w:ascii="Times New Roman" w:eastAsia="Times New Roman"/>
        </w:rPr>
      </w:pPr>
      <w:r>
        <w:rPr/>
        <w:drawing>
          <wp:anchor distT="0" distB="0" distL="0" distR="0" allowOverlap="1" layoutInCell="1" locked="0" behindDoc="1" simplePos="0" relativeHeight="236590080">
            <wp:simplePos x="0" y="0"/>
            <wp:positionH relativeFrom="page">
              <wp:posOffset>2342642</wp:posOffset>
            </wp:positionH>
            <wp:positionV relativeFrom="paragraph">
              <wp:posOffset>18161</wp:posOffset>
            </wp:positionV>
            <wp:extent cx="268224" cy="134112"/>
            <wp:effectExtent l="0" t="0" r="0" b="0"/>
            <wp:wrapNone/>
            <wp:docPr id="17" name="image3.png"/>
            <wp:cNvGraphicFramePr>
              <a:graphicFrameLocks noChangeAspect="1"/>
            </wp:cNvGraphicFramePr>
            <a:graphic>
              <a:graphicData uri="http://schemas.openxmlformats.org/drawingml/2006/picture">
                <pic:pic>
                  <pic:nvPicPr>
                    <pic:cNvPr id="18" name="image3.png"/>
                    <pic:cNvPicPr/>
                  </pic:nvPicPr>
                  <pic:blipFill>
                    <a:blip r:embed="rId21" cstate="print"/>
                    <a:stretch>
                      <a:fillRect/>
                    </a:stretch>
                  </pic:blipFill>
                  <pic:spPr>
                    <a:xfrm>
                      <a:off x="0" y="0"/>
                      <a:ext cx="268224" cy="134112"/>
                    </a:xfrm>
                    <a:prstGeom prst="rect">
                      <a:avLst/>
                    </a:prstGeom>
                  </pic:spPr>
                </pic:pic>
              </a:graphicData>
            </a:graphic>
          </wp:anchor>
        </w:drawing>
      </w:r>
      <w:r>
        <w:rPr/>
        <w:drawing>
          <wp:anchor distT="0" distB="0" distL="0" distR="0" allowOverlap="1" layoutInCell="1" locked="0" behindDoc="1" simplePos="0" relativeHeight="236591104">
            <wp:simplePos x="0" y="0"/>
            <wp:positionH relativeFrom="page">
              <wp:posOffset>5344033</wp:posOffset>
            </wp:positionH>
            <wp:positionV relativeFrom="paragraph">
              <wp:posOffset>18161</wp:posOffset>
            </wp:positionV>
            <wp:extent cx="535304" cy="134112"/>
            <wp:effectExtent l="0" t="0" r="0" b="0"/>
            <wp:wrapNone/>
            <wp:docPr id="19" name="image4.png"/>
            <wp:cNvGraphicFramePr>
              <a:graphicFrameLocks noChangeAspect="1"/>
            </wp:cNvGraphicFramePr>
            <a:graphic>
              <a:graphicData uri="http://schemas.openxmlformats.org/drawingml/2006/picture">
                <pic:pic>
                  <pic:nvPicPr>
                    <pic:cNvPr id="20" name="image4.png"/>
                    <pic:cNvPicPr/>
                  </pic:nvPicPr>
                  <pic:blipFill>
                    <a:blip r:embed="rId22" cstate="print"/>
                    <a:stretch>
                      <a:fillRect/>
                    </a:stretch>
                  </pic:blipFill>
                  <pic:spPr>
                    <a:xfrm>
                      <a:off x="0" y="0"/>
                      <a:ext cx="535304" cy="134112"/>
                    </a:xfrm>
                    <a:prstGeom prst="rect">
                      <a:avLst/>
                    </a:prstGeom>
                  </pic:spPr>
                </pic:pic>
              </a:graphicData>
            </a:graphic>
          </wp:anchor>
        </w:drawing>
      </w:r>
      <w:r>
        <w:rPr/>
        <w:t>统一</w:t>
      </w:r>
      <w:r>
        <w:rPr>
          <w:spacing w:val="-3"/>
        </w:rPr>
        <w:t>社</w:t>
      </w:r>
      <w:r>
        <w:rPr/>
        <w:t>会</w:t>
      </w:r>
      <w:r>
        <w:rPr>
          <w:spacing w:val="-3"/>
        </w:rPr>
        <w:t>信</w:t>
      </w:r>
      <w:r>
        <w:rPr/>
        <w:t>用</w:t>
      </w:r>
      <w:r>
        <w:rPr>
          <w:spacing w:val="-3"/>
        </w:rPr>
        <w:t>代</w:t>
      </w:r>
      <w:r>
        <w:rPr/>
        <w:t>码</w:t>
      </w:r>
      <w:r>
        <w:rPr>
          <w:spacing w:val="-3"/>
        </w:rPr>
        <w:t>：</w:t>
      </w:r>
      <w:r>
        <w:rPr>
          <w:spacing w:val="-3"/>
          <w:u w:val="single"/>
        </w:rPr>
        <w:t> </w:t>
        <w:tab/>
      </w:r>
      <w:r>
        <w:rPr>
          <w:spacing w:val="-3"/>
        </w:rPr>
        <w:tab/>
      </w:r>
      <w:r>
        <w:rPr/>
        <w:t>统一</w:t>
      </w:r>
      <w:r>
        <w:rPr>
          <w:spacing w:val="-3"/>
        </w:rPr>
        <w:t>社</w:t>
      </w:r>
      <w:r>
        <w:rPr/>
        <w:t>会</w:t>
      </w:r>
      <w:r>
        <w:rPr>
          <w:spacing w:val="-3"/>
        </w:rPr>
        <w:t>信</w:t>
      </w:r>
      <w:r>
        <w:rPr/>
        <w:t>用</w:t>
      </w:r>
      <w:r>
        <w:rPr>
          <w:spacing w:val="-3"/>
        </w:rPr>
        <w:t>代</w:t>
      </w:r>
      <w:r>
        <w:rPr/>
        <w:t>码</w:t>
      </w:r>
      <w:r>
        <w:rPr>
          <w:spacing w:val="-3"/>
        </w:rPr>
        <w:t>：</w:t>
      </w:r>
      <w:r>
        <w:rPr>
          <w:rFonts w:ascii="Times New Roman" w:eastAsia="Times New Roman"/>
          <w:u w:val="single"/>
        </w:rPr>
        <w:t> </w:t>
        <w:tab/>
      </w:r>
    </w:p>
    <w:p>
      <w:pPr>
        <w:pStyle w:val="BodyText"/>
        <w:tabs>
          <w:tab w:pos="1100" w:val="left" w:leader="none"/>
          <w:tab w:pos="3562" w:val="left" w:leader="none"/>
          <w:tab w:pos="5404" w:val="left" w:leader="none"/>
          <w:tab w:pos="5826" w:val="left" w:leader="none"/>
          <w:tab w:pos="8498" w:val="left" w:leader="none"/>
        </w:tabs>
        <w:spacing w:before="141"/>
        <w:rPr>
          <w:rFonts w:ascii="Times New Roman" w:eastAsia="Times New Roman"/>
        </w:rPr>
      </w:pPr>
      <w:r>
        <w:rPr/>
        <w:pict>
          <v:group style="position:absolute;margin-left:137.179993pt;margin-top:8.430001pt;width:83.95pt;height:10.6pt;mso-position-horizontal-relative:page;mso-position-vertical-relative:paragraph;z-index:-266724352" coordorigin="2744,169" coordsize="1679,212">
            <v:shape style="position:absolute;left:2743;top:168;width:423;height:212" type="#_x0000_t75" stroked="false">
              <v:imagedata r:id="rId21" o:title=""/>
            </v:shape>
            <v:shape style="position:absolute;left:2954;top:168;width:418;height:212" type="#_x0000_t75" stroked="false">
              <v:imagedata r:id="rId20" o:title=""/>
            </v:shape>
            <v:shape style="position:absolute;left:3163;top:168;width:423;height:212" type="#_x0000_t75" stroked="false">
              <v:imagedata r:id="rId21" o:title=""/>
            </v:shape>
            <v:shape style="position:absolute;left:3374;top:168;width:418;height:212" type="#_x0000_t75" stroked="false">
              <v:imagedata r:id="rId20" o:title=""/>
            </v:shape>
            <v:shape style="position:absolute;left:3583;top:168;width:423;height:212" type="#_x0000_t75" stroked="false">
              <v:imagedata r:id="rId21" o:title=""/>
            </v:shape>
            <v:shape style="position:absolute;left:3795;top:168;width:418;height:212" type="#_x0000_t75" stroked="false">
              <v:imagedata r:id="rId20" o:title=""/>
            </v:shape>
            <v:shape style="position:absolute;left:4004;top:168;width:418;height:212" type="#_x0000_t75" stroked="false">
              <v:imagedata r:id="rId20" o:title=""/>
            </v:shape>
            <w10:wrap type="none"/>
          </v:group>
        </w:pict>
      </w:r>
      <w:r>
        <w:rPr/>
        <w:pict>
          <v:group style="position:absolute;margin-left:368.350006pt;margin-top:8.430001pt;width:89.05pt;height:10.6pt;mso-position-horizontal-relative:page;mso-position-vertical-relative:paragraph;z-index:-266723328" coordorigin="7367,169" coordsize="1781,212">
            <v:shape style="position:absolute;left:7367;top:168;width:418;height:212" type="#_x0000_t75" stroked="false">
              <v:imagedata r:id="rId20" o:title=""/>
            </v:shape>
            <v:shape style="position:absolute;left:7575;top:168;width:423;height:212" type="#_x0000_t75" stroked="false">
              <v:imagedata r:id="rId21" o:title=""/>
            </v:shape>
            <v:shape style="position:absolute;left:7787;top:168;width:418;height:212" type="#_x0000_t75" stroked="false">
              <v:imagedata r:id="rId20" o:title=""/>
            </v:shape>
            <v:shape style="position:absolute;left:7995;top:168;width:423;height:212" type="#_x0000_t75" stroked="false">
              <v:imagedata r:id="rId21" o:title=""/>
            </v:shape>
            <v:shape style="position:absolute;left:8257;top:168;width:423;height:212" type="#_x0000_t75" stroked="false">
              <v:imagedata r:id="rId21" o:title=""/>
            </v:shape>
            <v:shape style="position:absolute;left:8468;top:168;width:423;height:212" type="#_x0000_t75" stroked="false">
              <v:imagedata r:id="rId21" o:title=""/>
            </v:shape>
            <v:shape style="position:absolute;left:8730;top:168;width:418;height:212" type="#_x0000_t75" stroked="false">
              <v:imagedata r:id="rId20" o:title=""/>
            </v:shape>
            <w10:wrap type="none"/>
          </v:group>
        </w:pict>
      </w:r>
      <w:r>
        <w:rPr/>
        <w:t>地</w:t>
        <w:tab/>
      </w:r>
      <w:r>
        <w:rPr>
          <w:spacing w:val="-3"/>
        </w:rPr>
        <w:t>址</w:t>
      </w:r>
      <w:r>
        <w:rPr/>
        <w:t>：</w:t>
      </w:r>
      <w:r>
        <w:rPr>
          <w:u w:val="single"/>
        </w:rPr>
        <w:t> </w:t>
        <w:tab/>
      </w:r>
      <w:r>
        <w:rPr/>
        <w:tab/>
        <w:t>地</w:t>
        <w:tab/>
      </w:r>
      <w:r>
        <w:rPr>
          <w:spacing w:val="-3"/>
        </w:rPr>
        <w:t>址</w:t>
      </w:r>
      <w:r>
        <w:rPr/>
        <w:t>：</w:t>
      </w:r>
      <w:r>
        <w:rPr>
          <w:rFonts w:ascii="Times New Roman" w:eastAsia="Times New Roman"/>
          <w:u w:val="single"/>
        </w:rPr>
        <w:t> </w:t>
        <w:tab/>
      </w:r>
    </w:p>
    <w:p>
      <w:pPr>
        <w:pStyle w:val="BodyText"/>
        <w:tabs>
          <w:tab w:pos="3615" w:val="left" w:leader="none"/>
          <w:tab w:pos="5351" w:val="left" w:leader="none"/>
          <w:tab w:pos="8445" w:val="left" w:leader="none"/>
        </w:tabs>
        <w:spacing w:before="139"/>
        <w:rPr>
          <w:rFonts w:ascii="Times New Roman" w:eastAsia="Times New Roman"/>
        </w:rPr>
      </w:pPr>
      <w:r>
        <w:rPr/>
        <w:pict>
          <v:group style="position:absolute;margin-left:147.740005pt;margin-top:8.330008pt;width:76.25pt;height:10.6pt;mso-position-horizontal-relative:page;mso-position-vertical-relative:paragraph;z-index:-266722304" coordorigin="2955,167" coordsize="1525,212">
            <v:shape style="position:absolute;left:2954;top:166;width:418;height:212" type="#_x0000_t75" stroked="false">
              <v:imagedata r:id="rId20" o:title=""/>
            </v:shape>
            <v:shape style="position:absolute;left:3163;top:166;width:423;height:212" type="#_x0000_t75" stroked="false">
              <v:imagedata r:id="rId21" o:title=""/>
            </v:shape>
            <v:shape style="position:absolute;left:3374;top:166;width:418;height:212" type="#_x0000_t75" stroked="false">
              <v:imagedata r:id="rId20" o:title=""/>
            </v:shape>
            <v:shape style="position:absolute;left:3583;top:166;width:423;height:212" type="#_x0000_t75" stroked="false">
              <v:imagedata r:id="rId21" o:title=""/>
            </v:shape>
            <v:shape style="position:absolute;left:3795;top:166;width:423;height:212" type="#_x0000_t75" stroked="false">
              <v:imagedata r:id="rId21" o:title=""/>
            </v:shape>
            <v:shape style="position:absolute;left:4057;top:166;width:423;height:212" type="#_x0000_t75" stroked="false">
              <v:imagedata r:id="rId21" o:title=""/>
            </v:shape>
            <w10:wrap type="none"/>
          </v:group>
        </w:pict>
      </w:r>
      <w:r>
        <w:rPr/>
        <w:pict>
          <v:group style="position:absolute;margin-left:376.149994pt;margin-top:8.330008pt;width:94.75pt;height:10.6pt;mso-position-horizontal-relative:page;mso-position-vertical-relative:paragraph;z-index:-266721280" coordorigin="7523,167" coordsize="1895,212">
            <v:shape style="position:absolute;left:7523;top:166;width:423;height:212" type="#_x0000_t75" stroked="false">
              <v:imagedata r:id="rId21" o:title=""/>
            </v:shape>
            <v:shape style="position:absolute;left:7734;top:166;width:418;height:212" type="#_x0000_t75" stroked="false">
              <v:imagedata r:id="rId20" o:title=""/>
            </v:shape>
            <v:shape style="position:absolute;left:7943;top:166;width:423;height:212" type="#_x0000_t75" stroked="false">
              <v:imagedata r:id="rId21" o:title=""/>
            </v:shape>
            <v:shape style="position:absolute;left:8154;top:166;width:418;height:212" type="#_x0000_t75" stroked="false">
              <v:imagedata r:id="rId20" o:title=""/>
            </v:shape>
            <v:shape style="position:absolute;left:8363;top:166;width:423;height:212" type="#_x0000_t75" stroked="false">
              <v:imagedata r:id="rId21" o:title=""/>
            </v:shape>
            <v:shape style="position:absolute;left:8574;top:166;width:418;height:212" type="#_x0000_t75" stroked="false">
              <v:imagedata r:id="rId20" o:title=""/>
            </v:shape>
            <v:shape style="position:absolute;left:8783;top:166;width:423;height:212" type="#_x0000_t75" stroked="false">
              <v:imagedata r:id="rId21" o:title=""/>
            </v:shape>
            <v:shape style="position:absolute;left:8994;top:166;width:423;height:212" type="#_x0000_t75" stroked="false">
              <v:imagedata r:id="rId21" o:title=""/>
            </v:shape>
            <w10:wrap type="none"/>
          </v:group>
        </w:pict>
      </w:r>
      <w:r>
        <w:rPr/>
        <w:t>邮政</w:t>
      </w:r>
      <w:r>
        <w:rPr>
          <w:spacing w:val="-3"/>
        </w:rPr>
        <w:t>编</w:t>
      </w:r>
      <w:r>
        <w:rPr/>
        <w:t>码</w:t>
      </w:r>
      <w:r>
        <w:rPr>
          <w:spacing w:val="-3"/>
        </w:rPr>
        <w:t>：</w:t>
      </w:r>
      <w:r>
        <w:rPr>
          <w:spacing w:val="-3"/>
          <w:u w:val="single"/>
        </w:rPr>
        <w:t> </w:t>
        <w:tab/>
      </w:r>
      <w:r>
        <w:rPr>
          <w:spacing w:val="-3"/>
        </w:rPr>
        <w:tab/>
      </w:r>
      <w:r>
        <w:rPr/>
        <w:t>邮政</w:t>
      </w:r>
      <w:r>
        <w:rPr>
          <w:spacing w:val="-3"/>
        </w:rPr>
        <w:t>编</w:t>
      </w:r>
      <w:r>
        <w:rPr/>
        <w:t>码</w:t>
      </w:r>
      <w:r>
        <w:rPr>
          <w:spacing w:val="-3"/>
        </w:rPr>
        <w:t>：</w:t>
      </w:r>
      <w:r>
        <w:rPr>
          <w:rFonts w:ascii="Times New Roman" w:eastAsia="Times New Roman"/>
          <w:u w:val="single"/>
        </w:rPr>
        <w:t> </w:t>
        <w:tab/>
      </w:r>
    </w:p>
    <w:p>
      <w:pPr>
        <w:pStyle w:val="BodyText"/>
        <w:tabs>
          <w:tab w:pos="3562" w:val="left" w:leader="none"/>
          <w:tab w:pos="5404" w:val="left" w:leader="none"/>
          <w:tab w:pos="8498" w:val="left" w:leader="none"/>
        </w:tabs>
        <w:spacing w:before="139"/>
        <w:rPr>
          <w:rFonts w:ascii="Times New Roman" w:eastAsia="Times New Roman"/>
        </w:rPr>
      </w:pPr>
      <w:r>
        <w:rPr/>
        <w:drawing>
          <wp:anchor distT="0" distB="0" distL="0" distR="0" allowOverlap="1" layoutInCell="1" locked="0" behindDoc="1" simplePos="0" relativeHeight="236596224">
            <wp:simplePos x="0" y="0"/>
            <wp:positionH relativeFrom="page">
              <wp:posOffset>1943354</wp:posOffset>
            </wp:positionH>
            <wp:positionV relativeFrom="paragraph">
              <wp:posOffset>105791</wp:posOffset>
            </wp:positionV>
            <wp:extent cx="265175" cy="134112"/>
            <wp:effectExtent l="0" t="0" r="0" b="0"/>
            <wp:wrapNone/>
            <wp:docPr id="21" name="image2.png"/>
            <wp:cNvGraphicFramePr>
              <a:graphicFrameLocks noChangeAspect="1"/>
            </wp:cNvGraphicFramePr>
            <a:graphic>
              <a:graphicData uri="http://schemas.openxmlformats.org/drawingml/2006/picture">
                <pic:pic>
                  <pic:nvPicPr>
                    <pic:cNvPr id="22" name="image2.png"/>
                    <pic:cNvPicPr/>
                  </pic:nvPicPr>
                  <pic:blipFill>
                    <a:blip r:embed="rId20" cstate="print"/>
                    <a:stretch>
                      <a:fillRect/>
                    </a:stretch>
                  </pic:blipFill>
                  <pic:spPr>
                    <a:xfrm>
                      <a:off x="0" y="0"/>
                      <a:ext cx="265175" cy="134112"/>
                    </a:xfrm>
                    <a:prstGeom prst="rect">
                      <a:avLst/>
                    </a:prstGeom>
                  </pic:spPr>
                </pic:pic>
              </a:graphicData>
            </a:graphic>
          </wp:anchor>
        </w:drawing>
      </w:r>
      <w:r>
        <w:rPr/>
        <w:drawing>
          <wp:anchor distT="0" distB="0" distL="0" distR="0" allowOverlap="1" layoutInCell="1" locked="0" behindDoc="1" simplePos="0" relativeHeight="236597248">
            <wp:simplePos x="0" y="0"/>
            <wp:positionH relativeFrom="page">
              <wp:posOffset>2410079</wp:posOffset>
            </wp:positionH>
            <wp:positionV relativeFrom="paragraph">
              <wp:posOffset>105791</wp:posOffset>
            </wp:positionV>
            <wp:extent cx="268224" cy="134112"/>
            <wp:effectExtent l="0" t="0" r="0" b="0"/>
            <wp:wrapNone/>
            <wp:docPr id="23" name="image3.png"/>
            <wp:cNvGraphicFramePr>
              <a:graphicFrameLocks noChangeAspect="1"/>
            </wp:cNvGraphicFramePr>
            <a:graphic>
              <a:graphicData uri="http://schemas.openxmlformats.org/drawingml/2006/picture">
                <pic:pic>
                  <pic:nvPicPr>
                    <pic:cNvPr id="24" name="image3.png"/>
                    <pic:cNvPicPr/>
                  </pic:nvPicPr>
                  <pic:blipFill>
                    <a:blip r:embed="rId21" cstate="print"/>
                    <a:stretch>
                      <a:fillRect/>
                    </a:stretch>
                  </pic:blipFill>
                  <pic:spPr>
                    <a:xfrm>
                      <a:off x="0" y="0"/>
                      <a:ext cx="268224" cy="134112"/>
                    </a:xfrm>
                    <a:prstGeom prst="rect">
                      <a:avLst/>
                    </a:prstGeom>
                  </pic:spPr>
                </pic:pic>
              </a:graphicData>
            </a:graphic>
          </wp:anchor>
        </w:drawing>
      </w:r>
      <w:r>
        <w:rPr/>
        <w:drawing>
          <wp:anchor distT="0" distB="0" distL="0" distR="0" allowOverlap="1" layoutInCell="1" locked="0" behindDoc="1" simplePos="0" relativeHeight="236598272">
            <wp:simplePos x="0" y="0"/>
            <wp:positionH relativeFrom="page">
              <wp:posOffset>4944745</wp:posOffset>
            </wp:positionH>
            <wp:positionV relativeFrom="paragraph">
              <wp:posOffset>105791</wp:posOffset>
            </wp:positionV>
            <wp:extent cx="265175" cy="134112"/>
            <wp:effectExtent l="0" t="0" r="0" b="0"/>
            <wp:wrapNone/>
            <wp:docPr id="25" name="image2.png"/>
            <wp:cNvGraphicFramePr>
              <a:graphicFrameLocks noChangeAspect="1"/>
            </wp:cNvGraphicFramePr>
            <a:graphic>
              <a:graphicData uri="http://schemas.openxmlformats.org/drawingml/2006/picture">
                <pic:pic>
                  <pic:nvPicPr>
                    <pic:cNvPr id="26" name="image2.png"/>
                    <pic:cNvPicPr/>
                  </pic:nvPicPr>
                  <pic:blipFill>
                    <a:blip r:embed="rId20" cstate="print"/>
                    <a:stretch>
                      <a:fillRect/>
                    </a:stretch>
                  </pic:blipFill>
                  <pic:spPr>
                    <a:xfrm>
                      <a:off x="0" y="0"/>
                      <a:ext cx="265175" cy="134112"/>
                    </a:xfrm>
                    <a:prstGeom prst="rect">
                      <a:avLst/>
                    </a:prstGeom>
                  </pic:spPr>
                </pic:pic>
              </a:graphicData>
            </a:graphic>
          </wp:anchor>
        </w:drawing>
      </w:r>
      <w:r>
        <w:rPr/>
        <w:drawing>
          <wp:anchor distT="0" distB="0" distL="0" distR="0" allowOverlap="1" layoutInCell="1" locked="0" behindDoc="1" simplePos="0" relativeHeight="236599296">
            <wp:simplePos x="0" y="0"/>
            <wp:positionH relativeFrom="page">
              <wp:posOffset>5478145</wp:posOffset>
            </wp:positionH>
            <wp:positionV relativeFrom="paragraph">
              <wp:posOffset>105791</wp:posOffset>
            </wp:positionV>
            <wp:extent cx="265175" cy="134112"/>
            <wp:effectExtent l="0" t="0" r="0" b="0"/>
            <wp:wrapNone/>
            <wp:docPr id="27" name="image2.png"/>
            <wp:cNvGraphicFramePr>
              <a:graphicFrameLocks noChangeAspect="1"/>
            </wp:cNvGraphicFramePr>
            <a:graphic>
              <a:graphicData uri="http://schemas.openxmlformats.org/drawingml/2006/picture">
                <pic:pic>
                  <pic:nvPicPr>
                    <pic:cNvPr id="28" name="image2.png"/>
                    <pic:cNvPicPr/>
                  </pic:nvPicPr>
                  <pic:blipFill>
                    <a:blip r:embed="rId20" cstate="print"/>
                    <a:stretch>
                      <a:fillRect/>
                    </a:stretch>
                  </pic:blipFill>
                  <pic:spPr>
                    <a:xfrm>
                      <a:off x="0" y="0"/>
                      <a:ext cx="265175" cy="134112"/>
                    </a:xfrm>
                    <a:prstGeom prst="rect">
                      <a:avLst/>
                    </a:prstGeom>
                  </pic:spPr>
                </pic:pic>
              </a:graphicData>
            </a:graphic>
          </wp:anchor>
        </w:drawing>
      </w:r>
      <w:r>
        <w:rPr/>
        <w:t>法定</w:t>
      </w:r>
      <w:r>
        <w:rPr>
          <w:spacing w:val="-3"/>
        </w:rPr>
        <w:t>代</w:t>
      </w:r>
      <w:r>
        <w:rPr/>
        <w:t>表</w:t>
      </w:r>
      <w:r>
        <w:rPr>
          <w:spacing w:val="-3"/>
        </w:rPr>
        <w:t>人</w:t>
      </w:r>
      <w:r>
        <w:rPr/>
        <w:t>：</w:t>
      </w:r>
      <w:r>
        <w:rPr>
          <w:u w:val="single"/>
        </w:rPr>
        <w:t> </w:t>
        <w:tab/>
      </w:r>
      <w:r>
        <w:rPr/>
        <w:tab/>
      </w:r>
      <w:r>
        <w:rPr>
          <w:spacing w:val="-1"/>
        </w:rPr>
        <w:t>法</w:t>
      </w:r>
      <w:r>
        <w:rPr/>
        <w:t>定</w:t>
      </w:r>
      <w:r>
        <w:rPr>
          <w:spacing w:val="-3"/>
        </w:rPr>
        <w:t>代</w:t>
      </w:r>
      <w:r>
        <w:rPr/>
        <w:t>表</w:t>
      </w:r>
      <w:r>
        <w:rPr>
          <w:spacing w:val="-3"/>
        </w:rPr>
        <w:t>人</w:t>
      </w:r>
      <w:r>
        <w:rPr/>
        <w:t>：</w:t>
      </w:r>
      <w:r>
        <w:rPr>
          <w:rFonts w:ascii="Times New Roman" w:eastAsia="Times New Roman"/>
          <w:u w:val="single"/>
        </w:rPr>
        <w:t> </w:t>
        <w:tab/>
      </w:r>
    </w:p>
    <w:p>
      <w:pPr>
        <w:pStyle w:val="BodyText"/>
        <w:tabs>
          <w:tab w:pos="3562" w:val="left" w:leader="none"/>
          <w:tab w:pos="5404" w:val="left" w:leader="none"/>
          <w:tab w:pos="8498" w:val="left" w:leader="none"/>
        </w:tabs>
        <w:spacing w:before="139"/>
        <w:rPr>
          <w:rFonts w:ascii="Times New Roman" w:eastAsia="Times New Roman"/>
        </w:rPr>
      </w:pPr>
      <w:r>
        <w:rPr/>
        <w:pict>
          <v:group style="position:absolute;margin-left:153.020004pt;margin-top:8.329989pt;width:31.6pt;height:10.6pt;mso-position-horizontal-relative:page;mso-position-vertical-relative:paragraph;z-index:-266716160" coordorigin="3060,167" coordsize="632,212">
            <v:shape style="position:absolute;left:3060;top:166;width:418;height:212" type="#_x0000_t75" stroked="false">
              <v:imagedata r:id="rId20" o:title=""/>
            </v:shape>
            <v:shape style="position:absolute;left:3269;top:166;width:423;height:212" type="#_x0000_t75" stroked="false">
              <v:imagedata r:id="rId21" o:title=""/>
            </v:shape>
            <w10:wrap type="none"/>
          </v:group>
        </w:pict>
      </w:r>
      <w:r>
        <w:rPr/>
        <w:pict>
          <v:group style="position:absolute;margin-left:389.350006pt;margin-top:8.329989pt;width:31.6pt;height:10.6pt;mso-position-horizontal-relative:page;mso-position-vertical-relative:paragraph;z-index:-266715136" coordorigin="7787,167" coordsize="632,212">
            <v:shape style="position:absolute;left:7787;top:166;width:418;height:212" type="#_x0000_t75" stroked="false">
              <v:imagedata r:id="rId20" o:title=""/>
            </v:shape>
            <v:shape style="position:absolute;left:7995;top:166;width:423;height:212" type="#_x0000_t75" stroked="false">
              <v:imagedata r:id="rId21" o:title=""/>
            </v:shape>
            <w10:wrap type="none"/>
          </v:group>
        </w:pict>
      </w:r>
      <w:r>
        <w:rPr/>
        <w:t>委托</w:t>
      </w:r>
      <w:r>
        <w:rPr>
          <w:spacing w:val="-3"/>
        </w:rPr>
        <w:t>代</w:t>
      </w:r>
      <w:r>
        <w:rPr/>
        <w:t>理</w:t>
      </w:r>
      <w:r>
        <w:rPr>
          <w:spacing w:val="-3"/>
        </w:rPr>
        <w:t>人</w:t>
      </w:r>
      <w:r>
        <w:rPr/>
        <w:t>：</w:t>
      </w:r>
      <w:r>
        <w:rPr>
          <w:u w:val="single"/>
        </w:rPr>
        <w:t> </w:t>
        <w:tab/>
      </w:r>
      <w:r>
        <w:rPr/>
        <w:tab/>
      </w:r>
      <w:r>
        <w:rPr>
          <w:spacing w:val="-1"/>
        </w:rPr>
        <w:t>委</w:t>
      </w:r>
      <w:r>
        <w:rPr/>
        <w:t>托</w:t>
      </w:r>
      <w:r>
        <w:rPr>
          <w:spacing w:val="-3"/>
        </w:rPr>
        <w:t>代</w:t>
      </w:r>
      <w:r>
        <w:rPr/>
        <w:t>理</w:t>
      </w:r>
      <w:r>
        <w:rPr>
          <w:spacing w:val="-3"/>
        </w:rPr>
        <w:t>人</w:t>
      </w:r>
      <w:r>
        <w:rPr/>
        <w:t>：</w:t>
      </w:r>
      <w:r>
        <w:rPr>
          <w:rFonts w:ascii="Times New Roman" w:eastAsia="Times New Roman"/>
          <w:u w:val="single"/>
        </w:rPr>
        <w:t> </w:t>
        <w:tab/>
      </w:r>
    </w:p>
    <w:p>
      <w:pPr>
        <w:pStyle w:val="BodyText"/>
        <w:tabs>
          <w:tab w:pos="1100" w:val="left" w:leader="none"/>
          <w:tab w:pos="3565" w:val="left" w:leader="none"/>
          <w:tab w:pos="5404" w:val="left" w:leader="none"/>
          <w:tab w:pos="5826" w:val="left" w:leader="none"/>
          <w:tab w:pos="8498" w:val="left" w:leader="none"/>
        </w:tabs>
        <w:spacing w:before="141"/>
        <w:rPr>
          <w:rFonts w:ascii="Times New Roman" w:eastAsia="Times New Roman"/>
        </w:rPr>
      </w:pPr>
      <w:r>
        <w:rPr/>
        <w:pict>
          <v:group style="position:absolute;margin-left:132.020004pt;margin-top:8.43pt;width:94.6pt;height:10.6pt;mso-position-horizontal-relative:page;mso-position-vertical-relative:paragraph;z-index:-266714112" coordorigin="2640,169" coordsize="1892,212">
            <v:shape style="position:absolute;left:2640;top:168;width:418;height:212" type="#_x0000_t75" stroked="false">
              <v:imagedata r:id="rId20" o:title=""/>
            </v:shape>
            <v:shape style="position:absolute;left:2849;top:168;width:423;height:212" type="#_x0000_t75" stroked="false">
              <v:imagedata r:id="rId21" o:title=""/>
            </v:shape>
            <v:shape style="position:absolute;left:3060;top:168;width:418;height:212" type="#_x0000_t75" stroked="false">
              <v:imagedata r:id="rId20" o:title=""/>
            </v:shape>
            <v:shape style="position:absolute;left:3269;top:168;width:423;height:212" type="#_x0000_t75" stroked="false">
              <v:imagedata r:id="rId21" o:title=""/>
            </v:shape>
            <v:shape style="position:absolute;left:3480;top:168;width:418;height:212" type="#_x0000_t75" stroked="false">
              <v:imagedata r:id="rId20" o:title=""/>
            </v:shape>
            <v:shape style="position:absolute;left:3689;top:168;width:423;height:212" type="#_x0000_t75" stroked="false">
              <v:imagedata r:id="rId21" o:title=""/>
            </v:shape>
            <v:shape style="position:absolute;left:3901;top:168;width:418;height:212" type="#_x0000_t75" stroked="false">
              <v:imagedata r:id="rId20" o:title=""/>
            </v:shape>
            <v:shape style="position:absolute;left:4109;top:168;width:423;height:212" type="#_x0000_t75" stroked="false">
              <v:imagedata r:id="rId21" o:title=""/>
            </v:shape>
            <w10:wrap type="none"/>
          </v:group>
        </w:pict>
      </w:r>
      <w:r>
        <w:rPr/>
        <w:pict>
          <v:group style="position:absolute;margin-left:368.350006pt;margin-top:8.43pt;width:94.6pt;height:10.6pt;mso-position-horizontal-relative:page;mso-position-vertical-relative:paragraph;z-index:-266713088" coordorigin="7367,169" coordsize="1892,212">
            <v:shape style="position:absolute;left:7367;top:168;width:418;height:212" type="#_x0000_t75" stroked="false">
              <v:imagedata r:id="rId20" o:title=""/>
            </v:shape>
            <v:shape style="position:absolute;left:7575;top:168;width:423;height:212" type="#_x0000_t75" stroked="false">
              <v:imagedata r:id="rId21" o:title=""/>
            </v:shape>
            <v:shape style="position:absolute;left:7787;top:168;width:418;height:212" type="#_x0000_t75" stroked="false">
              <v:imagedata r:id="rId20" o:title=""/>
            </v:shape>
            <v:shape style="position:absolute;left:7995;top:168;width:423;height:212" type="#_x0000_t75" stroked="false">
              <v:imagedata r:id="rId21" o:title=""/>
            </v:shape>
            <v:shape style="position:absolute;left:8207;top:168;width:418;height:212" type="#_x0000_t75" stroked="false">
              <v:imagedata r:id="rId20" o:title=""/>
            </v:shape>
            <v:shape style="position:absolute;left:8415;top:168;width:423;height:212" type="#_x0000_t75" stroked="false">
              <v:imagedata r:id="rId21" o:title=""/>
            </v:shape>
            <v:shape style="position:absolute;left:8627;top:168;width:418;height:212" type="#_x0000_t75" stroked="false">
              <v:imagedata r:id="rId20" o:title=""/>
            </v:shape>
            <v:shape style="position:absolute;left:8836;top:168;width:423;height:212" type="#_x0000_t75" stroked="false">
              <v:imagedata r:id="rId21" o:title=""/>
            </v:shape>
            <w10:wrap type="none"/>
          </v:group>
        </w:pict>
      </w:r>
      <w:r>
        <w:rPr/>
        <w:t>电</w:t>
        <w:tab/>
      </w:r>
      <w:r>
        <w:rPr>
          <w:spacing w:val="-3"/>
        </w:rPr>
        <w:t>话</w:t>
      </w:r>
      <w:r>
        <w:rPr/>
        <w:t>：</w:t>
      </w:r>
      <w:r>
        <w:rPr>
          <w:u w:val="single"/>
        </w:rPr>
        <w:t> </w:t>
        <w:tab/>
      </w:r>
      <w:r>
        <w:rPr/>
        <w:tab/>
        <w:t>电</w:t>
        <w:tab/>
      </w:r>
      <w:r>
        <w:rPr>
          <w:spacing w:val="-3"/>
        </w:rPr>
        <w:t>话</w:t>
      </w:r>
      <w:r>
        <w:rPr/>
        <w:t>：</w:t>
      </w:r>
      <w:r>
        <w:rPr>
          <w:rFonts w:ascii="Times New Roman" w:eastAsia="Times New Roman"/>
          <w:u w:val="single"/>
        </w:rPr>
        <w:t> </w:t>
        <w:tab/>
      </w:r>
    </w:p>
    <w:p>
      <w:pPr>
        <w:pStyle w:val="BodyText"/>
        <w:tabs>
          <w:tab w:pos="1100" w:val="left" w:leader="none"/>
          <w:tab w:pos="3565" w:val="left" w:leader="none"/>
          <w:tab w:pos="5404" w:val="left" w:leader="none"/>
          <w:tab w:pos="5826" w:val="left" w:leader="none"/>
          <w:tab w:pos="8498" w:val="left" w:leader="none"/>
        </w:tabs>
        <w:spacing w:before="139"/>
        <w:rPr>
          <w:rFonts w:ascii="Times New Roman" w:eastAsia="Times New Roman"/>
        </w:rPr>
      </w:pPr>
      <w:r>
        <w:rPr/>
        <w:pict>
          <v:group style="position:absolute;margin-left:132.020004pt;margin-top:8.330006pt;width:94.6pt;height:10.6pt;mso-position-horizontal-relative:page;mso-position-vertical-relative:paragraph;z-index:-266712064" coordorigin="2640,167" coordsize="1892,212">
            <v:shape style="position:absolute;left:2640;top:166;width:418;height:212" type="#_x0000_t75" stroked="false">
              <v:imagedata r:id="rId20" o:title=""/>
            </v:shape>
            <v:shape style="position:absolute;left:2849;top:166;width:423;height:212" type="#_x0000_t75" stroked="false">
              <v:imagedata r:id="rId21" o:title=""/>
            </v:shape>
            <v:shape style="position:absolute;left:3060;top:166;width:418;height:212" type="#_x0000_t75" stroked="false">
              <v:imagedata r:id="rId20" o:title=""/>
            </v:shape>
            <v:shape style="position:absolute;left:3269;top:166;width:423;height:212" type="#_x0000_t75" stroked="false">
              <v:imagedata r:id="rId21" o:title=""/>
            </v:shape>
            <v:shape style="position:absolute;left:3480;top:166;width:418;height:212" type="#_x0000_t75" stroked="false">
              <v:imagedata r:id="rId20" o:title=""/>
            </v:shape>
            <v:shape style="position:absolute;left:3689;top:166;width:423;height:212" type="#_x0000_t75" stroked="false">
              <v:imagedata r:id="rId21" o:title=""/>
            </v:shape>
            <v:shape style="position:absolute;left:3901;top:166;width:418;height:212" type="#_x0000_t75" stroked="false">
              <v:imagedata r:id="rId20" o:title=""/>
            </v:shape>
            <v:shape style="position:absolute;left:4109;top:166;width:423;height:212" type="#_x0000_t75" stroked="false">
              <v:imagedata r:id="rId21" o:title=""/>
            </v:shape>
            <w10:wrap type="none"/>
          </v:group>
        </w:pict>
      </w:r>
      <w:r>
        <w:rPr/>
        <w:pict>
          <v:group style="position:absolute;margin-left:368.350006pt;margin-top:8.330006pt;width:105.05pt;height:10.6pt;mso-position-horizontal-relative:page;mso-position-vertical-relative:paragraph;z-index:-266711040" coordorigin="7367,167" coordsize="2101,212">
            <v:shape style="position:absolute;left:7367;top:166;width:418;height:212" type="#_x0000_t75" stroked="false">
              <v:imagedata r:id="rId20" o:title=""/>
            </v:shape>
            <v:shape style="position:absolute;left:7575;top:166;width:423;height:212" type="#_x0000_t75" stroked="false">
              <v:imagedata r:id="rId21" o:title=""/>
            </v:shape>
            <v:shape style="position:absolute;left:7787;top:166;width:418;height:212" type="#_x0000_t75" stroked="false">
              <v:imagedata r:id="rId20" o:title=""/>
            </v:shape>
            <v:shape style="position:absolute;left:7995;top:166;width:423;height:212" type="#_x0000_t75" stroked="false">
              <v:imagedata r:id="rId21" o:title=""/>
            </v:shape>
            <v:shape style="position:absolute;left:8207;top:166;width:418;height:212" type="#_x0000_t75" stroked="false">
              <v:imagedata r:id="rId20" o:title=""/>
            </v:shape>
            <v:shape style="position:absolute;left:8415;top:166;width:423;height:212" type="#_x0000_t75" stroked="false">
              <v:imagedata r:id="rId21" o:title=""/>
            </v:shape>
            <v:shape style="position:absolute;left:8627;top:166;width:841;height:212" type="#_x0000_t75" stroked="false">
              <v:imagedata r:id="rId23" o:title=""/>
            </v:shape>
            <w10:wrap type="none"/>
          </v:group>
        </w:pict>
      </w:r>
      <w:r>
        <w:rPr/>
        <w:t>传</w:t>
        <w:tab/>
      </w:r>
      <w:r>
        <w:rPr>
          <w:spacing w:val="-3"/>
        </w:rPr>
        <w:t>真</w:t>
      </w:r>
      <w:r>
        <w:rPr/>
        <w:t>：</w:t>
      </w:r>
      <w:r>
        <w:rPr>
          <w:u w:val="single"/>
        </w:rPr>
        <w:t> </w:t>
        <w:tab/>
      </w:r>
      <w:r>
        <w:rPr/>
        <w:tab/>
        <w:t>传</w:t>
        <w:tab/>
      </w:r>
      <w:r>
        <w:rPr>
          <w:spacing w:val="-3"/>
        </w:rPr>
        <w:t>真</w:t>
      </w:r>
      <w:r>
        <w:rPr/>
        <w:t>：</w:t>
      </w:r>
      <w:r>
        <w:rPr>
          <w:rFonts w:ascii="Times New Roman" w:eastAsia="Times New Roman"/>
          <w:u w:val="single"/>
        </w:rPr>
        <w:t> </w:t>
        <w:tab/>
      </w:r>
    </w:p>
    <w:p>
      <w:pPr>
        <w:pStyle w:val="BodyText"/>
        <w:tabs>
          <w:tab w:pos="3562" w:val="left" w:leader="none"/>
          <w:tab w:pos="5404" w:val="left" w:leader="none"/>
          <w:tab w:pos="8498" w:val="left" w:leader="none"/>
        </w:tabs>
        <w:spacing w:before="139"/>
        <w:rPr>
          <w:rFonts w:ascii="Times New Roman" w:eastAsia="Times New Roman"/>
        </w:rPr>
      </w:pPr>
      <w:r>
        <w:rPr/>
        <w:pict>
          <v:group style="position:absolute;margin-left:378.790009pt;margin-top:8.330012pt;width:94.75pt;height:10.6pt;mso-position-horizontal-relative:page;mso-position-vertical-relative:paragraph;z-index:-266710016" coordorigin="7576,167" coordsize="1895,212">
            <v:shape style="position:absolute;left:7575;top:166;width:423;height:212" type="#_x0000_t75" stroked="false">
              <v:imagedata r:id="rId21" o:title=""/>
            </v:shape>
            <v:shape style="position:absolute;left:7787;top:166;width:418;height:212" type="#_x0000_t75" stroked="false">
              <v:imagedata r:id="rId20" o:title=""/>
            </v:shape>
            <v:shape style="position:absolute;left:7995;top:166;width:423;height:212" type="#_x0000_t75" stroked="false">
              <v:imagedata r:id="rId21" o:title=""/>
            </v:shape>
            <v:shape style="position:absolute;left:8207;top:166;width:418;height:212" type="#_x0000_t75" stroked="false">
              <v:imagedata r:id="rId20" o:title=""/>
            </v:shape>
            <v:shape style="position:absolute;left:8415;top:166;width:423;height:212" type="#_x0000_t75" stroked="false">
              <v:imagedata r:id="rId21" o:title=""/>
            </v:shape>
            <v:shape style="position:absolute;left:8627;top:166;width:418;height:212" type="#_x0000_t75" stroked="false">
              <v:imagedata r:id="rId20" o:title=""/>
            </v:shape>
            <v:shape style="position:absolute;left:8836;top:166;width:423;height:212" type="#_x0000_t75" stroked="false">
              <v:imagedata r:id="rId21" o:title=""/>
            </v:shape>
            <v:shape style="position:absolute;left:9047;top:166;width:423;height:212" type="#_x0000_t75" stroked="false">
              <v:imagedata r:id="rId21" o:title=""/>
            </v:shape>
            <w10:wrap type="none"/>
          </v:group>
        </w:pict>
      </w:r>
      <w:r>
        <w:rPr/>
        <w:t>电子</w:t>
      </w:r>
      <w:r>
        <w:rPr>
          <w:spacing w:val="-3"/>
        </w:rPr>
        <w:t>信</w:t>
      </w:r>
      <w:r>
        <w:rPr/>
        <w:t>箱</w:t>
      </w:r>
      <w:r>
        <w:rPr>
          <w:spacing w:val="-3"/>
        </w:rPr>
        <w:t>：</w:t>
      </w:r>
      <w:r>
        <w:rPr>
          <w:spacing w:val="-3"/>
          <w:u w:val="single"/>
        </w:rPr>
        <w:t> </w:t>
        <w:tab/>
      </w:r>
      <w:r>
        <w:rPr>
          <w:spacing w:val="-3"/>
        </w:rPr>
        <w:tab/>
      </w:r>
      <w:r>
        <w:rPr/>
        <w:t>电子</w:t>
      </w:r>
      <w:r>
        <w:rPr>
          <w:spacing w:val="-3"/>
        </w:rPr>
        <w:t>信</w:t>
      </w:r>
      <w:r>
        <w:rPr/>
        <w:t>箱</w:t>
      </w:r>
      <w:r>
        <w:rPr>
          <w:spacing w:val="-3"/>
        </w:rPr>
        <w:t>：</w:t>
      </w:r>
      <w:r>
        <w:rPr>
          <w:rFonts w:ascii="Times New Roman" w:eastAsia="Times New Roman"/>
          <w:u w:val="single"/>
        </w:rPr>
        <w:t> </w:t>
        <w:tab/>
      </w:r>
    </w:p>
    <w:p>
      <w:pPr>
        <w:pStyle w:val="BodyText"/>
        <w:tabs>
          <w:tab w:pos="3565" w:val="left" w:leader="none"/>
          <w:tab w:pos="5404" w:val="left" w:leader="none"/>
          <w:tab w:pos="8498" w:val="left" w:leader="none"/>
        </w:tabs>
        <w:spacing w:before="139"/>
        <w:rPr>
          <w:rFonts w:ascii="Times New Roman" w:eastAsia="Times New Roman"/>
        </w:rPr>
      </w:pPr>
      <w:r>
        <w:rPr/>
        <w:pict>
          <v:group style="position:absolute;margin-left:142.460007pt;margin-top:8.329988pt;width:84.15pt;height:10.6pt;mso-position-horizontal-relative:page;mso-position-vertical-relative:paragraph;z-index:-266708992" coordorigin="2849,167" coordsize="1683,212">
            <v:shape style="position:absolute;left:2849;top:166;width:423;height:212" type="#_x0000_t75" stroked="false">
              <v:imagedata r:id="rId21" o:title=""/>
            </v:shape>
            <v:shape style="position:absolute;left:3060;top:166;width:418;height:212" type="#_x0000_t75" stroked="false">
              <v:imagedata r:id="rId20" o:title=""/>
            </v:shape>
            <v:shape style="position:absolute;left:3269;top:166;width:423;height:212" type="#_x0000_t75" stroked="false">
              <v:imagedata r:id="rId21" o:title=""/>
            </v:shape>
            <v:shape style="position:absolute;left:3480;top:166;width:418;height:212" type="#_x0000_t75" stroked="false">
              <v:imagedata r:id="rId20" o:title=""/>
            </v:shape>
            <v:shape style="position:absolute;left:3689;top:166;width:423;height:212" type="#_x0000_t75" stroked="false">
              <v:imagedata r:id="rId21" o:title=""/>
            </v:shape>
            <v:shape style="position:absolute;left:3901;top:166;width:418;height:212" type="#_x0000_t75" stroked="false">
              <v:imagedata r:id="rId20" o:title=""/>
            </v:shape>
            <v:shape style="position:absolute;left:4109;top:166;width:423;height:212" type="#_x0000_t75" stroked="false">
              <v:imagedata r:id="rId21" o:title=""/>
            </v:shape>
            <w10:wrap type="none"/>
          </v:group>
        </w:pict>
      </w:r>
      <w:r>
        <w:rPr/>
        <w:pict>
          <v:group style="position:absolute;margin-left:378.790009pt;margin-top:8.329988pt;width:94.75pt;height:10.6pt;mso-position-horizontal-relative:page;mso-position-vertical-relative:paragraph;z-index:-266707968" coordorigin="7576,167" coordsize="1895,212">
            <v:shape style="position:absolute;left:7575;top:166;width:423;height:212" type="#_x0000_t75" stroked="false">
              <v:imagedata r:id="rId21" o:title=""/>
            </v:shape>
            <v:shape style="position:absolute;left:7787;top:166;width:418;height:212" type="#_x0000_t75" stroked="false">
              <v:imagedata r:id="rId20" o:title=""/>
            </v:shape>
            <v:shape style="position:absolute;left:7995;top:166;width:423;height:212" type="#_x0000_t75" stroked="false">
              <v:imagedata r:id="rId21" o:title=""/>
            </v:shape>
            <v:shape style="position:absolute;left:8207;top:166;width:418;height:212" type="#_x0000_t75" stroked="false">
              <v:imagedata r:id="rId20" o:title=""/>
            </v:shape>
            <v:shape style="position:absolute;left:8415;top:166;width:423;height:212" type="#_x0000_t75" stroked="false">
              <v:imagedata r:id="rId21" o:title=""/>
            </v:shape>
            <v:shape style="position:absolute;left:8627;top:166;width:418;height:212" type="#_x0000_t75" stroked="false">
              <v:imagedata r:id="rId20" o:title=""/>
            </v:shape>
            <v:shape style="position:absolute;left:8836;top:166;width:423;height:212" type="#_x0000_t75" stroked="false">
              <v:imagedata r:id="rId21" o:title=""/>
            </v:shape>
            <v:shape style="position:absolute;left:9047;top:166;width:423;height:212" type="#_x0000_t75" stroked="false">
              <v:imagedata r:id="rId21" o:title=""/>
            </v:shape>
            <w10:wrap type="none"/>
          </v:group>
        </w:pict>
      </w:r>
      <w:r>
        <w:rPr/>
        <w:t>开户</w:t>
      </w:r>
      <w:r>
        <w:rPr>
          <w:spacing w:val="-3"/>
        </w:rPr>
        <w:t>银</w:t>
      </w:r>
      <w:r>
        <w:rPr/>
        <w:t>行</w:t>
      </w:r>
      <w:r>
        <w:rPr>
          <w:spacing w:val="-3"/>
        </w:rPr>
        <w:t>：</w:t>
      </w:r>
      <w:r>
        <w:rPr>
          <w:spacing w:val="-3"/>
          <w:u w:val="single"/>
        </w:rPr>
        <w:t> </w:t>
        <w:tab/>
      </w:r>
      <w:r>
        <w:rPr>
          <w:spacing w:val="-3"/>
        </w:rPr>
        <w:tab/>
      </w:r>
      <w:r>
        <w:rPr/>
        <w:t>开户</w:t>
      </w:r>
      <w:r>
        <w:rPr>
          <w:spacing w:val="-3"/>
        </w:rPr>
        <w:t>银</w:t>
      </w:r>
      <w:r>
        <w:rPr/>
        <w:t>行</w:t>
      </w:r>
      <w:r>
        <w:rPr>
          <w:spacing w:val="-3"/>
        </w:rPr>
        <w:t>：</w:t>
      </w:r>
      <w:r>
        <w:rPr>
          <w:rFonts w:ascii="Times New Roman" w:eastAsia="Times New Roman"/>
          <w:u w:val="single"/>
        </w:rPr>
        <w:t> </w:t>
        <w:tab/>
      </w:r>
    </w:p>
    <w:p>
      <w:pPr>
        <w:pStyle w:val="BodyText"/>
        <w:tabs>
          <w:tab w:pos="1100" w:val="left" w:leader="none"/>
          <w:tab w:pos="3510" w:val="left" w:leader="none"/>
          <w:tab w:pos="5351" w:val="left" w:leader="none"/>
          <w:tab w:pos="5774" w:val="left" w:leader="none"/>
          <w:tab w:pos="8447" w:val="left" w:leader="none"/>
        </w:tabs>
        <w:spacing w:before="140"/>
        <w:rPr>
          <w:rFonts w:ascii="Times New Roman" w:eastAsia="Times New Roman"/>
        </w:rPr>
      </w:pPr>
      <w:r>
        <w:rPr/>
        <w:pict>
          <v:group style="position:absolute;margin-left:132.020004pt;margin-top:8.379995pt;width:76.2pt;height:10.6pt;mso-position-horizontal-relative:page;mso-position-vertical-relative:paragraph;z-index:-266706944" coordorigin="2640,168" coordsize="1524,212">
            <v:shape style="position:absolute;left:2640;top:167;width:418;height:212" type="#_x0000_t75" stroked="false">
              <v:imagedata r:id="rId20" o:title=""/>
            </v:shape>
            <v:shape style="position:absolute;left:2849;top:167;width:423;height:212" type="#_x0000_t75" stroked="false">
              <v:imagedata r:id="rId21" o:title=""/>
            </v:shape>
            <v:shape style="position:absolute;left:3060;top:167;width:418;height:212" type="#_x0000_t75" stroked="false">
              <v:imagedata r:id="rId20" o:title=""/>
            </v:shape>
            <v:shape style="position:absolute;left:3269;top:167;width:423;height:212" type="#_x0000_t75" stroked="false">
              <v:imagedata r:id="rId21" o:title=""/>
            </v:shape>
            <v:shape style="position:absolute;left:3480;top:167;width:418;height:212" type="#_x0000_t75" stroked="false">
              <v:imagedata r:id="rId20" o:title=""/>
            </v:shape>
            <v:shape style="position:absolute;left:3742;top:167;width:423;height:212" type="#_x0000_t75" stroked="false">
              <v:imagedata r:id="rId21" o:title=""/>
            </v:shape>
            <w10:wrap type="none"/>
          </v:group>
        </w:pict>
      </w:r>
      <w:r>
        <w:rPr/>
        <w:pict>
          <v:group style="position:absolute;margin-left:365.709991pt;margin-top:8.379995pt;width:94.6pt;height:10.6pt;mso-position-horizontal-relative:page;mso-position-vertical-relative:paragraph;z-index:-266705920" coordorigin="7314,168" coordsize="1892,212">
            <v:shape style="position:absolute;left:7314;top:167;width:418;height:212" type="#_x0000_t75" stroked="false">
              <v:imagedata r:id="rId20" o:title=""/>
            </v:shape>
            <v:shape style="position:absolute;left:7523;top:167;width:423;height:212" type="#_x0000_t75" stroked="false">
              <v:imagedata r:id="rId21" o:title=""/>
            </v:shape>
            <v:shape style="position:absolute;left:7734;top:167;width:418;height:212" type="#_x0000_t75" stroked="false">
              <v:imagedata r:id="rId20" o:title=""/>
            </v:shape>
            <v:shape style="position:absolute;left:7943;top:167;width:423;height:212" type="#_x0000_t75" stroked="false">
              <v:imagedata r:id="rId21" o:title=""/>
            </v:shape>
            <v:shape style="position:absolute;left:8154;top:167;width:418;height:212" type="#_x0000_t75" stroked="false">
              <v:imagedata r:id="rId20" o:title=""/>
            </v:shape>
            <v:shape style="position:absolute;left:8363;top:167;width:423;height:212" type="#_x0000_t75" stroked="false">
              <v:imagedata r:id="rId21" o:title=""/>
            </v:shape>
            <v:shape style="position:absolute;left:8574;top:167;width:418;height:212" type="#_x0000_t75" stroked="false">
              <v:imagedata r:id="rId20" o:title=""/>
            </v:shape>
            <v:shape style="position:absolute;left:8783;top:167;width:423;height:212" type="#_x0000_t75" stroked="false">
              <v:imagedata r:id="rId21" o:title=""/>
            </v:shape>
            <w10:wrap type="none"/>
          </v:group>
        </w:pict>
      </w:r>
      <w:r>
        <w:rPr/>
        <w:t>账</w:t>
        <w:tab/>
      </w:r>
      <w:r>
        <w:rPr>
          <w:spacing w:val="-3"/>
        </w:rPr>
        <w:t>号</w:t>
      </w:r>
      <w:r>
        <w:rPr/>
        <w:t>：</w:t>
      </w:r>
      <w:r>
        <w:rPr>
          <w:u w:val="single"/>
        </w:rPr>
        <w:t> </w:t>
        <w:tab/>
      </w:r>
      <w:r>
        <w:rPr/>
        <w:tab/>
        <w:t>账</w:t>
        <w:tab/>
      </w:r>
      <w:r>
        <w:rPr>
          <w:spacing w:val="-3"/>
        </w:rPr>
        <w:t>号</w:t>
      </w:r>
      <w:r>
        <w:rPr/>
        <w:t>：</w:t>
      </w:r>
      <w:r>
        <w:rPr>
          <w:rFonts w:ascii="Times New Roman" w:eastAsia="Times New Roman"/>
          <w:u w:val="single"/>
        </w:rPr>
        <w:t> </w:t>
        <w:tab/>
      </w:r>
    </w:p>
    <w:p>
      <w:pPr>
        <w:spacing w:before="5"/>
        <w:ind w:left="678" w:right="0" w:firstLine="0"/>
        <w:jc w:val="left"/>
        <w:rPr>
          <w:sz w:val="20"/>
        </w:rPr>
      </w:pPr>
      <w:r>
        <w:rPr>
          <w:color w:val="000080"/>
          <w:spacing w:val="1"/>
          <w:w w:val="99"/>
          <w:sz w:val="20"/>
        </w:rPr>
        <w:t> </w:t>
      </w:r>
      <w:r>
        <w:rPr>
          <w:color w:val="000080"/>
          <w:w w:val="99"/>
          <w:sz w:val="20"/>
        </w:rPr>
        <w:t> </w:t>
      </w:r>
    </w:p>
    <w:p>
      <w:pPr>
        <w:spacing w:after="0"/>
        <w:jc w:val="left"/>
        <w:rPr>
          <w:sz w:val="20"/>
        </w:rPr>
        <w:sectPr>
          <w:pgSz w:w="11910" w:h="16850"/>
          <w:pgMar w:header="0" w:footer="779" w:top="1380" w:bottom="1040" w:left="1120" w:right="280"/>
        </w:sectPr>
      </w:pPr>
    </w:p>
    <w:p>
      <w:pPr>
        <w:pStyle w:val="BodyText"/>
        <w:ind w:left="0"/>
        <w:rPr>
          <w:sz w:val="23"/>
        </w:rPr>
      </w:pPr>
    </w:p>
    <w:p>
      <w:pPr>
        <w:pStyle w:val="Heading1"/>
        <w:spacing w:line="702" w:lineRule="exact"/>
      </w:pPr>
      <w:bookmarkStart w:name="第二部分 通用合同条款" w:id="277"/>
      <w:bookmarkEnd w:id="277"/>
      <w:r>
        <w:rPr>
          <w:b w:val="0"/>
        </w:rPr>
      </w:r>
      <w:bookmarkStart w:name="_bookmark99" w:id="278"/>
      <w:bookmarkEnd w:id="278"/>
      <w:r>
        <w:rPr>
          <w:b w:val="0"/>
        </w:rPr>
      </w:r>
      <w:r>
        <w:rPr/>
        <w:t>第二部分 通用合同条款</w:t>
      </w:r>
      <w:r>
        <w:rPr>
          <w:w w:val="199"/>
        </w:rPr>
        <w:t> </w:t>
      </w:r>
    </w:p>
    <w:p>
      <w:pPr>
        <w:pStyle w:val="BodyText"/>
        <w:spacing w:before="192"/>
        <w:ind w:left="1098"/>
      </w:pPr>
      <w:r>
        <w:rPr>
          <w:w w:val="100"/>
        </w:rPr>
        <w:t> </w:t>
      </w:r>
    </w:p>
    <w:p>
      <w:pPr>
        <w:pStyle w:val="Heading8"/>
        <w:spacing w:line="383" w:lineRule="exact" w:before="70"/>
        <w:ind w:left="1100" w:firstLine="0"/>
      </w:pPr>
      <w:r>
        <w:rPr/>
        <w:t>采用《建设工程施工合同（示范文本）》（GF—2017—0201）。</w:t>
      </w:r>
      <w:r>
        <w:rPr>
          <w:w w:val="201"/>
        </w:rPr>
        <w:t> </w:t>
      </w:r>
    </w:p>
    <w:p>
      <w:pPr>
        <w:spacing w:line="548" w:lineRule="exact" w:before="0"/>
        <w:ind w:left="297" w:right="622" w:firstLine="0"/>
        <w:jc w:val="center"/>
        <w:rPr>
          <w:rFonts w:ascii="Microsoft JhengHei" w:eastAsia="Microsoft JhengHei" w:hint="eastAsia"/>
          <w:b/>
          <w:sz w:val="30"/>
        </w:rPr>
      </w:pPr>
      <w:bookmarkStart w:name="第三部分 专用合同条款" w:id="279"/>
      <w:bookmarkEnd w:id="279"/>
      <w:r>
        <w:rPr/>
      </w:r>
      <w:bookmarkStart w:name="_bookmark100" w:id="280"/>
      <w:bookmarkEnd w:id="280"/>
      <w:r>
        <w:rPr/>
      </w:r>
      <w:r>
        <w:rPr>
          <w:rFonts w:ascii="Microsoft JhengHei" w:eastAsia="Microsoft JhengHei" w:hint="eastAsia"/>
          <w:b/>
          <w:sz w:val="30"/>
        </w:rPr>
        <w:t>第三部分  专用合同条款</w:t>
      </w:r>
      <w:r>
        <w:rPr>
          <w:rFonts w:ascii="Microsoft JhengHei" w:eastAsia="Microsoft JhengHei" w:hint="eastAsia"/>
          <w:b/>
          <w:w w:val="200"/>
          <w:sz w:val="30"/>
        </w:rPr>
        <w:t> </w:t>
      </w:r>
    </w:p>
    <w:p>
      <w:pPr>
        <w:pStyle w:val="Heading8"/>
        <w:spacing w:before="62"/>
        <w:ind w:left="297" w:right="667" w:firstLine="0"/>
        <w:jc w:val="center"/>
      </w:pPr>
      <w:r>
        <w:rPr/>
        <w:t>（注：专用合同条款每一条均应填写完整！）</w:t>
      </w:r>
      <w:r>
        <w:rPr>
          <w:w w:val="201"/>
        </w:rPr>
        <w:t> </w:t>
      </w:r>
    </w:p>
    <w:p>
      <w:pPr>
        <w:spacing w:line="253" w:lineRule="exact" w:before="92"/>
        <w:ind w:left="678" w:right="0" w:firstLine="0"/>
        <w:jc w:val="left"/>
        <w:rPr>
          <w:sz w:val="20"/>
        </w:rPr>
      </w:pPr>
      <w:r>
        <w:rPr>
          <w:color w:val="000080"/>
          <w:w w:val="99"/>
          <w:sz w:val="20"/>
        </w:rPr>
        <w:t> </w:t>
      </w:r>
    </w:p>
    <w:p>
      <w:pPr>
        <w:pStyle w:val="Heading8"/>
        <w:numPr>
          <w:ilvl w:val="0"/>
          <w:numId w:val="70"/>
        </w:numPr>
        <w:tabs>
          <w:tab w:pos="959" w:val="left" w:leader="none"/>
        </w:tabs>
        <w:spacing w:line="383" w:lineRule="exact" w:before="0" w:after="0"/>
        <w:ind w:left="958" w:right="0" w:hanging="281"/>
        <w:jc w:val="left"/>
      </w:pPr>
      <w:bookmarkStart w:name="1. 一般约定" w:id="281"/>
      <w:bookmarkEnd w:id="281"/>
      <w:r>
        <w:rPr>
          <w:b w:val="0"/>
        </w:rPr>
      </w:r>
      <w:bookmarkStart w:name="1. 一般约定" w:id="282"/>
      <w:bookmarkEnd w:id="282"/>
      <w:r>
        <w:rPr/>
        <w:t>一般约定</w:t>
      </w:r>
    </w:p>
    <w:p>
      <w:pPr>
        <w:pStyle w:val="BodyText"/>
        <w:spacing w:before="4"/>
        <w:ind w:left="0"/>
        <w:rPr>
          <w:rFonts w:ascii="Microsoft JhengHei"/>
          <w:b/>
          <w:sz w:val="7"/>
        </w:rPr>
      </w:pPr>
    </w:p>
    <w:p>
      <w:pPr>
        <w:pStyle w:val="ListParagraph"/>
        <w:numPr>
          <w:ilvl w:val="1"/>
          <w:numId w:val="70"/>
        </w:numPr>
        <w:tabs>
          <w:tab w:pos="1046" w:val="left" w:leader="none"/>
        </w:tabs>
        <w:spacing w:line="240" w:lineRule="auto" w:before="10" w:after="0"/>
        <w:ind w:left="1045" w:right="0" w:hanging="368"/>
        <w:jc w:val="left"/>
        <w:rPr>
          <w:rFonts w:ascii="Microsoft JhengHei" w:eastAsia="Microsoft JhengHei" w:hint="eastAsia"/>
          <w:b/>
          <w:sz w:val="21"/>
        </w:rPr>
      </w:pPr>
      <w:bookmarkStart w:name="1.1 词语定义" w:id="283"/>
      <w:bookmarkEnd w:id="283"/>
      <w:r>
        <w:rPr/>
      </w:r>
      <w:bookmarkStart w:name="1.1 词语定义" w:id="284"/>
      <w:bookmarkEnd w:id="284"/>
      <w:r>
        <w:rPr>
          <w:rFonts w:ascii="Microsoft JhengHei" w:eastAsia="Microsoft JhengHei" w:hint="eastAsia"/>
          <w:b/>
          <w:sz w:val="21"/>
        </w:rPr>
        <w:t>词语定义</w:t>
      </w:r>
    </w:p>
    <w:p>
      <w:pPr>
        <w:pStyle w:val="ListParagraph"/>
        <w:numPr>
          <w:ilvl w:val="2"/>
          <w:numId w:val="70"/>
        </w:numPr>
        <w:tabs>
          <w:tab w:pos="1624" w:val="left" w:leader="none"/>
        </w:tabs>
        <w:spacing w:line="240" w:lineRule="auto" w:before="91" w:after="0"/>
        <w:ind w:left="1623" w:right="0" w:hanging="526"/>
        <w:jc w:val="left"/>
        <w:rPr>
          <w:sz w:val="21"/>
        </w:rPr>
      </w:pPr>
      <w:r>
        <w:rPr>
          <w:sz w:val="21"/>
        </w:rPr>
        <w:t>合同</w:t>
      </w:r>
    </w:p>
    <w:p>
      <w:pPr>
        <w:pStyle w:val="BodyText"/>
        <w:tabs>
          <w:tab w:pos="9388" w:val="left" w:leader="none"/>
        </w:tabs>
        <w:spacing w:before="141"/>
        <w:ind w:left="1098"/>
        <w:rPr>
          <w:rFonts w:ascii="Times New Roman" w:eastAsia="Times New Roman"/>
        </w:rPr>
      </w:pPr>
      <w:r>
        <w:rPr/>
        <w:drawing>
          <wp:anchor distT="0" distB="0" distL="0" distR="0" allowOverlap="1" layoutInCell="1" locked="0" behindDoc="1" simplePos="0" relativeHeight="236611584">
            <wp:simplePos x="0" y="0"/>
            <wp:positionH relativeFrom="page">
              <wp:posOffset>3111119</wp:posOffset>
            </wp:positionH>
            <wp:positionV relativeFrom="paragraph">
              <wp:posOffset>107061</wp:posOffset>
            </wp:positionV>
            <wp:extent cx="265176" cy="134111"/>
            <wp:effectExtent l="0" t="0" r="0" b="0"/>
            <wp:wrapNone/>
            <wp:docPr id="29" name="image2.png"/>
            <wp:cNvGraphicFramePr>
              <a:graphicFrameLocks noChangeAspect="1"/>
            </wp:cNvGraphicFramePr>
            <a:graphic>
              <a:graphicData uri="http://schemas.openxmlformats.org/drawingml/2006/picture">
                <pic:pic>
                  <pic:nvPicPr>
                    <pic:cNvPr id="30" name="image2.png"/>
                    <pic:cNvPicPr/>
                  </pic:nvPicPr>
                  <pic:blipFill>
                    <a:blip r:embed="rId20" cstate="print"/>
                    <a:stretch>
                      <a:fillRect/>
                    </a:stretch>
                  </pic:blipFill>
                  <pic:spPr>
                    <a:xfrm>
                      <a:off x="0" y="0"/>
                      <a:ext cx="265176" cy="134111"/>
                    </a:xfrm>
                    <a:prstGeom prst="rect">
                      <a:avLst/>
                    </a:prstGeom>
                  </pic:spPr>
                </pic:pic>
              </a:graphicData>
            </a:graphic>
          </wp:anchor>
        </w:drawing>
      </w:r>
      <w:r>
        <w:rPr>
          <w:rFonts w:ascii="Times New Roman" w:eastAsia="Times New Roman"/>
        </w:rPr>
        <w:t>1.1.1.10 </w:t>
      </w:r>
      <w:r>
        <w:rPr>
          <w:rFonts w:ascii="Times New Roman" w:eastAsia="Times New Roman"/>
          <w:spacing w:val="11"/>
        </w:rPr>
        <w:t> </w:t>
      </w:r>
      <w:r>
        <w:rPr>
          <w:spacing w:val="-3"/>
        </w:rPr>
        <w:t>其</w:t>
      </w:r>
      <w:r>
        <w:rPr/>
        <w:t>他</w:t>
      </w:r>
      <w:r>
        <w:rPr>
          <w:spacing w:val="-3"/>
        </w:rPr>
        <w:t>合</w:t>
      </w:r>
      <w:r>
        <w:rPr/>
        <w:t>同</w:t>
      </w:r>
      <w:r>
        <w:rPr>
          <w:spacing w:val="-3"/>
        </w:rPr>
        <w:t>文</w:t>
      </w:r>
      <w:r>
        <w:rPr/>
        <w:t>件</w:t>
      </w:r>
      <w:r>
        <w:rPr>
          <w:spacing w:val="-3"/>
        </w:rPr>
        <w:t>包</w:t>
      </w:r>
      <w:r>
        <w:rPr/>
        <w:t>括：</w:t>
      </w:r>
      <w:r>
        <w:rPr>
          <w:rFonts w:ascii="Times New Roman" w:eastAsia="Times New Roman"/>
          <w:u w:val="single"/>
        </w:rPr>
        <w:t> </w:t>
        <w:tab/>
      </w:r>
    </w:p>
    <w:p>
      <w:pPr>
        <w:pStyle w:val="BodyText"/>
        <w:tabs>
          <w:tab w:pos="8973" w:val="left" w:leader="none"/>
        </w:tabs>
        <w:spacing w:before="139"/>
      </w:pPr>
      <w:r>
        <w:rPr>
          <w:rFonts w:ascii="Times New Roman" w:eastAsia="Times New Roman"/>
          <w:w w:val="100"/>
          <w:u w:val="single"/>
        </w:rPr>
        <w:t> </w:t>
      </w:r>
      <w:r>
        <w:rPr>
          <w:rFonts w:ascii="Times New Roman" w:eastAsia="Times New Roman"/>
          <w:u w:val="single"/>
        </w:rPr>
        <w:tab/>
      </w:r>
      <w:r>
        <w:rPr/>
        <w:t>。</w:t>
      </w:r>
    </w:p>
    <w:p>
      <w:pPr>
        <w:pStyle w:val="ListParagraph"/>
        <w:numPr>
          <w:ilvl w:val="2"/>
          <w:numId w:val="70"/>
        </w:numPr>
        <w:tabs>
          <w:tab w:pos="1624" w:val="left" w:leader="none"/>
        </w:tabs>
        <w:spacing w:line="240" w:lineRule="auto" w:before="139" w:after="0"/>
        <w:ind w:left="1623" w:right="0" w:hanging="526"/>
        <w:jc w:val="left"/>
        <w:rPr>
          <w:sz w:val="21"/>
        </w:rPr>
      </w:pPr>
      <w:r>
        <w:rPr>
          <w:spacing w:val="-3"/>
          <w:sz w:val="21"/>
        </w:rPr>
        <w:t>合同当事人及其他相关方</w:t>
      </w:r>
    </w:p>
    <w:p>
      <w:pPr>
        <w:pStyle w:val="ListParagraph"/>
        <w:numPr>
          <w:ilvl w:val="3"/>
          <w:numId w:val="70"/>
        </w:numPr>
        <w:tabs>
          <w:tab w:pos="1782" w:val="left" w:leader="none"/>
        </w:tabs>
        <w:spacing w:line="240" w:lineRule="auto" w:before="139" w:after="0"/>
        <w:ind w:left="1782" w:right="0" w:hanging="684"/>
        <w:jc w:val="left"/>
        <w:rPr>
          <w:sz w:val="21"/>
        </w:rPr>
      </w:pPr>
      <w:bookmarkStart w:name="1.1.2.4 监理人：" w:id="285"/>
      <w:bookmarkEnd w:id="285"/>
      <w:r>
        <w:rPr/>
      </w:r>
      <w:bookmarkStart w:name="1.1.2.4 监理人：" w:id="286"/>
      <w:bookmarkEnd w:id="286"/>
      <w:r>
        <w:rPr>
          <w:spacing w:val="-3"/>
          <w:sz w:val="21"/>
        </w:rPr>
        <w:t>监理人：</w:t>
      </w:r>
    </w:p>
    <w:p>
      <w:pPr>
        <w:pStyle w:val="BodyText"/>
        <w:tabs>
          <w:tab w:pos="1729" w:val="left" w:leader="none"/>
          <w:tab w:pos="3409" w:val="left" w:leader="none"/>
          <w:tab w:pos="6770" w:val="left" w:leader="none"/>
          <w:tab w:pos="6825" w:val="left" w:leader="none"/>
          <w:tab w:pos="6878" w:val="left" w:leader="none"/>
        </w:tabs>
        <w:spacing w:line="364" w:lineRule="auto" w:before="141"/>
        <w:ind w:left="1098" w:right="3415"/>
      </w:pPr>
      <w:r>
        <w:rPr/>
        <w:pict>
          <v:group style="position:absolute;margin-left:163.460007pt;margin-top:8.429988pt;width:73.5pt;height:10.6pt;mso-position-horizontal-relative:page;mso-position-vertical-relative:paragraph;z-index:-266703872" coordorigin="3269,169" coordsize="1470,212">
            <v:shape style="position:absolute;left:3269;top:168;width:423;height:212" type="#_x0000_t75" stroked="false">
              <v:imagedata r:id="rId21" o:title=""/>
            </v:shape>
            <v:shape style="position:absolute;left:3480;top:168;width:418;height:212" type="#_x0000_t75" stroked="false">
              <v:imagedata r:id="rId20" o:title=""/>
            </v:shape>
            <v:shape style="position:absolute;left:3689;top:168;width:423;height:212" type="#_x0000_t75" stroked="false">
              <v:imagedata r:id="rId21" o:title=""/>
            </v:shape>
            <v:shape style="position:absolute;left:3901;top:168;width:418;height:212" type="#_x0000_t75" stroked="false">
              <v:imagedata r:id="rId20" o:title=""/>
            </v:shape>
            <v:shape style="position:absolute;left:4109;top:168;width:423;height:212" type="#_x0000_t75" stroked="false">
              <v:imagedata r:id="rId21" o:title=""/>
            </v:shape>
            <v:shape style="position:absolute;left:4321;top:168;width:418;height:212" type="#_x0000_t75" stroked="false">
              <v:imagedata r:id="rId20" o:title=""/>
            </v:shape>
            <w10:wrap type="none"/>
          </v:group>
        </w:pict>
      </w:r>
      <w:r>
        <w:rPr/>
        <w:pict>
          <v:group style="position:absolute;margin-left:331.630005pt;margin-top:8.429988pt;width:63.15pt;height:10.6pt;mso-position-horizontal-relative:page;mso-position-vertical-relative:paragraph;z-index:-266702848" coordorigin="6633,169" coordsize="1263,212">
            <v:shape style="position:absolute;left:6632;top:168;width:418;height:212" type="#_x0000_t75" stroked="false">
              <v:imagedata r:id="rId20" o:title=""/>
            </v:shape>
            <v:shape style="position:absolute;left:6841;top:168;width:423;height:212" type="#_x0000_t75" stroked="false">
              <v:imagedata r:id="rId21" o:title=""/>
            </v:shape>
            <v:shape style="position:absolute;left:7052;top:168;width:843;height:212" type="#_x0000_t75" stroked="false">
              <v:imagedata r:id="rId22" o:title=""/>
            </v:shape>
            <w10:wrap type="none"/>
          </v:group>
        </w:pict>
      </w:r>
      <w:r>
        <w:rPr/>
        <w:pict>
          <v:group style="position:absolute;margin-left:195.050003pt;margin-top:28.829988pt;width:94.45pt;height:10.6pt;mso-position-horizontal-relative:page;mso-position-vertical-relative:paragraph;z-index:-266701824" coordorigin="3901,577" coordsize="1889,212">
            <v:shape style="position:absolute;left:3901;top:576;width:418;height:212" type="#_x0000_t75" stroked="false">
              <v:imagedata r:id="rId20" o:title=""/>
            </v:shape>
            <v:shape style="position:absolute;left:4109;top:576;width:423;height:212" type="#_x0000_t75" stroked="false">
              <v:imagedata r:id="rId21" o:title=""/>
            </v:shape>
            <v:shape style="position:absolute;left:4321;top:576;width:418;height:212" type="#_x0000_t75" stroked="false">
              <v:imagedata r:id="rId20" o:title=""/>
            </v:shape>
            <v:shape style="position:absolute;left:4529;top:576;width:423;height:212" type="#_x0000_t75" stroked="false">
              <v:imagedata r:id="rId21" o:title=""/>
            </v:shape>
            <v:shape style="position:absolute;left:4741;top:576;width:423;height:212" type="#_x0000_t75" stroked="false">
              <v:imagedata r:id="rId21" o:title=""/>
            </v:shape>
            <v:shape style="position:absolute;left:4952;top:576;width:418;height:212" type="#_x0000_t75" stroked="false">
              <v:imagedata r:id="rId20" o:title=""/>
            </v:shape>
            <v:shape style="position:absolute;left:5161;top:576;width:423;height:212" type="#_x0000_t75" stroked="false">
              <v:imagedata r:id="rId21" o:title=""/>
            </v:shape>
            <v:shape style="position:absolute;left:5372;top:576;width:418;height:212" type="#_x0000_t75" stroked="false">
              <v:imagedata r:id="rId20" o:title=""/>
            </v:shape>
            <w10:wrap type="none"/>
          </v:group>
        </w:pict>
      </w:r>
      <w:r>
        <w:rPr/>
        <w:pict>
          <v:group style="position:absolute;margin-left:342.070007pt;margin-top:28.829988pt;width:65.8pt;height:10.6pt;mso-position-horizontal-relative:page;mso-position-vertical-relative:paragraph;z-index:-266700800" coordorigin="6841,577" coordsize="1316,212">
            <v:shape style="position:absolute;left:6841;top:576;width:423;height:212" type="#_x0000_t75" stroked="false">
              <v:imagedata r:id="rId21" o:title=""/>
            </v:shape>
            <v:shape style="position:absolute;left:7105;top:576;width:838;height:212" type="#_x0000_t75" stroked="false">
              <v:imagedata r:id="rId24" o:title=""/>
            </v:shape>
            <v:shape style="position:absolute;left:7734;top:576;width:423;height:212" type="#_x0000_t75" stroked="false">
              <v:imagedata r:id="rId21" o:title=""/>
            </v:shape>
            <w10:wrap type="none"/>
          </v:group>
        </w:pict>
      </w:r>
      <w:r>
        <w:rPr/>
        <w:pict>
          <v:group style="position:absolute;margin-left:163.460007pt;margin-top:49.249989pt;width:94.75pt;height:10.6pt;mso-position-horizontal-relative:page;mso-position-vertical-relative:paragraph;z-index:-266699776" coordorigin="3269,985" coordsize="1895,212">
            <v:shape style="position:absolute;left:3269;top:985;width:423;height:212" type="#_x0000_t75" stroked="false">
              <v:imagedata r:id="rId21" o:title=""/>
            </v:shape>
            <v:shape style="position:absolute;left:3480;top:985;width:418;height:212" type="#_x0000_t75" stroked="false">
              <v:imagedata r:id="rId20" o:title=""/>
            </v:shape>
            <v:shape style="position:absolute;left:3689;top:985;width:423;height:212" type="#_x0000_t75" stroked="false">
              <v:imagedata r:id="rId21" o:title=""/>
            </v:shape>
            <v:shape style="position:absolute;left:3901;top:985;width:418;height:212" type="#_x0000_t75" stroked="false">
              <v:imagedata r:id="rId20" o:title=""/>
            </v:shape>
            <v:shape style="position:absolute;left:4109;top:985;width:423;height:212" type="#_x0000_t75" stroked="false">
              <v:imagedata r:id="rId21" o:title=""/>
            </v:shape>
            <v:shape style="position:absolute;left:4321;top:985;width:418;height:212" type="#_x0000_t75" stroked="false">
              <v:imagedata r:id="rId20" o:title=""/>
            </v:shape>
            <v:shape style="position:absolute;left:4529;top:985;width:423;height:212" type="#_x0000_t75" stroked="false">
              <v:imagedata r:id="rId21" o:title=""/>
            </v:shape>
            <v:shape style="position:absolute;left:4741;top:985;width:423;height:212" type="#_x0000_t75" stroked="false">
              <v:imagedata r:id="rId21" o:title=""/>
            </v:shape>
            <w10:wrap type="none"/>
          </v:group>
        </w:pict>
      </w:r>
      <w:r>
        <w:rPr/>
        <w:pict>
          <v:group style="position:absolute;margin-left:268.609985pt;margin-top:49.249989pt;width:41.9pt;height:10.6pt;mso-position-horizontal-relative:page;mso-position-vertical-relative:paragraph;z-index:-266698752" coordorigin="5372,985" coordsize="838,212">
            <v:shape style="position:absolute;left:5372;top:985;width:418;height:212" type="#_x0000_t75" stroked="false">
              <v:imagedata r:id="rId20" o:title=""/>
            </v:shape>
            <v:shape style="position:absolute;left:5581;top:985;width:423;height:212" type="#_x0000_t75" stroked="false">
              <v:imagedata r:id="rId21" o:title=""/>
            </v:shape>
            <v:shape style="position:absolute;left:5792;top:985;width:418;height:212" type="#_x0000_t75" stroked="false">
              <v:imagedata r:id="rId20" o:title=""/>
            </v:shape>
            <w10:wrap type="none"/>
          </v:group>
        </w:pict>
      </w:r>
      <w:r>
        <w:rPr/>
        <w:pict>
          <v:group style="position:absolute;margin-left:363.070007pt;margin-top:49.249989pt;width:41.9pt;height:10.6pt;mso-position-horizontal-relative:page;mso-position-vertical-relative:paragraph;z-index:-266697728" coordorigin="7261,985" coordsize="838,212">
            <v:shape style="position:absolute;left:7261;top:985;width:418;height:212" type="#_x0000_t75" stroked="false">
              <v:imagedata r:id="rId20" o:title=""/>
            </v:shape>
            <v:shape style="position:absolute;left:7470;top:985;width:423;height:212" type="#_x0000_t75" stroked="false">
              <v:imagedata r:id="rId21" o:title=""/>
            </v:shape>
            <v:shape style="position:absolute;left:7681;top:985;width:418;height:212" type="#_x0000_t75" stroked="false">
              <v:imagedata r:id="rId20" o:title=""/>
            </v:shape>
            <w10:wrap type="none"/>
          </v:group>
        </w:pict>
      </w:r>
      <w:r>
        <w:rPr/>
        <w:pict>
          <v:group style="position:absolute;margin-left:163.460007pt;margin-top:69.649986pt;width:115.75pt;height:10.6pt;mso-position-horizontal-relative:page;mso-position-vertical-relative:paragraph;z-index:-266696704" coordorigin="3269,1393" coordsize="2315,212">
            <v:shape style="position:absolute;left:3269;top:1393;width:423;height:212" type="#_x0000_t75" stroked="false">
              <v:imagedata r:id="rId21" o:title=""/>
            </v:shape>
            <v:shape style="position:absolute;left:3480;top:1393;width:418;height:212" type="#_x0000_t75" stroked="false">
              <v:imagedata r:id="rId20" o:title=""/>
            </v:shape>
            <v:shape style="position:absolute;left:3689;top:1393;width:423;height:212" type="#_x0000_t75" stroked="false">
              <v:imagedata r:id="rId21" o:title=""/>
            </v:shape>
            <v:shape style="position:absolute;left:3901;top:1393;width:418;height:212" type="#_x0000_t75" stroked="false">
              <v:imagedata r:id="rId20" o:title=""/>
            </v:shape>
            <v:shape style="position:absolute;left:4109;top:1393;width:423;height:212" type="#_x0000_t75" stroked="false">
              <v:imagedata r:id="rId21" o:title=""/>
            </v:shape>
            <v:shape style="position:absolute;left:4321;top:1393;width:418;height:212" type="#_x0000_t75" stroked="false">
              <v:imagedata r:id="rId20" o:title=""/>
            </v:shape>
            <v:shape style="position:absolute;left:4529;top:1393;width:423;height:212" type="#_x0000_t75" stroked="false">
              <v:imagedata r:id="rId21" o:title=""/>
            </v:shape>
            <v:shape style="position:absolute;left:4741;top:1393;width:423;height:212" type="#_x0000_t75" stroked="false">
              <v:imagedata r:id="rId21" o:title=""/>
            </v:shape>
            <v:shape style="position:absolute;left:4952;top:1393;width:418;height:212" type="#_x0000_t75" stroked="false">
              <v:imagedata r:id="rId20" o:title=""/>
            </v:shape>
            <v:shape style="position:absolute;left:5161;top:1393;width:423;height:212" type="#_x0000_t75" stroked="false">
              <v:imagedata r:id="rId21" o:title=""/>
            </v:shape>
            <w10:wrap type="none"/>
          </v:group>
        </w:pict>
      </w:r>
      <w:r>
        <w:rPr/>
        <w:pict>
          <v:group style="position:absolute;margin-left:352.51001pt;margin-top:69.649986pt;width:52.45pt;height:10.6pt;mso-position-horizontal-relative:page;mso-position-vertical-relative:paragraph;z-index:-266695680" coordorigin="7050,1393" coordsize="1049,212">
            <v:shape style="position:absolute;left:7050;top:1393;width:423;height:212" type="#_x0000_t75" stroked="false">
              <v:imagedata r:id="rId21" o:title=""/>
            </v:shape>
            <v:shape style="position:absolute;left:7261;top:1393;width:418;height:212" type="#_x0000_t75" stroked="false">
              <v:imagedata r:id="rId20" o:title=""/>
            </v:shape>
            <v:shape style="position:absolute;left:7470;top:1393;width:423;height:212" type="#_x0000_t75" stroked="false">
              <v:imagedata r:id="rId21" o:title=""/>
            </v:shape>
            <v:shape style="position:absolute;left:7681;top:1393;width:418;height:212" type="#_x0000_t75" stroked="false">
              <v:imagedata r:id="rId20" o:title=""/>
            </v:shape>
            <w10:wrap type="none"/>
          </v:group>
        </w:pict>
      </w:r>
      <w:r>
        <w:rPr/>
        <w:pict>
          <v:group style="position:absolute;margin-left:163.460007pt;margin-top:90.049988pt;width:63.15pt;height:10.6pt;mso-position-horizontal-relative:page;mso-position-vertical-relative:paragraph;z-index:-266694656" coordorigin="3269,1801" coordsize="1263,212">
            <v:shape style="position:absolute;left:3269;top:1801;width:423;height:212" type="#_x0000_t75" stroked="false">
              <v:imagedata r:id="rId21" o:title=""/>
            </v:shape>
            <v:shape style="position:absolute;left:3480;top:1801;width:418;height:212" type="#_x0000_t75" stroked="false">
              <v:imagedata r:id="rId20" o:title=""/>
            </v:shape>
            <v:shape style="position:absolute;left:3689;top:1801;width:423;height:212" type="#_x0000_t75" stroked="false">
              <v:imagedata r:id="rId21" o:title=""/>
            </v:shape>
            <v:shape style="position:absolute;left:3901;top:1801;width:418;height:212" type="#_x0000_t75" stroked="false">
              <v:imagedata r:id="rId20" o:title=""/>
            </v:shape>
            <v:shape style="position:absolute;left:4109;top:1801;width:423;height:212" type="#_x0000_t75" stroked="false">
              <v:imagedata r:id="rId21" o:title=""/>
            </v:shape>
            <w10:wrap type="none"/>
          </v:group>
        </w:pict>
      </w:r>
      <w:r>
        <w:rPr/>
        <w:pict>
          <v:group style="position:absolute;margin-left:236.929993pt;margin-top:90.049988pt;width:63.15pt;height:10.6pt;mso-position-horizontal-relative:page;mso-position-vertical-relative:paragraph;z-index:-266693632" coordorigin="4739,1801" coordsize="1263,212">
            <v:shape style="position:absolute;left:4738;top:1801;width:423;height:212" type="#_x0000_t75" stroked="false">
              <v:imagedata r:id="rId21" o:title=""/>
            </v:shape>
            <v:shape style="position:absolute;left:4949;top:1801;width:418;height:212" type="#_x0000_t75" stroked="false">
              <v:imagedata r:id="rId20" o:title=""/>
            </v:shape>
            <v:shape style="position:absolute;left:5158;top:1801;width:423;height:212" type="#_x0000_t75" stroked="false">
              <v:imagedata r:id="rId21" o:title=""/>
            </v:shape>
            <v:shape style="position:absolute;left:5369;top:1801;width:418;height:212" type="#_x0000_t75" stroked="false">
              <v:imagedata r:id="rId20" o:title=""/>
            </v:shape>
            <v:shape style="position:absolute;left:5578;top:1801;width:423;height:212" type="#_x0000_t75" stroked="false">
              <v:imagedata r:id="rId21" o:title=""/>
            </v:shape>
            <w10:wrap type="none"/>
          </v:group>
        </w:pict>
      </w:r>
      <w:r>
        <w:rPr/>
        <w:pict>
          <v:group style="position:absolute;margin-left:352.390015pt;margin-top:90.049988pt;width:52.7pt;height:10.6pt;mso-position-horizontal-relative:page;mso-position-vertical-relative:paragraph;z-index:-266692608" coordorigin="7048,1801" coordsize="1054,212">
            <v:shape style="position:absolute;left:7047;top:1801;width:423;height:212" type="#_x0000_t75" stroked="false">
              <v:imagedata r:id="rId21" o:title=""/>
            </v:shape>
            <v:shape style="position:absolute;left:7259;top:1801;width:423;height:212" type="#_x0000_t75" stroked="false">
              <v:imagedata r:id="rId21" o:title=""/>
            </v:shape>
            <v:shape style="position:absolute;left:7470;top:1801;width:418;height:212" type="#_x0000_t75" stroked="false">
              <v:imagedata r:id="rId20" o:title=""/>
            </v:shape>
            <v:shape style="position:absolute;left:7679;top:1801;width:423;height:212" type="#_x0000_t75" stroked="false">
              <v:imagedata r:id="rId21" o:title=""/>
            </v:shape>
            <w10:wrap type="none"/>
          </v:group>
        </w:pict>
      </w:r>
      <w:r>
        <w:rPr/>
        <w:t>名</w:t>
        <w:tab/>
        <w:t>称</w:t>
      </w:r>
      <w:r>
        <w:rPr>
          <w:spacing w:val="-3"/>
        </w:rPr>
        <w:t>：</w:t>
      </w:r>
      <w:r>
        <w:rPr>
          <w:spacing w:val="-3"/>
          <w:u w:val="single"/>
        </w:rPr>
        <w:t> </w:t>
        <w:tab/>
      </w:r>
      <w:r>
        <w:rPr>
          <w:u w:val="single"/>
        </w:rPr>
        <w:t>详见</w:t>
      </w:r>
      <w:r>
        <w:rPr>
          <w:spacing w:val="-3"/>
          <w:u w:val="single"/>
        </w:rPr>
        <w:t>监</w:t>
      </w:r>
      <w:r>
        <w:rPr>
          <w:u w:val="single"/>
        </w:rPr>
        <w:t>理</w:t>
      </w:r>
      <w:r>
        <w:rPr>
          <w:spacing w:val="-3"/>
          <w:u w:val="single"/>
        </w:rPr>
        <w:t>合</w:t>
      </w:r>
      <w:r>
        <w:rPr>
          <w:u w:val="single"/>
        </w:rPr>
        <w:t>同</w:t>
        <w:tab/>
        <w:tab/>
        <w:tab/>
      </w:r>
      <w:r>
        <w:rPr>
          <w:spacing w:val="-18"/>
        </w:rPr>
        <w:t>； </w:t>
      </w:r>
      <w:r>
        <w:rPr/>
        <w:t>资质</w:t>
      </w:r>
      <w:r>
        <w:rPr>
          <w:spacing w:val="-3"/>
        </w:rPr>
        <w:t>类</w:t>
      </w:r>
      <w:r>
        <w:rPr/>
        <w:t>别</w:t>
      </w:r>
      <w:r>
        <w:rPr>
          <w:spacing w:val="-3"/>
        </w:rPr>
        <w:t>和</w:t>
      </w:r>
      <w:r>
        <w:rPr/>
        <w:t>等</w:t>
      </w:r>
      <w:r>
        <w:rPr>
          <w:spacing w:val="-3"/>
        </w:rPr>
        <w:t>级</w:t>
      </w:r>
      <w:r>
        <w:rPr/>
        <w:t>：</w:t>
      </w:r>
      <w:r>
        <w:rPr>
          <w:u w:val="single"/>
        </w:rPr>
        <w:t> </w:t>
        <w:tab/>
        <w:tab/>
        <w:tab/>
      </w:r>
      <w:r>
        <w:rPr/>
        <w:t>； 联系</w:t>
      </w:r>
      <w:r>
        <w:rPr>
          <w:spacing w:val="-3"/>
        </w:rPr>
        <w:t>电</w:t>
      </w:r>
      <w:r>
        <w:rPr/>
        <w:t>话</w:t>
      </w:r>
      <w:r>
        <w:rPr>
          <w:spacing w:val="-3"/>
        </w:rPr>
        <w:t>：</w:t>
      </w:r>
      <w:r>
        <w:rPr>
          <w:spacing w:val="-3"/>
          <w:u w:val="single"/>
        </w:rPr>
        <w:t> </w:t>
        <w:tab/>
        <w:tab/>
      </w:r>
      <w:r>
        <w:rPr/>
        <w:t>； 电子</w:t>
      </w:r>
      <w:r>
        <w:rPr>
          <w:spacing w:val="-3"/>
        </w:rPr>
        <w:t>信</w:t>
      </w:r>
      <w:r>
        <w:rPr/>
        <w:t>箱</w:t>
      </w:r>
      <w:r>
        <w:rPr>
          <w:spacing w:val="-3"/>
        </w:rPr>
        <w:t>：</w:t>
      </w:r>
      <w:r>
        <w:rPr>
          <w:spacing w:val="-3"/>
          <w:u w:val="single"/>
        </w:rPr>
        <w:t> </w:t>
        <w:tab/>
        <w:tab/>
      </w:r>
      <w:r>
        <w:rPr/>
        <w:t>； 通信</w:t>
      </w:r>
      <w:r>
        <w:rPr>
          <w:spacing w:val="-3"/>
        </w:rPr>
        <w:t>地</w:t>
      </w:r>
      <w:r>
        <w:rPr/>
        <w:t>址</w:t>
      </w:r>
      <w:r>
        <w:rPr>
          <w:spacing w:val="-3"/>
        </w:rPr>
        <w:t>：</w:t>
      </w:r>
      <w:r>
        <w:rPr>
          <w:spacing w:val="-3"/>
          <w:u w:val="single"/>
        </w:rPr>
        <w:t> </w:t>
        <w:tab/>
        <w:tab/>
      </w:r>
      <w:r>
        <w:rPr/>
        <w:t>。</w:t>
      </w:r>
    </w:p>
    <w:p>
      <w:pPr>
        <w:pStyle w:val="ListParagraph"/>
        <w:numPr>
          <w:ilvl w:val="3"/>
          <w:numId w:val="70"/>
        </w:numPr>
        <w:tabs>
          <w:tab w:pos="1782" w:val="left" w:leader="none"/>
        </w:tabs>
        <w:spacing w:line="267" w:lineRule="exact" w:before="0" w:after="0"/>
        <w:ind w:left="1782" w:right="0" w:hanging="684"/>
        <w:jc w:val="left"/>
        <w:rPr>
          <w:sz w:val="21"/>
        </w:rPr>
      </w:pPr>
      <w:bookmarkStart w:name="1.1.2.5 设计人：" w:id="287"/>
      <w:bookmarkEnd w:id="287"/>
      <w:r>
        <w:rPr/>
      </w:r>
      <w:bookmarkStart w:name="1.1.2.5 设计人：" w:id="288"/>
      <w:bookmarkEnd w:id="288"/>
      <w:r>
        <w:rPr>
          <w:spacing w:val="-3"/>
          <w:sz w:val="21"/>
        </w:rPr>
        <w:t>设计人：</w:t>
      </w:r>
    </w:p>
    <w:p>
      <w:pPr>
        <w:pStyle w:val="BodyText"/>
        <w:spacing w:before="139"/>
        <w:ind w:left="1098"/>
        <w:jc w:val="both"/>
      </w:pPr>
      <w:r>
        <w:rPr/>
        <w:t>名 称：</w:t>
      </w:r>
      <w:r>
        <w:rPr>
          <w:u w:val="single"/>
        </w:rPr>
        <w:t>北京汉通建筑规划设计有限公司</w:t>
      </w:r>
      <w:r>
        <w:rPr/>
        <w:t>；</w:t>
      </w:r>
    </w:p>
    <w:p>
      <w:pPr>
        <w:pStyle w:val="BodyText"/>
        <w:tabs>
          <w:tab w:pos="2780" w:val="left" w:leader="none"/>
          <w:tab w:pos="6770" w:val="left" w:leader="none"/>
          <w:tab w:pos="6822" w:val="left" w:leader="none"/>
        </w:tabs>
        <w:spacing w:line="364" w:lineRule="auto" w:before="139"/>
        <w:ind w:left="1098" w:right="3467"/>
        <w:jc w:val="both"/>
      </w:pPr>
      <w:r>
        <w:rPr/>
        <w:pict>
          <v:group style="position:absolute;margin-left:195.050003pt;margin-top:8.329986pt;width:73.45pt;height:10.6pt;mso-position-horizontal-relative:page;mso-position-vertical-relative:paragraph;z-index:-266691584" coordorigin="3901,167" coordsize="1469,212">
            <v:shape style="position:absolute;left:3901;top:166;width:418;height:212" type="#_x0000_t75" stroked="false">
              <v:imagedata r:id="rId20" o:title=""/>
            </v:shape>
            <v:shape style="position:absolute;left:4109;top:166;width:423;height:212" type="#_x0000_t75" stroked="false">
              <v:imagedata r:id="rId21" o:title=""/>
            </v:shape>
            <v:shape style="position:absolute;left:4321;top:166;width:418;height:212" type="#_x0000_t75" stroked="false">
              <v:imagedata r:id="rId20" o:title=""/>
            </v:shape>
            <v:shape style="position:absolute;left:4529;top:166;width:423;height:212" type="#_x0000_t75" stroked="false">
              <v:imagedata r:id="rId21" o:title=""/>
            </v:shape>
            <v:shape style="position:absolute;left:4741;top:166;width:423;height:212" type="#_x0000_t75" stroked="false">
              <v:imagedata r:id="rId21" o:title=""/>
            </v:shape>
            <v:shape style="position:absolute;left:4952;top:166;width:418;height:212" type="#_x0000_t75" stroked="false">
              <v:imagedata r:id="rId20" o:title=""/>
            </v:shape>
            <w10:wrap type="none"/>
          </v:group>
        </w:pict>
      </w:r>
      <w:r>
        <w:rPr/>
        <w:pict>
          <v:group style="position:absolute;margin-left:321.070007pt;margin-top:8.329986pt;width:86.8pt;height:10.6pt;mso-position-horizontal-relative:page;mso-position-vertical-relative:paragraph;z-index:-266690560" coordorigin="6421,167" coordsize="1736,212">
            <v:shape style="position:absolute;left:6421;top:166;width:423;height:212" type="#_x0000_t75" stroked="false">
              <v:imagedata r:id="rId21" o:title=""/>
            </v:shape>
            <v:shape style="position:absolute;left:6632;top:166;width:418;height:212" type="#_x0000_t75" stroked="false">
              <v:imagedata r:id="rId20" o:title=""/>
            </v:shape>
            <v:shape style="position:absolute;left:6841;top:166;width:423;height:212" type="#_x0000_t75" stroked="false">
              <v:imagedata r:id="rId21" o:title=""/>
            </v:shape>
            <v:shape style="position:absolute;left:7052;top:166;width:843;height:212" type="#_x0000_t75" stroked="false">
              <v:imagedata r:id="rId22" o:title=""/>
            </v:shape>
            <v:shape style="position:absolute;left:7734;top:166;width:423;height:212" type="#_x0000_t75" stroked="false">
              <v:imagedata r:id="rId21" o:title=""/>
            </v:shape>
            <w10:wrap type="none"/>
          </v:group>
        </w:pict>
      </w:r>
      <w:r>
        <w:rPr/>
        <w:pict>
          <v:group style="position:absolute;margin-left:163.460007pt;margin-top:28.729986pt;width:42.15pt;height:10.6pt;mso-position-horizontal-relative:page;mso-position-vertical-relative:paragraph;z-index:-266689536" coordorigin="3269,575" coordsize="843,212">
            <v:shape style="position:absolute;left:3269;top:574;width:423;height:212" type="#_x0000_t75" stroked="false">
              <v:imagedata r:id="rId21" o:title=""/>
            </v:shape>
            <v:shape style="position:absolute;left:3480;top:574;width:418;height:212" type="#_x0000_t75" stroked="false">
              <v:imagedata r:id="rId20" o:title=""/>
            </v:shape>
            <v:shape style="position:absolute;left:3689;top:574;width:423;height:212" type="#_x0000_t75" stroked="false">
              <v:imagedata r:id="rId21" o:title=""/>
            </v:shape>
            <w10:wrap type="none"/>
          </v:group>
        </w:pict>
      </w:r>
      <w:r>
        <w:rPr/>
        <w:pict>
          <v:group style="position:absolute;margin-left:216.050003pt;margin-top:28.729986pt;width:31.6pt;height:10.6pt;mso-position-horizontal-relative:page;mso-position-vertical-relative:paragraph;z-index:-266688512" coordorigin="4321,575" coordsize="632,212">
            <v:shape style="position:absolute;left:4321;top:574;width:418;height:212" type="#_x0000_t75" stroked="false">
              <v:imagedata r:id="rId20" o:title=""/>
            </v:shape>
            <v:shape style="position:absolute;left:4529;top:574;width:423;height:212" type="#_x0000_t75" stroked="false">
              <v:imagedata r:id="rId21" o:title=""/>
            </v:shape>
            <w10:wrap type="none"/>
          </v:group>
        </w:pict>
      </w:r>
      <w:r>
        <w:rPr/>
        <w:pict>
          <v:group style="position:absolute;margin-left:294.769989pt;margin-top:28.729986pt;width:31.7pt;height:10.6pt;mso-position-horizontal-relative:page;mso-position-vertical-relative:paragraph;z-index:-266687488" coordorigin="5895,575" coordsize="634,212">
            <v:shape style="position:absolute;left:5895;top:574;width:423;height:212" type="#_x0000_t75" stroked="false">
              <v:imagedata r:id="rId21" o:title=""/>
            </v:shape>
            <v:shape style="position:absolute;left:6106;top:574;width:423;height:212" type="#_x0000_t75" stroked="false">
              <v:imagedata r:id="rId21" o:title=""/>
            </v:shape>
            <w10:wrap type="none"/>
          </v:group>
        </w:pict>
      </w:r>
      <w:r>
        <w:rPr/>
        <w:pict>
          <v:group style="position:absolute;margin-left:373.51001pt;margin-top:28.729986pt;width:34.1pt;height:10.6pt;mso-position-horizontal-relative:page;mso-position-vertical-relative:paragraph;z-index:-266686464" coordorigin="7470,575" coordsize="682,212">
            <v:shape style="position:absolute;left:7470;top:574;width:423;height:212" type="#_x0000_t75" stroked="false">
              <v:imagedata r:id="rId21" o:title=""/>
            </v:shape>
            <v:shape style="position:absolute;left:7734;top:574;width:418;height:212" type="#_x0000_t75" stroked="false">
              <v:imagedata r:id="rId20" o:title=""/>
            </v:shape>
            <w10:wrap type="none"/>
          </v:group>
        </w:pict>
      </w:r>
      <w:r>
        <w:rPr/>
        <w:pict>
          <v:group style="position:absolute;margin-left:163.460007pt;margin-top:49.129986pt;width:115.75pt;height:10.6pt;mso-position-horizontal-relative:page;mso-position-vertical-relative:paragraph;z-index:-266685440" coordorigin="3269,983" coordsize="2315,212">
            <v:shape style="position:absolute;left:3269;top:982;width:423;height:212" type="#_x0000_t75" stroked="false">
              <v:imagedata r:id="rId21" o:title=""/>
            </v:shape>
            <v:shape style="position:absolute;left:3480;top:982;width:418;height:212" type="#_x0000_t75" stroked="false">
              <v:imagedata r:id="rId20" o:title=""/>
            </v:shape>
            <v:shape style="position:absolute;left:3689;top:982;width:423;height:212" type="#_x0000_t75" stroked="false">
              <v:imagedata r:id="rId21" o:title=""/>
            </v:shape>
            <v:shape style="position:absolute;left:3901;top:982;width:418;height:212" type="#_x0000_t75" stroked="false">
              <v:imagedata r:id="rId20" o:title=""/>
            </v:shape>
            <v:shape style="position:absolute;left:4109;top:982;width:423;height:212" type="#_x0000_t75" stroked="false">
              <v:imagedata r:id="rId21" o:title=""/>
            </v:shape>
            <v:shape style="position:absolute;left:4321;top:982;width:418;height:212" type="#_x0000_t75" stroked="false">
              <v:imagedata r:id="rId20" o:title=""/>
            </v:shape>
            <v:shape style="position:absolute;left:4529;top:982;width:423;height:212" type="#_x0000_t75" stroked="false">
              <v:imagedata r:id="rId21" o:title=""/>
            </v:shape>
            <v:shape style="position:absolute;left:4741;top:982;width:423;height:212" type="#_x0000_t75" stroked="false">
              <v:imagedata r:id="rId21" o:title=""/>
            </v:shape>
            <v:shape style="position:absolute;left:4952;top:982;width:418;height:212" type="#_x0000_t75" stroked="false">
              <v:imagedata r:id="rId20" o:title=""/>
            </v:shape>
            <v:shape style="position:absolute;left:5161;top:982;width:423;height:212" type="#_x0000_t75" stroked="false">
              <v:imagedata r:id="rId21" o:title=""/>
            </v:shape>
            <w10:wrap type="none"/>
          </v:group>
        </w:pict>
      </w:r>
      <w:r>
        <w:rPr/>
        <w:drawing>
          <wp:anchor distT="0" distB="0" distL="0" distR="0" allowOverlap="1" layoutInCell="1" locked="0" behindDoc="1" simplePos="0" relativeHeight="236632064">
            <wp:simplePos x="0" y="0"/>
            <wp:positionH relativeFrom="page">
              <wp:posOffset>3678046</wp:posOffset>
            </wp:positionH>
            <wp:positionV relativeFrom="paragraph">
              <wp:posOffset>623950</wp:posOffset>
            </wp:positionV>
            <wp:extent cx="265175" cy="134112"/>
            <wp:effectExtent l="0" t="0" r="0" b="0"/>
            <wp:wrapNone/>
            <wp:docPr id="31" name="image2.png"/>
            <wp:cNvGraphicFramePr>
              <a:graphicFrameLocks noChangeAspect="1"/>
            </wp:cNvGraphicFramePr>
            <a:graphic>
              <a:graphicData uri="http://schemas.openxmlformats.org/drawingml/2006/picture">
                <pic:pic>
                  <pic:nvPicPr>
                    <pic:cNvPr id="32" name="image2.png"/>
                    <pic:cNvPicPr/>
                  </pic:nvPicPr>
                  <pic:blipFill>
                    <a:blip r:embed="rId20" cstate="print"/>
                    <a:stretch>
                      <a:fillRect/>
                    </a:stretch>
                  </pic:blipFill>
                  <pic:spPr>
                    <a:xfrm>
                      <a:off x="0" y="0"/>
                      <a:ext cx="265175" cy="134112"/>
                    </a:xfrm>
                    <a:prstGeom prst="rect">
                      <a:avLst/>
                    </a:prstGeom>
                  </pic:spPr>
                </pic:pic>
              </a:graphicData>
            </a:graphic>
          </wp:anchor>
        </w:drawing>
      </w:r>
      <w:r>
        <w:rPr/>
        <w:drawing>
          <wp:anchor distT="0" distB="0" distL="0" distR="0" allowOverlap="1" layoutInCell="1" locked="0" behindDoc="1" simplePos="0" relativeHeight="236633088">
            <wp:simplePos x="0" y="0"/>
            <wp:positionH relativeFrom="page">
              <wp:posOffset>4743577</wp:posOffset>
            </wp:positionH>
            <wp:positionV relativeFrom="paragraph">
              <wp:posOffset>623950</wp:posOffset>
            </wp:positionV>
            <wp:extent cx="268224" cy="134112"/>
            <wp:effectExtent l="0" t="0" r="0" b="0"/>
            <wp:wrapNone/>
            <wp:docPr id="33" name="image3.png"/>
            <wp:cNvGraphicFramePr>
              <a:graphicFrameLocks noChangeAspect="1"/>
            </wp:cNvGraphicFramePr>
            <a:graphic>
              <a:graphicData uri="http://schemas.openxmlformats.org/drawingml/2006/picture">
                <pic:pic>
                  <pic:nvPicPr>
                    <pic:cNvPr id="34" name="image3.png"/>
                    <pic:cNvPicPr/>
                  </pic:nvPicPr>
                  <pic:blipFill>
                    <a:blip r:embed="rId21" cstate="print"/>
                    <a:stretch>
                      <a:fillRect/>
                    </a:stretch>
                  </pic:blipFill>
                  <pic:spPr>
                    <a:xfrm>
                      <a:off x="0" y="0"/>
                      <a:ext cx="268224" cy="134112"/>
                    </a:xfrm>
                    <a:prstGeom prst="rect">
                      <a:avLst/>
                    </a:prstGeom>
                  </pic:spPr>
                </pic:pic>
              </a:graphicData>
            </a:graphic>
          </wp:anchor>
        </w:drawing>
      </w:r>
      <w:r>
        <w:rPr/>
        <w:pict>
          <v:group style="position:absolute;margin-left:163.460007pt;margin-top:69.679985pt;width:63.15pt;height:10.6pt;mso-position-horizontal-relative:page;mso-position-vertical-relative:paragraph;z-index:-266682368" coordorigin="3269,1394" coordsize="1263,212">
            <v:shape style="position:absolute;left:3269;top:1393;width:423;height:212" type="#_x0000_t75" stroked="false">
              <v:imagedata r:id="rId21" o:title=""/>
            </v:shape>
            <v:shape style="position:absolute;left:3480;top:1393;width:418;height:212" type="#_x0000_t75" stroked="false">
              <v:imagedata r:id="rId20" o:title=""/>
            </v:shape>
            <v:shape style="position:absolute;left:3689;top:1393;width:423;height:212" type="#_x0000_t75" stroked="false">
              <v:imagedata r:id="rId21" o:title=""/>
            </v:shape>
            <v:shape style="position:absolute;left:3901;top:1393;width:418;height:212" type="#_x0000_t75" stroked="false">
              <v:imagedata r:id="rId20" o:title=""/>
            </v:shape>
            <v:shape style="position:absolute;left:4109;top:1393;width:423;height:212" type="#_x0000_t75" stroked="false">
              <v:imagedata r:id="rId21" o:title=""/>
            </v:shape>
            <w10:wrap type="none"/>
          </v:group>
        </w:pict>
      </w:r>
      <w:r>
        <w:rPr/>
        <w:pict>
          <v:group style="position:absolute;margin-left:236.929993pt;margin-top:69.679985pt;width:84.15pt;height:10.6pt;mso-position-horizontal-relative:page;mso-position-vertical-relative:paragraph;z-index:-266681344" coordorigin="4739,1394" coordsize="1683,212">
            <v:shape style="position:absolute;left:4738;top:1393;width:423;height:212" type="#_x0000_t75" stroked="false">
              <v:imagedata r:id="rId21" o:title=""/>
            </v:shape>
            <v:shape style="position:absolute;left:4949;top:1393;width:418;height:212" type="#_x0000_t75" stroked="false">
              <v:imagedata r:id="rId20" o:title=""/>
            </v:shape>
            <v:shape style="position:absolute;left:5158;top:1393;width:423;height:212" type="#_x0000_t75" stroked="false">
              <v:imagedata r:id="rId21" o:title=""/>
            </v:shape>
            <v:shape style="position:absolute;left:5369;top:1393;width:418;height:212" type="#_x0000_t75" stroked="false">
              <v:imagedata r:id="rId20" o:title=""/>
            </v:shape>
            <v:shape style="position:absolute;left:5578;top:1393;width:423;height:212" type="#_x0000_t75" stroked="false">
              <v:imagedata r:id="rId21" o:title=""/>
            </v:shape>
            <v:shape style="position:absolute;left:5789;top:1393;width:418;height:212" type="#_x0000_t75" stroked="false">
              <v:imagedata r:id="rId20" o:title=""/>
            </v:shape>
            <v:shape style="position:absolute;left:5998;top:1393;width:423;height:212" type="#_x0000_t75" stroked="false">
              <v:imagedata r:id="rId21" o:title=""/>
            </v:shape>
            <w10:wrap type="none"/>
          </v:group>
        </w:pict>
      </w:r>
      <w:r>
        <w:rPr/>
        <w:pict>
          <v:group style="position:absolute;margin-left:373.51001pt;margin-top:69.679985pt;width:31.6pt;height:10.6pt;mso-position-horizontal-relative:page;mso-position-vertical-relative:paragraph;z-index:-266680320" coordorigin="7470,1394" coordsize="632,212">
            <v:shape style="position:absolute;left:7470;top:1393;width:418;height:212" type="#_x0000_t75" stroked="false">
              <v:imagedata r:id="rId20" o:title=""/>
            </v:shape>
            <v:shape style="position:absolute;left:7679;top:1393;width:423;height:212" type="#_x0000_t75" stroked="false">
              <v:imagedata r:id="rId21" o:title=""/>
            </v:shape>
            <w10:wrap type="none"/>
          </v:group>
        </w:pict>
      </w:r>
      <w:r>
        <w:rPr/>
        <w:t>资质</w:t>
      </w:r>
      <w:r>
        <w:rPr>
          <w:spacing w:val="-3"/>
        </w:rPr>
        <w:t>类</w:t>
      </w:r>
      <w:r>
        <w:rPr/>
        <w:t>别</w:t>
      </w:r>
      <w:r>
        <w:rPr>
          <w:spacing w:val="-3"/>
        </w:rPr>
        <w:t>和</w:t>
      </w:r>
      <w:r>
        <w:rPr/>
        <w:t>等</w:t>
      </w:r>
      <w:r>
        <w:rPr>
          <w:spacing w:val="-3"/>
        </w:rPr>
        <w:t>级</w:t>
      </w:r>
      <w:r>
        <w:rPr/>
        <w:t>：</w:t>
      </w:r>
      <w:r>
        <w:rPr>
          <w:u w:val="single"/>
        </w:rPr>
        <w:t> </w:t>
        <w:tab/>
        <w:tab/>
      </w:r>
      <w:r>
        <w:rPr>
          <w:spacing w:val="-17"/>
        </w:rPr>
        <w:t>； </w:t>
      </w:r>
      <w:r>
        <w:rPr/>
        <w:t>联系</w:t>
      </w:r>
      <w:r>
        <w:rPr>
          <w:spacing w:val="-3"/>
        </w:rPr>
        <w:t>电</w:t>
      </w:r>
      <w:r>
        <w:rPr/>
        <w:t>话</w:t>
      </w:r>
      <w:r>
        <w:rPr>
          <w:spacing w:val="-3"/>
        </w:rPr>
        <w:t>：</w:t>
      </w:r>
      <w:r>
        <w:rPr>
          <w:spacing w:val="-3"/>
          <w:u w:val="single"/>
        </w:rPr>
        <w:t> </w:t>
        <w:tab/>
        <w:t>周</w:t>
      </w:r>
      <w:r>
        <w:rPr>
          <w:u w:val="single"/>
        </w:rPr>
        <w:t>工   </w:t>
      </w:r>
      <w:r>
        <w:rPr>
          <w:spacing w:val="2"/>
          <w:u w:val="single"/>
        </w:rPr>
        <w:t> </w:t>
      </w:r>
      <w:r>
        <w:rPr>
          <w:rFonts w:ascii="Times New Roman" w:eastAsia="Times New Roman"/>
          <w:u w:val="single"/>
        </w:rPr>
        <w:t>13737013377</w:t>
        <w:tab/>
        <w:tab/>
      </w:r>
      <w:r>
        <w:rPr>
          <w:spacing w:val="-14"/>
        </w:rPr>
        <w:t>； </w:t>
      </w:r>
      <w:r>
        <w:rPr/>
        <w:t>电子</w:t>
      </w:r>
      <w:r>
        <w:rPr>
          <w:spacing w:val="-3"/>
        </w:rPr>
        <w:t>信</w:t>
      </w:r>
      <w:r>
        <w:rPr/>
        <w:t>箱</w:t>
      </w:r>
      <w:r>
        <w:rPr>
          <w:spacing w:val="-3"/>
        </w:rPr>
        <w:t>：</w:t>
      </w:r>
      <w:r>
        <w:rPr>
          <w:spacing w:val="-3"/>
          <w:u w:val="single"/>
        </w:rPr>
        <w:t> </w:t>
        <w:tab/>
        <w:tab/>
      </w:r>
      <w:r>
        <w:rPr/>
        <w:t>； 通信</w:t>
      </w:r>
      <w:r>
        <w:rPr>
          <w:spacing w:val="-3"/>
        </w:rPr>
        <w:t>地</w:t>
      </w:r>
      <w:r>
        <w:rPr/>
        <w:t>址</w:t>
      </w:r>
      <w:r>
        <w:rPr>
          <w:spacing w:val="-3"/>
        </w:rPr>
        <w:t>：</w:t>
      </w:r>
      <w:r>
        <w:rPr>
          <w:spacing w:val="-3"/>
          <w:u w:val="single"/>
        </w:rPr>
        <w:t> </w:t>
        <w:tab/>
        <w:tab/>
      </w:r>
      <w:r>
        <w:rPr/>
        <w:t>。</w:t>
      </w:r>
    </w:p>
    <w:p>
      <w:pPr>
        <w:pStyle w:val="ListParagraph"/>
        <w:numPr>
          <w:ilvl w:val="2"/>
          <w:numId w:val="70"/>
        </w:numPr>
        <w:tabs>
          <w:tab w:pos="1624" w:val="left" w:leader="none"/>
        </w:tabs>
        <w:spacing w:line="268" w:lineRule="exact" w:before="0" w:after="0"/>
        <w:ind w:left="1623" w:right="0" w:hanging="526"/>
        <w:jc w:val="left"/>
        <w:rPr>
          <w:sz w:val="21"/>
        </w:rPr>
      </w:pPr>
      <w:r>
        <w:rPr>
          <w:spacing w:val="-3"/>
          <w:sz w:val="21"/>
        </w:rPr>
        <w:t>工程和设备</w:t>
      </w:r>
    </w:p>
    <w:p>
      <w:pPr>
        <w:pStyle w:val="BodyText"/>
        <w:spacing w:before="139"/>
        <w:ind w:left="1098"/>
      </w:pPr>
      <w:bookmarkStart w:name="1.1.3.7 作为施工现场组成部分的其他场所包括： 按本合同通用条款执行 。" w:id="289"/>
      <w:bookmarkEnd w:id="289"/>
      <w:r>
        <w:rPr/>
      </w:r>
      <w:r>
        <w:rPr>
          <w:rFonts w:ascii="Times New Roman" w:eastAsia="Times New Roman"/>
        </w:rPr>
        <w:t>1.1.3.7</w:t>
      </w:r>
      <w:r>
        <w:rPr>
          <w:rFonts w:ascii="Times New Roman" w:eastAsia="Times New Roman"/>
          <w:spacing w:val="51"/>
        </w:rPr>
        <w:t> </w:t>
      </w:r>
      <w:r>
        <w:rPr>
          <w:spacing w:val="-3"/>
        </w:rPr>
        <w:t>作为施工现场组成部分的其他场所包括：</w:t>
      </w:r>
      <w:r>
        <w:rPr>
          <w:spacing w:val="-3"/>
          <w:u w:val="single"/>
        </w:rPr>
        <w:t> 按本合同通用条款执行</w:t>
      </w:r>
      <w:r>
        <w:rPr/>
        <w:t> 。</w:t>
      </w:r>
    </w:p>
    <w:p>
      <w:pPr>
        <w:pStyle w:val="ListParagraph"/>
        <w:numPr>
          <w:ilvl w:val="3"/>
          <w:numId w:val="71"/>
        </w:numPr>
        <w:tabs>
          <w:tab w:pos="1782" w:val="left" w:leader="none"/>
        </w:tabs>
        <w:spacing w:line="240" w:lineRule="auto" w:before="139" w:after="0"/>
        <w:ind w:left="1782" w:right="0" w:hanging="684"/>
        <w:jc w:val="left"/>
        <w:rPr>
          <w:sz w:val="21"/>
        </w:rPr>
      </w:pPr>
      <w:r>
        <w:rPr>
          <w:spacing w:val="-3"/>
          <w:sz w:val="21"/>
        </w:rPr>
        <w:t>永久占地包括：</w:t>
      </w:r>
      <w:r>
        <w:rPr>
          <w:spacing w:val="-3"/>
          <w:sz w:val="21"/>
          <w:u w:val="single"/>
        </w:rPr>
        <w:t> 按施工图纸确定</w:t>
      </w:r>
      <w:r>
        <w:rPr>
          <w:sz w:val="21"/>
        </w:rPr>
        <w:t>。</w:t>
      </w:r>
    </w:p>
    <w:p>
      <w:pPr>
        <w:pStyle w:val="ListParagraph"/>
        <w:numPr>
          <w:ilvl w:val="3"/>
          <w:numId w:val="71"/>
        </w:numPr>
        <w:tabs>
          <w:tab w:pos="1888" w:val="left" w:leader="none"/>
          <w:tab w:pos="6194" w:val="left" w:leader="none"/>
        </w:tabs>
        <w:spacing w:line="240" w:lineRule="auto" w:before="141" w:after="0"/>
        <w:ind w:left="1887" w:right="0" w:hanging="790"/>
        <w:jc w:val="left"/>
        <w:rPr>
          <w:sz w:val="21"/>
        </w:rPr>
      </w:pPr>
      <w:r>
        <w:rPr>
          <w:spacing w:val="-3"/>
          <w:sz w:val="21"/>
        </w:rPr>
        <w:t>临</w:t>
      </w:r>
      <w:r>
        <w:rPr>
          <w:sz w:val="21"/>
        </w:rPr>
        <w:t>时</w:t>
      </w:r>
      <w:r>
        <w:rPr>
          <w:spacing w:val="-3"/>
          <w:sz w:val="21"/>
        </w:rPr>
        <w:t>占</w:t>
      </w:r>
      <w:r>
        <w:rPr>
          <w:sz w:val="21"/>
        </w:rPr>
        <w:t>地</w:t>
      </w:r>
      <w:r>
        <w:rPr>
          <w:spacing w:val="-3"/>
          <w:sz w:val="21"/>
        </w:rPr>
        <w:t>包</w:t>
      </w:r>
      <w:r>
        <w:rPr>
          <w:sz w:val="21"/>
        </w:rPr>
        <w:t>括</w:t>
      </w:r>
      <w:r>
        <w:rPr>
          <w:spacing w:val="-3"/>
          <w:sz w:val="21"/>
        </w:rPr>
        <w:t>：</w:t>
      </w:r>
      <w:r>
        <w:rPr>
          <w:spacing w:val="20"/>
          <w:sz w:val="21"/>
          <w:u w:val="single"/>
        </w:rPr>
        <w:t> </w:t>
      </w:r>
      <w:r>
        <w:rPr>
          <w:sz w:val="21"/>
          <w:u w:val="single"/>
        </w:rPr>
        <w:t>双方</w:t>
      </w:r>
      <w:r>
        <w:rPr>
          <w:spacing w:val="-3"/>
          <w:sz w:val="21"/>
          <w:u w:val="single"/>
        </w:rPr>
        <w:t>在</w:t>
      </w:r>
      <w:r>
        <w:rPr>
          <w:sz w:val="21"/>
          <w:u w:val="single"/>
        </w:rPr>
        <w:t>合</w:t>
      </w:r>
      <w:r>
        <w:rPr>
          <w:spacing w:val="-3"/>
          <w:sz w:val="21"/>
          <w:u w:val="single"/>
        </w:rPr>
        <w:t>同</w:t>
      </w:r>
      <w:r>
        <w:rPr>
          <w:sz w:val="21"/>
          <w:u w:val="single"/>
        </w:rPr>
        <w:t>履</w:t>
      </w:r>
      <w:r>
        <w:rPr>
          <w:spacing w:val="-3"/>
          <w:sz w:val="21"/>
          <w:u w:val="single"/>
        </w:rPr>
        <w:t>行</w:t>
      </w:r>
      <w:r>
        <w:rPr>
          <w:sz w:val="21"/>
          <w:u w:val="single"/>
        </w:rPr>
        <w:t>过</w:t>
      </w:r>
      <w:r>
        <w:rPr>
          <w:spacing w:val="-3"/>
          <w:sz w:val="21"/>
          <w:u w:val="single"/>
        </w:rPr>
        <w:t>程</w:t>
      </w:r>
      <w:r>
        <w:rPr>
          <w:sz w:val="21"/>
          <w:u w:val="single"/>
        </w:rPr>
        <w:t>中</w:t>
      </w:r>
      <w:r>
        <w:rPr>
          <w:spacing w:val="-3"/>
          <w:sz w:val="21"/>
          <w:u w:val="single"/>
        </w:rPr>
        <w:t>确</w:t>
      </w:r>
      <w:r>
        <w:rPr>
          <w:sz w:val="21"/>
          <w:u w:val="single"/>
        </w:rPr>
        <w:t>定</w:t>
        <w:tab/>
      </w:r>
      <w:r>
        <w:rPr>
          <w:sz w:val="21"/>
        </w:rPr>
        <w:t>。</w:t>
      </w:r>
    </w:p>
    <w:p>
      <w:pPr>
        <w:pStyle w:val="Heading8"/>
        <w:numPr>
          <w:ilvl w:val="1"/>
          <w:numId w:val="72"/>
        </w:numPr>
        <w:tabs>
          <w:tab w:pos="1046" w:val="left" w:leader="none"/>
        </w:tabs>
        <w:spacing w:line="240" w:lineRule="auto" w:before="70" w:after="0"/>
        <w:ind w:left="1045" w:right="0" w:hanging="368"/>
        <w:jc w:val="left"/>
      </w:pPr>
      <w:bookmarkStart w:name="1.3 法律" w:id="290"/>
      <w:bookmarkEnd w:id="290"/>
      <w:r>
        <w:rPr>
          <w:b w:val="0"/>
        </w:rPr>
      </w:r>
      <w:bookmarkStart w:name="1.3 法律" w:id="291"/>
      <w:bookmarkEnd w:id="291"/>
      <w:r>
        <w:rPr/>
        <w:t>法律</w:t>
      </w:r>
    </w:p>
    <w:p>
      <w:pPr>
        <w:pStyle w:val="BodyText"/>
        <w:spacing w:line="364" w:lineRule="auto" w:before="91"/>
        <w:ind w:right="1208"/>
      </w:pPr>
      <w:r>
        <w:rPr/>
        <w:drawing>
          <wp:anchor distT="0" distB="0" distL="0" distR="0" allowOverlap="1" layoutInCell="1" locked="0" behindDoc="1" simplePos="0" relativeHeight="236637184">
            <wp:simplePos x="0" y="0"/>
            <wp:positionH relativeFrom="page">
              <wp:posOffset>3010535</wp:posOffset>
            </wp:positionH>
            <wp:positionV relativeFrom="paragraph">
              <wp:posOffset>75310</wp:posOffset>
            </wp:positionV>
            <wp:extent cx="268224" cy="134111"/>
            <wp:effectExtent l="0" t="0" r="0" b="0"/>
            <wp:wrapNone/>
            <wp:docPr id="35" name="image3.png"/>
            <wp:cNvGraphicFramePr>
              <a:graphicFrameLocks noChangeAspect="1"/>
            </wp:cNvGraphicFramePr>
            <a:graphic>
              <a:graphicData uri="http://schemas.openxmlformats.org/drawingml/2006/picture">
                <pic:pic>
                  <pic:nvPicPr>
                    <pic:cNvPr id="36" name="image3.png"/>
                    <pic:cNvPicPr/>
                  </pic:nvPicPr>
                  <pic:blipFill>
                    <a:blip r:embed="rId21" cstate="print"/>
                    <a:stretch>
                      <a:fillRect/>
                    </a:stretch>
                  </pic:blipFill>
                  <pic:spPr>
                    <a:xfrm>
                      <a:off x="0" y="0"/>
                      <a:ext cx="268224" cy="134111"/>
                    </a:xfrm>
                    <a:prstGeom prst="rect">
                      <a:avLst/>
                    </a:prstGeom>
                  </pic:spPr>
                </pic:pic>
              </a:graphicData>
            </a:graphic>
          </wp:anchor>
        </w:drawing>
      </w:r>
      <w:r>
        <w:rPr>
          <w:spacing w:val="-3"/>
        </w:rPr>
        <w:t>适用于合同的其他规范性文件：</w:t>
      </w:r>
      <w:r>
        <w:rPr>
          <w:spacing w:val="-16"/>
          <w:u w:val="single"/>
        </w:rPr>
        <w:t> 《中华人民共和国合同法》、《中华人民共和国建筑法》及现</w:t>
      </w:r>
      <w:r>
        <w:rPr>
          <w:spacing w:val="-204"/>
          <w:u w:val="single"/>
        </w:rPr>
        <w:t>行的</w:t>
      </w:r>
      <w:r>
        <w:rPr>
          <w:spacing w:val="-3"/>
          <w:u w:val="single"/>
        </w:rPr>
        <w:t>国家法律和行政法规和部门规章，工程所在地政府的有关法规和规章及规范性文件</w:t>
      </w:r>
      <w:r>
        <w:rPr/>
        <w:t>。</w:t>
      </w:r>
    </w:p>
    <w:p>
      <w:pPr>
        <w:spacing w:after="0" w:line="364" w:lineRule="auto"/>
        <w:sectPr>
          <w:pgSz w:w="11910" w:h="16850"/>
          <w:pgMar w:header="0" w:footer="779" w:top="1380" w:bottom="1040" w:left="1120" w:right="280"/>
        </w:sectPr>
      </w:pPr>
    </w:p>
    <w:p>
      <w:pPr>
        <w:pStyle w:val="Heading8"/>
        <w:numPr>
          <w:ilvl w:val="1"/>
          <w:numId w:val="72"/>
        </w:numPr>
        <w:tabs>
          <w:tab w:pos="1046" w:val="left" w:leader="none"/>
        </w:tabs>
        <w:spacing w:line="377" w:lineRule="exact" w:before="0" w:after="0"/>
        <w:ind w:left="1045" w:right="0" w:hanging="368"/>
        <w:jc w:val="left"/>
      </w:pPr>
      <w:bookmarkStart w:name="1.4 标准和规范" w:id="292"/>
      <w:bookmarkEnd w:id="292"/>
      <w:r>
        <w:rPr>
          <w:b w:val="0"/>
        </w:rPr>
      </w:r>
      <w:bookmarkStart w:name="1.4 标准和规范" w:id="293"/>
      <w:bookmarkEnd w:id="293"/>
      <w:r>
        <w:rPr/>
        <w:t>标准和规范</w:t>
      </w:r>
    </w:p>
    <w:p>
      <w:pPr>
        <w:pStyle w:val="ListParagraph"/>
        <w:numPr>
          <w:ilvl w:val="2"/>
          <w:numId w:val="72"/>
        </w:numPr>
        <w:tabs>
          <w:tab w:pos="1204" w:val="left" w:leader="none"/>
        </w:tabs>
        <w:spacing w:line="240" w:lineRule="auto" w:before="91" w:after="0"/>
        <w:ind w:left="1203" w:right="0" w:hanging="526"/>
        <w:jc w:val="left"/>
        <w:rPr>
          <w:sz w:val="21"/>
        </w:rPr>
      </w:pPr>
      <w:r>
        <w:rPr/>
        <w:drawing>
          <wp:anchor distT="0" distB="0" distL="0" distR="0" allowOverlap="1" layoutInCell="1" locked="0" behindDoc="1" simplePos="0" relativeHeight="236638208">
            <wp:simplePos x="0" y="0"/>
            <wp:positionH relativeFrom="page">
              <wp:posOffset>3210179</wp:posOffset>
            </wp:positionH>
            <wp:positionV relativeFrom="paragraph">
              <wp:posOffset>75310</wp:posOffset>
            </wp:positionV>
            <wp:extent cx="265176" cy="134111"/>
            <wp:effectExtent l="0" t="0" r="0" b="0"/>
            <wp:wrapNone/>
            <wp:docPr id="37" name="image2.png"/>
            <wp:cNvGraphicFramePr>
              <a:graphicFrameLocks noChangeAspect="1"/>
            </wp:cNvGraphicFramePr>
            <a:graphic>
              <a:graphicData uri="http://schemas.openxmlformats.org/drawingml/2006/picture">
                <pic:pic>
                  <pic:nvPicPr>
                    <pic:cNvPr id="38" name="image2.png"/>
                    <pic:cNvPicPr/>
                  </pic:nvPicPr>
                  <pic:blipFill>
                    <a:blip r:embed="rId20" cstate="print"/>
                    <a:stretch>
                      <a:fillRect/>
                    </a:stretch>
                  </pic:blipFill>
                  <pic:spPr>
                    <a:xfrm>
                      <a:off x="0" y="0"/>
                      <a:ext cx="265176" cy="134111"/>
                    </a:xfrm>
                    <a:prstGeom prst="rect">
                      <a:avLst/>
                    </a:prstGeom>
                  </pic:spPr>
                </pic:pic>
              </a:graphicData>
            </a:graphic>
          </wp:anchor>
        </w:drawing>
      </w:r>
      <w:r>
        <w:rPr>
          <w:spacing w:val="-3"/>
          <w:sz w:val="21"/>
        </w:rPr>
        <w:t>适用于工程的标准规范包括：</w:t>
      </w:r>
      <w:r>
        <w:rPr>
          <w:spacing w:val="-3"/>
          <w:sz w:val="21"/>
          <w:u w:val="single"/>
        </w:rPr>
        <w:t> 现行的国家标准、规范，行业标准、规范</w:t>
      </w:r>
      <w:r>
        <w:rPr>
          <w:sz w:val="21"/>
        </w:rPr>
        <w:t> 。</w:t>
      </w:r>
    </w:p>
    <w:p>
      <w:pPr>
        <w:pStyle w:val="ListParagraph"/>
        <w:numPr>
          <w:ilvl w:val="2"/>
          <w:numId w:val="72"/>
        </w:numPr>
        <w:tabs>
          <w:tab w:pos="1204" w:val="left" w:leader="none"/>
        </w:tabs>
        <w:spacing w:line="364" w:lineRule="auto" w:before="139" w:after="0"/>
        <w:ind w:left="1098" w:right="5309" w:hanging="420"/>
        <w:jc w:val="left"/>
        <w:rPr>
          <w:sz w:val="21"/>
        </w:rPr>
      </w:pPr>
      <w:r>
        <w:rPr>
          <w:spacing w:val="-3"/>
          <w:sz w:val="21"/>
        </w:rPr>
        <w:t>发包人提供国外标准、规范的名称：</w:t>
      </w:r>
      <w:r>
        <w:rPr>
          <w:spacing w:val="5"/>
          <w:sz w:val="21"/>
          <w:u w:val="single"/>
        </w:rPr>
        <w:t> 无</w:t>
      </w:r>
      <w:r>
        <w:rPr>
          <w:spacing w:val="-3"/>
          <w:sz w:val="21"/>
        </w:rPr>
        <w:t> ； 发包人提供国外标准、规范的份数：</w:t>
      </w:r>
      <w:r>
        <w:rPr>
          <w:spacing w:val="3"/>
          <w:sz w:val="21"/>
          <w:u w:val="single"/>
        </w:rPr>
        <w:t> 无</w:t>
      </w:r>
      <w:r>
        <w:rPr>
          <w:spacing w:val="2"/>
          <w:sz w:val="21"/>
        </w:rPr>
        <w:t> ； </w:t>
      </w:r>
      <w:r>
        <w:rPr>
          <w:spacing w:val="-3"/>
          <w:sz w:val="21"/>
        </w:rPr>
        <w:t>发包人提供国外标准、规范的名称：</w:t>
      </w:r>
      <w:r>
        <w:rPr>
          <w:spacing w:val="3"/>
          <w:sz w:val="21"/>
          <w:u w:val="single"/>
        </w:rPr>
        <w:t> 无</w:t>
      </w:r>
      <w:r>
        <w:rPr>
          <w:spacing w:val="2"/>
          <w:sz w:val="21"/>
        </w:rPr>
        <w:t> 。</w:t>
      </w:r>
    </w:p>
    <w:p>
      <w:pPr>
        <w:pStyle w:val="ListParagraph"/>
        <w:numPr>
          <w:ilvl w:val="2"/>
          <w:numId w:val="72"/>
        </w:numPr>
        <w:tabs>
          <w:tab w:pos="1624" w:val="left" w:leader="none"/>
          <w:tab w:pos="6770" w:val="left" w:leader="none"/>
        </w:tabs>
        <w:spacing w:line="269" w:lineRule="exact" w:before="0" w:after="0"/>
        <w:ind w:left="1623" w:right="0" w:hanging="526"/>
        <w:jc w:val="left"/>
        <w:rPr>
          <w:sz w:val="21"/>
        </w:rPr>
      </w:pPr>
      <w:r>
        <w:rPr>
          <w:sz w:val="21"/>
        </w:rPr>
        <w:t>发</w:t>
      </w:r>
      <w:r>
        <w:rPr>
          <w:spacing w:val="-3"/>
          <w:sz w:val="21"/>
        </w:rPr>
        <w:t>包</w:t>
      </w:r>
      <w:r>
        <w:rPr>
          <w:sz w:val="21"/>
        </w:rPr>
        <w:t>人</w:t>
      </w:r>
      <w:r>
        <w:rPr>
          <w:spacing w:val="-3"/>
          <w:sz w:val="21"/>
        </w:rPr>
        <w:t>对</w:t>
      </w:r>
      <w:r>
        <w:rPr>
          <w:sz w:val="21"/>
        </w:rPr>
        <w:t>工</w:t>
      </w:r>
      <w:r>
        <w:rPr>
          <w:spacing w:val="-3"/>
          <w:sz w:val="21"/>
        </w:rPr>
        <w:t>程</w:t>
      </w:r>
      <w:r>
        <w:rPr>
          <w:sz w:val="21"/>
        </w:rPr>
        <w:t>的</w:t>
      </w:r>
      <w:r>
        <w:rPr>
          <w:spacing w:val="-3"/>
          <w:sz w:val="21"/>
        </w:rPr>
        <w:t>技术</w:t>
      </w:r>
      <w:r>
        <w:rPr>
          <w:sz w:val="21"/>
        </w:rPr>
        <w:t>标准</w:t>
      </w:r>
      <w:r>
        <w:rPr>
          <w:spacing w:val="-3"/>
          <w:sz w:val="21"/>
        </w:rPr>
        <w:t>和</w:t>
      </w:r>
      <w:r>
        <w:rPr>
          <w:sz w:val="21"/>
        </w:rPr>
        <w:t>功</w:t>
      </w:r>
      <w:r>
        <w:rPr>
          <w:spacing w:val="-3"/>
          <w:sz w:val="21"/>
        </w:rPr>
        <w:t>能</w:t>
      </w:r>
      <w:r>
        <w:rPr>
          <w:sz w:val="21"/>
        </w:rPr>
        <w:t>要</w:t>
      </w:r>
      <w:r>
        <w:rPr>
          <w:spacing w:val="-3"/>
          <w:sz w:val="21"/>
        </w:rPr>
        <w:t>求</w:t>
      </w:r>
      <w:r>
        <w:rPr>
          <w:sz w:val="21"/>
        </w:rPr>
        <w:t>的</w:t>
      </w:r>
      <w:r>
        <w:rPr>
          <w:spacing w:val="-3"/>
          <w:sz w:val="21"/>
        </w:rPr>
        <w:t>特</w:t>
      </w:r>
      <w:r>
        <w:rPr>
          <w:sz w:val="21"/>
        </w:rPr>
        <w:t>殊</w:t>
      </w:r>
      <w:r>
        <w:rPr>
          <w:spacing w:val="-3"/>
          <w:sz w:val="21"/>
        </w:rPr>
        <w:t>要</w:t>
      </w:r>
      <w:r>
        <w:rPr>
          <w:sz w:val="21"/>
        </w:rPr>
        <w:t>求：</w:t>
      </w:r>
      <w:r>
        <w:rPr>
          <w:spacing w:val="24"/>
          <w:sz w:val="21"/>
          <w:u w:val="single"/>
        </w:rPr>
        <w:t> </w:t>
      </w:r>
      <w:r>
        <w:rPr>
          <w:sz w:val="21"/>
          <w:u w:val="single"/>
        </w:rPr>
        <w:t>无</w:t>
        <w:tab/>
      </w:r>
      <w:r>
        <w:rPr>
          <w:sz w:val="21"/>
        </w:rPr>
        <w:t>。</w:t>
      </w:r>
    </w:p>
    <w:p>
      <w:pPr>
        <w:pStyle w:val="Heading8"/>
        <w:numPr>
          <w:ilvl w:val="1"/>
          <w:numId w:val="72"/>
        </w:numPr>
        <w:tabs>
          <w:tab w:pos="1046" w:val="left" w:leader="none"/>
        </w:tabs>
        <w:spacing w:line="240" w:lineRule="auto" w:before="70" w:after="0"/>
        <w:ind w:left="1045" w:right="0" w:hanging="368"/>
        <w:jc w:val="left"/>
      </w:pPr>
      <w:bookmarkStart w:name="1.5 合同文件的优先顺序" w:id="294"/>
      <w:bookmarkEnd w:id="294"/>
      <w:r>
        <w:rPr>
          <w:b w:val="0"/>
        </w:rPr>
      </w:r>
      <w:bookmarkStart w:name="1.5 合同文件的优先顺序" w:id="295"/>
      <w:bookmarkEnd w:id="295"/>
      <w:r>
        <w:rPr/>
        <w:t>合同文件的优先顺序</w:t>
      </w:r>
    </w:p>
    <w:p>
      <w:pPr>
        <w:pStyle w:val="BodyText"/>
        <w:spacing w:before="93"/>
        <w:ind w:left="1098"/>
      </w:pPr>
      <w:r>
        <w:rPr/>
        <w:t>合同文件组成及优先顺序为：</w:t>
      </w:r>
    </w:p>
    <w:p>
      <w:pPr>
        <w:pStyle w:val="ListParagraph"/>
        <w:numPr>
          <w:ilvl w:val="0"/>
          <w:numId w:val="73"/>
        </w:numPr>
        <w:tabs>
          <w:tab w:pos="1627" w:val="left" w:leader="none"/>
        </w:tabs>
        <w:spacing w:line="240" w:lineRule="auto" w:before="139" w:after="0"/>
        <w:ind w:left="1627" w:right="0" w:hanging="529"/>
        <w:jc w:val="left"/>
        <w:rPr>
          <w:sz w:val="21"/>
        </w:rPr>
      </w:pPr>
      <w:r>
        <w:rPr>
          <w:spacing w:val="-3"/>
          <w:sz w:val="21"/>
        </w:rPr>
        <w:t>合同协议书；</w:t>
      </w:r>
    </w:p>
    <w:p>
      <w:pPr>
        <w:pStyle w:val="ListParagraph"/>
        <w:numPr>
          <w:ilvl w:val="0"/>
          <w:numId w:val="73"/>
        </w:numPr>
        <w:tabs>
          <w:tab w:pos="1627" w:val="left" w:leader="none"/>
        </w:tabs>
        <w:spacing w:line="240" w:lineRule="auto" w:before="140" w:after="0"/>
        <w:ind w:left="1627" w:right="0" w:hanging="529"/>
        <w:jc w:val="left"/>
        <w:rPr>
          <w:sz w:val="21"/>
        </w:rPr>
      </w:pPr>
      <w:r>
        <w:rPr>
          <w:spacing w:val="-3"/>
          <w:sz w:val="21"/>
        </w:rPr>
        <w:t>中标通知书（</w:t>
      </w:r>
      <w:r>
        <w:rPr>
          <w:spacing w:val="-2"/>
          <w:sz w:val="21"/>
        </w:rPr>
        <w:t>如有</w:t>
      </w:r>
      <w:r>
        <w:rPr>
          <w:sz w:val="21"/>
        </w:rPr>
        <w:t>）；</w:t>
      </w:r>
    </w:p>
    <w:p>
      <w:pPr>
        <w:pStyle w:val="ListParagraph"/>
        <w:numPr>
          <w:ilvl w:val="0"/>
          <w:numId w:val="73"/>
        </w:numPr>
        <w:tabs>
          <w:tab w:pos="1627" w:val="left" w:leader="none"/>
        </w:tabs>
        <w:spacing w:line="240" w:lineRule="auto" w:before="139" w:after="0"/>
        <w:ind w:left="1627" w:right="0" w:hanging="529"/>
        <w:jc w:val="left"/>
        <w:rPr>
          <w:sz w:val="21"/>
        </w:rPr>
      </w:pPr>
      <w:r>
        <w:rPr>
          <w:spacing w:val="-3"/>
          <w:sz w:val="21"/>
        </w:rPr>
        <w:t>投标函及其附录（</w:t>
      </w:r>
      <w:r>
        <w:rPr>
          <w:spacing w:val="-2"/>
          <w:sz w:val="21"/>
        </w:rPr>
        <w:t>如有</w:t>
      </w:r>
      <w:r>
        <w:rPr>
          <w:sz w:val="21"/>
        </w:rPr>
        <w:t>）；</w:t>
      </w:r>
    </w:p>
    <w:p>
      <w:pPr>
        <w:pStyle w:val="ListParagraph"/>
        <w:numPr>
          <w:ilvl w:val="0"/>
          <w:numId w:val="73"/>
        </w:numPr>
        <w:tabs>
          <w:tab w:pos="1627" w:val="left" w:leader="none"/>
        </w:tabs>
        <w:spacing w:line="240" w:lineRule="auto" w:before="139" w:after="0"/>
        <w:ind w:left="1627" w:right="0" w:hanging="529"/>
        <w:jc w:val="left"/>
        <w:rPr>
          <w:sz w:val="21"/>
        </w:rPr>
      </w:pPr>
      <w:r>
        <w:rPr>
          <w:spacing w:val="-3"/>
          <w:sz w:val="21"/>
        </w:rPr>
        <w:t>专用合同条款及其附件；</w:t>
      </w:r>
    </w:p>
    <w:p>
      <w:pPr>
        <w:pStyle w:val="ListParagraph"/>
        <w:numPr>
          <w:ilvl w:val="0"/>
          <w:numId w:val="73"/>
        </w:numPr>
        <w:tabs>
          <w:tab w:pos="1627" w:val="left" w:leader="none"/>
        </w:tabs>
        <w:spacing w:line="240" w:lineRule="auto" w:before="141" w:after="0"/>
        <w:ind w:left="1627" w:right="0" w:hanging="529"/>
        <w:jc w:val="left"/>
        <w:rPr>
          <w:sz w:val="21"/>
        </w:rPr>
      </w:pPr>
      <w:r>
        <w:rPr>
          <w:spacing w:val="-3"/>
          <w:sz w:val="21"/>
        </w:rPr>
        <w:t>通用合同条款；</w:t>
      </w:r>
    </w:p>
    <w:p>
      <w:pPr>
        <w:pStyle w:val="ListParagraph"/>
        <w:numPr>
          <w:ilvl w:val="0"/>
          <w:numId w:val="73"/>
        </w:numPr>
        <w:tabs>
          <w:tab w:pos="1627" w:val="left" w:leader="none"/>
        </w:tabs>
        <w:spacing w:line="240" w:lineRule="auto" w:before="139" w:after="0"/>
        <w:ind w:left="1627" w:right="0" w:hanging="529"/>
        <w:jc w:val="left"/>
        <w:rPr>
          <w:sz w:val="21"/>
        </w:rPr>
      </w:pPr>
      <w:r>
        <w:rPr>
          <w:spacing w:val="-3"/>
          <w:sz w:val="21"/>
          <w:u w:val="single"/>
        </w:rPr>
        <w:t>标准、规范及有关技术文件</w:t>
      </w:r>
      <w:r>
        <w:rPr>
          <w:sz w:val="21"/>
        </w:rPr>
        <w:t>；</w:t>
      </w:r>
    </w:p>
    <w:p>
      <w:pPr>
        <w:pStyle w:val="ListParagraph"/>
        <w:numPr>
          <w:ilvl w:val="0"/>
          <w:numId w:val="73"/>
        </w:numPr>
        <w:tabs>
          <w:tab w:pos="1627" w:val="left" w:leader="none"/>
        </w:tabs>
        <w:spacing w:line="240" w:lineRule="auto" w:before="139" w:after="0"/>
        <w:ind w:left="1627" w:right="0" w:hanging="529"/>
        <w:jc w:val="left"/>
        <w:rPr>
          <w:sz w:val="21"/>
        </w:rPr>
      </w:pPr>
      <w:r>
        <w:rPr>
          <w:spacing w:val="-2"/>
          <w:sz w:val="21"/>
          <w:u w:val="single"/>
        </w:rPr>
        <w:t>图纸</w:t>
      </w:r>
      <w:r>
        <w:rPr>
          <w:sz w:val="21"/>
        </w:rPr>
        <w:t>；</w:t>
      </w:r>
    </w:p>
    <w:p>
      <w:pPr>
        <w:pStyle w:val="ListParagraph"/>
        <w:numPr>
          <w:ilvl w:val="0"/>
          <w:numId w:val="73"/>
        </w:numPr>
        <w:tabs>
          <w:tab w:pos="1627" w:val="left" w:leader="none"/>
        </w:tabs>
        <w:spacing w:line="240" w:lineRule="auto" w:before="139" w:after="0"/>
        <w:ind w:left="1627" w:right="0" w:hanging="529"/>
        <w:jc w:val="left"/>
        <w:rPr>
          <w:sz w:val="21"/>
        </w:rPr>
      </w:pPr>
      <w:r>
        <w:rPr>
          <w:spacing w:val="-3"/>
          <w:sz w:val="21"/>
          <w:u w:val="single"/>
        </w:rPr>
        <w:t>已标价工程量清单</w:t>
      </w:r>
      <w:r>
        <w:rPr>
          <w:sz w:val="21"/>
        </w:rPr>
        <w:t>；</w:t>
      </w:r>
    </w:p>
    <w:p>
      <w:pPr>
        <w:pStyle w:val="ListParagraph"/>
        <w:numPr>
          <w:ilvl w:val="0"/>
          <w:numId w:val="73"/>
        </w:numPr>
        <w:tabs>
          <w:tab w:pos="1627" w:val="left" w:leader="none"/>
        </w:tabs>
        <w:spacing w:line="364" w:lineRule="auto" w:before="139" w:after="0"/>
        <w:ind w:left="678" w:right="1148" w:firstLine="419"/>
        <w:jc w:val="both"/>
        <w:rPr>
          <w:sz w:val="21"/>
        </w:rPr>
      </w:pPr>
      <w:r>
        <w:rPr>
          <w:spacing w:val="-3"/>
          <w:sz w:val="21"/>
        </w:rPr>
        <w:t>《建设工程工程量清单计价规范</w:t>
      </w:r>
      <w:r>
        <w:rPr>
          <w:sz w:val="21"/>
        </w:rPr>
        <w:t>（</w:t>
      </w:r>
      <w:r>
        <w:rPr>
          <w:rFonts w:ascii="Times New Roman" w:eastAsia="Times New Roman"/>
          <w:sz w:val="21"/>
        </w:rPr>
        <w:t>GB5050-2013</w:t>
      </w:r>
      <w:r>
        <w:rPr>
          <w:sz w:val="21"/>
        </w:rPr>
        <w:t>）</w:t>
      </w:r>
      <w:r>
        <w:rPr>
          <w:spacing w:val="-3"/>
          <w:sz w:val="21"/>
        </w:rPr>
        <w:t>》及其广西实施细则及《关于建筑业实施营业税改征增值税后广西壮族自治区建设工程计价依据调整的通知》（</w:t>
      </w:r>
      <w:r>
        <w:rPr>
          <w:spacing w:val="-2"/>
          <w:sz w:val="21"/>
        </w:rPr>
        <w:t>桂建标〔</w:t>
      </w:r>
      <w:r>
        <w:rPr>
          <w:rFonts w:ascii="Times New Roman" w:eastAsia="Times New Roman"/>
          <w:sz w:val="21"/>
        </w:rPr>
        <w:t>2016</w:t>
      </w:r>
      <w:r>
        <w:rPr>
          <w:spacing w:val="-15"/>
          <w:sz w:val="21"/>
        </w:rPr>
        <w:t>〕</w:t>
      </w:r>
      <w:r>
        <w:rPr>
          <w:rFonts w:ascii="Times New Roman" w:eastAsia="Times New Roman"/>
          <w:sz w:val="21"/>
        </w:rPr>
        <w:t>17</w:t>
      </w:r>
      <w:r>
        <w:rPr>
          <w:rFonts w:ascii="Times New Roman" w:eastAsia="Times New Roman"/>
          <w:spacing w:val="22"/>
          <w:sz w:val="21"/>
        </w:rPr>
        <w:t> </w:t>
      </w:r>
      <w:r>
        <w:rPr>
          <w:spacing w:val="-3"/>
          <w:sz w:val="21"/>
        </w:rPr>
        <w:t>号</w:t>
      </w:r>
      <w:r>
        <w:rPr>
          <w:sz w:val="21"/>
        </w:rPr>
        <w:t>）</w:t>
      </w:r>
      <w:r>
        <w:rPr>
          <w:spacing w:val="-3"/>
          <w:sz w:val="21"/>
        </w:rPr>
        <w:t>、《建设工程工程量清单计算规范</w:t>
      </w:r>
      <w:r>
        <w:rPr>
          <w:sz w:val="21"/>
        </w:rPr>
        <w:t>（</w:t>
      </w:r>
      <w:r>
        <w:rPr>
          <w:rFonts w:ascii="Times New Roman" w:eastAsia="Times New Roman"/>
          <w:sz w:val="21"/>
        </w:rPr>
        <w:t>GB5854~50862-2013</w:t>
      </w:r>
      <w:r>
        <w:rPr>
          <w:sz w:val="21"/>
        </w:rPr>
        <w:t>）</w:t>
      </w:r>
      <w:r>
        <w:rPr>
          <w:spacing w:val="-3"/>
          <w:sz w:val="21"/>
        </w:rPr>
        <w:t>》及其广西实施细则（</w:t>
      </w:r>
      <w:r>
        <w:rPr>
          <w:sz w:val="21"/>
        </w:rPr>
        <w:t>修订本） </w:t>
      </w:r>
      <w:r>
        <w:rPr>
          <w:rFonts w:ascii="Times New Roman" w:eastAsia="Times New Roman"/>
          <w:spacing w:val="-4"/>
          <w:sz w:val="21"/>
        </w:rPr>
        <w:t>(</w:t>
      </w:r>
      <w:r>
        <w:rPr>
          <w:spacing w:val="-3"/>
          <w:sz w:val="21"/>
        </w:rPr>
        <w:t>适用于实行工程量清单计价的项目</w:t>
      </w:r>
      <w:r>
        <w:rPr>
          <w:rFonts w:ascii="Times New Roman" w:eastAsia="Times New Roman"/>
          <w:spacing w:val="25"/>
          <w:sz w:val="21"/>
        </w:rPr>
        <w:t>) </w:t>
      </w:r>
      <w:r>
        <w:rPr>
          <w:sz w:val="21"/>
        </w:rPr>
        <w:t>；</w:t>
      </w:r>
    </w:p>
    <w:p>
      <w:pPr>
        <w:pStyle w:val="BodyText"/>
        <w:tabs>
          <w:tab w:pos="4179" w:val="left" w:leader="none"/>
        </w:tabs>
        <w:spacing w:line="268" w:lineRule="exact"/>
        <w:ind w:left="1203"/>
        <w:jc w:val="both"/>
      </w:pPr>
      <w:r>
        <w:rPr>
          <w:rFonts w:ascii="Times New Roman" w:eastAsia="Times New Roman"/>
        </w:rPr>
        <w:t>(10)</w:t>
      </w:r>
      <w:r>
        <w:rPr>
          <w:u w:val="single"/>
        </w:rPr>
        <w:t>其</w:t>
      </w:r>
      <w:r>
        <w:rPr>
          <w:spacing w:val="-3"/>
          <w:u w:val="single"/>
        </w:rPr>
        <w:t>他</w:t>
      </w:r>
      <w:r>
        <w:rPr>
          <w:u w:val="single"/>
        </w:rPr>
        <w:t>合</w:t>
      </w:r>
      <w:r>
        <w:rPr>
          <w:spacing w:val="-3"/>
          <w:u w:val="single"/>
        </w:rPr>
        <w:t>同</w:t>
      </w:r>
      <w:r>
        <w:rPr>
          <w:u w:val="single"/>
        </w:rPr>
        <w:t>文</w:t>
      </w:r>
      <w:r>
        <w:rPr>
          <w:spacing w:val="-3"/>
          <w:u w:val="single"/>
        </w:rPr>
        <w:t>件</w:t>
      </w:r>
      <w:r>
        <w:rPr>
          <w:u w:val="single"/>
        </w:rPr>
        <w:t>：</w:t>
        <w:tab/>
      </w:r>
      <w:r>
        <w:rPr/>
        <w:t>。</w:t>
      </w:r>
    </w:p>
    <w:p>
      <w:pPr>
        <w:pStyle w:val="BodyText"/>
        <w:spacing w:line="364" w:lineRule="auto" w:before="141"/>
        <w:ind w:right="1154" w:firstLine="419"/>
        <w:jc w:val="both"/>
      </w:pPr>
      <w:r>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pPr>
        <w:pStyle w:val="BodyText"/>
        <w:spacing w:line="364" w:lineRule="auto"/>
        <w:ind w:right="1151" w:firstLine="419"/>
        <w:jc w:val="both"/>
      </w:pPr>
      <w:r>
        <w:rPr>
          <w:spacing w:val="-3"/>
        </w:rPr>
        <w:t>说明：</w:t>
      </w:r>
      <w:r>
        <w:rPr>
          <w:spacing w:val="-5"/>
        </w:rPr>
        <w:t>（</w:t>
      </w:r>
      <w:r>
        <w:rPr>
          <w:rFonts w:ascii="Times New Roman" w:eastAsia="Times New Roman"/>
          <w:spacing w:val="-5"/>
        </w:rPr>
        <w:t>6</w:t>
      </w:r>
      <w:r>
        <w:rPr>
          <w:spacing w:val="-5"/>
        </w:rPr>
        <w:t>）、</w:t>
      </w:r>
      <w:r>
        <w:rPr>
          <w:spacing w:val="-3"/>
        </w:rPr>
        <w:t>（</w:t>
      </w:r>
      <w:r>
        <w:rPr>
          <w:rFonts w:ascii="Times New Roman" w:eastAsia="Times New Roman"/>
          <w:spacing w:val="-3"/>
        </w:rPr>
        <w:t>7</w:t>
      </w:r>
      <w:r>
        <w:rPr>
          <w:spacing w:val="-3"/>
        </w:rPr>
        <w:t>）</w:t>
      </w:r>
      <w:r>
        <w:rPr>
          <w:spacing w:val="-8"/>
        </w:rPr>
        <w:t>、</w:t>
      </w:r>
      <w:r>
        <w:rPr>
          <w:spacing w:val="-3"/>
        </w:rPr>
        <w:t>（</w:t>
      </w:r>
      <w:r>
        <w:rPr>
          <w:rFonts w:ascii="Times New Roman" w:eastAsia="Times New Roman"/>
          <w:spacing w:val="-3"/>
        </w:rPr>
        <w:t>8</w:t>
      </w:r>
      <w:r>
        <w:rPr>
          <w:spacing w:val="-3"/>
        </w:rPr>
        <w:t>）</w:t>
      </w:r>
      <w:r>
        <w:rPr>
          <w:spacing w:val="-5"/>
        </w:rPr>
        <w:t>、</w:t>
      </w:r>
      <w:r>
        <w:rPr>
          <w:spacing w:val="-3"/>
        </w:rPr>
        <w:t>（</w:t>
      </w:r>
      <w:r>
        <w:rPr>
          <w:rFonts w:ascii="Times New Roman" w:eastAsia="Times New Roman"/>
          <w:spacing w:val="-3"/>
        </w:rPr>
        <w:t>10</w:t>
      </w:r>
      <w:r>
        <w:rPr>
          <w:spacing w:val="-3"/>
        </w:rPr>
        <w:t>）</w:t>
      </w:r>
      <w:r>
        <w:rPr>
          <w:spacing w:val="-5"/>
        </w:rPr>
        <w:t>填空内容分别限于技术标准和要求、图纸、已标价工</w:t>
      </w:r>
      <w:r>
        <w:rPr>
          <w:spacing w:val="-6"/>
        </w:rPr>
        <w:t>程量清单或预算书、其他合同文件四者之一，其优先顺序可根据采取的不同合同方式由双方约</w:t>
      </w:r>
      <w:r>
        <w:rPr/>
        <w:t>定。</w:t>
      </w:r>
    </w:p>
    <w:p>
      <w:pPr>
        <w:pStyle w:val="Heading8"/>
        <w:numPr>
          <w:ilvl w:val="1"/>
          <w:numId w:val="72"/>
        </w:numPr>
        <w:tabs>
          <w:tab w:pos="1046" w:val="left" w:leader="none"/>
        </w:tabs>
        <w:spacing w:line="317" w:lineRule="exact" w:before="0" w:after="0"/>
        <w:ind w:left="1045" w:right="0" w:hanging="368"/>
        <w:jc w:val="left"/>
      </w:pPr>
      <w:bookmarkStart w:name="1.6 图纸和承包人文件" w:id="296"/>
      <w:bookmarkEnd w:id="296"/>
      <w:r>
        <w:rPr>
          <w:b w:val="0"/>
        </w:rPr>
      </w:r>
      <w:bookmarkStart w:name="1.6 图纸和承包人文件" w:id="297"/>
      <w:bookmarkEnd w:id="297"/>
      <w:r>
        <w:rPr/>
        <w:t>图纸和承包人文件</w:t>
      </w:r>
    </w:p>
    <w:p>
      <w:pPr>
        <w:pStyle w:val="ListParagraph"/>
        <w:numPr>
          <w:ilvl w:val="2"/>
          <w:numId w:val="72"/>
        </w:numPr>
        <w:tabs>
          <w:tab w:pos="1624" w:val="left" w:leader="none"/>
        </w:tabs>
        <w:spacing w:line="240" w:lineRule="auto" w:before="88" w:after="0"/>
        <w:ind w:left="1623" w:right="0" w:hanging="526"/>
        <w:jc w:val="left"/>
        <w:rPr>
          <w:sz w:val="21"/>
        </w:rPr>
      </w:pPr>
      <w:r>
        <w:rPr>
          <w:spacing w:val="-3"/>
          <w:sz w:val="21"/>
        </w:rPr>
        <w:t>图纸的提供</w:t>
      </w:r>
    </w:p>
    <w:p>
      <w:pPr>
        <w:pStyle w:val="BodyText"/>
        <w:spacing w:before="139"/>
        <w:ind w:left="1098"/>
      </w:pPr>
      <w:r>
        <w:rPr/>
        <w:drawing>
          <wp:anchor distT="0" distB="0" distL="0" distR="0" allowOverlap="1" layoutInCell="1" locked="0" behindDoc="1" simplePos="0" relativeHeight="236639232">
            <wp:simplePos x="0" y="0"/>
            <wp:positionH relativeFrom="page">
              <wp:posOffset>3411346</wp:posOffset>
            </wp:positionH>
            <wp:positionV relativeFrom="paragraph">
              <wp:posOffset>105790</wp:posOffset>
            </wp:positionV>
            <wp:extent cx="265175" cy="134112"/>
            <wp:effectExtent l="0" t="0" r="0" b="0"/>
            <wp:wrapNone/>
            <wp:docPr id="39" name="image2.png"/>
            <wp:cNvGraphicFramePr>
              <a:graphicFrameLocks noChangeAspect="1"/>
            </wp:cNvGraphicFramePr>
            <a:graphic>
              <a:graphicData uri="http://schemas.openxmlformats.org/drawingml/2006/picture">
                <pic:pic>
                  <pic:nvPicPr>
                    <pic:cNvPr id="40" name="image2.png"/>
                    <pic:cNvPicPr/>
                  </pic:nvPicPr>
                  <pic:blipFill>
                    <a:blip r:embed="rId20" cstate="print"/>
                    <a:stretch>
                      <a:fillRect/>
                    </a:stretch>
                  </pic:blipFill>
                  <pic:spPr>
                    <a:xfrm>
                      <a:off x="0" y="0"/>
                      <a:ext cx="265175" cy="134112"/>
                    </a:xfrm>
                    <a:prstGeom prst="rect">
                      <a:avLst/>
                    </a:prstGeom>
                  </pic:spPr>
                </pic:pic>
              </a:graphicData>
            </a:graphic>
          </wp:anchor>
        </w:drawing>
      </w:r>
      <w:r>
        <w:rPr/>
        <w:t>发包人向承包人提供图纸的期限：</w:t>
      </w:r>
      <w:r>
        <w:rPr>
          <w:u w:val="single"/>
        </w:rPr>
        <w:t> 合同生效后 7 天内</w:t>
      </w:r>
      <w:r>
        <w:rPr/>
        <w:t>；</w:t>
      </w:r>
    </w:p>
    <w:p>
      <w:pPr>
        <w:pStyle w:val="BodyText"/>
        <w:tabs>
          <w:tab w:pos="4696" w:val="left" w:leader="none"/>
        </w:tabs>
        <w:spacing w:line="367" w:lineRule="auto" w:before="139"/>
        <w:ind w:right="1155" w:firstLine="419"/>
      </w:pPr>
      <w:r>
        <w:rPr/>
        <w:pict>
          <v:group style="position:absolute;margin-left:269.690002pt;margin-top:8.330004pt;width:31.8pt;height:10.6pt;mso-position-horizontal-relative:page;mso-position-vertical-relative:paragraph;z-index:-266676224" coordorigin="5394,167" coordsize="636,212">
            <v:shape style="position:absolute;left:5393;top:166;width:418;height:212" type="#_x0000_t75" stroked="false">
              <v:imagedata r:id="rId20" o:title=""/>
            </v:shape>
            <v:shape style="position:absolute;left:5602;top:166;width:428;height:212" type="#_x0000_t75" stroked="false">
              <v:imagedata r:id="rId25" o:title=""/>
            </v:shape>
            <w10:wrap type="none"/>
          </v:group>
        </w:pict>
      </w:r>
      <w:r>
        <w:rPr/>
        <w:t>发包人向承包人提供图纸的数量：</w:t>
      </w:r>
      <w:r>
        <w:rPr>
          <w:u w:val="single"/>
        </w:rPr>
        <w:t> </w:t>
        <w:tab/>
        <w:t>壹套，承包人需要增加图纸套数的，发包人应代</w:t>
      </w:r>
      <w:r>
        <w:rPr>
          <w:spacing w:val="-17"/>
          <w:u w:val="single"/>
        </w:rPr>
        <w:t>为</w:t>
      </w:r>
      <w:r>
        <w:rPr>
          <w:spacing w:val="-192"/>
          <w:u w:val="single"/>
        </w:rPr>
        <w:t>复</w:t>
      </w:r>
      <w:r>
        <w:rPr>
          <w:u w:val="single"/>
        </w:rPr>
        <w:t>制</w:t>
      </w:r>
      <w:r>
        <w:rPr>
          <w:spacing w:val="-3"/>
          <w:u w:val="single"/>
        </w:rPr>
        <w:t>，</w:t>
      </w:r>
      <w:r>
        <w:rPr>
          <w:u w:val="single"/>
        </w:rPr>
        <w:t>复</w:t>
      </w:r>
      <w:r>
        <w:rPr>
          <w:spacing w:val="-3"/>
          <w:u w:val="single"/>
        </w:rPr>
        <w:t>制</w:t>
      </w:r>
      <w:r>
        <w:rPr>
          <w:u w:val="single"/>
        </w:rPr>
        <w:t>费</w:t>
      </w:r>
      <w:r>
        <w:rPr>
          <w:spacing w:val="-3"/>
          <w:u w:val="single"/>
        </w:rPr>
        <w:t>用</w:t>
      </w:r>
      <w:r>
        <w:rPr>
          <w:u w:val="single"/>
        </w:rPr>
        <w:t>由</w:t>
      </w:r>
      <w:r>
        <w:rPr>
          <w:spacing w:val="-3"/>
          <w:u w:val="single"/>
        </w:rPr>
        <w:t>承</w:t>
      </w:r>
      <w:r>
        <w:rPr>
          <w:u w:val="single"/>
        </w:rPr>
        <w:t>包</w:t>
      </w:r>
      <w:r>
        <w:rPr>
          <w:spacing w:val="-3"/>
          <w:u w:val="single"/>
        </w:rPr>
        <w:t>人</w:t>
      </w:r>
      <w:r>
        <w:rPr>
          <w:u w:val="single"/>
        </w:rPr>
        <w:t>承担</w:t>
      </w:r>
      <w:r>
        <w:rPr/>
        <w:t>；</w:t>
      </w:r>
    </w:p>
    <w:p>
      <w:pPr>
        <w:pStyle w:val="BodyText"/>
        <w:spacing w:line="264" w:lineRule="exact"/>
        <w:ind w:left="1098"/>
      </w:pPr>
      <w:r>
        <w:rPr/>
        <w:t>发包人向承包人提供图纸的内容：</w:t>
      </w:r>
      <w:r>
        <w:rPr>
          <w:u w:val="single"/>
        </w:rPr>
        <w:t>本合同发包内容中的全部图纸</w:t>
      </w:r>
      <w:r>
        <w:rPr/>
        <w:t>。</w:t>
      </w:r>
    </w:p>
    <w:p>
      <w:pPr>
        <w:pStyle w:val="ListParagraph"/>
        <w:numPr>
          <w:ilvl w:val="2"/>
          <w:numId w:val="74"/>
        </w:numPr>
        <w:tabs>
          <w:tab w:pos="1624" w:val="left" w:leader="none"/>
        </w:tabs>
        <w:spacing w:line="240" w:lineRule="auto" w:before="139" w:after="0"/>
        <w:ind w:left="1623" w:right="0" w:hanging="526"/>
        <w:jc w:val="left"/>
        <w:rPr>
          <w:sz w:val="21"/>
        </w:rPr>
      </w:pPr>
      <w:r>
        <w:rPr>
          <w:spacing w:val="-3"/>
          <w:sz w:val="21"/>
        </w:rPr>
        <w:t>承包人文件</w:t>
      </w:r>
    </w:p>
    <w:p>
      <w:pPr>
        <w:spacing w:after="0" w:line="240" w:lineRule="auto"/>
        <w:jc w:val="left"/>
        <w:rPr>
          <w:sz w:val="21"/>
        </w:rPr>
        <w:sectPr>
          <w:pgSz w:w="11910" w:h="16850"/>
          <w:pgMar w:header="0" w:footer="779" w:top="1380" w:bottom="1040" w:left="1120" w:right="280"/>
        </w:sectPr>
      </w:pPr>
    </w:p>
    <w:p>
      <w:pPr>
        <w:pStyle w:val="BodyText"/>
        <w:spacing w:line="364" w:lineRule="auto" w:before="60"/>
        <w:ind w:right="1043" w:firstLine="419"/>
        <w:jc w:val="both"/>
      </w:pPr>
      <w:r>
        <w:rPr>
          <w:spacing w:val="-7"/>
        </w:rPr>
        <w:t>需要由承包人提供的文件，包括：</w:t>
      </w:r>
      <w:r>
        <w:rPr>
          <w:spacing w:val="-10"/>
          <w:u w:val="single"/>
        </w:rPr>
        <w:t>开工前 </w:t>
      </w:r>
      <w:r>
        <w:rPr>
          <w:rFonts w:ascii="Times New Roman" w:eastAsia="Times New Roman"/>
          <w:u w:val="single"/>
        </w:rPr>
        <w:t>7 </w:t>
      </w:r>
      <w:r>
        <w:rPr>
          <w:spacing w:val="-3"/>
          <w:u w:val="single"/>
        </w:rPr>
        <w:t>天应提供完善的施工组织设计和安全专项方案，</w:t>
      </w:r>
      <w:r>
        <w:rPr>
          <w:spacing w:val="-204"/>
          <w:u w:val="single"/>
        </w:rPr>
        <w:t>其他</w:t>
      </w:r>
      <w:r>
        <w:rPr>
          <w:spacing w:val="-3"/>
          <w:u w:val="single"/>
        </w:rPr>
        <w:t>需要由承包人提供的文件由双方另行确定</w:t>
      </w:r>
      <w:r>
        <w:rPr/>
        <w:t>；</w:t>
      </w:r>
    </w:p>
    <w:p>
      <w:pPr>
        <w:pStyle w:val="BodyText"/>
        <w:spacing w:line="364" w:lineRule="auto"/>
        <w:ind w:left="1098" w:right="5201"/>
        <w:jc w:val="both"/>
      </w:pPr>
      <w:r>
        <w:rPr/>
        <w:t>承包人提供的文件的期限为：</w:t>
      </w:r>
      <w:r>
        <w:rPr>
          <w:u w:val="single"/>
        </w:rPr>
        <w:t>双方另行确定</w:t>
      </w:r>
      <w:r>
        <w:rPr/>
        <w:t>； 承包人提供的文件的数量为：</w:t>
      </w:r>
      <w:r>
        <w:rPr>
          <w:u w:val="single"/>
        </w:rPr>
        <w:t>双方另行确定</w:t>
      </w:r>
      <w:r>
        <w:rPr/>
        <w:t>； 承包人提供的文件的形式为：</w:t>
      </w:r>
      <w:r>
        <w:rPr>
          <w:u w:val="single"/>
        </w:rPr>
        <w:t>书面形式</w:t>
      </w:r>
      <w:r>
        <w:rPr/>
        <w:t>；</w:t>
      </w:r>
    </w:p>
    <w:p>
      <w:pPr>
        <w:pStyle w:val="BodyText"/>
        <w:spacing w:line="269" w:lineRule="exact"/>
        <w:ind w:left="1098"/>
        <w:jc w:val="both"/>
      </w:pPr>
      <w:r>
        <w:rPr/>
        <w:t>发包人审批承包人文件的期限：</w:t>
      </w:r>
      <w:r>
        <w:rPr>
          <w:u w:val="single"/>
        </w:rPr>
        <w:t>提交文件后 </w:t>
      </w:r>
      <w:r>
        <w:rPr>
          <w:rFonts w:ascii="Times New Roman" w:eastAsia="Times New Roman"/>
          <w:u w:val="single"/>
        </w:rPr>
        <w:t>7 </w:t>
      </w:r>
      <w:r>
        <w:rPr>
          <w:u w:val="single"/>
        </w:rPr>
        <w:t>个工作日内</w:t>
      </w:r>
      <w:r>
        <w:rPr/>
        <w:t>。</w:t>
      </w:r>
    </w:p>
    <w:p>
      <w:pPr>
        <w:pStyle w:val="ListParagraph"/>
        <w:numPr>
          <w:ilvl w:val="2"/>
          <w:numId w:val="74"/>
        </w:numPr>
        <w:tabs>
          <w:tab w:pos="1624" w:val="left" w:leader="none"/>
        </w:tabs>
        <w:spacing w:line="240" w:lineRule="auto" w:before="137" w:after="0"/>
        <w:ind w:left="1623" w:right="0" w:hanging="526"/>
        <w:jc w:val="both"/>
        <w:rPr>
          <w:sz w:val="21"/>
        </w:rPr>
      </w:pPr>
      <w:r>
        <w:rPr>
          <w:spacing w:val="-3"/>
          <w:sz w:val="21"/>
        </w:rPr>
        <w:t>现场图纸准备</w:t>
      </w:r>
    </w:p>
    <w:p>
      <w:pPr>
        <w:pStyle w:val="BodyText"/>
        <w:spacing w:before="142"/>
        <w:ind w:left="1098"/>
      </w:pPr>
      <w:r>
        <w:rPr/>
        <w:t>关于现场图纸准备的约定：</w:t>
      </w:r>
      <w:r>
        <w:rPr>
          <w:u w:val="single"/>
        </w:rPr>
        <w:t>按本合同通用条款执行</w:t>
      </w:r>
      <w:r>
        <w:rPr/>
        <w:t>。</w:t>
      </w:r>
    </w:p>
    <w:p>
      <w:pPr>
        <w:pStyle w:val="Heading8"/>
        <w:numPr>
          <w:ilvl w:val="1"/>
          <w:numId w:val="72"/>
        </w:numPr>
        <w:tabs>
          <w:tab w:pos="1046" w:val="left" w:leader="none"/>
        </w:tabs>
        <w:spacing w:line="240" w:lineRule="auto" w:before="69" w:after="0"/>
        <w:ind w:left="1045" w:right="0" w:hanging="368"/>
        <w:jc w:val="left"/>
      </w:pPr>
      <w:bookmarkStart w:name="1.7 联络" w:id="298"/>
      <w:bookmarkEnd w:id="298"/>
      <w:r>
        <w:rPr>
          <w:b w:val="0"/>
        </w:rPr>
      </w:r>
      <w:bookmarkStart w:name="1.7 联络" w:id="299"/>
      <w:bookmarkEnd w:id="299"/>
      <w:r>
        <w:rPr/>
        <w:t>联络</w:t>
      </w:r>
    </w:p>
    <w:p>
      <w:pPr>
        <w:pStyle w:val="ListParagraph"/>
        <w:numPr>
          <w:ilvl w:val="2"/>
          <w:numId w:val="72"/>
        </w:numPr>
        <w:tabs>
          <w:tab w:pos="1571" w:val="left" w:leader="none"/>
        </w:tabs>
        <w:spacing w:line="364" w:lineRule="auto" w:before="92" w:after="0"/>
        <w:ind w:left="678" w:right="1045" w:firstLine="419"/>
        <w:jc w:val="left"/>
        <w:rPr>
          <w:sz w:val="21"/>
        </w:rPr>
      </w:pPr>
      <w:r>
        <w:rPr>
          <w:spacing w:val="-6"/>
          <w:sz w:val="21"/>
        </w:rPr>
        <w:t>发包人和承包人应当在 </w:t>
      </w:r>
      <w:r>
        <w:rPr>
          <w:rFonts w:ascii="Times New Roman" w:eastAsia="Times New Roman"/>
          <w:sz w:val="21"/>
          <w:u w:val="single"/>
        </w:rPr>
        <w:t>7</w:t>
      </w:r>
      <w:r>
        <w:rPr>
          <w:rFonts w:ascii="Times New Roman" w:eastAsia="Times New Roman"/>
          <w:spacing w:val="19"/>
          <w:sz w:val="21"/>
        </w:rPr>
        <w:t> </w:t>
      </w:r>
      <w:r>
        <w:rPr>
          <w:spacing w:val="-10"/>
          <w:sz w:val="21"/>
        </w:rPr>
        <w:t>天内将与合同有关的通知、批准、证明、证书、指示、指令、</w:t>
      </w:r>
      <w:r>
        <w:rPr>
          <w:spacing w:val="-5"/>
          <w:sz w:val="21"/>
        </w:rPr>
        <w:t>要求、请求、同意、意见、确定和决定等书面函件送达对方当事人。</w:t>
      </w:r>
    </w:p>
    <w:p>
      <w:pPr>
        <w:pStyle w:val="ListParagraph"/>
        <w:numPr>
          <w:ilvl w:val="2"/>
          <w:numId w:val="72"/>
        </w:numPr>
        <w:tabs>
          <w:tab w:pos="1624" w:val="left" w:leader="none"/>
        </w:tabs>
        <w:spacing w:line="367" w:lineRule="auto" w:before="0" w:after="0"/>
        <w:ind w:left="1098" w:right="3626" w:firstLine="0"/>
        <w:jc w:val="left"/>
        <w:rPr>
          <w:sz w:val="21"/>
        </w:rPr>
      </w:pPr>
      <w:r>
        <w:rPr>
          <w:spacing w:val="-3"/>
          <w:sz w:val="21"/>
        </w:rPr>
        <w:t>发包人接收文件的地点：</w:t>
      </w:r>
      <w:r>
        <w:rPr>
          <w:spacing w:val="-3"/>
          <w:sz w:val="21"/>
          <w:u w:val="single"/>
        </w:rPr>
        <w:t>行政办公地点优先于施工现场</w:t>
      </w:r>
      <w:r>
        <w:rPr>
          <w:sz w:val="21"/>
        </w:rPr>
        <w:t>； </w:t>
      </w:r>
      <w:r>
        <w:rPr>
          <w:spacing w:val="-3"/>
          <w:sz w:val="21"/>
        </w:rPr>
        <w:t>发包人指定的接收人为：</w:t>
      </w:r>
      <w:r>
        <w:rPr>
          <w:spacing w:val="-2"/>
          <w:sz w:val="21"/>
          <w:u w:val="single"/>
        </w:rPr>
        <w:t>发包人指定</w:t>
      </w:r>
      <w:r>
        <w:rPr>
          <w:sz w:val="21"/>
        </w:rPr>
        <w:t>。</w:t>
      </w:r>
    </w:p>
    <w:p>
      <w:pPr>
        <w:pStyle w:val="BodyText"/>
        <w:spacing w:line="364" w:lineRule="auto"/>
        <w:ind w:left="1098" w:right="4571"/>
      </w:pPr>
      <w:r>
        <w:rPr/>
        <w:t>承包人接收文件的地点：</w:t>
      </w:r>
      <w:r>
        <w:rPr>
          <w:u w:val="single"/>
        </w:rPr>
        <w:t>项目所在地承包人项目部</w:t>
      </w:r>
      <w:r>
        <w:rPr/>
        <w:t>； 承包人指定的接收人为：</w:t>
      </w:r>
      <w:r>
        <w:rPr>
          <w:u w:val="single"/>
        </w:rPr>
        <w:t>承包人项目经理</w:t>
      </w:r>
      <w:r>
        <w:rPr/>
        <w:t>。</w:t>
      </w:r>
    </w:p>
    <w:p>
      <w:pPr>
        <w:pStyle w:val="BodyText"/>
        <w:spacing w:line="364" w:lineRule="auto"/>
        <w:ind w:left="1098" w:right="4571"/>
      </w:pPr>
      <w:r>
        <w:rPr/>
        <w:t>监理人接收文件的地点：</w:t>
      </w:r>
      <w:r>
        <w:rPr>
          <w:u w:val="single"/>
        </w:rPr>
        <w:t>项目所在地监理人办公室</w:t>
      </w:r>
      <w:r>
        <w:rPr/>
        <w:t>； 监理人指定的接收人为：</w:t>
      </w:r>
      <w:r>
        <w:rPr>
          <w:u w:val="single"/>
        </w:rPr>
        <w:t>总监理工程师或总监代表</w:t>
      </w:r>
      <w:r>
        <w:rPr/>
        <w:t>。</w:t>
      </w:r>
    </w:p>
    <w:p>
      <w:pPr>
        <w:pStyle w:val="Heading8"/>
        <w:numPr>
          <w:ilvl w:val="1"/>
          <w:numId w:val="75"/>
        </w:numPr>
        <w:tabs>
          <w:tab w:pos="1151" w:val="left" w:leader="none"/>
        </w:tabs>
        <w:spacing w:line="318" w:lineRule="exact" w:before="0" w:after="0"/>
        <w:ind w:left="1150" w:right="0" w:hanging="473"/>
        <w:jc w:val="left"/>
      </w:pPr>
      <w:bookmarkStart w:name="1.10 交通运输" w:id="300"/>
      <w:bookmarkEnd w:id="300"/>
      <w:r>
        <w:rPr>
          <w:b w:val="0"/>
        </w:rPr>
      </w:r>
      <w:bookmarkStart w:name="1.10 交通运输" w:id="301"/>
      <w:bookmarkEnd w:id="301"/>
      <w:r>
        <w:rPr/>
        <w:t>交通运输</w:t>
      </w:r>
    </w:p>
    <w:p>
      <w:pPr>
        <w:pStyle w:val="ListParagraph"/>
        <w:numPr>
          <w:ilvl w:val="2"/>
          <w:numId w:val="75"/>
        </w:numPr>
        <w:tabs>
          <w:tab w:pos="1730" w:val="left" w:leader="none"/>
        </w:tabs>
        <w:spacing w:line="240" w:lineRule="auto" w:before="83" w:after="0"/>
        <w:ind w:left="1729" w:right="0" w:hanging="632"/>
        <w:jc w:val="both"/>
        <w:rPr>
          <w:sz w:val="21"/>
        </w:rPr>
      </w:pPr>
      <w:r>
        <w:rPr>
          <w:spacing w:val="-3"/>
          <w:sz w:val="21"/>
        </w:rPr>
        <w:t>出入现场的权利</w:t>
      </w:r>
    </w:p>
    <w:p>
      <w:pPr>
        <w:pStyle w:val="BodyText"/>
        <w:spacing w:line="364" w:lineRule="auto" w:before="138"/>
        <w:ind w:right="1153" w:firstLine="419"/>
        <w:jc w:val="both"/>
      </w:pPr>
      <w:r>
        <w:rPr/>
        <w:t>关于出入现场的权利的约定：</w:t>
      </w:r>
      <w:r>
        <w:rPr>
          <w:spacing w:val="-1"/>
          <w:u w:val="single"/>
        </w:rPr>
        <w:t>由承包人按发包人要求负责取得出入施工现场所需的批准手</w:t>
      </w:r>
      <w:r>
        <w:rPr>
          <w:spacing w:val="-192"/>
          <w:u w:val="single"/>
        </w:rPr>
        <w:t>续</w:t>
      </w:r>
      <w:r>
        <w:rPr>
          <w:u w:val="single"/>
        </w:rPr>
        <w:t>和全部权利，以及取得因施工所需修建道路、桥梁以及其他基础设施的权利，由发包人承担不</w:t>
      </w:r>
      <w:r>
        <w:rPr>
          <w:spacing w:val="-3"/>
          <w:u w:val="single"/>
        </w:rPr>
        <w:t>属于项目安全文明施工应配套设施范围外的相关手续费用和建设费用</w:t>
      </w:r>
      <w:r>
        <w:rPr/>
        <w:t>。</w:t>
      </w:r>
    </w:p>
    <w:p>
      <w:pPr>
        <w:pStyle w:val="ListParagraph"/>
        <w:numPr>
          <w:ilvl w:val="2"/>
          <w:numId w:val="76"/>
        </w:numPr>
        <w:tabs>
          <w:tab w:pos="1730" w:val="left" w:leader="none"/>
        </w:tabs>
        <w:spacing w:line="269" w:lineRule="exact" w:before="0" w:after="0"/>
        <w:ind w:left="1729" w:right="0" w:hanging="632"/>
        <w:jc w:val="left"/>
        <w:rPr>
          <w:sz w:val="21"/>
        </w:rPr>
      </w:pPr>
      <w:r>
        <w:rPr>
          <w:spacing w:val="-2"/>
          <w:sz w:val="21"/>
        </w:rPr>
        <w:t>场内交通</w:t>
      </w:r>
    </w:p>
    <w:p>
      <w:pPr>
        <w:pStyle w:val="BodyText"/>
        <w:spacing w:line="364" w:lineRule="auto" w:before="139"/>
        <w:ind w:left="1098" w:right="1208"/>
      </w:pPr>
      <w:r>
        <w:rPr>
          <w:spacing w:val="-3"/>
        </w:rPr>
        <w:t>关于场外交通和场内交通的边界的约定：</w:t>
      </w:r>
      <w:r>
        <w:rPr>
          <w:spacing w:val="-3"/>
          <w:u w:val="single"/>
        </w:rPr>
        <w:t>本项目约定工程所在地块红线范围内为内场</w:t>
      </w:r>
      <w:r>
        <w:rPr/>
        <w:t>。 </w:t>
      </w:r>
      <w:r>
        <w:rPr>
          <w:spacing w:val="-3"/>
        </w:rPr>
        <w:t>关于发包人向承包人免费提供满足工程施工需要的场内道路和交通设施的约定：</w:t>
      </w:r>
      <w:r>
        <w:rPr>
          <w:spacing w:val="-3"/>
          <w:u w:val="single"/>
        </w:rPr>
        <w:t>双方另行</w:t>
      </w:r>
    </w:p>
    <w:p>
      <w:pPr>
        <w:pStyle w:val="BodyText"/>
        <w:spacing w:line="268" w:lineRule="exact"/>
      </w:pPr>
      <w:r>
        <w:rPr>
          <w:u w:val="single"/>
        </w:rPr>
        <w:t>确定，施工现场内临时道路由承包人负责建设并承担相关费用</w:t>
      </w:r>
      <w:r>
        <w:rPr/>
        <w:t>。</w:t>
      </w:r>
    </w:p>
    <w:p>
      <w:pPr>
        <w:pStyle w:val="ListParagraph"/>
        <w:numPr>
          <w:ilvl w:val="2"/>
          <w:numId w:val="76"/>
        </w:numPr>
        <w:tabs>
          <w:tab w:pos="1730" w:val="left" w:leader="none"/>
        </w:tabs>
        <w:spacing w:line="240" w:lineRule="auto" w:before="142" w:after="0"/>
        <w:ind w:left="1729" w:right="0" w:hanging="632"/>
        <w:jc w:val="left"/>
        <w:rPr>
          <w:sz w:val="21"/>
        </w:rPr>
      </w:pPr>
      <w:r>
        <w:rPr>
          <w:spacing w:val="-3"/>
          <w:sz w:val="21"/>
        </w:rPr>
        <w:t>超大件和超重件的运输</w:t>
      </w:r>
    </w:p>
    <w:p>
      <w:pPr>
        <w:pStyle w:val="BodyText"/>
        <w:spacing w:before="139"/>
        <w:ind w:left="1098"/>
      </w:pPr>
      <w:r>
        <w:rPr/>
        <w:t>运输超大件或超重件所需的道路和桥梁临时加固改造费用和其他有关费用由</w:t>
      </w:r>
      <w:r>
        <w:rPr>
          <w:u w:val="single"/>
        </w:rPr>
        <w:t> 承包人</w:t>
      </w:r>
      <w:r>
        <w:rPr/>
        <w:t>承担。</w:t>
      </w:r>
    </w:p>
    <w:p>
      <w:pPr>
        <w:pStyle w:val="Heading8"/>
        <w:numPr>
          <w:ilvl w:val="1"/>
          <w:numId w:val="75"/>
        </w:numPr>
        <w:tabs>
          <w:tab w:pos="1139" w:val="left" w:leader="none"/>
        </w:tabs>
        <w:spacing w:line="240" w:lineRule="auto" w:before="69" w:after="0"/>
        <w:ind w:left="1138" w:right="0" w:hanging="461"/>
        <w:jc w:val="left"/>
      </w:pPr>
      <w:bookmarkStart w:name="1.11 知识产权" w:id="302"/>
      <w:bookmarkEnd w:id="302"/>
      <w:r>
        <w:rPr>
          <w:b w:val="0"/>
        </w:rPr>
      </w:r>
      <w:bookmarkStart w:name="1.11 知识产权" w:id="303"/>
      <w:bookmarkEnd w:id="303"/>
      <w:r>
        <w:rPr/>
        <w:t>知识产权</w:t>
      </w:r>
    </w:p>
    <w:p>
      <w:pPr>
        <w:pStyle w:val="ListParagraph"/>
        <w:numPr>
          <w:ilvl w:val="2"/>
          <w:numId w:val="75"/>
        </w:numPr>
        <w:tabs>
          <w:tab w:pos="1722" w:val="left" w:leader="none"/>
        </w:tabs>
        <w:spacing w:line="364" w:lineRule="auto" w:before="91" w:after="0"/>
        <w:ind w:left="678" w:right="1158" w:firstLine="419"/>
        <w:jc w:val="left"/>
        <w:rPr>
          <w:sz w:val="21"/>
        </w:rPr>
      </w:pPr>
      <w:r>
        <w:rPr>
          <w:spacing w:val="-1"/>
          <w:sz w:val="21"/>
        </w:rPr>
        <w:t>关于发包人提供给承包人的图纸、发包人为实施工程自行编制或委托编制的技术规</w:t>
      </w:r>
      <w:r>
        <w:rPr>
          <w:spacing w:val="-3"/>
          <w:sz w:val="21"/>
        </w:rPr>
        <w:t>范以及反映发包人关于合同要求或其他类似性质的文件的著作权的归属：</w:t>
      </w:r>
      <w:r>
        <w:rPr>
          <w:spacing w:val="-2"/>
          <w:sz w:val="21"/>
          <w:u w:val="single"/>
        </w:rPr>
        <w:t>发包人</w:t>
      </w:r>
      <w:r>
        <w:rPr>
          <w:sz w:val="21"/>
        </w:rPr>
        <w:t> 。</w:t>
      </w:r>
    </w:p>
    <w:p>
      <w:pPr>
        <w:pStyle w:val="BodyText"/>
        <w:spacing w:line="364" w:lineRule="auto" w:before="1"/>
        <w:ind w:right="1152" w:firstLine="419"/>
      </w:pPr>
      <w:r>
        <w:rPr/>
        <w:t>关于发包人提供的上述文件的使用限制的要求：</w:t>
      </w:r>
      <w:r>
        <w:rPr>
          <w:spacing w:val="-1"/>
          <w:u w:val="single"/>
        </w:rPr>
        <w:t>未经发包人书面同意，承包人不得复制、</w:t>
      </w:r>
      <w:r>
        <w:rPr>
          <w:spacing w:val="-192"/>
          <w:u w:val="single"/>
        </w:rPr>
        <w:t>使</w:t>
      </w:r>
      <w:r>
        <w:rPr>
          <w:spacing w:val="-3"/>
          <w:u w:val="single"/>
        </w:rPr>
        <w:t>用上述文件用于与合同无关的其他事项或将之提供给任何第三方</w:t>
      </w:r>
      <w:r>
        <w:rPr>
          <w:spacing w:val="-1"/>
        </w:rPr>
        <w:t> 。</w:t>
      </w:r>
    </w:p>
    <w:p>
      <w:pPr>
        <w:pStyle w:val="ListParagraph"/>
        <w:numPr>
          <w:ilvl w:val="2"/>
          <w:numId w:val="75"/>
        </w:numPr>
        <w:tabs>
          <w:tab w:pos="1722" w:val="left" w:leader="none"/>
        </w:tabs>
        <w:spacing w:line="267" w:lineRule="exact" w:before="0" w:after="0"/>
        <w:ind w:left="1722" w:right="0" w:hanging="624"/>
        <w:jc w:val="left"/>
        <w:rPr>
          <w:sz w:val="21"/>
        </w:rPr>
      </w:pPr>
      <w:r>
        <w:rPr>
          <w:spacing w:val="-3"/>
          <w:sz w:val="21"/>
        </w:rPr>
        <w:t>关于承包人为实施工程所编制文件的著作权的归属：</w:t>
      </w:r>
      <w:r>
        <w:rPr>
          <w:spacing w:val="-3"/>
          <w:sz w:val="21"/>
          <w:u w:val="single"/>
        </w:rPr>
        <w:t> 按本合同通用条款执行</w:t>
      </w:r>
      <w:r>
        <w:rPr>
          <w:sz w:val="21"/>
        </w:rPr>
        <w:t> 。</w:t>
      </w:r>
    </w:p>
    <w:p>
      <w:pPr>
        <w:spacing w:after="0" w:line="267" w:lineRule="exact"/>
        <w:jc w:val="left"/>
        <w:rPr>
          <w:sz w:val="21"/>
        </w:rPr>
        <w:sectPr>
          <w:pgSz w:w="11910" w:h="16850"/>
          <w:pgMar w:header="0" w:footer="779" w:top="1380" w:bottom="1040" w:left="1120" w:right="280"/>
        </w:sectPr>
      </w:pPr>
    </w:p>
    <w:p>
      <w:pPr>
        <w:pStyle w:val="BodyText"/>
        <w:spacing w:before="60"/>
        <w:ind w:left="1098"/>
      </w:pPr>
      <w:r>
        <w:rPr/>
        <w:t>关于承包人提供的上述文件的使用限制的要求：</w:t>
      </w:r>
      <w:r>
        <w:rPr>
          <w:u w:val="single"/>
        </w:rPr>
        <w:t>按本合同通用条款执行</w:t>
      </w:r>
      <w:r>
        <w:rPr/>
        <w:t>。</w:t>
      </w:r>
    </w:p>
    <w:p>
      <w:pPr>
        <w:pStyle w:val="BodyText"/>
        <w:spacing w:line="364" w:lineRule="auto" w:before="139"/>
        <w:ind w:right="1151"/>
      </w:pPr>
      <w:r>
        <w:rPr>
          <w:rFonts w:ascii="Times New Roman" w:eastAsia="Times New Roman"/>
        </w:rPr>
        <w:t>1.11.4 </w:t>
      </w:r>
      <w:r>
        <w:rPr/>
        <w:t>承包人在施工过程中所采用的专利、专有技术、技术秘密的使用费的承担方式：</w:t>
      </w:r>
      <w:r>
        <w:rPr>
          <w:spacing w:val="-6"/>
          <w:u w:val="single"/>
        </w:rPr>
        <w:t>由承包</w:t>
      </w:r>
      <w:r>
        <w:rPr>
          <w:spacing w:val="-192"/>
          <w:u w:val="single"/>
        </w:rPr>
        <w:t>人</w:t>
      </w:r>
      <w:r>
        <w:rPr>
          <w:spacing w:val="-3"/>
          <w:u w:val="single"/>
        </w:rPr>
        <w:t>承担，已包含在签约合同价中，发包人不再另行支付</w:t>
      </w:r>
      <w:r>
        <w:rPr>
          <w:spacing w:val="-1"/>
        </w:rPr>
        <w:t> 。</w:t>
      </w:r>
    </w:p>
    <w:p>
      <w:pPr>
        <w:pStyle w:val="Heading8"/>
        <w:spacing w:line="317" w:lineRule="exact"/>
        <w:ind w:left="678" w:firstLine="0"/>
      </w:pPr>
      <w:bookmarkStart w:name="1.13工程量清单错误的修正" w:id="304"/>
      <w:bookmarkEnd w:id="304"/>
      <w:r>
        <w:rPr>
          <w:b w:val="0"/>
        </w:rPr>
      </w:r>
      <w:r>
        <w:rPr>
          <w:rFonts w:ascii="Times New Roman" w:eastAsia="Times New Roman"/>
        </w:rPr>
        <w:t>1.13 </w:t>
      </w:r>
      <w:r>
        <w:rPr/>
        <w:t>工程量清单错误的修正</w:t>
      </w:r>
    </w:p>
    <w:p>
      <w:pPr>
        <w:pStyle w:val="BodyText"/>
        <w:tabs>
          <w:tab w:pos="6854" w:val="left" w:leader="none"/>
        </w:tabs>
        <w:spacing w:line="364" w:lineRule="auto" w:before="92"/>
        <w:ind w:left="1098" w:right="3019"/>
      </w:pPr>
      <w:r>
        <w:rPr/>
        <w:t>出现</w:t>
      </w:r>
      <w:r>
        <w:rPr>
          <w:spacing w:val="-3"/>
        </w:rPr>
        <w:t>工</w:t>
      </w:r>
      <w:r>
        <w:rPr/>
        <w:t>程</w:t>
      </w:r>
      <w:r>
        <w:rPr>
          <w:spacing w:val="-3"/>
        </w:rPr>
        <w:t>量</w:t>
      </w:r>
      <w:r>
        <w:rPr/>
        <w:t>清</w:t>
      </w:r>
      <w:r>
        <w:rPr>
          <w:spacing w:val="-3"/>
        </w:rPr>
        <w:t>单</w:t>
      </w:r>
      <w:r>
        <w:rPr/>
        <w:t>工</w:t>
      </w:r>
      <w:r>
        <w:rPr>
          <w:spacing w:val="-3"/>
        </w:rPr>
        <w:t>程</w:t>
      </w:r>
      <w:r>
        <w:rPr/>
        <w:t>量</w:t>
      </w:r>
      <w:r>
        <w:rPr>
          <w:spacing w:val="-3"/>
        </w:rPr>
        <w:t>偏</w:t>
      </w:r>
      <w:r>
        <w:rPr/>
        <w:t>差时</w:t>
      </w:r>
      <w:r>
        <w:rPr>
          <w:spacing w:val="-3"/>
        </w:rPr>
        <w:t>，</w:t>
      </w:r>
      <w:r>
        <w:rPr/>
        <w:t>是</w:t>
      </w:r>
      <w:r>
        <w:rPr>
          <w:spacing w:val="-3"/>
        </w:rPr>
        <w:t>否</w:t>
      </w:r>
      <w:r>
        <w:rPr/>
        <w:t>调</w:t>
      </w:r>
      <w:r>
        <w:rPr>
          <w:spacing w:val="-3"/>
        </w:rPr>
        <w:t>整</w:t>
      </w:r>
      <w:r>
        <w:rPr/>
        <w:t>合</w:t>
      </w:r>
      <w:r>
        <w:rPr>
          <w:spacing w:val="-3"/>
        </w:rPr>
        <w:t>同</w:t>
      </w:r>
      <w:r>
        <w:rPr/>
        <w:t>价</w:t>
      </w:r>
      <w:r>
        <w:rPr>
          <w:spacing w:val="-3"/>
        </w:rPr>
        <w:t>格</w:t>
      </w:r>
      <w:r>
        <w:rPr/>
        <w:t>：</w:t>
      </w:r>
      <w:r>
        <w:rPr>
          <w:rFonts w:ascii="Wingdings 2" w:hAnsi="Wingdings 2" w:eastAsia="Wingdings 2"/>
          <w:u w:val="single"/>
        </w:rPr>
        <w:t></w:t>
      </w:r>
      <w:r>
        <w:rPr>
          <w:u w:val="single"/>
        </w:rPr>
        <w:t>是</w:t>
        <w:tab/>
        <w:t>□</w:t>
      </w:r>
      <w:r>
        <w:rPr>
          <w:spacing w:val="-3"/>
          <w:u w:val="single"/>
        </w:rPr>
        <w:t>否</w:t>
      </w:r>
      <w:r>
        <w:rPr>
          <w:spacing w:val="-18"/>
        </w:rPr>
        <w:t>。</w:t>
      </w:r>
      <w:r>
        <w:rPr/>
        <w:t>允许</w:t>
      </w:r>
      <w:r>
        <w:rPr>
          <w:spacing w:val="-3"/>
        </w:rPr>
        <w:t>调</w:t>
      </w:r>
      <w:r>
        <w:rPr/>
        <w:t>整</w:t>
      </w:r>
      <w:r>
        <w:rPr>
          <w:spacing w:val="-3"/>
        </w:rPr>
        <w:t>合</w:t>
      </w:r>
      <w:r>
        <w:rPr/>
        <w:t>同</w:t>
      </w:r>
      <w:r>
        <w:rPr>
          <w:spacing w:val="-3"/>
        </w:rPr>
        <w:t>价</w:t>
      </w:r>
      <w:r>
        <w:rPr/>
        <w:t>格</w:t>
      </w:r>
      <w:r>
        <w:rPr>
          <w:spacing w:val="-3"/>
        </w:rPr>
        <w:t>的</w:t>
      </w:r>
      <w:r>
        <w:rPr/>
        <w:t>工</w:t>
      </w:r>
      <w:r>
        <w:rPr>
          <w:spacing w:val="-3"/>
        </w:rPr>
        <w:t>程</w:t>
      </w:r>
      <w:r>
        <w:rPr/>
        <w:t>量偏</w:t>
      </w:r>
      <w:r>
        <w:rPr>
          <w:spacing w:val="-3"/>
        </w:rPr>
        <w:t>差</w:t>
      </w:r>
      <w:r>
        <w:rPr/>
        <w:t>范</w:t>
      </w:r>
      <w:r>
        <w:rPr>
          <w:spacing w:val="-3"/>
        </w:rPr>
        <w:t>围</w:t>
      </w:r>
      <w:r>
        <w:rPr/>
        <w:t>及</w:t>
      </w:r>
      <w:r>
        <w:rPr>
          <w:spacing w:val="-3"/>
        </w:rPr>
        <w:t>其</w:t>
      </w:r>
      <w:r>
        <w:rPr/>
        <w:t>调</w:t>
      </w:r>
      <w:r>
        <w:rPr>
          <w:spacing w:val="-3"/>
        </w:rPr>
        <w:t>整</w:t>
      </w:r>
      <w:r>
        <w:rPr/>
        <w:t>办</w:t>
      </w:r>
      <w:r>
        <w:rPr>
          <w:spacing w:val="-3"/>
        </w:rPr>
        <w:t>法</w:t>
      </w:r>
      <w:r>
        <w:rPr/>
        <w:t>：</w:t>
      </w:r>
    </w:p>
    <w:p>
      <w:pPr>
        <w:pStyle w:val="BodyText"/>
        <w:tabs>
          <w:tab w:pos="2675" w:val="left" w:leader="none"/>
        </w:tabs>
        <w:spacing w:line="367" w:lineRule="auto"/>
        <w:ind w:right="1159" w:firstLine="419"/>
      </w:pPr>
      <w:r>
        <w:rPr>
          <w:spacing w:val="16"/>
        </w:rPr>
        <w:t>□</w:t>
      </w:r>
      <w:r>
        <w:rPr>
          <w:spacing w:val="51"/>
          <w:u w:val="single"/>
        </w:rPr>
        <w:t> </w:t>
      </w:r>
      <w:r>
        <w:rPr>
          <w:spacing w:val="14"/>
          <w:u w:val="single"/>
        </w:rPr>
        <w:t>除</w:t>
      </w:r>
      <w:r>
        <w:rPr>
          <w:spacing w:val="16"/>
          <w:u w:val="single"/>
        </w:rPr>
        <w:t>严</w:t>
      </w:r>
      <w:r>
        <w:rPr>
          <w:spacing w:val="14"/>
          <w:u w:val="single"/>
        </w:rPr>
        <w:t>重不平</w:t>
      </w:r>
      <w:r>
        <w:rPr>
          <w:spacing w:val="16"/>
          <w:u w:val="single"/>
        </w:rPr>
        <w:t>衡</w:t>
      </w:r>
      <w:r>
        <w:rPr>
          <w:spacing w:val="14"/>
          <w:u w:val="single"/>
        </w:rPr>
        <w:t>报价外</w:t>
      </w:r>
      <w:r>
        <w:rPr>
          <w:spacing w:val="16"/>
          <w:u w:val="single"/>
        </w:rPr>
        <w:t>，</w:t>
      </w:r>
      <w:r>
        <w:rPr>
          <w:spacing w:val="14"/>
          <w:u w:val="single"/>
        </w:rPr>
        <w:t>无论分</w:t>
      </w:r>
      <w:r>
        <w:rPr>
          <w:spacing w:val="16"/>
          <w:u w:val="single"/>
        </w:rPr>
        <w:t>部</w:t>
      </w:r>
      <w:r>
        <w:rPr>
          <w:spacing w:val="14"/>
          <w:u w:val="single"/>
        </w:rPr>
        <w:t>分项</w:t>
      </w:r>
      <w:r>
        <w:rPr>
          <w:spacing w:val="16"/>
          <w:u w:val="single"/>
        </w:rPr>
        <w:t>工</w:t>
      </w:r>
      <w:r>
        <w:rPr>
          <w:spacing w:val="14"/>
          <w:u w:val="single"/>
        </w:rPr>
        <w:t>程量</w:t>
      </w:r>
      <w:r>
        <w:rPr>
          <w:spacing w:val="16"/>
          <w:u w:val="single"/>
        </w:rPr>
        <w:t>清</w:t>
      </w:r>
      <w:r>
        <w:rPr>
          <w:spacing w:val="14"/>
          <w:u w:val="single"/>
        </w:rPr>
        <w:t>单项目</w:t>
      </w:r>
      <w:r>
        <w:rPr>
          <w:spacing w:val="16"/>
          <w:u w:val="single"/>
        </w:rPr>
        <w:t>中</w:t>
      </w:r>
      <w:r>
        <w:rPr>
          <w:spacing w:val="14"/>
          <w:u w:val="single"/>
        </w:rPr>
        <w:t>的工</w:t>
      </w:r>
      <w:r>
        <w:rPr>
          <w:spacing w:val="16"/>
          <w:u w:val="single"/>
        </w:rPr>
        <w:t>程</w:t>
      </w:r>
      <w:r>
        <w:rPr>
          <w:spacing w:val="14"/>
          <w:u w:val="single"/>
        </w:rPr>
        <w:t>量变</w:t>
      </w:r>
      <w:r>
        <w:rPr>
          <w:spacing w:val="16"/>
          <w:u w:val="single"/>
        </w:rPr>
        <w:t>化</w:t>
      </w:r>
      <w:r>
        <w:rPr>
          <w:spacing w:val="14"/>
          <w:u w:val="single"/>
        </w:rPr>
        <w:t>多少均</w:t>
      </w:r>
      <w:r>
        <w:rPr>
          <w:spacing w:val="16"/>
          <w:u w:val="single"/>
        </w:rPr>
        <w:t>不</w:t>
      </w:r>
      <w:r>
        <w:rPr>
          <w:u w:val="single"/>
        </w:rPr>
        <w:t>调整</w:t>
        <w:tab/>
      </w:r>
      <w:r>
        <w:rPr/>
        <w:t>。</w:t>
      </w:r>
    </w:p>
    <w:p>
      <w:pPr>
        <w:pStyle w:val="BodyText"/>
        <w:spacing w:line="364" w:lineRule="auto"/>
        <w:ind w:right="1148" w:firstLine="419"/>
        <w:jc w:val="both"/>
      </w:pPr>
      <w:r>
        <w:rPr>
          <w:rFonts w:ascii="Wingdings 2" w:hAnsi="Wingdings 2" w:eastAsia="Wingdings 2"/>
          <w:spacing w:val="3"/>
        </w:rPr>
        <w:t></w:t>
      </w:r>
      <w:r>
        <w:rPr>
          <w:spacing w:val="1"/>
          <w:u w:val="single"/>
        </w:rPr>
        <w:t>承包人实际完成的某单项清单项目工程量与招标工程量清单工程量偏差超过 </w:t>
      </w:r>
      <w:r>
        <w:rPr>
          <w:rFonts w:ascii="Calibri" w:hAnsi="Calibri" w:eastAsia="Calibri"/>
          <w:u w:val="single"/>
        </w:rPr>
        <w:t>15</w:t>
      </w:r>
      <w:r>
        <w:rPr>
          <w:rFonts w:ascii="Calibri" w:hAnsi="Calibri" w:eastAsia="Calibri"/>
          <w:spacing w:val="8"/>
          <w:u w:val="single"/>
        </w:rPr>
        <w:t> %</w:t>
      </w:r>
      <w:r>
        <w:rPr>
          <w:spacing w:val="4"/>
          <w:u w:val="single"/>
        </w:rPr>
        <w:t>且该</w:t>
      </w:r>
      <w:r>
        <w:rPr>
          <w:spacing w:val="-202"/>
          <w:u w:val="single"/>
        </w:rPr>
        <w:t>单项</w:t>
      </w:r>
      <w:r>
        <w:rPr>
          <w:spacing w:val="-1"/>
          <w:u w:val="single"/>
        </w:rPr>
        <w:t>清单造价超过合同总价 </w:t>
      </w:r>
      <w:r>
        <w:rPr>
          <w:rFonts w:ascii="Calibri" w:hAnsi="Calibri" w:eastAsia="Calibri"/>
          <w:u w:val="single"/>
        </w:rPr>
        <w:t>1</w:t>
      </w:r>
      <w:r>
        <w:rPr>
          <w:rFonts w:ascii="Calibri" w:hAnsi="Calibri" w:eastAsia="Calibri"/>
          <w:spacing w:val="14"/>
          <w:u w:val="single"/>
        </w:rPr>
        <w:t> %</w:t>
      </w:r>
      <w:r>
        <w:rPr>
          <w:spacing w:val="-3"/>
          <w:u w:val="single"/>
        </w:rPr>
        <w:t>以上的，超过后增加部分工程量或减少后剩余部分工程量的综合单价按以下方法调整：当工程量清单综合单价出现调整，且该变化引起相关总价措施项目发生变</w:t>
      </w:r>
      <w:r>
        <w:rPr>
          <w:spacing w:val="-35"/>
          <w:u w:val="single"/>
        </w:rPr>
        <w:t>化时，按照《</w:t>
      </w:r>
      <w:r>
        <w:rPr>
          <w:rFonts w:ascii="Calibri" w:hAnsi="Calibri" w:eastAsia="Calibri"/>
          <w:u w:val="single"/>
        </w:rPr>
        <w:t>&lt;</w:t>
      </w:r>
      <w:r>
        <w:rPr>
          <w:spacing w:val="-3"/>
          <w:u w:val="single"/>
        </w:rPr>
        <w:t>建设工程工程量清单计价规范</w:t>
      </w:r>
      <w:r>
        <w:rPr>
          <w:rFonts w:ascii="Calibri" w:hAnsi="Calibri" w:eastAsia="Calibri"/>
          <w:u w:val="single"/>
        </w:rPr>
        <w:t>&gt;(GB50500-2013)</w:t>
      </w:r>
      <w:r>
        <w:rPr>
          <w:spacing w:val="-11"/>
          <w:u w:val="single"/>
        </w:rPr>
        <w:t>广西壮族自治区实施细则》</w:t>
      </w:r>
      <w:r>
        <w:rPr>
          <w:rFonts w:ascii="Calibri" w:hAnsi="Calibri" w:eastAsia="Calibri"/>
          <w:u w:val="single"/>
        </w:rPr>
        <w:t>9.3.2</w:t>
      </w:r>
      <w:r>
        <w:rPr>
          <w:u w:val="single"/>
        </w:rPr>
        <w:t>条规</w:t>
      </w:r>
      <w:r>
        <w:rPr>
          <w:spacing w:val="-3"/>
          <w:u w:val="single"/>
        </w:rPr>
        <w:t>定进行调整 。</w:t>
      </w:r>
    </w:p>
    <w:p>
      <w:pPr>
        <w:pStyle w:val="Heading8"/>
        <w:numPr>
          <w:ilvl w:val="0"/>
          <w:numId w:val="70"/>
        </w:numPr>
        <w:tabs>
          <w:tab w:pos="959" w:val="left" w:leader="none"/>
        </w:tabs>
        <w:spacing w:line="368" w:lineRule="exact" w:before="0" w:after="0"/>
        <w:ind w:left="958" w:right="0" w:hanging="281"/>
        <w:jc w:val="left"/>
      </w:pPr>
      <w:bookmarkStart w:name="2. 发包人" w:id="305"/>
      <w:bookmarkEnd w:id="305"/>
      <w:r>
        <w:rPr>
          <w:b w:val="0"/>
        </w:rPr>
      </w:r>
      <w:bookmarkStart w:name="2. 发包人" w:id="306"/>
      <w:bookmarkEnd w:id="306"/>
      <w:r>
        <w:rPr/>
        <w:t>发包人</w:t>
      </w:r>
    </w:p>
    <w:p>
      <w:pPr>
        <w:spacing w:before="142"/>
        <w:ind w:left="678" w:right="0" w:firstLine="0"/>
        <w:jc w:val="left"/>
        <w:rPr>
          <w:rFonts w:ascii="Microsoft JhengHei" w:eastAsia="Microsoft JhengHei" w:hint="eastAsia"/>
          <w:b/>
          <w:sz w:val="21"/>
        </w:rPr>
      </w:pPr>
      <w:bookmarkStart w:name="2.2 发包人代表" w:id="307"/>
      <w:bookmarkEnd w:id="307"/>
      <w:r>
        <w:rPr/>
      </w:r>
      <w:r>
        <w:rPr>
          <w:rFonts w:ascii="Times New Roman" w:eastAsia="Times New Roman"/>
          <w:b/>
          <w:sz w:val="21"/>
        </w:rPr>
        <w:t>2.2 </w:t>
      </w:r>
      <w:r>
        <w:rPr>
          <w:rFonts w:ascii="Microsoft JhengHei" w:eastAsia="Microsoft JhengHei" w:hint="eastAsia"/>
          <w:b/>
          <w:sz w:val="21"/>
        </w:rPr>
        <w:t>发包人代表</w:t>
      </w:r>
    </w:p>
    <w:p>
      <w:pPr>
        <w:pStyle w:val="BodyText"/>
        <w:spacing w:before="91"/>
        <w:ind w:left="1098"/>
      </w:pPr>
      <w:r>
        <w:rPr/>
        <w:t>发包人代表：</w:t>
      </w:r>
    </w:p>
    <w:p>
      <w:pPr>
        <w:pStyle w:val="BodyText"/>
        <w:tabs>
          <w:tab w:pos="5459" w:val="left" w:leader="none"/>
          <w:tab w:pos="5512" w:val="left" w:leader="none"/>
        </w:tabs>
        <w:spacing w:line="364" w:lineRule="auto" w:before="139"/>
        <w:ind w:left="1098" w:right="4780"/>
        <w:jc w:val="both"/>
      </w:pPr>
      <w:r>
        <w:rPr/>
        <w:pict>
          <v:group style="position:absolute;margin-left:163.460007pt;margin-top:8.330013pt;width:139.35pt;height:10.6pt;mso-position-horizontal-relative:page;mso-position-vertical-relative:paragraph;z-index:-266675200" coordorigin="3269,167" coordsize="2787,212">
            <v:shape style="position:absolute;left:3269;top:166;width:423;height:212" type="#_x0000_t75" stroked="false">
              <v:imagedata r:id="rId21" o:title=""/>
            </v:shape>
            <v:shape style="position:absolute;left:3480;top:166;width:418;height:212" type="#_x0000_t75" stroked="false">
              <v:imagedata r:id="rId20" o:title=""/>
            </v:shape>
            <v:shape style="position:absolute;left:3689;top:166;width:423;height:212" type="#_x0000_t75" stroked="false">
              <v:imagedata r:id="rId21" o:title=""/>
            </v:shape>
            <v:shape style="position:absolute;left:3901;top:166;width:418;height:212" type="#_x0000_t75" stroked="false">
              <v:imagedata r:id="rId20" o:title=""/>
            </v:shape>
            <v:shape style="position:absolute;left:4109;top:166;width:423;height:212" type="#_x0000_t75" stroked="false">
              <v:imagedata r:id="rId21" o:title=""/>
            </v:shape>
            <v:shape style="position:absolute;left:4321;top:166;width:418;height:212" type="#_x0000_t75" stroked="false">
              <v:imagedata r:id="rId20" o:title=""/>
            </v:shape>
            <v:shape style="position:absolute;left:4529;top:166;width:423;height:212" type="#_x0000_t75" stroked="false">
              <v:imagedata r:id="rId21" o:title=""/>
            </v:shape>
            <v:shape style="position:absolute;left:4741;top:166;width:423;height:212" type="#_x0000_t75" stroked="false">
              <v:imagedata r:id="rId21" o:title=""/>
            </v:shape>
            <v:shape style="position:absolute;left:4952;top:166;width:418;height:212" type="#_x0000_t75" stroked="false">
              <v:imagedata r:id="rId20" o:title=""/>
            </v:shape>
            <v:shape style="position:absolute;left:5213;top:166;width:418;height:212" type="#_x0000_t75" stroked="false">
              <v:imagedata r:id="rId20" o:title=""/>
            </v:shape>
            <v:shape style="position:absolute;left:5422;top:166;width:423;height:212" type="#_x0000_t75" stroked="false">
              <v:imagedata r:id="rId21" o:title=""/>
            </v:shape>
            <v:shape style="position:absolute;left:5633;top:166;width:423;height:212" type="#_x0000_t75" stroked="false">
              <v:imagedata r:id="rId21" o:title=""/>
            </v:shape>
            <w10:wrap type="none"/>
          </v:group>
        </w:pict>
      </w:r>
      <w:r>
        <w:rPr/>
        <w:pict>
          <v:group style="position:absolute;margin-left:307.970001pt;margin-top:8.330013pt;width:34.25pt;height:10.6pt;mso-position-horizontal-relative:page;mso-position-vertical-relative:paragraph;z-index:-266674176" coordorigin="6159,167" coordsize="685,212">
            <v:shape style="position:absolute;left:6159;top:166;width:423;height:212" type="#_x0000_t75" stroked="false">
              <v:imagedata r:id="rId21" o:title=""/>
            </v:shape>
            <v:shape style="position:absolute;left:6421;top:166;width:423;height:212" type="#_x0000_t75" stroked="false">
              <v:imagedata r:id="rId21" o:title=""/>
            </v:shape>
            <w10:wrap type="none"/>
          </v:group>
        </w:pict>
      </w:r>
      <w:r>
        <w:rPr/>
        <w:pict>
          <v:group style="position:absolute;margin-left:163.460007pt;margin-top:28.870014pt;width:107.8pt;height:10.6pt;mso-position-horizontal-relative:page;mso-position-vertical-relative:paragraph;z-index:-266673152" coordorigin="3269,577" coordsize="2156,212">
            <v:shape style="position:absolute;left:3269;top:577;width:423;height:212" type="#_x0000_t75" stroked="false">
              <v:imagedata r:id="rId21" o:title=""/>
            </v:shape>
            <v:shape style="position:absolute;left:3480;top:577;width:418;height:212" type="#_x0000_t75" stroked="false">
              <v:imagedata r:id="rId20" o:title=""/>
            </v:shape>
            <v:shape style="position:absolute;left:3689;top:577;width:423;height:212" type="#_x0000_t75" stroked="false">
              <v:imagedata r:id="rId21" o:title=""/>
            </v:shape>
            <v:shape style="position:absolute;left:3901;top:577;width:418;height:212" type="#_x0000_t75" stroked="false">
              <v:imagedata r:id="rId20" o:title=""/>
            </v:shape>
            <v:shape style="position:absolute;left:4109;top:577;width:423;height:212" type="#_x0000_t75" stroked="false">
              <v:imagedata r:id="rId21" o:title=""/>
            </v:shape>
            <v:shape style="position:absolute;left:4321;top:577;width:418;height:212" type="#_x0000_t75" stroked="false">
              <v:imagedata r:id="rId20" o:title=""/>
            </v:shape>
            <v:shape style="position:absolute;left:4529;top:577;width:423;height:212" type="#_x0000_t75" stroked="false">
              <v:imagedata r:id="rId21" o:title=""/>
            </v:shape>
            <v:shape style="position:absolute;left:4793;top:577;width:418;height:212" type="#_x0000_t75" stroked="false">
              <v:imagedata r:id="rId20" o:title=""/>
            </v:shape>
            <v:shape style="position:absolute;left:5002;top:577;width:423;height:212" type="#_x0000_t75" stroked="false">
              <v:imagedata r:id="rId21" o:title=""/>
            </v:shape>
            <w10:wrap type="none"/>
          </v:group>
        </w:pict>
      </w:r>
      <w:r>
        <w:rPr/>
        <w:pict>
          <v:group style="position:absolute;margin-left:276.410004pt;margin-top:28.870014pt;width:63.15pt;height:10.6pt;mso-position-horizontal-relative:page;mso-position-vertical-relative:paragraph;z-index:-266672128" coordorigin="5528,577" coordsize="1263,212">
            <v:shape style="position:absolute;left:5528;top:577;width:423;height:212" type="#_x0000_t75" stroked="false">
              <v:imagedata r:id="rId21" o:title=""/>
            </v:shape>
            <v:shape style="position:absolute;left:5739;top:577;width:418;height:212" type="#_x0000_t75" stroked="false">
              <v:imagedata r:id="rId20" o:title=""/>
            </v:shape>
            <v:shape style="position:absolute;left:5948;top:577;width:843;height:212" type="#_x0000_t75" stroked="false">
              <v:imagedata r:id="rId22" o:title=""/>
            </v:shape>
            <w10:wrap type="none"/>
          </v:group>
        </w:pict>
      </w:r>
      <w:r>
        <w:rPr/>
        <w:pict>
          <v:group style="position:absolute;margin-left:163.460007pt;margin-top:49.270012pt;width:94.75pt;height:10.6pt;mso-position-horizontal-relative:page;mso-position-vertical-relative:paragraph;z-index:-266671104" coordorigin="3269,985" coordsize="1895,212">
            <v:shape style="position:absolute;left:3269;top:985;width:423;height:212" type="#_x0000_t75" stroked="false">
              <v:imagedata r:id="rId21" o:title=""/>
            </v:shape>
            <v:shape style="position:absolute;left:3480;top:985;width:418;height:212" type="#_x0000_t75" stroked="false">
              <v:imagedata r:id="rId20" o:title=""/>
            </v:shape>
            <v:shape style="position:absolute;left:3689;top:985;width:423;height:212" type="#_x0000_t75" stroked="false">
              <v:imagedata r:id="rId21" o:title=""/>
            </v:shape>
            <v:shape style="position:absolute;left:3901;top:985;width:418;height:212" type="#_x0000_t75" stroked="false">
              <v:imagedata r:id="rId20" o:title=""/>
            </v:shape>
            <v:shape style="position:absolute;left:4109;top:985;width:423;height:212" type="#_x0000_t75" stroked="false">
              <v:imagedata r:id="rId21" o:title=""/>
            </v:shape>
            <v:shape style="position:absolute;left:4321;top:985;width:418;height:212" type="#_x0000_t75" stroked="false">
              <v:imagedata r:id="rId20" o:title=""/>
            </v:shape>
            <v:shape style="position:absolute;left:4529;top:985;width:423;height:212" type="#_x0000_t75" stroked="false">
              <v:imagedata r:id="rId21" o:title=""/>
            </v:shape>
            <v:shape style="position:absolute;left:4741;top:985;width:423;height:212" type="#_x0000_t75" stroked="false">
              <v:imagedata r:id="rId21" o:title=""/>
            </v:shape>
            <w10:wrap type="none"/>
          </v:group>
        </w:pict>
      </w:r>
      <w:r>
        <w:rPr/>
        <w:pict>
          <v:group style="position:absolute;margin-left:263.329987pt;margin-top:49.270012pt;width:76.25pt;height:10.6pt;mso-position-horizontal-relative:page;mso-position-vertical-relative:paragraph;z-index:-266670080" coordorigin="5267,985" coordsize="1525,212">
            <v:shape style="position:absolute;left:5266;top:985;width:418;height:212" type="#_x0000_t75" stroked="false">
              <v:imagedata r:id="rId20" o:title=""/>
            </v:shape>
            <v:shape style="position:absolute;left:5475;top:985;width:423;height:212" type="#_x0000_t75" stroked="false">
              <v:imagedata r:id="rId21" o:title=""/>
            </v:shape>
            <v:shape style="position:absolute;left:5686;top:985;width:418;height:212" type="#_x0000_t75" stroked="false">
              <v:imagedata r:id="rId20" o:title=""/>
            </v:shape>
            <v:shape style="position:absolute;left:5895;top:985;width:423;height:212" type="#_x0000_t75" stroked="false">
              <v:imagedata r:id="rId21" o:title=""/>
            </v:shape>
            <v:shape style="position:absolute;left:6106;top:985;width:423;height:212" type="#_x0000_t75" stroked="false">
              <v:imagedata r:id="rId21" o:title=""/>
            </v:shape>
            <v:shape style="position:absolute;left:6368;top:985;width:423;height:212" type="#_x0000_t75" stroked="false">
              <v:imagedata r:id="rId21" o:title=""/>
            </v:shape>
            <w10:wrap type="none"/>
          </v:group>
        </w:pict>
      </w:r>
      <w:r>
        <w:rPr/>
        <w:pict>
          <v:group style="position:absolute;margin-left:163.460007pt;margin-top:69.670013pt;width:176.1pt;height:10.6pt;mso-position-horizontal-relative:page;mso-position-vertical-relative:paragraph;z-index:-266669056" coordorigin="3269,1393" coordsize="3522,212">
            <v:shape style="position:absolute;left:3269;top:1393;width:423;height:212" type="#_x0000_t75" stroked="false">
              <v:imagedata r:id="rId21" o:title=""/>
            </v:shape>
            <v:shape style="position:absolute;left:3480;top:1393;width:839;height:212" type="#_x0000_t75" stroked="false">
              <v:imagedata r:id="rId24" o:title=""/>
            </v:shape>
            <v:shape style="position:absolute;left:4109;top:1393;width:423;height:212" type="#_x0000_t75" stroked="false">
              <v:imagedata r:id="rId21" o:title=""/>
            </v:shape>
            <v:shape style="position:absolute;left:4321;top:1393;width:418;height:212" type="#_x0000_t75" stroked="false">
              <v:imagedata r:id="rId20" o:title=""/>
            </v:shape>
            <v:shape style="position:absolute;left:4529;top:1393;width:423;height:212" type="#_x0000_t75" stroked="false">
              <v:imagedata r:id="rId21" o:title=""/>
            </v:shape>
            <v:shape style="position:absolute;left:4741;top:1393;width:423;height:212" type="#_x0000_t75" stroked="false">
              <v:imagedata r:id="rId21" o:title=""/>
            </v:shape>
            <v:shape style="position:absolute;left:5002;top:1393;width:423;height:212" type="#_x0000_t75" stroked="false">
              <v:imagedata r:id="rId21" o:title=""/>
            </v:shape>
            <v:shape style="position:absolute;left:5213;top:1393;width:418;height:212" type="#_x0000_t75" stroked="false">
              <v:imagedata r:id="rId20" o:title=""/>
            </v:shape>
            <v:shape style="position:absolute;left:5422;top:1393;width:423;height:212" type="#_x0000_t75" stroked="false">
              <v:imagedata r:id="rId21" o:title=""/>
            </v:shape>
            <v:shape style="position:absolute;left:5633;top:1393;width:423;height:212" type="#_x0000_t75" stroked="false">
              <v:imagedata r:id="rId21" o:title=""/>
            </v:shape>
            <v:shape style="position:absolute;left:5895;top:1393;width:423;height:212" type="#_x0000_t75" stroked="false">
              <v:imagedata r:id="rId21" o:title=""/>
            </v:shape>
            <v:shape style="position:absolute;left:6106;top:1393;width:423;height:212" type="#_x0000_t75" stroked="false">
              <v:imagedata r:id="rId21" o:title=""/>
            </v:shape>
            <v:shape style="position:absolute;left:6368;top:1393;width:423;height:212" type="#_x0000_t75" stroked="false">
              <v:imagedata r:id="rId21" o:title=""/>
            </v:shape>
            <w10:wrap type="none"/>
          </v:group>
        </w:pict>
      </w:r>
      <w:r>
        <w:rPr/>
        <w:pict>
          <v:group style="position:absolute;margin-left:163.460007pt;margin-top:90.070015pt;width:176.1pt;height:10.6pt;mso-position-horizontal-relative:page;mso-position-vertical-relative:paragraph;z-index:-266668032" coordorigin="3269,1801" coordsize="3522,212">
            <v:shape style="position:absolute;left:3269;top:1801;width:423;height:212" type="#_x0000_t75" stroked="false">
              <v:imagedata r:id="rId21" o:title=""/>
            </v:shape>
            <v:shape style="position:absolute;left:3480;top:1801;width:418;height:212" type="#_x0000_t75" stroked="false">
              <v:imagedata r:id="rId20" o:title=""/>
            </v:shape>
            <v:shape style="position:absolute;left:3689;top:1801;width:423;height:212" type="#_x0000_t75" stroked="false">
              <v:imagedata r:id="rId21" o:title=""/>
            </v:shape>
            <v:shape style="position:absolute;left:3901;top:1801;width:838;height:212" type="#_x0000_t75" stroked="false">
              <v:imagedata r:id="rId24" o:title=""/>
            </v:shape>
            <v:shape style="position:absolute;left:4529;top:1801;width:423;height:212" type="#_x0000_t75" stroked="false">
              <v:imagedata r:id="rId21" o:title=""/>
            </v:shape>
            <v:shape style="position:absolute;left:4741;top:1801;width:423;height:212" type="#_x0000_t75" stroked="false">
              <v:imagedata r:id="rId21" o:title=""/>
            </v:shape>
            <v:shape style="position:absolute;left:5002;top:1801;width:423;height:212" type="#_x0000_t75" stroked="false">
              <v:imagedata r:id="rId21" o:title=""/>
            </v:shape>
            <v:shape style="position:absolute;left:5213;top:1801;width:418;height:212" type="#_x0000_t75" stroked="false">
              <v:imagedata r:id="rId20" o:title=""/>
            </v:shape>
            <v:shape style="position:absolute;left:5422;top:1801;width:423;height:212" type="#_x0000_t75" stroked="false">
              <v:imagedata r:id="rId21" o:title=""/>
            </v:shape>
            <v:shape style="position:absolute;left:5686;top:1801;width:418;height:212" type="#_x0000_t75" stroked="false">
              <v:imagedata r:id="rId20" o:title=""/>
            </v:shape>
            <v:shape style="position:absolute;left:5895;top:1801;width:423;height:212" type="#_x0000_t75" stroked="false">
              <v:imagedata r:id="rId21" o:title=""/>
            </v:shape>
            <v:shape style="position:absolute;left:6106;top:1801;width:423;height:212" type="#_x0000_t75" stroked="false">
              <v:imagedata r:id="rId21" o:title=""/>
            </v:shape>
            <v:shape style="position:absolute;left:6368;top:1801;width:423;height:212" type="#_x0000_t75" stroked="false">
              <v:imagedata r:id="rId21" o:title=""/>
            </v:shape>
            <w10:wrap type="none"/>
          </v:group>
        </w:pict>
      </w:r>
      <w:r>
        <w:rPr/>
        <w:pict>
          <v:group style="position:absolute;margin-left:163.460007pt;margin-top:110.590012pt;width:94.75pt;height:10.6pt;mso-position-horizontal-relative:page;mso-position-vertical-relative:paragraph;z-index:-266667008" coordorigin="3269,2212" coordsize="1895,212">
            <v:shape style="position:absolute;left:3269;top:2211;width:423;height:212" type="#_x0000_t75" stroked="false">
              <v:imagedata r:id="rId21" o:title=""/>
            </v:shape>
            <v:shape style="position:absolute;left:3480;top:2211;width:418;height:212" type="#_x0000_t75" stroked="false">
              <v:imagedata r:id="rId20" o:title=""/>
            </v:shape>
            <v:shape style="position:absolute;left:3689;top:2211;width:423;height:212" type="#_x0000_t75" stroked="false">
              <v:imagedata r:id="rId21" o:title=""/>
            </v:shape>
            <v:shape style="position:absolute;left:3901;top:2211;width:418;height:212" type="#_x0000_t75" stroked="false">
              <v:imagedata r:id="rId20" o:title=""/>
            </v:shape>
            <v:shape style="position:absolute;left:4109;top:2211;width:423;height:212" type="#_x0000_t75" stroked="false">
              <v:imagedata r:id="rId21" o:title=""/>
            </v:shape>
            <v:shape style="position:absolute;left:4321;top:2211;width:418;height:212" type="#_x0000_t75" stroked="false">
              <v:imagedata r:id="rId20" o:title=""/>
            </v:shape>
            <v:shape style="position:absolute;left:4529;top:2211;width:423;height:212" type="#_x0000_t75" stroked="false">
              <v:imagedata r:id="rId21" o:title=""/>
            </v:shape>
            <v:shape style="position:absolute;left:4741;top:2211;width:423;height:212" type="#_x0000_t75" stroked="false">
              <v:imagedata r:id="rId21" o:title=""/>
            </v:shape>
            <w10:wrap type="none"/>
          </v:group>
        </w:pict>
      </w:r>
      <w:r>
        <w:rPr/>
        <w:pict>
          <v:group style="position:absolute;margin-left:263.329987pt;margin-top:110.590012pt;width:76.25pt;height:10.6pt;mso-position-horizontal-relative:page;mso-position-vertical-relative:paragraph;z-index:-266665984" coordorigin="5267,2212" coordsize="1525,212">
            <v:shape style="position:absolute;left:5266;top:2211;width:418;height:212" type="#_x0000_t75" stroked="false">
              <v:imagedata r:id="rId20" o:title=""/>
            </v:shape>
            <v:shape style="position:absolute;left:5475;top:2211;width:423;height:212" type="#_x0000_t75" stroked="false">
              <v:imagedata r:id="rId21" o:title=""/>
            </v:shape>
            <v:shape style="position:absolute;left:5686;top:2211;width:418;height:212" type="#_x0000_t75" stroked="false">
              <v:imagedata r:id="rId20" o:title=""/>
            </v:shape>
            <v:shape style="position:absolute;left:5895;top:2211;width:423;height:212" type="#_x0000_t75" stroked="false">
              <v:imagedata r:id="rId21" o:title=""/>
            </v:shape>
            <v:shape style="position:absolute;left:6106;top:2211;width:423;height:212" type="#_x0000_t75" stroked="false">
              <v:imagedata r:id="rId21" o:title=""/>
            </v:shape>
            <v:shape style="position:absolute;left:6368;top:2211;width:423;height:212" type="#_x0000_t75" stroked="false">
              <v:imagedata r:id="rId21" o:title=""/>
            </v:shape>
            <w10:wrap type="none"/>
          </v:group>
        </w:pict>
      </w:r>
      <w:r>
        <w:rPr/>
        <w:t>姓   </w:t>
      </w:r>
      <w:r>
        <w:rPr>
          <w:spacing w:val="2"/>
        </w:rPr>
        <w:t> </w:t>
      </w:r>
      <w:r>
        <w:rPr/>
        <w:t>名</w:t>
      </w:r>
      <w:r>
        <w:rPr>
          <w:spacing w:val="-3"/>
        </w:rPr>
        <w:t>：</w:t>
      </w:r>
      <w:r>
        <w:rPr>
          <w:spacing w:val="-3"/>
          <w:u w:val="single"/>
        </w:rPr>
        <w:t> </w:t>
        <w:tab/>
        <w:tab/>
      </w:r>
      <w:r>
        <w:rPr>
          <w:spacing w:val="-17"/>
        </w:rPr>
        <w:t>； </w:t>
      </w:r>
      <w:r>
        <w:rPr/>
        <w:t>身份</w:t>
      </w:r>
      <w:r>
        <w:rPr>
          <w:spacing w:val="-3"/>
        </w:rPr>
        <w:t>证</w:t>
      </w:r>
      <w:r>
        <w:rPr/>
        <w:t>号</w:t>
      </w:r>
      <w:r>
        <w:rPr>
          <w:spacing w:val="-3"/>
        </w:rPr>
        <w:t>：</w:t>
      </w:r>
      <w:r>
        <w:rPr>
          <w:spacing w:val="-3"/>
          <w:u w:val="single"/>
        </w:rPr>
        <w:t> </w:t>
        <w:tab/>
      </w:r>
      <w:r>
        <w:rPr/>
        <w:t>； 职   </w:t>
      </w:r>
      <w:r>
        <w:rPr>
          <w:spacing w:val="2"/>
        </w:rPr>
        <w:t> </w:t>
      </w:r>
      <w:r>
        <w:rPr/>
        <w:t>务</w:t>
      </w:r>
      <w:r>
        <w:rPr>
          <w:spacing w:val="-3"/>
        </w:rPr>
        <w:t>：</w:t>
      </w:r>
      <w:r>
        <w:rPr>
          <w:spacing w:val="-3"/>
          <w:u w:val="single"/>
        </w:rPr>
        <w:t> </w:t>
        <w:tab/>
      </w:r>
      <w:r>
        <w:rPr/>
        <w:t>； 联系</w:t>
      </w:r>
      <w:r>
        <w:rPr>
          <w:spacing w:val="-3"/>
        </w:rPr>
        <w:t>电</w:t>
      </w:r>
      <w:r>
        <w:rPr/>
        <w:t>话</w:t>
      </w:r>
      <w:r>
        <w:rPr>
          <w:spacing w:val="-3"/>
        </w:rPr>
        <w:t>：</w:t>
      </w:r>
      <w:r>
        <w:rPr>
          <w:spacing w:val="-3"/>
          <w:u w:val="single"/>
        </w:rPr>
        <w:t> </w:t>
        <w:tab/>
      </w:r>
      <w:r>
        <w:rPr/>
        <w:t>； 电子</w:t>
      </w:r>
      <w:r>
        <w:rPr>
          <w:spacing w:val="-3"/>
        </w:rPr>
        <w:t>信</w:t>
      </w:r>
      <w:r>
        <w:rPr/>
        <w:t>箱</w:t>
      </w:r>
      <w:r>
        <w:rPr>
          <w:spacing w:val="-3"/>
        </w:rPr>
        <w:t>：</w:t>
      </w:r>
      <w:r>
        <w:rPr>
          <w:spacing w:val="-3"/>
          <w:u w:val="single"/>
        </w:rPr>
        <w:t> </w:t>
        <w:tab/>
      </w:r>
      <w:r>
        <w:rPr/>
        <w:t>； 通信</w:t>
      </w:r>
      <w:r>
        <w:rPr>
          <w:spacing w:val="-3"/>
        </w:rPr>
        <w:t>地</w:t>
      </w:r>
      <w:r>
        <w:rPr/>
        <w:t>址</w:t>
      </w:r>
      <w:r>
        <w:rPr>
          <w:spacing w:val="-3"/>
        </w:rPr>
        <w:t>：</w:t>
      </w:r>
      <w:r>
        <w:rPr>
          <w:spacing w:val="-3"/>
          <w:u w:val="single"/>
        </w:rPr>
        <w:t> </w:t>
        <w:tab/>
      </w:r>
      <w:r>
        <w:rPr/>
        <w:t>。</w:t>
      </w:r>
    </w:p>
    <w:p>
      <w:pPr>
        <w:pStyle w:val="BodyText"/>
        <w:spacing w:line="364" w:lineRule="auto"/>
        <w:ind w:right="1043" w:firstLine="419"/>
      </w:pPr>
      <w:r>
        <w:rPr>
          <w:spacing w:val="-6"/>
        </w:rPr>
        <w:t>发包人对发包人代表的授权范围如下：</w:t>
      </w:r>
      <w:r>
        <w:rPr>
          <w:spacing w:val="-3"/>
          <w:u w:val="single"/>
        </w:rPr>
        <w:t>代表发包人与监理工程师协调与本工程有关的事宜，</w:t>
      </w:r>
      <w:r>
        <w:rPr>
          <w:spacing w:val="-204"/>
          <w:u w:val="single"/>
        </w:rPr>
        <w:t>并行</w:t>
      </w:r>
      <w:r>
        <w:rPr>
          <w:spacing w:val="-3"/>
          <w:u w:val="single"/>
        </w:rPr>
        <w:t>使合同约定的发包人的权利，履行合同约定的发包人的职责</w:t>
      </w:r>
      <w:r>
        <w:rPr/>
        <w:t>。</w:t>
      </w:r>
    </w:p>
    <w:p>
      <w:pPr>
        <w:pStyle w:val="Heading8"/>
        <w:numPr>
          <w:ilvl w:val="1"/>
          <w:numId w:val="77"/>
        </w:numPr>
        <w:tabs>
          <w:tab w:pos="1046" w:val="left" w:leader="none"/>
        </w:tabs>
        <w:spacing w:line="315" w:lineRule="exact" w:before="0" w:after="0"/>
        <w:ind w:left="1045" w:right="0" w:hanging="368"/>
        <w:jc w:val="left"/>
      </w:pPr>
      <w:bookmarkStart w:name="2.4 施工现场、施工条件和基础资料的提供" w:id="308"/>
      <w:bookmarkEnd w:id="308"/>
      <w:r>
        <w:rPr>
          <w:b w:val="0"/>
        </w:rPr>
      </w:r>
      <w:bookmarkStart w:name="2.4 施工现场、施工条件和基础资料的提供" w:id="309"/>
      <w:bookmarkEnd w:id="309"/>
      <w:r>
        <w:rPr>
          <w:spacing w:val="-1"/>
        </w:rPr>
        <w:t>施工现场、施工条件和基础资料的提供</w:t>
      </w:r>
    </w:p>
    <w:p>
      <w:pPr>
        <w:pStyle w:val="ListParagraph"/>
        <w:numPr>
          <w:ilvl w:val="2"/>
          <w:numId w:val="77"/>
        </w:numPr>
        <w:tabs>
          <w:tab w:pos="1624" w:val="left" w:leader="none"/>
        </w:tabs>
        <w:spacing w:line="240" w:lineRule="auto" w:before="91" w:after="0"/>
        <w:ind w:left="1623" w:right="0" w:hanging="526"/>
        <w:jc w:val="both"/>
        <w:rPr>
          <w:sz w:val="21"/>
        </w:rPr>
      </w:pPr>
      <w:r>
        <w:rPr>
          <w:spacing w:val="-3"/>
          <w:sz w:val="21"/>
        </w:rPr>
        <w:t>提供施工现场</w:t>
      </w:r>
    </w:p>
    <w:p>
      <w:pPr>
        <w:pStyle w:val="BodyText"/>
        <w:spacing w:before="141"/>
        <w:ind w:left="1098"/>
      </w:pPr>
      <w:r>
        <w:rPr/>
        <w:t>关于发包人移交施工现场的期限要求：</w:t>
      </w:r>
      <w:r>
        <w:rPr>
          <w:u w:val="single"/>
        </w:rPr>
        <w:t>执行通用条款 2.4.1</w:t>
      </w:r>
      <w:r>
        <w:rPr/>
        <w:t>。</w:t>
      </w:r>
    </w:p>
    <w:p>
      <w:pPr>
        <w:pStyle w:val="ListParagraph"/>
        <w:numPr>
          <w:ilvl w:val="2"/>
          <w:numId w:val="77"/>
        </w:numPr>
        <w:tabs>
          <w:tab w:pos="1624" w:val="left" w:leader="none"/>
        </w:tabs>
        <w:spacing w:line="240" w:lineRule="auto" w:before="139" w:after="0"/>
        <w:ind w:left="1623" w:right="0" w:hanging="526"/>
        <w:jc w:val="both"/>
        <w:rPr>
          <w:sz w:val="21"/>
        </w:rPr>
      </w:pPr>
      <w:r>
        <w:rPr>
          <w:spacing w:val="-3"/>
          <w:sz w:val="21"/>
        </w:rPr>
        <w:t>提供施工条件</w:t>
      </w:r>
    </w:p>
    <w:p>
      <w:pPr>
        <w:pStyle w:val="BodyText"/>
        <w:spacing w:line="304" w:lineRule="auto" w:before="139"/>
        <w:ind w:right="1151" w:firstLine="419"/>
        <w:jc w:val="both"/>
      </w:pPr>
      <w:r>
        <w:rPr>
          <w:spacing w:val="-6"/>
        </w:rPr>
        <w:t>关于发包人应负责提供施工所需要的条件，包括：</w:t>
      </w:r>
      <w:r>
        <w:rPr>
          <w:spacing w:val="-4"/>
        </w:rPr>
        <w:t>*</w:t>
      </w:r>
      <w:r>
        <w:rPr>
          <w:spacing w:val="-6"/>
        </w:rPr>
        <w:t>将事故所需的水、电、电讯线路接至</w:t>
      </w:r>
      <w:r>
        <w:rPr>
          <w:u w:val="single"/>
        </w:rPr>
        <w:t>承</w:t>
      </w:r>
      <w:r>
        <w:rPr>
          <w:spacing w:val="-203"/>
          <w:u w:val="single"/>
        </w:rPr>
        <w:t>包人</w:t>
      </w:r>
      <w:r>
        <w:rPr>
          <w:u w:val="single"/>
        </w:rPr>
        <w:t>在投标报价中自行考虑从接口到施工现场的线路安装。若供电部门的原因造成停电，承包人必</w:t>
      </w:r>
      <w:r>
        <w:rPr>
          <w:spacing w:val="-3"/>
          <w:u w:val="single"/>
        </w:rPr>
        <w:t>须自行解决施工用电，费用自理</w:t>
      </w:r>
      <w:r>
        <w:rPr>
          <w:u w:val="single"/>
        </w:rPr>
        <w:t>（</w:t>
      </w:r>
      <w:r>
        <w:rPr>
          <w:spacing w:val="-3"/>
          <w:u w:val="single"/>
        </w:rPr>
        <w:t>适用市政项目</w:t>
      </w:r>
      <w:r>
        <w:rPr>
          <w:spacing w:val="-106"/>
          <w:u w:val="single"/>
        </w:rPr>
        <w:t>）</w:t>
      </w:r>
      <w:r>
        <w:rPr>
          <w:spacing w:val="-3"/>
        </w:rPr>
        <w:t>。</w:t>
      </w:r>
      <w:r>
        <w:rPr/>
        <w:t> </w:t>
      </w:r>
    </w:p>
    <w:p>
      <w:pPr>
        <w:pStyle w:val="BodyText"/>
        <w:spacing w:line="266" w:lineRule="exact"/>
        <w:ind w:left="1098"/>
      </w:pPr>
      <w:r>
        <w:rPr/>
        <w:t>*土方作业时冲洗平台和密闭车辆的标准：</w:t>
      </w:r>
      <w:r>
        <w:rPr>
          <w:u w:val="single"/>
        </w:rPr>
        <w:t>符合当地建设主管部门的规定</w:t>
      </w:r>
      <w:r>
        <w:rPr/>
        <w:t>。 </w:t>
      </w:r>
    </w:p>
    <w:p>
      <w:pPr>
        <w:pStyle w:val="BodyText"/>
        <w:spacing w:before="69"/>
        <w:ind w:left="1098"/>
      </w:pPr>
      <w:r>
        <w:rPr/>
        <w:t>*消纳场的具体位置及其合理运距：</w:t>
      </w:r>
      <w:r>
        <w:rPr>
          <w:u w:val="single"/>
        </w:rPr>
        <w:t>由双方在施工时根据实际情况商定</w:t>
      </w:r>
      <w:r>
        <w:rPr/>
        <w:t>。</w:t>
      </w:r>
    </w:p>
    <w:p>
      <w:pPr>
        <w:spacing w:after="0"/>
        <w:sectPr>
          <w:pgSz w:w="11910" w:h="16850"/>
          <w:pgMar w:header="0" w:footer="779" w:top="1380" w:bottom="1040" w:left="1120" w:right="280"/>
        </w:sectPr>
      </w:pPr>
    </w:p>
    <w:p>
      <w:pPr>
        <w:pStyle w:val="Heading8"/>
        <w:numPr>
          <w:ilvl w:val="1"/>
          <w:numId w:val="77"/>
        </w:numPr>
        <w:tabs>
          <w:tab w:pos="1046" w:val="left" w:leader="none"/>
        </w:tabs>
        <w:spacing w:line="377" w:lineRule="exact" w:before="0" w:after="0"/>
        <w:ind w:left="1045" w:right="0" w:hanging="368"/>
        <w:jc w:val="left"/>
      </w:pPr>
      <w:bookmarkStart w:name="2.5 资金来源证明及支付担保" w:id="310"/>
      <w:bookmarkEnd w:id="310"/>
      <w:r>
        <w:rPr>
          <w:b w:val="0"/>
        </w:rPr>
      </w:r>
      <w:bookmarkStart w:name="2.5 资金来源证明及支付担保" w:id="311"/>
      <w:bookmarkEnd w:id="311"/>
      <w:r>
        <w:rPr>
          <w:spacing w:val="-1"/>
        </w:rPr>
        <w:t>资金来源证明及支付担保</w:t>
      </w:r>
    </w:p>
    <w:p>
      <w:pPr>
        <w:pStyle w:val="BodyText"/>
        <w:spacing w:line="364" w:lineRule="auto" w:before="91"/>
        <w:ind w:left="1098" w:right="3520"/>
      </w:pPr>
      <w:r>
        <w:rPr/>
        <w:t>发包人提供资金来源证明的期限要求：</w:t>
      </w:r>
      <w:r>
        <w:rPr>
          <w:u w:val="single"/>
        </w:rPr>
        <w:t>招标前资金已落实到位</w:t>
      </w:r>
      <w:r>
        <w:rPr/>
        <w:t>。发包人是否提供支付担保：</w:t>
      </w:r>
      <w:r>
        <w:rPr>
          <w:u w:val="single"/>
        </w:rPr>
        <w:t>否</w:t>
      </w:r>
      <w:r>
        <w:rPr/>
        <w:t> 。</w:t>
      </w:r>
    </w:p>
    <w:p>
      <w:pPr>
        <w:pStyle w:val="BodyText"/>
        <w:spacing w:before="1"/>
        <w:ind w:left="1098"/>
      </w:pPr>
      <w:r>
        <w:rPr/>
        <w:t>发包人提供支付担保的形式：</w:t>
      </w:r>
      <w:r>
        <w:rPr>
          <w:u w:val="single"/>
        </w:rPr>
        <w:t> </w:t>
      </w:r>
      <w:r>
        <w:rPr>
          <w:rFonts w:ascii="Times New Roman" w:eastAsia="Times New Roman"/>
          <w:u w:val="single"/>
        </w:rPr>
        <w:t>/ </w:t>
      </w:r>
      <w:r>
        <w:rPr/>
        <w:t>。</w:t>
      </w:r>
    </w:p>
    <w:p>
      <w:pPr>
        <w:pStyle w:val="BodyText"/>
        <w:spacing w:before="139"/>
        <w:ind w:left="1098"/>
      </w:pPr>
      <w:r>
        <w:rPr/>
        <w:t>发包人提供的支付担保格式见合同附件 </w:t>
      </w:r>
      <w:r>
        <w:rPr>
          <w:rFonts w:ascii="Times New Roman" w:eastAsia="Times New Roman"/>
        </w:rPr>
        <w:t>9</w:t>
      </w:r>
      <w:r>
        <w:rPr/>
        <w:t>。</w:t>
      </w:r>
    </w:p>
    <w:p>
      <w:pPr>
        <w:pStyle w:val="BodyText"/>
        <w:ind w:left="0"/>
        <w:rPr>
          <w:sz w:val="22"/>
        </w:rPr>
      </w:pPr>
    </w:p>
    <w:p>
      <w:pPr>
        <w:pStyle w:val="BodyText"/>
        <w:spacing w:before="5"/>
        <w:ind w:left="0"/>
        <w:rPr>
          <w:sz w:val="16"/>
        </w:rPr>
      </w:pPr>
    </w:p>
    <w:p>
      <w:pPr>
        <w:pStyle w:val="Heading8"/>
        <w:numPr>
          <w:ilvl w:val="0"/>
          <w:numId w:val="70"/>
        </w:numPr>
        <w:tabs>
          <w:tab w:pos="959" w:val="left" w:leader="none"/>
        </w:tabs>
        <w:spacing w:line="240" w:lineRule="auto" w:before="0" w:after="0"/>
        <w:ind w:left="958" w:right="0" w:hanging="281"/>
        <w:jc w:val="left"/>
      </w:pPr>
      <w:bookmarkStart w:name="3. 承包人" w:id="312"/>
      <w:bookmarkEnd w:id="312"/>
      <w:r>
        <w:rPr>
          <w:b w:val="0"/>
        </w:rPr>
      </w:r>
      <w:bookmarkStart w:name="3. 承包人" w:id="313"/>
      <w:bookmarkEnd w:id="313"/>
      <w:r>
        <w:rPr/>
        <w:t>承包人</w:t>
      </w:r>
    </w:p>
    <w:p>
      <w:pPr>
        <w:pStyle w:val="ListParagraph"/>
        <w:numPr>
          <w:ilvl w:val="1"/>
          <w:numId w:val="70"/>
        </w:numPr>
        <w:tabs>
          <w:tab w:pos="1046" w:val="left" w:leader="none"/>
        </w:tabs>
        <w:spacing w:line="240" w:lineRule="auto" w:before="142" w:after="0"/>
        <w:ind w:left="1045" w:right="0" w:hanging="368"/>
        <w:jc w:val="left"/>
        <w:rPr>
          <w:rFonts w:ascii="Microsoft JhengHei" w:eastAsia="Microsoft JhengHei" w:hint="eastAsia"/>
          <w:b/>
          <w:sz w:val="21"/>
        </w:rPr>
      </w:pPr>
      <w:bookmarkStart w:name="3.1 承包人的一般义务" w:id="314"/>
      <w:bookmarkEnd w:id="314"/>
      <w:r>
        <w:rPr/>
      </w:r>
      <w:bookmarkStart w:name="3.1 承包人的一般义务" w:id="315"/>
      <w:bookmarkEnd w:id="315"/>
      <w:r>
        <w:rPr>
          <w:rFonts w:ascii="Microsoft JhengHei" w:eastAsia="Microsoft JhengHei" w:hint="eastAsia"/>
          <w:b/>
          <w:sz w:val="21"/>
        </w:rPr>
        <w:t>承包人的一般义务</w:t>
      </w:r>
    </w:p>
    <w:p>
      <w:pPr>
        <w:pStyle w:val="ListParagraph"/>
        <w:numPr>
          <w:ilvl w:val="0"/>
          <w:numId w:val="78"/>
        </w:numPr>
        <w:tabs>
          <w:tab w:pos="1627" w:val="left" w:leader="none"/>
        </w:tabs>
        <w:spacing w:line="364" w:lineRule="auto" w:before="91" w:after="0"/>
        <w:ind w:left="678" w:right="1105" w:firstLine="419"/>
        <w:jc w:val="left"/>
        <w:rPr>
          <w:sz w:val="21"/>
        </w:rPr>
      </w:pPr>
      <w:r>
        <w:rPr>
          <w:spacing w:val="-3"/>
          <w:sz w:val="21"/>
        </w:rPr>
        <w:t>承包人提交的竣工资料的内容：</w:t>
      </w:r>
      <w:r>
        <w:rPr>
          <w:spacing w:val="-3"/>
          <w:sz w:val="21"/>
          <w:u w:val="single"/>
        </w:rPr>
        <w:t>除专用合同条款约定的由承包人提供的设计文件外，</w:t>
      </w:r>
      <w:r>
        <w:rPr>
          <w:spacing w:val="-212"/>
          <w:sz w:val="21"/>
          <w:u w:val="single"/>
        </w:rPr>
        <w:t>本</w:t>
      </w:r>
      <w:r>
        <w:rPr>
          <w:spacing w:val="-58"/>
          <w:sz w:val="21"/>
          <w:u w:val="single"/>
        </w:rPr>
        <w:t> </w:t>
      </w:r>
      <w:r>
        <w:rPr>
          <w:spacing w:val="-16"/>
          <w:sz w:val="21"/>
          <w:u w:val="single"/>
        </w:rPr>
        <w:t>项约定的其他应由承包人提供的文件，包括必要的加工图和大样图，均不是合同计量与支付的依</w:t>
      </w:r>
      <w:r>
        <w:rPr>
          <w:spacing w:val="-3"/>
          <w:sz w:val="21"/>
          <w:u w:val="single"/>
        </w:rPr>
        <w:t>据文件。由承包人提供的文件范围：工程建设项目竣工验收前，承包人应根据合同工作内容要求，分别整理竣工验收资料</w:t>
      </w:r>
      <w:r>
        <w:rPr>
          <w:sz w:val="21"/>
          <w:u w:val="single"/>
        </w:rPr>
        <w:t>（</w:t>
      </w:r>
      <w:r>
        <w:rPr>
          <w:spacing w:val="-3"/>
          <w:sz w:val="21"/>
          <w:u w:val="single"/>
        </w:rPr>
        <w:t>含竣工图</w:t>
      </w:r>
      <w:r>
        <w:rPr>
          <w:sz w:val="21"/>
          <w:u w:val="single"/>
        </w:rPr>
        <w:t>）</w:t>
      </w:r>
      <w:r>
        <w:rPr>
          <w:spacing w:val="-3"/>
          <w:sz w:val="21"/>
          <w:u w:val="single"/>
        </w:rPr>
        <w:t>，汇总为完整的建设项目竣工资料报发包人</w:t>
      </w:r>
      <w:r>
        <w:rPr>
          <w:sz w:val="21"/>
        </w:rPr>
        <w:t>。</w:t>
      </w:r>
    </w:p>
    <w:p>
      <w:pPr>
        <w:pStyle w:val="BodyText"/>
        <w:spacing w:line="268" w:lineRule="exact"/>
        <w:ind w:left="1098"/>
      </w:pPr>
      <w:r>
        <w:rPr/>
        <w:t>承包人需要提交的竣工资料套数：</w:t>
      </w:r>
      <w:r>
        <w:rPr>
          <w:color w:val="FF0000"/>
          <w:u w:val="single" w:color="000000"/>
        </w:rPr>
        <w:t> 贰套</w:t>
      </w:r>
      <w:r>
        <w:rPr>
          <w:u w:val="single"/>
        </w:rPr>
        <w:t> </w:t>
      </w:r>
      <w:r>
        <w:rPr/>
        <w:t>。</w:t>
      </w:r>
    </w:p>
    <w:p>
      <w:pPr>
        <w:pStyle w:val="BodyText"/>
        <w:spacing w:before="142"/>
        <w:ind w:left="1102"/>
      </w:pPr>
      <w:r>
        <w:rPr>
          <w:spacing w:val="-3"/>
        </w:rPr>
        <w:t>承包人提交的竣工资料的费用承担：</w:t>
      </w:r>
      <w:r>
        <w:rPr>
          <w:spacing w:val="-1"/>
          <w:u w:val="single"/>
        </w:rPr>
        <w:t> 由承包人承担</w:t>
      </w:r>
      <w:r>
        <w:rPr>
          <w:spacing w:val="5"/>
        </w:rPr>
        <w:t> 。</w:t>
      </w:r>
    </w:p>
    <w:p>
      <w:pPr>
        <w:pStyle w:val="BodyText"/>
        <w:spacing w:line="364" w:lineRule="auto" w:before="139"/>
        <w:ind w:left="1098" w:right="3201" w:firstLine="4"/>
      </w:pPr>
      <w:r>
        <w:rPr>
          <w:spacing w:val="-3"/>
        </w:rPr>
        <w:t>承包人提交的竣工资料移交时间：</w:t>
      </w:r>
      <w:r>
        <w:rPr>
          <w:spacing w:val="-8"/>
          <w:u w:val="single"/>
        </w:rPr>
        <w:t> 工程竣工验收合格后 </w:t>
      </w:r>
      <w:r>
        <w:rPr>
          <w:u w:val="single"/>
        </w:rPr>
        <w:t>15</w:t>
      </w:r>
      <w:r>
        <w:rPr>
          <w:spacing w:val="-11"/>
          <w:u w:val="single"/>
        </w:rPr>
        <w:t> 日内 </w:t>
      </w:r>
      <w:r>
        <w:rPr/>
        <w:t>。</w:t>
      </w:r>
      <w:r>
        <w:rPr>
          <w:spacing w:val="-3"/>
        </w:rPr>
        <w:t>承包人提交的竣工资料形式要求：</w:t>
      </w:r>
      <w:r>
        <w:rPr>
          <w:spacing w:val="-3"/>
          <w:u w:val="single"/>
        </w:rPr>
        <w:t> 书面及电子文档</w:t>
      </w:r>
      <w:r>
        <w:rPr/>
        <w:t> 。</w:t>
      </w:r>
    </w:p>
    <w:p>
      <w:pPr>
        <w:pStyle w:val="ListParagraph"/>
        <w:numPr>
          <w:ilvl w:val="0"/>
          <w:numId w:val="78"/>
        </w:numPr>
        <w:tabs>
          <w:tab w:pos="1738" w:val="left" w:leader="none"/>
        </w:tabs>
        <w:spacing w:line="267" w:lineRule="exact" w:before="0" w:after="0"/>
        <w:ind w:left="1737" w:right="0" w:hanging="636"/>
        <w:jc w:val="left"/>
        <w:rPr>
          <w:sz w:val="21"/>
        </w:rPr>
      </w:pPr>
      <w:r>
        <w:rPr>
          <w:spacing w:val="-3"/>
          <w:sz w:val="21"/>
        </w:rPr>
        <w:t>承包人应履行的其他义务：</w:t>
      </w:r>
    </w:p>
    <w:p>
      <w:pPr>
        <w:pStyle w:val="BodyText"/>
        <w:spacing w:before="4"/>
        <w:ind w:left="0"/>
        <w:rPr>
          <w:sz w:val="24"/>
        </w:rPr>
      </w:pPr>
    </w:p>
    <w:p>
      <w:pPr>
        <w:pStyle w:val="BodyText"/>
        <w:ind w:left="1098"/>
      </w:pPr>
      <w:r>
        <w:rPr/>
        <w:t>按照《中华人民共和国工会法》、《国务院关于进一步做好为农民工服务工作的意见》（国发</w:t>
      </w:r>
    </w:p>
    <w:p>
      <w:pPr>
        <w:pStyle w:val="BodyText"/>
        <w:spacing w:before="6"/>
        <w:ind w:left="0"/>
        <w:rPr>
          <w:sz w:val="16"/>
        </w:rPr>
      </w:pPr>
    </w:p>
    <w:p>
      <w:pPr>
        <w:pStyle w:val="BodyText"/>
        <w:spacing w:line="427" w:lineRule="auto"/>
        <w:ind w:right="1045"/>
      </w:pPr>
      <w:r>
        <w:rPr/>
        <w:t>〔</w:t>
      </w:r>
      <w:r>
        <w:rPr>
          <w:rFonts w:ascii="Times New Roman" w:hAnsi="Times New Roman" w:eastAsia="Times New Roman"/>
        </w:rPr>
        <w:t>2014</w:t>
      </w:r>
      <w:r>
        <w:rPr/>
        <w:t>〕</w:t>
      </w:r>
      <w:r>
        <w:rPr>
          <w:rFonts w:ascii="Times New Roman" w:hAnsi="Times New Roman" w:eastAsia="Times New Roman"/>
        </w:rPr>
        <w:t>40 </w:t>
      </w:r>
      <w:r>
        <w:rPr>
          <w:spacing w:val="-3"/>
        </w:rPr>
        <w:t>号</w:t>
      </w:r>
      <w:r>
        <w:rPr>
          <w:spacing w:val="-104"/>
        </w:rPr>
        <w:t>）</w:t>
      </w:r>
      <w:r>
        <w:rPr>
          <w:spacing w:val="-12"/>
        </w:rPr>
        <w:t>、《中华全国总工会关于深入贯彻落实</w:t>
      </w:r>
      <w:r>
        <w:rPr>
          <w:rFonts w:ascii="Times New Roman" w:hAnsi="Times New Roman" w:eastAsia="Times New Roman"/>
        </w:rPr>
        <w:t>&lt;</w:t>
      </w:r>
      <w:r>
        <w:rPr/>
        <w:t>国务院关于进一步做好为农民工服务工</w:t>
      </w:r>
      <w:r>
        <w:rPr>
          <w:spacing w:val="-2"/>
        </w:rPr>
        <w:t>作的意见</w:t>
      </w:r>
      <w:r>
        <w:rPr>
          <w:rFonts w:ascii="Times New Roman" w:hAnsi="Times New Roman" w:eastAsia="Times New Roman"/>
        </w:rPr>
        <w:t>&gt;</w:t>
      </w:r>
      <w:r>
        <w:rPr>
          <w:spacing w:val="-21"/>
        </w:rPr>
        <w:t>的实施意见》</w:t>
      </w:r>
      <w:r>
        <w:rPr>
          <w:spacing w:val="-3"/>
        </w:rPr>
        <w:t>（</w:t>
      </w:r>
      <w:r>
        <w:rPr>
          <w:spacing w:val="-2"/>
        </w:rPr>
        <w:t>总工发〔</w:t>
      </w:r>
      <w:r>
        <w:rPr>
          <w:rFonts w:ascii="Times New Roman" w:hAnsi="Times New Roman" w:eastAsia="Times New Roman"/>
        </w:rPr>
        <w:t>2015</w:t>
      </w:r>
      <w:r>
        <w:rPr>
          <w:spacing w:val="-3"/>
        </w:rPr>
        <w:t>〕</w:t>
      </w:r>
      <w:r>
        <w:rPr>
          <w:rFonts w:ascii="Times New Roman" w:hAnsi="Times New Roman" w:eastAsia="Times New Roman"/>
        </w:rPr>
        <w:t>14 </w:t>
      </w:r>
      <w:r>
        <w:rPr>
          <w:spacing w:val="-3"/>
        </w:rPr>
        <w:t>号）</w:t>
      </w:r>
      <w:r>
        <w:rPr>
          <w:spacing w:val="-9"/>
        </w:rPr>
        <w:t>有关要求，深入开展“农民工入会集中行动”。</w:t>
      </w:r>
    </w:p>
    <w:p>
      <w:pPr>
        <w:pStyle w:val="Heading8"/>
        <w:numPr>
          <w:ilvl w:val="1"/>
          <w:numId w:val="70"/>
        </w:numPr>
        <w:tabs>
          <w:tab w:pos="1046" w:val="left" w:leader="none"/>
        </w:tabs>
        <w:spacing w:line="240" w:lineRule="auto" w:before="123" w:after="0"/>
        <w:ind w:left="1045" w:right="0" w:hanging="368"/>
        <w:jc w:val="left"/>
      </w:pPr>
      <w:bookmarkStart w:name="3.2 项目经理" w:id="316"/>
      <w:bookmarkEnd w:id="316"/>
      <w:r>
        <w:rPr>
          <w:b w:val="0"/>
        </w:rPr>
      </w:r>
      <w:bookmarkStart w:name="3.2 项目经理" w:id="317"/>
      <w:bookmarkEnd w:id="317"/>
      <w:r>
        <w:rPr/>
        <w:t>项目经理</w:t>
      </w:r>
    </w:p>
    <w:p>
      <w:pPr>
        <w:pStyle w:val="ListParagraph"/>
        <w:numPr>
          <w:ilvl w:val="2"/>
          <w:numId w:val="70"/>
        </w:numPr>
        <w:tabs>
          <w:tab w:pos="1624" w:val="left" w:leader="none"/>
        </w:tabs>
        <w:spacing w:line="240" w:lineRule="auto" w:before="93" w:after="0"/>
        <w:ind w:left="1623" w:right="0" w:hanging="526"/>
        <w:jc w:val="left"/>
        <w:rPr>
          <w:sz w:val="21"/>
        </w:rPr>
      </w:pPr>
      <w:r>
        <w:rPr>
          <w:spacing w:val="-3"/>
          <w:sz w:val="21"/>
        </w:rPr>
        <w:t>项目经理：</w:t>
      </w:r>
    </w:p>
    <w:p>
      <w:pPr>
        <w:pStyle w:val="BodyText"/>
        <w:tabs>
          <w:tab w:pos="5982" w:val="left" w:leader="none"/>
        </w:tabs>
        <w:spacing w:line="364" w:lineRule="auto" w:before="139"/>
        <w:ind w:left="1098" w:right="4310"/>
        <w:jc w:val="both"/>
      </w:pPr>
      <w:r>
        <w:rPr/>
        <w:pict>
          <v:group style="position:absolute;margin-left:163.460007pt;margin-top:8.32999pt;width:115.75pt;height:10.6pt;mso-position-horizontal-relative:page;mso-position-vertical-relative:paragraph;z-index:-266664960" coordorigin="3269,167" coordsize="2315,212">
            <v:shape style="position:absolute;left:3269;top:166;width:423;height:212" type="#_x0000_t75" stroked="false">
              <v:imagedata r:id="rId21" o:title=""/>
            </v:shape>
            <v:shape style="position:absolute;left:3480;top:166;width:418;height:212" type="#_x0000_t75" stroked="false">
              <v:imagedata r:id="rId20" o:title=""/>
            </v:shape>
            <v:shape style="position:absolute;left:3689;top:166;width:423;height:212" type="#_x0000_t75" stroked="false">
              <v:imagedata r:id="rId21" o:title=""/>
            </v:shape>
            <v:shape style="position:absolute;left:3901;top:166;width:418;height:212" type="#_x0000_t75" stroked="false">
              <v:imagedata r:id="rId20" o:title=""/>
            </v:shape>
            <v:shape style="position:absolute;left:4109;top:166;width:423;height:212" type="#_x0000_t75" stroked="false">
              <v:imagedata r:id="rId21" o:title=""/>
            </v:shape>
            <v:shape style="position:absolute;left:4321;top:166;width:418;height:212" type="#_x0000_t75" stroked="false">
              <v:imagedata r:id="rId20" o:title=""/>
            </v:shape>
            <v:shape style="position:absolute;left:4529;top:166;width:423;height:212" type="#_x0000_t75" stroked="false">
              <v:imagedata r:id="rId21" o:title=""/>
            </v:shape>
            <v:shape style="position:absolute;left:4741;top:166;width:843;height:212" type="#_x0000_t75" stroked="false">
              <v:imagedata r:id="rId22" o:title=""/>
            </v:shape>
            <w10:wrap type="none"/>
          </v:group>
        </w:pict>
      </w:r>
      <w:r>
        <w:rPr/>
        <w:pict>
          <v:group style="position:absolute;margin-left:300.049988pt;margin-top:8.32999pt;width:65.7pt;height:10.6pt;mso-position-horizontal-relative:page;mso-position-vertical-relative:paragraph;z-index:-266663936" coordorigin="6001,167" coordsize="1314,212">
            <v:shape style="position:absolute;left:6001;top:166;width:423;height:212" type="#_x0000_t75" stroked="false">
              <v:imagedata r:id="rId21" o:title=""/>
            </v:shape>
            <v:shape style="position:absolute;left:6212;top:166;width:418;height:212" type="#_x0000_t75" stroked="false">
              <v:imagedata r:id="rId20" o:title=""/>
            </v:shape>
            <v:shape style="position:absolute;left:6421;top:166;width:423;height:212" type="#_x0000_t75" stroked="false">
              <v:imagedata r:id="rId21" o:title=""/>
            </v:shape>
            <v:shape style="position:absolute;left:6632;top:166;width:418;height:212" type="#_x0000_t75" stroked="false">
              <v:imagedata r:id="rId20" o:title=""/>
            </v:shape>
            <v:shape style="position:absolute;left:6891;top:166;width:423;height:212" type="#_x0000_t75" stroked="false">
              <v:imagedata r:id="rId21" o:title=""/>
            </v:shape>
            <w10:wrap type="none"/>
          </v:group>
        </w:pict>
      </w:r>
      <w:r>
        <w:rPr/>
        <w:pict>
          <v:group style="position:absolute;margin-left:163.460007pt;margin-top:28.72999pt;width:115.75pt;height:10.6pt;mso-position-horizontal-relative:page;mso-position-vertical-relative:paragraph;z-index:-266662912" coordorigin="3269,575" coordsize="2315,212">
            <v:shape style="position:absolute;left:3269;top:574;width:423;height:212" type="#_x0000_t75" stroked="false">
              <v:imagedata r:id="rId21" o:title=""/>
            </v:shape>
            <v:shape style="position:absolute;left:3480;top:574;width:418;height:212" type="#_x0000_t75" stroked="false">
              <v:imagedata r:id="rId20" o:title=""/>
            </v:shape>
            <v:shape style="position:absolute;left:3689;top:574;width:423;height:212" type="#_x0000_t75" stroked="false">
              <v:imagedata r:id="rId21" o:title=""/>
            </v:shape>
            <v:shape style="position:absolute;left:3901;top:574;width:418;height:212" type="#_x0000_t75" stroked="false">
              <v:imagedata r:id="rId20" o:title=""/>
            </v:shape>
            <v:shape style="position:absolute;left:4109;top:574;width:423;height:212" type="#_x0000_t75" stroked="false">
              <v:imagedata r:id="rId21" o:title=""/>
            </v:shape>
            <v:shape style="position:absolute;left:4321;top:574;width:418;height:212" type="#_x0000_t75" stroked="false">
              <v:imagedata r:id="rId20" o:title=""/>
            </v:shape>
            <v:shape style="position:absolute;left:4529;top:574;width:423;height:212" type="#_x0000_t75" stroked="false">
              <v:imagedata r:id="rId21" o:title=""/>
            </v:shape>
            <v:shape style="position:absolute;left:4741;top:574;width:843;height:212" type="#_x0000_t75" stroked="false">
              <v:imagedata r:id="rId22" o:title=""/>
            </v:shape>
            <w10:wrap type="none"/>
          </v:group>
        </w:pict>
      </w:r>
      <w:r>
        <w:rPr/>
        <w:pict>
          <v:group style="position:absolute;margin-left:300.049988pt;margin-top:28.72999pt;width:65.7pt;height:10.6pt;mso-position-horizontal-relative:page;mso-position-vertical-relative:paragraph;z-index:-266661888" coordorigin="6001,575" coordsize="1314,212">
            <v:shape style="position:absolute;left:6001;top:574;width:423;height:212" type="#_x0000_t75" stroked="false">
              <v:imagedata r:id="rId21" o:title=""/>
            </v:shape>
            <v:shape style="position:absolute;left:6212;top:574;width:418;height:212" type="#_x0000_t75" stroked="false">
              <v:imagedata r:id="rId20" o:title=""/>
            </v:shape>
            <v:shape style="position:absolute;left:6421;top:574;width:423;height:212" type="#_x0000_t75" stroked="false">
              <v:imagedata r:id="rId21" o:title=""/>
            </v:shape>
            <v:shape style="position:absolute;left:6632;top:574;width:418;height:212" type="#_x0000_t75" stroked="false">
              <v:imagedata r:id="rId20" o:title=""/>
            </v:shape>
            <v:shape style="position:absolute;left:6891;top:574;width:423;height:212" type="#_x0000_t75" stroked="false">
              <v:imagedata r:id="rId21" o:title=""/>
            </v:shape>
            <w10:wrap type="none"/>
          </v:group>
        </w:pict>
      </w:r>
      <w:r>
        <w:rPr/>
        <w:pict>
          <v:group style="position:absolute;margin-left:216.050003pt;margin-top:49.159988pt;width:149.7pt;height:10.6pt;mso-position-horizontal-relative:page;mso-position-vertical-relative:paragraph;z-index:-266660864" coordorigin="4321,983" coordsize="2994,212">
            <v:shape style="position:absolute;left:4321;top:983;width:418;height:212" type="#_x0000_t75" stroked="false">
              <v:imagedata r:id="rId20" o:title=""/>
            </v:shape>
            <v:shape style="position:absolute;left:4529;top:983;width:423;height:212" type="#_x0000_t75" stroked="false">
              <v:imagedata r:id="rId21" o:title=""/>
            </v:shape>
            <v:shape style="position:absolute;left:4741;top:983;width:423;height:212" type="#_x0000_t75" stroked="false">
              <v:imagedata r:id="rId21" o:title=""/>
            </v:shape>
            <v:shape style="position:absolute;left:4952;top:983;width:418;height:212" type="#_x0000_t75" stroked="false">
              <v:imagedata r:id="rId20" o:title=""/>
            </v:shape>
            <v:shape style="position:absolute;left:5161;top:983;width:423;height:212" type="#_x0000_t75" stroked="false">
              <v:imagedata r:id="rId21" o:title=""/>
            </v:shape>
            <v:shape style="position:absolute;left:5372;top:983;width:418;height:212" type="#_x0000_t75" stroked="false">
              <v:imagedata r:id="rId20" o:title=""/>
            </v:shape>
            <v:shape style="position:absolute;left:5581;top:983;width:843;height:212" type="#_x0000_t75" stroked="false">
              <v:imagedata r:id="rId22" o:title=""/>
            </v:shape>
            <v:shape style="position:absolute;left:6212;top:983;width:418;height:212" type="#_x0000_t75" stroked="false">
              <v:imagedata r:id="rId20" o:title=""/>
            </v:shape>
            <v:shape style="position:absolute;left:6421;top:983;width:423;height:212" type="#_x0000_t75" stroked="false">
              <v:imagedata r:id="rId21" o:title=""/>
            </v:shape>
            <v:shape style="position:absolute;left:6632;top:983;width:418;height:212" type="#_x0000_t75" stroked="false">
              <v:imagedata r:id="rId20" o:title=""/>
            </v:shape>
            <v:shape style="position:absolute;left:6891;top:983;width:423;height:212" type="#_x0000_t75" stroked="false">
              <v:imagedata r:id="rId21" o:title=""/>
            </v:shape>
            <w10:wrap type="none"/>
          </v:group>
        </w:pict>
      </w:r>
      <w:r>
        <w:rPr/>
        <w:pict>
          <v:group style="position:absolute;margin-left:205.490005pt;margin-top:69.55999pt;width:160.25pt;height:10.6pt;mso-position-horizontal-relative:page;mso-position-vertical-relative:paragraph;z-index:-266659840" coordorigin="4110,1391" coordsize="3205,212">
            <v:shape style="position:absolute;left:4109;top:1391;width:423;height:212" type="#_x0000_t75" stroked="false">
              <v:imagedata r:id="rId21" o:title=""/>
            </v:shape>
            <v:shape style="position:absolute;left:4321;top:1391;width:418;height:212" type="#_x0000_t75" stroked="false">
              <v:imagedata r:id="rId20" o:title=""/>
            </v:shape>
            <v:shape style="position:absolute;left:4529;top:1391;width:423;height:212" type="#_x0000_t75" stroked="false">
              <v:imagedata r:id="rId21" o:title=""/>
            </v:shape>
            <v:shape style="position:absolute;left:4741;top:1391;width:423;height:212" type="#_x0000_t75" stroked="false">
              <v:imagedata r:id="rId21" o:title=""/>
            </v:shape>
            <v:shape style="position:absolute;left:4952;top:1391;width:418;height:212" type="#_x0000_t75" stroked="false">
              <v:imagedata r:id="rId20" o:title=""/>
            </v:shape>
            <v:shape style="position:absolute;left:5161;top:1391;width:423;height:212" type="#_x0000_t75" stroked="false">
              <v:imagedata r:id="rId21" o:title=""/>
            </v:shape>
            <v:shape style="position:absolute;left:5372;top:1391;width:418;height:212" type="#_x0000_t75" stroked="false">
              <v:imagedata r:id="rId20" o:title=""/>
            </v:shape>
            <v:shape style="position:absolute;left:5581;top:1391;width:423;height:212" type="#_x0000_t75" stroked="false">
              <v:imagedata r:id="rId21" o:title=""/>
            </v:shape>
            <v:shape style="position:absolute;left:5792;top:1391;width:418;height:212" type="#_x0000_t75" stroked="false">
              <v:imagedata r:id="rId20" o:title=""/>
            </v:shape>
            <v:shape style="position:absolute;left:6001;top:1391;width:423;height:212" type="#_x0000_t75" stroked="false">
              <v:imagedata r:id="rId21" o:title=""/>
            </v:shape>
            <v:shape style="position:absolute;left:6212;top:1391;width:418;height:212" type="#_x0000_t75" stroked="false">
              <v:imagedata r:id="rId20" o:title=""/>
            </v:shape>
            <v:shape style="position:absolute;left:6421;top:1391;width:423;height:212" type="#_x0000_t75" stroked="false">
              <v:imagedata r:id="rId21" o:title=""/>
            </v:shape>
            <v:shape style="position:absolute;left:6632;top:1391;width:418;height:212" type="#_x0000_t75" stroked="false">
              <v:imagedata r:id="rId20" o:title=""/>
            </v:shape>
            <v:shape style="position:absolute;left:6891;top:1391;width:423;height:212" type="#_x0000_t75" stroked="false">
              <v:imagedata r:id="rId21" o:title=""/>
            </v:shape>
            <w10:wrap type="none"/>
          </v:group>
        </w:pict>
      </w:r>
      <w:r>
        <w:rPr/>
        <w:pict>
          <v:group style="position:absolute;margin-left:205.490005pt;margin-top:90.079987pt;width:160.25pt;height:10.6pt;mso-position-horizontal-relative:page;mso-position-vertical-relative:paragraph;z-index:-266658816" coordorigin="4110,1802" coordsize="3205,212">
            <v:shape style="position:absolute;left:4109;top:1801;width:423;height:212" type="#_x0000_t75" stroked="false">
              <v:imagedata r:id="rId21" o:title=""/>
            </v:shape>
            <v:shape style="position:absolute;left:4321;top:1801;width:418;height:212" type="#_x0000_t75" stroked="false">
              <v:imagedata r:id="rId20" o:title=""/>
            </v:shape>
            <v:shape style="position:absolute;left:4529;top:1801;width:423;height:212" type="#_x0000_t75" stroked="false">
              <v:imagedata r:id="rId21" o:title=""/>
            </v:shape>
            <v:shape style="position:absolute;left:4741;top:1801;width:423;height:212" type="#_x0000_t75" stroked="false">
              <v:imagedata r:id="rId21" o:title=""/>
            </v:shape>
            <v:shape style="position:absolute;left:4952;top:1801;width:418;height:212" type="#_x0000_t75" stroked="false">
              <v:imagedata r:id="rId20" o:title=""/>
            </v:shape>
            <v:shape style="position:absolute;left:5161;top:1801;width:423;height:212" type="#_x0000_t75" stroked="false">
              <v:imagedata r:id="rId21" o:title=""/>
            </v:shape>
            <v:shape style="position:absolute;left:5372;top:1801;width:418;height:212" type="#_x0000_t75" stroked="false">
              <v:imagedata r:id="rId20" o:title=""/>
            </v:shape>
            <v:shape style="position:absolute;left:5581;top:1801;width:423;height:212" type="#_x0000_t75" stroked="false">
              <v:imagedata r:id="rId21" o:title=""/>
            </v:shape>
            <v:shape style="position:absolute;left:5792;top:1801;width:418;height:212" type="#_x0000_t75" stroked="false">
              <v:imagedata r:id="rId20" o:title=""/>
            </v:shape>
            <v:shape style="position:absolute;left:6001;top:1801;width:423;height:212" type="#_x0000_t75" stroked="false">
              <v:imagedata r:id="rId21" o:title=""/>
            </v:shape>
            <v:shape style="position:absolute;left:6212;top:1801;width:418;height:212" type="#_x0000_t75" stroked="false">
              <v:imagedata r:id="rId20" o:title=""/>
            </v:shape>
            <v:shape style="position:absolute;left:6421;top:1801;width:423;height:212" type="#_x0000_t75" stroked="false">
              <v:imagedata r:id="rId21" o:title=""/>
            </v:shape>
            <v:shape style="position:absolute;left:6632;top:1801;width:418;height:212" type="#_x0000_t75" stroked="false">
              <v:imagedata r:id="rId20" o:title=""/>
            </v:shape>
            <v:shape style="position:absolute;left:6891;top:1801;width:423;height:212" type="#_x0000_t75" stroked="false">
              <v:imagedata r:id="rId21" o:title=""/>
            </v:shape>
            <w10:wrap type="none"/>
          </v:group>
        </w:pict>
      </w:r>
      <w:r>
        <w:rPr/>
        <w:pict>
          <v:group style="position:absolute;margin-left:237.050003pt;margin-top:110.479988pt;width:128.7pt;height:10.6pt;mso-position-horizontal-relative:page;mso-position-vertical-relative:paragraph;z-index:-266657792" coordorigin="4741,2210" coordsize="2574,212">
            <v:shape style="position:absolute;left:4741;top:2209;width:423;height:212" type="#_x0000_t75" stroked="false">
              <v:imagedata r:id="rId21" o:title=""/>
            </v:shape>
            <v:shape style="position:absolute;left:4952;top:2209;width:418;height:212" type="#_x0000_t75" stroked="false">
              <v:imagedata r:id="rId20" o:title=""/>
            </v:shape>
            <v:shape style="position:absolute;left:5161;top:2209;width:423;height:212" type="#_x0000_t75" stroked="false">
              <v:imagedata r:id="rId21" o:title=""/>
            </v:shape>
            <v:shape style="position:absolute;left:5372;top:2209;width:418;height:212" type="#_x0000_t75" stroked="false">
              <v:imagedata r:id="rId20" o:title=""/>
            </v:shape>
            <v:shape style="position:absolute;left:5581;top:2209;width:423;height:212" type="#_x0000_t75" stroked="false">
              <v:imagedata r:id="rId21" o:title=""/>
            </v:shape>
            <v:shape style="position:absolute;left:5792;top:2209;width:418;height:212" type="#_x0000_t75" stroked="false">
              <v:imagedata r:id="rId20" o:title=""/>
            </v:shape>
            <v:shape style="position:absolute;left:6001;top:2209;width:423;height:212" type="#_x0000_t75" stroked="false">
              <v:imagedata r:id="rId21" o:title=""/>
            </v:shape>
            <v:shape style="position:absolute;left:6212;top:2209;width:418;height:212" type="#_x0000_t75" stroked="false">
              <v:imagedata r:id="rId20" o:title=""/>
            </v:shape>
            <v:shape style="position:absolute;left:6421;top:2209;width:423;height:212" type="#_x0000_t75" stroked="false">
              <v:imagedata r:id="rId21" o:title=""/>
            </v:shape>
            <v:shape style="position:absolute;left:6632;top:2209;width:418;height:212" type="#_x0000_t75" stroked="false">
              <v:imagedata r:id="rId20" o:title=""/>
            </v:shape>
            <v:shape style="position:absolute;left:6891;top:2209;width:423;height:212" type="#_x0000_t75" stroked="false">
              <v:imagedata r:id="rId21" o:title=""/>
            </v:shape>
            <w10:wrap type="none"/>
          </v:group>
        </w:pict>
      </w:r>
      <w:r>
        <w:rPr/>
        <w:pict>
          <v:group style="position:absolute;margin-left:163.460007pt;margin-top:130.87999pt;width:126.05pt;height:10.6pt;mso-position-horizontal-relative:page;mso-position-vertical-relative:paragraph;z-index:-266656768" coordorigin="3269,2618" coordsize="2521,212">
            <v:shape style="position:absolute;left:3269;top:2617;width:423;height:212" type="#_x0000_t75" stroked="false">
              <v:imagedata r:id="rId21" o:title=""/>
            </v:shape>
            <v:shape style="position:absolute;left:3480;top:2617;width:418;height:212" type="#_x0000_t75" stroked="false">
              <v:imagedata r:id="rId20" o:title=""/>
            </v:shape>
            <v:shape style="position:absolute;left:3689;top:2617;width:423;height:212" type="#_x0000_t75" stroked="false">
              <v:imagedata r:id="rId21" o:title=""/>
            </v:shape>
            <v:shape style="position:absolute;left:3901;top:2617;width:418;height:212" type="#_x0000_t75" stroked="false">
              <v:imagedata r:id="rId20" o:title=""/>
            </v:shape>
            <v:shape style="position:absolute;left:4109;top:2617;width:423;height:212" type="#_x0000_t75" stroked="false">
              <v:imagedata r:id="rId21" o:title=""/>
            </v:shape>
            <v:shape style="position:absolute;left:4321;top:2617;width:418;height:212" type="#_x0000_t75" stroked="false">
              <v:imagedata r:id="rId20" o:title=""/>
            </v:shape>
            <v:shape style="position:absolute;left:4529;top:2617;width:423;height:212" type="#_x0000_t75" stroked="false">
              <v:imagedata r:id="rId21" o:title=""/>
            </v:shape>
            <v:shape style="position:absolute;left:4741;top:2617;width:843;height:212" type="#_x0000_t75" stroked="false">
              <v:imagedata r:id="rId22" o:title=""/>
            </v:shape>
            <v:shape style="position:absolute;left:5372;top:2617;width:418;height:212" type="#_x0000_t75" stroked="false">
              <v:imagedata r:id="rId20" o:title=""/>
            </v:shape>
            <w10:wrap type="none"/>
          </v:group>
        </w:pict>
      </w:r>
      <w:r>
        <w:rPr/>
        <w:pict>
          <v:group style="position:absolute;margin-left:310.609985pt;margin-top:130.87999pt;width:55.1pt;height:10.6pt;mso-position-horizontal-relative:page;mso-position-vertical-relative:paragraph;z-index:-266655744" coordorigin="6212,2618" coordsize="1102,212">
            <v:shape style="position:absolute;left:6212;top:2617;width:418;height:212" type="#_x0000_t75" stroked="false">
              <v:imagedata r:id="rId20" o:title=""/>
            </v:shape>
            <v:shape style="position:absolute;left:6421;top:2617;width:423;height:212" type="#_x0000_t75" stroked="false">
              <v:imagedata r:id="rId21" o:title=""/>
            </v:shape>
            <v:shape style="position:absolute;left:6632;top:2617;width:418;height:212" type="#_x0000_t75" stroked="false">
              <v:imagedata r:id="rId20" o:title=""/>
            </v:shape>
            <v:shape style="position:absolute;left:6891;top:2617;width:423;height:212" type="#_x0000_t75" stroked="false">
              <v:imagedata r:id="rId21" o:title=""/>
            </v:shape>
            <w10:wrap type="none"/>
          </v:group>
        </w:pict>
      </w:r>
      <w:r>
        <w:rPr/>
        <w:pict>
          <v:group style="position:absolute;margin-left:163.460007pt;margin-top:151.279984pt;width:94.75pt;height:10.6pt;mso-position-horizontal-relative:page;mso-position-vertical-relative:paragraph;z-index:-266654720" coordorigin="3269,3026" coordsize="1895,212">
            <v:shape style="position:absolute;left:3269;top:3025;width:423;height:212" type="#_x0000_t75" stroked="false">
              <v:imagedata r:id="rId21" o:title=""/>
            </v:shape>
            <v:shape style="position:absolute;left:3480;top:3025;width:418;height:212" type="#_x0000_t75" stroked="false">
              <v:imagedata r:id="rId20" o:title=""/>
            </v:shape>
            <v:shape style="position:absolute;left:3689;top:3025;width:423;height:212" type="#_x0000_t75" stroked="false">
              <v:imagedata r:id="rId21" o:title=""/>
            </v:shape>
            <v:shape style="position:absolute;left:3901;top:3025;width:418;height:212" type="#_x0000_t75" stroked="false">
              <v:imagedata r:id="rId20" o:title=""/>
            </v:shape>
            <v:shape style="position:absolute;left:4109;top:3025;width:423;height:212" type="#_x0000_t75" stroked="false">
              <v:imagedata r:id="rId21" o:title=""/>
            </v:shape>
            <v:shape style="position:absolute;left:4321;top:3025;width:418;height:212" type="#_x0000_t75" stroked="false">
              <v:imagedata r:id="rId20" o:title=""/>
            </v:shape>
            <v:shape style="position:absolute;left:4529;top:3025;width:423;height:212" type="#_x0000_t75" stroked="false">
              <v:imagedata r:id="rId21" o:title=""/>
            </v:shape>
            <v:shape style="position:absolute;left:4741;top:3025;width:423;height:212" type="#_x0000_t75" stroked="false">
              <v:imagedata r:id="rId21" o:title=""/>
            </v:shape>
            <w10:wrap type="none"/>
          </v:group>
        </w:pict>
      </w:r>
      <w:r>
        <w:rPr/>
        <w:pict>
          <v:group style="position:absolute;margin-left:289.609985pt;margin-top:151.279984pt;width:76.1pt;height:10.6pt;mso-position-horizontal-relative:page;mso-position-vertical-relative:paragraph;z-index:-266653696" coordorigin="5792,3026" coordsize="1522,212">
            <v:shape style="position:absolute;left:5792;top:3025;width:418;height:212" type="#_x0000_t75" stroked="false">
              <v:imagedata r:id="rId20" o:title=""/>
            </v:shape>
            <v:shape style="position:absolute;left:6001;top:3025;width:423;height:212" type="#_x0000_t75" stroked="false">
              <v:imagedata r:id="rId21" o:title=""/>
            </v:shape>
            <v:shape style="position:absolute;left:6212;top:3025;width:418;height:212" type="#_x0000_t75" stroked="false">
              <v:imagedata r:id="rId20" o:title=""/>
            </v:shape>
            <v:shape style="position:absolute;left:6421;top:3025;width:423;height:212" type="#_x0000_t75" stroked="false">
              <v:imagedata r:id="rId21" o:title=""/>
            </v:shape>
            <v:shape style="position:absolute;left:6632;top:3025;width:418;height:212" type="#_x0000_t75" stroked="false">
              <v:imagedata r:id="rId20" o:title=""/>
            </v:shape>
            <v:shape style="position:absolute;left:6891;top:3025;width:423;height:212" type="#_x0000_t75" stroked="false">
              <v:imagedata r:id="rId21" o:title=""/>
            </v:shape>
            <w10:wrap type="none"/>
          </v:group>
        </w:pict>
      </w:r>
      <w:r>
        <w:rPr/>
        <w:pict>
          <v:group style="position:absolute;margin-left:163.460007pt;margin-top:171.679993pt;width:94.75pt;height:10.6pt;mso-position-horizontal-relative:page;mso-position-vertical-relative:paragraph;z-index:-266652672" coordorigin="3269,3434" coordsize="1895,212">
            <v:shape style="position:absolute;left:3269;top:3433;width:423;height:212" type="#_x0000_t75" stroked="false">
              <v:imagedata r:id="rId21" o:title=""/>
            </v:shape>
            <v:shape style="position:absolute;left:3480;top:3433;width:418;height:212" type="#_x0000_t75" stroked="false">
              <v:imagedata r:id="rId20" o:title=""/>
            </v:shape>
            <v:shape style="position:absolute;left:3689;top:3433;width:423;height:212" type="#_x0000_t75" stroked="false">
              <v:imagedata r:id="rId21" o:title=""/>
            </v:shape>
            <v:shape style="position:absolute;left:3901;top:3433;width:418;height:212" type="#_x0000_t75" stroked="false">
              <v:imagedata r:id="rId20" o:title=""/>
            </v:shape>
            <v:shape style="position:absolute;left:4109;top:3433;width:423;height:212" type="#_x0000_t75" stroked="false">
              <v:imagedata r:id="rId21" o:title=""/>
            </v:shape>
            <v:shape style="position:absolute;left:4321;top:3433;width:418;height:212" type="#_x0000_t75" stroked="false">
              <v:imagedata r:id="rId20" o:title=""/>
            </v:shape>
            <v:shape style="position:absolute;left:4529;top:3433;width:423;height:212" type="#_x0000_t75" stroked="false">
              <v:imagedata r:id="rId21" o:title=""/>
            </v:shape>
            <v:shape style="position:absolute;left:4741;top:3433;width:423;height:212" type="#_x0000_t75" stroked="false">
              <v:imagedata r:id="rId21" o:title=""/>
            </v:shape>
            <w10:wrap type="none"/>
          </v:group>
        </w:pict>
      </w:r>
      <w:r>
        <w:rPr/>
        <w:pict>
          <v:group style="position:absolute;margin-left:289.609985pt;margin-top:171.679993pt;width:76.1pt;height:10.6pt;mso-position-horizontal-relative:page;mso-position-vertical-relative:paragraph;z-index:-266651648" coordorigin="5792,3434" coordsize="1522,212">
            <v:shape style="position:absolute;left:5792;top:3433;width:418;height:212" type="#_x0000_t75" stroked="false">
              <v:imagedata r:id="rId20" o:title=""/>
            </v:shape>
            <v:shape style="position:absolute;left:6001;top:3433;width:423;height:212" type="#_x0000_t75" stroked="false">
              <v:imagedata r:id="rId21" o:title=""/>
            </v:shape>
            <v:shape style="position:absolute;left:6212;top:3433;width:418;height:212" type="#_x0000_t75" stroked="false">
              <v:imagedata r:id="rId20" o:title=""/>
            </v:shape>
            <v:shape style="position:absolute;left:6421;top:3433;width:423;height:212" type="#_x0000_t75" stroked="false">
              <v:imagedata r:id="rId21" o:title=""/>
            </v:shape>
            <v:shape style="position:absolute;left:6632;top:3433;width:418;height:212" type="#_x0000_t75" stroked="false">
              <v:imagedata r:id="rId20" o:title=""/>
            </v:shape>
            <v:shape style="position:absolute;left:6891;top:3433;width:423;height:212" type="#_x0000_t75" stroked="false">
              <v:imagedata r:id="rId21" o:title=""/>
            </v:shape>
            <w10:wrap type="none"/>
          </v:group>
        </w:pict>
      </w:r>
      <w:r>
        <w:rPr/>
        <w:t>姓   </w:t>
      </w:r>
      <w:r>
        <w:rPr>
          <w:spacing w:val="2"/>
        </w:rPr>
        <w:t> </w:t>
      </w:r>
      <w:r>
        <w:rPr/>
        <w:t>名</w:t>
      </w:r>
      <w:r>
        <w:rPr>
          <w:spacing w:val="-3"/>
        </w:rPr>
        <w:t>：</w:t>
      </w:r>
      <w:r>
        <w:rPr>
          <w:spacing w:val="-3"/>
          <w:u w:val="single"/>
        </w:rPr>
        <w:t> </w:t>
        <w:tab/>
      </w:r>
      <w:r>
        <w:rPr>
          <w:spacing w:val="-17"/>
        </w:rPr>
        <w:t>； </w:t>
      </w:r>
      <w:r>
        <w:rPr/>
        <w:t>身份</w:t>
      </w:r>
      <w:r>
        <w:rPr>
          <w:spacing w:val="-3"/>
        </w:rPr>
        <w:t>证</w:t>
      </w:r>
      <w:r>
        <w:rPr/>
        <w:t>号</w:t>
      </w:r>
      <w:r>
        <w:rPr>
          <w:spacing w:val="-3"/>
        </w:rPr>
        <w:t>：</w:t>
      </w:r>
      <w:r>
        <w:rPr>
          <w:spacing w:val="-3"/>
          <w:u w:val="single"/>
        </w:rPr>
        <w:t> </w:t>
        <w:tab/>
      </w:r>
      <w:r>
        <w:rPr>
          <w:spacing w:val="-17"/>
        </w:rPr>
        <w:t>； </w:t>
      </w:r>
      <w:r>
        <w:rPr/>
        <w:t>建造</w:t>
      </w:r>
      <w:r>
        <w:rPr>
          <w:spacing w:val="-3"/>
        </w:rPr>
        <w:t>师</w:t>
      </w:r>
      <w:r>
        <w:rPr/>
        <w:t>执</w:t>
      </w:r>
      <w:r>
        <w:rPr>
          <w:spacing w:val="-3"/>
        </w:rPr>
        <w:t>业</w:t>
      </w:r>
      <w:r>
        <w:rPr/>
        <w:t>资</w:t>
      </w:r>
      <w:r>
        <w:rPr>
          <w:spacing w:val="-3"/>
        </w:rPr>
        <w:t>格</w:t>
      </w:r>
      <w:r>
        <w:rPr/>
        <w:t>等</w:t>
      </w:r>
      <w:r>
        <w:rPr>
          <w:spacing w:val="-3"/>
        </w:rPr>
        <w:t>级</w:t>
      </w:r>
      <w:r>
        <w:rPr/>
        <w:t>：</w:t>
      </w:r>
      <w:r>
        <w:rPr>
          <w:u w:val="single"/>
        </w:rPr>
        <w:t> </w:t>
        <w:tab/>
      </w:r>
      <w:r>
        <w:rPr>
          <w:spacing w:val="-17"/>
        </w:rPr>
        <w:t>； </w:t>
      </w:r>
      <w:r>
        <w:rPr/>
        <w:t>建造</w:t>
      </w:r>
      <w:r>
        <w:rPr>
          <w:spacing w:val="-3"/>
        </w:rPr>
        <w:t>师</w:t>
      </w:r>
      <w:r>
        <w:rPr/>
        <w:t>注</w:t>
      </w:r>
      <w:r>
        <w:rPr>
          <w:spacing w:val="-3"/>
        </w:rPr>
        <w:t>册</w:t>
      </w:r>
      <w:r>
        <w:rPr/>
        <w:t>证</w:t>
      </w:r>
      <w:r>
        <w:rPr>
          <w:spacing w:val="-3"/>
        </w:rPr>
        <w:t>书</w:t>
      </w:r>
      <w:r>
        <w:rPr/>
        <w:t>号</w:t>
      </w:r>
      <w:r>
        <w:rPr>
          <w:spacing w:val="-3"/>
        </w:rPr>
        <w:t>：</w:t>
      </w:r>
      <w:r>
        <w:rPr>
          <w:spacing w:val="-3"/>
          <w:u w:val="single"/>
        </w:rPr>
        <w:t> </w:t>
        <w:tab/>
      </w:r>
      <w:r>
        <w:rPr>
          <w:spacing w:val="-17"/>
        </w:rPr>
        <w:t>； </w:t>
      </w:r>
      <w:r>
        <w:rPr/>
        <w:t>建造</w:t>
      </w:r>
      <w:r>
        <w:rPr>
          <w:spacing w:val="-3"/>
        </w:rPr>
        <w:t>师</w:t>
      </w:r>
      <w:r>
        <w:rPr/>
        <w:t>执</w:t>
      </w:r>
      <w:r>
        <w:rPr>
          <w:spacing w:val="-3"/>
        </w:rPr>
        <w:t>业</w:t>
      </w:r>
      <w:r>
        <w:rPr/>
        <w:t>印</w:t>
      </w:r>
      <w:r>
        <w:rPr>
          <w:spacing w:val="-3"/>
        </w:rPr>
        <w:t>章</w:t>
      </w:r>
      <w:r>
        <w:rPr/>
        <w:t>号</w:t>
      </w:r>
      <w:r>
        <w:rPr>
          <w:spacing w:val="-3"/>
        </w:rPr>
        <w:t>：</w:t>
      </w:r>
      <w:r>
        <w:rPr>
          <w:spacing w:val="-3"/>
          <w:u w:val="single"/>
        </w:rPr>
        <w:t> </w:t>
        <w:tab/>
      </w:r>
      <w:r>
        <w:rPr>
          <w:spacing w:val="-17"/>
        </w:rPr>
        <w:t>； </w:t>
      </w:r>
      <w:r>
        <w:rPr/>
        <w:t>安全</w:t>
      </w:r>
      <w:r>
        <w:rPr>
          <w:spacing w:val="-3"/>
        </w:rPr>
        <w:t>生</w:t>
      </w:r>
      <w:r>
        <w:rPr/>
        <w:t>产</w:t>
      </w:r>
      <w:r>
        <w:rPr>
          <w:spacing w:val="-3"/>
        </w:rPr>
        <w:t>考</w:t>
      </w:r>
      <w:r>
        <w:rPr/>
        <w:t>核</w:t>
      </w:r>
      <w:r>
        <w:rPr>
          <w:spacing w:val="-3"/>
        </w:rPr>
        <w:t>合</w:t>
      </w:r>
      <w:r>
        <w:rPr/>
        <w:t>格</w:t>
      </w:r>
      <w:r>
        <w:rPr>
          <w:spacing w:val="-3"/>
        </w:rPr>
        <w:t>证</w:t>
      </w:r>
      <w:r>
        <w:rPr/>
        <w:t>书</w:t>
      </w:r>
      <w:r>
        <w:rPr>
          <w:spacing w:val="-3"/>
        </w:rPr>
        <w:t>号</w:t>
      </w:r>
      <w:r>
        <w:rPr/>
        <w:t>：</w:t>
      </w:r>
      <w:r>
        <w:rPr>
          <w:u w:val="single"/>
        </w:rPr>
        <w:t> </w:t>
        <w:tab/>
      </w:r>
      <w:r>
        <w:rPr>
          <w:spacing w:val="-17"/>
        </w:rPr>
        <w:t>； </w:t>
      </w:r>
      <w:r>
        <w:rPr/>
        <w:t>联系</w:t>
      </w:r>
      <w:r>
        <w:rPr>
          <w:spacing w:val="-3"/>
        </w:rPr>
        <w:t>电</w:t>
      </w:r>
      <w:r>
        <w:rPr/>
        <w:t>话</w:t>
      </w:r>
      <w:r>
        <w:rPr>
          <w:spacing w:val="-3"/>
        </w:rPr>
        <w:t>：</w:t>
      </w:r>
      <w:r>
        <w:rPr>
          <w:spacing w:val="-3"/>
          <w:u w:val="single"/>
        </w:rPr>
        <w:t> </w:t>
        <w:tab/>
      </w:r>
      <w:r>
        <w:rPr>
          <w:spacing w:val="-17"/>
        </w:rPr>
        <w:t>； </w:t>
      </w:r>
      <w:r>
        <w:rPr/>
        <w:t>电子</w:t>
      </w:r>
      <w:r>
        <w:rPr>
          <w:spacing w:val="-3"/>
        </w:rPr>
        <w:t>信</w:t>
      </w:r>
      <w:r>
        <w:rPr/>
        <w:t>箱</w:t>
      </w:r>
      <w:r>
        <w:rPr>
          <w:spacing w:val="-3"/>
        </w:rPr>
        <w:t>：</w:t>
      </w:r>
      <w:r>
        <w:rPr>
          <w:spacing w:val="-3"/>
          <w:u w:val="single"/>
        </w:rPr>
        <w:t> </w:t>
        <w:tab/>
      </w:r>
      <w:r>
        <w:rPr>
          <w:spacing w:val="-17"/>
        </w:rPr>
        <w:t>； </w:t>
      </w:r>
      <w:r>
        <w:rPr/>
        <w:t>通信</w:t>
      </w:r>
      <w:r>
        <w:rPr>
          <w:spacing w:val="-3"/>
        </w:rPr>
        <w:t>地</w:t>
      </w:r>
      <w:r>
        <w:rPr/>
        <w:t>址</w:t>
      </w:r>
      <w:r>
        <w:rPr>
          <w:spacing w:val="-3"/>
        </w:rPr>
        <w:t>：</w:t>
      </w:r>
      <w:r>
        <w:rPr>
          <w:spacing w:val="-3"/>
          <w:u w:val="single"/>
        </w:rPr>
        <w:t> </w:t>
        <w:tab/>
      </w:r>
      <w:r>
        <w:rPr>
          <w:spacing w:val="-17"/>
        </w:rPr>
        <w:t>；</w:t>
      </w:r>
    </w:p>
    <w:p>
      <w:pPr>
        <w:pStyle w:val="BodyText"/>
        <w:tabs>
          <w:tab w:pos="9187" w:val="left" w:leader="none"/>
        </w:tabs>
        <w:spacing w:line="266" w:lineRule="exact"/>
        <w:ind w:left="1098"/>
        <w:jc w:val="both"/>
      </w:pPr>
      <w:r>
        <w:rPr/>
        <w:t>承包</w:t>
      </w:r>
      <w:r>
        <w:rPr>
          <w:spacing w:val="-3"/>
        </w:rPr>
        <w:t>人</w:t>
      </w:r>
      <w:r>
        <w:rPr/>
        <w:t>对</w:t>
      </w:r>
      <w:r>
        <w:rPr>
          <w:spacing w:val="-3"/>
        </w:rPr>
        <w:t>项</w:t>
      </w:r>
      <w:r>
        <w:rPr/>
        <w:t>目</w:t>
      </w:r>
      <w:r>
        <w:rPr>
          <w:spacing w:val="-3"/>
        </w:rPr>
        <w:t>经</w:t>
      </w:r>
      <w:r>
        <w:rPr/>
        <w:t>理</w:t>
      </w:r>
      <w:r>
        <w:rPr>
          <w:spacing w:val="-3"/>
        </w:rPr>
        <w:t>的</w:t>
      </w:r>
      <w:r>
        <w:rPr/>
        <w:t>授</w:t>
      </w:r>
      <w:r>
        <w:rPr>
          <w:spacing w:val="-3"/>
        </w:rPr>
        <w:t>权</w:t>
      </w:r>
      <w:r>
        <w:rPr/>
        <w:t>范围</w:t>
      </w:r>
      <w:r>
        <w:rPr>
          <w:spacing w:val="-3"/>
        </w:rPr>
        <w:t>如</w:t>
      </w:r>
      <w:r>
        <w:rPr/>
        <w:t>下：</w:t>
      </w:r>
      <w:r>
        <w:rPr>
          <w:u w:val="single"/>
        </w:rPr>
        <w:t> </w:t>
        <w:tab/>
      </w:r>
      <w:r>
        <w:rPr/>
        <w:t>。</w:t>
      </w:r>
    </w:p>
    <w:p>
      <w:pPr>
        <w:spacing w:after="0" w:line="266" w:lineRule="exact"/>
        <w:jc w:val="both"/>
        <w:sectPr>
          <w:pgSz w:w="11910" w:h="16850"/>
          <w:pgMar w:header="0" w:footer="779" w:top="1380" w:bottom="1040" w:left="1120" w:right="280"/>
        </w:sectPr>
      </w:pPr>
    </w:p>
    <w:p>
      <w:pPr>
        <w:pStyle w:val="BodyText"/>
        <w:spacing w:before="60"/>
        <w:ind w:left="1098"/>
      </w:pPr>
      <w:r>
        <w:rPr/>
        <w:t>关于项目经理每月在施工现场的时间要求：</w:t>
      </w:r>
      <w:r>
        <w:rPr>
          <w:u w:val="single"/>
        </w:rPr>
        <w:t> 双方另行协商</w:t>
      </w:r>
      <w:r>
        <w:rPr/>
        <w:t>。</w:t>
      </w:r>
    </w:p>
    <w:p>
      <w:pPr>
        <w:pStyle w:val="BodyText"/>
        <w:spacing w:line="364" w:lineRule="auto" w:before="139"/>
        <w:ind w:right="1151" w:firstLine="419"/>
      </w:pPr>
      <w:r>
        <w:rPr/>
        <w:t>承包人未提交劳动合同，以及没有为项目经理缴纳社会保险证明的违约责任：</w:t>
      </w:r>
      <w:r>
        <w:rPr>
          <w:u w:val="single"/>
        </w:rPr>
        <w:t>双方另行协商 </w:t>
      </w:r>
      <w:r>
        <w:rPr/>
        <w:t>。</w:t>
      </w:r>
    </w:p>
    <w:p>
      <w:pPr>
        <w:pStyle w:val="BodyText"/>
        <w:spacing w:line="364" w:lineRule="auto" w:before="1"/>
        <w:ind w:right="1149" w:firstLine="419"/>
        <w:jc w:val="both"/>
      </w:pPr>
      <w:r>
        <w:rPr/>
        <w:t>项目经理未经批准，擅自离开施工现场的违约责任：</w:t>
      </w:r>
      <w:r>
        <w:rPr>
          <w:spacing w:val="-1"/>
          <w:u w:val="single"/>
        </w:rPr>
        <w:t>项目经理每月在岗带班时间不得少于</w:t>
      </w:r>
      <w:r>
        <w:rPr>
          <w:spacing w:val="-192"/>
          <w:u w:val="single"/>
        </w:rPr>
        <w:t>当</w:t>
      </w:r>
      <w:r>
        <w:rPr>
          <w:spacing w:val="1"/>
          <w:u w:val="single"/>
        </w:rPr>
        <w:t>月施工时间的 </w:t>
      </w:r>
      <w:r>
        <w:rPr>
          <w:rFonts w:ascii="Times New Roman" w:eastAsia="Times New Roman"/>
          <w:u w:val="single"/>
        </w:rPr>
        <w:t>80%</w:t>
      </w:r>
      <w:r>
        <w:rPr>
          <w:spacing w:val="-3"/>
          <w:u w:val="single"/>
        </w:rPr>
        <w:t>。未经发包人同意或正当理由，项目经理每月在岗带班时间少于当月施工时</w:t>
      </w:r>
      <w:r>
        <w:rPr>
          <w:spacing w:val="-28"/>
          <w:u w:val="single"/>
        </w:rPr>
        <w:t>间 </w:t>
      </w:r>
      <w:r>
        <w:rPr>
          <w:rFonts w:ascii="Times New Roman" w:eastAsia="Times New Roman"/>
          <w:u w:val="single"/>
        </w:rPr>
        <w:t>80%</w:t>
      </w:r>
      <w:r>
        <w:rPr>
          <w:spacing w:val="-6"/>
          <w:u w:val="single"/>
        </w:rPr>
        <w:t>的，少在岗带班一天，发包人有权处违约金 </w:t>
      </w:r>
      <w:r>
        <w:rPr>
          <w:rFonts w:ascii="Times New Roman" w:eastAsia="Times New Roman"/>
          <w:u w:val="single"/>
        </w:rPr>
        <w:t>1000 </w:t>
      </w:r>
      <w:r>
        <w:rPr>
          <w:u w:val="single"/>
        </w:rPr>
        <w:t>元</w:t>
      </w:r>
      <w:r>
        <w:rPr>
          <w:rFonts w:ascii="Times New Roman" w:eastAsia="Times New Roman"/>
          <w:u w:val="single"/>
        </w:rPr>
        <w:t>/</w:t>
      </w:r>
      <w:r>
        <w:rPr>
          <w:spacing w:val="-3"/>
          <w:u w:val="single"/>
        </w:rPr>
        <w:t>日</w:t>
      </w:r>
      <w:r>
        <w:rPr>
          <w:u w:val="single"/>
        </w:rPr>
        <w:t>（</w:t>
      </w:r>
      <w:r>
        <w:rPr>
          <w:spacing w:val="-3"/>
          <w:u w:val="single"/>
        </w:rPr>
        <w:t>人民币</w:t>
      </w:r>
      <w:r>
        <w:rPr>
          <w:u w:val="single"/>
        </w:rPr>
        <w:t>） </w:t>
      </w:r>
      <w:r>
        <w:rPr/>
        <w:t>。</w:t>
      </w:r>
    </w:p>
    <w:p>
      <w:pPr>
        <w:pStyle w:val="ListParagraph"/>
        <w:numPr>
          <w:ilvl w:val="2"/>
          <w:numId w:val="79"/>
        </w:numPr>
        <w:tabs>
          <w:tab w:pos="1624" w:val="left" w:leader="none"/>
        </w:tabs>
        <w:spacing w:line="364" w:lineRule="auto" w:before="0" w:after="0"/>
        <w:ind w:left="678" w:right="1151" w:firstLine="419"/>
        <w:jc w:val="both"/>
        <w:rPr>
          <w:sz w:val="21"/>
        </w:rPr>
      </w:pPr>
      <w:r>
        <w:rPr/>
        <w:pict>
          <v:line style="position:absolute;mso-position-horizontal-relative:page;mso-position-vertical-relative:paragraph;z-index:-266650624" from="89.903999pt,32.759998pt" to="523.533999pt,32.759998pt" stroked="true" strokeweight=".600010pt" strokecolor="#000000">
            <v:stroke dashstyle="solid"/>
            <w10:wrap type="none"/>
          </v:line>
        </w:pict>
      </w:r>
      <w:r>
        <w:rPr>
          <w:spacing w:val="-6"/>
          <w:sz w:val="21"/>
        </w:rPr>
        <w:t>承包人擅自更换项目经理的违约责任：</w:t>
      </w:r>
      <w:r>
        <w:rPr>
          <w:spacing w:val="-3"/>
          <w:sz w:val="21"/>
          <w:u w:val="single"/>
        </w:rPr>
        <w:t>承包人项目经理必须与承包人投标时所承诺的</w:t>
      </w:r>
      <w:r>
        <w:rPr>
          <w:spacing w:val="-2"/>
          <w:sz w:val="21"/>
        </w:rPr>
        <w:t>人员一致，并在  </w:t>
      </w:r>
      <w:r>
        <w:rPr>
          <w:sz w:val="21"/>
        </w:rPr>
        <w:t>（开工日期）</w:t>
      </w:r>
      <w:r>
        <w:rPr>
          <w:spacing w:val="1"/>
          <w:sz w:val="21"/>
        </w:rPr>
        <w:t>  前到任。在监理人向承包人颁发  </w:t>
      </w:r>
      <w:r>
        <w:rPr>
          <w:sz w:val="21"/>
        </w:rPr>
        <w:t>（竣工证明材料名称</w:t>
      </w:r>
      <w:r>
        <w:rPr>
          <w:spacing w:val="-13"/>
          <w:sz w:val="21"/>
        </w:rPr>
        <w:t>） </w:t>
      </w:r>
      <w:r>
        <w:rPr>
          <w:spacing w:val="6"/>
          <w:sz w:val="21"/>
          <w:u w:val="single"/>
        </w:rPr>
        <w:t>前，项目经理不得同时兼任其他任何项目的项目经理</w:t>
      </w:r>
      <w:r>
        <w:rPr>
          <w:spacing w:val="9"/>
          <w:sz w:val="21"/>
          <w:u w:val="single"/>
        </w:rPr>
        <w:t>（</w:t>
      </w:r>
      <w:r>
        <w:rPr>
          <w:spacing w:val="8"/>
          <w:sz w:val="21"/>
          <w:u w:val="single"/>
        </w:rPr>
        <w:t>符合桂建管</w:t>
      </w:r>
      <w:r>
        <w:rPr>
          <w:spacing w:val="2"/>
          <w:sz w:val="21"/>
          <w:u w:val="single"/>
        </w:rPr>
        <w:t>﹝</w:t>
      </w:r>
      <w:r>
        <w:rPr>
          <w:rFonts w:ascii="Times New Roman" w:eastAsia="Times New Roman"/>
          <w:spacing w:val="2"/>
          <w:sz w:val="21"/>
          <w:u w:val="single"/>
        </w:rPr>
        <w:t>2013</w:t>
      </w:r>
      <w:r>
        <w:rPr>
          <w:spacing w:val="2"/>
          <w:sz w:val="21"/>
          <w:u w:val="single"/>
        </w:rPr>
        <w:t>﹞</w:t>
      </w:r>
      <w:r>
        <w:rPr>
          <w:rFonts w:ascii="Times New Roman" w:eastAsia="Times New Roman"/>
          <w:spacing w:val="2"/>
          <w:sz w:val="21"/>
          <w:u w:val="single"/>
        </w:rPr>
        <w:t>17</w:t>
      </w:r>
      <w:r>
        <w:rPr>
          <w:rFonts w:ascii="Times New Roman" w:eastAsia="Times New Roman"/>
          <w:spacing w:val="52"/>
          <w:sz w:val="21"/>
          <w:u w:val="single"/>
        </w:rPr>
        <w:t> </w:t>
      </w:r>
      <w:r>
        <w:rPr>
          <w:spacing w:val="6"/>
          <w:sz w:val="21"/>
          <w:u w:val="single"/>
        </w:rPr>
        <w:t>号和桂建管</w:t>
      </w:r>
    </w:p>
    <w:p>
      <w:pPr>
        <w:pStyle w:val="BodyText"/>
        <w:spacing w:line="364" w:lineRule="auto"/>
        <w:ind w:right="1148"/>
        <w:jc w:val="both"/>
      </w:pPr>
      <w:r>
        <w:rPr>
          <w:u w:val="single"/>
        </w:rPr>
        <w:t>﹝</w:t>
      </w:r>
      <w:r>
        <w:rPr>
          <w:rFonts w:ascii="Times New Roman" w:hAnsi="Times New Roman" w:eastAsia="Times New Roman"/>
          <w:u w:val="single"/>
        </w:rPr>
        <w:t>2014</w:t>
      </w:r>
      <w:r>
        <w:rPr>
          <w:u w:val="single"/>
        </w:rPr>
        <w:t>﹞</w:t>
      </w:r>
      <w:r>
        <w:rPr>
          <w:rFonts w:ascii="Times New Roman" w:hAnsi="Times New Roman" w:eastAsia="Times New Roman"/>
          <w:u w:val="single"/>
        </w:rPr>
        <w:t>25 </w:t>
      </w:r>
      <w:r>
        <w:rPr>
          <w:spacing w:val="-3"/>
          <w:u w:val="single"/>
        </w:rPr>
        <w:t>号文除外</w:t>
      </w:r>
      <w:r>
        <w:rPr>
          <w:u w:val="single"/>
        </w:rPr>
        <w:t>）</w:t>
      </w:r>
      <w:r>
        <w:rPr>
          <w:spacing w:val="-3"/>
          <w:u w:val="single"/>
        </w:rPr>
        <w:t>。未经发包人书面同意，承包人擅自更换项目经理的视为违约，违约金</w:t>
      </w:r>
      <w:r>
        <w:rPr>
          <w:spacing w:val="-212"/>
          <w:u w:val="single"/>
        </w:rPr>
        <w:t>处</w:t>
      </w:r>
      <w:r>
        <w:rPr>
          <w:rFonts w:ascii="Times New Roman" w:hAnsi="Times New Roman" w:eastAsia="Times New Roman"/>
          <w:u w:val="single"/>
        </w:rPr>
        <w:t>1000 </w:t>
      </w:r>
      <w:r>
        <w:rPr>
          <w:u w:val="single"/>
        </w:rPr>
        <w:t>元</w:t>
      </w:r>
      <w:r>
        <w:rPr>
          <w:rFonts w:ascii="Times New Roman" w:hAnsi="Times New Roman" w:eastAsia="Times New Roman"/>
          <w:u w:val="single"/>
        </w:rPr>
        <w:t>/</w:t>
      </w:r>
      <w:r>
        <w:rPr>
          <w:spacing w:val="-3"/>
          <w:u w:val="single"/>
        </w:rPr>
        <w:t>人</w:t>
      </w:r>
      <w:r>
        <w:rPr>
          <w:rFonts w:ascii="Times New Roman" w:hAnsi="Times New Roman" w:eastAsia="Times New Roman"/>
          <w:u w:val="single"/>
        </w:rPr>
        <w:t>•</w:t>
      </w:r>
      <w:r>
        <w:rPr>
          <w:spacing w:val="-3"/>
          <w:u w:val="single"/>
        </w:rPr>
        <w:t>次</w:t>
      </w:r>
      <w:r>
        <w:rPr>
          <w:u w:val="single"/>
        </w:rPr>
        <w:t>（</w:t>
      </w:r>
      <w:r>
        <w:rPr>
          <w:spacing w:val="-2"/>
          <w:u w:val="single"/>
        </w:rPr>
        <w:t>人民币</w:t>
      </w:r>
      <w:r>
        <w:rPr>
          <w:spacing w:val="-108"/>
          <w:u w:val="single"/>
        </w:rPr>
        <w:t>）</w:t>
      </w:r>
      <w:r>
        <w:rPr/>
        <w:t>。</w:t>
      </w:r>
    </w:p>
    <w:p>
      <w:pPr>
        <w:pStyle w:val="ListParagraph"/>
        <w:numPr>
          <w:ilvl w:val="2"/>
          <w:numId w:val="79"/>
        </w:numPr>
        <w:tabs>
          <w:tab w:pos="1624" w:val="left" w:leader="none"/>
        </w:tabs>
        <w:spacing w:line="367" w:lineRule="auto" w:before="0" w:after="0"/>
        <w:ind w:left="678" w:right="1045" w:firstLine="419"/>
        <w:jc w:val="both"/>
        <w:rPr>
          <w:sz w:val="21"/>
        </w:rPr>
      </w:pPr>
      <w:r>
        <w:rPr>
          <w:spacing w:val="-4"/>
          <w:sz w:val="21"/>
        </w:rPr>
        <w:t>承包人无正当理由拒绝更换项目经理的违约责任：</w:t>
      </w:r>
      <w:r>
        <w:rPr>
          <w:spacing w:val="-12"/>
          <w:sz w:val="21"/>
          <w:u w:val="single"/>
        </w:rPr>
        <w:t>因承包人项目经理不称职，发包人要</w:t>
      </w:r>
      <w:r>
        <w:rPr>
          <w:spacing w:val="-192"/>
          <w:sz w:val="21"/>
          <w:u w:val="single"/>
        </w:rPr>
        <w:t>求</w:t>
      </w:r>
      <w:r>
        <w:rPr>
          <w:spacing w:val="-14"/>
          <w:sz w:val="21"/>
          <w:u w:val="single"/>
        </w:rPr>
        <w:t>调换而未及时调换的，视为承包人违约，必须向发包人交纳处罚金 </w:t>
      </w:r>
      <w:r>
        <w:rPr>
          <w:rFonts w:ascii="Times New Roman" w:hAnsi="Times New Roman" w:eastAsia="Times New Roman"/>
          <w:sz w:val="21"/>
          <w:u w:val="single"/>
        </w:rPr>
        <w:t>1000</w:t>
      </w:r>
      <w:r>
        <w:rPr>
          <w:rFonts w:ascii="Times New Roman" w:hAnsi="Times New Roman" w:eastAsia="Times New Roman"/>
          <w:spacing w:val="1"/>
          <w:sz w:val="21"/>
          <w:u w:val="single"/>
        </w:rPr>
        <w:t> </w:t>
      </w:r>
      <w:r>
        <w:rPr>
          <w:sz w:val="21"/>
          <w:u w:val="single"/>
        </w:rPr>
        <w:t>元</w:t>
      </w:r>
      <w:r>
        <w:rPr>
          <w:rFonts w:ascii="Times New Roman" w:hAnsi="Times New Roman" w:eastAsia="Times New Roman"/>
          <w:sz w:val="21"/>
          <w:u w:val="single"/>
        </w:rPr>
        <w:t>/</w:t>
      </w:r>
      <w:r>
        <w:rPr>
          <w:sz w:val="21"/>
          <w:u w:val="single"/>
        </w:rPr>
        <w:t>人</w:t>
      </w:r>
      <w:r>
        <w:rPr>
          <w:rFonts w:ascii="Times New Roman" w:hAnsi="Times New Roman" w:eastAsia="Times New Roman"/>
          <w:sz w:val="21"/>
          <w:u w:val="single"/>
        </w:rPr>
        <w:t>•</w:t>
      </w:r>
      <w:r>
        <w:rPr>
          <w:spacing w:val="-60"/>
          <w:sz w:val="21"/>
          <w:u w:val="single"/>
        </w:rPr>
        <w:t>次</w:t>
      </w:r>
      <w:r>
        <w:rPr>
          <w:spacing w:val="-3"/>
          <w:sz w:val="21"/>
          <w:u w:val="single"/>
        </w:rPr>
        <w:t>（</w:t>
      </w:r>
      <w:r>
        <w:rPr>
          <w:spacing w:val="-2"/>
          <w:sz w:val="21"/>
          <w:u w:val="single"/>
        </w:rPr>
        <w:t>人民币</w:t>
      </w:r>
      <w:r>
        <w:rPr>
          <w:spacing w:val="-106"/>
          <w:sz w:val="21"/>
          <w:u w:val="single"/>
        </w:rPr>
        <w:t>）</w:t>
      </w:r>
      <w:r>
        <w:rPr>
          <w:sz w:val="21"/>
        </w:rPr>
        <w:t>。</w:t>
      </w:r>
    </w:p>
    <w:p>
      <w:pPr>
        <w:pStyle w:val="Heading8"/>
        <w:numPr>
          <w:ilvl w:val="1"/>
          <w:numId w:val="70"/>
        </w:numPr>
        <w:tabs>
          <w:tab w:pos="1046" w:val="left" w:leader="none"/>
        </w:tabs>
        <w:spacing w:line="312" w:lineRule="exact" w:before="0" w:after="0"/>
        <w:ind w:left="1045" w:right="0" w:hanging="368"/>
        <w:jc w:val="left"/>
      </w:pPr>
      <w:bookmarkStart w:name="3.3 承包人人员" w:id="318"/>
      <w:bookmarkEnd w:id="318"/>
      <w:r>
        <w:rPr>
          <w:b w:val="0"/>
        </w:rPr>
      </w:r>
      <w:bookmarkStart w:name="3.3 承包人人员" w:id="319"/>
      <w:bookmarkEnd w:id="319"/>
      <w:r>
        <w:rPr/>
        <w:t>承包人人员</w:t>
      </w:r>
    </w:p>
    <w:p>
      <w:pPr>
        <w:pStyle w:val="ListParagraph"/>
        <w:numPr>
          <w:ilvl w:val="2"/>
          <w:numId w:val="70"/>
        </w:numPr>
        <w:tabs>
          <w:tab w:pos="1624" w:val="left" w:leader="none"/>
        </w:tabs>
        <w:spacing w:line="240" w:lineRule="auto" w:before="86" w:after="0"/>
        <w:ind w:left="1623" w:right="0" w:hanging="526"/>
        <w:jc w:val="left"/>
        <w:rPr>
          <w:sz w:val="21"/>
        </w:rPr>
      </w:pPr>
      <w:r>
        <w:rPr>
          <w:spacing w:val="-5"/>
          <w:sz w:val="21"/>
        </w:rPr>
        <w:t>承包人提交项目管理机构及施工现场管理人员安排报告</w:t>
      </w:r>
      <w:r>
        <w:rPr>
          <w:sz w:val="21"/>
        </w:rPr>
        <w:t>（</w:t>
      </w:r>
      <w:r>
        <w:rPr>
          <w:spacing w:val="-9"/>
          <w:sz w:val="21"/>
        </w:rPr>
        <w:t>格式见合同附件 </w:t>
      </w:r>
      <w:r>
        <w:rPr>
          <w:rFonts w:ascii="Times New Roman" w:eastAsia="Times New Roman"/>
          <w:spacing w:val="-26"/>
          <w:sz w:val="21"/>
        </w:rPr>
        <w:t>5</w:t>
      </w:r>
      <w:r>
        <w:rPr>
          <w:spacing w:val="-26"/>
          <w:sz w:val="21"/>
        </w:rPr>
        <w:t>）</w:t>
      </w:r>
      <w:r>
        <w:rPr>
          <w:spacing w:val="-2"/>
          <w:sz w:val="21"/>
        </w:rPr>
        <w:t>的期限：</w:t>
      </w:r>
    </w:p>
    <w:p>
      <w:pPr>
        <w:pStyle w:val="BodyText"/>
        <w:spacing w:before="139"/>
        <w:jc w:val="both"/>
      </w:pPr>
      <w:r>
        <w:rPr>
          <w:rFonts w:ascii="Times New Roman" w:eastAsia="Times New Roman"/>
          <w:w w:val="100"/>
          <w:u w:val="single"/>
        </w:rPr>
        <w:t> </w:t>
      </w:r>
      <w:r>
        <w:rPr>
          <w:rFonts w:ascii="Times New Roman" w:eastAsia="Times New Roman"/>
          <w:u w:val="single"/>
        </w:rPr>
        <w:t> </w:t>
      </w:r>
      <w:r>
        <w:rPr>
          <w:u w:val="single"/>
        </w:rPr>
        <w:t>按本合同通用条款执行</w:t>
      </w:r>
      <w:r>
        <w:rPr/>
        <w:t> 。</w:t>
      </w:r>
    </w:p>
    <w:p>
      <w:pPr>
        <w:pStyle w:val="ListParagraph"/>
        <w:numPr>
          <w:ilvl w:val="2"/>
          <w:numId w:val="80"/>
        </w:numPr>
        <w:tabs>
          <w:tab w:pos="1624" w:val="left" w:leader="none"/>
        </w:tabs>
        <w:spacing w:line="364" w:lineRule="auto" w:before="139" w:after="0"/>
        <w:ind w:left="678" w:right="1151" w:firstLine="419"/>
        <w:jc w:val="both"/>
        <w:rPr>
          <w:sz w:val="21"/>
        </w:rPr>
      </w:pPr>
      <w:r>
        <w:rPr>
          <w:spacing w:val="-5"/>
          <w:sz w:val="21"/>
        </w:rPr>
        <w:t>承包人无正当理由拒绝撤换主要施工管理人员的违约责任：</w:t>
      </w:r>
      <w:r>
        <w:rPr>
          <w:spacing w:val="-3"/>
          <w:sz w:val="21"/>
          <w:u w:val="single"/>
        </w:rPr>
        <w:t>因承包人主要施工管理人</w:t>
      </w:r>
      <w:r>
        <w:rPr>
          <w:spacing w:val="-204"/>
          <w:sz w:val="21"/>
          <w:u w:val="single"/>
        </w:rPr>
        <w:t>员不</w:t>
      </w:r>
      <w:r>
        <w:rPr>
          <w:sz w:val="21"/>
          <w:u w:val="single"/>
        </w:rPr>
        <w:t>称职，发包人要求调换而无正当理由拒绝撤换或未及时调换的，视为承包人违约，必须向发包</w:t>
      </w:r>
      <w:r>
        <w:rPr>
          <w:spacing w:val="-3"/>
          <w:w w:val="100"/>
          <w:sz w:val="21"/>
          <w:u w:val="single"/>
        </w:rPr>
        <w:t>人交纳处罚金，处罚标准：技术负责人</w:t>
      </w:r>
      <w:r>
        <w:rPr>
          <w:spacing w:val="-29"/>
          <w:sz w:val="21"/>
          <w:u w:val="single"/>
        </w:rPr>
        <w:t> </w:t>
      </w:r>
      <w:r>
        <w:rPr>
          <w:rFonts w:ascii="Times New Roman" w:hAnsi="Times New Roman" w:eastAsia="Times New Roman"/>
          <w:w w:val="100"/>
          <w:sz w:val="21"/>
          <w:u w:val="single"/>
        </w:rPr>
        <w:t>1000</w:t>
      </w:r>
      <w:r>
        <w:rPr>
          <w:rFonts w:ascii="Times New Roman" w:hAnsi="Times New Roman" w:eastAsia="Times New Roman"/>
          <w:spacing w:val="24"/>
          <w:sz w:val="21"/>
          <w:u w:val="single"/>
        </w:rPr>
        <w:t> </w:t>
      </w:r>
      <w:r>
        <w:rPr>
          <w:w w:val="100"/>
          <w:sz w:val="21"/>
          <w:u w:val="single"/>
        </w:rPr>
        <w:t>元</w:t>
      </w:r>
      <w:r>
        <w:rPr>
          <w:rFonts w:ascii="Times New Roman" w:hAnsi="Times New Roman" w:eastAsia="Times New Roman"/>
          <w:spacing w:val="-2"/>
          <w:w w:val="100"/>
          <w:sz w:val="21"/>
          <w:u w:val="single"/>
        </w:rPr>
        <w:t>/</w:t>
      </w:r>
      <w:r>
        <w:rPr>
          <w:w w:val="100"/>
          <w:sz w:val="21"/>
          <w:u w:val="single"/>
        </w:rPr>
        <w:t>人</w:t>
      </w:r>
      <w:r>
        <w:rPr>
          <w:rFonts w:ascii="Times New Roman" w:hAnsi="Times New Roman" w:eastAsia="Times New Roman"/>
          <w:spacing w:val="-2"/>
          <w:w w:val="100"/>
          <w:sz w:val="21"/>
          <w:u w:val="single"/>
        </w:rPr>
        <w:t>•</w:t>
      </w:r>
      <w:r>
        <w:rPr>
          <w:w w:val="100"/>
          <w:sz w:val="21"/>
          <w:u w:val="single"/>
        </w:rPr>
        <w:t>次</w:t>
      </w:r>
      <w:r>
        <w:rPr>
          <w:spacing w:val="-3"/>
          <w:w w:val="100"/>
          <w:sz w:val="21"/>
          <w:u w:val="single"/>
        </w:rPr>
        <w:t>（</w:t>
      </w:r>
      <w:r>
        <w:rPr>
          <w:spacing w:val="-2"/>
          <w:w w:val="100"/>
          <w:sz w:val="21"/>
          <w:u w:val="single"/>
        </w:rPr>
        <w:t>人民币</w:t>
      </w:r>
      <w:r>
        <w:rPr>
          <w:spacing w:val="-106"/>
          <w:w w:val="100"/>
          <w:sz w:val="21"/>
          <w:u w:val="single"/>
        </w:rPr>
        <w:t>）</w:t>
      </w:r>
      <w:r>
        <w:rPr>
          <w:spacing w:val="-3"/>
          <w:w w:val="100"/>
          <w:sz w:val="21"/>
          <w:u w:val="single"/>
        </w:rPr>
        <w:t>；专业工程师</w:t>
      </w:r>
      <w:r>
        <w:rPr>
          <w:spacing w:val="-26"/>
          <w:sz w:val="21"/>
          <w:u w:val="single"/>
        </w:rPr>
        <w:t> </w:t>
      </w:r>
      <w:r>
        <w:rPr>
          <w:rFonts w:ascii="Times New Roman" w:hAnsi="Times New Roman" w:eastAsia="Times New Roman"/>
          <w:spacing w:val="-3"/>
          <w:w w:val="100"/>
          <w:sz w:val="21"/>
          <w:u w:val="single"/>
        </w:rPr>
        <w:t>1</w:t>
      </w:r>
      <w:r>
        <w:rPr>
          <w:rFonts w:ascii="Times New Roman" w:hAnsi="Times New Roman" w:eastAsia="Times New Roman"/>
          <w:w w:val="100"/>
          <w:sz w:val="21"/>
          <w:u w:val="single"/>
        </w:rPr>
        <w:t>000</w:t>
      </w:r>
      <w:r>
        <w:rPr>
          <w:rFonts w:ascii="Times New Roman" w:hAnsi="Times New Roman" w:eastAsia="Times New Roman"/>
          <w:spacing w:val="-13"/>
          <w:sz w:val="21"/>
          <w:u w:val="single"/>
        </w:rPr>
        <w:t>  </w:t>
      </w:r>
      <w:r>
        <w:rPr>
          <w:w w:val="100"/>
          <w:sz w:val="21"/>
          <w:u w:val="single"/>
        </w:rPr>
        <w:t>元</w:t>
      </w:r>
      <w:r>
        <w:rPr>
          <w:rFonts w:ascii="Times New Roman" w:hAnsi="Times New Roman" w:eastAsia="Times New Roman"/>
          <w:spacing w:val="-2"/>
          <w:w w:val="100"/>
          <w:sz w:val="21"/>
          <w:u w:val="single"/>
        </w:rPr>
        <w:t>/</w:t>
      </w:r>
      <w:r>
        <w:rPr>
          <w:spacing w:val="-3"/>
          <w:w w:val="100"/>
          <w:sz w:val="21"/>
          <w:u w:val="single"/>
        </w:rPr>
        <w:t>人</w:t>
      </w:r>
      <w:r>
        <w:rPr>
          <w:rFonts w:ascii="Times New Roman" w:hAnsi="Times New Roman" w:eastAsia="Times New Roman"/>
          <w:w w:val="100"/>
          <w:sz w:val="21"/>
          <w:u w:val="single"/>
        </w:rPr>
        <w:t>•</w:t>
      </w:r>
      <w:r>
        <w:rPr>
          <w:spacing w:val="-1"/>
          <w:w w:val="100"/>
          <w:sz w:val="21"/>
          <w:u w:val="single"/>
        </w:rPr>
        <w:t>次</w:t>
      </w:r>
      <w:r>
        <w:rPr>
          <w:w w:val="100"/>
          <w:sz w:val="21"/>
          <w:u w:val="single"/>
        </w:rPr>
        <w:t>（</w:t>
      </w:r>
      <w:r>
        <w:rPr>
          <w:spacing w:val="-3"/>
          <w:sz w:val="21"/>
          <w:u w:val="single"/>
        </w:rPr>
        <w:t>人民币</w:t>
      </w:r>
      <w:r>
        <w:rPr>
          <w:spacing w:val="-106"/>
          <w:sz w:val="21"/>
          <w:u w:val="single"/>
        </w:rPr>
        <w:t>）</w:t>
      </w:r>
      <w:r>
        <w:rPr>
          <w:sz w:val="21"/>
        </w:rPr>
        <w:t>。</w:t>
      </w:r>
    </w:p>
    <w:p>
      <w:pPr>
        <w:pStyle w:val="ListParagraph"/>
        <w:numPr>
          <w:ilvl w:val="2"/>
          <w:numId w:val="80"/>
        </w:numPr>
        <w:tabs>
          <w:tab w:pos="1624" w:val="left" w:leader="none"/>
        </w:tabs>
        <w:spacing w:line="367" w:lineRule="auto" w:before="0" w:after="0"/>
        <w:ind w:left="678" w:right="1153" w:firstLine="419"/>
        <w:jc w:val="both"/>
        <w:rPr>
          <w:sz w:val="21"/>
        </w:rPr>
      </w:pPr>
      <w:r>
        <w:rPr>
          <w:spacing w:val="-3"/>
          <w:sz w:val="21"/>
        </w:rPr>
        <w:t>承包人主要施工管理人员离开施工现场的批准要求：</w:t>
      </w:r>
      <w:r>
        <w:rPr>
          <w:spacing w:val="1"/>
          <w:sz w:val="21"/>
          <w:u w:val="single"/>
        </w:rPr>
        <w:t> 由总监理工程师批准</w:t>
      </w:r>
      <w:r>
        <w:rPr>
          <w:rFonts w:ascii="Times New Roman" w:eastAsia="Times New Roman"/>
          <w:sz w:val="21"/>
          <w:u w:val="single"/>
        </w:rPr>
        <w:t>,</w:t>
      </w:r>
      <w:r>
        <w:rPr>
          <w:spacing w:val="-2"/>
          <w:sz w:val="21"/>
          <w:u w:val="single"/>
        </w:rPr>
        <w:t>发包人认</w:t>
      </w:r>
      <w:r>
        <w:rPr>
          <w:spacing w:val="-205"/>
          <w:sz w:val="21"/>
          <w:u w:val="single"/>
        </w:rPr>
        <w:t>可后</w:t>
      </w:r>
      <w:r>
        <w:rPr>
          <w:spacing w:val="-3"/>
          <w:sz w:val="21"/>
          <w:u w:val="single"/>
        </w:rPr>
        <w:t>方可离开</w:t>
      </w:r>
      <w:r>
        <w:rPr>
          <w:sz w:val="21"/>
        </w:rPr>
        <w:t>。</w:t>
      </w:r>
    </w:p>
    <w:p>
      <w:pPr>
        <w:pStyle w:val="ListParagraph"/>
        <w:numPr>
          <w:ilvl w:val="2"/>
          <w:numId w:val="80"/>
        </w:numPr>
        <w:tabs>
          <w:tab w:pos="1624" w:val="left" w:leader="none"/>
        </w:tabs>
        <w:spacing w:line="364" w:lineRule="auto" w:before="0" w:after="0"/>
        <w:ind w:left="678" w:right="1148" w:firstLine="419"/>
        <w:jc w:val="both"/>
        <w:rPr>
          <w:sz w:val="21"/>
        </w:rPr>
      </w:pPr>
      <w:r>
        <w:rPr>
          <w:spacing w:val="-4"/>
          <w:sz w:val="21"/>
        </w:rPr>
        <w:t>承包人擅自更换主要施工管理人员的违约责任：</w:t>
      </w:r>
      <w:r>
        <w:rPr>
          <w:spacing w:val="-6"/>
          <w:sz w:val="21"/>
          <w:u w:val="single"/>
        </w:rPr>
        <w:t>项目技术负责人、专职安全员及其承</w:t>
      </w:r>
      <w:r>
        <w:rPr>
          <w:spacing w:val="-202"/>
          <w:sz w:val="21"/>
          <w:u w:val="single"/>
        </w:rPr>
        <w:t>诺的</w:t>
      </w:r>
      <w:r>
        <w:rPr>
          <w:spacing w:val="-7"/>
          <w:sz w:val="21"/>
          <w:u w:val="single"/>
        </w:rPr>
        <w:t>其它在场管理人员未经发包人书面同意不准擅自更换，擅自更换项目技术负责人处 </w:t>
      </w:r>
      <w:r>
        <w:rPr>
          <w:rFonts w:ascii="Times New Roman" w:eastAsia="Times New Roman"/>
          <w:sz w:val="21"/>
          <w:u w:val="single"/>
        </w:rPr>
        <w:t>1000</w:t>
      </w:r>
      <w:r>
        <w:rPr>
          <w:rFonts w:ascii="Times New Roman" w:eastAsia="Times New Roman"/>
          <w:spacing w:val="4"/>
          <w:sz w:val="21"/>
          <w:u w:val="single"/>
        </w:rPr>
        <w:t> </w:t>
      </w:r>
      <w:r>
        <w:rPr>
          <w:sz w:val="21"/>
          <w:u w:val="single"/>
        </w:rPr>
        <w:t>元</w:t>
      </w:r>
    </w:p>
    <w:p>
      <w:pPr>
        <w:pStyle w:val="BodyText"/>
        <w:spacing w:line="364" w:lineRule="auto"/>
        <w:ind w:right="1149"/>
        <w:jc w:val="both"/>
      </w:pPr>
      <w:r>
        <w:rPr>
          <w:rFonts w:ascii="Times New Roman" w:hAnsi="Times New Roman" w:eastAsia="Times New Roman"/>
          <w:u w:val="single"/>
        </w:rPr>
        <w:t>/</w:t>
      </w:r>
      <w:r>
        <w:rPr>
          <w:u w:val="single"/>
        </w:rPr>
        <w:t>人</w:t>
      </w:r>
      <w:r>
        <w:rPr>
          <w:rFonts w:ascii="Times New Roman" w:hAnsi="Times New Roman" w:eastAsia="Times New Roman"/>
          <w:u w:val="single"/>
        </w:rPr>
        <w:t>•</w:t>
      </w:r>
      <w:r>
        <w:rPr>
          <w:spacing w:val="-3"/>
          <w:u w:val="single"/>
        </w:rPr>
        <w:t>次</w:t>
      </w:r>
      <w:r>
        <w:rPr>
          <w:u w:val="single"/>
        </w:rPr>
        <w:t>（</w:t>
      </w:r>
      <w:r>
        <w:rPr>
          <w:spacing w:val="-3"/>
          <w:u w:val="single"/>
        </w:rPr>
        <w:t>人民币</w:t>
      </w:r>
      <w:r>
        <w:rPr>
          <w:u w:val="single"/>
        </w:rPr>
        <w:t>）</w:t>
      </w:r>
      <w:r>
        <w:rPr>
          <w:spacing w:val="-5"/>
          <w:u w:val="single"/>
        </w:rPr>
        <w:t>违约金；擅自更换专职安全员处 </w:t>
      </w:r>
      <w:r>
        <w:rPr>
          <w:rFonts w:ascii="Times New Roman" w:hAnsi="Times New Roman" w:eastAsia="Times New Roman"/>
          <w:u w:val="single"/>
        </w:rPr>
        <w:t>500 </w:t>
      </w:r>
      <w:r>
        <w:rPr>
          <w:u w:val="single"/>
        </w:rPr>
        <w:t>元</w:t>
      </w:r>
      <w:r>
        <w:rPr>
          <w:rFonts w:ascii="Times New Roman" w:hAnsi="Times New Roman" w:eastAsia="Times New Roman"/>
          <w:u w:val="single"/>
        </w:rPr>
        <w:t>/</w:t>
      </w:r>
      <w:r>
        <w:rPr>
          <w:u w:val="single"/>
        </w:rPr>
        <w:t>人</w:t>
      </w:r>
      <w:r>
        <w:rPr>
          <w:rFonts w:ascii="Times New Roman" w:hAnsi="Times New Roman" w:eastAsia="Times New Roman"/>
          <w:u w:val="single"/>
        </w:rPr>
        <w:t>•</w:t>
      </w:r>
      <w:r>
        <w:rPr>
          <w:u w:val="single"/>
        </w:rPr>
        <w:t>次</w:t>
      </w:r>
      <w:r>
        <w:rPr>
          <w:spacing w:val="-3"/>
          <w:u w:val="single"/>
        </w:rPr>
        <w:t>（</w:t>
      </w:r>
      <w:r>
        <w:rPr>
          <w:spacing w:val="-2"/>
          <w:u w:val="single"/>
        </w:rPr>
        <w:t>人民币</w:t>
      </w:r>
      <w:r>
        <w:rPr>
          <w:spacing w:val="-3"/>
          <w:u w:val="single"/>
        </w:rPr>
        <w:t>）违约金；擅自更换其</w:t>
      </w:r>
      <w:r>
        <w:rPr>
          <w:spacing w:val="-203"/>
          <w:u w:val="single"/>
        </w:rPr>
        <w:t>它在</w:t>
      </w:r>
      <w:r>
        <w:rPr>
          <w:spacing w:val="-11"/>
          <w:u w:val="single"/>
        </w:rPr>
        <w:t>场管理人员处 </w:t>
      </w:r>
      <w:r>
        <w:rPr>
          <w:rFonts w:ascii="Times New Roman" w:hAnsi="Times New Roman" w:eastAsia="Times New Roman"/>
          <w:u w:val="single"/>
        </w:rPr>
        <w:t>500 </w:t>
      </w:r>
      <w:r>
        <w:rPr>
          <w:u w:val="single"/>
        </w:rPr>
        <w:t>元</w:t>
      </w:r>
      <w:r>
        <w:rPr>
          <w:rFonts w:ascii="Times New Roman" w:hAnsi="Times New Roman" w:eastAsia="Times New Roman"/>
          <w:spacing w:val="-4"/>
          <w:u w:val="single"/>
        </w:rPr>
        <w:t>/</w:t>
      </w:r>
      <w:r>
        <w:rPr>
          <w:u w:val="single"/>
        </w:rPr>
        <w:t>人</w:t>
      </w:r>
      <w:r>
        <w:rPr>
          <w:rFonts w:ascii="Times New Roman" w:hAnsi="Times New Roman" w:eastAsia="Times New Roman"/>
          <w:u w:val="single"/>
        </w:rPr>
        <w:t>•</w:t>
      </w:r>
      <w:r>
        <w:rPr>
          <w:spacing w:val="-3"/>
          <w:u w:val="single"/>
        </w:rPr>
        <w:t>次</w:t>
      </w:r>
      <w:r>
        <w:rPr>
          <w:u w:val="single"/>
        </w:rPr>
        <w:t>（</w:t>
      </w:r>
      <w:r>
        <w:rPr>
          <w:spacing w:val="-3"/>
          <w:u w:val="single"/>
        </w:rPr>
        <w:t>人民币</w:t>
      </w:r>
      <w:r>
        <w:rPr>
          <w:u w:val="single"/>
        </w:rPr>
        <w:t>）</w:t>
      </w:r>
      <w:r>
        <w:rPr>
          <w:spacing w:val="-3"/>
          <w:u w:val="single"/>
        </w:rPr>
        <w:t>违约金</w:t>
      </w:r>
      <w:r>
        <w:rPr/>
        <w:t>。</w:t>
      </w:r>
    </w:p>
    <w:p>
      <w:pPr>
        <w:pStyle w:val="BodyText"/>
        <w:spacing w:line="364" w:lineRule="auto"/>
        <w:ind w:right="1043" w:firstLine="419"/>
        <w:jc w:val="both"/>
      </w:pPr>
      <w:r>
        <w:rPr/>
        <w:t>承包人主要施工管理人员擅自离开施工现场的违约责任：</w:t>
      </w:r>
      <w:r>
        <w:rPr>
          <w:u w:val="single"/>
        </w:rPr>
        <w:t>未经发包人同意，项目技术负责</w:t>
      </w:r>
      <w:r>
        <w:rPr>
          <w:spacing w:val="-155"/>
          <w:u w:val="single"/>
        </w:rPr>
        <w:t>人擅</w:t>
      </w:r>
      <w:r>
        <w:rPr>
          <w:spacing w:val="-8"/>
          <w:w w:val="100"/>
          <w:u w:val="single"/>
        </w:rPr>
        <w:t>自离岗的，视为承包人违约，发包人有权处违约金</w:t>
      </w:r>
      <w:r>
        <w:rPr>
          <w:spacing w:val="-8"/>
          <w:u w:val="single"/>
        </w:rPr>
        <w:t> </w:t>
      </w:r>
      <w:r>
        <w:rPr>
          <w:rFonts w:ascii="Times New Roman" w:hAnsi="Times New Roman" w:eastAsia="Times New Roman"/>
          <w:spacing w:val="-3"/>
          <w:w w:val="100"/>
          <w:u w:val="single"/>
        </w:rPr>
        <w:t>1</w:t>
      </w:r>
      <w:r>
        <w:rPr>
          <w:rFonts w:ascii="Times New Roman" w:hAnsi="Times New Roman" w:eastAsia="Times New Roman"/>
          <w:w w:val="100"/>
          <w:u w:val="single"/>
        </w:rPr>
        <w:t>000</w:t>
      </w:r>
      <w:r>
        <w:rPr>
          <w:rFonts w:ascii="Times New Roman" w:hAnsi="Times New Roman" w:eastAsia="Times New Roman"/>
          <w:u w:val="single"/>
        </w:rPr>
        <w:t> </w:t>
      </w:r>
      <w:r>
        <w:rPr>
          <w:w w:val="100"/>
          <w:u w:val="single"/>
        </w:rPr>
        <w:t>元</w:t>
      </w:r>
      <w:r>
        <w:rPr>
          <w:rFonts w:ascii="Times New Roman" w:hAnsi="Times New Roman" w:eastAsia="Times New Roman"/>
          <w:spacing w:val="-2"/>
          <w:w w:val="100"/>
          <w:u w:val="single"/>
        </w:rPr>
        <w:t>/</w:t>
      </w:r>
      <w:r>
        <w:rPr>
          <w:w w:val="100"/>
          <w:u w:val="single"/>
        </w:rPr>
        <w:t>人</w:t>
      </w:r>
      <w:r>
        <w:rPr>
          <w:rFonts w:ascii="Times New Roman" w:hAnsi="Times New Roman" w:eastAsia="Times New Roman"/>
          <w:spacing w:val="-2"/>
          <w:w w:val="100"/>
          <w:u w:val="single"/>
        </w:rPr>
        <w:t>•</w:t>
      </w:r>
      <w:r>
        <w:rPr>
          <w:spacing w:val="-20"/>
          <w:w w:val="100"/>
          <w:u w:val="single"/>
        </w:rPr>
        <w:t>次</w:t>
      </w:r>
      <w:r>
        <w:rPr>
          <w:w w:val="100"/>
          <w:u w:val="single"/>
        </w:rPr>
        <w:t>（</w:t>
      </w:r>
      <w:r>
        <w:rPr>
          <w:spacing w:val="-2"/>
          <w:w w:val="100"/>
          <w:u w:val="single"/>
        </w:rPr>
        <w:t>人民币</w:t>
      </w:r>
      <w:r>
        <w:rPr>
          <w:spacing w:val="-108"/>
          <w:w w:val="100"/>
          <w:u w:val="single"/>
        </w:rPr>
        <w:t>）</w:t>
      </w:r>
      <w:r>
        <w:rPr>
          <w:spacing w:val="-5"/>
          <w:w w:val="100"/>
          <w:u w:val="single"/>
        </w:rPr>
        <w:t>；未经发包人同意，</w:t>
      </w:r>
      <w:r>
        <w:rPr>
          <w:spacing w:val="-3"/>
          <w:w w:val="100"/>
          <w:u w:val="single"/>
        </w:rPr>
        <w:t>专职安全员擅自离岗的，视为承包人违约，发包人有权处违约金</w:t>
      </w:r>
      <w:r>
        <w:rPr>
          <w:spacing w:val="-3"/>
          <w:u w:val="single"/>
        </w:rPr>
        <w:t> </w:t>
      </w:r>
      <w:r>
        <w:rPr>
          <w:rFonts w:ascii="Times New Roman" w:hAnsi="Times New Roman" w:eastAsia="Times New Roman"/>
          <w:spacing w:val="-3"/>
          <w:w w:val="100"/>
          <w:u w:val="single"/>
        </w:rPr>
        <w:t>5</w:t>
      </w:r>
      <w:r>
        <w:rPr>
          <w:rFonts w:ascii="Times New Roman" w:hAnsi="Times New Roman" w:eastAsia="Times New Roman"/>
          <w:w w:val="100"/>
          <w:u w:val="single"/>
        </w:rPr>
        <w:t>00</w:t>
      </w:r>
      <w:r>
        <w:rPr>
          <w:rFonts w:ascii="Times New Roman" w:hAnsi="Times New Roman" w:eastAsia="Times New Roman"/>
          <w:u w:val="single"/>
        </w:rPr>
        <w:t> </w:t>
      </w:r>
      <w:r>
        <w:rPr>
          <w:w w:val="100"/>
          <w:u w:val="single"/>
        </w:rPr>
        <w:t>元</w:t>
      </w:r>
      <w:r>
        <w:rPr>
          <w:rFonts w:ascii="Times New Roman" w:hAnsi="Times New Roman" w:eastAsia="Times New Roman"/>
          <w:spacing w:val="-1"/>
          <w:w w:val="100"/>
          <w:u w:val="single"/>
        </w:rPr>
        <w:t>/</w:t>
      </w:r>
      <w:r>
        <w:rPr>
          <w:w w:val="100"/>
          <w:u w:val="single"/>
        </w:rPr>
        <w:t>人</w:t>
      </w:r>
      <w:r>
        <w:rPr>
          <w:rFonts w:ascii="Times New Roman" w:hAnsi="Times New Roman" w:eastAsia="Times New Roman"/>
          <w:w w:val="100"/>
          <w:u w:val="single"/>
        </w:rPr>
        <w:t>•</w:t>
      </w:r>
      <w:r>
        <w:rPr>
          <w:spacing w:val="-3"/>
          <w:w w:val="100"/>
          <w:u w:val="single"/>
        </w:rPr>
        <w:t>次</w:t>
      </w:r>
      <w:r>
        <w:rPr>
          <w:w w:val="100"/>
          <w:u w:val="single"/>
        </w:rPr>
        <w:t>（</w:t>
      </w:r>
      <w:r>
        <w:rPr>
          <w:spacing w:val="-3"/>
          <w:w w:val="100"/>
          <w:u w:val="single"/>
        </w:rPr>
        <w:t>人民币</w:t>
      </w:r>
      <w:r>
        <w:rPr>
          <w:spacing w:val="-106"/>
          <w:w w:val="100"/>
          <w:u w:val="single"/>
        </w:rPr>
        <w:t>）</w:t>
      </w:r>
      <w:r>
        <w:rPr>
          <w:w w:val="100"/>
          <w:u w:val="single"/>
        </w:rPr>
        <w:t>；其它</w:t>
      </w:r>
      <w:r>
        <w:rPr>
          <w:spacing w:val="-9"/>
          <w:u w:val="single"/>
        </w:rPr>
        <w:t>在场管理人员擅自离岗的，视为承包人违约，发包人有权处违约金 </w:t>
      </w:r>
      <w:r>
        <w:rPr>
          <w:rFonts w:ascii="Times New Roman" w:hAnsi="Times New Roman" w:eastAsia="Times New Roman"/>
          <w:u w:val="single"/>
        </w:rPr>
        <w:t>500 </w:t>
      </w:r>
      <w:r>
        <w:rPr>
          <w:u w:val="single"/>
        </w:rPr>
        <w:t>元</w:t>
      </w:r>
      <w:r>
        <w:rPr>
          <w:rFonts w:ascii="Times New Roman" w:hAnsi="Times New Roman" w:eastAsia="Times New Roman"/>
          <w:u w:val="single"/>
        </w:rPr>
        <w:t>/</w:t>
      </w:r>
      <w:r>
        <w:rPr>
          <w:u w:val="single"/>
        </w:rPr>
        <w:t>人</w:t>
      </w:r>
      <w:r>
        <w:rPr>
          <w:rFonts w:ascii="Times New Roman" w:hAnsi="Times New Roman" w:eastAsia="Times New Roman"/>
          <w:u w:val="single"/>
        </w:rPr>
        <w:t>•</w:t>
      </w:r>
      <w:r>
        <w:rPr>
          <w:spacing w:val="-24"/>
          <w:u w:val="single"/>
        </w:rPr>
        <w:t>次</w:t>
      </w:r>
      <w:r>
        <w:rPr>
          <w:u w:val="single"/>
        </w:rPr>
        <w:t>（</w:t>
      </w:r>
      <w:r>
        <w:rPr>
          <w:spacing w:val="-3"/>
          <w:u w:val="single"/>
        </w:rPr>
        <w:t>人民币</w:t>
      </w:r>
      <w:r>
        <w:rPr>
          <w:spacing w:val="-106"/>
          <w:u w:val="single"/>
        </w:rPr>
        <w:t>）</w:t>
      </w:r>
      <w:r>
        <w:rPr/>
        <w:t>。</w:t>
      </w:r>
    </w:p>
    <w:p>
      <w:pPr>
        <w:pStyle w:val="Heading8"/>
        <w:numPr>
          <w:ilvl w:val="1"/>
          <w:numId w:val="81"/>
        </w:numPr>
        <w:tabs>
          <w:tab w:pos="1046" w:val="left" w:leader="none"/>
        </w:tabs>
        <w:spacing w:line="313" w:lineRule="exact" w:before="0" w:after="0"/>
        <w:ind w:left="1045" w:right="0" w:hanging="368"/>
        <w:jc w:val="left"/>
      </w:pPr>
      <w:bookmarkStart w:name="3.5 分包" w:id="320"/>
      <w:bookmarkEnd w:id="320"/>
      <w:r>
        <w:rPr>
          <w:b w:val="0"/>
        </w:rPr>
      </w:r>
      <w:bookmarkStart w:name="3.5 分包" w:id="321"/>
      <w:bookmarkEnd w:id="321"/>
      <w:r>
        <w:rPr/>
        <w:t>分包</w:t>
      </w:r>
    </w:p>
    <w:p>
      <w:pPr>
        <w:pStyle w:val="ListParagraph"/>
        <w:numPr>
          <w:ilvl w:val="2"/>
          <w:numId w:val="81"/>
        </w:numPr>
        <w:tabs>
          <w:tab w:pos="1624" w:val="left" w:leader="none"/>
        </w:tabs>
        <w:spacing w:line="240" w:lineRule="auto" w:before="87" w:after="0"/>
        <w:ind w:left="1623" w:right="0" w:hanging="526"/>
        <w:jc w:val="left"/>
        <w:rPr>
          <w:sz w:val="21"/>
        </w:rPr>
      </w:pPr>
      <w:r>
        <w:rPr>
          <w:spacing w:val="-3"/>
          <w:sz w:val="21"/>
        </w:rPr>
        <w:t>分包的一般约定</w:t>
      </w:r>
    </w:p>
    <w:p>
      <w:pPr>
        <w:pStyle w:val="BodyText"/>
        <w:spacing w:before="139"/>
        <w:ind w:left="1098"/>
      </w:pPr>
      <w:r>
        <w:rPr/>
        <w:t>禁止分包的工程包括：</w:t>
      </w:r>
      <w:r>
        <w:rPr>
          <w:u w:val="single"/>
        </w:rPr>
        <w:t>本工程不允许非法分包</w:t>
      </w:r>
      <w:r>
        <w:rPr/>
        <w:t>。</w:t>
      </w:r>
    </w:p>
    <w:p>
      <w:pPr>
        <w:pStyle w:val="BodyText"/>
        <w:spacing w:before="139"/>
        <w:ind w:left="1098"/>
      </w:pPr>
      <w:r>
        <w:rPr/>
        <w:t>主体结构、关键性工作的范围：</w:t>
      </w:r>
      <w:r>
        <w:rPr>
          <w:u w:val="single"/>
        </w:rPr>
        <w:t>本工程不允许分包</w:t>
      </w:r>
      <w:r>
        <w:rPr/>
        <w:t> 。</w:t>
      </w:r>
    </w:p>
    <w:p>
      <w:pPr>
        <w:spacing w:after="0"/>
        <w:sectPr>
          <w:pgSz w:w="11910" w:h="16850"/>
          <w:pgMar w:header="0" w:footer="779" w:top="1380" w:bottom="1040" w:left="1120" w:right="280"/>
        </w:sectPr>
      </w:pPr>
    </w:p>
    <w:p>
      <w:pPr>
        <w:pStyle w:val="ListParagraph"/>
        <w:numPr>
          <w:ilvl w:val="2"/>
          <w:numId w:val="81"/>
        </w:numPr>
        <w:tabs>
          <w:tab w:pos="1624" w:val="left" w:leader="none"/>
        </w:tabs>
        <w:spacing w:line="240" w:lineRule="auto" w:before="60" w:after="0"/>
        <w:ind w:left="1623" w:right="0" w:hanging="526"/>
        <w:jc w:val="left"/>
        <w:rPr>
          <w:sz w:val="21"/>
        </w:rPr>
      </w:pPr>
      <w:r>
        <w:rPr>
          <w:spacing w:val="-3"/>
          <w:sz w:val="21"/>
        </w:rPr>
        <w:t>分包的确定</w:t>
      </w:r>
    </w:p>
    <w:p>
      <w:pPr>
        <w:pStyle w:val="BodyText"/>
        <w:spacing w:line="364" w:lineRule="auto" w:before="139"/>
        <w:ind w:left="1098" w:right="3520"/>
      </w:pPr>
      <w:r>
        <w:rPr/>
        <w:t>允许分包的专业工程包括：</w:t>
      </w:r>
      <w:r>
        <w:rPr>
          <w:u w:val="single"/>
        </w:rPr>
        <w:t>符合现行国家规定的法律法规文件</w:t>
      </w:r>
      <w:r>
        <w:rPr/>
        <w:t>。其他关于分包的约定：</w:t>
      </w:r>
    </w:p>
    <w:p>
      <w:pPr>
        <w:pStyle w:val="ListParagraph"/>
        <w:numPr>
          <w:ilvl w:val="0"/>
          <w:numId w:val="82"/>
        </w:numPr>
        <w:tabs>
          <w:tab w:pos="1627" w:val="left" w:leader="none"/>
        </w:tabs>
        <w:spacing w:line="364" w:lineRule="auto" w:before="1" w:after="0"/>
        <w:ind w:left="678" w:right="1151" w:firstLine="419"/>
        <w:jc w:val="both"/>
        <w:rPr>
          <w:sz w:val="21"/>
        </w:rPr>
      </w:pPr>
      <w:r>
        <w:rPr>
          <w:spacing w:val="-6"/>
          <w:sz w:val="21"/>
        </w:rPr>
        <w:t>除前款约定的分包内容外，经过发包人和监理人同意，承包人可以将其他非主体、非</w:t>
      </w:r>
      <w:r>
        <w:rPr>
          <w:spacing w:val="-7"/>
          <w:sz w:val="21"/>
        </w:rPr>
        <w:t>关键性工作分包给第三人，但分包人应当经过发包人和监理人审批。发包人和监理人有权拒绝</w:t>
      </w:r>
      <w:r>
        <w:rPr>
          <w:spacing w:val="-1"/>
          <w:sz w:val="21"/>
        </w:rPr>
        <w:t>承包人的分包请求和承包人选择的分包人。本项目分包人主要施工管理人员名单详见合同附件</w:t>
      </w:r>
      <w:r>
        <w:rPr>
          <w:rFonts w:ascii="Times New Roman" w:eastAsia="Times New Roman"/>
          <w:sz w:val="21"/>
        </w:rPr>
        <w:t>6</w:t>
      </w:r>
      <w:r>
        <w:rPr>
          <w:sz w:val="21"/>
        </w:rPr>
        <w:t>。</w:t>
      </w:r>
    </w:p>
    <w:p>
      <w:pPr>
        <w:pStyle w:val="ListParagraph"/>
        <w:numPr>
          <w:ilvl w:val="0"/>
          <w:numId w:val="82"/>
        </w:numPr>
        <w:tabs>
          <w:tab w:pos="1625" w:val="left" w:leader="none"/>
        </w:tabs>
        <w:spacing w:line="364" w:lineRule="auto" w:before="0" w:after="0"/>
        <w:ind w:left="678" w:right="1151" w:firstLine="419"/>
        <w:jc w:val="left"/>
        <w:rPr>
          <w:sz w:val="21"/>
        </w:rPr>
      </w:pPr>
      <w:r>
        <w:rPr>
          <w:spacing w:val="-5"/>
          <w:sz w:val="21"/>
        </w:rPr>
        <w:t>在相关分包合同签订并报送有关建设行政主管部门备案后 </w:t>
      </w:r>
      <w:r>
        <w:rPr>
          <w:rFonts w:ascii="Times New Roman" w:eastAsia="Times New Roman"/>
          <w:sz w:val="21"/>
        </w:rPr>
        <w:t>7</w:t>
      </w:r>
      <w:r>
        <w:rPr>
          <w:rFonts w:ascii="Times New Roman" w:eastAsia="Times New Roman"/>
          <w:spacing w:val="21"/>
          <w:sz w:val="21"/>
        </w:rPr>
        <w:t> </w:t>
      </w:r>
      <w:r>
        <w:rPr>
          <w:spacing w:val="-6"/>
          <w:sz w:val="21"/>
        </w:rPr>
        <w:t>天内，承包人应当将一 </w:t>
      </w:r>
      <w:r>
        <w:rPr>
          <w:spacing w:val="-3"/>
          <w:sz w:val="21"/>
        </w:rPr>
        <w:t>份副本提交给监理人，承包人应保障分包工作不得再次分包。</w:t>
      </w:r>
    </w:p>
    <w:p>
      <w:pPr>
        <w:pStyle w:val="ListParagraph"/>
        <w:numPr>
          <w:ilvl w:val="0"/>
          <w:numId w:val="82"/>
        </w:numPr>
        <w:tabs>
          <w:tab w:pos="1625" w:val="left" w:leader="none"/>
        </w:tabs>
        <w:spacing w:line="364" w:lineRule="auto" w:before="0" w:after="0"/>
        <w:ind w:left="678" w:right="1151" w:firstLine="419"/>
        <w:jc w:val="left"/>
        <w:rPr>
          <w:sz w:val="21"/>
        </w:rPr>
      </w:pPr>
      <w:r>
        <w:rPr>
          <w:spacing w:val="-4"/>
          <w:sz w:val="21"/>
        </w:rPr>
        <w:t>未经承包人和监理人审批同意的分包工程和分包人，承包人有权拒绝验收分包工程 </w:t>
      </w:r>
      <w:r>
        <w:rPr>
          <w:spacing w:val="-3"/>
          <w:sz w:val="21"/>
        </w:rPr>
        <w:t>和支付相应款项，由此引起的发包人费用增加和</w:t>
      </w:r>
      <w:r>
        <w:rPr>
          <w:rFonts w:ascii="Times New Roman" w:eastAsia="Times New Roman"/>
          <w:spacing w:val="-4"/>
          <w:sz w:val="21"/>
        </w:rPr>
        <w:t>(</w:t>
      </w:r>
      <w:r>
        <w:rPr>
          <w:sz w:val="21"/>
        </w:rPr>
        <w:t>或</w:t>
      </w:r>
      <w:r>
        <w:rPr>
          <w:rFonts w:ascii="Times New Roman" w:eastAsia="Times New Roman"/>
          <w:sz w:val="21"/>
        </w:rPr>
        <w:t>)</w:t>
      </w:r>
      <w:r>
        <w:rPr>
          <w:spacing w:val="-3"/>
          <w:sz w:val="21"/>
        </w:rPr>
        <w:t>延误的工期由发包人承担。</w:t>
      </w:r>
    </w:p>
    <w:p>
      <w:pPr>
        <w:pStyle w:val="ListParagraph"/>
        <w:numPr>
          <w:ilvl w:val="0"/>
          <w:numId w:val="82"/>
        </w:numPr>
        <w:tabs>
          <w:tab w:pos="1627" w:val="left" w:leader="none"/>
        </w:tabs>
        <w:spacing w:line="267" w:lineRule="exact" w:before="0" w:after="0"/>
        <w:ind w:left="1627" w:right="0" w:hanging="529"/>
        <w:jc w:val="left"/>
        <w:rPr>
          <w:sz w:val="21"/>
        </w:rPr>
      </w:pPr>
      <w:r>
        <w:rPr>
          <w:spacing w:val="-3"/>
          <w:sz w:val="21"/>
        </w:rPr>
        <w:t>承包人有以下情况之一者，发包人有权解除合同，并视情况扣除其履约保证金：</w:t>
      </w:r>
    </w:p>
    <w:p>
      <w:pPr>
        <w:pStyle w:val="BodyText"/>
        <w:spacing w:line="364" w:lineRule="auto" w:before="138"/>
        <w:ind w:right="1154" w:firstLine="441"/>
      </w:pPr>
      <w:r>
        <w:rPr/>
        <w:t>①个人承包工程，包括本人单位及外单位人员承包，发包人不承认其个人拥有任何资质等级及营业许可资格。没收全部履约保证金。</w:t>
      </w:r>
    </w:p>
    <w:p>
      <w:pPr>
        <w:pStyle w:val="BodyText"/>
        <w:spacing w:line="364" w:lineRule="auto"/>
        <w:ind w:right="1154" w:firstLine="441"/>
      </w:pPr>
      <w:r>
        <w:rPr/>
        <w:t>②几个人联合承包工程，就地组织暗分包队伍，不具备完成本工程的技术、机械能力，被发包人判定为没有能力履行的承包人。没收全部履约保证金。</w:t>
      </w:r>
    </w:p>
    <w:p>
      <w:pPr>
        <w:pStyle w:val="BodyText"/>
        <w:spacing w:line="267" w:lineRule="exact"/>
        <w:ind w:left="1119"/>
      </w:pPr>
      <w:r>
        <w:rPr/>
        <w:t>③就地转包全部的工程，以谋取高额转让费、管理费的承包人。没收全部履约保证金。</w:t>
      </w:r>
    </w:p>
    <w:p>
      <w:pPr>
        <w:pStyle w:val="BodyText"/>
        <w:spacing w:line="364" w:lineRule="auto" w:before="140"/>
        <w:ind w:right="1149" w:firstLine="419"/>
        <w:jc w:val="both"/>
      </w:pPr>
      <w:r>
        <w:rPr/>
        <w:t>④承包人有部分分包现象（</w:t>
      </w:r>
      <w:r>
        <w:rPr>
          <w:spacing w:val="-1"/>
        </w:rPr>
        <w:t>其中包括冒充承包人下属单位的挂勾单位，凭口头协议参与施</w:t>
      </w:r>
      <w:r>
        <w:rPr>
          <w:spacing w:val="-3"/>
          <w:w w:val="100"/>
        </w:rPr>
        <w:t>工的分包人及其他暗分包个体户</w:t>
      </w:r>
      <w:r>
        <w:rPr>
          <w:spacing w:val="-106"/>
          <w:w w:val="100"/>
        </w:rPr>
        <w:t>）</w:t>
      </w:r>
      <w:r>
        <w:rPr>
          <w:spacing w:val="-8"/>
          <w:w w:val="100"/>
        </w:rPr>
        <w:t>，一经发现核实，发包人将采取驱逐该暗分包人措施。没收全</w:t>
      </w:r>
      <w:r>
        <w:rPr>
          <w:spacing w:val="-5"/>
        </w:rPr>
        <w:t>部履约保证金。</w:t>
      </w:r>
    </w:p>
    <w:p>
      <w:pPr>
        <w:pStyle w:val="BodyText"/>
        <w:spacing w:line="266" w:lineRule="exact"/>
        <w:ind w:left="1098"/>
        <w:jc w:val="both"/>
      </w:pPr>
      <w:r>
        <w:rPr>
          <w:rFonts w:ascii="Times New Roman" w:eastAsia="Times New Roman"/>
        </w:rPr>
        <w:t>3.5.4 </w:t>
      </w:r>
      <w:r>
        <w:rPr>
          <w:spacing w:val="-3"/>
        </w:rPr>
        <w:t>分包合同价款</w:t>
      </w:r>
    </w:p>
    <w:p>
      <w:pPr>
        <w:pStyle w:val="BodyText"/>
        <w:spacing w:line="364" w:lineRule="auto" w:before="141"/>
        <w:ind w:right="1045" w:firstLine="419"/>
      </w:pPr>
      <w:r>
        <w:rPr>
          <w:spacing w:val="-4"/>
        </w:rPr>
        <w:t>关于分包合同价款支付的约定：</w:t>
      </w:r>
      <w:r>
        <w:rPr>
          <w:spacing w:val="-4"/>
          <w:u w:val="single"/>
        </w:rPr>
        <w:t>分包工程价款由承包人与分包人</w:t>
      </w:r>
      <w:r>
        <w:rPr>
          <w:u w:val="single"/>
        </w:rPr>
        <w:t>（</w:t>
      </w:r>
      <w:r>
        <w:rPr>
          <w:spacing w:val="-3"/>
          <w:u w:val="single"/>
        </w:rPr>
        <w:t>包括专业分包人</w:t>
      </w:r>
      <w:r>
        <w:rPr>
          <w:spacing w:val="-17"/>
          <w:u w:val="single"/>
        </w:rPr>
        <w:t>）</w:t>
      </w:r>
      <w:r>
        <w:rPr>
          <w:u w:val="single"/>
        </w:rPr>
        <w:t>结算。</w:t>
      </w:r>
      <w:r>
        <w:rPr>
          <w:spacing w:val="-204"/>
          <w:u w:val="single"/>
        </w:rPr>
        <w:t>发包</w:t>
      </w:r>
      <w:r>
        <w:rPr>
          <w:u w:val="single"/>
        </w:rPr>
        <w:t>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w:t>
      </w:r>
      <w:r>
        <w:rPr>
          <w:spacing w:val="-2"/>
          <w:u w:val="single"/>
        </w:rPr>
        <w:t>承担。</w:t>
      </w:r>
    </w:p>
    <w:p>
      <w:pPr>
        <w:pStyle w:val="Heading8"/>
        <w:numPr>
          <w:ilvl w:val="1"/>
          <w:numId w:val="81"/>
        </w:numPr>
        <w:tabs>
          <w:tab w:pos="1046" w:val="left" w:leader="none"/>
        </w:tabs>
        <w:spacing w:line="315" w:lineRule="exact" w:before="0" w:after="0"/>
        <w:ind w:left="1045" w:right="0" w:hanging="368"/>
        <w:jc w:val="left"/>
      </w:pPr>
      <w:bookmarkStart w:name="3.6 工程照管与成品、半成品保护" w:id="322"/>
      <w:bookmarkEnd w:id="322"/>
      <w:r>
        <w:rPr>
          <w:b w:val="0"/>
        </w:rPr>
      </w:r>
      <w:bookmarkStart w:name="3.6 工程照管与成品、半成品保护" w:id="323"/>
      <w:bookmarkEnd w:id="323"/>
      <w:r>
        <w:rPr>
          <w:spacing w:val="-1"/>
        </w:rPr>
        <w:t>工程照管与成品、半成品保护</w:t>
      </w:r>
    </w:p>
    <w:p>
      <w:pPr>
        <w:pStyle w:val="BodyText"/>
        <w:spacing w:line="364" w:lineRule="auto" w:before="92"/>
        <w:ind w:right="1151" w:firstLine="419"/>
        <w:jc w:val="both"/>
      </w:pPr>
      <w:r>
        <w:rPr>
          <w:spacing w:val="-5"/>
        </w:rPr>
        <w:t>承包人负责照管工程及工程相关的材料、工程设备的起始时间：</w:t>
      </w:r>
      <w:r>
        <w:rPr>
          <w:spacing w:val="-3"/>
          <w:u w:val="single"/>
        </w:rPr>
        <w:t> 工程接收证书颁发前，承</w:t>
      </w:r>
      <w:r>
        <w:rPr>
          <w:spacing w:val="-4"/>
          <w:u w:val="single"/>
        </w:rPr>
        <w:t>包人应负责照管和维护工程。工程接收证书颁发时尚有部份未竣工工程的，承包人还应负责该</w:t>
      </w:r>
      <w:r>
        <w:rPr>
          <w:spacing w:val="-192"/>
          <w:u w:val="single"/>
        </w:rPr>
        <w:t>未</w:t>
      </w:r>
      <w:r>
        <w:rPr>
          <w:u w:val="single"/>
        </w:rPr>
        <w:t>竣工工程的照管和维护工作，直到竣工后移交给发包人为止。因发包人原因不能及时办理竣工</w:t>
      </w:r>
      <w:r>
        <w:rPr>
          <w:spacing w:val="-3"/>
          <w:u w:val="single"/>
        </w:rPr>
        <w:t>验收以及移交所引起的照管和保护费用由发包人承担</w:t>
      </w:r>
      <w:r>
        <w:rPr/>
        <w:t>。</w:t>
      </w:r>
    </w:p>
    <w:p>
      <w:pPr>
        <w:pStyle w:val="Heading8"/>
        <w:numPr>
          <w:ilvl w:val="1"/>
          <w:numId w:val="81"/>
        </w:numPr>
        <w:tabs>
          <w:tab w:pos="1046" w:val="left" w:leader="none"/>
        </w:tabs>
        <w:spacing w:line="315" w:lineRule="exact" w:before="0" w:after="0"/>
        <w:ind w:left="1045" w:right="0" w:hanging="368"/>
        <w:jc w:val="left"/>
      </w:pPr>
      <w:bookmarkStart w:name="3.7 履约保证金" w:id="324"/>
      <w:bookmarkEnd w:id="324"/>
      <w:r>
        <w:rPr>
          <w:b w:val="0"/>
        </w:rPr>
      </w:r>
      <w:bookmarkStart w:name="3.7 履约保证金" w:id="325"/>
      <w:bookmarkEnd w:id="325"/>
      <w:r>
        <w:rPr/>
        <w:t>履约保证金</w:t>
      </w:r>
    </w:p>
    <w:p>
      <w:pPr>
        <w:pStyle w:val="BodyText"/>
        <w:spacing w:before="91"/>
        <w:ind w:left="1098"/>
      </w:pPr>
      <w:r>
        <w:rPr/>
        <w:t>承包人提供履约担保的形式、金额及期限的：无</w:t>
      </w:r>
    </w:p>
    <w:p>
      <w:pPr>
        <w:pStyle w:val="BodyText"/>
        <w:spacing w:before="139"/>
        <w:ind w:left="1098"/>
      </w:pPr>
      <w:r>
        <w:rPr>
          <w:u w:val="single"/>
        </w:rPr>
        <w:t>承包人在中标后 </w:t>
      </w:r>
      <w:r>
        <w:rPr>
          <w:rFonts w:ascii="Times New Roman" w:eastAsia="Times New Roman"/>
          <w:u w:val="single"/>
        </w:rPr>
        <w:t>7 </w:t>
      </w:r>
      <w:r>
        <w:rPr>
          <w:u w:val="single"/>
        </w:rPr>
        <w:t>个工作日内，按 横县（各市住房城乡建设行政主管部门规定）规定将农</w:t>
      </w:r>
    </w:p>
    <w:p>
      <w:pPr>
        <w:spacing w:after="0"/>
        <w:sectPr>
          <w:pgSz w:w="11910" w:h="16850"/>
          <w:pgMar w:header="0" w:footer="779" w:top="1380" w:bottom="1040" w:left="1120" w:right="280"/>
        </w:sectPr>
      </w:pPr>
    </w:p>
    <w:p>
      <w:pPr>
        <w:pStyle w:val="BodyText"/>
        <w:spacing w:line="364" w:lineRule="auto" w:before="60"/>
        <w:ind w:right="1156"/>
      </w:pPr>
      <w:r>
        <w:rPr>
          <w:spacing w:val="-1"/>
          <w:u w:val="single"/>
        </w:rPr>
        <w:t>民工工资保障金存入帐户。工程竣工验收结算经审定后，按照规定程序，将农民工工资保障金</w:t>
      </w:r>
      <w:r>
        <w:rPr>
          <w:spacing w:val="-192"/>
          <w:u w:val="single"/>
        </w:rPr>
        <w:t>没</w:t>
      </w:r>
      <w:r>
        <w:rPr>
          <w:spacing w:val="-3"/>
          <w:u w:val="single"/>
        </w:rPr>
        <w:t>有使用或剩余的金额退还给承包人。</w:t>
      </w:r>
    </w:p>
    <w:p>
      <w:pPr>
        <w:pStyle w:val="Heading8"/>
        <w:numPr>
          <w:ilvl w:val="0"/>
          <w:numId w:val="70"/>
        </w:numPr>
        <w:tabs>
          <w:tab w:pos="959" w:val="left" w:leader="none"/>
        </w:tabs>
        <w:spacing w:line="376" w:lineRule="exact" w:before="0" w:after="0"/>
        <w:ind w:left="958" w:right="0" w:hanging="281"/>
        <w:jc w:val="left"/>
      </w:pPr>
      <w:bookmarkStart w:name="4. 监理人" w:id="326"/>
      <w:bookmarkEnd w:id="326"/>
      <w:r>
        <w:rPr>
          <w:b w:val="0"/>
        </w:rPr>
      </w:r>
      <w:bookmarkStart w:name="4. 监理人" w:id="327"/>
      <w:bookmarkEnd w:id="327"/>
      <w:r>
        <w:rPr/>
        <w:t>监理人</w:t>
      </w:r>
    </w:p>
    <w:p>
      <w:pPr>
        <w:pStyle w:val="ListParagraph"/>
        <w:numPr>
          <w:ilvl w:val="1"/>
          <w:numId w:val="70"/>
        </w:numPr>
        <w:tabs>
          <w:tab w:pos="1046" w:val="left" w:leader="none"/>
        </w:tabs>
        <w:spacing w:line="240" w:lineRule="auto" w:before="144" w:after="0"/>
        <w:ind w:left="1045" w:right="0" w:hanging="368"/>
        <w:jc w:val="left"/>
        <w:rPr>
          <w:rFonts w:ascii="Microsoft JhengHei" w:eastAsia="Microsoft JhengHei" w:hint="eastAsia"/>
          <w:b/>
          <w:sz w:val="21"/>
        </w:rPr>
      </w:pPr>
      <w:bookmarkStart w:name="4.1 监理人的一般规定" w:id="328"/>
      <w:bookmarkEnd w:id="328"/>
      <w:r>
        <w:rPr/>
      </w:r>
      <w:bookmarkStart w:name="4.1 监理人的一般规定" w:id="329"/>
      <w:bookmarkEnd w:id="329"/>
      <w:r>
        <w:rPr>
          <w:rFonts w:ascii="Microsoft JhengHei" w:eastAsia="Microsoft JhengHei" w:hint="eastAsia"/>
          <w:b/>
          <w:sz w:val="21"/>
        </w:rPr>
        <w:t>监理人的一般规定</w:t>
      </w:r>
    </w:p>
    <w:p>
      <w:pPr>
        <w:pStyle w:val="BodyText"/>
        <w:tabs>
          <w:tab w:pos="4984" w:val="left" w:leader="none"/>
        </w:tabs>
        <w:spacing w:before="91"/>
        <w:ind w:left="1098"/>
      </w:pPr>
      <w:r>
        <w:rPr/>
        <w:t>关于</w:t>
      </w:r>
      <w:r>
        <w:rPr>
          <w:spacing w:val="-3"/>
        </w:rPr>
        <w:t>监</w:t>
      </w:r>
      <w:r>
        <w:rPr/>
        <w:t>理</w:t>
      </w:r>
      <w:r>
        <w:rPr>
          <w:spacing w:val="-3"/>
        </w:rPr>
        <w:t>人</w:t>
      </w:r>
      <w:r>
        <w:rPr/>
        <w:t>的</w:t>
      </w:r>
      <w:r>
        <w:rPr>
          <w:spacing w:val="-3"/>
        </w:rPr>
        <w:t>监</w:t>
      </w:r>
      <w:r>
        <w:rPr/>
        <w:t>理</w:t>
      </w:r>
      <w:r>
        <w:rPr>
          <w:spacing w:val="-3"/>
        </w:rPr>
        <w:t>内</w:t>
      </w:r>
      <w:r>
        <w:rPr/>
        <w:t>容</w:t>
      </w:r>
      <w:r>
        <w:rPr>
          <w:spacing w:val="-3"/>
        </w:rPr>
        <w:t>：</w:t>
      </w:r>
      <w:r>
        <w:rPr>
          <w:spacing w:val="5"/>
          <w:u w:val="single"/>
        </w:rPr>
        <w:t> </w:t>
      </w:r>
      <w:r>
        <w:rPr>
          <w:u w:val="single"/>
        </w:rPr>
        <w:t>详见</w:t>
      </w:r>
      <w:r>
        <w:rPr>
          <w:spacing w:val="-3"/>
          <w:u w:val="single"/>
        </w:rPr>
        <w:t>监</w:t>
      </w:r>
      <w:r>
        <w:rPr>
          <w:u w:val="single"/>
        </w:rPr>
        <w:t>理</w:t>
      </w:r>
      <w:r>
        <w:rPr>
          <w:spacing w:val="-3"/>
          <w:u w:val="single"/>
        </w:rPr>
        <w:t>合</w:t>
      </w:r>
      <w:r>
        <w:rPr>
          <w:u w:val="single"/>
        </w:rPr>
        <w:t>同</w:t>
        <w:tab/>
      </w:r>
      <w:r>
        <w:rPr/>
        <w:t>。</w:t>
      </w:r>
    </w:p>
    <w:p>
      <w:pPr>
        <w:pStyle w:val="BodyText"/>
        <w:spacing w:line="364" w:lineRule="auto" w:before="139"/>
        <w:ind w:right="1151" w:firstLine="419"/>
      </w:pPr>
      <w:r>
        <w:rPr>
          <w:spacing w:val="-4"/>
        </w:rPr>
        <w:t>关于监理人的监理权限：</w:t>
      </w:r>
      <w:r>
        <w:rPr>
          <w:spacing w:val="-5"/>
          <w:u w:val="single"/>
        </w:rPr>
        <w:t> 按本工程的《建设工程委托监理合同》相关条款执行。发包人于</w:t>
      </w:r>
      <w:r>
        <w:rPr>
          <w:spacing w:val="-203"/>
          <w:u w:val="single"/>
        </w:rPr>
        <w:t>开工</w:t>
      </w:r>
      <w:r>
        <w:rPr>
          <w:spacing w:val="-27"/>
          <w:u w:val="single"/>
        </w:rPr>
        <w:t>前 </w:t>
      </w:r>
      <w:r>
        <w:rPr>
          <w:rFonts w:ascii="Times New Roman" w:eastAsia="Times New Roman"/>
          <w:u w:val="single"/>
        </w:rPr>
        <w:t>7 </w:t>
      </w:r>
      <w:r>
        <w:rPr>
          <w:spacing w:val="-3"/>
          <w:u w:val="single"/>
        </w:rPr>
        <w:t>天向承包人提供一份本工程的《建设工程委托监理合同》原件</w:t>
      </w:r>
      <w:r>
        <w:rPr>
          <w:spacing w:val="-1"/>
        </w:rPr>
        <w:t> 。</w:t>
      </w:r>
    </w:p>
    <w:p>
      <w:pPr>
        <w:pStyle w:val="BodyText"/>
      </w:pPr>
      <w:r>
        <w:rPr/>
        <w:t>关于监理人在施工现场的办公场所、生活场所的提供和费用承担的约定：</w:t>
      </w:r>
      <w:r>
        <w:rPr>
          <w:u w:val="single"/>
        </w:rPr>
        <w:t>双方另行协商</w:t>
      </w:r>
      <w:r>
        <w:rPr/>
        <w:t>。</w:t>
      </w:r>
    </w:p>
    <w:p>
      <w:pPr>
        <w:pStyle w:val="Heading8"/>
        <w:numPr>
          <w:ilvl w:val="1"/>
          <w:numId w:val="70"/>
        </w:numPr>
        <w:tabs>
          <w:tab w:pos="1046" w:val="left" w:leader="none"/>
        </w:tabs>
        <w:spacing w:line="240" w:lineRule="auto" w:before="71" w:after="0"/>
        <w:ind w:left="1045" w:right="0" w:hanging="368"/>
        <w:jc w:val="left"/>
      </w:pPr>
      <w:bookmarkStart w:name="4.2 监理人员" w:id="330"/>
      <w:bookmarkEnd w:id="330"/>
      <w:r>
        <w:rPr>
          <w:b w:val="0"/>
        </w:rPr>
      </w:r>
      <w:bookmarkStart w:name="4.2 监理人员" w:id="331"/>
      <w:bookmarkEnd w:id="331"/>
      <w:r>
        <w:rPr/>
        <w:t>监理人员</w:t>
      </w:r>
    </w:p>
    <w:p>
      <w:pPr>
        <w:pStyle w:val="BodyText"/>
        <w:spacing w:before="91"/>
        <w:ind w:left="1098"/>
      </w:pPr>
      <w:r>
        <w:rPr/>
        <w:t>总监理工程师：</w:t>
      </w:r>
    </w:p>
    <w:p>
      <w:pPr>
        <w:pStyle w:val="BodyText"/>
        <w:tabs>
          <w:tab w:pos="1309" w:val="left" w:leader="none"/>
        </w:tabs>
        <w:spacing w:line="364" w:lineRule="auto" w:before="139"/>
        <w:ind w:right="7303"/>
      </w:pPr>
      <w:r>
        <w:rPr/>
        <w:drawing>
          <wp:anchor distT="0" distB="0" distL="0" distR="0" allowOverlap="1" layoutInCell="1" locked="0" behindDoc="1" simplePos="0" relativeHeight="236666880">
            <wp:simplePos x="0" y="0"/>
            <wp:positionH relativeFrom="page">
              <wp:posOffset>2609723</wp:posOffset>
            </wp:positionH>
            <wp:positionV relativeFrom="paragraph">
              <wp:posOffset>101219</wp:posOffset>
            </wp:positionV>
            <wp:extent cx="207263" cy="147827"/>
            <wp:effectExtent l="0" t="0" r="0" b="0"/>
            <wp:wrapNone/>
            <wp:docPr id="41" name="image8.png"/>
            <wp:cNvGraphicFramePr>
              <a:graphicFrameLocks noChangeAspect="1"/>
            </wp:cNvGraphicFramePr>
            <a:graphic>
              <a:graphicData uri="http://schemas.openxmlformats.org/drawingml/2006/picture">
                <pic:pic>
                  <pic:nvPicPr>
                    <pic:cNvPr id="42" name="image8.png"/>
                    <pic:cNvPicPr/>
                  </pic:nvPicPr>
                  <pic:blipFill>
                    <a:blip r:embed="rId26" cstate="print"/>
                    <a:stretch>
                      <a:fillRect/>
                    </a:stretch>
                  </pic:blipFill>
                  <pic:spPr>
                    <a:xfrm>
                      <a:off x="0" y="0"/>
                      <a:ext cx="207263" cy="147827"/>
                    </a:xfrm>
                    <a:prstGeom prst="rect">
                      <a:avLst/>
                    </a:prstGeom>
                  </pic:spPr>
                </pic:pic>
              </a:graphicData>
            </a:graphic>
          </wp:anchor>
        </w:drawing>
      </w:r>
      <w:r>
        <w:rPr/>
        <w:pict>
          <v:group style="position:absolute;margin-left:240.050003pt;margin-top:7.970003pt;width:18.6pt;height:11.65pt;mso-position-horizontal-relative:page;mso-position-vertical-relative:paragraph;z-index:251765760" coordorigin="4801,159" coordsize="372,233">
            <v:shape style="position:absolute;left:4801;top:159;width:322;height:233" type="#_x0000_t75" stroked="false">
              <v:imagedata r:id="rId27" o:title=""/>
            </v:shape>
            <v:shape style="position:absolute;left:4801;top:159;width:372;height:233" type="#_x0000_t202" filled="false" stroked="false">
              <v:textbox inset="0,0,0,0">
                <w:txbxContent>
                  <w:p>
                    <w:pPr>
                      <w:spacing w:line="233" w:lineRule="exact" w:before="0"/>
                      <w:ind w:left="160" w:right="0" w:firstLine="0"/>
                      <w:jc w:val="left"/>
                      <w:rPr>
                        <w:sz w:val="21"/>
                      </w:rPr>
                    </w:pPr>
                    <w:r>
                      <w:rPr>
                        <w:w w:val="100"/>
                        <w:sz w:val="21"/>
                      </w:rPr>
                      <w:t>；</w:t>
                    </w:r>
                  </w:p>
                </w:txbxContent>
              </v:textbox>
              <w10:wrap type="none"/>
            </v:shape>
            <w10:wrap type="none"/>
          </v:group>
        </w:pict>
      </w:r>
      <w:bookmarkStart w:name="姓    名：详见监理合同     ；" w:id="332"/>
      <w:bookmarkEnd w:id="332"/>
      <w:r>
        <w:rPr/>
      </w:r>
      <w:r>
        <w:rPr/>
        <w:t>姓</w:t>
        <w:tab/>
        <w:t>名</w:t>
      </w:r>
      <w:r>
        <w:rPr>
          <w:spacing w:val="-3"/>
        </w:rPr>
        <w:t>：</w:t>
      </w:r>
      <w:r>
        <w:rPr/>
        <w:t>详</w:t>
      </w:r>
      <w:r>
        <w:rPr>
          <w:spacing w:val="-3"/>
        </w:rPr>
        <w:t>见</w:t>
      </w:r>
      <w:r>
        <w:rPr/>
        <w:t>监</w:t>
      </w:r>
      <w:r>
        <w:rPr>
          <w:spacing w:val="-3"/>
        </w:rPr>
        <w:t>理</w:t>
      </w:r>
      <w:r>
        <w:rPr/>
        <w:t>合同</w:t>
      </w:r>
      <w:bookmarkStart w:name="职    务：详见监理合同；" w:id="333"/>
      <w:bookmarkEnd w:id="333"/>
      <w:r>
        <w:rPr/>
      </w:r>
      <w:r>
        <w:rPr/>
        <w:t> 职</w:t>
        <w:tab/>
      </w:r>
      <w:r>
        <w:rPr>
          <w:spacing w:val="-1"/>
        </w:rPr>
        <w:t>务</w:t>
      </w:r>
      <w:r>
        <w:rPr>
          <w:spacing w:val="-3"/>
        </w:rPr>
        <w:t>：</w:t>
      </w:r>
      <w:r>
        <w:rPr>
          <w:spacing w:val="-1"/>
        </w:rPr>
        <w:t>详</w:t>
      </w:r>
      <w:r>
        <w:rPr>
          <w:spacing w:val="-3"/>
        </w:rPr>
        <w:t>见</w:t>
      </w:r>
      <w:r>
        <w:rPr/>
        <w:t>监</w:t>
      </w:r>
      <w:r>
        <w:rPr>
          <w:spacing w:val="-3"/>
        </w:rPr>
        <w:t>理</w:t>
      </w:r>
      <w:r>
        <w:rPr/>
        <w:t>合同</w:t>
      </w:r>
      <w:r>
        <w:rPr>
          <w:spacing w:val="-16"/>
        </w:rPr>
        <w:t>；</w:t>
      </w:r>
    </w:p>
    <w:p>
      <w:pPr>
        <w:pStyle w:val="BodyText"/>
        <w:spacing w:line="364" w:lineRule="auto"/>
        <w:ind w:right="5354"/>
      </w:pPr>
      <w:r>
        <w:rPr/>
        <w:drawing>
          <wp:anchor distT="0" distB="0" distL="0" distR="0" allowOverlap="1" layoutInCell="1" locked="0" behindDoc="1" simplePos="0" relativeHeight="236669952">
            <wp:simplePos x="0" y="0"/>
            <wp:positionH relativeFrom="page">
              <wp:posOffset>2877947</wp:posOffset>
            </wp:positionH>
            <wp:positionV relativeFrom="paragraph">
              <wp:posOffset>12953</wp:posOffset>
            </wp:positionV>
            <wp:extent cx="207263" cy="147827"/>
            <wp:effectExtent l="0" t="0" r="0" b="0"/>
            <wp:wrapNone/>
            <wp:docPr id="43" name="image8.png"/>
            <wp:cNvGraphicFramePr>
              <a:graphicFrameLocks noChangeAspect="1"/>
            </wp:cNvGraphicFramePr>
            <a:graphic>
              <a:graphicData uri="http://schemas.openxmlformats.org/drawingml/2006/picture">
                <pic:pic>
                  <pic:nvPicPr>
                    <pic:cNvPr id="44" name="image8.png"/>
                    <pic:cNvPicPr/>
                  </pic:nvPicPr>
                  <pic:blipFill>
                    <a:blip r:embed="rId26" cstate="print"/>
                    <a:stretch>
                      <a:fillRect/>
                    </a:stretch>
                  </pic:blipFill>
                  <pic:spPr>
                    <a:xfrm>
                      <a:off x="0" y="0"/>
                      <a:ext cx="207263" cy="147827"/>
                    </a:xfrm>
                    <a:prstGeom prst="rect">
                      <a:avLst/>
                    </a:prstGeom>
                  </pic:spPr>
                </pic:pic>
              </a:graphicData>
            </a:graphic>
          </wp:anchor>
        </w:drawing>
      </w:r>
      <w:bookmarkStart w:name="监理工程师执业资格证书号：详见监理合同 ；" w:id="334"/>
      <w:bookmarkEnd w:id="334"/>
      <w:r>
        <w:rPr/>
      </w:r>
      <w:r>
        <w:rPr>
          <w:spacing w:val="-3"/>
        </w:rPr>
        <w:t>监理工程师执业资格证书号： 详见监理合同 ； </w:t>
      </w:r>
      <w:bookmarkStart w:name="联系电话：详见监理合同；" w:id="335"/>
      <w:bookmarkEnd w:id="335"/>
      <w:r>
        <w:rPr>
          <w:spacing w:val="-3"/>
        </w:rPr>
      </w:r>
      <w:r>
        <w:rPr>
          <w:spacing w:val="-3"/>
        </w:rPr>
        <w:t>联系电话：详见监理合同；</w:t>
      </w:r>
    </w:p>
    <w:p>
      <w:pPr>
        <w:pStyle w:val="BodyText"/>
        <w:spacing w:line="364" w:lineRule="auto"/>
        <w:ind w:right="7303"/>
      </w:pPr>
      <w:bookmarkStart w:name="电子信箱：详见监理合同；" w:id="336"/>
      <w:bookmarkEnd w:id="336"/>
      <w:r>
        <w:rPr/>
      </w:r>
      <w:r>
        <w:rPr>
          <w:spacing w:val="-4"/>
        </w:rPr>
        <w:t>电子信箱：详见监理合同； </w:t>
      </w:r>
      <w:bookmarkStart w:name="通信地址：详见监理合同；" w:id="337"/>
      <w:bookmarkEnd w:id="337"/>
      <w:r>
        <w:rPr>
          <w:spacing w:val="-4"/>
        </w:rPr>
      </w:r>
      <w:r>
        <w:rPr>
          <w:spacing w:val="-4"/>
        </w:rPr>
        <w:t>通信地址：详见监理合同；</w:t>
      </w:r>
    </w:p>
    <w:p>
      <w:pPr>
        <w:pStyle w:val="BodyText"/>
        <w:spacing w:line="267" w:lineRule="exact"/>
      </w:pPr>
      <w:bookmarkStart w:name="关于监理人的其他约定：详见监理合同。" w:id="338"/>
      <w:bookmarkEnd w:id="338"/>
      <w:r>
        <w:rPr/>
      </w:r>
      <w:r>
        <w:rPr/>
        <w:t>关于监理人的其他约定：详见监理合同。</w:t>
      </w:r>
    </w:p>
    <w:p>
      <w:pPr>
        <w:pStyle w:val="Heading8"/>
        <w:spacing w:before="71"/>
        <w:ind w:left="678" w:firstLine="0"/>
      </w:pPr>
      <w:bookmarkStart w:name="4.4 商定或确定" w:id="339"/>
      <w:bookmarkEnd w:id="339"/>
      <w:r>
        <w:rPr>
          <w:b w:val="0"/>
        </w:rPr>
      </w:r>
      <w:r>
        <w:rPr>
          <w:rFonts w:ascii="Times New Roman" w:eastAsia="Times New Roman"/>
        </w:rPr>
        <w:t>4.4 </w:t>
      </w:r>
      <w:r>
        <w:rPr/>
        <w:t>商定或确定</w:t>
      </w:r>
    </w:p>
    <w:p>
      <w:pPr>
        <w:pStyle w:val="BodyText"/>
        <w:spacing w:before="91"/>
        <w:ind w:left="1098"/>
      </w:pPr>
      <w:r>
        <w:rPr/>
        <w:t>在发包人和承包人不能通过协商达成一致意见时，发包人授权监理人对以下事项进行确定：</w:t>
      </w:r>
    </w:p>
    <w:p>
      <w:pPr>
        <w:pStyle w:val="BodyText"/>
        <w:spacing w:before="139"/>
        <w:ind w:left="1098"/>
      </w:pPr>
      <w:r>
        <w:rPr/>
        <w:t>（</w:t>
      </w:r>
      <w:r>
        <w:rPr>
          <w:rFonts w:ascii="Times New Roman" w:eastAsia="Times New Roman"/>
        </w:rPr>
        <w:t>1</w:t>
      </w:r>
      <w:r>
        <w:rPr/>
        <w:t>）</w:t>
      </w:r>
      <w:r>
        <w:rPr>
          <w:u w:val="single"/>
        </w:rPr>
        <w:t>按本合同《通用条款》相关条款规定执行</w:t>
      </w:r>
      <w:r>
        <w:rPr/>
        <w:t> ；</w:t>
      </w:r>
    </w:p>
    <w:p>
      <w:pPr>
        <w:pStyle w:val="BodyText"/>
        <w:spacing w:before="139"/>
        <w:ind w:left="1098"/>
      </w:pPr>
      <w:r>
        <w:rPr/>
        <w:t>（</w:t>
      </w:r>
      <w:r>
        <w:rPr>
          <w:rFonts w:ascii="Times New Roman" w:eastAsia="Times New Roman"/>
        </w:rPr>
        <w:t>2</w:t>
      </w:r>
      <w:r>
        <w:rPr/>
        <w:t>）</w:t>
      </w:r>
      <w:r>
        <w:rPr>
          <w:spacing w:val="-1"/>
          <w:u w:val="single"/>
        </w:rPr>
        <w:t> 待定</w:t>
      </w:r>
      <w:r>
        <w:rPr>
          <w:spacing w:val="2"/>
        </w:rPr>
        <w:t> ；</w:t>
      </w:r>
    </w:p>
    <w:p>
      <w:pPr>
        <w:pStyle w:val="BodyText"/>
        <w:spacing w:before="141"/>
        <w:ind w:left="1098"/>
      </w:pPr>
      <w:r>
        <w:rPr/>
        <w:t>（</w:t>
      </w:r>
      <w:r>
        <w:rPr>
          <w:rFonts w:ascii="Times New Roman" w:eastAsia="Times New Roman"/>
        </w:rPr>
        <w:t>3</w:t>
      </w:r>
      <w:r>
        <w:rPr/>
        <w:t>）</w:t>
      </w:r>
      <w:r>
        <w:rPr>
          <w:u w:val="single"/>
        </w:rPr>
        <w:t> 待定</w:t>
      </w:r>
      <w:r>
        <w:rPr/>
        <w:t> 。</w:t>
      </w:r>
    </w:p>
    <w:p>
      <w:pPr>
        <w:pStyle w:val="Heading8"/>
        <w:numPr>
          <w:ilvl w:val="0"/>
          <w:numId w:val="70"/>
        </w:numPr>
        <w:tabs>
          <w:tab w:pos="959" w:val="left" w:leader="none"/>
        </w:tabs>
        <w:spacing w:line="240" w:lineRule="auto" w:before="130" w:after="0"/>
        <w:ind w:left="958" w:right="0" w:hanging="281"/>
        <w:jc w:val="left"/>
      </w:pPr>
      <w:bookmarkStart w:name="5. 工程质量" w:id="340"/>
      <w:bookmarkEnd w:id="340"/>
      <w:r>
        <w:rPr>
          <w:b w:val="0"/>
        </w:rPr>
      </w:r>
      <w:bookmarkStart w:name="5. 工程质量" w:id="341"/>
      <w:bookmarkEnd w:id="341"/>
      <w:r>
        <w:rPr/>
        <w:t>工程质量</w:t>
      </w:r>
    </w:p>
    <w:p>
      <w:pPr>
        <w:pStyle w:val="ListParagraph"/>
        <w:numPr>
          <w:ilvl w:val="1"/>
          <w:numId w:val="70"/>
        </w:numPr>
        <w:tabs>
          <w:tab w:pos="1046" w:val="left" w:leader="none"/>
        </w:tabs>
        <w:spacing w:line="240" w:lineRule="auto" w:before="142" w:after="0"/>
        <w:ind w:left="1045" w:right="0" w:hanging="368"/>
        <w:jc w:val="left"/>
        <w:rPr>
          <w:rFonts w:ascii="Microsoft JhengHei" w:eastAsia="Microsoft JhengHei" w:hint="eastAsia"/>
          <w:b/>
          <w:sz w:val="21"/>
        </w:rPr>
      </w:pPr>
      <w:bookmarkStart w:name="5.1 质量要求" w:id="342"/>
      <w:bookmarkEnd w:id="342"/>
      <w:r>
        <w:rPr/>
      </w:r>
      <w:bookmarkStart w:name="5.1 质量要求" w:id="343"/>
      <w:bookmarkEnd w:id="343"/>
      <w:r>
        <w:rPr>
          <w:rFonts w:ascii="Microsoft JhengHei" w:eastAsia="Microsoft JhengHei" w:hint="eastAsia"/>
          <w:b/>
          <w:sz w:val="21"/>
        </w:rPr>
        <w:t>质量要求</w:t>
      </w:r>
    </w:p>
    <w:p>
      <w:pPr>
        <w:pStyle w:val="ListParagraph"/>
        <w:numPr>
          <w:ilvl w:val="2"/>
          <w:numId w:val="70"/>
        </w:numPr>
        <w:tabs>
          <w:tab w:pos="1624" w:val="left" w:leader="none"/>
        </w:tabs>
        <w:spacing w:line="364" w:lineRule="auto" w:before="91" w:after="0"/>
        <w:ind w:left="678" w:right="1151" w:firstLine="419"/>
        <w:jc w:val="both"/>
        <w:rPr>
          <w:sz w:val="21"/>
        </w:rPr>
      </w:pPr>
      <w:r>
        <w:rPr>
          <w:spacing w:val="-5"/>
          <w:sz w:val="21"/>
        </w:rPr>
        <w:t>特殊质量标准和要求：</w:t>
      </w:r>
      <w:r>
        <w:rPr>
          <w:spacing w:val="-5"/>
          <w:sz w:val="21"/>
          <w:u w:val="single"/>
        </w:rPr>
        <w:t>严格执行广西壮族自治区住房和城乡建设厅《关于严格实行房</w:t>
      </w:r>
      <w:r>
        <w:rPr>
          <w:spacing w:val="-202"/>
          <w:sz w:val="21"/>
          <w:u w:val="single"/>
        </w:rPr>
        <w:t>屋建</w:t>
      </w:r>
      <w:r>
        <w:rPr>
          <w:spacing w:val="-3"/>
          <w:sz w:val="21"/>
          <w:u w:val="single"/>
        </w:rPr>
        <w:t>筑和市政基础设施工程质量终身责任承诺、永久性质量责任标牌、终身责任信息档案等制度的</w:t>
      </w:r>
      <w:r>
        <w:rPr>
          <w:spacing w:val="-9"/>
          <w:sz w:val="21"/>
          <w:u w:val="single"/>
        </w:rPr>
        <w:t>通知》</w:t>
      </w:r>
      <w:r>
        <w:rPr>
          <w:rFonts w:ascii="Times New Roman" w:eastAsia="Times New Roman"/>
          <w:sz w:val="21"/>
          <w:u w:val="single"/>
        </w:rPr>
        <w:t>(</w:t>
      </w:r>
      <w:r>
        <w:rPr>
          <w:spacing w:val="-2"/>
          <w:sz w:val="21"/>
          <w:u w:val="single"/>
        </w:rPr>
        <w:t>桂建管</w:t>
      </w:r>
      <w:r>
        <w:rPr>
          <w:rFonts w:ascii="Times New Roman" w:eastAsia="Times New Roman"/>
          <w:sz w:val="21"/>
          <w:u w:val="single"/>
        </w:rPr>
        <w:t>[2014]96</w:t>
      </w:r>
      <w:r>
        <w:rPr>
          <w:rFonts w:ascii="Times New Roman" w:eastAsia="Times New Roman"/>
          <w:spacing w:val="27"/>
          <w:sz w:val="21"/>
          <w:u w:val="single"/>
        </w:rPr>
        <w:t> </w:t>
      </w:r>
      <w:r>
        <w:rPr>
          <w:sz w:val="21"/>
          <w:u w:val="single"/>
        </w:rPr>
        <w:t>号</w:t>
      </w:r>
      <w:r>
        <w:rPr>
          <w:rFonts w:ascii="Times New Roman" w:eastAsia="Times New Roman"/>
          <w:sz w:val="21"/>
          <w:u w:val="single"/>
        </w:rPr>
        <w:t>)</w:t>
      </w:r>
      <w:r>
        <w:rPr>
          <w:spacing w:val="-6"/>
          <w:sz w:val="21"/>
          <w:u w:val="single"/>
        </w:rPr>
        <w:t>和南宁市城乡建设委员会《关于落实建设工程质量终身责任，加强工</w:t>
      </w:r>
      <w:r>
        <w:rPr>
          <w:spacing w:val="-15"/>
          <w:sz w:val="21"/>
          <w:u w:val="single"/>
        </w:rPr>
        <w:t>程质量管理的通知》</w:t>
      </w:r>
      <w:r>
        <w:rPr>
          <w:spacing w:val="-3"/>
          <w:sz w:val="21"/>
          <w:u w:val="single"/>
        </w:rPr>
        <w:t>（</w:t>
      </w:r>
      <w:r>
        <w:rPr>
          <w:spacing w:val="-1"/>
          <w:sz w:val="21"/>
          <w:u w:val="single"/>
        </w:rPr>
        <w:t>南建质安</w:t>
      </w:r>
      <w:r>
        <w:rPr>
          <w:rFonts w:ascii="Times New Roman" w:eastAsia="Times New Roman"/>
          <w:sz w:val="21"/>
          <w:u w:val="single"/>
        </w:rPr>
        <w:t>[2014]155</w:t>
      </w:r>
      <w:r>
        <w:rPr>
          <w:rFonts w:ascii="Times New Roman" w:eastAsia="Times New Roman"/>
          <w:spacing w:val="1"/>
          <w:sz w:val="21"/>
          <w:u w:val="single"/>
        </w:rPr>
        <w:t> </w:t>
      </w:r>
      <w:r>
        <w:rPr>
          <w:spacing w:val="-3"/>
          <w:sz w:val="21"/>
          <w:u w:val="single"/>
        </w:rPr>
        <w:t>号</w:t>
      </w:r>
      <w:r>
        <w:rPr>
          <w:sz w:val="21"/>
          <w:u w:val="single"/>
        </w:rPr>
        <w:t>）</w:t>
      </w:r>
      <w:r>
        <w:rPr>
          <w:spacing w:val="-3"/>
          <w:sz w:val="21"/>
          <w:u w:val="single"/>
        </w:rPr>
        <w:t>要求，落实建设工程质量终身责任。</w:t>
      </w:r>
    </w:p>
    <w:p>
      <w:pPr>
        <w:pStyle w:val="BodyText"/>
        <w:tabs>
          <w:tab w:pos="6770" w:val="left" w:leader="none"/>
        </w:tabs>
        <w:spacing w:line="268" w:lineRule="exact"/>
        <w:ind w:left="1098"/>
      </w:pPr>
      <w:r>
        <w:rPr/>
        <w:t>关于</w:t>
      </w:r>
      <w:r>
        <w:rPr>
          <w:spacing w:val="-3"/>
        </w:rPr>
        <w:t>工</w:t>
      </w:r>
      <w:r>
        <w:rPr/>
        <w:t>程</w:t>
      </w:r>
      <w:r>
        <w:rPr>
          <w:spacing w:val="-3"/>
        </w:rPr>
        <w:t>奖</w:t>
      </w:r>
      <w:r>
        <w:rPr/>
        <w:t>项</w:t>
      </w:r>
      <w:r>
        <w:rPr>
          <w:spacing w:val="-3"/>
        </w:rPr>
        <w:t>的</w:t>
      </w:r>
      <w:r>
        <w:rPr/>
        <w:t>约</w:t>
      </w:r>
      <w:r>
        <w:rPr>
          <w:spacing w:val="-3"/>
        </w:rPr>
        <w:t>定</w:t>
      </w:r>
      <w:r>
        <w:rPr/>
        <w:t>：</w:t>
      </w:r>
      <w:r>
        <w:rPr>
          <w:u w:val="single"/>
        </w:rPr>
        <w:t> </w:t>
        <w:tab/>
      </w:r>
      <w:r>
        <w:rPr/>
        <w:t>。</w:t>
      </w:r>
    </w:p>
    <w:p>
      <w:pPr>
        <w:pStyle w:val="BodyText"/>
        <w:spacing w:before="139"/>
        <w:ind w:left="1098"/>
      </w:pPr>
      <w:r>
        <w:rPr/>
        <w:t>根据《研究市政工程质量提升工作专题会议纪要（市人民政府工作专题会议纪要【</w:t>
      </w:r>
      <w:r>
        <w:rPr>
          <w:rFonts w:ascii="Times New Roman" w:eastAsia="Times New Roman"/>
        </w:rPr>
        <w:t>2019</w:t>
      </w:r>
      <w:r>
        <w:rPr/>
        <w:t>】</w:t>
      </w:r>
    </w:p>
    <w:p>
      <w:pPr>
        <w:pStyle w:val="BodyText"/>
        <w:spacing w:before="142"/>
      </w:pPr>
      <w:r>
        <w:rPr>
          <w:rFonts w:ascii="Times New Roman" w:eastAsia="Times New Roman"/>
        </w:rPr>
        <w:t>69 </w:t>
      </w:r>
      <w:r>
        <w:rPr/>
        <w:t>号</w:t>
      </w:r>
      <w:r>
        <w:rPr>
          <w:spacing w:val="-108"/>
        </w:rPr>
        <w:t>）</w:t>
      </w:r>
      <w:r>
        <w:rPr>
          <w:spacing w:val="-3"/>
        </w:rPr>
        <w:t>》文件精神，政府投资工程的工程质量等级最低应为市优工程。</w:t>
      </w:r>
    </w:p>
    <w:p>
      <w:pPr>
        <w:pStyle w:val="BodyText"/>
        <w:spacing w:before="139"/>
        <w:ind w:left="1098"/>
      </w:pPr>
      <w:r>
        <w:rPr>
          <w:rFonts w:ascii="Times New Roman" w:eastAsia="Times New Roman"/>
        </w:rPr>
        <w:t>5.3 </w:t>
      </w:r>
      <w:r>
        <w:rPr/>
        <w:t>隐蔽工程检查</w:t>
      </w:r>
    </w:p>
    <w:p>
      <w:pPr>
        <w:pStyle w:val="BodyText"/>
        <w:spacing w:before="138"/>
        <w:ind w:left="1098"/>
      </w:pPr>
      <w:r>
        <w:rPr>
          <w:rFonts w:ascii="Times New Roman" w:eastAsia="Times New Roman"/>
        </w:rPr>
        <w:t>5.3.2 </w:t>
      </w:r>
      <w:r>
        <w:rPr/>
        <w:t>承包人提前通知监理人隐蔽工程检查的期限的约定：工程隐蔽或中间验收前 </w:t>
      </w:r>
      <w:r>
        <w:rPr>
          <w:rFonts w:ascii="Times New Roman" w:eastAsia="Times New Roman"/>
        </w:rPr>
        <w:t>12 </w:t>
      </w:r>
      <w:r>
        <w:rPr/>
        <w:t>小时以</w:t>
      </w:r>
    </w:p>
    <w:p>
      <w:pPr>
        <w:spacing w:after="0"/>
        <w:sectPr>
          <w:pgSz w:w="11910" w:h="16850"/>
          <w:pgMar w:header="0" w:footer="779" w:top="1380" w:bottom="1040" w:left="1120" w:right="280"/>
        </w:sectPr>
      </w:pPr>
    </w:p>
    <w:p>
      <w:pPr>
        <w:pStyle w:val="BodyText"/>
        <w:spacing w:line="364" w:lineRule="auto" w:before="60"/>
        <w:ind w:right="1208"/>
        <w:jc w:val="both"/>
      </w:pPr>
      <w:r>
        <w:rPr/>
        <w:t>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pStyle w:val="BodyText"/>
        <w:spacing w:line="364" w:lineRule="auto"/>
        <w:ind w:left="1098" w:right="3206"/>
        <w:jc w:val="both"/>
      </w:pPr>
      <w:r>
        <w:rPr>
          <w:spacing w:val="-3"/>
        </w:rPr>
        <w:t>监理人不能按时进行检查时，应提前</w:t>
      </w:r>
      <w:r>
        <w:rPr>
          <w:spacing w:val="-3"/>
          <w:u w:val="single"/>
        </w:rPr>
        <w:t> </w:t>
      </w:r>
      <w:r>
        <w:rPr>
          <w:rFonts w:ascii="Times New Roman" w:eastAsia="Times New Roman"/>
          <w:u w:val="single"/>
        </w:rPr>
        <w:t>24 </w:t>
      </w:r>
      <w:r>
        <w:rPr>
          <w:spacing w:val="-3"/>
        </w:rPr>
        <w:t>小时提交书面延期要求。关于延期最长不得超过：</w:t>
      </w:r>
      <w:r>
        <w:rPr>
          <w:spacing w:val="-3"/>
          <w:u w:val="single"/>
        </w:rPr>
        <w:t> </w:t>
      </w:r>
      <w:r>
        <w:rPr>
          <w:rFonts w:ascii="Times New Roman" w:eastAsia="Times New Roman"/>
          <w:u w:val="single"/>
        </w:rPr>
        <w:t>48 </w:t>
      </w:r>
      <w:r>
        <w:rPr>
          <w:spacing w:val="-2"/>
        </w:rPr>
        <w:t>小时。</w:t>
      </w:r>
    </w:p>
    <w:p>
      <w:pPr>
        <w:pStyle w:val="Heading8"/>
        <w:numPr>
          <w:ilvl w:val="0"/>
          <w:numId w:val="70"/>
        </w:numPr>
        <w:tabs>
          <w:tab w:pos="959" w:val="left" w:leader="none"/>
        </w:tabs>
        <w:spacing w:line="375" w:lineRule="exact" w:before="0" w:after="0"/>
        <w:ind w:left="958" w:right="0" w:hanging="281"/>
        <w:jc w:val="left"/>
      </w:pPr>
      <w:bookmarkStart w:name="6. 安全文明施工与环境保护" w:id="344"/>
      <w:bookmarkEnd w:id="344"/>
      <w:r>
        <w:rPr>
          <w:b w:val="0"/>
        </w:rPr>
      </w:r>
      <w:bookmarkStart w:name="6. 安全文明施工与环境保护" w:id="345"/>
      <w:bookmarkEnd w:id="345"/>
      <w:r>
        <w:rPr>
          <w:spacing w:val="-2"/>
        </w:rPr>
        <w:t>安全文明施工与环境保护</w:t>
      </w:r>
    </w:p>
    <w:p>
      <w:pPr>
        <w:pStyle w:val="ListParagraph"/>
        <w:numPr>
          <w:ilvl w:val="1"/>
          <w:numId w:val="70"/>
        </w:numPr>
        <w:tabs>
          <w:tab w:pos="1046" w:val="left" w:leader="none"/>
        </w:tabs>
        <w:spacing w:line="240" w:lineRule="auto" w:before="142" w:after="0"/>
        <w:ind w:left="1045" w:right="0" w:hanging="368"/>
        <w:jc w:val="left"/>
        <w:rPr>
          <w:rFonts w:ascii="Microsoft JhengHei" w:eastAsia="Microsoft JhengHei" w:hint="eastAsia"/>
          <w:b/>
          <w:sz w:val="21"/>
        </w:rPr>
      </w:pPr>
      <w:bookmarkStart w:name="6.1 安全文明施工" w:id="346"/>
      <w:bookmarkEnd w:id="346"/>
      <w:r>
        <w:rPr/>
      </w:r>
      <w:bookmarkStart w:name="6.1 安全文明施工" w:id="347"/>
      <w:bookmarkEnd w:id="347"/>
      <w:r>
        <w:rPr>
          <w:rFonts w:ascii="Microsoft JhengHei" w:eastAsia="Microsoft JhengHei" w:hint="eastAsia"/>
          <w:b/>
          <w:sz w:val="21"/>
        </w:rPr>
        <w:t>安全文明施工</w:t>
      </w:r>
    </w:p>
    <w:p>
      <w:pPr>
        <w:pStyle w:val="ListParagraph"/>
        <w:numPr>
          <w:ilvl w:val="2"/>
          <w:numId w:val="70"/>
        </w:numPr>
        <w:tabs>
          <w:tab w:pos="1624" w:val="left" w:leader="none"/>
        </w:tabs>
        <w:spacing w:line="364" w:lineRule="auto" w:before="93" w:after="0"/>
        <w:ind w:left="1098" w:right="2156" w:firstLine="0"/>
        <w:jc w:val="left"/>
        <w:rPr>
          <w:sz w:val="21"/>
        </w:rPr>
      </w:pPr>
      <w:r>
        <w:rPr>
          <w:spacing w:val="-3"/>
          <w:sz w:val="21"/>
        </w:rPr>
        <w:t>项目安全生产的达标目标及相应事项的约定：</w:t>
      </w:r>
      <w:r>
        <w:rPr>
          <w:spacing w:val="-3"/>
          <w:sz w:val="21"/>
          <w:u w:val="single"/>
        </w:rPr>
        <w:t>按当地行政主管部门规定。</w:t>
      </w:r>
      <w:r>
        <w:rPr>
          <w:spacing w:val="-3"/>
          <w:sz w:val="21"/>
        </w:rPr>
        <w:t>关于安全文明施工奖项的约定：</w:t>
      </w:r>
      <w:r>
        <w:rPr>
          <w:spacing w:val="-10"/>
          <w:sz w:val="21"/>
          <w:u w:val="single"/>
        </w:rPr>
        <w:t>承包人于开工前 </w:t>
      </w:r>
      <w:r>
        <w:rPr>
          <w:sz w:val="21"/>
          <w:u w:val="single"/>
        </w:rPr>
        <w:t>3</w:t>
      </w:r>
      <w:r>
        <w:rPr>
          <w:spacing w:val="-15"/>
          <w:sz w:val="21"/>
          <w:u w:val="single"/>
        </w:rPr>
        <w:t> 天提供</w:t>
      </w:r>
      <w:r>
        <w:rPr>
          <w:sz w:val="21"/>
        </w:rPr>
        <w:t>。</w:t>
      </w:r>
    </w:p>
    <w:p>
      <w:pPr>
        <w:pStyle w:val="ListParagraph"/>
        <w:numPr>
          <w:ilvl w:val="2"/>
          <w:numId w:val="83"/>
        </w:numPr>
        <w:tabs>
          <w:tab w:pos="1624" w:val="left" w:leader="none"/>
        </w:tabs>
        <w:spacing w:line="364" w:lineRule="auto" w:before="0" w:after="0"/>
        <w:ind w:left="678" w:right="1209" w:firstLine="419"/>
        <w:jc w:val="left"/>
        <w:rPr>
          <w:sz w:val="21"/>
        </w:rPr>
      </w:pPr>
      <w:r>
        <w:rPr>
          <w:spacing w:val="-3"/>
          <w:sz w:val="21"/>
        </w:rPr>
        <w:t>关于治安保卫的特别约定：</w:t>
      </w:r>
      <w:r>
        <w:rPr>
          <w:spacing w:val="-8"/>
          <w:sz w:val="21"/>
          <w:u w:val="single"/>
        </w:rPr>
        <w:t>承包人应承担施工安全保卫工作及非夜间施工照明的责任</w:t>
      </w:r>
      <w:r>
        <w:rPr>
          <w:spacing w:val="-192"/>
          <w:sz w:val="21"/>
          <w:u w:val="single"/>
        </w:rPr>
        <w:t>，</w:t>
      </w:r>
      <w:r>
        <w:rPr>
          <w:spacing w:val="-103"/>
          <w:sz w:val="21"/>
          <w:u w:val="single"/>
        </w:rPr>
        <w:t> </w:t>
      </w:r>
      <w:r>
        <w:rPr>
          <w:spacing w:val="-3"/>
          <w:sz w:val="21"/>
          <w:u w:val="single"/>
        </w:rPr>
        <w:t>承包人应采取一切合理的预防措施，防止人员伤亡、财产损失事故，费用由承包人承担。承包人生活设施及施工场应自费配备消防设备，防止火灾发生。</w:t>
      </w:r>
    </w:p>
    <w:p>
      <w:pPr>
        <w:pStyle w:val="BodyText"/>
        <w:spacing w:line="269" w:lineRule="exact"/>
        <w:ind w:left="1098"/>
      </w:pPr>
      <w:r>
        <w:rPr/>
        <w:t>关于编制施工场地治安管理计划的约定：</w:t>
      </w:r>
      <w:r>
        <w:rPr>
          <w:u w:val="single"/>
        </w:rPr>
        <w:t>承包人于开工前 3 天提供</w:t>
      </w:r>
      <w:r>
        <w:rPr/>
        <w:t> 。</w:t>
      </w:r>
    </w:p>
    <w:p>
      <w:pPr>
        <w:pStyle w:val="ListParagraph"/>
        <w:numPr>
          <w:ilvl w:val="2"/>
          <w:numId w:val="83"/>
        </w:numPr>
        <w:tabs>
          <w:tab w:pos="1624" w:val="left" w:leader="none"/>
        </w:tabs>
        <w:spacing w:line="240" w:lineRule="auto" w:before="138" w:after="0"/>
        <w:ind w:left="1623" w:right="0" w:hanging="526"/>
        <w:jc w:val="left"/>
        <w:rPr>
          <w:sz w:val="21"/>
        </w:rPr>
      </w:pPr>
      <w:r>
        <w:rPr>
          <w:spacing w:val="-2"/>
          <w:sz w:val="21"/>
        </w:rPr>
        <w:t>文明施工</w:t>
      </w:r>
    </w:p>
    <w:p>
      <w:pPr>
        <w:pStyle w:val="BodyText"/>
        <w:spacing w:line="364" w:lineRule="auto" w:before="139"/>
        <w:ind w:right="1151" w:firstLine="419"/>
        <w:jc w:val="both"/>
      </w:pPr>
      <w:r>
        <w:rPr>
          <w:spacing w:val="-5"/>
        </w:rPr>
        <w:t>合同当事人对文明施工的要求：严格执行《大气污染防治法</w:t>
      </w:r>
      <w:r>
        <w:rPr>
          <w:spacing w:val="-118"/>
        </w:rPr>
        <w:t>》</w:t>
      </w:r>
      <w:r>
        <w:rPr>
          <w:spacing w:val="-3"/>
        </w:rPr>
        <w:t>（主席令第三十一号</w:t>
      </w:r>
      <w:r>
        <w:rPr>
          <w:spacing w:val="-106"/>
        </w:rPr>
        <w:t>）</w:t>
      </w:r>
      <w:r>
        <w:rPr>
          <w:spacing w:val="-31"/>
        </w:rPr>
        <w:t>、《南宁</w:t>
      </w:r>
      <w:r>
        <w:rPr>
          <w:spacing w:val="-10"/>
        </w:rPr>
        <w:t>市建设工程质量和安全生产管理办法</w:t>
      </w:r>
      <w:r>
        <w:rPr>
          <w:spacing w:val="-130"/>
        </w:rPr>
        <w:t>》</w:t>
      </w:r>
      <w:r>
        <w:rPr/>
        <w:t>（</w:t>
      </w:r>
      <w:r>
        <w:rPr>
          <w:spacing w:val="-5"/>
        </w:rPr>
        <w:t>南宁市人民政府令 第 </w:t>
      </w:r>
      <w:r>
        <w:rPr>
          <w:rFonts w:ascii="Times New Roman" w:hAnsi="Times New Roman" w:eastAsia="Times New Roman"/>
        </w:rPr>
        <w:t>46 </w:t>
      </w:r>
      <w:r>
        <w:rPr>
          <w:spacing w:val="-3"/>
        </w:rPr>
        <w:t>号</w:t>
      </w:r>
      <w:r>
        <w:rPr>
          <w:spacing w:val="-106"/>
        </w:rPr>
        <w:t>）</w:t>
      </w:r>
      <w:r>
        <w:rPr>
          <w:spacing w:val="-15"/>
        </w:rPr>
        <w:t>、《南宁市建设工程质量安</w:t>
      </w:r>
      <w:r>
        <w:rPr>
          <w:spacing w:val="-23"/>
        </w:rPr>
        <w:t>全标准化图集》、《南宁市建设工程施工现场管理若干规定》</w:t>
      </w:r>
      <w:r>
        <w:rPr>
          <w:spacing w:val="-3"/>
        </w:rPr>
        <w:t>（</w:t>
      </w:r>
      <w:r>
        <w:rPr>
          <w:spacing w:val="-6"/>
        </w:rPr>
        <w:t>南宁市人民政府令 第 </w:t>
      </w:r>
      <w:r>
        <w:rPr>
          <w:rFonts w:ascii="Times New Roman" w:hAnsi="Times New Roman" w:eastAsia="Times New Roman"/>
        </w:rPr>
        <w:t>8 </w:t>
      </w:r>
      <w:r>
        <w:rPr>
          <w:spacing w:val="-3"/>
        </w:rPr>
        <w:t>号</w:t>
      </w:r>
      <w:r>
        <w:rPr/>
        <w:t>）</w:t>
      </w:r>
      <w:r>
        <w:rPr>
          <w:spacing w:val="-2"/>
        </w:rPr>
        <w:t>的有</w:t>
      </w:r>
      <w:r>
        <w:rPr>
          <w:spacing w:val="-3"/>
        </w:rPr>
        <w:t>关规定，与辖区卫生防疫、环卫管理部门或有合法资质资格的企业签订病媒生物消杀协议、生活垃圾清运协议、渣土密闭运输协议、在线远程监控扬尘监测协议，遵守“一口两池三包四协议”的有关规定，施工前办理排水许可证，严格执行排水许可，做好工地泥浆水、临时生活污水的排放管理，现场设置三级沉淀池及化粪池，避免生活污水及施工废水直排市政排水管网及</w:t>
      </w:r>
      <w:r>
        <w:rPr>
          <w:spacing w:val="-6"/>
        </w:rPr>
        <w:t>内河。采取道路硬化、裸土必盖</w:t>
      </w:r>
      <w:r>
        <w:rPr>
          <w:spacing w:val="-3"/>
        </w:rPr>
        <w:t>（种草、绿网</w:t>
      </w:r>
      <w:r>
        <w:rPr>
          <w:spacing w:val="-108"/>
        </w:rPr>
        <w:t>）</w:t>
      </w:r>
      <w:r>
        <w:rPr>
          <w:spacing w:val="-5"/>
        </w:rPr>
        <w:t>、洗车出门、保洁路口、在线监测、抑尘喷淋等</w:t>
      </w:r>
      <w:r>
        <w:rPr>
          <w:spacing w:val="-4"/>
        </w:rPr>
        <w:t>有效措施，确保建设工程各项安全防护、文明施工措施及其费用在工地一线按标准落实到位。</w:t>
      </w:r>
    </w:p>
    <w:p>
      <w:pPr>
        <w:pStyle w:val="ListParagraph"/>
        <w:numPr>
          <w:ilvl w:val="2"/>
          <w:numId w:val="83"/>
        </w:numPr>
        <w:tabs>
          <w:tab w:pos="1624" w:val="left" w:leader="none"/>
        </w:tabs>
        <w:spacing w:line="265" w:lineRule="exact" w:before="0" w:after="0"/>
        <w:ind w:left="1623" w:right="0" w:hanging="526"/>
        <w:jc w:val="both"/>
        <w:rPr>
          <w:sz w:val="21"/>
        </w:rPr>
      </w:pPr>
      <w:r>
        <w:rPr>
          <w:spacing w:val="-3"/>
          <w:sz w:val="21"/>
        </w:rPr>
        <w:t>关于安全文明施工费支付比例和支付期限的约定：</w:t>
      </w:r>
    </w:p>
    <w:p>
      <w:pPr>
        <w:pStyle w:val="ListParagraph"/>
        <w:numPr>
          <w:ilvl w:val="0"/>
          <w:numId w:val="84"/>
        </w:numPr>
        <w:tabs>
          <w:tab w:pos="1627" w:val="left" w:leader="none"/>
          <w:tab w:pos="5927" w:val="left" w:leader="none"/>
        </w:tabs>
        <w:spacing w:line="240" w:lineRule="auto" w:before="139" w:after="0"/>
        <w:ind w:left="1627" w:right="0" w:hanging="529"/>
        <w:jc w:val="left"/>
        <w:rPr>
          <w:sz w:val="21"/>
        </w:rPr>
      </w:pPr>
      <w:r>
        <w:rPr>
          <w:sz w:val="21"/>
        </w:rPr>
        <w:t>本</w:t>
      </w:r>
      <w:r>
        <w:rPr>
          <w:spacing w:val="-3"/>
          <w:sz w:val="21"/>
        </w:rPr>
        <w:t>合</w:t>
      </w:r>
      <w:r>
        <w:rPr>
          <w:sz w:val="21"/>
        </w:rPr>
        <w:t>同</w:t>
      </w:r>
      <w:r>
        <w:rPr>
          <w:spacing w:val="-3"/>
          <w:sz w:val="21"/>
        </w:rPr>
        <w:t>价</w:t>
      </w:r>
      <w:r>
        <w:rPr>
          <w:sz w:val="21"/>
        </w:rPr>
        <w:t>款</w:t>
      </w:r>
      <w:r>
        <w:rPr>
          <w:spacing w:val="-3"/>
          <w:sz w:val="21"/>
        </w:rPr>
        <w:t>已</w:t>
      </w:r>
      <w:r>
        <w:rPr>
          <w:sz w:val="21"/>
        </w:rPr>
        <w:t>包</w:t>
      </w:r>
      <w:r>
        <w:rPr>
          <w:spacing w:val="-3"/>
          <w:sz w:val="21"/>
        </w:rPr>
        <w:t>含安</w:t>
      </w:r>
      <w:r>
        <w:rPr>
          <w:sz w:val="21"/>
        </w:rPr>
        <w:t>全文</w:t>
      </w:r>
      <w:r>
        <w:rPr>
          <w:spacing w:val="-3"/>
          <w:sz w:val="21"/>
        </w:rPr>
        <w:t>明</w:t>
      </w:r>
      <w:r>
        <w:rPr>
          <w:sz w:val="21"/>
        </w:rPr>
        <w:t>施</w:t>
      </w:r>
      <w:r>
        <w:rPr>
          <w:spacing w:val="-3"/>
          <w:sz w:val="21"/>
        </w:rPr>
        <w:t>工</w:t>
      </w:r>
      <w:r>
        <w:rPr>
          <w:sz w:val="21"/>
        </w:rPr>
        <w:t>费</w:t>
      </w:r>
      <w:r>
        <w:rPr>
          <w:sz w:val="21"/>
          <w:u w:val="single"/>
        </w:rPr>
        <w:t> </w:t>
        <w:tab/>
      </w:r>
      <w:r>
        <w:rPr>
          <w:sz w:val="21"/>
        </w:rPr>
        <w:t>元。</w:t>
      </w:r>
    </w:p>
    <w:p>
      <w:pPr>
        <w:pStyle w:val="ListParagraph"/>
        <w:numPr>
          <w:ilvl w:val="0"/>
          <w:numId w:val="84"/>
        </w:numPr>
        <w:tabs>
          <w:tab w:pos="1627" w:val="left" w:leader="none"/>
        </w:tabs>
        <w:spacing w:line="364" w:lineRule="auto" w:before="139" w:after="0"/>
        <w:ind w:left="678" w:right="1151" w:firstLine="419"/>
        <w:jc w:val="both"/>
        <w:rPr>
          <w:sz w:val="21"/>
        </w:rPr>
      </w:pPr>
      <w:r>
        <w:rPr>
          <w:spacing w:val="-7"/>
          <w:sz w:val="21"/>
        </w:rPr>
        <w:t>使用要求：专款专用。具体按</w:t>
      </w:r>
      <w:r>
        <w:rPr>
          <w:spacing w:val="-3"/>
          <w:sz w:val="21"/>
          <w:u w:val="single"/>
        </w:rPr>
        <w:t>《广西壮族自治区建设工程安全文明施工费使用管理细</w:t>
      </w:r>
      <w:r>
        <w:rPr>
          <w:spacing w:val="-212"/>
          <w:sz w:val="21"/>
          <w:u w:val="single"/>
        </w:rPr>
        <w:t>则</w:t>
      </w:r>
      <w:r>
        <w:rPr>
          <w:spacing w:val="-68"/>
          <w:sz w:val="21"/>
          <w:u w:val="single"/>
        </w:rPr>
        <w:t> </w:t>
      </w:r>
      <w:r>
        <w:rPr>
          <w:spacing w:val="-195"/>
          <w:sz w:val="21"/>
          <w:u w:val="single"/>
        </w:rPr>
        <w:t>》</w:t>
      </w:r>
      <w:r>
        <w:rPr>
          <w:spacing w:val="-3"/>
          <w:sz w:val="21"/>
          <w:u w:val="single"/>
        </w:rPr>
        <w:t>（桂建质〔</w:t>
      </w:r>
      <w:r>
        <w:rPr>
          <w:rFonts w:ascii="Times New Roman" w:eastAsia="Times New Roman"/>
          <w:sz w:val="21"/>
          <w:u w:val="single"/>
        </w:rPr>
        <w:t>2015</w:t>
      </w:r>
      <w:r>
        <w:rPr>
          <w:sz w:val="21"/>
          <w:u w:val="single"/>
        </w:rPr>
        <w:t>〕</w:t>
      </w:r>
      <w:r>
        <w:rPr>
          <w:rFonts w:ascii="Times New Roman" w:eastAsia="Times New Roman"/>
          <w:sz w:val="21"/>
          <w:u w:val="single"/>
        </w:rPr>
        <w:t>16</w:t>
      </w:r>
      <w:r>
        <w:rPr>
          <w:sz w:val="21"/>
          <w:u w:val="single"/>
        </w:rPr>
        <w:t>号）</w:t>
      </w:r>
      <w:r>
        <w:rPr>
          <w:spacing w:val="14"/>
          <w:sz w:val="21"/>
        </w:rPr>
        <w:t>和 </w:t>
      </w:r>
      <w:r>
        <w:rPr>
          <w:spacing w:val="-3"/>
          <w:sz w:val="21"/>
          <w:u w:val="single"/>
        </w:rPr>
        <w:t>《关于印发</w:t>
      </w:r>
      <w:r>
        <w:rPr>
          <w:rFonts w:ascii="Times New Roman" w:eastAsia="Times New Roman"/>
          <w:sz w:val="21"/>
          <w:u w:val="single"/>
        </w:rPr>
        <w:t>&lt;</w:t>
      </w:r>
      <w:r>
        <w:rPr>
          <w:spacing w:val="-3"/>
          <w:sz w:val="21"/>
          <w:u w:val="single"/>
        </w:rPr>
        <w:t>南宁市建设工程安全防护、文明施工措施费用管理规定</w:t>
      </w:r>
      <w:r>
        <w:rPr>
          <w:rFonts w:ascii="Times New Roman" w:eastAsia="Times New Roman"/>
          <w:sz w:val="21"/>
          <w:u w:val="single"/>
        </w:rPr>
        <w:t>&gt;</w:t>
      </w:r>
      <w:r>
        <w:rPr>
          <w:spacing w:val="-3"/>
          <w:sz w:val="21"/>
          <w:u w:val="single"/>
        </w:rPr>
        <w:t>的通知》</w:t>
      </w:r>
      <w:r>
        <w:rPr>
          <w:sz w:val="21"/>
          <w:u w:val="single"/>
        </w:rPr>
        <w:t>（</w:t>
      </w:r>
      <w:r>
        <w:rPr>
          <w:spacing w:val="-3"/>
          <w:sz w:val="21"/>
          <w:u w:val="single"/>
        </w:rPr>
        <w:t>南建质安〔</w:t>
      </w:r>
      <w:r>
        <w:rPr>
          <w:rFonts w:ascii="Times New Roman" w:eastAsia="Times New Roman"/>
          <w:sz w:val="21"/>
          <w:u w:val="single"/>
        </w:rPr>
        <w:t>2013</w:t>
      </w:r>
      <w:r>
        <w:rPr>
          <w:spacing w:val="-3"/>
          <w:sz w:val="21"/>
          <w:u w:val="single"/>
        </w:rPr>
        <w:t>〕</w:t>
      </w:r>
      <w:r>
        <w:rPr>
          <w:rFonts w:ascii="Times New Roman" w:eastAsia="Times New Roman"/>
          <w:sz w:val="21"/>
          <w:u w:val="single"/>
        </w:rPr>
        <w:t>22</w:t>
      </w:r>
      <w:r>
        <w:rPr>
          <w:spacing w:val="-3"/>
          <w:sz w:val="21"/>
          <w:u w:val="single"/>
        </w:rPr>
        <w:t>号</w:t>
      </w:r>
      <w:r>
        <w:rPr>
          <w:sz w:val="21"/>
          <w:u w:val="single"/>
        </w:rPr>
        <w:t>）</w:t>
      </w:r>
      <w:r>
        <w:rPr>
          <w:spacing w:val="-3"/>
          <w:sz w:val="21"/>
        </w:rPr>
        <w:t> 相关规定执行。</w:t>
      </w:r>
    </w:p>
    <w:p>
      <w:pPr>
        <w:pStyle w:val="ListParagraph"/>
        <w:numPr>
          <w:ilvl w:val="0"/>
          <w:numId w:val="84"/>
        </w:numPr>
        <w:tabs>
          <w:tab w:pos="1627" w:val="left" w:leader="none"/>
        </w:tabs>
        <w:spacing w:line="364" w:lineRule="auto" w:before="0" w:after="0"/>
        <w:ind w:left="678" w:right="1244" w:firstLine="419"/>
        <w:jc w:val="both"/>
        <w:rPr>
          <w:sz w:val="21"/>
        </w:rPr>
      </w:pPr>
      <w:r>
        <w:rPr>
          <w:spacing w:val="-3"/>
          <w:sz w:val="21"/>
        </w:rPr>
        <w:t>支付约定：：在本合同签订后</w:t>
      </w:r>
      <w:r>
        <w:rPr>
          <w:rFonts w:ascii="Times New Roman" w:eastAsia="Times New Roman"/>
          <w:sz w:val="21"/>
        </w:rPr>
        <w:t>10</w:t>
      </w:r>
      <w:r>
        <w:rPr>
          <w:spacing w:val="-2"/>
          <w:sz w:val="21"/>
        </w:rPr>
        <w:t>个工作日内，预付安全文明施工费总额的 </w:t>
      </w:r>
      <w:r>
        <w:rPr>
          <w:rFonts w:ascii="Times New Roman" w:eastAsia="Times New Roman"/>
          <w:sz w:val="21"/>
        </w:rPr>
        <w:t>30%</w:t>
      </w:r>
      <w:r>
        <w:rPr>
          <w:sz w:val="21"/>
        </w:rPr>
        <w:t>，其</w:t>
      </w:r>
      <w:r>
        <w:rPr>
          <w:spacing w:val="-3"/>
          <w:sz w:val="21"/>
        </w:rPr>
        <w:t>余部分与进度款同期支付，具体详见施工。</w:t>
      </w:r>
    </w:p>
    <w:p>
      <w:pPr>
        <w:pStyle w:val="ListParagraph"/>
        <w:numPr>
          <w:ilvl w:val="0"/>
          <w:numId w:val="84"/>
        </w:numPr>
        <w:tabs>
          <w:tab w:pos="1627" w:val="left" w:leader="none"/>
        </w:tabs>
        <w:spacing w:line="240" w:lineRule="auto" w:before="0" w:after="0"/>
        <w:ind w:left="1627" w:right="0" w:hanging="529"/>
        <w:jc w:val="left"/>
        <w:rPr>
          <w:sz w:val="21"/>
        </w:rPr>
      </w:pPr>
      <w:r>
        <w:rPr>
          <w:spacing w:val="-3"/>
          <w:sz w:val="21"/>
        </w:rPr>
        <w:t>建设单位按规定将安全生产费用转入施工单位设立的安全生产费用专户。</w:t>
      </w:r>
    </w:p>
    <w:p>
      <w:pPr>
        <w:pStyle w:val="ListParagraph"/>
        <w:numPr>
          <w:ilvl w:val="0"/>
          <w:numId w:val="84"/>
        </w:numPr>
        <w:tabs>
          <w:tab w:pos="1627" w:val="left" w:leader="none"/>
        </w:tabs>
        <w:spacing w:line="240" w:lineRule="auto" w:before="139" w:after="0"/>
        <w:ind w:left="1627" w:right="0" w:hanging="529"/>
        <w:jc w:val="left"/>
        <w:rPr>
          <w:sz w:val="21"/>
        </w:rPr>
      </w:pPr>
      <w:r>
        <w:rPr>
          <w:spacing w:val="-3"/>
          <w:sz w:val="21"/>
        </w:rPr>
        <w:t>工程施工完成后安全生产费用尚有结余的，结余部分由建设单位收回。</w:t>
      </w:r>
    </w:p>
    <w:p>
      <w:pPr>
        <w:pStyle w:val="ListParagraph"/>
        <w:numPr>
          <w:ilvl w:val="0"/>
          <w:numId w:val="84"/>
        </w:numPr>
        <w:tabs>
          <w:tab w:pos="1625" w:val="left" w:leader="none"/>
        </w:tabs>
        <w:spacing w:line="364" w:lineRule="auto" w:before="139" w:after="0"/>
        <w:ind w:left="678" w:right="1151" w:firstLine="419"/>
        <w:jc w:val="left"/>
        <w:rPr>
          <w:sz w:val="21"/>
        </w:rPr>
      </w:pPr>
      <w:r>
        <w:rPr>
          <w:spacing w:val="-4"/>
          <w:sz w:val="21"/>
        </w:rPr>
        <w:t>施工单位将安全生产费用使用情况定期报告建设单位和监理单位，并提供相应的材 </w:t>
      </w:r>
      <w:r>
        <w:rPr>
          <w:spacing w:val="-3"/>
          <w:sz w:val="21"/>
        </w:rPr>
        <w:t>料接受建设行政主管部门对此事项监管。</w:t>
      </w:r>
    </w:p>
    <w:p>
      <w:pPr>
        <w:spacing w:after="0" w:line="364" w:lineRule="auto"/>
        <w:jc w:val="left"/>
        <w:rPr>
          <w:sz w:val="21"/>
        </w:rPr>
        <w:sectPr>
          <w:pgSz w:w="11910" w:h="16850"/>
          <w:pgMar w:header="0" w:footer="779" w:top="1380" w:bottom="1040" w:left="1120" w:right="280"/>
        </w:sectPr>
      </w:pPr>
    </w:p>
    <w:p>
      <w:pPr>
        <w:pStyle w:val="ListParagraph"/>
        <w:numPr>
          <w:ilvl w:val="0"/>
          <w:numId w:val="84"/>
        </w:numPr>
        <w:tabs>
          <w:tab w:pos="1627" w:val="left" w:leader="none"/>
          <w:tab w:pos="4249" w:val="left" w:leader="none"/>
        </w:tabs>
        <w:spacing w:line="240" w:lineRule="auto" w:before="60" w:after="0"/>
        <w:ind w:left="1627" w:right="0" w:hanging="529"/>
        <w:jc w:val="left"/>
        <w:rPr>
          <w:sz w:val="21"/>
        </w:rPr>
      </w:pPr>
      <w:r>
        <w:rPr>
          <w:sz w:val="21"/>
        </w:rPr>
        <w:t>安</w:t>
      </w:r>
      <w:r>
        <w:rPr>
          <w:spacing w:val="-3"/>
          <w:sz w:val="21"/>
        </w:rPr>
        <w:t>全</w:t>
      </w:r>
      <w:r>
        <w:rPr>
          <w:sz w:val="21"/>
        </w:rPr>
        <w:t>生</w:t>
      </w:r>
      <w:r>
        <w:rPr>
          <w:spacing w:val="-3"/>
          <w:sz w:val="21"/>
        </w:rPr>
        <w:t>产</w:t>
      </w:r>
      <w:r>
        <w:rPr>
          <w:sz w:val="21"/>
        </w:rPr>
        <w:t>费</w:t>
      </w:r>
      <w:r>
        <w:rPr>
          <w:spacing w:val="-3"/>
          <w:sz w:val="21"/>
        </w:rPr>
        <w:t>用</w:t>
      </w:r>
      <w:r>
        <w:rPr>
          <w:sz w:val="21"/>
        </w:rPr>
        <w:t>专</w:t>
      </w:r>
      <w:r>
        <w:rPr>
          <w:spacing w:val="-3"/>
          <w:sz w:val="21"/>
        </w:rPr>
        <w:t>户</w:t>
      </w:r>
      <w:r>
        <w:rPr>
          <w:sz w:val="21"/>
        </w:rPr>
        <w:t>：</w:t>
        <w:tab/>
      </w:r>
      <w:r>
        <w:rPr>
          <w:spacing w:val="-3"/>
          <w:sz w:val="21"/>
        </w:rPr>
        <w:t>安</w:t>
      </w:r>
      <w:r>
        <w:rPr>
          <w:sz w:val="21"/>
        </w:rPr>
        <w:t>全</w:t>
      </w:r>
      <w:r>
        <w:rPr>
          <w:spacing w:val="-3"/>
          <w:sz w:val="21"/>
        </w:rPr>
        <w:t>生</w:t>
      </w:r>
      <w:r>
        <w:rPr>
          <w:sz w:val="21"/>
        </w:rPr>
        <w:t>产</w:t>
      </w:r>
      <w:r>
        <w:rPr>
          <w:spacing w:val="-3"/>
          <w:sz w:val="21"/>
        </w:rPr>
        <w:t>费</w:t>
      </w:r>
      <w:r>
        <w:rPr>
          <w:sz w:val="21"/>
        </w:rPr>
        <w:t>用</w:t>
      </w:r>
      <w:r>
        <w:rPr>
          <w:spacing w:val="-3"/>
          <w:sz w:val="21"/>
        </w:rPr>
        <w:t>专户</w:t>
      </w:r>
      <w:r>
        <w:rPr>
          <w:sz w:val="21"/>
        </w:rPr>
        <w:t>。账</w:t>
      </w:r>
      <w:r>
        <w:rPr>
          <w:spacing w:val="-3"/>
          <w:sz w:val="21"/>
        </w:rPr>
        <w:t>号</w:t>
      </w:r>
      <w:r>
        <w:rPr>
          <w:sz w:val="21"/>
        </w:rPr>
        <w:t>：。</w:t>
      </w:r>
    </w:p>
    <w:p>
      <w:pPr>
        <w:spacing w:before="139"/>
        <w:ind w:left="678" w:right="0" w:firstLine="0"/>
        <w:jc w:val="left"/>
        <w:rPr>
          <w:sz w:val="21"/>
        </w:rPr>
      </w:pPr>
      <w:bookmarkStart w:name="6.3 环境保护" w:id="348"/>
      <w:bookmarkEnd w:id="348"/>
      <w:r>
        <w:rPr/>
      </w:r>
      <w:r>
        <w:rPr>
          <w:rFonts w:ascii="Times New Roman" w:eastAsia="Times New Roman"/>
          <w:b/>
          <w:sz w:val="21"/>
        </w:rPr>
        <w:t>6.3 </w:t>
      </w:r>
      <w:r>
        <w:rPr>
          <w:sz w:val="21"/>
        </w:rPr>
        <w:t>环境保护</w:t>
      </w:r>
    </w:p>
    <w:p>
      <w:pPr>
        <w:pStyle w:val="BodyText"/>
        <w:spacing w:line="367" w:lineRule="auto" w:before="139"/>
        <w:ind w:right="1209" w:firstLine="419"/>
      </w:pPr>
      <w:r>
        <w:rPr/>
        <w:t>因施工需要，经发包人批准，由承包人办理有关施工场地交通、环卫和施工噪音管理等手续，费用由承包人负责。</w:t>
      </w:r>
    </w:p>
    <w:p>
      <w:pPr>
        <w:pStyle w:val="BodyText"/>
        <w:spacing w:line="364" w:lineRule="auto"/>
        <w:ind w:right="1209" w:firstLine="419"/>
      </w:pPr>
      <w:r>
        <w:rPr>
          <w:spacing w:val="-3"/>
        </w:rPr>
        <w:t>经过城市道路的施工车辆，必须按交警、城管、运输等部门相关规定执行。由于施工车辆造成的道路、环境等污染，其责任和费用均由承包人承担。</w:t>
      </w:r>
    </w:p>
    <w:p>
      <w:pPr>
        <w:pStyle w:val="BodyText"/>
        <w:spacing w:line="367" w:lineRule="auto"/>
        <w:ind w:right="1045" w:firstLine="419"/>
      </w:pPr>
      <w:r>
        <w:rPr>
          <w:spacing w:val="-8"/>
          <w:u w:val="single"/>
        </w:rPr>
        <w:t>根据《南宁市挥发性有机物污染防治实施方案</w:t>
      </w:r>
      <w:r>
        <w:rPr>
          <w:u w:val="single"/>
        </w:rPr>
        <w:t>（</w:t>
      </w:r>
      <w:r>
        <w:rPr>
          <w:rFonts w:ascii="Times New Roman" w:eastAsia="Times New Roman"/>
          <w:u w:val="single"/>
        </w:rPr>
        <w:t>2019-2020</w:t>
      </w:r>
      <w:r>
        <w:rPr>
          <w:rFonts w:ascii="Times New Roman" w:eastAsia="Times New Roman"/>
          <w:spacing w:val="17"/>
          <w:u w:val="single"/>
        </w:rPr>
        <w:t> </w:t>
      </w:r>
      <w:r>
        <w:rPr>
          <w:u w:val="single"/>
        </w:rPr>
        <w:t>年</w:t>
      </w:r>
      <w:r>
        <w:rPr>
          <w:spacing w:val="-106"/>
          <w:u w:val="single"/>
        </w:rPr>
        <w:t>）</w:t>
      </w:r>
      <w:r>
        <w:rPr>
          <w:spacing w:val="-130"/>
          <w:u w:val="single"/>
        </w:rPr>
        <w:t>》</w:t>
      </w:r>
      <w:r>
        <w:rPr>
          <w:spacing w:val="-3"/>
          <w:u w:val="single"/>
        </w:rPr>
        <w:t>（</w:t>
      </w:r>
      <w:r>
        <w:rPr>
          <w:spacing w:val="-7"/>
          <w:u w:val="single"/>
        </w:rPr>
        <w:t>南环委办〔</w:t>
      </w:r>
      <w:r>
        <w:rPr>
          <w:rFonts w:ascii="Times New Roman" w:eastAsia="Times New Roman"/>
          <w:u w:val="single"/>
        </w:rPr>
        <w:t>2019</w:t>
      </w:r>
      <w:r>
        <w:rPr>
          <w:spacing w:val="-24"/>
          <w:u w:val="single"/>
        </w:rPr>
        <w:t>〕</w:t>
      </w:r>
      <w:r>
        <w:rPr>
          <w:rFonts w:ascii="Times New Roman" w:eastAsia="Times New Roman"/>
          <w:u w:val="single"/>
        </w:rPr>
        <w:t>166</w:t>
      </w:r>
      <w:r>
        <w:rPr>
          <w:rFonts w:ascii="Times New Roman" w:eastAsia="Times New Roman"/>
          <w:spacing w:val="18"/>
          <w:u w:val="single"/>
        </w:rPr>
        <w:t> </w:t>
      </w:r>
      <w:r>
        <w:rPr>
          <w:u w:val="single"/>
        </w:rPr>
        <w:t>号）</w:t>
      </w:r>
      <w:r>
        <w:rPr>
          <w:spacing w:val="-202"/>
          <w:u w:val="single"/>
        </w:rPr>
        <w:t>文件</w:t>
      </w:r>
      <w:r>
        <w:rPr>
          <w:spacing w:val="2"/>
          <w:u w:val="single"/>
        </w:rPr>
        <w:t>精神，宜优先使用低</w:t>
      </w:r>
      <w:r>
        <w:rPr>
          <w:rFonts w:ascii="Times New Roman" w:eastAsia="Times New Roman"/>
          <w:u w:val="single"/>
        </w:rPr>
        <w:t>VOCs</w:t>
      </w:r>
      <w:r>
        <w:rPr>
          <w:rFonts w:ascii="Times New Roman" w:eastAsia="Times New Roman"/>
          <w:spacing w:val="-3"/>
          <w:u w:val="single"/>
        </w:rPr>
        <w:t> </w:t>
      </w:r>
      <w:r>
        <w:rPr>
          <w:spacing w:val="-3"/>
          <w:u w:val="single"/>
        </w:rPr>
        <w:t>含量的涂料、油漆和有机溶剂。</w:t>
      </w:r>
    </w:p>
    <w:p>
      <w:pPr>
        <w:pStyle w:val="Heading8"/>
        <w:numPr>
          <w:ilvl w:val="0"/>
          <w:numId w:val="70"/>
        </w:numPr>
        <w:tabs>
          <w:tab w:pos="959" w:val="left" w:leader="none"/>
        </w:tabs>
        <w:spacing w:line="372" w:lineRule="exact" w:before="0" w:after="0"/>
        <w:ind w:left="958" w:right="0" w:hanging="281"/>
        <w:jc w:val="left"/>
      </w:pPr>
      <w:bookmarkStart w:name="7. 工期和进度" w:id="349"/>
      <w:bookmarkEnd w:id="349"/>
      <w:r>
        <w:rPr>
          <w:b w:val="0"/>
        </w:rPr>
      </w:r>
      <w:bookmarkStart w:name="7. 工期和进度" w:id="350"/>
      <w:bookmarkEnd w:id="350"/>
      <w:r>
        <w:rPr/>
        <w:t>工期和进度</w:t>
      </w:r>
    </w:p>
    <w:p>
      <w:pPr>
        <w:pStyle w:val="ListParagraph"/>
        <w:numPr>
          <w:ilvl w:val="1"/>
          <w:numId w:val="70"/>
        </w:numPr>
        <w:tabs>
          <w:tab w:pos="1046" w:val="left" w:leader="none"/>
        </w:tabs>
        <w:spacing w:line="240" w:lineRule="auto" w:before="136" w:after="0"/>
        <w:ind w:left="1045" w:right="0" w:hanging="368"/>
        <w:jc w:val="left"/>
        <w:rPr>
          <w:rFonts w:ascii="Microsoft JhengHei" w:eastAsia="Microsoft JhengHei" w:hint="eastAsia"/>
          <w:b/>
          <w:sz w:val="21"/>
        </w:rPr>
      </w:pPr>
      <w:bookmarkStart w:name="7.1 施工组织设计" w:id="351"/>
      <w:bookmarkEnd w:id="351"/>
      <w:r>
        <w:rPr/>
      </w:r>
      <w:bookmarkStart w:name="7.1 施工组织设计" w:id="352"/>
      <w:bookmarkEnd w:id="352"/>
      <w:r>
        <w:rPr>
          <w:rFonts w:ascii="Microsoft JhengHei" w:eastAsia="Microsoft JhengHei" w:hint="eastAsia"/>
          <w:b/>
          <w:sz w:val="21"/>
        </w:rPr>
        <w:t>施工组织设计</w:t>
      </w:r>
    </w:p>
    <w:p>
      <w:pPr>
        <w:pStyle w:val="ListParagraph"/>
        <w:numPr>
          <w:ilvl w:val="2"/>
          <w:numId w:val="70"/>
        </w:numPr>
        <w:tabs>
          <w:tab w:pos="1624" w:val="left" w:leader="none"/>
        </w:tabs>
        <w:spacing w:line="364" w:lineRule="auto" w:before="91" w:after="0"/>
        <w:ind w:left="678" w:right="1211" w:firstLine="419"/>
        <w:jc w:val="left"/>
        <w:rPr>
          <w:sz w:val="21"/>
        </w:rPr>
      </w:pPr>
      <w:r>
        <w:rPr>
          <w:spacing w:val="-3"/>
          <w:sz w:val="21"/>
        </w:rPr>
        <w:t>合同当事人约定的施工组织设计应包括的其他内容：</w:t>
      </w:r>
      <w:r>
        <w:rPr>
          <w:spacing w:val="-1"/>
          <w:sz w:val="21"/>
          <w:u w:val="single"/>
        </w:rPr>
        <w:t> 按招标文件约定，招标文件无</w:t>
      </w:r>
      <w:r>
        <w:rPr>
          <w:spacing w:val="-204"/>
          <w:sz w:val="21"/>
          <w:u w:val="single"/>
        </w:rPr>
        <w:t>约定</w:t>
      </w:r>
      <w:r>
        <w:rPr>
          <w:spacing w:val="-3"/>
          <w:sz w:val="21"/>
          <w:u w:val="single"/>
        </w:rPr>
        <w:t>的按通用条款或双方另行约定</w:t>
      </w:r>
      <w:r>
        <w:rPr>
          <w:spacing w:val="-1"/>
          <w:sz w:val="21"/>
        </w:rPr>
        <w:t> 。</w:t>
      </w:r>
    </w:p>
    <w:p>
      <w:pPr>
        <w:pStyle w:val="ListParagraph"/>
        <w:numPr>
          <w:ilvl w:val="2"/>
          <w:numId w:val="70"/>
        </w:numPr>
        <w:tabs>
          <w:tab w:pos="1624" w:val="left" w:leader="none"/>
        </w:tabs>
        <w:spacing w:line="240" w:lineRule="auto" w:before="1" w:after="0"/>
        <w:ind w:left="1623" w:right="0" w:hanging="526"/>
        <w:jc w:val="left"/>
        <w:rPr>
          <w:sz w:val="21"/>
        </w:rPr>
      </w:pPr>
      <w:r>
        <w:rPr>
          <w:spacing w:val="-3"/>
          <w:sz w:val="21"/>
        </w:rPr>
        <w:t>施工组织设计的提交和修改</w:t>
      </w:r>
    </w:p>
    <w:p>
      <w:pPr>
        <w:pStyle w:val="BodyText"/>
        <w:spacing w:before="138"/>
        <w:ind w:left="1098"/>
      </w:pPr>
      <w:r>
        <w:rPr/>
        <w:t>承包人提交详细施工组织设计的期限的约定：</w:t>
      </w:r>
      <w:r>
        <w:rPr>
          <w:u w:val="single"/>
        </w:rPr>
        <w:t> 开工前</w:t>
      </w:r>
      <w:r>
        <w:rPr>
          <w:rFonts w:ascii="Times New Roman" w:eastAsia="Times New Roman"/>
          <w:u w:val="single"/>
        </w:rPr>
        <w:t>7</w:t>
      </w:r>
      <w:r>
        <w:rPr>
          <w:u w:val="single"/>
        </w:rPr>
        <w:t>天</w:t>
      </w:r>
      <w:r>
        <w:rPr/>
        <w:t> 。</w:t>
      </w:r>
    </w:p>
    <w:p>
      <w:pPr>
        <w:pStyle w:val="BodyText"/>
        <w:spacing w:line="364" w:lineRule="auto" w:before="139"/>
        <w:ind w:right="1314" w:firstLine="419"/>
      </w:pPr>
      <w:r>
        <w:rPr>
          <w:spacing w:val="-3"/>
        </w:rPr>
        <w:t>发包人和监理人在收到详细的施工组织设计后确认或提出修改意见的期限：</w:t>
      </w:r>
      <w:r>
        <w:rPr>
          <w:spacing w:val="-6"/>
          <w:u w:val="single"/>
        </w:rPr>
        <w:t> 收到后 </w:t>
      </w:r>
      <w:r>
        <w:rPr>
          <w:u w:val="single"/>
        </w:rPr>
        <w:t>7</w:t>
      </w:r>
      <w:r>
        <w:rPr>
          <w:spacing w:val="-22"/>
          <w:u w:val="single"/>
        </w:rPr>
        <w:t> 天</w:t>
      </w:r>
      <w:r>
        <w:rPr>
          <w:spacing w:val="-212"/>
          <w:u w:val="single"/>
        </w:rPr>
        <w:t>内</w:t>
      </w:r>
      <w:r>
        <w:rPr/>
        <w:t>。</w:t>
      </w:r>
    </w:p>
    <w:p>
      <w:pPr>
        <w:pStyle w:val="Heading8"/>
        <w:numPr>
          <w:ilvl w:val="1"/>
          <w:numId w:val="70"/>
        </w:numPr>
        <w:tabs>
          <w:tab w:pos="1046" w:val="left" w:leader="none"/>
        </w:tabs>
        <w:spacing w:line="315" w:lineRule="exact" w:before="0" w:after="0"/>
        <w:ind w:left="1045" w:right="0" w:hanging="368"/>
        <w:jc w:val="left"/>
      </w:pPr>
      <w:bookmarkStart w:name="7.2 施工进度计划" w:id="353"/>
      <w:bookmarkEnd w:id="353"/>
      <w:r>
        <w:rPr>
          <w:b w:val="0"/>
        </w:rPr>
      </w:r>
      <w:bookmarkStart w:name="7.2 施工进度计划" w:id="354"/>
      <w:bookmarkEnd w:id="354"/>
      <w:r>
        <w:rPr/>
        <w:t>施工进度计划</w:t>
      </w:r>
    </w:p>
    <w:p>
      <w:pPr>
        <w:pStyle w:val="BodyText"/>
        <w:spacing w:before="94"/>
        <w:ind w:left="1098"/>
      </w:pPr>
      <w:r>
        <w:rPr>
          <w:rFonts w:ascii="Times New Roman" w:eastAsia="Times New Roman"/>
        </w:rPr>
        <w:t>7.2.2 </w:t>
      </w:r>
      <w:r>
        <w:rPr>
          <w:spacing w:val="-3"/>
        </w:rPr>
        <w:t>施工进度计划的修订</w:t>
      </w:r>
    </w:p>
    <w:p>
      <w:pPr>
        <w:pStyle w:val="BodyText"/>
        <w:tabs>
          <w:tab w:pos="9081" w:val="left" w:leader="none"/>
        </w:tabs>
        <w:spacing w:before="139"/>
        <w:ind w:left="1098"/>
      </w:pPr>
      <w:r>
        <w:rPr/>
        <w:t>发包</w:t>
      </w:r>
      <w:r>
        <w:rPr>
          <w:spacing w:val="-3"/>
        </w:rPr>
        <w:t>人</w:t>
      </w:r>
      <w:r>
        <w:rPr/>
        <w:t>和</w:t>
      </w:r>
      <w:r>
        <w:rPr>
          <w:spacing w:val="-3"/>
        </w:rPr>
        <w:t>监</w:t>
      </w:r>
      <w:r>
        <w:rPr/>
        <w:t>理</w:t>
      </w:r>
      <w:r>
        <w:rPr>
          <w:spacing w:val="-3"/>
        </w:rPr>
        <w:t>人</w:t>
      </w:r>
      <w:r>
        <w:rPr/>
        <w:t>在</w:t>
      </w:r>
      <w:r>
        <w:rPr>
          <w:spacing w:val="-3"/>
        </w:rPr>
        <w:t>收</w:t>
      </w:r>
      <w:r>
        <w:rPr/>
        <w:t>到</w:t>
      </w:r>
      <w:r>
        <w:rPr>
          <w:spacing w:val="-3"/>
        </w:rPr>
        <w:t>修</w:t>
      </w:r>
      <w:r>
        <w:rPr/>
        <w:t>订的</w:t>
      </w:r>
      <w:r>
        <w:rPr>
          <w:spacing w:val="-3"/>
        </w:rPr>
        <w:t>施</w:t>
      </w:r>
      <w:r>
        <w:rPr/>
        <w:t>工</w:t>
      </w:r>
      <w:r>
        <w:rPr>
          <w:spacing w:val="-3"/>
        </w:rPr>
        <w:t>进</w:t>
      </w:r>
      <w:r>
        <w:rPr/>
        <w:t>度</w:t>
      </w:r>
      <w:r>
        <w:rPr>
          <w:spacing w:val="-3"/>
        </w:rPr>
        <w:t>计</w:t>
      </w:r>
      <w:r>
        <w:rPr/>
        <w:t>划</w:t>
      </w:r>
      <w:r>
        <w:rPr>
          <w:spacing w:val="-3"/>
        </w:rPr>
        <w:t>后</w:t>
      </w:r>
      <w:r>
        <w:rPr/>
        <w:t>确</w:t>
      </w:r>
      <w:r>
        <w:rPr>
          <w:spacing w:val="-3"/>
        </w:rPr>
        <w:t>认</w:t>
      </w:r>
      <w:r>
        <w:rPr/>
        <w:t>或提</w:t>
      </w:r>
      <w:r>
        <w:rPr>
          <w:spacing w:val="-3"/>
        </w:rPr>
        <w:t>出</w:t>
      </w:r>
      <w:r>
        <w:rPr/>
        <w:t>修</w:t>
      </w:r>
      <w:r>
        <w:rPr>
          <w:spacing w:val="-3"/>
        </w:rPr>
        <w:t>改</w:t>
      </w:r>
      <w:r>
        <w:rPr/>
        <w:t>意</w:t>
      </w:r>
      <w:r>
        <w:rPr>
          <w:spacing w:val="-3"/>
        </w:rPr>
        <w:t>见</w:t>
      </w:r>
      <w:r>
        <w:rPr/>
        <w:t>的</w:t>
      </w:r>
      <w:r>
        <w:rPr>
          <w:spacing w:val="-3"/>
        </w:rPr>
        <w:t>期</w:t>
      </w:r>
      <w:r>
        <w:rPr/>
        <w:t>限</w:t>
      </w:r>
      <w:r>
        <w:rPr>
          <w:spacing w:val="-3"/>
        </w:rPr>
        <w:t>：</w:t>
      </w:r>
      <w:r>
        <w:rPr>
          <w:spacing w:val="-3"/>
          <w:u w:val="single"/>
        </w:rPr>
        <w:t> </w:t>
        <w:tab/>
      </w:r>
      <w:r>
        <w:rPr/>
        <w:t>。</w:t>
      </w:r>
    </w:p>
    <w:p>
      <w:pPr>
        <w:pStyle w:val="Heading8"/>
        <w:numPr>
          <w:ilvl w:val="1"/>
          <w:numId w:val="70"/>
        </w:numPr>
        <w:tabs>
          <w:tab w:pos="1046" w:val="left" w:leader="none"/>
        </w:tabs>
        <w:spacing w:line="240" w:lineRule="auto" w:before="70" w:after="0"/>
        <w:ind w:left="1045" w:right="0" w:hanging="368"/>
        <w:jc w:val="left"/>
      </w:pPr>
      <w:bookmarkStart w:name="7.3 开工" w:id="355"/>
      <w:bookmarkEnd w:id="355"/>
      <w:r>
        <w:rPr>
          <w:b w:val="0"/>
        </w:rPr>
      </w:r>
      <w:bookmarkStart w:name="7.3 开工" w:id="356"/>
      <w:bookmarkEnd w:id="356"/>
      <w:r>
        <w:rPr/>
        <w:t>开工</w:t>
      </w:r>
    </w:p>
    <w:p>
      <w:pPr>
        <w:pStyle w:val="ListParagraph"/>
        <w:numPr>
          <w:ilvl w:val="2"/>
          <w:numId w:val="70"/>
        </w:numPr>
        <w:tabs>
          <w:tab w:pos="1624" w:val="left" w:leader="none"/>
        </w:tabs>
        <w:spacing w:line="240" w:lineRule="auto" w:before="91" w:after="0"/>
        <w:ind w:left="1623" w:right="0" w:hanging="526"/>
        <w:jc w:val="left"/>
        <w:rPr>
          <w:sz w:val="21"/>
        </w:rPr>
      </w:pPr>
      <w:r>
        <w:rPr>
          <w:spacing w:val="-2"/>
          <w:sz w:val="21"/>
        </w:rPr>
        <w:t>开工准备</w:t>
      </w:r>
    </w:p>
    <w:p>
      <w:pPr>
        <w:pStyle w:val="BodyText"/>
        <w:spacing w:before="141"/>
        <w:ind w:left="1105"/>
      </w:pPr>
      <w:r>
        <w:rPr/>
        <w:t>关于承包人提交工程开工报审表的期限：</w:t>
      </w:r>
      <w:r>
        <w:rPr>
          <w:u w:val="single"/>
        </w:rPr>
        <w:t>按本合同通用条款执行</w:t>
      </w:r>
      <w:r>
        <w:rPr/>
        <w:t> 。</w:t>
      </w:r>
    </w:p>
    <w:p>
      <w:pPr>
        <w:pStyle w:val="BodyText"/>
        <w:spacing w:line="364" w:lineRule="auto" w:before="139"/>
        <w:ind w:left="1098" w:right="2673" w:firstLine="7"/>
      </w:pPr>
      <w:r>
        <w:rPr/>
        <w:t>关于发包人应完成的其他开工准备工作及期限：</w:t>
      </w:r>
      <w:r>
        <w:rPr>
          <w:u w:val="single"/>
        </w:rPr>
        <w:t>按本合同通用条款执行</w:t>
      </w:r>
      <w:r>
        <w:rPr/>
        <w:t>。关于承包人应完成的其他开工准备工作及期限：</w:t>
      </w:r>
      <w:r>
        <w:rPr>
          <w:u w:val="single"/>
        </w:rPr>
        <w:t>按本合同通用条款执行</w:t>
      </w:r>
      <w:r>
        <w:rPr/>
        <w:t>。</w:t>
      </w:r>
    </w:p>
    <w:p>
      <w:pPr>
        <w:pStyle w:val="ListParagraph"/>
        <w:numPr>
          <w:ilvl w:val="2"/>
          <w:numId w:val="70"/>
        </w:numPr>
        <w:tabs>
          <w:tab w:pos="1624" w:val="left" w:leader="none"/>
        </w:tabs>
        <w:spacing w:line="267" w:lineRule="exact" w:before="0" w:after="0"/>
        <w:ind w:left="1623" w:right="0" w:hanging="526"/>
        <w:jc w:val="left"/>
        <w:rPr>
          <w:sz w:val="21"/>
        </w:rPr>
      </w:pPr>
      <w:r>
        <w:rPr>
          <w:spacing w:val="-2"/>
          <w:sz w:val="21"/>
        </w:rPr>
        <w:t>开工通知</w:t>
      </w:r>
    </w:p>
    <w:p>
      <w:pPr>
        <w:pStyle w:val="BodyText"/>
        <w:spacing w:line="367" w:lineRule="auto" w:before="140"/>
        <w:ind w:right="1149" w:firstLine="419"/>
      </w:pPr>
      <w:r>
        <w:rPr/>
        <w:t>因发包人原因造成监理人未能在计划开工日期之日起 </w:t>
      </w:r>
      <w:r>
        <w:rPr>
          <w:rFonts w:ascii="Times New Roman" w:eastAsia="Times New Roman"/>
          <w:u w:val="single"/>
        </w:rPr>
        <w:t>120</w:t>
      </w:r>
      <w:r>
        <w:rPr>
          <w:rFonts w:ascii="Times New Roman" w:eastAsia="Times New Roman"/>
        </w:rPr>
        <w:t> </w:t>
      </w:r>
      <w:r>
        <w:rPr/>
        <w:t>天内发出开工通知的，承包人有权提出价格调整要求，或者解除合同。</w:t>
      </w:r>
    </w:p>
    <w:p>
      <w:pPr>
        <w:pStyle w:val="Heading8"/>
        <w:numPr>
          <w:ilvl w:val="1"/>
          <w:numId w:val="70"/>
        </w:numPr>
        <w:tabs>
          <w:tab w:pos="1046" w:val="left" w:leader="none"/>
        </w:tabs>
        <w:spacing w:line="312" w:lineRule="exact" w:before="0" w:after="0"/>
        <w:ind w:left="1045" w:right="0" w:hanging="368"/>
        <w:jc w:val="left"/>
      </w:pPr>
      <w:bookmarkStart w:name="7.4 测量放线" w:id="357"/>
      <w:bookmarkEnd w:id="357"/>
      <w:r>
        <w:rPr>
          <w:b w:val="0"/>
        </w:rPr>
      </w:r>
      <w:bookmarkStart w:name="7.4 测量放线" w:id="358"/>
      <w:bookmarkEnd w:id="358"/>
      <w:r>
        <w:rPr/>
        <w:t>测量放线</w:t>
      </w:r>
    </w:p>
    <w:p>
      <w:pPr>
        <w:pStyle w:val="ListParagraph"/>
        <w:numPr>
          <w:ilvl w:val="2"/>
          <w:numId w:val="70"/>
        </w:numPr>
        <w:tabs>
          <w:tab w:pos="1571" w:val="left" w:leader="none"/>
        </w:tabs>
        <w:spacing w:line="364" w:lineRule="auto" w:before="91" w:after="0"/>
        <w:ind w:left="678" w:right="1158" w:firstLine="419"/>
        <w:jc w:val="left"/>
        <w:rPr>
          <w:sz w:val="21"/>
        </w:rPr>
      </w:pPr>
      <w:r>
        <w:rPr>
          <w:spacing w:val="-3"/>
          <w:sz w:val="21"/>
        </w:rPr>
        <w:t>发包人通过监理人向承包人提供测量基准点、基准线和水准点及其书面资料的期限： </w:t>
      </w:r>
      <w:r>
        <w:rPr>
          <w:spacing w:val="-3"/>
          <w:sz w:val="21"/>
          <w:u w:val="single"/>
        </w:rPr>
        <w:t>按本合同通用条款执行</w:t>
      </w:r>
      <w:r>
        <w:rPr>
          <w:spacing w:val="-1"/>
          <w:sz w:val="21"/>
        </w:rPr>
        <w:t> 。</w:t>
      </w:r>
    </w:p>
    <w:p>
      <w:pPr>
        <w:pStyle w:val="Heading8"/>
        <w:numPr>
          <w:ilvl w:val="1"/>
          <w:numId w:val="70"/>
        </w:numPr>
        <w:tabs>
          <w:tab w:pos="1046" w:val="left" w:leader="none"/>
        </w:tabs>
        <w:spacing w:line="317" w:lineRule="exact" w:before="0" w:after="0"/>
        <w:ind w:left="1045" w:right="0" w:hanging="368"/>
        <w:jc w:val="left"/>
      </w:pPr>
      <w:bookmarkStart w:name="7.5 工期延误" w:id="359"/>
      <w:bookmarkEnd w:id="359"/>
      <w:r>
        <w:rPr>
          <w:b w:val="0"/>
        </w:rPr>
      </w:r>
      <w:bookmarkStart w:name="7.5 工期延误" w:id="360"/>
      <w:bookmarkEnd w:id="360"/>
      <w:r>
        <w:rPr/>
        <w:t>工期延误</w:t>
      </w:r>
    </w:p>
    <w:p>
      <w:pPr>
        <w:pStyle w:val="ListParagraph"/>
        <w:numPr>
          <w:ilvl w:val="2"/>
          <w:numId w:val="70"/>
        </w:numPr>
        <w:tabs>
          <w:tab w:pos="1624" w:val="left" w:leader="none"/>
        </w:tabs>
        <w:spacing w:line="240" w:lineRule="auto" w:before="91" w:after="0"/>
        <w:ind w:left="1623" w:right="0" w:hanging="526"/>
        <w:jc w:val="left"/>
        <w:rPr>
          <w:sz w:val="21"/>
        </w:rPr>
      </w:pPr>
      <w:r>
        <w:rPr>
          <w:spacing w:val="-3"/>
          <w:sz w:val="21"/>
        </w:rPr>
        <w:t>因发包人原因导致工期延误</w:t>
      </w:r>
    </w:p>
    <w:p>
      <w:pPr>
        <w:pStyle w:val="BodyText"/>
        <w:spacing w:line="364" w:lineRule="auto" w:before="139"/>
        <w:ind w:right="1151" w:firstLine="419"/>
      </w:pPr>
      <w:r>
        <w:rPr>
          <w:spacing w:val="-6"/>
        </w:rPr>
        <w:t>（</w:t>
      </w:r>
      <w:r>
        <w:rPr>
          <w:rFonts w:ascii="Times New Roman" w:hAnsi="Times New Roman" w:eastAsia="Times New Roman"/>
          <w:spacing w:val="-6"/>
        </w:rPr>
        <w:t>7</w:t>
      </w:r>
      <w:r>
        <w:rPr>
          <w:spacing w:val="-6"/>
        </w:rPr>
        <w:t>）</w:t>
      </w:r>
      <w:r>
        <w:rPr>
          <w:spacing w:val="-4"/>
        </w:rPr>
        <w:t>因发包人原因导致工期延误的其他情形：</w:t>
      </w:r>
      <w:r>
        <w:rPr>
          <w:spacing w:val="-5"/>
          <w:u w:val="single"/>
        </w:rPr>
        <w:t>①重大图纸变更影响关健线路工序施工；②</w:t>
      </w:r>
      <w:r>
        <w:rPr>
          <w:spacing w:val="-204"/>
          <w:u w:val="single"/>
        </w:rPr>
        <w:t>施工</w:t>
      </w:r>
      <w:r>
        <w:rPr>
          <w:spacing w:val="-7"/>
          <w:u w:val="single"/>
        </w:rPr>
        <w:t>期间如因停电、停水连续 </w:t>
      </w:r>
      <w:r>
        <w:rPr>
          <w:u w:val="single"/>
        </w:rPr>
        <w:t>8</w:t>
      </w:r>
      <w:r>
        <w:rPr>
          <w:spacing w:val="-12"/>
          <w:u w:val="single"/>
        </w:rPr>
        <w:t> 小时以上或一周内间歇性停水、停电累计 </w:t>
      </w:r>
      <w:r>
        <w:rPr>
          <w:u w:val="single"/>
        </w:rPr>
        <w:t>8</w:t>
      </w:r>
      <w:r>
        <w:rPr>
          <w:spacing w:val="-18"/>
          <w:u w:val="single"/>
        </w:rPr>
        <w:t> 小时</w:t>
      </w:r>
      <w:r>
        <w:rPr>
          <w:spacing w:val="-3"/>
          <w:u w:val="single"/>
        </w:rPr>
        <w:t>（</w:t>
      </w:r>
      <w:r>
        <w:rPr>
          <w:spacing w:val="-25"/>
          <w:u w:val="single"/>
        </w:rPr>
        <w:t>含 </w:t>
      </w:r>
      <w:r>
        <w:rPr>
          <w:u w:val="single"/>
        </w:rPr>
        <w:t>8</w:t>
      </w:r>
      <w:r>
        <w:rPr>
          <w:spacing w:val="-19"/>
          <w:u w:val="single"/>
        </w:rPr>
        <w:t> 小时</w:t>
      </w:r>
      <w:r>
        <w:rPr>
          <w:u w:val="single"/>
        </w:rPr>
        <w:t>）</w:t>
      </w:r>
    </w:p>
    <w:p>
      <w:pPr>
        <w:spacing w:after="0" w:line="364" w:lineRule="auto"/>
        <w:sectPr>
          <w:pgSz w:w="11910" w:h="16850"/>
          <w:pgMar w:header="0" w:footer="779" w:top="1380" w:bottom="1040" w:left="1120" w:right="280"/>
        </w:sectPr>
      </w:pPr>
    </w:p>
    <w:p>
      <w:pPr>
        <w:pStyle w:val="BodyText"/>
        <w:spacing w:line="364" w:lineRule="auto" w:before="60"/>
        <w:ind w:right="1208"/>
        <w:jc w:val="both"/>
      </w:pPr>
      <w:r>
        <w:rPr>
          <w:spacing w:val="-3"/>
          <w:u w:val="single"/>
        </w:rPr>
        <w:t>影响正常施工的。③政府指令性停工。④在施工过程中遇到地下障碍物、溶洞、岩石、文物或</w:t>
      </w:r>
      <w:r>
        <w:rPr>
          <w:spacing w:val="-204"/>
          <w:u w:val="single"/>
        </w:rPr>
        <w:t>地下</w:t>
      </w:r>
      <w:r>
        <w:rPr>
          <w:spacing w:val="-3"/>
          <w:u w:val="single"/>
        </w:rPr>
        <w:t>管线的。⑤因发包人未能及时确认变更价格或甲供材料提供延误的。⑥非承包人的责任造成的工期延误其他情形</w:t>
      </w:r>
      <w:r>
        <w:rPr>
          <w:spacing w:val="-1"/>
        </w:rPr>
        <w:t> 。</w:t>
      </w:r>
    </w:p>
    <w:p>
      <w:pPr>
        <w:pStyle w:val="ListParagraph"/>
        <w:numPr>
          <w:ilvl w:val="2"/>
          <w:numId w:val="70"/>
        </w:numPr>
        <w:tabs>
          <w:tab w:pos="1624" w:val="left" w:leader="none"/>
        </w:tabs>
        <w:spacing w:line="240" w:lineRule="auto" w:before="0" w:after="0"/>
        <w:ind w:left="1623" w:right="0" w:hanging="526"/>
        <w:jc w:val="left"/>
        <w:rPr>
          <w:sz w:val="21"/>
        </w:rPr>
      </w:pPr>
      <w:r>
        <w:rPr>
          <w:spacing w:val="-3"/>
          <w:sz w:val="21"/>
        </w:rPr>
        <w:t>因承包人原因导致工期延误</w:t>
      </w:r>
    </w:p>
    <w:p>
      <w:pPr>
        <w:pStyle w:val="BodyText"/>
        <w:spacing w:line="364" w:lineRule="auto" w:before="139"/>
        <w:ind w:right="1151" w:firstLine="419"/>
      </w:pPr>
      <w:r>
        <w:rPr>
          <w:spacing w:val="-6"/>
        </w:rPr>
        <w:t>双方约定经监理工程师确认，工期相应顺延的情况：</w:t>
      </w:r>
      <w:r>
        <w:rPr>
          <w:spacing w:val="-3"/>
          <w:u w:val="single"/>
        </w:rPr>
        <w:t> 不可抗力的原因及非承包人的责任造</w:t>
      </w:r>
      <w:r>
        <w:rPr>
          <w:spacing w:val="-203"/>
          <w:u w:val="single"/>
        </w:rPr>
        <w:t>成的</w:t>
      </w:r>
      <w:r>
        <w:rPr>
          <w:spacing w:val="-3"/>
          <w:u w:val="single"/>
        </w:rPr>
        <w:t>工期延误；或承包人有证据证明的可顺延工期的其他情况</w:t>
      </w:r>
      <w:r>
        <w:rPr/>
        <w:t>。</w:t>
      </w:r>
    </w:p>
    <w:p>
      <w:pPr>
        <w:pStyle w:val="BodyText"/>
        <w:spacing w:line="367" w:lineRule="auto"/>
        <w:ind w:right="1045" w:firstLine="419"/>
      </w:pPr>
      <w:r>
        <w:rPr>
          <w:spacing w:val="-6"/>
        </w:rPr>
        <w:t>因承包人原因造成工期延误，逾期竣工违约金的计算方法为：</w:t>
      </w:r>
      <w:r>
        <w:rPr>
          <w:spacing w:val="-3"/>
          <w:u w:val="single"/>
        </w:rPr>
        <w:t>按逾期竣工的单项工程罚款，</w:t>
      </w:r>
      <w:r>
        <w:rPr>
          <w:spacing w:val="-203"/>
          <w:u w:val="single"/>
        </w:rPr>
        <w:t>每延</w:t>
      </w:r>
      <w:r>
        <w:rPr>
          <w:spacing w:val="-3"/>
          <w:u w:val="single"/>
        </w:rPr>
        <w:t>误一天,按单项工程应支付给承包人的结算造价的万分之二处罚,罚款直接从结算款中扣</w:t>
      </w:r>
    </w:p>
    <w:p>
      <w:pPr>
        <w:pStyle w:val="BodyText"/>
        <w:spacing w:line="364" w:lineRule="auto"/>
        <w:ind w:right="1151"/>
      </w:pPr>
      <w:r>
        <w:rPr>
          <w:spacing w:val="-6"/>
          <w:u w:val="single"/>
        </w:rPr>
        <w:t>除。误期时间从规定竣工日期起直到实际竣工日期的天数</w:t>
      </w:r>
      <w:r>
        <w:rPr>
          <w:spacing w:val="-3"/>
          <w:u w:val="single"/>
        </w:rPr>
        <w:t>（扣除发包人批准顺延的工期</w:t>
      </w:r>
      <w:r>
        <w:rPr>
          <w:spacing w:val="-106"/>
          <w:u w:val="single"/>
        </w:rPr>
        <w:t>）</w:t>
      </w:r>
      <w:r>
        <w:rPr>
          <w:spacing w:val="-17"/>
          <w:u w:val="single"/>
        </w:rPr>
        <w:t>。</w:t>
      </w:r>
      <w:r>
        <w:rPr/>
        <w:t>因承</w:t>
      </w:r>
      <w:r>
        <w:rPr>
          <w:spacing w:val="-3"/>
        </w:rPr>
        <w:t>包人原因造成工期延误，逾期竣工违约金的上限：</w:t>
      </w:r>
      <w:r>
        <w:rPr>
          <w:spacing w:val="-7"/>
          <w:u w:val="single"/>
        </w:rPr>
        <w:t>逾期竣工的单项工程结算造价的 </w:t>
      </w:r>
      <w:r>
        <w:rPr>
          <w:rFonts w:ascii="Times New Roman" w:eastAsia="Times New Roman"/>
          <w:u w:val="single"/>
        </w:rPr>
        <w:t>1 %</w:t>
      </w:r>
      <w:r>
        <w:rPr/>
        <w:t>。</w:t>
      </w:r>
    </w:p>
    <w:p>
      <w:pPr>
        <w:pStyle w:val="Heading8"/>
        <w:numPr>
          <w:ilvl w:val="1"/>
          <w:numId w:val="70"/>
        </w:numPr>
        <w:tabs>
          <w:tab w:pos="1046" w:val="left" w:leader="none"/>
        </w:tabs>
        <w:spacing w:line="315" w:lineRule="exact" w:before="0" w:after="0"/>
        <w:ind w:left="1045" w:right="0" w:hanging="368"/>
        <w:jc w:val="left"/>
      </w:pPr>
      <w:bookmarkStart w:name="7.6 不利物质条件" w:id="361"/>
      <w:bookmarkEnd w:id="361"/>
      <w:r>
        <w:rPr>
          <w:b w:val="0"/>
        </w:rPr>
      </w:r>
      <w:bookmarkStart w:name="7.6 不利物质条件" w:id="362"/>
      <w:bookmarkEnd w:id="362"/>
      <w:r>
        <w:rPr/>
        <w:t>不利物质条件</w:t>
      </w:r>
    </w:p>
    <w:p>
      <w:pPr>
        <w:pStyle w:val="BodyText"/>
        <w:spacing w:before="84"/>
        <w:ind w:left="1098"/>
      </w:pPr>
      <w:r>
        <w:rPr/>
        <w:t>不利物质条件的其他情形和有关约定：</w:t>
      </w:r>
      <w:r>
        <w:rPr>
          <w:u w:val="single"/>
        </w:rPr>
        <w:t>按本合同通用条款执行</w:t>
      </w:r>
      <w:r>
        <w:rPr/>
        <w:t>。</w:t>
      </w:r>
    </w:p>
    <w:p>
      <w:pPr>
        <w:pStyle w:val="Heading8"/>
        <w:numPr>
          <w:ilvl w:val="1"/>
          <w:numId w:val="70"/>
        </w:numPr>
        <w:tabs>
          <w:tab w:pos="1046" w:val="left" w:leader="none"/>
        </w:tabs>
        <w:spacing w:line="240" w:lineRule="auto" w:before="72" w:after="0"/>
        <w:ind w:left="1045" w:right="0" w:hanging="368"/>
        <w:jc w:val="left"/>
      </w:pPr>
      <w:bookmarkStart w:name="7.7 异常恶劣的气候条件" w:id="363"/>
      <w:bookmarkEnd w:id="363"/>
      <w:r>
        <w:rPr>
          <w:b w:val="0"/>
        </w:rPr>
      </w:r>
      <w:bookmarkStart w:name="7.7 异常恶劣的气候条件" w:id="364"/>
      <w:bookmarkEnd w:id="364"/>
      <w:r>
        <w:rPr/>
        <w:t>异常恶劣的气候条件</w:t>
      </w:r>
    </w:p>
    <w:p>
      <w:pPr>
        <w:pStyle w:val="BodyText"/>
        <w:spacing w:before="91"/>
        <w:ind w:left="1098"/>
      </w:pPr>
      <w:r>
        <w:rPr>
          <w:spacing w:val="-3"/>
        </w:rPr>
        <w:t>发包人和承包人同意以下情形视为异常恶劣的气候条件：</w:t>
      </w:r>
    </w:p>
    <w:p>
      <w:pPr>
        <w:pStyle w:val="BodyText"/>
        <w:tabs>
          <w:tab w:pos="6138" w:val="left" w:leader="none"/>
        </w:tabs>
        <w:spacing w:before="139"/>
        <w:ind w:left="1098"/>
      </w:pPr>
      <w:r>
        <w:rPr/>
        <w:t>（</w:t>
      </w:r>
      <w:r>
        <w:rPr>
          <w:rFonts w:ascii="Times New Roman" w:eastAsia="Times New Roman"/>
        </w:rPr>
        <w:t>1</w:t>
      </w:r>
      <w:r>
        <w:rPr/>
        <w:t>）</w:t>
      </w:r>
      <w:r>
        <w:rPr>
          <w:u w:val="single"/>
        </w:rPr>
        <w:t> </w:t>
        <w:tab/>
      </w:r>
      <w:r>
        <w:rPr/>
        <w:t>；</w:t>
      </w:r>
    </w:p>
    <w:p>
      <w:pPr>
        <w:pStyle w:val="BodyText"/>
        <w:tabs>
          <w:tab w:pos="6138" w:val="left" w:leader="none"/>
        </w:tabs>
        <w:spacing w:before="139"/>
        <w:ind w:left="1098"/>
      </w:pPr>
      <w:r>
        <w:rPr/>
        <w:t>（</w:t>
      </w:r>
      <w:r>
        <w:rPr>
          <w:rFonts w:ascii="Times New Roman" w:eastAsia="Times New Roman"/>
        </w:rPr>
        <w:t>2</w:t>
      </w:r>
      <w:r>
        <w:rPr/>
        <w:t>）</w:t>
      </w:r>
      <w:r>
        <w:rPr>
          <w:u w:val="single"/>
        </w:rPr>
        <w:t> </w:t>
        <w:tab/>
      </w:r>
      <w:r>
        <w:rPr/>
        <w:t>；</w:t>
      </w:r>
    </w:p>
    <w:p>
      <w:pPr>
        <w:pStyle w:val="BodyText"/>
        <w:tabs>
          <w:tab w:pos="6138" w:val="left" w:leader="none"/>
        </w:tabs>
        <w:spacing w:before="139"/>
        <w:ind w:left="1098"/>
      </w:pPr>
      <w:r>
        <w:rPr/>
        <w:t>（</w:t>
      </w:r>
      <w:r>
        <w:rPr>
          <w:rFonts w:ascii="Times New Roman" w:eastAsia="Times New Roman"/>
        </w:rPr>
        <w:t>3</w:t>
      </w:r>
      <w:r>
        <w:rPr/>
        <w:t>）</w:t>
      </w:r>
      <w:r>
        <w:rPr>
          <w:u w:val="single"/>
        </w:rPr>
        <w:t> </w:t>
        <w:tab/>
      </w:r>
      <w:r>
        <w:rPr/>
        <w:t>。</w:t>
      </w:r>
    </w:p>
    <w:p>
      <w:pPr>
        <w:pStyle w:val="Heading8"/>
        <w:spacing w:before="73"/>
        <w:ind w:left="678" w:firstLine="0"/>
      </w:pPr>
      <w:bookmarkStart w:name="7.9 提前竣工" w:id="365"/>
      <w:bookmarkEnd w:id="365"/>
      <w:r>
        <w:rPr>
          <w:b w:val="0"/>
        </w:rPr>
      </w:r>
      <w:r>
        <w:rPr>
          <w:rFonts w:ascii="Times New Roman" w:eastAsia="Times New Roman"/>
        </w:rPr>
        <w:t>7.9 </w:t>
      </w:r>
      <w:r>
        <w:rPr/>
        <w:t>提前竣工</w:t>
      </w:r>
    </w:p>
    <w:p>
      <w:pPr>
        <w:pStyle w:val="BodyText"/>
        <w:spacing w:before="91"/>
        <w:ind w:left="1098"/>
      </w:pPr>
      <w:r>
        <w:rPr>
          <w:rFonts w:ascii="Times New Roman" w:eastAsia="Times New Roman"/>
        </w:rPr>
        <w:t>7.9.2 </w:t>
      </w:r>
      <w:r>
        <w:rPr/>
        <w:t>提前竣工（赶工）增加费的计算方法：</w:t>
      </w:r>
      <w:r>
        <w:rPr>
          <w:u w:val="single"/>
        </w:rPr>
        <w:t>按本合同通用条款执行</w:t>
      </w:r>
      <w:r>
        <w:rPr/>
        <w:t>。</w:t>
      </w:r>
    </w:p>
    <w:p>
      <w:pPr>
        <w:pStyle w:val="Heading8"/>
        <w:numPr>
          <w:ilvl w:val="0"/>
          <w:numId w:val="70"/>
        </w:numPr>
        <w:tabs>
          <w:tab w:pos="959" w:val="left" w:leader="none"/>
        </w:tabs>
        <w:spacing w:line="240" w:lineRule="auto" w:before="129" w:after="0"/>
        <w:ind w:left="958" w:right="0" w:hanging="281"/>
        <w:jc w:val="left"/>
      </w:pPr>
      <w:bookmarkStart w:name="8. 材料与设备" w:id="366"/>
      <w:bookmarkEnd w:id="366"/>
      <w:r>
        <w:rPr>
          <w:b w:val="0"/>
        </w:rPr>
      </w:r>
      <w:bookmarkStart w:name="8. 材料与设备" w:id="367"/>
      <w:bookmarkEnd w:id="367"/>
      <w:r>
        <w:rPr/>
        <w:t>材料与设备</w:t>
      </w:r>
    </w:p>
    <w:p>
      <w:pPr>
        <w:spacing w:before="142"/>
        <w:ind w:left="678" w:right="0" w:firstLine="0"/>
        <w:jc w:val="left"/>
        <w:rPr>
          <w:rFonts w:ascii="Microsoft JhengHei" w:eastAsia="Microsoft JhengHei" w:hint="eastAsia"/>
          <w:b/>
          <w:sz w:val="21"/>
        </w:rPr>
      </w:pPr>
      <w:bookmarkStart w:name="8.2 承包人采购材料与工程设备" w:id="368"/>
      <w:bookmarkEnd w:id="368"/>
      <w:r>
        <w:rPr/>
      </w:r>
      <w:r>
        <w:rPr>
          <w:rFonts w:ascii="Times New Roman" w:eastAsia="Times New Roman"/>
          <w:b/>
          <w:sz w:val="21"/>
        </w:rPr>
        <w:t>8.2 </w:t>
      </w:r>
      <w:r>
        <w:rPr>
          <w:rFonts w:ascii="Microsoft JhengHei" w:eastAsia="Microsoft JhengHei" w:hint="eastAsia"/>
          <w:b/>
          <w:sz w:val="21"/>
        </w:rPr>
        <w:t>承包人采购材料与工程设备</w:t>
      </w:r>
    </w:p>
    <w:p>
      <w:pPr>
        <w:pStyle w:val="BodyText"/>
        <w:spacing w:line="364" w:lineRule="auto" w:before="94"/>
        <w:ind w:right="1139" w:firstLine="419"/>
      </w:pPr>
      <w:r>
        <w:rPr/>
        <w:t>除已标价工程量清单《发包人提供主要材料和工程设备一览表》（表</w:t>
      </w:r>
      <w:r>
        <w:rPr>
          <w:rFonts w:ascii="Times New Roman" w:eastAsia="Times New Roman"/>
        </w:rPr>
        <w:t>-21</w:t>
      </w:r>
      <w:r>
        <w:rPr/>
        <w:t>）中明确的材料、工程设备外，由承包人负责材料和工程设备的采购、运输和保管。《承包人提供主要材料和工程设备一览表》（表</w:t>
      </w:r>
      <w:r>
        <w:rPr>
          <w:rFonts w:ascii="Times New Roman" w:eastAsia="Times New Roman"/>
        </w:rPr>
        <w:t>-22</w:t>
      </w:r>
      <w:r>
        <w:rPr/>
        <w:t>）见已标价工程量清单。</w:t>
      </w:r>
    </w:p>
    <w:p>
      <w:pPr>
        <w:pStyle w:val="BodyText"/>
        <w:spacing w:line="364" w:lineRule="auto"/>
        <w:ind w:right="1208" w:firstLine="419"/>
        <w:jc w:val="both"/>
      </w:pPr>
      <w:r>
        <w:rPr/>
        <w:t>对发包人在招标时有“参照或相当于</w:t>
      </w:r>
      <w:r>
        <w:rPr>
          <w:rFonts w:ascii="Times New Roman" w:hAnsi="Times New Roman" w:eastAsia="Times New Roman"/>
        </w:rPr>
        <w:t>**</w:t>
      </w:r>
      <w:r>
        <w:rPr/>
        <w:t>品牌、级别”约定的材料或设备，承包人采购时必须按类似于或优于所约定品牌、等级进行采购，施工期间该部分材料或设备如未超过招标约定的风险幅度的，结算时按投标单价支付，不得调整。</w:t>
      </w:r>
    </w:p>
    <w:p>
      <w:pPr>
        <w:pStyle w:val="BodyText"/>
        <w:spacing w:line="364" w:lineRule="auto"/>
        <w:ind w:right="1045" w:firstLine="419"/>
      </w:pPr>
      <w:r>
        <w:rPr>
          <w:spacing w:val="-3"/>
        </w:rPr>
        <w:t>满足南宁市城乡建设委员会南宁市工业和信息化委员会关于重新印发《南宁市城乡建设委 </w:t>
      </w:r>
      <w:r>
        <w:rPr>
          <w:spacing w:val="-5"/>
        </w:rPr>
        <w:t>员会和南宁市工业和信息化委员会关于推广应用高性能混凝土的通知》的通知</w:t>
      </w:r>
      <w:r>
        <w:rPr>
          <w:spacing w:val="-3"/>
        </w:rPr>
        <w:t>（</w:t>
      </w:r>
      <w:r>
        <w:rPr>
          <w:spacing w:val="-6"/>
        </w:rPr>
        <w:t>南建规【</w:t>
      </w:r>
      <w:r>
        <w:rPr>
          <w:rFonts w:ascii="Times New Roman" w:eastAsia="Times New Roman"/>
        </w:rPr>
        <w:t>2016</w:t>
      </w:r>
      <w:r>
        <w:rPr/>
        <w:t>】</w:t>
      </w:r>
      <w:r>
        <w:rPr>
          <w:rFonts w:ascii="Times New Roman" w:eastAsia="Times New Roman"/>
        </w:rPr>
        <w:t>1</w:t>
      </w:r>
      <w:r>
        <w:rPr/>
        <w:t>号</w:t>
      </w:r>
      <w:r>
        <w:rPr>
          <w:spacing w:val="-3"/>
        </w:rPr>
        <w:t>）要求的，本工程必须使用高性能混凝土。</w:t>
      </w:r>
    </w:p>
    <w:p>
      <w:pPr>
        <w:pStyle w:val="BodyText"/>
        <w:spacing w:line="269" w:lineRule="exact"/>
        <w:ind w:left="1098"/>
      </w:pPr>
      <w:r>
        <w:rPr>
          <w:spacing w:val="-5"/>
        </w:rPr>
        <w:t>满足南宁市人民政府印发的《南宁市人民政府关于推广使用预拌砂浆的实施意见</w:t>
      </w:r>
      <w:r>
        <w:rPr>
          <w:spacing w:val="-130"/>
        </w:rPr>
        <w:t>》</w:t>
      </w:r>
      <w:r>
        <w:rPr>
          <w:spacing w:val="-3"/>
        </w:rPr>
        <w:t>（</w:t>
      </w:r>
      <w:r>
        <w:rPr>
          <w:spacing w:val="-2"/>
        </w:rPr>
        <w:t>南府规</w:t>
      </w:r>
    </w:p>
    <w:p>
      <w:pPr>
        <w:pStyle w:val="BodyText"/>
        <w:spacing w:before="136"/>
      </w:pPr>
      <w:r>
        <w:rPr/>
        <w:t>〔</w:t>
      </w:r>
      <w:r>
        <w:rPr>
          <w:rFonts w:ascii="Times New Roman" w:eastAsia="Times New Roman"/>
        </w:rPr>
        <w:t>2016</w:t>
      </w:r>
      <w:r>
        <w:rPr/>
        <w:t>〕</w:t>
      </w:r>
      <w:r>
        <w:rPr>
          <w:rFonts w:ascii="Times New Roman" w:eastAsia="Times New Roman"/>
        </w:rPr>
        <w:t>12 </w:t>
      </w:r>
      <w:r>
        <w:rPr>
          <w:spacing w:val="-3"/>
        </w:rPr>
        <w:t>号</w:t>
      </w:r>
      <w:r>
        <w:rPr/>
        <w:t>）</w:t>
      </w:r>
      <w:r>
        <w:rPr>
          <w:spacing w:val="-3"/>
        </w:rPr>
        <w:t>要求的，本工程必须使用预拌砂浆。</w:t>
      </w:r>
    </w:p>
    <w:p>
      <w:pPr>
        <w:pStyle w:val="BodyText"/>
        <w:spacing w:line="364" w:lineRule="auto" w:before="139"/>
        <w:ind w:right="1105" w:firstLine="419"/>
      </w:pPr>
      <w:r>
        <w:rPr>
          <w:spacing w:val="-3"/>
        </w:rPr>
        <w:t>满足《南宁市松材线虫病防控工作领导小组工作制度》要求，要求涉木产品供货商对应施</w:t>
      </w:r>
      <w:r>
        <w:rPr>
          <w:spacing w:val="-10"/>
        </w:rPr>
        <w:t>检疫的产品提供《植物检疫证书》；涉及松木质包装材料的，积极配合林业部门做好检疫工作。</w:t>
      </w:r>
    </w:p>
    <w:p>
      <w:pPr>
        <w:spacing w:after="0" w:line="364" w:lineRule="auto"/>
        <w:sectPr>
          <w:pgSz w:w="11910" w:h="16850"/>
          <w:pgMar w:header="0" w:footer="779" w:top="1380" w:bottom="1040" w:left="1120" w:right="280"/>
        </w:sectPr>
      </w:pPr>
    </w:p>
    <w:p>
      <w:pPr>
        <w:pStyle w:val="Heading8"/>
        <w:numPr>
          <w:ilvl w:val="1"/>
          <w:numId w:val="85"/>
        </w:numPr>
        <w:tabs>
          <w:tab w:pos="1046" w:val="left" w:leader="none"/>
        </w:tabs>
        <w:spacing w:line="377" w:lineRule="exact" w:before="0" w:after="0"/>
        <w:ind w:left="1045" w:right="0" w:hanging="368"/>
        <w:jc w:val="left"/>
      </w:pPr>
      <w:bookmarkStart w:name="8.4 材料与工程设备的保管与使用" w:id="369"/>
      <w:bookmarkEnd w:id="369"/>
      <w:r>
        <w:rPr>
          <w:b w:val="0"/>
        </w:rPr>
      </w:r>
      <w:bookmarkStart w:name="8.4 材料与工程设备的保管与使用" w:id="370"/>
      <w:bookmarkEnd w:id="370"/>
      <w:r>
        <w:rPr>
          <w:spacing w:val="-1"/>
        </w:rPr>
        <w:t>材料与工程设备的保管与使用</w:t>
      </w:r>
    </w:p>
    <w:p>
      <w:pPr>
        <w:pStyle w:val="ListParagraph"/>
        <w:numPr>
          <w:ilvl w:val="2"/>
          <w:numId w:val="85"/>
        </w:numPr>
        <w:tabs>
          <w:tab w:pos="1571" w:val="left" w:leader="none"/>
        </w:tabs>
        <w:spacing w:line="240" w:lineRule="auto" w:before="91" w:after="0"/>
        <w:ind w:left="1570" w:right="0" w:hanging="473"/>
        <w:jc w:val="left"/>
        <w:rPr>
          <w:sz w:val="21"/>
        </w:rPr>
      </w:pPr>
      <w:r>
        <w:rPr>
          <w:spacing w:val="-3"/>
          <w:sz w:val="21"/>
        </w:rPr>
        <w:t>发包人供应的材料设备的保管费用的承担：</w:t>
      </w:r>
      <w:r>
        <w:rPr>
          <w:spacing w:val="-3"/>
          <w:sz w:val="21"/>
          <w:u w:val="single"/>
        </w:rPr>
        <w:t> 由承包人承担</w:t>
      </w:r>
      <w:r>
        <w:rPr>
          <w:spacing w:val="-1"/>
          <w:sz w:val="21"/>
        </w:rPr>
        <w:t> 。</w:t>
      </w:r>
    </w:p>
    <w:p>
      <w:pPr>
        <w:pStyle w:val="Heading8"/>
        <w:numPr>
          <w:ilvl w:val="1"/>
          <w:numId w:val="86"/>
        </w:numPr>
        <w:tabs>
          <w:tab w:pos="1046" w:val="left" w:leader="none"/>
        </w:tabs>
        <w:spacing w:line="240" w:lineRule="auto" w:before="70" w:after="0"/>
        <w:ind w:left="1045" w:right="0" w:hanging="368"/>
        <w:jc w:val="left"/>
      </w:pPr>
      <w:bookmarkStart w:name="8.6 样品" w:id="371"/>
      <w:bookmarkEnd w:id="371"/>
      <w:r>
        <w:rPr>
          <w:b w:val="0"/>
        </w:rPr>
      </w:r>
      <w:bookmarkStart w:name="8.6 样品" w:id="372"/>
      <w:bookmarkEnd w:id="372"/>
      <w:r>
        <w:rPr/>
        <w:t>样品</w:t>
      </w:r>
    </w:p>
    <w:p>
      <w:pPr>
        <w:pStyle w:val="ListParagraph"/>
        <w:numPr>
          <w:ilvl w:val="2"/>
          <w:numId w:val="86"/>
        </w:numPr>
        <w:tabs>
          <w:tab w:pos="1624" w:val="left" w:leader="none"/>
        </w:tabs>
        <w:spacing w:line="240" w:lineRule="auto" w:before="93" w:after="0"/>
        <w:ind w:left="1623" w:right="0" w:hanging="526"/>
        <w:jc w:val="left"/>
        <w:rPr>
          <w:sz w:val="21"/>
        </w:rPr>
      </w:pPr>
      <w:r>
        <w:rPr>
          <w:spacing w:val="-3"/>
          <w:sz w:val="21"/>
        </w:rPr>
        <w:t>样品的报送与封存</w:t>
      </w:r>
    </w:p>
    <w:p>
      <w:pPr>
        <w:pStyle w:val="BodyText"/>
        <w:spacing w:line="364" w:lineRule="auto" w:before="139"/>
        <w:ind w:right="1208" w:firstLine="419"/>
      </w:pPr>
      <w:r>
        <w:rPr>
          <w:spacing w:val="-3"/>
        </w:rPr>
        <w:t>需要承包人报送样品的材料或工程设备，样品的种类、名称、规格、数量要求：</w:t>
      </w:r>
      <w:r>
        <w:rPr>
          <w:spacing w:val="-3"/>
          <w:u w:val="single"/>
        </w:rPr>
        <w:t>主要材料</w:t>
      </w:r>
      <w:r>
        <w:rPr>
          <w:spacing w:val="-204"/>
          <w:u w:val="single"/>
        </w:rPr>
        <w:t>涉及</w:t>
      </w:r>
      <w:r>
        <w:rPr>
          <w:spacing w:val="-3"/>
          <w:u w:val="single"/>
        </w:rPr>
        <w:t>品种、款式、颜色等方面内容的，承包人应提交准备合格的材料样品送发包人选定。</w:t>
      </w:r>
    </w:p>
    <w:p>
      <w:pPr>
        <w:pStyle w:val="Heading8"/>
        <w:numPr>
          <w:ilvl w:val="1"/>
          <w:numId w:val="87"/>
        </w:numPr>
        <w:tabs>
          <w:tab w:pos="1046" w:val="left" w:leader="none"/>
        </w:tabs>
        <w:spacing w:line="315" w:lineRule="exact" w:before="0" w:after="0"/>
        <w:ind w:left="1045" w:right="0" w:hanging="368"/>
        <w:jc w:val="left"/>
      </w:pPr>
      <w:bookmarkStart w:name="8.8 施工设备和临时设施" w:id="373"/>
      <w:bookmarkEnd w:id="373"/>
      <w:r>
        <w:rPr>
          <w:b w:val="0"/>
        </w:rPr>
      </w:r>
      <w:bookmarkStart w:name="8.8 施工设备和临时设施" w:id="374"/>
      <w:bookmarkEnd w:id="374"/>
      <w:r>
        <w:rPr/>
        <w:t>施工设备和临时设施</w:t>
      </w:r>
    </w:p>
    <w:p>
      <w:pPr>
        <w:pStyle w:val="ListParagraph"/>
        <w:numPr>
          <w:ilvl w:val="2"/>
          <w:numId w:val="87"/>
        </w:numPr>
        <w:tabs>
          <w:tab w:pos="1624" w:val="left" w:leader="none"/>
        </w:tabs>
        <w:spacing w:line="240" w:lineRule="auto" w:before="94" w:after="0"/>
        <w:ind w:left="1623" w:right="0" w:hanging="526"/>
        <w:jc w:val="both"/>
        <w:rPr>
          <w:sz w:val="21"/>
        </w:rPr>
      </w:pPr>
      <w:r>
        <w:rPr>
          <w:spacing w:val="-3"/>
          <w:sz w:val="21"/>
        </w:rPr>
        <w:t>承包人提供的施工设备和临时设施</w:t>
      </w:r>
    </w:p>
    <w:p>
      <w:pPr>
        <w:pStyle w:val="BodyText"/>
        <w:spacing w:line="364" w:lineRule="auto" w:before="139"/>
        <w:ind w:right="1208" w:firstLine="419"/>
        <w:jc w:val="both"/>
      </w:pPr>
      <w:r>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4。</w:t>
      </w:r>
    </w:p>
    <w:p>
      <w:pPr>
        <w:pStyle w:val="BodyText"/>
        <w:spacing w:line="364" w:lineRule="auto"/>
        <w:ind w:right="1151" w:firstLine="419"/>
        <w:jc w:val="both"/>
      </w:pPr>
      <w:r>
        <w:rPr>
          <w:spacing w:val="-3"/>
        </w:rPr>
        <w:t>关于修建临时设施费用承担的约定：①承包人的临时用地</w:t>
      </w:r>
      <w:r>
        <w:rPr/>
        <w:t>（</w:t>
      </w:r>
      <w:r>
        <w:rPr>
          <w:spacing w:val="-3"/>
        </w:rPr>
        <w:t>含项目部驻地等</w:t>
      </w:r>
      <w:r>
        <w:rPr/>
        <w:t>）</w:t>
      </w:r>
      <w:r>
        <w:rPr>
          <w:spacing w:val="-2"/>
        </w:rPr>
        <w:t>租用费</w:t>
      </w:r>
      <w:r>
        <w:rPr>
          <w:spacing w:val="-3"/>
        </w:rPr>
        <w:t>（</w:t>
      </w:r>
      <w:r>
        <w:rPr/>
        <w:t>含</w:t>
      </w:r>
      <w:r>
        <w:rPr>
          <w:spacing w:val="-1"/>
        </w:rPr>
        <w:t>拆迁补偿</w:t>
      </w:r>
      <w:r>
        <w:rPr>
          <w:spacing w:val="-108"/>
        </w:rPr>
        <w:t>）</w:t>
      </w:r>
      <w:r>
        <w:rPr>
          <w:spacing w:val="-8"/>
        </w:rPr>
        <w:t>、临时用地的环保、恢复、临时用地的青苗补偿及地面附着物拆除等费用均由承包人</w:t>
      </w:r>
      <w:r>
        <w:rPr>
          <w:spacing w:val="-5"/>
        </w:rPr>
        <w:t>负责，以上费用在投标报价中综合考虑。</w:t>
      </w:r>
    </w:p>
    <w:p>
      <w:pPr>
        <w:pStyle w:val="BodyText"/>
        <w:spacing w:line="364" w:lineRule="auto"/>
        <w:ind w:right="1209" w:firstLine="419"/>
      </w:pPr>
      <w:r>
        <w:rPr/>
        <w:t>②承包人负责合同实施期间其合同段内临时交通道路（含场内外连接公共交通道路）和交通设施的修建、维修、养护和交通管理工作，并承担一切费用。</w:t>
      </w:r>
    </w:p>
    <w:p>
      <w:pPr>
        <w:pStyle w:val="BodyText"/>
        <w:spacing w:line="364" w:lineRule="auto"/>
        <w:ind w:right="1208" w:firstLine="419"/>
        <w:jc w:val="both"/>
      </w:pPr>
      <w:r>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pPr>
        <w:pStyle w:val="ListParagraph"/>
        <w:numPr>
          <w:ilvl w:val="2"/>
          <w:numId w:val="87"/>
        </w:numPr>
        <w:tabs>
          <w:tab w:pos="1624" w:val="left" w:leader="none"/>
        </w:tabs>
        <w:spacing w:line="240" w:lineRule="auto" w:before="0" w:after="0"/>
        <w:ind w:left="1623" w:right="0" w:hanging="526"/>
        <w:jc w:val="both"/>
        <w:rPr>
          <w:sz w:val="21"/>
        </w:rPr>
      </w:pPr>
      <w:r>
        <w:rPr>
          <w:spacing w:val="-3"/>
          <w:sz w:val="21"/>
        </w:rPr>
        <w:t>发包人提供的施工设备和临时设施</w:t>
      </w:r>
    </w:p>
    <w:p>
      <w:pPr>
        <w:pStyle w:val="BodyText"/>
        <w:spacing w:before="134"/>
        <w:ind w:left="1098"/>
      </w:pPr>
      <w:r>
        <w:rPr/>
        <w:t>发包人提供的施工设备和临时设施：</w:t>
      </w:r>
      <w:r>
        <w:rPr>
          <w:u w:val="single"/>
        </w:rPr>
        <w:t>双方另行约定</w:t>
      </w:r>
      <w:r>
        <w:rPr/>
        <w:t>。</w:t>
      </w:r>
    </w:p>
    <w:p>
      <w:pPr>
        <w:pStyle w:val="BodyText"/>
        <w:spacing w:line="364" w:lineRule="auto" w:before="141"/>
        <w:ind w:right="1208" w:firstLine="419"/>
      </w:pPr>
      <w:r>
        <w:rPr>
          <w:spacing w:val="-3"/>
        </w:rPr>
        <w:t>发包人提供的施工设备和临时设施的运行、维护、拆除、清运费用的承担人：</w:t>
      </w:r>
      <w:r>
        <w:rPr>
          <w:spacing w:val="-3"/>
          <w:u w:val="single"/>
        </w:rPr>
        <w:t>由承包人承</w:t>
      </w:r>
      <w:r>
        <w:rPr>
          <w:spacing w:val="-212"/>
          <w:u w:val="single"/>
        </w:rPr>
        <w:t>担</w:t>
      </w:r>
      <w:r>
        <w:rPr/>
        <w:t>。</w:t>
      </w:r>
    </w:p>
    <w:p>
      <w:pPr>
        <w:pStyle w:val="Heading8"/>
        <w:numPr>
          <w:ilvl w:val="0"/>
          <w:numId w:val="70"/>
        </w:numPr>
        <w:tabs>
          <w:tab w:pos="959" w:val="left" w:leader="none"/>
        </w:tabs>
        <w:spacing w:line="375" w:lineRule="exact" w:before="0" w:after="0"/>
        <w:ind w:left="958" w:right="0" w:hanging="281"/>
        <w:jc w:val="left"/>
      </w:pPr>
      <w:bookmarkStart w:name="9. 试验与检验" w:id="375"/>
      <w:bookmarkEnd w:id="375"/>
      <w:r>
        <w:rPr>
          <w:b w:val="0"/>
        </w:rPr>
      </w:r>
      <w:bookmarkStart w:name="9. 试验与检验" w:id="376"/>
      <w:bookmarkEnd w:id="376"/>
      <w:r>
        <w:rPr/>
        <w:t>试验与检验</w:t>
      </w:r>
    </w:p>
    <w:p>
      <w:pPr>
        <w:pStyle w:val="ListParagraph"/>
        <w:numPr>
          <w:ilvl w:val="1"/>
          <w:numId w:val="70"/>
        </w:numPr>
        <w:tabs>
          <w:tab w:pos="1046" w:val="left" w:leader="none"/>
        </w:tabs>
        <w:spacing w:line="240" w:lineRule="auto" w:before="142" w:after="0"/>
        <w:ind w:left="1045" w:right="0" w:hanging="368"/>
        <w:jc w:val="left"/>
        <w:rPr>
          <w:rFonts w:ascii="Microsoft JhengHei" w:eastAsia="Microsoft JhengHei" w:hint="eastAsia"/>
          <w:b/>
          <w:sz w:val="21"/>
        </w:rPr>
      </w:pPr>
      <w:bookmarkStart w:name="9.1 试验设备与试验人员" w:id="377"/>
      <w:bookmarkEnd w:id="377"/>
      <w:r>
        <w:rPr/>
      </w:r>
      <w:bookmarkStart w:name="9.1 试验设备与试验人员" w:id="378"/>
      <w:bookmarkEnd w:id="378"/>
      <w:r>
        <w:rPr>
          <w:rFonts w:ascii="Microsoft JhengHei" w:eastAsia="Microsoft JhengHei" w:hint="eastAsia"/>
          <w:b/>
          <w:sz w:val="21"/>
        </w:rPr>
        <w:t>试验设备与试验人员</w:t>
      </w:r>
    </w:p>
    <w:p>
      <w:pPr>
        <w:pStyle w:val="BodyText"/>
        <w:spacing w:before="91"/>
        <w:ind w:left="1098"/>
      </w:pPr>
      <w:r>
        <w:rPr>
          <w:rFonts w:ascii="Times New Roman" w:eastAsia="Times New Roman"/>
        </w:rPr>
        <w:t>9.1.2 </w:t>
      </w:r>
      <w:r>
        <w:rPr>
          <w:spacing w:val="-2"/>
        </w:rPr>
        <w:t>试验设备</w:t>
      </w:r>
    </w:p>
    <w:p>
      <w:pPr>
        <w:pStyle w:val="BodyText"/>
        <w:spacing w:line="364" w:lineRule="auto" w:before="142"/>
        <w:ind w:left="1098" w:right="1043"/>
        <w:jc w:val="both"/>
      </w:pPr>
      <w:r>
        <w:rPr>
          <w:spacing w:val="-6"/>
        </w:rPr>
        <w:t>施工现场需要配置的试验场所：</w:t>
      </w:r>
      <w:r>
        <w:rPr>
          <w:spacing w:val="-11"/>
          <w:u w:val="single"/>
        </w:rPr>
        <w:t>按有关规定执行，其余均按本合同《通用条款》规定执行 </w:t>
      </w:r>
      <w:r>
        <w:rPr/>
        <w:t>。</w:t>
      </w:r>
      <w:r>
        <w:rPr>
          <w:spacing w:val="-3"/>
        </w:rPr>
        <w:t>施工现场需要配备的试验设备</w:t>
      </w:r>
      <w:r>
        <w:rPr>
          <w:spacing w:val="-19"/>
          <w:u w:val="single"/>
        </w:rPr>
        <w:t>： 按有关规定执行，其余均按本合同《通用条款》规定执行 </w:t>
      </w:r>
      <w:r>
        <w:rPr/>
        <w:t>。</w:t>
      </w:r>
      <w:r>
        <w:rPr>
          <w:spacing w:val="-3"/>
        </w:rPr>
        <w:t>施工现场需要具备的其他试验条件：</w:t>
      </w:r>
      <w:r>
        <w:rPr>
          <w:u w:val="single"/>
        </w:rPr>
        <w:t> 无</w:t>
      </w:r>
      <w:r>
        <w:rPr>
          <w:spacing w:val="-1"/>
        </w:rPr>
        <w:t> 。</w:t>
      </w:r>
    </w:p>
    <w:p>
      <w:pPr>
        <w:pStyle w:val="Heading8"/>
        <w:numPr>
          <w:ilvl w:val="1"/>
          <w:numId w:val="88"/>
        </w:numPr>
        <w:tabs>
          <w:tab w:pos="1046" w:val="left" w:leader="none"/>
        </w:tabs>
        <w:spacing w:line="314" w:lineRule="exact" w:before="0" w:after="0"/>
        <w:ind w:left="1045" w:right="0" w:hanging="368"/>
        <w:jc w:val="left"/>
      </w:pPr>
      <w:bookmarkStart w:name="9.4 现场工艺试验" w:id="379"/>
      <w:bookmarkEnd w:id="379"/>
      <w:r>
        <w:rPr>
          <w:b w:val="0"/>
        </w:rPr>
      </w:r>
      <w:bookmarkStart w:name="9.4 现场工艺试验" w:id="380"/>
      <w:bookmarkEnd w:id="380"/>
      <w:r>
        <w:rPr/>
        <w:t>现场工艺试验</w:t>
      </w:r>
    </w:p>
    <w:p>
      <w:pPr>
        <w:pStyle w:val="BodyText"/>
        <w:spacing w:before="93"/>
        <w:ind w:left="1098"/>
      </w:pPr>
      <w:r>
        <w:rPr/>
        <w:t>现场工艺试验的有关约定：</w:t>
      </w:r>
      <w:r>
        <w:rPr>
          <w:u w:val="single"/>
        </w:rPr>
        <w:t> 按有关规定执行</w:t>
      </w:r>
      <w:r>
        <w:rPr/>
        <w:t>。</w:t>
      </w:r>
    </w:p>
    <w:p>
      <w:pPr>
        <w:pStyle w:val="Heading8"/>
        <w:numPr>
          <w:ilvl w:val="1"/>
          <w:numId w:val="88"/>
        </w:numPr>
        <w:tabs>
          <w:tab w:pos="1046" w:val="left" w:leader="none"/>
        </w:tabs>
        <w:spacing w:line="240" w:lineRule="auto" w:before="70" w:after="0"/>
        <w:ind w:left="1045" w:right="0" w:hanging="368"/>
        <w:jc w:val="left"/>
      </w:pPr>
      <w:bookmarkStart w:name="9.5 检验费用" w:id="381"/>
      <w:bookmarkEnd w:id="381"/>
      <w:r>
        <w:rPr>
          <w:b w:val="0"/>
        </w:rPr>
      </w:r>
      <w:bookmarkStart w:name="9.5 检验费用" w:id="382"/>
      <w:bookmarkEnd w:id="382"/>
      <w:r>
        <w:rPr/>
        <w:t>检验费用</w:t>
      </w:r>
    </w:p>
    <w:p>
      <w:pPr>
        <w:pStyle w:val="BodyText"/>
        <w:spacing w:line="364" w:lineRule="auto" w:before="91"/>
        <w:ind w:right="1149" w:firstLine="412"/>
      </w:pPr>
      <w:r>
        <w:rPr>
          <w:spacing w:val="-4"/>
        </w:rPr>
        <w:t>根据《建设工程质量检测管理办法</w:t>
      </w:r>
      <w:r>
        <w:rPr>
          <w:spacing w:val="-118"/>
        </w:rPr>
        <w:t>》</w:t>
      </w:r>
      <w:r>
        <w:rPr/>
        <w:t>（</w:t>
      </w:r>
      <w:r>
        <w:rPr>
          <w:spacing w:val="-8"/>
        </w:rPr>
        <w:t>建设部令第 </w:t>
      </w:r>
      <w:r>
        <w:rPr>
          <w:rFonts w:ascii="Times New Roman" w:eastAsia="Times New Roman"/>
        </w:rPr>
        <w:t>141 </w:t>
      </w:r>
      <w:r>
        <w:rPr/>
        <w:t>号</w:t>
      </w:r>
      <w:r>
        <w:rPr>
          <w:spacing w:val="-13"/>
        </w:rPr>
        <w:t>）</w:t>
      </w:r>
      <w:r>
        <w:rPr>
          <w:spacing w:val="-4"/>
        </w:rPr>
        <w:t>以及《广西壮族自治区建设工程</w:t>
      </w:r>
      <w:r>
        <w:rPr>
          <w:spacing w:val="-3"/>
        </w:rPr>
        <w:t>质量检测管理规定</w:t>
      </w:r>
      <w:r>
        <w:rPr>
          <w:spacing w:val="-126"/>
        </w:rPr>
        <w:t>》</w:t>
      </w:r>
      <w:r>
        <w:rPr>
          <w:spacing w:val="-3"/>
        </w:rPr>
        <w:t>（</w:t>
      </w:r>
      <w:r>
        <w:rPr>
          <w:spacing w:val="-6"/>
        </w:rPr>
        <w:t>桂建管〔</w:t>
      </w:r>
      <w:r>
        <w:rPr>
          <w:rFonts w:ascii="Times New Roman" w:eastAsia="Times New Roman"/>
        </w:rPr>
        <w:t>2013</w:t>
      </w:r>
      <w:r>
        <w:rPr>
          <w:spacing w:val="-20"/>
        </w:rPr>
        <w:t>〕</w:t>
      </w:r>
      <w:r>
        <w:rPr>
          <w:rFonts w:ascii="Times New Roman" w:eastAsia="Times New Roman"/>
          <w:spacing w:val="-4"/>
        </w:rPr>
        <w:t>11 </w:t>
      </w:r>
      <w:r>
        <w:rPr>
          <w:spacing w:val="-3"/>
        </w:rPr>
        <w:t>号</w:t>
      </w:r>
      <w:r>
        <w:rPr>
          <w:spacing w:val="-17"/>
        </w:rPr>
        <w:t>）</w:t>
      </w:r>
      <w:r>
        <w:rPr>
          <w:spacing w:val="-6"/>
        </w:rPr>
        <w:t>规定，工程质量检测业务由发包人委托有相应资质</w:t>
      </w:r>
    </w:p>
    <w:p>
      <w:pPr>
        <w:spacing w:after="0" w:line="364" w:lineRule="auto"/>
        <w:sectPr>
          <w:pgSz w:w="11910" w:h="16850"/>
          <w:pgMar w:header="0" w:footer="779" w:top="1380" w:bottom="1040" w:left="1120" w:right="280"/>
        </w:sectPr>
      </w:pPr>
    </w:p>
    <w:p>
      <w:pPr>
        <w:pStyle w:val="BodyText"/>
        <w:spacing w:line="364" w:lineRule="auto" w:before="60"/>
        <w:ind w:right="1156"/>
      </w:pPr>
      <w:r>
        <w:rPr/>
        <w:t>的检测机构检测。费用从发包人的项目建设经费中支出并直接支付给检测机构，不计入合同价款内。</w:t>
      </w:r>
    </w:p>
    <w:p>
      <w:pPr>
        <w:pStyle w:val="Heading8"/>
        <w:numPr>
          <w:ilvl w:val="0"/>
          <w:numId w:val="70"/>
        </w:numPr>
        <w:tabs>
          <w:tab w:pos="1074" w:val="left" w:leader="none"/>
        </w:tabs>
        <w:spacing w:line="375" w:lineRule="exact" w:before="0" w:after="0"/>
        <w:ind w:left="1074" w:right="0" w:hanging="396"/>
        <w:jc w:val="left"/>
      </w:pPr>
      <w:bookmarkStart w:name="10. 变更" w:id="383"/>
      <w:bookmarkEnd w:id="383"/>
      <w:r>
        <w:rPr>
          <w:b w:val="0"/>
        </w:rPr>
      </w:r>
      <w:bookmarkStart w:name="10. 变更" w:id="384"/>
      <w:bookmarkEnd w:id="384"/>
      <w:r>
        <w:rPr/>
        <w:t>变更</w:t>
      </w:r>
    </w:p>
    <w:p>
      <w:pPr>
        <w:pStyle w:val="ListParagraph"/>
        <w:numPr>
          <w:ilvl w:val="1"/>
          <w:numId w:val="70"/>
        </w:numPr>
        <w:tabs>
          <w:tab w:pos="1151" w:val="left" w:leader="none"/>
        </w:tabs>
        <w:spacing w:line="240" w:lineRule="auto" w:before="144" w:after="0"/>
        <w:ind w:left="1150" w:right="0" w:hanging="473"/>
        <w:jc w:val="left"/>
        <w:rPr>
          <w:rFonts w:ascii="Microsoft JhengHei" w:eastAsia="Microsoft JhengHei" w:hint="eastAsia"/>
          <w:b/>
          <w:sz w:val="21"/>
        </w:rPr>
      </w:pPr>
      <w:bookmarkStart w:name="10.1 变更的范围" w:id="385"/>
      <w:bookmarkEnd w:id="385"/>
      <w:r>
        <w:rPr/>
      </w:r>
      <w:bookmarkStart w:name="10.1 变更的范围" w:id="386"/>
      <w:bookmarkEnd w:id="386"/>
      <w:r>
        <w:rPr>
          <w:rFonts w:ascii="Microsoft JhengHei" w:eastAsia="Microsoft JhengHei" w:hint="eastAsia"/>
          <w:b/>
          <w:sz w:val="21"/>
        </w:rPr>
        <w:t>变更的范围</w:t>
      </w:r>
    </w:p>
    <w:p>
      <w:pPr>
        <w:pStyle w:val="BodyText"/>
        <w:spacing w:before="91"/>
        <w:ind w:left="1105"/>
      </w:pPr>
      <w:r>
        <w:rPr/>
        <w:t>关于变更的范围的约定：</w:t>
      </w:r>
      <w:r>
        <w:rPr>
          <w:u w:val="single"/>
        </w:rPr>
        <w:t> 按本合同《通用条款》规定执行</w:t>
      </w:r>
      <w:r>
        <w:rPr/>
        <w:t> 。</w:t>
      </w:r>
    </w:p>
    <w:p>
      <w:pPr>
        <w:pStyle w:val="Heading8"/>
        <w:numPr>
          <w:ilvl w:val="1"/>
          <w:numId w:val="89"/>
        </w:numPr>
        <w:tabs>
          <w:tab w:pos="1151" w:val="left" w:leader="none"/>
        </w:tabs>
        <w:spacing w:line="240" w:lineRule="auto" w:before="70" w:after="0"/>
        <w:ind w:left="1150" w:right="0" w:hanging="473"/>
        <w:jc w:val="left"/>
      </w:pPr>
      <w:bookmarkStart w:name="10.3 变更程序" w:id="387"/>
      <w:bookmarkEnd w:id="387"/>
      <w:r>
        <w:rPr>
          <w:b w:val="0"/>
        </w:rPr>
      </w:r>
      <w:bookmarkStart w:name="10.3 变更程序" w:id="388"/>
      <w:bookmarkEnd w:id="388"/>
      <w:r>
        <w:rPr/>
        <w:t>变更程序</w:t>
      </w:r>
    </w:p>
    <w:p>
      <w:pPr>
        <w:pStyle w:val="ListParagraph"/>
        <w:numPr>
          <w:ilvl w:val="2"/>
          <w:numId w:val="89"/>
        </w:numPr>
        <w:tabs>
          <w:tab w:pos="1698" w:val="left" w:leader="none"/>
        </w:tabs>
        <w:spacing w:line="240" w:lineRule="auto" w:before="91" w:after="0"/>
        <w:ind w:left="1698" w:right="0" w:hanging="579"/>
        <w:jc w:val="left"/>
        <w:rPr>
          <w:sz w:val="21"/>
        </w:rPr>
      </w:pPr>
      <w:r>
        <w:rPr>
          <w:spacing w:val="-3"/>
          <w:sz w:val="21"/>
        </w:rPr>
        <w:t>国有投资项目：</w:t>
      </w:r>
    </w:p>
    <w:p>
      <w:pPr>
        <w:pStyle w:val="BodyText"/>
        <w:spacing w:line="364" w:lineRule="auto" w:before="142"/>
        <w:ind w:right="1153" w:firstLine="441"/>
      </w:pPr>
      <w:r>
        <w:rPr/>
        <w:t>⑴设计变更和工程签证，按南宁市政府或相关部门的规定办理。属不可抗力（自然灾害、突发事件等）造成变更的，按特事特办原则予以办理。</w:t>
      </w:r>
    </w:p>
    <w:p>
      <w:pPr>
        <w:pStyle w:val="BodyText"/>
        <w:spacing w:line="364" w:lineRule="auto"/>
        <w:ind w:right="1154" w:firstLine="441"/>
      </w:pPr>
      <w:r>
        <w:rPr/>
        <w:t>⑵建设单位在实施项目过程中，若发生单价变动，由建设单位、监理单位、施工单位及其他相关单位共同商定并签字确认，并按规定办理相关手续。</w:t>
      </w:r>
    </w:p>
    <w:p>
      <w:pPr>
        <w:pStyle w:val="BodyText"/>
        <w:spacing w:line="364" w:lineRule="auto"/>
        <w:ind w:right="1151" w:firstLine="419"/>
        <w:jc w:val="both"/>
      </w:pPr>
      <w:r>
        <w:rPr>
          <w:spacing w:val="-6"/>
        </w:rPr>
        <w:t>⑶ 当合同规定的合同价款调整情况发生后，承包人未在规定时间内通知发包人，或者未在</w:t>
      </w:r>
      <w:r>
        <w:rPr>
          <w:spacing w:val="-4"/>
        </w:rPr>
        <w:t>规定时间内提出调整报告，发包人可以根据有关资料，决定是否调整和调整的金额，并书面通</w:t>
      </w:r>
      <w:r>
        <w:rPr>
          <w:spacing w:val="-3"/>
        </w:rPr>
        <w:t>知承包人。</w:t>
      </w:r>
    </w:p>
    <w:p>
      <w:pPr>
        <w:pStyle w:val="ListParagraph"/>
        <w:numPr>
          <w:ilvl w:val="2"/>
          <w:numId w:val="89"/>
        </w:numPr>
        <w:tabs>
          <w:tab w:pos="1730" w:val="left" w:leader="none"/>
        </w:tabs>
        <w:spacing w:line="269" w:lineRule="exact" w:before="0" w:after="0"/>
        <w:ind w:left="1729" w:right="0" w:hanging="632"/>
        <w:jc w:val="both"/>
        <w:rPr>
          <w:sz w:val="21"/>
        </w:rPr>
      </w:pPr>
      <w:r>
        <w:rPr>
          <w:spacing w:val="-3"/>
          <w:sz w:val="21"/>
        </w:rPr>
        <w:t>非国有投资项目：</w:t>
      </w:r>
    </w:p>
    <w:p>
      <w:pPr>
        <w:pStyle w:val="BodyText"/>
        <w:spacing w:before="135"/>
        <w:ind w:left="889"/>
      </w:pPr>
      <w:r>
        <w:rPr>
          <w:rFonts w:ascii="Times New Roman" w:eastAsia="Times New Roman"/>
          <w:u w:val="single"/>
        </w:rPr>
        <w:t>/</w:t>
      </w:r>
      <w:r>
        <w:rPr>
          <w:rFonts w:ascii="Times New Roman" w:eastAsia="Times New Roman"/>
          <w:spacing w:val="51"/>
          <w:u w:val="single"/>
        </w:rPr>
        <w:t> </w:t>
      </w:r>
      <w:r>
        <w:rPr/>
        <w:t>。</w:t>
      </w:r>
    </w:p>
    <w:p>
      <w:pPr>
        <w:pStyle w:val="Heading8"/>
        <w:numPr>
          <w:ilvl w:val="1"/>
          <w:numId w:val="89"/>
        </w:numPr>
        <w:tabs>
          <w:tab w:pos="1151" w:val="left" w:leader="none"/>
        </w:tabs>
        <w:spacing w:line="240" w:lineRule="auto" w:before="70" w:after="0"/>
        <w:ind w:left="1150" w:right="0" w:hanging="473"/>
        <w:jc w:val="left"/>
      </w:pPr>
      <w:bookmarkStart w:name="10.4 变更估价" w:id="389"/>
      <w:bookmarkEnd w:id="389"/>
      <w:r>
        <w:rPr>
          <w:b w:val="0"/>
        </w:rPr>
      </w:r>
      <w:bookmarkStart w:name="10.4 变更估价" w:id="390"/>
      <w:bookmarkEnd w:id="390"/>
      <w:r>
        <w:rPr/>
        <w:t>变更估价</w:t>
      </w:r>
    </w:p>
    <w:p>
      <w:pPr>
        <w:pStyle w:val="ListParagraph"/>
        <w:numPr>
          <w:ilvl w:val="2"/>
          <w:numId w:val="89"/>
        </w:numPr>
        <w:tabs>
          <w:tab w:pos="1730" w:val="left" w:leader="none"/>
        </w:tabs>
        <w:spacing w:line="240" w:lineRule="auto" w:before="94" w:after="0"/>
        <w:ind w:left="1729" w:right="0" w:hanging="632"/>
        <w:jc w:val="both"/>
        <w:rPr>
          <w:sz w:val="21"/>
        </w:rPr>
      </w:pPr>
      <w:r>
        <w:rPr>
          <w:spacing w:val="-3"/>
          <w:sz w:val="21"/>
        </w:rPr>
        <w:t>变更估价原则</w:t>
      </w:r>
    </w:p>
    <w:p>
      <w:pPr>
        <w:pStyle w:val="BodyText"/>
        <w:spacing w:line="408" w:lineRule="exact" w:before="22"/>
        <w:ind w:right="1045" w:firstLine="419"/>
      </w:pPr>
      <w:r>
        <w:rPr>
          <w:spacing w:val="-3"/>
          <w:w w:val="100"/>
        </w:rPr>
        <w:t>关于变更估价的约定</w:t>
      </w:r>
      <w:r>
        <w:rPr>
          <w:rFonts w:ascii="Times New Roman" w:hAnsi="Times New Roman" w:eastAsia="Times New Roman"/>
          <w:w w:val="100"/>
        </w:rPr>
        <w:t>:</w:t>
      </w:r>
      <w:r>
        <w:rPr>
          <w:rFonts w:ascii="Times New Roman" w:hAnsi="Times New Roman" w:eastAsia="Times New Roman"/>
          <w:spacing w:val="-2"/>
        </w:rPr>
        <w:t>  </w:t>
      </w:r>
      <w:r>
        <w:rPr>
          <w:spacing w:val="-3"/>
          <w:w w:val="100"/>
          <w:u w:val="single"/>
        </w:rPr>
        <w:t>工程变更合同价款按下列方法进行</w:t>
      </w:r>
      <w:r>
        <w:rPr>
          <w:spacing w:val="-212"/>
          <w:w w:val="100"/>
          <w:u w:val="single"/>
        </w:rPr>
        <w:t>：</w:t>
      </w:r>
      <w:r>
        <w:rPr>
          <w:spacing w:val="-1"/>
          <w:w w:val="100"/>
          <w:u w:val="single"/>
        </w:rPr>
        <w:t>（</w:t>
      </w:r>
      <w:r>
        <w:rPr>
          <w:rFonts w:ascii="Times New Roman" w:hAnsi="Times New Roman" w:eastAsia="Times New Roman"/>
          <w:spacing w:val="-3"/>
          <w:w w:val="100"/>
          <w:u w:val="single"/>
        </w:rPr>
        <w:t>1</w:t>
      </w:r>
      <w:r>
        <w:rPr>
          <w:spacing w:val="-104"/>
          <w:w w:val="100"/>
          <w:u w:val="single"/>
        </w:rPr>
        <w:t>）</w:t>
      </w:r>
      <w:r>
        <w:rPr>
          <w:spacing w:val="-3"/>
          <w:w w:val="100"/>
          <w:u w:val="single"/>
        </w:rPr>
        <w:t>合同中已有相同清单项目的，</w:t>
      </w:r>
      <w:r>
        <w:rPr>
          <w:spacing w:val="-204"/>
          <w:w w:val="100"/>
          <w:u w:val="single"/>
        </w:rPr>
        <w:t>按合</w:t>
      </w:r>
      <w:r>
        <w:rPr>
          <w:spacing w:val="-11"/>
          <w:w w:val="100"/>
          <w:u w:val="single"/>
        </w:rPr>
        <w:t>同该清单项目价格进行计算；</w:t>
      </w:r>
      <w:r>
        <w:rPr>
          <w:w w:val="100"/>
          <w:u w:val="single"/>
        </w:rPr>
        <w:t>（</w:t>
      </w:r>
      <w:r>
        <w:rPr>
          <w:rFonts w:ascii="Times New Roman" w:hAnsi="Times New Roman" w:eastAsia="Times New Roman"/>
          <w:spacing w:val="-3"/>
          <w:w w:val="100"/>
          <w:u w:val="single"/>
        </w:rPr>
        <w:t>2</w:t>
      </w:r>
      <w:r>
        <w:rPr>
          <w:w w:val="100"/>
          <w:u w:val="single"/>
        </w:rPr>
        <w:t>）</w:t>
      </w:r>
      <w:r>
        <w:rPr>
          <w:spacing w:val="-3"/>
          <w:w w:val="100"/>
          <w:u w:val="single"/>
        </w:rPr>
        <w:t>合同中只有类似清单项目的，参照该类似清单项目价格进行</w:t>
      </w:r>
      <w:r>
        <w:rPr>
          <w:spacing w:val="-38"/>
          <w:w w:val="100"/>
          <w:u w:val="single"/>
        </w:rPr>
        <w:t>计算；</w:t>
      </w:r>
      <w:r>
        <w:rPr>
          <w:spacing w:val="-1"/>
          <w:w w:val="100"/>
          <w:u w:val="single"/>
        </w:rPr>
        <w:t>（</w:t>
      </w:r>
      <w:r>
        <w:rPr>
          <w:rFonts w:ascii="Times New Roman" w:hAnsi="Times New Roman" w:eastAsia="Times New Roman"/>
          <w:w w:val="100"/>
          <w:u w:val="single"/>
        </w:rPr>
        <w:t>3</w:t>
      </w:r>
      <w:r>
        <w:rPr>
          <w:spacing w:val="-3"/>
          <w:w w:val="100"/>
          <w:u w:val="single"/>
        </w:rPr>
        <w:t>）合同中没有适用或类似清单项目的价格计算方法：有定额的套定额，并</w:t>
      </w:r>
      <w:r>
        <w:rPr>
          <w:spacing w:val="-2"/>
          <w:w w:val="100"/>
          <w:u w:val="single"/>
        </w:rPr>
        <w:t>（</w:t>
      </w:r>
      <w:r>
        <w:rPr>
          <w:rFonts w:ascii="Microsoft JhengHei" w:hAnsi="Microsoft JhengHei" w:eastAsia="Microsoft JhengHei" w:hint="eastAsia"/>
          <w:b/>
          <w:w w:val="154"/>
        </w:rPr>
        <w:t>□</w:t>
      </w:r>
      <w:r>
        <w:rPr>
          <w:w w:val="100"/>
          <w:u w:val="single"/>
        </w:rPr>
        <w:t>乘</w:t>
      </w:r>
    </w:p>
    <w:p>
      <w:pPr>
        <w:pStyle w:val="BodyText"/>
        <w:tabs>
          <w:tab w:pos="5404" w:val="left" w:leader="none"/>
          <w:tab w:pos="8513" w:val="left" w:leader="none"/>
        </w:tabs>
        <w:spacing w:line="408" w:lineRule="exact" w:before="3"/>
        <w:ind w:right="1105"/>
      </w:pPr>
      <w:r>
        <w:rPr/>
        <w:pict>
          <v:line style="position:absolute;mso-position-horizontal-relative:page;mso-position-vertical-relative:paragraph;z-index:-266645504" from="187.940002pt,18.210014pt" to="523.530002pt,18.210014pt" stroked="true" strokeweight=".599980pt" strokecolor="#000000">
            <v:stroke dashstyle="solid"/>
            <w10:wrap type="none"/>
          </v:line>
        </w:pict>
      </w:r>
      <w:r>
        <w:rPr/>
        <w:pict>
          <v:line style="position:absolute;mso-position-horizontal-relative:page;mso-position-vertical-relative:paragraph;z-index:-266644480" from="89.903999pt,38.609985pt" to="523.533999pt,38.609985pt" stroked="true" strokeweight=".60004pt" strokecolor="#000000">
            <v:stroke dashstyle="solid"/>
            <w10:wrap type="none"/>
          </v:line>
        </w:pict>
      </w:r>
      <w:r>
        <w:rPr>
          <w:u w:val="single"/>
        </w:rPr>
        <w:t>以下</w:t>
      </w:r>
      <w:r>
        <w:rPr>
          <w:spacing w:val="-3"/>
          <w:u w:val="single"/>
        </w:rPr>
        <w:t>浮系</w:t>
      </w:r>
      <w:r>
        <w:rPr>
          <w:u w:val="single"/>
        </w:rPr>
        <w:t>数</w:t>
      </w:r>
      <w:r>
        <w:rPr>
          <w:spacing w:val="11"/>
          <w:u w:val="single"/>
        </w:rPr>
        <w:t> </w:t>
      </w:r>
      <w:r>
        <w:rPr>
          <w:rFonts w:ascii="Times New Roman" w:hAnsi="Times New Roman" w:eastAsia="Times New Roman"/>
          <w:u w:val="single"/>
        </w:rPr>
        <w:t>10 </w:t>
      </w:r>
      <w:r>
        <w:rPr>
          <w:rFonts w:ascii="Times New Roman" w:hAnsi="Times New Roman" w:eastAsia="Times New Roman"/>
          <w:spacing w:val="11"/>
          <w:u w:val="single"/>
        </w:rPr>
        <w:t> </w:t>
      </w:r>
      <w:r>
        <w:rPr>
          <w:rFonts w:ascii="Times New Roman" w:hAnsi="Times New Roman" w:eastAsia="Times New Roman"/>
          <w:spacing w:val="-3"/>
          <w:u w:val="single"/>
        </w:rPr>
        <w:t>%</w:t>
      </w:r>
      <w:r>
        <w:rPr>
          <w:spacing w:val="-3"/>
          <w:u w:val="single"/>
        </w:rPr>
        <w:t>，</w:t>
      </w:r>
      <w:r>
        <w:rPr>
          <w:rFonts w:ascii="Microsoft JhengHei" w:hAnsi="Microsoft JhengHei" w:eastAsia="Microsoft JhengHei" w:hint="eastAsia"/>
          <w:b/>
          <w:spacing w:val="-3"/>
        </w:rPr>
        <w:t>□</w:t>
      </w:r>
      <w:r>
        <w:rPr>
          <w:spacing w:val="-3"/>
        </w:rPr>
        <w:t>不乘</w:t>
      </w:r>
      <w:r>
        <w:rPr/>
        <w:t>下浮</w:t>
      </w:r>
      <w:r>
        <w:rPr>
          <w:spacing w:val="-3"/>
        </w:rPr>
        <w:t>系</w:t>
      </w:r>
      <w:r>
        <w:rPr/>
        <w:t>数</w:t>
      </w:r>
      <w:r>
        <w:rPr>
          <w:spacing w:val="-5"/>
        </w:rPr>
        <w:t>）</w:t>
      </w:r>
      <w:r>
        <w:rPr/>
        <w:t>计</w:t>
      </w:r>
      <w:r>
        <w:rPr>
          <w:spacing w:val="-3"/>
        </w:rPr>
        <w:t>算，其</w:t>
      </w:r>
      <w:r>
        <w:rPr/>
        <w:t>中</w:t>
      </w:r>
      <w:r>
        <w:rPr>
          <w:spacing w:val="-5"/>
        </w:rPr>
        <w:t>：</w:t>
      </w:r>
      <w:r>
        <w:rPr/>
        <w:t>材料</w:t>
      </w:r>
      <w:r>
        <w:rPr>
          <w:spacing w:val="-3"/>
        </w:rPr>
        <w:t>设</w:t>
      </w:r>
      <w:r>
        <w:rPr/>
        <w:t>备</w:t>
      </w:r>
      <w:r>
        <w:rPr>
          <w:spacing w:val="-3"/>
        </w:rPr>
        <w:t>价</w:t>
      </w:r>
      <w:r>
        <w:rPr/>
        <w:t>格</w:t>
      </w:r>
      <w:r>
        <w:rPr>
          <w:spacing w:val="-3"/>
        </w:rPr>
        <w:t>按</w:t>
      </w:r>
      <w:r>
        <w:rPr/>
        <w:t>施</w:t>
      </w:r>
      <w:r>
        <w:rPr>
          <w:spacing w:val="-3"/>
        </w:rPr>
        <w:t>工</w:t>
      </w:r>
      <w:r>
        <w:rPr/>
        <w:t>期</w:t>
      </w:r>
      <w:r>
        <w:rPr>
          <w:spacing w:val="-3"/>
        </w:rPr>
        <w:t>间的</w:t>
      </w:r>
      <w:r>
        <w:rPr/>
        <w:t>《</w:t>
        <w:tab/>
      </w:r>
      <w:r>
        <w:rPr>
          <w:spacing w:val="-3"/>
        </w:rPr>
        <w:t>市</w:t>
      </w:r>
      <w:r>
        <w:rPr/>
        <w:t>建</w:t>
      </w:r>
      <w:r>
        <w:rPr>
          <w:spacing w:val="-3"/>
        </w:rPr>
        <w:t>设</w:t>
      </w:r>
      <w:r>
        <w:rPr/>
        <w:t>工程造</w:t>
      </w:r>
      <w:r>
        <w:rPr>
          <w:spacing w:val="-3"/>
        </w:rPr>
        <w:t>价</w:t>
      </w:r>
      <w:r>
        <w:rPr/>
        <w:t>信</w:t>
      </w:r>
      <w:r>
        <w:rPr>
          <w:spacing w:val="-3"/>
        </w:rPr>
        <w:t>息</w:t>
      </w:r>
      <w:r>
        <w:rPr/>
        <w:t>》</w:t>
      </w:r>
      <w:r>
        <w:rPr>
          <w:spacing w:val="-3"/>
        </w:rPr>
        <w:t>相</w:t>
      </w:r>
      <w:r>
        <w:rPr/>
        <w:t>应</w:t>
      </w:r>
      <w:r>
        <w:rPr>
          <w:spacing w:val="-3"/>
        </w:rPr>
        <w:t>信</w:t>
      </w:r>
      <w:r>
        <w:rPr/>
        <w:t>息</w:t>
      </w:r>
      <w:r>
        <w:rPr>
          <w:spacing w:val="-3"/>
        </w:rPr>
        <w:t>价</w:t>
      </w:r>
      <w:r>
        <w:rPr/>
        <w:t>的加</w:t>
      </w:r>
      <w:r>
        <w:rPr>
          <w:spacing w:val="-3"/>
        </w:rPr>
        <w:t>权</w:t>
      </w:r>
      <w:r>
        <w:rPr/>
        <w:t>平</w:t>
      </w:r>
      <w:r>
        <w:rPr>
          <w:spacing w:val="-3"/>
        </w:rPr>
        <w:t>均</w:t>
      </w:r>
      <w:r>
        <w:rPr/>
        <w:t>值</w:t>
      </w:r>
      <w:r>
        <w:rPr>
          <w:spacing w:val="-3"/>
        </w:rPr>
        <w:t>计</w:t>
      </w:r>
      <w:r>
        <w:rPr/>
        <w:t>算</w:t>
      </w:r>
      <w:r>
        <w:rPr>
          <w:spacing w:val="-108"/>
        </w:rPr>
        <w:t>，</w:t>
      </w:r>
      <w:r>
        <w:rPr/>
        <w:t>《</w:t>
        <w:tab/>
        <w:t>市建</w:t>
      </w:r>
      <w:r>
        <w:rPr>
          <w:spacing w:val="-3"/>
        </w:rPr>
        <w:t>设</w:t>
      </w:r>
      <w:r>
        <w:rPr/>
        <w:t>工</w:t>
      </w:r>
      <w:r>
        <w:rPr>
          <w:spacing w:val="-3"/>
        </w:rPr>
        <w:t>程</w:t>
      </w:r>
      <w:r>
        <w:rPr/>
        <w:t>造</w:t>
      </w:r>
      <w:r>
        <w:rPr>
          <w:spacing w:val="-3"/>
        </w:rPr>
        <w:t>价</w:t>
      </w:r>
      <w:r>
        <w:rPr/>
        <w:t>信</w:t>
      </w:r>
      <w:r>
        <w:rPr>
          <w:spacing w:val="-3"/>
        </w:rPr>
        <w:t>息</w:t>
      </w:r>
      <w:r>
        <w:rPr/>
        <w:t>》</w:t>
      </w:r>
      <w:r>
        <w:rPr>
          <w:spacing w:val="-3"/>
        </w:rPr>
        <w:t>没</w:t>
      </w:r>
      <w:r>
        <w:rPr/>
        <w:t>有相</w:t>
      </w:r>
      <w:r>
        <w:rPr>
          <w:spacing w:val="-3"/>
        </w:rPr>
        <w:t>应</w:t>
      </w:r>
      <w:r>
        <w:rPr/>
        <w:t>信</w:t>
      </w:r>
      <w:r>
        <w:rPr>
          <w:spacing w:val="-3"/>
        </w:rPr>
        <w:t>息</w:t>
      </w:r>
      <w:r>
        <w:rPr/>
        <w:t>价</w:t>
      </w:r>
      <w:r>
        <w:rPr>
          <w:spacing w:val="-3"/>
        </w:rPr>
        <w:t>的</w:t>
      </w:r>
      <w:r>
        <w:rPr>
          <w:spacing w:val="-12"/>
        </w:rPr>
        <w:t>， </w:t>
      </w:r>
      <w:r>
        <w:rPr>
          <w:u w:val="single"/>
        </w:rPr>
        <w:t>由建</w:t>
      </w:r>
      <w:r>
        <w:rPr>
          <w:spacing w:val="-3"/>
          <w:u w:val="single"/>
        </w:rPr>
        <w:t>设</w:t>
      </w:r>
      <w:r>
        <w:rPr>
          <w:u w:val="single"/>
        </w:rPr>
        <w:t>单</w:t>
      </w:r>
      <w:r>
        <w:rPr>
          <w:spacing w:val="-3"/>
          <w:u w:val="single"/>
        </w:rPr>
        <w:t>位</w:t>
      </w:r>
      <w:r>
        <w:rPr>
          <w:u w:val="single"/>
        </w:rPr>
        <w:t>、</w:t>
      </w:r>
      <w:r>
        <w:rPr>
          <w:spacing w:val="-3"/>
          <w:u w:val="single"/>
        </w:rPr>
        <w:t>施</w:t>
      </w:r>
      <w:r>
        <w:rPr>
          <w:u w:val="single"/>
        </w:rPr>
        <w:t>工</w:t>
      </w:r>
      <w:r>
        <w:rPr>
          <w:spacing w:val="-3"/>
          <w:u w:val="single"/>
        </w:rPr>
        <w:t>单</w:t>
      </w:r>
      <w:r>
        <w:rPr>
          <w:u w:val="single"/>
        </w:rPr>
        <w:t>位</w:t>
      </w:r>
      <w:r>
        <w:rPr>
          <w:spacing w:val="-3"/>
          <w:u w:val="single"/>
        </w:rPr>
        <w:t>、</w:t>
      </w:r>
      <w:r>
        <w:rPr>
          <w:u w:val="single"/>
        </w:rPr>
        <w:t>监理</w:t>
      </w:r>
      <w:r>
        <w:rPr>
          <w:spacing w:val="-3"/>
          <w:u w:val="single"/>
        </w:rPr>
        <w:t>单</w:t>
      </w:r>
      <w:r>
        <w:rPr>
          <w:u w:val="single"/>
        </w:rPr>
        <w:t>位</w:t>
      </w:r>
      <w:r>
        <w:rPr>
          <w:spacing w:val="-3"/>
          <w:u w:val="single"/>
        </w:rPr>
        <w:t>或</w:t>
      </w:r>
      <w:r>
        <w:rPr>
          <w:u w:val="single"/>
        </w:rPr>
        <w:t>造</w:t>
      </w:r>
      <w:r>
        <w:rPr>
          <w:spacing w:val="-3"/>
          <w:u w:val="single"/>
        </w:rPr>
        <w:t>价</w:t>
      </w:r>
      <w:r>
        <w:rPr>
          <w:u w:val="single"/>
        </w:rPr>
        <w:t>咨</w:t>
      </w:r>
      <w:r>
        <w:rPr>
          <w:spacing w:val="-3"/>
          <w:u w:val="single"/>
        </w:rPr>
        <w:t>询</w:t>
      </w:r>
      <w:r>
        <w:rPr>
          <w:u w:val="single"/>
        </w:rPr>
        <w:t>单</w:t>
      </w:r>
      <w:r>
        <w:rPr>
          <w:spacing w:val="-3"/>
          <w:u w:val="single"/>
        </w:rPr>
        <w:t>位</w:t>
      </w:r>
      <w:r>
        <w:rPr>
          <w:u w:val="single"/>
        </w:rPr>
        <w:t>根据</w:t>
      </w:r>
      <w:r>
        <w:rPr>
          <w:spacing w:val="-3"/>
          <w:u w:val="single"/>
        </w:rPr>
        <w:t>市</w:t>
      </w:r>
      <w:r>
        <w:rPr>
          <w:u w:val="single"/>
        </w:rPr>
        <w:t>场</w:t>
      </w:r>
      <w:r>
        <w:rPr>
          <w:spacing w:val="-3"/>
          <w:u w:val="single"/>
        </w:rPr>
        <w:t>行</w:t>
      </w:r>
      <w:r>
        <w:rPr>
          <w:u w:val="single"/>
        </w:rPr>
        <w:t>情</w:t>
      </w:r>
      <w:r>
        <w:rPr>
          <w:spacing w:val="-3"/>
          <w:u w:val="single"/>
        </w:rPr>
        <w:t>协</w:t>
      </w:r>
      <w:r>
        <w:rPr>
          <w:u w:val="single"/>
        </w:rPr>
        <w:t>商</w:t>
      </w:r>
      <w:r>
        <w:rPr>
          <w:spacing w:val="-3"/>
          <w:u w:val="single"/>
        </w:rPr>
        <w:t>确</w:t>
      </w:r>
      <w:r>
        <w:rPr>
          <w:u w:val="single"/>
        </w:rPr>
        <w:t>定</w:t>
      </w:r>
      <w:r>
        <w:rPr>
          <w:spacing w:val="-3"/>
          <w:u w:val="single"/>
        </w:rPr>
        <w:t>；</w:t>
      </w:r>
      <w:r>
        <w:rPr>
          <w:u w:val="single"/>
        </w:rPr>
        <w:t>无定</w:t>
      </w:r>
      <w:r>
        <w:rPr>
          <w:spacing w:val="-3"/>
          <w:u w:val="single"/>
        </w:rPr>
        <w:t>额</w:t>
      </w:r>
      <w:r>
        <w:rPr>
          <w:u w:val="single"/>
        </w:rPr>
        <w:t>可</w:t>
      </w:r>
      <w:r>
        <w:rPr>
          <w:spacing w:val="-3"/>
          <w:u w:val="single"/>
        </w:rPr>
        <w:t>套</w:t>
      </w:r>
      <w:r>
        <w:rPr>
          <w:u w:val="single"/>
        </w:rPr>
        <w:t>的</w:t>
      </w:r>
      <w:r>
        <w:rPr>
          <w:spacing w:val="-3"/>
          <w:u w:val="single"/>
        </w:rPr>
        <w:t>，</w:t>
      </w:r>
      <w:r>
        <w:rPr>
          <w:u w:val="single"/>
        </w:rPr>
        <w:t>由</w:t>
      </w:r>
      <w:r>
        <w:rPr>
          <w:spacing w:val="-113"/>
          <w:u w:val="single"/>
        </w:rPr>
        <w:t>建</w:t>
      </w:r>
      <w:r>
        <w:rPr>
          <w:spacing w:val="-192"/>
          <w:u w:val="single"/>
        </w:rPr>
        <w:t>设</w:t>
      </w:r>
      <w:r>
        <w:rPr>
          <w:spacing w:val="-3"/>
          <w:u w:val="single"/>
        </w:rPr>
        <w:t>单</w:t>
      </w:r>
      <w:r>
        <w:rPr>
          <w:u w:val="single"/>
        </w:rPr>
        <w:t>位</w:t>
      </w:r>
      <w:r>
        <w:rPr>
          <w:spacing w:val="-3"/>
          <w:u w:val="single"/>
        </w:rPr>
        <w:t>、</w:t>
      </w:r>
      <w:r>
        <w:rPr>
          <w:u w:val="single"/>
        </w:rPr>
        <w:t>施</w:t>
      </w:r>
      <w:r>
        <w:rPr>
          <w:spacing w:val="-3"/>
          <w:u w:val="single"/>
        </w:rPr>
        <w:t>工</w:t>
      </w:r>
      <w:r>
        <w:rPr>
          <w:u w:val="single"/>
        </w:rPr>
        <w:t>单</w:t>
      </w:r>
      <w:r>
        <w:rPr>
          <w:spacing w:val="-3"/>
          <w:u w:val="single"/>
        </w:rPr>
        <w:t>位</w:t>
      </w:r>
      <w:r>
        <w:rPr>
          <w:u w:val="single"/>
        </w:rPr>
        <w:t>、</w:t>
      </w:r>
      <w:r>
        <w:rPr>
          <w:spacing w:val="-3"/>
          <w:u w:val="single"/>
        </w:rPr>
        <w:t>监</w:t>
      </w:r>
      <w:r>
        <w:rPr>
          <w:u w:val="single"/>
        </w:rPr>
        <w:t>理单</w:t>
      </w:r>
      <w:r>
        <w:rPr>
          <w:spacing w:val="-3"/>
          <w:u w:val="single"/>
        </w:rPr>
        <w:t>位</w:t>
      </w:r>
      <w:r>
        <w:rPr>
          <w:u w:val="single"/>
        </w:rPr>
        <w:t>或</w:t>
      </w:r>
      <w:r>
        <w:rPr>
          <w:spacing w:val="-3"/>
          <w:u w:val="single"/>
        </w:rPr>
        <w:t>造</w:t>
      </w:r>
      <w:r>
        <w:rPr>
          <w:u w:val="single"/>
        </w:rPr>
        <w:t>价</w:t>
      </w:r>
      <w:r>
        <w:rPr>
          <w:spacing w:val="-3"/>
          <w:u w:val="single"/>
        </w:rPr>
        <w:t>咨</w:t>
      </w:r>
      <w:r>
        <w:rPr>
          <w:u w:val="single"/>
        </w:rPr>
        <w:t>询</w:t>
      </w:r>
      <w:r>
        <w:rPr>
          <w:spacing w:val="-3"/>
          <w:u w:val="single"/>
        </w:rPr>
        <w:t>单</w:t>
      </w:r>
      <w:r>
        <w:rPr>
          <w:u w:val="single"/>
        </w:rPr>
        <w:t>位</w:t>
      </w:r>
      <w:r>
        <w:rPr>
          <w:spacing w:val="-3"/>
          <w:u w:val="single"/>
        </w:rPr>
        <w:t>根</w:t>
      </w:r>
      <w:r>
        <w:rPr>
          <w:u w:val="single"/>
        </w:rPr>
        <w:t>据市</w:t>
      </w:r>
      <w:r>
        <w:rPr>
          <w:spacing w:val="-3"/>
          <w:u w:val="single"/>
        </w:rPr>
        <w:t>场</w:t>
      </w:r>
      <w:r>
        <w:rPr>
          <w:u w:val="single"/>
        </w:rPr>
        <w:t>行</w:t>
      </w:r>
      <w:r>
        <w:rPr>
          <w:spacing w:val="-3"/>
          <w:u w:val="single"/>
        </w:rPr>
        <w:t>情</w:t>
      </w:r>
      <w:r>
        <w:rPr>
          <w:u w:val="single"/>
        </w:rPr>
        <w:t>协</w:t>
      </w:r>
      <w:r>
        <w:rPr>
          <w:spacing w:val="-3"/>
          <w:u w:val="single"/>
        </w:rPr>
        <w:t>商</w:t>
      </w:r>
      <w:r>
        <w:rPr>
          <w:u w:val="single"/>
        </w:rPr>
        <w:t>确</w:t>
      </w:r>
      <w:r>
        <w:rPr>
          <w:spacing w:val="-3"/>
          <w:u w:val="single"/>
        </w:rPr>
        <w:t>定</w:t>
      </w:r>
      <w:r>
        <w:rPr>
          <w:u w:val="single"/>
        </w:rPr>
        <w:t>包</w:t>
      </w:r>
      <w:r>
        <w:rPr>
          <w:spacing w:val="-3"/>
          <w:u w:val="single"/>
        </w:rPr>
        <w:t>含</w:t>
      </w:r>
      <w:r>
        <w:rPr>
          <w:u w:val="single"/>
        </w:rPr>
        <w:t>除税</w:t>
      </w:r>
      <w:r>
        <w:rPr>
          <w:spacing w:val="-3"/>
          <w:u w:val="single"/>
        </w:rPr>
        <w:t>金</w:t>
      </w:r>
      <w:r>
        <w:rPr>
          <w:u w:val="single"/>
        </w:rPr>
        <w:t>以</w:t>
      </w:r>
      <w:r>
        <w:rPr>
          <w:spacing w:val="-3"/>
          <w:u w:val="single"/>
        </w:rPr>
        <w:t>外</w:t>
      </w:r>
      <w:r>
        <w:rPr>
          <w:u w:val="single"/>
        </w:rPr>
        <w:t>所</w:t>
      </w:r>
      <w:r>
        <w:rPr>
          <w:spacing w:val="-3"/>
          <w:u w:val="single"/>
        </w:rPr>
        <w:t>有</w:t>
      </w:r>
      <w:r>
        <w:rPr>
          <w:u w:val="single"/>
        </w:rPr>
        <w:t>费</w:t>
      </w:r>
    </w:p>
    <w:p>
      <w:pPr>
        <w:pStyle w:val="BodyText"/>
        <w:spacing w:line="364" w:lineRule="auto" w:before="117"/>
        <w:ind w:right="1208"/>
        <w:jc w:val="both"/>
      </w:pPr>
      <w:r>
        <w:rPr>
          <w:spacing w:val="-3"/>
          <w:u w:val="single"/>
        </w:rPr>
        <w:t>用的税前综合价格</w:t>
      </w:r>
      <w:r>
        <w:rPr>
          <w:spacing w:val="-3"/>
        </w:rPr>
        <w:t>。以上约定同时适用于招标工程量清单缺项以及工程量清单项目特征与图纸不符时的价款确定。</w:t>
      </w:r>
      <w:r>
        <w:rPr>
          <w:spacing w:val="-3"/>
          <w:u w:val="single"/>
        </w:rPr>
        <w:t>对于政府及国有资金投资的项目，新增项目的单价最终由横县财政部门或</w:t>
      </w:r>
      <w:r>
        <w:rPr>
          <w:spacing w:val="-204"/>
          <w:u w:val="single"/>
        </w:rPr>
        <w:t>审计</w:t>
      </w:r>
      <w:r>
        <w:rPr>
          <w:spacing w:val="-3"/>
          <w:u w:val="single"/>
        </w:rPr>
        <w:t>部门根据横县有关结算审计规定审定</w:t>
      </w:r>
      <w:r>
        <w:rPr/>
        <w:t>。</w:t>
      </w:r>
    </w:p>
    <w:p>
      <w:pPr>
        <w:pStyle w:val="BodyText"/>
        <w:spacing w:line="364" w:lineRule="auto"/>
        <w:ind w:right="1209" w:firstLine="419"/>
        <w:jc w:val="both"/>
      </w:pPr>
      <w:r>
        <w:rPr>
          <w:spacing w:val="-3"/>
          <w:u w:val="single"/>
        </w:rPr>
        <w:t>工程变更导致实际完成的变更工程量与已标价清单或预算书中列明的该项目工程量有偏差</w:t>
      </w:r>
      <w:r>
        <w:rPr>
          <w:spacing w:val="-205"/>
          <w:u w:val="single"/>
        </w:rPr>
        <w:t>时，</w:t>
      </w:r>
      <w:r>
        <w:rPr>
          <w:spacing w:val="-103"/>
          <w:u w:val="single"/>
        </w:rPr>
        <w:t> </w:t>
      </w:r>
      <w:r>
        <w:rPr>
          <w:spacing w:val="-3"/>
          <w:u w:val="single"/>
        </w:rPr>
        <w:t>其综合单价的确定按专用条款“</w:t>
      </w:r>
      <w:r>
        <w:rPr>
          <w:rFonts w:ascii="Times New Roman" w:hAnsi="Times New Roman" w:eastAsia="Times New Roman"/>
          <w:u w:val="single"/>
        </w:rPr>
        <w:t>1.13 </w:t>
      </w:r>
      <w:r>
        <w:rPr>
          <w:spacing w:val="-3"/>
          <w:u w:val="single"/>
        </w:rPr>
        <w:t>工程量清单错误的修正”执行。</w:t>
      </w:r>
    </w:p>
    <w:p>
      <w:pPr>
        <w:pStyle w:val="Heading8"/>
        <w:numPr>
          <w:ilvl w:val="1"/>
          <w:numId w:val="89"/>
        </w:numPr>
        <w:tabs>
          <w:tab w:pos="1151" w:val="left" w:leader="none"/>
        </w:tabs>
        <w:spacing w:line="317" w:lineRule="exact" w:before="0" w:after="0"/>
        <w:ind w:left="1150" w:right="0" w:hanging="473"/>
        <w:jc w:val="left"/>
      </w:pPr>
      <w:bookmarkStart w:name="10.5 承包人的合理化建议" w:id="391"/>
      <w:bookmarkEnd w:id="391"/>
      <w:r>
        <w:rPr>
          <w:b w:val="0"/>
        </w:rPr>
      </w:r>
      <w:bookmarkStart w:name="10.5 承包人的合理化建议" w:id="392"/>
      <w:bookmarkEnd w:id="392"/>
      <w:r>
        <w:rPr/>
        <w:t>承包人的合理化建议</w:t>
      </w:r>
    </w:p>
    <w:p>
      <w:pPr>
        <w:pStyle w:val="BodyText"/>
        <w:spacing w:line="364" w:lineRule="auto" w:before="90"/>
        <w:ind w:left="1098" w:right="2471"/>
      </w:pPr>
      <w:r>
        <w:rPr/>
        <w:t>监理人审查承包人合理化建议的期限：</w:t>
      </w:r>
      <w:r>
        <w:rPr>
          <w:u w:val="single"/>
        </w:rPr>
        <w:t> 按本合同《通用条款》规定执行 </w:t>
      </w:r>
      <w:r>
        <w:rPr/>
        <w:t>。发包人审批承包人合理化建议的期限：</w:t>
      </w:r>
      <w:r>
        <w:rPr>
          <w:u w:val="single"/>
        </w:rPr>
        <w:t> 按本合同《通用条款》规定执行 </w:t>
      </w:r>
      <w:r>
        <w:rPr/>
        <w:t>。</w:t>
      </w:r>
    </w:p>
    <w:p>
      <w:pPr>
        <w:pStyle w:val="BodyText"/>
        <w:spacing w:line="268" w:lineRule="exact"/>
        <w:ind w:left="1098"/>
      </w:pPr>
      <w:r>
        <w:rPr/>
        <w:t>承包人提出的合理化建议降低了合同价格或者提高了工程经济效益的奖励的方法和金额</w:t>
      </w:r>
    </w:p>
    <w:p>
      <w:pPr>
        <w:spacing w:after="0" w:line="268" w:lineRule="exact"/>
        <w:sectPr>
          <w:pgSz w:w="11910" w:h="16850"/>
          <w:pgMar w:header="0" w:footer="779" w:top="1380" w:bottom="1040" w:left="1120" w:right="280"/>
        </w:sectPr>
      </w:pPr>
    </w:p>
    <w:p>
      <w:pPr>
        <w:pStyle w:val="BodyText"/>
        <w:spacing w:before="60"/>
      </w:pPr>
      <w:r>
        <w:rPr/>
        <w:t>为：</w:t>
      </w:r>
      <w:r>
        <w:rPr>
          <w:u w:val="single"/>
        </w:rPr>
        <w:t> 双方另行协商</w:t>
      </w:r>
      <w:r>
        <w:rPr/>
        <w:t>。</w:t>
      </w:r>
    </w:p>
    <w:p>
      <w:pPr>
        <w:pStyle w:val="Heading8"/>
        <w:numPr>
          <w:ilvl w:val="1"/>
          <w:numId w:val="90"/>
        </w:numPr>
        <w:tabs>
          <w:tab w:pos="1151" w:val="left" w:leader="none"/>
        </w:tabs>
        <w:spacing w:line="240" w:lineRule="auto" w:before="70" w:after="0"/>
        <w:ind w:left="1150" w:right="0" w:hanging="473"/>
        <w:jc w:val="left"/>
      </w:pPr>
      <w:bookmarkStart w:name="10.7 暂估价" w:id="393"/>
      <w:bookmarkEnd w:id="393"/>
      <w:r>
        <w:rPr>
          <w:b w:val="0"/>
        </w:rPr>
      </w:r>
      <w:bookmarkStart w:name="10.7 暂估价" w:id="394"/>
      <w:bookmarkEnd w:id="394"/>
      <w:r>
        <w:rPr/>
        <w:t>暂估价</w:t>
      </w:r>
    </w:p>
    <w:p>
      <w:pPr>
        <w:pStyle w:val="BodyText"/>
        <w:spacing w:line="367" w:lineRule="auto" w:before="91"/>
        <w:ind w:right="1208" w:firstLine="419"/>
      </w:pPr>
      <w:r>
        <w:rPr/>
        <w:t>暂估价材料和工程设备的明细详见已标价工程量清单《材料（工程设备）暂估价格及调整表》（表 </w:t>
      </w:r>
      <w:r>
        <w:rPr>
          <w:rFonts w:ascii="Times New Roman" w:eastAsia="Times New Roman"/>
        </w:rPr>
        <w:t>12-2</w:t>
      </w:r>
      <w:r>
        <w:rPr/>
        <w:t>）和《专业工程暂估价表》（表 </w:t>
      </w:r>
      <w:r>
        <w:rPr>
          <w:rFonts w:ascii="Times New Roman" w:eastAsia="Times New Roman"/>
        </w:rPr>
        <w:t>12-3</w:t>
      </w:r>
      <w:r>
        <w:rPr/>
        <w:t>）。</w:t>
      </w:r>
    </w:p>
    <w:p>
      <w:pPr>
        <w:pStyle w:val="ListParagraph"/>
        <w:numPr>
          <w:ilvl w:val="2"/>
          <w:numId w:val="90"/>
        </w:numPr>
        <w:tabs>
          <w:tab w:pos="1730" w:val="left" w:leader="none"/>
        </w:tabs>
        <w:spacing w:line="264" w:lineRule="exact" w:before="0" w:after="0"/>
        <w:ind w:left="1729" w:right="0" w:hanging="632"/>
        <w:jc w:val="left"/>
        <w:rPr>
          <w:sz w:val="21"/>
        </w:rPr>
      </w:pPr>
      <w:r>
        <w:rPr>
          <w:spacing w:val="-3"/>
          <w:sz w:val="21"/>
        </w:rPr>
        <w:t>依法必须招标的暂估价项目</w:t>
      </w:r>
    </w:p>
    <w:p>
      <w:pPr>
        <w:pStyle w:val="BodyText"/>
        <w:spacing w:before="139"/>
        <w:ind w:left="1098"/>
      </w:pPr>
      <w:r>
        <w:rPr>
          <w:spacing w:val="-3"/>
        </w:rPr>
        <w:t>对于依法必须招标的暂估价项目的确认和批准采取第</w:t>
      </w:r>
      <w:r>
        <w:rPr>
          <w:spacing w:val="-3"/>
          <w:u w:val="single"/>
        </w:rPr>
        <w:t> </w:t>
      </w:r>
      <w:r>
        <w:rPr>
          <w:rFonts w:ascii="Times New Roman" w:eastAsia="Times New Roman"/>
          <w:u w:val="single"/>
        </w:rPr>
        <w:t>2</w:t>
      </w:r>
      <w:r>
        <w:rPr>
          <w:rFonts w:ascii="Times New Roman" w:eastAsia="Times New Roman"/>
          <w:spacing w:val="52"/>
          <w:u w:val="single"/>
        </w:rPr>
        <w:t> </w:t>
      </w:r>
      <w:r>
        <w:rPr>
          <w:spacing w:val="-3"/>
        </w:rPr>
        <w:t>种方式确定。</w:t>
      </w:r>
    </w:p>
    <w:p>
      <w:pPr>
        <w:pStyle w:val="ListParagraph"/>
        <w:numPr>
          <w:ilvl w:val="2"/>
          <w:numId w:val="90"/>
        </w:numPr>
        <w:tabs>
          <w:tab w:pos="1730" w:val="left" w:leader="none"/>
        </w:tabs>
        <w:spacing w:line="240" w:lineRule="auto" w:before="139" w:after="0"/>
        <w:ind w:left="1729" w:right="0" w:hanging="632"/>
        <w:jc w:val="left"/>
        <w:rPr>
          <w:sz w:val="21"/>
        </w:rPr>
      </w:pPr>
      <w:r>
        <w:rPr>
          <w:spacing w:val="-3"/>
          <w:sz w:val="21"/>
        </w:rPr>
        <w:t>不属于依法必须招标的暂估价项目</w:t>
      </w:r>
    </w:p>
    <w:p>
      <w:pPr>
        <w:pStyle w:val="BodyText"/>
        <w:tabs>
          <w:tab w:pos="6983" w:val="left" w:leader="none"/>
        </w:tabs>
        <w:spacing w:before="141"/>
        <w:ind w:left="1098"/>
      </w:pPr>
      <w:r>
        <w:rPr/>
        <w:t>对于</w:t>
      </w:r>
      <w:r>
        <w:rPr>
          <w:spacing w:val="-3"/>
        </w:rPr>
        <w:t>不</w:t>
      </w:r>
      <w:r>
        <w:rPr/>
        <w:t>属</w:t>
      </w:r>
      <w:r>
        <w:rPr>
          <w:spacing w:val="-3"/>
        </w:rPr>
        <w:t>于</w:t>
      </w:r>
      <w:r>
        <w:rPr/>
        <w:t>依</w:t>
      </w:r>
      <w:r>
        <w:rPr>
          <w:spacing w:val="-3"/>
        </w:rPr>
        <w:t>法</w:t>
      </w:r>
      <w:r>
        <w:rPr/>
        <w:t>必</w:t>
      </w:r>
      <w:r>
        <w:rPr>
          <w:spacing w:val="-3"/>
        </w:rPr>
        <w:t>须</w:t>
      </w:r>
      <w:r>
        <w:rPr/>
        <w:t>招</w:t>
      </w:r>
      <w:r>
        <w:rPr>
          <w:spacing w:val="-3"/>
        </w:rPr>
        <w:t>标</w:t>
      </w:r>
      <w:r>
        <w:rPr/>
        <w:t>的暂</w:t>
      </w:r>
      <w:r>
        <w:rPr>
          <w:spacing w:val="-3"/>
        </w:rPr>
        <w:t>估</w:t>
      </w:r>
      <w:r>
        <w:rPr/>
        <w:t>价</w:t>
      </w:r>
      <w:r>
        <w:rPr>
          <w:spacing w:val="-3"/>
        </w:rPr>
        <w:t>项</w:t>
      </w:r>
      <w:r>
        <w:rPr/>
        <w:t>目</w:t>
      </w:r>
      <w:r>
        <w:rPr>
          <w:spacing w:val="-3"/>
        </w:rPr>
        <w:t>的</w:t>
      </w:r>
      <w:r>
        <w:rPr/>
        <w:t>确</w:t>
      </w:r>
      <w:r>
        <w:rPr>
          <w:spacing w:val="-3"/>
        </w:rPr>
        <w:t>认</w:t>
      </w:r>
      <w:r>
        <w:rPr/>
        <w:t>和</w:t>
      </w:r>
      <w:r>
        <w:rPr>
          <w:spacing w:val="-3"/>
        </w:rPr>
        <w:t>批</w:t>
      </w:r>
      <w:r>
        <w:rPr/>
        <w:t>准采</w:t>
      </w:r>
      <w:r>
        <w:rPr>
          <w:spacing w:val="-3"/>
        </w:rPr>
        <w:t>取</w:t>
      </w:r>
      <w:r>
        <w:rPr/>
        <w:t>第</w:t>
      </w:r>
      <w:r>
        <w:rPr>
          <w:spacing w:val="13"/>
          <w:u w:val="single"/>
        </w:rPr>
        <w:t> </w:t>
      </w:r>
      <w:r>
        <w:rPr>
          <w:rFonts w:ascii="Times New Roman" w:eastAsia="Times New Roman"/>
          <w:u w:val="single"/>
        </w:rPr>
        <w:t>3</w:t>
        <w:tab/>
      </w:r>
      <w:r>
        <w:rPr/>
        <w:t>种</w:t>
      </w:r>
      <w:r>
        <w:rPr>
          <w:spacing w:val="-3"/>
        </w:rPr>
        <w:t>方</w:t>
      </w:r>
      <w:r>
        <w:rPr/>
        <w:t>式确</w:t>
      </w:r>
      <w:r>
        <w:rPr>
          <w:spacing w:val="-3"/>
        </w:rPr>
        <w:t>定。</w:t>
      </w:r>
    </w:p>
    <w:p>
      <w:pPr>
        <w:pStyle w:val="BodyText"/>
        <w:spacing w:before="139"/>
        <w:ind w:left="1098"/>
      </w:pPr>
      <w:r>
        <w:rPr/>
        <w:t>第 </w:t>
      </w:r>
      <w:r>
        <w:rPr>
          <w:rFonts w:ascii="Times New Roman" w:eastAsia="Times New Roman"/>
        </w:rPr>
        <w:t>3 </w:t>
      </w:r>
      <w:r>
        <w:rPr/>
        <w:t>种方式：承包人直接实施的暂估价项目</w:t>
      </w:r>
    </w:p>
    <w:p>
      <w:pPr>
        <w:pStyle w:val="BodyText"/>
        <w:spacing w:before="140"/>
        <w:ind w:left="1098"/>
      </w:pPr>
      <w:r>
        <w:rPr/>
        <w:t>承包人直接实施的暂估价项目的约定：</w:t>
      </w:r>
      <w:r>
        <w:rPr>
          <w:u w:val="single"/>
        </w:rPr>
        <w:t> 双方另行协商 </w:t>
      </w:r>
      <w:r>
        <w:rPr/>
        <w:t>。</w:t>
      </w:r>
    </w:p>
    <w:p>
      <w:pPr>
        <w:pStyle w:val="Heading8"/>
        <w:numPr>
          <w:ilvl w:val="1"/>
          <w:numId w:val="90"/>
        </w:numPr>
        <w:tabs>
          <w:tab w:pos="1151" w:val="left" w:leader="none"/>
        </w:tabs>
        <w:spacing w:line="240" w:lineRule="auto" w:before="70" w:after="0"/>
        <w:ind w:left="1150" w:right="0" w:hanging="473"/>
        <w:jc w:val="left"/>
      </w:pPr>
      <w:bookmarkStart w:name="10.8 暂列金额" w:id="395"/>
      <w:bookmarkEnd w:id="395"/>
      <w:r>
        <w:rPr>
          <w:b w:val="0"/>
        </w:rPr>
      </w:r>
      <w:bookmarkStart w:name="10.8 暂列金额" w:id="396"/>
      <w:bookmarkEnd w:id="396"/>
      <w:r>
        <w:rPr/>
        <w:t>暂列金额</w:t>
      </w:r>
    </w:p>
    <w:p>
      <w:pPr>
        <w:pStyle w:val="BodyText"/>
        <w:spacing w:before="91"/>
        <w:ind w:left="1098"/>
      </w:pPr>
      <w:r>
        <w:rPr/>
        <w:t>合同当事人关于暂列金额使用的约定：</w:t>
      </w:r>
      <w:r>
        <w:rPr>
          <w:u w:val="single"/>
        </w:rPr>
        <w:t>无</w:t>
      </w:r>
      <w:r>
        <w:rPr/>
        <w:t> 。</w:t>
      </w:r>
    </w:p>
    <w:p>
      <w:pPr>
        <w:pStyle w:val="BodyText"/>
        <w:spacing w:before="4"/>
        <w:ind w:left="0"/>
        <w:rPr>
          <w:sz w:val="9"/>
        </w:rPr>
      </w:pPr>
    </w:p>
    <w:p>
      <w:pPr>
        <w:pStyle w:val="Heading8"/>
        <w:numPr>
          <w:ilvl w:val="0"/>
          <w:numId w:val="70"/>
        </w:numPr>
        <w:tabs>
          <w:tab w:pos="1029" w:val="left" w:leader="none"/>
        </w:tabs>
        <w:spacing w:line="240" w:lineRule="auto" w:before="12" w:after="0"/>
        <w:ind w:left="1028" w:right="0" w:hanging="351"/>
        <w:jc w:val="left"/>
      </w:pPr>
      <w:bookmarkStart w:name="11. 价格调整" w:id="397"/>
      <w:bookmarkEnd w:id="397"/>
      <w:r>
        <w:rPr>
          <w:b w:val="0"/>
        </w:rPr>
      </w:r>
      <w:bookmarkStart w:name="11. 价格调整" w:id="398"/>
      <w:bookmarkEnd w:id="398"/>
      <w:r>
        <w:rPr/>
        <w:t>价格调整</w:t>
      </w:r>
    </w:p>
    <w:p>
      <w:pPr>
        <w:pStyle w:val="BodyText"/>
        <w:spacing w:before="212"/>
        <w:ind w:left="1098"/>
      </w:pPr>
      <w:r>
        <w:rPr/>
        <w:t>①政策性调整引起的调整；</w:t>
      </w:r>
    </w:p>
    <w:p>
      <w:pPr>
        <w:pStyle w:val="BodyText"/>
        <w:spacing w:before="139"/>
        <w:ind w:left="1098"/>
      </w:pPr>
      <w:r>
        <w:rPr/>
        <w:t>②工程变更、项目特征不符、工程量清单缺项、工程量偏差引起的调整；</w:t>
      </w:r>
    </w:p>
    <w:p>
      <w:pPr>
        <w:pStyle w:val="Heading8"/>
        <w:numPr>
          <w:ilvl w:val="1"/>
          <w:numId w:val="70"/>
        </w:numPr>
        <w:tabs>
          <w:tab w:pos="1139" w:val="left" w:leader="none"/>
        </w:tabs>
        <w:spacing w:line="240" w:lineRule="auto" w:before="69" w:after="0"/>
        <w:ind w:left="1138" w:right="0" w:hanging="461"/>
        <w:jc w:val="left"/>
      </w:pPr>
      <w:bookmarkStart w:name="11.1 市场价格波动引起的调整" w:id="399"/>
      <w:bookmarkEnd w:id="399"/>
      <w:r>
        <w:rPr>
          <w:b w:val="0"/>
        </w:rPr>
      </w:r>
      <w:bookmarkStart w:name="11.1 市场价格波动引起的调整" w:id="400"/>
      <w:bookmarkEnd w:id="400"/>
      <w:r>
        <w:rPr>
          <w:spacing w:val="-1"/>
        </w:rPr>
        <w:t>市场价格波动引起的调整</w:t>
      </w:r>
    </w:p>
    <w:p>
      <w:pPr>
        <w:pStyle w:val="BodyText"/>
        <w:spacing w:before="91"/>
        <w:ind w:left="1098"/>
      </w:pPr>
      <w:r>
        <w:rPr/>
        <w:t>市场价格波动是否调整合同价格的约定：</w:t>
      </w:r>
      <w:r>
        <w:rPr>
          <w:u w:val="single"/>
        </w:rPr>
        <w:t> 不调整 </w:t>
      </w:r>
      <w:r>
        <w:rPr/>
        <w:t>。</w:t>
      </w:r>
    </w:p>
    <w:p>
      <w:pPr>
        <w:pStyle w:val="BodyText"/>
        <w:spacing w:before="5"/>
        <w:ind w:left="0"/>
        <w:rPr>
          <w:sz w:val="9"/>
        </w:rPr>
      </w:pPr>
    </w:p>
    <w:p>
      <w:pPr>
        <w:pStyle w:val="Heading8"/>
        <w:numPr>
          <w:ilvl w:val="0"/>
          <w:numId w:val="70"/>
        </w:numPr>
        <w:tabs>
          <w:tab w:pos="1074" w:val="left" w:leader="none"/>
        </w:tabs>
        <w:spacing w:line="240" w:lineRule="auto" w:before="12" w:after="0"/>
        <w:ind w:left="1074" w:right="0" w:hanging="396"/>
        <w:jc w:val="left"/>
      </w:pPr>
      <w:bookmarkStart w:name="12. 合同价格、计量与支付" w:id="401"/>
      <w:bookmarkEnd w:id="401"/>
      <w:r>
        <w:rPr>
          <w:b w:val="0"/>
        </w:rPr>
      </w:r>
      <w:bookmarkStart w:name="12. 合同价格、计量与支付" w:id="402"/>
      <w:bookmarkEnd w:id="402"/>
      <w:r>
        <w:rPr>
          <w:spacing w:val="-1"/>
        </w:rPr>
        <w:t>合同价格、计量与支付</w:t>
      </w:r>
    </w:p>
    <w:p>
      <w:pPr>
        <w:pStyle w:val="ListParagraph"/>
        <w:numPr>
          <w:ilvl w:val="1"/>
          <w:numId w:val="70"/>
        </w:numPr>
        <w:tabs>
          <w:tab w:pos="1151" w:val="left" w:leader="none"/>
        </w:tabs>
        <w:spacing w:line="240" w:lineRule="auto" w:before="142" w:after="0"/>
        <w:ind w:left="1150" w:right="0" w:hanging="473"/>
        <w:jc w:val="left"/>
        <w:rPr>
          <w:rFonts w:ascii="Microsoft JhengHei" w:eastAsia="Microsoft JhengHei" w:hint="eastAsia"/>
          <w:b/>
          <w:sz w:val="21"/>
        </w:rPr>
      </w:pPr>
      <w:bookmarkStart w:name="12.1 合同价格形式" w:id="403"/>
      <w:bookmarkEnd w:id="403"/>
      <w:r>
        <w:rPr/>
      </w:r>
      <w:bookmarkStart w:name="12.1 合同价格形式" w:id="404"/>
      <w:bookmarkEnd w:id="404"/>
      <w:r>
        <w:rPr>
          <w:rFonts w:ascii="Microsoft JhengHei" w:eastAsia="Microsoft JhengHei" w:hint="eastAsia"/>
          <w:b/>
          <w:sz w:val="21"/>
        </w:rPr>
        <w:t>合同价格形式</w:t>
      </w:r>
    </w:p>
    <w:p>
      <w:pPr>
        <w:pStyle w:val="BodyText"/>
        <w:tabs>
          <w:tab w:pos="3071" w:val="left" w:leader="none"/>
        </w:tabs>
        <w:spacing w:line="364" w:lineRule="auto" w:before="91"/>
        <w:ind w:right="1208" w:firstLine="419"/>
      </w:pPr>
      <w:r>
        <w:rPr/>
        <w:t>本工</w:t>
      </w:r>
      <w:r>
        <w:rPr>
          <w:spacing w:val="-3"/>
        </w:rPr>
        <w:t>程</w:t>
      </w:r>
      <w:r>
        <w:rPr/>
        <w:t>采</w:t>
      </w:r>
      <w:r>
        <w:rPr>
          <w:spacing w:val="-3"/>
        </w:rPr>
        <w:t>用</w:t>
      </w:r>
      <w:r>
        <w:rPr>
          <w:spacing w:val="21"/>
          <w:u w:val="single"/>
        </w:rPr>
        <w:t> </w:t>
      </w:r>
      <w:r>
        <w:rPr>
          <w:spacing w:val="-3"/>
          <w:u w:val="single"/>
        </w:rPr>
        <w:t>单</w:t>
      </w:r>
      <w:r>
        <w:rPr>
          <w:u w:val="single"/>
        </w:rPr>
        <w:t>价</w:t>
      </w:r>
      <w:r>
        <w:rPr>
          <w:spacing w:val="22"/>
          <w:u w:val="single"/>
        </w:rPr>
        <w:t> </w:t>
      </w:r>
      <w:r>
        <w:rPr>
          <w:spacing w:val="-3"/>
        </w:rPr>
        <w:t>合</w:t>
      </w:r>
      <w:r>
        <w:rPr/>
        <w:t>同</w:t>
      </w:r>
      <w:r>
        <w:rPr>
          <w:spacing w:val="-3"/>
        </w:rPr>
        <w:t>价</w:t>
      </w:r>
      <w:r>
        <w:rPr/>
        <w:t>格形</w:t>
      </w:r>
      <w:r>
        <w:rPr>
          <w:spacing w:val="-3"/>
        </w:rPr>
        <w:t>式</w:t>
      </w:r>
      <w:r>
        <w:rPr/>
        <w:t>，</w:t>
      </w:r>
      <w:r>
        <w:rPr>
          <w:spacing w:val="-3"/>
        </w:rPr>
        <w:t>合</w:t>
      </w:r>
      <w:r>
        <w:rPr/>
        <w:t>同</w:t>
      </w:r>
      <w:r>
        <w:rPr>
          <w:spacing w:val="-3"/>
        </w:rPr>
        <w:t>价</w:t>
      </w:r>
      <w:r>
        <w:rPr/>
        <w:t>格</w:t>
      </w:r>
      <w:r>
        <w:rPr>
          <w:spacing w:val="-3"/>
        </w:rPr>
        <w:t>包</w:t>
      </w:r>
      <w:r>
        <w:rPr/>
        <w:t>含</w:t>
      </w:r>
      <w:r>
        <w:rPr>
          <w:spacing w:val="-3"/>
        </w:rPr>
        <w:t>增</w:t>
      </w:r>
      <w:r>
        <w:rPr/>
        <w:t>值税</w:t>
      </w:r>
      <w:r>
        <w:rPr>
          <w:spacing w:val="-3"/>
        </w:rPr>
        <w:t>，</w:t>
      </w:r>
      <w:r>
        <w:rPr/>
        <w:t>本</w:t>
      </w:r>
      <w:r>
        <w:rPr>
          <w:spacing w:val="-3"/>
        </w:rPr>
        <w:t>工</w:t>
      </w:r>
      <w:r>
        <w:rPr/>
        <w:t>程</w:t>
      </w:r>
      <w:r>
        <w:rPr>
          <w:spacing w:val="-3"/>
        </w:rPr>
        <w:t>计</w:t>
      </w:r>
      <w:r>
        <w:rPr/>
        <w:t>价</w:t>
      </w:r>
      <w:r>
        <w:rPr>
          <w:spacing w:val="-3"/>
        </w:rPr>
        <w:t>时</w:t>
      </w:r>
      <w:r>
        <w:rPr/>
        <w:t>采</w:t>
      </w:r>
      <w:r>
        <w:rPr>
          <w:spacing w:val="-3"/>
        </w:rPr>
        <w:t>用</w:t>
      </w:r>
      <w:r>
        <w:rPr/>
        <w:t>的增</w:t>
      </w:r>
      <w:r>
        <w:rPr>
          <w:spacing w:val="-3"/>
        </w:rPr>
        <w:t>值</w:t>
      </w:r>
      <w:r>
        <w:rPr/>
        <w:t>税</w:t>
      </w:r>
      <w:r>
        <w:rPr>
          <w:spacing w:val="-3"/>
        </w:rPr>
        <w:t>计</w:t>
      </w:r>
      <w:r>
        <w:rPr/>
        <w:t>税方法</w:t>
      </w:r>
      <w:r>
        <w:rPr>
          <w:spacing w:val="-3"/>
        </w:rPr>
        <w:t>为</w:t>
      </w:r>
      <w:r>
        <w:rPr/>
        <w:t>：</w:t>
      </w:r>
      <w:r>
        <w:rPr>
          <w:rFonts w:ascii="Wingdings 2" w:hAnsi="Wingdings 2" w:eastAsia="Wingdings 2"/>
        </w:rPr>
        <w:t></w:t>
      </w:r>
      <w:r>
        <w:rPr>
          <w:spacing w:val="-3"/>
        </w:rPr>
        <w:t>一</w:t>
      </w:r>
      <w:r>
        <w:rPr/>
        <w:t>般</w:t>
      </w:r>
      <w:r>
        <w:rPr>
          <w:spacing w:val="-3"/>
        </w:rPr>
        <w:t>计</w:t>
      </w:r>
      <w:r>
        <w:rPr/>
        <w:t>税法</w:t>
        <w:tab/>
        <w:t>□简</w:t>
      </w:r>
      <w:r>
        <w:rPr>
          <w:spacing w:val="-3"/>
        </w:rPr>
        <w:t>易</w:t>
      </w:r>
      <w:r>
        <w:rPr/>
        <w:t>计</w:t>
      </w:r>
      <w:r>
        <w:rPr>
          <w:spacing w:val="-3"/>
        </w:rPr>
        <w:t>税</w:t>
      </w:r>
      <w:r>
        <w:rPr/>
        <w:t>法。</w:t>
      </w:r>
    </w:p>
    <w:p>
      <w:pPr>
        <w:pStyle w:val="BodyText"/>
        <w:spacing w:before="1"/>
        <w:ind w:left="1098"/>
      </w:pPr>
      <w:r>
        <w:rPr/>
        <w:t>（</w:t>
      </w:r>
      <w:r>
        <w:rPr>
          <w:rFonts w:ascii="Times New Roman" w:eastAsia="Times New Roman"/>
        </w:rPr>
        <w:t>1</w:t>
      </w:r>
      <w:r>
        <w:rPr/>
        <w:t>）单价合同。</w:t>
      </w:r>
    </w:p>
    <w:p>
      <w:pPr>
        <w:pStyle w:val="BodyText"/>
        <w:spacing w:line="364" w:lineRule="auto" w:before="139"/>
        <w:ind w:right="1209" w:firstLine="419"/>
      </w:pPr>
      <w:r>
        <w:rPr/>
        <w:t>采用综合单价合同方式时，工程量按建设单位、监理单位、施工单位三方确认的竣工图结算。</w:t>
      </w:r>
    </w:p>
    <w:p>
      <w:pPr>
        <w:pStyle w:val="BodyText"/>
        <w:spacing w:line="364" w:lineRule="auto"/>
        <w:ind w:right="1208" w:firstLine="419"/>
      </w:pPr>
      <w:r>
        <w:rPr>
          <w:spacing w:val="-3"/>
        </w:rPr>
        <w:t>综合单价包含的风险范围：</w:t>
      </w:r>
      <w:r>
        <w:rPr>
          <w:spacing w:val="-3"/>
          <w:u w:val="single"/>
        </w:rPr>
        <w:t>除工程变更、项目特征不符、工程量清单缺项、工程量偏差、</w:t>
      </w:r>
      <w:r>
        <w:rPr>
          <w:spacing w:val="-204"/>
          <w:u w:val="single"/>
        </w:rPr>
        <w:t>政策</w:t>
      </w:r>
      <w:r>
        <w:rPr>
          <w:spacing w:val="-3"/>
          <w:u w:val="single"/>
        </w:rPr>
        <w:t>性调整以外的其他风险因素。</w:t>
      </w:r>
    </w:p>
    <w:p>
      <w:pPr>
        <w:pStyle w:val="BodyText"/>
        <w:ind w:left="1098"/>
      </w:pPr>
      <w:r>
        <w:rPr/>
        <w:t>风险范围以外合同价格的调整方法：</w:t>
      </w:r>
    </w:p>
    <w:p>
      <w:pPr>
        <w:pStyle w:val="BodyText"/>
        <w:spacing w:before="138"/>
        <w:ind w:left="1098"/>
      </w:pPr>
      <w:r>
        <w:rPr/>
        <w:t>①工程变更、项目特征不符、工程量清单缺项：按 </w:t>
      </w:r>
      <w:r>
        <w:rPr>
          <w:rFonts w:ascii="Times New Roman" w:hAnsi="Times New Roman" w:eastAsia="Times New Roman"/>
        </w:rPr>
        <w:t>10.4.1 </w:t>
      </w:r>
      <w:r>
        <w:rPr/>
        <w:t>变更估价原则的约定调整。</w:t>
      </w:r>
    </w:p>
    <w:p>
      <w:pPr>
        <w:pStyle w:val="BodyText"/>
        <w:spacing w:before="139"/>
        <w:ind w:left="1098"/>
      </w:pPr>
      <w:r>
        <w:rPr/>
        <w:t>②工程量偏差：按 </w:t>
      </w:r>
      <w:r>
        <w:rPr>
          <w:rFonts w:ascii="Calibri" w:hAnsi="Calibri" w:eastAsia="Calibri"/>
        </w:rPr>
        <w:t>1.13 </w:t>
      </w:r>
      <w:r>
        <w:rPr/>
        <w:t>工程量清单错误修正的约定调整。</w:t>
      </w:r>
    </w:p>
    <w:p>
      <w:pPr>
        <w:pStyle w:val="BodyText"/>
        <w:spacing w:line="367" w:lineRule="auto" w:before="139"/>
        <w:ind w:right="1209" w:firstLine="419"/>
      </w:pPr>
      <w:r>
        <w:rPr/>
        <w:t>③政策性调整：按自治区住房城乡建设厅或工程所在地住房城乡建设主管部门颁布的文件执行。</w:t>
      </w:r>
    </w:p>
    <w:p>
      <w:pPr>
        <w:pStyle w:val="BodyText"/>
        <w:spacing w:line="264" w:lineRule="exact"/>
        <w:ind w:left="1098"/>
      </w:pPr>
      <w:r>
        <w:rPr/>
        <w:t>④材料价格风险：按 </w:t>
      </w:r>
      <w:r>
        <w:rPr>
          <w:rFonts w:ascii="Times New Roman" w:hAnsi="Times New Roman" w:eastAsia="Times New Roman"/>
        </w:rPr>
        <w:t>11.1 </w:t>
      </w:r>
      <w:r>
        <w:rPr/>
        <w:t>的约定调整。</w:t>
      </w:r>
    </w:p>
    <w:p>
      <w:pPr>
        <w:pStyle w:val="BodyText"/>
        <w:tabs>
          <w:tab w:pos="3618" w:val="left" w:leader="none"/>
          <w:tab w:pos="5462" w:val="left" w:leader="none"/>
        </w:tabs>
        <w:spacing w:before="139"/>
        <w:ind w:left="1098"/>
      </w:pPr>
      <w:r>
        <w:rPr/>
        <w:t>⑤其</w:t>
      </w:r>
      <w:r>
        <w:rPr>
          <w:spacing w:val="-3"/>
        </w:rPr>
        <w:t>它</w:t>
      </w:r>
      <w:r>
        <w:rPr/>
        <w:t>：</w:t>
      </w:r>
      <w:r>
        <w:rPr>
          <w:u w:val="single"/>
        </w:rPr>
        <w:t> </w:t>
        <w:tab/>
      </w:r>
      <w:r>
        <w:rPr>
          <w:rFonts w:ascii="Times New Roman" w:hAnsi="Times New Roman" w:eastAsia="Times New Roman"/>
          <w:u w:val="single"/>
        </w:rPr>
        <w:t>/</w:t>
        <w:tab/>
      </w:r>
      <w:r>
        <w:rPr/>
        <w:t>。</w:t>
      </w:r>
    </w:p>
    <w:p>
      <w:pPr>
        <w:spacing w:after="0"/>
        <w:sectPr>
          <w:pgSz w:w="11910" w:h="16850"/>
          <w:pgMar w:header="0" w:footer="779" w:top="1380" w:bottom="1040" w:left="1120" w:right="280"/>
        </w:sectPr>
      </w:pPr>
    </w:p>
    <w:p>
      <w:pPr>
        <w:pStyle w:val="Heading8"/>
        <w:numPr>
          <w:ilvl w:val="1"/>
          <w:numId w:val="70"/>
        </w:numPr>
        <w:tabs>
          <w:tab w:pos="1151" w:val="left" w:leader="none"/>
        </w:tabs>
        <w:spacing w:line="377" w:lineRule="exact" w:before="0" w:after="0"/>
        <w:ind w:left="1150" w:right="0" w:hanging="473"/>
        <w:jc w:val="left"/>
      </w:pPr>
      <w:bookmarkStart w:name="12.2 预付款" w:id="405"/>
      <w:bookmarkEnd w:id="405"/>
      <w:r>
        <w:rPr>
          <w:b w:val="0"/>
        </w:rPr>
      </w:r>
      <w:bookmarkStart w:name="12.2 预付款" w:id="406"/>
      <w:bookmarkEnd w:id="406"/>
      <w:r>
        <w:rPr/>
        <w:t>预付款</w:t>
      </w:r>
    </w:p>
    <w:p>
      <w:pPr>
        <w:pStyle w:val="ListParagraph"/>
        <w:numPr>
          <w:ilvl w:val="2"/>
          <w:numId w:val="70"/>
        </w:numPr>
        <w:tabs>
          <w:tab w:pos="1730" w:val="left" w:leader="none"/>
        </w:tabs>
        <w:spacing w:line="240" w:lineRule="auto" w:before="91" w:after="0"/>
        <w:ind w:left="1729" w:right="0" w:hanging="632"/>
        <w:jc w:val="left"/>
        <w:rPr>
          <w:sz w:val="21"/>
        </w:rPr>
      </w:pPr>
      <w:r>
        <w:rPr>
          <w:spacing w:val="-3"/>
          <w:sz w:val="21"/>
        </w:rPr>
        <w:t>预付款的支付</w:t>
      </w:r>
    </w:p>
    <w:p>
      <w:pPr>
        <w:pStyle w:val="BodyText"/>
        <w:spacing w:before="139"/>
        <w:ind w:left="1098"/>
      </w:pPr>
      <w:r>
        <w:rPr/>
        <w:t>预付款支付比例或金额：暂定为合同价款的 </w:t>
      </w:r>
      <w:r>
        <w:rPr>
          <w:rFonts w:ascii="Times New Roman" w:eastAsia="Times New Roman"/>
        </w:rPr>
        <w:t>30%</w:t>
      </w:r>
      <w:r>
        <w:rPr/>
        <w:t>，最终以实际签订的合同为准。</w:t>
      </w:r>
    </w:p>
    <w:p>
      <w:pPr>
        <w:pStyle w:val="BodyText"/>
        <w:spacing w:line="364" w:lineRule="auto" w:before="142"/>
        <w:ind w:right="1043" w:firstLine="419"/>
      </w:pPr>
      <w:r>
        <w:rPr>
          <w:spacing w:val="-10"/>
        </w:rPr>
        <w:t>预付款扣回的方式：预付款在进度付款的累计金额未达到签约合同价的 </w:t>
      </w:r>
      <w:r>
        <w:rPr>
          <w:rFonts w:ascii="Times New Roman" w:eastAsia="Times New Roman"/>
        </w:rPr>
        <w:t>30%</w:t>
      </w:r>
      <w:r>
        <w:rPr>
          <w:spacing w:val="-2"/>
        </w:rPr>
        <w:t>之前不予扣回， </w:t>
      </w:r>
      <w:r>
        <w:rPr>
          <w:spacing w:val="-10"/>
        </w:rPr>
        <w:t>在完成工程量 </w:t>
      </w:r>
      <w:r>
        <w:rPr>
          <w:rFonts w:ascii="Times New Roman" w:eastAsia="Times New Roman"/>
        </w:rPr>
        <w:t>30%</w:t>
      </w:r>
      <w:r>
        <w:rPr>
          <w:spacing w:val="-3"/>
        </w:rPr>
        <w:t>以上方可申请工程进度款，按工程进度一次性从进度款中扣回。</w:t>
      </w:r>
    </w:p>
    <w:p>
      <w:pPr>
        <w:pStyle w:val="ListParagraph"/>
        <w:numPr>
          <w:ilvl w:val="2"/>
          <w:numId w:val="70"/>
        </w:numPr>
        <w:tabs>
          <w:tab w:pos="1730" w:val="left" w:leader="none"/>
        </w:tabs>
        <w:spacing w:line="267" w:lineRule="exact" w:before="0" w:after="0"/>
        <w:ind w:left="1729" w:right="0" w:hanging="632"/>
        <w:jc w:val="left"/>
        <w:rPr>
          <w:sz w:val="21"/>
        </w:rPr>
      </w:pPr>
      <w:r>
        <w:rPr>
          <w:spacing w:val="-3"/>
          <w:sz w:val="21"/>
        </w:rPr>
        <w:t>预付款担保</w:t>
      </w:r>
    </w:p>
    <w:p>
      <w:pPr>
        <w:pStyle w:val="BodyText"/>
        <w:tabs>
          <w:tab w:pos="6770" w:val="left" w:leader="none"/>
        </w:tabs>
        <w:spacing w:line="367" w:lineRule="auto" w:before="138"/>
        <w:ind w:left="1098" w:right="3523"/>
      </w:pPr>
      <w:r>
        <w:rPr/>
        <w:t>承包</w:t>
      </w:r>
      <w:r>
        <w:rPr>
          <w:spacing w:val="-3"/>
        </w:rPr>
        <w:t>人</w:t>
      </w:r>
      <w:r>
        <w:rPr/>
        <w:t>提</w:t>
      </w:r>
      <w:r>
        <w:rPr>
          <w:spacing w:val="-3"/>
        </w:rPr>
        <w:t>交</w:t>
      </w:r>
      <w:r>
        <w:rPr/>
        <w:t>预</w:t>
      </w:r>
      <w:r>
        <w:rPr>
          <w:spacing w:val="-3"/>
        </w:rPr>
        <w:t>付</w:t>
      </w:r>
      <w:r>
        <w:rPr/>
        <w:t>款</w:t>
      </w:r>
      <w:r>
        <w:rPr>
          <w:spacing w:val="-3"/>
        </w:rPr>
        <w:t>担</w:t>
      </w:r>
      <w:r>
        <w:rPr/>
        <w:t>保</w:t>
      </w:r>
      <w:r>
        <w:rPr>
          <w:spacing w:val="-3"/>
        </w:rPr>
        <w:t>的</w:t>
      </w:r>
      <w:r>
        <w:rPr/>
        <w:t>期限</w:t>
      </w:r>
      <w:r>
        <w:rPr>
          <w:spacing w:val="-3"/>
        </w:rPr>
        <w:t>：</w:t>
      </w:r>
      <w:r>
        <w:rPr>
          <w:spacing w:val="-3"/>
          <w:u w:val="single"/>
        </w:rPr>
        <w:t> </w:t>
        <w:tab/>
      </w:r>
      <w:r>
        <w:rPr>
          <w:spacing w:val="-18"/>
        </w:rPr>
        <w:t>。</w:t>
      </w:r>
      <w:r>
        <w:rPr/>
        <w:t>预付</w:t>
      </w:r>
      <w:r>
        <w:rPr>
          <w:spacing w:val="-3"/>
        </w:rPr>
        <w:t>款</w:t>
      </w:r>
      <w:r>
        <w:rPr/>
        <w:t>担</w:t>
      </w:r>
      <w:r>
        <w:rPr>
          <w:spacing w:val="-3"/>
        </w:rPr>
        <w:t>保</w:t>
      </w:r>
      <w:r>
        <w:rPr/>
        <w:t>的</w:t>
      </w:r>
      <w:r>
        <w:rPr>
          <w:spacing w:val="-3"/>
        </w:rPr>
        <w:t>形</w:t>
      </w:r>
      <w:r>
        <w:rPr/>
        <w:t>式</w:t>
      </w:r>
      <w:r>
        <w:rPr>
          <w:spacing w:val="-3"/>
        </w:rPr>
        <w:t>为</w:t>
      </w:r>
      <w:r>
        <w:rPr/>
        <w:t>：</w:t>
      </w:r>
      <w:r>
        <w:rPr>
          <w:u w:val="single"/>
        </w:rPr>
        <w:t> </w:t>
        <w:tab/>
      </w:r>
      <w:r>
        <w:rPr>
          <w:spacing w:val="-18"/>
        </w:rPr>
        <w:t>。</w:t>
      </w:r>
    </w:p>
    <w:p>
      <w:pPr>
        <w:pStyle w:val="BodyText"/>
        <w:spacing w:line="264" w:lineRule="exact"/>
        <w:ind w:left="1098"/>
      </w:pPr>
      <w:r>
        <w:rPr/>
        <w:t>预付款担保格式见合同附件 8。预付款支付申请（核准）表见合同附件 10。</w:t>
      </w:r>
    </w:p>
    <w:p>
      <w:pPr>
        <w:pStyle w:val="Heading8"/>
        <w:numPr>
          <w:ilvl w:val="1"/>
          <w:numId w:val="70"/>
        </w:numPr>
        <w:tabs>
          <w:tab w:pos="1151" w:val="left" w:leader="none"/>
        </w:tabs>
        <w:spacing w:line="240" w:lineRule="auto" w:before="71" w:after="0"/>
        <w:ind w:left="1150" w:right="0" w:hanging="473"/>
        <w:jc w:val="left"/>
      </w:pPr>
      <w:bookmarkStart w:name="12.3 计量" w:id="407"/>
      <w:bookmarkEnd w:id="407"/>
      <w:r>
        <w:rPr>
          <w:b w:val="0"/>
        </w:rPr>
      </w:r>
      <w:bookmarkStart w:name="12.3 计量" w:id="408"/>
      <w:bookmarkEnd w:id="408"/>
      <w:r>
        <w:rPr/>
        <w:t>计量</w:t>
      </w:r>
    </w:p>
    <w:p>
      <w:pPr>
        <w:pStyle w:val="ListParagraph"/>
        <w:numPr>
          <w:ilvl w:val="2"/>
          <w:numId w:val="70"/>
        </w:numPr>
        <w:tabs>
          <w:tab w:pos="1730" w:val="left" w:leader="none"/>
        </w:tabs>
        <w:spacing w:line="240" w:lineRule="auto" w:before="91" w:after="0"/>
        <w:ind w:left="1729" w:right="0" w:hanging="632"/>
        <w:jc w:val="left"/>
        <w:rPr>
          <w:sz w:val="21"/>
        </w:rPr>
      </w:pPr>
      <w:r>
        <w:rPr>
          <w:spacing w:val="-2"/>
          <w:sz w:val="21"/>
        </w:rPr>
        <w:t>计量原则</w:t>
      </w:r>
    </w:p>
    <w:p>
      <w:pPr>
        <w:pStyle w:val="BodyText"/>
        <w:spacing w:line="364" w:lineRule="auto" w:before="139"/>
        <w:ind w:right="1158" w:firstLine="419"/>
        <w:jc w:val="both"/>
      </w:pPr>
      <w:r>
        <w:rPr>
          <w:spacing w:val="-4"/>
        </w:rPr>
        <w:t>工程量计算规则：</w:t>
      </w:r>
      <w:r>
        <w:rPr>
          <w:spacing w:val="-9"/>
          <w:u w:val="single"/>
        </w:rPr>
        <w:t>工程的计量均以《建设工程工程量清单计价规范》</w:t>
      </w:r>
      <w:r>
        <w:rPr>
          <w:spacing w:val="-1"/>
          <w:u w:val="single"/>
        </w:rPr>
        <w:t>（</w:t>
      </w:r>
      <w:r>
        <w:rPr>
          <w:rFonts w:ascii="Times New Roman" w:eastAsia="Times New Roman"/>
          <w:spacing w:val="-1"/>
          <w:u w:val="single"/>
        </w:rPr>
        <w:t>GB50500</w:t>
      </w:r>
      <w:r>
        <w:rPr>
          <w:spacing w:val="-1"/>
          <w:u w:val="single"/>
        </w:rPr>
        <w:t>－</w:t>
      </w:r>
      <w:r>
        <w:rPr>
          <w:rFonts w:ascii="Times New Roman" w:eastAsia="Times New Roman"/>
          <w:spacing w:val="-1"/>
          <w:u w:val="single"/>
        </w:rPr>
        <w:t>2013</w:t>
      </w:r>
      <w:r>
        <w:rPr>
          <w:spacing w:val="-1"/>
          <w:u w:val="single"/>
        </w:rPr>
        <w:t>）</w:t>
      </w:r>
      <w:r>
        <w:rPr>
          <w:spacing w:val="-137"/>
          <w:u w:val="single"/>
        </w:rPr>
        <w:t>和及其</w:t>
      </w:r>
      <w:r>
        <w:rPr>
          <w:spacing w:val="-16"/>
          <w:u w:val="single"/>
        </w:rPr>
        <w:t>广西壮族自治区实施细则、《建设工程工程量清单计算规范》</w:t>
      </w:r>
      <w:r>
        <w:rPr>
          <w:u w:val="single"/>
        </w:rPr>
        <w:t>（</w:t>
      </w:r>
      <w:r>
        <w:rPr>
          <w:rFonts w:ascii="Times New Roman" w:eastAsia="Times New Roman"/>
          <w:u w:val="single"/>
        </w:rPr>
        <w:t>GB50854~50862</w:t>
      </w:r>
      <w:r>
        <w:rPr>
          <w:u w:val="single"/>
        </w:rPr>
        <w:t>－</w:t>
      </w:r>
      <w:r>
        <w:rPr>
          <w:rFonts w:ascii="Times New Roman" w:eastAsia="Times New Roman"/>
          <w:u w:val="single"/>
        </w:rPr>
        <w:t>2013</w:t>
      </w:r>
      <w:r>
        <w:rPr>
          <w:u w:val="single"/>
        </w:rPr>
        <w:t>）及其广</w:t>
      </w:r>
      <w:r>
        <w:rPr>
          <w:spacing w:val="-3"/>
          <w:u w:val="single"/>
        </w:rPr>
        <w:t>西实施细则、本工程补充项目清单为准。</w:t>
      </w:r>
    </w:p>
    <w:p>
      <w:pPr>
        <w:pStyle w:val="ListParagraph"/>
        <w:numPr>
          <w:ilvl w:val="2"/>
          <w:numId w:val="70"/>
        </w:numPr>
        <w:tabs>
          <w:tab w:pos="1730" w:val="left" w:leader="none"/>
        </w:tabs>
        <w:spacing w:line="269" w:lineRule="exact" w:before="0" w:after="0"/>
        <w:ind w:left="1729" w:right="0" w:hanging="632"/>
        <w:jc w:val="left"/>
        <w:rPr>
          <w:sz w:val="21"/>
        </w:rPr>
      </w:pPr>
      <w:r>
        <w:rPr>
          <w:spacing w:val="-2"/>
          <w:sz w:val="21"/>
        </w:rPr>
        <w:t>计量周期</w:t>
      </w:r>
    </w:p>
    <w:p>
      <w:pPr>
        <w:pStyle w:val="BodyText"/>
        <w:spacing w:before="139"/>
        <w:ind w:left="1098"/>
      </w:pPr>
      <w:r>
        <w:rPr/>
        <w:t>关于计量周期的约定：</w:t>
      </w:r>
      <w:r>
        <w:rPr>
          <w:u w:val="single"/>
        </w:rPr>
        <w:t>每月 </w:t>
      </w:r>
      <w:r>
        <w:rPr>
          <w:rFonts w:ascii="Times New Roman" w:eastAsia="Times New Roman"/>
          <w:u w:val="single"/>
        </w:rPr>
        <w:t>25 </w:t>
      </w:r>
      <w:r>
        <w:rPr>
          <w:u w:val="single"/>
        </w:rPr>
        <w:t>日前</w:t>
      </w:r>
      <w:r>
        <w:rPr/>
        <w:t>。</w:t>
      </w:r>
    </w:p>
    <w:p>
      <w:pPr>
        <w:pStyle w:val="ListParagraph"/>
        <w:numPr>
          <w:ilvl w:val="2"/>
          <w:numId w:val="70"/>
        </w:numPr>
        <w:tabs>
          <w:tab w:pos="1730" w:val="left" w:leader="none"/>
        </w:tabs>
        <w:spacing w:line="240" w:lineRule="auto" w:before="139" w:after="0"/>
        <w:ind w:left="1729" w:right="0" w:hanging="632"/>
        <w:jc w:val="both"/>
        <w:rPr>
          <w:sz w:val="21"/>
        </w:rPr>
      </w:pPr>
      <w:bookmarkStart w:name="12.3.3 单价合同的计量" w:id="409"/>
      <w:bookmarkEnd w:id="409"/>
      <w:r>
        <w:rPr/>
      </w:r>
      <w:bookmarkStart w:name="12.3.3 单价合同的计量" w:id="410"/>
      <w:bookmarkEnd w:id="410"/>
      <w:r>
        <w:rPr>
          <w:spacing w:val="-3"/>
          <w:sz w:val="21"/>
        </w:rPr>
        <w:t>单价合同的计量</w:t>
      </w:r>
    </w:p>
    <w:p>
      <w:pPr>
        <w:pStyle w:val="BodyText"/>
        <w:spacing w:before="141"/>
        <w:ind w:left="1098"/>
      </w:pPr>
      <w:r>
        <w:rPr/>
        <w:t>关于单价合同计量的约定：</w:t>
      </w:r>
    </w:p>
    <w:p>
      <w:pPr>
        <w:pStyle w:val="ListParagraph"/>
        <w:numPr>
          <w:ilvl w:val="0"/>
          <w:numId w:val="91"/>
        </w:numPr>
        <w:tabs>
          <w:tab w:pos="1470" w:val="left" w:leader="none"/>
        </w:tabs>
        <w:spacing w:line="364" w:lineRule="auto" w:before="139" w:after="0"/>
        <w:ind w:left="678" w:right="1149" w:firstLine="441"/>
        <w:jc w:val="both"/>
        <w:rPr>
          <w:sz w:val="21"/>
        </w:rPr>
      </w:pPr>
      <w:r>
        <w:rPr>
          <w:spacing w:val="-9"/>
          <w:sz w:val="21"/>
        </w:rPr>
        <w:t>工程量清单所列的工程量，不能作为承包人按合同履行其责任依据，实际施工中发生的</w:t>
      </w:r>
      <w:r>
        <w:rPr>
          <w:spacing w:val="-5"/>
          <w:sz w:val="21"/>
        </w:rPr>
        <w:t>工程量增加或减少并不影响承包人履行合同的责任，工程结算以完成的实际工程量为准。</w:t>
      </w:r>
    </w:p>
    <w:p>
      <w:pPr>
        <w:pStyle w:val="ListParagraph"/>
        <w:numPr>
          <w:ilvl w:val="0"/>
          <w:numId w:val="91"/>
        </w:numPr>
        <w:tabs>
          <w:tab w:pos="1470" w:val="left" w:leader="none"/>
        </w:tabs>
        <w:spacing w:line="364" w:lineRule="auto" w:before="0" w:after="0"/>
        <w:ind w:left="678" w:right="1149" w:firstLine="441"/>
        <w:jc w:val="both"/>
        <w:rPr>
          <w:sz w:val="21"/>
        </w:rPr>
      </w:pPr>
      <w:r>
        <w:rPr>
          <w:spacing w:val="-11"/>
          <w:sz w:val="21"/>
        </w:rPr>
        <w:t>除另有规定外，工程师应按照合同通过计量来核实确定已完成的工程量和价款，承包人应得到该价款扣除保留金后的金额。当工程师要对已完工的工程量进行计量时，应适时地通知</w:t>
      </w:r>
      <w:r>
        <w:rPr>
          <w:spacing w:val="-6"/>
          <w:sz w:val="21"/>
        </w:rPr>
        <w:t>承包人参加。</w:t>
      </w:r>
    </w:p>
    <w:p>
      <w:pPr>
        <w:pStyle w:val="ListParagraph"/>
        <w:numPr>
          <w:ilvl w:val="2"/>
          <w:numId w:val="70"/>
        </w:numPr>
        <w:tabs>
          <w:tab w:pos="1730" w:val="left" w:leader="none"/>
        </w:tabs>
        <w:spacing w:line="269" w:lineRule="exact" w:before="0" w:after="0"/>
        <w:ind w:left="1729" w:right="0" w:hanging="632"/>
        <w:jc w:val="both"/>
        <w:rPr>
          <w:sz w:val="21"/>
        </w:rPr>
      </w:pPr>
      <w:r>
        <w:rPr>
          <w:spacing w:val="-3"/>
          <w:sz w:val="21"/>
        </w:rPr>
        <w:t>总价合同的计量</w:t>
      </w:r>
    </w:p>
    <w:p>
      <w:pPr>
        <w:pStyle w:val="ListParagraph"/>
        <w:numPr>
          <w:ilvl w:val="0"/>
          <w:numId w:val="92"/>
        </w:numPr>
        <w:tabs>
          <w:tab w:pos="1627" w:val="left" w:leader="none"/>
        </w:tabs>
        <w:spacing w:line="364" w:lineRule="auto" w:before="137" w:after="0"/>
        <w:ind w:left="678" w:right="1151" w:firstLine="419"/>
        <w:jc w:val="both"/>
        <w:rPr>
          <w:sz w:val="21"/>
        </w:rPr>
      </w:pPr>
      <w:r>
        <w:rPr>
          <w:spacing w:val="-6"/>
          <w:sz w:val="21"/>
        </w:rPr>
        <w:t>总价合同计量约定：进度款按支付分解表支付，支付分解表在招标完成后签合同之前</w:t>
      </w:r>
      <w:r>
        <w:rPr>
          <w:spacing w:val="-8"/>
          <w:sz w:val="21"/>
        </w:rPr>
        <w:t>制定，具体详见本专用合同条款 </w:t>
      </w:r>
      <w:r>
        <w:rPr>
          <w:rFonts w:ascii="Times New Roman" w:eastAsia="Times New Roman"/>
          <w:sz w:val="21"/>
        </w:rPr>
        <w:t>12.4.6</w:t>
      </w:r>
      <w:r>
        <w:rPr>
          <w:sz w:val="21"/>
        </w:rPr>
        <w:t>。</w:t>
      </w:r>
    </w:p>
    <w:p>
      <w:pPr>
        <w:pStyle w:val="BodyText"/>
        <w:spacing w:before="1"/>
        <w:ind w:left="1098"/>
        <w:jc w:val="both"/>
      </w:pPr>
      <w:r>
        <w:rPr>
          <w:rFonts w:ascii="Times New Roman" w:eastAsia="Times New Roman"/>
        </w:rPr>
        <w:t>12.3.6 </w:t>
      </w:r>
      <w:r>
        <w:rPr>
          <w:spacing w:val="-3"/>
        </w:rPr>
        <w:t>其他价格形式合同的计量</w:t>
      </w:r>
    </w:p>
    <w:p>
      <w:pPr>
        <w:pStyle w:val="BodyText"/>
        <w:tabs>
          <w:tab w:pos="5092" w:val="left" w:leader="none"/>
          <w:tab w:pos="6304" w:val="left" w:leader="none"/>
        </w:tabs>
        <w:spacing w:before="139"/>
        <w:ind w:left="1098"/>
      </w:pPr>
      <w:r>
        <w:rPr/>
        <w:t>其他</w:t>
      </w:r>
      <w:r>
        <w:rPr>
          <w:spacing w:val="-3"/>
        </w:rPr>
        <w:t>价</w:t>
      </w:r>
      <w:r>
        <w:rPr/>
        <w:t>格</w:t>
      </w:r>
      <w:r>
        <w:rPr>
          <w:spacing w:val="-3"/>
        </w:rPr>
        <w:t>形</w:t>
      </w:r>
      <w:r>
        <w:rPr/>
        <w:t>式</w:t>
      </w:r>
      <w:r>
        <w:rPr>
          <w:spacing w:val="-3"/>
        </w:rPr>
        <w:t>的</w:t>
      </w:r>
      <w:r>
        <w:rPr/>
        <w:t>计</w:t>
      </w:r>
      <w:r>
        <w:rPr>
          <w:spacing w:val="-3"/>
        </w:rPr>
        <w:t>量</w:t>
      </w:r>
      <w:r>
        <w:rPr/>
        <w:t>方</w:t>
      </w:r>
      <w:r>
        <w:rPr>
          <w:spacing w:val="-3"/>
        </w:rPr>
        <w:t>式</w:t>
      </w:r>
      <w:r>
        <w:rPr/>
        <w:t>和程</w:t>
      </w:r>
      <w:r>
        <w:rPr>
          <w:spacing w:val="-3"/>
        </w:rPr>
        <w:t>序</w:t>
      </w:r>
      <w:r>
        <w:rPr/>
        <w:t>：</w:t>
      </w:r>
      <w:r>
        <w:rPr>
          <w:u w:val="single"/>
        </w:rPr>
        <w:t> </w:t>
        <w:tab/>
      </w:r>
      <w:r>
        <w:rPr>
          <w:rFonts w:ascii="Times New Roman" w:eastAsia="Times New Roman"/>
          <w:u w:val="single"/>
        </w:rPr>
        <w:t>/</w:t>
        <w:tab/>
      </w:r>
      <w:r>
        <w:rPr/>
        <w:t>。</w:t>
      </w:r>
    </w:p>
    <w:p>
      <w:pPr>
        <w:pStyle w:val="Heading8"/>
        <w:numPr>
          <w:ilvl w:val="1"/>
          <w:numId w:val="70"/>
        </w:numPr>
        <w:tabs>
          <w:tab w:pos="1151" w:val="left" w:leader="none"/>
        </w:tabs>
        <w:spacing w:line="240" w:lineRule="auto" w:before="70" w:after="0"/>
        <w:ind w:left="1150" w:right="0" w:hanging="473"/>
        <w:jc w:val="left"/>
      </w:pPr>
      <w:bookmarkStart w:name="12.4 工程进度款支付" w:id="411"/>
      <w:bookmarkEnd w:id="411"/>
      <w:r>
        <w:rPr>
          <w:b w:val="0"/>
        </w:rPr>
      </w:r>
      <w:bookmarkStart w:name="12.4 工程进度款支付" w:id="412"/>
      <w:bookmarkEnd w:id="412"/>
      <w:r>
        <w:rPr/>
        <w:t>工程进度款支付</w:t>
      </w:r>
    </w:p>
    <w:p>
      <w:pPr>
        <w:pStyle w:val="ListParagraph"/>
        <w:numPr>
          <w:ilvl w:val="2"/>
          <w:numId w:val="70"/>
        </w:numPr>
        <w:tabs>
          <w:tab w:pos="1730" w:val="left" w:leader="none"/>
        </w:tabs>
        <w:spacing w:line="240" w:lineRule="auto" w:before="91" w:after="0"/>
        <w:ind w:left="1729" w:right="0" w:hanging="632"/>
        <w:jc w:val="left"/>
        <w:rPr>
          <w:sz w:val="21"/>
        </w:rPr>
      </w:pPr>
      <w:r>
        <w:rPr>
          <w:spacing w:val="-2"/>
          <w:sz w:val="21"/>
        </w:rPr>
        <w:t>付款周期</w:t>
      </w:r>
    </w:p>
    <w:p>
      <w:pPr>
        <w:pStyle w:val="BodyText"/>
        <w:spacing w:line="364" w:lineRule="auto" w:before="139"/>
        <w:ind w:right="1175" w:firstLine="419"/>
        <w:jc w:val="both"/>
      </w:pPr>
      <w:r>
        <w:rPr>
          <w:spacing w:val="-5"/>
        </w:rPr>
        <w:t>发包人支付预付款后，中标人在完成工程量 </w:t>
      </w:r>
      <w:r>
        <w:rPr>
          <w:rFonts w:ascii="Times New Roman" w:eastAsia="Times New Roman"/>
        </w:rPr>
        <w:t>30%</w:t>
      </w:r>
      <w:r>
        <w:rPr>
          <w:spacing w:val="-3"/>
        </w:rPr>
        <w:t>以上方可申请工程进度款，工程款按工程</w:t>
      </w:r>
      <w:r>
        <w:rPr>
          <w:spacing w:val="-4"/>
        </w:rPr>
        <w:t>进度支付，合同内进度款支付限额为已完成工程量的 </w:t>
      </w:r>
      <w:r>
        <w:rPr>
          <w:rFonts w:ascii="Times New Roman" w:eastAsia="Times New Roman"/>
        </w:rPr>
        <w:t>90%</w:t>
      </w:r>
      <w:r>
        <w:rPr>
          <w:spacing w:val="-3"/>
        </w:rPr>
        <w:t>，工程变更部分进度款支付限额为已</w:t>
      </w:r>
      <w:r>
        <w:rPr>
          <w:spacing w:val="-7"/>
        </w:rPr>
        <w:t>完成工程量的 </w:t>
      </w:r>
      <w:r>
        <w:rPr>
          <w:rFonts w:ascii="Times New Roman" w:eastAsia="Times New Roman"/>
        </w:rPr>
        <w:t>60%</w:t>
      </w:r>
      <w:r>
        <w:rPr>
          <w:spacing w:val="-3"/>
        </w:rPr>
        <w:t>；工程完工验收达到质量要求，结算经审计后并有完整的备案验收资料，工</w:t>
      </w:r>
      <w:r>
        <w:rPr>
          <w:spacing w:val="-3"/>
          <w:w w:val="100"/>
        </w:rPr>
        <w:t>程款支付至结算总价的</w:t>
      </w:r>
      <w:r>
        <w:rPr>
          <w:spacing w:val="-52"/>
        </w:rPr>
        <w:t> </w:t>
      </w:r>
      <w:r>
        <w:rPr>
          <w:rFonts w:ascii="Times New Roman" w:eastAsia="Times New Roman"/>
          <w:spacing w:val="-3"/>
          <w:w w:val="100"/>
        </w:rPr>
        <w:t>97</w:t>
      </w:r>
      <w:r>
        <w:rPr>
          <w:rFonts w:ascii="Times New Roman" w:eastAsia="Times New Roman"/>
          <w:spacing w:val="-1"/>
          <w:w w:val="100"/>
        </w:rPr>
        <w:t>%</w:t>
      </w:r>
      <w:r>
        <w:rPr>
          <w:w w:val="100"/>
        </w:rPr>
        <w:t>（</w:t>
      </w:r>
      <w:r>
        <w:rPr>
          <w:spacing w:val="-3"/>
          <w:w w:val="100"/>
        </w:rPr>
        <w:t>含已支付的</w:t>
      </w:r>
      <w:r>
        <w:rPr>
          <w:spacing w:val="-108"/>
          <w:w w:val="100"/>
        </w:rPr>
        <w:t>）</w:t>
      </w:r>
      <w:r>
        <w:rPr>
          <w:spacing w:val="-3"/>
          <w:w w:val="100"/>
        </w:rPr>
        <w:t>；发包人按工程价款结算总额的</w:t>
      </w:r>
      <w:r>
        <w:rPr>
          <w:spacing w:val="-53"/>
        </w:rPr>
        <w:t> </w:t>
      </w:r>
      <w:r>
        <w:rPr>
          <w:rFonts w:ascii="Times New Roman" w:eastAsia="Times New Roman"/>
          <w:w w:val="100"/>
        </w:rPr>
        <w:t>3</w:t>
      </w:r>
      <w:r>
        <w:rPr>
          <w:rFonts w:ascii="Times New Roman" w:eastAsia="Times New Roman"/>
          <w:spacing w:val="-3"/>
          <w:w w:val="100"/>
        </w:rPr>
        <w:t>%</w:t>
      </w:r>
      <w:r>
        <w:rPr>
          <w:spacing w:val="-2"/>
          <w:w w:val="100"/>
        </w:rPr>
        <w:t>预留工程质量保</w:t>
      </w:r>
    </w:p>
    <w:p>
      <w:pPr>
        <w:spacing w:after="0" w:line="364" w:lineRule="auto"/>
        <w:jc w:val="both"/>
        <w:sectPr>
          <w:pgSz w:w="11910" w:h="16850"/>
          <w:pgMar w:header="0" w:footer="779" w:top="1380" w:bottom="1040" w:left="1120" w:right="280"/>
        </w:sectPr>
      </w:pPr>
    </w:p>
    <w:p>
      <w:pPr>
        <w:pStyle w:val="BodyText"/>
        <w:spacing w:before="60"/>
      </w:pPr>
      <w:r>
        <w:rPr>
          <w:spacing w:val="-3"/>
        </w:rPr>
        <w:t>修金，待工程质量保修期满后返还，工程保修期满后退还给承包人</w:t>
      </w:r>
      <w:r>
        <w:rPr/>
        <w:t>（</w:t>
      </w:r>
      <w:r>
        <w:rPr>
          <w:spacing w:val="-2"/>
        </w:rPr>
        <w:t>无息</w:t>
      </w:r>
      <w:r>
        <w:rPr>
          <w:spacing w:val="-108"/>
        </w:rPr>
        <w:t>）</w:t>
      </w:r>
      <w:r>
        <w:rPr/>
        <w:t>。</w:t>
      </w:r>
    </w:p>
    <w:p>
      <w:pPr>
        <w:pStyle w:val="ListParagraph"/>
        <w:numPr>
          <w:ilvl w:val="2"/>
          <w:numId w:val="70"/>
        </w:numPr>
        <w:tabs>
          <w:tab w:pos="1730" w:val="left" w:leader="none"/>
        </w:tabs>
        <w:spacing w:line="240" w:lineRule="auto" w:before="139" w:after="0"/>
        <w:ind w:left="1729" w:right="0" w:hanging="632"/>
        <w:jc w:val="left"/>
        <w:rPr>
          <w:sz w:val="21"/>
        </w:rPr>
      </w:pPr>
      <w:r>
        <w:rPr>
          <w:spacing w:val="-3"/>
          <w:sz w:val="21"/>
        </w:rPr>
        <w:t>进度付款申请单的编制</w:t>
      </w:r>
    </w:p>
    <w:p>
      <w:pPr>
        <w:pStyle w:val="BodyText"/>
        <w:spacing w:line="367" w:lineRule="auto" w:before="139"/>
        <w:ind w:right="1208" w:firstLine="419"/>
      </w:pPr>
      <w:r>
        <w:rPr>
          <w:spacing w:val="-3"/>
        </w:rPr>
        <w:t>关于进度付款申请单编制的约定：</w:t>
      </w:r>
      <w:r>
        <w:rPr>
          <w:spacing w:val="-3"/>
          <w:u w:val="single"/>
        </w:rPr>
        <w:t>每月进度完成后提交已完工程量的月报表，作为工程价</w:t>
      </w:r>
      <w:r>
        <w:rPr>
          <w:spacing w:val="-204"/>
          <w:u w:val="single"/>
        </w:rPr>
        <w:t>款支</w:t>
      </w:r>
      <w:r>
        <w:rPr>
          <w:spacing w:val="-3"/>
          <w:u w:val="single"/>
        </w:rPr>
        <w:t>付的依据</w:t>
      </w:r>
      <w:r>
        <w:rPr/>
        <w:t>。</w:t>
      </w:r>
    </w:p>
    <w:p>
      <w:pPr>
        <w:pStyle w:val="ListParagraph"/>
        <w:numPr>
          <w:ilvl w:val="2"/>
          <w:numId w:val="70"/>
        </w:numPr>
        <w:tabs>
          <w:tab w:pos="1730" w:val="left" w:leader="none"/>
        </w:tabs>
        <w:spacing w:line="264" w:lineRule="exact" w:before="0" w:after="0"/>
        <w:ind w:left="1729" w:right="0" w:hanging="632"/>
        <w:jc w:val="left"/>
        <w:rPr>
          <w:sz w:val="21"/>
        </w:rPr>
      </w:pPr>
      <w:r>
        <w:rPr>
          <w:spacing w:val="-3"/>
          <w:sz w:val="21"/>
        </w:rPr>
        <w:t>进度付款申请单的提交</w:t>
      </w:r>
    </w:p>
    <w:p>
      <w:pPr>
        <w:pStyle w:val="BodyText"/>
        <w:spacing w:line="364" w:lineRule="auto" w:before="139"/>
        <w:ind w:right="1105"/>
        <w:jc w:val="both"/>
      </w:pPr>
      <w:r>
        <w:rPr>
          <w:spacing w:val="-3"/>
          <w:w w:val="100"/>
        </w:rPr>
        <w:t>申请进度款所需提交的材料</w:t>
      </w:r>
      <w:r>
        <w:rPr>
          <w:w w:val="100"/>
        </w:rPr>
        <w:t>（</w:t>
      </w:r>
      <w:r>
        <w:rPr>
          <w:spacing w:val="-3"/>
          <w:w w:val="100"/>
        </w:rPr>
        <w:t>一式三份</w:t>
      </w:r>
      <w:r>
        <w:rPr>
          <w:spacing w:val="-108"/>
          <w:w w:val="100"/>
        </w:rPr>
        <w:t>）</w:t>
      </w:r>
      <w:r>
        <w:rPr>
          <w:spacing w:val="-3"/>
          <w:w w:val="100"/>
        </w:rPr>
        <w:t>：项目专项资金用款申请表、中小学项目工程进度表、</w:t>
      </w:r>
      <w:r>
        <w:rPr>
          <w:spacing w:val="-13"/>
        </w:rPr>
        <w:t>请款函、中标通知书、合同关键页、营业执照、工程进度图片、已完成工程量计量相关表格</w:t>
      </w:r>
      <w:r>
        <w:rPr>
          <w:spacing w:val="-3"/>
        </w:rPr>
        <w:t>（</w:t>
      </w:r>
      <w:r>
        <w:rPr/>
        <w:t>提</w:t>
      </w:r>
      <w:r>
        <w:rPr>
          <w:spacing w:val="8"/>
        </w:rPr>
        <w:t>供博奥版及</w:t>
      </w:r>
      <w:r>
        <w:rPr>
          <w:rFonts w:ascii="Times New Roman" w:eastAsia="Times New Roman"/>
        </w:rPr>
        <w:t>EXCEL </w:t>
      </w:r>
      <w:r>
        <w:rPr/>
        <w:t>版</w:t>
      </w:r>
      <w:r>
        <w:rPr>
          <w:spacing w:val="-106"/>
        </w:rPr>
        <w:t>）</w:t>
      </w:r>
      <w:r>
        <w:rPr>
          <w:spacing w:val="-3"/>
        </w:rPr>
        <w:t>、竣工验收报告材料（如项目已竣工</w:t>
      </w:r>
      <w:r>
        <w:rPr>
          <w:spacing w:val="-106"/>
        </w:rPr>
        <w:t>）</w:t>
      </w:r>
      <w:r>
        <w:rPr>
          <w:spacing w:val="-16"/>
        </w:rPr>
        <w:t>、、结算审核报告</w:t>
      </w:r>
      <w:r>
        <w:rPr/>
        <w:t>（</w:t>
      </w:r>
      <w:r>
        <w:rPr>
          <w:spacing w:val="-3"/>
        </w:rPr>
        <w:t>如项目已结算审计）等其他县财政审核进度款要求提供的请款材料</w:t>
      </w:r>
    </w:p>
    <w:p>
      <w:pPr>
        <w:pStyle w:val="ListParagraph"/>
        <w:numPr>
          <w:ilvl w:val="0"/>
          <w:numId w:val="92"/>
        </w:numPr>
        <w:tabs>
          <w:tab w:pos="1627" w:val="left" w:leader="none"/>
          <w:tab w:pos="6513" w:val="left" w:leader="none"/>
        </w:tabs>
        <w:spacing w:line="268" w:lineRule="exact" w:before="0" w:after="0"/>
        <w:ind w:left="1627" w:right="0" w:hanging="529"/>
        <w:jc w:val="both"/>
        <w:rPr>
          <w:sz w:val="21"/>
        </w:rPr>
      </w:pPr>
      <w:r>
        <w:rPr>
          <w:sz w:val="21"/>
        </w:rPr>
        <w:t>总</w:t>
      </w:r>
      <w:r>
        <w:rPr>
          <w:spacing w:val="-3"/>
          <w:sz w:val="21"/>
        </w:rPr>
        <w:t>价</w:t>
      </w:r>
      <w:r>
        <w:rPr>
          <w:sz w:val="21"/>
        </w:rPr>
        <w:t>合</w:t>
      </w:r>
      <w:r>
        <w:rPr>
          <w:spacing w:val="-3"/>
          <w:sz w:val="21"/>
        </w:rPr>
        <w:t>同</w:t>
      </w:r>
      <w:r>
        <w:rPr>
          <w:sz w:val="21"/>
        </w:rPr>
        <w:t>进</w:t>
      </w:r>
      <w:r>
        <w:rPr>
          <w:spacing w:val="-3"/>
          <w:sz w:val="21"/>
        </w:rPr>
        <w:t>度</w:t>
      </w:r>
      <w:r>
        <w:rPr>
          <w:sz w:val="21"/>
        </w:rPr>
        <w:t>付</w:t>
      </w:r>
      <w:r>
        <w:rPr>
          <w:spacing w:val="-3"/>
          <w:sz w:val="21"/>
        </w:rPr>
        <w:t>款申</w:t>
      </w:r>
      <w:r>
        <w:rPr>
          <w:sz w:val="21"/>
        </w:rPr>
        <w:t>请单</w:t>
      </w:r>
      <w:r>
        <w:rPr>
          <w:spacing w:val="-3"/>
          <w:sz w:val="21"/>
        </w:rPr>
        <w:t>提</w:t>
      </w:r>
      <w:r>
        <w:rPr>
          <w:sz w:val="21"/>
        </w:rPr>
        <w:t>交</w:t>
      </w:r>
      <w:r>
        <w:rPr>
          <w:spacing w:val="-3"/>
          <w:sz w:val="21"/>
        </w:rPr>
        <w:t>的</w:t>
      </w:r>
      <w:r>
        <w:rPr>
          <w:sz w:val="21"/>
        </w:rPr>
        <w:t>约</w:t>
      </w:r>
      <w:r>
        <w:rPr>
          <w:spacing w:val="-3"/>
          <w:sz w:val="21"/>
        </w:rPr>
        <w:t>定</w:t>
      </w:r>
      <w:r>
        <w:rPr>
          <w:sz w:val="21"/>
        </w:rPr>
        <w:t>：</w:t>
      </w:r>
      <w:r>
        <w:rPr>
          <w:sz w:val="21"/>
          <w:u w:val="single"/>
        </w:rPr>
        <w:t>    </w:t>
      </w:r>
      <w:r>
        <w:rPr>
          <w:spacing w:val="16"/>
          <w:sz w:val="21"/>
          <w:u w:val="single"/>
        </w:rPr>
        <w:t> </w:t>
      </w:r>
      <w:r>
        <w:rPr>
          <w:rFonts w:ascii="Times New Roman" w:eastAsia="Times New Roman"/>
          <w:sz w:val="21"/>
          <w:u w:val="single"/>
        </w:rPr>
        <w:t>/</w:t>
        <w:tab/>
      </w:r>
      <w:r>
        <w:rPr>
          <w:sz w:val="21"/>
        </w:rPr>
        <w:t>。</w:t>
      </w:r>
    </w:p>
    <w:p>
      <w:pPr>
        <w:pStyle w:val="ListParagraph"/>
        <w:numPr>
          <w:ilvl w:val="0"/>
          <w:numId w:val="92"/>
        </w:numPr>
        <w:tabs>
          <w:tab w:pos="1627" w:val="left" w:leader="none"/>
          <w:tab w:pos="7192" w:val="left" w:leader="none"/>
          <w:tab w:pos="8404" w:val="left" w:leader="none"/>
        </w:tabs>
        <w:spacing w:line="240" w:lineRule="auto" w:before="139" w:after="0"/>
        <w:ind w:left="1627" w:right="0" w:hanging="529"/>
        <w:jc w:val="both"/>
        <w:rPr>
          <w:sz w:val="21"/>
        </w:rPr>
      </w:pPr>
      <w:r>
        <w:rPr>
          <w:sz w:val="21"/>
        </w:rPr>
        <w:t>其</w:t>
      </w:r>
      <w:r>
        <w:rPr>
          <w:spacing w:val="-3"/>
          <w:sz w:val="21"/>
        </w:rPr>
        <w:t>他</w:t>
      </w:r>
      <w:r>
        <w:rPr>
          <w:sz w:val="21"/>
        </w:rPr>
        <w:t>价</w:t>
      </w:r>
      <w:r>
        <w:rPr>
          <w:spacing w:val="-3"/>
          <w:sz w:val="21"/>
        </w:rPr>
        <w:t>格</w:t>
      </w:r>
      <w:r>
        <w:rPr>
          <w:sz w:val="21"/>
        </w:rPr>
        <w:t>形</w:t>
      </w:r>
      <w:r>
        <w:rPr>
          <w:spacing w:val="-3"/>
          <w:sz w:val="21"/>
        </w:rPr>
        <w:t>式</w:t>
      </w:r>
      <w:r>
        <w:rPr>
          <w:sz w:val="21"/>
        </w:rPr>
        <w:t>合</w:t>
      </w:r>
      <w:r>
        <w:rPr>
          <w:spacing w:val="-3"/>
          <w:sz w:val="21"/>
        </w:rPr>
        <w:t>同进</w:t>
      </w:r>
      <w:r>
        <w:rPr>
          <w:sz w:val="21"/>
        </w:rPr>
        <w:t>度付</w:t>
      </w:r>
      <w:r>
        <w:rPr>
          <w:spacing w:val="-3"/>
          <w:sz w:val="21"/>
        </w:rPr>
        <w:t>款</w:t>
      </w:r>
      <w:r>
        <w:rPr>
          <w:sz w:val="21"/>
        </w:rPr>
        <w:t>申</w:t>
      </w:r>
      <w:r>
        <w:rPr>
          <w:spacing w:val="-3"/>
          <w:sz w:val="21"/>
        </w:rPr>
        <w:t>请</w:t>
      </w:r>
      <w:r>
        <w:rPr>
          <w:sz w:val="21"/>
        </w:rPr>
        <w:t>单</w:t>
      </w:r>
      <w:r>
        <w:rPr>
          <w:spacing w:val="-3"/>
          <w:sz w:val="21"/>
        </w:rPr>
        <w:t>提</w:t>
      </w:r>
      <w:r>
        <w:rPr>
          <w:sz w:val="21"/>
        </w:rPr>
        <w:t>交</w:t>
      </w:r>
      <w:r>
        <w:rPr>
          <w:spacing w:val="-3"/>
          <w:sz w:val="21"/>
        </w:rPr>
        <w:t>的</w:t>
      </w:r>
      <w:r>
        <w:rPr>
          <w:sz w:val="21"/>
        </w:rPr>
        <w:t>约</w:t>
      </w:r>
      <w:r>
        <w:rPr>
          <w:spacing w:val="-3"/>
          <w:sz w:val="21"/>
        </w:rPr>
        <w:t>定</w:t>
      </w:r>
      <w:r>
        <w:rPr>
          <w:sz w:val="21"/>
        </w:rPr>
        <w:t>：</w:t>
      </w:r>
      <w:r>
        <w:rPr>
          <w:sz w:val="21"/>
          <w:u w:val="single"/>
        </w:rPr>
        <w:t> </w:t>
        <w:tab/>
      </w:r>
      <w:r>
        <w:rPr>
          <w:rFonts w:ascii="Times New Roman" w:eastAsia="Times New Roman"/>
          <w:sz w:val="21"/>
          <w:u w:val="single"/>
        </w:rPr>
        <w:t>/</w:t>
        <w:tab/>
      </w:r>
      <w:r>
        <w:rPr>
          <w:sz w:val="21"/>
        </w:rPr>
        <w:t>。</w:t>
      </w:r>
    </w:p>
    <w:p>
      <w:pPr>
        <w:pStyle w:val="ListParagraph"/>
        <w:numPr>
          <w:ilvl w:val="2"/>
          <w:numId w:val="70"/>
        </w:numPr>
        <w:tabs>
          <w:tab w:pos="1730" w:val="left" w:leader="none"/>
        </w:tabs>
        <w:spacing w:line="240" w:lineRule="auto" w:before="139" w:after="0"/>
        <w:ind w:left="1729" w:right="0" w:hanging="632"/>
        <w:jc w:val="left"/>
        <w:rPr>
          <w:sz w:val="21"/>
        </w:rPr>
      </w:pPr>
      <w:r>
        <w:rPr>
          <w:spacing w:val="-3"/>
          <w:sz w:val="21"/>
        </w:rPr>
        <w:t>进度款审核和支付</w:t>
      </w:r>
    </w:p>
    <w:p>
      <w:pPr>
        <w:pStyle w:val="ListParagraph"/>
        <w:numPr>
          <w:ilvl w:val="0"/>
          <w:numId w:val="93"/>
        </w:numPr>
        <w:tabs>
          <w:tab w:pos="1627" w:val="left" w:leader="none"/>
        </w:tabs>
        <w:spacing w:line="364" w:lineRule="auto" w:before="142" w:after="0"/>
        <w:ind w:left="1098" w:right="1045" w:firstLine="0"/>
        <w:jc w:val="left"/>
        <w:rPr>
          <w:rFonts w:ascii="Times New Roman" w:eastAsia="Times New Roman"/>
          <w:sz w:val="21"/>
        </w:rPr>
      </w:pPr>
      <w:r>
        <w:rPr>
          <w:spacing w:val="-6"/>
          <w:sz w:val="21"/>
        </w:rPr>
        <w:t>监理人审查并报送发包人的期限： </w:t>
      </w:r>
      <w:r>
        <w:rPr>
          <w:spacing w:val="-4"/>
          <w:sz w:val="21"/>
          <w:u w:val="single"/>
        </w:rPr>
        <w:t>收到承包人提交的进度款申请报告之日起 </w:t>
      </w:r>
      <w:r>
        <w:rPr>
          <w:rFonts w:ascii="Times New Roman" w:eastAsia="Times New Roman"/>
          <w:sz w:val="21"/>
          <w:u w:val="single"/>
        </w:rPr>
        <w:t>7</w:t>
      </w:r>
      <w:r>
        <w:rPr>
          <w:rFonts w:ascii="Times New Roman" w:eastAsia="Times New Roman"/>
          <w:spacing w:val="27"/>
          <w:sz w:val="21"/>
          <w:u w:val="single"/>
        </w:rPr>
        <w:t> </w:t>
      </w:r>
      <w:r>
        <w:rPr>
          <w:sz w:val="21"/>
          <w:u w:val="single"/>
        </w:rPr>
        <w:t>天内</w:t>
      </w:r>
      <w:r>
        <w:rPr>
          <w:sz w:val="21"/>
        </w:rPr>
        <w:t>。</w:t>
      </w:r>
      <w:r>
        <w:rPr>
          <w:spacing w:val="-8"/>
          <w:sz w:val="21"/>
        </w:rPr>
        <w:t>发包人完成审批并签发进度款支付证书的期限：收到承包人提交的进度款申请报告之日起 </w:t>
      </w:r>
      <w:r>
        <w:rPr>
          <w:rFonts w:ascii="Times New Roman" w:eastAsia="Times New Roman"/>
          <w:sz w:val="21"/>
        </w:rPr>
        <w:t>7</w:t>
      </w:r>
    </w:p>
    <w:p>
      <w:pPr>
        <w:pStyle w:val="BodyText"/>
        <w:spacing w:line="267" w:lineRule="exact"/>
      </w:pPr>
      <w:r>
        <w:rPr/>
        <w:t>天内</w:t>
      </w:r>
      <w:r>
        <w:rPr>
          <w:u w:val="single"/>
        </w:rPr>
        <w:t> </w:t>
      </w:r>
      <w:r>
        <w:rPr/>
        <w:t>。</w:t>
      </w:r>
    </w:p>
    <w:p>
      <w:pPr>
        <w:pStyle w:val="ListParagraph"/>
        <w:numPr>
          <w:ilvl w:val="0"/>
          <w:numId w:val="93"/>
        </w:numPr>
        <w:tabs>
          <w:tab w:pos="1627" w:val="left" w:leader="none"/>
          <w:tab w:pos="6666" w:val="left" w:leader="none"/>
          <w:tab w:pos="8090" w:val="left" w:leader="none"/>
        </w:tabs>
        <w:spacing w:line="364" w:lineRule="auto" w:before="138" w:after="0"/>
        <w:ind w:left="1203" w:right="1736" w:hanging="106"/>
        <w:jc w:val="left"/>
        <w:rPr>
          <w:sz w:val="21"/>
        </w:rPr>
      </w:pPr>
      <w:r>
        <w:rPr>
          <w:sz w:val="21"/>
        </w:rPr>
        <w:t>发</w:t>
      </w:r>
      <w:r>
        <w:rPr>
          <w:spacing w:val="-3"/>
          <w:sz w:val="21"/>
        </w:rPr>
        <w:t>包</w:t>
      </w:r>
      <w:r>
        <w:rPr>
          <w:sz w:val="21"/>
        </w:rPr>
        <w:t>人</w:t>
      </w:r>
      <w:r>
        <w:rPr>
          <w:spacing w:val="-3"/>
          <w:sz w:val="21"/>
        </w:rPr>
        <w:t>支</w:t>
      </w:r>
      <w:r>
        <w:rPr>
          <w:sz w:val="21"/>
        </w:rPr>
        <w:t>付</w:t>
      </w:r>
      <w:r>
        <w:rPr>
          <w:spacing w:val="-3"/>
          <w:sz w:val="21"/>
        </w:rPr>
        <w:t>进</w:t>
      </w:r>
      <w:r>
        <w:rPr>
          <w:sz w:val="21"/>
        </w:rPr>
        <w:t>度</w:t>
      </w:r>
      <w:r>
        <w:rPr>
          <w:spacing w:val="-3"/>
          <w:sz w:val="21"/>
        </w:rPr>
        <w:t>款的</w:t>
      </w:r>
      <w:r>
        <w:rPr>
          <w:sz w:val="21"/>
        </w:rPr>
        <w:t>期限</w:t>
      </w:r>
      <w:r>
        <w:rPr>
          <w:spacing w:val="-3"/>
          <w:sz w:val="21"/>
        </w:rPr>
        <w:t>：</w:t>
      </w:r>
      <w:r>
        <w:rPr>
          <w:spacing w:val="18"/>
          <w:sz w:val="21"/>
          <w:u w:val="single"/>
        </w:rPr>
        <w:t> </w:t>
      </w:r>
      <w:r>
        <w:rPr>
          <w:spacing w:val="-3"/>
          <w:sz w:val="21"/>
          <w:u w:val="single"/>
        </w:rPr>
        <w:t>按</w:t>
      </w:r>
      <w:r>
        <w:rPr>
          <w:sz w:val="21"/>
          <w:u w:val="single"/>
        </w:rPr>
        <w:t>横</w:t>
      </w:r>
      <w:r>
        <w:rPr>
          <w:spacing w:val="-3"/>
          <w:sz w:val="21"/>
          <w:u w:val="single"/>
        </w:rPr>
        <w:t>县</w:t>
      </w:r>
      <w:r>
        <w:rPr>
          <w:sz w:val="21"/>
          <w:u w:val="single"/>
        </w:rPr>
        <w:t>财</w:t>
      </w:r>
      <w:r>
        <w:rPr>
          <w:spacing w:val="-3"/>
          <w:sz w:val="21"/>
          <w:u w:val="single"/>
        </w:rPr>
        <w:t>政</w:t>
      </w:r>
      <w:r>
        <w:rPr>
          <w:sz w:val="21"/>
          <w:u w:val="single"/>
        </w:rPr>
        <w:t>的</w:t>
      </w:r>
      <w:r>
        <w:rPr>
          <w:spacing w:val="-3"/>
          <w:sz w:val="21"/>
          <w:u w:val="single"/>
        </w:rPr>
        <w:t>请款</w:t>
      </w:r>
      <w:r>
        <w:rPr>
          <w:sz w:val="21"/>
          <w:u w:val="single"/>
        </w:rPr>
        <w:t>流程</w:t>
      </w:r>
      <w:r>
        <w:rPr>
          <w:spacing w:val="-3"/>
          <w:sz w:val="21"/>
          <w:u w:val="single"/>
        </w:rPr>
        <w:t>及</w:t>
      </w:r>
      <w:r>
        <w:rPr>
          <w:sz w:val="21"/>
          <w:u w:val="single"/>
        </w:rPr>
        <w:t>时</w:t>
      </w:r>
      <w:r>
        <w:rPr>
          <w:spacing w:val="-3"/>
          <w:sz w:val="21"/>
          <w:u w:val="single"/>
        </w:rPr>
        <w:t>为</w:t>
      </w:r>
      <w:r>
        <w:rPr>
          <w:sz w:val="21"/>
          <w:u w:val="single"/>
        </w:rPr>
        <w:t>承</w:t>
      </w:r>
      <w:r>
        <w:rPr>
          <w:spacing w:val="-3"/>
          <w:sz w:val="21"/>
          <w:u w:val="single"/>
        </w:rPr>
        <w:t>包</w:t>
      </w:r>
      <w:r>
        <w:rPr>
          <w:sz w:val="21"/>
          <w:u w:val="single"/>
        </w:rPr>
        <w:t>人</w:t>
      </w:r>
      <w:r>
        <w:rPr>
          <w:spacing w:val="-3"/>
          <w:sz w:val="21"/>
          <w:u w:val="single"/>
        </w:rPr>
        <w:t>办</w:t>
      </w:r>
      <w:r>
        <w:rPr>
          <w:sz w:val="21"/>
          <w:u w:val="single"/>
        </w:rPr>
        <w:t>理</w:t>
      </w:r>
      <w:r>
        <w:rPr>
          <w:spacing w:val="-3"/>
          <w:sz w:val="21"/>
          <w:u w:val="single"/>
        </w:rPr>
        <w:t>请</w:t>
      </w:r>
      <w:r>
        <w:rPr>
          <w:sz w:val="21"/>
          <w:u w:val="single"/>
        </w:rPr>
        <w:t>款</w:t>
      </w:r>
      <w:r>
        <w:rPr>
          <w:spacing w:val="19"/>
          <w:sz w:val="21"/>
        </w:rPr>
        <w:t> </w:t>
      </w:r>
      <w:r>
        <w:rPr>
          <w:sz w:val="21"/>
        </w:rPr>
        <w:t>。发包</w:t>
      </w:r>
      <w:r>
        <w:rPr>
          <w:spacing w:val="-3"/>
          <w:sz w:val="21"/>
        </w:rPr>
        <w:t>人</w:t>
      </w:r>
      <w:r>
        <w:rPr>
          <w:sz w:val="21"/>
        </w:rPr>
        <w:t>逾</w:t>
      </w:r>
      <w:r>
        <w:rPr>
          <w:spacing w:val="-3"/>
          <w:sz w:val="21"/>
        </w:rPr>
        <w:t>期</w:t>
      </w:r>
      <w:r>
        <w:rPr>
          <w:sz w:val="21"/>
        </w:rPr>
        <w:t>支</w:t>
      </w:r>
      <w:r>
        <w:rPr>
          <w:spacing w:val="-3"/>
          <w:sz w:val="21"/>
        </w:rPr>
        <w:t>付</w:t>
      </w:r>
      <w:r>
        <w:rPr>
          <w:sz w:val="21"/>
        </w:rPr>
        <w:t>进</w:t>
      </w:r>
      <w:r>
        <w:rPr>
          <w:spacing w:val="-3"/>
          <w:sz w:val="21"/>
        </w:rPr>
        <w:t>度</w:t>
      </w:r>
      <w:r>
        <w:rPr>
          <w:sz w:val="21"/>
        </w:rPr>
        <w:t>款</w:t>
      </w:r>
      <w:r>
        <w:rPr>
          <w:spacing w:val="-3"/>
          <w:sz w:val="21"/>
        </w:rPr>
        <w:t>的</w:t>
      </w:r>
      <w:r>
        <w:rPr>
          <w:sz w:val="21"/>
        </w:rPr>
        <w:t>违约</w:t>
      </w:r>
      <w:r>
        <w:rPr>
          <w:spacing w:val="-3"/>
          <w:sz w:val="21"/>
        </w:rPr>
        <w:t>金</w:t>
      </w:r>
      <w:r>
        <w:rPr>
          <w:sz w:val="21"/>
        </w:rPr>
        <w:t>的</w:t>
      </w:r>
      <w:r>
        <w:rPr>
          <w:spacing w:val="-3"/>
          <w:sz w:val="21"/>
        </w:rPr>
        <w:t>计</w:t>
      </w:r>
      <w:r>
        <w:rPr>
          <w:sz w:val="21"/>
        </w:rPr>
        <w:t>算</w:t>
      </w:r>
      <w:r>
        <w:rPr>
          <w:spacing w:val="-3"/>
          <w:sz w:val="21"/>
        </w:rPr>
        <w:t>方</w:t>
      </w:r>
      <w:r>
        <w:rPr>
          <w:sz w:val="21"/>
        </w:rPr>
        <w:t>式</w:t>
      </w:r>
      <w:r>
        <w:rPr>
          <w:spacing w:val="-3"/>
          <w:sz w:val="21"/>
        </w:rPr>
        <w:t>：</w:t>
      </w:r>
      <w:r>
        <w:rPr>
          <w:spacing w:val="-3"/>
          <w:sz w:val="21"/>
          <w:u w:val="single"/>
        </w:rPr>
        <w:t> </w:t>
        <w:tab/>
      </w:r>
      <w:r>
        <w:rPr>
          <w:rFonts w:ascii="Times New Roman" w:eastAsia="Times New Roman"/>
          <w:sz w:val="21"/>
          <w:u w:val="single"/>
        </w:rPr>
        <w:t>/</w:t>
        <w:tab/>
      </w:r>
      <w:r>
        <w:rPr>
          <w:sz w:val="21"/>
        </w:rPr>
        <w:t>。</w:t>
      </w:r>
    </w:p>
    <w:p>
      <w:pPr>
        <w:pStyle w:val="BodyText"/>
        <w:spacing w:before="1"/>
        <w:ind w:left="1203"/>
      </w:pPr>
      <w:r>
        <w:rPr/>
        <w:t>进度款支付方式：</w:t>
      </w:r>
      <w:r>
        <w:rPr>
          <w:u w:val="single"/>
        </w:rPr>
        <w:t>银行转账</w:t>
      </w:r>
      <w:r>
        <w:rPr/>
        <w:t>。</w:t>
      </w:r>
    </w:p>
    <w:p>
      <w:pPr>
        <w:pStyle w:val="ListParagraph"/>
        <w:numPr>
          <w:ilvl w:val="0"/>
          <w:numId w:val="93"/>
        </w:numPr>
        <w:tabs>
          <w:tab w:pos="1835" w:val="left" w:leader="none"/>
        </w:tabs>
        <w:spacing w:line="240" w:lineRule="auto" w:before="139" w:after="0"/>
        <w:ind w:left="1834" w:right="0" w:hanging="632"/>
        <w:jc w:val="both"/>
        <w:rPr>
          <w:sz w:val="21"/>
        </w:rPr>
      </w:pPr>
      <w:r>
        <w:rPr>
          <w:spacing w:val="-3"/>
          <w:sz w:val="21"/>
        </w:rPr>
        <w:t>农民工工资支付</w:t>
      </w:r>
    </w:p>
    <w:p>
      <w:pPr>
        <w:pStyle w:val="ListParagraph"/>
        <w:numPr>
          <w:ilvl w:val="0"/>
          <w:numId w:val="94"/>
        </w:numPr>
        <w:tabs>
          <w:tab w:pos="1416" w:val="left" w:leader="none"/>
        </w:tabs>
        <w:spacing w:line="364" w:lineRule="auto" w:before="139" w:after="0"/>
        <w:ind w:left="678" w:right="1151" w:firstLine="419"/>
        <w:jc w:val="both"/>
        <w:rPr>
          <w:sz w:val="21"/>
        </w:rPr>
      </w:pPr>
      <w:r>
        <w:rPr>
          <w:spacing w:val="-4"/>
          <w:sz w:val="21"/>
        </w:rPr>
        <w:t>农民工工资应与其它工程进度款分帐管理。承包人向发包人申请工程进度款时必须把 </w:t>
      </w:r>
      <w:r>
        <w:rPr>
          <w:spacing w:val="-3"/>
          <w:sz w:val="21"/>
        </w:rPr>
        <w:t>工人工资部分单独列明，如果未单独列明，监理单位不得签支付证书等支付工程款的手续，发包人单位不得审批和支付工程款。发包人必须把工程款分帐出来的农民工工资转入承包人工人工资支付专用账户专户，转入专户环节必须有银行流水凭证。</w:t>
      </w:r>
    </w:p>
    <w:p>
      <w:pPr>
        <w:pStyle w:val="ListParagraph"/>
        <w:numPr>
          <w:ilvl w:val="1"/>
          <w:numId w:val="94"/>
        </w:numPr>
        <w:tabs>
          <w:tab w:pos="1522" w:val="left" w:leader="none"/>
        </w:tabs>
        <w:spacing w:line="364" w:lineRule="auto" w:before="0" w:after="0"/>
        <w:ind w:left="678" w:right="1208" w:firstLine="525"/>
        <w:jc w:val="both"/>
        <w:rPr>
          <w:sz w:val="21"/>
        </w:rPr>
      </w:pPr>
      <w:r>
        <w:rPr>
          <w:spacing w:val="-3"/>
          <w:sz w:val="21"/>
        </w:rPr>
        <w:t>发包人依据工程进度，按与承包人约定的农民工支付比例，将工程人工费分账支付到承包人的农民工工资专户，工程完工时发包人向承包人农民工工资专户支付的完工工程量的人</w:t>
      </w:r>
      <w:r>
        <w:rPr>
          <w:spacing w:val="-8"/>
          <w:sz w:val="21"/>
        </w:rPr>
        <w:t>工费支付比例不低于 </w:t>
      </w:r>
      <w:r>
        <w:rPr>
          <w:rFonts w:ascii="Times New Roman" w:eastAsia="Times New Roman"/>
          <w:sz w:val="21"/>
        </w:rPr>
        <w:t>20%</w:t>
      </w:r>
      <w:r>
        <w:rPr>
          <w:spacing w:val="-3"/>
          <w:sz w:val="21"/>
        </w:rPr>
        <w:t>，其余工程进度款项由发包人支付到承包人的单位基本户。</w:t>
      </w:r>
    </w:p>
    <w:p>
      <w:pPr>
        <w:pStyle w:val="ListParagraph"/>
        <w:numPr>
          <w:ilvl w:val="1"/>
          <w:numId w:val="94"/>
        </w:numPr>
        <w:tabs>
          <w:tab w:pos="1522" w:val="left" w:leader="none"/>
        </w:tabs>
        <w:spacing w:line="364" w:lineRule="auto" w:before="0" w:after="0"/>
        <w:ind w:left="678" w:right="1149" w:firstLine="525"/>
        <w:jc w:val="both"/>
        <w:rPr>
          <w:sz w:val="21"/>
        </w:rPr>
      </w:pPr>
      <w:r>
        <w:rPr>
          <w:spacing w:val="-3"/>
          <w:sz w:val="21"/>
        </w:rPr>
        <w:t>承包人依据分包专业工程进度，按与分包人约定农民工支付比例，通过承包人农民工工资专户将分包工程的人工费分账支付到分包人的农民工工资专户，专业分包工程完工时承包</w:t>
      </w:r>
      <w:r>
        <w:rPr>
          <w:spacing w:val="-2"/>
          <w:sz w:val="21"/>
        </w:rPr>
        <w:t>人向分包人农民工工资专户支付完工工程量的人工费支付比例不低于  </w:t>
      </w:r>
      <w:r>
        <w:rPr>
          <w:rFonts w:ascii="Times New Roman" w:eastAsia="Times New Roman"/>
          <w:sz w:val="21"/>
        </w:rPr>
        <w:t>%</w:t>
      </w:r>
      <w:r>
        <w:rPr>
          <w:spacing w:val="-4"/>
          <w:sz w:val="21"/>
        </w:rPr>
        <w:t>。其余分包工程进度</w:t>
      </w:r>
      <w:r>
        <w:rPr>
          <w:spacing w:val="-3"/>
          <w:sz w:val="21"/>
        </w:rPr>
        <w:t>款项由承包人支付到分包人的单位基本户。</w:t>
      </w:r>
    </w:p>
    <w:p>
      <w:pPr>
        <w:pStyle w:val="ListParagraph"/>
        <w:numPr>
          <w:ilvl w:val="1"/>
          <w:numId w:val="94"/>
        </w:numPr>
        <w:tabs>
          <w:tab w:pos="1522" w:val="left" w:leader="none"/>
        </w:tabs>
        <w:spacing w:line="367" w:lineRule="auto" w:before="0" w:after="0"/>
        <w:ind w:left="678" w:right="1209" w:firstLine="525"/>
        <w:jc w:val="left"/>
        <w:rPr>
          <w:sz w:val="21"/>
        </w:rPr>
      </w:pPr>
      <w:r>
        <w:rPr>
          <w:spacing w:val="-3"/>
          <w:sz w:val="21"/>
        </w:rPr>
        <w:t>凡未向付款单位提供农民工工资专户的，或者请款单位在申请工程进度款时未将人工费单列的，付款单位有权拒绝支付工程进度款。</w:t>
      </w:r>
    </w:p>
    <w:p>
      <w:pPr>
        <w:pStyle w:val="ListParagraph"/>
        <w:numPr>
          <w:ilvl w:val="1"/>
          <w:numId w:val="94"/>
        </w:numPr>
        <w:tabs>
          <w:tab w:pos="1416" w:val="left" w:leader="none"/>
        </w:tabs>
        <w:spacing w:line="264" w:lineRule="exact" w:before="0" w:after="0"/>
        <w:ind w:left="1415" w:right="0" w:hanging="318"/>
        <w:jc w:val="left"/>
        <w:rPr>
          <w:sz w:val="21"/>
        </w:rPr>
      </w:pPr>
      <w:r>
        <w:rPr>
          <w:spacing w:val="-3"/>
          <w:sz w:val="21"/>
        </w:rPr>
        <w:t>农民工工资使用要求：专款专用，除发放工人工资外，不得用于其他用途。</w:t>
      </w:r>
    </w:p>
    <w:p>
      <w:pPr>
        <w:pStyle w:val="ListParagraph"/>
        <w:numPr>
          <w:ilvl w:val="1"/>
          <w:numId w:val="94"/>
        </w:numPr>
        <w:tabs>
          <w:tab w:pos="1416" w:val="left" w:leader="none"/>
        </w:tabs>
        <w:spacing w:line="240" w:lineRule="auto" w:before="134" w:after="0"/>
        <w:ind w:left="1415" w:right="0" w:hanging="318"/>
        <w:jc w:val="left"/>
        <w:rPr>
          <w:sz w:val="21"/>
        </w:rPr>
      </w:pPr>
      <w:r>
        <w:rPr>
          <w:spacing w:val="-4"/>
          <w:sz w:val="21"/>
        </w:rPr>
        <w:t>承包人将农民工工资支付情况定期报告发包人和监理单位，并提供相应的材料接受建设</w:t>
      </w:r>
    </w:p>
    <w:p>
      <w:pPr>
        <w:spacing w:after="0" w:line="240" w:lineRule="auto"/>
        <w:jc w:val="left"/>
        <w:rPr>
          <w:sz w:val="21"/>
        </w:rPr>
        <w:sectPr>
          <w:pgSz w:w="11910" w:h="16850"/>
          <w:pgMar w:header="0" w:footer="779" w:top="1380" w:bottom="1040" w:left="1120" w:right="280"/>
        </w:sectPr>
      </w:pPr>
    </w:p>
    <w:p>
      <w:pPr>
        <w:pStyle w:val="BodyText"/>
        <w:spacing w:before="60"/>
      </w:pPr>
      <w:r>
        <w:rPr/>
        <w:t>行政主管部门和劳动保障行政主管部门对此事项监管。</w:t>
      </w:r>
    </w:p>
    <w:p>
      <w:pPr>
        <w:pStyle w:val="ListParagraph"/>
        <w:numPr>
          <w:ilvl w:val="0"/>
          <w:numId w:val="93"/>
        </w:numPr>
        <w:tabs>
          <w:tab w:pos="1627" w:val="left" w:leader="none"/>
          <w:tab w:pos="8870" w:val="left" w:leader="none"/>
        </w:tabs>
        <w:spacing w:line="240" w:lineRule="auto" w:before="139" w:after="0"/>
        <w:ind w:left="1627" w:right="0" w:hanging="529"/>
        <w:jc w:val="left"/>
        <w:rPr>
          <w:sz w:val="21"/>
        </w:rPr>
      </w:pPr>
      <w:r>
        <w:rPr>
          <w:sz w:val="21"/>
        </w:rPr>
        <w:t>农</w:t>
      </w:r>
      <w:r>
        <w:rPr>
          <w:spacing w:val="-3"/>
          <w:sz w:val="21"/>
        </w:rPr>
        <w:t>民</w:t>
      </w:r>
      <w:r>
        <w:rPr>
          <w:sz w:val="21"/>
        </w:rPr>
        <w:t>工</w:t>
      </w:r>
      <w:r>
        <w:rPr>
          <w:spacing w:val="-3"/>
          <w:sz w:val="21"/>
        </w:rPr>
        <w:t>工</w:t>
      </w:r>
      <w:r>
        <w:rPr>
          <w:sz w:val="21"/>
        </w:rPr>
        <w:t>资</w:t>
      </w:r>
      <w:r>
        <w:rPr>
          <w:spacing w:val="-3"/>
          <w:sz w:val="21"/>
        </w:rPr>
        <w:t>支</w:t>
      </w:r>
      <w:r>
        <w:rPr>
          <w:sz w:val="21"/>
        </w:rPr>
        <w:t>付</w:t>
      </w:r>
      <w:r>
        <w:rPr>
          <w:spacing w:val="-3"/>
          <w:sz w:val="21"/>
        </w:rPr>
        <w:t>专用</w:t>
      </w:r>
      <w:r>
        <w:rPr>
          <w:sz w:val="21"/>
        </w:rPr>
        <w:t>账户：××××公</w:t>
      </w:r>
      <w:r>
        <w:rPr>
          <w:spacing w:val="-3"/>
          <w:sz w:val="21"/>
        </w:rPr>
        <w:t>司</w:t>
      </w:r>
      <w:r>
        <w:rPr>
          <w:sz w:val="21"/>
        </w:rPr>
        <w:t>农</w:t>
      </w:r>
      <w:r>
        <w:rPr>
          <w:spacing w:val="-3"/>
          <w:sz w:val="21"/>
        </w:rPr>
        <w:t>民</w:t>
      </w:r>
      <w:r>
        <w:rPr>
          <w:sz w:val="21"/>
        </w:rPr>
        <w:t>工工</w:t>
      </w:r>
      <w:r>
        <w:rPr>
          <w:spacing w:val="-3"/>
          <w:sz w:val="21"/>
        </w:rPr>
        <w:t>资</w:t>
      </w:r>
      <w:r>
        <w:rPr>
          <w:sz w:val="21"/>
        </w:rPr>
        <w:t>支</w:t>
      </w:r>
      <w:r>
        <w:rPr>
          <w:spacing w:val="-3"/>
          <w:sz w:val="21"/>
        </w:rPr>
        <w:t>付</w:t>
      </w:r>
      <w:r>
        <w:rPr>
          <w:sz w:val="21"/>
        </w:rPr>
        <w:t>专</w:t>
      </w:r>
      <w:r>
        <w:rPr>
          <w:spacing w:val="-3"/>
          <w:sz w:val="21"/>
        </w:rPr>
        <w:t>用</w:t>
      </w:r>
      <w:r>
        <w:rPr>
          <w:sz w:val="21"/>
        </w:rPr>
        <w:t>账户</w:t>
      </w:r>
      <w:r>
        <w:rPr>
          <w:spacing w:val="28"/>
          <w:sz w:val="21"/>
        </w:rPr>
        <w:t> </w:t>
      </w:r>
      <w:r>
        <w:rPr>
          <w:spacing w:val="-3"/>
          <w:sz w:val="21"/>
        </w:rPr>
        <w:t>。账</w:t>
      </w:r>
      <w:r>
        <w:rPr>
          <w:sz w:val="21"/>
        </w:rPr>
        <w:t>号：</w:t>
        <w:tab/>
      </w:r>
      <w:r>
        <w:rPr>
          <w:position w:val="-2"/>
          <w:sz w:val="21"/>
        </w:rPr>
        <w:drawing>
          <wp:inline distT="0" distB="0" distL="0" distR="0">
            <wp:extent cx="268223" cy="134111"/>
            <wp:effectExtent l="0" t="0" r="0" b="0"/>
            <wp:docPr id="45" name="image3.png"/>
            <wp:cNvGraphicFramePr>
              <a:graphicFrameLocks noChangeAspect="1"/>
            </wp:cNvGraphicFramePr>
            <a:graphic>
              <a:graphicData uri="http://schemas.openxmlformats.org/drawingml/2006/picture">
                <pic:pic>
                  <pic:nvPicPr>
                    <pic:cNvPr id="46" name="image3.png"/>
                    <pic:cNvPicPr/>
                  </pic:nvPicPr>
                  <pic:blipFill>
                    <a:blip r:embed="rId21" cstate="print"/>
                    <a:stretch>
                      <a:fillRect/>
                    </a:stretch>
                  </pic:blipFill>
                  <pic:spPr>
                    <a:xfrm>
                      <a:off x="0" y="0"/>
                      <a:ext cx="268223" cy="134111"/>
                    </a:xfrm>
                    <a:prstGeom prst="rect">
                      <a:avLst/>
                    </a:prstGeom>
                  </pic:spPr>
                </pic:pic>
              </a:graphicData>
            </a:graphic>
          </wp:inline>
        </w:drawing>
      </w:r>
      <w:r>
        <w:rPr>
          <w:position w:val="-2"/>
          <w:sz w:val="21"/>
        </w:rPr>
      </w:r>
    </w:p>
    <w:p>
      <w:pPr>
        <w:pStyle w:val="BodyText"/>
        <w:ind w:left="0"/>
        <w:rPr>
          <w:sz w:val="10"/>
        </w:rPr>
      </w:pPr>
      <w:r>
        <w:rPr/>
        <w:pict>
          <v:group style="position:absolute;margin-left:89.903999pt;margin-top:8.36375pt;width:21.15pt;height:10.65pt;mso-position-horizontal-relative:page;mso-position-vertical-relative:paragraph;z-index:-251545600;mso-wrap-distance-left:0;mso-wrap-distance-right:0" coordorigin="1798,167" coordsize="423,213">
            <v:shape style="position:absolute;left:1798;top:167;width:423;height:212" type="#_x0000_t75" stroked="false">
              <v:imagedata r:id="rId21" o:title=""/>
            </v:shape>
            <v:shape style="position:absolute;left:1798;top:167;width:423;height:213" type="#_x0000_t202" filled="false" stroked="false">
              <v:textbox inset="0,0,0,0">
                <w:txbxContent>
                  <w:p>
                    <w:pPr>
                      <w:spacing w:line="212" w:lineRule="exact" w:before="0"/>
                      <w:ind w:left="211" w:right="0" w:firstLine="0"/>
                      <w:jc w:val="left"/>
                      <w:rPr>
                        <w:sz w:val="21"/>
                      </w:rPr>
                    </w:pPr>
                    <w:r>
                      <w:rPr>
                        <w:w w:val="100"/>
                        <w:sz w:val="21"/>
                      </w:rPr>
                      <w:t>。</w:t>
                    </w:r>
                  </w:p>
                </w:txbxContent>
              </v:textbox>
              <w10:wrap type="none"/>
            </v:shape>
            <w10:wrap type="topAndBottom"/>
          </v:group>
        </w:pict>
      </w:r>
    </w:p>
    <w:p>
      <w:pPr>
        <w:pStyle w:val="BodyText"/>
        <w:spacing w:before="141"/>
        <w:ind w:left="1203"/>
      </w:pPr>
      <w:r>
        <w:rPr>
          <w:rFonts w:ascii="Times New Roman" w:eastAsia="Times New Roman"/>
        </w:rPr>
        <w:t>12.4.6 </w:t>
      </w:r>
      <w:r>
        <w:rPr>
          <w:spacing w:val="-3"/>
        </w:rPr>
        <w:t>支付分解表的编制</w:t>
      </w:r>
    </w:p>
    <w:p>
      <w:pPr>
        <w:pStyle w:val="ListParagraph"/>
        <w:numPr>
          <w:ilvl w:val="0"/>
          <w:numId w:val="95"/>
        </w:numPr>
        <w:tabs>
          <w:tab w:pos="1835" w:val="left" w:leader="none"/>
        </w:tabs>
        <w:spacing w:line="240" w:lineRule="auto" w:before="139" w:after="0"/>
        <w:ind w:left="1834" w:right="0" w:hanging="632"/>
        <w:jc w:val="both"/>
        <w:rPr>
          <w:sz w:val="21"/>
        </w:rPr>
      </w:pPr>
      <w:r>
        <w:rPr>
          <w:spacing w:val="-3"/>
          <w:sz w:val="21"/>
        </w:rPr>
        <w:t>总价合同支付分解表的编制与审批：</w:t>
      </w:r>
      <w:r>
        <w:rPr>
          <w:sz w:val="21"/>
          <w:u w:val="single"/>
        </w:rPr>
        <w:t> </w:t>
      </w:r>
      <w:r>
        <w:rPr>
          <w:rFonts w:ascii="Times New Roman" w:eastAsia="Times New Roman"/>
          <w:sz w:val="21"/>
          <w:u w:val="single"/>
        </w:rPr>
        <w:t>/</w:t>
      </w:r>
      <w:r>
        <w:rPr>
          <w:rFonts w:ascii="Times New Roman" w:eastAsia="Times New Roman"/>
          <w:spacing w:val="50"/>
          <w:sz w:val="21"/>
          <w:u w:val="single"/>
        </w:rPr>
        <w:t> </w:t>
      </w:r>
      <w:r>
        <w:rPr>
          <w:sz w:val="21"/>
          <w:u w:val="single"/>
        </w:rPr>
        <w:t>。</w:t>
      </w:r>
    </w:p>
    <w:p>
      <w:pPr>
        <w:pStyle w:val="ListParagraph"/>
        <w:numPr>
          <w:ilvl w:val="0"/>
          <w:numId w:val="95"/>
        </w:numPr>
        <w:tabs>
          <w:tab w:pos="1733" w:val="left" w:leader="none"/>
        </w:tabs>
        <w:spacing w:line="364" w:lineRule="auto" w:before="139" w:after="0"/>
        <w:ind w:left="678" w:right="1163" w:firstLine="525"/>
        <w:jc w:val="both"/>
        <w:rPr>
          <w:sz w:val="21"/>
        </w:rPr>
      </w:pPr>
      <w:r>
        <w:rPr>
          <w:spacing w:val="-3"/>
          <w:sz w:val="21"/>
        </w:rPr>
        <w:t>单价合同的总价项目支付分解表的编制与审批：总价项目不采用支付分解表的方式计算，而按《建设工程工程量清单计价规范</w:t>
      </w:r>
      <w:r>
        <w:rPr>
          <w:sz w:val="21"/>
        </w:rPr>
        <w:t>（</w:t>
      </w:r>
      <w:r>
        <w:rPr>
          <w:rFonts w:ascii="Times New Roman" w:eastAsia="Times New Roman"/>
          <w:sz w:val="21"/>
        </w:rPr>
        <w:t>GB50500-2013</w:t>
      </w:r>
      <w:r>
        <w:rPr>
          <w:sz w:val="21"/>
        </w:rPr>
        <w:t>）</w:t>
      </w:r>
      <w:r>
        <w:rPr>
          <w:spacing w:val="-3"/>
          <w:sz w:val="21"/>
        </w:rPr>
        <w:t>广西壮族自治区实施细则》的规定执行。</w:t>
      </w:r>
    </w:p>
    <w:p>
      <w:pPr>
        <w:pStyle w:val="Heading8"/>
        <w:numPr>
          <w:ilvl w:val="0"/>
          <w:numId w:val="70"/>
        </w:numPr>
        <w:tabs>
          <w:tab w:pos="1074" w:val="left" w:leader="none"/>
        </w:tabs>
        <w:spacing w:line="376" w:lineRule="exact" w:before="0" w:after="0"/>
        <w:ind w:left="1074" w:right="0" w:hanging="396"/>
        <w:jc w:val="left"/>
      </w:pPr>
      <w:bookmarkStart w:name="13. 验收和工程试车" w:id="413"/>
      <w:bookmarkEnd w:id="413"/>
      <w:r>
        <w:rPr>
          <w:b w:val="0"/>
        </w:rPr>
      </w:r>
      <w:bookmarkStart w:name="13. 验收和工程试车" w:id="414"/>
      <w:bookmarkEnd w:id="414"/>
      <w:r>
        <w:rPr/>
        <w:t>验收和工程试车</w:t>
      </w:r>
    </w:p>
    <w:p>
      <w:pPr>
        <w:pStyle w:val="ListParagraph"/>
        <w:numPr>
          <w:ilvl w:val="1"/>
          <w:numId w:val="70"/>
        </w:numPr>
        <w:tabs>
          <w:tab w:pos="1151" w:val="left" w:leader="none"/>
        </w:tabs>
        <w:spacing w:line="240" w:lineRule="auto" w:before="143" w:after="0"/>
        <w:ind w:left="1150" w:right="0" w:hanging="473"/>
        <w:jc w:val="left"/>
        <w:rPr>
          <w:rFonts w:ascii="Microsoft JhengHei" w:eastAsia="Microsoft JhengHei" w:hint="eastAsia"/>
          <w:b/>
          <w:sz w:val="21"/>
        </w:rPr>
      </w:pPr>
      <w:bookmarkStart w:name="13.1 分部分项工程验收" w:id="415"/>
      <w:bookmarkEnd w:id="415"/>
      <w:r>
        <w:rPr/>
      </w:r>
      <w:bookmarkStart w:name="13.1 分部分项工程验收" w:id="416"/>
      <w:bookmarkEnd w:id="416"/>
      <w:r>
        <w:rPr>
          <w:rFonts w:ascii="Microsoft JhengHei" w:eastAsia="Microsoft JhengHei" w:hint="eastAsia"/>
          <w:b/>
          <w:sz w:val="21"/>
        </w:rPr>
        <w:t>分部分项工程验收</w:t>
      </w:r>
    </w:p>
    <w:p>
      <w:pPr>
        <w:pStyle w:val="BodyText"/>
        <w:spacing w:line="364" w:lineRule="auto" w:before="91"/>
        <w:ind w:left="1098" w:right="2733"/>
      </w:pPr>
      <w:r>
        <w:rPr>
          <w:rFonts w:ascii="Times New Roman" w:eastAsia="Times New Roman"/>
        </w:rPr>
        <w:t>13.1.2 </w:t>
      </w:r>
      <w:r>
        <w:rPr/>
        <w:t>监理人不能按时进行验收时，应提前</w:t>
      </w:r>
      <w:r>
        <w:rPr>
          <w:u w:val="single"/>
        </w:rPr>
        <w:t> </w:t>
      </w:r>
      <w:r>
        <w:rPr>
          <w:rFonts w:ascii="Times New Roman" w:eastAsia="Times New Roman"/>
          <w:u w:val="single"/>
        </w:rPr>
        <w:t>48</w:t>
      </w:r>
      <w:r>
        <w:rPr>
          <w:rFonts w:ascii="Times New Roman" w:eastAsia="Times New Roman"/>
        </w:rPr>
        <w:t> </w:t>
      </w:r>
      <w:r>
        <w:rPr/>
        <w:t>小时提交书面延期要求。关于延期最长不得超过：</w:t>
      </w:r>
      <w:r>
        <w:rPr>
          <w:u w:val="single"/>
        </w:rPr>
        <w:t> </w:t>
      </w:r>
      <w:r>
        <w:rPr>
          <w:rFonts w:ascii="Times New Roman" w:eastAsia="Times New Roman"/>
          <w:u w:val="single"/>
        </w:rPr>
        <w:t>24</w:t>
      </w:r>
      <w:r>
        <w:rPr>
          <w:rFonts w:ascii="Times New Roman" w:eastAsia="Times New Roman"/>
        </w:rPr>
        <w:t> </w:t>
      </w:r>
      <w:r>
        <w:rPr/>
        <w:t>小时。</w:t>
      </w:r>
    </w:p>
    <w:p>
      <w:pPr>
        <w:pStyle w:val="Heading8"/>
        <w:numPr>
          <w:ilvl w:val="1"/>
          <w:numId w:val="70"/>
        </w:numPr>
        <w:tabs>
          <w:tab w:pos="1151" w:val="left" w:leader="none"/>
        </w:tabs>
        <w:spacing w:line="317" w:lineRule="exact" w:before="0" w:after="0"/>
        <w:ind w:left="1150" w:right="0" w:hanging="473"/>
        <w:jc w:val="left"/>
      </w:pPr>
      <w:bookmarkStart w:name="13.2 竣工验收" w:id="417"/>
      <w:bookmarkEnd w:id="417"/>
      <w:r>
        <w:rPr>
          <w:b w:val="0"/>
        </w:rPr>
      </w:r>
      <w:bookmarkStart w:name="13.2 竣工验收" w:id="418"/>
      <w:bookmarkEnd w:id="418"/>
      <w:r>
        <w:rPr/>
        <w:t>竣工验收</w:t>
      </w:r>
    </w:p>
    <w:p>
      <w:pPr>
        <w:pStyle w:val="ListParagraph"/>
        <w:numPr>
          <w:ilvl w:val="2"/>
          <w:numId w:val="70"/>
        </w:numPr>
        <w:tabs>
          <w:tab w:pos="1677" w:val="left" w:leader="none"/>
        </w:tabs>
        <w:spacing w:line="240" w:lineRule="auto" w:before="91" w:after="0"/>
        <w:ind w:left="1676" w:right="0" w:hanging="579"/>
        <w:jc w:val="left"/>
        <w:rPr>
          <w:sz w:val="21"/>
        </w:rPr>
      </w:pPr>
      <w:r>
        <w:rPr>
          <w:spacing w:val="-3"/>
          <w:sz w:val="21"/>
        </w:rPr>
        <w:t>竣工验收条件</w:t>
      </w:r>
    </w:p>
    <w:p>
      <w:pPr>
        <w:pStyle w:val="ListParagraph"/>
        <w:numPr>
          <w:ilvl w:val="0"/>
          <w:numId w:val="95"/>
        </w:numPr>
        <w:tabs>
          <w:tab w:pos="1627" w:val="left" w:leader="none"/>
        </w:tabs>
        <w:spacing w:line="364" w:lineRule="auto" w:before="139" w:after="0"/>
        <w:ind w:left="678" w:right="1152" w:firstLine="419"/>
        <w:jc w:val="both"/>
        <w:rPr>
          <w:sz w:val="21"/>
        </w:rPr>
      </w:pPr>
      <w:r>
        <w:rPr>
          <w:spacing w:val="-3"/>
          <w:sz w:val="21"/>
        </w:rPr>
        <w:t>承包人负责整理和提交的竣工验收资料应当符合工程所在地建设行政主管部门和</w:t>
      </w:r>
      <w:r>
        <w:rPr>
          <w:rFonts w:ascii="Times New Roman" w:eastAsia="Times New Roman"/>
          <w:sz w:val="21"/>
        </w:rPr>
        <w:t>(</w:t>
      </w:r>
      <w:r>
        <w:rPr>
          <w:sz w:val="21"/>
        </w:rPr>
        <w:t>或</w:t>
      </w:r>
      <w:r>
        <w:rPr>
          <w:rFonts w:ascii="Times New Roman" w:eastAsia="Times New Roman"/>
          <w:sz w:val="21"/>
        </w:rPr>
        <w:t>) </w:t>
      </w:r>
      <w:r>
        <w:rPr>
          <w:sz w:val="21"/>
        </w:rPr>
        <w:t>城市建设档案管理机构有关施工资料的要求，具体内容包括：按建设行政主管部门和（或）</w:t>
      </w:r>
      <w:r>
        <w:rPr>
          <w:spacing w:val="-13"/>
          <w:sz w:val="21"/>
        </w:rPr>
        <w:t>城</w:t>
      </w:r>
      <w:r>
        <w:rPr>
          <w:spacing w:val="-3"/>
          <w:sz w:val="21"/>
        </w:rPr>
        <w:t>市建设档案管理机构的要求。</w:t>
      </w:r>
    </w:p>
    <w:p>
      <w:pPr>
        <w:pStyle w:val="BodyText"/>
        <w:ind w:left="1098"/>
      </w:pPr>
      <w:r>
        <w:rPr/>
        <w:t>竣工验收资料的份数：按建设行政主管部门和（或）城市建设档案管理机构的要求。</w:t>
      </w:r>
    </w:p>
    <w:p>
      <w:pPr>
        <w:pStyle w:val="BodyText"/>
        <w:spacing w:line="364" w:lineRule="auto" w:before="139"/>
        <w:ind w:right="1107" w:firstLine="419"/>
      </w:pPr>
      <w:r>
        <w:rPr>
          <w:spacing w:val="-4"/>
          <w:w w:val="100"/>
        </w:rPr>
        <w:t>承包人提供竣工图的约定：</w:t>
      </w:r>
      <w:r>
        <w:rPr>
          <w:spacing w:val="-3"/>
          <w:w w:val="100"/>
          <w:u w:val="single"/>
        </w:rPr>
        <w:t>竣工验收正式通过后</w:t>
      </w:r>
      <w:r>
        <w:rPr>
          <w:spacing w:val="-55"/>
          <w:u w:val="single"/>
        </w:rPr>
        <w:t> </w:t>
      </w:r>
      <w:r>
        <w:rPr>
          <w:rFonts w:ascii="Times New Roman" w:eastAsia="Times New Roman"/>
          <w:w w:val="100"/>
          <w:u w:val="single"/>
        </w:rPr>
        <w:t>15</w:t>
      </w:r>
      <w:r>
        <w:rPr>
          <w:rFonts w:ascii="Times New Roman" w:eastAsia="Times New Roman"/>
          <w:u w:val="single"/>
        </w:rPr>
        <w:t> </w:t>
      </w:r>
      <w:r>
        <w:rPr>
          <w:spacing w:val="-15"/>
          <w:w w:val="100"/>
          <w:u w:val="single"/>
        </w:rPr>
        <w:t>天</w:t>
      </w:r>
      <w:r>
        <w:rPr>
          <w:spacing w:val="-3"/>
          <w:w w:val="100"/>
          <w:u w:val="single"/>
        </w:rPr>
        <w:t>（工程造价在</w:t>
      </w:r>
      <w:r>
        <w:rPr>
          <w:spacing w:val="-3"/>
          <w:u w:val="single"/>
        </w:rPr>
        <w:t> </w:t>
      </w:r>
      <w:r>
        <w:rPr>
          <w:rFonts w:ascii="Times New Roman" w:eastAsia="Times New Roman"/>
          <w:w w:val="100"/>
          <w:u w:val="single"/>
        </w:rPr>
        <w:t>1</w:t>
      </w:r>
      <w:r>
        <w:rPr>
          <w:rFonts w:ascii="Times New Roman" w:eastAsia="Times New Roman"/>
          <w:spacing w:val="-3"/>
          <w:w w:val="100"/>
          <w:u w:val="single"/>
        </w:rPr>
        <w:t>0</w:t>
      </w:r>
      <w:r>
        <w:rPr>
          <w:rFonts w:ascii="Times New Roman" w:eastAsia="Times New Roman"/>
          <w:w w:val="100"/>
          <w:u w:val="single"/>
        </w:rPr>
        <w:t>00</w:t>
      </w:r>
      <w:r>
        <w:rPr>
          <w:rFonts w:ascii="Times New Roman" w:eastAsia="Times New Roman"/>
          <w:u w:val="single"/>
        </w:rPr>
        <w:t> </w:t>
      </w:r>
      <w:r>
        <w:rPr>
          <w:spacing w:val="-2"/>
          <w:w w:val="100"/>
          <w:u w:val="single"/>
        </w:rPr>
        <w:t>万元以上</w:t>
      </w:r>
      <w:r>
        <w:rPr>
          <w:spacing w:val="-108"/>
          <w:w w:val="100"/>
          <w:u w:val="single"/>
        </w:rPr>
        <w:t>）</w:t>
      </w:r>
      <w:r>
        <w:rPr>
          <w:spacing w:val="-6"/>
          <w:w w:val="100"/>
          <w:u w:val="single"/>
        </w:rPr>
        <w:t>，提供</w:t>
      </w:r>
      <w:r>
        <w:rPr>
          <w:spacing w:val="-202"/>
          <w:w w:val="100"/>
          <w:u w:val="single"/>
        </w:rPr>
        <w:t>竣工</w:t>
      </w:r>
      <w:r>
        <w:rPr>
          <w:spacing w:val="-12"/>
          <w:u w:val="single"/>
        </w:rPr>
        <w:t>图的数量为 </w:t>
      </w:r>
      <w:r>
        <w:rPr>
          <w:rFonts w:ascii="Times New Roman" w:eastAsia="Times New Roman"/>
          <w:u w:val="single"/>
        </w:rPr>
        <w:t>2 </w:t>
      </w:r>
      <w:r>
        <w:rPr>
          <w:spacing w:val="-3"/>
          <w:u w:val="single"/>
        </w:rPr>
        <w:t>套。</w:t>
      </w:r>
    </w:p>
    <w:p>
      <w:pPr>
        <w:pStyle w:val="ListParagraph"/>
        <w:numPr>
          <w:ilvl w:val="2"/>
          <w:numId w:val="70"/>
        </w:numPr>
        <w:tabs>
          <w:tab w:pos="1677" w:val="left" w:leader="none"/>
        </w:tabs>
        <w:spacing w:line="267" w:lineRule="exact" w:before="0" w:after="0"/>
        <w:ind w:left="1676" w:right="0" w:hanging="579"/>
        <w:jc w:val="left"/>
        <w:rPr>
          <w:sz w:val="21"/>
        </w:rPr>
      </w:pPr>
      <w:r>
        <w:rPr>
          <w:spacing w:val="-3"/>
          <w:sz w:val="21"/>
        </w:rPr>
        <w:t>竣工验收程序</w:t>
      </w:r>
    </w:p>
    <w:p>
      <w:pPr>
        <w:pStyle w:val="BodyText"/>
        <w:spacing w:before="141"/>
        <w:ind w:left="1098"/>
      </w:pPr>
      <w:r>
        <w:rPr/>
        <w:t>关于竣工验收程序的约定：</w:t>
      </w:r>
      <w:r>
        <w:rPr>
          <w:u w:val="single"/>
        </w:rPr>
        <w:t> 按通用合同条款执行</w:t>
      </w:r>
      <w:r>
        <w:rPr/>
        <w:t> 。</w:t>
      </w:r>
    </w:p>
    <w:p>
      <w:pPr>
        <w:pStyle w:val="BodyText"/>
        <w:spacing w:before="139"/>
      </w:pPr>
      <w:r>
        <w:rPr>
          <w:spacing w:val="-3"/>
        </w:rPr>
        <w:t>发包人不按照本项约定组织竣工验收、颁发工程接收证书的违约金的计算方法：</w:t>
      </w:r>
      <w:r>
        <w:rPr>
          <w:spacing w:val="-3"/>
          <w:u w:val="single"/>
        </w:rPr>
        <w:t> </w:t>
      </w:r>
      <w:r>
        <w:rPr>
          <w:rFonts w:ascii="Times New Roman" w:eastAsia="Times New Roman"/>
          <w:u w:val="single"/>
        </w:rPr>
        <w:t>/</w:t>
      </w:r>
      <w:r>
        <w:rPr>
          <w:rFonts w:ascii="Times New Roman" w:eastAsia="Times New Roman"/>
          <w:spacing w:val="51"/>
          <w:u w:val="single"/>
        </w:rPr>
        <w:t> </w:t>
      </w:r>
      <w:r>
        <w:rPr/>
        <w:t>。</w:t>
      </w:r>
    </w:p>
    <w:p>
      <w:pPr>
        <w:pStyle w:val="BodyText"/>
        <w:spacing w:before="139"/>
        <w:ind w:left="1098"/>
      </w:pPr>
      <w:r>
        <w:rPr>
          <w:rFonts w:ascii="Times New Roman" w:eastAsia="Times New Roman"/>
        </w:rPr>
        <w:t>13.2.5 </w:t>
      </w:r>
      <w:r>
        <w:rPr/>
        <w:t>移交、接收全部与部分工程</w:t>
      </w:r>
    </w:p>
    <w:p>
      <w:pPr>
        <w:pStyle w:val="BodyText"/>
        <w:tabs>
          <w:tab w:pos="6563" w:val="left" w:leader="none"/>
        </w:tabs>
        <w:spacing w:before="139"/>
        <w:ind w:left="1098"/>
      </w:pPr>
      <w:r>
        <w:rPr/>
        <w:t>承包</w:t>
      </w:r>
      <w:r>
        <w:rPr>
          <w:spacing w:val="-3"/>
        </w:rPr>
        <w:t>人</w:t>
      </w:r>
      <w:r>
        <w:rPr/>
        <w:t>向</w:t>
      </w:r>
      <w:r>
        <w:rPr>
          <w:spacing w:val="-3"/>
        </w:rPr>
        <w:t>发</w:t>
      </w:r>
      <w:r>
        <w:rPr/>
        <w:t>包</w:t>
      </w:r>
      <w:r>
        <w:rPr>
          <w:spacing w:val="-3"/>
        </w:rPr>
        <w:t>人</w:t>
      </w:r>
      <w:r>
        <w:rPr/>
        <w:t>移</w:t>
      </w:r>
      <w:r>
        <w:rPr>
          <w:spacing w:val="-3"/>
        </w:rPr>
        <w:t>交</w:t>
      </w:r>
      <w:r>
        <w:rPr/>
        <w:t>工</w:t>
      </w:r>
      <w:r>
        <w:rPr>
          <w:spacing w:val="-3"/>
        </w:rPr>
        <w:t>程</w:t>
      </w:r>
      <w:r>
        <w:rPr/>
        <w:t>的期</w:t>
      </w:r>
      <w:r>
        <w:rPr>
          <w:spacing w:val="-3"/>
        </w:rPr>
        <w:t>限</w:t>
      </w:r>
      <w:r>
        <w:rPr/>
        <w:t>：</w:t>
      </w:r>
      <w:r>
        <w:rPr>
          <w:u w:val="single"/>
        </w:rPr>
        <w:t> </w:t>
      </w:r>
      <w:r>
        <w:rPr>
          <w:spacing w:val="15"/>
          <w:u w:val="single"/>
        </w:rPr>
        <w:t> </w:t>
      </w:r>
      <w:r>
        <w:rPr>
          <w:u w:val="single"/>
        </w:rPr>
        <w:t>按</w:t>
      </w:r>
      <w:r>
        <w:rPr>
          <w:spacing w:val="-3"/>
          <w:u w:val="single"/>
        </w:rPr>
        <w:t>通</w:t>
      </w:r>
      <w:r>
        <w:rPr>
          <w:u w:val="single"/>
        </w:rPr>
        <w:t>用</w:t>
      </w:r>
      <w:r>
        <w:rPr>
          <w:spacing w:val="-3"/>
          <w:u w:val="single"/>
        </w:rPr>
        <w:t>合</w:t>
      </w:r>
      <w:r>
        <w:rPr>
          <w:u w:val="single"/>
        </w:rPr>
        <w:t>同</w:t>
      </w:r>
      <w:r>
        <w:rPr>
          <w:spacing w:val="-3"/>
          <w:u w:val="single"/>
        </w:rPr>
        <w:t>条</w:t>
      </w:r>
      <w:r>
        <w:rPr>
          <w:u w:val="single"/>
        </w:rPr>
        <w:t>款执行</w:t>
        <w:tab/>
      </w:r>
      <w:r>
        <w:rPr/>
        <w:t>。</w:t>
      </w:r>
    </w:p>
    <w:p>
      <w:pPr>
        <w:pStyle w:val="BodyText"/>
        <w:spacing w:line="367" w:lineRule="auto" w:before="139"/>
        <w:ind w:right="1151" w:firstLine="419"/>
      </w:pPr>
      <w:r>
        <w:rPr>
          <w:spacing w:val="-6"/>
        </w:rPr>
        <w:t>发包人未按本合同约定接收全部或部分工程的，违约金的计算方法为：</w:t>
      </w:r>
      <w:r>
        <w:rPr>
          <w:spacing w:val="1"/>
          <w:u w:val="single"/>
        </w:rPr>
        <w:t> 按通用合同条款执</w:t>
      </w:r>
      <w:r>
        <w:rPr>
          <w:spacing w:val="-212"/>
          <w:u w:val="single"/>
        </w:rPr>
        <w:t>行</w:t>
      </w:r>
      <w:r>
        <w:rPr/>
        <w:t>。</w:t>
      </w:r>
    </w:p>
    <w:p>
      <w:pPr>
        <w:pStyle w:val="BodyText"/>
        <w:spacing w:line="264" w:lineRule="exact"/>
        <w:ind w:left="1098"/>
      </w:pPr>
      <w:r>
        <w:rPr/>
        <w:t>承包人未按时移交工程的，违约金的计算方法为：</w:t>
      </w:r>
      <w:r>
        <w:rPr>
          <w:u w:val="single"/>
        </w:rPr>
        <w:t> 按通用合同条款执行 </w:t>
      </w:r>
      <w:r>
        <w:rPr/>
        <w:t>。</w:t>
      </w:r>
    </w:p>
    <w:p>
      <w:pPr>
        <w:pStyle w:val="Heading8"/>
        <w:numPr>
          <w:ilvl w:val="1"/>
          <w:numId w:val="70"/>
        </w:numPr>
        <w:tabs>
          <w:tab w:pos="1151" w:val="left" w:leader="none"/>
        </w:tabs>
        <w:spacing w:line="240" w:lineRule="auto" w:before="70" w:after="0"/>
        <w:ind w:left="1150" w:right="0" w:hanging="473"/>
        <w:jc w:val="left"/>
      </w:pPr>
      <w:bookmarkStart w:name="13.3 工程试车" w:id="419"/>
      <w:bookmarkEnd w:id="419"/>
      <w:r>
        <w:rPr>
          <w:b w:val="0"/>
        </w:rPr>
      </w:r>
      <w:bookmarkStart w:name="13.3 工程试车" w:id="420"/>
      <w:bookmarkEnd w:id="420"/>
      <w:r>
        <w:rPr/>
        <w:t>工程试车</w:t>
      </w:r>
    </w:p>
    <w:p>
      <w:pPr>
        <w:pStyle w:val="ListParagraph"/>
        <w:numPr>
          <w:ilvl w:val="2"/>
          <w:numId w:val="70"/>
        </w:numPr>
        <w:tabs>
          <w:tab w:pos="1730" w:val="left" w:leader="none"/>
        </w:tabs>
        <w:spacing w:line="240" w:lineRule="auto" w:before="91" w:after="0"/>
        <w:ind w:left="1729" w:right="0" w:hanging="632"/>
        <w:jc w:val="left"/>
        <w:rPr>
          <w:sz w:val="21"/>
        </w:rPr>
      </w:pPr>
      <w:r>
        <w:rPr>
          <w:spacing w:val="-2"/>
          <w:sz w:val="21"/>
        </w:rPr>
        <w:t>试车程序</w:t>
      </w:r>
    </w:p>
    <w:p>
      <w:pPr>
        <w:pStyle w:val="BodyText"/>
        <w:tabs>
          <w:tab w:pos="8868" w:val="left" w:leader="none"/>
        </w:tabs>
        <w:spacing w:before="142"/>
        <w:ind w:left="1098"/>
      </w:pPr>
      <w:r>
        <w:rPr/>
        <w:t>工程</w:t>
      </w:r>
      <w:r>
        <w:rPr>
          <w:spacing w:val="-3"/>
        </w:rPr>
        <w:t>试</w:t>
      </w:r>
      <w:r>
        <w:rPr/>
        <w:t>车</w:t>
      </w:r>
      <w:r>
        <w:rPr>
          <w:spacing w:val="-3"/>
        </w:rPr>
        <w:t>内</w:t>
      </w:r>
      <w:r>
        <w:rPr/>
        <w:t>容</w:t>
      </w:r>
      <w:r>
        <w:rPr>
          <w:spacing w:val="-3"/>
        </w:rPr>
        <w:t>：</w:t>
      </w:r>
      <w:r>
        <w:rPr>
          <w:spacing w:val="-3"/>
          <w:u w:val="single"/>
        </w:rPr>
        <w:t> </w:t>
        <w:tab/>
      </w:r>
      <w:r>
        <w:rPr/>
        <w:t>。</w:t>
      </w:r>
    </w:p>
    <w:p>
      <w:pPr>
        <w:pStyle w:val="ListParagraph"/>
        <w:numPr>
          <w:ilvl w:val="0"/>
          <w:numId w:val="96"/>
        </w:numPr>
        <w:tabs>
          <w:tab w:pos="1627" w:val="left" w:leader="none"/>
          <w:tab w:pos="5927" w:val="left" w:leader="none"/>
        </w:tabs>
        <w:spacing w:line="240" w:lineRule="auto" w:before="139" w:after="0"/>
        <w:ind w:left="1627" w:right="0" w:hanging="529"/>
        <w:jc w:val="left"/>
        <w:rPr>
          <w:sz w:val="21"/>
        </w:rPr>
      </w:pPr>
      <w:r>
        <w:rPr>
          <w:sz w:val="21"/>
        </w:rPr>
        <w:t>单</w:t>
      </w:r>
      <w:r>
        <w:rPr>
          <w:spacing w:val="-3"/>
          <w:sz w:val="21"/>
        </w:rPr>
        <w:t>机</w:t>
      </w:r>
      <w:r>
        <w:rPr>
          <w:sz w:val="21"/>
        </w:rPr>
        <w:t>无</w:t>
      </w:r>
      <w:r>
        <w:rPr>
          <w:spacing w:val="-3"/>
          <w:sz w:val="21"/>
        </w:rPr>
        <w:t>负</w:t>
      </w:r>
      <w:r>
        <w:rPr>
          <w:sz w:val="21"/>
        </w:rPr>
        <w:t>荷</w:t>
      </w:r>
      <w:r>
        <w:rPr>
          <w:spacing w:val="-3"/>
          <w:sz w:val="21"/>
        </w:rPr>
        <w:t>试</w:t>
      </w:r>
      <w:r>
        <w:rPr>
          <w:sz w:val="21"/>
        </w:rPr>
        <w:t>车</w:t>
      </w:r>
      <w:r>
        <w:rPr>
          <w:spacing w:val="-3"/>
          <w:sz w:val="21"/>
        </w:rPr>
        <w:t>费用</w:t>
      </w:r>
      <w:r>
        <w:rPr>
          <w:sz w:val="21"/>
        </w:rPr>
        <w:t>由</w:t>
      </w:r>
      <w:r>
        <w:rPr>
          <w:sz w:val="21"/>
          <w:u w:val="single"/>
        </w:rPr>
        <w:t> </w:t>
        <w:tab/>
      </w:r>
      <w:r>
        <w:rPr>
          <w:sz w:val="21"/>
        </w:rPr>
        <w:t>承担；</w:t>
      </w:r>
    </w:p>
    <w:p>
      <w:pPr>
        <w:pStyle w:val="ListParagraph"/>
        <w:numPr>
          <w:ilvl w:val="0"/>
          <w:numId w:val="96"/>
        </w:numPr>
        <w:tabs>
          <w:tab w:pos="1627" w:val="left" w:leader="none"/>
          <w:tab w:pos="5927" w:val="left" w:leader="none"/>
        </w:tabs>
        <w:spacing w:line="240" w:lineRule="auto" w:before="138" w:after="0"/>
        <w:ind w:left="1627" w:right="0" w:hanging="529"/>
        <w:jc w:val="left"/>
        <w:rPr>
          <w:sz w:val="21"/>
        </w:rPr>
      </w:pPr>
      <w:r>
        <w:rPr>
          <w:sz w:val="21"/>
        </w:rPr>
        <w:t>无</w:t>
      </w:r>
      <w:r>
        <w:rPr>
          <w:spacing w:val="-3"/>
          <w:sz w:val="21"/>
        </w:rPr>
        <w:t>负</w:t>
      </w:r>
      <w:r>
        <w:rPr>
          <w:sz w:val="21"/>
        </w:rPr>
        <w:t>荷</w:t>
      </w:r>
      <w:r>
        <w:rPr>
          <w:spacing w:val="-3"/>
          <w:sz w:val="21"/>
        </w:rPr>
        <w:t>联</w:t>
      </w:r>
      <w:r>
        <w:rPr>
          <w:sz w:val="21"/>
        </w:rPr>
        <w:t>动</w:t>
      </w:r>
      <w:r>
        <w:rPr>
          <w:spacing w:val="-3"/>
          <w:sz w:val="21"/>
        </w:rPr>
        <w:t>试</w:t>
      </w:r>
      <w:r>
        <w:rPr>
          <w:sz w:val="21"/>
        </w:rPr>
        <w:t>车</w:t>
      </w:r>
      <w:r>
        <w:rPr>
          <w:spacing w:val="-3"/>
          <w:sz w:val="21"/>
        </w:rPr>
        <w:t>费用</w:t>
      </w:r>
      <w:r>
        <w:rPr>
          <w:sz w:val="21"/>
        </w:rPr>
        <w:t>由</w:t>
      </w:r>
      <w:r>
        <w:rPr>
          <w:sz w:val="21"/>
          <w:u w:val="single"/>
        </w:rPr>
        <w:t> </w:t>
        <w:tab/>
      </w:r>
      <w:r>
        <w:rPr>
          <w:sz w:val="21"/>
        </w:rPr>
        <w:t>承担。</w:t>
      </w:r>
    </w:p>
    <w:p>
      <w:pPr>
        <w:pStyle w:val="BodyText"/>
        <w:spacing w:before="140"/>
        <w:ind w:left="1098"/>
      </w:pPr>
      <w:r>
        <w:rPr>
          <w:rFonts w:ascii="Times New Roman" w:eastAsia="Times New Roman"/>
        </w:rPr>
        <w:t>13.3.3 </w:t>
      </w:r>
      <w:r>
        <w:rPr>
          <w:spacing w:val="-2"/>
        </w:rPr>
        <w:t>投料试车</w:t>
      </w:r>
    </w:p>
    <w:p>
      <w:pPr>
        <w:spacing w:after="0"/>
        <w:sectPr>
          <w:pgSz w:w="11910" w:h="16850"/>
          <w:pgMar w:header="0" w:footer="779" w:top="1380" w:bottom="1040" w:left="1120" w:right="280"/>
        </w:sectPr>
      </w:pPr>
    </w:p>
    <w:p>
      <w:pPr>
        <w:pStyle w:val="BodyText"/>
        <w:tabs>
          <w:tab w:pos="8870" w:val="left" w:leader="none"/>
        </w:tabs>
        <w:spacing w:before="60"/>
        <w:ind w:left="1098"/>
      </w:pPr>
      <w:r>
        <w:rPr/>
        <w:t>关于</w:t>
      </w:r>
      <w:r>
        <w:rPr>
          <w:spacing w:val="-3"/>
        </w:rPr>
        <w:t>投</w:t>
      </w:r>
      <w:r>
        <w:rPr/>
        <w:t>料</w:t>
      </w:r>
      <w:r>
        <w:rPr>
          <w:spacing w:val="-3"/>
        </w:rPr>
        <w:t>试</w:t>
      </w:r>
      <w:r>
        <w:rPr/>
        <w:t>车</w:t>
      </w:r>
      <w:r>
        <w:rPr>
          <w:spacing w:val="-3"/>
        </w:rPr>
        <w:t>相</w:t>
      </w:r>
      <w:r>
        <w:rPr/>
        <w:t>关</w:t>
      </w:r>
      <w:r>
        <w:rPr>
          <w:spacing w:val="-3"/>
        </w:rPr>
        <w:t>事</w:t>
      </w:r>
      <w:r>
        <w:rPr/>
        <w:t>项</w:t>
      </w:r>
      <w:r>
        <w:rPr>
          <w:spacing w:val="-3"/>
        </w:rPr>
        <w:t>的</w:t>
      </w:r>
      <w:r>
        <w:rPr/>
        <w:t>约定</w:t>
      </w:r>
      <w:r>
        <w:rPr>
          <w:spacing w:val="-3"/>
        </w:rPr>
        <w:t>：</w:t>
      </w:r>
      <w:r>
        <w:rPr>
          <w:spacing w:val="-3"/>
          <w:u w:val="single"/>
        </w:rPr>
        <w:t> </w:t>
        <w:tab/>
      </w:r>
      <w:r>
        <w:rPr/>
        <w:t>。</w:t>
      </w:r>
    </w:p>
    <w:p>
      <w:pPr>
        <w:pStyle w:val="Heading8"/>
        <w:numPr>
          <w:ilvl w:val="1"/>
          <w:numId w:val="97"/>
        </w:numPr>
        <w:tabs>
          <w:tab w:pos="1151" w:val="left" w:leader="none"/>
        </w:tabs>
        <w:spacing w:line="240" w:lineRule="auto" w:before="70" w:after="0"/>
        <w:ind w:left="1150" w:right="0" w:hanging="473"/>
        <w:jc w:val="left"/>
      </w:pPr>
      <w:bookmarkStart w:name="13.6 竣工退场" w:id="421"/>
      <w:bookmarkEnd w:id="421"/>
      <w:r>
        <w:rPr>
          <w:b w:val="0"/>
        </w:rPr>
      </w:r>
      <w:bookmarkStart w:name="13.6 竣工退场" w:id="422"/>
      <w:bookmarkEnd w:id="422"/>
      <w:r>
        <w:rPr/>
        <w:t>竣工退场</w:t>
      </w:r>
    </w:p>
    <w:p>
      <w:pPr>
        <w:pStyle w:val="ListParagraph"/>
        <w:numPr>
          <w:ilvl w:val="2"/>
          <w:numId w:val="97"/>
        </w:numPr>
        <w:tabs>
          <w:tab w:pos="1730" w:val="left" w:leader="none"/>
        </w:tabs>
        <w:spacing w:line="240" w:lineRule="auto" w:before="91" w:after="0"/>
        <w:ind w:left="1729" w:right="0" w:hanging="632"/>
        <w:jc w:val="left"/>
        <w:rPr>
          <w:sz w:val="21"/>
        </w:rPr>
      </w:pPr>
      <w:bookmarkStart w:name="13.6.1 竣工退场" w:id="423"/>
      <w:bookmarkEnd w:id="423"/>
      <w:r>
        <w:rPr/>
      </w:r>
      <w:bookmarkStart w:name="13.6.1 竣工退场" w:id="424"/>
      <w:bookmarkEnd w:id="424"/>
      <w:r>
        <w:rPr>
          <w:spacing w:val="-2"/>
          <w:sz w:val="21"/>
        </w:rPr>
        <w:t>竣工退场</w:t>
      </w:r>
    </w:p>
    <w:p>
      <w:pPr>
        <w:pStyle w:val="BodyText"/>
        <w:tabs>
          <w:tab w:pos="6352" w:val="left" w:leader="none"/>
        </w:tabs>
        <w:spacing w:before="142"/>
        <w:ind w:left="1098"/>
      </w:pPr>
      <w:r>
        <w:rPr/>
        <w:t>承包</w:t>
      </w:r>
      <w:r>
        <w:rPr>
          <w:spacing w:val="-3"/>
        </w:rPr>
        <w:t>人</w:t>
      </w:r>
      <w:r>
        <w:rPr/>
        <w:t>完</w:t>
      </w:r>
      <w:r>
        <w:rPr>
          <w:spacing w:val="-3"/>
        </w:rPr>
        <w:t>成</w:t>
      </w:r>
      <w:r>
        <w:rPr/>
        <w:t>竣</w:t>
      </w:r>
      <w:r>
        <w:rPr>
          <w:spacing w:val="-3"/>
        </w:rPr>
        <w:t>工</w:t>
      </w:r>
      <w:r>
        <w:rPr/>
        <w:t>退</w:t>
      </w:r>
      <w:r>
        <w:rPr>
          <w:spacing w:val="-3"/>
        </w:rPr>
        <w:t>场</w:t>
      </w:r>
      <w:r>
        <w:rPr/>
        <w:t>的</w:t>
      </w:r>
      <w:r>
        <w:rPr>
          <w:spacing w:val="-3"/>
        </w:rPr>
        <w:t>期</w:t>
      </w:r>
      <w:r>
        <w:rPr/>
        <w:t>限：</w:t>
      </w:r>
      <w:r>
        <w:rPr>
          <w:spacing w:val="5"/>
          <w:u w:val="single"/>
        </w:rPr>
        <w:t> </w:t>
      </w:r>
      <w:r>
        <w:rPr>
          <w:u w:val="single"/>
        </w:rPr>
        <w:t>竣</w:t>
      </w:r>
      <w:r>
        <w:rPr>
          <w:spacing w:val="-3"/>
          <w:u w:val="single"/>
        </w:rPr>
        <w:t>工</w:t>
      </w:r>
      <w:r>
        <w:rPr>
          <w:u w:val="single"/>
        </w:rPr>
        <w:t>验收</w:t>
      </w:r>
      <w:r>
        <w:rPr>
          <w:spacing w:val="-51"/>
          <w:u w:val="single"/>
        </w:rPr>
        <w:t> </w:t>
      </w:r>
      <w:r>
        <w:rPr>
          <w:rFonts w:ascii="Times New Roman" w:eastAsia="Times New Roman"/>
          <w:u w:val="single"/>
        </w:rPr>
        <w:t>20</w:t>
      </w:r>
      <w:r>
        <w:rPr>
          <w:rFonts w:ascii="Times New Roman" w:eastAsia="Times New Roman"/>
          <w:spacing w:val="4"/>
          <w:u w:val="single"/>
        </w:rPr>
        <w:t> </w:t>
      </w:r>
      <w:r>
        <w:rPr>
          <w:spacing w:val="-3"/>
          <w:u w:val="single"/>
        </w:rPr>
        <w:t>个</w:t>
      </w:r>
      <w:r>
        <w:rPr>
          <w:u w:val="single"/>
        </w:rPr>
        <w:t>工</w:t>
      </w:r>
      <w:r>
        <w:rPr>
          <w:spacing w:val="-3"/>
          <w:u w:val="single"/>
        </w:rPr>
        <w:t>作</w:t>
      </w:r>
      <w:r>
        <w:rPr>
          <w:u w:val="single"/>
        </w:rPr>
        <w:t>日内</w:t>
        <w:tab/>
      </w:r>
      <w:r>
        <w:rPr/>
        <w:t>。</w:t>
      </w:r>
    </w:p>
    <w:p>
      <w:pPr>
        <w:pStyle w:val="Heading8"/>
        <w:numPr>
          <w:ilvl w:val="0"/>
          <w:numId w:val="70"/>
        </w:numPr>
        <w:tabs>
          <w:tab w:pos="1074" w:val="left" w:leader="none"/>
        </w:tabs>
        <w:spacing w:line="240" w:lineRule="auto" w:before="129" w:after="0"/>
        <w:ind w:left="1074" w:right="0" w:hanging="396"/>
        <w:jc w:val="left"/>
      </w:pPr>
      <w:bookmarkStart w:name="14. 竣工结算" w:id="425"/>
      <w:bookmarkEnd w:id="425"/>
      <w:r>
        <w:rPr>
          <w:b w:val="0"/>
        </w:rPr>
      </w:r>
      <w:bookmarkStart w:name="14. 竣工结算" w:id="426"/>
      <w:bookmarkEnd w:id="426"/>
      <w:r>
        <w:rPr/>
        <w:t>竣工结算</w:t>
      </w:r>
    </w:p>
    <w:p>
      <w:pPr>
        <w:pStyle w:val="ListParagraph"/>
        <w:numPr>
          <w:ilvl w:val="1"/>
          <w:numId w:val="70"/>
        </w:numPr>
        <w:tabs>
          <w:tab w:pos="1151" w:val="left" w:leader="none"/>
        </w:tabs>
        <w:spacing w:line="240" w:lineRule="auto" w:before="142" w:after="0"/>
        <w:ind w:left="1150" w:right="0" w:hanging="473"/>
        <w:jc w:val="left"/>
        <w:rPr>
          <w:rFonts w:ascii="Microsoft JhengHei" w:eastAsia="Microsoft JhengHei" w:hint="eastAsia"/>
          <w:b/>
          <w:sz w:val="21"/>
        </w:rPr>
      </w:pPr>
      <w:bookmarkStart w:name="14.1 竣工付款申请" w:id="427"/>
      <w:bookmarkEnd w:id="427"/>
      <w:r>
        <w:rPr/>
      </w:r>
      <w:bookmarkStart w:name="14.1 竣工付款申请" w:id="428"/>
      <w:bookmarkEnd w:id="428"/>
      <w:r>
        <w:rPr>
          <w:rFonts w:ascii="Microsoft JhengHei" w:eastAsia="Microsoft JhengHei" w:hint="eastAsia"/>
          <w:b/>
          <w:sz w:val="21"/>
        </w:rPr>
        <w:t>竣工付款申请</w:t>
      </w:r>
    </w:p>
    <w:p>
      <w:pPr>
        <w:pStyle w:val="BodyText"/>
        <w:spacing w:line="364" w:lineRule="auto" w:before="91"/>
        <w:ind w:right="1151" w:firstLine="419"/>
        <w:jc w:val="both"/>
      </w:pPr>
      <w:bookmarkStart w:name="承包人提交竣工付款申请单的期限：承包人于竣工验收合格之日起30个工作日内向发包人" w:id="429"/>
      <w:bookmarkEnd w:id="429"/>
      <w:r>
        <w:rPr/>
      </w:r>
      <w:r>
        <w:rPr>
          <w:spacing w:val="-7"/>
        </w:rPr>
        <w:t>承包人提交竣工付款申请单的期限：承包人于竣工验收合格之日起 </w:t>
      </w:r>
      <w:r>
        <w:rPr>
          <w:rFonts w:ascii="Times New Roman" w:eastAsia="Times New Roman"/>
        </w:rPr>
        <w:t>30 </w:t>
      </w:r>
      <w:r>
        <w:rPr>
          <w:spacing w:val="-3"/>
        </w:rPr>
        <w:t>个工作日内向发包人</w:t>
      </w:r>
      <w:r>
        <w:rPr>
          <w:spacing w:val="-4"/>
        </w:rPr>
        <w:t>递交竣工验收合格资料及完整的结算资料和报告，发包人自收到承包人提交的完整的结算资料</w:t>
      </w:r>
      <w:r>
        <w:rPr>
          <w:spacing w:val="-7"/>
        </w:rPr>
        <w:t>后，按照《关于横县工程项目竣工结算评审报审有关事项的函》</w:t>
      </w:r>
      <w:r>
        <w:rPr>
          <w:spacing w:val="-3"/>
        </w:rPr>
        <w:t>（横财评审函【</w:t>
      </w:r>
      <w:r>
        <w:rPr>
          <w:rFonts w:ascii="Times New Roman" w:eastAsia="Times New Roman"/>
        </w:rPr>
        <w:t>2020</w:t>
      </w:r>
      <w:r>
        <w:rPr/>
        <w:t>】</w:t>
      </w:r>
      <w:r>
        <w:rPr>
          <w:rFonts w:ascii="Times New Roman" w:eastAsia="Times New Roman"/>
        </w:rPr>
        <w:t>2 </w:t>
      </w:r>
      <w:r>
        <w:rPr/>
        <w:t>号</w:t>
      </w:r>
      <w:r>
        <w:rPr>
          <w:spacing w:val="-3"/>
        </w:rPr>
        <w:t>）</w:t>
      </w:r>
      <w:r>
        <w:rPr/>
        <w:t>办</w:t>
      </w:r>
      <w:r>
        <w:rPr>
          <w:spacing w:val="-3"/>
        </w:rPr>
        <w:t>理工程项目竣工结算。</w:t>
      </w:r>
    </w:p>
    <w:p>
      <w:pPr>
        <w:pStyle w:val="BodyText"/>
        <w:spacing w:line="364" w:lineRule="auto"/>
        <w:ind w:right="1151" w:firstLine="419"/>
      </w:pPr>
      <w:bookmarkStart w:name="竣工付款申请单应包括的内容：合同、投标文件、工程量计算书、结算书、签证单、竣工图" w:id="430"/>
      <w:bookmarkEnd w:id="430"/>
      <w:r>
        <w:rPr/>
      </w:r>
      <w:r>
        <w:rPr/>
        <w:t>竣工付款申请单应包括的内容：合同、投标文件、工程量计算书、结算书、签证单、竣工图等发包人要求的结算审核资料。</w:t>
      </w:r>
    </w:p>
    <w:p>
      <w:pPr>
        <w:pStyle w:val="Heading8"/>
        <w:numPr>
          <w:ilvl w:val="1"/>
          <w:numId w:val="70"/>
        </w:numPr>
        <w:tabs>
          <w:tab w:pos="1151" w:val="left" w:leader="none"/>
        </w:tabs>
        <w:spacing w:line="317" w:lineRule="exact" w:before="0" w:after="0"/>
        <w:ind w:left="1150" w:right="0" w:hanging="473"/>
        <w:jc w:val="left"/>
      </w:pPr>
      <w:bookmarkStart w:name="14.2 竣工结算审核" w:id="431"/>
      <w:bookmarkEnd w:id="431"/>
      <w:r>
        <w:rPr>
          <w:b w:val="0"/>
        </w:rPr>
      </w:r>
      <w:bookmarkStart w:name="14.2 竣工结算审核" w:id="432"/>
      <w:bookmarkEnd w:id="432"/>
      <w:r>
        <w:rPr/>
        <w:t>竣工结算审核</w:t>
      </w:r>
    </w:p>
    <w:p>
      <w:pPr>
        <w:pStyle w:val="BodyText"/>
        <w:spacing w:before="90"/>
        <w:ind w:left="1098"/>
      </w:pPr>
      <w:r>
        <w:rPr/>
        <w:t>发包人审批竣工结算的期限：</w:t>
      </w:r>
    </w:p>
    <w:p>
      <w:pPr>
        <w:pStyle w:val="BodyText"/>
        <w:spacing w:before="10"/>
        <w:ind w:left="0"/>
        <w:rPr>
          <w:sz w:val="10"/>
        </w:rPr>
      </w:pPr>
    </w:p>
    <w:tbl>
      <w:tblPr>
        <w:tblW w:w="0" w:type="auto"/>
        <w:jc w:val="left"/>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6"/>
        <w:gridCol w:w="2466"/>
        <w:gridCol w:w="5970"/>
      </w:tblGrid>
      <w:tr>
        <w:trPr>
          <w:trHeight w:val="407" w:hRule="atLeast"/>
        </w:trPr>
        <w:tc>
          <w:tcPr>
            <w:tcW w:w="766" w:type="dxa"/>
          </w:tcPr>
          <w:p>
            <w:pPr>
              <w:pStyle w:val="TableParagraph"/>
              <w:rPr>
                <w:rFonts w:ascii="Times New Roman"/>
                <w:sz w:val="20"/>
              </w:rPr>
            </w:pPr>
          </w:p>
        </w:tc>
        <w:tc>
          <w:tcPr>
            <w:tcW w:w="2466" w:type="dxa"/>
          </w:tcPr>
          <w:p>
            <w:pPr>
              <w:pStyle w:val="TableParagraph"/>
              <w:spacing w:before="1"/>
              <w:ind w:left="177" w:right="139"/>
              <w:jc w:val="center"/>
              <w:rPr>
                <w:sz w:val="21"/>
              </w:rPr>
            </w:pPr>
            <w:r>
              <w:rPr>
                <w:sz w:val="21"/>
              </w:rPr>
              <w:t>工程竣工结算报告金额</w:t>
            </w:r>
          </w:p>
        </w:tc>
        <w:tc>
          <w:tcPr>
            <w:tcW w:w="5970" w:type="dxa"/>
          </w:tcPr>
          <w:p>
            <w:pPr>
              <w:pStyle w:val="TableParagraph"/>
              <w:spacing w:before="1"/>
              <w:ind w:left="583" w:right="137"/>
              <w:jc w:val="center"/>
              <w:rPr>
                <w:sz w:val="21"/>
              </w:rPr>
            </w:pPr>
            <w:r>
              <w:rPr>
                <w:sz w:val="21"/>
              </w:rPr>
              <w:t>发包人审查时间</w:t>
            </w:r>
          </w:p>
        </w:tc>
      </w:tr>
      <w:tr>
        <w:trPr>
          <w:trHeight w:val="410" w:hRule="atLeast"/>
        </w:trPr>
        <w:tc>
          <w:tcPr>
            <w:tcW w:w="766" w:type="dxa"/>
          </w:tcPr>
          <w:p>
            <w:pPr>
              <w:pStyle w:val="TableParagraph"/>
              <w:spacing w:before="17"/>
              <w:ind w:left="6"/>
              <w:jc w:val="center"/>
              <w:rPr>
                <w:rFonts w:ascii="Times New Roman"/>
                <w:sz w:val="21"/>
              </w:rPr>
            </w:pPr>
            <w:r>
              <w:rPr>
                <w:rFonts w:ascii="Times New Roman"/>
                <w:w w:val="100"/>
                <w:sz w:val="21"/>
              </w:rPr>
              <w:t>1</w:t>
            </w:r>
          </w:p>
        </w:tc>
        <w:tc>
          <w:tcPr>
            <w:tcW w:w="2466" w:type="dxa"/>
          </w:tcPr>
          <w:p>
            <w:pPr>
              <w:pStyle w:val="TableParagraph"/>
              <w:spacing w:before="3"/>
              <w:ind w:left="177" w:right="139"/>
              <w:jc w:val="center"/>
              <w:rPr>
                <w:sz w:val="21"/>
              </w:rPr>
            </w:pPr>
            <w:r>
              <w:rPr>
                <w:rFonts w:ascii="Times New Roman" w:eastAsia="Times New Roman"/>
                <w:sz w:val="21"/>
              </w:rPr>
              <w:t>500 </w:t>
            </w:r>
            <w:r>
              <w:rPr>
                <w:sz w:val="21"/>
              </w:rPr>
              <w:t>万元以下</w:t>
            </w:r>
          </w:p>
        </w:tc>
        <w:tc>
          <w:tcPr>
            <w:tcW w:w="5970" w:type="dxa"/>
          </w:tcPr>
          <w:p>
            <w:pPr>
              <w:pStyle w:val="TableParagraph"/>
              <w:spacing w:before="3"/>
              <w:ind w:left="585" w:right="137"/>
              <w:jc w:val="center"/>
              <w:rPr>
                <w:sz w:val="21"/>
              </w:rPr>
            </w:pPr>
            <w:r>
              <w:rPr>
                <w:sz w:val="21"/>
              </w:rPr>
              <w:t>从接到竣工结算报告和完整的竣工结算资料之日起 </w:t>
            </w:r>
            <w:r>
              <w:rPr>
                <w:rFonts w:ascii="Times New Roman" w:eastAsia="Times New Roman"/>
                <w:sz w:val="21"/>
              </w:rPr>
              <w:t>20 </w:t>
            </w:r>
            <w:r>
              <w:rPr>
                <w:sz w:val="21"/>
              </w:rPr>
              <w:t>天</w:t>
            </w:r>
          </w:p>
        </w:tc>
      </w:tr>
      <w:tr>
        <w:trPr>
          <w:trHeight w:val="408" w:hRule="atLeast"/>
        </w:trPr>
        <w:tc>
          <w:tcPr>
            <w:tcW w:w="766" w:type="dxa"/>
          </w:tcPr>
          <w:p>
            <w:pPr>
              <w:pStyle w:val="TableParagraph"/>
              <w:spacing w:before="17"/>
              <w:ind w:left="6"/>
              <w:jc w:val="center"/>
              <w:rPr>
                <w:rFonts w:ascii="Times New Roman"/>
                <w:sz w:val="21"/>
              </w:rPr>
            </w:pPr>
            <w:r>
              <w:rPr>
                <w:rFonts w:ascii="Times New Roman"/>
                <w:w w:val="100"/>
                <w:sz w:val="21"/>
              </w:rPr>
              <w:t>2</w:t>
            </w:r>
          </w:p>
        </w:tc>
        <w:tc>
          <w:tcPr>
            <w:tcW w:w="2466" w:type="dxa"/>
          </w:tcPr>
          <w:p>
            <w:pPr>
              <w:pStyle w:val="TableParagraph"/>
              <w:spacing w:before="1"/>
              <w:ind w:left="175" w:right="139"/>
              <w:jc w:val="center"/>
              <w:rPr>
                <w:sz w:val="21"/>
              </w:rPr>
            </w:pPr>
            <w:r>
              <w:rPr>
                <w:rFonts w:ascii="Times New Roman" w:eastAsia="Times New Roman"/>
                <w:sz w:val="21"/>
              </w:rPr>
              <w:t>500 </w:t>
            </w:r>
            <w:r>
              <w:rPr>
                <w:sz w:val="21"/>
              </w:rPr>
              <w:t>万元</w:t>
            </w:r>
            <w:r>
              <w:rPr>
                <w:rFonts w:ascii="Times New Roman" w:eastAsia="Times New Roman"/>
                <w:sz w:val="21"/>
              </w:rPr>
              <w:t>-2000 </w:t>
            </w:r>
            <w:r>
              <w:rPr>
                <w:sz w:val="21"/>
              </w:rPr>
              <w:t>万元</w:t>
            </w:r>
          </w:p>
        </w:tc>
        <w:tc>
          <w:tcPr>
            <w:tcW w:w="5970" w:type="dxa"/>
          </w:tcPr>
          <w:p>
            <w:pPr>
              <w:pStyle w:val="TableParagraph"/>
              <w:spacing w:before="1"/>
              <w:ind w:left="585" w:right="137"/>
              <w:jc w:val="center"/>
              <w:rPr>
                <w:sz w:val="21"/>
              </w:rPr>
            </w:pPr>
            <w:r>
              <w:rPr>
                <w:sz w:val="21"/>
              </w:rPr>
              <w:t>从接到竣工结算报告和完整的竣工结算资料之日起 </w:t>
            </w:r>
            <w:r>
              <w:rPr>
                <w:rFonts w:ascii="Times New Roman" w:eastAsia="Times New Roman"/>
                <w:sz w:val="21"/>
              </w:rPr>
              <w:t>30 </w:t>
            </w:r>
            <w:r>
              <w:rPr>
                <w:sz w:val="21"/>
              </w:rPr>
              <w:t>天</w:t>
            </w:r>
          </w:p>
        </w:tc>
      </w:tr>
      <w:tr>
        <w:trPr>
          <w:trHeight w:val="410" w:hRule="atLeast"/>
        </w:trPr>
        <w:tc>
          <w:tcPr>
            <w:tcW w:w="766" w:type="dxa"/>
          </w:tcPr>
          <w:p>
            <w:pPr>
              <w:pStyle w:val="TableParagraph"/>
              <w:spacing w:before="17"/>
              <w:ind w:left="6"/>
              <w:jc w:val="center"/>
              <w:rPr>
                <w:rFonts w:ascii="Times New Roman"/>
                <w:sz w:val="21"/>
              </w:rPr>
            </w:pPr>
            <w:r>
              <w:rPr>
                <w:rFonts w:ascii="Times New Roman"/>
                <w:w w:val="100"/>
                <w:sz w:val="21"/>
              </w:rPr>
              <w:t>3</w:t>
            </w:r>
          </w:p>
        </w:tc>
        <w:tc>
          <w:tcPr>
            <w:tcW w:w="2466" w:type="dxa"/>
          </w:tcPr>
          <w:p>
            <w:pPr>
              <w:pStyle w:val="TableParagraph"/>
              <w:spacing w:before="1"/>
              <w:ind w:left="177" w:right="138"/>
              <w:jc w:val="center"/>
              <w:rPr>
                <w:sz w:val="21"/>
              </w:rPr>
            </w:pPr>
            <w:r>
              <w:rPr>
                <w:rFonts w:ascii="Times New Roman" w:eastAsia="Times New Roman"/>
                <w:sz w:val="21"/>
              </w:rPr>
              <w:t>2000 </w:t>
            </w:r>
            <w:r>
              <w:rPr>
                <w:sz w:val="21"/>
              </w:rPr>
              <w:t>万元</w:t>
            </w:r>
            <w:r>
              <w:rPr>
                <w:rFonts w:ascii="Times New Roman" w:eastAsia="Times New Roman"/>
                <w:sz w:val="21"/>
              </w:rPr>
              <w:t>-5000 </w:t>
            </w:r>
            <w:r>
              <w:rPr>
                <w:sz w:val="21"/>
              </w:rPr>
              <w:t>万元</w:t>
            </w:r>
          </w:p>
        </w:tc>
        <w:tc>
          <w:tcPr>
            <w:tcW w:w="5970" w:type="dxa"/>
          </w:tcPr>
          <w:p>
            <w:pPr>
              <w:pStyle w:val="TableParagraph"/>
              <w:spacing w:before="1"/>
              <w:ind w:left="585" w:right="137"/>
              <w:jc w:val="center"/>
              <w:rPr>
                <w:sz w:val="21"/>
              </w:rPr>
            </w:pPr>
            <w:r>
              <w:rPr>
                <w:sz w:val="21"/>
              </w:rPr>
              <w:t>从接到竣工结算报告和完整的竣工结算资料之日起 </w:t>
            </w:r>
            <w:r>
              <w:rPr>
                <w:rFonts w:ascii="Times New Roman" w:eastAsia="Times New Roman"/>
                <w:sz w:val="21"/>
              </w:rPr>
              <w:t>45 </w:t>
            </w:r>
            <w:r>
              <w:rPr>
                <w:sz w:val="21"/>
              </w:rPr>
              <w:t>天</w:t>
            </w:r>
          </w:p>
        </w:tc>
      </w:tr>
      <w:tr>
        <w:trPr>
          <w:trHeight w:val="407" w:hRule="atLeast"/>
        </w:trPr>
        <w:tc>
          <w:tcPr>
            <w:tcW w:w="766" w:type="dxa"/>
          </w:tcPr>
          <w:p>
            <w:pPr>
              <w:pStyle w:val="TableParagraph"/>
              <w:spacing w:before="15"/>
              <w:ind w:left="6"/>
              <w:jc w:val="center"/>
              <w:rPr>
                <w:rFonts w:ascii="Times New Roman"/>
                <w:sz w:val="21"/>
              </w:rPr>
            </w:pPr>
            <w:r>
              <w:rPr>
                <w:rFonts w:ascii="Times New Roman"/>
                <w:w w:val="100"/>
                <w:sz w:val="21"/>
              </w:rPr>
              <w:t>4</w:t>
            </w:r>
          </w:p>
        </w:tc>
        <w:tc>
          <w:tcPr>
            <w:tcW w:w="2466" w:type="dxa"/>
          </w:tcPr>
          <w:p>
            <w:pPr>
              <w:pStyle w:val="TableParagraph"/>
              <w:spacing w:before="1"/>
              <w:ind w:left="177" w:right="139"/>
              <w:jc w:val="center"/>
              <w:rPr>
                <w:sz w:val="21"/>
              </w:rPr>
            </w:pPr>
            <w:r>
              <w:rPr>
                <w:rFonts w:ascii="Times New Roman" w:eastAsia="Times New Roman"/>
                <w:sz w:val="21"/>
              </w:rPr>
              <w:t>5000 </w:t>
            </w:r>
            <w:r>
              <w:rPr>
                <w:sz w:val="21"/>
              </w:rPr>
              <w:t>万元以上</w:t>
            </w:r>
          </w:p>
        </w:tc>
        <w:tc>
          <w:tcPr>
            <w:tcW w:w="5970" w:type="dxa"/>
          </w:tcPr>
          <w:p>
            <w:pPr>
              <w:pStyle w:val="TableParagraph"/>
              <w:spacing w:before="1"/>
              <w:ind w:left="585" w:right="137"/>
              <w:jc w:val="center"/>
              <w:rPr>
                <w:sz w:val="21"/>
              </w:rPr>
            </w:pPr>
            <w:r>
              <w:rPr>
                <w:sz w:val="21"/>
              </w:rPr>
              <w:t>从接到竣工结算报告和完整的竣工结算资料之日起 </w:t>
            </w:r>
            <w:r>
              <w:rPr>
                <w:rFonts w:ascii="Times New Roman" w:eastAsia="Times New Roman"/>
                <w:sz w:val="21"/>
              </w:rPr>
              <w:t>60 </w:t>
            </w:r>
            <w:r>
              <w:rPr>
                <w:sz w:val="21"/>
              </w:rPr>
              <w:t>天</w:t>
            </w:r>
          </w:p>
        </w:tc>
      </w:tr>
      <w:tr>
        <w:trPr>
          <w:trHeight w:val="818" w:hRule="atLeast"/>
        </w:trPr>
        <w:tc>
          <w:tcPr>
            <w:tcW w:w="766" w:type="dxa"/>
          </w:tcPr>
          <w:p>
            <w:pPr>
              <w:pStyle w:val="TableParagraph"/>
              <w:spacing w:before="3"/>
              <w:rPr>
                <w:sz w:val="17"/>
              </w:rPr>
            </w:pPr>
          </w:p>
          <w:p>
            <w:pPr>
              <w:pStyle w:val="TableParagraph"/>
              <w:ind w:left="6"/>
              <w:jc w:val="center"/>
              <w:rPr>
                <w:rFonts w:ascii="Times New Roman"/>
                <w:sz w:val="21"/>
              </w:rPr>
            </w:pPr>
            <w:r>
              <w:rPr>
                <w:rFonts w:ascii="Times New Roman"/>
                <w:w w:val="100"/>
                <w:sz w:val="21"/>
              </w:rPr>
              <w:t>5</w:t>
            </w:r>
          </w:p>
        </w:tc>
        <w:tc>
          <w:tcPr>
            <w:tcW w:w="2466" w:type="dxa"/>
          </w:tcPr>
          <w:p>
            <w:pPr>
              <w:pStyle w:val="TableParagraph"/>
              <w:spacing w:before="1"/>
              <w:ind w:left="222"/>
              <w:rPr>
                <w:rFonts w:ascii="Times New Roman" w:eastAsia="Times New Roman"/>
                <w:sz w:val="21"/>
              </w:rPr>
            </w:pPr>
            <w:r>
              <w:rPr>
                <w:rFonts w:ascii="Times New Roman" w:eastAsia="Times New Roman"/>
                <w:sz w:val="21"/>
              </w:rPr>
              <w:t>5000 </w:t>
            </w:r>
            <w:r>
              <w:rPr>
                <w:sz w:val="21"/>
              </w:rPr>
              <w:t>万以上每增加 </w:t>
            </w:r>
            <w:r>
              <w:rPr>
                <w:rFonts w:ascii="Times New Roman" w:eastAsia="Times New Roman"/>
                <w:sz w:val="21"/>
              </w:rPr>
              <w:t>0.5</w:t>
            </w:r>
          </w:p>
          <w:p>
            <w:pPr>
              <w:pStyle w:val="TableParagraph"/>
              <w:spacing w:before="139"/>
              <w:ind w:left="244"/>
              <w:rPr>
                <w:rFonts w:ascii="Times New Roman" w:eastAsia="Times New Roman"/>
                <w:sz w:val="21"/>
              </w:rPr>
            </w:pPr>
            <w:r>
              <w:rPr>
                <w:sz w:val="21"/>
              </w:rPr>
              <w:t>亿</w:t>
            </w:r>
            <w:r>
              <w:rPr>
                <w:rFonts w:ascii="Times New Roman" w:eastAsia="Times New Roman"/>
                <w:sz w:val="21"/>
              </w:rPr>
              <w:t>(</w:t>
            </w:r>
            <w:r>
              <w:rPr>
                <w:sz w:val="21"/>
              </w:rPr>
              <w:t>不足 </w:t>
            </w:r>
            <w:r>
              <w:rPr>
                <w:rFonts w:ascii="Times New Roman" w:eastAsia="Times New Roman"/>
                <w:sz w:val="21"/>
              </w:rPr>
              <w:t>0.5 </w:t>
            </w:r>
            <w:r>
              <w:rPr>
                <w:sz w:val="21"/>
              </w:rPr>
              <w:t>亿不增加</w:t>
            </w:r>
            <w:r>
              <w:rPr>
                <w:rFonts w:ascii="Times New Roman" w:eastAsia="Times New Roman"/>
                <w:sz w:val="21"/>
              </w:rPr>
              <w:t>)</w:t>
            </w:r>
          </w:p>
        </w:tc>
        <w:tc>
          <w:tcPr>
            <w:tcW w:w="5970" w:type="dxa"/>
          </w:tcPr>
          <w:p>
            <w:pPr>
              <w:pStyle w:val="TableParagraph"/>
              <w:rPr>
                <w:sz w:val="16"/>
              </w:rPr>
            </w:pPr>
          </w:p>
          <w:p>
            <w:pPr>
              <w:pStyle w:val="TableParagraph"/>
              <w:ind w:left="585" w:right="137"/>
              <w:jc w:val="center"/>
              <w:rPr>
                <w:sz w:val="21"/>
              </w:rPr>
            </w:pPr>
            <w:r>
              <w:rPr>
                <w:sz w:val="21"/>
              </w:rPr>
              <w:t>增加 </w:t>
            </w:r>
            <w:r>
              <w:rPr>
                <w:rFonts w:ascii="Times New Roman" w:eastAsia="Times New Roman"/>
                <w:sz w:val="21"/>
              </w:rPr>
              <w:t>10 </w:t>
            </w:r>
            <w:r>
              <w:rPr>
                <w:sz w:val="21"/>
              </w:rPr>
              <w:t>天</w:t>
            </w:r>
          </w:p>
        </w:tc>
      </w:tr>
    </w:tbl>
    <w:p>
      <w:pPr>
        <w:pStyle w:val="BodyText"/>
        <w:spacing w:line="364" w:lineRule="auto" w:before="1"/>
        <w:ind w:right="1209" w:firstLine="419"/>
      </w:pPr>
      <w:r>
        <w:rPr/>
        <w:t>因承包人提供的结算资料不完整而需要补充或承包人不按时对账耽误时间时，审查时间应相应顺延。</w:t>
      </w:r>
    </w:p>
    <w:p>
      <w:pPr>
        <w:pStyle w:val="BodyText"/>
        <w:spacing w:line="267" w:lineRule="exact"/>
        <w:ind w:left="1098"/>
      </w:pPr>
      <w:r>
        <w:rPr/>
        <w:t>发包人完成竣工付款的期限：按本合同通用条款相关约定执行。</w:t>
      </w:r>
    </w:p>
    <w:p>
      <w:pPr>
        <w:pStyle w:val="BodyText"/>
        <w:spacing w:before="139"/>
        <w:ind w:left="1098"/>
      </w:pPr>
      <w:r>
        <w:rPr/>
        <w:t>关于竣工付款证书异议部分复核的方式和程序：</w:t>
      </w:r>
      <w:r>
        <w:rPr>
          <w:u w:val="single"/>
        </w:rPr>
        <w:t> 按本合同通用条款相关执行</w:t>
      </w:r>
      <w:r>
        <w:rPr/>
        <w:t> 。</w:t>
      </w:r>
    </w:p>
    <w:p>
      <w:pPr>
        <w:pStyle w:val="Heading8"/>
        <w:numPr>
          <w:ilvl w:val="1"/>
          <w:numId w:val="98"/>
        </w:numPr>
        <w:tabs>
          <w:tab w:pos="1151" w:val="left" w:leader="none"/>
        </w:tabs>
        <w:spacing w:line="240" w:lineRule="auto" w:before="72" w:after="0"/>
        <w:ind w:left="1150" w:right="0" w:hanging="473"/>
        <w:jc w:val="left"/>
      </w:pPr>
      <w:bookmarkStart w:name="14.4 最终结清" w:id="433"/>
      <w:bookmarkEnd w:id="433"/>
      <w:r>
        <w:rPr>
          <w:b w:val="0"/>
        </w:rPr>
      </w:r>
      <w:bookmarkStart w:name="14.4 最终结清" w:id="434"/>
      <w:bookmarkEnd w:id="434"/>
      <w:r>
        <w:rPr/>
        <w:t>最终结清</w:t>
      </w:r>
    </w:p>
    <w:p>
      <w:pPr>
        <w:pStyle w:val="ListParagraph"/>
        <w:numPr>
          <w:ilvl w:val="2"/>
          <w:numId w:val="98"/>
        </w:numPr>
        <w:tabs>
          <w:tab w:pos="1730" w:val="left" w:leader="none"/>
        </w:tabs>
        <w:spacing w:line="240" w:lineRule="auto" w:before="92" w:after="0"/>
        <w:ind w:left="1729" w:right="0" w:hanging="632"/>
        <w:jc w:val="left"/>
        <w:rPr>
          <w:sz w:val="21"/>
        </w:rPr>
      </w:pPr>
      <w:r>
        <w:rPr>
          <w:spacing w:val="-3"/>
          <w:sz w:val="21"/>
        </w:rPr>
        <w:t>最终结清申请单</w:t>
      </w:r>
    </w:p>
    <w:p>
      <w:pPr>
        <w:pStyle w:val="BodyText"/>
        <w:spacing w:line="364" w:lineRule="auto" w:before="139"/>
        <w:ind w:left="1098" w:right="3103"/>
      </w:pPr>
      <w:r>
        <w:rPr/>
        <w:t>承包人提交最终结清申请单的份数：</w:t>
      </w:r>
      <w:r>
        <w:rPr>
          <w:u w:val="single"/>
        </w:rPr>
        <w:t> 按本合同通用条款相关执行</w:t>
      </w:r>
      <w:r>
        <w:rPr/>
        <w:t> 。承包人提交最终结算申请单的期限：</w:t>
      </w:r>
      <w:r>
        <w:rPr>
          <w:u w:val="single"/>
        </w:rPr>
        <w:t> 按本合同通用条款相关执行</w:t>
      </w:r>
      <w:r>
        <w:rPr/>
        <w:t> 。</w:t>
      </w:r>
    </w:p>
    <w:p>
      <w:pPr>
        <w:pStyle w:val="ListParagraph"/>
        <w:numPr>
          <w:ilvl w:val="2"/>
          <w:numId w:val="98"/>
        </w:numPr>
        <w:tabs>
          <w:tab w:pos="1730" w:val="left" w:leader="none"/>
        </w:tabs>
        <w:spacing w:line="267" w:lineRule="exact" w:before="0" w:after="0"/>
        <w:ind w:left="1729" w:right="0" w:hanging="632"/>
        <w:jc w:val="left"/>
        <w:rPr>
          <w:sz w:val="21"/>
        </w:rPr>
      </w:pPr>
      <w:r>
        <w:rPr>
          <w:spacing w:val="-3"/>
          <w:sz w:val="21"/>
        </w:rPr>
        <w:t>最终结清证书和支付</w:t>
      </w:r>
    </w:p>
    <w:p>
      <w:pPr>
        <w:pStyle w:val="ListParagraph"/>
        <w:numPr>
          <w:ilvl w:val="0"/>
          <w:numId w:val="99"/>
        </w:numPr>
        <w:tabs>
          <w:tab w:pos="1625" w:val="left" w:leader="none"/>
        </w:tabs>
        <w:spacing w:line="364" w:lineRule="auto" w:before="141" w:after="0"/>
        <w:ind w:left="678" w:right="1151" w:firstLine="419"/>
        <w:jc w:val="left"/>
        <w:rPr>
          <w:sz w:val="21"/>
        </w:rPr>
      </w:pPr>
      <w:r>
        <w:rPr>
          <w:spacing w:val="-4"/>
          <w:sz w:val="21"/>
        </w:rPr>
        <w:t>发包人完成最终结清申请单的审批并颁发最终结清证书的期限：</w:t>
      </w:r>
      <w:r>
        <w:rPr>
          <w:spacing w:val="-3"/>
          <w:sz w:val="21"/>
          <w:u w:val="single"/>
        </w:rPr>
        <w:t>按本合同通用条款 </w:t>
      </w:r>
      <w:r>
        <w:rPr>
          <w:sz w:val="21"/>
          <w:u w:val="single"/>
        </w:rPr>
        <w:t>执行</w:t>
      </w:r>
      <w:r>
        <w:rPr>
          <w:sz w:val="21"/>
        </w:rPr>
        <w:t>。</w:t>
      </w:r>
    </w:p>
    <w:p>
      <w:pPr>
        <w:pStyle w:val="ListParagraph"/>
        <w:numPr>
          <w:ilvl w:val="0"/>
          <w:numId w:val="99"/>
        </w:numPr>
        <w:tabs>
          <w:tab w:pos="1627" w:val="left" w:leader="none"/>
        </w:tabs>
        <w:spacing w:line="267" w:lineRule="exact" w:before="0" w:after="0"/>
        <w:ind w:left="1627" w:right="0" w:hanging="529"/>
        <w:jc w:val="left"/>
        <w:rPr>
          <w:sz w:val="21"/>
        </w:rPr>
      </w:pPr>
      <w:r>
        <w:rPr>
          <w:spacing w:val="-5"/>
          <w:sz w:val="21"/>
        </w:rPr>
        <w:t>发包人完成支付的期限：</w:t>
      </w:r>
      <w:r>
        <w:rPr>
          <w:spacing w:val="-5"/>
          <w:sz w:val="21"/>
          <w:u w:val="single"/>
        </w:rPr>
        <w:t>质保期满十五天内，由承包方向发包方提交质量保证金付款</w:t>
      </w:r>
    </w:p>
    <w:p>
      <w:pPr>
        <w:spacing w:after="0" w:line="267" w:lineRule="exact"/>
        <w:jc w:val="left"/>
        <w:rPr>
          <w:sz w:val="21"/>
        </w:rPr>
        <w:sectPr>
          <w:pgSz w:w="11910" w:h="16850"/>
          <w:pgMar w:header="0" w:footer="779" w:top="1380" w:bottom="1040" w:left="1120" w:right="280"/>
        </w:sectPr>
      </w:pPr>
    </w:p>
    <w:p>
      <w:pPr>
        <w:pStyle w:val="BodyText"/>
        <w:spacing w:before="60"/>
      </w:pPr>
      <w:r>
        <w:rPr>
          <w:spacing w:val="-3"/>
          <w:u w:val="single"/>
        </w:rPr>
        <w:t>申请材料，若无质量问题，一次性返支付给承包方</w:t>
      </w:r>
      <w:r>
        <w:rPr>
          <w:u w:val="single"/>
        </w:rPr>
        <w:t>（</w:t>
      </w:r>
      <w:r>
        <w:rPr>
          <w:spacing w:val="-2"/>
          <w:u w:val="single"/>
        </w:rPr>
        <w:t>无息</w:t>
      </w:r>
      <w:r>
        <w:rPr>
          <w:spacing w:val="-106"/>
          <w:u w:val="single"/>
        </w:rPr>
        <w:t>）</w:t>
      </w:r>
      <w:r>
        <w:rPr/>
        <w:t>。</w:t>
      </w:r>
    </w:p>
    <w:p>
      <w:pPr>
        <w:pStyle w:val="BodyText"/>
        <w:spacing w:before="3"/>
        <w:ind w:left="0"/>
        <w:rPr>
          <w:sz w:val="9"/>
        </w:rPr>
      </w:pPr>
    </w:p>
    <w:p>
      <w:pPr>
        <w:pStyle w:val="Heading8"/>
        <w:numPr>
          <w:ilvl w:val="0"/>
          <w:numId w:val="70"/>
        </w:numPr>
        <w:tabs>
          <w:tab w:pos="1074" w:val="left" w:leader="none"/>
        </w:tabs>
        <w:spacing w:line="240" w:lineRule="auto" w:before="12" w:after="0"/>
        <w:ind w:left="1074" w:right="0" w:hanging="396"/>
        <w:jc w:val="left"/>
      </w:pPr>
      <w:bookmarkStart w:name="15. 缺陷责任期与保修" w:id="435"/>
      <w:bookmarkEnd w:id="435"/>
      <w:r>
        <w:rPr>
          <w:b w:val="0"/>
        </w:rPr>
      </w:r>
      <w:bookmarkStart w:name="15. 缺陷责任期与保修" w:id="436"/>
      <w:bookmarkEnd w:id="436"/>
      <w:r>
        <w:rPr/>
        <w:t>缺陷责任期与保修</w:t>
      </w:r>
    </w:p>
    <w:p>
      <w:pPr>
        <w:pStyle w:val="ListParagraph"/>
        <w:numPr>
          <w:ilvl w:val="1"/>
          <w:numId w:val="100"/>
        </w:numPr>
        <w:tabs>
          <w:tab w:pos="1151" w:val="left" w:leader="none"/>
        </w:tabs>
        <w:spacing w:line="240" w:lineRule="auto" w:before="142" w:after="0"/>
        <w:ind w:left="1150" w:right="0" w:hanging="473"/>
        <w:jc w:val="left"/>
        <w:rPr>
          <w:rFonts w:ascii="Microsoft JhengHei" w:eastAsia="Microsoft JhengHei" w:hint="eastAsia"/>
          <w:b/>
          <w:sz w:val="21"/>
        </w:rPr>
      </w:pPr>
      <w:bookmarkStart w:name="15.2 缺陷责任期" w:id="437"/>
      <w:bookmarkEnd w:id="437"/>
      <w:r>
        <w:rPr/>
      </w:r>
      <w:bookmarkStart w:name="15.2 缺陷责任期" w:id="438"/>
      <w:bookmarkEnd w:id="438"/>
      <w:r>
        <w:rPr>
          <w:rFonts w:ascii="Microsoft JhengHei" w:eastAsia="Microsoft JhengHei" w:hint="eastAsia"/>
          <w:b/>
          <w:sz w:val="21"/>
        </w:rPr>
        <w:t>缺陷责任期</w:t>
      </w:r>
    </w:p>
    <w:p>
      <w:pPr>
        <w:pStyle w:val="BodyText"/>
        <w:spacing w:before="93"/>
        <w:ind w:left="1098"/>
      </w:pPr>
      <w:r>
        <w:rPr/>
        <w:t>缺陷责任期的具体期限：</w:t>
      </w:r>
      <w:r>
        <w:rPr>
          <w:u w:val="single"/>
        </w:rPr>
        <w:t> 自工程竣工验收合格之日起 24 个月</w:t>
      </w:r>
      <w:r>
        <w:rPr/>
        <w:t> 。</w:t>
      </w:r>
    </w:p>
    <w:p>
      <w:pPr>
        <w:pStyle w:val="Heading8"/>
        <w:numPr>
          <w:ilvl w:val="1"/>
          <w:numId w:val="100"/>
        </w:numPr>
        <w:tabs>
          <w:tab w:pos="1151" w:val="left" w:leader="none"/>
        </w:tabs>
        <w:spacing w:line="240" w:lineRule="auto" w:before="70" w:after="0"/>
        <w:ind w:left="1150" w:right="0" w:hanging="473"/>
        <w:jc w:val="left"/>
      </w:pPr>
      <w:bookmarkStart w:name="15.3 质量保证金" w:id="439"/>
      <w:bookmarkEnd w:id="439"/>
      <w:r>
        <w:rPr>
          <w:b w:val="0"/>
        </w:rPr>
      </w:r>
      <w:bookmarkStart w:name="15.3 质量保证金" w:id="440"/>
      <w:bookmarkEnd w:id="440"/>
      <w:r>
        <w:rPr/>
        <w:t>质量保证金</w:t>
      </w:r>
    </w:p>
    <w:p>
      <w:pPr>
        <w:pStyle w:val="BodyText"/>
        <w:spacing w:before="91"/>
        <w:ind w:left="1098"/>
      </w:pPr>
      <w:r>
        <w:rPr/>
        <w:t>关于是否扣留质量保证金的约定：</w:t>
      </w:r>
      <w:r>
        <w:rPr>
          <w:u w:val="single"/>
        </w:rPr>
        <w:t> 是 </w:t>
      </w:r>
      <w:r>
        <w:rPr/>
        <w:t>。</w:t>
      </w:r>
    </w:p>
    <w:p>
      <w:pPr>
        <w:pStyle w:val="ListParagraph"/>
        <w:numPr>
          <w:ilvl w:val="2"/>
          <w:numId w:val="100"/>
        </w:numPr>
        <w:tabs>
          <w:tab w:pos="1730" w:val="left" w:leader="none"/>
          <w:tab w:pos="3724" w:val="left" w:leader="none"/>
        </w:tabs>
        <w:spacing w:line="367" w:lineRule="auto" w:before="139" w:after="0"/>
        <w:ind w:left="1098" w:right="5937" w:firstLine="0"/>
        <w:jc w:val="left"/>
        <w:rPr>
          <w:sz w:val="21"/>
        </w:rPr>
      </w:pPr>
      <w:bookmarkStart w:name="15.3.1 承包人提供质量保证金的方式" w:id="441"/>
      <w:bookmarkEnd w:id="441"/>
      <w:r>
        <w:rPr/>
      </w:r>
      <w:bookmarkStart w:name="15.3.1 承包人提供质量保证金的方式" w:id="442"/>
      <w:bookmarkEnd w:id="442"/>
      <w:r>
        <w:rPr>
          <w:sz w:val="21"/>
        </w:rPr>
        <w:t>承</w:t>
      </w:r>
      <w:r>
        <w:rPr>
          <w:spacing w:val="-3"/>
          <w:sz w:val="21"/>
        </w:rPr>
        <w:t>包</w:t>
      </w:r>
      <w:r>
        <w:rPr>
          <w:sz w:val="21"/>
        </w:rPr>
        <w:t>人</w:t>
      </w:r>
      <w:r>
        <w:rPr>
          <w:spacing w:val="-3"/>
          <w:sz w:val="21"/>
        </w:rPr>
        <w:t>提</w:t>
      </w:r>
      <w:r>
        <w:rPr>
          <w:sz w:val="21"/>
        </w:rPr>
        <w:t>供</w:t>
      </w:r>
      <w:r>
        <w:rPr>
          <w:spacing w:val="-3"/>
          <w:sz w:val="21"/>
        </w:rPr>
        <w:t>质</w:t>
      </w:r>
      <w:r>
        <w:rPr>
          <w:sz w:val="21"/>
        </w:rPr>
        <w:t>量</w:t>
      </w:r>
      <w:r>
        <w:rPr>
          <w:spacing w:val="-3"/>
          <w:sz w:val="21"/>
        </w:rPr>
        <w:t>保</w:t>
      </w:r>
      <w:r>
        <w:rPr>
          <w:sz w:val="21"/>
        </w:rPr>
        <w:t>证金</w:t>
      </w:r>
      <w:r>
        <w:rPr>
          <w:spacing w:val="-3"/>
          <w:sz w:val="21"/>
        </w:rPr>
        <w:t>的</w:t>
      </w:r>
      <w:r>
        <w:rPr>
          <w:sz w:val="21"/>
        </w:rPr>
        <w:t>方式质量</w:t>
      </w:r>
      <w:r>
        <w:rPr>
          <w:spacing w:val="-3"/>
          <w:sz w:val="21"/>
        </w:rPr>
        <w:t>保</w:t>
      </w:r>
      <w:r>
        <w:rPr>
          <w:sz w:val="21"/>
        </w:rPr>
        <w:t>证</w:t>
      </w:r>
      <w:r>
        <w:rPr>
          <w:spacing w:val="-3"/>
          <w:sz w:val="21"/>
        </w:rPr>
        <w:t>金</w:t>
      </w:r>
      <w:r>
        <w:rPr>
          <w:sz w:val="21"/>
        </w:rPr>
        <w:t>采</w:t>
      </w:r>
      <w:r>
        <w:rPr>
          <w:spacing w:val="-3"/>
          <w:sz w:val="21"/>
        </w:rPr>
        <w:t>用</w:t>
      </w:r>
      <w:r>
        <w:rPr>
          <w:sz w:val="21"/>
        </w:rPr>
        <w:t>以</w:t>
      </w:r>
      <w:r>
        <w:rPr>
          <w:spacing w:val="-3"/>
          <w:sz w:val="21"/>
        </w:rPr>
        <w:t>下</w:t>
      </w:r>
      <w:r>
        <w:rPr>
          <w:sz w:val="21"/>
        </w:rPr>
        <w:t>第</w:t>
      </w:r>
      <w:r>
        <w:rPr>
          <w:sz w:val="21"/>
          <w:u w:val="single"/>
        </w:rPr>
        <w:t> </w:t>
      </w:r>
      <w:r>
        <w:rPr>
          <w:spacing w:val="10"/>
          <w:sz w:val="21"/>
          <w:u w:val="single"/>
        </w:rPr>
        <w:t> </w:t>
      </w:r>
      <w:r>
        <w:rPr>
          <w:rFonts w:ascii="Times New Roman" w:eastAsia="Times New Roman"/>
          <w:sz w:val="21"/>
          <w:u w:val="single"/>
        </w:rPr>
        <w:t>2</w:t>
        <w:tab/>
      </w:r>
      <w:r>
        <w:rPr>
          <w:sz w:val="21"/>
        </w:rPr>
        <w:t>种</w:t>
      </w:r>
      <w:r>
        <w:rPr>
          <w:spacing w:val="-3"/>
          <w:sz w:val="21"/>
        </w:rPr>
        <w:t>方</w:t>
      </w:r>
      <w:r>
        <w:rPr>
          <w:sz w:val="21"/>
        </w:rPr>
        <w:t>式</w:t>
      </w:r>
      <w:r>
        <w:rPr>
          <w:spacing w:val="-17"/>
          <w:sz w:val="21"/>
        </w:rPr>
        <w:t>：</w:t>
      </w:r>
    </w:p>
    <w:p>
      <w:pPr>
        <w:pStyle w:val="ListParagraph"/>
        <w:numPr>
          <w:ilvl w:val="0"/>
          <w:numId w:val="101"/>
        </w:numPr>
        <w:tabs>
          <w:tab w:pos="1627" w:val="left" w:leader="none"/>
          <w:tab w:pos="5195" w:val="left" w:leader="none"/>
          <w:tab w:pos="5882" w:val="left" w:leader="none"/>
        </w:tabs>
        <w:spacing w:line="265" w:lineRule="exact" w:before="0" w:after="0"/>
        <w:ind w:left="1627" w:right="0" w:hanging="529"/>
        <w:jc w:val="left"/>
        <w:rPr>
          <w:sz w:val="21"/>
        </w:rPr>
      </w:pPr>
      <w:r>
        <w:rPr>
          <w:sz w:val="21"/>
        </w:rPr>
        <w:t>质</w:t>
      </w:r>
      <w:r>
        <w:rPr>
          <w:spacing w:val="-3"/>
          <w:sz w:val="21"/>
        </w:rPr>
        <w:t>量</w:t>
      </w:r>
      <w:r>
        <w:rPr>
          <w:sz w:val="21"/>
        </w:rPr>
        <w:t>保</w:t>
      </w:r>
      <w:r>
        <w:rPr>
          <w:spacing w:val="-3"/>
          <w:sz w:val="21"/>
        </w:rPr>
        <w:t>证</w:t>
      </w:r>
      <w:r>
        <w:rPr>
          <w:sz w:val="21"/>
        </w:rPr>
        <w:t>金</w:t>
      </w:r>
      <w:r>
        <w:rPr>
          <w:spacing w:val="-3"/>
          <w:sz w:val="21"/>
        </w:rPr>
        <w:t>保</w:t>
      </w:r>
      <w:r>
        <w:rPr>
          <w:sz w:val="21"/>
        </w:rPr>
        <w:t>函</w:t>
      </w:r>
      <w:r>
        <w:rPr>
          <w:spacing w:val="-3"/>
          <w:sz w:val="21"/>
        </w:rPr>
        <w:t>，保</w:t>
      </w:r>
      <w:r>
        <w:rPr>
          <w:sz w:val="21"/>
        </w:rPr>
        <w:t>证金</w:t>
      </w:r>
      <w:r>
        <w:rPr>
          <w:spacing w:val="-3"/>
          <w:sz w:val="21"/>
        </w:rPr>
        <w:t>额</w:t>
      </w:r>
      <w:r>
        <w:rPr>
          <w:sz w:val="21"/>
        </w:rPr>
        <w:t>为</w:t>
      </w:r>
      <w:r>
        <w:rPr>
          <w:spacing w:val="-3"/>
          <w:sz w:val="21"/>
        </w:rPr>
        <w:t>：</w:t>
      </w:r>
      <w:r>
        <w:rPr>
          <w:spacing w:val="-3"/>
          <w:sz w:val="21"/>
          <w:u w:val="single"/>
        </w:rPr>
        <w:t> </w:t>
        <w:tab/>
      </w:r>
      <w:r>
        <w:rPr>
          <w:rFonts w:ascii="Times New Roman" w:eastAsia="Times New Roman"/>
          <w:sz w:val="21"/>
          <w:u w:val="single"/>
        </w:rPr>
        <w:t>/</w:t>
        <w:tab/>
      </w:r>
      <w:r>
        <w:rPr>
          <w:sz w:val="21"/>
        </w:rPr>
        <w:t>；</w:t>
      </w:r>
    </w:p>
    <w:p>
      <w:pPr>
        <w:pStyle w:val="ListParagraph"/>
        <w:numPr>
          <w:ilvl w:val="0"/>
          <w:numId w:val="101"/>
        </w:numPr>
        <w:tabs>
          <w:tab w:pos="1627" w:val="left" w:leader="none"/>
        </w:tabs>
        <w:spacing w:line="364" w:lineRule="auto" w:before="139" w:after="0"/>
        <w:ind w:left="678" w:right="1228" w:firstLine="419"/>
        <w:jc w:val="left"/>
        <w:rPr>
          <w:sz w:val="21"/>
        </w:rPr>
      </w:pPr>
      <w:r>
        <w:rPr>
          <w:spacing w:val="-3"/>
          <w:sz w:val="21"/>
        </w:rPr>
        <w:t>发包人按工程价款结算总额的</w:t>
      </w:r>
      <w:r>
        <w:rPr>
          <w:spacing w:val="21"/>
          <w:sz w:val="21"/>
          <w:u w:val="single"/>
        </w:rPr>
        <w:t> </w:t>
      </w:r>
      <w:r>
        <w:rPr>
          <w:rFonts w:ascii="Times New Roman" w:eastAsia="Times New Roman"/>
          <w:sz w:val="21"/>
          <w:u w:val="single"/>
        </w:rPr>
        <w:t>3</w:t>
      </w:r>
      <w:r>
        <w:rPr>
          <w:rFonts w:ascii="Times New Roman" w:eastAsia="Times New Roman"/>
          <w:spacing w:val="4"/>
          <w:sz w:val="21"/>
        </w:rPr>
        <w:t> %</w:t>
      </w:r>
      <w:r>
        <w:rPr>
          <w:sz w:val="21"/>
        </w:rPr>
        <w:t>（</w:t>
      </w:r>
      <w:r>
        <w:rPr>
          <w:spacing w:val="-2"/>
          <w:sz w:val="21"/>
        </w:rPr>
        <w:t>不得超过</w:t>
      </w:r>
      <w:r>
        <w:rPr>
          <w:rFonts w:ascii="Times New Roman" w:eastAsia="Times New Roman"/>
          <w:sz w:val="21"/>
        </w:rPr>
        <w:t>3%</w:t>
      </w:r>
      <w:r>
        <w:rPr>
          <w:sz w:val="21"/>
        </w:rPr>
        <w:t>）</w:t>
      </w:r>
      <w:r>
        <w:rPr>
          <w:spacing w:val="-3"/>
          <w:sz w:val="21"/>
        </w:rPr>
        <w:t>预留工程质量保修金，待缺陷责任期满后返还，是否付息及利息计算方式为：</w:t>
      </w:r>
      <w:r>
        <w:rPr>
          <w:sz w:val="21"/>
          <w:u w:val="single"/>
        </w:rPr>
        <w:t>否</w:t>
      </w:r>
      <w:r>
        <w:rPr>
          <w:sz w:val="21"/>
        </w:rPr>
        <w:t>；</w:t>
      </w:r>
    </w:p>
    <w:p>
      <w:pPr>
        <w:pStyle w:val="ListParagraph"/>
        <w:numPr>
          <w:ilvl w:val="0"/>
          <w:numId w:val="101"/>
        </w:numPr>
        <w:tabs>
          <w:tab w:pos="1627" w:val="left" w:leader="none"/>
          <w:tab w:pos="2992" w:val="left" w:leader="none"/>
          <w:tab w:pos="4204" w:val="left" w:leader="none"/>
        </w:tabs>
        <w:spacing w:line="267" w:lineRule="exact" w:before="0" w:after="0"/>
        <w:ind w:left="1627" w:right="0" w:hanging="529"/>
        <w:jc w:val="left"/>
        <w:rPr>
          <w:sz w:val="21"/>
        </w:rPr>
      </w:pPr>
      <w:r>
        <w:rPr>
          <w:sz w:val="21"/>
        </w:rPr>
        <w:t>其</w:t>
      </w:r>
      <w:r>
        <w:rPr>
          <w:spacing w:val="-3"/>
          <w:sz w:val="21"/>
        </w:rPr>
        <w:t>他</w:t>
      </w:r>
      <w:r>
        <w:rPr>
          <w:sz w:val="21"/>
        </w:rPr>
        <w:t>方</w:t>
      </w:r>
      <w:r>
        <w:rPr>
          <w:spacing w:val="-3"/>
          <w:sz w:val="21"/>
        </w:rPr>
        <w:t>式</w:t>
      </w:r>
      <w:r>
        <w:rPr>
          <w:sz w:val="21"/>
        </w:rPr>
        <w:t>：</w:t>
      </w:r>
      <w:r>
        <w:rPr>
          <w:sz w:val="21"/>
          <w:u w:val="single"/>
        </w:rPr>
        <w:t> </w:t>
        <w:tab/>
      </w:r>
      <w:r>
        <w:rPr>
          <w:rFonts w:ascii="Times New Roman" w:eastAsia="Times New Roman"/>
          <w:sz w:val="21"/>
          <w:u w:val="single"/>
        </w:rPr>
        <w:t>/</w:t>
        <w:tab/>
      </w:r>
      <w:r>
        <w:rPr>
          <w:sz w:val="21"/>
        </w:rPr>
        <w:t>。</w:t>
      </w:r>
    </w:p>
    <w:p>
      <w:pPr>
        <w:pStyle w:val="ListParagraph"/>
        <w:numPr>
          <w:ilvl w:val="2"/>
          <w:numId w:val="100"/>
        </w:numPr>
        <w:tabs>
          <w:tab w:pos="1730" w:val="left" w:leader="none"/>
        </w:tabs>
        <w:spacing w:line="240" w:lineRule="auto" w:before="141" w:after="0"/>
        <w:ind w:left="1729" w:right="0" w:hanging="632"/>
        <w:jc w:val="left"/>
        <w:rPr>
          <w:sz w:val="21"/>
        </w:rPr>
      </w:pPr>
      <w:r>
        <w:rPr>
          <w:spacing w:val="-3"/>
          <w:sz w:val="21"/>
        </w:rPr>
        <w:t>质量保证金的扣留</w:t>
      </w:r>
    </w:p>
    <w:p>
      <w:pPr>
        <w:pStyle w:val="BodyText"/>
        <w:spacing w:before="139"/>
        <w:ind w:left="1098"/>
      </w:pPr>
      <w:r>
        <w:rPr>
          <w:spacing w:val="-3"/>
        </w:rPr>
        <w:t>质量保证金的扣留采取以下第</w:t>
      </w:r>
      <w:r>
        <w:rPr>
          <w:spacing w:val="-3"/>
          <w:u w:val="single"/>
        </w:rPr>
        <w:t> </w:t>
      </w:r>
      <w:r>
        <w:rPr>
          <w:rFonts w:ascii="Times New Roman" w:eastAsia="Times New Roman"/>
          <w:u w:val="single"/>
        </w:rPr>
        <w:t>2</w:t>
      </w:r>
      <w:r>
        <w:rPr>
          <w:rFonts w:ascii="Times New Roman" w:eastAsia="Times New Roman"/>
          <w:spacing w:val="51"/>
          <w:u w:val="single"/>
        </w:rPr>
        <w:t> </w:t>
      </w:r>
      <w:r>
        <w:rPr>
          <w:spacing w:val="-3"/>
        </w:rPr>
        <w:t>种方式：</w:t>
      </w:r>
    </w:p>
    <w:p>
      <w:pPr>
        <w:pStyle w:val="ListParagraph"/>
        <w:numPr>
          <w:ilvl w:val="0"/>
          <w:numId w:val="102"/>
        </w:numPr>
        <w:tabs>
          <w:tab w:pos="1627" w:val="left" w:leader="none"/>
        </w:tabs>
        <w:spacing w:line="364" w:lineRule="auto" w:before="139" w:after="0"/>
        <w:ind w:left="678" w:right="1151" w:firstLine="419"/>
        <w:jc w:val="left"/>
        <w:rPr>
          <w:sz w:val="21"/>
        </w:rPr>
      </w:pPr>
      <w:r>
        <w:rPr>
          <w:spacing w:val="-5"/>
          <w:sz w:val="21"/>
        </w:rPr>
        <w:t>在支付工程进度款时逐次扣留，质量保证金的计算基数不包括预付款的支付、扣回以</w:t>
      </w:r>
      <w:r>
        <w:rPr>
          <w:spacing w:val="-4"/>
          <w:sz w:val="21"/>
        </w:rPr>
        <w:t>及价格调整的金额；</w:t>
      </w:r>
    </w:p>
    <w:p>
      <w:pPr>
        <w:pStyle w:val="ListParagraph"/>
        <w:numPr>
          <w:ilvl w:val="0"/>
          <w:numId w:val="102"/>
        </w:numPr>
        <w:tabs>
          <w:tab w:pos="1627" w:val="left" w:leader="none"/>
        </w:tabs>
        <w:spacing w:line="267" w:lineRule="exact" w:before="0" w:after="0"/>
        <w:ind w:left="1627" w:right="0" w:hanging="529"/>
        <w:jc w:val="left"/>
        <w:rPr>
          <w:sz w:val="21"/>
        </w:rPr>
      </w:pPr>
      <w:r>
        <w:rPr>
          <w:spacing w:val="-3"/>
          <w:sz w:val="21"/>
        </w:rPr>
        <w:t>工程竣工结算时，从结算审定价中一次性扣留质量保证金；</w:t>
      </w:r>
    </w:p>
    <w:p>
      <w:pPr>
        <w:pStyle w:val="ListParagraph"/>
        <w:numPr>
          <w:ilvl w:val="0"/>
          <w:numId w:val="102"/>
        </w:numPr>
        <w:tabs>
          <w:tab w:pos="1627" w:val="left" w:leader="none"/>
          <w:tab w:pos="6770" w:val="left" w:leader="none"/>
          <w:tab w:pos="6827" w:val="left" w:leader="none"/>
        </w:tabs>
        <w:spacing w:line="364" w:lineRule="auto" w:before="142" w:after="0"/>
        <w:ind w:left="1098" w:right="3465" w:firstLine="0"/>
        <w:jc w:val="left"/>
        <w:rPr>
          <w:sz w:val="21"/>
        </w:rPr>
      </w:pPr>
      <w:r>
        <w:rPr>
          <w:sz w:val="21"/>
        </w:rPr>
        <w:t>其</w:t>
      </w:r>
      <w:r>
        <w:rPr>
          <w:spacing w:val="-3"/>
          <w:sz w:val="21"/>
        </w:rPr>
        <w:t>他</w:t>
      </w:r>
      <w:r>
        <w:rPr>
          <w:sz w:val="21"/>
        </w:rPr>
        <w:t>扣</w:t>
      </w:r>
      <w:r>
        <w:rPr>
          <w:spacing w:val="-3"/>
          <w:sz w:val="21"/>
        </w:rPr>
        <w:t>留</w:t>
      </w:r>
      <w:r>
        <w:rPr>
          <w:sz w:val="21"/>
        </w:rPr>
        <w:t>方式</w:t>
      </w:r>
      <w:r>
        <w:rPr>
          <w:rFonts w:ascii="Times New Roman" w:eastAsia="Times New Roman"/>
          <w:sz w:val="21"/>
        </w:rPr>
        <w:t>:</w:t>
      </w:r>
      <w:r>
        <w:rPr>
          <w:rFonts w:ascii="Times New Roman" w:eastAsia="Times New Roman"/>
          <w:sz w:val="21"/>
          <w:u w:val="single"/>
        </w:rPr>
        <w:t> </w:t>
        <w:tab/>
        <w:tab/>
      </w:r>
      <w:r>
        <w:rPr>
          <w:spacing w:val="-17"/>
          <w:sz w:val="21"/>
        </w:rPr>
        <w:t>。</w:t>
      </w:r>
      <w:r>
        <w:rPr>
          <w:sz w:val="21"/>
        </w:rPr>
        <w:t>关于</w:t>
      </w:r>
      <w:r>
        <w:rPr>
          <w:spacing w:val="-3"/>
          <w:sz w:val="21"/>
        </w:rPr>
        <w:t>质</w:t>
      </w:r>
      <w:r>
        <w:rPr>
          <w:sz w:val="21"/>
        </w:rPr>
        <w:t>量</w:t>
      </w:r>
      <w:r>
        <w:rPr>
          <w:spacing w:val="-3"/>
          <w:sz w:val="21"/>
        </w:rPr>
        <w:t>保</w:t>
      </w:r>
      <w:r>
        <w:rPr>
          <w:sz w:val="21"/>
        </w:rPr>
        <w:t>证</w:t>
      </w:r>
      <w:r>
        <w:rPr>
          <w:spacing w:val="-3"/>
          <w:sz w:val="21"/>
        </w:rPr>
        <w:t>金</w:t>
      </w:r>
      <w:r>
        <w:rPr>
          <w:sz w:val="21"/>
        </w:rPr>
        <w:t>的</w:t>
      </w:r>
      <w:r>
        <w:rPr>
          <w:spacing w:val="-3"/>
          <w:sz w:val="21"/>
        </w:rPr>
        <w:t>补</w:t>
      </w:r>
      <w:r>
        <w:rPr>
          <w:sz w:val="21"/>
        </w:rPr>
        <w:t>充</w:t>
      </w:r>
      <w:r>
        <w:rPr>
          <w:spacing w:val="-3"/>
          <w:sz w:val="21"/>
        </w:rPr>
        <w:t>约</w:t>
      </w:r>
      <w:r>
        <w:rPr>
          <w:sz w:val="21"/>
        </w:rPr>
        <w:t>定：</w:t>
      </w:r>
      <w:r>
        <w:rPr>
          <w:sz w:val="21"/>
          <w:u w:val="single"/>
        </w:rPr>
        <w:t> </w:t>
        <w:tab/>
      </w:r>
      <w:r>
        <w:rPr>
          <w:sz w:val="21"/>
        </w:rPr>
        <w:t>。</w:t>
      </w:r>
    </w:p>
    <w:p>
      <w:pPr>
        <w:pStyle w:val="Heading8"/>
        <w:numPr>
          <w:ilvl w:val="1"/>
          <w:numId w:val="100"/>
        </w:numPr>
        <w:tabs>
          <w:tab w:pos="1151" w:val="left" w:leader="none"/>
        </w:tabs>
        <w:spacing w:line="315" w:lineRule="exact" w:before="0" w:after="0"/>
        <w:ind w:left="1150" w:right="0" w:hanging="473"/>
        <w:jc w:val="left"/>
      </w:pPr>
      <w:bookmarkStart w:name="15.4 保修" w:id="443"/>
      <w:bookmarkEnd w:id="443"/>
      <w:r>
        <w:rPr>
          <w:b w:val="0"/>
        </w:rPr>
      </w:r>
      <w:bookmarkStart w:name="15.4 保修" w:id="444"/>
      <w:bookmarkEnd w:id="444"/>
      <w:r>
        <w:rPr/>
        <w:t>保修</w:t>
      </w:r>
    </w:p>
    <w:p>
      <w:pPr>
        <w:pStyle w:val="ListParagraph"/>
        <w:numPr>
          <w:ilvl w:val="2"/>
          <w:numId w:val="100"/>
        </w:numPr>
        <w:tabs>
          <w:tab w:pos="1718" w:val="left" w:leader="none"/>
        </w:tabs>
        <w:spacing w:line="240" w:lineRule="auto" w:before="91" w:after="0"/>
        <w:ind w:left="1717" w:right="0" w:hanging="632"/>
        <w:jc w:val="left"/>
        <w:rPr>
          <w:sz w:val="21"/>
        </w:rPr>
      </w:pPr>
      <w:bookmarkStart w:name="15.4.1 保修责任" w:id="445"/>
      <w:bookmarkEnd w:id="445"/>
      <w:r>
        <w:rPr/>
      </w:r>
      <w:bookmarkStart w:name="15.4.1 保修责任" w:id="446"/>
      <w:bookmarkEnd w:id="446"/>
      <w:r>
        <w:rPr>
          <w:spacing w:val="-2"/>
          <w:sz w:val="21"/>
        </w:rPr>
        <w:t>保修责任</w:t>
      </w:r>
    </w:p>
    <w:p>
      <w:pPr>
        <w:pStyle w:val="BodyText"/>
        <w:spacing w:line="364" w:lineRule="auto" w:before="141"/>
        <w:ind w:left="1086" w:right="5949"/>
      </w:pPr>
      <w:r>
        <w:rPr/>
        <w:t>工程保修期为：</w:t>
      </w:r>
      <w:r>
        <w:rPr>
          <w:u w:val="single"/>
        </w:rPr>
        <w:t>见工程质量保修书</w:t>
      </w:r>
      <w:r>
        <w:rPr/>
        <w:t> 。工程保修书具体内容见合同附件 2。</w:t>
      </w:r>
    </w:p>
    <w:p>
      <w:pPr>
        <w:pStyle w:val="BodyText"/>
        <w:spacing w:line="267" w:lineRule="exact"/>
        <w:ind w:left="1086"/>
      </w:pPr>
      <w:r>
        <w:rPr>
          <w:rFonts w:ascii="Times New Roman" w:eastAsia="Times New Roman"/>
        </w:rPr>
        <w:t>15.4.3 </w:t>
      </w:r>
      <w:r>
        <w:rPr>
          <w:spacing w:val="-2"/>
        </w:rPr>
        <w:t>修复通知</w:t>
      </w:r>
    </w:p>
    <w:p>
      <w:pPr>
        <w:pStyle w:val="BodyText"/>
        <w:spacing w:before="139"/>
        <w:ind w:left="1086"/>
      </w:pPr>
      <w:r>
        <w:rPr/>
        <w:t>承包人收到保修通知并到达工程现场的合理时间：</w:t>
      </w:r>
      <w:r>
        <w:rPr>
          <w:u w:val="single"/>
        </w:rPr>
        <w:t> 收到通知后 24 小时内 </w:t>
      </w:r>
      <w:r>
        <w:rPr/>
        <w:t>。</w:t>
      </w:r>
    </w:p>
    <w:p>
      <w:pPr>
        <w:pStyle w:val="BodyText"/>
        <w:spacing w:before="3"/>
        <w:ind w:left="0"/>
        <w:rPr>
          <w:sz w:val="9"/>
        </w:rPr>
      </w:pPr>
    </w:p>
    <w:p>
      <w:pPr>
        <w:pStyle w:val="Heading8"/>
        <w:numPr>
          <w:ilvl w:val="0"/>
          <w:numId w:val="70"/>
        </w:numPr>
        <w:tabs>
          <w:tab w:pos="1074" w:val="left" w:leader="none"/>
        </w:tabs>
        <w:spacing w:line="240" w:lineRule="auto" w:before="12" w:after="0"/>
        <w:ind w:left="1074" w:right="0" w:hanging="396"/>
        <w:jc w:val="left"/>
      </w:pPr>
      <w:bookmarkStart w:name="16. 违约" w:id="447"/>
      <w:bookmarkEnd w:id="447"/>
      <w:r>
        <w:rPr>
          <w:b w:val="0"/>
        </w:rPr>
      </w:r>
      <w:bookmarkStart w:name="16. 违约" w:id="448"/>
      <w:bookmarkEnd w:id="448"/>
      <w:r>
        <w:rPr/>
        <w:t>违约</w:t>
      </w:r>
    </w:p>
    <w:p>
      <w:pPr>
        <w:pStyle w:val="ListParagraph"/>
        <w:numPr>
          <w:ilvl w:val="1"/>
          <w:numId w:val="70"/>
        </w:numPr>
        <w:tabs>
          <w:tab w:pos="1151" w:val="left" w:leader="none"/>
        </w:tabs>
        <w:spacing w:line="240" w:lineRule="auto" w:before="144" w:after="0"/>
        <w:ind w:left="1150" w:right="0" w:hanging="473"/>
        <w:jc w:val="left"/>
        <w:rPr>
          <w:rFonts w:ascii="Microsoft JhengHei" w:eastAsia="Microsoft JhengHei" w:hint="eastAsia"/>
          <w:b/>
          <w:sz w:val="21"/>
        </w:rPr>
      </w:pPr>
      <w:bookmarkStart w:name="16.1 发包人违约" w:id="449"/>
      <w:bookmarkEnd w:id="449"/>
      <w:r>
        <w:rPr/>
      </w:r>
      <w:bookmarkStart w:name="16.1 发包人违约" w:id="450"/>
      <w:bookmarkEnd w:id="450"/>
      <w:r>
        <w:rPr>
          <w:rFonts w:ascii="Microsoft JhengHei" w:eastAsia="Microsoft JhengHei" w:hint="eastAsia"/>
          <w:b/>
          <w:sz w:val="21"/>
        </w:rPr>
        <w:t>发包人违约</w:t>
      </w:r>
    </w:p>
    <w:p>
      <w:pPr>
        <w:pStyle w:val="ListParagraph"/>
        <w:numPr>
          <w:ilvl w:val="2"/>
          <w:numId w:val="70"/>
        </w:numPr>
        <w:tabs>
          <w:tab w:pos="1677" w:val="left" w:leader="none"/>
        </w:tabs>
        <w:spacing w:line="240" w:lineRule="auto" w:before="92" w:after="0"/>
        <w:ind w:left="1676" w:right="0" w:hanging="579"/>
        <w:jc w:val="left"/>
        <w:rPr>
          <w:sz w:val="21"/>
        </w:rPr>
      </w:pPr>
      <w:r>
        <w:rPr>
          <w:spacing w:val="-3"/>
          <w:sz w:val="21"/>
        </w:rPr>
        <w:t>发包人违约的情形</w:t>
      </w:r>
    </w:p>
    <w:p>
      <w:pPr>
        <w:pStyle w:val="BodyText"/>
        <w:spacing w:before="138"/>
        <w:ind w:left="1098"/>
      </w:pPr>
      <w:r>
        <w:rPr/>
        <w:t>发包人违约的其他情形：</w:t>
      </w:r>
      <w:r>
        <w:rPr>
          <w:u w:val="single"/>
        </w:rPr>
        <w:t> 按本合同专用条款约定执行 </w:t>
      </w:r>
      <w:r>
        <w:rPr/>
        <w:t>。</w:t>
      </w:r>
    </w:p>
    <w:p>
      <w:pPr>
        <w:pStyle w:val="ListParagraph"/>
        <w:numPr>
          <w:ilvl w:val="2"/>
          <w:numId w:val="70"/>
        </w:numPr>
        <w:tabs>
          <w:tab w:pos="1730" w:val="left" w:leader="none"/>
        </w:tabs>
        <w:spacing w:line="240" w:lineRule="auto" w:before="139" w:after="0"/>
        <w:ind w:left="1729" w:right="0" w:hanging="632"/>
        <w:jc w:val="left"/>
        <w:rPr>
          <w:sz w:val="21"/>
        </w:rPr>
      </w:pPr>
      <w:bookmarkStart w:name="16.1.2 发包人违约的责任" w:id="451"/>
      <w:bookmarkEnd w:id="451"/>
      <w:r>
        <w:rPr/>
      </w:r>
      <w:bookmarkStart w:name="16.1.2 发包人违约的责任" w:id="452"/>
      <w:bookmarkEnd w:id="452"/>
      <w:r>
        <w:rPr>
          <w:spacing w:val="-3"/>
          <w:sz w:val="21"/>
        </w:rPr>
        <w:t>发包人违约的责任</w:t>
      </w:r>
    </w:p>
    <w:p>
      <w:pPr>
        <w:pStyle w:val="BodyText"/>
        <w:spacing w:before="142"/>
        <w:ind w:left="1098"/>
      </w:pPr>
      <w:r>
        <w:rPr/>
        <w:t>发包人违约责任的承担方式和计算方法：</w:t>
      </w:r>
    </w:p>
    <w:p>
      <w:pPr>
        <w:pStyle w:val="ListParagraph"/>
        <w:numPr>
          <w:ilvl w:val="0"/>
          <w:numId w:val="103"/>
        </w:numPr>
        <w:tabs>
          <w:tab w:pos="1627" w:val="left" w:leader="none"/>
        </w:tabs>
        <w:spacing w:line="240" w:lineRule="auto" w:before="139" w:after="0"/>
        <w:ind w:left="1627" w:right="0" w:hanging="529"/>
        <w:jc w:val="left"/>
        <w:rPr>
          <w:sz w:val="21"/>
        </w:rPr>
      </w:pPr>
      <w:r>
        <w:rPr>
          <w:spacing w:val="-2"/>
          <w:sz w:val="21"/>
        </w:rPr>
        <w:t>因发包人原因未能在计划开工日期前</w:t>
      </w:r>
      <w:r>
        <w:rPr>
          <w:rFonts w:ascii="Times New Roman" w:eastAsia="Times New Roman"/>
          <w:sz w:val="21"/>
        </w:rPr>
        <w:t>7</w:t>
      </w:r>
      <w:r>
        <w:rPr>
          <w:rFonts w:ascii="Times New Roman" w:eastAsia="Times New Roman"/>
          <w:spacing w:val="-21"/>
          <w:sz w:val="21"/>
        </w:rPr>
        <w:t> </w:t>
      </w:r>
      <w:r>
        <w:rPr>
          <w:spacing w:val="-11"/>
          <w:sz w:val="21"/>
        </w:rPr>
        <w:t>天内下达开工通知的违约责任：</w:t>
      </w:r>
      <w:r>
        <w:rPr>
          <w:spacing w:val="-3"/>
          <w:sz w:val="21"/>
          <w:u w:val="single"/>
        </w:rPr>
        <w:t>工期相应顺延</w:t>
      </w:r>
      <w:r>
        <w:rPr>
          <w:spacing w:val="1"/>
          <w:sz w:val="21"/>
        </w:rPr>
        <w:t> 。</w:t>
      </w:r>
    </w:p>
    <w:p>
      <w:pPr>
        <w:pStyle w:val="ListParagraph"/>
        <w:numPr>
          <w:ilvl w:val="0"/>
          <w:numId w:val="103"/>
        </w:numPr>
        <w:tabs>
          <w:tab w:pos="1627" w:val="left" w:leader="none"/>
        </w:tabs>
        <w:spacing w:line="240" w:lineRule="auto" w:before="139" w:after="0"/>
        <w:ind w:left="1627" w:right="0" w:hanging="529"/>
        <w:jc w:val="left"/>
        <w:rPr>
          <w:sz w:val="21"/>
        </w:rPr>
      </w:pPr>
      <w:r>
        <w:rPr>
          <w:spacing w:val="-11"/>
          <w:sz w:val="21"/>
        </w:rPr>
        <w:t>发包人违反第 </w:t>
      </w:r>
      <w:r>
        <w:rPr>
          <w:rFonts w:ascii="Times New Roman" w:eastAsia="Times New Roman"/>
          <w:sz w:val="21"/>
        </w:rPr>
        <w:t>10.1</w:t>
      </w:r>
      <w:r>
        <w:rPr>
          <w:rFonts w:ascii="Times New Roman" w:eastAsia="Times New Roman"/>
          <w:spacing w:val="-2"/>
          <w:sz w:val="21"/>
        </w:rPr>
        <w:t> </w:t>
      </w:r>
      <w:r>
        <w:rPr>
          <w:spacing w:val="-3"/>
          <w:sz w:val="21"/>
        </w:rPr>
        <w:t>款〔变更的范围〕第</w:t>
      </w:r>
      <w:r>
        <w:rPr>
          <w:sz w:val="21"/>
        </w:rPr>
        <w:t>（</w:t>
      </w:r>
      <w:r>
        <w:rPr>
          <w:rFonts w:ascii="Times New Roman" w:eastAsia="Times New Roman"/>
          <w:sz w:val="21"/>
        </w:rPr>
        <w:t>2</w:t>
      </w:r>
      <w:r>
        <w:rPr>
          <w:sz w:val="21"/>
        </w:rPr>
        <w:t>）</w:t>
      </w:r>
      <w:r>
        <w:rPr>
          <w:spacing w:val="-3"/>
          <w:sz w:val="21"/>
        </w:rPr>
        <w:t>项约定，自行实施被取消的工作或转由</w:t>
      </w:r>
    </w:p>
    <w:p>
      <w:pPr>
        <w:spacing w:after="0" w:line="240" w:lineRule="auto"/>
        <w:jc w:val="left"/>
        <w:rPr>
          <w:sz w:val="21"/>
        </w:rPr>
        <w:sectPr>
          <w:pgSz w:w="11910" w:h="16850"/>
          <w:pgMar w:header="0" w:footer="779" w:top="1380" w:bottom="1040" w:left="1120" w:right="280"/>
        </w:sectPr>
      </w:pPr>
    </w:p>
    <w:p>
      <w:pPr>
        <w:pStyle w:val="BodyText"/>
        <w:spacing w:line="364" w:lineRule="auto" w:before="60"/>
        <w:ind w:right="1208"/>
      </w:pPr>
      <w:r>
        <w:rPr>
          <w:spacing w:val="-3"/>
        </w:rPr>
        <w:t>他人实施的违约责任：</w:t>
      </w:r>
      <w:r>
        <w:rPr>
          <w:spacing w:val="-3"/>
          <w:u w:val="single"/>
        </w:rPr>
        <w:t>如发生，发包人应补偿承包人利润损失及其他损失，具体损失及配合费</w:t>
      </w:r>
      <w:r>
        <w:rPr>
          <w:spacing w:val="-204"/>
          <w:u w:val="single"/>
        </w:rPr>
        <w:t>等费</w:t>
      </w:r>
      <w:r>
        <w:rPr>
          <w:spacing w:val="-3"/>
          <w:u w:val="single"/>
        </w:rPr>
        <w:t>用双方另行协商</w:t>
      </w:r>
      <w:r>
        <w:rPr/>
        <w:t>。</w:t>
      </w:r>
    </w:p>
    <w:p>
      <w:pPr>
        <w:pStyle w:val="ListParagraph"/>
        <w:numPr>
          <w:ilvl w:val="0"/>
          <w:numId w:val="103"/>
        </w:numPr>
        <w:tabs>
          <w:tab w:pos="1627" w:val="left" w:leader="none"/>
        </w:tabs>
        <w:spacing w:line="364" w:lineRule="auto" w:before="0" w:after="0"/>
        <w:ind w:left="678" w:right="1151" w:firstLine="419"/>
        <w:jc w:val="both"/>
        <w:rPr>
          <w:sz w:val="21"/>
        </w:rPr>
      </w:pPr>
      <w:r>
        <w:rPr>
          <w:spacing w:val="-7"/>
          <w:sz w:val="21"/>
        </w:rPr>
        <w:t>发包人提供的材料、工程设备的规格、数量或质量不符合合同约定，或因发包人原因</w:t>
      </w:r>
      <w:r>
        <w:rPr>
          <w:spacing w:val="-5"/>
          <w:sz w:val="21"/>
        </w:rPr>
        <w:t>导致交货日期延误或交货地点变更等情况的违约责任：</w:t>
      </w:r>
      <w:r>
        <w:rPr>
          <w:spacing w:val="-3"/>
          <w:sz w:val="21"/>
          <w:u w:val="single"/>
        </w:rPr>
        <w:t>如发生，承包人的损失按实际发生计，</w:t>
      </w:r>
      <w:r>
        <w:rPr>
          <w:spacing w:val="-176"/>
          <w:sz w:val="21"/>
          <w:u w:val="single"/>
        </w:rPr>
        <w:t>工期</w:t>
      </w:r>
      <w:r>
        <w:rPr>
          <w:spacing w:val="-3"/>
          <w:sz w:val="21"/>
          <w:u w:val="single"/>
        </w:rPr>
        <w:t>按延误天数相应顺延</w:t>
      </w:r>
      <w:r>
        <w:rPr>
          <w:sz w:val="21"/>
        </w:rPr>
        <w:t>。</w:t>
      </w:r>
    </w:p>
    <w:p>
      <w:pPr>
        <w:pStyle w:val="ListParagraph"/>
        <w:numPr>
          <w:ilvl w:val="0"/>
          <w:numId w:val="103"/>
        </w:numPr>
        <w:tabs>
          <w:tab w:pos="1627" w:val="left" w:leader="none"/>
        </w:tabs>
        <w:spacing w:line="364" w:lineRule="auto" w:before="0" w:after="0"/>
        <w:ind w:left="678" w:right="1151" w:firstLine="419"/>
        <w:jc w:val="both"/>
        <w:rPr>
          <w:sz w:val="21"/>
        </w:rPr>
      </w:pPr>
      <w:r>
        <w:rPr>
          <w:spacing w:val="-4"/>
          <w:sz w:val="21"/>
        </w:rPr>
        <w:t>因发包人违反合同约定造成暂停施工的违约责任：</w:t>
      </w:r>
      <w:r>
        <w:rPr>
          <w:spacing w:val="-5"/>
          <w:sz w:val="21"/>
          <w:u w:val="single"/>
        </w:rPr>
        <w:t>如发生，承包人的损失按实际发 </w:t>
      </w:r>
      <w:r>
        <w:rPr>
          <w:sz w:val="21"/>
          <w:u w:val="single"/>
        </w:rPr>
        <w:t>生</w:t>
      </w:r>
      <w:r>
        <w:rPr>
          <w:spacing w:val="-205"/>
          <w:sz w:val="21"/>
          <w:u w:val="single"/>
        </w:rPr>
        <w:t>计，</w:t>
      </w:r>
      <w:r>
        <w:rPr>
          <w:spacing w:val="-3"/>
          <w:sz w:val="21"/>
          <w:u w:val="single"/>
        </w:rPr>
        <w:t>工期按延误天数相应顺延</w:t>
      </w:r>
      <w:r>
        <w:rPr>
          <w:spacing w:val="-1"/>
          <w:sz w:val="21"/>
        </w:rPr>
        <w:t> 。</w:t>
      </w:r>
    </w:p>
    <w:p>
      <w:pPr>
        <w:pStyle w:val="ListParagraph"/>
        <w:numPr>
          <w:ilvl w:val="0"/>
          <w:numId w:val="103"/>
        </w:numPr>
        <w:tabs>
          <w:tab w:pos="1627" w:val="left" w:leader="none"/>
        </w:tabs>
        <w:spacing w:line="364" w:lineRule="auto" w:before="0" w:after="0"/>
        <w:ind w:left="678" w:right="1045" w:firstLine="419"/>
        <w:jc w:val="left"/>
        <w:rPr>
          <w:sz w:val="21"/>
        </w:rPr>
      </w:pPr>
      <w:r>
        <w:rPr>
          <w:spacing w:val="-7"/>
          <w:sz w:val="21"/>
        </w:rPr>
        <w:t>发包人无正当理由没有在约定期限内发出复工指示，导致承包人无法复工的违约责任</w:t>
      </w:r>
      <w:r>
        <w:rPr>
          <w:sz w:val="21"/>
        </w:rPr>
        <w:t>：</w:t>
      </w:r>
      <w:r>
        <w:rPr>
          <w:spacing w:val="-3"/>
          <w:sz w:val="21"/>
          <w:u w:val="single"/>
        </w:rPr>
        <w:t>以承包人提供的事实依据给予确定违约责任、工期顺延</w:t>
      </w:r>
      <w:r>
        <w:rPr>
          <w:sz w:val="21"/>
        </w:rPr>
        <w:t>。</w:t>
      </w:r>
    </w:p>
    <w:p>
      <w:pPr>
        <w:pStyle w:val="ListParagraph"/>
        <w:numPr>
          <w:ilvl w:val="0"/>
          <w:numId w:val="103"/>
        </w:numPr>
        <w:tabs>
          <w:tab w:pos="1627" w:val="left" w:leader="none"/>
          <w:tab w:pos="3618" w:val="left" w:leader="none"/>
          <w:tab w:pos="5776" w:val="left" w:leader="none"/>
        </w:tabs>
        <w:spacing w:line="268" w:lineRule="exact" w:before="0" w:after="0"/>
        <w:ind w:left="1627" w:right="0" w:hanging="529"/>
        <w:jc w:val="left"/>
        <w:rPr>
          <w:sz w:val="21"/>
        </w:rPr>
      </w:pPr>
      <w:r>
        <w:rPr>
          <w:sz w:val="21"/>
        </w:rPr>
        <w:t>其</w:t>
      </w:r>
      <w:r>
        <w:rPr>
          <w:spacing w:val="-3"/>
          <w:sz w:val="21"/>
        </w:rPr>
        <w:t>他</w:t>
      </w:r>
      <w:r>
        <w:rPr>
          <w:sz w:val="21"/>
        </w:rPr>
        <w:t>：</w:t>
      </w:r>
      <w:r>
        <w:rPr>
          <w:sz w:val="21"/>
          <w:u w:val="single"/>
        </w:rPr>
        <w:t> </w:t>
        <w:tab/>
      </w:r>
      <w:r>
        <w:rPr>
          <w:rFonts w:ascii="Times New Roman" w:eastAsia="Times New Roman"/>
          <w:sz w:val="21"/>
          <w:u w:val="single"/>
        </w:rPr>
        <w:t>/</w:t>
        <w:tab/>
      </w:r>
      <w:r>
        <w:rPr>
          <w:sz w:val="21"/>
          <w:u w:val="single"/>
        </w:rPr>
        <w:t>。</w:t>
      </w:r>
    </w:p>
    <w:p>
      <w:pPr>
        <w:pStyle w:val="ListParagraph"/>
        <w:numPr>
          <w:ilvl w:val="2"/>
          <w:numId w:val="70"/>
        </w:numPr>
        <w:tabs>
          <w:tab w:pos="1730" w:val="left" w:leader="none"/>
        </w:tabs>
        <w:spacing w:line="240" w:lineRule="auto" w:before="137" w:after="0"/>
        <w:ind w:left="1729" w:right="0" w:hanging="632"/>
        <w:jc w:val="left"/>
        <w:rPr>
          <w:sz w:val="21"/>
        </w:rPr>
      </w:pPr>
      <w:r>
        <w:rPr>
          <w:spacing w:val="-3"/>
          <w:sz w:val="21"/>
        </w:rPr>
        <w:t>因发包人违约解除合同</w:t>
      </w:r>
    </w:p>
    <w:p>
      <w:pPr>
        <w:pStyle w:val="BodyText"/>
        <w:spacing w:line="367" w:lineRule="auto" w:before="139"/>
        <w:ind w:right="1151" w:firstLine="419"/>
      </w:pPr>
      <w:r>
        <w:rPr/>
        <w:t>承包人按</w:t>
      </w:r>
      <w:r>
        <w:rPr>
          <w:rFonts w:ascii="Times New Roman" w:eastAsia="Times New Roman"/>
        </w:rPr>
        <w:t>16.1.1</w:t>
      </w:r>
      <w:r>
        <w:rPr/>
        <w:t>项〔发包人违约的情形〕约定暂停施工满</w:t>
      </w:r>
      <w:r>
        <w:rPr>
          <w:u w:val="single"/>
        </w:rPr>
        <w:t> </w:t>
      </w:r>
      <w:r>
        <w:rPr>
          <w:rFonts w:ascii="Times New Roman" w:eastAsia="Times New Roman"/>
          <w:u w:val="single"/>
        </w:rPr>
        <w:t>60 </w:t>
      </w:r>
      <w:r>
        <w:rPr/>
        <w:t>天后发包人仍不纠正其违约行为并致使合同目的不能实现的，承包人有权解除合同。</w:t>
      </w:r>
    </w:p>
    <w:p>
      <w:pPr>
        <w:pStyle w:val="Heading8"/>
        <w:numPr>
          <w:ilvl w:val="1"/>
          <w:numId w:val="70"/>
        </w:numPr>
        <w:tabs>
          <w:tab w:pos="1151" w:val="left" w:leader="none"/>
        </w:tabs>
        <w:spacing w:line="312" w:lineRule="exact" w:before="0" w:after="0"/>
        <w:ind w:left="1150" w:right="0" w:hanging="473"/>
        <w:jc w:val="left"/>
      </w:pPr>
      <w:bookmarkStart w:name="16.2 承包人违约" w:id="453"/>
      <w:bookmarkEnd w:id="453"/>
      <w:r>
        <w:rPr>
          <w:b w:val="0"/>
        </w:rPr>
      </w:r>
      <w:bookmarkStart w:name="16.2 承包人违约" w:id="454"/>
      <w:bookmarkEnd w:id="454"/>
      <w:r>
        <w:rPr/>
        <w:t>承包人违约</w:t>
      </w:r>
    </w:p>
    <w:p>
      <w:pPr>
        <w:pStyle w:val="ListParagraph"/>
        <w:numPr>
          <w:ilvl w:val="2"/>
          <w:numId w:val="70"/>
        </w:numPr>
        <w:tabs>
          <w:tab w:pos="1730" w:val="left" w:leader="none"/>
        </w:tabs>
        <w:spacing w:line="240" w:lineRule="auto" w:before="92" w:after="0"/>
        <w:ind w:left="1729" w:right="0" w:hanging="632"/>
        <w:jc w:val="left"/>
        <w:rPr>
          <w:sz w:val="21"/>
        </w:rPr>
      </w:pPr>
      <w:r>
        <w:rPr>
          <w:spacing w:val="-3"/>
          <w:sz w:val="21"/>
        </w:rPr>
        <w:t>承包人违约的情形</w:t>
      </w:r>
    </w:p>
    <w:p>
      <w:pPr>
        <w:pStyle w:val="BodyText"/>
        <w:spacing w:before="138"/>
        <w:ind w:left="1098"/>
      </w:pPr>
      <w:r>
        <w:rPr/>
        <w:t>承包人违约的其他情形：</w:t>
      </w:r>
      <w:r>
        <w:rPr>
          <w:u w:val="single"/>
        </w:rPr>
        <w:t>按本合同通用条款执行</w:t>
      </w:r>
      <w:r>
        <w:rPr/>
        <w:t>。</w:t>
      </w:r>
    </w:p>
    <w:p>
      <w:pPr>
        <w:pStyle w:val="ListParagraph"/>
        <w:numPr>
          <w:ilvl w:val="2"/>
          <w:numId w:val="70"/>
        </w:numPr>
        <w:tabs>
          <w:tab w:pos="1677" w:val="left" w:leader="none"/>
        </w:tabs>
        <w:spacing w:line="240" w:lineRule="auto" w:before="139" w:after="0"/>
        <w:ind w:left="1676" w:right="0" w:hanging="579"/>
        <w:jc w:val="left"/>
        <w:rPr>
          <w:sz w:val="21"/>
        </w:rPr>
      </w:pPr>
      <w:bookmarkStart w:name="16.2.2承包人违约的责任" w:id="455"/>
      <w:bookmarkEnd w:id="455"/>
      <w:r>
        <w:rPr/>
      </w:r>
      <w:bookmarkStart w:name="16.2.2承包人违约的责任" w:id="456"/>
      <w:bookmarkEnd w:id="456"/>
      <w:r>
        <w:rPr>
          <w:spacing w:val="-3"/>
          <w:sz w:val="21"/>
        </w:rPr>
        <w:t>承包人违约的责任</w:t>
      </w:r>
    </w:p>
    <w:p>
      <w:pPr>
        <w:pStyle w:val="BodyText"/>
        <w:spacing w:before="142"/>
        <w:ind w:left="1098"/>
      </w:pPr>
      <w:r>
        <w:rPr/>
        <w:t>承包人违约责任的承担方式和计算方法：</w:t>
      </w:r>
    </w:p>
    <w:p>
      <w:pPr>
        <w:pStyle w:val="ListParagraph"/>
        <w:numPr>
          <w:ilvl w:val="0"/>
          <w:numId w:val="104"/>
        </w:numPr>
        <w:tabs>
          <w:tab w:pos="1627" w:val="left" w:leader="none"/>
        </w:tabs>
        <w:spacing w:line="364" w:lineRule="auto" w:before="139" w:after="0"/>
        <w:ind w:left="678" w:right="1160" w:firstLine="419"/>
        <w:jc w:val="both"/>
        <w:rPr>
          <w:sz w:val="21"/>
        </w:rPr>
      </w:pPr>
      <w:r>
        <w:rPr>
          <w:spacing w:val="-5"/>
          <w:sz w:val="21"/>
        </w:rPr>
        <w:t>承包人未按本合同通用条款第 </w:t>
      </w:r>
      <w:r>
        <w:rPr>
          <w:rFonts w:ascii="Times New Roman" w:eastAsia="Times New Roman"/>
          <w:sz w:val="21"/>
        </w:rPr>
        <w:t>16.2.1</w:t>
      </w:r>
      <w:r>
        <w:rPr>
          <w:sz w:val="21"/>
        </w:rPr>
        <w:t>（</w:t>
      </w:r>
      <w:r>
        <w:rPr>
          <w:rFonts w:ascii="Times New Roman" w:eastAsia="Times New Roman"/>
          <w:sz w:val="21"/>
        </w:rPr>
        <w:t>2</w:t>
      </w:r>
      <w:r>
        <w:rPr>
          <w:sz w:val="21"/>
        </w:rPr>
        <w:t>）</w:t>
      </w:r>
      <w:r>
        <w:rPr>
          <w:spacing w:val="-3"/>
          <w:sz w:val="21"/>
        </w:rPr>
        <w:t>、</w:t>
      </w:r>
      <w:r>
        <w:rPr>
          <w:sz w:val="21"/>
        </w:rPr>
        <w:t>（</w:t>
      </w:r>
      <w:r>
        <w:rPr>
          <w:rFonts w:ascii="Times New Roman" w:eastAsia="Times New Roman"/>
          <w:sz w:val="21"/>
        </w:rPr>
        <w:t>3</w:t>
      </w:r>
      <w:r>
        <w:rPr>
          <w:sz w:val="21"/>
        </w:rPr>
        <w:t>）</w:t>
      </w:r>
      <w:r>
        <w:rPr>
          <w:spacing w:val="-3"/>
          <w:sz w:val="21"/>
        </w:rPr>
        <w:t>条内容完成的，承包人无条件返工处理，修复至工程质量要求并承担相关费用，并在发包人规定的时间内完成返工，否则发包人</w:t>
      </w:r>
      <w:r>
        <w:rPr>
          <w:spacing w:val="-8"/>
          <w:sz w:val="21"/>
        </w:rPr>
        <w:t>有权扣罚该分项工程 </w:t>
      </w:r>
      <w:r>
        <w:rPr>
          <w:rFonts w:ascii="Times New Roman" w:eastAsia="Times New Roman"/>
          <w:sz w:val="21"/>
        </w:rPr>
        <w:t>10%</w:t>
      </w:r>
      <w:r>
        <w:rPr>
          <w:spacing w:val="-3"/>
          <w:sz w:val="21"/>
        </w:rPr>
        <w:t>的工程款作为处罚。</w:t>
      </w:r>
    </w:p>
    <w:p>
      <w:pPr>
        <w:pStyle w:val="ListParagraph"/>
        <w:numPr>
          <w:ilvl w:val="0"/>
          <w:numId w:val="104"/>
        </w:numPr>
        <w:tabs>
          <w:tab w:pos="1627" w:val="left" w:leader="none"/>
        </w:tabs>
        <w:spacing w:line="364" w:lineRule="auto" w:before="0" w:after="0"/>
        <w:ind w:left="678" w:right="1153" w:firstLine="419"/>
        <w:jc w:val="both"/>
        <w:rPr>
          <w:sz w:val="21"/>
        </w:rPr>
      </w:pPr>
      <w:r>
        <w:rPr>
          <w:spacing w:val="-4"/>
          <w:sz w:val="21"/>
        </w:rPr>
        <w:t>承包人有本合同通用条款第 </w:t>
      </w:r>
      <w:r>
        <w:rPr>
          <w:rFonts w:ascii="Times New Roman" w:eastAsia="Times New Roman"/>
          <w:spacing w:val="-7"/>
          <w:sz w:val="21"/>
        </w:rPr>
        <w:t>16.2.1</w:t>
      </w:r>
      <w:r>
        <w:rPr>
          <w:spacing w:val="-7"/>
          <w:sz w:val="21"/>
        </w:rPr>
        <w:t>（</w:t>
      </w:r>
      <w:r>
        <w:rPr>
          <w:rFonts w:ascii="Times New Roman" w:eastAsia="Times New Roman"/>
          <w:spacing w:val="-7"/>
          <w:sz w:val="21"/>
        </w:rPr>
        <w:t>6</w:t>
      </w:r>
      <w:r>
        <w:rPr>
          <w:spacing w:val="-7"/>
          <w:sz w:val="21"/>
        </w:rPr>
        <w:t>）条情形的，或经监理人检验认为修复质量不</w:t>
      </w:r>
      <w:r>
        <w:rPr>
          <w:spacing w:val="-3"/>
          <w:sz w:val="21"/>
        </w:rPr>
        <w:t>合格而承包人拒绝再进行修补的，发包人将扣除承包人全部质量保修金。</w:t>
      </w:r>
    </w:p>
    <w:p>
      <w:pPr>
        <w:pStyle w:val="ListParagraph"/>
        <w:numPr>
          <w:ilvl w:val="0"/>
          <w:numId w:val="104"/>
        </w:numPr>
        <w:tabs>
          <w:tab w:pos="1627" w:val="left" w:leader="none"/>
        </w:tabs>
        <w:spacing w:line="364" w:lineRule="auto" w:before="0" w:after="0"/>
        <w:ind w:left="678" w:right="1105" w:firstLine="419"/>
        <w:jc w:val="left"/>
        <w:rPr>
          <w:sz w:val="21"/>
        </w:rPr>
      </w:pPr>
      <w:r>
        <w:rPr>
          <w:spacing w:val="-6"/>
          <w:sz w:val="21"/>
        </w:rPr>
        <w:t>承包人有本专用合同条款 </w:t>
      </w:r>
      <w:r>
        <w:rPr>
          <w:rFonts w:ascii="Times New Roman" w:eastAsia="Times New Roman"/>
          <w:sz w:val="21"/>
        </w:rPr>
        <w:t>3.2</w:t>
      </w:r>
      <w:r>
        <w:rPr>
          <w:sz w:val="21"/>
        </w:rPr>
        <w:t>、</w:t>
      </w:r>
      <w:r>
        <w:rPr>
          <w:rFonts w:ascii="Times New Roman" w:eastAsia="Times New Roman"/>
          <w:sz w:val="21"/>
        </w:rPr>
        <w:t>3.3</w:t>
      </w:r>
      <w:r>
        <w:rPr>
          <w:rFonts w:ascii="Times New Roman" w:eastAsia="Times New Roman"/>
          <w:spacing w:val="16"/>
          <w:sz w:val="21"/>
        </w:rPr>
        <w:t> </w:t>
      </w:r>
      <w:r>
        <w:rPr>
          <w:spacing w:val="-3"/>
          <w:sz w:val="21"/>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w:t>
      </w:r>
      <w:r>
        <w:rPr>
          <w:sz w:val="21"/>
        </w:rPr>
        <w:t>（</w:t>
      </w:r>
      <w:r>
        <w:rPr>
          <w:spacing w:val="-3"/>
          <w:sz w:val="21"/>
        </w:rPr>
        <w:t>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pPr>
        <w:pStyle w:val="ListParagraph"/>
        <w:numPr>
          <w:ilvl w:val="2"/>
          <w:numId w:val="70"/>
        </w:numPr>
        <w:tabs>
          <w:tab w:pos="1730" w:val="left" w:leader="none"/>
        </w:tabs>
        <w:spacing w:line="265" w:lineRule="exact" w:before="0" w:after="0"/>
        <w:ind w:left="1729" w:right="0" w:hanging="632"/>
        <w:jc w:val="left"/>
        <w:rPr>
          <w:sz w:val="21"/>
        </w:rPr>
      </w:pPr>
      <w:r>
        <w:rPr>
          <w:spacing w:val="-3"/>
          <w:sz w:val="21"/>
        </w:rPr>
        <w:t>因承包人违约解除合同</w:t>
      </w:r>
    </w:p>
    <w:p>
      <w:pPr>
        <w:pStyle w:val="BodyText"/>
        <w:spacing w:line="364" w:lineRule="auto" w:before="139"/>
        <w:ind w:right="1209" w:firstLine="419"/>
      </w:pPr>
      <w:r>
        <w:rPr>
          <w:spacing w:val="-3"/>
        </w:rPr>
        <w:t>关于承包人违约解除合同的特别约定：</w:t>
      </w:r>
      <w:r>
        <w:rPr>
          <w:spacing w:val="-3"/>
          <w:u w:val="single"/>
        </w:rPr>
        <w:t>承包人有违反以下情况之一的，发包人有权解除合</w:t>
      </w:r>
      <w:r>
        <w:rPr>
          <w:spacing w:val="-205"/>
          <w:u w:val="single"/>
        </w:rPr>
        <w:t>同，</w:t>
      </w:r>
      <w:r>
        <w:rPr>
          <w:spacing w:val="-103"/>
          <w:u w:val="single"/>
        </w:rPr>
        <w:t> </w:t>
      </w:r>
      <w:r>
        <w:rPr>
          <w:spacing w:val="-3"/>
          <w:u w:val="single"/>
        </w:rPr>
        <w:t>并没收其全部履约保证金</w:t>
      </w:r>
      <w:r>
        <w:rPr/>
        <w:t>。</w:t>
      </w:r>
    </w:p>
    <w:p>
      <w:pPr>
        <w:pStyle w:val="ListParagraph"/>
        <w:numPr>
          <w:ilvl w:val="0"/>
          <w:numId w:val="105"/>
        </w:numPr>
        <w:tabs>
          <w:tab w:pos="1345" w:val="left" w:leader="none"/>
        </w:tabs>
        <w:spacing w:line="267" w:lineRule="exact" w:before="0" w:after="0"/>
        <w:ind w:left="1344" w:right="0" w:hanging="247"/>
        <w:jc w:val="left"/>
        <w:rPr>
          <w:sz w:val="21"/>
        </w:rPr>
      </w:pPr>
      <w:r>
        <w:rPr>
          <w:spacing w:val="-3"/>
          <w:sz w:val="21"/>
        </w:rPr>
        <w:t>承包人无正当理由不按开工通知的要求及时进场组织施工和不按签订协议书时商定的进</w:t>
      </w:r>
    </w:p>
    <w:p>
      <w:pPr>
        <w:spacing w:after="0" w:line="267" w:lineRule="exact"/>
        <w:jc w:val="left"/>
        <w:rPr>
          <w:sz w:val="21"/>
        </w:rPr>
        <w:sectPr>
          <w:pgSz w:w="11910" w:h="16850"/>
          <w:pgMar w:header="0" w:footer="779" w:top="1380" w:bottom="1040" w:left="1120" w:right="280"/>
        </w:sectPr>
      </w:pPr>
    </w:p>
    <w:p>
      <w:pPr>
        <w:pStyle w:val="BodyText"/>
        <w:spacing w:before="60"/>
      </w:pPr>
      <w:r>
        <w:rPr/>
        <w:t>度计划有效地开展施工准备，造成工期延误的；</w:t>
      </w:r>
    </w:p>
    <w:p>
      <w:pPr>
        <w:pStyle w:val="ListParagraph"/>
        <w:numPr>
          <w:ilvl w:val="0"/>
          <w:numId w:val="105"/>
        </w:numPr>
        <w:tabs>
          <w:tab w:pos="1345" w:val="left" w:leader="none"/>
        </w:tabs>
        <w:spacing w:line="364" w:lineRule="auto" w:before="139" w:after="0"/>
        <w:ind w:left="678" w:right="1228" w:firstLine="419"/>
        <w:jc w:val="left"/>
        <w:rPr>
          <w:sz w:val="21"/>
        </w:rPr>
      </w:pPr>
      <w:r>
        <w:rPr>
          <w:spacing w:val="-6"/>
          <w:sz w:val="21"/>
        </w:rPr>
        <w:t>承包人违反本合同通用条款第 </w:t>
      </w:r>
      <w:r>
        <w:rPr>
          <w:rFonts w:ascii="Times New Roman" w:eastAsia="Times New Roman"/>
          <w:sz w:val="21"/>
        </w:rPr>
        <w:t>3.5</w:t>
      </w:r>
      <w:r>
        <w:rPr>
          <w:rFonts w:ascii="Times New Roman" w:eastAsia="Times New Roman"/>
          <w:spacing w:val="16"/>
          <w:sz w:val="21"/>
        </w:rPr>
        <w:t> </w:t>
      </w:r>
      <w:r>
        <w:rPr>
          <w:spacing w:val="-3"/>
          <w:sz w:val="21"/>
        </w:rPr>
        <w:t>条规定私自将合同或合同的任何部分或任何权利转让给其他人，或私自将工程或工程的一部分分包出去的；</w:t>
      </w:r>
    </w:p>
    <w:p>
      <w:pPr>
        <w:pStyle w:val="ListParagraph"/>
        <w:numPr>
          <w:ilvl w:val="0"/>
          <w:numId w:val="105"/>
        </w:numPr>
        <w:tabs>
          <w:tab w:pos="1345" w:val="left" w:leader="none"/>
        </w:tabs>
        <w:spacing w:line="364" w:lineRule="auto" w:before="1" w:after="0"/>
        <w:ind w:left="678" w:right="1175" w:firstLine="419"/>
        <w:jc w:val="left"/>
        <w:rPr>
          <w:sz w:val="21"/>
        </w:rPr>
      </w:pPr>
      <w:r>
        <w:rPr>
          <w:spacing w:val="-3"/>
          <w:sz w:val="21"/>
        </w:rPr>
        <w:t>未经监理人批准，承包人私自将已按投标文件承诺进入工地的工程设备、施工设备、临时工程或材料撤离工地的；</w:t>
      </w:r>
    </w:p>
    <w:p>
      <w:pPr>
        <w:pStyle w:val="ListParagraph"/>
        <w:numPr>
          <w:ilvl w:val="0"/>
          <w:numId w:val="105"/>
        </w:numPr>
        <w:tabs>
          <w:tab w:pos="1345" w:val="left" w:leader="none"/>
        </w:tabs>
        <w:spacing w:line="364" w:lineRule="auto" w:before="0" w:after="0"/>
        <w:ind w:left="678" w:right="1175" w:firstLine="419"/>
        <w:jc w:val="left"/>
        <w:rPr>
          <w:sz w:val="21"/>
        </w:rPr>
      </w:pPr>
      <w:r>
        <w:rPr>
          <w:spacing w:val="-3"/>
          <w:sz w:val="21"/>
        </w:rPr>
        <w:t>由于承包人原因拒绝按合同进度计划及时完成合同规定的工程，而又未采取有效措施赶上进度，造成工期严重延误的；</w:t>
      </w:r>
    </w:p>
    <w:p>
      <w:pPr>
        <w:pStyle w:val="ListParagraph"/>
        <w:numPr>
          <w:ilvl w:val="0"/>
          <w:numId w:val="105"/>
        </w:numPr>
        <w:tabs>
          <w:tab w:pos="1345" w:val="left" w:leader="none"/>
        </w:tabs>
        <w:spacing w:line="364" w:lineRule="auto" w:before="0" w:after="0"/>
        <w:ind w:left="678" w:right="1152" w:firstLine="419"/>
        <w:jc w:val="left"/>
        <w:rPr>
          <w:sz w:val="21"/>
        </w:rPr>
      </w:pPr>
      <w:r>
        <w:rPr>
          <w:spacing w:val="-4"/>
          <w:sz w:val="21"/>
        </w:rPr>
        <w:t>承包人否认合同有效或拒绝履行合同规定的承包人义务，或由于法律、财务等原因导致</w:t>
      </w:r>
      <w:r>
        <w:rPr>
          <w:spacing w:val="-3"/>
          <w:sz w:val="21"/>
        </w:rPr>
        <w:t>承包人无法继续履行或实质上已停止履行合同的义务的；</w:t>
      </w:r>
    </w:p>
    <w:p>
      <w:pPr>
        <w:pStyle w:val="ListParagraph"/>
        <w:numPr>
          <w:ilvl w:val="0"/>
          <w:numId w:val="105"/>
        </w:numPr>
        <w:tabs>
          <w:tab w:pos="1449" w:val="left" w:leader="none"/>
        </w:tabs>
        <w:spacing w:line="364" w:lineRule="auto" w:before="0" w:after="0"/>
        <w:ind w:left="678" w:right="1148" w:firstLine="419"/>
        <w:jc w:val="left"/>
        <w:rPr>
          <w:sz w:val="21"/>
        </w:rPr>
      </w:pPr>
      <w:r>
        <w:rPr>
          <w:spacing w:val="-7"/>
          <w:sz w:val="21"/>
        </w:rPr>
        <w:t>合同签订且具备法定开工条件后之日起十五日内，承包人无法按合同规定及投标文件的</w:t>
      </w:r>
      <w:r>
        <w:rPr>
          <w:spacing w:val="-5"/>
          <w:sz w:val="21"/>
        </w:rPr>
        <w:t>承诺进场经监理工程师认可的该施工阶段应有的全部人员和机械的。</w:t>
      </w:r>
    </w:p>
    <w:p>
      <w:pPr>
        <w:pStyle w:val="BodyText"/>
        <w:tabs>
          <w:tab w:pos="8976" w:val="left" w:leader="none"/>
        </w:tabs>
        <w:spacing w:line="367" w:lineRule="auto"/>
        <w:ind w:right="1154" w:firstLine="419"/>
      </w:pPr>
      <w:r>
        <w:rPr/>
        <w:t>发包人继续使用承包人在施工现场的材料、设备、临时工程、承包人文件和由承包人或</w:t>
      </w:r>
      <w:r>
        <w:rPr>
          <w:spacing w:val="-16"/>
        </w:rPr>
        <w:t>以</w:t>
      </w:r>
      <w:r>
        <w:rPr/>
        <w:t>其名</w:t>
      </w:r>
      <w:r>
        <w:rPr>
          <w:spacing w:val="-3"/>
        </w:rPr>
        <w:t>义</w:t>
      </w:r>
      <w:r>
        <w:rPr/>
        <w:t>编</w:t>
      </w:r>
      <w:r>
        <w:rPr>
          <w:spacing w:val="-3"/>
        </w:rPr>
        <w:t>制</w:t>
      </w:r>
      <w:r>
        <w:rPr/>
        <w:t>的</w:t>
      </w:r>
      <w:r>
        <w:rPr>
          <w:spacing w:val="-3"/>
        </w:rPr>
        <w:t>其</w:t>
      </w:r>
      <w:r>
        <w:rPr/>
        <w:t>他</w:t>
      </w:r>
      <w:r>
        <w:rPr>
          <w:spacing w:val="-3"/>
        </w:rPr>
        <w:t>文</w:t>
      </w:r>
      <w:r>
        <w:rPr/>
        <w:t>件</w:t>
      </w:r>
      <w:r>
        <w:rPr>
          <w:spacing w:val="-3"/>
        </w:rPr>
        <w:t>的</w:t>
      </w:r>
      <w:r>
        <w:rPr/>
        <w:t>费用</w:t>
      </w:r>
      <w:r>
        <w:rPr>
          <w:spacing w:val="-3"/>
        </w:rPr>
        <w:t>承</w:t>
      </w:r>
      <w:r>
        <w:rPr/>
        <w:t>担</w:t>
      </w:r>
      <w:r>
        <w:rPr>
          <w:spacing w:val="-3"/>
        </w:rPr>
        <w:t>方</w:t>
      </w:r>
      <w:r>
        <w:rPr/>
        <w:t>式</w:t>
      </w:r>
      <w:r>
        <w:rPr>
          <w:spacing w:val="-3"/>
        </w:rPr>
        <w:t>：</w:t>
      </w:r>
      <w:r>
        <w:rPr>
          <w:spacing w:val="-3"/>
          <w:u w:val="single"/>
        </w:rPr>
        <w:t> </w:t>
        <w:tab/>
      </w:r>
      <w:r>
        <w:rPr/>
        <w:t>。</w:t>
      </w:r>
    </w:p>
    <w:p>
      <w:pPr>
        <w:pStyle w:val="Heading8"/>
        <w:numPr>
          <w:ilvl w:val="0"/>
          <w:numId w:val="70"/>
        </w:numPr>
        <w:tabs>
          <w:tab w:pos="1074" w:val="left" w:leader="none"/>
        </w:tabs>
        <w:spacing w:line="367" w:lineRule="exact" w:before="0" w:after="0"/>
        <w:ind w:left="1074" w:right="0" w:hanging="396"/>
        <w:jc w:val="left"/>
      </w:pPr>
      <w:bookmarkStart w:name="17. 不可抗力" w:id="457"/>
      <w:bookmarkEnd w:id="457"/>
      <w:r>
        <w:rPr>
          <w:b w:val="0"/>
        </w:rPr>
      </w:r>
      <w:bookmarkStart w:name="17. 不可抗力" w:id="458"/>
      <w:bookmarkEnd w:id="458"/>
      <w:r>
        <w:rPr/>
        <w:t>不可抗力</w:t>
      </w:r>
    </w:p>
    <w:p>
      <w:pPr>
        <w:pStyle w:val="ListParagraph"/>
        <w:numPr>
          <w:ilvl w:val="1"/>
          <w:numId w:val="70"/>
        </w:numPr>
        <w:tabs>
          <w:tab w:pos="1151" w:val="left" w:leader="none"/>
        </w:tabs>
        <w:spacing w:line="240" w:lineRule="auto" w:before="142" w:after="0"/>
        <w:ind w:left="1150" w:right="0" w:hanging="473"/>
        <w:jc w:val="left"/>
        <w:rPr>
          <w:rFonts w:ascii="Microsoft JhengHei" w:eastAsia="Microsoft JhengHei" w:hint="eastAsia"/>
          <w:b/>
          <w:sz w:val="21"/>
        </w:rPr>
      </w:pPr>
      <w:bookmarkStart w:name="17.1 不可抗力的确认" w:id="459"/>
      <w:bookmarkEnd w:id="459"/>
      <w:r>
        <w:rPr/>
      </w:r>
      <w:bookmarkStart w:name="17.1 不可抗力的确认" w:id="460"/>
      <w:bookmarkEnd w:id="460"/>
      <w:r>
        <w:rPr>
          <w:rFonts w:ascii="Microsoft JhengHei" w:eastAsia="Microsoft JhengHei" w:hint="eastAsia"/>
          <w:b/>
          <w:sz w:val="21"/>
        </w:rPr>
        <w:t>不可抗力的确认</w:t>
      </w:r>
    </w:p>
    <w:p>
      <w:pPr>
        <w:pStyle w:val="BodyText"/>
        <w:spacing w:before="91"/>
        <w:ind w:left="1098"/>
      </w:pPr>
      <w:r>
        <w:rPr/>
        <w:t>除通用合同条款约定的不可抗力事件之外，视为不可抗力的其他情形：</w:t>
      </w:r>
    </w:p>
    <w:p>
      <w:pPr>
        <w:pStyle w:val="ListParagraph"/>
        <w:numPr>
          <w:ilvl w:val="0"/>
          <w:numId w:val="106"/>
        </w:numPr>
        <w:tabs>
          <w:tab w:pos="1627" w:val="left" w:leader="none"/>
        </w:tabs>
        <w:spacing w:line="240" w:lineRule="auto" w:before="139" w:after="0"/>
        <w:ind w:left="1627" w:right="0" w:hanging="529"/>
        <w:jc w:val="left"/>
        <w:rPr>
          <w:sz w:val="21"/>
        </w:rPr>
      </w:pPr>
      <w:r>
        <w:rPr>
          <w:spacing w:val="-3"/>
          <w:w w:val="100"/>
          <w:sz w:val="21"/>
          <w:u w:val="single"/>
        </w:rPr>
        <w:t> </w:t>
      </w:r>
      <w:r>
        <w:rPr>
          <w:sz w:val="21"/>
          <w:u w:val="single"/>
        </w:rPr>
        <w:t>6</w:t>
      </w:r>
      <w:r>
        <w:rPr>
          <w:spacing w:val="-2"/>
          <w:sz w:val="21"/>
        </w:rPr>
        <w:t> 级及以上的地震； </w:t>
      </w:r>
    </w:p>
    <w:p>
      <w:pPr>
        <w:pStyle w:val="ListParagraph"/>
        <w:numPr>
          <w:ilvl w:val="0"/>
          <w:numId w:val="106"/>
        </w:numPr>
        <w:tabs>
          <w:tab w:pos="1627" w:val="left" w:leader="none"/>
        </w:tabs>
        <w:spacing w:line="240" w:lineRule="auto" w:before="72" w:after="0"/>
        <w:ind w:left="1627" w:right="0" w:hanging="529"/>
        <w:jc w:val="left"/>
        <w:rPr>
          <w:sz w:val="21"/>
        </w:rPr>
      </w:pPr>
      <w:r>
        <w:rPr>
          <w:spacing w:val="-3"/>
          <w:w w:val="100"/>
          <w:sz w:val="21"/>
          <w:u w:val="single"/>
        </w:rPr>
        <w:t> </w:t>
      </w:r>
      <w:r>
        <w:rPr>
          <w:sz w:val="21"/>
          <w:u w:val="single"/>
        </w:rPr>
        <w:t>6</w:t>
      </w:r>
      <w:r>
        <w:rPr>
          <w:spacing w:val="-2"/>
          <w:sz w:val="21"/>
        </w:rPr>
        <w:t> 级及以上的大风； </w:t>
      </w:r>
    </w:p>
    <w:p>
      <w:pPr>
        <w:pStyle w:val="ListParagraph"/>
        <w:numPr>
          <w:ilvl w:val="0"/>
          <w:numId w:val="106"/>
        </w:numPr>
        <w:tabs>
          <w:tab w:pos="1627" w:val="left" w:leader="none"/>
        </w:tabs>
        <w:spacing w:line="240" w:lineRule="auto" w:before="72" w:after="0"/>
        <w:ind w:left="1627" w:right="0" w:hanging="529"/>
        <w:jc w:val="left"/>
        <w:rPr>
          <w:sz w:val="21"/>
        </w:rPr>
      </w:pPr>
      <w:r>
        <w:rPr>
          <w:spacing w:val="-2"/>
          <w:sz w:val="21"/>
          <w:u w:val="single"/>
        </w:rPr>
        <w:t>中雨级</w:t>
      </w:r>
      <w:r>
        <w:rPr>
          <w:spacing w:val="-3"/>
          <w:sz w:val="21"/>
        </w:rPr>
        <w:t>及以上的雨天； </w:t>
      </w:r>
    </w:p>
    <w:p>
      <w:pPr>
        <w:pStyle w:val="ListParagraph"/>
        <w:numPr>
          <w:ilvl w:val="0"/>
          <w:numId w:val="106"/>
        </w:numPr>
        <w:tabs>
          <w:tab w:pos="1627" w:val="left" w:leader="none"/>
        </w:tabs>
        <w:spacing w:line="240" w:lineRule="auto" w:before="71" w:after="0"/>
        <w:ind w:left="1627" w:right="0" w:hanging="529"/>
        <w:jc w:val="left"/>
        <w:rPr>
          <w:sz w:val="21"/>
        </w:rPr>
      </w:pPr>
      <w:r>
        <w:rPr>
          <w:spacing w:val="-19"/>
          <w:sz w:val="21"/>
        </w:rPr>
        <w:t>持续 </w:t>
      </w:r>
      <w:r>
        <w:rPr>
          <w:sz w:val="21"/>
          <w:u w:val="single"/>
        </w:rPr>
        <w:t>2</w:t>
      </w:r>
      <w:r>
        <w:rPr>
          <w:spacing w:val="-27"/>
          <w:sz w:val="21"/>
          <w:u w:val="single"/>
        </w:rPr>
        <w:t> 天</w:t>
      </w:r>
      <w:r>
        <w:rPr>
          <w:spacing w:val="-55"/>
          <w:sz w:val="21"/>
        </w:rPr>
        <w:t> </w:t>
      </w:r>
      <w:r>
        <w:rPr>
          <w:sz w:val="21"/>
        </w:rPr>
        <w:t>38</w:t>
      </w:r>
      <w:r>
        <w:rPr>
          <w:spacing w:val="-8"/>
          <w:sz w:val="21"/>
        </w:rPr>
        <w:t> 度以上的高温天气；</w:t>
      </w:r>
      <w:r>
        <w:rPr>
          <w:sz w:val="21"/>
        </w:rPr>
        <w:t> </w:t>
      </w:r>
    </w:p>
    <w:p>
      <w:pPr>
        <w:pStyle w:val="ListParagraph"/>
        <w:numPr>
          <w:ilvl w:val="0"/>
          <w:numId w:val="106"/>
        </w:numPr>
        <w:tabs>
          <w:tab w:pos="1627" w:val="left" w:leader="none"/>
        </w:tabs>
        <w:spacing w:line="240" w:lineRule="auto" w:before="72" w:after="0"/>
        <w:ind w:left="1627" w:right="0" w:hanging="529"/>
        <w:jc w:val="left"/>
        <w:rPr>
          <w:sz w:val="21"/>
        </w:rPr>
      </w:pPr>
      <w:r>
        <w:rPr>
          <w:spacing w:val="-19"/>
          <w:sz w:val="21"/>
        </w:rPr>
        <w:t>持续 </w:t>
      </w:r>
      <w:r>
        <w:rPr>
          <w:sz w:val="21"/>
          <w:u w:val="single"/>
        </w:rPr>
        <w:t>2</w:t>
      </w:r>
      <w:r>
        <w:rPr>
          <w:spacing w:val="-28"/>
          <w:sz w:val="21"/>
          <w:u w:val="single"/>
        </w:rPr>
        <w:t> 天</w:t>
      </w:r>
      <w:r>
        <w:rPr>
          <w:spacing w:val="-3"/>
          <w:sz w:val="21"/>
        </w:rPr>
        <w:t>零度以下的低温天气；</w:t>
      </w:r>
      <w:r>
        <w:rPr>
          <w:sz w:val="21"/>
        </w:rPr>
        <w:t> </w:t>
      </w:r>
    </w:p>
    <w:p>
      <w:pPr>
        <w:pStyle w:val="BodyText"/>
        <w:spacing w:before="72"/>
        <w:ind w:left="1098"/>
      </w:pPr>
      <w:r>
        <w:rPr/>
        <w:t>（6）</w:t>
      </w:r>
      <w:r>
        <w:rPr>
          <w:u w:val="single"/>
        </w:rPr>
        <w:t>20</w:t>
      </w:r>
      <w:r>
        <w:rPr/>
        <w:t>年以上未发生过的洪水； </w:t>
      </w:r>
    </w:p>
    <w:p>
      <w:pPr>
        <w:pStyle w:val="BodyText"/>
        <w:spacing w:line="302" w:lineRule="auto" w:before="71"/>
        <w:ind w:left="1098" w:right="5205"/>
      </w:pPr>
      <w:r>
        <w:rPr/>
        <w:t>（7）其余按本合同《通用条款》规定执行。</w:t>
      </w:r>
      <w:r>
        <w:rPr>
          <w:u w:val="single"/>
        </w:rPr>
        <w:t>以有关部门发布的文告或文件为准</w:t>
      </w:r>
      <w:r>
        <w:rPr/>
        <w:t>。</w:t>
      </w:r>
    </w:p>
    <w:p>
      <w:pPr>
        <w:pStyle w:val="Heading8"/>
        <w:spacing w:before="2"/>
        <w:ind w:left="678" w:firstLine="0"/>
      </w:pPr>
      <w:bookmarkStart w:name="17.4 因不可抗力解除合同" w:id="461"/>
      <w:bookmarkEnd w:id="461"/>
      <w:r>
        <w:rPr>
          <w:b w:val="0"/>
        </w:rPr>
      </w:r>
      <w:r>
        <w:rPr>
          <w:rFonts w:ascii="Times New Roman" w:eastAsia="Times New Roman"/>
        </w:rPr>
        <w:t>17.4 </w:t>
      </w:r>
      <w:r>
        <w:rPr/>
        <w:t>因不可抗力解除合同</w:t>
      </w:r>
    </w:p>
    <w:p>
      <w:pPr>
        <w:pStyle w:val="BodyText"/>
        <w:spacing w:before="91"/>
        <w:ind w:left="1098"/>
      </w:pPr>
      <w:r>
        <w:rPr/>
        <w:t>合同解除后，发包人应在商定或确定发包人应支付款项后</w:t>
      </w:r>
      <w:r>
        <w:rPr>
          <w:u w:val="single"/>
        </w:rPr>
        <w:t> </w:t>
      </w:r>
      <w:r>
        <w:rPr>
          <w:rFonts w:ascii="Times New Roman" w:eastAsia="Times New Roman"/>
          <w:u w:val="single"/>
        </w:rPr>
        <w:t>15 </w:t>
      </w:r>
      <w:r>
        <w:rPr/>
        <w:t>天内完成款项的支付。</w:t>
      </w:r>
    </w:p>
    <w:p>
      <w:pPr>
        <w:pStyle w:val="Heading8"/>
        <w:numPr>
          <w:ilvl w:val="0"/>
          <w:numId w:val="70"/>
        </w:numPr>
        <w:tabs>
          <w:tab w:pos="1074" w:val="left" w:leader="none"/>
        </w:tabs>
        <w:spacing w:line="240" w:lineRule="auto" w:before="130" w:after="0"/>
        <w:ind w:left="1074" w:right="0" w:hanging="396"/>
        <w:jc w:val="left"/>
      </w:pPr>
      <w:bookmarkStart w:name="18. 保险" w:id="462"/>
      <w:bookmarkEnd w:id="462"/>
      <w:r>
        <w:rPr>
          <w:b w:val="0"/>
        </w:rPr>
      </w:r>
      <w:bookmarkStart w:name="18. 保险" w:id="463"/>
      <w:bookmarkEnd w:id="463"/>
      <w:r>
        <w:rPr/>
        <w:t>保险</w:t>
      </w:r>
    </w:p>
    <w:p>
      <w:pPr>
        <w:pStyle w:val="ListParagraph"/>
        <w:numPr>
          <w:ilvl w:val="1"/>
          <w:numId w:val="70"/>
        </w:numPr>
        <w:tabs>
          <w:tab w:pos="1151" w:val="left" w:leader="none"/>
        </w:tabs>
        <w:spacing w:line="240" w:lineRule="auto" w:before="142" w:after="0"/>
        <w:ind w:left="1150" w:right="0" w:hanging="473"/>
        <w:jc w:val="left"/>
        <w:rPr>
          <w:rFonts w:ascii="Microsoft JhengHei" w:eastAsia="Microsoft JhengHei" w:hint="eastAsia"/>
          <w:b/>
          <w:sz w:val="21"/>
        </w:rPr>
      </w:pPr>
      <w:bookmarkStart w:name="18.1 工程保险" w:id="464"/>
      <w:bookmarkEnd w:id="464"/>
      <w:r>
        <w:rPr/>
      </w:r>
      <w:bookmarkStart w:name="18.1 工程保险" w:id="465"/>
      <w:bookmarkEnd w:id="465"/>
      <w:r>
        <w:rPr>
          <w:rFonts w:ascii="Microsoft JhengHei" w:eastAsia="Microsoft JhengHei" w:hint="eastAsia"/>
          <w:b/>
          <w:sz w:val="21"/>
        </w:rPr>
        <w:t>工程保险</w:t>
      </w:r>
    </w:p>
    <w:p>
      <w:pPr>
        <w:pStyle w:val="BodyText"/>
        <w:spacing w:line="364" w:lineRule="auto" w:before="94"/>
        <w:ind w:right="1045" w:firstLine="419"/>
      </w:pPr>
      <w:r>
        <w:rPr>
          <w:spacing w:val="-5"/>
        </w:rPr>
        <w:t>关于工程保险的特别约定：</w:t>
      </w:r>
      <w:r>
        <w:rPr>
          <w:spacing w:val="-7"/>
          <w:u w:val="single"/>
        </w:rPr>
        <w:t> 发包人可根据需要投保工程质量保险；对已投保的工程项目，</w:t>
      </w:r>
      <w:r>
        <w:rPr>
          <w:spacing w:val="-203"/>
          <w:u w:val="single"/>
        </w:rPr>
        <w:t>承包</w:t>
      </w:r>
      <w:r>
        <w:rPr>
          <w:spacing w:val="-3"/>
          <w:u w:val="single"/>
        </w:rPr>
        <w:t>人应积极配合保险公司开展相关工作。</w:t>
      </w:r>
    </w:p>
    <w:p>
      <w:pPr>
        <w:pStyle w:val="Heading8"/>
        <w:spacing w:line="315" w:lineRule="exact"/>
        <w:ind w:left="678" w:firstLine="0"/>
      </w:pPr>
      <w:bookmarkStart w:name="18.3 其他保险" w:id="466"/>
      <w:bookmarkEnd w:id="466"/>
      <w:r>
        <w:rPr>
          <w:b w:val="0"/>
        </w:rPr>
      </w:r>
      <w:r>
        <w:rPr>
          <w:rFonts w:ascii="Times New Roman" w:eastAsia="Times New Roman"/>
        </w:rPr>
        <w:t>18.3 </w:t>
      </w:r>
      <w:r>
        <w:rPr/>
        <w:t>其他保险</w:t>
      </w:r>
    </w:p>
    <w:p>
      <w:pPr>
        <w:pStyle w:val="BodyText"/>
        <w:spacing w:line="364" w:lineRule="auto" w:before="91"/>
        <w:ind w:right="1208" w:firstLine="419"/>
      </w:pPr>
      <w:r>
        <w:rPr>
          <w:spacing w:val="-3"/>
        </w:rPr>
        <w:t>关于其他保险的约定：</w:t>
      </w:r>
      <w:r>
        <w:rPr>
          <w:spacing w:val="-3"/>
          <w:u w:val="single"/>
        </w:rPr>
        <w:t>承包人必须为施工现场从事施工的所有作业人员和管理人员办理意</w:t>
      </w:r>
      <w:r>
        <w:rPr>
          <w:spacing w:val="-204"/>
          <w:u w:val="single"/>
        </w:rPr>
        <w:t>外伤</w:t>
      </w:r>
      <w:r>
        <w:rPr>
          <w:spacing w:val="-3"/>
          <w:u w:val="single"/>
        </w:rPr>
        <w:t>害保险，并支付保险费</w:t>
      </w:r>
      <w:r>
        <w:rPr/>
        <w:t>。</w:t>
      </w:r>
    </w:p>
    <w:p>
      <w:pPr>
        <w:pStyle w:val="BodyText"/>
        <w:ind w:left="1098"/>
      </w:pPr>
      <w:r>
        <w:rPr/>
        <w:t>承包人是否应为其施工设备等办理财产保险：</w:t>
      </w:r>
      <w:r>
        <w:rPr>
          <w:u w:val="single"/>
        </w:rPr>
        <w:t>承包人自行考虑</w:t>
      </w:r>
      <w:r>
        <w:rPr/>
        <w:t>。</w:t>
      </w:r>
    </w:p>
    <w:p>
      <w:pPr>
        <w:spacing w:after="0"/>
        <w:sectPr>
          <w:pgSz w:w="11910" w:h="16850"/>
          <w:pgMar w:header="0" w:footer="779" w:top="1380" w:bottom="1040" w:left="1120" w:right="280"/>
        </w:sectPr>
      </w:pPr>
    </w:p>
    <w:p>
      <w:pPr>
        <w:pStyle w:val="Heading8"/>
        <w:spacing w:line="377" w:lineRule="exact"/>
        <w:ind w:left="678" w:firstLine="0"/>
      </w:pPr>
      <w:bookmarkStart w:name="18.7 通知义务" w:id="467"/>
      <w:bookmarkEnd w:id="467"/>
      <w:r>
        <w:rPr>
          <w:b w:val="0"/>
        </w:rPr>
      </w:r>
      <w:r>
        <w:rPr>
          <w:rFonts w:ascii="Times New Roman" w:eastAsia="Times New Roman"/>
        </w:rPr>
        <w:t>18.7 </w:t>
      </w:r>
      <w:r>
        <w:rPr/>
        <w:t>通知义务</w:t>
      </w:r>
    </w:p>
    <w:p>
      <w:pPr>
        <w:pStyle w:val="BodyText"/>
        <w:spacing w:before="91"/>
        <w:ind w:left="1098"/>
      </w:pPr>
      <w:r>
        <w:rPr/>
        <w:t>关于变更保险合同时的通知义务的约定：</w:t>
      </w:r>
      <w:r>
        <w:rPr>
          <w:u w:val="single"/>
        </w:rPr>
        <w:t>双方协商</w:t>
      </w:r>
      <w:r>
        <w:rPr/>
        <w:t>。</w:t>
      </w:r>
    </w:p>
    <w:p>
      <w:pPr>
        <w:pStyle w:val="BodyText"/>
        <w:spacing w:before="2"/>
        <w:ind w:left="0"/>
        <w:rPr>
          <w:sz w:val="9"/>
        </w:rPr>
      </w:pPr>
    </w:p>
    <w:p>
      <w:pPr>
        <w:pStyle w:val="Heading8"/>
        <w:spacing w:before="13"/>
        <w:ind w:left="678" w:firstLine="0"/>
      </w:pPr>
      <w:bookmarkStart w:name="20. 争议解决" w:id="468"/>
      <w:bookmarkEnd w:id="468"/>
      <w:r>
        <w:rPr>
          <w:b w:val="0"/>
        </w:rPr>
      </w:r>
      <w:r>
        <w:rPr>
          <w:rFonts w:ascii="Arial" w:eastAsia="Arial"/>
        </w:rPr>
        <w:t>20. </w:t>
      </w:r>
      <w:r>
        <w:rPr/>
        <w:t>争议解决</w:t>
      </w:r>
    </w:p>
    <w:p>
      <w:pPr>
        <w:pStyle w:val="ListParagraph"/>
        <w:numPr>
          <w:ilvl w:val="1"/>
          <w:numId w:val="107"/>
        </w:numPr>
        <w:tabs>
          <w:tab w:pos="1151" w:val="left" w:leader="none"/>
        </w:tabs>
        <w:spacing w:line="240" w:lineRule="auto" w:before="144" w:after="0"/>
        <w:ind w:left="1150" w:right="0" w:hanging="473"/>
        <w:jc w:val="left"/>
        <w:rPr>
          <w:rFonts w:ascii="Microsoft JhengHei" w:eastAsia="Microsoft JhengHei" w:hint="eastAsia"/>
          <w:b/>
          <w:sz w:val="21"/>
        </w:rPr>
      </w:pPr>
      <w:bookmarkStart w:name="20.3 争议评审" w:id="469"/>
      <w:bookmarkEnd w:id="469"/>
      <w:r>
        <w:rPr/>
      </w:r>
      <w:bookmarkStart w:name="20.3 争议评审" w:id="470"/>
      <w:bookmarkEnd w:id="470"/>
      <w:r>
        <w:rPr>
          <w:rFonts w:ascii="Microsoft JhengHei" w:eastAsia="Microsoft JhengHei" w:hint="eastAsia"/>
          <w:b/>
          <w:sz w:val="21"/>
        </w:rPr>
        <w:t>争议评审</w:t>
      </w:r>
    </w:p>
    <w:p>
      <w:pPr>
        <w:pStyle w:val="BodyText"/>
        <w:tabs>
          <w:tab w:pos="7341" w:val="left" w:leader="none"/>
          <w:tab w:pos="8239" w:val="left" w:leader="none"/>
        </w:tabs>
        <w:spacing w:before="91"/>
        <w:ind w:left="1141"/>
        <w:jc w:val="both"/>
      </w:pPr>
      <w:r>
        <w:rPr/>
        <w:t>合同</w:t>
      </w:r>
      <w:r>
        <w:rPr>
          <w:spacing w:val="-3"/>
        </w:rPr>
        <w:t>当</w:t>
      </w:r>
      <w:r>
        <w:rPr/>
        <w:t>事</w:t>
      </w:r>
      <w:r>
        <w:rPr>
          <w:spacing w:val="-3"/>
        </w:rPr>
        <w:t>人</w:t>
      </w:r>
      <w:r>
        <w:rPr/>
        <w:t>是</w:t>
      </w:r>
      <w:r>
        <w:rPr>
          <w:spacing w:val="-3"/>
        </w:rPr>
        <w:t>否</w:t>
      </w:r>
      <w:r>
        <w:rPr/>
        <w:t>同</w:t>
      </w:r>
      <w:r>
        <w:rPr>
          <w:spacing w:val="-3"/>
        </w:rPr>
        <w:t>意</w:t>
      </w:r>
      <w:r>
        <w:rPr/>
        <w:t>将</w:t>
      </w:r>
      <w:r>
        <w:rPr>
          <w:spacing w:val="-3"/>
        </w:rPr>
        <w:t>工</w:t>
      </w:r>
      <w:r>
        <w:rPr/>
        <w:t>程争</w:t>
      </w:r>
      <w:r>
        <w:rPr>
          <w:spacing w:val="-3"/>
        </w:rPr>
        <w:t>议</w:t>
      </w:r>
      <w:r>
        <w:rPr/>
        <w:t>提</w:t>
      </w:r>
      <w:r>
        <w:rPr>
          <w:spacing w:val="-3"/>
        </w:rPr>
        <w:t>交</w:t>
      </w:r>
      <w:r>
        <w:rPr/>
        <w:t>争</w:t>
      </w:r>
      <w:r>
        <w:rPr>
          <w:spacing w:val="-3"/>
        </w:rPr>
        <w:t>议</w:t>
      </w:r>
      <w:r>
        <w:rPr/>
        <w:t>评</w:t>
      </w:r>
      <w:r>
        <w:rPr>
          <w:spacing w:val="-3"/>
        </w:rPr>
        <w:t>审</w:t>
      </w:r>
      <w:r>
        <w:rPr/>
        <w:t>小</w:t>
      </w:r>
      <w:r>
        <w:rPr>
          <w:spacing w:val="-3"/>
        </w:rPr>
        <w:t>组</w:t>
      </w:r>
      <w:r>
        <w:rPr/>
        <w:t>决定</w:t>
      </w:r>
      <w:r>
        <w:rPr>
          <w:spacing w:val="-3"/>
        </w:rPr>
        <w:t>：</w:t>
      </w:r>
      <w:r>
        <w:rPr>
          <w:spacing w:val="-3"/>
          <w:u w:val="single"/>
        </w:rPr>
        <w:t> </w:t>
        <w:tab/>
      </w:r>
      <w:r>
        <w:rPr>
          <w:rFonts w:ascii="Times New Roman" w:eastAsia="Times New Roman"/>
          <w:u w:val="single"/>
        </w:rPr>
        <w:t>/</w:t>
        <w:tab/>
      </w:r>
      <w:r>
        <w:rPr/>
        <w:t>。</w:t>
      </w:r>
    </w:p>
    <w:p>
      <w:pPr>
        <w:pStyle w:val="ListParagraph"/>
        <w:numPr>
          <w:ilvl w:val="2"/>
          <w:numId w:val="107"/>
        </w:numPr>
        <w:tabs>
          <w:tab w:pos="1730" w:val="left" w:leader="none"/>
        </w:tabs>
        <w:spacing w:line="240" w:lineRule="auto" w:before="139" w:after="0"/>
        <w:ind w:left="1729" w:right="0" w:hanging="632"/>
        <w:jc w:val="both"/>
        <w:rPr>
          <w:sz w:val="21"/>
        </w:rPr>
      </w:pPr>
      <w:bookmarkStart w:name="20.3.1 争议评审小组的确定" w:id="471"/>
      <w:bookmarkEnd w:id="471"/>
      <w:r>
        <w:rPr/>
      </w:r>
      <w:bookmarkStart w:name="20.3.1 争议评审小组的确定" w:id="472"/>
      <w:bookmarkEnd w:id="472"/>
      <w:r>
        <w:rPr>
          <w:spacing w:val="-3"/>
          <w:sz w:val="21"/>
        </w:rPr>
        <w:t>争议评审小组的确定</w:t>
      </w:r>
    </w:p>
    <w:p>
      <w:pPr>
        <w:pStyle w:val="BodyText"/>
        <w:tabs>
          <w:tab w:pos="5358" w:val="left" w:leader="none"/>
        </w:tabs>
        <w:spacing w:before="139"/>
        <w:ind w:left="1098"/>
        <w:jc w:val="both"/>
      </w:pPr>
      <w:r>
        <w:rPr/>
        <w:t>争议</w:t>
      </w:r>
      <w:r>
        <w:rPr>
          <w:spacing w:val="-3"/>
        </w:rPr>
        <w:t>评</w:t>
      </w:r>
      <w:r>
        <w:rPr/>
        <w:t>审</w:t>
      </w:r>
      <w:r>
        <w:rPr>
          <w:spacing w:val="-3"/>
        </w:rPr>
        <w:t>小</w:t>
      </w:r>
      <w:r>
        <w:rPr/>
        <w:t>组</w:t>
      </w:r>
      <w:r>
        <w:rPr>
          <w:spacing w:val="-3"/>
        </w:rPr>
        <w:t>成</w:t>
      </w:r>
      <w:r>
        <w:rPr/>
        <w:t>员</w:t>
      </w:r>
      <w:r>
        <w:rPr>
          <w:spacing w:val="-3"/>
        </w:rPr>
        <w:t>的</w:t>
      </w:r>
      <w:r>
        <w:rPr/>
        <w:t>确</w:t>
      </w:r>
      <w:r>
        <w:rPr>
          <w:spacing w:val="-3"/>
        </w:rPr>
        <w:t>定</w:t>
      </w:r>
      <w:r>
        <w:rPr/>
        <w:t>：</w:t>
      </w:r>
      <w:r>
        <w:rPr>
          <w:u w:val="single"/>
        </w:rPr>
        <w:t>   </w:t>
      </w:r>
      <w:r>
        <w:rPr>
          <w:spacing w:val="13"/>
          <w:u w:val="single"/>
        </w:rPr>
        <w:t> </w:t>
      </w:r>
      <w:r>
        <w:rPr>
          <w:rFonts w:ascii="Times New Roman" w:eastAsia="Times New Roman"/>
          <w:u w:val="single"/>
        </w:rPr>
        <w:t>/</w:t>
        <w:tab/>
      </w:r>
      <w:r>
        <w:rPr/>
        <w:t>。</w:t>
      </w:r>
    </w:p>
    <w:p>
      <w:pPr>
        <w:pStyle w:val="BodyText"/>
        <w:tabs>
          <w:tab w:pos="3412" w:val="left" w:leader="none"/>
          <w:tab w:pos="4669" w:val="left" w:leader="none"/>
          <w:tab w:pos="5149" w:val="left" w:leader="none"/>
          <w:tab w:pos="5198" w:val="left" w:leader="none"/>
          <w:tab w:pos="5987" w:val="left" w:leader="none"/>
        </w:tabs>
        <w:spacing w:line="364" w:lineRule="auto" w:before="141"/>
        <w:ind w:left="1098" w:right="4303"/>
        <w:jc w:val="both"/>
      </w:pPr>
      <w:r>
        <w:rPr/>
        <w:t>选定</w:t>
      </w:r>
      <w:r>
        <w:rPr>
          <w:spacing w:val="-3"/>
        </w:rPr>
        <w:t>争</w:t>
      </w:r>
      <w:r>
        <w:rPr/>
        <w:t>议</w:t>
      </w:r>
      <w:r>
        <w:rPr>
          <w:spacing w:val="-3"/>
        </w:rPr>
        <w:t>评</w:t>
      </w:r>
      <w:r>
        <w:rPr/>
        <w:t>审</w:t>
      </w:r>
      <w:r>
        <w:rPr>
          <w:spacing w:val="-3"/>
        </w:rPr>
        <w:t>员</w:t>
      </w:r>
      <w:r>
        <w:rPr/>
        <w:t>的</w:t>
      </w:r>
      <w:r>
        <w:rPr>
          <w:spacing w:val="-3"/>
        </w:rPr>
        <w:t>期</w:t>
      </w:r>
      <w:r>
        <w:rPr/>
        <w:t>限</w:t>
      </w:r>
      <w:r>
        <w:rPr>
          <w:spacing w:val="-3"/>
        </w:rPr>
        <w:t>：</w:t>
      </w:r>
      <w:r>
        <w:rPr>
          <w:spacing w:val="-3"/>
          <w:u w:val="single"/>
        </w:rPr>
        <w:t> </w:t>
        <w:tab/>
      </w:r>
      <w:r>
        <w:rPr>
          <w:rFonts w:ascii="Times New Roman" w:eastAsia="Times New Roman"/>
          <w:u w:val="single"/>
        </w:rPr>
        <w:t>/</w:t>
        <w:tab/>
        <w:tab/>
        <w:tab/>
      </w:r>
      <w:r>
        <w:rPr>
          <w:spacing w:val="-15"/>
        </w:rPr>
        <w:t>。</w:t>
      </w:r>
      <w:r>
        <w:rPr/>
        <w:t>争议</w:t>
      </w:r>
      <w:r>
        <w:rPr>
          <w:spacing w:val="-3"/>
        </w:rPr>
        <w:t>评</w:t>
      </w:r>
      <w:r>
        <w:rPr/>
        <w:t>审</w:t>
      </w:r>
      <w:r>
        <w:rPr>
          <w:spacing w:val="-3"/>
        </w:rPr>
        <w:t>小</w:t>
      </w:r>
      <w:r>
        <w:rPr/>
        <w:t>组</w:t>
      </w:r>
      <w:r>
        <w:rPr>
          <w:spacing w:val="-3"/>
        </w:rPr>
        <w:t>成</w:t>
      </w:r>
      <w:r>
        <w:rPr/>
        <w:t>员</w:t>
      </w:r>
      <w:r>
        <w:rPr>
          <w:spacing w:val="-3"/>
        </w:rPr>
        <w:t>的</w:t>
      </w:r>
      <w:r>
        <w:rPr/>
        <w:t>报</w:t>
      </w:r>
      <w:r>
        <w:rPr>
          <w:spacing w:val="-3"/>
        </w:rPr>
        <w:t>酬</w:t>
      </w:r>
      <w:r>
        <w:rPr/>
        <w:t>承担</w:t>
      </w:r>
      <w:r>
        <w:rPr>
          <w:spacing w:val="-3"/>
        </w:rPr>
        <w:t>方</w:t>
      </w:r>
      <w:r>
        <w:rPr/>
        <w:t>式</w:t>
      </w:r>
      <w:r>
        <w:rPr>
          <w:spacing w:val="-3"/>
        </w:rPr>
        <w:t>：</w:t>
      </w:r>
      <w:r>
        <w:rPr>
          <w:spacing w:val="-3"/>
          <w:u w:val="single"/>
        </w:rPr>
        <w:t> </w:t>
        <w:tab/>
        <w:tab/>
        <w:tab/>
      </w:r>
      <w:r>
        <w:rPr>
          <w:rFonts w:ascii="Times New Roman" w:eastAsia="Times New Roman"/>
          <w:u w:val="single"/>
        </w:rPr>
        <w:t>/</w:t>
        <w:tab/>
      </w:r>
      <w:r>
        <w:rPr>
          <w:spacing w:val="-18"/>
        </w:rPr>
        <w:t>。</w:t>
      </w:r>
      <w:r>
        <w:rPr/>
        <w:t>其他</w:t>
      </w:r>
      <w:r>
        <w:rPr>
          <w:spacing w:val="-3"/>
        </w:rPr>
        <w:t>事</w:t>
      </w:r>
      <w:r>
        <w:rPr/>
        <w:t>项</w:t>
      </w:r>
      <w:r>
        <w:rPr>
          <w:spacing w:val="-3"/>
        </w:rPr>
        <w:t>的</w:t>
      </w:r>
      <w:r>
        <w:rPr/>
        <w:t>约</w:t>
      </w:r>
      <w:r>
        <w:rPr>
          <w:spacing w:val="-3"/>
        </w:rPr>
        <w:t>定</w:t>
      </w:r>
      <w:r>
        <w:rPr/>
        <w:t>：</w:t>
      </w:r>
      <w:r>
        <w:rPr>
          <w:u w:val="single"/>
        </w:rPr>
        <w:t> </w:t>
        <w:tab/>
      </w:r>
      <w:r>
        <w:rPr>
          <w:rFonts w:ascii="Times New Roman" w:eastAsia="Times New Roman"/>
          <w:u w:val="single"/>
        </w:rPr>
        <w:t>/</w:t>
        <w:tab/>
        <w:tab/>
      </w:r>
      <w:r>
        <w:rPr/>
        <w:t>。</w:t>
      </w:r>
    </w:p>
    <w:p>
      <w:pPr>
        <w:pStyle w:val="ListParagraph"/>
        <w:numPr>
          <w:ilvl w:val="2"/>
          <w:numId w:val="107"/>
        </w:numPr>
        <w:tabs>
          <w:tab w:pos="1730" w:val="left" w:leader="none"/>
        </w:tabs>
        <w:spacing w:line="267" w:lineRule="exact" w:before="0" w:after="0"/>
        <w:ind w:left="1729" w:right="0" w:hanging="632"/>
        <w:jc w:val="both"/>
        <w:rPr>
          <w:sz w:val="21"/>
        </w:rPr>
      </w:pPr>
      <w:r>
        <w:rPr>
          <w:spacing w:val="-3"/>
          <w:sz w:val="21"/>
        </w:rPr>
        <w:t>争议评审小组的决定</w:t>
      </w:r>
    </w:p>
    <w:p>
      <w:pPr>
        <w:pStyle w:val="BodyText"/>
        <w:tabs>
          <w:tab w:pos="4777" w:val="left" w:leader="none"/>
          <w:tab w:pos="5884" w:val="left" w:leader="none"/>
        </w:tabs>
        <w:spacing w:before="139"/>
        <w:ind w:left="1098"/>
        <w:jc w:val="both"/>
      </w:pPr>
      <w:r>
        <w:rPr/>
        <w:t>合同</w:t>
      </w:r>
      <w:r>
        <w:rPr>
          <w:spacing w:val="-3"/>
        </w:rPr>
        <w:t>当</w:t>
      </w:r>
      <w:r>
        <w:rPr/>
        <w:t>事</w:t>
      </w:r>
      <w:r>
        <w:rPr>
          <w:spacing w:val="-3"/>
        </w:rPr>
        <w:t>人</w:t>
      </w:r>
      <w:r>
        <w:rPr/>
        <w:t>关</w:t>
      </w:r>
      <w:r>
        <w:rPr>
          <w:spacing w:val="-3"/>
        </w:rPr>
        <w:t>于</w:t>
      </w:r>
      <w:r>
        <w:rPr/>
        <w:t>本</w:t>
      </w:r>
      <w:r>
        <w:rPr>
          <w:spacing w:val="-3"/>
        </w:rPr>
        <w:t>项</w:t>
      </w:r>
      <w:r>
        <w:rPr/>
        <w:t>的</w:t>
      </w:r>
      <w:r>
        <w:rPr>
          <w:spacing w:val="-3"/>
        </w:rPr>
        <w:t>约</w:t>
      </w:r>
      <w:r>
        <w:rPr/>
        <w:t>定：</w:t>
      </w:r>
      <w:r>
        <w:rPr>
          <w:u w:val="single"/>
        </w:rPr>
        <w:t> </w:t>
        <w:tab/>
      </w:r>
      <w:r>
        <w:rPr>
          <w:rFonts w:ascii="Times New Roman" w:eastAsia="Times New Roman"/>
          <w:u w:val="single"/>
        </w:rPr>
        <w:t>/</w:t>
        <w:tab/>
      </w:r>
      <w:r>
        <w:rPr/>
        <w:t>。</w:t>
      </w:r>
    </w:p>
    <w:p>
      <w:pPr>
        <w:pStyle w:val="Heading8"/>
        <w:numPr>
          <w:ilvl w:val="1"/>
          <w:numId w:val="107"/>
        </w:numPr>
        <w:tabs>
          <w:tab w:pos="1151" w:val="left" w:leader="none"/>
        </w:tabs>
        <w:spacing w:line="240" w:lineRule="auto" w:before="72" w:after="0"/>
        <w:ind w:left="1150" w:right="0" w:hanging="473"/>
        <w:jc w:val="left"/>
      </w:pPr>
      <w:bookmarkStart w:name="20.4 仲裁或诉讼" w:id="473"/>
      <w:bookmarkEnd w:id="473"/>
      <w:r>
        <w:rPr>
          <w:b w:val="0"/>
        </w:rPr>
      </w:r>
      <w:bookmarkStart w:name="20.4 仲裁或诉讼" w:id="474"/>
      <w:bookmarkEnd w:id="474"/>
      <w:r>
        <w:rPr/>
        <w:t>仲裁或诉讼</w:t>
      </w:r>
    </w:p>
    <w:p>
      <w:pPr>
        <w:pStyle w:val="BodyText"/>
        <w:spacing w:before="91"/>
        <w:ind w:left="1098"/>
      </w:pPr>
      <w:r>
        <w:rPr/>
        <w:t>因合同及合同有关事项发生的争议，按下列第</w:t>
      </w:r>
      <w:r>
        <w:rPr>
          <w:u w:val="single"/>
        </w:rPr>
        <w:t> （</w:t>
      </w:r>
      <w:r>
        <w:rPr>
          <w:rFonts w:ascii="Times New Roman" w:eastAsia="Times New Roman"/>
          <w:u w:val="single"/>
        </w:rPr>
        <w:t>2</w:t>
      </w:r>
      <w:r>
        <w:rPr>
          <w:u w:val="single"/>
        </w:rPr>
        <w:t>） </w:t>
      </w:r>
      <w:r>
        <w:rPr/>
        <w:t>种方式解决：</w:t>
      </w:r>
    </w:p>
    <w:p>
      <w:pPr>
        <w:pStyle w:val="ListParagraph"/>
        <w:numPr>
          <w:ilvl w:val="0"/>
          <w:numId w:val="108"/>
        </w:numPr>
        <w:tabs>
          <w:tab w:pos="1627" w:val="left" w:leader="none"/>
          <w:tab w:pos="2417" w:val="left" w:leader="none"/>
        </w:tabs>
        <w:spacing w:line="364" w:lineRule="auto" w:before="139" w:after="0"/>
        <w:ind w:left="678" w:right="1151" w:firstLine="419"/>
        <w:jc w:val="left"/>
        <w:rPr>
          <w:sz w:val="21"/>
        </w:rPr>
      </w:pPr>
      <w:r>
        <w:rPr>
          <w:sz w:val="21"/>
        </w:rPr>
        <w:t>提请</w:t>
      </w:r>
      <w:r>
        <w:rPr>
          <w:spacing w:val="1"/>
          <w:sz w:val="21"/>
          <w:u w:val="single"/>
        </w:rPr>
        <w:t> </w:t>
      </w:r>
      <w:r>
        <w:rPr>
          <w:rFonts w:ascii="Times New Roman" w:eastAsia="Times New Roman"/>
          <w:sz w:val="21"/>
          <w:u w:val="single"/>
        </w:rPr>
        <w:t>/</w:t>
        <w:tab/>
      </w:r>
      <w:r>
        <w:rPr>
          <w:spacing w:val="-3"/>
          <w:sz w:val="21"/>
        </w:rPr>
        <w:t>仲</w:t>
      </w:r>
      <w:r>
        <w:rPr>
          <w:sz w:val="21"/>
        </w:rPr>
        <w:t>裁</w:t>
      </w:r>
      <w:r>
        <w:rPr>
          <w:spacing w:val="-3"/>
          <w:sz w:val="21"/>
        </w:rPr>
        <w:t>委</w:t>
      </w:r>
      <w:r>
        <w:rPr>
          <w:sz w:val="21"/>
        </w:rPr>
        <w:t>员</w:t>
      </w:r>
      <w:r>
        <w:rPr>
          <w:spacing w:val="-3"/>
          <w:sz w:val="21"/>
        </w:rPr>
        <w:t>会</w:t>
      </w:r>
      <w:r>
        <w:rPr>
          <w:sz w:val="21"/>
        </w:rPr>
        <w:t>按照</w:t>
      </w:r>
      <w:r>
        <w:rPr>
          <w:spacing w:val="-3"/>
          <w:sz w:val="21"/>
        </w:rPr>
        <w:t>该</w:t>
      </w:r>
      <w:r>
        <w:rPr>
          <w:sz w:val="21"/>
        </w:rPr>
        <w:t>会</w:t>
      </w:r>
      <w:r>
        <w:rPr>
          <w:spacing w:val="-3"/>
          <w:sz w:val="21"/>
        </w:rPr>
        <w:t>仲</w:t>
      </w:r>
      <w:r>
        <w:rPr>
          <w:sz w:val="21"/>
        </w:rPr>
        <w:t>裁</w:t>
      </w:r>
      <w:r>
        <w:rPr>
          <w:spacing w:val="-3"/>
          <w:sz w:val="21"/>
        </w:rPr>
        <w:t>规</w:t>
      </w:r>
      <w:r>
        <w:rPr>
          <w:sz w:val="21"/>
        </w:rPr>
        <w:t>则</w:t>
      </w:r>
      <w:r>
        <w:rPr>
          <w:spacing w:val="-3"/>
          <w:sz w:val="21"/>
        </w:rPr>
        <w:t>进</w:t>
      </w:r>
      <w:r>
        <w:rPr>
          <w:sz w:val="21"/>
        </w:rPr>
        <w:t>行</w:t>
      </w:r>
      <w:r>
        <w:rPr>
          <w:spacing w:val="-3"/>
          <w:sz w:val="21"/>
        </w:rPr>
        <w:t>仲</w:t>
      </w:r>
      <w:r>
        <w:rPr>
          <w:sz w:val="21"/>
        </w:rPr>
        <w:t>裁，</w:t>
      </w:r>
      <w:r>
        <w:rPr>
          <w:spacing w:val="-3"/>
          <w:sz w:val="21"/>
        </w:rPr>
        <w:t>仲</w:t>
      </w:r>
      <w:r>
        <w:rPr>
          <w:sz w:val="21"/>
        </w:rPr>
        <w:t>裁</w:t>
      </w:r>
      <w:r>
        <w:rPr>
          <w:spacing w:val="-3"/>
          <w:sz w:val="21"/>
        </w:rPr>
        <w:t>裁</w:t>
      </w:r>
      <w:r>
        <w:rPr>
          <w:sz w:val="21"/>
        </w:rPr>
        <w:t>决</w:t>
      </w:r>
      <w:r>
        <w:rPr>
          <w:spacing w:val="-3"/>
          <w:sz w:val="21"/>
        </w:rPr>
        <w:t>是</w:t>
      </w:r>
      <w:r>
        <w:rPr>
          <w:sz w:val="21"/>
        </w:rPr>
        <w:t>终</w:t>
      </w:r>
      <w:r>
        <w:rPr>
          <w:spacing w:val="-3"/>
          <w:sz w:val="21"/>
        </w:rPr>
        <w:t>局</w:t>
      </w:r>
      <w:r>
        <w:rPr>
          <w:sz w:val="21"/>
        </w:rPr>
        <w:t>的</w:t>
      </w:r>
      <w:r>
        <w:rPr>
          <w:spacing w:val="-3"/>
          <w:sz w:val="21"/>
        </w:rPr>
        <w:t>，</w:t>
      </w:r>
      <w:r>
        <w:rPr>
          <w:sz w:val="21"/>
        </w:rPr>
        <w:t>对合</w:t>
      </w:r>
      <w:r>
        <w:rPr>
          <w:spacing w:val="-3"/>
          <w:sz w:val="21"/>
        </w:rPr>
        <w:t>同</w:t>
      </w:r>
      <w:r>
        <w:rPr>
          <w:sz w:val="21"/>
        </w:rPr>
        <w:t>双</w:t>
      </w:r>
      <w:r>
        <w:rPr>
          <w:spacing w:val="-3"/>
          <w:sz w:val="21"/>
        </w:rPr>
        <w:t>方</w:t>
      </w:r>
      <w:r>
        <w:rPr>
          <w:sz w:val="21"/>
        </w:rPr>
        <w:t>均有约</w:t>
      </w:r>
      <w:r>
        <w:rPr>
          <w:spacing w:val="-3"/>
          <w:sz w:val="21"/>
        </w:rPr>
        <w:t>束</w:t>
      </w:r>
      <w:r>
        <w:rPr>
          <w:sz w:val="21"/>
        </w:rPr>
        <w:t>力。</w:t>
      </w:r>
    </w:p>
    <w:p>
      <w:pPr>
        <w:pStyle w:val="ListParagraph"/>
        <w:numPr>
          <w:ilvl w:val="0"/>
          <w:numId w:val="108"/>
        </w:numPr>
        <w:tabs>
          <w:tab w:pos="1627" w:val="left" w:leader="none"/>
        </w:tabs>
        <w:spacing w:line="267" w:lineRule="exact" w:before="0" w:after="0"/>
        <w:ind w:left="1627" w:right="0" w:hanging="529"/>
        <w:jc w:val="left"/>
        <w:rPr>
          <w:sz w:val="21"/>
        </w:rPr>
      </w:pPr>
      <w:r>
        <w:rPr>
          <w:sz w:val="21"/>
        </w:rPr>
        <w:t>向</w:t>
      </w:r>
      <w:r>
        <w:rPr>
          <w:spacing w:val="-3"/>
          <w:sz w:val="21"/>
          <w:u w:val="single"/>
        </w:rPr>
        <w:t>项目所在地</w:t>
      </w:r>
      <w:r>
        <w:rPr>
          <w:spacing w:val="-3"/>
          <w:sz w:val="21"/>
        </w:rPr>
        <w:t>人民法院起诉。</w:t>
      </w:r>
    </w:p>
    <w:p>
      <w:pPr>
        <w:pStyle w:val="BodyText"/>
        <w:ind w:left="0"/>
        <w:rPr>
          <w:sz w:val="20"/>
        </w:rPr>
      </w:pPr>
    </w:p>
    <w:p>
      <w:pPr>
        <w:pStyle w:val="BodyText"/>
        <w:spacing w:before="11"/>
        <w:ind w:left="0"/>
      </w:pPr>
    </w:p>
    <w:p>
      <w:pPr>
        <w:spacing w:line="484" w:lineRule="exact" w:before="0"/>
        <w:ind w:left="678" w:right="0" w:firstLine="0"/>
        <w:jc w:val="left"/>
        <w:rPr>
          <w:rFonts w:ascii="Microsoft JhengHei" w:eastAsia="Microsoft JhengHei" w:hint="eastAsia"/>
          <w:b/>
          <w:sz w:val="28"/>
        </w:rPr>
      </w:pPr>
      <w:r>
        <w:rPr>
          <w:rFonts w:ascii="Microsoft JhengHei" w:eastAsia="Microsoft JhengHei" w:hint="eastAsia"/>
          <w:b/>
          <w:sz w:val="28"/>
        </w:rPr>
        <w:t>附件</w:t>
      </w:r>
    </w:p>
    <w:p>
      <w:pPr>
        <w:pStyle w:val="BodyText"/>
        <w:spacing w:line="367" w:lineRule="auto" w:before="125"/>
        <w:ind w:right="6410"/>
      </w:pPr>
      <w:r>
        <w:rPr/>
        <w:t>附件 1：承包人承揽工程项目一览表附件 2：工程质量保修书 </w:t>
      </w:r>
    </w:p>
    <w:p>
      <w:pPr>
        <w:pStyle w:val="BodyText"/>
        <w:spacing w:line="264" w:lineRule="exact"/>
      </w:pPr>
      <w:r>
        <w:rPr/>
        <w:t>附件 3：主要建设工程文件目录 </w:t>
      </w:r>
    </w:p>
    <w:p>
      <w:pPr>
        <w:pStyle w:val="BodyText"/>
        <w:spacing w:line="364" w:lineRule="auto" w:before="139"/>
        <w:ind w:right="5570"/>
      </w:pPr>
      <w:r>
        <w:rPr/>
        <w:t>附件 4：承包人用于本工程施工的机械设备表附件 5：承包人主要施工管理人员表 </w:t>
      </w:r>
    </w:p>
    <w:p>
      <w:pPr>
        <w:pStyle w:val="BodyText"/>
        <w:spacing w:line="367" w:lineRule="auto"/>
        <w:ind w:right="6410"/>
      </w:pPr>
      <w:r>
        <w:rPr>
          <w:spacing w:val="-17"/>
        </w:rPr>
        <w:t>附件 </w:t>
      </w:r>
      <w:r>
        <w:rPr/>
        <w:t>6</w:t>
      </w:r>
      <w:r>
        <w:rPr>
          <w:spacing w:val="-3"/>
        </w:rPr>
        <w:t>：分包人主要施工管理人员表</w:t>
      </w:r>
      <w:r>
        <w:rPr>
          <w:spacing w:val="-18"/>
        </w:rPr>
        <w:t>附件 </w:t>
      </w:r>
      <w:r>
        <w:rPr/>
        <w:t>7</w:t>
      </w:r>
      <w:r>
        <w:rPr>
          <w:spacing w:val="-3"/>
        </w:rPr>
        <w:t>：履约担保格式</w:t>
      </w:r>
      <w:r>
        <w:rPr/>
        <w:t> </w:t>
      </w:r>
    </w:p>
    <w:p>
      <w:pPr>
        <w:pStyle w:val="BodyText"/>
        <w:spacing w:line="364" w:lineRule="auto"/>
        <w:ind w:right="7461"/>
      </w:pPr>
      <w:r>
        <w:rPr>
          <w:spacing w:val="-17"/>
        </w:rPr>
        <w:t>附件 </w:t>
      </w:r>
      <w:r>
        <w:rPr/>
        <w:t>8</w:t>
      </w:r>
      <w:r>
        <w:rPr>
          <w:spacing w:val="-3"/>
        </w:rPr>
        <w:t>：预付款担保格式</w:t>
      </w:r>
      <w:r>
        <w:rPr>
          <w:spacing w:val="-18"/>
        </w:rPr>
        <w:t>附件 </w:t>
      </w:r>
      <w:r>
        <w:rPr/>
        <w:t>9</w:t>
      </w:r>
      <w:r>
        <w:rPr>
          <w:spacing w:val="-3"/>
        </w:rPr>
        <w:t>：支付担保格式</w:t>
      </w:r>
      <w:r>
        <w:rPr/>
        <w:t> </w:t>
      </w:r>
    </w:p>
    <w:p>
      <w:pPr>
        <w:pStyle w:val="BodyText"/>
        <w:spacing w:line="364" w:lineRule="auto"/>
        <w:ind w:right="6410"/>
      </w:pPr>
      <w:r>
        <w:rPr>
          <w:spacing w:val="-15"/>
        </w:rPr>
        <w:t>附件 </w:t>
      </w:r>
      <w:r>
        <w:rPr/>
        <w:t>10</w:t>
      </w:r>
      <w:r>
        <w:rPr>
          <w:spacing w:val="-3"/>
        </w:rPr>
        <w:t>：预付款支付申请</w:t>
      </w:r>
      <w:r>
        <w:rPr/>
        <w:t>（</w:t>
      </w:r>
      <w:r>
        <w:rPr>
          <w:spacing w:val="-2"/>
        </w:rPr>
        <w:t>核准</w:t>
      </w:r>
      <w:r>
        <w:rPr/>
        <w:t>）</w:t>
      </w:r>
      <w:r>
        <w:rPr>
          <w:spacing w:val="-11"/>
        </w:rPr>
        <w:t>表</w:t>
      </w:r>
      <w:r>
        <w:rPr>
          <w:spacing w:val="-14"/>
        </w:rPr>
        <w:t>附件 </w:t>
      </w:r>
      <w:r>
        <w:rPr/>
        <w:t>11</w:t>
      </w:r>
      <w:r>
        <w:rPr>
          <w:spacing w:val="-3"/>
        </w:rPr>
        <w:t>：进度款支付申请</w:t>
      </w:r>
      <w:r>
        <w:rPr/>
        <w:t>（</w:t>
      </w:r>
      <w:r>
        <w:rPr>
          <w:spacing w:val="-2"/>
        </w:rPr>
        <w:t>核准</w:t>
      </w:r>
      <w:r>
        <w:rPr/>
        <w:t>）</w:t>
      </w:r>
      <w:r>
        <w:rPr>
          <w:spacing w:val="-12"/>
        </w:rPr>
        <w:t>表</w:t>
      </w:r>
    </w:p>
    <w:p>
      <w:pPr>
        <w:pStyle w:val="BodyText"/>
        <w:spacing w:line="364" w:lineRule="auto"/>
        <w:ind w:right="5990"/>
        <w:jc w:val="both"/>
      </w:pPr>
      <w:r>
        <w:rPr>
          <w:spacing w:val="-15"/>
        </w:rPr>
        <w:t>附件 </w:t>
      </w:r>
      <w:r>
        <w:rPr/>
        <w:t>12</w:t>
      </w:r>
      <w:r>
        <w:rPr>
          <w:spacing w:val="-3"/>
        </w:rPr>
        <w:t>：竣工结算款支付申请（</w:t>
      </w:r>
      <w:r>
        <w:rPr>
          <w:spacing w:val="-2"/>
        </w:rPr>
        <w:t>核准</w:t>
      </w:r>
      <w:r>
        <w:rPr/>
        <w:t>）</w:t>
      </w:r>
      <w:r>
        <w:rPr>
          <w:spacing w:val="-12"/>
        </w:rPr>
        <w:t>表</w:t>
      </w:r>
      <w:r>
        <w:rPr>
          <w:spacing w:val="-15"/>
        </w:rPr>
        <w:t>附件 </w:t>
      </w:r>
      <w:r>
        <w:rPr/>
        <w:t>13</w:t>
      </w:r>
      <w:r>
        <w:rPr>
          <w:spacing w:val="-3"/>
        </w:rPr>
        <w:t>：最终结算款支付申请（</w:t>
      </w:r>
      <w:r>
        <w:rPr>
          <w:spacing w:val="-2"/>
        </w:rPr>
        <w:t>核准</w:t>
      </w:r>
      <w:r>
        <w:rPr/>
        <w:t>）</w:t>
      </w:r>
      <w:r>
        <w:rPr>
          <w:spacing w:val="-12"/>
        </w:rPr>
        <w:t>表</w:t>
      </w:r>
      <w:r>
        <w:rPr>
          <w:spacing w:val="-18"/>
        </w:rPr>
        <w:t>附件 </w:t>
      </w:r>
      <w:r>
        <w:rPr>
          <w:rFonts w:ascii="Times New Roman" w:eastAsia="Times New Roman"/>
        </w:rPr>
        <w:t>14</w:t>
      </w:r>
      <w:r>
        <w:rPr>
          <w:spacing w:val="-3"/>
        </w:rPr>
        <w:t>：总价合同进度款支付分解表</w:t>
      </w:r>
    </w:p>
    <w:p>
      <w:pPr>
        <w:spacing w:after="0" w:line="364" w:lineRule="auto"/>
        <w:jc w:val="both"/>
        <w:sectPr>
          <w:pgSz w:w="11910" w:h="16850"/>
          <w:pgMar w:header="0" w:footer="779" w:top="1380" w:bottom="1040" w:left="1120" w:right="280"/>
        </w:sectPr>
      </w:pPr>
    </w:p>
    <w:p>
      <w:pPr>
        <w:pStyle w:val="BodyText"/>
        <w:ind w:left="0"/>
        <w:rPr>
          <w:sz w:val="20"/>
        </w:rPr>
      </w:pPr>
    </w:p>
    <w:p>
      <w:pPr>
        <w:pStyle w:val="BodyText"/>
        <w:ind w:left="0"/>
        <w:rPr>
          <w:sz w:val="20"/>
        </w:rPr>
      </w:pPr>
    </w:p>
    <w:p>
      <w:pPr>
        <w:pStyle w:val="BodyText"/>
        <w:spacing w:before="2"/>
        <w:ind w:left="0"/>
        <w:rPr>
          <w:sz w:val="28"/>
        </w:rPr>
      </w:pPr>
    </w:p>
    <w:p>
      <w:pPr>
        <w:spacing w:before="58"/>
        <w:ind w:left="297" w:right="8319" w:firstLine="0"/>
        <w:jc w:val="center"/>
        <w:rPr>
          <w:sz w:val="30"/>
        </w:rPr>
      </w:pPr>
      <w:r>
        <w:rPr>
          <w:sz w:val="30"/>
        </w:rPr>
        <w:t>附件 1：</w:t>
      </w:r>
    </w:p>
    <w:p>
      <w:pPr>
        <w:spacing w:before="177"/>
        <w:ind w:left="297" w:right="775" w:firstLine="0"/>
        <w:jc w:val="center"/>
        <w:rPr>
          <w:sz w:val="30"/>
        </w:rPr>
      </w:pPr>
      <w:r>
        <w:rPr>
          <w:sz w:val="30"/>
        </w:rPr>
        <w:t>承包人承揽工程项目一览表</w:t>
      </w:r>
    </w:p>
    <w:p>
      <w:pPr>
        <w:pStyle w:val="BodyText"/>
        <w:spacing w:before="7"/>
        <w:ind w:left="0"/>
        <w:rPr>
          <w:sz w:val="9"/>
        </w:rPr>
      </w:pPr>
    </w:p>
    <w:tbl>
      <w:tblPr>
        <w:tblW w:w="0" w:type="auto"/>
        <w:jc w:val="left"/>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5"/>
        <w:gridCol w:w="893"/>
        <w:gridCol w:w="1011"/>
        <w:gridCol w:w="1034"/>
        <w:gridCol w:w="523"/>
        <w:gridCol w:w="972"/>
        <w:gridCol w:w="1329"/>
        <w:gridCol w:w="1022"/>
        <w:gridCol w:w="522"/>
        <w:gridCol w:w="522"/>
      </w:tblGrid>
      <w:tr>
        <w:trPr>
          <w:trHeight w:val="1761" w:hRule="atLeast"/>
        </w:trPr>
        <w:tc>
          <w:tcPr>
            <w:tcW w:w="895" w:type="dxa"/>
          </w:tcPr>
          <w:p>
            <w:pPr>
              <w:pStyle w:val="TableParagraph"/>
              <w:spacing w:before="11"/>
              <w:rPr>
                <w:sz w:val="22"/>
              </w:rPr>
            </w:pPr>
          </w:p>
          <w:p>
            <w:pPr>
              <w:pStyle w:val="TableParagraph"/>
              <w:spacing w:line="295" w:lineRule="auto"/>
              <w:ind w:left="167" w:right="153"/>
              <w:jc w:val="both"/>
              <w:rPr>
                <w:sz w:val="28"/>
              </w:rPr>
            </w:pPr>
            <w:r>
              <w:rPr>
                <w:sz w:val="28"/>
              </w:rPr>
              <w:t>单位工程名称</w:t>
            </w:r>
          </w:p>
        </w:tc>
        <w:tc>
          <w:tcPr>
            <w:tcW w:w="893" w:type="dxa"/>
          </w:tcPr>
          <w:p>
            <w:pPr>
              <w:pStyle w:val="TableParagraph"/>
              <w:spacing w:before="1"/>
              <w:rPr>
                <w:sz w:val="40"/>
              </w:rPr>
            </w:pPr>
          </w:p>
          <w:p>
            <w:pPr>
              <w:pStyle w:val="TableParagraph"/>
              <w:spacing w:line="292" w:lineRule="auto"/>
              <w:ind w:left="165" w:right="153"/>
              <w:rPr>
                <w:sz w:val="28"/>
              </w:rPr>
            </w:pPr>
            <w:r>
              <w:rPr>
                <w:sz w:val="28"/>
              </w:rPr>
              <w:t>建设规模</w:t>
            </w:r>
          </w:p>
        </w:tc>
        <w:tc>
          <w:tcPr>
            <w:tcW w:w="1011" w:type="dxa"/>
          </w:tcPr>
          <w:p>
            <w:pPr>
              <w:pStyle w:val="TableParagraph"/>
              <w:spacing w:line="295" w:lineRule="auto" w:before="72"/>
              <w:ind w:left="177" w:right="165" w:firstLine="48"/>
              <w:jc w:val="both"/>
              <w:rPr>
                <w:sz w:val="28"/>
              </w:rPr>
            </w:pPr>
            <w:r>
              <w:rPr>
                <w:sz w:val="28"/>
              </w:rPr>
              <w:t>建筑面积 </w:t>
            </w:r>
            <w:r>
              <w:rPr>
                <w:rFonts w:ascii="Times New Roman" w:eastAsia="Times New Roman"/>
                <w:sz w:val="28"/>
              </w:rPr>
              <w:t>(</w:t>
            </w:r>
            <w:r>
              <w:rPr>
                <w:spacing w:val="-9"/>
                <w:sz w:val="28"/>
              </w:rPr>
              <w:t>平方</w:t>
            </w:r>
          </w:p>
          <w:p>
            <w:pPr>
              <w:pStyle w:val="TableParagraph"/>
              <w:spacing w:line="345" w:lineRule="exact"/>
              <w:ind w:left="317"/>
              <w:rPr>
                <w:rFonts w:ascii="Times New Roman" w:eastAsia="Times New Roman"/>
                <w:sz w:val="28"/>
              </w:rPr>
            </w:pPr>
            <w:r>
              <w:rPr>
                <w:sz w:val="28"/>
              </w:rPr>
              <w:t>米</w:t>
            </w:r>
            <w:r>
              <w:rPr>
                <w:rFonts w:ascii="Times New Roman" w:eastAsia="Times New Roman"/>
                <w:sz w:val="28"/>
              </w:rPr>
              <w:t>)</w:t>
            </w:r>
          </w:p>
        </w:tc>
        <w:tc>
          <w:tcPr>
            <w:tcW w:w="1034" w:type="dxa"/>
          </w:tcPr>
          <w:p>
            <w:pPr>
              <w:pStyle w:val="TableParagraph"/>
              <w:spacing w:before="1"/>
              <w:rPr>
                <w:sz w:val="40"/>
              </w:rPr>
            </w:pPr>
          </w:p>
          <w:p>
            <w:pPr>
              <w:pStyle w:val="TableParagraph"/>
              <w:spacing w:line="292" w:lineRule="auto"/>
              <w:ind w:left="374" w:right="83" w:hanging="279"/>
              <w:rPr>
                <w:sz w:val="28"/>
              </w:rPr>
            </w:pPr>
            <w:r>
              <w:rPr>
                <w:sz w:val="28"/>
              </w:rPr>
              <w:t>结构形式</w:t>
            </w:r>
          </w:p>
        </w:tc>
        <w:tc>
          <w:tcPr>
            <w:tcW w:w="523" w:type="dxa"/>
          </w:tcPr>
          <w:p>
            <w:pPr>
              <w:pStyle w:val="TableParagraph"/>
              <w:spacing w:before="1"/>
              <w:rPr>
                <w:sz w:val="40"/>
              </w:rPr>
            </w:pPr>
          </w:p>
          <w:p>
            <w:pPr>
              <w:pStyle w:val="TableParagraph"/>
              <w:spacing w:line="292" w:lineRule="auto"/>
              <w:ind w:left="120" w:right="110"/>
              <w:rPr>
                <w:sz w:val="28"/>
              </w:rPr>
            </w:pPr>
            <w:r>
              <w:rPr>
                <w:sz w:val="28"/>
              </w:rPr>
              <w:t>层数</w:t>
            </w:r>
          </w:p>
        </w:tc>
        <w:tc>
          <w:tcPr>
            <w:tcW w:w="972" w:type="dxa"/>
          </w:tcPr>
          <w:p>
            <w:pPr>
              <w:pStyle w:val="TableParagraph"/>
              <w:spacing w:before="1"/>
              <w:rPr>
                <w:sz w:val="40"/>
              </w:rPr>
            </w:pPr>
          </w:p>
          <w:p>
            <w:pPr>
              <w:pStyle w:val="TableParagraph"/>
              <w:spacing w:line="292" w:lineRule="auto"/>
              <w:ind w:left="207" w:right="191"/>
              <w:rPr>
                <w:sz w:val="28"/>
              </w:rPr>
            </w:pPr>
            <w:r>
              <w:rPr>
                <w:sz w:val="28"/>
              </w:rPr>
              <w:t>生产能力</w:t>
            </w:r>
          </w:p>
        </w:tc>
        <w:tc>
          <w:tcPr>
            <w:tcW w:w="1329" w:type="dxa"/>
          </w:tcPr>
          <w:p>
            <w:pPr>
              <w:pStyle w:val="TableParagraph"/>
              <w:spacing w:before="1"/>
              <w:rPr>
                <w:sz w:val="40"/>
              </w:rPr>
            </w:pPr>
          </w:p>
          <w:p>
            <w:pPr>
              <w:pStyle w:val="TableParagraph"/>
              <w:spacing w:line="292" w:lineRule="auto"/>
              <w:ind w:left="384" w:right="89" w:hanging="281"/>
              <w:rPr>
                <w:sz w:val="28"/>
              </w:rPr>
            </w:pPr>
            <w:r>
              <w:rPr>
                <w:sz w:val="28"/>
              </w:rPr>
              <w:t>设备安装内容</w:t>
            </w:r>
          </w:p>
        </w:tc>
        <w:tc>
          <w:tcPr>
            <w:tcW w:w="1022" w:type="dxa"/>
          </w:tcPr>
          <w:p>
            <w:pPr>
              <w:pStyle w:val="TableParagraph"/>
              <w:spacing w:before="1"/>
              <w:rPr>
                <w:sz w:val="40"/>
              </w:rPr>
            </w:pPr>
          </w:p>
          <w:p>
            <w:pPr>
              <w:pStyle w:val="TableParagraph"/>
              <w:spacing w:line="292" w:lineRule="auto"/>
              <w:ind w:left="90" w:right="77"/>
              <w:rPr>
                <w:sz w:val="28"/>
              </w:rPr>
            </w:pPr>
            <w:r>
              <w:rPr>
                <w:spacing w:val="-7"/>
                <w:sz w:val="28"/>
              </w:rPr>
              <w:t>合同价</w:t>
            </w:r>
            <w:r>
              <w:rPr>
                <w:spacing w:val="-140"/>
                <w:sz w:val="28"/>
              </w:rPr>
              <w:t>格</w:t>
            </w:r>
            <w:r>
              <w:rPr>
                <w:sz w:val="28"/>
              </w:rPr>
              <w:t>（元</w:t>
            </w:r>
          </w:p>
        </w:tc>
        <w:tc>
          <w:tcPr>
            <w:tcW w:w="522" w:type="dxa"/>
          </w:tcPr>
          <w:p>
            <w:pPr>
              <w:pStyle w:val="TableParagraph"/>
              <w:spacing w:line="295" w:lineRule="auto" w:before="72"/>
              <w:ind w:left="122" w:right="106"/>
              <w:jc w:val="right"/>
              <w:rPr>
                <w:sz w:val="28"/>
              </w:rPr>
            </w:pPr>
            <w:r>
              <w:rPr>
                <w:sz w:val="28"/>
              </w:rPr>
              <w:t>开工</w:t>
            </w:r>
          </w:p>
          <w:p>
            <w:pPr>
              <w:pStyle w:val="TableParagraph"/>
              <w:spacing w:line="357" w:lineRule="exact"/>
              <w:ind w:left="-232" w:right="106"/>
              <w:jc w:val="right"/>
              <w:rPr>
                <w:sz w:val="28"/>
              </w:rPr>
            </w:pPr>
            <w:r>
              <w:rPr>
                <w:sz w:val="28"/>
              </w:rPr>
              <w:t>）</w:t>
            </w:r>
            <w:r>
              <w:rPr>
                <w:spacing w:val="-41"/>
                <w:sz w:val="28"/>
              </w:rPr>
              <w:t> 日</w:t>
            </w:r>
          </w:p>
          <w:p>
            <w:pPr>
              <w:pStyle w:val="TableParagraph"/>
              <w:spacing w:line="349" w:lineRule="exact" w:before="81"/>
              <w:ind w:right="106"/>
              <w:jc w:val="right"/>
              <w:rPr>
                <w:sz w:val="28"/>
              </w:rPr>
            </w:pPr>
            <w:r>
              <w:rPr>
                <w:w w:val="100"/>
                <w:sz w:val="28"/>
              </w:rPr>
              <w:t>期</w:t>
            </w:r>
          </w:p>
        </w:tc>
        <w:tc>
          <w:tcPr>
            <w:tcW w:w="522" w:type="dxa"/>
          </w:tcPr>
          <w:p>
            <w:pPr>
              <w:pStyle w:val="TableParagraph"/>
              <w:spacing w:line="295" w:lineRule="auto" w:before="72"/>
              <w:ind w:left="123" w:right="105"/>
              <w:jc w:val="both"/>
              <w:rPr>
                <w:sz w:val="28"/>
              </w:rPr>
            </w:pPr>
            <w:r>
              <w:rPr>
                <w:sz w:val="28"/>
              </w:rPr>
              <w:t>竣工日</w:t>
            </w:r>
          </w:p>
          <w:p>
            <w:pPr>
              <w:pStyle w:val="TableParagraph"/>
              <w:spacing w:line="345" w:lineRule="exact"/>
              <w:ind w:left="123"/>
              <w:rPr>
                <w:sz w:val="28"/>
              </w:rPr>
            </w:pPr>
            <w:r>
              <w:rPr>
                <w:w w:val="100"/>
                <w:sz w:val="28"/>
              </w:rPr>
              <w:t>期</w:t>
            </w:r>
          </w:p>
        </w:tc>
      </w:tr>
      <w:tr>
        <w:trPr>
          <w:trHeight w:val="566" w:hRule="atLeast"/>
        </w:trPr>
        <w:tc>
          <w:tcPr>
            <w:tcW w:w="895" w:type="dxa"/>
          </w:tcPr>
          <w:p>
            <w:pPr>
              <w:pStyle w:val="TableParagraph"/>
              <w:rPr>
                <w:rFonts w:ascii="Times New Roman"/>
                <w:sz w:val="24"/>
              </w:rPr>
            </w:pPr>
          </w:p>
        </w:tc>
        <w:tc>
          <w:tcPr>
            <w:tcW w:w="893" w:type="dxa"/>
          </w:tcPr>
          <w:p>
            <w:pPr>
              <w:pStyle w:val="TableParagraph"/>
              <w:rPr>
                <w:rFonts w:ascii="Times New Roman"/>
                <w:sz w:val="24"/>
              </w:rPr>
            </w:pPr>
          </w:p>
        </w:tc>
        <w:tc>
          <w:tcPr>
            <w:tcW w:w="1011" w:type="dxa"/>
          </w:tcPr>
          <w:p>
            <w:pPr>
              <w:pStyle w:val="TableParagraph"/>
              <w:rPr>
                <w:rFonts w:ascii="Times New Roman"/>
                <w:sz w:val="24"/>
              </w:rPr>
            </w:pPr>
          </w:p>
        </w:tc>
        <w:tc>
          <w:tcPr>
            <w:tcW w:w="1034" w:type="dxa"/>
          </w:tcPr>
          <w:p>
            <w:pPr>
              <w:pStyle w:val="TableParagraph"/>
              <w:rPr>
                <w:rFonts w:ascii="Times New Roman"/>
                <w:sz w:val="24"/>
              </w:rPr>
            </w:pPr>
          </w:p>
        </w:tc>
        <w:tc>
          <w:tcPr>
            <w:tcW w:w="523" w:type="dxa"/>
          </w:tcPr>
          <w:p>
            <w:pPr>
              <w:pStyle w:val="TableParagraph"/>
              <w:rPr>
                <w:rFonts w:ascii="Times New Roman"/>
                <w:sz w:val="24"/>
              </w:rPr>
            </w:pPr>
          </w:p>
        </w:tc>
        <w:tc>
          <w:tcPr>
            <w:tcW w:w="972" w:type="dxa"/>
          </w:tcPr>
          <w:p>
            <w:pPr>
              <w:pStyle w:val="TableParagraph"/>
              <w:rPr>
                <w:rFonts w:ascii="Times New Roman"/>
                <w:sz w:val="24"/>
              </w:rPr>
            </w:pPr>
          </w:p>
        </w:tc>
        <w:tc>
          <w:tcPr>
            <w:tcW w:w="1329" w:type="dxa"/>
          </w:tcPr>
          <w:p>
            <w:pPr>
              <w:pStyle w:val="TableParagraph"/>
              <w:rPr>
                <w:rFonts w:ascii="Times New Roman"/>
                <w:sz w:val="24"/>
              </w:rPr>
            </w:pPr>
          </w:p>
        </w:tc>
        <w:tc>
          <w:tcPr>
            <w:tcW w:w="1022" w:type="dxa"/>
          </w:tcPr>
          <w:p>
            <w:pPr>
              <w:pStyle w:val="TableParagraph"/>
              <w:rPr>
                <w:rFonts w:ascii="Times New Roman"/>
                <w:sz w:val="24"/>
              </w:rPr>
            </w:pPr>
          </w:p>
        </w:tc>
        <w:tc>
          <w:tcPr>
            <w:tcW w:w="522" w:type="dxa"/>
          </w:tcPr>
          <w:p>
            <w:pPr>
              <w:pStyle w:val="TableParagraph"/>
              <w:rPr>
                <w:rFonts w:ascii="Times New Roman"/>
                <w:sz w:val="24"/>
              </w:rPr>
            </w:pPr>
          </w:p>
        </w:tc>
        <w:tc>
          <w:tcPr>
            <w:tcW w:w="522" w:type="dxa"/>
          </w:tcPr>
          <w:p>
            <w:pPr>
              <w:pStyle w:val="TableParagraph"/>
              <w:rPr>
                <w:rFonts w:ascii="Times New Roman"/>
                <w:sz w:val="24"/>
              </w:rPr>
            </w:pPr>
          </w:p>
        </w:tc>
      </w:tr>
      <w:tr>
        <w:trPr>
          <w:trHeight w:val="566" w:hRule="atLeast"/>
        </w:trPr>
        <w:tc>
          <w:tcPr>
            <w:tcW w:w="895" w:type="dxa"/>
          </w:tcPr>
          <w:p>
            <w:pPr>
              <w:pStyle w:val="TableParagraph"/>
              <w:rPr>
                <w:rFonts w:ascii="Times New Roman"/>
                <w:sz w:val="24"/>
              </w:rPr>
            </w:pPr>
          </w:p>
        </w:tc>
        <w:tc>
          <w:tcPr>
            <w:tcW w:w="893" w:type="dxa"/>
          </w:tcPr>
          <w:p>
            <w:pPr>
              <w:pStyle w:val="TableParagraph"/>
              <w:rPr>
                <w:rFonts w:ascii="Times New Roman"/>
                <w:sz w:val="24"/>
              </w:rPr>
            </w:pPr>
          </w:p>
        </w:tc>
        <w:tc>
          <w:tcPr>
            <w:tcW w:w="1011" w:type="dxa"/>
          </w:tcPr>
          <w:p>
            <w:pPr>
              <w:pStyle w:val="TableParagraph"/>
              <w:rPr>
                <w:rFonts w:ascii="Times New Roman"/>
                <w:sz w:val="24"/>
              </w:rPr>
            </w:pPr>
          </w:p>
        </w:tc>
        <w:tc>
          <w:tcPr>
            <w:tcW w:w="1034" w:type="dxa"/>
          </w:tcPr>
          <w:p>
            <w:pPr>
              <w:pStyle w:val="TableParagraph"/>
              <w:rPr>
                <w:rFonts w:ascii="Times New Roman"/>
                <w:sz w:val="24"/>
              </w:rPr>
            </w:pPr>
          </w:p>
        </w:tc>
        <w:tc>
          <w:tcPr>
            <w:tcW w:w="523" w:type="dxa"/>
          </w:tcPr>
          <w:p>
            <w:pPr>
              <w:pStyle w:val="TableParagraph"/>
              <w:rPr>
                <w:rFonts w:ascii="Times New Roman"/>
                <w:sz w:val="24"/>
              </w:rPr>
            </w:pPr>
          </w:p>
        </w:tc>
        <w:tc>
          <w:tcPr>
            <w:tcW w:w="972" w:type="dxa"/>
          </w:tcPr>
          <w:p>
            <w:pPr>
              <w:pStyle w:val="TableParagraph"/>
              <w:rPr>
                <w:rFonts w:ascii="Times New Roman"/>
                <w:sz w:val="24"/>
              </w:rPr>
            </w:pPr>
          </w:p>
        </w:tc>
        <w:tc>
          <w:tcPr>
            <w:tcW w:w="1329" w:type="dxa"/>
          </w:tcPr>
          <w:p>
            <w:pPr>
              <w:pStyle w:val="TableParagraph"/>
              <w:rPr>
                <w:rFonts w:ascii="Times New Roman"/>
                <w:sz w:val="24"/>
              </w:rPr>
            </w:pPr>
          </w:p>
        </w:tc>
        <w:tc>
          <w:tcPr>
            <w:tcW w:w="1022" w:type="dxa"/>
          </w:tcPr>
          <w:p>
            <w:pPr>
              <w:pStyle w:val="TableParagraph"/>
              <w:rPr>
                <w:rFonts w:ascii="Times New Roman"/>
                <w:sz w:val="24"/>
              </w:rPr>
            </w:pPr>
          </w:p>
        </w:tc>
        <w:tc>
          <w:tcPr>
            <w:tcW w:w="522" w:type="dxa"/>
          </w:tcPr>
          <w:p>
            <w:pPr>
              <w:pStyle w:val="TableParagraph"/>
              <w:rPr>
                <w:rFonts w:ascii="Times New Roman"/>
                <w:sz w:val="24"/>
              </w:rPr>
            </w:pPr>
          </w:p>
        </w:tc>
        <w:tc>
          <w:tcPr>
            <w:tcW w:w="522" w:type="dxa"/>
          </w:tcPr>
          <w:p>
            <w:pPr>
              <w:pStyle w:val="TableParagraph"/>
              <w:rPr>
                <w:rFonts w:ascii="Times New Roman"/>
                <w:sz w:val="24"/>
              </w:rPr>
            </w:pPr>
          </w:p>
        </w:tc>
      </w:tr>
      <w:tr>
        <w:trPr>
          <w:trHeight w:val="568" w:hRule="atLeast"/>
        </w:trPr>
        <w:tc>
          <w:tcPr>
            <w:tcW w:w="895" w:type="dxa"/>
          </w:tcPr>
          <w:p>
            <w:pPr>
              <w:pStyle w:val="TableParagraph"/>
              <w:rPr>
                <w:rFonts w:ascii="Times New Roman"/>
                <w:sz w:val="24"/>
              </w:rPr>
            </w:pPr>
          </w:p>
        </w:tc>
        <w:tc>
          <w:tcPr>
            <w:tcW w:w="893" w:type="dxa"/>
          </w:tcPr>
          <w:p>
            <w:pPr>
              <w:pStyle w:val="TableParagraph"/>
              <w:rPr>
                <w:rFonts w:ascii="Times New Roman"/>
                <w:sz w:val="24"/>
              </w:rPr>
            </w:pPr>
          </w:p>
        </w:tc>
        <w:tc>
          <w:tcPr>
            <w:tcW w:w="1011" w:type="dxa"/>
          </w:tcPr>
          <w:p>
            <w:pPr>
              <w:pStyle w:val="TableParagraph"/>
              <w:rPr>
                <w:rFonts w:ascii="Times New Roman"/>
                <w:sz w:val="24"/>
              </w:rPr>
            </w:pPr>
          </w:p>
        </w:tc>
        <w:tc>
          <w:tcPr>
            <w:tcW w:w="1034" w:type="dxa"/>
          </w:tcPr>
          <w:p>
            <w:pPr>
              <w:pStyle w:val="TableParagraph"/>
              <w:rPr>
                <w:rFonts w:ascii="Times New Roman"/>
                <w:sz w:val="24"/>
              </w:rPr>
            </w:pPr>
          </w:p>
        </w:tc>
        <w:tc>
          <w:tcPr>
            <w:tcW w:w="523" w:type="dxa"/>
          </w:tcPr>
          <w:p>
            <w:pPr>
              <w:pStyle w:val="TableParagraph"/>
              <w:rPr>
                <w:rFonts w:ascii="Times New Roman"/>
                <w:sz w:val="24"/>
              </w:rPr>
            </w:pPr>
          </w:p>
        </w:tc>
        <w:tc>
          <w:tcPr>
            <w:tcW w:w="972" w:type="dxa"/>
          </w:tcPr>
          <w:p>
            <w:pPr>
              <w:pStyle w:val="TableParagraph"/>
              <w:rPr>
                <w:rFonts w:ascii="Times New Roman"/>
                <w:sz w:val="24"/>
              </w:rPr>
            </w:pPr>
          </w:p>
        </w:tc>
        <w:tc>
          <w:tcPr>
            <w:tcW w:w="1329" w:type="dxa"/>
          </w:tcPr>
          <w:p>
            <w:pPr>
              <w:pStyle w:val="TableParagraph"/>
              <w:rPr>
                <w:rFonts w:ascii="Times New Roman"/>
                <w:sz w:val="24"/>
              </w:rPr>
            </w:pPr>
          </w:p>
        </w:tc>
        <w:tc>
          <w:tcPr>
            <w:tcW w:w="1022" w:type="dxa"/>
          </w:tcPr>
          <w:p>
            <w:pPr>
              <w:pStyle w:val="TableParagraph"/>
              <w:rPr>
                <w:rFonts w:ascii="Times New Roman"/>
                <w:sz w:val="24"/>
              </w:rPr>
            </w:pPr>
          </w:p>
        </w:tc>
        <w:tc>
          <w:tcPr>
            <w:tcW w:w="522" w:type="dxa"/>
          </w:tcPr>
          <w:p>
            <w:pPr>
              <w:pStyle w:val="TableParagraph"/>
              <w:rPr>
                <w:rFonts w:ascii="Times New Roman"/>
                <w:sz w:val="24"/>
              </w:rPr>
            </w:pPr>
          </w:p>
        </w:tc>
        <w:tc>
          <w:tcPr>
            <w:tcW w:w="522" w:type="dxa"/>
          </w:tcPr>
          <w:p>
            <w:pPr>
              <w:pStyle w:val="TableParagraph"/>
              <w:rPr>
                <w:rFonts w:ascii="Times New Roman"/>
                <w:sz w:val="24"/>
              </w:rPr>
            </w:pPr>
          </w:p>
        </w:tc>
      </w:tr>
      <w:tr>
        <w:trPr>
          <w:trHeight w:val="566" w:hRule="atLeast"/>
        </w:trPr>
        <w:tc>
          <w:tcPr>
            <w:tcW w:w="895" w:type="dxa"/>
          </w:tcPr>
          <w:p>
            <w:pPr>
              <w:pStyle w:val="TableParagraph"/>
              <w:rPr>
                <w:rFonts w:ascii="Times New Roman"/>
                <w:sz w:val="24"/>
              </w:rPr>
            </w:pPr>
          </w:p>
        </w:tc>
        <w:tc>
          <w:tcPr>
            <w:tcW w:w="893" w:type="dxa"/>
          </w:tcPr>
          <w:p>
            <w:pPr>
              <w:pStyle w:val="TableParagraph"/>
              <w:rPr>
                <w:rFonts w:ascii="Times New Roman"/>
                <w:sz w:val="24"/>
              </w:rPr>
            </w:pPr>
          </w:p>
        </w:tc>
        <w:tc>
          <w:tcPr>
            <w:tcW w:w="1011" w:type="dxa"/>
          </w:tcPr>
          <w:p>
            <w:pPr>
              <w:pStyle w:val="TableParagraph"/>
              <w:rPr>
                <w:rFonts w:ascii="Times New Roman"/>
                <w:sz w:val="24"/>
              </w:rPr>
            </w:pPr>
          </w:p>
        </w:tc>
        <w:tc>
          <w:tcPr>
            <w:tcW w:w="1034" w:type="dxa"/>
          </w:tcPr>
          <w:p>
            <w:pPr>
              <w:pStyle w:val="TableParagraph"/>
              <w:rPr>
                <w:rFonts w:ascii="Times New Roman"/>
                <w:sz w:val="24"/>
              </w:rPr>
            </w:pPr>
          </w:p>
        </w:tc>
        <w:tc>
          <w:tcPr>
            <w:tcW w:w="523" w:type="dxa"/>
          </w:tcPr>
          <w:p>
            <w:pPr>
              <w:pStyle w:val="TableParagraph"/>
              <w:rPr>
                <w:rFonts w:ascii="Times New Roman"/>
                <w:sz w:val="24"/>
              </w:rPr>
            </w:pPr>
          </w:p>
        </w:tc>
        <w:tc>
          <w:tcPr>
            <w:tcW w:w="972" w:type="dxa"/>
          </w:tcPr>
          <w:p>
            <w:pPr>
              <w:pStyle w:val="TableParagraph"/>
              <w:rPr>
                <w:rFonts w:ascii="Times New Roman"/>
                <w:sz w:val="24"/>
              </w:rPr>
            </w:pPr>
          </w:p>
        </w:tc>
        <w:tc>
          <w:tcPr>
            <w:tcW w:w="1329" w:type="dxa"/>
          </w:tcPr>
          <w:p>
            <w:pPr>
              <w:pStyle w:val="TableParagraph"/>
              <w:rPr>
                <w:rFonts w:ascii="Times New Roman"/>
                <w:sz w:val="24"/>
              </w:rPr>
            </w:pPr>
          </w:p>
        </w:tc>
        <w:tc>
          <w:tcPr>
            <w:tcW w:w="1022" w:type="dxa"/>
          </w:tcPr>
          <w:p>
            <w:pPr>
              <w:pStyle w:val="TableParagraph"/>
              <w:rPr>
                <w:rFonts w:ascii="Times New Roman"/>
                <w:sz w:val="24"/>
              </w:rPr>
            </w:pPr>
          </w:p>
        </w:tc>
        <w:tc>
          <w:tcPr>
            <w:tcW w:w="522" w:type="dxa"/>
          </w:tcPr>
          <w:p>
            <w:pPr>
              <w:pStyle w:val="TableParagraph"/>
              <w:rPr>
                <w:rFonts w:ascii="Times New Roman"/>
                <w:sz w:val="24"/>
              </w:rPr>
            </w:pPr>
          </w:p>
        </w:tc>
        <w:tc>
          <w:tcPr>
            <w:tcW w:w="522" w:type="dxa"/>
          </w:tcPr>
          <w:p>
            <w:pPr>
              <w:pStyle w:val="TableParagraph"/>
              <w:rPr>
                <w:rFonts w:ascii="Times New Roman"/>
                <w:sz w:val="24"/>
              </w:rPr>
            </w:pPr>
          </w:p>
        </w:tc>
      </w:tr>
      <w:tr>
        <w:trPr>
          <w:trHeight w:val="568" w:hRule="atLeast"/>
        </w:trPr>
        <w:tc>
          <w:tcPr>
            <w:tcW w:w="895" w:type="dxa"/>
          </w:tcPr>
          <w:p>
            <w:pPr>
              <w:pStyle w:val="TableParagraph"/>
              <w:rPr>
                <w:rFonts w:ascii="Times New Roman"/>
                <w:sz w:val="24"/>
              </w:rPr>
            </w:pPr>
          </w:p>
        </w:tc>
        <w:tc>
          <w:tcPr>
            <w:tcW w:w="893" w:type="dxa"/>
          </w:tcPr>
          <w:p>
            <w:pPr>
              <w:pStyle w:val="TableParagraph"/>
              <w:rPr>
                <w:rFonts w:ascii="Times New Roman"/>
                <w:sz w:val="24"/>
              </w:rPr>
            </w:pPr>
          </w:p>
        </w:tc>
        <w:tc>
          <w:tcPr>
            <w:tcW w:w="1011" w:type="dxa"/>
          </w:tcPr>
          <w:p>
            <w:pPr>
              <w:pStyle w:val="TableParagraph"/>
              <w:rPr>
                <w:rFonts w:ascii="Times New Roman"/>
                <w:sz w:val="24"/>
              </w:rPr>
            </w:pPr>
          </w:p>
        </w:tc>
        <w:tc>
          <w:tcPr>
            <w:tcW w:w="1034" w:type="dxa"/>
          </w:tcPr>
          <w:p>
            <w:pPr>
              <w:pStyle w:val="TableParagraph"/>
              <w:rPr>
                <w:rFonts w:ascii="Times New Roman"/>
                <w:sz w:val="24"/>
              </w:rPr>
            </w:pPr>
          </w:p>
        </w:tc>
        <w:tc>
          <w:tcPr>
            <w:tcW w:w="523" w:type="dxa"/>
          </w:tcPr>
          <w:p>
            <w:pPr>
              <w:pStyle w:val="TableParagraph"/>
              <w:rPr>
                <w:rFonts w:ascii="Times New Roman"/>
                <w:sz w:val="24"/>
              </w:rPr>
            </w:pPr>
          </w:p>
        </w:tc>
        <w:tc>
          <w:tcPr>
            <w:tcW w:w="972" w:type="dxa"/>
          </w:tcPr>
          <w:p>
            <w:pPr>
              <w:pStyle w:val="TableParagraph"/>
              <w:rPr>
                <w:rFonts w:ascii="Times New Roman"/>
                <w:sz w:val="24"/>
              </w:rPr>
            </w:pPr>
          </w:p>
        </w:tc>
        <w:tc>
          <w:tcPr>
            <w:tcW w:w="1329" w:type="dxa"/>
          </w:tcPr>
          <w:p>
            <w:pPr>
              <w:pStyle w:val="TableParagraph"/>
              <w:rPr>
                <w:rFonts w:ascii="Times New Roman"/>
                <w:sz w:val="24"/>
              </w:rPr>
            </w:pPr>
          </w:p>
        </w:tc>
        <w:tc>
          <w:tcPr>
            <w:tcW w:w="1022" w:type="dxa"/>
          </w:tcPr>
          <w:p>
            <w:pPr>
              <w:pStyle w:val="TableParagraph"/>
              <w:rPr>
                <w:rFonts w:ascii="Times New Roman"/>
                <w:sz w:val="24"/>
              </w:rPr>
            </w:pPr>
          </w:p>
        </w:tc>
        <w:tc>
          <w:tcPr>
            <w:tcW w:w="522" w:type="dxa"/>
          </w:tcPr>
          <w:p>
            <w:pPr>
              <w:pStyle w:val="TableParagraph"/>
              <w:rPr>
                <w:rFonts w:ascii="Times New Roman"/>
                <w:sz w:val="24"/>
              </w:rPr>
            </w:pPr>
          </w:p>
        </w:tc>
        <w:tc>
          <w:tcPr>
            <w:tcW w:w="522" w:type="dxa"/>
          </w:tcPr>
          <w:p>
            <w:pPr>
              <w:pStyle w:val="TableParagraph"/>
              <w:rPr>
                <w:rFonts w:ascii="Times New Roman"/>
                <w:sz w:val="24"/>
              </w:rPr>
            </w:pPr>
          </w:p>
        </w:tc>
      </w:tr>
      <w:tr>
        <w:trPr>
          <w:trHeight w:val="566" w:hRule="atLeast"/>
        </w:trPr>
        <w:tc>
          <w:tcPr>
            <w:tcW w:w="895" w:type="dxa"/>
          </w:tcPr>
          <w:p>
            <w:pPr>
              <w:pStyle w:val="TableParagraph"/>
              <w:rPr>
                <w:rFonts w:ascii="Times New Roman"/>
                <w:sz w:val="24"/>
              </w:rPr>
            </w:pPr>
          </w:p>
        </w:tc>
        <w:tc>
          <w:tcPr>
            <w:tcW w:w="893" w:type="dxa"/>
          </w:tcPr>
          <w:p>
            <w:pPr>
              <w:pStyle w:val="TableParagraph"/>
              <w:rPr>
                <w:rFonts w:ascii="Times New Roman"/>
                <w:sz w:val="24"/>
              </w:rPr>
            </w:pPr>
          </w:p>
        </w:tc>
        <w:tc>
          <w:tcPr>
            <w:tcW w:w="1011" w:type="dxa"/>
          </w:tcPr>
          <w:p>
            <w:pPr>
              <w:pStyle w:val="TableParagraph"/>
              <w:rPr>
                <w:rFonts w:ascii="Times New Roman"/>
                <w:sz w:val="24"/>
              </w:rPr>
            </w:pPr>
          </w:p>
        </w:tc>
        <w:tc>
          <w:tcPr>
            <w:tcW w:w="1034" w:type="dxa"/>
          </w:tcPr>
          <w:p>
            <w:pPr>
              <w:pStyle w:val="TableParagraph"/>
              <w:rPr>
                <w:rFonts w:ascii="Times New Roman"/>
                <w:sz w:val="24"/>
              </w:rPr>
            </w:pPr>
          </w:p>
        </w:tc>
        <w:tc>
          <w:tcPr>
            <w:tcW w:w="523" w:type="dxa"/>
          </w:tcPr>
          <w:p>
            <w:pPr>
              <w:pStyle w:val="TableParagraph"/>
              <w:rPr>
                <w:rFonts w:ascii="Times New Roman"/>
                <w:sz w:val="24"/>
              </w:rPr>
            </w:pPr>
          </w:p>
        </w:tc>
        <w:tc>
          <w:tcPr>
            <w:tcW w:w="972" w:type="dxa"/>
          </w:tcPr>
          <w:p>
            <w:pPr>
              <w:pStyle w:val="TableParagraph"/>
              <w:rPr>
                <w:rFonts w:ascii="Times New Roman"/>
                <w:sz w:val="24"/>
              </w:rPr>
            </w:pPr>
          </w:p>
        </w:tc>
        <w:tc>
          <w:tcPr>
            <w:tcW w:w="1329" w:type="dxa"/>
          </w:tcPr>
          <w:p>
            <w:pPr>
              <w:pStyle w:val="TableParagraph"/>
              <w:rPr>
                <w:rFonts w:ascii="Times New Roman"/>
                <w:sz w:val="24"/>
              </w:rPr>
            </w:pPr>
          </w:p>
        </w:tc>
        <w:tc>
          <w:tcPr>
            <w:tcW w:w="1022" w:type="dxa"/>
          </w:tcPr>
          <w:p>
            <w:pPr>
              <w:pStyle w:val="TableParagraph"/>
              <w:rPr>
                <w:rFonts w:ascii="Times New Roman"/>
                <w:sz w:val="24"/>
              </w:rPr>
            </w:pPr>
          </w:p>
        </w:tc>
        <w:tc>
          <w:tcPr>
            <w:tcW w:w="522" w:type="dxa"/>
          </w:tcPr>
          <w:p>
            <w:pPr>
              <w:pStyle w:val="TableParagraph"/>
              <w:rPr>
                <w:rFonts w:ascii="Times New Roman"/>
                <w:sz w:val="24"/>
              </w:rPr>
            </w:pPr>
          </w:p>
        </w:tc>
        <w:tc>
          <w:tcPr>
            <w:tcW w:w="522" w:type="dxa"/>
          </w:tcPr>
          <w:p>
            <w:pPr>
              <w:pStyle w:val="TableParagraph"/>
              <w:rPr>
                <w:rFonts w:ascii="Times New Roman"/>
                <w:sz w:val="24"/>
              </w:rPr>
            </w:pPr>
          </w:p>
        </w:tc>
      </w:tr>
      <w:tr>
        <w:trPr>
          <w:trHeight w:val="566" w:hRule="atLeast"/>
        </w:trPr>
        <w:tc>
          <w:tcPr>
            <w:tcW w:w="895" w:type="dxa"/>
          </w:tcPr>
          <w:p>
            <w:pPr>
              <w:pStyle w:val="TableParagraph"/>
              <w:rPr>
                <w:rFonts w:ascii="Times New Roman"/>
                <w:sz w:val="24"/>
              </w:rPr>
            </w:pPr>
          </w:p>
        </w:tc>
        <w:tc>
          <w:tcPr>
            <w:tcW w:w="893" w:type="dxa"/>
          </w:tcPr>
          <w:p>
            <w:pPr>
              <w:pStyle w:val="TableParagraph"/>
              <w:rPr>
                <w:rFonts w:ascii="Times New Roman"/>
                <w:sz w:val="24"/>
              </w:rPr>
            </w:pPr>
          </w:p>
        </w:tc>
        <w:tc>
          <w:tcPr>
            <w:tcW w:w="1011" w:type="dxa"/>
          </w:tcPr>
          <w:p>
            <w:pPr>
              <w:pStyle w:val="TableParagraph"/>
              <w:rPr>
                <w:rFonts w:ascii="Times New Roman"/>
                <w:sz w:val="24"/>
              </w:rPr>
            </w:pPr>
          </w:p>
        </w:tc>
        <w:tc>
          <w:tcPr>
            <w:tcW w:w="1034" w:type="dxa"/>
          </w:tcPr>
          <w:p>
            <w:pPr>
              <w:pStyle w:val="TableParagraph"/>
              <w:rPr>
                <w:rFonts w:ascii="Times New Roman"/>
                <w:sz w:val="24"/>
              </w:rPr>
            </w:pPr>
          </w:p>
        </w:tc>
        <w:tc>
          <w:tcPr>
            <w:tcW w:w="523" w:type="dxa"/>
          </w:tcPr>
          <w:p>
            <w:pPr>
              <w:pStyle w:val="TableParagraph"/>
              <w:rPr>
                <w:rFonts w:ascii="Times New Roman"/>
                <w:sz w:val="24"/>
              </w:rPr>
            </w:pPr>
          </w:p>
        </w:tc>
        <w:tc>
          <w:tcPr>
            <w:tcW w:w="972" w:type="dxa"/>
          </w:tcPr>
          <w:p>
            <w:pPr>
              <w:pStyle w:val="TableParagraph"/>
              <w:rPr>
                <w:rFonts w:ascii="Times New Roman"/>
                <w:sz w:val="24"/>
              </w:rPr>
            </w:pPr>
          </w:p>
        </w:tc>
        <w:tc>
          <w:tcPr>
            <w:tcW w:w="1329" w:type="dxa"/>
          </w:tcPr>
          <w:p>
            <w:pPr>
              <w:pStyle w:val="TableParagraph"/>
              <w:rPr>
                <w:rFonts w:ascii="Times New Roman"/>
                <w:sz w:val="24"/>
              </w:rPr>
            </w:pPr>
          </w:p>
        </w:tc>
        <w:tc>
          <w:tcPr>
            <w:tcW w:w="1022" w:type="dxa"/>
          </w:tcPr>
          <w:p>
            <w:pPr>
              <w:pStyle w:val="TableParagraph"/>
              <w:rPr>
                <w:rFonts w:ascii="Times New Roman"/>
                <w:sz w:val="24"/>
              </w:rPr>
            </w:pPr>
          </w:p>
        </w:tc>
        <w:tc>
          <w:tcPr>
            <w:tcW w:w="522" w:type="dxa"/>
          </w:tcPr>
          <w:p>
            <w:pPr>
              <w:pStyle w:val="TableParagraph"/>
              <w:rPr>
                <w:rFonts w:ascii="Times New Roman"/>
                <w:sz w:val="24"/>
              </w:rPr>
            </w:pPr>
          </w:p>
        </w:tc>
        <w:tc>
          <w:tcPr>
            <w:tcW w:w="522" w:type="dxa"/>
          </w:tcPr>
          <w:p>
            <w:pPr>
              <w:pStyle w:val="TableParagraph"/>
              <w:rPr>
                <w:rFonts w:ascii="Times New Roman"/>
                <w:sz w:val="24"/>
              </w:rPr>
            </w:pPr>
          </w:p>
        </w:tc>
      </w:tr>
      <w:tr>
        <w:trPr>
          <w:trHeight w:val="568" w:hRule="atLeast"/>
        </w:trPr>
        <w:tc>
          <w:tcPr>
            <w:tcW w:w="895" w:type="dxa"/>
          </w:tcPr>
          <w:p>
            <w:pPr>
              <w:pStyle w:val="TableParagraph"/>
              <w:rPr>
                <w:rFonts w:ascii="Times New Roman"/>
                <w:sz w:val="24"/>
              </w:rPr>
            </w:pPr>
          </w:p>
        </w:tc>
        <w:tc>
          <w:tcPr>
            <w:tcW w:w="893" w:type="dxa"/>
          </w:tcPr>
          <w:p>
            <w:pPr>
              <w:pStyle w:val="TableParagraph"/>
              <w:rPr>
                <w:rFonts w:ascii="Times New Roman"/>
                <w:sz w:val="24"/>
              </w:rPr>
            </w:pPr>
          </w:p>
        </w:tc>
        <w:tc>
          <w:tcPr>
            <w:tcW w:w="1011" w:type="dxa"/>
          </w:tcPr>
          <w:p>
            <w:pPr>
              <w:pStyle w:val="TableParagraph"/>
              <w:rPr>
                <w:rFonts w:ascii="Times New Roman"/>
                <w:sz w:val="24"/>
              </w:rPr>
            </w:pPr>
          </w:p>
        </w:tc>
        <w:tc>
          <w:tcPr>
            <w:tcW w:w="1034" w:type="dxa"/>
          </w:tcPr>
          <w:p>
            <w:pPr>
              <w:pStyle w:val="TableParagraph"/>
              <w:rPr>
                <w:rFonts w:ascii="Times New Roman"/>
                <w:sz w:val="24"/>
              </w:rPr>
            </w:pPr>
          </w:p>
        </w:tc>
        <w:tc>
          <w:tcPr>
            <w:tcW w:w="523" w:type="dxa"/>
          </w:tcPr>
          <w:p>
            <w:pPr>
              <w:pStyle w:val="TableParagraph"/>
              <w:rPr>
                <w:rFonts w:ascii="Times New Roman"/>
                <w:sz w:val="24"/>
              </w:rPr>
            </w:pPr>
          </w:p>
        </w:tc>
        <w:tc>
          <w:tcPr>
            <w:tcW w:w="972" w:type="dxa"/>
          </w:tcPr>
          <w:p>
            <w:pPr>
              <w:pStyle w:val="TableParagraph"/>
              <w:rPr>
                <w:rFonts w:ascii="Times New Roman"/>
                <w:sz w:val="24"/>
              </w:rPr>
            </w:pPr>
          </w:p>
        </w:tc>
        <w:tc>
          <w:tcPr>
            <w:tcW w:w="1329" w:type="dxa"/>
          </w:tcPr>
          <w:p>
            <w:pPr>
              <w:pStyle w:val="TableParagraph"/>
              <w:rPr>
                <w:rFonts w:ascii="Times New Roman"/>
                <w:sz w:val="24"/>
              </w:rPr>
            </w:pPr>
          </w:p>
        </w:tc>
        <w:tc>
          <w:tcPr>
            <w:tcW w:w="1022" w:type="dxa"/>
          </w:tcPr>
          <w:p>
            <w:pPr>
              <w:pStyle w:val="TableParagraph"/>
              <w:rPr>
                <w:rFonts w:ascii="Times New Roman"/>
                <w:sz w:val="24"/>
              </w:rPr>
            </w:pPr>
          </w:p>
        </w:tc>
        <w:tc>
          <w:tcPr>
            <w:tcW w:w="522" w:type="dxa"/>
          </w:tcPr>
          <w:p>
            <w:pPr>
              <w:pStyle w:val="TableParagraph"/>
              <w:rPr>
                <w:rFonts w:ascii="Times New Roman"/>
                <w:sz w:val="24"/>
              </w:rPr>
            </w:pPr>
          </w:p>
        </w:tc>
        <w:tc>
          <w:tcPr>
            <w:tcW w:w="522" w:type="dxa"/>
          </w:tcPr>
          <w:p>
            <w:pPr>
              <w:pStyle w:val="TableParagraph"/>
              <w:rPr>
                <w:rFonts w:ascii="Times New Roman"/>
                <w:sz w:val="24"/>
              </w:rPr>
            </w:pPr>
          </w:p>
        </w:tc>
      </w:tr>
      <w:tr>
        <w:trPr>
          <w:trHeight w:val="566" w:hRule="atLeast"/>
        </w:trPr>
        <w:tc>
          <w:tcPr>
            <w:tcW w:w="895" w:type="dxa"/>
          </w:tcPr>
          <w:p>
            <w:pPr>
              <w:pStyle w:val="TableParagraph"/>
              <w:rPr>
                <w:rFonts w:ascii="Times New Roman"/>
                <w:sz w:val="24"/>
              </w:rPr>
            </w:pPr>
          </w:p>
        </w:tc>
        <w:tc>
          <w:tcPr>
            <w:tcW w:w="893" w:type="dxa"/>
          </w:tcPr>
          <w:p>
            <w:pPr>
              <w:pStyle w:val="TableParagraph"/>
              <w:rPr>
                <w:rFonts w:ascii="Times New Roman"/>
                <w:sz w:val="24"/>
              </w:rPr>
            </w:pPr>
          </w:p>
        </w:tc>
        <w:tc>
          <w:tcPr>
            <w:tcW w:w="1011" w:type="dxa"/>
          </w:tcPr>
          <w:p>
            <w:pPr>
              <w:pStyle w:val="TableParagraph"/>
              <w:rPr>
                <w:rFonts w:ascii="Times New Roman"/>
                <w:sz w:val="24"/>
              </w:rPr>
            </w:pPr>
          </w:p>
        </w:tc>
        <w:tc>
          <w:tcPr>
            <w:tcW w:w="1034" w:type="dxa"/>
          </w:tcPr>
          <w:p>
            <w:pPr>
              <w:pStyle w:val="TableParagraph"/>
              <w:rPr>
                <w:rFonts w:ascii="Times New Roman"/>
                <w:sz w:val="24"/>
              </w:rPr>
            </w:pPr>
          </w:p>
        </w:tc>
        <w:tc>
          <w:tcPr>
            <w:tcW w:w="523" w:type="dxa"/>
          </w:tcPr>
          <w:p>
            <w:pPr>
              <w:pStyle w:val="TableParagraph"/>
              <w:rPr>
                <w:rFonts w:ascii="Times New Roman"/>
                <w:sz w:val="24"/>
              </w:rPr>
            </w:pPr>
          </w:p>
        </w:tc>
        <w:tc>
          <w:tcPr>
            <w:tcW w:w="972" w:type="dxa"/>
          </w:tcPr>
          <w:p>
            <w:pPr>
              <w:pStyle w:val="TableParagraph"/>
              <w:rPr>
                <w:rFonts w:ascii="Times New Roman"/>
                <w:sz w:val="24"/>
              </w:rPr>
            </w:pPr>
          </w:p>
        </w:tc>
        <w:tc>
          <w:tcPr>
            <w:tcW w:w="1329" w:type="dxa"/>
          </w:tcPr>
          <w:p>
            <w:pPr>
              <w:pStyle w:val="TableParagraph"/>
              <w:rPr>
                <w:rFonts w:ascii="Times New Roman"/>
                <w:sz w:val="24"/>
              </w:rPr>
            </w:pPr>
          </w:p>
        </w:tc>
        <w:tc>
          <w:tcPr>
            <w:tcW w:w="1022" w:type="dxa"/>
          </w:tcPr>
          <w:p>
            <w:pPr>
              <w:pStyle w:val="TableParagraph"/>
              <w:rPr>
                <w:rFonts w:ascii="Times New Roman"/>
                <w:sz w:val="24"/>
              </w:rPr>
            </w:pPr>
          </w:p>
        </w:tc>
        <w:tc>
          <w:tcPr>
            <w:tcW w:w="522" w:type="dxa"/>
          </w:tcPr>
          <w:p>
            <w:pPr>
              <w:pStyle w:val="TableParagraph"/>
              <w:rPr>
                <w:rFonts w:ascii="Times New Roman"/>
                <w:sz w:val="24"/>
              </w:rPr>
            </w:pPr>
          </w:p>
        </w:tc>
        <w:tc>
          <w:tcPr>
            <w:tcW w:w="522" w:type="dxa"/>
          </w:tcPr>
          <w:p>
            <w:pPr>
              <w:pStyle w:val="TableParagraph"/>
              <w:rPr>
                <w:rFonts w:ascii="Times New Roman"/>
                <w:sz w:val="24"/>
              </w:rPr>
            </w:pPr>
          </w:p>
        </w:tc>
      </w:tr>
      <w:tr>
        <w:trPr>
          <w:trHeight w:val="568" w:hRule="atLeast"/>
        </w:trPr>
        <w:tc>
          <w:tcPr>
            <w:tcW w:w="895" w:type="dxa"/>
          </w:tcPr>
          <w:p>
            <w:pPr>
              <w:pStyle w:val="TableParagraph"/>
              <w:rPr>
                <w:rFonts w:ascii="Times New Roman"/>
                <w:sz w:val="24"/>
              </w:rPr>
            </w:pPr>
          </w:p>
        </w:tc>
        <w:tc>
          <w:tcPr>
            <w:tcW w:w="893" w:type="dxa"/>
          </w:tcPr>
          <w:p>
            <w:pPr>
              <w:pStyle w:val="TableParagraph"/>
              <w:rPr>
                <w:rFonts w:ascii="Times New Roman"/>
                <w:sz w:val="24"/>
              </w:rPr>
            </w:pPr>
          </w:p>
        </w:tc>
        <w:tc>
          <w:tcPr>
            <w:tcW w:w="1011" w:type="dxa"/>
          </w:tcPr>
          <w:p>
            <w:pPr>
              <w:pStyle w:val="TableParagraph"/>
              <w:rPr>
                <w:rFonts w:ascii="Times New Roman"/>
                <w:sz w:val="24"/>
              </w:rPr>
            </w:pPr>
          </w:p>
        </w:tc>
        <w:tc>
          <w:tcPr>
            <w:tcW w:w="1034" w:type="dxa"/>
          </w:tcPr>
          <w:p>
            <w:pPr>
              <w:pStyle w:val="TableParagraph"/>
              <w:rPr>
                <w:rFonts w:ascii="Times New Roman"/>
                <w:sz w:val="24"/>
              </w:rPr>
            </w:pPr>
          </w:p>
        </w:tc>
        <w:tc>
          <w:tcPr>
            <w:tcW w:w="523" w:type="dxa"/>
          </w:tcPr>
          <w:p>
            <w:pPr>
              <w:pStyle w:val="TableParagraph"/>
              <w:rPr>
                <w:rFonts w:ascii="Times New Roman"/>
                <w:sz w:val="24"/>
              </w:rPr>
            </w:pPr>
          </w:p>
        </w:tc>
        <w:tc>
          <w:tcPr>
            <w:tcW w:w="972" w:type="dxa"/>
          </w:tcPr>
          <w:p>
            <w:pPr>
              <w:pStyle w:val="TableParagraph"/>
              <w:rPr>
                <w:rFonts w:ascii="Times New Roman"/>
                <w:sz w:val="24"/>
              </w:rPr>
            </w:pPr>
          </w:p>
        </w:tc>
        <w:tc>
          <w:tcPr>
            <w:tcW w:w="1329" w:type="dxa"/>
          </w:tcPr>
          <w:p>
            <w:pPr>
              <w:pStyle w:val="TableParagraph"/>
              <w:rPr>
                <w:rFonts w:ascii="Times New Roman"/>
                <w:sz w:val="24"/>
              </w:rPr>
            </w:pPr>
          </w:p>
        </w:tc>
        <w:tc>
          <w:tcPr>
            <w:tcW w:w="1022" w:type="dxa"/>
          </w:tcPr>
          <w:p>
            <w:pPr>
              <w:pStyle w:val="TableParagraph"/>
              <w:rPr>
                <w:rFonts w:ascii="Times New Roman"/>
                <w:sz w:val="24"/>
              </w:rPr>
            </w:pPr>
          </w:p>
        </w:tc>
        <w:tc>
          <w:tcPr>
            <w:tcW w:w="522" w:type="dxa"/>
          </w:tcPr>
          <w:p>
            <w:pPr>
              <w:pStyle w:val="TableParagraph"/>
              <w:rPr>
                <w:rFonts w:ascii="Times New Roman"/>
                <w:sz w:val="24"/>
              </w:rPr>
            </w:pPr>
          </w:p>
        </w:tc>
        <w:tc>
          <w:tcPr>
            <w:tcW w:w="522" w:type="dxa"/>
          </w:tcPr>
          <w:p>
            <w:pPr>
              <w:pStyle w:val="TableParagraph"/>
              <w:rPr>
                <w:rFonts w:ascii="Times New Roman"/>
                <w:sz w:val="24"/>
              </w:rPr>
            </w:pPr>
          </w:p>
        </w:tc>
      </w:tr>
    </w:tbl>
    <w:p>
      <w:pPr>
        <w:pStyle w:val="BodyText"/>
        <w:ind w:left="0"/>
        <w:rPr>
          <w:sz w:val="20"/>
        </w:rPr>
      </w:pPr>
    </w:p>
    <w:p>
      <w:pPr>
        <w:pStyle w:val="BodyText"/>
        <w:ind w:left="0"/>
        <w:rPr>
          <w:sz w:val="20"/>
        </w:rPr>
      </w:pPr>
    </w:p>
    <w:p>
      <w:pPr>
        <w:pStyle w:val="BodyText"/>
        <w:ind w:left="0"/>
        <w:rPr>
          <w:sz w:val="20"/>
        </w:rPr>
      </w:pPr>
    </w:p>
    <w:p>
      <w:pPr>
        <w:spacing w:before="204"/>
        <w:ind w:left="297" w:right="8319" w:firstLine="0"/>
        <w:jc w:val="center"/>
        <w:rPr>
          <w:sz w:val="30"/>
        </w:rPr>
      </w:pPr>
      <w:r>
        <w:rPr>
          <w:sz w:val="30"/>
        </w:rPr>
        <w:t>附件 </w:t>
      </w:r>
      <w:r>
        <w:rPr>
          <w:rFonts w:ascii="Times New Roman" w:eastAsia="Times New Roman"/>
          <w:sz w:val="30"/>
        </w:rPr>
        <w:t>2</w:t>
      </w:r>
      <w:r>
        <w:rPr>
          <w:sz w:val="30"/>
        </w:rPr>
        <w:t>：</w:t>
      </w:r>
    </w:p>
    <w:p>
      <w:pPr>
        <w:spacing w:before="157"/>
        <w:ind w:left="297" w:right="774" w:firstLine="0"/>
        <w:jc w:val="center"/>
        <w:rPr>
          <w:sz w:val="32"/>
        </w:rPr>
      </w:pPr>
      <w:r>
        <w:rPr>
          <w:sz w:val="32"/>
        </w:rPr>
        <w:t>工程质量保修书（房屋建筑工程）</w:t>
      </w:r>
    </w:p>
    <w:p>
      <w:pPr>
        <w:pStyle w:val="BodyText"/>
        <w:spacing w:before="1"/>
        <w:ind w:left="0"/>
        <w:rPr>
          <w:sz w:val="14"/>
        </w:rPr>
      </w:pPr>
    </w:p>
    <w:p>
      <w:pPr>
        <w:pStyle w:val="BodyText"/>
        <w:tabs>
          <w:tab w:pos="6081" w:val="left" w:leader="none"/>
        </w:tabs>
        <w:spacing w:before="79"/>
        <w:ind w:left="1098"/>
        <w:rPr>
          <w:rFonts w:ascii="Times New Roman" w:eastAsia="Times New Roman"/>
        </w:rPr>
      </w:pPr>
      <w:r>
        <w:rPr>
          <w:w w:val="100"/>
        </w:rPr>
        <w:t>发包</w:t>
      </w:r>
      <w:r>
        <w:rPr>
          <w:spacing w:val="-3"/>
          <w:w w:val="100"/>
        </w:rPr>
        <w:t>人</w:t>
      </w:r>
      <w:r>
        <w:rPr>
          <w:w w:val="100"/>
        </w:rPr>
        <w:t>（</w:t>
      </w:r>
      <w:r>
        <w:rPr>
          <w:spacing w:val="-3"/>
          <w:w w:val="100"/>
        </w:rPr>
        <w:t>全</w:t>
      </w:r>
      <w:r>
        <w:rPr>
          <w:w w:val="100"/>
        </w:rPr>
        <w:t>称</w:t>
      </w:r>
      <w:r>
        <w:rPr>
          <w:spacing w:val="-108"/>
          <w:w w:val="100"/>
        </w:rPr>
        <w:t>）</w:t>
      </w:r>
      <w:r>
        <w:rPr>
          <w:w w:val="100"/>
        </w:rPr>
        <w:t>：</w:t>
      </w:r>
      <w:r>
        <w:rPr>
          <w:rFonts w:ascii="Times New Roman" w:eastAsia="Times New Roman"/>
          <w:w w:val="100"/>
          <w:u w:val="single"/>
        </w:rPr>
        <w:t> </w:t>
      </w:r>
      <w:r>
        <w:rPr>
          <w:rFonts w:ascii="Times New Roman" w:eastAsia="Times New Roman"/>
          <w:u w:val="single"/>
        </w:rPr>
        <w:tab/>
      </w:r>
    </w:p>
    <w:p>
      <w:pPr>
        <w:pStyle w:val="BodyText"/>
        <w:tabs>
          <w:tab w:pos="6081" w:val="left" w:leader="none"/>
        </w:tabs>
        <w:spacing w:before="170"/>
        <w:ind w:left="1098"/>
        <w:rPr>
          <w:rFonts w:ascii="Times New Roman" w:eastAsia="Times New Roman"/>
        </w:rPr>
      </w:pPr>
      <w:r>
        <w:rPr>
          <w:w w:val="100"/>
        </w:rPr>
        <w:t>承包</w:t>
      </w:r>
      <w:r>
        <w:rPr>
          <w:spacing w:val="-3"/>
          <w:w w:val="100"/>
        </w:rPr>
        <w:t>人</w:t>
      </w:r>
      <w:r>
        <w:rPr>
          <w:w w:val="100"/>
        </w:rPr>
        <w:t>（</w:t>
      </w:r>
      <w:r>
        <w:rPr>
          <w:spacing w:val="-3"/>
          <w:w w:val="100"/>
        </w:rPr>
        <w:t>全</w:t>
      </w:r>
      <w:r>
        <w:rPr>
          <w:w w:val="100"/>
        </w:rPr>
        <w:t>称</w:t>
      </w:r>
      <w:r>
        <w:rPr>
          <w:spacing w:val="-108"/>
          <w:w w:val="100"/>
        </w:rPr>
        <w:t>）</w:t>
      </w:r>
      <w:r>
        <w:rPr>
          <w:w w:val="100"/>
        </w:rPr>
        <w:t>：</w:t>
      </w:r>
      <w:r>
        <w:rPr>
          <w:rFonts w:ascii="Times New Roman" w:eastAsia="Times New Roman"/>
          <w:w w:val="100"/>
          <w:u w:val="single"/>
        </w:rPr>
        <w:t> </w:t>
      </w:r>
      <w:r>
        <w:rPr>
          <w:rFonts w:ascii="Times New Roman" w:eastAsia="Times New Roman"/>
          <w:u w:val="single"/>
        </w:rPr>
        <w:tab/>
      </w:r>
    </w:p>
    <w:p>
      <w:pPr>
        <w:pStyle w:val="BodyText"/>
        <w:ind w:left="0"/>
        <w:rPr>
          <w:rFonts w:ascii="Times New Roman"/>
          <w:sz w:val="20"/>
        </w:rPr>
      </w:pPr>
    </w:p>
    <w:p>
      <w:pPr>
        <w:pStyle w:val="BodyText"/>
        <w:spacing w:before="10"/>
        <w:ind w:left="0"/>
        <w:rPr>
          <w:rFonts w:ascii="Times New Roman"/>
          <w:sz w:val="20"/>
        </w:rPr>
      </w:pPr>
    </w:p>
    <w:p>
      <w:pPr>
        <w:pStyle w:val="BodyText"/>
        <w:tabs>
          <w:tab w:pos="4564" w:val="left" w:leader="none"/>
        </w:tabs>
        <w:spacing w:line="364" w:lineRule="auto"/>
        <w:ind w:right="1151" w:firstLine="419"/>
      </w:pPr>
      <w:r>
        <w:rPr/>
        <w:t>发包</w:t>
      </w:r>
      <w:r>
        <w:rPr>
          <w:spacing w:val="-3"/>
        </w:rPr>
        <w:t>人</w:t>
      </w:r>
      <w:r>
        <w:rPr/>
        <w:t>和</w:t>
      </w:r>
      <w:r>
        <w:rPr>
          <w:spacing w:val="-3"/>
        </w:rPr>
        <w:t>承</w:t>
      </w:r>
      <w:r>
        <w:rPr/>
        <w:t>包</w:t>
      </w:r>
      <w:r>
        <w:rPr>
          <w:spacing w:val="-3"/>
        </w:rPr>
        <w:t>人</w:t>
      </w:r>
      <w:r>
        <w:rPr/>
        <w:t>根</w:t>
      </w:r>
      <w:r>
        <w:rPr>
          <w:spacing w:val="-15"/>
        </w:rPr>
        <w:t>据</w:t>
      </w:r>
      <w:r>
        <w:rPr/>
        <w:t>《</w:t>
      </w:r>
      <w:r>
        <w:rPr>
          <w:spacing w:val="-3"/>
        </w:rPr>
        <w:t>中</w:t>
      </w:r>
      <w:r>
        <w:rPr/>
        <w:t>华人</w:t>
      </w:r>
      <w:r>
        <w:rPr>
          <w:spacing w:val="-3"/>
        </w:rPr>
        <w:t>民</w:t>
      </w:r>
      <w:r>
        <w:rPr/>
        <w:t>共</w:t>
      </w:r>
      <w:r>
        <w:rPr>
          <w:spacing w:val="-3"/>
        </w:rPr>
        <w:t>和</w:t>
      </w:r>
      <w:r>
        <w:rPr/>
        <w:t>国</w:t>
      </w:r>
      <w:r>
        <w:rPr>
          <w:spacing w:val="-3"/>
        </w:rPr>
        <w:t>建</w:t>
      </w:r>
      <w:r>
        <w:rPr/>
        <w:t>筑</w:t>
      </w:r>
      <w:r>
        <w:rPr>
          <w:spacing w:val="-3"/>
        </w:rPr>
        <w:t>法</w:t>
      </w:r>
      <w:r>
        <w:rPr>
          <w:spacing w:val="-13"/>
        </w:rPr>
        <w:t>》</w:t>
      </w:r>
      <w:r>
        <w:rPr>
          <w:spacing w:val="-15"/>
        </w:rPr>
        <w:t>和</w:t>
      </w:r>
      <w:r>
        <w:rPr/>
        <w:t>《建</w:t>
      </w:r>
      <w:r>
        <w:rPr>
          <w:spacing w:val="-3"/>
        </w:rPr>
        <w:t>设</w:t>
      </w:r>
      <w:r>
        <w:rPr/>
        <w:t>工</w:t>
      </w:r>
      <w:r>
        <w:rPr>
          <w:spacing w:val="-3"/>
        </w:rPr>
        <w:t>程</w:t>
      </w:r>
      <w:r>
        <w:rPr/>
        <w:t>质</w:t>
      </w:r>
      <w:r>
        <w:rPr>
          <w:spacing w:val="-3"/>
        </w:rPr>
        <w:t>量</w:t>
      </w:r>
      <w:r>
        <w:rPr/>
        <w:t>管</w:t>
      </w:r>
      <w:r>
        <w:rPr>
          <w:spacing w:val="-3"/>
        </w:rPr>
        <w:t>理</w:t>
      </w:r>
      <w:r>
        <w:rPr/>
        <w:t>条例</w:t>
      </w:r>
      <w:r>
        <w:rPr>
          <w:spacing w:val="-108"/>
        </w:rPr>
        <w:t>》</w:t>
      </w:r>
      <w:r>
        <w:rPr>
          <w:spacing w:val="-13"/>
        </w:rPr>
        <w:t>，</w:t>
      </w:r>
      <w:r>
        <w:rPr/>
        <w:t>经</w:t>
      </w:r>
      <w:r>
        <w:rPr>
          <w:spacing w:val="-3"/>
        </w:rPr>
        <w:t>协</w:t>
      </w:r>
      <w:r>
        <w:rPr/>
        <w:t>商</w:t>
      </w:r>
      <w:r>
        <w:rPr>
          <w:spacing w:val="-3"/>
        </w:rPr>
        <w:t>一</w:t>
      </w:r>
      <w:r>
        <w:rPr/>
        <w:t>致就</w:t>
      </w:r>
      <w:r>
        <w:rPr>
          <w:u w:val="single"/>
        </w:rPr>
        <w:t> </w:t>
        <w:tab/>
      </w:r>
      <w:r>
        <w:rPr/>
        <w:t>（</w:t>
      </w:r>
      <w:r>
        <w:rPr>
          <w:spacing w:val="-3"/>
        </w:rPr>
        <w:t>工</w:t>
      </w:r>
      <w:r>
        <w:rPr/>
        <w:t>程</w:t>
      </w:r>
      <w:r>
        <w:rPr>
          <w:spacing w:val="-3"/>
        </w:rPr>
        <w:t>全</w:t>
      </w:r>
      <w:r>
        <w:rPr/>
        <w:t>称）</w:t>
      </w:r>
      <w:r>
        <w:rPr>
          <w:spacing w:val="-3"/>
        </w:rPr>
        <w:t>签</w:t>
      </w:r>
      <w:r>
        <w:rPr/>
        <w:t>订</w:t>
      </w:r>
      <w:r>
        <w:rPr>
          <w:spacing w:val="-3"/>
        </w:rPr>
        <w:t>工</w:t>
      </w:r>
      <w:r>
        <w:rPr/>
        <w:t>程</w:t>
      </w:r>
      <w:r>
        <w:rPr>
          <w:spacing w:val="-3"/>
        </w:rPr>
        <w:t>质</w:t>
      </w:r>
      <w:r>
        <w:rPr/>
        <w:t>量</w:t>
      </w:r>
      <w:r>
        <w:rPr>
          <w:spacing w:val="-3"/>
        </w:rPr>
        <w:t>保</w:t>
      </w:r>
      <w:r>
        <w:rPr/>
        <w:t>修</w:t>
      </w:r>
      <w:r>
        <w:rPr>
          <w:spacing w:val="-3"/>
        </w:rPr>
        <w:t>书</w:t>
      </w:r>
      <w:r>
        <w:rPr/>
        <w:t>。</w:t>
      </w:r>
    </w:p>
    <w:p>
      <w:pPr>
        <w:spacing w:after="0" w:line="364" w:lineRule="auto"/>
        <w:sectPr>
          <w:pgSz w:w="11910" w:h="16850"/>
          <w:pgMar w:header="0" w:footer="779" w:top="1600" w:bottom="1040" w:left="1120" w:right="280"/>
        </w:sectPr>
      </w:pPr>
    </w:p>
    <w:p>
      <w:pPr>
        <w:pStyle w:val="BodyText"/>
        <w:spacing w:before="60"/>
        <w:ind w:left="1098"/>
      </w:pPr>
      <w:r>
        <w:rPr/>
        <w:t>一、工程质量保修范围和内容</w:t>
      </w:r>
    </w:p>
    <w:p>
      <w:pPr>
        <w:pStyle w:val="BodyText"/>
        <w:spacing w:before="139"/>
        <w:ind w:left="1098"/>
      </w:pPr>
      <w:r>
        <w:rPr/>
        <w:t>承包人在质量保修期内，按照有关法律规定和合同约定，承担工程质量保修责任。</w:t>
      </w:r>
    </w:p>
    <w:p>
      <w:pPr>
        <w:pStyle w:val="BodyText"/>
        <w:spacing w:line="364" w:lineRule="auto" w:before="139"/>
        <w:ind w:right="1154" w:firstLine="419"/>
        <w:jc w:val="both"/>
      </w:pPr>
      <w:r>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pStyle w:val="BodyText"/>
        <w:spacing w:before="6"/>
        <w:ind w:left="0"/>
        <w:rPr>
          <w:sz w:val="13"/>
        </w:rPr>
      </w:pPr>
      <w:r>
        <w:rPr/>
        <w:pict>
          <v:line style="position:absolute;mso-position-horizontal-relative:page;mso-position-vertical-relative:paragraph;z-index:-251544576;mso-wrap-distance-left:0;mso-wrap-distance-right:0" from="110.900002pt,10.8675pt" to="520.410002pt,10.8675pt" stroked="true" strokeweight=".48pt" strokecolor="#000000">
            <v:stroke dashstyle="solid"/>
            <w10:wrap type="topAndBottom"/>
          </v:line>
        </w:pict>
      </w:r>
    </w:p>
    <w:p>
      <w:pPr>
        <w:pStyle w:val="BodyText"/>
        <w:tabs>
          <w:tab w:pos="8868" w:val="left" w:leader="none"/>
        </w:tabs>
        <w:spacing w:before="111"/>
      </w:pPr>
      <w:r>
        <w:rPr>
          <w:rFonts w:ascii="Times New Roman" w:eastAsia="Times New Roman"/>
          <w:w w:val="100"/>
          <w:u w:val="single"/>
        </w:rPr>
        <w:t> </w:t>
      </w:r>
      <w:r>
        <w:rPr>
          <w:rFonts w:ascii="Times New Roman" w:eastAsia="Times New Roman"/>
          <w:u w:val="single"/>
        </w:rPr>
        <w:tab/>
      </w:r>
      <w:r>
        <w:rPr/>
        <w:t>。</w:t>
      </w:r>
    </w:p>
    <w:p>
      <w:pPr>
        <w:pStyle w:val="BodyText"/>
        <w:spacing w:before="139"/>
        <w:ind w:left="1098"/>
      </w:pPr>
      <w:r>
        <w:rPr/>
        <w:t>二、质量保修期</w:t>
      </w:r>
    </w:p>
    <w:p>
      <w:pPr>
        <w:pStyle w:val="BodyText"/>
        <w:spacing w:before="139"/>
        <w:ind w:left="1098"/>
      </w:pPr>
      <w:r>
        <w:rPr/>
        <w:t>根据《建设工程质量管理条例》及有关规定，工程的质量保修期如下：</w:t>
      </w:r>
    </w:p>
    <w:p>
      <w:pPr>
        <w:pStyle w:val="ListParagraph"/>
        <w:numPr>
          <w:ilvl w:val="0"/>
          <w:numId w:val="109"/>
        </w:numPr>
        <w:tabs>
          <w:tab w:pos="1416" w:val="left" w:leader="none"/>
        </w:tabs>
        <w:spacing w:line="240" w:lineRule="auto" w:before="142" w:after="0"/>
        <w:ind w:left="1415" w:right="0" w:hanging="318"/>
        <w:jc w:val="left"/>
        <w:rPr>
          <w:sz w:val="21"/>
        </w:rPr>
      </w:pPr>
      <w:r>
        <w:rPr>
          <w:spacing w:val="-3"/>
          <w:sz w:val="21"/>
        </w:rPr>
        <w:t>地基基础工程和主体结构工程为设计文件规定的工程合理使用年限；</w:t>
      </w:r>
    </w:p>
    <w:p>
      <w:pPr>
        <w:pStyle w:val="ListParagraph"/>
        <w:numPr>
          <w:ilvl w:val="0"/>
          <w:numId w:val="109"/>
        </w:numPr>
        <w:tabs>
          <w:tab w:pos="1416" w:val="left" w:leader="none"/>
          <w:tab w:pos="7927" w:val="left" w:leader="none"/>
        </w:tabs>
        <w:spacing w:line="240" w:lineRule="auto" w:before="139" w:after="0"/>
        <w:ind w:left="1415" w:right="0" w:hanging="318"/>
        <w:jc w:val="left"/>
        <w:rPr>
          <w:sz w:val="21"/>
        </w:rPr>
      </w:pPr>
      <w:r>
        <w:rPr>
          <w:spacing w:val="-3"/>
          <w:sz w:val="21"/>
        </w:rPr>
        <w:t>屋</w:t>
      </w:r>
      <w:r>
        <w:rPr>
          <w:sz w:val="21"/>
        </w:rPr>
        <w:t>面</w:t>
      </w:r>
      <w:r>
        <w:rPr>
          <w:spacing w:val="-3"/>
          <w:sz w:val="21"/>
        </w:rPr>
        <w:t>防</w:t>
      </w:r>
      <w:r>
        <w:rPr>
          <w:sz w:val="21"/>
        </w:rPr>
        <w:t>水</w:t>
      </w:r>
      <w:r>
        <w:rPr>
          <w:spacing w:val="-3"/>
          <w:sz w:val="21"/>
        </w:rPr>
        <w:t>工</w:t>
      </w:r>
      <w:r>
        <w:rPr>
          <w:sz w:val="21"/>
        </w:rPr>
        <w:t>程</w:t>
      </w:r>
      <w:r>
        <w:rPr>
          <w:spacing w:val="-3"/>
          <w:sz w:val="21"/>
        </w:rPr>
        <w:t>、</w:t>
      </w:r>
      <w:r>
        <w:rPr>
          <w:sz w:val="21"/>
        </w:rPr>
        <w:t>有</w:t>
      </w:r>
      <w:r>
        <w:rPr>
          <w:spacing w:val="-3"/>
          <w:sz w:val="21"/>
        </w:rPr>
        <w:t>防水</w:t>
      </w:r>
      <w:r>
        <w:rPr>
          <w:sz w:val="21"/>
        </w:rPr>
        <w:t>要求</w:t>
      </w:r>
      <w:r>
        <w:rPr>
          <w:spacing w:val="-3"/>
          <w:sz w:val="21"/>
        </w:rPr>
        <w:t>的</w:t>
      </w:r>
      <w:r>
        <w:rPr>
          <w:sz w:val="21"/>
        </w:rPr>
        <w:t>卫</w:t>
      </w:r>
      <w:r>
        <w:rPr>
          <w:spacing w:val="-3"/>
          <w:sz w:val="21"/>
        </w:rPr>
        <w:t>生</w:t>
      </w:r>
      <w:r>
        <w:rPr>
          <w:sz w:val="21"/>
        </w:rPr>
        <w:t>间</w:t>
      </w:r>
      <w:r>
        <w:rPr>
          <w:spacing w:val="-3"/>
          <w:sz w:val="21"/>
        </w:rPr>
        <w:t>、</w:t>
      </w:r>
      <w:r>
        <w:rPr>
          <w:sz w:val="21"/>
        </w:rPr>
        <w:t>房</w:t>
      </w:r>
      <w:r>
        <w:rPr>
          <w:spacing w:val="-3"/>
          <w:sz w:val="21"/>
        </w:rPr>
        <w:t>间</w:t>
      </w:r>
      <w:r>
        <w:rPr>
          <w:sz w:val="21"/>
        </w:rPr>
        <w:t>和</w:t>
      </w:r>
      <w:r>
        <w:rPr>
          <w:spacing w:val="-3"/>
          <w:sz w:val="21"/>
        </w:rPr>
        <w:t>外</w:t>
      </w:r>
      <w:r>
        <w:rPr>
          <w:sz w:val="21"/>
        </w:rPr>
        <w:t>墙面</w:t>
      </w:r>
      <w:r>
        <w:rPr>
          <w:spacing w:val="-3"/>
          <w:sz w:val="21"/>
        </w:rPr>
        <w:t>的</w:t>
      </w:r>
      <w:r>
        <w:rPr>
          <w:sz w:val="21"/>
        </w:rPr>
        <w:t>防</w:t>
      </w:r>
      <w:r>
        <w:rPr>
          <w:spacing w:val="-3"/>
          <w:sz w:val="21"/>
        </w:rPr>
        <w:t>渗</w:t>
      </w:r>
      <w:r>
        <w:rPr>
          <w:sz w:val="21"/>
        </w:rPr>
        <w:t>为</w:t>
      </w:r>
      <w:r>
        <w:rPr>
          <w:sz w:val="21"/>
          <w:u w:val="single"/>
        </w:rPr>
        <w:t> </w:t>
        <w:tab/>
      </w:r>
      <w:r>
        <w:rPr>
          <w:spacing w:val="-3"/>
          <w:sz w:val="21"/>
        </w:rPr>
        <w:t>年；</w:t>
      </w:r>
    </w:p>
    <w:p>
      <w:pPr>
        <w:pStyle w:val="ListParagraph"/>
        <w:numPr>
          <w:ilvl w:val="0"/>
          <w:numId w:val="109"/>
        </w:numPr>
        <w:tabs>
          <w:tab w:pos="1416" w:val="left" w:leader="none"/>
          <w:tab w:pos="3409" w:val="left" w:leader="none"/>
        </w:tabs>
        <w:spacing w:line="240" w:lineRule="auto" w:before="139" w:after="0"/>
        <w:ind w:left="1415" w:right="0" w:hanging="318"/>
        <w:jc w:val="left"/>
        <w:rPr>
          <w:sz w:val="21"/>
        </w:rPr>
      </w:pPr>
      <w:r>
        <w:rPr>
          <w:spacing w:val="-3"/>
          <w:sz w:val="21"/>
        </w:rPr>
        <w:t>装</w:t>
      </w:r>
      <w:r>
        <w:rPr>
          <w:sz w:val="21"/>
        </w:rPr>
        <w:t>修</w:t>
      </w:r>
      <w:r>
        <w:rPr>
          <w:spacing w:val="-3"/>
          <w:sz w:val="21"/>
        </w:rPr>
        <w:t>工</w:t>
      </w:r>
      <w:r>
        <w:rPr>
          <w:sz w:val="21"/>
        </w:rPr>
        <w:t>程为</w:t>
      </w:r>
      <w:r>
        <w:rPr>
          <w:sz w:val="21"/>
          <w:u w:val="single"/>
        </w:rPr>
        <w:t> </w:t>
        <w:tab/>
      </w:r>
      <w:r>
        <w:rPr>
          <w:sz w:val="21"/>
        </w:rPr>
        <w:t>年；</w:t>
      </w:r>
    </w:p>
    <w:p>
      <w:pPr>
        <w:pStyle w:val="ListParagraph"/>
        <w:numPr>
          <w:ilvl w:val="0"/>
          <w:numId w:val="109"/>
        </w:numPr>
        <w:tabs>
          <w:tab w:pos="1416" w:val="left" w:leader="none"/>
          <w:tab w:pos="6138" w:val="left" w:leader="none"/>
        </w:tabs>
        <w:spacing w:line="240" w:lineRule="auto" w:before="139" w:after="0"/>
        <w:ind w:left="1415" w:right="0" w:hanging="318"/>
        <w:jc w:val="left"/>
        <w:rPr>
          <w:sz w:val="21"/>
        </w:rPr>
      </w:pPr>
      <w:r>
        <w:rPr>
          <w:spacing w:val="-3"/>
          <w:sz w:val="21"/>
        </w:rPr>
        <w:t>电</w:t>
      </w:r>
      <w:r>
        <w:rPr>
          <w:sz w:val="21"/>
        </w:rPr>
        <w:t>气</w:t>
      </w:r>
      <w:r>
        <w:rPr>
          <w:spacing w:val="-3"/>
          <w:sz w:val="21"/>
        </w:rPr>
        <w:t>管</w:t>
      </w:r>
      <w:r>
        <w:rPr>
          <w:sz w:val="21"/>
        </w:rPr>
        <w:t>线</w:t>
      </w:r>
      <w:r>
        <w:rPr>
          <w:spacing w:val="-3"/>
          <w:sz w:val="21"/>
        </w:rPr>
        <w:t>、</w:t>
      </w:r>
      <w:r>
        <w:rPr>
          <w:sz w:val="21"/>
        </w:rPr>
        <w:t>给</w:t>
      </w:r>
      <w:r>
        <w:rPr>
          <w:spacing w:val="-3"/>
          <w:sz w:val="21"/>
        </w:rPr>
        <w:t>排</w:t>
      </w:r>
      <w:r>
        <w:rPr>
          <w:sz w:val="21"/>
        </w:rPr>
        <w:t>水</w:t>
      </w:r>
      <w:r>
        <w:rPr>
          <w:spacing w:val="-3"/>
          <w:sz w:val="21"/>
        </w:rPr>
        <w:t>管道</w:t>
      </w:r>
      <w:r>
        <w:rPr>
          <w:sz w:val="21"/>
        </w:rPr>
        <w:t>、设</w:t>
      </w:r>
      <w:r>
        <w:rPr>
          <w:spacing w:val="-3"/>
          <w:sz w:val="21"/>
        </w:rPr>
        <w:t>备</w:t>
      </w:r>
      <w:r>
        <w:rPr>
          <w:sz w:val="21"/>
        </w:rPr>
        <w:t>安</w:t>
      </w:r>
      <w:r>
        <w:rPr>
          <w:spacing w:val="-3"/>
          <w:sz w:val="21"/>
        </w:rPr>
        <w:t>装</w:t>
      </w:r>
      <w:r>
        <w:rPr>
          <w:sz w:val="21"/>
        </w:rPr>
        <w:t>工</w:t>
      </w:r>
      <w:r>
        <w:rPr>
          <w:spacing w:val="-3"/>
          <w:sz w:val="21"/>
        </w:rPr>
        <w:t>程</w:t>
      </w:r>
      <w:r>
        <w:rPr>
          <w:sz w:val="21"/>
        </w:rPr>
        <w:t>为</w:t>
      </w:r>
      <w:r>
        <w:rPr>
          <w:sz w:val="21"/>
          <w:u w:val="single"/>
        </w:rPr>
        <w:t> </w:t>
        <w:tab/>
      </w:r>
      <w:r>
        <w:rPr>
          <w:sz w:val="21"/>
        </w:rPr>
        <w:t>年；</w:t>
      </w:r>
    </w:p>
    <w:p>
      <w:pPr>
        <w:pStyle w:val="ListParagraph"/>
        <w:numPr>
          <w:ilvl w:val="0"/>
          <w:numId w:val="109"/>
        </w:numPr>
        <w:tabs>
          <w:tab w:pos="1416" w:val="left" w:leader="none"/>
          <w:tab w:pos="4038" w:val="left" w:leader="none"/>
        </w:tabs>
        <w:spacing w:line="240" w:lineRule="auto" w:before="141" w:after="0"/>
        <w:ind w:left="1415" w:right="0" w:hanging="318"/>
        <w:jc w:val="left"/>
        <w:rPr>
          <w:sz w:val="21"/>
        </w:rPr>
      </w:pPr>
      <w:r>
        <w:rPr>
          <w:spacing w:val="-3"/>
          <w:sz w:val="21"/>
        </w:rPr>
        <w:t>供</w:t>
      </w:r>
      <w:r>
        <w:rPr>
          <w:sz w:val="21"/>
        </w:rPr>
        <w:t>热</w:t>
      </w:r>
      <w:r>
        <w:rPr>
          <w:spacing w:val="-3"/>
          <w:sz w:val="21"/>
        </w:rPr>
        <w:t>与</w:t>
      </w:r>
      <w:r>
        <w:rPr>
          <w:sz w:val="21"/>
        </w:rPr>
        <w:t>供</w:t>
      </w:r>
      <w:r>
        <w:rPr>
          <w:spacing w:val="-3"/>
          <w:sz w:val="21"/>
        </w:rPr>
        <w:t>冷</w:t>
      </w:r>
      <w:r>
        <w:rPr>
          <w:sz w:val="21"/>
        </w:rPr>
        <w:t>系</w:t>
      </w:r>
      <w:r>
        <w:rPr>
          <w:spacing w:val="-3"/>
          <w:sz w:val="21"/>
        </w:rPr>
        <w:t>统</w:t>
      </w:r>
      <w:r>
        <w:rPr>
          <w:sz w:val="21"/>
        </w:rPr>
        <w:t>为</w:t>
      </w:r>
      <w:r>
        <w:rPr>
          <w:sz w:val="21"/>
          <w:u w:val="single"/>
        </w:rPr>
        <w:t> </w:t>
        <w:tab/>
      </w:r>
      <w:r>
        <w:rPr>
          <w:sz w:val="21"/>
        </w:rPr>
        <w:t>个</w:t>
      </w:r>
      <w:r>
        <w:rPr>
          <w:spacing w:val="-3"/>
          <w:sz w:val="21"/>
        </w:rPr>
        <w:t>采</w:t>
      </w:r>
      <w:r>
        <w:rPr>
          <w:sz w:val="21"/>
        </w:rPr>
        <w:t>暖</w:t>
      </w:r>
      <w:r>
        <w:rPr>
          <w:spacing w:val="-3"/>
          <w:sz w:val="21"/>
        </w:rPr>
        <w:t>期</w:t>
      </w:r>
      <w:r>
        <w:rPr>
          <w:sz w:val="21"/>
        </w:rPr>
        <w:t>、</w:t>
      </w:r>
      <w:r>
        <w:rPr>
          <w:spacing w:val="-3"/>
          <w:sz w:val="21"/>
        </w:rPr>
        <w:t>供</w:t>
      </w:r>
      <w:r>
        <w:rPr>
          <w:sz w:val="21"/>
        </w:rPr>
        <w:t>冷</w:t>
      </w:r>
      <w:r>
        <w:rPr>
          <w:spacing w:val="-3"/>
          <w:sz w:val="21"/>
        </w:rPr>
        <w:t>期</w:t>
      </w:r>
      <w:r>
        <w:rPr>
          <w:sz w:val="21"/>
        </w:rPr>
        <w:t>；</w:t>
      </w:r>
    </w:p>
    <w:p>
      <w:pPr>
        <w:pStyle w:val="ListParagraph"/>
        <w:numPr>
          <w:ilvl w:val="0"/>
          <w:numId w:val="109"/>
        </w:numPr>
        <w:tabs>
          <w:tab w:pos="1416" w:val="left" w:leader="none"/>
          <w:tab w:pos="6558" w:val="left" w:leader="none"/>
        </w:tabs>
        <w:spacing w:line="240" w:lineRule="auto" w:before="139" w:after="0"/>
        <w:ind w:left="1415" w:right="0" w:hanging="318"/>
        <w:jc w:val="left"/>
        <w:rPr>
          <w:sz w:val="21"/>
        </w:rPr>
      </w:pPr>
      <w:r>
        <w:rPr>
          <w:spacing w:val="-3"/>
          <w:sz w:val="21"/>
        </w:rPr>
        <w:t>住</w:t>
      </w:r>
      <w:r>
        <w:rPr>
          <w:sz w:val="21"/>
        </w:rPr>
        <w:t>宅</w:t>
      </w:r>
      <w:r>
        <w:rPr>
          <w:spacing w:val="-3"/>
          <w:sz w:val="21"/>
        </w:rPr>
        <w:t>小</w:t>
      </w:r>
      <w:r>
        <w:rPr>
          <w:sz w:val="21"/>
        </w:rPr>
        <w:t>区</w:t>
      </w:r>
      <w:r>
        <w:rPr>
          <w:spacing w:val="-3"/>
          <w:sz w:val="21"/>
        </w:rPr>
        <w:t>内</w:t>
      </w:r>
      <w:r>
        <w:rPr>
          <w:sz w:val="21"/>
        </w:rPr>
        <w:t>的</w:t>
      </w:r>
      <w:r>
        <w:rPr>
          <w:spacing w:val="-3"/>
          <w:sz w:val="21"/>
        </w:rPr>
        <w:t>给</w:t>
      </w:r>
      <w:r>
        <w:rPr>
          <w:sz w:val="21"/>
        </w:rPr>
        <w:t>排</w:t>
      </w:r>
      <w:r>
        <w:rPr>
          <w:spacing w:val="-3"/>
          <w:sz w:val="21"/>
        </w:rPr>
        <w:t>水设</w:t>
      </w:r>
      <w:r>
        <w:rPr>
          <w:sz w:val="21"/>
        </w:rPr>
        <w:t>施、</w:t>
      </w:r>
      <w:r>
        <w:rPr>
          <w:spacing w:val="-3"/>
          <w:sz w:val="21"/>
        </w:rPr>
        <w:t>道</w:t>
      </w:r>
      <w:r>
        <w:rPr>
          <w:sz w:val="21"/>
        </w:rPr>
        <w:t>路</w:t>
      </w:r>
      <w:r>
        <w:rPr>
          <w:spacing w:val="-3"/>
          <w:sz w:val="21"/>
        </w:rPr>
        <w:t>等</w:t>
      </w:r>
      <w:r>
        <w:rPr>
          <w:sz w:val="21"/>
        </w:rPr>
        <w:t>配</w:t>
      </w:r>
      <w:r>
        <w:rPr>
          <w:spacing w:val="-3"/>
          <w:sz w:val="21"/>
        </w:rPr>
        <w:t>套</w:t>
      </w:r>
      <w:r>
        <w:rPr>
          <w:sz w:val="21"/>
        </w:rPr>
        <w:t>工</w:t>
      </w:r>
      <w:r>
        <w:rPr>
          <w:spacing w:val="-3"/>
          <w:sz w:val="21"/>
        </w:rPr>
        <w:t>程</w:t>
      </w:r>
      <w:r>
        <w:rPr>
          <w:sz w:val="21"/>
        </w:rPr>
        <w:t>为</w:t>
      </w:r>
      <w:r>
        <w:rPr>
          <w:sz w:val="21"/>
          <w:u w:val="single"/>
        </w:rPr>
        <w:t> </w:t>
        <w:tab/>
      </w:r>
      <w:r>
        <w:rPr>
          <w:sz w:val="21"/>
        </w:rPr>
        <w:t>年；</w:t>
      </w:r>
    </w:p>
    <w:p>
      <w:pPr>
        <w:pStyle w:val="ListParagraph"/>
        <w:numPr>
          <w:ilvl w:val="0"/>
          <w:numId w:val="109"/>
        </w:numPr>
        <w:tabs>
          <w:tab w:pos="1416" w:val="left" w:leader="none"/>
        </w:tabs>
        <w:spacing w:line="240" w:lineRule="auto" w:before="139" w:after="0"/>
        <w:ind w:left="1415" w:right="0" w:hanging="318"/>
        <w:jc w:val="left"/>
        <w:rPr>
          <w:sz w:val="21"/>
        </w:rPr>
      </w:pPr>
      <w:r>
        <w:rPr>
          <w:spacing w:val="-3"/>
          <w:sz w:val="21"/>
        </w:rPr>
        <w:t>其他项目保修期限约定如下：</w:t>
      </w:r>
    </w:p>
    <w:p>
      <w:pPr>
        <w:pStyle w:val="BodyText"/>
        <w:spacing w:before="4"/>
        <w:ind w:left="0"/>
        <w:rPr>
          <w:sz w:val="24"/>
        </w:rPr>
      </w:pPr>
      <w:r>
        <w:rPr/>
        <w:pict>
          <v:line style="position:absolute;mso-position-horizontal-relative:page;mso-position-vertical-relative:paragraph;z-index:-251543552;mso-wrap-distance-left:0;mso-wrap-distance-right:0" from="110.900002pt,17.808744pt" to="520.410002pt,17.808744pt" stroked="true" strokeweight=".48001pt" strokecolor="#000000">
            <v:stroke dashstyle="solid"/>
            <w10:wrap type="topAndBottom"/>
          </v:line>
        </w:pict>
      </w:r>
    </w:p>
    <w:p>
      <w:pPr>
        <w:pStyle w:val="BodyText"/>
        <w:tabs>
          <w:tab w:pos="8973" w:val="left" w:leader="none"/>
        </w:tabs>
        <w:spacing w:line="364" w:lineRule="auto" w:before="111"/>
        <w:ind w:left="1098" w:right="1319" w:hanging="420"/>
      </w:pPr>
      <w:r>
        <w:rPr>
          <w:rFonts w:ascii="Times New Roman" w:eastAsia="Times New Roman"/>
          <w:w w:val="100"/>
          <w:u w:val="single"/>
        </w:rPr>
        <w:t> </w:t>
      </w:r>
      <w:r>
        <w:rPr>
          <w:rFonts w:ascii="Times New Roman" w:eastAsia="Times New Roman"/>
          <w:u w:val="single"/>
        </w:rPr>
        <w:tab/>
        <w:tab/>
      </w:r>
      <w:r>
        <w:rPr>
          <w:spacing w:val="-17"/>
        </w:rPr>
        <w:t>。</w:t>
      </w:r>
      <w:r>
        <w:rPr>
          <w:spacing w:val="-3"/>
        </w:rPr>
        <w:t>质量保修期自工程竣工验收合格之日起计算。</w:t>
      </w:r>
    </w:p>
    <w:p>
      <w:pPr>
        <w:pStyle w:val="BodyText"/>
        <w:spacing w:before="1"/>
        <w:ind w:left="1098"/>
      </w:pPr>
      <w:r>
        <w:rPr/>
        <w:t>三、缺陷责任期</w:t>
      </w:r>
    </w:p>
    <w:p>
      <w:pPr>
        <w:pStyle w:val="BodyText"/>
        <w:tabs>
          <w:tab w:pos="3724" w:val="left" w:leader="none"/>
        </w:tabs>
        <w:spacing w:line="364" w:lineRule="auto" w:before="139"/>
        <w:ind w:right="1151" w:firstLine="419"/>
        <w:jc w:val="both"/>
      </w:pPr>
      <w:r>
        <w:rPr>
          <w:w w:val="100"/>
        </w:rPr>
        <w:t>工程</w:t>
      </w:r>
      <w:r>
        <w:rPr>
          <w:spacing w:val="-3"/>
          <w:w w:val="100"/>
        </w:rPr>
        <w:t>缺</w:t>
      </w:r>
      <w:r>
        <w:rPr>
          <w:w w:val="100"/>
        </w:rPr>
        <w:t>陷</w:t>
      </w:r>
      <w:r>
        <w:rPr>
          <w:spacing w:val="-3"/>
          <w:w w:val="100"/>
        </w:rPr>
        <w:t>责</w:t>
      </w:r>
      <w:r>
        <w:rPr>
          <w:w w:val="100"/>
        </w:rPr>
        <w:t>任</w:t>
      </w:r>
      <w:r>
        <w:rPr>
          <w:spacing w:val="-3"/>
          <w:w w:val="100"/>
        </w:rPr>
        <w:t>期</w:t>
      </w:r>
      <w:r>
        <w:rPr>
          <w:w w:val="100"/>
        </w:rPr>
        <w:t>为</w:t>
      </w:r>
      <w:r>
        <w:rPr>
          <w:rFonts w:ascii="Times New Roman" w:eastAsia="Times New Roman"/>
          <w:w w:val="100"/>
          <w:u w:val="single"/>
        </w:rPr>
        <w:t> </w:t>
      </w:r>
      <w:r>
        <w:rPr>
          <w:rFonts w:ascii="Times New Roman" w:eastAsia="Times New Roman"/>
          <w:u w:val="single"/>
        </w:rPr>
        <w:tab/>
      </w:r>
      <w:r>
        <w:rPr>
          <w:w w:val="100"/>
        </w:rPr>
        <w:t>个</w:t>
      </w:r>
      <w:r>
        <w:rPr>
          <w:spacing w:val="-25"/>
          <w:w w:val="100"/>
        </w:rPr>
        <w:t>月</w:t>
      </w:r>
      <w:r>
        <w:rPr>
          <w:spacing w:val="-3"/>
          <w:w w:val="100"/>
        </w:rPr>
        <w:t>（</w:t>
      </w:r>
      <w:r>
        <w:rPr>
          <w:w w:val="100"/>
        </w:rPr>
        <w:t>最</w:t>
      </w:r>
      <w:r>
        <w:rPr>
          <w:spacing w:val="-3"/>
          <w:w w:val="100"/>
        </w:rPr>
        <w:t>长</w:t>
      </w:r>
      <w:r>
        <w:rPr>
          <w:w w:val="100"/>
        </w:rPr>
        <w:t>不</w:t>
      </w:r>
      <w:r>
        <w:rPr>
          <w:spacing w:val="-3"/>
          <w:w w:val="100"/>
        </w:rPr>
        <w:t>超</w:t>
      </w:r>
      <w:r>
        <w:rPr>
          <w:w w:val="100"/>
        </w:rPr>
        <w:t>过</w:t>
      </w:r>
      <w:r>
        <w:rPr>
          <w:spacing w:val="-52"/>
        </w:rPr>
        <w:t> </w:t>
      </w:r>
      <w:r>
        <w:rPr>
          <w:rFonts w:ascii="Times New Roman" w:eastAsia="Times New Roman"/>
          <w:spacing w:val="-3"/>
          <w:w w:val="100"/>
        </w:rPr>
        <w:t>2</w:t>
      </w:r>
      <w:r>
        <w:rPr>
          <w:rFonts w:ascii="Times New Roman" w:eastAsia="Times New Roman"/>
          <w:w w:val="100"/>
        </w:rPr>
        <w:t>4</w:t>
      </w:r>
      <w:r>
        <w:rPr>
          <w:rFonts w:ascii="Times New Roman" w:eastAsia="Times New Roman"/>
        </w:rPr>
        <w:t> </w:t>
      </w:r>
      <w:r>
        <w:rPr>
          <w:spacing w:val="-3"/>
          <w:w w:val="100"/>
        </w:rPr>
        <w:t>个</w:t>
      </w:r>
      <w:r>
        <w:rPr>
          <w:w w:val="100"/>
        </w:rPr>
        <w:t>月</w:t>
      </w:r>
      <w:r>
        <w:rPr>
          <w:spacing w:val="-108"/>
          <w:w w:val="100"/>
        </w:rPr>
        <w:t>）</w:t>
      </w:r>
      <w:r>
        <w:rPr>
          <w:spacing w:val="-22"/>
          <w:w w:val="100"/>
        </w:rPr>
        <w:t>，</w:t>
      </w:r>
      <w:r>
        <w:rPr>
          <w:spacing w:val="-3"/>
          <w:w w:val="100"/>
        </w:rPr>
        <w:t>缺</w:t>
      </w:r>
      <w:r>
        <w:rPr>
          <w:w w:val="100"/>
        </w:rPr>
        <w:t>陷</w:t>
      </w:r>
      <w:r>
        <w:rPr>
          <w:spacing w:val="-3"/>
          <w:w w:val="100"/>
        </w:rPr>
        <w:t>责</w:t>
      </w:r>
      <w:r>
        <w:rPr>
          <w:w w:val="100"/>
        </w:rPr>
        <w:t>任</w:t>
      </w:r>
      <w:r>
        <w:rPr>
          <w:spacing w:val="-3"/>
          <w:w w:val="100"/>
        </w:rPr>
        <w:t>期</w:t>
      </w:r>
      <w:r>
        <w:rPr>
          <w:w w:val="100"/>
        </w:rPr>
        <w:t>自</w:t>
      </w:r>
      <w:r>
        <w:rPr>
          <w:spacing w:val="-3"/>
          <w:w w:val="100"/>
        </w:rPr>
        <w:t>工</w:t>
      </w:r>
      <w:r>
        <w:rPr>
          <w:w w:val="100"/>
        </w:rPr>
        <w:t>程</w:t>
      </w:r>
      <w:r>
        <w:rPr>
          <w:spacing w:val="-3"/>
          <w:w w:val="100"/>
        </w:rPr>
        <w:t>竣</w:t>
      </w:r>
      <w:r>
        <w:rPr>
          <w:w w:val="100"/>
        </w:rPr>
        <w:t>工验</w:t>
      </w:r>
      <w:r>
        <w:rPr>
          <w:spacing w:val="-3"/>
          <w:w w:val="100"/>
        </w:rPr>
        <w:t>收</w:t>
      </w:r>
      <w:r>
        <w:rPr>
          <w:w w:val="100"/>
        </w:rPr>
        <w:t>合格</w:t>
      </w:r>
      <w:r>
        <w:rPr/>
        <w:t>之日起计算。单位工程先于全部工程进行验收，单位工程缺陷责任期自单位工程验收合格之</w:t>
      </w:r>
      <w:r>
        <w:rPr>
          <w:spacing w:val="-12"/>
        </w:rPr>
        <w:t>日</w:t>
      </w:r>
      <w:r>
        <w:rPr/>
        <w:t>起算。</w:t>
      </w:r>
    </w:p>
    <w:p>
      <w:pPr>
        <w:pStyle w:val="BodyText"/>
        <w:spacing w:line="266" w:lineRule="exact"/>
        <w:ind w:left="1098"/>
        <w:jc w:val="both"/>
      </w:pPr>
      <w:r>
        <w:rPr>
          <w:spacing w:val="-2"/>
          <w:w w:val="100"/>
        </w:rPr>
        <w:t>缺陷责任期</w:t>
      </w:r>
      <w:r>
        <w:rPr>
          <w:w w:val="100"/>
          <w:u w:val="single"/>
        </w:rPr>
        <w:t>满</w:t>
      </w:r>
      <w:r>
        <w:rPr>
          <w:spacing w:val="-2"/>
          <w:w w:val="100"/>
        </w:rPr>
        <w:t>之日起</w:t>
      </w:r>
      <w:r>
        <w:rPr>
          <w:rFonts w:ascii="Times New Roman" w:eastAsia="Times New Roman"/>
          <w:w w:val="100"/>
          <w:u w:val="single"/>
        </w:rPr>
        <w:t> </w:t>
      </w:r>
      <w:r>
        <w:rPr>
          <w:rFonts w:ascii="Times New Roman" w:eastAsia="Times New Roman"/>
          <w:spacing w:val="-1"/>
          <w:u w:val="single"/>
        </w:rPr>
        <w:t>       </w:t>
      </w:r>
      <w:r>
        <w:rPr>
          <w:w w:val="100"/>
        </w:rPr>
        <w:t>天</w:t>
      </w:r>
      <w:r>
        <w:rPr>
          <w:w w:val="100"/>
          <w:u w:val="single"/>
        </w:rPr>
        <w:t>（</w:t>
      </w:r>
      <w:r>
        <w:rPr>
          <w:spacing w:val="-3"/>
          <w:w w:val="100"/>
          <w:u w:val="single"/>
        </w:rPr>
        <w:t>按合同约定期限</w:t>
      </w:r>
      <w:r>
        <w:rPr>
          <w:spacing w:val="-106"/>
          <w:w w:val="100"/>
          <w:u w:val="single"/>
        </w:rPr>
        <w:t>）</w:t>
      </w:r>
      <w:r>
        <w:rPr>
          <w:spacing w:val="-3"/>
          <w:w w:val="100"/>
          <w:u w:val="single"/>
        </w:rPr>
        <w:t>，</w:t>
      </w:r>
      <w:r>
        <w:rPr>
          <w:spacing w:val="-3"/>
          <w:w w:val="100"/>
        </w:rPr>
        <w:t>发包人应退还剩余的质量保证金。</w:t>
      </w:r>
    </w:p>
    <w:p>
      <w:pPr>
        <w:pStyle w:val="BodyText"/>
        <w:spacing w:before="141"/>
        <w:ind w:left="1098"/>
      </w:pPr>
      <w:r>
        <w:rPr/>
        <w:t>四、质量保修责任</w:t>
      </w:r>
    </w:p>
    <w:p>
      <w:pPr>
        <w:pStyle w:val="ListParagraph"/>
        <w:numPr>
          <w:ilvl w:val="1"/>
          <w:numId w:val="109"/>
        </w:numPr>
        <w:tabs>
          <w:tab w:pos="1531" w:val="left" w:leader="none"/>
          <w:tab w:pos="7987" w:val="left" w:leader="none"/>
        </w:tabs>
        <w:spacing w:line="364" w:lineRule="auto" w:before="139" w:after="0"/>
        <w:ind w:left="783" w:right="1043" w:firstLine="429"/>
        <w:jc w:val="left"/>
        <w:rPr>
          <w:sz w:val="21"/>
        </w:rPr>
      </w:pPr>
      <w:r>
        <w:rPr>
          <w:sz w:val="21"/>
        </w:rPr>
        <w:t>属</w:t>
      </w:r>
      <w:r>
        <w:rPr>
          <w:spacing w:val="-3"/>
          <w:sz w:val="21"/>
        </w:rPr>
        <w:t>于</w:t>
      </w:r>
      <w:r>
        <w:rPr>
          <w:sz w:val="21"/>
        </w:rPr>
        <w:t>保</w:t>
      </w:r>
      <w:r>
        <w:rPr>
          <w:spacing w:val="-3"/>
          <w:sz w:val="21"/>
        </w:rPr>
        <w:t>修</w:t>
      </w:r>
      <w:r>
        <w:rPr>
          <w:sz w:val="21"/>
        </w:rPr>
        <w:t>范围</w:t>
      </w:r>
      <w:r>
        <w:rPr>
          <w:spacing w:val="-22"/>
          <w:sz w:val="21"/>
        </w:rPr>
        <w:t>、</w:t>
      </w:r>
      <w:r>
        <w:rPr>
          <w:sz w:val="21"/>
        </w:rPr>
        <w:t>内</w:t>
      </w:r>
      <w:r>
        <w:rPr>
          <w:spacing w:val="-3"/>
          <w:sz w:val="21"/>
        </w:rPr>
        <w:t>容的</w:t>
      </w:r>
      <w:r>
        <w:rPr>
          <w:sz w:val="21"/>
        </w:rPr>
        <w:t>项目</w:t>
      </w:r>
      <w:r>
        <w:rPr>
          <w:spacing w:val="-22"/>
          <w:sz w:val="21"/>
        </w:rPr>
        <w:t>，</w:t>
      </w:r>
      <w:r>
        <w:rPr>
          <w:sz w:val="21"/>
        </w:rPr>
        <w:t>承</w:t>
      </w:r>
      <w:r>
        <w:rPr>
          <w:spacing w:val="-3"/>
          <w:sz w:val="21"/>
        </w:rPr>
        <w:t>包</w:t>
      </w:r>
      <w:r>
        <w:rPr>
          <w:sz w:val="21"/>
        </w:rPr>
        <w:t>人</w:t>
      </w:r>
      <w:r>
        <w:rPr>
          <w:spacing w:val="-3"/>
          <w:sz w:val="21"/>
        </w:rPr>
        <w:t>应</w:t>
      </w:r>
      <w:r>
        <w:rPr>
          <w:sz w:val="21"/>
        </w:rPr>
        <w:t>当</w:t>
      </w:r>
      <w:r>
        <w:rPr>
          <w:spacing w:val="-3"/>
          <w:sz w:val="21"/>
        </w:rPr>
        <w:t>在</w:t>
      </w:r>
      <w:r>
        <w:rPr>
          <w:sz w:val="21"/>
        </w:rPr>
        <w:t>接</w:t>
      </w:r>
      <w:r>
        <w:rPr>
          <w:spacing w:val="-3"/>
          <w:sz w:val="21"/>
        </w:rPr>
        <w:t>到</w:t>
      </w:r>
      <w:r>
        <w:rPr>
          <w:sz w:val="21"/>
        </w:rPr>
        <w:t>保修</w:t>
      </w:r>
      <w:r>
        <w:rPr>
          <w:spacing w:val="-3"/>
          <w:sz w:val="21"/>
        </w:rPr>
        <w:t>通</w:t>
      </w:r>
      <w:r>
        <w:rPr>
          <w:sz w:val="21"/>
        </w:rPr>
        <w:t>知</w:t>
      </w:r>
      <w:r>
        <w:rPr>
          <w:spacing w:val="-3"/>
          <w:sz w:val="21"/>
        </w:rPr>
        <w:t>之</w:t>
      </w:r>
      <w:r>
        <w:rPr>
          <w:sz w:val="21"/>
        </w:rPr>
        <w:t>日</w:t>
      </w:r>
      <w:r>
        <w:rPr>
          <w:spacing w:val="-3"/>
          <w:sz w:val="21"/>
        </w:rPr>
        <w:t>起</w:t>
      </w:r>
      <w:r>
        <w:rPr>
          <w:spacing w:val="-3"/>
          <w:sz w:val="21"/>
          <w:u w:val="single"/>
        </w:rPr>
        <w:t> </w:t>
        <w:tab/>
      </w:r>
      <w:r>
        <w:rPr>
          <w:spacing w:val="-3"/>
          <w:sz w:val="21"/>
        </w:rPr>
        <w:t>天</w:t>
      </w:r>
      <w:r>
        <w:rPr>
          <w:sz w:val="21"/>
        </w:rPr>
        <w:t>内派</w:t>
      </w:r>
      <w:r>
        <w:rPr>
          <w:spacing w:val="-3"/>
          <w:sz w:val="21"/>
        </w:rPr>
        <w:t>人</w:t>
      </w:r>
      <w:r>
        <w:rPr>
          <w:sz w:val="21"/>
        </w:rPr>
        <w:t>保</w:t>
      </w:r>
      <w:r>
        <w:rPr>
          <w:spacing w:val="-3"/>
          <w:sz w:val="21"/>
        </w:rPr>
        <w:t>修</w:t>
      </w:r>
      <w:r>
        <w:rPr>
          <w:spacing w:val="-13"/>
          <w:sz w:val="21"/>
        </w:rPr>
        <w:t>。</w:t>
      </w:r>
      <w:r>
        <w:rPr>
          <w:sz w:val="21"/>
        </w:rPr>
        <w:t>承包</w:t>
      </w:r>
      <w:r>
        <w:rPr>
          <w:spacing w:val="-3"/>
          <w:sz w:val="21"/>
        </w:rPr>
        <w:t>人</w:t>
      </w:r>
      <w:r>
        <w:rPr>
          <w:sz w:val="21"/>
        </w:rPr>
        <w:t>不</w:t>
      </w:r>
      <w:r>
        <w:rPr>
          <w:spacing w:val="-3"/>
          <w:sz w:val="21"/>
        </w:rPr>
        <w:t>在</w:t>
      </w:r>
      <w:r>
        <w:rPr>
          <w:sz w:val="21"/>
        </w:rPr>
        <w:t>约</w:t>
      </w:r>
      <w:r>
        <w:rPr>
          <w:spacing w:val="-3"/>
          <w:sz w:val="21"/>
        </w:rPr>
        <w:t>定</w:t>
      </w:r>
      <w:r>
        <w:rPr>
          <w:sz w:val="21"/>
        </w:rPr>
        <w:t>期</w:t>
      </w:r>
      <w:r>
        <w:rPr>
          <w:spacing w:val="-3"/>
          <w:sz w:val="21"/>
        </w:rPr>
        <w:t>限</w:t>
      </w:r>
      <w:r>
        <w:rPr>
          <w:sz w:val="21"/>
        </w:rPr>
        <w:t>内</w:t>
      </w:r>
      <w:r>
        <w:rPr>
          <w:spacing w:val="-3"/>
          <w:sz w:val="21"/>
        </w:rPr>
        <w:t>派</w:t>
      </w:r>
      <w:r>
        <w:rPr>
          <w:sz w:val="21"/>
        </w:rPr>
        <w:t>人保</w:t>
      </w:r>
      <w:r>
        <w:rPr>
          <w:spacing w:val="-3"/>
          <w:sz w:val="21"/>
        </w:rPr>
        <w:t>修的</w:t>
      </w:r>
      <w:r>
        <w:rPr>
          <w:spacing w:val="-75"/>
          <w:sz w:val="21"/>
        </w:rPr>
        <w:t>，</w:t>
      </w:r>
      <w:r>
        <w:rPr>
          <w:spacing w:val="-3"/>
          <w:sz w:val="21"/>
        </w:rPr>
        <w:t>发</w:t>
      </w:r>
      <w:r>
        <w:rPr>
          <w:sz w:val="21"/>
        </w:rPr>
        <w:t>包</w:t>
      </w:r>
      <w:r>
        <w:rPr>
          <w:spacing w:val="-3"/>
          <w:sz w:val="21"/>
        </w:rPr>
        <w:t>人</w:t>
      </w:r>
      <w:r>
        <w:rPr>
          <w:sz w:val="21"/>
        </w:rPr>
        <w:t>可</w:t>
      </w:r>
      <w:r>
        <w:rPr>
          <w:spacing w:val="-3"/>
          <w:sz w:val="21"/>
        </w:rPr>
        <w:t>以</w:t>
      </w:r>
      <w:r>
        <w:rPr>
          <w:sz w:val="21"/>
        </w:rPr>
        <w:t>委</w:t>
      </w:r>
      <w:r>
        <w:rPr>
          <w:spacing w:val="-3"/>
          <w:sz w:val="21"/>
        </w:rPr>
        <w:t>托</w:t>
      </w:r>
      <w:r>
        <w:rPr>
          <w:sz w:val="21"/>
        </w:rPr>
        <w:t>他人</w:t>
      </w:r>
      <w:r>
        <w:rPr>
          <w:spacing w:val="-3"/>
          <w:sz w:val="21"/>
        </w:rPr>
        <w:t>修理</w:t>
      </w:r>
      <w:r>
        <w:rPr>
          <w:spacing w:val="-75"/>
          <w:sz w:val="21"/>
        </w:rPr>
        <w:t>，</w:t>
      </w:r>
      <w:r>
        <w:rPr>
          <w:spacing w:val="-3"/>
          <w:sz w:val="21"/>
        </w:rPr>
        <w:t>修</w:t>
      </w:r>
      <w:r>
        <w:rPr>
          <w:sz w:val="21"/>
        </w:rPr>
        <w:t>理</w:t>
      </w:r>
      <w:r>
        <w:rPr>
          <w:spacing w:val="-3"/>
          <w:sz w:val="21"/>
        </w:rPr>
        <w:t>费</w:t>
      </w:r>
      <w:r>
        <w:rPr>
          <w:sz w:val="21"/>
        </w:rPr>
        <w:t>用</w:t>
      </w:r>
      <w:r>
        <w:rPr>
          <w:spacing w:val="-3"/>
          <w:sz w:val="21"/>
        </w:rPr>
        <w:t>从</w:t>
      </w:r>
      <w:r>
        <w:rPr>
          <w:sz w:val="21"/>
        </w:rPr>
        <w:t>质</w:t>
      </w:r>
      <w:r>
        <w:rPr>
          <w:spacing w:val="-3"/>
          <w:sz w:val="21"/>
        </w:rPr>
        <w:t>量</w:t>
      </w:r>
      <w:r>
        <w:rPr>
          <w:sz w:val="21"/>
        </w:rPr>
        <w:t>保证</w:t>
      </w:r>
      <w:r>
        <w:rPr>
          <w:spacing w:val="-3"/>
          <w:sz w:val="21"/>
        </w:rPr>
        <w:t>金</w:t>
      </w:r>
      <w:r>
        <w:rPr>
          <w:sz w:val="21"/>
        </w:rPr>
        <w:t>内</w:t>
      </w:r>
      <w:r>
        <w:rPr>
          <w:spacing w:val="-3"/>
          <w:sz w:val="21"/>
        </w:rPr>
        <w:t>扣</w:t>
      </w:r>
      <w:r>
        <w:rPr>
          <w:sz w:val="21"/>
        </w:rPr>
        <w:t>除。</w:t>
      </w:r>
    </w:p>
    <w:p>
      <w:pPr>
        <w:pStyle w:val="ListParagraph"/>
        <w:numPr>
          <w:ilvl w:val="1"/>
          <w:numId w:val="109"/>
        </w:numPr>
        <w:tabs>
          <w:tab w:pos="1416" w:val="left" w:leader="none"/>
        </w:tabs>
        <w:spacing w:line="268" w:lineRule="exact" w:before="0" w:after="0"/>
        <w:ind w:left="1415" w:right="0" w:hanging="318"/>
        <w:jc w:val="left"/>
        <w:rPr>
          <w:sz w:val="21"/>
        </w:rPr>
      </w:pPr>
      <w:r>
        <w:rPr>
          <w:spacing w:val="-3"/>
          <w:sz w:val="21"/>
        </w:rPr>
        <w:t>发生紧急事故需抢修的，承包人在接到事故通知后，应当立即到达事故现场抢修。</w:t>
      </w:r>
    </w:p>
    <w:p>
      <w:pPr>
        <w:pStyle w:val="ListParagraph"/>
        <w:numPr>
          <w:ilvl w:val="1"/>
          <w:numId w:val="109"/>
        </w:numPr>
        <w:tabs>
          <w:tab w:pos="1416" w:val="left" w:leader="none"/>
        </w:tabs>
        <w:spacing w:line="364" w:lineRule="auto" w:before="139" w:after="0"/>
        <w:ind w:left="678" w:right="1151" w:firstLine="419"/>
        <w:jc w:val="both"/>
        <w:rPr>
          <w:sz w:val="21"/>
        </w:rPr>
      </w:pPr>
      <w:r>
        <w:rPr>
          <w:spacing w:val="-7"/>
          <w:sz w:val="21"/>
        </w:rPr>
        <w:t>对于涉及结构安全的质量问题，应当按照《建设工程质量管理条例》的规定，立即向当</w:t>
      </w:r>
      <w:r>
        <w:rPr>
          <w:spacing w:val="-8"/>
          <w:sz w:val="21"/>
        </w:rPr>
        <w:t>地建设行政主管部门和有关部门报告，采取安全防范措施，并由原设计人或者具有相应资质等</w:t>
      </w:r>
      <w:r>
        <w:rPr>
          <w:spacing w:val="-3"/>
          <w:sz w:val="21"/>
        </w:rPr>
        <w:t>级的设计人提出保修方案，承包人实施保修。</w:t>
      </w:r>
    </w:p>
    <w:p>
      <w:pPr>
        <w:pStyle w:val="ListParagraph"/>
        <w:numPr>
          <w:ilvl w:val="1"/>
          <w:numId w:val="109"/>
        </w:numPr>
        <w:tabs>
          <w:tab w:pos="1416" w:val="left" w:leader="none"/>
        </w:tabs>
        <w:spacing w:line="269" w:lineRule="exact" w:before="0" w:after="0"/>
        <w:ind w:left="1415" w:right="0" w:hanging="318"/>
        <w:jc w:val="left"/>
        <w:rPr>
          <w:sz w:val="21"/>
        </w:rPr>
      </w:pPr>
      <w:r>
        <w:rPr>
          <w:spacing w:val="-3"/>
          <w:sz w:val="21"/>
        </w:rPr>
        <w:t>质量保修完成后，由发包人组织验收。</w:t>
      </w:r>
    </w:p>
    <w:p>
      <w:pPr>
        <w:pStyle w:val="BodyText"/>
        <w:spacing w:before="139"/>
        <w:ind w:left="1098"/>
      </w:pPr>
      <w:r>
        <w:rPr/>
        <w:t>五、保修费用</w:t>
      </w:r>
    </w:p>
    <w:p>
      <w:pPr>
        <w:pStyle w:val="BodyText"/>
        <w:spacing w:before="141"/>
        <w:ind w:left="1098"/>
      </w:pPr>
      <w:r>
        <w:rPr/>
        <w:t>保修费用由造成质量缺陷的责任方承担。</w:t>
      </w:r>
    </w:p>
    <w:p>
      <w:pPr>
        <w:spacing w:after="0"/>
        <w:sectPr>
          <w:pgSz w:w="11910" w:h="16850"/>
          <w:pgMar w:header="0" w:footer="779" w:top="1380" w:bottom="1040" w:left="1120" w:right="280"/>
        </w:sectPr>
      </w:pPr>
    </w:p>
    <w:p>
      <w:pPr>
        <w:pStyle w:val="BodyText"/>
        <w:spacing w:before="60"/>
        <w:ind w:left="1098"/>
      </w:pPr>
      <w:r>
        <w:rPr/>
        <w:t>六、双方约定的其他工程质量保修事项：</w:t>
      </w:r>
    </w:p>
    <w:p>
      <w:pPr>
        <w:pStyle w:val="BodyText"/>
        <w:spacing w:before="5"/>
        <w:ind w:left="0"/>
        <w:rPr>
          <w:sz w:val="24"/>
        </w:rPr>
      </w:pPr>
      <w:r>
        <w:rPr/>
        <w:pict>
          <v:line style="position:absolute;mso-position-horizontal-relative:page;mso-position-vertical-relative:paragraph;z-index:-251542528;mso-wrap-distance-left:0;mso-wrap-distance-right:0" from="110.900002pt,17.846874pt" to="520.410002pt,17.846874pt" stroked="true" strokeweight=".48pt" strokecolor="#000000">
            <v:stroke dashstyle="solid"/>
            <w10:wrap type="topAndBottom"/>
          </v:line>
        </w:pict>
      </w:r>
    </w:p>
    <w:p>
      <w:pPr>
        <w:pStyle w:val="BodyText"/>
        <w:tabs>
          <w:tab w:pos="8973" w:val="left" w:leader="none"/>
        </w:tabs>
        <w:spacing w:line="364" w:lineRule="auto" w:before="111"/>
        <w:ind w:left="1076" w:right="1154" w:hanging="399"/>
      </w:pPr>
      <w:r>
        <w:rPr>
          <w:rFonts w:ascii="Times New Roman" w:eastAsia="Times New Roman"/>
          <w:w w:val="100"/>
          <w:u w:val="single"/>
        </w:rPr>
        <w:t> </w:t>
      </w:r>
      <w:r>
        <w:rPr>
          <w:rFonts w:ascii="Times New Roman" w:eastAsia="Times New Roman"/>
          <w:u w:val="single"/>
        </w:rPr>
        <w:tab/>
        <w:tab/>
      </w:r>
      <w:r>
        <w:rPr/>
        <w:t>。</w:t>
      </w:r>
      <w:r>
        <w:rPr>
          <w:spacing w:val="-1"/>
        </w:rPr>
        <w:t>工程质量保修书由发包人、承包人在工程竣工验收前共同签署，作为施工合同附件，其有</w:t>
      </w:r>
    </w:p>
    <w:p>
      <w:pPr>
        <w:pStyle w:val="BodyText"/>
      </w:pPr>
      <w:r>
        <w:rPr/>
        <w:t>效期限至保修期满。</w:t>
      </w:r>
    </w:p>
    <w:p>
      <w:pPr>
        <w:pStyle w:val="BodyText"/>
        <w:ind w:left="0"/>
        <w:rPr>
          <w:sz w:val="20"/>
        </w:rPr>
      </w:pPr>
    </w:p>
    <w:p>
      <w:pPr>
        <w:pStyle w:val="BodyText"/>
        <w:spacing w:before="2"/>
        <w:ind w:left="0"/>
        <w:rPr>
          <w:sz w:val="19"/>
        </w:rPr>
      </w:pPr>
    </w:p>
    <w:p>
      <w:pPr>
        <w:pStyle w:val="BodyText"/>
        <w:tabs>
          <w:tab w:pos="1100" w:val="left" w:leader="none"/>
          <w:tab w:pos="3447" w:val="left" w:leader="none"/>
          <w:tab w:pos="3687" w:val="left" w:leader="none"/>
          <w:tab w:pos="4868" w:val="left" w:leader="none"/>
          <w:tab w:pos="5003" w:val="left" w:leader="none"/>
          <w:tab w:pos="5289" w:val="left" w:leader="none"/>
          <w:tab w:pos="7528" w:val="left" w:leader="none"/>
          <w:tab w:pos="8003" w:val="left" w:leader="none"/>
        </w:tabs>
        <w:spacing w:line="364" w:lineRule="auto"/>
        <w:ind w:right="2500"/>
        <w:rPr>
          <w:rFonts w:ascii="Times New Roman" w:eastAsia="Times New Roman"/>
        </w:rPr>
      </w:pPr>
      <w:r>
        <w:rPr/>
        <w:pict>
          <v:group style="position:absolute;margin-left:174.020004pt;margin-top:1.02pt;width:35.35pt;height:11.65pt;mso-position-horizontal-relative:page;mso-position-vertical-relative:paragraph;z-index:-266638336" coordorigin="3480,20" coordsize="707,233">
            <v:shape style="position:absolute;left:3480;top:20;width:327;height:233" type="#_x0000_t75" stroked="false">
              <v:imagedata r:id="rId26" o:title=""/>
            </v:shape>
            <v:shape style="position:absolute;left:3696;top:20;width:327;height:233" type="#_x0000_t75" stroked="false">
              <v:imagedata r:id="rId26" o:title=""/>
            </v:shape>
            <v:shape style="position:absolute;left:3860;top:20;width:327;height:233" type="#_x0000_t75" stroked="false">
              <v:imagedata r:id="rId26" o:title=""/>
            </v:shape>
            <w10:wrap type="none"/>
          </v:group>
        </w:pict>
      </w:r>
      <w:r>
        <w:rPr/>
        <w:drawing>
          <wp:anchor distT="0" distB="0" distL="0" distR="0" allowOverlap="1" layoutInCell="1" locked="0" behindDoc="1" simplePos="0" relativeHeight="236679168">
            <wp:simplePos x="0" y="0"/>
            <wp:positionH relativeFrom="page">
              <wp:posOffset>4889880</wp:posOffset>
            </wp:positionH>
            <wp:positionV relativeFrom="paragraph">
              <wp:posOffset>12953</wp:posOffset>
            </wp:positionV>
            <wp:extent cx="207263" cy="147827"/>
            <wp:effectExtent l="0" t="0" r="0" b="0"/>
            <wp:wrapNone/>
            <wp:docPr id="47" name="image8.png"/>
            <wp:cNvGraphicFramePr>
              <a:graphicFrameLocks noChangeAspect="1"/>
            </wp:cNvGraphicFramePr>
            <a:graphic>
              <a:graphicData uri="http://schemas.openxmlformats.org/drawingml/2006/picture">
                <pic:pic>
                  <pic:nvPicPr>
                    <pic:cNvPr id="48" name="image8.png"/>
                    <pic:cNvPicPr/>
                  </pic:nvPicPr>
                  <pic:blipFill>
                    <a:blip r:embed="rId26" cstate="print"/>
                    <a:stretch>
                      <a:fillRect/>
                    </a:stretch>
                  </pic:blipFill>
                  <pic:spPr>
                    <a:xfrm>
                      <a:off x="0" y="0"/>
                      <a:ext cx="207263" cy="147827"/>
                    </a:xfrm>
                    <a:prstGeom prst="rect">
                      <a:avLst/>
                    </a:prstGeom>
                  </pic:spPr>
                </pic:pic>
              </a:graphicData>
            </a:graphic>
          </wp:anchor>
        </w:drawing>
      </w:r>
      <w:r>
        <w:rPr/>
        <w:drawing>
          <wp:anchor distT="0" distB="0" distL="0" distR="0" allowOverlap="1" layoutInCell="1" locked="0" behindDoc="1" simplePos="0" relativeHeight="236680192">
            <wp:simplePos x="0" y="0"/>
            <wp:positionH relativeFrom="page">
              <wp:posOffset>5659882</wp:posOffset>
            </wp:positionH>
            <wp:positionV relativeFrom="paragraph">
              <wp:posOffset>12953</wp:posOffset>
            </wp:positionV>
            <wp:extent cx="207263" cy="147827"/>
            <wp:effectExtent l="0" t="0" r="0" b="0"/>
            <wp:wrapNone/>
            <wp:docPr id="49" name="image8.png"/>
            <wp:cNvGraphicFramePr>
              <a:graphicFrameLocks noChangeAspect="1"/>
            </wp:cNvGraphicFramePr>
            <a:graphic>
              <a:graphicData uri="http://schemas.openxmlformats.org/drawingml/2006/picture">
                <pic:pic>
                  <pic:nvPicPr>
                    <pic:cNvPr id="50" name="image8.png"/>
                    <pic:cNvPicPr/>
                  </pic:nvPicPr>
                  <pic:blipFill>
                    <a:blip r:embed="rId26" cstate="print"/>
                    <a:stretch>
                      <a:fillRect/>
                    </a:stretch>
                  </pic:blipFill>
                  <pic:spPr>
                    <a:xfrm>
                      <a:off x="0" y="0"/>
                      <a:ext cx="207263" cy="147827"/>
                    </a:xfrm>
                    <a:prstGeom prst="rect">
                      <a:avLst/>
                    </a:prstGeom>
                  </pic:spPr>
                </pic:pic>
              </a:graphicData>
            </a:graphic>
          </wp:anchor>
        </w:drawing>
      </w:r>
      <w:r>
        <w:rPr/>
        <w:pict>
          <v:group style="position:absolute;margin-left:137.300003pt;margin-top:21.42pt;width:65.3pt;height:11.65pt;mso-position-horizontal-relative:page;mso-position-vertical-relative:paragraph;z-index:-266635264" coordorigin="2746,428" coordsize="1306,233">
            <v:shape style="position:absolute;left:2746;top:428;width:327;height:233" type="#_x0000_t75" stroked="false">
              <v:imagedata r:id="rId26" o:title=""/>
            </v:shape>
            <v:shape style="position:absolute;left:2909;top:428;width:327;height:233" type="#_x0000_t75" stroked="false">
              <v:imagedata r:id="rId26" o:title=""/>
            </v:shape>
            <v:shape style="position:absolute;left:3072;top:428;width:327;height:233" type="#_x0000_t75" stroked="false">
              <v:imagedata r:id="rId26" o:title=""/>
            </v:shape>
            <v:shape style="position:absolute;left:3235;top:428;width:327;height:233" type="#_x0000_t75" stroked="false">
              <v:imagedata r:id="rId26" o:title=""/>
            </v:shape>
            <v:shape style="position:absolute;left:3398;top:428;width:327;height:233" type="#_x0000_t75" stroked="false">
              <v:imagedata r:id="rId26" o:title=""/>
            </v:shape>
            <v:shape style="position:absolute;left:3562;top:428;width:327;height:233" type="#_x0000_t75" stroked="false">
              <v:imagedata r:id="rId26" o:title=""/>
            </v:shape>
            <v:shape style="position:absolute;left:3725;top:428;width:327;height:233" type="#_x0000_t75" stroked="false">
              <v:imagedata r:id="rId26" o:title=""/>
            </v:shape>
            <w10:wrap type="none"/>
          </v:group>
        </w:pict>
      </w:r>
      <w:r>
        <w:rPr/>
        <w:pict>
          <v:group style="position:absolute;margin-left:341.470001pt;margin-top:21.42pt;width:57.15pt;height:11.65pt;mso-position-horizontal-relative:page;mso-position-vertical-relative:paragraph;z-index:-266634240" coordorigin="6829,428" coordsize="1143,233">
            <v:shape style="position:absolute;left:6829;top:428;width:327;height:233" type="#_x0000_t75" stroked="false">
              <v:imagedata r:id="rId26" o:title=""/>
            </v:shape>
            <v:shape style="position:absolute;left:6992;top:428;width:327;height:233" type="#_x0000_t75" stroked="false">
              <v:imagedata r:id="rId26" o:title=""/>
            </v:shape>
            <v:shape style="position:absolute;left:7155;top:428;width:327;height:233" type="#_x0000_t75" stroked="false">
              <v:imagedata r:id="rId26" o:title=""/>
            </v:shape>
            <v:shape style="position:absolute;left:7319;top:428;width:327;height:233" type="#_x0000_t75" stroked="false">
              <v:imagedata r:id="rId26" o:title=""/>
            </v:shape>
            <v:shape style="position:absolute;left:7482;top:428;width:327;height:233" type="#_x0000_t75" stroked="false">
              <v:imagedata r:id="rId26" o:title=""/>
            </v:shape>
            <v:shape style="position:absolute;left:7645;top:428;width:327;height:233" type="#_x0000_t75" stroked="false">
              <v:imagedata r:id="rId26" o:title=""/>
            </v:shape>
            <w10:wrap type="none"/>
          </v:group>
        </w:pict>
      </w:r>
      <w:r>
        <w:rPr/>
        <w:drawing>
          <wp:anchor distT="0" distB="0" distL="0" distR="0" allowOverlap="1" layoutInCell="1" locked="0" behindDoc="1" simplePos="0" relativeHeight="236683264">
            <wp:simplePos x="0" y="0"/>
            <wp:positionH relativeFrom="page">
              <wp:posOffset>5359272</wp:posOffset>
            </wp:positionH>
            <wp:positionV relativeFrom="paragraph">
              <wp:posOffset>272034</wp:posOffset>
            </wp:positionV>
            <wp:extent cx="204215" cy="147827"/>
            <wp:effectExtent l="0" t="0" r="0" b="0"/>
            <wp:wrapNone/>
            <wp:docPr id="51" name="image9.png"/>
            <wp:cNvGraphicFramePr>
              <a:graphicFrameLocks noChangeAspect="1"/>
            </wp:cNvGraphicFramePr>
            <a:graphic>
              <a:graphicData uri="http://schemas.openxmlformats.org/drawingml/2006/picture">
                <pic:pic>
                  <pic:nvPicPr>
                    <pic:cNvPr id="52" name="image9.png"/>
                    <pic:cNvPicPr/>
                  </pic:nvPicPr>
                  <pic:blipFill>
                    <a:blip r:embed="rId27" cstate="print"/>
                    <a:stretch>
                      <a:fillRect/>
                    </a:stretch>
                  </pic:blipFill>
                  <pic:spPr>
                    <a:xfrm>
                      <a:off x="0" y="0"/>
                      <a:ext cx="204215" cy="147827"/>
                    </a:xfrm>
                    <a:prstGeom prst="rect">
                      <a:avLst/>
                    </a:prstGeom>
                  </pic:spPr>
                </pic:pic>
              </a:graphicData>
            </a:graphic>
          </wp:anchor>
        </w:drawing>
      </w:r>
      <w:r>
        <w:rPr>
          <w:w w:val="100"/>
        </w:rPr>
        <w:t>发包</w:t>
      </w:r>
      <w:r>
        <w:rPr>
          <w:spacing w:val="-3"/>
          <w:w w:val="100"/>
        </w:rPr>
        <w:t>人</w:t>
      </w:r>
      <w:r>
        <w:rPr>
          <w:w w:val="100"/>
        </w:rPr>
        <w:t>（</w:t>
      </w:r>
      <w:r>
        <w:rPr>
          <w:spacing w:val="-3"/>
          <w:w w:val="100"/>
        </w:rPr>
        <w:t>公</w:t>
      </w:r>
      <w:r>
        <w:rPr>
          <w:w w:val="100"/>
        </w:rPr>
        <w:t>章</w:t>
      </w:r>
      <w:r>
        <w:rPr>
          <w:spacing w:val="-108"/>
          <w:w w:val="100"/>
        </w:rPr>
        <w:t>）</w:t>
      </w:r>
      <w:r>
        <w:rPr>
          <w:w w:val="100"/>
        </w:rPr>
        <w:t>：</w:t>
      </w:r>
      <w:r>
        <w:rPr>
          <w:rFonts w:ascii="Times New Roman" w:eastAsia="Times New Roman"/>
          <w:w w:val="100"/>
          <w:u w:val="single"/>
        </w:rPr>
        <w:t> </w:t>
      </w:r>
      <w:r>
        <w:rPr>
          <w:rFonts w:ascii="Times New Roman" w:eastAsia="Times New Roman"/>
          <w:u w:val="single"/>
        </w:rPr>
        <w:tab/>
        <w:tab/>
      </w:r>
      <w:r>
        <w:rPr>
          <w:rFonts w:ascii="Times New Roman" w:eastAsia="Times New Roman"/>
        </w:rPr>
        <w:tab/>
        <w:tab/>
      </w:r>
      <w:r>
        <w:rPr>
          <w:w w:val="100"/>
        </w:rPr>
        <w:t>承</w:t>
      </w:r>
      <w:r>
        <w:rPr>
          <w:spacing w:val="-3"/>
          <w:w w:val="100"/>
        </w:rPr>
        <w:t>包</w:t>
      </w:r>
      <w:r>
        <w:rPr>
          <w:w w:val="100"/>
        </w:rPr>
        <w:t>人（</w:t>
      </w:r>
      <w:r>
        <w:rPr>
          <w:spacing w:val="-3"/>
          <w:w w:val="100"/>
        </w:rPr>
        <w:t>公</w:t>
      </w:r>
      <w:r>
        <w:rPr>
          <w:w w:val="100"/>
        </w:rPr>
        <w:t>章</w:t>
      </w:r>
      <w:r>
        <w:rPr>
          <w:spacing w:val="-108"/>
          <w:w w:val="100"/>
        </w:rPr>
        <w:t>）</w:t>
      </w:r>
      <w:r>
        <w:rPr>
          <w:w w:val="100"/>
        </w:rPr>
        <w:t>：</w:t>
      </w:r>
      <w:r>
        <w:rPr>
          <w:rFonts w:ascii="Times New Roman" w:eastAsia="Times New Roman"/>
          <w:w w:val="100"/>
          <w:u w:val="single"/>
        </w:rPr>
        <w:t> </w:t>
      </w:r>
      <w:r>
        <w:rPr>
          <w:rFonts w:ascii="Times New Roman" w:eastAsia="Times New Roman"/>
          <w:u w:val="single"/>
        </w:rPr>
        <w:tab/>
        <w:tab/>
        <w:t>            </w:t>
      </w:r>
      <w:r>
        <w:rPr/>
        <w:t>地</w:t>
        <w:tab/>
      </w:r>
      <w:r>
        <w:rPr>
          <w:spacing w:val="-3"/>
        </w:rPr>
        <w:t>址</w:t>
      </w:r>
      <w:r>
        <w:rPr/>
        <w:t>：</w:t>
      </w:r>
      <w:r>
        <w:rPr>
          <w:u w:val="single"/>
        </w:rPr>
        <w:t> </w:t>
        <w:tab/>
      </w:r>
      <w:r>
        <w:rPr/>
        <w:tab/>
        <w:tab/>
        <w:t>地</w:t>
        <w:tab/>
      </w:r>
      <w:r>
        <w:rPr>
          <w:spacing w:val="-3"/>
        </w:rPr>
        <w:t>址</w:t>
      </w:r>
      <w:r>
        <w:rPr/>
        <w:t>：</w:t>
      </w:r>
      <w:r>
        <w:rPr>
          <w:rFonts w:ascii="Times New Roman" w:eastAsia="Times New Roman"/>
          <w:u w:val="single"/>
        </w:rPr>
        <w:t> </w:t>
        <w:tab/>
      </w:r>
    </w:p>
    <w:p>
      <w:pPr>
        <w:pStyle w:val="BodyText"/>
        <w:tabs>
          <w:tab w:pos="3680" w:val="left" w:leader="none"/>
          <w:tab w:pos="5101" w:val="left" w:leader="none"/>
        </w:tabs>
        <w:spacing w:line="267" w:lineRule="exact"/>
      </w:pPr>
      <w:r>
        <w:rPr/>
        <w:pict>
          <v:group style="position:absolute;margin-left:189.770004pt;margin-top:.9225pt;width:24.5pt;height:11.65pt;mso-position-horizontal-relative:page;mso-position-vertical-relative:paragraph;z-index:-266632192" coordorigin="3795,18" coordsize="490,233">
            <v:shape style="position:absolute;left:3795;top:18;width:327;height:233" type="#_x0000_t75" stroked="false">
              <v:imagedata r:id="rId26" o:title=""/>
            </v:shape>
            <v:shape style="position:absolute;left:3958;top:18;width:327;height:233" type="#_x0000_t75" stroked="false">
              <v:imagedata r:id="rId26" o:title=""/>
            </v:shape>
            <w10:wrap type="none"/>
          </v:group>
        </w:pict>
      </w:r>
      <w:r>
        <w:rPr/>
        <w:drawing>
          <wp:anchor distT="0" distB="0" distL="0" distR="0" allowOverlap="1" layoutInCell="1" locked="0" behindDoc="1" simplePos="0" relativeHeight="236685312">
            <wp:simplePos x="0" y="0"/>
            <wp:positionH relativeFrom="page">
              <wp:posOffset>5217540</wp:posOffset>
            </wp:positionH>
            <wp:positionV relativeFrom="paragraph">
              <wp:posOffset>11715</wp:posOffset>
            </wp:positionV>
            <wp:extent cx="207263" cy="147827"/>
            <wp:effectExtent l="0" t="0" r="0" b="0"/>
            <wp:wrapNone/>
            <wp:docPr id="53" name="image8.png"/>
            <wp:cNvGraphicFramePr>
              <a:graphicFrameLocks noChangeAspect="1"/>
            </wp:cNvGraphicFramePr>
            <a:graphic>
              <a:graphicData uri="http://schemas.openxmlformats.org/drawingml/2006/picture">
                <pic:pic>
                  <pic:nvPicPr>
                    <pic:cNvPr id="54" name="image8.png"/>
                    <pic:cNvPicPr/>
                  </pic:nvPicPr>
                  <pic:blipFill>
                    <a:blip r:embed="rId26" cstate="print"/>
                    <a:stretch>
                      <a:fillRect/>
                    </a:stretch>
                  </pic:blipFill>
                  <pic:spPr>
                    <a:xfrm>
                      <a:off x="0" y="0"/>
                      <a:ext cx="207263" cy="147827"/>
                    </a:xfrm>
                    <a:prstGeom prst="rect">
                      <a:avLst/>
                    </a:prstGeom>
                  </pic:spPr>
                </pic:pic>
              </a:graphicData>
            </a:graphic>
          </wp:anchor>
        </w:drawing>
      </w:r>
      <w:r>
        <w:rPr/>
        <w:pict>
          <v:group style="position:absolute;margin-left:445.299988pt;margin-top:.9225pt;width:16.1pt;height:11.65pt;mso-position-horizontal-relative:page;mso-position-vertical-relative:paragraph;z-index:251784192" coordorigin="8906,18" coordsize="322,233">
            <v:shape style="position:absolute;left:8906;top:18;width:322;height:233" type="#_x0000_t75" stroked="false">
              <v:imagedata r:id="rId27" o:title=""/>
            </v:shape>
            <v:shape style="position:absolute;left:8906;top:18;width:322;height:233" type="#_x0000_t202" filled="false" stroked="false">
              <v:textbox inset="0,0,0,0">
                <w:txbxContent>
                  <w:p>
                    <w:pPr>
                      <w:spacing w:line="233" w:lineRule="exact" w:before="0"/>
                      <w:ind w:left="-107" w:right="0" w:firstLine="0"/>
                      <w:jc w:val="left"/>
                      <w:rPr>
                        <w:sz w:val="21"/>
                      </w:rPr>
                    </w:pPr>
                    <w:r>
                      <w:rPr>
                        <w:w w:val="100"/>
                        <w:sz w:val="21"/>
                        <w:u w:val="single"/>
                      </w:rPr>
                      <w:t> </w:t>
                    </w:r>
                    <w:r>
                      <w:rPr>
                        <w:spacing w:val="-49"/>
                        <w:sz w:val="21"/>
                        <w:u w:val="single"/>
                      </w:rPr>
                      <w:t> </w:t>
                    </w:r>
                  </w:p>
                </w:txbxContent>
              </v:textbox>
              <w10:wrap type="none"/>
            </v:shape>
            <w10:wrap type="none"/>
          </v:group>
        </w:pict>
      </w:r>
      <w:r>
        <w:rPr>
          <w:w w:val="100"/>
        </w:rPr>
        <w:t>法定</w:t>
      </w:r>
      <w:r>
        <w:rPr>
          <w:spacing w:val="-3"/>
          <w:w w:val="100"/>
        </w:rPr>
        <w:t>代</w:t>
      </w:r>
      <w:r>
        <w:rPr>
          <w:w w:val="100"/>
        </w:rPr>
        <w:t>表</w:t>
      </w:r>
      <w:r>
        <w:rPr>
          <w:spacing w:val="-3"/>
          <w:w w:val="100"/>
        </w:rPr>
        <w:t>人</w:t>
      </w:r>
      <w:r>
        <w:rPr>
          <w:w w:val="100"/>
        </w:rPr>
        <w:t>（</w:t>
      </w:r>
      <w:r>
        <w:rPr>
          <w:spacing w:val="-3"/>
          <w:w w:val="100"/>
        </w:rPr>
        <w:t>签</w:t>
      </w:r>
      <w:r>
        <w:rPr>
          <w:w w:val="100"/>
        </w:rPr>
        <w:t>字</w:t>
      </w:r>
      <w:r>
        <w:rPr>
          <w:spacing w:val="-108"/>
          <w:w w:val="100"/>
        </w:rPr>
        <w:t>）</w:t>
      </w:r>
      <w:r>
        <w:rPr>
          <w:w w:val="100"/>
        </w:rPr>
        <w:t>：</w:t>
      </w:r>
      <w:r>
        <w:rPr>
          <w:rFonts w:ascii="Times New Roman" w:eastAsia="Times New Roman"/>
          <w:w w:val="100"/>
          <w:u w:val="single"/>
        </w:rPr>
        <w:t> </w:t>
      </w:r>
      <w:r>
        <w:rPr>
          <w:rFonts w:ascii="Times New Roman" w:eastAsia="Times New Roman"/>
          <w:u w:val="single"/>
        </w:rPr>
        <w:tab/>
      </w:r>
      <w:r>
        <w:rPr>
          <w:rFonts w:ascii="Times New Roman" w:eastAsia="Times New Roman"/>
        </w:rPr>
        <w:tab/>
      </w:r>
      <w:r>
        <w:rPr>
          <w:spacing w:val="-3"/>
          <w:w w:val="100"/>
        </w:rPr>
        <w:t>法定</w:t>
      </w:r>
      <w:r>
        <w:rPr>
          <w:w w:val="100"/>
        </w:rPr>
        <w:t>代表</w:t>
      </w:r>
      <w:r>
        <w:rPr>
          <w:spacing w:val="-3"/>
          <w:w w:val="100"/>
        </w:rPr>
        <w:t>人</w:t>
      </w:r>
      <w:r>
        <w:rPr>
          <w:w w:val="100"/>
        </w:rPr>
        <w:t>（</w:t>
      </w:r>
      <w:r>
        <w:rPr>
          <w:spacing w:val="-3"/>
          <w:w w:val="100"/>
        </w:rPr>
        <w:t>签</w:t>
      </w:r>
      <w:r>
        <w:rPr>
          <w:w w:val="100"/>
        </w:rPr>
        <w:t>字</w:t>
      </w:r>
      <w:r>
        <w:rPr>
          <w:spacing w:val="-108"/>
          <w:w w:val="100"/>
        </w:rPr>
        <w:t>）</w:t>
      </w:r>
      <w:r>
        <w:rPr>
          <w:w w:val="100"/>
        </w:rPr>
        <w:t>：</w:t>
      </w:r>
      <w:r>
        <w:rPr>
          <w:w w:val="100"/>
          <w:u w:val="single"/>
        </w:rPr>
        <w:t> </w:t>
      </w:r>
      <w:r>
        <w:rPr>
          <w:spacing w:val="-48"/>
          <w:u w:val="single"/>
        </w:rPr>
        <w:t> </w:t>
      </w:r>
      <w:r>
        <w:rPr>
          <w:w w:val="100"/>
          <w:u w:val="single"/>
        </w:rPr>
        <w:t>  </w:t>
      </w:r>
      <w:r>
        <w:rPr>
          <w:spacing w:val="-3"/>
          <w:w w:val="100"/>
          <w:u w:val="single"/>
        </w:rPr>
        <w:t> </w:t>
      </w:r>
      <w:r>
        <w:rPr>
          <w:w w:val="100"/>
          <w:u w:val="single"/>
        </w:rPr>
        <w:t> </w:t>
      </w:r>
    </w:p>
    <w:p>
      <w:pPr>
        <w:pStyle w:val="BodyText"/>
        <w:tabs>
          <w:tab w:pos="1100" w:val="left" w:leader="none"/>
          <w:tab w:pos="3399" w:val="left" w:leader="none"/>
          <w:tab w:pos="3680" w:val="left" w:leader="none"/>
          <w:tab w:pos="4820" w:val="left" w:leader="none"/>
          <w:tab w:pos="5101" w:val="left" w:leader="none"/>
          <w:tab w:pos="5241" w:val="left" w:leader="none"/>
          <w:tab w:pos="6640" w:val="left" w:leader="none"/>
        </w:tabs>
        <w:spacing w:line="367" w:lineRule="auto" w:before="140"/>
        <w:ind w:right="2824"/>
      </w:pPr>
      <w:r>
        <w:rPr/>
        <w:pict>
          <v:group style="position:absolute;margin-left:189.770004pt;margin-top:8.020020pt;width:24.5pt;height:11.65pt;mso-position-horizontal-relative:page;mso-position-vertical-relative:paragraph;z-index:-266628096" coordorigin="3795,160" coordsize="490,233">
            <v:shape style="position:absolute;left:3795;top:160;width:327;height:233" type="#_x0000_t75" stroked="false">
              <v:imagedata r:id="rId26" o:title=""/>
            </v:shape>
            <v:shape style="position:absolute;left:3958;top:160;width:327;height:233" type="#_x0000_t75" stroked="false">
              <v:imagedata r:id="rId26" o:title=""/>
            </v:shape>
            <w10:wrap type="none"/>
          </v:group>
        </w:pict>
      </w:r>
      <w:r>
        <w:rPr/>
        <w:drawing>
          <wp:anchor distT="0" distB="0" distL="0" distR="0" allowOverlap="1" layoutInCell="1" locked="0" behindDoc="1" simplePos="0" relativeHeight="236689408">
            <wp:simplePos x="0" y="0"/>
            <wp:positionH relativeFrom="page">
              <wp:posOffset>5217540</wp:posOffset>
            </wp:positionH>
            <wp:positionV relativeFrom="paragraph">
              <wp:posOffset>101854</wp:posOffset>
            </wp:positionV>
            <wp:extent cx="207263" cy="147827"/>
            <wp:effectExtent l="0" t="0" r="0" b="0"/>
            <wp:wrapNone/>
            <wp:docPr id="55" name="image8.png"/>
            <wp:cNvGraphicFramePr>
              <a:graphicFrameLocks noChangeAspect="1"/>
            </wp:cNvGraphicFramePr>
            <a:graphic>
              <a:graphicData uri="http://schemas.openxmlformats.org/drawingml/2006/picture">
                <pic:pic>
                  <pic:nvPicPr>
                    <pic:cNvPr id="56" name="image8.png"/>
                    <pic:cNvPicPr/>
                  </pic:nvPicPr>
                  <pic:blipFill>
                    <a:blip r:embed="rId26" cstate="print"/>
                    <a:stretch>
                      <a:fillRect/>
                    </a:stretch>
                  </pic:blipFill>
                  <pic:spPr>
                    <a:xfrm>
                      <a:off x="0" y="0"/>
                      <a:ext cx="207263" cy="147827"/>
                    </a:xfrm>
                    <a:prstGeom prst="rect">
                      <a:avLst/>
                    </a:prstGeom>
                  </pic:spPr>
                </pic:pic>
              </a:graphicData>
            </a:graphic>
          </wp:anchor>
        </w:drawing>
      </w:r>
      <w:r>
        <w:rPr/>
        <w:pict>
          <v:group style="position:absolute;margin-left:445.299988pt;margin-top:8.020020pt;width:16.1pt;height:11.65pt;mso-position-horizontal-relative:page;mso-position-vertical-relative:paragraph;z-index:251788288" coordorigin="8906,160" coordsize="322,233">
            <v:shape style="position:absolute;left:8906;top:160;width:322;height:233" type="#_x0000_t75" stroked="false">
              <v:imagedata r:id="rId27" o:title=""/>
            </v:shape>
            <v:shape style="position:absolute;left:8906;top:160;width:322;height:233" type="#_x0000_t202" filled="false" stroked="false">
              <v:textbox inset="0,0,0,0">
                <w:txbxContent>
                  <w:p>
                    <w:pPr>
                      <w:spacing w:line="233" w:lineRule="exact" w:before="0"/>
                      <w:ind w:left="-107" w:right="0" w:firstLine="0"/>
                      <w:jc w:val="left"/>
                      <w:rPr>
                        <w:sz w:val="21"/>
                      </w:rPr>
                    </w:pPr>
                    <w:r>
                      <w:rPr>
                        <w:w w:val="100"/>
                        <w:sz w:val="21"/>
                        <w:u w:val="single"/>
                      </w:rPr>
                      <w:t> </w:t>
                    </w:r>
                    <w:r>
                      <w:rPr>
                        <w:spacing w:val="-49"/>
                        <w:sz w:val="21"/>
                        <w:u w:val="single"/>
                      </w:rPr>
                      <w:t> </w:t>
                    </w:r>
                  </w:p>
                </w:txbxContent>
              </v:textbox>
              <w10:wrap type="none"/>
            </v:shape>
            <w10:wrap type="none"/>
          </v:group>
        </w:pict>
      </w:r>
      <w:r>
        <w:rPr/>
        <w:pict>
          <v:group style="position:absolute;margin-left:132.020004pt;margin-top:28.54002pt;width:73.5pt;height:11.65pt;mso-position-horizontal-relative:page;mso-position-vertical-relative:paragraph;z-index:-266624000" coordorigin="2640,571" coordsize="1470,233">
            <v:shape style="position:absolute;left:2640;top:570;width:327;height:233" type="#_x0000_t75" stroked="false">
              <v:imagedata r:id="rId26" o:title=""/>
            </v:shape>
            <v:shape style="position:absolute;left:2803;top:570;width:327;height:233" type="#_x0000_t75" stroked="false">
              <v:imagedata r:id="rId26" o:title=""/>
            </v:shape>
            <v:shape style="position:absolute;left:2966;top:570;width:327;height:233" type="#_x0000_t75" stroked="false">
              <v:imagedata r:id="rId26" o:title=""/>
            </v:shape>
            <v:shape style="position:absolute;left:3130;top:570;width:327;height:233" type="#_x0000_t75" stroked="false">
              <v:imagedata r:id="rId26" o:title=""/>
            </v:shape>
            <v:shape style="position:absolute;left:3293;top:570;width:327;height:233" type="#_x0000_t75" stroked="false">
              <v:imagedata r:id="rId26" o:title=""/>
            </v:shape>
            <v:shape style="position:absolute;left:3456;top:570;width:327;height:233" type="#_x0000_t75" stroked="false">
              <v:imagedata r:id="rId26" o:title=""/>
            </v:shape>
            <v:shape style="position:absolute;left:3619;top:570;width:327;height:233" type="#_x0000_t75" stroked="false">
              <v:imagedata r:id="rId26" o:title=""/>
            </v:shape>
            <v:shape style="position:absolute;left:3783;top:570;width:327;height:233" type="#_x0000_t75" stroked="false">
              <v:imagedata r:id="rId26" o:title=""/>
            </v:shape>
            <w10:wrap type="none"/>
          </v:group>
        </w:pict>
      </w:r>
      <w:r>
        <w:rPr/>
        <w:pict>
          <v:group style="position:absolute;margin-left:339.070007pt;margin-top:28.54002pt;width:57.15pt;height:11.65pt;mso-position-horizontal-relative:page;mso-position-vertical-relative:paragraph;z-index:-266622976" coordorigin="6781,571" coordsize="1143,233">
            <v:shape style="position:absolute;left:6781;top:570;width:327;height:233" type="#_x0000_t75" stroked="false">
              <v:imagedata r:id="rId26" o:title=""/>
            </v:shape>
            <v:shape style="position:absolute;left:6944;top:570;width:327;height:233" type="#_x0000_t75" stroked="false">
              <v:imagedata r:id="rId26" o:title=""/>
            </v:shape>
            <v:shape style="position:absolute;left:7107;top:570;width:327;height:233" type="#_x0000_t75" stroked="false">
              <v:imagedata r:id="rId26" o:title=""/>
            </v:shape>
            <v:shape style="position:absolute;left:7271;top:570;width:327;height:233" type="#_x0000_t75" stroked="false">
              <v:imagedata r:id="rId26" o:title=""/>
            </v:shape>
            <v:shape style="position:absolute;left:7434;top:570;width:327;height:233" type="#_x0000_t75" stroked="false">
              <v:imagedata r:id="rId26" o:title=""/>
            </v:shape>
            <v:shape style="position:absolute;left:7597;top:570;width:327;height:233" type="#_x0000_t75" stroked="false">
              <v:imagedata r:id="rId26" o:title=""/>
            </v:shape>
            <w10:wrap type="none"/>
          </v:group>
        </w:pict>
      </w:r>
      <w:r>
        <w:rPr/>
        <w:pict>
          <v:group style="position:absolute;margin-left:419.589996pt;margin-top:28.54002pt;width:16.1pt;height:11.65pt;mso-position-horizontal-relative:page;mso-position-vertical-relative:paragraph;z-index:-266620928" coordorigin="8392,571" coordsize="322,233">
            <v:shape style="position:absolute;left:8391;top:570;width:322;height:233" type="#_x0000_t75" stroked="false">
              <v:imagedata r:id="rId27" o:title=""/>
            </v:shape>
            <v:shape style="position:absolute;left:8391;top:570;width:322;height:233" type="#_x0000_t202" filled="false" stroked="false">
              <v:textbox inset="0,0,0,0">
                <w:txbxContent>
                  <w:p>
                    <w:pPr>
                      <w:spacing w:line="233" w:lineRule="exact" w:before="0"/>
                      <w:ind w:left="-106" w:right="0" w:firstLine="0"/>
                      <w:jc w:val="left"/>
                      <w:rPr>
                        <w:sz w:val="21"/>
                      </w:rPr>
                    </w:pPr>
                    <w:r>
                      <w:rPr>
                        <w:w w:val="100"/>
                        <w:sz w:val="21"/>
                        <w:u w:val="single"/>
                      </w:rPr>
                      <w:t> </w:t>
                    </w:r>
                    <w:r>
                      <w:rPr>
                        <w:spacing w:val="-50"/>
                        <w:sz w:val="21"/>
                        <w:u w:val="single"/>
                      </w:rPr>
                      <w:t> </w:t>
                    </w:r>
                  </w:p>
                </w:txbxContent>
              </v:textbox>
              <w10:wrap type="none"/>
            </v:shape>
            <w10:wrap type="none"/>
          </v:group>
        </w:pict>
      </w:r>
      <w:r>
        <w:rPr>
          <w:w w:val="100"/>
        </w:rPr>
        <w:t>委托</w:t>
      </w:r>
      <w:r>
        <w:rPr>
          <w:spacing w:val="-3"/>
          <w:w w:val="100"/>
        </w:rPr>
        <w:t>代</w:t>
      </w:r>
      <w:r>
        <w:rPr>
          <w:w w:val="100"/>
        </w:rPr>
        <w:t>理</w:t>
      </w:r>
      <w:r>
        <w:rPr>
          <w:spacing w:val="-3"/>
          <w:w w:val="100"/>
        </w:rPr>
        <w:t>人</w:t>
      </w:r>
      <w:r>
        <w:rPr>
          <w:w w:val="100"/>
        </w:rPr>
        <w:t>（</w:t>
      </w:r>
      <w:r>
        <w:rPr>
          <w:spacing w:val="-3"/>
          <w:w w:val="100"/>
        </w:rPr>
        <w:t>签</w:t>
      </w:r>
      <w:r>
        <w:rPr>
          <w:w w:val="100"/>
        </w:rPr>
        <w:t>字</w:t>
      </w:r>
      <w:r>
        <w:rPr>
          <w:spacing w:val="-108"/>
          <w:w w:val="100"/>
        </w:rPr>
        <w:t>）</w:t>
      </w:r>
      <w:r>
        <w:rPr>
          <w:w w:val="100"/>
        </w:rPr>
        <w:t>：</w:t>
      </w:r>
      <w:r>
        <w:rPr>
          <w:rFonts w:ascii="Times New Roman" w:eastAsia="Times New Roman"/>
          <w:w w:val="100"/>
          <w:u w:val="single"/>
        </w:rPr>
        <w:t> </w:t>
      </w:r>
      <w:r>
        <w:rPr>
          <w:rFonts w:ascii="Times New Roman" w:eastAsia="Times New Roman"/>
          <w:u w:val="single"/>
        </w:rPr>
        <w:tab/>
        <w:tab/>
      </w:r>
      <w:r>
        <w:rPr>
          <w:rFonts w:ascii="Times New Roman" w:eastAsia="Times New Roman"/>
        </w:rPr>
        <w:tab/>
        <w:tab/>
      </w:r>
      <w:r>
        <w:rPr>
          <w:spacing w:val="-3"/>
          <w:w w:val="100"/>
        </w:rPr>
        <w:t>委托</w:t>
      </w:r>
      <w:r>
        <w:rPr>
          <w:w w:val="100"/>
        </w:rPr>
        <w:t>代理</w:t>
      </w:r>
      <w:r>
        <w:rPr>
          <w:spacing w:val="-3"/>
          <w:w w:val="100"/>
        </w:rPr>
        <w:t>人</w:t>
      </w:r>
      <w:r>
        <w:rPr>
          <w:w w:val="100"/>
        </w:rPr>
        <w:t>（</w:t>
      </w:r>
      <w:r>
        <w:rPr>
          <w:spacing w:val="-3"/>
          <w:w w:val="100"/>
        </w:rPr>
        <w:t>签</w:t>
      </w:r>
      <w:r>
        <w:rPr>
          <w:w w:val="100"/>
        </w:rPr>
        <w:t>字</w:t>
      </w:r>
      <w:r>
        <w:rPr>
          <w:spacing w:val="-108"/>
          <w:w w:val="100"/>
        </w:rPr>
        <w:t>）</w:t>
      </w:r>
      <w:r>
        <w:rPr>
          <w:w w:val="100"/>
        </w:rPr>
        <w:t>：</w:t>
      </w:r>
      <w:r>
        <w:rPr>
          <w:w w:val="100"/>
          <w:u w:val="single"/>
        </w:rPr>
        <w:t> </w:t>
      </w:r>
      <w:r>
        <w:rPr>
          <w:spacing w:val="-48"/>
          <w:u w:val="single"/>
        </w:rPr>
        <w:t> </w:t>
      </w:r>
      <w:r>
        <w:rPr>
          <w:w w:val="100"/>
          <w:u w:val="single"/>
        </w:rPr>
        <w:t>  </w:t>
      </w:r>
      <w:r>
        <w:rPr>
          <w:spacing w:val="-3"/>
          <w:w w:val="100"/>
          <w:u w:val="single"/>
        </w:rPr>
        <w:t> </w:t>
      </w:r>
      <w:r>
        <w:rPr>
          <w:w w:val="100"/>
          <w:u w:val="single"/>
        </w:rPr>
        <w:t> </w:t>
      </w:r>
      <w:r>
        <w:rPr/>
        <w:t>电</w:t>
        <w:tab/>
      </w:r>
      <w:r>
        <w:rPr>
          <w:spacing w:val="-3"/>
        </w:rPr>
        <w:t>话</w:t>
      </w:r>
      <w:r>
        <w:rPr/>
        <w:t>：</w:t>
      </w:r>
      <w:r>
        <w:rPr>
          <w:u w:val="single"/>
        </w:rPr>
        <w:t> </w:t>
        <w:tab/>
      </w:r>
      <w:r>
        <w:rPr/>
        <w:tab/>
        <w:tab/>
        <w:t>电</w:t>
        <w:tab/>
        <w:tab/>
      </w:r>
      <w:r>
        <w:rPr>
          <w:spacing w:val="-3"/>
        </w:rPr>
        <w:t>话</w:t>
      </w:r>
      <w:r>
        <w:rPr/>
        <w:t>：</w:t>
      </w:r>
      <w:r>
        <w:rPr>
          <w:u w:val="single"/>
        </w:rPr>
        <w:t> </w:t>
        <w:tab/>
      </w:r>
      <w:r>
        <w:rPr>
          <w:w w:val="100"/>
          <w:u w:val="single"/>
        </w:rPr>
        <w:t>     </w:t>
      </w:r>
    </w:p>
    <w:p>
      <w:pPr>
        <w:pStyle w:val="BodyText"/>
        <w:tabs>
          <w:tab w:pos="1100" w:val="left" w:leader="none"/>
          <w:tab w:pos="2826" w:val="left" w:leader="none"/>
          <w:tab w:pos="3351" w:val="left" w:leader="none"/>
          <w:tab w:pos="4820" w:val="left" w:leader="none"/>
          <w:tab w:pos="5241" w:val="left" w:leader="none"/>
          <w:tab w:pos="6803" w:val="left" w:leader="none"/>
        </w:tabs>
        <w:spacing w:line="264" w:lineRule="exact"/>
      </w:pPr>
      <w:r>
        <w:rPr/>
        <w:pict>
          <v:group style="position:absolute;margin-left:132.020004pt;margin-top:.773457pt;width:73.5pt;height:11.65pt;mso-position-horizontal-relative:page;mso-position-vertical-relative:paragraph;z-index:-266619904" coordorigin="2640,15" coordsize="1470,233">
            <v:shape style="position:absolute;left:2640;top:15;width:327;height:233" type="#_x0000_t75" stroked="false">
              <v:imagedata r:id="rId26" o:title=""/>
            </v:shape>
            <v:shape style="position:absolute;left:2803;top:15;width:327;height:233" type="#_x0000_t75" stroked="false">
              <v:imagedata r:id="rId26" o:title=""/>
            </v:shape>
            <v:shape style="position:absolute;left:2966;top:15;width:327;height:233" type="#_x0000_t75" stroked="false">
              <v:imagedata r:id="rId26" o:title=""/>
            </v:shape>
            <v:shape style="position:absolute;left:3130;top:15;width:327;height:233" type="#_x0000_t75" stroked="false">
              <v:imagedata r:id="rId26" o:title=""/>
            </v:shape>
            <v:shape style="position:absolute;left:3293;top:15;width:327;height:233" type="#_x0000_t75" stroked="false">
              <v:imagedata r:id="rId26" o:title=""/>
            </v:shape>
            <v:shape style="position:absolute;left:3456;top:15;width:327;height:233" type="#_x0000_t75" stroked="false">
              <v:imagedata r:id="rId26" o:title=""/>
            </v:shape>
            <v:shape style="position:absolute;left:3619;top:15;width:327;height:233" type="#_x0000_t75" stroked="false">
              <v:imagedata r:id="rId26" o:title=""/>
            </v:shape>
            <v:shape style="position:absolute;left:3783;top:15;width:327;height:233" type="#_x0000_t75" stroked="false">
              <v:imagedata r:id="rId26" o:title=""/>
            </v:shape>
            <w10:wrap type="none"/>
          </v:group>
        </w:pict>
      </w:r>
      <w:r>
        <w:rPr/>
        <w:pict>
          <v:group style="position:absolute;margin-left:339.070007pt;margin-top:.773457pt;width:65.3pt;height:11.65pt;mso-position-horizontal-relative:page;mso-position-vertical-relative:paragraph;z-index:-266618880" coordorigin="6781,15" coordsize="1306,233">
            <v:shape style="position:absolute;left:6781;top:15;width:327;height:233" type="#_x0000_t75" stroked="false">
              <v:imagedata r:id="rId26" o:title=""/>
            </v:shape>
            <v:shape style="position:absolute;left:6944;top:15;width:327;height:233" type="#_x0000_t75" stroked="false">
              <v:imagedata r:id="rId26" o:title=""/>
            </v:shape>
            <v:shape style="position:absolute;left:7107;top:15;width:327;height:233" type="#_x0000_t75" stroked="false">
              <v:imagedata r:id="rId26" o:title=""/>
            </v:shape>
            <v:shape style="position:absolute;left:7271;top:15;width:327;height:233" type="#_x0000_t75" stroked="false">
              <v:imagedata r:id="rId26" o:title=""/>
            </v:shape>
            <v:shape style="position:absolute;left:7434;top:15;width:327;height:233" type="#_x0000_t75" stroked="false">
              <v:imagedata r:id="rId26" o:title=""/>
            </v:shape>
            <v:shape style="position:absolute;left:7597;top:15;width:327;height:233" type="#_x0000_t75" stroked="false">
              <v:imagedata r:id="rId26" o:title=""/>
            </v:shape>
            <v:shape style="position:absolute;left:7760;top:15;width:327;height:233" type="#_x0000_t75" stroked="false">
              <v:imagedata r:id="rId26" o:title=""/>
            </v:shape>
            <w10:wrap type="none"/>
          </v:group>
        </w:pict>
      </w:r>
      <w:r>
        <w:rPr/>
        <w:pict>
          <v:group style="position:absolute;margin-left:417.309998pt;margin-top:.773457pt;width:16.1pt;height:11.65pt;mso-position-horizontal-relative:page;mso-position-vertical-relative:paragraph;z-index:251796480" coordorigin="8346,15" coordsize="322,233">
            <v:shape style="position:absolute;left:8346;top:15;width:322;height:233" type="#_x0000_t75" stroked="false">
              <v:imagedata r:id="rId27" o:title=""/>
            </v:shape>
            <v:shape style="position:absolute;left:8346;top:15;width:322;height:233" type="#_x0000_t202" filled="false" stroked="false">
              <v:textbox inset="0,0,0,0">
                <w:txbxContent>
                  <w:p>
                    <w:pPr>
                      <w:spacing w:line="233" w:lineRule="exact" w:before="0"/>
                      <w:ind w:left="-317" w:right="0" w:firstLine="0"/>
                      <w:jc w:val="left"/>
                      <w:rPr>
                        <w:sz w:val="21"/>
                      </w:rPr>
                    </w:pPr>
                    <w:r>
                      <w:rPr>
                        <w:w w:val="100"/>
                        <w:sz w:val="21"/>
                        <w:u w:val="single"/>
                      </w:rPr>
                      <w:t> </w:t>
                    </w:r>
                    <w:r>
                      <w:rPr>
                        <w:sz w:val="21"/>
                        <w:u w:val="single"/>
                      </w:rPr>
                      <w:t>   </w:t>
                    </w:r>
                    <w:r>
                      <w:rPr>
                        <w:spacing w:val="-48"/>
                        <w:sz w:val="21"/>
                        <w:u w:val="single"/>
                      </w:rPr>
                      <w:t> </w:t>
                    </w:r>
                  </w:p>
                </w:txbxContent>
              </v:textbox>
              <w10:wrap type="none"/>
            </v:shape>
            <w10:wrap type="none"/>
          </v:group>
        </w:pict>
      </w:r>
      <w:r>
        <w:rPr/>
        <w:t>传</w:t>
        <w:tab/>
      </w:r>
      <w:r>
        <w:rPr>
          <w:spacing w:val="-3"/>
        </w:rPr>
        <w:t>真</w:t>
      </w:r>
      <w:r>
        <w:rPr/>
        <w:t>：</w:t>
      </w:r>
      <w:r>
        <w:rPr>
          <w:u w:val="single"/>
        </w:rPr>
        <w:t> </w:t>
        <w:tab/>
        <w:tab/>
      </w:r>
      <w:r>
        <w:rPr/>
        <w:tab/>
        <w:t>传</w:t>
        <w:tab/>
      </w:r>
      <w:r>
        <w:rPr>
          <w:spacing w:val="-3"/>
        </w:rPr>
        <w:t>真</w:t>
      </w:r>
      <w:r>
        <w:rPr/>
        <w:t>：</w:t>
      </w:r>
      <w:r>
        <w:rPr>
          <w:u w:val="single"/>
        </w:rPr>
        <w:t> </w:t>
        <w:tab/>
      </w:r>
      <w:r>
        <w:rPr>
          <w:w w:val="100"/>
          <w:u w:val="single"/>
        </w:rPr>
        <w:t> </w:t>
      </w:r>
    </w:p>
    <w:p>
      <w:pPr>
        <w:pStyle w:val="BodyText"/>
        <w:tabs>
          <w:tab w:pos="2874" w:val="left" w:leader="none"/>
          <w:tab w:pos="3399" w:val="left" w:leader="none"/>
          <w:tab w:pos="4868" w:val="left" w:leader="none"/>
          <w:tab w:pos="6899" w:val="left" w:leader="none"/>
          <w:tab w:pos="7434" w:val="left" w:leader="none"/>
        </w:tabs>
        <w:spacing w:before="138"/>
      </w:pPr>
      <w:r>
        <w:rPr/>
        <w:pict>
          <v:group style="position:absolute;margin-left:142.580002pt;margin-top:7.920012pt;width:65.3500pt;height:11.65pt;mso-position-horizontal-relative:page;mso-position-vertical-relative:paragraph;z-index:-266615808" coordorigin="2852,158" coordsize="1307,233">
            <v:shape style="position:absolute;left:2851;top:158;width:327;height:233" type="#_x0000_t75" stroked="false">
              <v:imagedata r:id="rId26" o:title=""/>
            </v:shape>
            <v:shape style="position:absolute;left:3014;top:158;width:327;height:233" type="#_x0000_t75" stroked="false">
              <v:imagedata r:id="rId26" o:title=""/>
            </v:shape>
            <v:shape style="position:absolute;left:3178;top:158;width:327;height:233" type="#_x0000_t75" stroked="false">
              <v:imagedata r:id="rId26" o:title=""/>
            </v:shape>
            <v:shape style="position:absolute;left:3341;top:158;width:327;height:233" type="#_x0000_t75" stroked="false">
              <v:imagedata r:id="rId26" o:title=""/>
            </v:shape>
            <v:shape style="position:absolute;left:3504;top:158;width:327;height:233" type="#_x0000_t75" stroked="false">
              <v:imagedata r:id="rId26" o:title=""/>
            </v:shape>
            <v:shape style="position:absolute;left:3667;top:158;width:327;height:233" type="#_x0000_t75" stroked="false">
              <v:imagedata r:id="rId26" o:title=""/>
            </v:shape>
            <v:shape style="position:absolute;left:3831;top:158;width:327;height:233" type="#_x0000_t75" stroked="false">
              <v:imagedata r:id="rId26" o:title=""/>
            </v:shape>
            <w10:wrap type="none"/>
          </v:group>
        </w:pict>
      </w:r>
      <w:r>
        <w:rPr/>
        <w:pict>
          <v:group style="position:absolute;margin-left:352.029999pt;margin-top:7.920012pt;width:83.8pt;height:11.65pt;mso-position-horizontal-relative:page;mso-position-vertical-relative:paragraph;z-index:-266614784" coordorigin="7041,158" coordsize="1676,233">
            <v:shape style="position:absolute;left:7040;top:158;width:327;height:233" type="#_x0000_t75" stroked="false">
              <v:imagedata r:id="rId26" o:title=""/>
            </v:shape>
            <v:shape style="position:absolute;left:7203;top:158;width:327;height:233" type="#_x0000_t75" stroked="false">
              <v:imagedata r:id="rId26" o:title=""/>
            </v:shape>
            <v:shape style="position:absolute;left:7367;top:158;width:327;height:233" type="#_x0000_t75" stroked="false">
              <v:imagedata r:id="rId26" o:title=""/>
            </v:shape>
            <v:shape style="position:absolute;left:7530;top:158;width:327;height:233" type="#_x0000_t75" stroked="false">
              <v:imagedata r:id="rId26" o:title=""/>
            </v:shape>
            <v:shape style="position:absolute;left:7693;top:158;width:327;height:233" type="#_x0000_t75" stroked="false">
              <v:imagedata r:id="rId26" o:title=""/>
            </v:shape>
            <v:shape style="position:absolute;left:7856;top:158;width:327;height:233" type="#_x0000_t75" stroked="false">
              <v:imagedata r:id="rId26" o:title=""/>
            </v:shape>
            <v:shape style="position:absolute;left:8231;top:158;width:327;height:233" type="#_x0000_t75" stroked="false">
              <v:imagedata r:id="rId26" o:title=""/>
            </v:shape>
            <v:shape style="position:absolute;left:8394;top:158;width:322;height:233" type="#_x0000_t75" stroked="false">
              <v:imagedata r:id="rId27" o:title=""/>
            </v:shape>
            <w10:wrap type="none"/>
          </v:group>
        </w:pict>
      </w:r>
      <w:r>
        <w:rPr/>
        <w:t>开户</w:t>
      </w:r>
      <w:r>
        <w:rPr>
          <w:spacing w:val="-3"/>
        </w:rPr>
        <w:t>银</w:t>
      </w:r>
      <w:r>
        <w:rPr/>
        <w:t>行：</w:t>
      </w:r>
      <w:r>
        <w:rPr>
          <w:u w:val="single"/>
        </w:rPr>
        <w:t> </w:t>
        <w:tab/>
        <w:tab/>
      </w:r>
      <w:r>
        <w:rPr/>
        <w:tab/>
        <w:t>开</w:t>
      </w:r>
      <w:r>
        <w:rPr>
          <w:spacing w:val="-3"/>
        </w:rPr>
        <w:t>户银</w:t>
      </w:r>
      <w:r>
        <w:rPr/>
        <w:t>行：</w:t>
      </w:r>
      <w:r>
        <w:rPr>
          <w:u w:val="single"/>
        </w:rPr>
        <w:t> </w:t>
        <w:tab/>
      </w:r>
      <w:r>
        <w:rPr>
          <w:w w:val="100"/>
          <w:u w:val="single"/>
        </w:rPr>
        <w:t>  </w:t>
      </w:r>
      <w:r>
        <w:rPr>
          <w:u w:val="single"/>
        </w:rPr>
        <w:tab/>
      </w:r>
    </w:p>
    <w:p>
      <w:pPr>
        <w:pStyle w:val="BodyText"/>
        <w:tabs>
          <w:tab w:pos="1100" w:val="left" w:leader="none"/>
          <w:tab w:pos="3546" w:val="left" w:leader="none"/>
          <w:tab w:pos="4967" w:val="left" w:leader="none"/>
          <w:tab w:pos="5387" w:val="left" w:leader="none"/>
          <w:tab w:pos="6952" w:val="left" w:leader="none"/>
        </w:tabs>
        <w:spacing w:before="139"/>
      </w:pPr>
      <w:r>
        <w:rPr/>
        <w:pict>
          <v:group style="position:absolute;margin-left:132.020004pt;margin-top:7.969988pt;width:59.8pt;height:11.65pt;mso-position-horizontal-relative:page;mso-position-vertical-relative:paragraph;z-index:-266613760" coordorigin="2640,159" coordsize="1196,233">
            <v:shape style="position:absolute;left:2640;top:159;width:327;height:233" type="#_x0000_t75" stroked="false">
              <v:imagedata r:id="rId26" o:title=""/>
            </v:shape>
            <v:shape style="position:absolute;left:2803;top:159;width:327;height:233" type="#_x0000_t75" stroked="false">
              <v:imagedata r:id="rId26" o:title=""/>
            </v:shape>
            <v:shape style="position:absolute;left:2966;top:159;width:327;height:233" type="#_x0000_t75" stroked="false">
              <v:imagedata r:id="rId26" o:title=""/>
            </v:shape>
            <v:shape style="position:absolute;left:3130;top:159;width:327;height:233" type="#_x0000_t75" stroked="false">
              <v:imagedata r:id="rId26" o:title=""/>
            </v:shape>
            <v:shape style="position:absolute;left:3293;top:159;width:327;height:233" type="#_x0000_t75" stroked="false">
              <v:imagedata r:id="rId26" o:title=""/>
            </v:shape>
            <v:shape style="position:absolute;left:3509;top:159;width:327;height:233" type="#_x0000_t75" stroked="false">
              <v:imagedata r:id="rId26" o:title=""/>
            </v:shape>
            <w10:wrap type="none"/>
          </v:group>
        </w:pict>
      </w:r>
      <w:r>
        <w:rPr/>
        <w:pict>
          <v:group style="position:absolute;margin-left:346.51001pt;margin-top:7.969988pt;width:65.3pt;height:11.65pt;mso-position-horizontal-relative:page;mso-position-vertical-relative:paragraph;z-index:-266612736" coordorigin="6930,159" coordsize="1306,233">
            <v:shape style="position:absolute;left:6930;top:159;width:327;height:233" type="#_x0000_t75" stroked="false">
              <v:imagedata r:id="rId26" o:title=""/>
            </v:shape>
            <v:shape style="position:absolute;left:7093;top:159;width:327;height:233" type="#_x0000_t75" stroked="false">
              <v:imagedata r:id="rId26" o:title=""/>
            </v:shape>
            <v:shape style="position:absolute;left:7256;top:159;width:327;height:233" type="#_x0000_t75" stroked="false">
              <v:imagedata r:id="rId26" o:title=""/>
            </v:shape>
            <v:shape style="position:absolute;left:7419;top:159;width:327;height:233" type="#_x0000_t75" stroked="false">
              <v:imagedata r:id="rId26" o:title=""/>
            </v:shape>
            <v:shape style="position:absolute;left:7583;top:159;width:327;height:233" type="#_x0000_t75" stroked="false">
              <v:imagedata r:id="rId26" o:title=""/>
            </v:shape>
            <v:shape style="position:absolute;left:7746;top:159;width:327;height:233" type="#_x0000_t75" stroked="false">
              <v:imagedata r:id="rId26" o:title=""/>
            </v:shape>
            <v:shape style="position:absolute;left:7909;top:159;width:327;height:233" type="#_x0000_t75" stroked="false">
              <v:imagedata r:id="rId26" o:title=""/>
            </v:shape>
            <w10:wrap type="none"/>
          </v:group>
        </w:pict>
      </w:r>
      <w:r>
        <w:rPr/>
        <w:pict>
          <v:group style="position:absolute;margin-left:424.630005pt;margin-top:7.969988pt;width:16.3500pt;height:11.65pt;mso-position-horizontal-relative:page;mso-position-vertical-relative:paragraph;z-index:251802624" coordorigin="8493,159" coordsize="327,233">
            <v:shape style="position:absolute;left:8492;top:159;width:327;height:233" type="#_x0000_t75" stroked="false">
              <v:imagedata r:id="rId26" o:title=""/>
            </v:shape>
            <v:shape style="position:absolute;left:8492;top:159;width:327;height:233" type="#_x0000_t202" filled="false" stroked="false">
              <v:textbox inset="0,0,0,0">
                <w:txbxContent>
                  <w:p>
                    <w:pPr>
                      <w:spacing w:line="233" w:lineRule="exact" w:before="0"/>
                      <w:ind w:left="-106" w:right="0" w:firstLine="0"/>
                      <w:jc w:val="left"/>
                      <w:rPr>
                        <w:sz w:val="21"/>
                      </w:rPr>
                    </w:pPr>
                    <w:r>
                      <w:rPr>
                        <w:w w:val="100"/>
                        <w:sz w:val="21"/>
                        <w:u w:val="single"/>
                      </w:rPr>
                      <w:t> </w:t>
                    </w:r>
                    <w:r>
                      <w:rPr>
                        <w:spacing w:val="-47"/>
                        <w:sz w:val="21"/>
                        <w:u w:val="single"/>
                      </w:rPr>
                      <w:t> </w:t>
                    </w:r>
                  </w:p>
                </w:txbxContent>
              </v:textbox>
              <w10:wrap type="none"/>
            </v:shape>
            <w10:wrap type="none"/>
          </v:group>
        </w:pict>
      </w:r>
      <w:r>
        <w:rPr/>
        <w:t>账</w:t>
        <w:tab/>
      </w:r>
      <w:r>
        <w:rPr>
          <w:spacing w:val="-3"/>
        </w:rPr>
        <w:t>号</w:t>
      </w:r>
      <w:r>
        <w:rPr/>
        <w:t>：</w:t>
      </w:r>
      <w:r>
        <w:rPr>
          <w:u w:val="single"/>
        </w:rPr>
        <w:t> </w:t>
        <w:tab/>
      </w:r>
      <w:r>
        <w:rPr/>
        <w:tab/>
        <w:t>账</w:t>
        <w:tab/>
        <w:t>号：</w:t>
      </w:r>
      <w:r>
        <w:rPr>
          <w:u w:val="single"/>
        </w:rPr>
        <w:t> </w:t>
        <w:tab/>
      </w:r>
      <w:r>
        <w:rPr>
          <w:w w:val="100"/>
          <w:u w:val="single"/>
        </w:rPr>
        <w:t>   </w:t>
      </w:r>
    </w:p>
    <w:p>
      <w:pPr>
        <w:pStyle w:val="BodyText"/>
        <w:tabs>
          <w:tab w:pos="2814" w:val="left" w:leader="none"/>
          <w:tab w:pos="3445" w:val="left" w:leader="none"/>
          <w:tab w:pos="4914" w:val="left" w:leader="none"/>
          <w:tab w:pos="6945" w:val="left" w:leader="none"/>
        </w:tabs>
        <w:spacing w:before="139"/>
      </w:pPr>
      <w:r>
        <w:rPr/>
        <w:pict>
          <v:group style="position:absolute;margin-left:147.740005pt;margin-top:7.969994pt;width:57.15pt;height:11.65pt;mso-position-horizontal-relative:page;mso-position-vertical-relative:paragraph;z-index:-266609664" coordorigin="2955,159" coordsize="1143,233">
            <v:shape style="position:absolute;left:2954;top:159;width:327;height:233" type="#_x0000_t75" stroked="false">
              <v:imagedata r:id="rId26" o:title=""/>
            </v:shape>
            <v:shape style="position:absolute;left:3118;top:159;width:327;height:233" type="#_x0000_t75" stroked="false">
              <v:imagedata r:id="rId26" o:title=""/>
            </v:shape>
            <v:shape style="position:absolute;left:3281;top:159;width:327;height:233" type="#_x0000_t75" stroked="false">
              <v:imagedata r:id="rId26" o:title=""/>
            </v:shape>
            <v:shape style="position:absolute;left:3444;top:159;width:327;height:233" type="#_x0000_t75" stroked="false">
              <v:imagedata r:id="rId26" o:title=""/>
            </v:shape>
            <v:shape style="position:absolute;left:3607;top:159;width:327;height:233" type="#_x0000_t75" stroked="false">
              <v:imagedata r:id="rId26" o:title=""/>
            </v:shape>
            <v:shape style="position:absolute;left:3770;top:159;width:327;height:233" type="#_x0000_t75" stroked="false">
              <v:imagedata r:id="rId26" o:title=""/>
            </v:shape>
            <w10:wrap type="none"/>
          </v:group>
        </w:pict>
      </w:r>
      <w:r>
        <w:rPr/>
        <w:pict>
          <v:group style="position:absolute;margin-left:354.309998pt;margin-top:7.969994pt;width:57.15pt;height:11.65pt;mso-position-horizontal-relative:page;mso-position-vertical-relative:paragraph;z-index:-266608640" coordorigin="7086,159" coordsize="1143,233">
            <v:shape style="position:absolute;left:7086;top:159;width:327;height:233" type="#_x0000_t75" stroked="false">
              <v:imagedata r:id="rId26" o:title=""/>
            </v:shape>
            <v:shape style="position:absolute;left:7249;top:159;width:327;height:233" type="#_x0000_t75" stroked="false">
              <v:imagedata r:id="rId26" o:title=""/>
            </v:shape>
            <v:shape style="position:absolute;left:7412;top:159;width:327;height:233" type="#_x0000_t75" stroked="false">
              <v:imagedata r:id="rId26" o:title=""/>
            </v:shape>
            <v:shape style="position:absolute;left:7575;top:159;width:327;height:233" type="#_x0000_t75" stroked="false">
              <v:imagedata r:id="rId26" o:title=""/>
            </v:shape>
            <v:shape style="position:absolute;left:7739;top:159;width:327;height:233" type="#_x0000_t75" stroked="false">
              <v:imagedata r:id="rId26" o:title=""/>
            </v:shape>
            <v:shape style="position:absolute;left:7902;top:159;width:327;height:233" type="#_x0000_t75" stroked="false">
              <v:imagedata r:id="rId26" o:title=""/>
            </v:shape>
            <w10:wrap type="none"/>
          </v:group>
        </w:pict>
      </w:r>
      <w:r>
        <w:rPr/>
        <w:pict>
          <v:group style="position:absolute;margin-left:419.109985pt;margin-top:7.969994pt;width:16.1pt;height:11.65pt;mso-position-horizontal-relative:page;mso-position-vertical-relative:paragraph;z-index:251806720" coordorigin="8382,159" coordsize="322,233">
            <v:shape style="position:absolute;left:8382;top:159;width:322;height:233" type="#_x0000_t75" stroked="false">
              <v:imagedata r:id="rId27" o:title=""/>
            </v:shape>
            <v:shape style="position:absolute;left:8382;top:159;width:322;height:233" type="#_x0000_t202" filled="false" stroked="false">
              <v:textbox inset="0,0,0,0">
                <w:txbxContent>
                  <w:p>
                    <w:pPr>
                      <w:spacing w:line="233" w:lineRule="exact" w:before="0"/>
                      <w:ind w:left="-106" w:right="0" w:firstLine="0"/>
                      <w:jc w:val="left"/>
                      <w:rPr>
                        <w:sz w:val="21"/>
                      </w:rPr>
                    </w:pPr>
                    <w:r>
                      <w:rPr>
                        <w:w w:val="100"/>
                        <w:sz w:val="21"/>
                        <w:u w:val="single"/>
                      </w:rPr>
                      <w:t> </w:t>
                    </w:r>
                    <w:r>
                      <w:rPr>
                        <w:spacing w:val="-50"/>
                        <w:sz w:val="21"/>
                        <w:u w:val="single"/>
                      </w:rPr>
                      <w:t> </w:t>
                    </w:r>
                  </w:p>
                </w:txbxContent>
              </v:textbox>
              <w10:wrap type="none"/>
            </v:shape>
            <w10:wrap type="none"/>
          </v:group>
        </w:pict>
      </w:r>
      <w:r>
        <w:rPr/>
        <w:t>邮政</w:t>
      </w:r>
      <w:r>
        <w:rPr>
          <w:spacing w:val="-3"/>
        </w:rPr>
        <w:t>编</w:t>
      </w:r>
      <w:r>
        <w:rPr/>
        <w:t>码</w:t>
      </w:r>
      <w:r>
        <w:rPr>
          <w:spacing w:val="-3"/>
        </w:rPr>
        <w:t>：</w:t>
      </w:r>
      <w:r>
        <w:rPr>
          <w:spacing w:val="-3"/>
          <w:u w:val="single"/>
        </w:rPr>
        <w:t> </w:t>
        <w:tab/>
        <w:tab/>
      </w:r>
      <w:r>
        <w:rPr>
          <w:spacing w:val="-3"/>
        </w:rPr>
        <w:tab/>
      </w:r>
      <w:r>
        <w:rPr/>
        <w:t>邮</w:t>
      </w:r>
      <w:r>
        <w:rPr>
          <w:spacing w:val="-3"/>
        </w:rPr>
        <w:t>政编</w:t>
      </w:r>
      <w:r>
        <w:rPr/>
        <w:t>码：</w:t>
      </w:r>
      <w:r>
        <w:rPr>
          <w:u w:val="single"/>
        </w:rPr>
        <w:t> </w:t>
        <w:tab/>
      </w:r>
      <w:r>
        <w:rPr>
          <w:w w:val="100"/>
          <w:u w:val="single"/>
        </w:rPr>
        <w:t>  </w:t>
      </w:r>
    </w:p>
    <w:p>
      <w:pPr>
        <w:spacing w:after="0"/>
        <w:sectPr>
          <w:pgSz w:w="11910" w:h="16850"/>
          <w:pgMar w:header="0" w:footer="779" w:top="1380" w:bottom="1040" w:left="1120" w:right="280"/>
        </w:sectPr>
      </w:pPr>
    </w:p>
    <w:p>
      <w:pPr>
        <w:pStyle w:val="Heading4"/>
        <w:spacing w:before="52"/>
      </w:pPr>
      <w:r>
        <w:rPr>
          <w:spacing w:val="-26"/>
        </w:rPr>
        <w:t>附件 </w:t>
      </w:r>
      <w:r>
        <w:rPr>
          <w:rFonts w:ascii="Times New Roman" w:eastAsia="Times New Roman"/>
        </w:rPr>
        <w:t>3</w:t>
      </w:r>
      <w:r>
        <w:rPr/>
        <w:t>：</w:t>
      </w:r>
    </w:p>
    <w:p>
      <w:pPr>
        <w:pStyle w:val="BodyText"/>
        <w:ind w:left="0"/>
        <w:rPr>
          <w:sz w:val="30"/>
        </w:rPr>
      </w:pPr>
      <w:r>
        <w:rPr/>
        <w:br w:type="column"/>
      </w:r>
      <w:r>
        <w:rPr>
          <w:sz w:val="30"/>
        </w:rPr>
      </w:r>
    </w:p>
    <w:p>
      <w:pPr>
        <w:spacing w:before="227"/>
        <w:ind w:left="678" w:right="0" w:firstLine="0"/>
        <w:jc w:val="left"/>
        <w:rPr>
          <w:sz w:val="30"/>
        </w:rPr>
      </w:pPr>
      <w:r>
        <w:rPr>
          <w:sz w:val="30"/>
        </w:rPr>
        <w:t>主要建设工程文件目录</w:t>
      </w:r>
    </w:p>
    <w:p>
      <w:pPr>
        <w:spacing w:after="0"/>
        <w:jc w:val="left"/>
        <w:rPr>
          <w:sz w:val="30"/>
        </w:rPr>
        <w:sectPr>
          <w:pgSz w:w="11910" w:h="16850"/>
          <w:pgMar w:header="0" w:footer="779" w:top="1440" w:bottom="1040" w:left="1120" w:right="280"/>
          <w:cols w:num="2" w:equalWidth="0">
            <w:col w:w="1844" w:space="991"/>
            <w:col w:w="7675"/>
          </w:cols>
        </w:sectPr>
      </w:pPr>
    </w:p>
    <w:p>
      <w:pPr>
        <w:pStyle w:val="BodyText"/>
        <w:spacing w:before="9"/>
        <w:ind w:left="0"/>
        <w:rPr>
          <w:sz w:val="9"/>
        </w:rPr>
      </w:pPr>
    </w:p>
    <w:tbl>
      <w:tblPr>
        <w:tblW w:w="0" w:type="auto"/>
        <w:jc w:val="left"/>
        <w:tblInd w:w="5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954"/>
        <w:gridCol w:w="1275"/>
        <w:gridCol w:w="1452"/>
        <w:gridCol w:w="1241"/>
        <w:gridCol w:w="1453"/>
        <w:gridCol w:w="1666"/>
      </w:tblGrid>
      <w:tr>
        <w:trPr>
          <w:trHeight w:val="440" w:hRule="atLeast"/>
        </w:trPr>
        <w:tc>
          <w:tcPr>
            <w:tcW w:w="1954" w:type="dxa"/>
            <w:tcBorders>
              <w:bottom w:val="double" w:sz="2" w:space="0" w:color="000000"/>
              <w:right w:val="single" w:sz="6" w:space="0" w:color="000000"/>
            </w:tcBorders>
          </w:tcPr>
          <w:p>
            <w:pPr>
              <w:pStyle w:val="TableParagraph"/>
              <w:spacing w:line="348" w:lineRule="exact" w:before="72"/>
              <w:ind w:left="412"/>
              <w:rPr>
                <w:sz w:val="28"/>
              </w:rPr>
            </w:pPr>
            <w:r>
              <w:rPr>
                <w:sz w:val="28"/>
              </w:rPr>
              <w:t>文件名称</w:t>
            </w:r>
          </w:p>
        </w:tc>
        <w:tc>
          <w:tcPr>
            <w:tcW w:w="1275" w:type="dxa"/>
            <w:tcBorders>
              <w:left w:val="single" w:sz="6" w:space="0" w:color="000000"/>
              <w:bottom w:val="double" w:sz="2" w:space="0" w:color="000000"/>
              <w:right w:val="single" w:sz="6" w:space="0" w:color="000000"/>
            </w:tcBorders>
          </w:tcPr>
          <w:p>
            <w:pPr>
              <w:pStyle w:val="TableParagraph"/>
              <w:spacing w:line="348" w:lineRule="exact" w:before="72"/>
              <w:ind w:left="362"/>
              <w:rPr>
                <w:sz w:val="28"/>
              </w:rPr>
            </w:pPr>
            <w:r>
              <w:rPr>
                <w:sz w:val="28"/>
              </w:rPr>
              <w:t>套数</w:t>
            </w:r>
          </w:p>
        </w:tc>
        <w:tc>
          <w:tcPr>
            <w:tcW w:w="1452" w:type="dxa"/>
            <w:tcBorders>
              <w:left w:val="single" w:sz="6" w:space="0" w:color="000000"/>
              <w:bottom w:val="double" w:sz="2" w:space="0" w:color="000000"/>
              <w:right w:val="single" w:sz="6" w:space="0" w:color="000000"/>
            </w:tcBorders>
          </w:tcPr>
          <w:p>
            <w:pPr>
              <w:pStyle w:val="TableParagraph"/>
              <w:spacing w:line="348" w:lineRule="exact" w:before="72"/>
              <w:ind w:left="97" w:right="-72"/>
              <w:rPr>
                <w:sz w:val="28"/>
              </w:rPr>
            </w:pPr>
            <w:r>
              <w:rPr>
                <w:sz w:val="28"/>
              </w:rPr>
              <w:t>费用（</w:t>
            </w:r>
            <w:r>
              <w:rPr>
                <w:spacing w:val="-3"/>
                <w:sz w:val="28"/>
              </w:rPr>
              <w:t>元</w:t>
            </w:r>
            <w:r>
              <w:rPr>
                <w:sz w:val="28"/>
              </w:rPr>
              <w:t>）</w:t>
            </w:r>
          </w:p>
        </w:tc>
        <w:tc>
          <w:tcPr>
            <w:tcW w:w="1241" w:type="dxa"/>
            <w:tcBorders>
              <w:left w:val="single" w:sz="6" w:space="0" w:color="000000"/>
              <w:bottom w:val="double" w:sz="2" w:space="0" w:color="000000"/>
              <w:right w:val="single" w:sz="6" w:space="0" w:color="000000"/>
            </w:tcBorders>
          </w:tcPr>
          <w:p>
            <w:pPr>
              <w:pStyle w:val="TableParagraph"/>
              <w:spacing w:line="348" w:lineRule="exact" w:before="72"/>
              <w:ind w:left="345"/>
              <w:rPr>
                <w:sz w:val="28"/>
              </w:rPr>
            </w:pPr>
            <w:r>
              <w:rPr>
                <w:sz w:val="28"/>
              </w:rPr>
              <w:t>质量</w:t>
            </w:r>
          </w:p>
        </w:tc>
        <w:tc>
          <w:tcPr>
            <w:tcW w:w="1453" w:type="dxa"/>
            <w:tcBorders>
              <w:left w:val="single" w:sz="6" w:space="0" w:color="000000"/>
              <w:bottom w:val="double" w:sz="2" w:space="0" w:color="000000"/>
              <w:right w:val="single" w:sz="6" w:space="0" w:color="000000"/>
            </w:tcBorders>
          </w:tcPr>
          <w:p>
            <w:pPr>
              <w:pStyle w:val="TableParagraph"/>
              <w:spacing w:line="348" w:lineRule="exact" w:before="72"/>
              <w:ind w:left="172"/>
              <w:rPr>
                <w:sz w:val="28"/>
              </w:rPr>
            </w:pPr>
            <w:r>
              <w:rPr>
                <w:sz w:val="28"/>
              </w:rPr>
              <w:t>移交时间</w:t>
            </w:r>
          </w:p>
        </w:tc>
        <w:tc>
          <w:tcPr>
            <w:tcW w:w="1666" w:type="dxa"/>
            <w:tcBorders>
              <w:left w:val="single" w:sz="6" w:space="0" w:color="000000"/>
              <w:bottom w:val="double" w:sz="2" w:space="0" w:color="000000"/>
            </w:tcBorders>
          </w:tcPr>
          <w:p>
            <w:pPr>
              <w:pStyle w:val="TableParagraph"/>
              <w:spacing w:line="348" w:lineRule="exact" w:before="72"/>
              <w:ind w:left="416"/>
              <w:rPr>
                <w:sz w:val="28"/>
              </w:rPr>
            </w:pPr>
            <w:r>
              <w:rPr>
                <w:sz w:val="28"/>
              </w:rPr>
              <w:t>责任人</w:t>
            </w:r>
          </w:p>
        </w:tc>
      </w:tr>
      <w:tr>
        <w:trPr>
          <w:trHeight w:val="567" w:hRule="atLeast"/>
        </w:trPr>
        <w:tc>
          <w:tcPr>
            <w:tcW w:w="1954" w:type="dxa"/>
            <w:tcBorders>
              <w:top w:val="double" w:sz="2" w:space="0" w:color="000000"/>
              <w:bottom w:val="single" w:sz="6" w:space="0" w:color="000000"/>
              <w:right w:val="single" w:sz="6" w:space="0" w:color="000000"/>
            </w:tcBorders>
          </w:tcPr>
          <w:p>
            <w:pPr>
              <w:pStyle w:val="TableParagraph"/>
              <w:rPr>
                <w:rFonts w:ascii="Times New Roman"/>
                <w:sz w:val="28"/>
              </w:rPr>
            </w:pPr>
          </w:p>
        </w:tc>
        <w:tc>
          <w:tcPr>
            <w:tcW w:w="1275" w:type="dxa"/>
            <w:tcBorders>
              <w:top w:val="double" w:sz="2"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452" w:type="dxa"/>
            <w:tcBorders>
              <w:top w:val="double" w:sz="2"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241" w:type="dxa"/>
            <w:tcBorders>
              <w:top w:val="double" w:sz="2"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453" w:type="dxa"/>
            <w:tcBorders>
              <w:top w:val="double" w:sz="2"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666" w:type="dxa"/>
            <w:tcBorders>
              <w:top w:val="double" w:sz="2" w:space="0" w:color="000000"/>
              <w:left w:val="single" w:sz="6" w:space="0" w:color="000000"/>
              <w:bottom w:val="single" w:sz="6" w:space="0" w:color="000000"/>
            </w:tcBorders>
          </w:tcPr>
          <w:p>
            <w:pPr>
              <w:pStyle w:val="TableParagraph"/>
              <w:rPr>
                <w:rFonts w:ascii="Times New Roman"/>
                <w:sz w:val="28"/>
              </w:rPr>
            </w:pPr>
          </w:p>
        </w:tc>
      </w:tr>
      <w:tr>
        <w:trPr>
          <w:trHeight w:val="565" w:hRule="atLeast"/>
        </w:trPr>
        <w:tc>
          <w:tcPr>
            <w:tcW w:w="1954" w:type="dxa"/>
            <w:tcBorders>
              <w:top w:val="single" w:sz="6" w:space="0" w:color="000000"/>
              <w:bottom w:val="single" w:sz="6" w:space="0" w:color="000000"/>
              <w:right w:val="single" w:sz="6" w:space="0" w:color="000000"/>
            </w:tcBorders>
          </w:tcPr>
          <w:p>
            <w:pPr>
              <w:pStyle w:val="TableParagraph"/>
              <w:rPr>
                <w:rFonts w:ascii="Times New Roman"/>
                <w:sz w:val="28"/>
              </w:rPr>
            </w:pPr>
          </w:p>
        </w:tc>
        <w:tc>
          <w:tcPr>
            <w:tcW w:w="12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4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24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4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666" w:type="dxa"/>
            <w:tcBorders>
              <w:top w:val="single" w:sz="6" w:space="0" w:color="000000"/>
              <w:left w:val="single" w:sz="6" w:space="0" w:color="000000"/>
              <w:bottom w:val="single" w:sz="6" w:space="0" w:color="000000"/>
            </w:tcBorders>
          </w:tcPr>
          <w:p>
            <w:pPr>
              <w:pStyle w:val="TableParagraph"/>
              <w:rPr>
                <w:rFonts w:ascii="Times New Roman"/>
                <w:sz w:val="28"/>
              </w:rPr>
            </w:pPr>
          </w:p>
        </w:tc>
      </w:tr>
      <w:tr>
        <w:trPr>
          <w:trHeight w:val="568" w:hRule="atLeast"/>
        </w:trPr>
        <w:tc>
          <w:tcPr>
            <w:tcW w:w="1954" w:type="dxa"/>
            <w:tcBorders>
              <w:top w:val="single" w:sz="6" w:space="0" w:color="000000"/>
              <w:bottom w:val="single" w:sz="6" w:space="0" w:color="000000"/>
              <w:right w:val="single" w:sz="6" w:space="0" w:color="000000"/>
            </w:tcBorders>
          </w:tcPr>
          <w:p>
            <w:pPr>
              <w:pStyle w:val="TableParagraph"/>
              <w:rPr>
                <w:rFonts w:ascii="Times New Roman"/>
                <w:sz w:val="28"/>
              </w:rPr>
            </w:pPr>
          </w:p>
        </w:tc>
        <w:tc>
          <w:tcPr>
            <w:tcW w:w="12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4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24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4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666" w:type="dxa"/>
            <w:tcBorders>
              <w:top w:val="single" w:sz="6" w:space="0" w:color="000000"/>
              <w:left w:val="single" w:sz="6" w:space="0" w:color="000000"/>
              <w:bottom w:val="single" w:sz="6" w:space="0" w:color="000000"/>
            </w:tcBorders>
          </w:tcPr>
          <w:p>
            <w:pPr>
              <w:pStyle w:val="TableParagraph"/>
              <w:rPr>
                <w:rFonts w:ascii="Times New Roman"/>
                <w:sz w:val="28"/>
              </w:rPr>
            </w:pPr>
          </w:p>
        </w:tc>
      </w:tr>
      <w:tr>
        <w:trPr>
          <w:trHeight w:val="566" w:hRule="atLeast"/>
        </w:trPr>
        <w:tc>
          <w:tcPr>
            <w:tcW w:w="1954" w:type="dxa"/>
            <w:tcBorders>
              <w:top w:val="single" w:sz="6" w:space="0" w:color="000000"/>
              <w:bottom w:val="single" w:sz="6" w:space="0" w:color="000000"/>
              <w:right w:val="single" w:sz="6" w:space="0" w:color="000000"/>
            </w:tcBorders>
          </w:tcPr>
          <w:p>
            <w:pPr>
              <w:pStyle w:val="TableParagraph"/>
              <w:rPr>
                <w:rFonts w:ascii="Times New Roman"/>
                <w:sz w:val="28"/>
              </w:rPr>
            </w:pPr>
          </w:p>
        </w:tc>
        <w:tc>
          <w:tcPr>
            <w:tcW w:w="12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4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24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4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666" w:type="dxa"/>
            <w:tcBorders>
              <w:top w:val="single" w:sz="6" w:space="0" w:color="000000"/>
              <w:left w:val="single" w:sz="6" w:space="0" w:color="000000"/>
              <w:bottom w:val="single" w:sz="6" w:space="0" w:color="000000"/>
            </w:tcBorders>
          </w:tcPr>
          <w:p>
            <w:pPr>
              <w:pStyle w:val="TableParagraph"/>
              <w:rPr>
                <w:rFonts w:ascii="Times New Roman"/>
                <w:sz w:val="28"/>
              </w:rPr>
            </w:pPr>
          </w:p>
        </w:tc>
      </w:tr>
      <w:tr>
        <w:trPr>
          <w:trHeight w:val="568" w:hRule="atLeast"/>
        </w:trPr>
        <w:tc>
          <w:tcPr>
            <w:tcW w:w="1954" w:type="dxa"/>
            <w:tcBorders>
              <w:top w:val="single" w:sz="6" w:space="0" w:color="000000"/>
              <w:bottom w:val="single" w:sz="6" w:space="0" w:color="000000"/>
              <w:right w:val="single" w:sz="6" w:space="0" w:color="000000"/>
            </w:tcBorders>
          </w:tcPr>
          <w:p>
            <w:pPr>
              <w:pStyle w:val="TableParagraph"/>
              <w:rPr>
                <w:rFonts w:ascii="Times New Roman"/>
                <w:sz w:val="28"/>
              </w:rPr>
            </w:pPr>
          </w:p>
        </w:tc>
        <w:tc>
          <w:tcPr>
            <w:tcW w:w="12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4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24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4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666" w:type="dxa"/>
            <w:tcBorders>
              <w:top w:val="single" w:sz="6" w:space="0" w:color="000000"/>
              <w:left w:val="single" w:sz="6" w:space="0" w:color="000000"/>
              <w:bottom w:val="single" w:sz="6" w:space="0" w:color="000000"/>
            </w:tcBorders>
          </w:tcPr>
          <w:p>
            <w:pPr>
              <w:pStyle w:val="TableParagraph"/>
              <w:rPr>
                <w:rFonts w:ascii="Times New Roman"/>
                <w:sz w:val="28"/>
              </w:rPr>
            </w:pPr>
          </w:p>
        </w:tc>
      </w:tr>
      <w:tr>
        <w:trPr>
          <w:trHeight w:val="565" w:hRule="atLeast"/>
        </w:trPr>
        <w:tc>
          <w:tcPr>
            <w:tcW w:w="1954" w:type="dxa"/>
            <w:tcBorders>
              <w:top w:val="single" w:sz="6" w:space="0" w:color="000000"/>
              <w:bottom w:val="single" w:sz="6" w:space="0" w:color="000000"/>
              <w:right w:val="single" w:sz="6" w:space="0" w:color="000000"/>
            </w:tcBorders>
          </w:tcPr>
          <w:p>
            <w:pPr>
              <w:pStyle w:val="TableParagraph"/>
              <w:rPr>
                <w:rFonts w:ascii="Times New Roman"/>
                <w:sz w:val="28"/>
              </w:rPr>
            </w:pPr>
          </w:p>
        </w:tc>
        <w:tc>
          <w:tcPr>
            <w:tcW w:w="12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4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24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4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666" w:type="dxa"/>
            <w:tcBorders>
              <w:top w:val="single" w:sz="6" w:space="0" w:color="000000"/>
              <w:left w:val="single" w:sz="6" w:space="0" w:color="000000"/>
              <w:bottom w:val="single" w:sz="6" w:space="0" w:color="000000"/>
            </w:tcBorders>
          </w:tcPr>
          <w:p>
            <w:pPr>
              <w:pStyle w:val="TableParagraph"/>
              <w:rPr>
                <w:rFonts w:ascii="Times New Roman"/>
                <w:sz w:val="28"/>
              </w:rPr>
            </w:pPr>
          </w:p>
        </w:tc>
      </w:tr>
      <w:tr>
        <w:trPr>
          <w:trHeight w:val="568" w:hRule="atLeast"/>
        </w:trPr>
        <w:tc>
          <w:tcPr>
            <w:tcW w:w="1954" w:type="dxa"/>
            <w:tcBorders>
              <w:top w:val="single" w:sz="6" w:space="0" w:color="000000"/>
              <w:bottom w:val="single" w:sz="6" w:space="0" w:color="000000"/>
              <w:right w:val="single" w:sz="6" w:space="0" w:color="000000"/>
            </w:tcBorders>
          </w:tcPr>
          <w:p>
            <w:pPr>
              <w:pStyle w:val="TableParagraph"/>
              <w:rPr>
                <w:rFonts w:ascii="Times New Roman"/>
                <w:sz w:val="28"/>
              </w:rPr>
            </w:pPr>
          </w:p>
        </w:tc>
        <w:tc>
          <w:tcPr>
            <w:tcW w:w="12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4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24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4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666" w:type="dxa"/>
            <w:tcBorders>
              <w:top w:val="single" w:sz="6" w:space="0" w:color="000000"/>
              <w:left w:val="single" w:sz="6" w:space="0" w:color="000000"/>
              <w:bottom w:val="single" w:sz="6" w:space="0" w:color="000000"/>
            </w:tcBorders>
          </w:tcPr>
          <w:p>
            <w:pPr>
              <w:pStyle w:val="TableParagraph"/>
              <w:rPr>
                <w:rFonts w:ascii="Times New Roman"/>
                <w:sz w:val="28"/>
              </w:rPr>
            </w:pPr>
          </w:p>
        </w:tc>
      </w:tr>
      <w:tr>
        <w:trPr>
          <w:trHeight w:val="565" w:hRule="atLeast"/>
        </w:trPr>
        <w:tc>
          <w:tcPr>
            <w:tcW w:w="1954" w:type="dxa"/>
            <w:tcBorders>
              <w:top w:val="single" w:sz="6" w:space="0" w:color="000000"/>
              <w:bottom w:val="single" w:sz="6" w:space="0" w:color="000000"/>
              <w:right w:val="single" w:sz="6" w:space="0" w:color="000000"/>
            </w:tcBorders>
          </w:tcPr>
          <w:p>
            <w:pPr>
              <w:pStyle w:val="TableParagraph"/>
              <w:rPr>
                <w:rFonts w:ascii="Times New Roman"/>
                <w:sz w:val="28"/>
              </w:rPr>
            </w:pPr>
          </w:p>
        </w:tc>
        <w:tc>
          <w:tcPr>
            <w:tcW w:w="12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4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24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4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666" w:type="dxa"/>
            <w:tcBorders>
              <w:top w:val="single" w:sz="6" w:space="0" w:color="000000"/>
              <w:left w:val="single" w:sz="6" w:space="0" w:color="000000"/>
              <w:bottom w:val="single" w:sz="6" w:space="0" w:color="000000"/>
            </w:tcBorders>
          </w:tcPr>
          <w:p>
            <w:pPr>
              <w:pStyle w:val="TableParagraph"/>
              <w:rPr>
                <w:rFonts w:ascii="Times New Roman"/>
                <w:sz w:val="28"/>
              </w:rPr>
            </w:pPr>
          </w:p>
        </w:tc>
      </w:tr>
      <w:tr>
        <w:trPr>
          <w:trHeight w:val="568" w:hRule="atLeast"/>
        </w:trPr>
        <w:tc>
          <w:tcPr>
            <w:tcW w:w="1954" w:type="dxa"/>
            <w:tcBorders>
              <w:top w:val="single" w:sz="6" w:space="0" w:color="000000"/>
              <w:bottom w:val="single" w:sz="6" w:space="0" w:color="000000"/>
              <w:right w:val="single" w:sz="6" w:space="0" w:color="000000"/>
            </w:tcBorders>
          </w:tcPr>
          <w:p>
            <w:pPr>
              <w:pStyle w:val="TableParagraph"/>
              <w:rPr>
                <w:rFonts w:ascii="Times New Roman"/>
                <w:sz w:val="28"/>
              </w:rPr>
            </w:pPr>
          </w:p>
        </w:tc>
        <w:tc>
          <w:tcPr>
            <w:tcW w:w="12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4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24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4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666" w:type="dxa"/>
            <w:tcBorders>
              <w:top w:val="single" w:sz="6" w:space="0" w:color="000000"/>
              <w:left w:val="single" w:sz="6" w:space="0" w:color="000000"/>
              <w:bottom w:val="single" w:sz="6" w:space="0" w:color="000000"/>
            </w:tcBorders>
          </w:tcPr>
          <w:p>
            <w:pPr>
              <w:pStyle w:val="TableParagraph"/>
              <w:rPr>
                <w:rFonts w:ascii="Times New Roman"/>
                <w:sz w:val="28"/>
              </w:rPr>
            </w:pPr>
          </w:p>
        </w:tc>
      </w:tr>
      <w:tr>
        <w:trPr>
          <w:trHeight w:val="566" w:hRule="atLeast"/>
        </w:trPr>
        <w:tc>
          <w:tcPr>
            <w:tcW w:w="1954" w:type="dxa"/>
            <w:tcBorders>
              <w:top w:val="single" w:sz="6" w:space="0" w:color="000000"/>
              <w:bottom w:val="single" w:sz="6" w:space="0" w:color="000000"/>
              <w:right w:val="single" w:sz="6" w:space="0" w:color="000000"/>
            </w:tcBorders>
          </w:tcPr>
          <w:p>
            <w:pPr>
              <w:pStyle w:val="TableParagraph"/>
              <w:rPr>
                <w:rFonts w:ascii="Times New Roman"/>
                <w:sz w:val="28"/>
              </w:rPr>
            </w:pPr>
          </w:p>
        </w:tc>
        <w:tc>
          <w:tcPr>
            <w:tcW w:w="12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4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24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4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666" w:type="dxa"/>
            <w:tcBorders>
              <w:top w:val="single" w:sz="6" w:space="0" w:color="000000"/>
              <w:left w:val="single" w:sz="6" w:space="0" w:color="000000"/>
              <w:bottom w:val="single" w:sz="6" w:space="0" w:color="000000"/>
            </w:tcBorders>
          </w:tcPr>
          <w:p>
            <w:pPr>
              <w:pStyle w:val="TableParagraph"/>
              <w:rPr>
                <w:rFonts w:ascii="Times New Roman"/>
                <w:sz w:val="28"/>
              </w:rPr>
            </w:pPr>
          </w:p>
        </w:tc>
      </w:tr>
      <w:tr>
        <w:trPr>
          <w:trHeight w:val="568" w:hRule="atLeast"/>
        </w:trPr>
        <w:tc>
          <w:tcPr>
            <w:tcW w:w="1954" w:type="dxa"/>
            <w:tcBorders>
              <w:top w:val="single" w:sz="6" w:space="0" w:color="000000"/>
              <w:bottom w:val="single" w:sz="6" w:space="0" w:color="000000"/>
              <w:right w:val="single" w:sz="6" w:space="0" w:color="000000"/>
            </w:tcBorders>
          </w:tcPr>
          <w:p>
            <w:pPr>
              <w:pStyle w:val="TableParagraph"/>
              <w:rPr>
                <w:rFonts w:ascii="Times New Roman"/>
                <w:sz w:val="28"/>
              </w:rPr>
            </w:pPr>
          </w:p>
        </w:tc>
        <w:tc>
          <w:tcPr>
            <w:tcW w:w="12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4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24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4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666" w:type="dxa"/>
            <w:tcBorders>
              <w:top w:val="single" w:sz="6" w:space="0" w:color="000000"/>
              <w:left w:val="single" w:sz="6" w:space="0" w:color="000000"/>
              <w:bottom w:val="single" w:sz="6" w:space="0" w:color="000000"/>
            </w:tcBorders>
          </w:tcPr>
          <w:p>
            <w:pPr>
              <w:pStyle w:val="TableParagraph"/>
              <w:rPr>
                <w:rFonts w:ascii="Times New Roman"/>
                <w:sz w:val="28"/>
              </w:rPr>
            </w:pPr>
          </w:p>
        </w:tc>
      </w:tr>
      <w:tr>
        <w:trPr>
          <w:trHeight w:val="565" w:hRule="atLeast"/>
        </w:trPr>
        <w:tc>
          <w:tcPr>
            <w:tcW w:w="1954" w:type="dxa"/>
            <w:tcBorders>
              <w:top w:val="single" w:sz="6" w:space="0" w:color="000000"/>
              <w:bottom w:val="single" w:sz="6" w:space="0" w:color="000000"/>
              <w:right w:val="single" w:sz="6" w:space="0" w:color="000000"/>
            </w:tcBorders>
          </w:tcPr>
          <w:p>
            <w:pPr>
              <w:pStyle w:val="TableParagraph"/>
              <w:rPr>
                <w:rFonts w:ascii="Times New Roman"/>
                <w:sz w:val="28"/>
              </w:rPr>
            </w:pPr>
          </w:p>
        </w:tc>
        <w:tc>
          <w:tcPr>
            <w:tcW w:w="12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4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24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4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666" w:type="dxa"/>
            <w:tcBorders>
              <w:top w:val="single" w:sz="6" w:space="0" w:color="000000"/>
              <w:left w:val="single" w:sz="6" w:space="0" w:color="000000"/>
              <w:bottom w:val="single" w:sz="6" w:space="0" w:color="000000"/>
            </w:tcBorders>
          </w:tcPr>
          <w:p>
            <w:pPr>
              <w:pStyle w:val="TableParagraph"/>
              <w:rPr>
                <w:rFonts w:ascii="Times New Roman"/>
                <w:sz w:val="28"/>
              </w:rPr>
            </w:pPr>
          </w:p>
        </w:tc>
      </w:tr>
      <w:tr>
        <w:trPr>
          <w:trHeight w:val="568" w:hRule="atLeast"/>
        </w:trPr>
        <w:tc>
          <w:tcPr>
            <w:tcW w:w="1954" w:type="dxa"/>
            <w:tcBorders>
              <w:top w:val="single" w:sz="6" w:space="0" w:color="000000"/>
              <w:bottom w:val="single" w:sz="6" w:space="0" w:color="000000"/>
              <w:right w:val="single" w:sz="6" w:space="0" w:color="000000"/>
            </w:tcBorders>
          </w:tcPr>
          <w:p>
            <w:pPr>
              <w:pStyle w:val="TableParagraph"/>
              <w:rPr>
                <w:rFonts w:ascii="Times New Roman"/>
                <w:sz w:val="28"/>
              </w:rPr>
            </w:pPr>
          </w:p>
        </w:tc>
        <w:tc>
          <w:tcPr>
            <w:tcW w:w="12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4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24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4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666" w:type="dxa"/>
            <w:tcBorders>
              <w:top w:val="single" w:sz="6" w:space="0" w:color="000000"/>
              <w:left w:val="single" w:sz="6" w:space="0" w:color="000000"/>
              <w:bottom w:val="single" w:sz="6" w:space="0" w:color="000000"/>
            </w:tcBorders>
          </w:tcPr>
          <w:p>
            <w:pPr>
              <w:pStyle w:val="TableParagraph"/>
              <w:rPr>
                <w:rFonts w:ascii="Times New Roman"/>
                <w:sz w:val="28"/>
              </w:rPr>
            </w:pPr>
          </w:p>
        </w:tc>
      </w:tr>
      <w:tr>
        <w:trPr>
          <w:trHeight w:val="565" w:hRule="atLeast"/>
        </w:trPr>
        <w:tc>
          <w:tcPr>
            <w:tcW w:w="1954" w:type="dxa"/>
            <w:tcBorders>
              <w:top w:val="single" w:sz="6" w:space="0" w:color="000000"/>
              <w:bottom w:val="single" w:sz="6" w:space="0" w:color="000000"/>
              <w:right w:val="single" w:sz="6" w:space="0" w:color="000000"/>
            </w:tcBorders>
          </w:tcPr>
          <w:p>
            <w:pPr>
              <w:pStyle w:val="TableParagraph"/>
              <w:rPr>
                <w:rFonts w:ascii="Times New Roman"/>
                <w:sz w:val="28"/>
              </w:rPr>
            </w:pPr>
          </w:p>
        </w:tc>
        <w:tc>
          <w:tcPr>
            <w:tcW w:w="12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4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24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4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666" w:type="dxa"/>
            <w:tcBorders>
              <w:top w:val="single" w:sz="6" w:space="0" w:color="000000"/>
              <w:left w:val="single" w:sz="6" w:space="0" w:color="000000"/>
              <w:bottom w:val="single" w:sz="6" w:space="0" w:color="000000"/>
            </w:tcBorders>
          </w:tcPr>
          <w:p>
            <w:pPr>
              <w:pStyle w:val="TableParagraph"/>
              <w:rPr>
                <w:rFonts w:ascii="Times New Roman"/>
                <w:sz w:val="28"/>
              </w:rPr>
            </w:pPr>
          </w:p>
        </w:tc>
      </w:tr>
      <w:tr>
        <w:trPr>
          <w:trHeight w:val="568" w:hRule="atLeast"/>
        </w:trPr>
        <w:tc>
          <w:tcPr>
            <w:tcW w:w="1954" w:type="dxa"/>
            <w:tcBorders>
              <w:top w:val="single" w:sz="6" w:space="0" w:color="000000"/>
              <w:bottom w:val="single" w:sz="6" w:space="0" w:color="000000"/>
              <w:right w:val="single" w:sz="6" w:space="0" w:color="000000"/>
            </w:tcBorders>
          </w:tcPr>
          <w:p>
            <w:pPr>
              <w:pStyle w:val="TableParagraph"/>
              <w:rPr>
                <w:rFonts w:ascii="Times New Roman"/>
                <w:sz w:val="28"/>
              </w:rPr>
            </w:pPr>
          </w:p>
        </w:tc>
        <w:tc>
          <w:tcPr>
            <w:tcW w:w="12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4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24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4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666" w:type="dxa"/>
            <w:tcBorders>
              <w:top w:val="single" w:sz="6" w:space="0" w:color="000000"/>
              <w:left w:val="single" w:sz="6" w:space="0" w:color="000000"/>
              <w:bottom w:val="single" w:sz="6" w:space="0" w:color="000000"/>
            </w:tcBorders>
          </w:tcPr>
          <w:p>
            <w:pPr>
              <w:pStyle w:val="TableParagraph"/>
              <w:rPr>
                <w:rFonts w:ascii="Times New Roman"/>
                <w:sz w:val="28"/>
              </w:rPr>
            </w:pPr>
          </w:p>
        </w:tc>
      </w:tr>
      <w:tr>
        <w:trPr>
          <w:trHeight w:val="565" w:hRule="atLeast"/>
        </w:trPr>
        <w:tc>
          <w:tcPr>
            <w:tcW w:w="1954" w:type="dxa"/>
            <w:tcBorders>
              <w:top w:val="single" w:sz="6" w:space="0" w:color="000000"/>
              <w:bottom w:val="single" w:sz="6" w:space="0" w:color="000000"/>
              <w:right w:val="single" w:sz="6" w:space="0" w:color="000000"/>
            </w:tcBorders>
          </w:tcPr>
          <w:p>
            <w:pPr>
              <w:pStyle w:val="TableParagraph"/>
              <w:rPr>
                <w:rFonts w:ascii="Times New Roman"/>
                <w:sz w:val="28"/>
              </w:rPr>
            </w:pPr>
          </w:p>
        </w:tc>
        <w:tc>
          <w:tcPr>
            <w:tcW w:w="12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4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24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4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666" w:type="dxa"/>
            <w:tcBorders>
              <w:top w:val="single" w:sz="6" w:space="0" w:color="000000"/>
              <w:left w:val="single" w:sz="6" w:space="0" w:color="000000"/>
              <w:bottom w:val="single" w:sz="6" w:space="0" w:color="000000"/>
            </w:tcBorders>
          </w:tcPr>
          <w:p>
            <w:pPr>
              <w:pStyle w:val="TableParagraph"/>
              <w:rPr>
                <w:rFonts w:ascii="Times New Roman"/>
                <w:sz w:val="28"/>
              </w:rPr>
            </w:pPr>
          </w:p>
        </w:tc>
      </w:tr>
      <w:tr>
        <w:trPr>
          <w:trHeight w:val="568" w:hRule="atLeast"/>
        </w:trPr>
        <w:tc>
          <w:tcPr>
            <w:tcW w:w="1954" w:type="dxa"/>
            <w:tcBorders>
              <w:top w:val="single" w:sz="6" w:space="0" w:color="000000"/>
              <w:bottom w:val="single" w:sz="6" w:space="0" w:color="000000"/>
              <w:right w:val="single" w:sz="6" w:space="0" w:color="000000"/>
            </w:tcBorders>
          </w:tcPr>
          <w:p>
            <w:pPr>
              <w:pStyle w:val="TableParagraph"/>
              <w:rPr>
                <w:rFonts w:ascii="Times New Roman"/>
                <w:sz w:val="28"/>
              </w:rPr>
            </w:pPr>
          </w:p>
        </w:tc>
        <w:tc>
          <w:tcPr>
            <w:tcW w:w="12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4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24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4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666" w:type="dxa"/>
            <w:tcBorders>
              <w:top w:val="single" w:sz="6" w:space="0" w:color="000000"/>
              <w:left w:val="single" w:sz="6" w:space="0" w:color="000000"/>
              <w:bottom w:val="single" w:sz="6" w:space="0" w:color="000000"/>
            </w:tcBorders>
          </w:tcPr>
          <w:p>
            <w:pPr>
              <w:pStyle w:val="TableParagraph"/>
              <w:rPr>
                <w:rFonts w:ascii="Times New Roman"/>
                <w:sz w:val="28"/>
              </w:rPr>
            </w:pPr>
          </w:p>
        </w:tc>
      </w:tr>
      <w:tr>
        <w:trPr>
          <w:trHeight w:val="565" w:hRule="atLeast"/>
        </w:trPr>
        <w:tc>
          <w:tcPr>
            <w:tcW w:w="1954" w:type="dxa"/>
            <w:tcBorders>
              <w:top w:val="single" w:sz="6" w:space="0" w:color="000000"/>
              <w:bottom w:val="single" w:sz="6" w:space="0" w:color="000000"/>
              <w:right w:val="single" w:sz="6" w:space="0" w:color="000000"/>
            </w:tcBorders>
          </w:tcPr>
          <w:p>
            <w:pPr>
              <w:pStyle w:val="TableParagraph"/>
              <w:rPr>
                <w:rFonts w:ascii="Times New Roman"/>
                <w:sz w:val="28"/>
              </w:rPr>
            </w:pPr>
          </w:p>
        </w:tc>
        <w:tc>
          <w:tcPr>
            <w:tcW w:w="12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4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24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45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8"/>
              </w:rPr>
            </w:pPr>
          </w:p>
        </w:tc>
        <w:tc>
          <w:tcPr>
            <w:tcW w:w="1666" w:type="dxa"/>
            <w:tcBorders>
              <w:top w:val="single" w:sz="6" w:space="0" w:color="000000"/>
              <w:left w:val="single" w:sz="6" w:space="0" w:color="000000"/>
              <w:bottom w:val="single" w:sz="6" w:space="0" w:color="000000"/>
            </w:tcBorders>
          </w:tcPr>
          <w:p>
            <w:pPr>
              <w:pStyle w:val="TableParagraph"/>
              <w:rPr>
                <w:rFonts w:ascii="Times New Roman"/>
                <w:sz w:val="28"/>
              </w:rPr>
            </w:pPr>
          </w:p>
        </w:tc>
      </w:tr>
      <w:tr>
        <w:trPr>
          <w:trHeight w:val="565" w:hRule="atLeast"/>
        </w:trPr>
        <w:tc>
          <w:tcPr>
            <w:tcW w:w="1954" w:type="dxa"/>
            <w:tcBorders>
              <w:top w:val="single" w:sz="6" w:space="0" w:color="000000"/>
              <w:right w:val="single" w:sz="6" w:space="0" w:color="000000"/>
            </w:tcBorders>
          </w:tcPr>
          <w:p>
            <w:pPr>
              <w:pStyle w:val="TableParagraph"/>
              <w:rPr>
                <w:rFonts w:ascii="Times New Roman"/>
                <w:sz w:val="28"/>
              </w:rPr>
            </w:pPr>
          </w:p>
        </w:tc>
        <w:tc>
          <w:tcPr>
            <w:tcW w:w="1275" w:type="dxa"/>
            <w:tcBorders>
              <w:top w:val="single" w:sz="6" w:space="0" w:color="000000"/>
              <w:left w:val="single" w:sz="6" w:space="0" w:color="000000"/>
              <w:right w:val="single" w:sz="6" w:space="0" w:color="000000"/>
            </w:tcBorders>
          </w:tcPr>
          <w:p>
            <w:pPr>
              <w:pStyle w:val="TableParagraph"/>
              <w:rPr>
                <w:rFonts w:ascii="Times New Roman"/>
                <w:sz w:val="28"/>
              </w:rPr>
            </w:pPr>
          </w:p>
        </w:tc>
        <w:tc>
          <w:tcPr>
            <w:tcW w:w="1452" w:type="dxa"/>
            <w:tcBorders>
              <w:top w:val="single" w:sz="6" w:space="0" w:color="000000"/>
              <w:left w:val="single" w:sz="6" w:space="0" w:color="000000"/>
              <w:right w:val="single" w:sz="6" w:space="0" w:color="000000"/>
            </w:tcBorders>
          </w:tcPr>
          <w:p>
            <w:pPr>
              <w:pStyle w:val="TableParagraph"/>
              <w:rPr>
                <w:rFonts w:ascii="Times New Roman"/>
                <w:sz w:val="28"/>
              </w:rPr>
            </w:pPr>
          </w:p>
        </w:tc>
        <w:tc>
          <w:tcPr>
            <w:tcW w:w="1241" w:type="dxa"/>
            <w:tcBorders>
              <w:top w:val="single" w:sz="6" w:space="0" w:color="000000"/>
              <w:left w:val="single" w:sz="6" w:space="0" w:color="000000"/>
              <w:right w:val="single" w:sz="6" w:space="0" w:color="000000"/>
            </w:tcBorders>
          </w:tcPr>
          <w:p>
            <w:pPr>
              <w:pStyle w:val="TableParagraph"/>
              <w:rPr>
                <w:rFonts w:ascii="Times New Roman"/>
                <w:sz w:val="28"/>
              </w:rPr>
            </w:pPr>
          </w:p>
        </w:tc>
        <w:tc>
          <w:tcPr>
            <w:tcW w:w="1453" w:type="dxa"/>
            <w:tcBorders>
              <w:top w:val="single" w:sz="6" w:space="0" w:color="000000"/>
              <w:left w:val="single" w:sz="6" w:space="0" w:color="000000"/>
              <w:right w:val="single" w:sz="6" w:space="0" w:color="000000"/>
            </w:tcBorders>
          </w:tcPr>
          <w:p>
            <w:pPr>
              <w:pStyle w:val="TableParagraph"/>
              <w:rPr>
                <w:rFonts w:ascii="Times New Roman"/>
                <w:sz w:val="28"/>
              </w:rPr>
            </w:pPr>
          </w:p>
        </w:tc>
        <w:tc>
          <w:tcPr>
            <w:tcW w:w="1666" w:type="dxa"/>
            <w:tcBorders>
              <w:top w:val="single" w:sz="6" w:space="0" w:color="000000"/>
              <w:left w:val="single" w:sz="6" w:space="0" w:color="000000"/>
            </w:tcBorders>
          </w:tcPr>
          <w:p>
            <w:pPr>
              <w:pStyle w:val="TableParagraph"/>
              <w:rPr>
                <w:rFonts w:ascii="Times New Roman"/>
                <w:sz w:val="28"/>
              </w:rPr>
            </w:pPr>
          </w:p>
        </w:tc>
      </w:tr>
    </w:tbl>
    <w:p>
      <w:pPr>
        <w:spacing w:after="0"/>
        <w:rPr>
          <w:rFonts w:ascii="Times New Roman"/>
          <w:sz w:val="28"/>
        </w:rPr>
        <w:sectPr>
          <w:type w:val="continuous"/>
          <w:pgSz w:w="11910" w:h="16850"/>
          <w:pgMar w:top="1380" w:bottom="1040" w:left="1120" w:right="280"/>
        </w:sectPr>
      </w:pPr>
    </w:p>
    <w:p>
      <w:pPr>
        <w:spacing w:before="52"/>
        <w:ind w:left="678" w:right="0" w:firstLine="0"/>
        <w:jc w:val="left"/>
        <w:rPr>
          <w:sz w:val="30"/>
        </w:rPr>
      </w:pPr>
      <w:r>
        <w:rPr>
          <w:spacing w:val="-26"/>
          <w:sz w:val="30"/>
        </w:rPr>
        <w:t>附件 </w:t>
      </w:r>
      <w:r>
        <w:rPr>
          <w:rFonts w:ascii="Times New Roman" w:eastAsia="Times New Roman"/>
          <w:sz w:val="30"/>
        </w:rPr>
        <w:t>4</w:t>
      </w:r>
      <w:r>
        <w:rPr>
          <w:sz w:val="30"/>
        </w:rPr>
        <w:t>：</w:t>
      </w:r>
    </w:p>
    <w:p>
      <w:pPr>
        <w:pStyle w:val="BodyText"/>
        <w:ind w:left="0"/>
        <w:rPr>
          <w:sz w:val="30"/>
        </w:rPr>
      </w:pPr>
      <w:r>
        <w:rPr/>
        <w:br w:type="column"/>
      </w:r>
      <w:r>
        <w:rPr>
          <w:sz w:val="30"/>
        </w:rPr>
      </w:r>
    </w:p>
    <w:p>
      <w:pPr>
        <w:spacing w:before="227"/>
        <w:ind w:left="678" w:right="0" w:firstLine="0"/>
        <w:jc w:val="left"/>
        <w:rPr>
          <w:sz w:val="30"/>
        </w:rPr>
      </w:pPr>
      <w:r>
        <w:rPr>
          <w:sz w:val="30"/>
        </w:rPr>
        <w:t>承包人用于本工程施工的机械设备表</w:t>
      </w:r>
    </w:p>
    <w:p>
      <w:pPr>
        <w:spacing w:after="0"/>
        <w:jc w:val="left"/>
        <w:rPr>
          <w:sz w:val="30"/>
        </w:rPr>
        <w:sectPr>
          <w:pgSz w:w="11910" w:h="16850"/>
          <w:pgMar w:header="0" w:footer="779" w:top="1440" w:bottom="1040" w:left="1120" w:right="280"/>
          <w:cols w:num="2" w:equalWidth="0">
            <w:col w:w="1844" w:space="90"/>
            <w:col w:w="8576"/>
          </w:cols>
        </w:sectPr>
      </w:pPr>
    </w:p>
    <w:p>
      <w:pPr>
        <w:pStyle w:val="BodyText"/>
        <w:spacing w:before="9"/>
        <w:ind w:left="0"/>
        <w:rPr>
          <w:sz w:val="9"/>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4"/>
        <w:gridCol w:w="1419"/>
        <w:gridCol w:w="850"/>
        <w:gridCol w:w="1059"/>
        <w:gridCol w:w="879"/>
        <w:gridCol w:w="1020"/>
        <w:gridCol w:w="1481"/>
        <w:gridCol w:w="1020"/>
        <w:gridCol w:w="922"/>
      </w:tblGrid>
      <w:tr>
        <w:trPr>
          <w:trHeight w:val="880" w:hRule="atLeast"/>
        </w:trPr>
        <w:tc>
          <w:tcPr>
            <w:tcW w:w="1164" w:type="dxa"/>
          </w:tcPr>
          <w:p>
            <w:pPr>
              <w:pStyle w:val="TableParagraph"/>
              <w:spacing w:before="11"/>
              <w:rPr>
                <w:sz w:val="22"/>
              </w:rPr>
            </w:pPr>
          </w:p>
          <w:p>
            <w:pPr>
              <w:pStyle w:val="TableParagraph"/>
              <w:ind w:left="302"/>
              <w:rPr>
                <w:sz w:val="28"/>
              </w:rPr>
            </w:pPr>
            <w:r>
              <w:rPr>
                <w:sz w:val="28"/>
              </w:rPr>
              <w:t>序号</w:t>
            </w:r>
          </w:p>
        </w:tc>
        <w:tc>
          <w:tcPr>
            <w:tcW w:w="1419" w:type="dxa"/>
          </w:tcPr>
          <w:p>
            <w:pPr>
              <w:pStyle w:val="TableParagraph"/>
              <w:spacing w:line="440" w:lineRule="exact"/>
              <w:ind w:left="285" w:right="137" w:hanging="140"/>
              <w:rPr>
                <w:sz w:val="28"/>
              </w:rPr>
            </w:pPr>
            <w:r>
              <w:rPr>
                <w:sz w:val="28"/>
              </w:rPr>
              <w:t>机械或设备名称</w:t>
            </w:r>
          </w:p>
        </w:tc>
        <w:tc>
          <w:tcPr>
            <w:tcW w:w="850" w:type="dxa"/>
          </w:tcPr>
          <w:p>
            <w:pPr>
              <w:pStyle w:val="TableParagraph"/>
              <w:spacing w:line="440" w:lineRule="exact"/>
              <w:ind w:left="144" w:right="132"/>
              <w:rPr>
                <w:sz w:val="28"/>
              </w:rPr>
            </w:pPr>
            <w:r>
              <w:rPr>
                <w:sz w:val="28"/>
              </w:rPr>
              <w:t>规格型号</w:t>
            </w:r>
          </w:p>
        </w:tc>
        <w:tc>
          <w:tcPr>
            <w:tcW w:w="1059" w:type="dxa"/>
          </w:tcPr>
          <w:p>
            <w:pPr>
              <w:pStyle w:val="TableParagraph"/>
              <w:spacing w:before="11"/>
              <w:rPr>
                <w:sz w:val="22"/>
              </w:rPr>
            </w:pPr>
          </w:p>
          <w:p>
            <w:pPr>
              <w:pStyle w:val="TableParagraph"/>
              <w:ind w:left="246"/>
              <w:rPr>
                <w:sz w:val="28"/>
              </w:rPr>
            </w:pPr>
            <w:r>
              <w:rPr>
                <w:sz w:val="28"/>
              </w:rPr>
              <w:t>数量</w:t>
            </w:r>
          </w:p>
        </w:tc>
        <w:tc>
          <w:tcPr>
            <w:tcW w:w="879" w:type="dxa"/>
          </w:tcPr>
          <w:p>
            <w:pPr>
              <w:pStyle w:val="TableParagraph"/>
              <w:spacing w:before="11"/>
              <w:rPr>
                <w:sz w:val="22"/>
              </w:rPr>
            </w:pPr>
          </w:p>
          <w:p>
            <w:pPr>
              <w:pStyle w:val="TableParagraph"/>
              <w:ind w:left="157"/>
              <w:rPr>
                <w:sz w:val="28"/>
              </w:rPr>
            </w:pPr>
            <w:r>
              <w:rPr>
                <w:sz w:val="28"/>
              </w:rPr>
              <w:t>产地</w:t>
            </w:r>
          </w:p>
        </w:tc>
        <w:tc>
          <w:tcPr>
            <w:tcW w:w="1020" w:type="dxa"/>
          </w:tcPr>
          <w:p>
            <w:pPr>
              <w:pStyle w:val="TableParagraph"/>
              <w:spacing w:line="440" w:lineRule="exact"/>
              <w:ind w:left="229" w:right="218"/>
              <w:rPr>
                <w:sz w:val="28"/>
              </w:rPr>
            </w:pPr>
            <w:r>
              <w:rPr>
                <w:sz w:val="28"/>
              </w:rPr>
              <w:t>制造年份</w:t>
            </w:r>
          </w:p>
        </w:tc>
        <w:tc>
          <w:tcPr>
            <w:tcW w:w="1481" w:type="dxa"/>
          </w:tcPr>
          <w:p>
            <w:pPr>
              <w:pStyle w:val="TableParagraph"/>
              <w:spacing w:before="72"/>
              <w:ind w:left="178"/>
              <w:rPr>
                <w:sz w:val="28"/>
              </w:rPr>
            </w:pPr>
            <w:r>
              <w:rPr>
                <w:sz w:val="28"/>
              </w:rPr>
              <w:t>额定功率</w:t>
            </w:r>
          </w:p>
          <w:p>
            <w:pPr>
              <w:pStyle w:val="TableParagraph"/>
              <w:spacing w:line="349" w:lineRule="exact" w:before="81"/>
              <w:ind w:left="255"/>
              <w:rPr>
                <w:sz w:val="28"/>
              </w:rPr>
            </w:pPr>
            <w:r>
              <w:rPr>
                <w:sz w:val="28"/>
              </w:rPr>
              <w:t>（</w:t>
            </w:r>
            <w:r>
              <w:rPr>
                <w:rFonts w:ascii="Times New Roman" w:eastAsia="Times New Roman"/>
                <w:sz w:val="28"/>
              </w:rPr>
              <w:t>kW</w:t>
            </w:r>
            <w:r>
              <w:rPr>
                <w:sz w:val="28"/>
              </w:rPr>
              <w:t>）</w:t>
            </w:r>
          </w:p>
        </w:tc>
        <w:tc>
          <w:tcPr>
            <w:tcW w:w="1020" w:type="dxa"/>
          </w:tcPr>
          <w:p>
            <w:pPr>
              <w:pStyle w:val="TableParagraph"/>
              <w:spacing w:line="440" w:lineRule="exact"/>
              <w:ind w:left="227" w:right="220"/>
              <w:rPr>
                <w:sz w:val="28"/>
              </w:rPr>
            </w:pPr>
            <w:r>
              <w:rPr>
                <w:sz w:val="28"/>
              </w:rPr>
              <w:t>生产能力</w:t>
            </w:r>
          </w:p>
        </w:tc>
        <w:tc>
          <w:tcPr>
            <w:tcW w:w="922" w:type="dxa"/>
          </w:tcPr>
          <w:p>
            <w:pPr>
              <w:pStyle w:val="TableParagraph"/>
              <w:spacing w:before="11"/>
              <w:rPr>
                <w:sz w:val="22"/>
              </w:rPr>
            </w:pPr>
          </w:p>
          <w:p>
            <w:pPr>
              <w:pStyle w:val="TableParagraph"/>
              <w:ind w:left="176"/>
              <w:rPr>
                <w:sz w:val="28"/>
              </w:rPr>
            </w:pPr>
            <w:r>
              <w:rPr>
                <w:sz w:val="28"/>
              </w:rPr>
              <w:t>备注</w:t>
            </w:r>
          </w:p>
        </w:tc>
      </w:tr>
      <w:tr>
        <w:trPr>
          <w:trHeight w:val="566" w:hRule="atLeast"/>
        </w:trPr>
        <w:tc>
          <w:tcPr>
            <w:tcW w:w="1164" w:type="dxa"/>
          </w:tcPr>
          <w:p>
            <w:pPr>
              <w:pStyle w:val="TableParagraph"/>
              <w:rPr>
                <w:rFonts w:ascii="Times New Roman"/>
                <w:sz w:val="28"/>
              </w:rPr>
            </w:pPr>
          </w:p>
        </w:tc>
        <w:tc>
          <w:tcPr>
            <w:tcW w:w="1419" w:type="dxa"/>
          </w:tcPr>
          <w:p>
            <w:pPr>
              <w:pStyle w:val="TableParagraph"/>
              <w:rPr>
                <w:rFonts w:ascii="Times New Roman"/>
                <w:sz w:val="28"/>
              </w:rPr>
            </w:pPr>
          </w:p>
        </w:tc>
        <w:tc>
          <w:tcPr>
            <w:tcW w:w="850" w:type="dxa"/>
          </w:tcPr>
          <w:p>
            <w:pPr>
              <w:pStyle w:val="TableParagraph"/>
              <w:rPr>
                <w:rFonts w:ascii="Times New Roman"/>
                <w:sz w:val="28"/>
              </w:rPr>
            </w:pPr>
          </w:p>
        </w:tc>
        <w:tc>
          <w:tcPr>
            <w:tcW w:w="1059" w:type="dxa"/>
          </w:tcPr>
          <w:p>
            <w:pPr>
              <w:pStyle w:val="TableParagraph"/>
              <w:rPr>
                <w:rFonts w:ascii="Times New Roman"/>
                <w:sz w:val="28"/>
              </w:rPr>
            </w:pPr>
          </w:p>
        </w:tc>
        <w:tc>
          <w:tcPr>
            <w:tcW w:w="879" w:type="dxa"/>
          </w:tcPr>
          <w:p>
            <w:pPr>
              <w:pStyle w:val="TableParagraph"/>
              <w:rPr>
                <w:rFonts w:ascii="Times New Roman"/>
                <w:sz w:val="28"/>
              </w:rPr>
            </w:pPr>
          </w:p>
        </w:tc>
        <w:tc>
          <w:tcPr>
            <w:tcW w:w="1020" w:type="dxa"/>
          </w:tcPr>
          <w:p>
            <w:pPr>
              <w:pStyle w:val="TableParagraph"/>
              <w:rPr>
                <w:rFonts w:ascii="Times New Roman"/>
                <w:sz w:val="28"/>
              </w:rPr>
            </w:pPr>
          </w:p>
        </w:tc>
        <w:tc>
          <w:tcPr>
            <w:tcW w:w="1481" w:type="dxa"/>
          </w:tcPr>
          <w:p>
            <w:pPr>
              <w:pStyle w:val="TableParagraph"/>
              <w:rPr>
                <w:rFonts w:ascii="Times New Roman"/>
                <w:sz w:val="28"/>
              </w:rPr>
            </w:pPr>
          </w:p>
        </w:tc>
        <w:tc>
          <w:tcPr>
            <w:tcW w:w="1020" w:type="dxa"/>
          </w:tcPr>
          <w:p>
            <w:pPr>
              <w:pStyle w:val="TableParagraph"/>
              <w:rPr>
                <w:rFonts w:ascii="Times New Roman"/>
                <w:sz w:val="28"/>
              </w:rPr>
            </w:pPr>
          </w:p>
        </w:tc>
        <w:tc>
          <w:tcPr>
            <w:tcW w:w="922" w:type="dxa"/>
          </w:tcPr>
          <w:p>
            <w:pPr>
              <w:pStyle w:val="TableParagraph"/>
              <w:rPr>
                <w:rFonts w:ascii="Times New Roman"/>
                <w:sz w:val="28"/>
              </w:rPr>
            </w:pPr>
          </w:p>
        </w:tc>
      </w:tr>
      <w:tr>
        <w:trPr>
          <w:trHeight w:val="565" w:hRule="atLeast"/>
        </w:trPr>
        <w:tc>
          <w:tcPr>
            <w:tcW w:w="1164" w:type="dxa"/>
          </w:tcPr>
          <w:p>
            <w:pPr>
              <w:pStyle w:val="TableParagraph"/>
              <w:rPr>
                <w:rFonts w:ascii="Times New Roman"/>
                <w:sz w:val="28"/>
              </w:rPr>
            </w:pPr>
          </w:p>
        </w:tc>
        <w:tc>
          <w:tcPr>
            <w:tcW w:w="1419" w:type="dxa"/>
          </w:tcPr>
          <w:p>
            <w:pPr>
              <w:pStyle w:val="TableParagraph"/>
              <w:rPr>
                <w:rFonts w:ascii="Times New Roman"/>
                <w:sz w:val="28"/>
              </w:rPr>
            </w:pPr>
          </w:p>
        </w:tc>
        <w:tc>
          <w:tcPr>
            <w:tcW w:w="850" w:type="dxa"/>
          </w:tcPr>
          <w:p>
            <w:pPr>
              <w:pStyle w:val="TableParagraph"/>
              <w:rPr>
                <w:rFonts w:ascii="Times New Roman"/>
                <w:sz w:val="28"/>
              </w:rPr>
            </w:pPr>
          </w:p>
        </w:tc>
        <w:tc>
          <w:tcPr>
            <w:tcW w:w="1059" w:type="dxa"/>
          </w:tcPr>
          <w:p>
            <w:pPr>
              <w:pStyle w:val="TableParagraph"/>
              <w:rPr>
                <w:rFonts w:ascii="Times New Roman"/>
                <w:sz w:val="28"/>
              </w:rPr>
            </w:pPr>
          </w:p>
        </w:tc>
        <w:tc>
          <w:tcPr>
            <w:tcW w:w="879" w:type="dxa"/>
          </w:tcPr>
          <w:p>
            <w:pPr>
              <w:pStyle w:val="TableParagraph"/>
              <w:rPr>
                <w:rFonts w:ascii="Times New Roman"/>
                <w:sz w:val="28"/>
              </w:rPr>
            </w:pPr>
          </w:p>
        </w:tc>
        <w:tc>
          <w:tcPr>
            <w:tcW w:w="1020" w:type="dxa"/>
          </w:tcPr>
          <w:p>
            <w:pPr>
              <w:pStyle w:val="TableParagraph"/>
              <w:rPr>
                <w:rFonts w:ascii="Times New Roman"/>
                <w:sz w:val="28"/>
              </w:rPr>
            </w:pPr>
          </w:p>
        </w:tc>
        <w:tc>
          <w:tcPr>
            <w:tcW w:w="1481" w:type="dxa"/>
          </w:tcPr>
          <w:p>
            <w:pPr>
              <w:pStyle w:val="TableParagraph"/>
              <w:rPr>
                <w:rFonts w:ascii="Times New Roman"/>
                <w:sz w:val="28"/>
              </w:rPr>
            </w:pPr>
          </w:p>
        </w:tc>
        <w:tc>
          <w:tcPr>
            <w:tcW w:w="1020" w:type="dxa"/>
          </w:tcPr>
          <w:p>
            <w:pPr>
              <w:pStyle w:val="TableParagraph"/>
              <w:rPr>
                <w:rFonts w:ascii="Times New Roman"/>
                <w:sz w:val="28"/>
              </w:rPr>
            </w:pPr>
          </w:p>
        </w:tc>
        <w:tc>
          <w:tcPr>
            <w:tcW w:w="922" w:type="dxa"/>
          </w:tcPr>
          <w:p>
            <w:pPr>
              <w:pStyle w:val="TableParagraph"/>
              <w:rPr>
                <w:rFonts w:ascii="Times New Roman"/>
                <w:sz w:val="28"/>
              </w:rPr>
            </w:pPr>
          </w:p>
        </w:tc>
      </w:tr>
      <w:tr>
        <w:trPr>
          <w:trHeight w:val="568" w:hRule="atLeast"/>
        </w:trPr>
        <w:tc>
          <w:tcPr>
            <w:tcW w:w="1164" w:type="dxa"/>
          </w:tcPr>
          <w:p>
            <w:pPr>
              <w:pStyle w:val="TableParagraph"/>
              <w:rPr>
                <w:rFonts w:ascii="Times New Roman"/>
                <w:sz w:val="28"/>
              </w:rPr>
            </w:pPr>
          </w:p>
        </w:tc>
        <w:tc>
          <w:tcPr>
            <w:tcW w:w="1419" w:type="dxa"/>
          </w:tcPr>
          <w:p>
            <w:pPr>
              <w:pStyle w:val="TableParagraph"/>
              <w:rPr>
                <w:rFonts w:ascii="Times New Roman"/>
                <w:sz w:val="28"/>
              </w:rPr>
            </w:pPr>
          </w:p>
        </w:tc>
        <w:tc>
          <w:tcPr>
            <w:tcW w:w="850" w:type="dxa"/>
          </w:tcPr>
          <w:p>
            <w:pPr>
              <w:pStyle w:val="TableParagraph"/>
              <w:rPr>
                <w:rFonts w:ascii="Times New Roman"/>
                <w:sz w:val="28"/>
              </w:rPr>
            </w:pPr>
          </w:p>
        </w:tc>
        <w:tc>
          <w:tcPr>
            <w:tcW w:w="1059" w:type="dxa"/>
          </w:tcPr>
          <w:p>
            <w:pPr>
              <w:pStyle w:val="TableParagraph"/>
              <w:rPr>
                <w:rFonts w:ascii="Times New Roman"/>
                <w:sz w:val="28"/>
              </w:rPr>
            </w:pPr>
          </w:p>
        </w:tc>
        <w:tc>
          <w:tcPr>
            <w:tcW w:w="879" w:type="dxa"/>
          </w:tcPr>
          <w:p>
            <w:pPr>
              <w:pStyle w:val="TableParagraph"/>
              <w:rPr>
                <w:rFonts w:ascii="Times New Roman"/>
                <w:sz w:val="28"/>
              </w:rPr>
            </w:pPr>
          </w:p>
        </w:tc>
        <w:tc>
          <w:tcPr>
            <w:tcW w:w="1020" w:type="dxa"/>
          </w:tcPr>
          <w:p>
            <w:pPr>
              <w:pStyle w:val="TableParagraph"/>
              <w:rPr>
                <w:rFonts w:ascii="Times New Roman"/>
                <w:sz w:val="28"/>
              </w:rPr>
            </w:pPr>
          </w:p>
        </w:tc>
        <w:tc>
          <w:tcPr>
            <w:tcW w:w="1481" w:type="dxa"/>
          </w:tcPr>
          <w:p>
            <w:pPr>
              <w:pStyle w:val="TableParagraph"/>
              <w:rPr>
                <w:rFonts w:ascii="Times New Roman"/>
                <w:sz w:val="28"/>
              </w:rPr>
            </w:pPr>
          </w:p>
        </w:tc>
        <w:tc>
          <w:tcPr>
            <w:tcW w:w="1020" w:type="dxa"/>
          </w:tcPr>
          <w:p>
            <w:pPr>
              <w:pStyle w:val="TableParagraph"/>
              <w:rPr>
                <w:rFonts w:ascii="Times New Roman"/>
                <w:sz w:val="28"/>
              </w:rPr>
            </w:pPr>
          </w:p>
        </w:tc>
        <w:tc>
          <w:tcPr>
            <w:tcW w:w="922" w:type="dxa"/>
          </w:tcPr>
          <w:p>
            <w:pPr>
              <w:pStyle w:val="TableParagraph"/>
              <w:rPr>
                <w:rFonts w:ascii="Times New Roman"/>
                <w:sz w:val="28"/>
              </w:rPr>
            </w:pPr>
          </w:p>
        </w:tc>
      </w:tr>
      <w:tr>
        <w:trPr>
          <w:trHeight w:val="566" w:hRule="atLeast"/>
        </w:trPr>
        <w:tc>
          <w:tcPr>
            <w:tcW w:w="1164" w:type="dxa"/>
          </w:tcPr>
          <w:p>
            <w:pPr>
              <w:pStyle w:val="TableParagraph"/>
              <w:rPr>
                <w:rFonts w:ascii="Times New Roman"/>
                <w:sz w:val="28"/>
              </w:rPr>
            </w:pPr>
          </w:p>
        </w:tc>
        <w:tc>
          <w:tcPr>
            <w:tcW w:w="1419" w:type="dxa"/>
          </w:tcPr>
          <w:p>
            <w:pPr>
              <w:pStyle w:val="TableParagraph"/>
              <w:rPr>
                <w:rFonts w:ascii="Times New Roman"/>
                <w:sz w:val="28"/>
              </w:rPr>
            </w:pPr>
          </w:p>
        </w:tc>
        <w:tc>
          <w:tcPr>
            <w:tcW w:w="850" w:type="dxa"/>
          </w:tcPr>
          <w:p>
            <w:pPr>
              <w:pStyle w:val="TableParagraph"/>
              <w:rPr>
                <w:rFonts w:ascii="Times New Roman"/>
                <w:sz w:val="28"/>
              </w:rPr>
            </w:pPr>
          </w:p>
        </w:tc>
        <w:tc>
          <w:tcPr>
            <w:tcW w:w="1059" w:type="dxa"/>
          </w:tcPr>
          <w:p>
            <w:pPr>
              <w:pStyle w:val="TableParagraph"/>
              <w:rPr>
                <w:rFonts w:ascii="Times New Roman"/>
                <w:sz w:val="28"/>
              </w:rPr>
            </w:pPr>
          </w:p>
        </w:tc>
        <w:tc>
          <w:tcPr>
            <w:tcW w:w="879" w:type="dxa"/>
          </w:tcPr>
          <w:p>
            <w:pPr>
              <w:pStyle w:val="TableParagraph"/>
              <w:rPr>
                <w:rFonts w:ascii="Times New Roman"/>
                <w:sz w:val="28"/>
              </w:rPr>
            </w:pPr>
          </w:p>
        </w:tc>
        <w:tc>
          <w:tcPr>
            <w:tcW w:w="1020" w:type="dxa"/>
          </w:tcPr>
          <w:p>
            <w:pPr>
              <w:pStyle w:val="TableParagraph"/>
              <w:rPr>
                <w:rFonts w:ascii="Times New Roman"/>
                <w:sz w:val="28"/>
              </w:rPr>
            </w:pPr>
          </w:p>
        </w:tc>
        <w:tc>
          <w:tcPr>
            <w:tcW w:w="1481" w:type="dxa"/>
          </w:tcPr>
          <w:p>
            <w:pPr>
              <w:pStyle w:val="TableParagraph"/>
              <w:rPr>
                <w:rFonts w:ascii="Times New Roman"/>
                <w:sz w:val="28"/>
              </w:rPr>
            </w:pPr>
          </w:p>
        </w:tc>
        <w:tc>
          <w:tcPr>
            <w:tcW w:w="1020" w:type="dxa"/>
          </w:tcPr>
          <w:p>
            <w:pPr>
              <w:pStyle w:val="TableParagraph"/>
              <w:rPr>
                <w:rFonts w:ascii="Times New Roman"/>
                <w:sz w:val="28"/>
              </w:rPr>
            </w:pPr>
          </w:p>
        </w:tc>
        <w:tc>
          <w:tcPr>
            <w:tcW w:w="922" w:type="dxa"/>
          </w:tcPr>
          <w:p>
            <w:pPr>
              <w:pStyle w:val="TableParagraph"/>
              <w:rPr>
                <w:rFonts w:ascii="Times New Roman"/>
                <w:sz w:val="28"/>
              </w:rPr>
            </w:pPr>
          </w:p>
        </w:tc>
      </w:tr>
      <w:tr>
        <w:trPr>
          <w:trHeight w:val="568" w:hRule="atLeast"/>
        </w:trPr>
        <w:tc>
          <w:tcPr>
            <w:tcW w:w="1164" w:type="dxa"/>
          </w:tcPr>
          <w:p>
            <w:pPr>
              <w:pStyle w:val="TableParagraph"/>
              <w:rPr>
                <w:rFonts w:ascii="Times New Roman"/>
                <w:sz w:val="28"/>
              </w:rPr>
            </w:pPr>
          </w:p>
        </w:tc>
        <w:tc>
          <w:tcPr>
            <w:tcW w:w="1419" w:type="dxa"/>
          </w:tcPr>
          <w:p>
            <w:pPr>
              <w:pStyle w:val="TableParagraph"/>
              <w:rPr>
                <w:rFonts w:ascii="Times New Roman"/>
                <w:sz w:val="28"/>
              </w:rPr>
            </w:pPr>
          </w:p>
        </w:tc>
        <w:tc>
          <w:tcPr>
            <w:tcW w:w="850" w:type="dxa"/>
          </w:tcPr>
          <w:p>
            <w:pPr>
              <w:pStyle w:val="TableParagraph"/>
              <w:rPr>
                <w:rFonts w:ascii="Times New Roman"/>
                <w:sz w:val="28"/>
              </w:rPr>
            </w:pPr>
          </w:p>
        </w:tc>
        <w:tc>
          <w:tcPr>
            <w:tcW w:w="1059" w:type="dxa"/>
          </w:tcPr>
          <w:p>
            <w:pPr>
              <w:pStyle w:val="TableParagraph"/>
              <w:rPr>
                <w:rFonts w:ascii="Times New Roman"/>
                <w:sz w:val="28"/>
              </w:rPr>
            </w:pPr>
          </w:p>
        </w:tc>
        <w:tc>
          <w:tcPr>
            <w:tcW w:w="879" w:type="dxa"/>
          </w:tcPr>
          <w:p>
            <w:pPr>
              <w:pStyle w:val="TableParagraph"/>
              <w:rPr>
                <w:rFonts w:ascii="Times New Roman"/>
                <w:sz w:val="28"/>
              </w:rPr>
            </w:pPr>
          </w:p>
        </w:tc>
        <w:tc>
          <w:tcPr>
            <w:tcW w:w="1020" w:type="dxa"/>
          </w:tcPr>
          <w:p>
            <w:pPr>
              <w:pStyle w:val="TableParagraph"/>
              <w:rPr>
                <w:rFonts w:ascii="Times New Roman"/>
                <w:sz w:val="28"/>
              </w:rPr>
            </w:pPr>
          </w:p>
        </w:tc>
        <w:tc>
          <w:tcPr>
            <w:tcW w:w="1481" w:type="dxa"/>
          </w:tcPr>
          <w:p>
            <w:pPr>
              <w:pStyle w:val="TableParagraph"/>
              <w:rPr>
                <w:rFonts w:ascii="Times New Roman"/>
                <w:sz w:val="28"/>
              </w:rPr>
            </w:pPr>
          </w:p>
        </w:tc>
        <w:tc>
          <w:tcPr>
            <w:tcW w:w="1020" w:type="dxa"/>
          </w:tcPr>
          <w:p>
            <w:pPr>
              <w:pStyle w:val="TableParagraph"/>
              <w:rPr>
                <w:rFonts w:ascii="Times New Roman"/>
                <w:sz w:val="28"/>
              </w:rPr>
            </w:pPr>
          </w:p>
        </w:tc>
        <w:tc>
          <w:tcPr>
            <w:tcW w:w="922" w:type="dxa"/>
          </w:tcPr>
          <w:p>
            <w:pPr>
              <w:pStyle w:val="TableParagraph"/>
              <w:rPr>
                <w:rFonts w:ascii="Times New Roman"/>
                <w:sz w:val="28"/>
              </w:rPr>
            </w:pPr>
          </w:p>
        </w:tc>
      </w:tr>
      <w:tr>
        <w:trPr>
          <w:trHeight w:val="566" w:hRule="atLeast"/>
        </w:trPr>
        <w:tc>
          <w:tcPr>
            <w:tcW w:w="1164" w:type="dxa"/>
          </w:tcPr>
          <w:p>
            <w:pPr>
              <w:pStyle w:val="TableParagraph"/>
              <w:rPr>
                <w:rFonts w:ascii="Times New Roman"/>
                <w:sz w:val="28"/>
              </w:rPr>
            </w:pPr>
          </w:p>
        </w:tc>
        <w:tc>
          <w:tcPr>
            <w:tcW w:w="1419" w:type="dxa"/>
          </w:tcPr>
          <w:p>
            <w:pPr>
              <w:pStyle w:val="TableParagraph"/>
              <w:rPr>
                <w:rFonts w:ascii="Times New Roman"/>
                <w:sz w:val="28"/>
              </w:rPr>
            </w:pPr>
          </w:p>
        </w:tc>
        <w:tc>
          <w:tcPr>
            <w:tcW w:w="850" w:type="dxa"/>
          </w:tcPr>
          <w:p>
            <w:pPr>
              <w:pStyle w:val="TableParagraph"/>
              <w:rPr>
                <w:rFonts w:ascii="Times New Roman"/>
                <w:sz w:val="28"/>
              </w:rPr>
            </w:pPr>
          </w:p>
        </w:tc>
        <w:tc>
          <w:tcPr>
            <w:tcW w:w="1059" w:type="dxa"/>
          </w:tcPr>
          <w:p>
            <w:pPr>
              <w:pStyle w:val="TableParagraph"/>
              <w:rPr>
                <w:rFonts w:ascii="Times New Roman"/>
                <w:sz w:val="28"/>
              </w:rPr>
            </w:pPr>
          </w:p>
        </w:tc>
        <w:tc>
          <w:tcPr>
            <w:tcW w:w="879" w:type="dxa"/>
          </w:tcPr>
          <w:p>
            <w:pPr>
              <w:pStyle w:val="TableParagraph"/>
              <w:rPr>
                <w:rFonts w:ascii="Times New Roman"/>
                <w:sz w:val="28"/>
              </w:rPr>
            </w:pPr>
          </w:p>
        </w:tc>
        <w:tc>
          <w:tcPr>
            <w:tcW w:w="1020" w:type="dxa"/>
          </w:tcPr>
          <w:p>
            <w:pPr>
              <w:pStyle w:val="TableParagraph"/>
              <w:rPr>
                <w:rFonts w:ascii="Times New Roman"/>
                <w:sz w:val="28"/>
              </w:rPr>
            </w:pPr>
          </w:p>
        </w:tc>
        <w:tc>
          <w:tcPr>
            <w:tcW w:w="1481" w:type="dxa"/>
          </w:tcPr>
          <w:p>
            <w:pPr>
              <w:pStyle w:val="TableParagraph"/>
              <w:rPr>
                <w:rFonts w:ascii="Times New Roman"/>
                <w:sz w:val="28"/>
              </w:rPr>
            </w:pPr>
          </w:p>
        </w:tc>
        <w:tc>
          <w:tcPr>
            <w:tcW w:w="1020" w:type="dxa"/>
          </w:tcPr>
          <w:p>
            <w:pPr>
              <w:pStyle w:val="TableParagraph"/>
              <w:rPr>
                <w:rFonts w:ascii="Times New Roman"/>
                <w:sz w:val="28"/>
              </w:rPr>
            </w:pPr>
          </w:p>
        </w:tc>
        <w:tc>
          <w:tcPr>
            <w:tcW w:w="922" w:type="dxa"/>
          </w:tcPr>
          <w:p>
            <w:pPr>
              <w:pStyle w:val="TableParagraph"/>
              <w:rPr>
                <w:rFonts w:ascii="Times New Roman"/>
                <w:sz w:val="28"/>
              </w:rPr>
            </w:pPr>
          </w:p>
        </w:tc>
      </w:tr>
      <w:tr>
        <w:trPr>
          <w:trHeight w:val="565" w:hRule="atLeast"/>
        </w:trPr>
        <w:tc>
          <w:tcPr>
            <w:tcW w:w="1164" w:type="dxa"/>
          </w:tcPr>
          <w:p>
            <w:pPr>
              <w:pStyle w:val="TableParagraph"/>
              <w:rPr>
                <w:rFonts w:ascii="Times New Roman"/>
                <w:sz w:val="28"/>
              </w:rPr>
            </w:pPr>
          </w:p>
        </w:tc>
        <w:tc>
          <w:tcPr>
            <w:tcW w:w="1419" w:type="dxa"/>
          </w:tcPr>
          <w:p>
            <w:pPr>
              <w:pStyle w:val="TableParagraph"/>
              <w:rPr>
                <w:rFonts w:ascii="Times New Roman"/>
                <w:sz w:val="28"/>
              </w:rPr>
            </w:pPr>
          </w:p>
        </w:tc>
        <w:tc>
          <w:tcPr>
            <w:tcW w:w="850" w:type="dxa"/>
          </w:tcPr>
          <w:p>
            <w:pPr>
              <w:pStyle w:val="TableParagraph"/>
              <w:rPr>
                <w:rFonts w:ascii="Times New Roman"/>
                <w:sz w:val="28"/>
              </w:rPr>
            </w:pPr>
          </w:p>
        </w:tc>
        <w:tc>
          <w:tcPr>
            <w:tcW w:w="1059" w:type="dxa"/>
          </w:tcPr>
          <w:p>
            <w:pPr>
              <w:pStyle w:val="TableParagraph"/>
              <w:rPr>
                <w:rFonts w:ascii="Times New Roman"/>
                <w:sz w:val="28"/>
              </w:rPr>
            </w:pPr>
          </w:p>
        </w:tc>
        <w:tc>
          <w:tcPr>
            <w:tcW w:w="879" w:type="dxa"/>
          </w:tcPr>
          <w:p>
            <w:pPr>
              <w:pStyle w:val="TableParagraph"/>
              <w:rPr>
                <w:rFonts w:ascii="Times New Roman"/>
                <w:sz w:val="28"/>
              </w:rPr>
            </w:pPr>
          </w:p>
        </w:tc>
        <w:tc>
          <w:tcPr>
            <w:tcW w:w="1020" w:type="dxa"/>
          </w:tcPr>
          <w:p>
            <w:pPr>
              <w:pStyle w:val="TableParagraph"/>
              <w:rPr>
                <w:rFonts w:ascii="Times New Roman"/>
                <w:sz w:val="28"/>
              </w:rPr>
            </w:pPr>
          </w:p>
        </w:tc>
        <w:tc>
          <w:tcPr>
            <w:tcW w:w="1481" w:type="dxa"/>
          </w:tcPr>
          <w:p>
            <w:pPr>
              <w:pStyle w:val="TableParagraph"/>
              <w:rPr>
                <w:rFonts w:ascii="Times New Roman"/>
                <w:sz w:val="28"/>
              </w:rPr>
            </w:pPr>
          </w:p>
        </w:tc>
        <w:tc>
          <w:tcPr>
            <w:tcW w:w="1020" w:type="dxa"/>
          </w:tcPr>
          <w:p>
            <w:pPr>
              <w:pStyle w:val="TableParagraph"/>
              <w:rPr>
                <w:rFonts w:ascii="Times New Roman"/>
                <w:sz w:val="28"/>
              </w:rPr>
            </w:pPr>
          </w:p>
        </w:tc>
        <w:tc>
          <w:tcPr>
            <w:tcW w:w="922" w:type="dxa"/>
          </w:tcPr>
          <w:p>
            <w:pPr>
              <w:pStyle w:val="TableParagraph"/>
              <w:rPr>
                <w:rFonts w:ascii="Times New Roman"/>
                <w:sz w:val="28"/>
              </w:rPr>
            </w:pPr>
          </w:p>
        </w:tc>
      </w:tr>
      <w:tr>
        <w:trPr>
          <w:trHeight w:val="568" w:hRule="atLeast"/>
        </w:trPr>
        <w:tc>
          <w:tcPr>
            <w:tcW w:w="1164" w:type="dxa"/>
          </w:tcPr>
          <w:p>
            <w:pPr>
              <w:pStyle w:val="TableParagraph"/>
              <w:rPr>
                <w:rFonts w:ascii="Times New Roman"/>
                <w:sz w:val="28"/>
              </w:rPr>
            </w:pPr>
          </w:p>
        </w:tc>
        <w:tc>
          <w:tcPr>
            <w:tcW w:w="1419" w:type="dxa"/>
          </w:tcPr>
          <w:p>
            <w:pPr>
              <w:pStyle w:val="TableParagraph"/>
              <w:rPr>
                <w:rFonts w:ascii="Times New Roman"/>
                <w:sz w:val="28"/>
              </w:rPr>
            </w:pPr>
          </w:p>
        </w:tc>
        <w:tc>
          <w:tcPr>
            <w:tcW w:w="850" w:type="dxa"/>
          </w:tcPr>
          <w:p>
            <w:pPr>
              <w:pStyle w:val="TableParagraph"/>
              <w:rPr>
                <w:rFonts w:ascii="Times New Roman"/>
                <w:sz w:val="28"/>
              </w:rPr>
            </w:pPr>
          </w:p>
        </w:tc>
        <w:tc>
          <w:tcPr>
            <w:tcW w:w="1059" w:type="dxa"/>
          </w:tcPr>
          <w:p>
            <w:pPr>
              <w:pStyle w:val="TableParagraph"/>
              <w:rPr>
                <w:rFonts w:ascii="Times New Roman"/>
                <w:sz w:val="28"/>
              </w:rPr>
            </w:pPr>
          </w:p>
        </w:tc>
        <w:tc>
          <w:tcPr>
            <w:tcW w:w="879" w:type="dxa"/>
          </w:tcPr>
          <w:p>
            <w:pPr>
              <w:pStyle w:val="TableParagraph"/>
              <w:rPr>
                <w:rFonts w:ascii="Times New Roman"/>
                <w:sz w:val="28"/>
              </w:rPr>
            </w:pPr>
          </w:p>
        </w:tc>
        <w:tc>
          <w:tcPr>
            <w:tcW w:w="1020" w:type="dxa"/>
          </w:tcPr>
          <w:p>
            <w:pPr>
              <w:pStyle w:val="TableParagraph"/>
              <w:rPr>
                <w:rFonts w:ascii="Times New Roman"/>
                <w:sz w:val="28"/>
              </w:rPr>
            </w:pPr>
          </w:p>
        </w:tc>
        <w:tc>
          <w:tcPr>
            <w:tcW w:w="1481" w:type="dxa"/>
          </w:tcPr>
          <w:p>
            <w:pPr>
              <w:pStyle w:val="TableParagraph"/>
              <w:rPr>
                <w:rFonts w:ascii="Times New Roman"/>
                <w:sz w:val="28"/>
              </w:rPr>
            </w:pPr>
          </w:p>
        </w:tc>
        <w:tc>
          <w:tcPr>
            <w:tcW w:w="1020" w:type="dxa"/>
          </w:tcPr>
          <w:p>
            <w:pPr>
              <w:pStyle w:val="TableParagraph"/>
              <w:rPr>
                <w:rFonts w:ascii="Times New Roman"/>
                <w:sz w:val="28"/>
              </w:rPr>
            </w:pPr>
          </w:p>
        </w:tc>
        <w:tc>
          <w:tcPr>
            <w:tcW w:w="922" w:type="dxa"/>
          </w:tcPr>
          <w:p>
            <w:pPr>
              <w:pStyle w:val="TableParagraph"/>
              <w:rPr>
                <w:rFonts w:ascii="Times New Roman"/>
                <w:sz w:val="28"/>
              </w:rPr>
            </w:pPr>
          </w:p>
        </w:tc>
      </w:tr>
      <w:tr>
        <w:trPr>
          <w:trHeight w:val="566" w:hRule="atLeast"/>
        </w:trPr>
        <w:tc>
          <w:tcPr>
            <w:tcW w:w="1164" w:type="dxa"/>
          </w:tcPr>
          <w:p>
            <w:pPr>
              <w:pStyle w:val="TableParagraph"/>
              <w:rPr>
                <w:rFonts w:ascii="Times New Roman"/>
                <w:sz w:val="28"/>
              </w:rPr>
            </w:pPr>
          </w:p>
        </w:tc>
        <w:tc>
          <w:tcPr>
            <w:tcW w:w="1419" w:type="dxa"/>
          </w:tcPr>
          <w:p>
            <w:pPr>
              <w:pStyle w:val="TableParagraph"/>
              <w:rPr>
                <w:rFonts w:ascii="Times New Roman"/>
                <w:sz w:val="28"/>
              </w:rPr>
            </w:pPr>
          </w:p>
        </w:tc>
        <w:tc>
          <w:tcPr>
            <w:tcW w:w="850" w:type="dxa"/>
          </w:tcPr>
          <w:p>
            <w:pPr>
              <w:pStyle w:val="TableParagraph"/>
              <w:rPr>
                <w:rFonts w:ascii="Times New Roman"/>
                <w:sz w:val="28"/>
              </w:rPr>
            </w:pPr>
          </w:p>
        </w:tc>
        <w:tc>
          <w:tcPr>
            <w:tcW w:w="1059" w:type="dxa"/>
          </w:tcPr>
          <w:p>
            <w:pPr>
              <w:pStyle w:val="TableParagraph"/>
              <w:rPr>
                <w:rFonts w:ascii="Times New Roman"/>
                <w:sz w:val="28"/>
              </w:rPr>
            </w:pPr>
          </w:p>
        </w:tc>
        <w:tc>
          <w:tcPr>
            <w:tcW w:w="879" w:type="dxa"/>
          </w:tcPr>
          <w:p>
            <w:pPr>
              <w:pStyle w:val="TableParagraph"/>
              <w:rPr>
                <w:rFonts w:ascii="Times New Roman"/>
                <w:sz w:val="28"/>
              </w:rPr>
            </w:pPr>
          </w:p>
        </w:tc>
        <w:tc>
          <w:tcPr>
            <w:tcW w:w="1020" w:type="dxa"/>
          </w:tcPr>
          <w:p>
            <w:pPr>
              <w:pStyle w:val="TableParagraph"/>
              <w:rPr>
                <w:rFonts w:ascii="Times New Roman"/>
                <w:sz w:val="28"/>
              </w:rPr>
            </w:pPr>
          </w:p>
        </w:tc>
        <w:tc>
          <w:tcPr>
            <w:tcW w:w="1481" w:type="dxa"/>
          </w:tcPr>
          <w:p>
            <w:pPr>
              <w:pStyle w:val="TableParagraph"/>
              <w:rPr>
                <w:rFonts w:ascii="Times New Roman"/>
                <w:sz w:val="28"/>
              </w:rPr>
            </w:pPr>
          </w:p>
        </w:tc>
        <w:tc>
          <w:tcPr>
            <w:tcW w:w="1020" w:type="dxa"/>
          </w:tcPr>
          <w:p>
            <w:pPr>
              <w:pStyle w:val="TableParagraph"/>
              <w:rPr>
                <w:rFonts w:ascii="Times New Roman"/>
                <w:sz w:val="28"/>
              </w:rPr>
            </w:pPr>
          </w:p>
        </w:tc>
        <w:tc>
          <w:tcPr>
            <w:tcW w:w="922" w:type="dxa"/>
          </w:tcPr>
          <w:p>
            <w:pPr>
              <w:pStyle w:val="TableParagraph"/>
              <w:rPr>
                <w:rFonts w:ascii="Times New Roman"/>
                <w:sz w:val="28"/>
              </w:rPr>
            </w:pPr>
          </w:p>
        </w:tc>
      </w:tr>
      <w:tr>
        <w:trPr>
          <w:trHeight w:val="568" w:hRule="atLeast"/>
        </w:trPr>
        <w:tc>
          <w:tcPr>
            <w:tcW w:w="1164" w:type="dxa"/>
          </w:tcPr>
          <w:p>
            <w:pPr>
              <w:pStyle w:val="TableParagraph"/>
              <w:rPr>
                <w:rFonts w:ascii="Times New Roman"/>
                <w:sz w:val="28"/>
              </w:rPr>
            </w:pPr>
          </w:p>
        </w:tc>
        <w:tc>
          <w:tcPr>
            <w:tcW w:w="1419" w:type="dxa"/>
          </w:tcPr>
          <w:p>
            <w:pPr>
              <w:pStyle w:val="TableParagraph"/>
              <w:rPr>
                <w:rFonts w:ascii="Times New Roman"/>
                <w:sz w:val="28"/>
              </w:rPr>
            </w:pPr>
          </w:p>
        </w:tc>
        <w:tc>
          <w:tcPr>
            <w:tcW w:w="850" w:type="dxa"/>
          </w:tcPr>
          <w:p>
            <w:pPr>
              <w:pStyle w:val="TableParagraph"/>
              <w:rPr>
                <w:rFonts w:ascii="Times New Roman"/>
                <w:sz w:val="28"/>
              </w:rPr>
            </w:pPr>
          </w:p>
        </w:tc>
        <w:tc>
          <w:tcPr>
            <w:tcW w:w="1059" w:type="dxa"/>
          </w:tcPr>
          <w:p>
            <w:pPr>
              <w:pStyle w:val="TableParagraph"/>
              <w:rPr>
                <w:rFonts w:ascii="Times New Roman"/>
                <w:sz w:val="28"/>
              </w:rPr>
            </w:pPr>
          </w:p>
        </w:tc>
        <w:tc>
          <w:tcPr>
            <w:tcW w:w="879" w:type="dxa"/>
          </w:tcPr>
          <w:p>
            <w:pPr>
              <w:pStyle w:val="TableParagraph"/>
              <w:rPr>
                <w:rFonts w:ascii="Times New Roman"/>
                <w:sz w:val="28"/>
              </w:rPr>
            </w:pPr>
          </w:p>
        </w:tc>
        <w:tc>
          <w:tcPr>
            <w:tcW w:w="1020" w:type="dxa"/>
          </w:tcPr>
          <w:p>
            <w:pPr>
              <w:pStyle w:val="TableParagraph"/>
              <w:rPr>
                <w:rFonts w:ascii="Times New Roman"/>
                <w:sz w:val="28"/>
              </w:rPr>
            </w:pPr>
          </w:p>
        </w:tc>
        <w:tc>
          <w:tcPr>
            <w:tcW w:w="1481" w:type="dxa"/>
          </w:tcPr>
          <w:p>
            <w:pPr>
              <w:pStyle w:val="TableParagraph"/>
              <w:rPr>
                <w:rFonts w:ascii="Times New Roman"/>
                <w:sz w:val="28"/>
              </w:rPr>
            </w:pPr>
          </w:p>
        </w:tc>
        <w:tc>
          <w:tcPr>
            <w:tcW w:w="1020" w:type="dxa"/>
          </w:tcPr>
          <w:p>
            <w:pPr>
              <w:pStyle w:val="TableParagraph"/>
              <w:rPr>
                <w:rFonts w:ascii="Times New Roman"/>
                <w:sz w:val="28"/>
              </w:rPr>
            </w:pPr>
          </w:p>
        </w:tc>
        <w:tc>
          <w:tcPr>
            <w:tcW w:w="922" w:type="dxa"/>
          </w:tcPr>
          <w:p>
            <w:pPr>
              <w:pStyle w:val="TableParagraph"/>
              <w:rPr>
                <w:rFonts w:ascii="Times New Roman"/>
                <w:sz w:val="28"/>
              </w:rPr>
            </w:pPr>
          </w:p>
        </w:tc>
      </w:tr>
      <w:tr>
        <w:trPr>
          <w:trHeight w:val="566" w:hRule="atLeast"/>
        </w:trPr>
        <w:tc>
          <w:tcPr>
            <w:tcW w:w="1164" w:type="dxa"/>
          </w:tcPr>
          <w:p>
            <w:pPr>
              <w:pStyle w:val="TableParagraph"/>
              <w:rPr>
                <w:rFonts w:ascii="Times New Roman"/>
                <w:sz w:val="28"/>
              </w:rPr>
            </w:pPr>
          </w:p>
        </w:tc>
        <w:tc>
          <w:tcPr>
            <w:tcW w:w="1419" w:type="dxa"/>
          </w:tcPr>
          <w:p>
            <w:pPr>
              <w:pStyle w:val="TableParagraph"/>
              <w:rPr>
                <w:rFonts w:ascii="Times New Roman"/>
                <w:sz w:val="28"/>
              </w:rPr>
            </w:pPr>
          </w:p>
        </w:tc>
        <w:tc>
          <w:tcPr>
            <w:tcW w:w="850" w:type="dxa"/>
          </w:tcPr>
          <w:p>
            <w:pPr>
              <w:pStyle w:val="TableParagraph"/>
              <w:rPr>
                <w:rFonts w:ascii="Times New Roman"/>
                <w:sz w:val="28"/>
              </w:rPr>
            </w:pPr>
          </w:p>
        </w:tc>
        <w:tc>
          <w:tcPr>
            <w:tcW w:w="1059" w:type="dxa"/>
          </w:tcPr>
          <w:p>
            <w:pPr>
              <w:pStyle w:val="TableParagraph"/>
              <w:rPr>
                <w:rFonts w:ascii="Times New Roman"/>
                <w:sz w:val="28"/>
              </w:rPr>
            </w:pPr>
          </w:p>
        </w:tc>
        <w:tc>
          <w:tcPr>
            <w:tcW w:w="879" w:type="dxa"/>
          </w:tcPr>
          <w:p>
            <w:pPr>
              <w:pStyle w:val="TableParagraph"/>
              <w:rPr>
                <w:rFonts w:ascii="Times New Roman"/>
                <w:sz w:val="28"/>
              </w:rPr>
            </w:pPr>
          </w:p>
        </w:tc>
        <w:tc>
          <w:tcPr>
            <w:tcW w:w="1020" w:type="dxa"/>
          </w:tcPr>
          <w:p>
            <w:pPr>
              <w:pStyle w:val="TableParagraph"/>
              <w:rPr>
                <w:rFonts w:ascii="Times New Roman"/>
                <w:sz w:val="28"/>
              </w:rPr>
            </w:pPr>
          </w:p>
        </w:tc>
        <w:tc>
          <w:tcPr>
            <w:tcW w:w="1481" w:type="dxa"/>
          </w:tcPr>
          <w:p>
            <w:pPr>
              <w:pStyle w:val="TableParagraph"/>
              <w:rPr>
                <w:rFonts w:ascii="Times New Roman"/>
                <w:sz w:val="28"/>
              </w:rPr>
            </w:pPr>
          </w:p>
        </w:tc>
        <w:tc>
          <w:tcPr>
            <w:tcW w:w="1020" w:type="dxa"/>
          </w:tcPr>
          <w:p>
            <w:pPr>
              <w:pStyle w:val="TableParagraph"/>
              <w:rPr>
                <w:rFonts w:ascii="Times New Roman"/>
                <w:sz w:val="28"/>
              </w:rPr>
            </w:pPr>
          </w:p>
        </w:tc>
        <w:tc>
          <w:tcPr>
            <w:tcW w:w="922" w:type="dxa"/>
          </w:tcPr>
          <w:p>
            <w:pPr>
              <w:pStyle w:val="TableParagraph"/>
              <w:rPr>
                <w:rFonts w:ascii="Times New Roman"/>
                <w:sz w:val="28"/>
              </w:rPr>
            </w:pPr>
          </w:p>
        </w:tc>
      </w:tr>
      <w:tr>
        <w:trPr>
          <w:trHeight w:val="568" w:hRule="atLeast"/>
        </w:trPr>
        <w:tc>
          <w:tcPr>
            <w:tcW w:w="1164" w:type="dxa"/>
          </w:tcPr>
          <w:p>
            <w:pPr>
              <w:pStyle w:val="TableParagraph"/>
              <w:rPr>
                <w:rFonts w:ascii="Times New Roman"/>
                <w:sz w:val="28"/>
              </w:rPr>
            </w:pPr>
          </w:p>
        </w:tc>
        <w:tc>
          <w:tcPr>
            <w:tcW w:w="1419" w:type="dxa"/>
          </w:tcPr>
          <w:p>
            <w:pPr>
              <w:pStyle w:val="TableParagraph"/>
              <w:rPr>
                <w:rFonts w:ascii="Times New Roman"/>
                <w:sz w:val="28"/>
              </w:rPr>
            </w:pPr>
          </w:p>
        </w:tc>
        <w:tc>
          <w:tcPr>
            <w:tcW w:w="850" w:type="dxa"/>
          </w:tcPr>
          <w:p>
            <w:pPr>
              <w:pStyle w:val="TableParagraph"/>
              <w:rPr>
                <w:rFonts w:ascii="Times New Roman"/>
                <w:sz w:val="28"/>
              </w:rPr>
            </w:pPr>
          </w:p>
        </w:tc>
        <w:tc>
          <w:tcPr>
            <w:tcW w:w="1059" w:type="dxa"/>
          </w:tcPr>
          <w:p>
            <w:pPr>
              <w:pStyle w:val="TableParagraph"/>
              <w:rPr>
                <w:rFonts w:ascii="Times New Roman"/>
                <w:sz w:val="28"/>
              </w:rPr>
            </w:pPr>
          </w:p>
        </w:tc>
        <w:tc>
          <w:tcPr>
            <w:tcW w:w="879" w:type="dxa"/>
          </w:tcPr>
          <w:p>
            <w:pPr>
              <w:pStyle w:val="TableParagraph"/>
              <w:rPr>
                <w:rFonts w:ascii="Times New Roman"/>
                <w:sz w:val="28"/>
              </w:rPr>
            </w:pPr>
          </w:p>
        </w:tc>
        <w:tc>
          <w:tcPr>
            <w:tcW w:w="1020" w:type="dxa"/>
          </w:tcPr>
          <w:p>
            <w:pPr>
              <w:pStyle w:val="TableParagraph"/>
              <w:rPr>
                <w:rFonts w:ascii="Times New Roman"/>
                <w:sz w:val="28"/>
              </w:rPr>
            </w:pPr>
          </w:p>
        </w:tc>
        <w:tc>
          <w:tcPr>
            <w:tcW w:w="1481" w:type="dxa"/>
          </w:tcPr>
          <w:p>
            <w:pPr>
              <w:pStyle w:val="TableParagraph"/>
              <w:rPr>
                <w:rFonts w:ascii="Times New Roman"/>
                <w:sz w:val="28"/>
              </w:rPr>
            </w:pPr>
          </w:p>
        </w:tc>
        <w:tc>
          <w:tcPr>
            <w:tcW w:w="1020" w:type="dxa"/>
          </w:tcPr>
          <w:p>
            <w:pPr>
              <w:pStyle w:val="TableParagraph"/>
              <w:rPr>
                <w:rFonts w:ascii="Times New Roman"/>
                <w:sz w:val="28"/>
              </w:rPr>
            </w:pPr>
          </w:p>
        </w:tc>
        <w:tc>
          <w:tcPr>
            <w:tcW w:w="922" w:type="dxa"/>
          </w:tcPr>
          <w:p>
            <w:pPr>
              <w:pStyle w:val="TableParagraph"/>
              <w:rPr>
                <w:rFonts w:ascii="Times New Roman"/>
                <w:sz w:val="28"/>
              </w:rPr>
            </w:pPr>
          </w:p>
        </w:tc>
      </w:tr>
      <w:tr>
        <w:trPr>
          <w:trHeight w:val="566" w:hRule="atLeast"/>
        </w:trPr>
        <w:tc>
          <w:tcPr>
            <w:tcW w:w="1164" w:type="dxa"/>
          </w:tcPr>
          <w:p>
            <w:pPr>
              <w:pStyle w:val="TableParagraph"/>
              <w:rPr>
                <w:rFonts w:ascii="Times New Roman"/>
                <w:sz w:val="28"/>
              </w:rPr>
            </w:pPr>
          </w:p>
        </w:tc>
        <w:tc>
          <w:tcPr>
            <w:tcW w:w="1419" w:type="dxa"/>
          </w:tcPr>
          <w:p>
            <w:pPr>
              <w:pStyle w:val="TableParagraph"/>
              <w:rPr>
                <w:rFonts w:ascii="Times New Roman"/>
                <w:sz w:val="28"/>
              </w:rPr>
            </w:pPr>
          </w:p>
        </w:tc>
        <w:tc>
          <w:tcPr>
            <w:tcW w:w="850" w:type="dxa"/>
          </w:tcPr>
          <w:p>
            <w:pPr>
              <w:pStyle w:val="TableParagraph"/>
              <w:rPr>
                <w:rFonts w:ascii="Times New Roman"/>
                <w:sz w:val="28"/>
              </w:rPr>
            </w:pPr>
          </w:p>
        </w:tc>
        <w:tc>
          <w:tcPr>
            <w:tcW w:w="1059" w:type="dxa"/>
          </w:tcPr>
          <w:p>
            <w:pPr>
              <w:pStyle w:val="TableParagraph"/>
              <w:rPr>
                <w:rFonts w:ascii="Times New Roman"/>
                <w:sz w:val="28"/>
              </w:rPr>
            </w:pPr>
          </w:p>
        </w:tc>
        <w:tc>
          <w:tcPr>
            <w:tcW w:w="879" w:type="dxa"/>
          </w:tcPr>
          <w:p>
            <w:pPr>
              <w:pStyle w:val="TableParagraph"/>
              <w:rPr>
                <w:rFonts w:ascii="Times New Roman"/>
                <w:sz w:val="28"/>
              </w:rPr>
            </w:pPr>
          </w:p>
        </w:tc>
        <w:tc>
          <w:tcPr>
            <w:tcW w:w="1020" w:type="dxa"/>
          </w:tcPr>
          <w:p>
            <w:pPr>
              <w:pStyle w:val="TableParagraph"/>
              <w:rPr>
                <w:rFonts w:ascii="Times New Roman"/>
                <w:sz w:val="28"/>
              </w:rPr>
            </w:pPr>
          </w:p>
        </w:tc>
        <w:tc>
          <w:tcPr>
            <w:tcW w:w="1481" w:type="dxa"/>
          </w:tcPr>
          <w:p>
            <w:pPr>
              <w:pStyle w:val="TableParagraph"/>
              <w:rPr>
                <w:rFonts w:ascii="Times New Roman"/>
                <w:sz w:val="28"/>
              </w:rPr>
            </w:pPr>
          </w:p>
        </w:tc>
        <w:tc>
          <w:tcPr>
            <w:tcW w:w="1020" w:type="dxa"/>
          </w:tcPr>
          <w:p>
            <w:pPr>
              <w:pStyle w:val="TableParagraph"/>
              <w:rPr>
                <w:rFonts w:ascii="Times New Roman"/>
                <w:sz w:val="28"/>
              </w:rPr>
            </w:pPr>
          </w:p>
        </w:tc>
        <w:tc>
          <w:tcPr>
            <w:tcW w:w="922" w:type="dxa"/>
          </w:tcPr>
          <w:p>
            <w:pPr>
              <w:pStyle w:val="TableParagraph"/>
              <w:rPr>
                <w:rFonts w:ascii="Times New Roman"/>
                <w:sz w:val="28"/>
              </w:rPr>
            </w:pPr>
          </w:p>
        </w:tc>
      </w:tr>
      <w:tr>
        <w:trPr>
          <w:trHeight w:val="565" w:hRule="atLeast"/>
        </w:trPr>
        <w:tc>
          <w:tcPr>
            <w:tcW w:w="1164" w:type="dxa"/>
          </w:tcPr>
          <w:p>
            <w:pPr>
              <w:pStyle w:val="TableParagraph"/>
              <w:rPr>
                <w:rFonts w:ascii="Times New Roman"/>
                <w:sz w:val="28"/>
              </w:rPr>
            </w:pPr>
          </w:p>
        </w:tc>
        <w:tc>
          <w:tcPr>
            <w:tcW w:w="1419" w:type="dxa"/>
          </w:tcPr>
          <w:p>
            <w:pPr>
              <w:pStyle w:val="TableParagraph"/>
              <w:rPr>
                <w:rFonts w:ascii="Times New Roman"/>
                <w:sz w:val="28"/>
              </w:rPr>
            </w:pPr>
          </w:p>
        </w:tc>
        <w:tc>
          <w:tcPr>
            <w:tcW w:w="850" w:type="dxa"/>
          </w:tcPr>
          <w:p>
            <w:pPr>
              <w:pStyle w:val="TableParagraph"/>
              <w:rPr>
                <w:rFonts w:ascii="Times New Roman"/>
                <w:sz w:val="28"/>
              </w:rPr>
            </w:pPr>
          </w:p>
        </w:tc>
        <w:tc>
          <w:tcPr>
            <w:tcW w:w="1059" w:type="dxa"/>
          </w:tcPr>
          <w:p>
            <w:pPr>
              <w:pStyle w:val="TableParagraph"/>
              <w:rPr>
                <w:rFonts w:ascii="Times New Roman"/>
                <w:sz w:val="28"/>
              </w:rPr>
            </w:pPr>
          </w:p>
        </w:tc>
        <w:tc>
          <w:tcPr>
            <w:tcW w:w="879" w:type="dxa"/>
          </w:tcPr>
          <w:p>
            <w:pPr>
              <w:pStyle w:val="TableParagraph"/>
              <w:rPr>
                <w:rFonts w:ascii="Times New Roman"/>
                <w:sz w:val="28"/>
              </w:rPr>
            </w:pPr>
          </w:p>
        </w:tc>
        <w:tc>
          <w:tcPr>
            <w:tcW w:w="1020" w:type="dxa"/>
          </w:tcPr>
          <w:p>
            <w:pPr>
              <w:pStyle w:val="TableParagraph"/>
              <w:rPr>
                <w:rFonts w:ascii="Times New Roman"/>
                <w:sz w:val="28"/>
              </w:rPr>
            </w:pPr>
          </w:p>
        </w:tc>
        <w:tc>
          <w:tcPr>
            <w:tcW w:w="1481" w:type="dxa"/>
          </w:tcPr>
          <w:p>
            <w:pPr>
              <w:pStyle w:val="TableParagraph"/>
              <w:rPr>
                <w:rFonts w:ascii="Times New Roman"/>
                <w:sz w:val="28"/>
              </w:rPr>
            </w:pPr>
          </w:p>
        </w:tc>
        <w:tc>
          <w:tcPr>
            <w:tcW w:w="1020" w:type="dxa"/>
          </w:tcPr>
          <w:p>
            <w:pPr>
              <w:pStyle w:val="TableParagraph"/>
              <w:rPr>
                <w:rFonts w:ascii="Times New Roman"/>
                <w:sz w:val="28"/>
              </w:rPr>
            </w:pPr>
          </w:p>
        </w:tc>
        <w:tc>
          <w:tcPr>
            <w:tcW w:w="922" w:type="dxa"/>
          </w:tcPr>
          <w:p>
            <w:pPr>
              <w:pStyle w:val="TableParagraph"/>
              <w:rPr>
                <w:rFonts w:ascii="Times New Roman"/>
                <w:sz w:val="28"/>
              </w:rPr>
            </w:pPr>
          </w:p>
        </w:tc>
      </w:tr>
      <w:tr>
        <w:trPr>
          <w:trHeight w:val="568" w:hRule="atLeast"/>
        </w:trPr>
        <w:tc>
          <w:tcPr>
            <w:tcW w:w="1164" w:type="dxa"/>
          </w:tcPr>
          <w:p>
            <w:pPr>
              <w:pStyle w:val="TableParagraph"/>
              <w:rPr>
                <w:rFonts w:ascii="Times New Roman"/>
                <w:sz w:val="28"/>
              </w:rPr>
            </w:pPr>
          </w:p>
        </w:tc>
        <w:tc>
          <w:tcPr>
            <w:tcW w:w="1419" w:type="dxa"/>
          </w:tcPr>
          <w:p>
            <w:pPr>
              <w:pStyle w:val="TableParagraph"/>
              <w:rPr>
                <w:rFonts w:ascii="Times New Roman"/>
                <w:sz w:val="28"/>
              </w:rPr>
            </w:pPr>
          </w:p>
        </w:tc>
        <w:tc>
          <w:tcPr>
            <w:tcW w:w="850" w:type="dxa"/>
          </w:tcPr>
          <w:p>
            <w:pPr>
              <w:pStyle w:val="TableParagraph"/>
              <w:rPr>
                <w:rFonts w:ascii="Times New Roman"/>
                <w:sz w:val="28"/>
              </w:rPr>
            </w:pPr>
          </w:p>
        </w:tc>
        <w:tc>
          <w:tcPr>
            <w:tcW w:w="1059" w:type="dxa"/>
          </w:tcPr>
          <w:p>
            <w:pPr>
              <w:pStyle w:val="TableParagraph"/>
              <w:rPr>
                <w:rFonts w:ascii="Times New Roman"/>
                <w:sz w:val="28"/>
              </w:rPr>
            </w:pPr>
          </w:p>
        </w:tc>
        <w:tc>
          <w:tcPr>
            <w:tcW w:w="879" w:type="dxa"/>
          </w:tcPr>
          <w:p>
            <w:pPr>
              <w:pStyle w:val="TableParagraph"/>
              <w:rPr>
                <w:rFonts w:ascii="Times New Roman"/>
                <w:sz w:val="28"/>
              </w:rPr>
            </w:pPr>
          </w:p>
        </w:tc>
        <w:tc>
          <w:tcPr>
            <w:tcW w:w="1020" w:type="dxa"/>
          </w:tcPr>
          <w:p>
            <w:pPr>
              <w:pStyle w:val="TableParagraph"/>
              <w:rPr>
                <w:rFonts w:ascii="Times New Roman"/>
                <w:sz w:val="28"/>
              </w:rPr>
            </w:pPr>
          </w:p>
        </w:tc>
        <w:tc>
          <w:tcPr>
            <w:tcW w:w="1481" w:type="dxa"/>
          </w:tcPr>
          <w:p>
            <w:pPr>
              <w:pStyle w:val="TableParagraph"/>
              <w:rPr>
                <w:rFonts w:ascii="Times New Roman"/>
                <w:sz w:val="28"/>
              </w:rPr>
            </w:pPr>
          </w:p>
        </w:tc>
        <w:tc>
          <w:tcPr>
            <w:tcW w:w="1020" w:type="dxa"/>
          </w:tcPr>
          <w:p>
            <w:pPr>
              <w:pStyle w:val="TableParagraph"/>
              <w:rPr>
                <w:rFonts w:ascii="Times New Roman"/>
                <w:sz w:val="28"/>
              </w:rPr>
            </w:pPr>
          </w:p>
        </w:tc>
        <w:tc>
          <w:tcPr>
            <w:tcW w:w="922" w:type="dxa"/>
          </w:tcPr>
          <w:p>
            <w:pPr>
              <w:pStyle w:val="TableParagraph"/>
              <w:rPr>
                <w:rFonts w:ascii="Times New Roman"/>
                <w:sz w:val="28"/>
              </w:rPr>
            </w:pPr>
          </w:p>
        </w:tc>
      </w:tr>
      <w:tr>
        <w:trPr>
          <w:trHeight w:val="566" w:hRule="atLeast"/>
        </w:trPr>
        <w:tc>
          <w:tcPr>
            <w:tcW w:w="1164" w:type="dxa"/>
          </w:tcPr>
          <w:p>
            <w:pPr>
              <w:pStyle w:val="TableParagraph"/>
              <w:rPr>
                <w:rFonts w:ascii="Times New Roman"/>
                <w:sz w:val="28"/>
              </w:rPr>
            </w:pPr>
          </w:p>
        </w:tc>
        <w:tc>
          <w:tcPr>
            <w:tcW w:w="1419" w:type="dxa"/>
          </w:tcPr>
          <w:p>
            <w:pPr>
              <w:pStyle w:val="TableParagraph"/>
              <w:rPr>
                <w:rFonts w:ascii="Times New Roman"/>
                <w:sz w:val="28"/>
              </w:rPr>
            </w:pPr>
          </w:p>
        </w:tc>
        <w:tc>
          <w:tcPr>
            <w:tcW w:w="850" w:type="dxa"/>
          </w:tcPr>
          <w:p>
            <w:pPr>
              <w:pStyle w:val="TableParagraph"/>
              <w:rPr>
                <w:rFonts w:ascii="Times New Roman"/>
                <w:sz w:val="28"/>
              </w:rPr>
            </w:pPr>
          </w:p>
        </w:tc>
        <w:tc>
          <w:tcPr>
            <w:tcW w:w="1059" w:type="dxa"/>
          </w:tcPr>
          <w:p>
            <w:pPr>
              <w:pStyle w:val="TableParagraph"/>
              <w:rPr>
                <w:rFonts w:ascii="Times New Roman"/>
                <w:sz w:val="28"/>
              </w:rPr>
            </w:pPr>
          </w:p>
        </w:tc>
        <w:tc>
          <w:tcPr>
            <w:tcW w:w="879" w:type="dxa"/>
          </w:tcPr>
          <w:p>
            <w:pPr>
              <w:pStyle w:val="TableParagraph"/>
              <w:rPr>
                <w:rFonts w:ascii="Times New Roman"/>
                <w:sz w:val="28"/>
              </w:rPr>
            </w:pPr>
          </w:p>
        </w:tc>
        <w:tc>
          <w:tcPr>
            <w:tcW w:w="1020" w:type="dxa"/>
          </w:tcPr>
          <w:p>
            <w:pPr>
              <w:pStyle w:val="TableParagraph"/>
              <w:rPr>
                <w:rFonts w:ascii="Times New Roman"/>
                <w:sz w:val="28"/>
              </w:rPr>
            </w:pPr>
          </w:p>
        </w:tc>
        <w:tc>
          <w:tcPr>
            <w:tcW w:w="1481" w:type="dxa"/>
          </w:tcPr>
          <w:p>
            <w:pPr>
              <w:pStyle w:val="TableParagraph"/>
              <w:rPr>
                <w:rFonts w:ascii="Times New Roman"/>
                <w:sz w:val="28"/>
              </w:rPr>
            </w:pPr>
          </w:p>
        </w:tc>
        <w:tc>
          <w:tcPr>
            <w:tcW w:w="1020" w:type="dxa"/>
          </w:tcPr>
          <w:p>
            <w:pPr>
              <w:pStyle w:val="TableParagraph"/>
              <w:rPr>
                <w:rFonts w:ascii="Times New Roman"/>
                <w:sz w:val="28"/>
              </w:rPr>
            </w:pPr>
          </w:p>
        </w:tc>
        <w:tc>
          <w:tcPr>
            <w:tcW w:w="922" w:type="dxa"/>
          </w:tcPr>
          <w:p>
            <w:pPr>
              <w:pStyle w:val="TableParagraph"/>
              <w:rPr>
                <w:rFonts w:ascii="Times New Roman"/>
                <w:sz w:val="28"/>
              </w:rPr>
            </w:pPr>
          </w:p>
        </w:tc>
      </w:tr>
      <w:tr>
        <w:trPr>
          <w:trHeight w:val="568" w:hRule="atLeast"/>
        </w:trPr>
        <w:tc>
          <w:tcPr>
            <w:tcW w:w="1164" w:type="dxa"/>
          </w:tcPr>
          <w:p>
            <w:pPr>
              <w:pStyle w:val="TableParagraph"/>
              <w:rPr>
                <w:rFonts w:ascii="Times New Roman"/>
                <w:sz w:val="28"/>
              </w:rPr>
            </w:pPr>
          </w:p>
        </w:tc>
        <w:tc>
          <w:tcPr>
            <w:tcW w:w="1419" w:type="dxa"/>
          </w:tcPr>
          <w:p>
            <w:pPr>
              <w:pStyle w:val="TableParagraph"/>
              <w:rPr>
                <w:rFonts w:ascii="Times New Roman"/>
                <w:sz w:val="28"/>
              </w:rPr>
            </w:pPr>
          </w:p>
        </w:tc>
        <w:tc>
          <w:tcPr>
            <w:tcW w:w="850" w:type="dxa"/>
          </w:tcPr>
          <w:p>
            <w:pPr>
              <w:pStyle w:val="TableParagraph"/>
              <w:rPr>
                <w:rFonts w:ascii="Times New Roman"/>
                <w:sz w:val="28"/>
              </w:rPr>
            </w:pPr>
          </w:p>
        </w:tc>
        <w:tc>
          <w:tcPr>
            <w:tcW w:w="1059" w:type="dxa"/>
          </w:tcPr>
          <w:p>
            <w:pPr>
              <w:pStyle w:val="TableParagraph"/>
              <w:rPr>
                <w:rFonts w:ascii="Times New Roman"/>
                <w:sz w:val="28"/>
              </w:rPr>
            </w:pPr>
          </w:p>
        </w:tc>
        <w:tc>
          <w:tcPr>
            <w:tcW w:w="879" w:type="dxa"/>
          </w:tcPr>
          <w:p>
            <w:pPr>
              <w:pStyle w:val="TableParagraph"/>
              <w:rPr>
                <w:rFonts w:ascii="Times New Roman"/>
                <w:sz w:val="28"/>
              </w:rPr>
            </w:pPr>
          </w:p>
        </w:tc>
        <w:tc>
          <w:tcPr>
            <w:tcW w:w="1020" w:type="dxa"/>
          </w:tcPr>
          <w:p>
            <w:pPr>
              <w:pStyle w:val="TableParagraph"/>
              <w:rPr>
                <w:rFonts w:ascii="Times New Roman"/>
                <w:sz w:val="28"/>
              </w:rPr>
            </w:pPr>
          </w:p>
        </w:tc>
        <w:tc>
          <w:tcPr>
            <w:tcW w:w="1481" w:type="dxa"/>
          </w:tcPr>
          <w:p>
            <w:pPr>
              <w:pStyle w:val="TableParagraph"/>
              <w:rPr>
                <w:rFonts w:ascii="Times New Roman"/>
                <w:sz w:val="28"/>
              </w:rPr>
            </w:pPr>
          </w:p>
        </w:tc>
        <w:tc>
          <w:tcPr>
            <w:tcW w:w="1020" w:type="dxa"/>
          </w:tcPr>
          <w:p>
            <w:pPr>
              <w:pStyle w:val="TableParagraph"/>
              <w:rPr>
                <w:rFonts w:ascii="Times New Roman"/>
                <w:sz w:val="28"/>
              </w:rPr>
            </w:pPr>
          </w:p>
        </w:tc>
        <w:tc>
          <w:tcPr>
            <w:tcW w:w="922" w:type="dxa"/>
          </w:tcPr>
          <w:p>
            <w:pPr>
              <w:pStyle w:val="TableParagraph"/>
              <w:rPr>
                <w:rFonts w:ascii="Times New Roman"/>
                <w:sz w:val="28"/>
              </w:rPr>
            </w:pPr>
          </w:p>
        </w:tc>
      </w:tr>
      <w:tr>
        <w:trPr>
          <w:trHeight w:val="566" w:hRule="atLeast"/>
        </w:trPr>
        <w:tc>
          <w:tcPr>
            <w:tcW w:w="1164" w:type="dxa"/>
          </w:tcPr>
          <w:p>
            <w:pPr>
              <w:pStyle w:val="TableParagraph"/>
              <w:rPr>
                <w:rFonts w:ascii="Times New Roman"/>
                <w:sz w:val="28"/>
              </w:rPr>
            </w:pPr>
          </w:p>
        </w:tc>
        <w:tc>
          <w:tcPr>
            <w:tcW w:w="1419" w:type="dxa"/>
          </w:tcPr>
          <w:p>
            <w:pPr>
              <w:pStyle w:val="TableParagraph"/>
              <w:rPr>
                <w:rFonts w:ascii="Times New Roman"/>
                <w:sz w:val="28"/>
              </w:rPr>
            </w:pPr>
          </w:p>
        </w:tc>
        <w:tc>
          <w:tcPr>
            <w:tcW w:w="850" w:type="dxa"/>
          </w:tcPr>
          <w:p>
            <w:pPr>
              <w:pStyle w:val="TableParagraph"/>
              <w:rPr>
                <w:rFonts w:ascii="Times New Roman"/>
                <w:sz w:val="28"/>
              </w:rPr>
            </w:pPr>
          </w:p>
        </w:tc>
        <w:tc>
          <w:tcPr>
            <w:tcW w:w="1059" w:type="dxa"/>
          </w:tcPr>
          <w:p>
            <w:pPr>
              <w:pStyle w:val="TableParagraph"/>
              <w:rPr>
                <w:rFonts w:ascii="Times New Roman"/>
                <w:sz w:val="28"/>
              </w:rPr>
            </w:pPr>
          </w:p>
        </w:tc>
        <w:tc>
          <w:tcPr>
            <w:tcW w:w="879" w:type="dxa"/>
          </w:tcPr>
          <w:p>
            <w:pPr>
              <w:pStyle w:val="TableParagraph"/>
              <w:rPr>
                <w:rFonts w:ascii="Times New Roman"/>
                <w:sz w:val="28"/>
              </w:rPr>
            </w:pPr>
          </w:p>
        </w:tc>
        <w:tc>
          <w:tcPr>
            <w:tcW w:w="1020" w:type="dxa"/>
          </w:tcPr>
          <w:p>
            <w:pPr>
              <w:pStyle w:val="TableParagraph"/>
              <w:rPr>
                <w:rFonts w:ascii="Times New Roman"/>
                <w:sz w:val="28"/>
              </w:rPr>
            </w:pPr>
          </w:p>
        </w:tc>
        <w:tc>
          <w:tcPr>
            <w:tcW w:w="1481" w:type="dxa"/>
          </w:tcPr>
          <w:p>
            <w:pPr>
              <w:pStyle w:val="TableParagraph"/>
              <w:rPr>
                <w:rFonts w:ascii="Times New Roman"/>
                <w:sz w:val="28"/>
              </w:rPr>
            </w:pPr>
          </w:p>
        </w:tc>
        <w:tc>
          <w:tcPr>
            <w:tcW w:w="1020" w:type="dxa"/>
          </w:tcPr>
          <w:p>
            <w:pPr>
              <w:pStyle w:val="TableParagraph"/>
              <w:rPr>
                <w:rFonts w:ascii="Times New Roman"/>
                <w:sz w:val="28"/>
              </w:rPr>
            </w:pPr>
          </w:p>
        </w:tc>
        <w:tc>
          <w:tcPr>
            <w:tcW w:w="922" w:type="dxa"/>
          </w:tcPr>
          <w:p>
            <w:pPr>
              <w:pStyle w:val="TableParagraph"/>
              <w:rPr>
                <w:rFonts w:ascii="Times New Roman"/>
                <w:sz w:val="28"/>
              </w:rPr>
            </w:pPr>
          </w:p>
        </w:tc>
      </w:tr>
      <w:tr>
        <w:trPr>
          <w:trHeight w:val="568" w:hRule="atLeast"/>
        </w:trPr>
        <w:tc>
          <w:tcPr>
            <w:tcW w:w="1164" w:type="dxa"/>
          </w:tcPr>
          <w:p>
            <w:pPr>
              <w:pStyle w:val="TableParagraph"/>
              <w:rPr>
                <w:rFonts w:ascii="Times New Roman"/>
                <w:sz w:val="28"/>
              </w:rPr>
            </w:pPr>
          </w:p>
        </w:tc>
        <w:tc>
          <w:tcPr>
            <w:tcW w:w="1419" w:type="dxa"/>
          </w:tcPr>
          <w:p>
            <w:pPr>
              <w:pStyle w:val="TableParagraph"/>
              <w:rPr>
                <w:rFonts w:ascii="Times New Roman"/>
                <w:sz w:val="28"/>
              </w:rPr>
            </w:pPr>
          </w:p>
        </w:tc>
        <w:tc>
          <w:tcPr>
            <w:tcW w:w="850" w:type="dxa"/>
          </w:tcPr>
          <w:p>
            <w:pPr>
              <w:pStyle w:val="TableParagraph"/>
              <w:rPr>
                <w:rFonts w:ascii="Times New Roman"/>
                <w:sz w:val="28"/>
              </w:rPr>
            </w:pPr>
          </w:p>
        </w:tc>
        <w:tc>
          <w:tcPr>
            <w:tcW w:w="1059" w:type="dxa"/>
          </w:tcPr>
          <w:p>
            <w:pPr>
              <w:pStyle w:val="TableParagraph"/>
              <w:rPr>
                <w:rFonts w:ascii="Times New Roman"/>
                <w:sz w:val="28"/>
              </w:rPr>
            </w:pPr>
          </w:p>
        </w:tc>
        <w:tc>
          <w:tcPr>
            <w:tcW w:w="879" w:type="dxa"/>
          </w:tcPr>
          <w:p>
            <w:pPr>
              <w:pStyle w:val="TableParagraph"/>
              <w:rPr>
                <w:rFonts w:ascii="Times New Roman"/>
                <w:sz w:val="28"/>
              </w:rPr>
            </w:pPr>
          </w:p>
        </w:tc>
        <w:tc>
          <w:tcPr>
            <w:tcW w:w="1020" w:type="dxa"/>
          </w:tcPr>
          <w:p>
            <w:pPr>
              <w:pStyle w:val="TableParagraph"/>
              <w:rPr>
                <w:rFonts w:ascii="Times New Roman"/>
                <w:sz w:val="28"/>
              </w:rPr>
            </w:pPr>
          </w:p>
        </w:tc>
        <w:tc>
          <w:tcPr>
            <w:tcW w:w="1481" w:type="dxa"/>
          </w:tcPr>
          <w:p>
            <w:pPr>
              <w:pStyle w:val="TableParagraph"/>
              <w:rPr>
                <w:rFonts w:ascii="Times New Roman"/>
                <w:sz w:val="28"/>
              </w:rPr>
            </w:pPr>
          </w:p>
        </w:tc>
        <w:tc>
          <w:tcPr>
            <w:tcW w:w="1020" w:type="dxa"/>
          </w:tcPr>
          <w:p>
            <w:pPr>
              <w:pStyle w:val="TableParagraph"/>
              <w:rPr>
                <w:rFonts w:ascii="Times New Roman"/>
                <w:sz w:val="28"/>
              </w:rPr>
            </w:pPr>
          </w:p>
        </w:tc>
        <w:tc>
          <w:tcPr>
            <w:tcW w:w="922" w:type="dxa"/>
          </w:tcPr>
          <w:p>
            <w:pPr>
              <w:pStyle w:val="TableParagraph"/>
              <w:rPr>
                <w:rFonts w:ascii="Times New Roman"/>
                <w:sz w:val="28"/>
              </w:rPr>
            </w:pPr>
          </w:p>
        </w:tc>
      </w:tr>
    </w:tbl>
    <w:p>
      <w:pPr>
        <w:spacing w:before="53"/>
        <w:ind w:left="678" w:right="0" w:firstLine="0"/>
        <w:jc w:val="left"/>
        <w:rPr>
          <w:sz w:val="30"/>
        </w:rPr>
      </w:pPr>
      <w:r>
        <w:rPr>
          <w:sz w:val="30"/>
        </w:rPr>
        <w:t>附件 </w:t>
      </w:r>
      <w:r>
        <w:rPr>
          <w:rFonts w:ascii="Times New Roman" w:eastAsia="Times New Roman"/>
          <w:sz w:val="30"/>
        </w:rPr>
        <w:t>5</w:t>
      </w:r>
      <w:r>
        <w:rPr>
          <w:sz w:val="30"/>
        </w:rPr>
        <w:t>：</w:t>
      </w:r>
    </w:p>
    <w:p>
      <w:pPr>
        <w:spacing w:after="0"/>
        <w:jc w:val="left"/>
        <w:rPr>
          <w:sz w:val="30"/>
        </w:rPr>
        <w:sectPr>
          <w:type w:val="continuous"/>
          <w:pgSz w:w="11910" w:h="16850"/>
          <w:pgMar w:top="1380" w:bottom="1040" w:left="1120" w:right="280"/>
        </w:sectPr>
      </w:pPr>
    </w:p>
    <w:p>
      <w:pPr>
        <w:spacing w:before="32"/>
        <w:ind w:left="297" w:right="775" w:firstLine="0"/>
        <w:jc w:val="center"/>
        <w:rPr>
          <w:sz w:val="30"/>
        </w:rPr>
      </w:pPr>
      <w:r>
        <w:rPr>
          <w:sz w:val="30"/>
        </w:rPr>
        <w:t>承包人主要施工管理人员表</w:t>
      </w:r>
    </w:p>
    <w:p>
      <w:pPr>
        <w:pStyle w:val="BodyText"/>
        <w:spacing w:before="7"/>
        <w:ind w:left="0"/>
        <w:rPr>
          <w:sz w:val="9"/>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2"/>
        <w:gridCol w:w="1419"/>
        <w:gridCol w:w="1133"/>
        <w:gridCol w:w="1136"/>
        <w:gridCol w:w="4254"/>
      </w:tblGrid>
      <w:tr>
        <w:trPr>
          <w:trHeight w:val="441" w:hRule="atLeast"/>
        </w:trPr>
        <w:tc>
          <w:tcPr>
            <w:tcW w:w="1872" w:type="dxa"/>
          </w:tcPr>
          <w:p>
            <w:pPr>
              <w:pStyle w:val="TableParagraph"/>
              <w:tabs>
                <w:tab w:pos="847" w:val="left" w:leader="none"/>
              </w:tabs>
              <w:spacing w:line="346" w:lineRule="exact" w:before="75"/>
              <w:ind w:left="8"/>
              <w:jc w:val="center"/>
              <w:rPr>
                <w:sz w:val="28"/>
              </w:rPr>
            </w:pPr>
            <w:r>
              <w:rPr>
                <w:sz w:val="28"/>
              </w:rPr>
              <w:t>名</w:t>
              <w:tab/>
              <w:t>称</w:t>
            </w:r>
          </w:p>
        </w:tc>
        <w:tc>
          <w:tcPr>
            <w:tcW w:w="1419" w:type="dxa"/>
          </w:tcPr>
          <w:p>
            <w:pPr>
              <w:pStyle w:val="TableParagraph"/>
              <w:spacing w:line="346" w:lineRule="exact" w:before="75"/>
              <w:ind w:left="429"/>
              <w:rPr>
                <w:sz w:val="28"/>
              </w:rPr>
            </w:pPr>
            <w:r>
              <w:rPr>
                <w:sz w:val="28"/>
              </w:rPr>
              <w:t>姓名</w:t>
            </w:r>
          </w:p>
        </w:tc>
        <w:tc>
          <w:tcPr>
            <w:tcW w:w="1133" w:type="dxa"/>
          </w:tcPr>
          <w:p>
            <w:pPr>
              <w:pStyle w:val="TableParagraph"/>
              <w:spacing w:line="366" w:lineRule="exact" w:before="55"/>
              <w:ind w:left="264"/>
              <w:rPr>
                <w:sz w:val="30"/>
              </w:rPr>
            </w:pPr>
            <w:r>
              <w:rPr>
                <w:sz w:val="30"/>
              </w:rPr>
              <w:t>职务</w:t>
            </w:r>
          </w:p>
        </w:tc>
        <w:tc>
          <w:tcPr>
            <w:tcW w:w="1136" w:type="dxa"/>
          </w:tcPr>
          <w:p>
            <w:pPr>
              <w:pStyle w:val="TableParagraph"/>
              <w:spacing w:line="366" w:lineRule="exact" w:before="55"/>
              <w:ind w:left="266"/>
              <w:rPr>
                <w:sz w:val="30"/>
              </w:rPr>
            </w:pPr>
            <w:r>
              <w:rPr>
                <w:sz w:val="30"/>
              </w:rPr>
              <w:t>职称</w:t>
            </w:r>
          </w:p>
        </w:tc>
        <w:tc>
          <w:tcPr>
            <w:tcW w:w="4254" w:type="dxa"/>
          </w:tcPr>
          <w:p>
            <w:pPr>
              <w:pStyle w:val="TableParagraph"/>
              <w:spacing w:line="366" w:lineRule="exact" w:before="55"/>
              <w:ind w:left="1192"/>
              <w:rPr>
                <w:sz w:val="30"/>
              </w:rPr>
            </w:pPr>
            <w:r>
              <w:rPr>
                <w:sz w:val="30"/>
              </w:rPr>
              <w:t>计划进场时间</w:t>
            </w:r>
          </w:p>
        </w:tc>
      </w:tr>
      <w:tr>
        <w:trPr>
          <w:trHeight w:val="438" w:hRule="atLeast"/>
        </w:trPr>
        <w:tc>
          <w:tcPr>
            <w:tcW w:w="9814" w:type="dxa"/>
            <w:gridSpan w:val="5"/>
          </w:tcPr>
          <w:p>
            <w:pPr>
              <w:pStyle w:val="TableParagraph"/>
              <w:spacing w:line="346" w:lineRule="exact" w:before="72"/>
              <w:ind w:left="4047" w:right="4036"/>
              <w:jc w:val="center"/>
              <w:rPr>
                <w:sz w:val="28"/>
              </w:rPr>
            </w:pPr>
            <w:r>
              <w:rPr>
                <w:sz w:val="28"/>
              </w:rPr>
              <w:t>一、总部人员</w:t>
            </w:r>
          </w:p>
        </w:tc>
      </w:tr>
      <w:tr>
        <w:trPr>
          <w:trHeight w:val="441" w:hRule="atLeast"/>
        </w:trPr>
        <w:tc>
          <w:tcPr>
            <w:tcW w:w="1872" w:type="dxa"/>
          </w:tcPr>
          <w:p>
            <w:pPr>
              <w:pStyle w:val="TableParagraph"/>
              <w:spacing w:line="346" w:lineRule="exact" w:before="75"/>
              <w:ind w:left="10"/>
              <w:jc w:val="center"/>
              <w:rPr>
                <w:sz w:val="28"/>
              </w:rPr>
            </w:pPr>
            <w:r>
              <w:rPr>
                <w:sz w:val="28"/>
              </w:rPr>
              <w:t>项目主管</w:t>
            </w:r>
          </w:p>
        </w:tc>
        <w:tc>
          <w:tcPr>
            <w:tcW w:w="1419" w:type="dxa"/>
          </w:tcPr>
          <w:p>
            <w:pPr>
              <w:pStyle w:val="TableParagraph"/>
              <w:rPr>
                <w:rFonts w:ascii="Times New Roman"/>
                <w:sz w:val="28"/>
              </w:rPr>
            </w:pPr>
          </w:p>
        </w:tc>
        <w:tc>
          <w:tcPr>
            <w:tcW w:w="1133" w:type="dxa"/>
          </w:tcPr>
          <w:p>
            <w:pPr>
              <w:pStyle w:val="TableParagraph"/>
              <w:rPr>
                <w:rFonts w:ascii="Times New Roman"/>
                <w:sz w:val="28"/>
              </w:rPr>
            </w:pPr>
          </w:p>
        </w:tc>
        <w:tc>
          <w:tcPr>
            <w:tcW w:w="1136" w:type="dxa"/>
          </w:tcPr>
          <w:p>
            <w:pPr>
              <w:pStyle w:val="TableParagraph"/>
              <w:rPr>
                <w:rFonts w:ascii="Times New Roman"/>
                <w:sz w:val="28"/>
              </w:rPr>
            </w:pPr>
          </w:p>
        </w:tc>
        <w:tc>
          <w:tcPr>
            <w:tcW w:w="4254" w:type="dxa"/>
          </w:tcPr>
          <w:p>
            <w:pPr>
              <w:pStyle w:val="TableParagraph"/>
              <w:rPr>
                <w:rFonts w:ascii="Times New Roman"/>
                <w:sz w:val="28"/>
              </w:rPr>
            </w:pPr>
          </w:p>
        </w:tc>
      </w:tr>
      <w:tr>
        <w:trPr>
          <w:trHeight w:val="438" w:hRule="atLeast"/>
        </w:trPr>
        <w:tc>
          <w:tcPr>
            <w:tcW w:w="1872" w:type="dxa"/>
            <w:vMerge w:val="restart"/>
          </w:tcPr>
          <w:p>
            <w:pPr>
              <w:pStyle w:val="TableParagraph"/>
              <w:spacing w:before="5"/>
              <w:rPr>
                <w:sz w:val="38"/>
              </w:rPr>
            </w:pPr>
          </w:p>
          <w:p>
            <w:pPr>
              <w:pStyle w:val="TableParagraph"/>
              <w:ind w:left="374"/>
              <w:rPr>
                <w:sz w:val="28"/>
              </w:rPr>
            </w:pPr>
            <w:r>
              <w:rPr>
                <w:sz w:val="28"/>
              </w:rPr>
              <w:t>其他人员</w:t>
            </w:r>
          </w:p>
        </w:tc>
        <w:tc>
          <w:tcPr>
            <w:tcW w:w="1419" w:type="dxa"/>
          </w:tcPr>
          <w:p>
            <w:pPr>
              <w:pStyle w:val="TableParagraph"/>
              <w:rPr>
                <w:rFonts w:ascii="Times New Roman"/>
                <w:sz w:val="28"/>
              </w:rPr>
            </w:pPr>
          </w:p>
        </w:tc>
        <w:tc>
          <w:tcPr>
            <w:tcW w:w="1133" w:type="dxa"/>
          </w:tcPr>
          <w:p>
            <w:pPr>
              <w:pStyle w:val="TableParagraph"/>
              <w:rPr>
                <w:rFonts w:ascii="Times New Roman"/>
                <w:sz w:val="28"/>
              </w:rPr>
            </w:pPr>
          </w:p>
        </w:tc>
        <w:tc>
          <w:tcPr>
            <w:tcW w:w="1136" w:type="dxa"/>
          </w:tcPr>
          <w:p>
            <w:pPr>
              <w:pStyle w:val="TableParagraph"/>
              <w:rPr>
                <w:rFonts w:ascii="Times New Roman"/>
                <w:sz w:val="28"/>
              </w:rPr>
            </w:pPr>
          </w:p>
        </w:tc>
        <w:tc>
          <w:tcPr>
            <w:tcW w:w="4254" w:type="dxa"/>
          </w:tcPr>
          <w:p>
            <w:pPr>
              <w:pStyle w:val="TableParagraph"/>
              <w:rPr>
                <w:rFonts w:ascii="Times New Roman"/>
                <w:sz w:val="28"/>
              </w:rPr>
            </w:pPr>
          </w:p>
        </w:tc>
      </w:tr>
      <w:tr>
        <w:trPr>
          <w:trHeight w:val="441" w:hRule="atLeast"/>
        </w:trPr>
        <w:tc>
          <w:tcPr>
            <w:tcW w:w="1872" w:type="dxa"/>
            <w:vMerge/>
            <w:tcBorders>
              <w:top w:val="nil"/>
            </w:tcBorders>
          </w:tcPr>
          <w:p>
            <w:pPr>
              <w:rPr>
                <w:sz w:val="2"/>
                <w:szCs w:val="2"/>
              </w:rPr>
            </w:pPr>
          </w:p>
        </w:tc>
        <w:tc>
          <w:tcPr>
            <w:tcW w:w="1419" w:type="dxa"/>
          </w:tcPr>
          <w:p>
            <w:pPr>
              <w:pStyle w:val="TableParagraph"/>
              <w:rPr>
                <w:rFonts w:ascii="Times New Roman"/>
                <w:sz w:val="28"/>
              </w:rPr>
            </w:pPr>
          </w:p>
        </w:tc>
        <w:tc>
          <w:tcPr>
            <w:tcW w:w="1133" w:type="dxa"/>
          </w:tcPr>
          <w:p>
            <w:pPr>
              <w:pStyle w:val="TableParagraph"/>
              <w:rPr>
                <w:rFonts w:ascii="Times New Roman"/>
                <w:sz w:val="28"/>
              </w:rPr>
            </w:pPr>
          </w:p>
        </w:tc>
        <w:tc>
          <w:tcPr>
            <w:tcW w:w="1136" w:type="dxa"/>
          </w:tcPr>
          <w:p>
            <w:pPr>
              <w:pStyle w:val="TableParagraph"/>
              <w:rPr>
                <w:rFonts w:ascii="Times New Roman"/>
                <w:sz w:val="28"/>
              </w:rPr>
            </w:pPr>
          </w:p>
        </w:tc>
        <w:tc>
          <w:tcPr>
            <w:tcW w:w="4254" w:type="dxa"/>
          </w:tcPr>
          <w:p>
            <w:pPr>
              <w:pStyle w:val="TableParagraph"/>
              <w:rPr>
                <w:rFonts w:ascii="Times New Roman"/>
                <w:sz w:val="28"/>
              </w:rPr>
            </w:pPr>
          </w:p>
        </w:tc>
      </w:tr>
      <w:tr>
        <w:trPr>
          <w:trHeight w:val="438" w:hRule="atLeast"/>
        </w:trPr>
        <w:tc>
          <w:tcPr>
            <w:tcW w:w="1872" w:type="dxa"/>
            <w:vMerge/>
            <w:tcBorders>
              <w:top w:val="nil"/>
            </w:tcBorders>
          </w:tcPr>
          <w:p>
            <w:pPr>
              <w:rPr>
                <w:sz w:val="2"/>
                <w:szCs w:val="2"/>
              </w:rPr>
            </w:pPr>
          </w:p>
        </w:tc>
        <w:tc>
          <w:tcPr>
            <w:tcW w:w="1419" w:type="dxa"/>
          </w:tcPr>
          <w:p>
            <w:pPr>
              <w:pStyle w:val="TableParagraph"/>
              <w:rPr>
                <w:rFonts w:ascii="Times New Roman"/>
                <w:sz w:val="28"/>
              </w:rPr>
            </w:pPr>
          </w:p>
        </w:tc>
        <w:tc>
          <w:tcPr>
            <w:tcW w:w="1133" w:type="dxa"/>
          </w:tcPr>
          <w:p>
            <w:pPr>
              <w:pStyle w:val="TableParagraph"/>
              <w:rPr>
                <w:rFonts w:ascii="Times New Roman"/>
                <w:sz w:val="28"/>
              </w:rPr>
            </w:pPr>
          </w:p>
        </w:tc>
        <w:tc>
          <w:tcPr>
            <w:tcW w:w="1136" w:type="dxa"/>
          </w:tcPr>
          <w:p>
            <w:pPr>
              <w:pStyle w:val="TableParagraph"/>
              <w:rPr>
                <w:rFonts w:ascii="Times New Roman"/>
                <w:sz w:val="28"/>
              </w:rPr>
            </w:pPr>
          </w:p>
        </w:tc>
        <w:tc>
          <w:tcPr>
            <w:tcW w:w="4254" w:type="dxa"/>
          </w:tcPr>
          <w:p>
            <w:pPr>
              <w:pStyle w:val="TableParagraph"/>
              <w:rPr>
                <w:rFonts w:ascii="Times New Roman"/>
                <w:sz w:val="28"/>
              </w:rPr>
            </w:pPr>
          </w:p>
        </w:tc>
      </w:tr>
      <w:tr>
        <w:trPr>
          <w:trHeight w:val="441" w:hRule="atLeast"/>
        </w:trPr>
        <w:tc>
          <w:tcPr>
            <w:tcW w:w="9814" w:type="dxa"/>
            <w:gridSpan w:val="5"/>
          </w:tcPr>
          <w:p>
            <w:pPr>
              <w:pStyle w:val="TableParagraph"/>
              <w:spacing w:line="346" w:lineRule="exact" w:before="75"/>
              <w:ind w:left="4047" w:right="4036"/>
              <w:jc w:val="center"/>
              <w:rPr>
                <w:sz w:val="28"/>
              </w:rPr>
            </w:pPr>
            <w:r>
              <w:rPr>
                <w:sz w:val="28"/>
              </w:rPr>
              <w:t>二、现场人员</w:t>
            </w:r>
          </w:p>
        </w:tc>
      </w:tr>
      <w:tr>
        <w:trPr>
          <w:trHeight w:val="438" w:hRule="atLeast"/>
        </w:trPr>
        <w:tc>
          <w:tcPr>
            <w:tcW w:w="1872" w:type="dxa"/>
          </w:tcPr>
          <w:p>
            <w:pPr>
              <w:pStyle w:val="TableParagraph"/>
              <w:spacing w:line="346" w:lineRule="exact" w:before="72"/>
              <w:ind w:left="10"/>
              <w:jc w:val="center"/>
              <w:rPr>
                <w:sz w:val="28"/>
              </w:rPr>
            </w:pPr>
            <w:r>
              <w:rPr>
                <w:sz w:val="28"/>
              </w:rPr>
              <w:t>项目经理</w:t>
            </w:r>
          </w:p>
        </w:tc>
        <w:tc>
          <w:tcPr>
            <w:tcW w:w="1419" w:type="dxa"/>
          </w:tcPr>
          <w:p>
            <w:pPr>
              <w:pStyle w:val="TableParagraph"/>
              <w:rPr>
                <w:rFonts w:ascii="Times New Roman"/>
                <w:sz w:val="28"/>
              </w:rPr>
            </w:pPr>
          </w:p>
        </w:tc>
        <w:tc>
          <w:tcPr>
            <w:tcW w:w="1133" w:type="dxa"/>
          </w:tcPr>
          <w:p>
            <w:pPr>
              <w:pStyle w:val="TableParagraph"/>
              <w:rPr>
                <w:rFonts w:ascii="Times New Roman"/>
                <w:sz w:val="28"/>
              </w:rPr>
            </w:pPr>
          </w:p>
        </w:tc>
        <w:tc>
          <w:tcPr>
            <w:tcW w:w="1136" w:type="dxa"/>
          </w:tcPr>
          <w:p>
            <w:pPr>
              <w:pStyle w:val="TableParagraph"/>
              <w:rPr>
                <w:rFonts w:ascii="Times New Roman"/>
                <w:sz w:val="28"/>
              </w:rPr>
            </w:pPr>
          </w:p>
        </w:tc>
        <w:tc>
          <w:tcPr>
            <w:tcW w:w="4254" w:type="dxa"/>
          </w:tcPr>
          <w:p>
            <w:pPr>
              <w:pStyle w:val="TableParagraph"/>
              <w:rPr>
                <w:rFonts w:ascii="Times New Roman"/>
                <w:sz w:val="28"/>
              </w:rPr>
            </w:pPr>
          </w:p>
        </w:tc>
      </w:tr>
      <w:tr>
        <w:trPr>
          <w:trHeight w:val="441" w:hRule="atLeast"/>
        </w:trPr>
        <w:tc>
          <w:tcPr>
            <w:tcW w:w="1872" w:type="dxa"/>
          </w:tcPr>
          <w:p>
            <w:pPr>
              <w:pStyle w:val="TableParagraph"/>
              <w:spacing w:line="346" w:lineRule="exact" w:before="75"/>
              <w:ind w:left="10"/>
              <w:jc w:val="center"/>
              <w:rPr>
                <w:sz w:val="28"/>
              </w:rPr>
            </w:pPr>
            <w:r>
              <w:rPr>
                <w:sz w:val="28"/>
              </w:rPr>
              <w:t>项目副经理</w:t>
            </w:r>
          </w:p>
        </w:tc>
        <w:tc>
          <w:tcPr>
            <w:tcW w:w="1419" w:type="dxa"/>
          </w:tcPr>
          <w:p>
            <w:pPr>
              <w:pStyle w:val="TableParagraph"/>
              <w:rPr>
                <w:rFonts w:ascii="Times New Roman"/>
                <w:sz w:val="28"/>
              </w:rPr>
            </w:pPr>
          </w:p>
        </w:tc>
        <w:tc>
          <w:tcPr>
            <w:tcW w:w="1133" w:type="dxa"/>
          </w:tcPr>
          <w:p>
            <w:pPr>
              <w:pStyle w:val="TableParagraph"/>
              <w:rPr>
                <w:rFonts w:ascii="Times New Roman"/>
                <w:sz w:val="28"/>
              </w:rPr>
            </w:pPr>
          </w:p>
        </w:tc>
        <w:tc>
          <w:tcPr>
            <w:tcW w:w="1136" w:type="dxa"/>
          </w:tcPr>
          <w:p>
            <w:pPr>
              <w:pStyle w:val="TableParagraph"/>
              <w:rPr>
                <w:rFonts w:ascii="Times New Roman"/>
                <w:sz w:val="28"/>
              </w:rPr>
            </w:pPr>
          </w:p>
        </w:tc>
        <w:tc>
          <w:tcPr>
            <w:tcW w:w="4254" w:type="dxa"/>
          </w:tcPr>
          <w:p>
            <w:pPr>
              <w:pStyle w:val="TableParagraph"/>
              <w:rPr>
                <w:rFonts w:ascii="Times New Roman"/>
                <w:sz w:val="28"/>
              </w:rPr>
            </w:pPr>
          </w:p>
        </w:tc>
      </w:tr>
      <w:tr>
        <w:trPr>
          <w:trHeight w:val="438" w:hRule="atLeast"/>
        </w:trPr>
        <w:tc>
          <w:tcPr>
            <w:tcW w:w="1872" w:type="dxa"/>
          </w:tcPr>
          <w:p>
            <w:pPr>
              <w:pStyle w:val="TableParagraph"/>
              <w:spacing w:line="346" w:lineRule="exact" w:before="72"/>
              <w:ind w:left="10"/>
              <w:jc w:val="center"/>
              <w:rPr>
                <w:sz w:val="28"/>
              </w:rPr>
            </w:pPr>
            <w:r>
              <w:rPr>
                <w:sz w:val="28"/>
              </w:rPr>
              <w:t>技术负责人</w:t>
            </w:r>
          </w:p>
        </w:tc>
        <w:tc>
          <w:tcPr>
            <w:tcW w:w="1419" w:type="dxa"/>
          </w:tcPr>
          <w:p>
            <w:pPr>
              <w:pStyle w:val="TableParagraph"/>
              <w:rPr>
                <w:rFonts w:ascii="Times New Roman"/>
                <w:sz w:val="28"/>
              </w:rPr>
            </w:pPr>
          </w:p>
        </w:tc>
        <w:tc>
          <w:tcPr>
            <w:tcW w:w="1133" w:type="dxa"/>
          </w:tcPr>
          <w:p>
            <w:pPr>
              <w:pStyle w:val="TableParagraph"/>
              <w:rPr>
                <w:rFonts w:ascii="Times New Roman"/>
                <w:sz w:val="28"/>
              </w:rPr>
            </w:pPr>
          </w:p>
        </w:tc>
        <w:tc>
          <w:tcPr>
            <w:tcW w:w="1136" w:type="dxa"/>
          </w:tcPr>
          <w:p>
            <w:pPr>
              <w:pStyle w:val="TableParagraph"/>
              <w:rPr>
                <w:rFonts w:ascii="Times New Roman"/>
                <w:sz w:val="28"/>
              </w:rPr>
            </w:pPr>
          </w:p>
        </w:tc>
        <w:tc>
          <w:tcPr>
            <w:tcW w:w="4254" w:type="dxa"/>
          </w:tcPr>
          <w:p>
            <w:pPr>
              <w:pStyle w:val="TableParagraph"/>
              <w:rPr>
                <w:rFonts w:ascii="Times New Roman"/>
                <w:sz w:val="28"/>
              </w:rPr>
            </w:pPr>
          </w:p>
        </w:tc>
      </w:tr>
      <w:tr>
        <w:trPr>
          <w:trHeight w:val="441" w:hRule="atLeast"/>
        </w:trPr>
        <w:tc>
          <w:tcPr>
            <w:tcW w:w="1872" w:type="dxa"/>
          </w:tcPr>
          <w:p>
            <w:pPr>
              <w:pStyle w:val="TableParagraph"/>
              <w:spacing w:line="346" w:lineRule="exact" w:before="75"/>
              <w:ind w:left="10"/>
              <w:jc w:val="center"/>
              <w:rPr>
                <w:sz w:val="28"/>
              </w:rPr>
            </w:pPr>
            <w:r>
              <w:rPr>
                <w:sz w:val="28"/>
              </w:rPr>
              <w:t>造价管理</w:t>
            </w:r>
          </w:p>
        </w:tc>
        <w:tc>
          <w:tcPr>
            <w:tcW w:w="1419" w:type="dxa"/>
          </w:tcPr>
          <w:p>
            <w:pPr>
              <w:pStyle w:val="TableParagraph"/>
              <w:rPr>
                <w:rFonts w:ascii="Times New Roman"/>
                <w:sz w:val="28"/>
              </w:rPr>
            </w:pPr>
          </w:p>
        </w:tc>
        <w:tc>
          <w:tcPr>
            <w:tcW w:w="1133" w:type="dxa"/>
          </w:tcPr>
          <w:p>
            <w:pPr>
              <w:pStyle w:val="TableParagraph"/>
              <w:rPr>
                <w:rFonts w:ascii="Times New Roman"/>
                <w:sz w:val="28"/>
              </w:rPr>
            </w:pPr>
          </w:p>
        </w:tc>
        <w:tc>
          <w:tcPr>
            <w:tcW w:w="1136" w:type="dxa"/>
          </w:tcPr>
          <w:p>
            <w:pPr>
              <w:pStyle w:val="TableParagraph"/>
              <w:rPr>
                <w:rFonts w:ascii="Times New Roman"/>
                <w:sz w:val="28"/>
              </w:rPr>
            </w:pPr>
          </w:p>
        </w:tc>
        <w:tc>
          <w:tcPr>
            <w:tcW w:w="4254" w:type="dxa"/>
          </w:tcPr>
          <w:p>
            <w:pPr>
              <w:pStyle w:val="TableParagraph"/>
              <w:rPr>
                <w:rFonts w:ascii="Times New Roman"/>
                <w:sz w:val="28"/>
              </w:rPr>
            </w:pPr>
          </w:p>
        </w:tc>
      </w:tr>
      <w:tr>
        <w:trPr>
          <w:trHeight w:val="438" w:hRule="atLeast"/>
        </w:trPr>
        <w:tc>
          <w:tcPr>
            <w:tcW w:w="1872" w:type="dxa"/>
            <w:vMerge w:val="restart"/>
          </w:tcPr>
          <w:p>
            <w:pPr>
              <w:pStyle w:val="TableParagraph"/>
              <w:spacing w:before="5"/>
              <w:rPr>
                <w:sz w:val="38"/>
              </w:rPr>
            </w:pPr>
          </w:p>
          <w:p>
            <w:pPr>
              <w:pStyle w:val="TableParagraph"/>
              <w:ind w:left="374"/>
              <w:rPr>
                <w:sz w:val="28"/>
              </w:rPr>
            </w:pPr>
            <w:r>
              <w:rPr>
                <w:sz w:val="28"/>
              </w:rPr>
              <w:t>质量管理</w:t>
            </w:r>
          </w:p>
        </w:tc>
        <w:tc>
          <w:tcPr>
            <w:tcW w:w="1419" w:type="dxa"/>
          </w:tcPr>
          <w:p>
            <w:pPr>
              <w:pStyle w:val="TableParagraph"/>
              <w:rPr>
                <w:rFonts w:ascii="Times New Roman"/>
                <w:sz w:val="28"/>
              </w:rPr>
            </w:pPr>
          </w:p>
        </w:tc>
        <w:tc>
          <w:tcPr>
            <w:tcW w:w="1133" w:type="dxa"/>
          </w:tcPr>
          <w:p>
            <w:pPr>
              <w:pStyle w:val="TableParagraph"/>
              <w:rPr>
                <w:rFonts w:ascii="Times New Roman"/>
                <w:sz w:val="28"/>
              </w:rPr>
            </w:pPr>
          </w:p>
        </w:tc>
        <w:tc>
          <w:tcPr>
            <w:tcW w:w="1136" w:type="dxa"/>
          </w:tcPr>
          <w:p>
            <w:pPr>
              <w:pStyle w:val="TableParagraph"/>
              <w:rPr>
                <w:rFonts w:ascii="Times New Roman"/>
                <w:sz w:val="28"/>
              </w:rPr>
            </w:pPr>
          </w:p>
        </w:tc>
        <w:tc>
          <w:tcPr>
            <w:tcW w:w="4254" w:type="dxa"/>
          </w:tcPr>
          <w:p>
            <w:pPr>
              <w:pStyle w:val="TableParagraph"/>
              <w:rPr>
                <w:rFonts w:ascii="Times New Roman"/>
                <w:sz w:val="28"/>
              </w:rPr>
            </w:pPr>
          </w:p>
        </w:tc>
      </w:tr>
      <w:tr>
        <w:trPr>
          <w:trHeight w:val="441" w:hRule="atLeast"/>
        </w:trPr>
        <w:tc>
          <w:tcPr>
            <w:tcW w:w="1872" w:type="dxa"/>
            <w:vMerge/>
            <w:tcBorders>
              <w:top w:val="nil"/>
            </w:tcBorders>
          </w:tcPr>
          <w:p>
            <w:pPr>
              <w:rPr>
                <w:sz w:val="2"/>
                <w:szCs w:val="2"/>
              </w:rPr>
            </w:pPr>
          </w:p>
        </w:tc>
        <w:tc>
          <w:tcPr>
            <w:tcW w:w="1419" w:type="dxa"/>
          </w:tcPr>
          <w:p>
            <w:pPr>
              <w:pStyle w:val="TableParagraph"/>
              <w:rPr>
                <w:rFonts w:ascii="Times New Roman"/>
                <w:sz w:val="28"/>
              </w:rPr>
            </w:pPr>
          </w:p>
        </w:tc>
        <w:tc>
          <w:tcPr>
            <w:tcW w:w="1133" w:type="dxa"/>
          </w:tcPr>
          <w:p>
            <w:pPr>
              <w:pStyle w:val="TableParagraph"/>
              <w:rPr>
                <w:rFonts w:ascii="Times New Roman"/>
                <w:sz w:val="28"/>
              </w:rPr>
            </w:pPr>
          </w:p>
        </w:tc>
        <w:tc>
          <w:tcPr>
            <w:tcW w:w="1136" w:type="dxa"/>
          </w:tcPr>
          <w:p>
            <w:pPr>
              <w:pStyle w:val="TableParagraph"/>
              <w:rPr>
                <w:rFonts w:ascii="Times New Roman"/>
                <w:sz w:val="28"/>
              </w:rPr>
            </w:pPr>
          </w:p>
        </w:tc>
        <w:tc>
          <w:tcPr>
            <w:tcW w:w="4254" w:type="dxa"/>
          </w:tcPr>
          <w:p>
            <w:pPr>
              <w:pStyle w:val="TableParagraph"/>
              <w:rPr>
                <w:rFonts w:ascii="Times New Roman"/>
                <w:sz w:val="28"/>
              </w:rPr>
            </w:pPr>
          </w:p>
        </w:tc>
      </w:tr>
      <w:tr>
        <w:trPr>
          <w:trHeight w:val="438" w:hRule="atLeast"/>
        </w:trPr>
        <w:tc>
          <w:tcPr>
            <w:tcW w:w="1872" w:type="dxa"/>
            <w:vMerge/>
            <w:tcBorders>
              <w:top w:val="nil"/>
            </w:tcBorders>
          </w:tcPr>
          <w:p>
            <w:pPr>
              <w:rPr>
                <w:sz w:val="2"/>
                <w:szCs w:val="2"/>
              </w:rPr>
            </w:pPr>
          </w:p>
        </w:tc>
        <w:tc>
          <w:tcPr>
            <w:tcW w:w="1419" w:type="dxa"/>
          </w:tcPr>
          <w:p>
            <w:pPr>
              <w:pStyle w:val="TableParagraph"/>
              <w:rPr>
                <w:rFonts w:ascii="Times New Roman"/>
                <w:sz w:val="28"/>
              </w:rPr>
            </w:pPr>
          </w:p>
        </w:tc>
        <w:tc>
          <w:tcPr>
            <w:tcW w:w="1133" w:type="dxa"/>
          </w:tcPr>
          <w:p>
            <w:pPr>
              <w:pStyle w:val="TableParagraph"/>
              <w:rPr>
                <w:rFonts w:ascii="Times New Roman"/>
                <w:sz w:val="28"/>
              </w:rPr>
            </w:pPr>
          </w:p>
        </w:tc>
        <w:tc>
          <w:tcPr>
            <w:tcW w:w="1136" w:type="dxa"/>
          </w:tcPr>
          <w:p>
            <w:pPr>
              <w:pStyle w:val="TableParagraph"/>
              <w:rPr>
                <w:rFonts w:ascii="Times New Roman"/>
                <w:sz w:val="28"/>
              </w:rPr>
            </w:pPr>
          </w:p>
        </w:tc>
        <w:tc>
          <w:tcPr>
            <w:tcW w:w="4254" w:type="dxa"/>
          </w:tcPr>
          <w:p>
            <w:pPr>
              <w:pStyle w:val="TableParagraph"/>
              <w:rPr>
                <w:rFonts w:ascii="Times New Roman"/>
                <w:sz w:val="28"/>
              </w:rPr>
            </w:pPr>
          </w:p>
        </w:tc>
      </w:tr>
      <w:tr>
        <w:trPr>
          <w:trHeight w:val="441" w:hRule="atLeast"/>
        </w:trPr>
        <w:tc>
          <w:tcPr>
            <w:tcW w:w="1872" w:type="dxa"/>
          </w:tcPr>
          <w:p>
            <w:pPr>
              <w:pStyle w:val="TableParagraph"/>
              <w:spacing w:line="346" w:lineRule="exact" w:before="75"/>
              <w:ind w:left="10"/>
              <w:jc w:val="center"/>
              <w:rPr>
                <w:sz w:val="28"/>
              </w:rPr>
            </w:pPr>
            <w:r>
              <w:rPr>
                <w:sz w:val="28"/>
              </w:rPr>
              <w:t>材料管理</w:t>
            </w:r>
          </w:p>
        </w:tc>
        <w:tc>
          <w:tcPr>
            <w:tcW w:w="1419" w:type="dxa"/>
          </w:tcPr>
          <w:p>
            <w:pPr>
              <w:pStyle w:val="TableParagraph"/>
              <w:rPr>
                <w:rFonts w:ascii="Times New Roman"/>
                <w:sz w:val="28"/>
              </w:rPr>
            </w:pPr>
          </w:p>
        </w:tc>
        <w:tc>
          <w:tcPr>
            <w:tcW w:w="1133" w:type="dxa"/>
          </w:tcPr>
          <w:p>
            <w:pPr>
              <w:pStyle w:val="TableParagraph"/>
              <w:rPr>
                <w:rFonts w:ascii="Times New Roman"/>
                <w:sz w:val="28"/>
              </w:rPr>
            </w:pPr>
          </w:p>
        </w:tc>
        <w:tc>
          <w:tcPr>
            <w:tcW w:w="1136" w:type="dxa"/>
          </w:tcPr>
          <w:p>
            <w:pPr>
              <w:pStyle w:val="TableParagraph"/>
              <w:rPr>
                <w:rFonts w:ascii="Times New Roman"/>
                <w:sz w:val="28"/>
              </w:rPr>
            </w:pPr>
          </w:p>
        </w:tc>
        <w:tc>
          <w:tcPr>
            <w:tcW w:w="4254" w:type="dxa"/>
          </w:tcPr>
          <w:p>
            <w:pPr>
              <w:pStyle w:val="TableParagraph"/>
              <w:rPr>
                <w:rFonts w:ascii="Times New Roman"/>
                <w:sz w:val="28"/>
              </w:rPr>
            </w:pPr>
          </w:p>
        </w:tc>
      </w:tr>
      <w:tr>
        <w:trPr>
          <w:trHeight w:val="438" w:hRule="atLeast"/>
        </w:trPr>
        <w:tc>
          <w:tcPr>
            <w:tcW w:w="1872" w:type="dxa"/>
          </w:tcPr>
          <w:p>
            <w:pPr>
              <w:pStyle w:val="TableParagraph"/>
              <w:spacing w:line="346" w:lineRule="exact" w:before="72"/>
              <w:ind w:left="10"/>
              <w:jc w:val="center"/>
              <w:rPr>
                <w:sz w:val="28"/>
              </w:rPr>
            </w:pPr>
            <w:r>
              <w:rPr>
                <w:sz w:val="28"/>
              </w:rPr>
              <w:t>计划管理</w:t>
            </w:r>
          </w:p>
        </w:tc>
        <w:tc>
          <w:tcPr>
            <w:tcW w:w="1419" w:type="dxa"/>
          </w:tcPr>
          <w:p>
            <w:pPr>
              <w:pStyle w:val="TableParagraph"/>
              <w:rPr>
                <w:rFonts w:ascii="Times New Roman"/>
                <w:sz w:val="28"/>
              </w:rPr>
            </w:pPr>
          </w:p>
        </w:tc>
        <w:tc>
          <w:tcPr>
            <w:tcW w:w="1133" w:type="dxa"/>
          </w:tcPr>
          <w:p>
            <w:pPr>
              <w:pStyle w:val="TableParagraph"/>
              <w:rPr>
                <w:rFonts w:ascii="Times New Roman"/>
                <w:sz w:val="28"/>
              </w:rPr>
            </w:pPr>
          </w:p>
        </w:tc>
        <w:tc>
          <w:tcPr>
            <w:tcW w:w="1136" w:type="dxa"/>
          </w:tcPr>
          <w:p>
            <w:pPr>
              <w:pStyle w:val="TableParagraph"/>
              <w:rPr>
                <w:rFonts w:ascii="Times New Roman"/>
                <w:sz w:val="28"/>
              </w:rPr>
            </w:pPr>
          </w:p>
        </w:tc>
        <w:tc>
          <w:tcPr>
            <w:tcW w:w="4254" w:type="dxa"/>
          </w:tcPr>
          <w:p>
            <w:pPr>
              <w:pStyle w:val="TableParagraph"/>
              <w:rPr>
                <w:rFonts w:ascii="Times New Roman"/>
                <w:sz w:val="28"/>
              </w:rPr>
            </w:pPr>
          </w:p>
        </w:tc>
      </w:tr>
      <w:tr>
        <w:trPr>
          <w:trHeight w:val="441" w:hRule="atLeast"/>
        </w:trPr>
        <w:tc>
          <w:tcPr>
            <w:tcW w:w="1872" w:type="dxa"/>
            <w:vMerge w:val="restart"/>
          </w:tcPr>
          <w:p>
            <w:pPr>
              <w:pStyle w:val="TableParagraph"/>
              <w:spacing w:before="8"/>
              <w:rPr>
                <w:sz w:val="38"/>
              </w:rPr>
            </w:pPr>
          </w:p>
          <w:p>
            <w:pPr>
              <w:pStyle w:val="TableParagraph"/>
              <w:ind w:left="374"/>
              <w:rPr>
                <w:sz w:val="28"/>
              </w:rPr>
            </w:pPr>
            <w:r>
              <w:rPr>
                <w:sz w:val="28"/>
              </w:rPr>
              <w:t>安全管理</w:t>
            </w:r>
          </w:p>
        </w:tc>
        <w:tc>
          <w:tcPr>
            <w:tcW w:w="1419" w:type="dxa"/>
          </w:tcPr>
          <w:p>
            <w:pPr>
              <w:pStyle w:val="TableParagraph"/>
              <w:rPr>
                <w:rFonts w:ascii="Times New Roman"/>
                <w:sz w:val="28"/>
              </w:rPr>
            </w:pPr>
          </w:p>
        </w:tc>
        <w:tc>
          <w:tcPr>
            <w:tcW w:w="1133" w:type="dxa"/>
          </w:tcPr>
          <w:p>
            <w:pPr>
              <w:pStyle w:val="TableParagraph"/>
              <w:rPr>
                <w:rFonts w:ascii="Times New Roman"/>
                <w:sz w:val="28"/>
              </w:rPr>
            </w:pPr>
          </w:p>
        </w:tc>
        <w:tc>
          <w:tcPr>
            <w:tcW w:w="1136" w:type="dxa"/>
          </w:tcPr>
          <w:p>
            <w:pPr>
              <w:pStyle w:val="TableParagraph"/>
              <w:rPr>
                <w:rFonts w:ascii="Times New Roman"/>
                <w:sz w:val="28"/>
              </w:rPr>
            </w:pPr>
          </w:p>
        </w:tc>
        <w:tc>
          <w:tcPr>
            <w:tcW w:w="4254" w:type="dxa"/>
          </w:tcPr>
          <w:p>
            <w:pPr>
              <w:pStyle w:val="TableParagraph"/>
              <w:rPr>
                <w:rFonts w:ascii="Times New Roman"/>
                <w:sz w:val="28"/>
              </w:rPr>
            </w:pPr>
          </w:p>
        </w:tc>
      </w:tr>
      <w:tr>
        <w:trPr>
          <w:trHeight w:val="438" w:hRule="atLeast"/>
        </w:trPr>
        <w:tc>
          <w:tcPr>
            <w:tcW w:w="1872" w:type="dxa"/>
            <w:vMerge/>
            <w:tcBorders>
              <w:top w:val="nil"/>
            </w:tcBorders>
          </w:tcPr>
          <w:p>
            <w:pPr>
              <w:rPr>
                <w:sz w:val="2"/>
                <w:szCs w:val="2"/>
              </w:rPr>
            </w:pPr>
          </w:p>
        </w:tc>
        <w:tc>
          <w:tcPr>
            <w:tcW w:w="1419" w:type="dxa"/>
          </w:tcPr>
          <w:p>
            <w:pPr>
              <w:pStyle w:val="TableParagraph"/>
              <w:rPr>
                <w:rFonts w:ascii="Times New Roman"/>
                <w:sz w:val="28"/>
              </w:rPr>
            </w:pPr>
          </w:p>
        </w:tc>
        <w:tc>
          <w:tcPr>
            <w:tcW w:w="1133" w:type="dxa"/>
          </w:tcPr>
          <w:p>
            <w:pPr>
              <w:pStyle w:val="TableParagraph"/>
              <w:rPr>
                <w:rFonts w:ascii="Times New Roman"/>
                <w:sz w:val="28"/>
              </w:rPr>
            </w:pPr>
          </w:p>
        </w:tc>
        <w:tc>
          <w:tcPr>
            <w:tcW w:w="1136" w:type="dxa"/>
          </w:tcPr>
          <w:p>
            <w:pPr>
              <w:pStyle w:val="TableParagraph"/>
              <w:rPr>
                <w:rFonts w:ascii="Times New Roman"/>
                <w:sz w:val="28"/>
              </w:rPr>
            </w:pPr>
          </w:p>
        </w:tc>
        <w:tc>
          <w:tcPr>
            <w:tcW w:w="4254" w:type="dxa"/>
          </w:tcPr>
          <w:p>
            <w:pPr>
              <w:pStyle w:val="TableParagraph"/>
              <w:rPr>
                <w:rFonts w:ascii="Times New Roman"/>
                <w:sz w:val="28"/>
              </w:rPr>
            </w:pPr>
          </w:p>
        </w:tc>
      </w:tr>
      <w:tr>
        <w:trPr>
          <w:trHeight w:val="441" w:hRule="atLeast"/>
        </w:trPr>
        <w:tc>
          <w:tcPr>
            <w:tcW w:w="1872" w:type="dxa"/>
            <w:vMerge/>
            <w:tcBorders>
              <w:top w:val="nil"/>
            </w:tcBorders>
          </w:tcPr>
          <w:p>
            <w:pPr>
              <w:rPr>
                <w:sz w:val="2"/>
                <w:szCs w:val="2"/>
              </w:rPr>
            </w:pPr>
          </w:p>
        </w:tc>
        <w:tc>
          <w:tcPr>
            <w:tcW w:w="1419" w:type="dxa"/>
          </w:tcPr>
          <w:p>
            <w:pPr>
              <w:pStyle w:val="TableParagraph"/>
              <w:rPr>
                <w:rFonts w:ascii="Times New Roman"/>
                <w:sz w:val="28"/>
              </w:rPr>
            </w:pPr>
          </w:p>
        </w:tc>
        <w:tc>
          <w:tcPr>
            <w:tcW w:w="1133" w:type="dxa"/>
          </w:tcPr>
          <w:p>
            <w:pPr>
              <w:pStyle w:val="TableParagraph"/>
              <w:rPr>
                <w:rFonts w:ascii="Times New Roman"/>
                <w:sz w:val="28"/>
              </w:rPr>
            </w:pPr>
          </w:p>
        </w:tc>
        <w:tc>
          <w:tcPr>
            <w:tcW w:w="1136" w:type="dxa"/>
          </w:tcPr>
          <w:p>
            <w:pPr>
              <w:pStyle w:val="TableParagraph"/>
              <w:rPr>
                <w:rFonts w:ascii="Times New Roman"/>
                <w:sz w:val="28"/>
              </w:rPr>
            </w:pPr>
          </w:p>
        </w:tc>
        <w:tc>
          <w:tcPr>
            <w:tcW w:w="4254" w:type="dxa"/>
          </w:tcPr>
          <w:p>
            <w:pPr>
              <w:pStyle w:val="TableParagraph"/>
              <w:rPr>
                <w:rFonts w:ascii="Times New Roman"/>
                <w:sz w:val="28"/>
              </w:rPr>
            </w:pPr>
          </w:p>
        </w:tc>
      </w:tr>
      <w:tr>
        <w:trPr>
          <w:trHeight w:val="438" w:hRule="atLeast"/>
        </w:trPr>
        <w:tc>
          <w:tcPr>
            <w:tcW w:w="1872" w:type="dxa"/>
            <w:vMerge w:val="restart"/>
          </w:tcPr>
          <w:p>
            <w:pPr>
              <w:pStyle w:val="TableParagraph"/>
              <w:rPr>
                <w:sz w:val="28"/>
              </w:rPr>
            </w:pPr>
          </w:p>
          <w:p>
            <w:pPr>
              <w:pStyle w:val="TableParagraph"/>
              <w:rPr>
                <w:sz w:val="28"/>
              </w:rPr>
            </w:pPr>
          </w:p>
          <w:p>
            <w:pPr>
              <w:pStyle w:val="TableParagraph"/>
              <w:spacing w:before="7"/>
              <w:rPr>
                <w:sz w:val="37"/>
              </w:rPr>
            </w:pPr>
          </w:p>
          <w:p>
            <w:pPr>
              <w:pStyle w:val="TableParagraph"/>
              <w:ind w:left="374"/>
              <w:rPr>
                <w:sz w:val="28"/>
              </w:rPr>
            </w:pPr>
            <w:r>
              <w:rPr>
                <w:sz w:val="28"/>
              </w:rPr>
              <w:t>其他人员</w:t>
            </w:r>
          </w:p>
        </w:tc>
        <w:tc>
          <w:tcPr>
            <w:tcW w:w="1419" w:type="dxa"/>
          </w:tcPr>
          <w:p>
            <w:pPr>
              <w:pStyle w:val="TableParagraph"/>
              <w:rPr>
                <w:rFonts w:ascii="Times New Roman"/>
                <w:sz w:val="28"/>
              </w:rPr>
            </w:pPr>
          </w:p>
        </w:tc>
        <w:tc>
          <w:tcPr>
            <w:tcW w:w="1133" w:type="dxa"/>
          </w:tcPr>
          <w:p>
            <w:pPr>
              <w:pStyle w:val="TableParagraph"/>
              <w:rPr>
                <w:rFonts w:ascii="Times New Roman"/>
                <w:sz w:val="28"/>
              </w:rPr>
            </w:pPr>
          </w:p>
        </w:tc>
        <w:tc>
          <w:tcPr>
            <w:tcW w:w="1136" w:type="dxa"/>
          </w:tcPr>
          <w:p>
            <w:pPr>
              <w:pStyle w:val="TableParagraph"/>
              <w:rPr>
                <w:rFonts w:ascii="Times New Roman"/>
                <w:sz w:val="28"/>
              </w:rPr>
            </w:pPr>
          </w:p>
        </w:tc>
        <w:tc>
          <w:tcPr>
            <w:tcW w:w="4254" w:type="dxa"/>
          </w:tcPr>
          <w:p>
            <w:pPr>
              <w:pStyle w:val="TableParagraph"/>
              <w:rPr>
                <w:rFonts w:ascii="Times New Roman"/>
                <w:sz w:val="28"/>
              </w:rPr>
            </w:pPr>
          </w:p>
        </w:tc>
      </w:tr>
      <w:tr>
        <w:trPr>
          <w:trHeight w:val="441" w:hRule="atLeast"/>
        </w:trPr>
        <w:tc>
          <w:tcPr>
            <w:tcW w:w="1872" w:type="dxa"/>
            <w:vMerge/>
            <w:tcBorders>
              <w:top w:val="nil"/>
            </w:tcBorders>
          </w:tcPr>
          <w:p>
            <w:pPr>
              <w:rPr>
                <w:sz w:val="2"/>
                <w:szCs w:val="2"/>
              </w:rPr>
            </w:pPr>
          </w:p>
        </w:tc>
        <w:tc>
          <w:tcPr>
            <w:tcW w:w="1419" w:type="dxa"/>
          </w:tcPr>
          <w:p>
            <w:pPr>
              <w:pStyle w:val="TableParagraph"/>
              <w:rPr>
                <w:rFonts w:ascii="Times New Roman"/>
                <w:sz w:val="28"/>
              </w:rPr>
            </w:pPr>
          </w:p>
        </w:tc>
        <w:tc>
          <w:tcPr>
            <w:tcW w:w="1133" w:type="dxa"/>
          </w:tcPr>
          <w:p>
            <w:pPr>
              <w:pStyle w:val="TableParagraph"/>
              <w:rPr>
                <w:rFonts w:ascii="Times New Roman"/>
                <w:sz w:val="28"/>
              </w:rPr>
            </w:pPr>
          </w:p>
        </w:tc>
        <w:tc>
          <w:tcPr>
            <w:tcW w:w="1136" w:type="dxa"/>
          </w:tcPr>
          <w:p>
            <w:pPr>
              <w:pStyle w:val="TableParagraph"/>
              <w:rPr>
                <w:rFonts w:ascii="Times New Roman"/>
                <w:sz w:val="28"/>
              </w:rPr>
            </w:pPr>
          </w:p>
        </w:tc>
        <w:tc>
          <w:tcPr>
            <w:tcW w:w="4254" w:type="dxa"/>
          </w:tcPr>
          <w:p>
            <w:pPr>
              <w:pStyle w:val="TableParagraph"/>
              <w:rPr>
                <w:rFonts w:ascii="Times New Roman"/>
                <w:sz w:val="28"/>
              </w:rPr>
            </w:pPr>
          </w:p>
        </w:tc>
      </w:tr>
      <w:tr>
        <w:trPr>
          <w:trHeight w:val="439" w:hRule="atLeast"/>
        </w:trPr>
        <w:tc>
          <w:tcPr>
            <w:tcW w:w="1872" w:type="dxa"/>
            <w:vMerge/>
            <w:tcBorders>
              <w:top w:val="nil"/>
            </w:tcBorders>
          </w:tcPr>
          <w:p>
            <w:pPr>
              <w:rPr>
                <w:sz w:val="2"/>
                <w:szCs w:val="2"/>
              </w:rPr>
            </w:pPr>
          </w:p>
        </w:tc>
        <w:tc>
          <w:tcPr>
            <w:tcW w:w="1419" w:type="dxa"/>
          </w:tcPr>
          <w:p>
            <w:pPr>
              <w:pStyle w:val="TableParagraph"/>
              <w:rPr>
                <w:rFonts w:ascii="Times New Roman"/>
                <w:sz w:val="28"/>
              </w:rPr>
            </w:pPr>
          </w:p>
        </w:tc>
        <w:tc>
          <w:tcPr>
            <w:tcW w:w="1133" w:type="dxa"/>
          </w:tcPr>
          <w:p>
            <w:pPr>
              <w:pStyle w:val="TableParagraph"/>
              <w:rPr>
                <w:rFonts w:ascii="Times New Roman"/>
                <w:sz w:val="28"/>
              </w:rPr>
            </w:pPr>
          </w:p>
        </w:tc>
        <w:tc>
          <w:tcPr>
            <w:tcW w:w="1136" w:type="dxa"/>
          </w:tcPr>
          <w:p>
            <w:pPr>
              <w:pStyle w:val="TableParagraph"/>
              <w:rPr>
                <w:rFonts w:ascii="Times New Roman"/>
                <w:sz w:val="28"/>
              </w:rPr>
            </w:pPr>
          </w:p>
        </w:tc>
        <w:tc>
          <w:tcPr>
            <w:tcW w:w="4254" w:type="dxa"/>
          </w:tcPr>
          <w:p>
            <w:pPr>
              <w:pStyle w:val="TableParagraph"/>
              <w:rPr>
                <w:rFonts w:ascii="Times New Roman"/>
                <w:sz w:val="28"/>
              </w:rPr>
            </w:pPr>
          </w:p>
        </w:tc>
      </w:tr>
      <w:tr>
        <w:trPr>
          <w:trHeight w:val="441" w:hRule="atLeast"/>
        </w:trPr>
        <w:tc>
          <w:tcPr>
            <w:tcW w:w="1872" w:type="dxa"/>
            <w:vMerge/>
            <w:tcBorders>
              <w:top w:val="nil"/>
            </w:tcBorders>
          </w:tcPr>
          <w:p>
            <w:pPr>
              <w:rPr>
                <w:sz w:val="2"/>
                <w:szCs w:val="2"/>
              </w:rPr>
            </w:pPr>
          </w:p>
        </w:tc>
        <w:tc>
          <w:tcPr>
            <w:tcW w:w="1419" w:type="dxa"/>
          </w:tcPr>
          <w:p>
            <w:pPr>
              <w:pStyle w:val="TableParagraph"/>
              <w:rPr>
                <w:rFonts w:ascii="Times New Roman"/>
                <w:sz w:val="28"/>
              </w:rPr>
            </w:pPr>
          </w:p>
        </w:tc>
        <w:tc>
          <w:tcPr>
            <w:tcW w:w="1133" w:type="dxa"/>
          </w:tcPr>
          <w:p>
            <w:pPr>
              <w:pStyle w:val="TableParagraph"/>
              <w:rPr>
                <w:rFonts w:ascii="Times New Roman"/>
                <w:sz w:val="28"/>
              </w:rPr>
            </w:pPr>
          </w:p>
        </w:tc>
        <w:tc>
          <w:tcPr>
            <w:tcW w:w="1136" w:type="dxa"/>
          </w:tcPr>
          <w:p>
            <w:pPr>
              <w:pStyle w:val="TableParagraph"/>
              <w:rPr>
                <w:rFonts w:ascii="Times New Roman"/>
                <w:sz w:val="28"/>
              </w:rPr>
            </w:pPr>
          </w:p>
        </w:tc>
        <w:tc>
          <w:tcPr>
            <w:tcW w:w="4254" w:type="dxa"/>
          </w:tcPr>
          <w:p>
            <w:pPr>
              <w:pStyle w:val="TableParagraph"/>
              <w:rPr>
                <w:rFonts w:ascii="Times New Roman"/>
                <w:sz w:val="28"/>
              </w:rPr>
            </w:pPr>
          </w:p>
        </w:tc>
      </w:tr>
      <w:tr>
        <w:trPr>
          <w:trHeight w:val="438" w:hRule="atLeast"/>
        </w:trPr>
        <w:tc>
          <w:tcPr>
            <w:tcW w:w="1872" w:type="dxa"/>
            <w:vMerge/>
            <w:tcBorders>
              <w:top w:val="nil"/>
            </w:tcBorders>
          </w:tcPr>
          <w:p>
            <w:pPr>
              <w:rPr>
                <w:sz w:val="2"/>
                <w:szCs w:val="2"/>
              </w:rPr>
            </w:pPr>
          </w:p>
        </w:tc>
        <w:tc>
          <w:tcPr>
            <w:tcW w:w="1419" w:type="dxa"/>
          </w:tcPr>
          <w:p>
            <w:pPr>
              <w:pStyle w:val="TableParagraph"/>
              <w:rPr>
                <w:rFonts w:ascii="Times New Roman"/>
                <w:sz w:val="28"/>
              </w:rPr>
            </w:pPr>
          </w:p>
        </w:tc>
        <w:tc>
          <w:tcPr>
            <w:tcW w:w="1133" w:type="dxa"/>
          </w:tcPr>
          <w:p>
            <w:pPr>
              <w:pStyle w:val="TableParagraph"/>
              <w:rPr>
                <w:rFonts w:ascii="Times New Roman"/>
                <w:sz w:val="28"/>
              </w:rPr>
            </w:pPr>
          </w:p>
        </w:tc>
        <w:tc>
          <w:tcPr>
            <w:tcW w:w="1136" w:type="dxa"/>
          </w:tcPr>
          <w:p>
            <w:pPr>
              <w:pStyle w:val="TableParagraph"/>
              <w:rPr>
                <w:rFonts w:ascii="Times New Roman"/>
                <w:sz w:val="28"/>
              </w:rPr>
            </w:pPr>
          </w:p>
        </w:tc>
        <w:tc>
          <w:tcPr>
            <w:tcW w:w="4254" w:type="dxa"/>
          </w:tcPr>
          <w:p>
            <w:pPr>
              <w:pStyle w:val="TableParagraph"/>
              <w:rPr>
                <w:rFonts w:ascii="Times New Roman"/>
                <w:sz w:val="28"/>
              </w:rPr>
            </w:pPr>
          </w:p>
        </w:tc>
      </w:tr>
      <w:tr>
        <w:trPr>
          <w:trHeight w:val="441" w:hRule="atLeast"/>
        </w:trPr>
        <w:tc>
          <w:tcPr>
            <w:tcW w:w="1872" w:type="dxa"/>
            <w:vMerge/>
            <w:tcBorders>
              <w:top w:val="nil"/>
            </w:tcBorders>
          </w:tcPr>
          <w:p>
            <w:pPr>
              <w:rPr>
                <w:sz w:val="2"/>
                <w:szCs w:val="2"/>
              </w:rPr>
            </w:pPr>
          </w:p>
        </w:tc>
        <w:tc>
          <w:tcPr>
            <w:tcW w:w="1419" w:type="dxa"/>
          </w:tcPr>
          <w:p>
            <w:pPr>
              <w:pStyle w:val="TableParagraph"/>
              <w:rPr>
                <w:rFonts w:ascii="Times New Roman"/>
                <w:sz w:val="28"/>
              </w:rPr>
            </w:pPr>
          </w:p>
        </w:tc>
        <w:tc>
          <w:tcPr>
            <w:tcW w:w="1133" w:type="dxa"/>
          </w:tcPr>
          <w:p>
            <w:pPr>
              <w:pStyle w:val="TableParagraph"/>
              <w:rPr>
                <w:rFonts w:ascii="Times New Roman"/>
                <w:sz w:val="28"/>
              </w:rPr>
            </w:pPr>
          </w:p>
        </w:tc>
        <w:tc>
          <w:tcPr>
            <w:tcW w:w="1136" w:type="dxa"/>
          </w:tcPr>
          <w:p>
            <w:pPr>
              <w:pStyle w:val="TableParagraph"/>
              <w:rPr>
                <w:rFonts w:ascii="Times New Roman"/>
                <w:sz w:val="28"/>
              </w:rPr>
            </w:pPr>
          </w:p>
        </w:tc>
        <w:tc>
          <w:tcPr>
            <w:tcW w:w="4254" w:type="dxa"/>
          </w:tcPr>
          <w:p>
            <w:pPr>
              <w:pStyle w:val="TableParagraph"/>
              <w:rPr>
                <w:rFonts w:ascii="Times New Roman"/>
                <w:sz w:val="28"/>
              </w:rPr>
            </w:pPr>
          </w:p>
        </w:tc>
      </w:tr>
    </w:tbl>
    <w:p>
      <w:pPr>
        <w:spacing w:after="0"/>
        <w:rPr>
          <w:rFonts w:ascii="Times New Roman"/>
          <w:sz w:val="28"/>
        </w:rPr>
        <w:sectPr>
          <w:pgSz w:w="11910" w:h="16850"/>
          <w:pgMar w:header="0" w:footer="779" w:top="1460" w:bottom="1040" w:left="1120" w:right="280"/>
        </w:sectPr>
      </w:pPr>
    </w:p>
    <w:p>
      <w:pPr>
        <w:spacing w:before="52"/>
        <w:ind w:left="678" w:right="0" w:firstLine="0"/>
        <w:jc w:val="left"/>
        <w:rPr>
          <w:sz w:val="30"/>
        </w:rPr>
      </w:pPr>
      <w:r>
        <w:rPr>
          <w:spacing w:val="-26"/>
          <w:sz w:val="30"/>
        </w:rPr>
        <w:t>附件 </w:t>
      </w:r>
      <w:r>
        <w:rPr>
          <w:rFonts w:ascii="Times New Roman" w:eastAsia="Times New Roman"/>
          <w:sz w:val="30"/>
        </w:rPr>
        <w:t>6</w:t>
      </w:r>
      <w:r>
        <w:rPr>
          <w:sz w:val="30"/>
        </w:rPr>
        <w:t>：</w:t>
      </w:r>
    </w:p>
    <w:p>
      <w:pPr>
        <w:pStyle w:val="BodyText"/>
        <w:ind w:left="0"/>
        <w:rPr>
          <w:sz w:val="30"/>
        </w:rPr>
      </w:pPr>
      <w:r>
        <w:rPr/>
        <w:br w:type="column"/>
      </w:r>
      <w:r>
        <w:rPr>
          <w:sz w:val="30"/>
        </w:rPr>
      </w:r>
    </w:p>
    <w:p>
      <w:pPr>
        <w:spacing w:before="227"/>
        <w:ind w:left="678" w:right="0" w:firstLine="0"/>
        <w:jc w:val="left"/>
        <w:rPr>
          <w:sz w:val="30"/>
        </w:rPr>
      </w:pPr>
      <w:r>
        <w:rPr>
          <w:sz w:val="30"/>
        </w:rPr>
        <w:t>分包人主要施工管理人员表</w:t>
      </w:r>
    </w:p>
    <w:p>
      <w:pPr>
        <w:spacing w:after="0"/>
        <w:jc w:val="left"/>
        <w:rPr>
          <w:sz w:val="30"/>
        </w:rPr>
        <w:sectPr>
          <w:pgSz w:w="11910" w:h="16850"/>
          <w:pgMar w:header="0" w:footer="779" w:top="1440" w:bottom="1040" w:left="1120" w:right="280"/>
          <w:cols w:num="2" w:equalWidth="0">
            <w:col w:w="1844" w:space="691"/>
            <w:col w:w="7975"/>
          </w:cols>
        </w:sectPr>
      </w:pPr>
    </w:p>
    <w:p>
      <w:pPr>
        <w:pStyle w:val="BodyText"/>
        <w:spacing w:before="9"/>
        <w:ind w:left="0"/>
        <w:rPr>
          <w:sz w:val="9"/>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2"/>
        <w:gridCol w:w="1419"/>
        <w:gridCol w:w="1133"/>
        <w:gridCol w:w="1136"/>
        <w:gridCol w:w="4254"/>
      </w:tblGrid>
      <w:tr>
        <w:trPr>
          <w:trHeight w:val="438" w:hRule="atLeast"/>
        </w:trPr>
        <w:tc>
          <w:tcPr>
            <w:tcW w:w="1872" w:type="dxa"/>
          </w:tcPr>
          <w:p>
            <w:pPr>
              <w:pStyle w:val="TableParagraph"/>
              <w:tabs>
                <w:tab w:pos="847" w:val="left" w:leader="none"/>
              </w:tabs>
              <w:spacing w:line="346" w:lineRule="exact" w:before="72"/>
              <w:ind w:left="8"/>
              <w:jc w:val="center"/>
              <w:rPr>
                <w:sz w:val="28"/>
              </w:rPr>
            </w:pPr>
            <w:r>
              <w:rPr>
                <w:sz w:val="28"/>
              </w:rPr>
              <w:t>名</w:t>
              <w:tab/>
              <w:t>称</w:t>
            </w:r>
          </w:p>
        </w:tc>
        <w:tc>
          <w:tcPr>
            <w:tcW w:w="1419" w:type="dxa"/>
          </w:tcPr>
          <w:p>
            <w:pPr>
              <w:pStyle w:val="TableParagraph"/>
              <w:spacing w:line="346" w:lineRule="exact" w:before="72"/>
              <w:ind w:left="429"/>
              <w:rPr>
                <w:sz w:val="28"/>
              </w:rPr>
            </w:pPr>
            <w:r>
              <w:rPr>
                <w:sz w:val="28"/>
              </w:rPr>
              <w:t>姓名</w:t>
            </w:r>
          </w:p>
        </w:tc>
        <w:tc>
          <w:tcPr>
            <w:tcW w:w="1133" w:type="dxa"/>
          </w:tcPr>
          <w:p>
            <w:pPr>
              <w:pStyle w:val="TableParagraph"/>
              <w:spacing w:line="366" w:lineRule="exact" w:before="52"/>
              <w:ind w:left="264"/>
              <w:rPr>
                <w:sz w:val="30"/>
              </w:rPr>
            </w:pPr>
            <w:r>
              <w:rPr>
                <w:sz w:val="30"/>
              </w:rPr>
              <w:t>职务</w:t>
            </w:r>
          </w:p>
        </w:tc>
        <w:tc>
          <w:tcPr>
            <w:tcW w:w="1136" w:type="dxa"/>
          </w:tcPr>
          <w:p>
            <w:pPr>
              <w:pStyle w:val="TableParagraph"/>
              <w:spacing w:line="366" w:lineRule="exact" w:before="52"/>
              <w:ind w:left="266"/>
              <w:rPr>
                <w:sz w:val="30"/>
              </w:rPr>
            </w:pPr>
            <w:r>
              <w:rPr>
                <w:sz w:val="30"/>
              </w:rPr>
              <w:t>职称</w:t>
            </w:r>
          </w:p>
        </w:tc>
        <w:tc>
          <w:tcPr>
            <w:tcW w:w="4254" w:type="dxa"/>
          </w:tcPr>
          <w:p>
            <w:pPr>
              <w:pStyle w:val="TableParagraph"/>
              <w:spacing w:line="366" w:lineRule="exact" w:before="52"/>
              <w:ind w:left="88"/>
              <w:rPr>
                <w:sz w:val="30"/>
              </w:rPr>
            </w:pPr>
            <w:r>
              <w:rPr>
                <w:spacing w:val="-12"/>
                <w:sz w:val="30"/>
              </w:rPr>
              <w:t>主要资历、经验及承担过的项目</w:t>
            </w:r>
          </w:p>
        </w:tc>
      </w:tr>
      <w:tr>
        <w:trPr>
          <w:trHeight w:val="441" w:hRule="atLeast"/>
        </w:trPr>
        <w:tc>
          <w:tcPr>
            <w:tcW w:w="9814" w:type="dxa"/>
            <w:gridSpan w:val="5"/>
          </w:tcPr>
          <w:p>
            <w:pPr>
              <w:pStyle w:val="TableParagraph"/>
              <w:spacing w:line="349" w:lineRule="exact" w:before="72"/>
              <w:ind w:left="4047" w:right="4036"/>
              <w:jc w:val="center"/>
              <w:rPr>
                <w:sz w:val="28"/>
              </w:rPr>
            </w:pPr>
            <w:r>
              <w:rPr>
                <w:sz w:val="28"/>
              </w:rPr>
              <w:t>一、总部人员</w:t>
            </w:r>
          </w:p>
        </w:tc>
      </w:tr>
      <w:tr>
        <w:trPr>
          <w:trHeight w:val="438" w:hRule="atLeast"/>
        </w:trPr>
        <w:tc>
          <w:tcPr>
            <w:tcW w:w="1872" w:type="dxa"/>
          </w:tcPr>
          <w:p>
            <w:pPr>
              <w:pStyle w:val="TableParagraph"/>
              <w:spacing w:line="346" w:lineRule="exact" w:before="72"/>
              <w:ind w:left="10"/>
              <w:jc w:val="center"/>
              <w:rPr>
                <w:sz w:val="28"/>
              </w:rPr>
            </w:pPr>
            <w:r>
              <w:rPr>
                <w:sz w:val="28"/>
              </w:rPr>
              <w:t>项目主管</w:t>
            </w:r>
          </w:p>
        </w:tc>
        <w:tc>
          <w:tcPr>
            <w:tcW w:w="1419" w:type="dxa"/>
          </w:tcPr>
          <w:p>
            <w:pPr>
              <w:pStyle w:val="TableParagraph"/>
              <w:rPr>
                <w:rFonts w:ascii="Times New Roman"/>
                <w:sz w:val="28"/>
              </w:rPr>
            </w:pPr>
          </w:p>
        </w:tc>
        <w:tc>
          <w:tcPr>
            <w:tcW w:w="1133" w:type="dxa"/>
          </w:tcPr>
          <w:p>
            <w:pPr>
              <w:pStyle w:val="TableParagraph"/>
              <w:rPr>
                <w:rFonts w:ascii="Times New Roman"/>
                <w:sz w:val="28"/>
              </w:rPr>
            </w:pPr>
          </w:p>
        </w:tc>
        <w:tc>
          <w:tcPr>
            <w:tcW w:w="1136" w:type="dxa"/>
          </w:tcPr>
          <w:p>
            <w:pPr>
              <w:pStyle w:val="TableParagraph"/>
              <w:rPr>
                <w:rFonts w:ascii="Times New Roman"/>
                <w:sz w:val="28"/>
              </w:rPr>
            </w:pPr>
          </w:p>
        </w:tc>
        <w:tc>
          <w:tcPr>
            <w:tcW w:w="4254" w:type="dxa"/>
          </w:tcPr>
          <w:p>
            <w:pPr>
              <w:pStyle w:val="TableParagraph"/>
              <w:rPr>
                <w:rFonts w:ascii="Times New Roman"/>
                <w:sz w:val="28"/>
              </w:rPr>
            </w:pPr>
          </w:p>
        </w:tc>
      </w:tr>
      <w:tr>
        <w:trPr>
          <w:trHeight w:val="441" w:hRule="atLeast"/>
        </w:trPr>
        <w:tc>
          <w:tcPr>
            <w:tcW w:w="1872" w:type="dxa"/>
            <w:vMerge w:val="restart"/>
          </w:tcPr>
          <w:p>
            <w:pPr>
              <w:pStyle w:val="TableParagraph"/>
              <w:spacing w:before="5"/>
              <w:rPr>
                <w:sz w:val="38"/>
              </w:rPr>
            </w:pPr>
          </w:p>
          <w:p>
            <w:pPr>
              <w:pStyle w:val="TableParagraph"/>
              <w:ind w:left="374"/>
              <w:rPr>
                <w:sz w:val="28"/>
              </w:rPr>
            </w:pPr>
            <w:r>
              <w:rPr>
                <w:sz w:val="28"/>
              </w:rPr>
              <w:t>其他人员</w:t>
            </w:r>
          </w:p>
        </w:tc>
        <w:tc>
          <w:tcPr>
            <w:tcW w:w="1419" w:type="dxa"/>
          </w:tcPr>
          <w:p>
            <w:pPr>
              <w:pStyle w:val="TableParagraph"/>
              <w:rPr>
                <w:rFonts w:ascii="Times New Roman"/>
                <w:sz w:val="28"/>
              </w:rPr>
            </w:pPr>
          </w:p>
        </w:tc>
        <w:tc>
          <w:tcPr>
            <w:tcW w:w="1133" w:type="dxa"/>
          </w:tcPr>
          <w:p>
            <w:pPr>
              <w:pStyle w:val="TableParagraph"/>
              <w:rPr>
                <w:rFonts w:ascii="Times New Roman"/>
                <w:sz w:val="28"/>
              </w:rPr>
            </w:pPr>
          </w:p>
        </w:tc>
        <w:tc>
          <w:tcPr>
            <w:tcW w:w="1136" w:type="dxa"/>
          </w:tcPr>
          <w:p>
            <w:pPr>
              <w:pStyle w:val="TableParagraph"/>
              <w:rPr>
                <w:rFonts w:ascii="Times New Roman"/>
                <w:sz w:val="28"/>
              </w:rPr>
            </w:pPr>
          </w:p>
        </w:tc>
        <w:tc>
          <w:tcPr>
            <w:tcW w:w="4254" w:type="dxa"/>
          </w:tcPr>
          <w:p>
            <w:pPr>
              <w:pStyle w:val="TableParagraph"/>
              <w:rPr>
                <w:rFonts w:ascii="Times New Roman"/>
                <w:sz w:val="28"/>
              </w:rPr>
            </w:pPr>
          </w:p>
        </w:tc>
      </w:tr>
      <w:tr>
        <w:trPr>
          <w:trHeight w:val="438" w:hRule="atLeast"/>
        </w:trPr>
        <w:tc>
          <w:tcPr>
            <w:tcW w:w="1872" w:type="dxa"/>
            <w:vMerge/>
            <w:tcBorders>
              <w:top w:val="nil"/>
            </w:tcBorders>
          </w:tcPr>
          <w:p>
            <w:pPr>
              <w:rPr>
                <w:sz w:val="2"/>
                <w:szCs w:val="2"/>
              </w:rPr>
            </w:pPr>
          </w:p>
        </w:tc>
        <w:tc>
          <w:tcPr>
            <w:tcW w:w="1419" w:type="dxa"/>
          </w:tcPr>
          <w:p>
            <w:pPr>
              <w:pStyle w:val="TableParagraph"/>
              <w:rPr>
                <w:rFonts w:ascii="Times New Roman"/>
                <w:sz w:val="28"/>
              </w:rPr>
            </w:pPr>
          </w:p>
        </w:tc>
        <w:tc>
          <w:tcPr>
            <w:tcW w:w="1133" w:type="dxa"/>
          </w:tcPr>
          <w:p>
            <w:pPr>
              <w:pStyle w:val="TableParagraph"/>
              <w:rPr>
                <w:rFonts w:ascii="Times New Roman"/>
                <w:sz w:val="28"/>
              </w:rPr>
            </w:pPr>
          </w:p>
        </w:tc>
        <w:tc>
          <w:tcPr>
            <w:tcW w:w="1136" w:type="dxa"/>
          </w:tcPr>
          <w:p>
            <w:pPr>
              <w:pStyle w:val="TableParagraph"/>
              <w:rPr>
                <w:rFonts w:ascii="Times New Roman"/>
                <w:sz w:val="28"/>
              </w:rPr>
            </w:pPr>
          </w:p>
        </w:tc>
        <w:tc>
          <w:tcPr>
            <w:tcW w:w="4254" w:type="dxa"/>
          </w:tcPr>
          <w:p>
            <w:pPr>
              <w:pStyle w:val="TableParagraph"/>
              <w:rPr>
                <w:rFonts w:ascii="Times New Roman"/>
                <w:sz w:val="28"/>
              </w:rPr>
            </w:pPr>
          </w:p>
        </w:tc>
      </w:tr>
      <w:tr>
        <w:trPr>
          <w:trHeight w:val="441" w:hRule="atLeast"/>
        </w:trPr>
        <w:tc>
          <w:tcPr>
            <w:tcW w:w="1872" w:type="dxa"/>
            <w:vMerge/>
            <w:tcBorders>
              <w:top w:val="nil"/>
            </w:tcBorders>
          </w:tcPr>
          <w:p>
            <w:pPr>
              <w:rPr>
                <w:sz w:val="2"/>
                <w:szCs w:val="2"/>
              </w:rPr>
            </w:pPr>
          </w:p>
        </w:tc>
        <w:tc>
          <w:tcPr>
            <w:tcW w:w="1419" w:type="dxa"/>
          </w:tcPr>
          <w:p>
            <w:pPr>
              <w:pStyle w:val="TableParagraph"/>
              <w:rPr>
                <w:rFonts w:ascii="Times New Roman"/>
                <w:sz w:val="28"/>
              </w:rPr>
            </w:pPr>
          </w:p>
        </w:tc>
        <w:tc>
          <w:tcPr>
            <w:tcW w:w="1133" w:type="dxa"/>
          </w:tcPr>
          <w:p>
            <w:pPr>
              <w:pStyle w:val="TableParagraph"/>
              <w:rPr>
                <w:rFonts w:ascii="Times New Roman"/>
                <w:sz w:val="28"/>
              </w:rPr>
            </w:pPr>
          </w:p>
        </w:tc>
        <w:tc>
          <w:tcPr>
            <w:tcW w:w="1136" w:type="dxa"/>
          </w:tcPr>
          <w:p>
            <w:pPr>
              <w:pStyle w:val="TableParagraph"/>
              <w:rPr>
                <w:rFonts w:ascii="Times New Roman"/>
                <w:sz w:val="28"/>
              </w:rPr>
            </w:pPr>
          </w:p>
        </w:tc>
        <w:tc>
          <w:tcPr>
            <w:tcW w:w="4254" w:type="dxa"/>
          </w:tcPr>
          <w:p>
            <w:pPr>
              <w:pStyle w:val="TableParagraph"/>
              <w:rPr>
                <w:rFonts w:ascii="Times New Roman"/>
                <w:sz w:val="28"/>
              </w:rPr>
            </w:pPr>
          </w:p>
        </w:tc>
      </w:tr>
      <w:tr>
        <w:trPr>
          <w:trHeight w:val="438" w:hRule="atLeast"/>
        </w:trPr>
        <w:tc>
          <w:tcPr>
            <w:tcW w:w="9814" w:type="dxa"/>
            <w:gridSpan w:val="5"/>
          </w:tcPr>
          <w:p>
            <w:pPr>
              <w:pStyle w:val="TableParagraph"/>
              <w:spacing w:line="346" w:lineRule="exact" w:before="72"/>
              <w:ind w:left="4047" w:right="4036"/>
              <w:jc w:val="center"/>
              <w:rPr>
                <w:sz w:val="28"/>
              </w:rPr>
            </w:pPr>
            <w:r>
              <w:rPr>
                <w:sz w:val="28"/>
              </w:rPr>
              <w:t>二、现场人员</w:t>
            </w:r>
          </w:p>
        </w:tc>
      </w:tr>
      <w:tr>
        <w:trPr>
          <w:trHeight w:val="441" w:hRule="atLeast"/>
        </w:trPr>
        <w:tc>
          <w:tcPr>
            <w:tcW w:w="1872" w:type="dxa"/>
          </w:tcPr>
          <w:p>
            <w:pPr>
              <w:pStyle w:val="TableParagraph"/>
              <w:spacing w:line="349" w:lineRule="exact" w:before="72"/>
              <w:ind w:left="10"/>
              <w:jc w:val="center"/>
              <w:rPr>
                <w:sz w:val="28"/>
              </w:rPr>
            </w:pPr>
            <w:r>
              <w:rPr>
                <w:sz w:val="28"/>
              </w:rPr>
              <w:t>项目经理</w:t>
            </w:r>
          </w:p>
        </w:tc>
        <w:tc>
          <w:tcPr>
            <w:tcW w:w="1419" w:type="dxa"/>
          </w:tcPr>
          <w:p>
            <w:pPr>
              <w:pStyle w:val="TableParagraph"/>
              <w:rPr>
                <w:rFonts w:ascii="Times New Roman"/>
                <w:sz w:val="28"/>
              </w:rPr>
            </w:pPr>
          </w:p>
        </w:tc>
        <w:tc>
          <w:tcPr>
            <w:tcW w:w="1133" w:type="dxa"/>
          </w:tcPr>
          <w:p>
            <w:pPr>
              <w:pStyle w:val="TableParagraph"/>
              <w:rPr>
                <w:rFonts w:ascii="Times New Roman"/>
                <w:sz w:val="28"/>
              </w:rPr>
            </w:pPr>
          </w:p>
        </w:tc>
        <w:tc>
          <w:tcPr>
            <w:tcW w:w="1136" w:type="dxa"/>
          </w:tcPr>
          <w:p>
            <w:pPr>
              <w:pStyle w:val="TableParagraph"/>
              <w:rPr>
                <w:rFonts w:ascii="Times New Roman"/>
                <w:sz w:val="28"/>
              </w:rPr>
            </w:pPr>
          </w:p>
        </w:tc>
        <w:tc>
          <w:tcPr>
            <w:tcW w:w="4254" w:type="dxa"/>
          </w:tcPr>
          <w:p>
            <w:pPr>
              <w:pStyle w:val="TableParagraph"/>
              <w:rPr>
                <w:rFonts w:ascii="Times New Roman"/>
                <w:sz w:val="28"/>
              </w:rPr>
            </w:pPr>
          </w:p>
        </w:tc>
      </w:tr>
      <w:tr>
        <w:trPr>
          <w:trHeight w:val="438" w:hRule="atLeast"/>
        </w:trPr>
        <w:tc>
          <w:tcPr>
            <w:tcW w:w="1872" w:type="dxa"/>
          </w:tcPr>
          <w:p>
            <w:pPr>
              <w:pStyle w:val="TableParagraph"/>
              <w:spacing w:line="346" w:lineRule="exact" w:before="72"/>
              <w:ind w:left="10"/>
              <w:jc w:val="center"/>
              <w:rPr>
                <w:sz w:val="28"/>
              </w:rPr>
            </w:pPr>
            <w:r>
              <w:rPr>
                <w:sz w:val="28"/>
              </w:rPr>
              <w:t>项目副经理</w:t>
            </w:r>
          </w:p>
        </w:tc>
        <w:tc>
          <w:tcPr>
            <w:tcW w:w="1419" w:type="dxa"/>
          </w:tcPr>
          <w:p>
            <w:pPr>
              <w:pStyle w:val="TableParagraph"/>
              <w:rPr>
                <w:rFonts w:ascii="Times New Roman"/>
                <w:sz w:val="28"/>
              </w:rPr>
            </w:pPr>
          </w:p>
        </w:tc>
        <w:tc>
          <w:tcPr>
            <w:tcW w:w="1133" w:type="dxa"/>
          </w:tcPr>
          <w:p>
            <w:pPr>
              <w:pStyle w:val="TableParagraph"/>
              <w:rPr>
                <w:rFonts w:ascii="Times New Roman"/>
                <w:sz w:val="28"/>
              </w:rPr>
            </w:pPr>
          </w:p>
        </w:tc>
        <w:tc>
          <w:tcPr>
            <w:tcW w:w="1136" w:type="dxa"/>
          </w:tcPr>
          <w:p>
            <w:pPr>
              <w:pStyle w:val="TableParagraph"/>
              <w:rPr>
                <w:rFonts w:ascii="Times New Roman"/>
                <w:sz w:val="28"/>
              </w:rPr>
            </w:pPr>
          </w:p>
        </w:tc>
        <w:tc>
          <w:tcPr>
            <w:tcW w:w="4254" w:type="dxa"/>
          </w:tcPr>
          <w:p>
            <w:pPr>
              <w:pStyle w:val="TableParagraph"/>
              <w:rPr>
                <w:rFonts w:ascii="Times New Roman"/>
                <w:sz w:val="28"/>
              </w:rPr>
            </w:pPr>
          </w:p>
        </w:tc>
      </w:tr>
      <w:tr>
        <w:trPr>
          <w:trHeight w:val="441" w:hRule="atLeast"/>
        </w:trPr>
        <w:tc>
          <w:tcPr>
            <w:tcW w:w="1872" w:type="dxa"/>
          </w:tcPr>
          <w:p>
            <w:pPr>
              <w:pStyle w:val="TableParagraph"/>
              <w:spacing w:line="349" w:lineRule="exact" w:before="72"/>
              <w:ind w:left="10"/>
              <w:jc w:val="center"/>
              <w:rPr>
                <w:sz w:val="28"/>
              </w:rPr>
            </w:pPr>
            <w:r>
              <w:rPr>
                <w:sz w:val="28"/>
              </w:rPr>
              <w:t>技术负责人</w:t>
            </w:r>
          </w:p>
        </w:tc>
        <w:tc>
          <w:tcPr>
            <w:tcW w:w="1419" w:type="dxa"/>
          </w:tcPr>
          <w:p>
            <w:pPr>
              <w:pStyle w:val="TableParagraph"/>
              <w:rPr>
                <w:rFonts w:ascii="Times New Roman"/>
                <w:sz w:val="28"/>
              </w:rPr>
            </w:pPr>
          </w:p>
        </w:tc>
        <w:tc>
          <w:tcPr>
            <w:tcW w:w="1133" w:type="dxa"/>
          </w:tcPr>
          <w:p>
            <w:pPr>
              <w:pStyle w:val="TableParagraph"/>
              <w:rPr>
                <w:rFonts w:ascii="Times New Roman"/>
                <w:sz w:val="28"/>
              </w:rPr>
            </w:pPr>
          </w:p>
        </w:tc>
        <w:tc>
          <w:tcPr>
            <w:tcW w:w="1136" w:type="dxa"/>
          </w:tcPr>
          <w:p>
            <w:pPr>
              <w:pStyle w:val="TableParagraph"/>
              <w:rPr>
                <w:rFonts w:ascii="Times New Roman"/>
                <w:sz w:val="28"/>
              </w:rPr>
            </w:pPr>
          </w:p>
        </w:tc>
        <w:tc>
          <w:tcPr>
            <w:tcW w:w="4254" w:type="dxa"/>
          </w:tcPr>
          <w:p>
            <w:pPr>
              <w:pStyle w:val="TableParagraph"/>
              <w:rPr>
                <w:rFonts w:ascii="Times New Roman"/>
                <w:sz w:val="28"/>
              </w:rPr>
            </w:pPr>
          </w:p>
        </w:tc>
      </w:tr>
      <w:tr>
        <w:trPr>
          <w:trHeight w:val="438" w:hRule="atLeast"/>
        </w:trPr>
        <w:tc>
          <w:tcPr>
            <w:tcW w:w="1872" w:type="dxa"/>
          </w:tcPr>
          <w:p>
            <w:pPr>
              <w:pStyle w:val="TableParagraph"/>
              <w:spacing w:line="346" w:lineRule="exact" w:before="72"/>
              <w:ind w:left="10"/>
              <w:jc w:val="center"/>
              <w:rPr>
                <w:sz w:val="28"/>
              </w:rPr>
            </w:pPr>
            <w:r>
              <w:rPr>
                <w:sz w:val="28"/>
              </w:rPr>
              <w:t>造价管理</w:t>
            </w:r>
          </w:p>
        </w:tc>
        <w:tc>
          <w:tcPr>
            <w:tcW w:w="1419" w:type="dxa"/>
          </w:tcPr>
          <w:p>
            <w:pPr>
              <w:pStyle w:val="TableParagraph"/>
              <w:rPr>
                <w:rFonts w:ascii="Times New Roman"/>
                <w:sz w:val="28"/>
              </w:rPr>
            </w:pPr>
          </w:p>
        </w:tc>
        <w:tc>
          <w:tcPr>
            <w:tcW w:w="1133" w:type="dxa"/>
          </w:tcPr>
          <w:p>
            <w:pPr>
              <w:pStyle w:val="TableParagraph"/>
              <w:rPr>
                <w:rFonts w:ascii="Times New Roman"/>
                <w:sz w:val="28"/>
              </w:rPr>
            </w:pPr>
          </w:p>
        </w:tc>
        <w:tc>
          <w:tcPr>
            <w:tcW w:w="1136" w:type="dxa"/>
          </w:tcPr>
          <w:p>
            <w:pPr>
              <w:pStyle w:val="TableParagraph"/>
              <w:rPr>
                <w:rFonts w:ascii="Times New Roman"/>
                <w:sz w:val="28"/>
              </w:rPr>
            </w:pPr>
          </w:p>
        </w:tc>
        <w:tc>
          <w:tcPr>
            <w:tcW w:w="4254" w:type="dxa"/>
          </w:tcPr>
          <w:p>
            <w:pPr>
              <w:pStyle w:val="TableParagraph"/>
              <w:rPr>
                <w:rFonts w:ascii="Times New Roman"/>
                <w:sz w:val="28"/>
              </w:rPr>
            </w:pPr>
          </w:p>
        </w:tc>
      </w:tr>
      <w:tr>
        <w:trPr>
          <w:trHeight w:val="441" w:hRule="atLeast"/>
        </w:trPr>
        <w:tc>
          <w:tcPr>
            <w:tcW w:w="1872" w:type="dxa"/>
          </w:tcPr>
          <w:p>
            <w:pPr>
              <w:pStyle w:val="TableParagraph"/>
              <w:spacing w:line="349" w:lineRule="exact" w:before="72"/>
              <w:ind w:left="10"/>
              <w:jc w:val="center"/>
              <w:rPr>
                <w:sz w:val="28"/>
              </w:rPr>
            </w:pPr>
            <w:r>
              <w:rPr>
                <w:sz w:val="28"/>
              </w:rPr>
              <w:t>质量管理</w:t>
            </w:r>
          </w:p>
        </w:tc>
        <w:tc>
          <w:tcPr>
            <w:tcW w:w="1419" w:type="dxa"/>
          </w:tcPr>
          <w:p>
            <w:pPr>
              <w:pStyle w:val="TableParagraph"/>
              <w:rPr>
                <w:rFonts w:ascii="Times New Roman"/>
                <w:sz w:val="28"/>
              </w:rPr>
            </w:pPr>
          </w:p>
        </w:tc>
        <w:tc>
          <w:tcPr>
            <w:tcW w:w="1133" w:type="dxa"/>
          </w:tcPr>
          <w:p>
            <w:pPr>
              <w:pStyle w:val="TableParagraph"/>
              <w:rPr>
                <w:rFonts w:ascii="Times New Roman"/>
                <w:sz w:val="28"/>
              </w:rPr>
            </w:pPr>
          </w:p>
        </w:tc>
        <w:tc>
          <w:tcPr>
            <w:tcW w:w="1136" w:type="dxa"/>
          </w:tcPr>
          <w:p>
            <w:pPr>
              <w:pStyle w:val="TableParagraph"/>
              <w:rPr>
                <w:rFonts w:ascii="Times New Roman"/>
                <w:sz w:val="28"/>
              </w:rPr>
            </w:pPr>
          </w:p>
        </w:tc>
        <w:tc>
          <w:tcPr>
            <w:tcW w:w="4254" w:type="dxa"/>
          </w:tcPr>
          <w:p>
            <w:pPr>
              <w:pStyle w:val="TableParagraph"/>
              <w:rPr>
                <w:rFonts w:ascii="Times New Roman"/>
                <w:sz w:val="28"/>
              </w:rPr>
            </w:pPr>
          </w:p>
        </w:tc>
      </w:tr>
      <w:tr>
        <w:trPr>
          <w:trHeight w:val="436" w:hRule="atLeast"/>
        </w:trPr>
        <w:tc>
          <w:tcPr>
            <w:tcW w:w="1872" w:type="dxa"/>
            <w:tcBorders>
              <w:bottom w:val="single" w:sz="6" w:space="0" w:color="000000"/>
            </w:tcBorders>
          </w:tcPr>
          <w:p>
            <w:pPr>
              <w:pStyle w:val="TableParagraph"/>
              <w:spacing w:line="344" w:lineRule="exact" w:before="72"/>
              <w:ind w:left="10"/>
              <w:jc w:val="center"/>
              <w:rPr>
                <w:sz w:val="28"/>
              </w:rPr>
            </w:pPr>
            <w:r>
              <w:rPr>
                <w:sz w:val="28"/>
              </w:rPr>
              <w:t>材料管理</w:t>
            </w:r>
          </w:p>
        </w:tc>
        <w:tc>
          <w:tcPr>
            <w:tcW w:w="1419" w:type="dxa"/>
            <w:tcBorders>
              <w:bottom w:val="single" w:sz="6" w:space="0" w:color="000000"/>
            </w:tcBorders>
          </w:tcPr>
          <w:p>
            <w:pPr>
              <w:pStyle w:val="TableParagraph"/>
              <w:rPr>
                <w:rFonts w:ascii="Times New Roman"/>
                <w:sz w:val="28"/>
              </w:rPr>
            </w:pPr>
          </w:p>
        </w:tc>
        <w:tc>
          <w:tcPr>
            <w:tcW w:w="1133" w:type="dxa"/>
            <w:tcBorders>
              <w:bottom w:val="single" w:sz="6" w:space="0" w:color="000000"/>
            </w:tcBorders>
          </w:tcPr>
          <w:p>
            <w:pPr>
              <w:pStyle w:val="TableParagraph"/>
              <w:rPr>
                <w:rFonts w:ascii="Times New Roman"/>
                <w:sz w:val="28"/>
              </w:rPr>
            </w:pPr>
          </w:p>
        </w:tc>
        <w:tc>
          <w:tcPr>
            <w:tcW w:w="1136" w:type="dxa"/>
            <w:tcBorders>
              <w:bottom w:val="single" w:sz="6" w:space="0" w:color="000000"/>
            </w:tcBorders>
          </w:tcPr>
          <w:p>
            <w:pPr>
              <w:pStyle w:val="TableParagraph"/>
              <w:rPr>
                <w:rFonts w:ascii="Times New Roman"/>
                <w:sz w:val="28"/>
              </w:rPr>
            </w:pPr>
          </w:p>
        </w:tc>
        <w:tc>
          <w:tcPr>
            <w:tcW w:w="4254" w:type="dxa"/>
            <w:tcBorders>
              <w:bottom w:val="single" w:sz="6" w:space="0" w:color="000000"/>
            </w:tcBorders>
          </w:tcPr>
          <w:p>
            <w:pPr>
              <w:pStyle w:val="TableParagraph"/>
              <w:rPr>
                <w:rFonts w:ascii="Times New Roman"/>
                <w:sz w:val="28"/>
              </w:rPr>
            </w:pPr>
          </w:p>
        </w:tc>
      </w:tr>
      <w:tr>
        <w:trPr>
          <w:trHeight w:val="438" w:hRule="atLeast"/>
        </w:trPr>
        <w:tc>
          <w:tcPr>
            <w:tcW w:w="1872" w:type="dxa"/>
            <w:tcBorders>
              <w:top w:val="single" w:sz="6" w:space="0" w:color="000000"/>
            </w:tcBorders>
          </w:tcPr>
          <w:p>
            <w:pPr>
              <w:pStyle w:val="TableParagraph"/>
              <w:spacing w:line="349" w:lineRule="exact" w:before="70"/>
              <w:ind w:left="10"/>
              <w:jc w:val="center"/>
              <w:rPr>
                <w:sz w:val="28"/>
              </w:rPr>
            </w:pPr>
            <w:r>
              <w:rPr>
                <w:sz w:val="28"/>
              </w:rPr>
              <w:t>计划管理</w:t>
            </w:r>
          </w:p>
        </w:tc>
        <w:tc>
          <w:tcPr>
            <w:tcW w:w="1419" w:type="dxa"/>
            <w:tcBorders>
              <w:top w:val="single" w:sz="6" w:space="0" w:color="000000"/>
            </w:tcBorders>
          </w:tcPr>
          <w:p>
            <w:pPr>
              <w:pStyle w:val="TableParagraph"/>
              <w:rPr>
                <w:rFonts w:ascii="Times New Roman"/>
                <w:sz w:val="28"/>
              </w:rPr>
            </w:pPr>
          </w:p>
        </w:tc>
        <w:tc>
          <w:tcPr>
            <w:tcW w:w="1133" w:type="dxa"/>
            <w:tcBorders>
              <w:top w:val="single" w:sz="6" w:space="0" w:color="000000"/>
            </w:tcBorders>
          </w:tcPr>
          <w:p>
            <w:pPr>
              <w:pStyle w:val="TableParagraph"/>
              <w:rPr>
                <w:rFonts w:ascii="Times New Roman"/>
                <w:sz w:val="28"/>
              </w:rPr>
            </w:pPr>
          </w:p>
        </w:tc>
        <w:tc>
          <w:tcPr>
            <w:tcW w:w="1136" w:type="dxa"/>
            <w:tcBorders>
              <w:top w:val="single" w:sz="6" w:space="0" w:color="000000"/>
            </w:tcBorders>
          </w:tcPr>
          <w:p>
            <w:pPr>
              <w:pStyle w:val="TableParagraph"/>
              <w:rPr>
                <w:rFonts w:ascii="Times New Roman"/>
                <w:sz w:val="28"/>
              </w:rPr>
            </w:pPr>
          </w:p>
        </w:tc>
        <w:tc>
          <w:tcPr>
            <w:tcW w:w="4254" w:type="dxa"/>
            <w:tcBorders>
              <w:top w:val="single" w:sz="6" w:space="0" w:color="000000"/>
            </w:tcBorders>
          </w:tcPr>
          <w:p>
            <w:pPr>
              <w:pStyle w:val="TableParagraph"/>
              <w:rPr>
                <w:rFonts w:ascii="Times New Roman"/>
                <w:sz w:val="28"/>
              </w:rPr>
            </w:pPr>
          </w:p>
        </w:tc>
      </w:tr>
      <w:tr>
        <w:trPr>
          <w:trHeight w:val="438" w:hRule="atLeast"/>
        </w:trPr>
        <w:tc>
          <w:tcPr>
            <w:tcW w:w="1872" w:type="dxa"/>
          </w:tcPr>
          <w:p>
            <w:pPr>
              <w:pStyle w:val="TableParagraph"/>
              <w:spacing w:line="346" w:lineRule="exact" w:before="72"/>
              <w:ind w:left="10"/>
              <w:jc w:val="center"/>
              <w:rPr>
                <w:sz w:val="28"/>
              </w:rPr>
            </w:pPr>
            <w:r>
              <w:rPr>
                <w:sz w:val="28"/>
              </w:rPr>
              <w:t>安全管理</w:t>
            </w:r>
          </w:p>
        </w:tc>
        <w:tc>
          <w:tcPr>
            <w:tcW w:w="1419" w:type="dxa"/>
          </w:tcPr>
          <w:p>
            <w:pPr>
              <w:pStyle w:val="TableParagraph"/>
              <w:rPr>
                <w:rFonts w:ascii="Times New Roman"/>
                <w:sz w:val="28"/>
              </w:rPr>
            </w:pPr>
          </w:p>
        </w:tc>
        <w:tc>
          <w:tcPr>
            <w:tcW w:w="1133" w:type="dxa"/>
          </w:tcPr>
          <w:p>
            <w:pPr>
              <w:pStyle w:val="TableParagraph"/>
              <w:rPr>
                <w:rFonts w:ascii="Times New Roman"/>
                <w:sz w:val="28"/>
              </w:rPr>
            </w:pPr>
          </w:p>
        </w:tc>
        <w:tc>
          <w:tcPr>
            <w:tcW w:w="1136" w:type="dxa"/>
          </w:tcPr>
          <w:p>
            <w:pPr>
              <w:pStyle w:val="TableParagraph"/>
              <w:rPr>
                <w:rFonts w:ascii="Times New Roman"/>
                <w:sz w:val="28"/>
              </w:rPr>
            </w:pPr>
          </w:p>
        </w:tc>
        <w:tc>
          <w:tcPr>
            <w:tcW w:w="4254" w:type="dxa"/>
          </w:tcPr>
          <w:p>
            <w:pPr>
              <w:pStyle w:val="TableParagraph"/>
              <w:rPr>
                <w:rFonts w:ascii="Times New Roman"/>
                <w:sz w:val="28"/>
              </w:rPr>
            </w:pPr>
          </w:p>
        </w:tc>
      </w:tr>
      <w:tr>
        <w:trPr>
          <w:trHeight w:val="441" w:hRule="atLeast"/>
        </w:trPr>
        <w:tc>
          <w:tcPr>
            <w:tcW w:w="1872" w:type="dxa"/>
            <w:vMerge w:val="restart"/>
          </w:tcPr>
          <w:p>
            <w:pPr>
              <w:pStyle w:val="TableParagraph"/>
              <w:rPr>
                <w:sz w:val="28"/>
              </w:rPr>
            </w:pPr>
          </w:p>
          <w:p>
            <w:pPr>
              <w:pStyle w:val="TableParagraph"/>
              <w:rPr>
                <w:sz w:val="28"/>
              </w:rPr>
            </w:pPr>
          </w:p>
          <w:p>
            <w:pPr>
              <w:pStyle w:val="TableParagraph"/>
              <w:spacing w:before="6"/>
              <w:rPr>
                <w:sz w:val="37"/>
              </w:rPr>
            </w:pPr>
          </w:p>
          <w:p>
            <w:pPr>
              <w:pStyle w:val="TableParagraph"/>
              <w:ind w:left="374"/>
              <w:rPr>
                <w:sz w:val="28"/>
              </w:rPr>
            </w:pPr>
            <w:r>
              <w:rPr>
                <w:sz w:val="28"/>
              </w:rPr>
              <w:t>其他人员</w:t>
            </w:r>
          </w:p>
        </w:tc>
        <w:tc>
          <w:tcPr>
            <w:tcW w:w="1419" w:type="dxa"/>
          </w:tcPr>
          <w:p>
            <w:pPr>
              <w:pStyle w:val="TableParagraph"/>
              <w:rPr>
                <w:rFonts w:ascii="Times New Roman"/>
                <w:sz w:val="28"/>
              </w:rPr>
            </w:pPr>
          </w:p>
        </w:tc>
        <w:tc>
          <w:tcPr>
            <w:tcW w:w="1133" w:type="dxa"/>
          </w:tcPr>
          <w:p>
            <w:pPr>
              <w:pStyle w:val="TableParagraph"/>
              <w:rPr>
                <w:rFonts w:ascii="Times New Roman"/>
                <w:sz w:val="28"/>
              </w:rPr>
            </w:pPr>
          </w:p>
        </w:tc>
        <w:tc>
          <w:tcPr>
            <w:tcW w:w="1136" w:type="dxa"/>
          </w:tcPr>
          <w:p>
            <w:pPr>
              <w:pStyle w:val="TableParagraph"/>
              <w:rPr>
                <w:rFonts w:ascii="Times New Roman"/>
                <w:sz w:val="28"/>
              </w:rPr>
            </w:pPr>
          </w:p>
        </w:tc>
        <w:tc>
          <w:tcPr>
            <w:tcW w:w="4254" w:type="dxa"/>
          </w:tcPr>
          <w:p>
            <w:pPr>
              <w:pStyle w:val="TableParagraph"/>
              <w:rPr>
                <w:rFonts w:ascii="Times New Roman"/>
                <w:sz w:val="28"/>
              </w:rPr>
            </w:pPr>
          </w:p>
        </w:tc>
      </w:tr>
      <w:tr>
        <w:trPr>
          <w:trHeight w:val="438" w:hRule="atLeast"/>
        </w:trPr>
        <w:tc>
          <w:tcPr>
            <w:tcW w:w="1872" w:type="dxa"/>
            <w:vMerge/>
            <w:tcBorders>
              <w:top w:val="nil"/>
            </w:tcBorders>
          </w:tcPr>
          <w:p>
            <w:pPr>
              <w:rPr>
                <w:sz w:val="2"/>
                <w:szCs w:val="2"/>
              </w:rPr>
            </w:pPr>
          </w:p>
        </w:tc>
        <w:tc>
          <w:tcPr>
            <w:tcW w:w="1419" w:type="dxa"/>
          </w:tcPr>
          <w:p>
            <w:pPr>
              <w:pStyle w:val="TableParagraph"/>
              <w:rPr>
                <w:rFonts w:ascii="Times New Roman"/>
                <w:sz w:val="28"/>
              </w:rPr>
            </w:pPr>
          </w:p>
        </w:tc>
        <w:tc>
          <w:tcPr>
            <w:tcW w:w="1133" w:type="dxa"/>
          </w:tcPr>
          <w:p>
            <w:pPr>
              <w:pStyle w:val="TableParagraph"/>
              <w:rPr>
                <w:rFonts w:ascii="Times New Roman"/>
                <w:sz w:val="28"/>
              </w:rPr>
            </w:pPr>
          </w:p>
        </w:tc>
        <w:tc>
          <w:tcPr>
            <w:tcW w:w="1136" w:type="dxa"/>
          </w:tcPr>
          <w:p>
            <w:pPr>
              <w:pStyle w:val="TableParagraph"/>
              <w:rPr>
                <w:rFonts w:ascii="Times New Roman"/>
                <w:sz w:val="28"/>
              </w:rPr>
            </w:pPr>
          </w:p>
        </w:tc>
        <w:tc>
          <w:tcPr>
            <w:tcW w:w="4254" w:type="dxa"/>
          </w:tcPr>
          <w:p>
            <w:pPr>
              <w:pStyle w:val="TableParagraph"/>
              <w:rPr>
                <w:rFonts w:ascii="Times New Roman"/>
                <w:sz w:val="28"/>
              </w:rPr>
            </w:pPr>
          </w:p>
        </w:tc>
      </w:tr>
      <w:tr>
        <w:trPr>
          <w:trHeight w:val="441" w:hRule="atLeast"/>
        </w:trPr>
        <w:tc>
          <w:tcPr>
            <w:tcW w:w="1872" w:type="dxa"/>
            <w:vMerge/>
            <w:tcBorders>
              <w:top w:val="nil"/>
            </w:tcBorders>
          </w:tcPr>
          <w:p>
            <w:pPr>
              <w:rPr>
                <w:sz w:val="2"/>
                <w:szCs w:val="2"/>
              </w:rPr>
            </w:pPr>
          </w:p>
        </w:tc>
        <w:tc>
          <w:tcPr>
            <w:tcW w:w="1419" w:type="dxa"/>
          </w:tcPr>
          <w:p>
            <w:pPr>
              <w:pStyle w:val="TableParagraph"/>
              <w:rPr>
                <w:rFonts w:ascii="Times New Roman"/>
                <w:sz w:val="28"/>
              </w:rPr>
            </w:pPr>
          </w:p>
        </w:tc>
        <w:tc>
          <w:tcPr>
            <w:tcW w:w="1133" w:type="dxa"/>
          </w:tcPr>
          <w:p>
            <w:pPr>
              <w:pStyle w:val="TableParagraph"/>
              <w:rPr>
                <w:rFonts w:ascii="Times New Roman"/>
                <w:sz w:val="28"/>
              </w:rPr>
            </w:pPr>
          </w:p>
        </w:tc>
        <w:tc>
          <w:tcPr>
            <w:tcW w:w="1136" w:type="dxa"/>
          </w:tcPr>
          <w:p>
            <w:pPr>
              <w:pStyle w:val="TableParagraph"/>
              <w:rPr>
                <w:rFonts w:ascii="Times New Roman"/>
                <w:sz w:val="28"/>
              </w:rPr>
            </w:pPr>
          </w:p>
        </w:tc>
        <w:tc>
          <w:tcPr>
            <w:tcW w:w="4254" w:type="dxa"/>
          </w:tcPr>
          <w:p>
            <w:pPr>
              <w:pStyle w:val="TableParagraph"/>
              <w:rPr>
                <w:rFonts w:ascii="Times New Roman"/>
                <w:sz w:val="28"/>
              </w:rPr>
            </w:pPr>
          </w:p>
        </w:tc>
      </w:tr>
      <w:tr>
        <w:trPr>
          <w:trHeight w:val="438" w:hRule="atLeast"/>
        </w:trPr>
        <w:tc>
          <w:tcPr>
            <w:tcW w:w="1872" w:type="dxa"/>
            <w:vMerge/>
            <w:tcBorders>
              <w:top w:val="nil"/>
            </w:tcBorders>
          </w:tcPr>
          <w:p>
            <w:pPr>
              <w:rPr>
                <w:sz w:val="2"/>
                <w:szCs w:val="2"/>
              </w:rPr>
            </w:pPr>
          </w:p>
        </w:tc>
        <w:tc>
          <w:tcPr>
            <w:tcW w:w="1419" w:type="dxa"/>
          </w:tcPr>
          <w:p>
            <w:pPr>
              <w:pStyle w:val="TableParagraph"/>
              <w:rPr>
                <w:rFonts w:ascii="Times New Roman"/>
                <w:sz w:val="28"/>
              </w:rPr>
            </w:pPr>
          </w:p>
        </w:tc>
        <w:tc>
          <w:tcPr>
            <w:tcW w:w="1133" w:type="dxa"/>
          </w:tcPr>
          <w:p>
            <w:pPr>
              <w:pStyle w:val="TableParagraph"/>
              <w:rPr>
                <w:rFonts w:ascii="Times New Roman"/>
                <w:sz w:val="28"/>
              </w:rPr>
            </w:pPr>
          </w:p>
        </w:tc>
        <w:tc>
          <w:tcPr>
            <w:tcW w:w="1136" w:type="dxa"/>
          </w:tcPr>
          <w:p>
            <w:pPr>
              <w:pStyle w:val="TableParagraph"/>
              <w:rPr>
                <w:rFonts w:ascii="Times New Roman"/>
                <w:sz w:val="28"/>
              </w:rPr>
            </w:pPr>
          </w:p>
        </w:tc>
        <w:tc>
          <w:tcPr>
            <w:tcW w:w="4254" w:type="dxa"/>
          </w:tcPr>
          <w:p>
            <w:pPr>
              <w:pStyle w:val="TableParagraph"/>
              <w:rPr>
                <w:rFonts w:ascii="Times New Roman"/>
                <w:sz w:val="28"/>
              </w:rPr>
            </w:pPr>
          </w:p>
        </w:tc>
      </w:tr>
      <w:tr>
        <w:trPr>
          <w:trHeight w:val="441" w:hRule="atLeast"/>
        </w:trPr>
        <w:tc>
          <w:tcPr>
            <w:tcW w:w="1872" w:type="dxa"/>
            <w:vMerge/>
            <w:tcBorders>
              <w:top w:val="nil"/>
            </w:tcBorders>
          </w:tcPr>
          <w:p>
            <w:pPr>
              <w:rPr>
                <w:sz w:val="2"/>
                <w:szCs w:val="2"/>
              </w:rPr>
            </w:pPr>
          </w:p>
        </w:tc>
        <w:tc>
          <w:tcPr>
            <w:tcW w:w="1419" w:type="dxa"/>
          </w:tcPr>
          <w:p>
            <w:pPr>
              <w:pStyle w:val="TableParagraph"/>
              <w:rPr>
                <w:rFonts w:ascii="Times New Roman"/>
                <w:sz w:val="28"/>
              </w:rPr>
            </w:pPr>
          </w:p>
        </w:tc>
        <w:tc>
          <w:tcPr>
            <w:tcW w:w="1133" w:type="dxa"/>
          </w:tcPr>
          <w:p>
            <w:pPr>
              <w:pStyle w:val="TableParagraph"/>
              <w:rPr>
                <w:rFonts w:ascii="Times New Roman"/>
                <w:sz w:val="28"/>
              </w:rPr>
            </w:pPr>
          </w:p>
        </w:tc>
        <w:tc>
          <w:tcPr>
            <w:tcW w:w="1136" w:type="dxa"/>
          </w:tcPr>
          <w:p>
            <w:pPr>
              <w:pStyle w:val="TableParagraph"/>
              <w:rPr>
                <w:rFonts w:ascii="Times New Roman"/>
                <w:sz w:val="28"/>
              </w:rPr>
            </w:pPr>
          </w:p>
        </w:tc>
        <w:tc>
          <w:tcPr>
            <w:tcW w:w="4254" w:type="dxa"/>
          </w:tcPr>
          <w:p>
            <w:pPr>
              <w:pStyle w:val="TableParagraph"/>
              <w:rPr>
                <w:rFonts w:ascii="Times New Roman"/>
                <w:sz w:val="28"/>
              </w:rPr>
            </w:pPr>
          </w:p>
        </w:tc>
      </w:tr>
      <w:tr>
        <w:trPr>
          <w:trHeight w:val="439" w:hRule="atLeast"/>
        </w:trPr>
        <w:tc>
          <w:tcPr>
            <w:tcW w:w="1872" w:type="dxa"/>
            <w:vMerge/>
            <w:tcBorders>
              <w:top w:val="nil"/>
            </w:tcBorders>
          </w:tcPr>
          <w:p>
            <w:pPr>
              <w:rPr>
                <w:sz w:val="2"/>
                <w:szCs w:val="2"/>
              </w:rPr>
            </w:pPr>
          </w:p>
        </w:tc>
        <w:tc>
          <w:tcPr>
            <w:tcW w:w="1419" w:type="dxa"/>
          </w:tcPr>
          <w:p>
            <w:pPr>
              <w:pStyle w:val="TableParagraph"/>
              <w:rPr>
                <w:rFonts w:ascii="Times New Roman"/>
                <w:sz w:val="28"/>
              </w:rPr>
            </w:pPr>
          </w:p>
        </w:tc>
        <w:tc>
          <w:tcPr>
            <w:tcW w:w="1133" w:type="dxa"/>
          </w:tcPr>
          <w:p>
            <w:pPr>
              <w:pStyle w:val="TableParagraph"/>
              <w:rPr>
                <w:rFonts w:ascii="Times New Roman"/>
                <w:sz w:val="28"/>
              </w:rPr>
            </w:pPr>
          </w:p>
        </w:tc>
        <w:tc>
          <w:tcPr>
            <w:tcW w:w="1136" w:type="dxa"/>
          </w:tcPr>
          <w:p>
            <w:pPr>
              <w:pStyle w:val="TableParagraph"/>
              <w:rPr>
                <w:rFonts w:ascii="Times New Roman"/>
                <w:sz w:val="28"/>
              </w:rPr>
            </w:pPr>
          </w:p>
        </w:tc>
        <w:tc>
          <w:tcPr>
            <w:tcW w:w="4254" w:type="dxa"/>
          </w:tcPr>
          <w:p>
            <w:pPr>
              <w:pStyle w:val="TableParagraph"/>
              <w:rPr>
                <w:rFonts w:ascii="Times New Roman"/>
                <w:sz w:val="28"/>
              </w:rPr>
            </w:pPr>
          </w:p>
        </w:tc>
      </w:tr>
    </w:tbl>
    <w:p>
      <w:pPr>
        <w:spacing w:after="0"/>
        <w:rPr>
          <w:rFonts w:ascii="Times New Roman"/>
          <w:sz w:val="28"/>
        </w:rPr>
        <w:sectPr>
          <w:type w:val="continuous"/>
          <w:pgSz w:w="11910" w:h="16850"/>
          <w:pgMar w:top="1380" w:bottom="1040" w:left="1120" w:right="280"/>
        </w:sectPr>
      </w:pPr>
    </w:p>
    <w:p>
      <w:pPr>
        <w:spacing w:before="52"/>
        <w:ind w:left="678" w:right="0" w:firstLine="0"/>
        <w:jc w:val="left"/>
        <w:rPr>
          <w:sz w:val="30"/>
        </w:rPr>
      </w:pPr>
      <w:r>
        <w:rPr>
          <w:spacing w:val="-26"/>
          <w:sz w:val="30"/>
        </w:rPr>
        <w:t>附件 </w:t>
      </w:r>
      <w:r>
        <w:rPr>
          <w:rFonts w:ascii="Times New Roman" w:eastAsia="Times New Roman"/>
          <w:sz w:val="30"/>
        </w:rPr>
        <w:t>7</w:t>
      </w:r>
      <w:r>
        <w:rPr>
          <w:sz w:val="30"/>
        </w:rPr>
        <w:t>：</w:t>
      </w:r>
    </w:p>
    <w:p>
      <w:pPr>
        <w:pStyle w:val="BodyText"/>
        <w:ind w:left="0"/>
        <w:rPr>
          <w:sz w:val="30"/>
        </w:rPr>
      </w:pPr>
      <w:r>
        <w:rPr/>
        <w:br w:type="column"/>
      </w:r>
      <w:r>
        <w:rPr>
          <w:sz w:val="30"/>
        </w:rPr>
      </w:r>
    </w:p>
    <w:p>
      <w:pPr>
        <w:spacing w:before="227"/>
        <w:ind w:left="678" w:right="0" w:firstLine="0"/>
        <w:jc w:val="left"/>
        <w:rPr>
          <w:sz w:val="30"/>
        </w:rPr>
      </w:pPr>
      <w:r>
        <w:rPr>
          <w:sz w:val="30"/>
        </w:rPr>
        <w:t>履约担保</w:t>
      </w:r>
    </w:p>
    <w:p>
      <w:pPr>
        <w:spacing w:after="0"/>
        <w:jc w:val="left"/>
        <w:rPr>
          <w:sz w:val="30"/>
        </w:rPr>
        <w:sectPr>
          <w:pgSz w:w="11910" w:h="16850"/>
          <w:pgMar w:header="0" w:footer="779" w:top="1440" w:bottom="1040" w:left="1120" w:right="280"/>
          <w:cols w:num="2" w:equalWidth="0">
            <w:col w:w="1844" w:space="1891"/>
            <w:col w:w="6775"/>
          </w:cols>
        </w:sectPr>
      </w:pPr>
    </w:p>
    <w:p>
      <w:pPr>
        <w:pStyle w:val="BodyText"/>
        <w:ind w:left="0"/>
        <w:rPr>
          <w:sz w:val="20"/>
        </w:rPr>
      </w:pPr>
    </w:p>
    <w:p>
      <w:pPr>
        <w:pStyle w:val="BodyText"/>
        <w:spacing w:before="1"/>
        <w:ind w:left="0"/>
        <w:rPr>
          <w:sz w:val="18"/>
        </w:rPr>
      </w:pPr>
    </w:p>
    <w:p>
      <w:pPr>
        <w:pStyle w:val="BodyText"/>
        <w:tabs>
          <w:tab w:pos="3409" w:val="left" w:leader="none"/>
        </w:tabs>
      </w:pPr>
      <w:r>
        <w:rPr>
          <w:rFonts w:ascii="Times New Roman" w:eastAsia="Times New Roman"/>
          <w:w w:val="100"/>
          <w:u w:val="single"/>
        </w:rPr>
        <w:t> </w:t>
      </w:r>
      <w:r>
        <w:rPr>
          <w:rFonts w:ascii="Times New Roman" w:eastAsia="Times New Roman"/>
          <w:u w:val="single"/>
        </w:rPr>
        <w:tab/>
      </w:r>
      <w:r>
        <w:rPr>
          <w:spacing w:val="-3"/>
          <w:w w:val="100"/>
        </w:rPr>
        <w:t>（发包人名称</w:t>
      </w:r>
      <w:r>
        <w:rPr>
          <w:spacing w:val="-106"/>
          <w:w w:val="100"/>
        </w:rPr>
        <w:t>）</w:t>
      </w:r>
      <w:r>
        <w:rPr>
          <w:w w:val="100"/>
        </w:rPr>
        <w:t>：</w:t>
      </w:r>
    </w:p>
    <w:p>
      <w:pPr>
        <w:pStyle w:val="BodyText"/>
        <w:tabs>
          <w:tab w:pos="2050" w:val="left" w:leader="none"/>
          <w:tab w:pos="2898" w:val="left" w:leader="none"/>
          <w:tab w:pos="3745" w:val="left" w:leader="none"/>
          <w:tab w:pos="5711" w:val="left" w:leader="none"/>
          <w:tab w:pos="6393" w:val="left" w:leader="none"/>
          <w:tab w:pos="7631" w:val="left" w:leader="none"/>
          <w:tab w:pos="8873" w:val="left" w:leader="none"/>
          <w:tab w:pos="8925" w:val="left" w:leader="none"/>
        </w:tabs>
        <w:spacing w:line="364" w:lineRule="auto" w:before="139"/>
        <w:ind w:right="1098" w:firstLine="419"/>
        <w:jc w:val="both"/>
      </w:pPr>
      <w:r>
        <w:rPr/>
        <w:t>鉴于</w:t>
      </w:r>
      <w:r>
        <w:rPr>
          <w:u w:val="single"/>
        </w:rPr>
        <w:t> </w:t>
        <w:tab/>
        <w:tab/>
        <w:tab/>
        <w:tab/>
      </w:r>
      <w:r>
        <w:rPr>
          <w:spacing w:val="-3"/>
        </w:rPr>
        <w:t>（</w:t>
      </w:r>
      <w:r>
        <w:rPr/>
        <w:t>发包</w:t>
      </w:r>
      <w:r>
        <w:rPr>
          <w:spacing w:val="-3"/>
        </w:rPr>
        <w:t>人</w:t>
      </w:r>
      <w:r>
        <w:rPr/>
        <w:t>名</w:t>
      </w:r>
      <w:r>
        <w:rPr>
          <w:spacing w:val="-3"/>
        </w:rPr>
        <w:t>称</w:t>
      </w:r>
      <w:r>
        <w:rPr>
          <w:spacing w:val="-8"/>
        </w:rPr>
        <w:t>，</w:t>
      </w:r>
      <w:r>
        <w:rPr>
          <w:spacing w:val="-3"/>
        </w:rPr>
        <w:t>以</w:t>
      </w:r>
      <w:r>
        <w:rPr/>
        <w:t>下</w:t>
      </w:r>
      <w:r>
        <w:rPr>
          <w:spacing w:val="-3"/>
        </w:rPr>
        <w:t>简</w:t>
      </w:r>
      <w:r>
        <w:rPr/>
        <w:t>称</w:t>
      </w:r>
      <w:r>
        <w:rPr>
          <w:rFonts w:ascii="Times New Roman" w:hAnsi="Times New Roman" w:eastAsia="Times New Roman"/>
          <w:spacing w:val="-3"/>
        </w:rPr>
        <w:t>“</w:t>
      </w:r>
      <w:r>
        <w:rPr>
          <w:spacing w:val="-3"/>
        </w:rPr>
        <w:t>发</w:t>
      </w:r>
      <w:r>
        <w:rPr/>
        <w:t>包人</w:t>
      </w:r>
      <w:r>
        <w:rPr>
          <w:rFonts w:ascii="Times New Roman" w:hAnsi="Times New Roman" w:eastAsia="Times New Roman"/>
        </w:rPr>
        <w:t>”</w:t>
      </w:r>
      <w:r>
        <w:rPr/>
        <w:t>）</w:t>
      </w:r>
      <w:r>
        <w:rPr>
          <w:spacing w:val="2"/>
        </w:rPr>
        <w:t> </w:t>
      </w:r>
      <w:r>
        <w:rPr/>
        <w:t>已于</w:t>
      </w:r>
      <w:r>
        <w:rPr>
          <w:u w:val="single"/>
        </w:rPr>
        <w:t> </w:t>
        <w:tab/>
      </w:r>
      <w:r>
        <w:rPr/>
        <w:t>年</w:t>
      </w:r>
      <w:r>
        <w:rPr>
          <w:u w:val="single"/>
        </w:rPr>
        <w:t> </w:t>
        <w:tab/>
      </w:r>
      <w:r>
        <w:rPr/>
        <w:t>月</w:t>
      </w:r>
      <w:r>
        <w:rPr>
          <w:u w:val="single"/>
        </w:rPr>
        <w:t> </w:t>
        <w:tab/>
      </w:r>
      <w:r>
        <w:rPr/>
        <w:t>日发放中标通知书，明确</w:t>
      </w:r>
      <w:r>
        <w:rPr>
          <w:u w:val="single"/>
        </w:rPr>
        <w:t> </w:t>
        <w:tab/>
        <w:tab/>
        <w:tab/>
        <w:tab/>
      </w:r>
      <w:r>
        <w:rPr/>
        <w:t>（承包</w:t>
      </w:r>
      <w:r>
        <w:rPr>
          <w:spacing w:val="-47"/>
        </w:rPr>
        <w:t> </w:t>
      </w:r>
      <w:r>
        <w:rPr/>
        <w:t>人</w:t>
      </w:r>
      <w:r>
        <w:rPr>
          <w:spacing w:val="-50"/>
        </w:rPr>
        <w:t> </w:t>
      </w:r>
      <w:r>
        <w:rPr/>
        <w:t>名</w:t>
      </w:r>
      <w:r>
        <w:rPr>
          <w:spacing w:val="-49"/>
        </w:rPr>
        <w:t> </w:t>
      </w:r>
      <w:r>
        <w:rPr/>
        <w:t>称</w:t>
      </w:r>
      <w:r>
        <w:rPr>
          <w:spacing w:val="-47"/>
        </w:rPr>
        <w:t> </w:t>
      </w:r>
      <w:r>
        <w:rPr>
          <w:spacing w:val="-26"/>
        </w:rPr>
        <w:t>）（</w:t>
      </w:r>
      <w:r>
        <w:rPr>
          <w:spacing w:val="-49"/>
        </w:rPr>
        <w:t> </w:t>
      </w:r>
      <w:r>
        <w:rPr/>
        <w:t>以</w:t>
      </w:r>
      <w:r>
        <w:rPr>
          <w:spacing w:val="-50"/>
        </w:rPr>
        <w:t> </w:t>
      </w:r>
      <w:r>
        <w:rPr/>
        <w:t>下</w:t>
      </w:r>
      <w:r>
        <w:rPr>
          <w:spacing w:val="-46"/>
        </w:rPr>
        <w:t> </w:t>
      </w:r>
      <w:r>
        <w:rPr/>
        <w:t>称</w:t>
      </w:r>
      <w:r>
        <w:rPr>
          <w:spacing w:val="-47"/>
        </w:rPr>
        <w:t> </w:t>
      </w:r>
      <w:r>
        <w:rPr>
          <w:rFonts w:ascii="Times New Roman" w:hAnsi="Times New Roman" w:eastAsia="Times New Roman"/>
        </w:rPr>
        <w:t>“</w:t>
      </w:r>
      <w:r>
        <w:rPr>
          <w:rFonts w:ascii="Times New Roman" w:hAnsi="Times New Roman" w:eastAsia="Times New Roman"/>
          <w:spacing w:val="3"/>
        </w:rPr>
        <w:t> </w:t>
      </w:r>
      <w:r>
        <w:rPr/>
        <w:t>承</w:t>
      </w:r>
      <w:r>
        <w:rPr>
          <w:spacing w:val="-46"/>
        </w:rPr>
        <w:t> </w:t>
      </w:r>
      <w:r>
        <w:rPr/>
        <w:t>包</w:t>
      </w:r>
      <w:r>
        <w:rPr>
          <w:spacing w:val="-50"/>
        </w:rPr>
        <w:t> </w:t>
      </w:r>
      <w:r>
        <w:rPr/>
        <w:t>人</w:t>
      </w:r>
      <w:r>
        <w:rPr>
          <w:spacing w:val="-48"/>
        </w:rPr>
        <w:t> </w:t>
      </w:r>
      <w:r>
        <w:rPr>
          <w:rFonts w:ascii="Times New Roman" w:hAnsi="Times New Roman" w:eastAsia="Times New Roman"/>
        </w:rPr>
        <w:t>”</w:t>
      </w:r>
      <w:r>
        <w:rPr>
          <w:rFonts w:ascii="Times New Roman" w:hAnsi="Times New Roman" w:eastAsia="Times New Roman"/>
          <w:spacing w:val="5"/>
        </w:rPr>
        <w:t> </w:t>
      </w:r>
      <w:r>
        <w:rPr>
          <w:spacing w:val="55"/>
        </w:rPr>
        <w:t>）</w:t>
      </w:r>
      <w:r>
        <w:rPr/>
        <w:t>于</w:t>
      </w:r>
      <w:r>
        <w:rPr>
          <w:u w:val="single"/>
        </w:rPr>
        <w:t> </w:t>
        <w:tab/>
        <w:tab/>
      </w:r>
      <w:r>
        <w:rPr/>
        <w:t>年</w:t>
      </w:r>
      <w:r>
        <w:rPr>
          <w:u w:val="single"/>
        </w:rPr>
        <w:t> </w:t>
        <w:tab/>
      </w:r>
      <w:r>
        <w:rPr/>
        <w:t>月</w:t>
      </w:r>
      <w:r>
        <w:rPr>
          <w:u w:val="single"/>
        </w:rPr>
        <w:t> </w:t>
        <w:tab/>
      </w:r>
      <w:r>
        <w:rPr>
          <w:spacing w:val="55"/>
        </w:rPr>
        <w:t>日</w:t>
      </w:r>
      <w:r>
        <w:rPr/>
        <w:t>为</w:t>
      </w:r>
      <w:r>
        <w:rPr>
          <w:spacing w:val="-50"/>
        </w:rPr>
        <w:t> </w:t>
      </w:r>
    </w:p>
    <w:p>
      <w:pPr>
        <w:pStyle w:val="BodyText"/>
        <w:spacing w:line="367" w:lineRule="auto"/>
        <w:ind w:right="1156"/>
      </w:pPr>
      <w:r>
        <w:rPr/>
        <w:t>（工程名称）的中标人。我方愿意无条件地、不可撤销地就承包人履行与你方签订的合同，向你方提供连带责任担保。</w:t>
      </w:r>
    </w:p>
    <w:p>
      <w:pPr>
        <w:pStyle w:val="ListParagraph"/>
        <w:numPr>
          <w:ilvl w:val="0"/>
          <w:numId w:val="110"/>
        </w:numPr>
        <w:tabs>
          <w:tab w:pos="1362" w:val="left" w:leader="none"/>
          <w:tab w:pos="5457" w:val="left" w:leader="none"/>
          <w:tab w:pos="7346" w:val="left" w:leader="none"/>
        </w:tabs>
        <w:spacing w:line="265" w:lineRule="exact" w:before="0" w:after="0"/>
        <w:ind w:left="1362" w:right="0" w:hanging="264"/>
        <w:jc w:val="left"/>
        <w:rPr>
          <w:sz w:val="21"/>
        </w:rPr>
      </w:pPr>
      <w:r>
        <w:rPr>
          <w:spacing w:val="-3"/>
          <w:sz w:val="21"/>
        </w:rPr>
        <w:t>担</w:t>
      </w:r>
      <w:r>
        <w:rPr>
          <w:sz w:val="21"/>
        </w:rPr>
        <w:t>保</w:t>
      </w:r>
      <w:r>
        <w:rPr>
          <w:spacing w:val="-3"/>
          <w:sz w:val="21"/>
        </w:rPr>
        <w:t>金</w:t>
      </w:r>
      <w:r>
        <w:rPr>
          <w:sz w:val="21"/>
        </w:rPr>
        <w:t>额</w:t>
      </w:r>
      <w:r>
        <w:rPr>
          <w:spacing w:val="-3"/>
          <w:sz w:val="21"/>
        </w:rPr>
        <w:t>人</w:t>
      </w:r>
      <w:r>
        <w:rPr>
          <w:sz w:val="21"/>
        </w:rPr>
        <w:t>民</w:t>
      </w:r>
      <w:r>
        <w:rPr>
          <w:spacing w:val="-3"/>
          <w:sz w:val="21"/>
        </w:rPr>
        <w:t>币</w:t>
      </w:r>
      <w:r>
        <w:rPr>
          <w:sz w:val="21"/>
        </w:rPr>
        <w:t>（</w:t>
      </w:r>
      <w:r>
        <w:rPr>
          <w:spacing w:val="-3"/>
          <w:sz w:val="21"/>
        </w:rPr>
        <w:t>大写</w:t>
      </w:r>
      <w:r>
        <w:rPr>
          <w:sz w:val="21"/>
        </w:rPr>
        <w:t>）</w:t>
      </w:r>
      <w:r>
        <w:rPr>
          <w:sz w:val="21"/>
          <w:u w:val="single"/>
        </w:rPr>
        <w:t> </w:t>
        <w:tab/>
      </w:r>
      <w:r>
        <w:rPr>
          <w:spacing w:val="-3"/>
          <w:sz w:val="21"/>
        </w:rPr>
        <w:t>元</w:t>
      </w:r>
      <w:r>
        <w:rPr>
          <w:sz w:val="21"/>
        </w:rPr>
        <w:t>（</w:t>
      </w:r>
      <w:r>
        <w:rPr>
          <w:rFonts w:ascii="Times New Roman" w:hAnsi="Times New Roman" w:eastAsia="Times New Roman"/>
          <w:sz w:val="21"/>
        </w:rPr>
        <w:t>¥</w:t>
      </w:r>
      <w:r>
        <w:rPr>
          <w:rFonts w:ascii="Times New Roman" w:hAnsi="Times New Roman" w:eastAsia="Times New Roman"/>
          <w:sz w:val="21"/>
          <w:u w:val="single"/>
        </w:rPr>
        <w:t> </w:t>
        <w:tab/>
      </w:r>
      <w:r>
        <w:rPr>
          <w:spacing w:val="-106"/>
          <w:sz w:val="21"/>
        </w:rPr>
        <w:t>）。</w:t>
      </w:r>
    </w:p>
    <w:p>
      <w:pPr>
        <w:pStyle w:val="ListParagraph"/>
        <w:numPr>
          <w:ilvl w:val="0"/>
          <w:numId w:val="110"/>
        </w:numPr>
        <w:tabs>
          <w:tab w:pos="1362" w:val="left" w:leader="none"/>
        </w:tabs>
        <w:spacing w:line="364" w:lineRule="auto" w:before="136" w:after="0"/>
        <w:ind w:left="678" w:right="1153" w:firstLine="419"/>
        <w:jc w:val="left"/>
        <w:rPr>
          <w:sz w:val="21"/>
        </w:rPr>
      </w:pPr>
      <w:r>
        <w:rPr>
          <w:spacing w:val="-3"/>
          <w:sz w:val="21"/>
        </w:rPr>
        <w:t>担保有效期自你方与承包人签订的合同生效之日起至你方签发或应签发工程接收证书之日止。</w:t>
      </w:r>
    </w:p>
    <w:p>
      <w:pPr>
        <w:pStyle w:val="ListParagraph"/>
        <w:numPr>
          <w:ilvl w:val="0"/>
          <w:numId w:val="110"/>
        </w:numPr>
        <w:tabs>
          <w:tab w:pos="1362" w:val="left" w:leader="none"/>
        </w:tabs>
        <w:spacing w:line="364" w:lineRule="auto" w:before="0" w:after="0"/>
        <w:ind w:left="678" w:right="1153" w:firstLine="419"/>
        <w:jc w:val="left"/>
        <w:rPr>
          <w:sz w:val="21"/>
        </w:rPr>
      </w:pPr>
      <w:r>
        <w:rPr>
          <w:spacing w:val="-3"/>
          <w:sz w:val="21"/>
        </w:rPr>
        <w:t>在本担保有效期内，因承包人违反合同约定的义务给你方造成经济损失时，我方在收到</w:t>
      </w:r>
      <w:r>
        <w:rPr>
          <w:spacing w:val="-5"/>
          <w:sz w:val="21"/>
        </w:rPr>
        <w:t>你方以书面形式提出的在担保金额内的赔偿要求后，在 </w:t>
      </w:r>
      <w:r>
        <w:rPr>
          <w:rFonts w:ascii="Times New Roman" w:eastAsia="Times New Roman"/>
          <w:sz w:val="21"/>
        </w:rPr>
        <w:t>7</w:t>
      </w:r>
      <w:r>
        <w:rPr>
          <w:rFonts w:ascii="Times New Roman" w:eastAsia="Times New Roman"/>
          <w:spacing w:val="-2"/>
          <w:sz w:val="21"/>
        </w:rPr>
        <w:t> </w:t>
      </w:r>
      <w:r>
        <w:rPr>
          <w:spacing w:val="-3"/>
          <w:sz w:val="21"/>
        </w:rPr>
        <w:t>天内无条件支付。</w:t>
      </w:r>
    </w:p>
    <w:p>
      <w:pPr>
        <w:pStyle w:val="ListParagraph"/>
        <w:numPr>
          <w:ilvl w:val="0"/>
          <w:numId w:val="110"/>
        </w:numPr>
        <w:tabs>
          <w:tab w:pos="1362" w:val="left" w:leader="none"/>
        </w:tabs>
        <w:spacing w:line="267" w:lineRule="exact" w:before="0" w:after="0"/>
        <w:ind w:left="1362" w:right="0" w:hanging="264"/>
        <w:jc w:val="left"/>
        <w:rPr>
          <w:sz w:val="21"/>
        </w:rPr>
      </w:pPr>
      <w:r>
        <w:rPr>
          <w:spacing w:val="-3"/>
          <w:sz w:val="21"/>
        </w:rPr>
        <w:t>你方和承包人按合同约定变更合同时，我方承担本担保规定的义务不变。</w:t>
      </w:r>
    </w:p>
    <w:p>
      <w:pPr>
        <w:pStyle w:val="ListParagraph"/>
        <w:numPr>
          <w:ilvl w:val="0"/>
          <w:numId w:val="110"/>
        </w:numPr>
        <w:tabs>
          <w:tab w:pos="1362" w:val="left" w:leader="none"/>
          <w:tab w:pos="8928" w:val="left" w:leader="none"/>
        </w:tabs>
        <w:spacing w:line="364" w:lineRule="auto" w:before="139" w:after="0"/>
        <w:ind w:left="678" w:right="1153" w:firstLine="419"/>
        <w:jc w:val="left"/>
        <w:rPr>
          <w:sz w:val="21"/>
        </w:rPr>
      </w:pPr>
      <w:r>
        <w:rPr>
          <w:sz w:val="21"/>
        </w:rPr>
        <w:t>因</w:t>
      </w:r>
      <w:r>
        <w:rPr>
          <w:spacing w:val="-3"/>
          <w:sz w:val="21"/>
        </w:rPr>
        <w:t>本</w:t>
      </w:r>
      <w:r>
        <w:rPr>
          <w:sz w:val="21"/>
        </w:rPr>
        <w:t>保</w:t>
      </w:r>
      <w:r>
        <w:rPr>
          <w:spacing w:val="-3"/>
          <w:sz w:val="21"/>
        </w:rPr>
        <w:t>函</w:t>
      </w:r>
      <w:r>
        <w:rPr>
          <w:sz w:val="21"/>
        </w:rPr>
        <w:t>发生</w:t>
      </w:r>
      <w:r>
        <w:rPr>
          <w:spacing w:val="-3"/>
          <w:sz w:val="21"/>
        </w:rPr>
        <w:t>的</w:t>
      </w:r>
      <w:r>
        <w:rPr>
          <w:sz w:val="21"/>
        </w:rPr>
        <w:t>纠</w:t>
      </w:r>
      <w:r>
        <w:rPr>
          <w:spacing w:val="-3"/>
          <w:sz w:val="21"/>
        </w:rPr>
        <w:t>纷，</w:t>
      </w:r>
      <w:r>
        <w:rPr>
          <w:sz w:val="21"/>
        </w:rPr>
        <w:t>可由</w:t>
      </w:r>
      <w:r>
        <w:rPr>
          <w:spacing w:val="-3"/>
          <w:sz w:val="21"/>
        </w:rPr>
        <w:t>双</w:t>
      </w:r>
      <w:r>
        <w:rPr>
          <w:sz w:val="21"/>
        </w:rPr>
        <w:t>方协</w:t>
      </w:r>
      <w:r>
        <w:rPr>
          <w:spacing w:val="-3"/>
          <w:sz w:val="21"/>
        </w:rPr>
        <w:t>商</w:t>
      </w:r>
      <w:r>
        <w:rPr>
          <w:sz w:val="21"/>
        </w:rPr>
        <w:t>解</w:t>
      </w:r>
      <w:r>
        <w:rPr>
          <w:spacing w:val="-3"/>
          <w:sz w:val="21"/>
        </w:rPr>
        <w:t>决</w:t>
      </w:r>
      <w:r>
        <w:rPr>
          <w:sz w:val="21"/>
        </w:rPr>
        <w:t>，</w:t>
      </w:r>
      <w:r>
        <w:rPr>
          <w:spacing w:val="-3"/>
          <w:sz w:val="21"/>
        </w:rPr>
        <w:t>协商</w:t>
      </w:r>
      <w:r>
        <w:rPr>
          <w:sz w:val="21"/>
        </w:rPr>
        <w:t>不成</w:t>
      </w:r>
      <w:r>
        <w:rPr>
          <w:spacing w:val="-3"/>
          <w:sz w:val="21"/>
        </w:rPr>
        <w:t>的</w:t>
      </w:r>
      <w:r>
        <w:rPr>
          <w:sz w:val="21"/>
        </w:rPr>
        <w:t>，</w:t>
      </w:r>
      <w:r>
        <w:rPr>
          <w:spacing w:val="-3"/>
          <w:sz w:val="21"/>
        </w:rPr>
        <w:t>任</w:t>
      </w:r>
      <w:r>
        <w:rPr>
          <w:sz w:val="21"/>
        </w:rPr>
        <w:t>何一</w:t>
      </w:r>
      <w:r>
        <w:rPr>
          <w:spacing w:val="-3"/>
          <w:sz w:val="21"/>
        </w:rPr>
        <w:t>方</w:t>
      </w:r>
      <w:r>
        <w:rPr>
          <w:sz w:val="21"/>
        </w:rPr>
        <w:t>均</w:t>
      </w:r>
      <w:r>
        <w:rPr>
          <w:spacing w:val="-3"/>
          <w:sz w:val="21"/>
        </w:rPr>
        <w:t>可提</w:t>
      </w:r>
      <w:r>
        <w:rPr>
          <w:sz w:val="21"/>
        </w:rPr>
        <w:t>请</w:t>
      </w:r>
      <w:r>
        <w:rPr>
          <w:sz w:val="21"/>
          <w:u w:val="single"/>
        </w:rPr>
        <w:t> </w:t>
        <w:tab/>
      </w:r>
      <w:r>
        <w:rPr>
          <w:sz w:val="21"/>
        </w:rPr>
        <w:t>仲</w:t>
      </w:r>
      <w:r>
        <w:rPr>
          <w:spacing w:val="-17"/>
          <w:sz w:val="21"/>
        </w:rPr>
        <w:t>裁</w:t>
      </w:r>
      <w:r>
        <w:rPr>
          <w:sz w:val="21"/>
        </w:rPr>
        <w:t>委员</w:t>
      </w:r>
      <w:r>
        <w:rPr>
          <w:spacing w:val="-3"/>
          <w:sz w:val="21"/>
        </w:rPr>
        <w:t>会</w:t>
      </w:r>
      <w:r>
        <w:rPr>
          <w:sz w:val="21"/>
        </w:rPr>
        <w:t>仲</w:t>
      </w:r>
      <w:r>
        <w:rPr>
          <w:spacing w:val="-3"/>
          <w:sz w:val="21"/>
        </w:rPr>
        <w:t>裁</w:t>
      </w:r>
      <w:r>
        <w:rPr>
          <w:sz w:val="21"/>
        </w:rPr>
        <w:t>。</w:t>
      </w:r>
    </w:p>
    <w:p>
      <w:pPr>
        <w:pStyle w:val="ListParagraph"/>
        <w:numPr>
          <w:ilvl w:val="0"/>
          <w:numId w:val="110"/>
        </w:numPr>
        <w:tabs>
          <w:tab w:pos="1362" w:val="left" w:leader="none"/>
        </w:tabs>
        <w:spacing w:line="240" w:lineRule="auto" w:before="1" w:after="0"/>
        <w:ind w:left="1362" w:right="0" w:hanging="264"/>
        <w:jc w:val="left"/>
        <w:rPr>
          <w:sz w:val="21"/>
        </w:rPr>
      </w:pPr>
      <w:r>
        <w:rPr>
          <w:spacing w:val="-3"/>
          <w:sz w:val="21"/>
        </w:rPr>
        <w:t>本保函自我方法定代表人</w:t>
      </w:r>
      <w:r>
        <w:rPr>
          <w:sz w:val="21"/>
        </w:rPr>
        <w:t>（</w:t>
      </w:r>
      <w:r>
        <w:rPr>
          <w:spacing w:val="-3"/>
          <w:sz w:val="21"/>
        </w:rPr>
        <w:t>或其授权代理人</w:t>
      </w:r>
      <w:r>
        <w:rPr>
          <w:sz w:val="21"/>
        </w:rPr>
        <w:t>）</w:t>
      </w:r>
      <w:r>
        <w:rPr>
          <w:spacing w:val="-3"/>
          <w:sz w:val="21"/>
        </w:rPr>
        <w:t>签字并加盖公章之日起生效。</w:t>
      </w:r>
    </w:p>
    <w:p>
      <w:pPr>
        <w:pStyle w:val="BodyText"/>
        <w:ind w:left="0"/>
        <w:rPr>
          <w:sz w:val="22"/>
        </w:rPr>
      </w:pPr>
    </w:p>
    <w:p>
      <w:pPr>
        <w:pStyle w:val="BodyText"/>
        <w:spacing w:before="2"/>
        <w:ind w:left="0"/>
        <w:rPr>
          <w:sz w:val="17"/>
        </w:rPr>
      </w:pPr>
    </w:p>
    <w:p>
      <w:pPr>
        <w:pStyle w:val="BodyText"/>
        <w:tabs>
          <w:tab w:pos="4564" w:val="left" w:leader="none"/>
          <w:tab w:pos="4986" w:val="left" w:leader="none"/>
          <w:tab w:pos="5766" w:val="left" w:leader="none"/>
        </w:tabs>
        <w:spacing w:line="364" w:lineRule="auto"/>
        <w:ind w:right="4677"/>
        <w:jc w:val="both"/>
        <w:rPr>
          <w:rFonts w:ascii="Times New Roman" w:eastAsia="Times New Roman"/>
        </w:rPr>
      </w:pPr>
      <w:r>
        <w:rPr/>
        <w:t>担 保 人</w:t>
      </w:r>
      <w:r>
        <w:rPr>
          <w:spacing w:val="-3"/>
        </w:rPr>
        <w:t>：</w:t>
      </w:r>
      <w:r>
        <w:rPr>
          <w:spacing w:val="-3"/>
          <w:u w:val="single"/>
        </w:rPr>
        <w:t> </w:t>
        <w:tab/>
      </w:r>
      <w:r>
        <w:rPr/>
        <w:t>（</w:t>
      </w:r>
      <w:r>
        <w:rPr>
          <w:spacing w:val="-3"/>
        </w:rPr>
        <w:t>盖</w:t>
      </w:r>
      <w:r>
        <w:rPr/>
        <w:t>单</w:t>
      </w:r>
      <w:r>
        <w:rPr>
          <w:spacing w:val="-3"/>
        </w:rPr>
        <w:t>位</w:t>
      </w:r>
      <w:r>
        <w:rPr/>
        <w:t>章</w:t>
      </w:r>
      <w:r>
        <w:rPr>
          <w:spacing w:val="-16"/>
        </w:rPr>
        <w:t>） </w:t>
      </w:r>
      <w:r>
        <w:rPr/>
        <w:t>法定</w:t>
      </w:r>
      <w:r>
        <w:rPr>
          <w:spacing w:val="-3"/>
        </w:rPr>
        <w:t>代</w:t>
      </w:r>
      <w:r>
        <w:rPr/>
        <w:t>表</w:t>
      </w:r>
      <w:r>
        <w:rPr>
          <w:spacing w:val="-3"/>
        </w:rPr>
        <w:t>人</w:t>
      </w:r>
      <w:r>
        <w:rPr/>
        <w:t>或</w:t>
      </w:r>
      <w:r>
        <w:rPr>
          <w:spacing w:val="-3"/>
        </w:rPr>
        <w:t>其</w:t>
      </w:r>
      <w:r>
        <w:rPr/>
        <w:t>委</w:t>
      </w:r>
      <w:r>
        <w:rPr>
          <w:spacing w:val="-3"/>
        </w:rPr>
        <w:t>托</w:t>
      </w:r>
      <w:r>
        <w:rPr/>
        <w:t>代</w:t>
      </w:r>
      <w:r>
        <w:rPr>
          <w:spacing w:val="-3"/>
        </w:rPr>
        <w:t>理</w:t>
      </w:r>
      <w:r>
        <w:rPr/>
        <w:t>人：</w:t>
      </w:r>
      <w:r>
        <w:rPr>
          <w:u w:val="single"/>
        </w:rPr>
        <w:t> </w:t>
        <w:tab/>
        <w:tab/>
      </w:r>
      <w:r>
        <w:rPr>
          <w:spacing w:val="-3"/>
        </w:rPr>
        <w:t>（签</w:t>
      </w:r>
      <w:r>
        <w:rPr/>
        <w:t>字</w:t>
      </w:r>
      <w:r>
        <w:rPr>
          <w:spacing w:val="-16"/>
        </w:rPr>
        <w:t>） </w:t>
      </w:r>
      <w:r>
        <w:rPr/>
        <w:t>地   </w:t>
      </w:r>
      <w:r>
        <w:rPr>
          <w:spacing w:val="2"/>
        </w:rPr>
        <w:t> </w:t>
      </w:r>
      <w:r>
        <w:rPr/>
        <w:t>址</w:t>
      </w:r>
      <w:r>
        <w:rPr>
          <w:spacing w:val="-3"/>
        </w:rPr>
        <w:t>：</w:t>
      </w:r>
      <w:r>
        <w:rPr>
          <w:rFonts w:ascii="Times New Roman" w:eastAsia="Times New Roman"/>
          <w:w w:val="100"/>
          <w:u w:val="single"/>
        </w:rPr>
        <w:t> </w:t>
      </w:r>
      <w:r>
        <w:rPr>
          <w:rFonts w:ascii="Times New Roman" w:eastAsia="Times New Roman"/>
          <w:u w:val="single"/>
        </w:rPr>
        <w:tab/>
        <w:tab/>
        <w:tab/>
        <w:t>                                     </w:t>
      </w:r>
      <w:r>
        <w:rPr/>
        <w:t>邮政</w:t>
      </w:r>
      <w:r>
        <w:rPr>
          <w:spacing w:val="-3"/>
        </w:rPr>
        <w:t>编</w:t>
      </w:r>
      <w:r>
        <w:rPr/>
        <w:t>码</w:t>
      </w:r>
      <w:r>
        <w:rPr>
          <w:spacing w:val="-3"/>
        </w:rPr>
        <w:t>：</w:t>
      </w:r>
      <w:r>
        <w:rPr>
          <w:spacing w:val="-3"/>
          <w:u w:val="single"/>
        </w:rPr>
        <w:tab/>
        <w:tab/>
        <w:tab/>
      </w:r>
      <w:r>
        <w:rPr>
          <w:u w:val="single"/>
        </w:rPr>
        <w:t>                                     </w:t>
      </w:r>
      <w:r>
        <w:rPr/>
        <w:t>电   </w:t>
      </w:r>
      <w:r>
        <w:rPr>
          <w:spacing w:val="2"/>
        </w:rPr>
        <w:t> </w:t>
      </w:r>
      <w:r>
        <w:rPr/>
        <w:t>话</w:t>
      </w:r>
      <w:r>
        <w:rPr>
          <w:spacing w:val="-3"/>
        </w:rPr>
        <w:t>：</w:t>
      </w:r>
      <w:r>
        <w:rPr>
          <w:rFonts w:ascii="Times New Roman" w:eastAsia="Times New Roman"/>
          <w:w w:val="100"/>
          <w:u w:val="single"/>
        </w:rPr>
        <w:t> </w:t>
      </w:r>
      <w:r>
        <w:rPr>
          <w:rFonts w:ascii="Times New Roman" w:eastAsia="Times New Roman"/>
          <w:u w:val="single"/>
        </w:rPr>
        <w:tab/>
        <w:tab/>
        <w:tab/>
        <w:t>                                     </w:t>
      </w:r>
      <w:r>
        <w:rPr/>
        <w:t>传  </w:t>
      </w:r>
      <w:r>
        <w:rPr>
          <w:spacing w:val="2"/>
        </w:rPr>
        <w:t> </w:t>
      </w:r>
      <w:r>
        <w:rPr/>
        <w:t>真 </w:t>
      </w:r>
      <w:r>
        <w:rPr>
          <w:spacing w:val="-3"/>
        </w:rPr>
        <w:t>：</w:t>
      </w:r>
      <w:r>
        <w:rPr>
          <w:rFonts w:ascii="Times New Roman" w:eastAsia="Times New Roman"/>
          <w:u w:val="single"/>
        </w:rPr>
        <w:t> </w:t>
        <w:tab/>
        <w:tab/>
        <w:tab/>
      </w:r>
    </w:p>
    <w:p>
      <w:pPr>
        <w:pStyle w:val="BodyText"/>
        <w:spacing w:before="5"/>
        <w:ind w:left="0"/>
        <w:rPr>
          <w:rFonts w:ascii="Times New Roman"/>
          <w:sz w:val="24"/>
        </w:rPr>
      </w:pPr>
    </w:p>
    <w:p>
      <w:pPr>
        <w:pStyle w:val="BodyText"/>
        <w:tabs>
          <w:tab w:pos="3409" w:val="left" w:leader="none"/>
          <w:tab w:pos="4458" w:val="left" w:leader="none"/>
          <w:tab w:pos="5507" w:val="left" w:leader="none"/>
        </w:tabs>
        <w:spacing w:before="78"/>
        <w:ind w:left="2254"/>
      </w:pPr>
      <w:r>
        <w:rPr>
          <w:rFonts w:ascii="Times New Roman" w:eastAsia="Times New Roman"/>
          <w:w w:val="100"/>
          <w:u w:val="single"/>
        </w:rPr>
        <w:t> </w:t>
      </w:r>
      <w:r>
        <w:rPr>
          <w:rFonts w:ascii="Times New Roman" w:eastAsia="Times New Roman"/>
          <w:u w:val="single"/>
        </w:rPr>
        <w:tab/>
      </w:r>
      <w:r>
        <w:rPr/>
        <w:t>年</w:t>
      </w:r>
      <w:r>
        <w:rPr>
          <w:u w:val="single"/>
        </w:rPr>
        <w:t> </w:t>
        <w:tab/>
      </w:r>
      <w:r>
        <w:rPr/>
        <w:t>月</w:t>
      </w:r>
      <w:r>
        <w:rPr>
          <w:u w:val="single"/>
        </w:rPr>
        <w:t> </w:t>
        <w:tab/>
      </w:r>
      <w:r>
        <w:rPr/>
        <w:t>日</w:t>
      </w:r>
    </w:p>
    <w:p>
      <w:pPr>
        <w:pStyle w:val="BodyText"/>
        <w:ind w:left="0"/>
        <w:rPr>
          <w:sz w:val="20"/>
        </w:rPr>
      </w:pPr>
    </w:p>
    <w:p>
      <w:pPr>
        <w:pStyle w:val="BodyText"/>
        <w:spacing w:before="2"/>
        <w:ind w:left="0"/>
        <w:rPr>
          <w:sz w:val="19"/>
        </w:rPr>
      </w:pPr>
    </w:p>
    <w:p>
      <w:pPr>
        <w:pStyle w:val="BodyText"/>
        <w:spacing w:line="364" w:lineRule="auto"/>
        <w:ind w:right="1300" w:firstLine="419"/>
      </w:pPr>
      <w:r>
        <w:rPr/>
        <w:t>（</w:t>
      </w:r>
      <w:r>
        <w:rPr>
          <w:spacing w:val="-11"/>
        </w:rPr>
        <w:t>备注：银行、保险公司和担保公司出具的保函格式和文本可以自拟，但是必须包含以上</w:t>
      </w:r>
      <w:r>
        <w:rPr>
          <w:spacing w:val="-6"/>
        </w:rPr>
        <w:t>条款所列全部内容</w:t>
      </w:r>
      <w:r>
        <w:rPr/>
        <w:t>）</w:t>
      </w:r>
    </w:p>
    <w:p>
      <w:pPr>
        <w:pStyle w:val="Heading4"/>
        <w:spacing w:line="384" w:lineRule="exact" w:before="0"/>
      </w:pPr>
      <w:r>
        <w:rPr/>
        <w:t>附件 </w:t>
      </w:r>
      <w:r>
        <w:rPr>
          <w:rFonts w:ascii="Times New Roman" w:eastAsia="Times New Roman"/>
        </w:rPr>
        <w:t>8</w:t>
      </w:r>
      <w:r>
        <w:rPr/>
        <w:t>：</w:t>
      </w:r>
    </w:p>
    <w:p>
      <w:pPr>
        <w:pStyle w:val="BodyText"/>
        <w:ind w:left="0"/>
        <w:rPr>
          <w:sz w:val="29"/>
        </w:rPr>
      </w:pPr>
    </w:p>
    <w:p>
      <w:pPr>
        <w:spacing w:before="0"/>
        <w:ind w:left="297" w:right="773" w:firstLine="0"/>
        <w:jc w:val="center"/>
        <w:rPr>
          <w:sz w:val="30"/>
        </w:rPr>
      </w:pPr>
      <w:r>
        <w:rPr>
          <w:sz w:val="30"/>
        </w:rPr>
        <w:t>预付款担保</w:t>
      </w:r>
    </w:p>
    <w:p>
      <w:pPr>
        <w:pStyle w:val="BodyText"/>
        <w:tabs>
          <w:tab w:pos="2828" w:val="left" w:leader="none"/>
        </w:tabs>
        <w:spacing w:before="124"/>
      </w:pPr>
      <w:r>
        <w:rPr>
          <w:rFonts w:ascii="Times New Roman" w:eastAsia="Times New Roman"/>
          <w:w w:val="100"/>
          <w:u w:val="single"/>
        </w:rPr>
        <w:t> </w:t>
      </w:r>
      <w:r>
        <w:rPr>
          <w:rFonts w:ascii="Times New Roman" w:eastAsia="Times New Roman"/>
          <w:u w:val="single"/>
        </w:rPr>
        <w:tab/>
      </w:r>
      <w:r>
        <w:rPr>
          <w:rFonts w:ascii="Times New Roman" w:eastAsia="Times New Roman"/>
          <w:spacing w:val="3"/>
        </w:rPr>
        <w:t> </w:t>
      </w:r>
      <w:r>
        <w:rPr>
          <w:spacing w:val="-3"/>
          <w:w w:val="100"/>
        </w:rPr>
        <w:t>（</w:t>
      </w:r>
      <w:r>
        <w:rPr>
          <w:spacing w:val="-2"/>
          <w:w w:val="100"/>
        </w:rPr>
        <w:t>发包人名称</w:t>
      </w:r>
      <w:r>
        <w:rPr>
          <w:spacing w:val="-106"/>
          <w:w w:val="100"/>
        </w:rPr>
        <w:t>）</w:t>
      </w:r>
      <w:r>
        <w:rPr>
          <w:w w:val="100"/>
        </w:rPr>
        <w:t>：</w:t>
      </w:r>
    </w:p>
    <w:p>
      <w:pPr>
        <w:spacing w:after="0"/>
        <w:sectPr>
          <w:type w:val="continuous"/>
          <w:pgSz w:w="11910" w:h="16850"/>
          <w:pgMar w:top="1380" w:bottom="1040" w:left="1120" w:right="280"/>
        </w:sectPr>
      </w:pPr>
    </w:p>
    <w:p>
      <w:pPr>
        <w:pStyle w:val="BodyText"/>
        <w:tabs>
          <w:tab w:pos="3220" w:val="left" w:leader="none"/>
          <w:tab w:pos="4912" w:val="left" w:leader="none"/>
          <w:tab w:pos="8930" w:val="left" w:leader="none"/>
        </w:tabs>
        <w:spacing w:line="364" w:lineRule="auto" w:before="60"/>
        <w:ind w:right="1153" w:firstLine="419"/>
        <w:jc w:val="both"/>
      </w:pPr>
      <w:r>
        <w:rPr>
          <w:w w:val="100"/>
        </w:rPr>
        <w:t>根据</w:t>
      </w:r>
      <w:r>
        <w:rPr>
          <w:rFonts w:ascii="Times New Roman" w:hAnsi="Times New Roman" w:eastAsia="Times New Roman"/>
          <w:w w:val="100"/>
          <w:u w:val="single"/>
        </w:rPr>
        <w:t> </w:t>
      </w:r>
      <w:r>
        <w:rPr>
          <w:rFonts w:ascii="Times New Roman" w:hAnsi="Times New Roman" w:eastAsia="Times New Roman"/>
          <w:u w:val="single"/>
        </w:rPr>
        <w:tab/>
      </w:r>
      <w:r>
        <w:rPr>
          <w:spacing w:val="-3"/>
          <w:w w:val="100"/>
          <w:u w:val="single"/>
        </w:rPr>
        <w:t>（</w:t>
      </w:r>
      <w:r>
        <w:rPr>
          <w:w w:val="100"/>
        </w:rPr>
        <w:t>承包</w:t>
      </w:r>
      <w:r>
        <w:rPr>
          <w:spacing w:val="-3"/>
          <w:w w:val="100"/>
        </w:rPr>
        <w:t>人</w:t>
      </w:r>
      <w:r>
        <w:rPr>
          <w:w w:val="100"/>
        </w:rPr>
        <w:t>名</w:t>
      </w:r>
      <w:r>
        <w:rPr>
          <w:spacing w:val="-3"/>
          <w:w w:val="100"/>
        </w:rPr>
        <w:t>称</w:t>
      </w:r>
      <w:r>
        <w:rPr>
          <w:spacing w:val="-190"/>
          <w:w w:val="100"/>
        </w:rPr>
        <w:t>）</w:t>
      </w:r>
      <w:r>
        <w:rPr>
          <w:spacing w:val="-3"/>
          <w:w w:val="100"/>
        </w:rPr>
        <w:t>（</w:t>
      </w:r>
      <w:r>
        <w:rPr>
          <w:w w:val="100"/>
        </w:rPr>
        <w:t>以</w:t>
      </w:r>
      <w:r>
        <w:rPr>
          <w:spacing w:val="-3"/>
          <w:w w:val="100"/>
        </w:rPr>
        <w:t>下</w:t>
      </w:r>
      <w:r>
        <w:rPr>
          <w:w w:val="100"/>
        </w:rPr>
        <w:t>称</w:t>
      </w:r>
      <w:r>
        <w:rPr>
          <w:rFonts w:ascii="Times New Roman" w:hAnsi="Times New Roman" w:eastAsia="Times New Roman"/>
          <w:spacing w:val="-1"/>
          <w:w w:val="100"/>
        </w:rPr>
        <w:t>“</w:t>
      </w:r>
      <w:r>
        <w:rPr>
          <w:spacing w:val="-3"/>
          <w:w w:val="100"/>
        </w:rPr>
        <w:t>承包</w:t>
      </w:r>
      <w:r>
        <w:rPr>
          <w:w w:val="100"/>
        </w:rPr>
        <w:t>人</w:t>
      </w:r>
      <w:r>
        <w:rPr>
          <w:rFonts w:ascii="Times New Roman" w:hAnsi="Times New Roman" w:eastAsia="Times New Roman"/>
          <w:spacing w:val="-1"/>
          <w:w w:val="100"/>
        </w:rPr>
        <w:t>”</w:t>
      </w:r>
      <w:r>
        <w:rPr>
          <w:spacing w:val="-87"/>
          <w:w w:val="100"/>
        </w:rPr>
        <w:t>）</w:t>
      </w:r>
      <w:r>
        <w:rPr>
          <w:w w:val="100"/>
        </w:rPr>
        <w:t>与</w:t>
      </w:r>
      <w:r>
        <w:rPr>
          <w:rFonts w:ascii="Times New Roman" w:hAnsi="Times New Roman" w:eastAsia="Times New Roman"/>
          <w:w w:val="100"/>
          <w:u w:val="single"/>
        </w:rPr>
        <w:t> </w:t>
      </w:r>
      <w:r>
        <w:rPr>
          <w:rFonts w:ascii="Times New Roman" w:hAnsi="Times New Roman" w:eastAsia="Times New Roman"/>
          <w:u w:val="single"/>
        </w:rPr>
        <w:tab/>
      </w:r>
      <w:r>
        <w:rPr>
          <w:spacing w:val="-3"/>
          <w:w w:val="100"/>
          <w:u w:val="single"/>
        </w:rPr>
        <w:t>（</w:t>
      </w:r>
      <w:r>
        <w:rPr>
          <w:spacing w:val="-16"/>
          <w:w w:val="100"/>
        </w:rPr>
        <w:t>发</w:t>
      </w:r>
      <w:r>
        <w:rPr>
          <w:w w:val="100"/>
        </w:rPr>
        <w:t>包人</w:t>
      </w:r>
      <w:r>
        <w:rPr>
          <w:spacing w:val="-3"/>
          <w:w w:val="100"/>
        </w:rPr>
        <w:t>名</w:t>
      </w:r>
      <w:r>
        <w:rPr>
          <w:w w:val="100"/>
        </w:rPr>
        <w:t>称</w:t>
      </w:r>
      <w:r>
        <w:rPr>
          <w:spacing w:val="-185"/>
          <w:w w:val="100"/>
        </w:rPr>
        <w:t>）</w:t>
      </w:r>
      <w:r>
        <w:rPr>
          <w:w w:val="100"/>
        </w:rPr>
        <w:t>（</w:t>
      </w:r>
      <w:r>
        <w:rPr>
          <w:spacing w:val="-3"/>
          <w:w w:val="100"/>
        </w:rPr>
        <w:t>以</w:t>
      </w:r>
      <w:r>
        <w:rPr>
          <w:w w:val="100"/>
        </w:rPr>
        <w:t>下</w:t>
      </w:r>
      <w:r>
        <w:rPr>
          <w:spacing w:val="-3"/>
          <w:w w:val="100"/>
        </w:rPr>
        <w:t>简</w:t>
      </w:r>
      <w:r>
        <w:rPr>
          <w:spacing w:val="-1"/>
          <w:w w:val="100"/>
        </w:rPr>
        <w:t>称</w:t>
      </w:r>
      <w:r>
        <w:rPr>
          <w:rFonts w:ascii="Times New Roman" w:hAnsi="Times New Roman" w:eastAsia="Times New Roman"/>
          <w:w w:val="100"/>
        </w:rPr>
        <w:t>“</w:t>
      </w:r>
      <w:r>
        <w:rPr>
          <w:spacing w:val="-3"/>
          <w:w w:val="100"/>
        </w:rPr>
        <w:t>发包</w:t>
      </w:r>
      <w:r>
        <w:rPr>
          <w:w w:val="100"/>
        </w:rPr>
        <w:t>人</w:t>
      </w:r>
      <w:r>
        <w:rPr>
          <w:rFonts w:ascii="Times New Roman" w:hAnsi="Times New Roman" w:eastAsia="Times New Roman"/>
          <w:spacing w:val="-1"/>
          <w:w w:val="100"/>
        </w:rPr>
        <w:t>”</w:t>
      </w:r>
      <w:r>
        <w:rPr>
          <w:spacing w:val="-80"/>
          <w:w w:val="100"/>
        </w:rPr>
        <w:t>）</w:t>
      </w:r>
      <w:r>
        <w:rPr>
          <w:w w:val="100"/>
        </w:rPr>
        <w:t>于</w:t>
      </w:r>
      <w:r>
        <w:rPr>
          <w:rFonts w:ascii="Times New Roman" w:hAnsi="Times New Roman" w:eastAsia="Times New Roman"/>
          <w:w w:val="100"/>
          <w:u w:val="single"/>
        </w:rPr>
        <w:t> </w:t>
      </w:r>
      <w:r>
        <w:rPr>
          <w:rFonts w:ascii="Times New Roman" w:hAnsi="Times New Roman" w:eastAsia="Times New Roman"/>
          <w:u w:val="single"/>
        </w:rPr>
        <w:tab/>
      </w:r>
      <w:r>
        <w:rPr>
          <w:w w:val="100"/>
        </w:rPr>
        <w:t>年</w:t>
      </w:r>
      <w:r>
        <w:rPr>
          <w:rFonts w:ascii="Times New Roman" w:hAnsi="Times New Roman" w:eastAsia="Times New Roman"/>
          <w:w w:val="100"/>
          <w:u w:val="single"/>
        </w:rPr>
        <w:t> </w:t>
      </w:r>
      <w:r>
        <w:rPr>
          <w:rFonts w:ascii="Times New Roman" w:hAnsi="Times New Roman" w:eastAsia="Times New Roman"/>
          <w:u w:val="single"/>
        </w:rPr>
        <w:t>      </w:t>
      </w:r>
      <w:r>
        <w:rPr>
          <w:rFonts w:ascii="Times New Roman" w:hAnsi="Times New Roman" w:eastAsia="Times New Roman"/>
          <w:spacing w:val="-3"/>
          <w:u w:val="single"/>
        </w:rPr>
        <w:t> </w:t>
      </w:r>
      <w:r>
        <w:rPr>
          <w:w w:val="100"/>
        </w:rPr>
        <w:t>月</w:t>
      </w:r>
      <w:r>
        <w:rPr>
          <w:rFonts w:ascii="Times New Roman" w:hAnsi="Times New Roman" w:eastAsia="Times New Roman"/>
          <w:w w:val="100"/>
          <w:u w:val="single"/>
        </w:rPr>
        <w:t> </w:t>
      </w:r>
      <w:r>
        <w:rPr>
          <w:rFonts w:ascii="Times New Roman" w:hAnsi="Times New Roman" w:eastAsia="Times New Roman"/>
          <w:u w:val="single"/>
        </w:rPr>
        <w:t>      </w:t>
      </w:r>
      <w:r>
        <w:rPr>
          <w:rFonts w:ascii="Times New Roman" w:hAnsi="Times New Roman" w:eastAsia="Times New Roman"/>
          <w:spacing w:val="-1"/>
          <w:u w:val="single"/>
        </w:rPr>
        <w:t> </w:t>
      </w:r>
      <w:r>
        <w:rPr>
          <w:w w:val="100"/>
        </w:rPr>
        <w:t>日</w:t>
      </w:r>
      <w:r>
        <w:rPr>
          <w:spacing w:val="-3"/>
          <w:w w:val="100"/>
        </w:rPr>
        <w:t>签</w:t>
      </w:r>
      <w:r>
        <w:rPr>
          <w:w w:val="100"/>
        </w:rPr>
        <w:t>订</w:t>
      </w:r>
      <w:r>
        <w:rPr>
          <w:spacing w:val="-3"/>
          <w:w w:val="100"/>
        </w:rPr>
        <w:t>的</w:t>
      </w:r>
      <w:r>
        <w:rPr>
          <w:rFonts w:ascii="Times New Roman" w:hAnsi="Times New Roman" w:eastAsia="Times New Roman"/>
          <w:w w:val="100"/>
          <w:u w:val="single"/>
        </w:rPr>
        <w:t> </w:t>
      </w:r>
      <w:r>
        <w:rPr>
          <w:rFonts w:ascii="Times New Roman" w:hAnsi="Times New Roman" w:eastAsia="Times New Roman"/>
          <w:u w:val="single"/>
        </w:rPr>
        <w:tab/>
      </w:r>
      <w:r>
        <w:rPr>
          <w:spacing w:val="-3"/>
          <w:w w:val="100"/>
          <w:u w:val="single"/>
        </w:rPr>
        <w:t>（</w:t>
      </w:r>
      <w:r>
        <w:rPr>
          <w:spacing w:val="-16"/>
          <w:w w:val="100"/>
        </w:rPr>
        <w:t>工</w:t>
      </w:r>
      <w:r>
        <w:rPr/>
        <w:t>程名称</w:t>
      </w:r>
      <w:r>
        <w:rPr>
          <w:spacing w:val="-106"/>
        </w:rPr>
        <w:t>）</w:t>
      </w:r>
      <w:r>
        <w:rPr/>
        <w:t>《建设工程施工合同</w:t>
      </w:r>
      <w:r>
        <w:rPr>
          <w:spacing w:val="-104"/>
        </w:rPr>
        <w:t>》</w:t>
      </w:r>
      <w:r>
        <w:rPr/>
        <w:t>，承包人按约定的金额向你方提交一份预付款担保，即有权得</w:t>
      </w:r>
      <w:r>
        <w:rPr>
          <w:spacing w:val="-15"/>
        </w:rPr>
        <w:t>到</w:t>
      </w:r>
      <w:r>
        <w:rPr/>
        <w:t>你方支付相等金额的预付款。我方愿意就你方提供给承包人的预付款为承包人提供连带责任</w:t>
      </w:r>
      <w:r>
        <w:rPr>
          <w:spacing w:val="-16"/>
        </w:rPr>
        <w:t>担</w:t>
      </w:r>
      <w:r>
        <w:rPr/>
        <w:t>保。</w:t>
      </w:r>
    </w:p>
    <w:p>
      <w:pPr>
        <w:pStyle w:val="ListParagraph"/>
        <w:numPr>
          <w:ilvl w:val="0"/>
          <w:numId w:val="111"/>
        </w:numPr>
        <w:tabs>
          <w:tab w:pos="1362" w:val="left" w:leader="none"/>
          <w:tab w:pos="5351" w:val="left" w:leader="none"/>
          <w:tab w:pos="7242" w:val="left" w:leader="none"/>
        </w:tabs>
        <w:spacing w:line="267" w:lineRule="exact" w:before="0" w:after="0"/>
        <w:ind w:left="1362" w:right="0" w:hanging="264"/>
        <w:jc w:val="both"/>
        <w:rPr>
          <w:sz w:val="21"/>
        </w:rPr>
      </w:pPr>
      <w:r>
        <w:rPr>
          <w:spacing w:val="-3"/>
          <w:sz w:val="21"/>
        </w:rPr>
        <w:t>担</w:t>
      </w:r>
      <w:r>
        <w:rPr>
          <w:sz w:val="21"/>
        </w:rPr>
        <w:t>保</w:t>
      </w:r>
      <w:r>
        <w:rPr>
          <w:spacing w:val="-3"/>
          <w:sz w:val="21"/>
        </w:rPr>
        <w:t>金</w:t>
      </w:r>
      <w:r>
        <w:rPr>
          <w:sz w:val="21"/>
        </w:rPr>
        <w:t>额</w:t>
      </w:r>
      <w:r>
        <w:rPr>
          <w:spacing w:val="-3"/>
          <w:sz w:val="21"/>
        </w:rPr>
        <w:t>人</w:t>
      </w:r>
      <w:r>
        <w:rPr>
          <w:sz w:val="21"/>
        </w:rPr>
        <w:t>民</w:t>
      </w:r>
      <w:r>
        <w:rPr>
          <w:spacing w:val="-3"/>
          <w:sz w:val="21"/>
        </w:rPr>
        <w:t>币</w:t>
      </w:r>
      <w:r>
        <w:rPr>
          <w:sz w:val="21"/>
        </w:rPr>
        <w:t>（</w:t>
      </w:r>
      <w:r>
        <w:rPr>
          <w:spacing w:val="-3"/>
          <w:sz w:val="21"/>
        </w:rPr>
        <w:t>大写</w:t>
      </w:r>
      <w:r>
        <w:rPr>
          <w:sz w:val="21"/>
        </w:rPr>
        <w:t>）</w:t>
      </w:r>
      <w:r>
        <w:rPr>
          <w:sz w:val="21"/>
          <w:u w:val="single"/>
        </w:rPr>
        <w:t> </w:t>
        <w:tab/>
      </w:r>
      <w:r>
        <w:rPr>
          <w:sz w:val="21"/>
        </w:rPr>
        <w:t>元</w:t>
      </w:r>
      <w:r>
        <w:rPr>
          <w:spacing w:val="-3"/>
          <w:sz w:val="21"/>
        </w:rPr>
        <w:t>（</w:t>
      </w:r>
      <w:r>
        <w:rPr>
          <w:rFonts w:ascii="Times New Roman" w:hAnsi="Times New Roman" w:eastAsia="Times New Roman"/>
          <w:spacing w:val="-3"/>
          <w:sz w:val="21"/>
        </w:rPr>
        <w:t>¥</w:t>
      </w:r>
      <w:r>
        <w:rPr>
          <w:rFonts w:ascii="Times New Roman" w:hAnsi="Times New Roman" w:eastAsia="Times New Roman"/>
          <w:spacing w:val="-3"/>
          <w:sz w:val="21"/>
          <w:u w:val="single"/>
        </w:rPr>
        <w:t> </w:t>
        <w:tab/>
      </w:r>
      <w:r>
        <w:rPr>
          <w:spacing w:val="-108"/>
          <w:sz w:val="21"/>
        </w:rPr>
        <w:t>）。</w:t>
      </w:r>
    </w:p>
    <w:p>
      <w:pPr>
        <w:pStyle w:val="ListParagraph"/>
        <w:numPr>
          <w:ilvl w:val="0"/>
          <w:numId w:val="111"/>
        </w:numPr>
        <w:tabs>
          <w:tab w:pos="1362" w:val="left" w:leader="none"/>
        </w:tabs>
        <w:spacing w:line="367" w:lineRule="auto" w:before="139" w:after="0"/>
        <w:ind w:left="678" w:right="1153" w:firstLine="419"/>
        <w:jc w:val="both"/>
        <w:rPr>
          <w:sz w:val="21"/>
        </w:rPr>
      </w:pPr>
      <w:r>
        <w:rPr>
          <w:spacing w:val="-3"/>
          <w:sz w:val="21"/>
        </w:rPr>
        <w:t>担保有效期自预付款支付给承包人起生效，至你方签发的进度款支付证书说明已完全扣清止。</w:t>
      </w:r>
    </w:p>
    <w:p>
      <w:pPr>
        <w:pStyle w:val="ListParagraph"/>
        <w:numPr>
          <w:ilvl w:val="0"/>
          <w:numId w:val="111"/>
        </w:numPr>
        <w:tabs>
          <w:tab w:pos="1362" w:val="left" w:leader="none"/>
        </w:tabs>
        <w:spacing w:line="364" w:lineRule="auto" w:before="0" w:after="0"/>
        <w:ind w:left="678" w:right="1153" w:firstLine="419"/>
        <w:jc w:val="both"/>
        <w:rPr>
          <w:sz w:val="21"/>
        </w:rPr>
      </w:pPr>
      <w:r>
        <w:rPr>
          <w:spacing w:val="-3"/>
          <w:sz w:val="21"/>
        </w:rPr>
        <w:t>在本保函有效期内，因承包人违反合同约定的义务而要求收回预付款时，我方在收到你</w:t>
      </w:r>
      <w:r>
        <w:rPr>
          <w:spacing w:val="-4"/>
          <w:sz w:val="21"/>
        </w:rPr>
        <w:t>方的书面通知后，在７天内无条件支付。但本保函的担保金额，在任何时候不应超过预付款金</w:t>
      </w:r>
      <w:r>
        <w:rPr>
          <w:spacing w:val="-3"/>
          <w:sz w:val="21"/>
        </w:rPr>
        <w:t>额减去你方按合同约定在向承包人签发的进度款支付证书中扣除的金额。</w:t>
      </w:r>
    </w:p>
    <w:p>
      <w:pPr>
        <w:pStyle w:val="ListParagraph"/>
        <w:numPr>
          <w:ilvl w:val="0"/>
          <w:numId w:val="111"/>
        </w:numPr>
        <w:tabs>
          <w:tab w:pos="1362" w:val="left" w:leader="none"/>
        </w:tabs>
        <w:spacing w:line="267" w:lineRule="exact" w:before="0" w:after="0"/>
        <w:ind w:left="1362" w:right="0" w:hanging="264"/>
        <w:jc w:val="both"/>
        <w:rPr>
          <w:sz w:val="21"/>
        </w:rPr>
      </w:pPr>
      <w:r>
        <w:rPr>
          <w:spacing w:val="-3"/>
          <w:sz w:val="21"/>
        </w:rPr>
        <w:t>你方和承包人按合同约定变更合同时，我方承担本保函规定的义务不变。</w:t>
      </w:r>
    </w:p>
    <w:p>
      <w:pPr>
        <w:pStyle w:val="ListParagraph"/>
        <w:numPr>
          <w:ilvl w:val="0"/>
          <w:numId w:val="111"/>
        </w:numPr>
        <w:tabs>
          <w:tab w:pos="1362" w:val="left" w:leader="none"/>
          <w:tab w:pos="8928" w:val="left" w:leader="none"/>
        </w:tabs>
        <w:spacing w:line="364" w:lineRule="auto" w:before="136" w:after="0"/>
        <w:ind w:left="678" w:right="1153" w:firstLine="419"/>
        <w:jc w:val="both"/>
        <w:rPr>
          <w:sz w:val="21"/>
        </w:rPr>
      </w:pPr>
      <w:r>
        <w:rPr>
          <w:sz w:val="21"/>
        </w:rPr>
        <w:t>因</w:t>
      </w:r>
      <w:r>
        <w:rPr>
          <w:spacing w:val="-3"/>
          <w:sz w:val="21"/>
        </w:rPr>
        <w:t>本</w:t>
      </w:r>
      <w:r>
        <w:rPr>
          <w:sz w:val="21"/>
        </w:rPr>
        <w:t>保</w:t>
      </w:r>
      <w:r>
        <w:rPr>
          <w:spacing w:val="-3"/>
          <w:sz w:val="21"/>
        </w:rPr>
        <w:t>函</w:t>
      </w:r>
      <w:r>
        <w:rPr>
          <w:sz w:val="21"/>
        </w:rPr>
        <w:t>发生</w:t>
      </w:r>
      <w:r>
        <w:rPr>
          <w:spacing w:val="-3"/>
          <w:sz w:val="21"/>
        </w:rPr>
        <w:t>的</w:t>
      </w:r>
      <w:r>
        <w:rPr>
          <w:sz w:val="21"/>
        </w:rPr>
        <w:t>纠</w:t>
      </w:r>
      <w:r>
        <w:rPr>
          <w:spacing w:val="-3"/>
          <w:sz w:val="21"/>
        </w:rPr>
        <w:t>纷，</w:t>
      </w:r>
      <w:r>
        <w:rPr>
          <w:sz w:val="21"/>
        </w:rPr>
        <w:t>可由</w:t>
      </w:r>
      <w:r>
        <w:rPr>
          <w:spacing w:val="-3"/>
          <w:sz w:val="21"/>
        </w:rPr>
        <w:t>双</w:t>
      </w:r>
      <w:r>
        <w:rPr>
          <w:sz w:val="21"/>
        </w:rPr>
        <w:t>方协</w:t>
      </w:r>
      <w:r>
        <w:rPr>
          <w:spacing w:val="-3"/>
          <w:sz w:val="21"/>
        </w:rPr>
        <w:t>商</w:t>
      </w:r>
      <w:r>
        <w:rPr>
          <w:sz w:val="21"/>
        </w:rPr>
        <w:t>解</w:t>
      </w:r>
      <w:r>
        <w:rPr>
          <w:spacing w:val="-3"/>
          <w:sz w:val="21"/>
        </w:rPr>
        <w:t>决</w:t>
      </w:r>
      <w:r>
        <w:rPr>
          <w:sz w:val="21"/>
        </w:rPr>
        <w:t>，</w:t>
      </w:r>
      <w:r>
        <w:rPr>
          <w:spacing w:val="-3"/>
          <w:sz w:val="21"/>
        </w:rPr>
        <w:t>协商</w:t>
      </w:r>
      <w:r>
        <w:rPr>
          <w:sz w:val="21"/>
        </w:rPr>
        <w:t>不成</w:t>
      </w:r>
      <w:r>
        <w:rPr>
          <w:spacing w:val="-3"/>
          <w:sz w:val="21"/>
        </w:rPr>
        <w:t>的</w:t>
      </w:r>
      <w:r>
        <w:rPr>
          <w:sz w:val="21"/>
        </w:rPr>
        <w:t>，</w:t>
      </w:r>
      <w:r>
        <w:rPr>
          <w:spacing w:val="-3"/>
          <w:sz w:val="21"/>
        </w:rPr>
        <w:t>任</w:t>
      </w:r>
      <w:r>
        <w:rPr>
          <w:sz w:val="21"/>
        </w:rPr>
        <w:t>何一</w:t>
      </w:r>
      <w:r>
        <w:rPr>
          <w:spacing w:val="-3"/>
          <w:sz w:val="21"/>
        </w:rPr>
        <w:t>方</w:t>
      </w:r>
      <w:r>
        <w:rPr>
          <w:sz w:val="21"/>
        </w:rPr>
        <w:t>均</w:t>
      </w:r>
      <w:r>
        <w:rPr>
          <w:spacing w:val="-3"/>
          <w:sz w:val="21"/>
        </w:rPr>
        <w:t>可提</w:t>
      </w:r>
      <w:r>
        <w:rPr>
          <w:sz w:val="21"/>
        </w:rPr>
        <w:t>请</w:t>
      </w:r>
      <w:r>
        <w:rPr>
          <w:sz w:val="21"/>
          <w:u w:val="single"/>
        </w:rPr>
        <w:t> </w:t>
        <w:tab/>
      </w:r>
      <w:r>
        <w:rPr>
          <w:sz w:val="21"/>
        </w:rPr>
        <w:t>仲</w:t>
      </w:r>
      <w:r>
        <w:rPr>
          <w:spacing w:val="-17"/>
          <w:sz w:val="21"/>
        </w:rPr>
        <w:t>裁</w:t>
      </w:r>
      <w:r>
        <w:rPr>
          <w:sz w:val="21"/>
        </w:rPr>
        <w:t>委员</w:t>
      </w:r>
      <w:r>
        <w:rPr>
          <w:spacing w:val="-3"/>
          <w:sz w:val="21"/>
        </w:rPr>
        <w:t>会</w:t>
      </w:r>
      <w:r>
        <w:rPr>
          <w:sz w:val="21"/>
        </w:rPr>
        <w:t>仲</w:t>
      </w:r>
      <w:r>
        <w:rPr>
          <w:spacing w:val="-3"/>
          <w:sz w:val="21"/>
        </w:rPr>
        <w:t>裁</w:t>
      </w:r>
      <w:r>
        <w:rPr>
          <w:sz w:val="21"/>
        </w:rPr>
        <w:t>。</w:t>
      </w:r>
    </w:p>
    <w:p>
      <w:pPr>
        <w:pStyle w:val="ListParagraph"/>
        <w:numPr>
          <w:ilvl w:val="0"/>
          <w:numId w:val="111"/>
        </w:numPr>
        <w:tabs>
          <w:tab w:pos="1362" w:val="left" w:leader="none"/>
        </w:tabs>
        <w:spacing w:line="267" w:lineRule="exact" w:before="0" w:after="0"/>
        <w:ind w:left="1362" w:right="0" w:hanging="264"/>
        <w:jc w:val="both"/>
        <w:rPr>
          <w:sz w:val="21"/>
        </w:rPr>
      </w:pPr>
      <w:r>
        <w:rPr>
          <w:spacing w:val="-3"/>
          <w:sz w:val="21"/>
        </w:rPr>
        <w:t>本保函自我方法定代表人</w:t>
      </w:r>
      <w:r>
        <w:rPr>
          <w:sz w:val="21"/>
        </w:rPr>
        <w:t>（</w:t>
      </w:r>
      <w:r>
        <w:rPr>
          <w:spacing w:val="-3"/>
          <w:sz w:val="21"/>
        </w:rPr>
        <w:t>或其授权代理人</w:t>
      </w:r>
      <w:r>
        <w:rPr>
          <w:sz w:val="21"/>
        </w:rPr>
        <w:t>）</w:t>
      </w:r>
      <w:r>
        <w:rPr>
          <w:spacing w:val="-3"/>
          <w:sz w:val="21"/>
        </w:rPr>
        <w:t>签字并加盖公章之日起生效。</w:t>
      </w:r>
    </w:p>
    <w:p>
      <w:pPr>
        <w:pStyle w:val="BodyText"/>
        <w:ind w:left="0"/>
        <w:rPr>
          <w:sz w:val="22"/>
        </w:rPr>
      </w:pPr>
    </w:p>
    <w:p>
      <w:pPr>
        <w:pStyle w:val="BodyText"/>
        <w:spacing w:before="2"/>
        <w:ind w:left="0"/>
        <w:rPr>
          <w:sz w:val="17"/>
        </w:rPr>
      </w:pPr>
    </w:p>
    <w:p>
      <w:pPr>
        <w:pStyle w:val="BodyText"/>
        <w:tabs>
          <w:tab w:pos="4249" w:val="left" w:leader="none"/>
          <w:tab w:pos="4672" w:val="left" w:leader="none"/>
          <w:tab w:pos="4714" w:val="left" w:leader="none"/>
        </w:tabs>
        <w:spacing w:line="364" w:lineRule="auto"/>
        <w:ind w:right="4992"/>
        <w:jc w:val="both"/>
        <w:rPr>
          <w:rFonts w:ascii="Times New Roman" w:eastAsia="Times New Roman"/>
        </w:rPr>
      </w:pPr>
      <w:r>
        <w:rPr/>
        <w:t>担保</w:t>
      </w:r>
      <w:r>
        <w:rPr>
          <w:spacing w:val="-3"/>
        </w:rPr>
        <w:t>人</w:t>
      </w:r>
      <w:r>
        <w:rPr/>
        <w:t>：</w:t>
      </w:r>
      <w:r>
        <w:rPr>
          <w:u w:val="single"/>
        </w:rPr>
        <w:t> </w:t>
        <w:tab/>
      </w:r>
      <w:r>
        <w:rPr>
          <w:spacing w:val="-3"/>
        </w:rPr>
        <w:t>（</w:t>
      </w:r>
      <w:r>
        <w:rPr/>
        <w:t>盖</w:t>
      </w:r>
      <w:r>
        <w:rPr>
          <w:spacing w:val="-3"/>
        </w:rPr>
        <w:t>单</w:t>
      </w:r>
      <w:r>
        <w:rPr/>
        <w:t>位</w:t>
      </w:r>
      <w:r>
        <w:rPr>
          <w:spacing w:val="-3"/>
        </w:rPr>
        <w:t>章</w:t>
      </w:r>
      <w:r>
        <w:rPr>
          <w:spacing w:val="-13"/>
        </w:rPr>
        <w:t>） </w:t>
      </w:r>
      <w:r>
        <w:rPr/>
        <w:t>法定</w:t>
      </w:r>
      <w:r>
        <w:rPr>
          <w:spacing w:val="-3"/>
        </w:rPr>
        <w:t>代</w:t>
      </w:r>
      <w:r>
        <w:rPr/>
        <w:t>表</w:t>
      </w:r>
      <w:r>
        <w:rPr>
          <w:spacing w:val="-3"/>
        </w:rPr>
        <w:t>人</w:t>
      </w:r>
      <w:r>
        <w:rPr/>
        <w:t>或</w:t>
      </w:r>
      <w:r>
        <w:rPr>
          <w:spacing w:val="-3"/>
        </w:rPr>
        <w:t>其</w:t>
      </w:r>
      <w:r>
        <w:rPr/>
        <w:t>委</w:t>
      </w:r>
      <w:r>
        <w:rPr>
          <w:spacing w:val="-3"/>
        </w:rPr>
        <w:t>托</w:t>
      </w:r>
      <w:r>
        <w:rPr/>
        <w:t>代</w:t>
      </w:r>
      <w:r>
        <w:rPr>
          <w:spacing w:val="-3"/>
        </w:rPr>
        <w:t>理</w:t>
      </w:r>
      <w:r>
        <w:rPr/>
        <w:t>人：</w:t>
      </w:r>
      <w:r>
        <w:rPr>
          <w:u w:val="single"/>
        </w:rPr>
        <w:t> </w:t>
        <w:tab/>
        <w:tab/>
      </w:r>
      <w:r>
        <w:rPr>
          <w:spacing w:val="-3"/>
        </w:rPr>
        <w:t>（</w:t>
      </w:r>
      <w:r>
        <w:rPr/>
        <w:t>签</w:t>
      </w:r>
      <w:r>
        <w:rPr>
          <w:spacing w:val="-3"/>
        </w:rPr>
        <w:t>字</w:t>
      </w:r>
      <w:r>
        <w:rPr>
          <w:spacing w:val="-17"/>
        </w:rPr>
        <w:t>） </w:t>
      </w:r>
      <w:r>
        <w:rPr/>
        <w:t>地  </w:t>
      </w:r>
      <w:r>
        <w:rPr>
          <w:spacing w:val="2"/>
        </w:rPr>
        <w:t> </w:t>
      </w:r>
      <w:r>
        <w:rPr/>
        <w:t>址 </w:t>
      </w:r>
      <w:r>
        <w:rPr>
          <w:spacing w:val="-3"/>
        </w:rPr>
        <w:t>：</w:t>
      </w:r>
      <w:r>
        <w:rPr>
          <w:rFonts w:ascii="Times New Roman" w:eastAsia="Times New Roman"/>
          <w:u w:val="single"/>
        </w:rPr>
        <w:t> </w:t>
        <w:tab/>
        <w:tab/>
        <w:tab/>
      </w:r>
    </w:p>
    <w:p>
      <w:pPr>
        <w:pStyle w:val="BodyText"/>
        <w:tabs>
          <w:tab w:pos="4714" w:val="left" w:leader="none"/>
        </w:tabs>
        <w:spacing w:line="364" w:lineRule="auto"/>
        <w:ind w:right="5789"/>
        <w:jc w:val="both"/>
        <w:rPr>
          <w:rFonts w:ascii="Times New Roman" w:eastAsia="Times New Roman"/>
        </w:rPr>
      </w:pPr>
      <w:r>
        <w:rPr/>
        <w:t>邮政</w:t>
      </w:r>
      <w:r>
        <w:rPr>
          <w:spacing w:val="-3"/>
        </w:rPr>
        <w:t>编</w:t>
      </w:r>
      <w:r>
        <w:rPr/>
        <w:t>码</w:t>
      </w:r>
      <w:r>
        <w:rPr>
          <w:spacing w:val="-3"/>
        </w:rPr>
        <w:t>：</w:t>
      </w:r>
      <w:r>
        <w:rPr>
          <w:spacing w:val="-3"/>
          <w:u w:val="single"/>
        </w:rPr>
        <w:tab/>
      </w:r>
      <w:r>
        <w:rPr>
          <w:u w:val="single"/>
        </w:rPr>
        <w:t>                           </w:t>
      </w:r>
      <w:r>
        <w:rPr/>
        <w:t>电   </w:t>
      </w:r>
      <w:r>
        <w:rPr>
          <w:spacing w:val="2"/>
        </w:rPr>
        <w:t> </w:t>
      </w:r>
      <w:r>
        <w:rPr/>
        <w:t>话</w:t>
      </w:r>
      <w:r>
        <w:rPr>
          <w:spacing w:val="-3"/>
        </w:rPr>
        <w:t>：</w:t>
      </w:r>
      <w:r>
        <w:rPr>
          <w:rFonts w:ascii="Times New Roman" w:eastAsia="Times New Roman"/>
          <w:w w:val="100"/>
          <w:u w:val="single"/>
        </w:rPr>
        <w:t> </w:t>
      </w:r>
      <w:r>
        <w:rPr>
          <w:rFonts w:ascii="Times New Roman" w:eastAsia="Times New Roman"/>
          <w:u w:val="single"/>
        </w:rPr>
        <w:tab/>
        <w:t>                           </w:t>
      </w:r>
      <w:r>
        <w:rPr/>
        <w:t>传  </w:t>
      </w:r>
      <w:r>
        <w:rPr>
          <w:spacing w:val="2"/>
        </w:rPr>
        <w:t> </w:t>
      </w:r>
      <w:r>
        <w:rPr/>
        <w:t>真 </w:t>
      </w:r>
      <w:r>
        <w:rPr>
          <w:spacing w:val="-3"/>
        </w:rPr>
        <w:t>：</w:t>
      </w:r>
      <w:r>
        <w:rPr>
          <w:rFonts w:ascii="Times New Roman" w:eastAsia="Times New Roman"/>
          <w:u w:val="single"/>
        </w:rPr>
        <w:t> </w:t>
        <w:tab/>
      </w:r>
    </w:p>
    <w:p>
      <w:pPr>
        <w:pStyle w:val="BodyText"/>
        <w:spacing w:before="5"/>
        <w:ind w:left="0"/>
        <w:rPr>
          <w:rFonts w:ascii="Times New Roman"/>
          <w:sz w:val="24"/>
        </w:rPr>
      </w:pPr>
    </w:p>
    <w:p>
      <w:pPr>
        <w:pStyle w:val="BodyText"/>
        <w:tabs>
          <w:tab w:pos="3515" w:val="left" w:leader="none"/>
          <w:tab w:pos="4355" w:val="left" w:leader="none"/>
          <w:tab w:pos="5195" w:val="left" w:leader="none"/>
        </w:tabs>
        <w:spacing w:before="78"/>
        <w:ind w:left="1940"/>
      </w:pPr>
      <w:r>
        <w:rPr>
          <w:rFonts w:ascii="Times New Roman" w:eastAsia="Times New Roman"/>
          <w:w w:val="100"/>
          <w:u w:val="single"/>
        </w:rPr>
        <w:t> </w:t>
      </w:r>
      <w:r>
        <w:rPr>
          <w:rFonts w:ascii="Times New Roman" w:eastAsia="Times New Roman"/>
          <w:u w:val="single"/>
        </w:rPr>
        <w:tab/>
      </w:r>
      <w:r>
        <w:rPr>
          <w:spacing w:val="-3"/>
        </w:rPr>
        <w:t>年</w:t>
      </w:r>
      <w:r>
        <w:rPr>
          <w:spacing w:val="-3"/>
          <w:u w:val="single"/>
        </w:rPr>
        <w:t> </w:t>
        <w:tab/>
      </w:r>
      <w:r>
        <w:rPr>
          <w:spacing w:val="-3"/>
        </w:rPr>
        <w:t>月</w:t>
      </w:r>
      <w:r>
        <w:rPr>
          <w:spacing w:val="-3"/>
          <w:u w:val="single"/>
        </w:rPr>
        <w:t> </w:t>
        <w:tab/>
      </w:r>
      <w:r>
        <w:rPr/>
        <w:t>日</w:t>
      </w:r>
    </w:p>
    <w:p>
      <w:pPr>
        <w:pStyle w:val="BodyText"/>
        <w:ind w:left="0"/>
        <w:rPr>
          <w:sz w:val="20"/>
        </w:rPr>
      </w:pPr>
    </w:p>
    <w:p>
      <w:pPr>
        <w:pStyle w:val="BodyText"/>
        <w:spacing w:before="2"/>
        <w:ind w:left="0"/>
        <w:rPr>
          <w:sz w:val="23"/>
        </w:rPr>
      </w:pPr>
    </w:p>
    <w:p>
      <w:pPr>
        <w:pStyle w:val="BodyText"/>
        <w:spacing w:line="364" w:lineRule="auto" w:before="72"/>
        <w:ind w:right="1300" w:firstLine="419"/>
      </w:pPr>
      <w:r>
        <w:rPr/>
        <w:t>（</w:t>
      </w:r>
      <w:r>
        <w:rPr>
          <w:spacing w:val="-11"/>
        </w:rPr>
        <w:t>备注：银行、保险公司和担保公司出具的保函格式和文本可以自拟，但是必须包含以上</w:t>
      </w:r>
      <w:r>
        <w:rPr>
          <w:spacing w:val="-6"/>
        </w:rPr>
        <w:t>条款所列全部内容</w:t>
      </w:r>
      <w:r>
        <w:rPr/>
        <w:t>）</w:t>
      </w:r>
    </w:p>
    <w:p>
      <w:pPr>
        <w:pStyle w:val="Heading4"/>
        <w:spacing w:before="50"/>
      </w:pPr>
      <w:r>
        <w:rPr/>
        <w:t>附件 </w:t>
      </w:r>
      <w:r>
        <w:rPr>
          <w:rFonts w:ascii="Times New Roman" w:eastAsia="Times New Roman"/>
        </w:rPr>
        <w:t>9</w:t>
      </w:r>
      <w:r>
        <w:rPr/>
        <w:t>：</w:t>
      </w:r>
    </w:p>
    <w:p>
      <w:pPr>
        <w:pStyle w:val="BodyText"/>
        <w:spacing w:before="3"/>
        <w:ind w:left="0"/>
        <w:rPr>
          <w:sz w:val="9"/>
        </w:rPr>
      </w:pPr>
    </w:p>
    <w:p>
      <w:pPr>
        <w:spacing w:after="0"/>
        <w:rPr>
          <w:sz w:val="9"/>
        </w:rPr>
        <w:sectPr>
          <w:pgSz w:w="11910" w:h="16850"/>
          <w:pgMar w:header="0" w:footer="779" w:top="1380" w:bottom="1040" w:left="1120" w:right="280"/>
        </w:sectPr>
      </w:pPr>
    </w:p>
    <w:p>
      <w:pPr>
        <w:pStyle w:val="BodyText"/>
        <w:ind w:left="0"/>
        <w:rPr>
          <w:sz w:val="22"/>
        </w:rPr>
      </w:pPr>
    </w:p>
    <w:p>
      <w:pPr>
        <w:pStyle w:val="BodyText"/>
        <w:spacing w:before="2"/>
        <w:ind w:left="0"/>
        <w:rPr>
          <w:sz w:val="22"/>
        </w:rPr>
      </w:pPr>
    </w:p>
    <w:p>
      <w:pPr>
        <w:pStyle w:val="BodyText"/>
        <w:tabs>
          <w:tab w:pos="2884" w:val="left" w:leader="none"/>
        </w:tabs>
      </w:pPr>
      <w:r>
        <w:rPr>
          <w:rFonts w:ascii="Times New Roman" w:eastAsia="Times New Roman"/>
          <w:w w:val="100"/>
          <w:u w:val="single"/>
        </w:rPr>
        <w:t> </w:t>
      </w:r>
      <w:r>
        <w:rPr>
          <w:rFonts w:ascii="Times New Roman" w:eastAsia="Times New Roman"/>
          <w:u w:val="single"/>
        </w:rPr>
        <w:tab/>
      </w:r>
      <w:r>
        <w:rPr>
          <w:spacing w:val="-3"/>
          <w:w w:val="100"/>
        </w:rPr>
        <w:t>（</w:t>
      </w:r>
      <w:r>
        <w:rPr>
          <w:spacing w:val="-1"/>
          <w:w w:val="100"/>
        </w:rPr>
        <w:t>承包人</w:t>
      </w:r>
      <w:r>
        <w:rPr>
          <w:spacing w:val="-116"/>
          <w:w w:val="100"/>
        </w:rPr>
        <w:t>）</w:t>
      </w:r>
      <w:r>
        <w:rPr>
          <w:spacing w:val="-10"/>
          <w:w w:val="100"/>
        </w:rPr>
        <w:t>：</w:t>
      </w:r>
    </w:p>
    <w:p>
      <w:pPr>
        <w:pStyle w:val="Heading4"/>
        <w:spacing w:before="58"/>
        <w:ind w:left="331"/>
      </w:pPr>
      <w:r>
        <w:rPr/>
        <w:br w:type="column"/>
      </w:r>
      <w:r>
        <w:rPr/>
        <w:t>支付担保</w:t>
      </w:r>
    </w:p>
    <w:p>
      <w:pPr>
        <w:spacing w:after="0"/>
        <w:sectPr>
          <w:type w:val="continuous"/>
          <w:pgSz w:w="11910" w:h="16850"/>
          <w:pgMar w:top="1380" w:bottom="1040" w:left="1120" w:right="280"/>
          <w:cols w:num="2" w:equalWidth="0">
            <w:col w:w="4042" w:space="40"/>
            <w:col w:w="6428"/>
          </w:cols>
        </w:sectPr>
      </w:pPr>
    </w:p>
    <w:p>
      <w:pPr>
        <w:pStyle w:val="BodyText"/>
        <w:ind w:left="0"/>
        <w:rPr>
          <w:sz w:val="20"/>
        </w:rPr>
      </w:pPr>
    </w:p>
    <w:p>
      <w:pPr>
        <w:pStyle w:val="BodyText"/>
        <w:spacing w:before="2"/>
        <w:ind w:left="0"/>
        <w:rPr>
          <w:sz w:val="19"/>
        </w:rPr>
      </w:pPr>
    </w:p>
    <w:p>
      <w:pPr>
        <w:pStyle w:val="BodyText"/>
        <w:tabs>
          <w:tab w:pos="4249" w:val="left" w:leader="none"/>
          <w:tab w:pos="4698" w:val="left" w:leader="none"/>
          <w:tab w:pos="8618" w:val="left" w:leader="none"/>
          <w:tab w:pos="9141" w:val="left" w:leader="none"/>
        </w:tabs>
        <w:spacing w:line="364" w:lineRule="auto"/>
        <w:ind w:right="1151" w:firstLine="419"/>
      </w:pPr>
      <w:r>
        <w:rPr>
          <w:w w:val="100"/>
        </w:rPr>
        <w:t>鉴于</w:t>
      </w:r>
      <w:r>
        <w:rPr>
          <w:spacing w:val="-3"/>
          <w:w w:val="100"/>
        </w:rPr>
        <w:t>你</w:t>
      </w:r>
      <w:r>
        <w:rPr>
          <w:w w:val="100"/>
        </w:rPr>
        <w:t>方</w:t>
      </w:r>
      <w:r>
        <w:rPr>
          <w:spacing w:val="-3"/>
          <w:w w:val="100"/>
        </w:rPr>
        <w:t>作</w:t>
      </w:r>
      <w:r>
        <w:rPr>
          <w:w w:val="100"/>
        </w:rPr>
        <w:t>为</w:t>
      </w:r>
      <w:r>
        <w:rPr>
          <w:spacing w:val="-3"/>
          <w:w w:val="100"/>
        </w:rPr>
        <w:t>承</w:t>
      </w:r>
      <w:r>
        <w:rPr>
          <w:w w:val="100"/>
        </w:rPr>
        <w:t>包</w:t>
      </w:r>
      <w:r>
        <w:rPr>
          <w:spacing w:val="-3"/>
          <w:w w:val="100"/>
        </w:rPr>
        <w:t>人</w:t>
      </w:r>
      <w:r>
        <w:rPr>
          <w:w w:val="100"/>
        </w:rPr>
        <w:t>已</w:t>
      </w:r>
      <w:r>
        <w:rPr>
          <w:spacing w:val="-3"/>
          <w:w w:val="100"/>
        </w:rPr>
        <w:t>经</w:t>
      </w:r>
      <w:r>
        <w:rPr>
          <w:w w:val="100"/>
        </w:rPr>
        <w:t>与</w:t>
      </w:r>
      <w:r>
        <w:rPr>
          <w:rFonts w:ascii="Times New Roman" w:hAnsi="Times New Roman" w:eastAsia="Times New Roman"/>
          <w:w w:val="100"/>
          <w:u w:val="single"/>
        </w:rPr>
        <w:t> </w:t>
      </w:r>
      <w:r>
        <w:rPr>
          <w:rFonts w:ascii="Times New Roman" w:hAnsi="Times New Roman" w:eastAsia="Times New Roman"/>
          <w:u w:val="single"/>
        </w:rPr>
        <w:tab/>
        <w:tab/>
      </w:r>
      <w:r>
        <w:rPr>
          <w:w w:val="100"/>
          <w:u w:val="single"/>
        </w:rPr>
        <w:t>（</w:t>
      </w:r>
      <w:r>
        <w:rPr>
          <w:spacing w:val="-3"/>
          <w:w w:val="100"/>
        </w:rPr>
        <w:t>发</w:t>
      </w:r>
      <w:r>
        <w:rPr>
          <w:w w:val="100"/>
        </w:rPr>
        <w:t>包</w:t>
      </w:r>
      <w:r>
        <w:rPr>
          <w:spacing w:val="-3"/>
          <w:w w:val="100"/>
        </w:rPr>
        <w:t>人名</w:t>
      </w:r>
      <w:r>
        <w:rPr>
          <w:w w:val="100"/>
        </w:rPr>
        <w:t>称</w:t>
      </w:r>
      <w:r>
        <w:rPr>
          <w:spacing w:val="-183"/>
          <w:w w:val="100"/>
        </w:rPr>
        <w:t>）</w:t>
      </w:r>
      <w:r>
        <w:rPr>
          <w:spacing w:val="-3"/>
          <w:w w:val="100"/>
        </w:rPr>
        <w:t>（</w:t>
      </w:r>
      <w:r>
        <w:rPr>
          <w:w w:val="100"/>
        </w:rPr>
        <w:t>以</w:t>
      </w:r>
      <w:r>
        <w:rPr>
          <w:spacing w:val="-3"/>
          <w:w w:val="100"/>
        </w:rPr>
        <w:t>下</w:t>
      </w:r>
      <w:r>
        <w:rPr>
          <w:w w:val="100"/>
        </w:rPr>
        <w:t>称</w:t>
      </w:r>
      <w:r>
        <w:rPr>
          <w:rFonts w:ascii="Times New Roman" w:hAnsi="Times New Roman" w:eastAsia="Times New Roman"/>
          <w:spacing w:val="-3"/>
          <w:w w:val="100"/>
        </w:rPr>
        <w:t>“</w:t>
      </w:r>
      <w:r>
        <w:rPr>
          <w:w w:val="100"/>
        </w:rPr>
        <w:t>发包</w:t>
      </w:r>
      <w:r>
        <w:rPr>
          <w:spacing w:val="-3"/>
          <w:w w:val="100"/>
        </w:rPr>
        <w:t>人</w:t>
      </w:r>
      <w:r>
        <w:rPr>
          <w:rFonts w:ascii="Times New Roman" w:hAnsi="Times New Roman" w:eastAsia="Times New Roman"/>
          <w:spacing w:val="-1"/>
          <w:w w:val="100"/>
        </w:rPr>
        <w:t>”</w:t>
      </w:r>
      <w:r>
        <w:rPr>
          <w:spacing w:val="-80"/>
          <w:w w:val="100"/>
        </w:rPr>
        <w:t>）</w:t>
      </w:r>
      <w:r>
        <w:rPr>
          <w:w w:val="100"/>
        </w:rPr>
        <w:t>于</w:t>
      </w:r>
      <w:r>
        <w:rPr>
          <w:rFonts w:ascii="Times New Roman" w:hAnsi="Times New Roman" w:eastAsia="Times New Roman"/>
          <w:w w:val="100"/>
          <w:u w:val="single"/>
        </w:rPr>
        <w:t> </w:t>
      </w:r>
      <w:r>
        <w:rPr>
          <w:rFonts w:ascii="Times New Roman" w:hAnsi="Times New Roman" w:eastAsia="Times New Roman"/>
          <w:u w:val="single"/>
        </w:rPr>
        <w:tab/>
      </w:r>
      <w:r>
        <w:rPr>
          <w:spacing w:val="-3"/>
          <w:w w:val="100"/>
        </w:rPr>
        <w:t>年</w:t>
      </w:r>
      <w:r>
        <w:rPr>
          <w:rFonts w:ascii="Times New Roman" w:hAnsi="Times New Roman" w:eastAsia="Times New Roman"/>
          <w:w w:val="100"/>
          <w:u w:val="single"/>
        </w:rPr>
        <w:t> </w:t>
      </w:r>
      <w:r>
        <w:rPr>
          <w:rFonts w:ascii="Times New Roman" w:hAnsi="Times New Roman" w:eastAsia="Times New Roman"/>
          <w:u w:val="single"/>
        </w:rPr>
        <w:tab/>
      </w:r>
      <w:r>
        <w:rPr>
          <w:spacing w:val="-17"/>
          <w:w w:val="100"/>
        </w:rPr>
        <w:t>月</w:t>
      </w:r>
      <w:r>
        <w:rPr>
          <w:w w:val="100"/>
        </w:rPr>
        <w:t>日签</w:t>
      </w:r>
      <w:r>
        <w:rPr>
          <w:spacing w:val="-3"/>
          <w:w w:val="100"/>
        </w:rPr>
        <w:t>订</w:t>
      </w:r>
      <w:r>
        <w:rPr>
          <w:spacing w:val="-1"/>
          <w:w w:val="100"/>
        </w:rPr>
        <w:t>了</w:t>
      </w:r>
      <w:r>
        <w:rPr>
          <w:rFonts w:ascii="Times New Roman" w:hAnsi="Times New Roman" w:eastAsia="Times New Roman"/>
          <w:w w:val="100"/>
          <w:u w:val="single"/>
        </w:rPr>
        <w:t> </w:t>
      </w:r>
      <w:r>
        <w:rPr>
          <w:rFonts w:ascii="Times New Roman" w:hAnsi="Times New Roman" w:eastAsia="Times New Roman"/>
          <w:u w:val="single"/>
        </w:rPr>
        <w:tab/>
      </w:r>
      <w:r>
        <w:rPr>
          <w:spacing w:val="-3"/>
          <w:w w:val="100"/>
        </w:rPr>
        <w:t>（</w:t>
      </w:r>
      <w:r>
        <w:rPr>
          <w:w w:val="100"/>
        </w:rPr>
        <w:t>工</w:t>
      </w:r>
      <w:r>
        <w:rPr>
          <w:spacing w:val="-3"/>
          <w:w w:val="100"/>
        </w:rPr>
        <w:t>程</w:t>
      </w:r>
      <w:r>
        <w:rPr>
          <w:w w:val="100"/>
        </w:rPr>
        <w:t>名称</w:t>
      </w:r>
      <w:r>
        <w:rPr>
          <w:spacing w:val="-108"/>
          <w:w w:val="100"/>
        </w:rPr>
        <w:t>）</w:t>
      </w:r>
      <w:r>
        <w:rPr>
          <w:w w:val="100"/>
        </w:rPr>
        <w:t>《建</w:t>
      </w:r>
      <w:r>
        <w:rPr>
          <w:spacing w:val="-3"/>
          <w:w w:val="100"/>
        </w:rPr>
        <w:t>设</w:t>
      </w:r>
      <w:r>
        <w:rPr>
          <w:w w:val="100"/>
        </w:rPr>
        <w:t>工</w:t>
      </w:r>
      <w:r>
        <w:rPr>
          <w:spacing w:val="-3"/>
          <w:w w:val="100"/>
        </w:rPr>
        <w:t>程</w:t>
      </w:r>
      <w:r>
        <w:rPr>
          <w:w w:val="100"/>
        </w:rPr>
        <w:t>施</w:t>
      </w:r>
      <w:r>
        <w:rPr>
          <w:spacing w:val="-3"/>
          <w:w w:val="100"/>
        </w:rPr>
        <w:t>工</w:t>
      </w:r>
      <w:r>
        <w:rPr>
          <w:w w:val="100"/>
        </w:rPr>
        <w:t>合</w:t>
      </w:r>
      <w:r>
        <w:rPr>
          <w:spacing w:val="-3"/>
          <w:w w:val="100"/>
        </w:rPr>
        <w:t>同</w:t>
      </w:r>
      <w:r>
        <w:rPr>
          <w:spacing w:val="-106"/>
          <w:w w:val="100"/>
        </w:rPr>
        <w:t>》</w:t>
      </w:r>
      <w:r>
        <w:rPr>
          <w:spacing w:val="-3"/>
          <w:w w:val="100"/>
        </w:rPr>
        <w:t>（以</w:t>
      </w:r>
      <w:r>
        <w:rPr>
          <w:w w:val="100"/>
        </w:rPr>
        <w:t>下称</w:t>
      </w:r>
      <w:r>
        <w:rPr>
          <w:rFonts w:ascii="Times New Roman" w:hAnsi="Times New Roman" w:eastAsia="Times New Roman"/>
          <w:spacing w:val="-3"/>
          <w:w w:val="100"/>
        </w:rPr>
        <w:t>“</w:t>
      </w:r>
      <w:r>
        <w:rPr>
          <w:w w:val="100"/>
        </w:rPr>
        <w:t>主</w:t>
      </w:r>
      <w:r>
        <w:rPr>
          <w:spacing w:val="-3"/>
          <w:w w:val="100"/>
        </w:rPr>
        <w:t>合</w:t>
      </w:r>
      <w:r>
        <w:rPr>
          <w:spacing w:val="-1"/>
          <w:w w:val="100"/>
        </w:rPr>
        <w:t>同</w:t>
      </w:r>
      <w:r>
        <w:rPr>
          <w:rFonts w:ascii="Times New Roman" w:hAnsi="Times New Roman" w:eastAsia="Times New Roman"/>
          <w:spacing w:val="-1"/>
          <w:w w:val="100"/>
        </w:rPr>
        <w:t>”</w:t>
      </w:r>
      <w:r>
        <w:rPr>
          <w:spacing w:val="-106"/>
          <w:w w:val="100"/>
        </w:rPr>
        <w:t>），</w:t>
      </w:r>
    </w:p>
    <w:p>
      <w:pPr>
        <w:spacing w:after="0" w:line="364" w:lineRule="auto"/>
        <w:sectPr>
          <w:type w:val="continuous"/>
          <w:pgSz w:w="11910" w:h="16850"/>
          <w:pgMar w:top="1380" w:bottom="1040" w:left="1120" w:right="280"/>
        </w:sectPr>
      </w:pPr>
    </w:p>
    <w:p>
      <w:pPr>
        <w:pStyle w:val="BodyText"/>
        <w:spacing w:line="364" w:lineRule="auto" w:before="60"/>
        <w:ind w:right="1208"/>
      </w:pPr>
      <w:r>
        <w:rPr/>
        <w:t>应发包人的申请，我方愿就发包人履行主合同约定的工程款支付义务以保证的方式向你方提供如下担保：</w:t>
      </w:r>
    </w:p>
    <w:p>
      <w:pPr>
        <w:pStyle w:val="BodyText"/>
        <w:spacing w:line="268" w:lineRule="exact"/>
        <w:ind w:left="1098"/>
      </w:pPr>
      <w:r>
        <w:rPr/>
        <w:t>一、保证的范围及保证金额</w:t>
      </w:r>
    </w:p>
    <w:p>
      <w:pPr>
        <w:pStyle w:val="ListParagraph"/>
        <w:numPr>
          <w:ilvl w:val="0"/>
          <w:numId w:val="112"/>
        </w:numPr>
        <w:tabs>
          <w:tab w:pos="1362" w:val="left" w:leader="none"/>
        </w:tabs>
        <w:spacing w:line="240" w:lineRule="auto" w:before="141" w:after="0"/>
        <w:ind w:left="1362" w:right="0" w:hanging="264"/>
        <w:jc w:val="left"/>
        <w:rPr>
          <w:sz w:val="21"/>
        </w:rPr>
      </w:pPr>
      <w:r>
        <w:rPr>
          <w:spacing w:val="-3"/>
          <w:sz w:val="21"/>
        </w:rPr>
        <w:t>我方的保证范围是主合同约定的工程款。</w:t>
      </w:r>
    </w:p>
    <w:p>
      <w:pPr>
        <w:pStyle w:val="ListParagraph"/>
        <w:numPr>
          <w:ilvl w:val="0"/>
          <w:numId w:val="112"/>
        </w:numPr>
        <w:tabs>
          <w:tab w:pos="1362" w:val="left" w:leader="none"/>
        </w:tabs>
        <w:spacing w:line="240" w:lineRule="auto" w:before="139" w:after="0"/>
        <w:ind w:left="1362" w:right="0" w:hanging="264"/>
        <w:jc w:val="left"/>
        <w:rPr>
          <w:sz w:val="21"/>
        </w:rPr>
      </w:pPr>
      <w:r>
        <w:rPr>
          <w:spacing w:val="-3"/>
          <w:sz w:val="21"/>
        </w:rPr>
        <w:t>本保函所称主合同约定的工程款是指主合同约定的除工程质量保证金以外的合同价款。</w:t>
      </w:r>
    </w:p>
    <w:p>
      <w:pPr>
        <w:pStyle w:val="ListParagraph"/>
        <w:numPr>
          <w:ilvl w:val="0"/>
          <w:numId w:val="112"/>
        </w:numPr>
        <w:tabs>
          <w:tab w:pos="1362" w:val="left" w:leader="none"/>
          <w:tab w:pos="1940" w:val="left" w:leader="none"/>
          <w:tab w:pos="5771" w:val="left" w:leader="none"/>
        </w:tabs>
        <w:spacing w:line="364" w:lineRule="auto" w:before="139" w:after="0"/>
        <w:ind w:left="678" w:right="1614" w:firstLine="419"/>
        <w:jc w:val="left"/>
        <w:rPr>
          <w:sz w:val="21"/>
        </w:rPr>
      </w:pPr>
      <w:r>
        <w:rPr>
          <w:spacing w:val="-3"/>
          <w:sz w:val="21"/>
        </w:rPr>
        <w:t>我</w:t>
      </w:r>
      <w:r>
        <w:rPr>
          <w:sz w:val="21"/>
        </w:rPr>
        <w:t>方</w:t>
      </w:r>
      <w:r>
        <w:rPr>
          <w:spacing w:val="-3"/>
          <w:sz w:val="21"/>
        </w:rPr>
        <w:t>保</w:t>
      </w:r>
      <w:r>
        <w:rPr>
          <w:sz w:val="21"/>
        </w:rPr>
        <w:t>证</w:t>
      </w:r>
      <w:r>
        <w:rPr>
          <w:spacing w:val="-3"/>
          <w:sz w:val="21"/>
        </w:rPr>
        <w:t>的</w:t>
      </w:r>
      <w:r>
        <w:rPr>
          <w:sz w:val="21"/>
        </w:rPr>
        <w:t>金</w:t>
      </w:r>
      <w:r>
        <w:rPr>
          <w:spacing w:val="-3"/>
          <w:sz w:val="21"/>
        </w:rPr>
        <w:t>额</w:t>
      </w:r>
      <w:r>
        <w:rPr>
          <w:sz w:val="21"/>
        </w:rPr>
        <w:t>是</w:t>
      </w:r>
      <w:r>
        <w:rPr>
          <w:spacing w:val="-3"/>
          <w:sz w:val="21"/>
        </w:rPr>
        <w:t>主合</w:t>
      </w:r>
      <w:r>
        <w:rPr>
          <w:sz w:val="21"/>
        </w:rPr>
        <w:t>同约</w:t>
      </w:r>
      <w:r>
        <w:rPr>
          <w:spacing w:val="-3"/>
          <w:sz w:val="21"/>
        </w:rPr>
        <w:t>定</w:t>
      </w:r>
      <w:r>
        <w:rPr>
          <w:sz w:val="21"/>
        </w:rPr>
        <w:t>的</w:t>
      </w:r>
      <w:r>
        <w:rPr>
          <w:spacing w:val="-3"/>
          <w:sz w:val="21"/>
        </w:rPr>
        <w:t>工</w:t>
      </w:r>
      <w:r>
        <w:rPr>
          <w:sz w:val="21"/>
        </w:rPr>
        <w:t>程</w:t>
      </w:r>
      <w:r>
        <w:rPr>
          <w:spacing w:val="-3"/>
          <w:sz w:val="21"/>
        </w:rPr>
        <w:t>款</w:t>
      </w:r>
      <w:r>
        <w:rPr>
          <w:sz w:val="21"/>
        </w:rPr>
        <w:t>的</w:t>
      </w:r>
      <w:r>
        <w:rPr>
          <w:sz w:val="21"/>
          <w:u w:val="single"/>
        </w:rPr>
        <w:t> </w:t>
        <w:tab/>
      </w:r>
      <w:r>
        <w:rPr>
          <w:rFonts w:ascii="Times New Roman" w:eastAsia="Times New Roman"/>
          <w:sz w:val="21"/>
        </w:rPr>
        <w:t>%</w:t>
      </w:r>
      <w:r>
        <w:rPr>
          <w:sz w:val="21"/>
        </w:rPr>
        <w:t>，</w:t>
      </w:r>
      <w:r>
        <w:rPr>
          <w:spacing w:val="-3"/>
          <w:sz w:val="21"/>
        </w:rPr>
        <w:t>数</w:t>
      </w:r>
      <w:r>
        <w:rPr>
          <w:sz w:val="21"/>
        </w:rPr>
        <w:t>额</w:t>
      </w:r>
      <w:r>
        <w:rPr>
          <w:spacing w:val="-3"/>
          <w:sz w:val="21"/>
        </w:rPr>
        <w:t>最</w:t>
      </w:r>
      <w:r>
        <w:rPr>
          <w:sz w:val="21"/>
        </w:rPr>
        <w:t>高</w:t>
      </w:r>
      <w:r>
        <w:rPr>
          <w:spacing w:val="-3"/>
          <w:sz w:val="21"/>
        </w:rPr>
        <w:t>不</w:t>
      </w:r>
      <w:r>
        <w:rPr>
          <w:sz w:val="21"/>
        </w:rPr>
        <w:t>超</w:t>
      </w:r>
      <w:r>
        <w:rPr>
          <w:spacing w:val="-3"/>
          <w:sz w:val="21"/>
        </w:rPr>
        <w:t>过</w:t>
      </w:r>
      <w:r>
        <w:rPr>
          <w:sz w:val="21"/>
        </w:rPr>
        <w:t>人</w:t>
      </w:r>
      <w:r>
        <w:rPr>
          <w:spacing w:val="-3"/>
          <w:sz w:val="21"/>
        </w:rPr>
        <w:t>民</w:t>
      </w:r>
      <w:r>
        <w:rPr>
          <w:sz w:val="21"/>
        </w:rPr>
        <w:t>币元</w:t>
      </w:r>
      <w:r>
        <w:rPr>
          <w:spacing w:val="-3"/>
          <w:sz w:val="21"/>
        </w:rPr>
        <w:t>（</w:t>
      </w:r>
      <w:r>
        <w:rPr>
          <w:spacing w:val="-13"/>
          <w:sz w:val="21"/>
        </w:rPr>
        <w:t>大</w:t>
      </w:r>
      <w:r>
        <w:rPr>
          <w:sz w:val="21"/>
        </w:rPr>
        <w:t>写：</w:t>
      </w:r>
      <w:r>
        <w:rPr>
          <w:sz w:val="21"/>
          <w:u w:val="single"/>
        </w:rPr>
        <w:t> </w:t>
        <w:tab/>
      </w:r>
      <w:r>
        <w:rPr>
          <w:spacing w:val="-108"/>
          <w:sz w:val="21"/>
        </w:rPr>
        <w:t>）。</w:t>
      </w:r>
    </w:p>
    <w:p>
      <w:pPr>
        <w:pStyle w:val="BodyText"/>
        <w:spacing w:before="1"/>
        <w:ind w:left="1098"/>
      </w:pPr>
      <w:r>
        <w:rPr/>
        <w:t>二、保证的方式及保证期间</w:t>
      </w:r>
    </w:p>
    <w:p>
      <w:pPr>
        <w:pStyle w:val="ListParagraph"/>
        <w:numPr>
          <w:ilvl w:val="0"/>
          <w:numId w:val="113"/>
        </w:numPr>
        <w:tabs>
          <w:tab w:pos="1362" w:val="left" w:leader="none"/>
        </w:tabs>
        <w:spacing w:line="240" w:lineRule="auto" w:before="139" w:after="0"/>
        <w:ind w:left="1362" w:right="0" w:hanging="264"/>
        <w:jc w:val="left"/>
        <w:rPr>
          <w:sz w:val="21"/>
        </w:rPr>
      </w:pPr>
      <w:r>
        <w:rPr>
          <w:spacing w:val="-3"/>
          <w:sz w:val="21"/>
        </w:rPr>
        <w:t>我方保证的方式为：连带责任保证。</w:t>
      </w:r>
    </w:p>
    <w:p>
      <w:pPr>
        <w:pStyle w:val="ListParagraph"/>
        <w:numPr>
          <w:ilvl w:val="0"/>
          <w:numId w:val="113"/>
        </w:numPr>
        <w:tabs>
          <w:tab w:pos="1362" w:val="left" w:leader="none"/>
          <w:tab w:pos="9134" w:val="left" w:leader="none"/>
        </w:tabs>
        <w:spacing w:line="364" w:lineRule="auto" w:before="139" w:after="0"/>
        <w:ind w:left="678" w:right="1158" w:firstLine="419"/>
        <w:jc w:val="left"/>
        <w:rPr>
          <w:sz w:val="21"/>
        </w:rPr>
      </w:pPr>
      <w:r>
        <w:rPr>
          <w:spacing w:val="-3"/>
          <w:sz w:val="21"/>
        </w:rPr>
        <w:t>我</w:t>
      </w:r>
      <w:r>
        <w:rPr>
          <w:sz w:val="21"/>
        </w:rPr>
        <w:t>方</w:t>
      </w:r>
      <w:r>
        <w:rPr>
          <w:spacing w:val="-3"/>
          <w:sz w:val="21"/>
        </w:rPr>
        <w:t>保</w:t>
      </w:r>
      <w:r>
        <w:rPr>
          <w:sz w:val="21"/>
        </w:rPr>
        <w:t>证</w:t>
      </w:r>
      <w:r>
        <w:rPr>
          <w:spacing w:val="-3"/>
          <w:sz w:val="21"/>
        </w:rPr>
        <w:t>的</w:t>
      </w:r>
      <w:r>
        <w:rPr>
          <w:sz w:val="21"/>
        </w:rPr>
        <w:t>期</w:t>
      </w:r>
      <w:r>
        <w:rPr>
          <w:spacing w:val="-3"/>
          <w:sz w:val="21"/>
        </w:rPr>
        <w:t>间</w:t>
      </w:r>
      <w:r>
        <w:rPr>
          <w:sz w:val="21"/>
        </w:rPr>
        <w:t>为</w:t>
      </w:r>
      <w:r>
        <w:rPr>
          <w:spacing w:val="-3"/>
          <w:sz w:val="21"/>
        </w:rPr>
        <w:t>：自</w:t>
      </w:r>
      <w:r>
        <w:rPr>
          <w:sz w:val="21"/>
        </w:rPr>
        <w:t>本合</w:t>
      </w:r>
      <w:r>
        <w:rPr>
          <w:spacing w:val="-3"/>
          <w:sz w:val="21"/>
        </w:rPr>
        <w:t>同</w:t>
      </w:r>
      <w:r>
        <w:rPr>
          <w:sz w:val="21"/>
        </w:rPr>
        <w:t>生</w:t>
      </w:r>
      <w:r>
        <w:rPr>
          <w:spacing w:val="-3"/>
          <w:sz w:val="21"/>
        </w:rPr>
        <w:t>效</w:t>
      </w:r>
      <w:r>
        <w:rPr>
          <w:sz w:val="21"/>
        </w:rPr>
        <w:t>之</w:t>
      </w:r>
      <w:r>
        <w:rPr>
          <w:spacing w:val="-3"/>
          <w:sz w:val="21"/>
        </w:rPr>
        <w:t>日</w:t>
      </w:r>
      <w:r>
        <w:rPr>
          <w:sz w:val="21"/>
        </w:rPr>
        <w:t>起</w:t>
      </w:r>
      <w:r>
        <w:rPr>
          <w:spacing w:val="-3"/>
          <w:sz w:val="21"/>
        </w:rPr>
        <w:t>至</w:t>
      </w:r>
      <w:r>
        <w:rPr>
          <w:sz w:val="21"/>
        </w:rPr>
        <w:t>主</w:t>
      </w:r>
      <w:r>
        <w:rPr>
          <w:spacing w:val="-3"/>
          <w:sz w:val="21"/>
        </w:rPr>
        <w:t>合</w:t>
      </w:r>
      <w:r>
        <w:rPr>
          <w:sz w:val="21"/>
        </w:rPr>
        <w:t>同约</w:t>
      </w:r>
      <w:r>
        <w:rPr>
          <w:spacing w:val="-3"/>
          <w:sz w:val="21"/>
        </w:rPr>
        <w:t>定</w:t>
      </w:r>
      <w:r>
        <w:rPr>
          <w:sz w:val="21"/>
        </w:rPr>
        <w:t>的</w:t>
      </w:r>
      <w:r>
        <w:rPr>
          <w:spacing w:val="-3"/>
          <w:sz w:val="21"/>
        </w:rPr>
        <w:t>工</w:t>
      </w:r>
      <w:r>
        <w:rPr>
          <w:sz w:val="21"/>
        </w:rPr>
        <w:t>程</w:t>
      </w:r>
      <w:r>
        <w:rPr>
          <w:spacing w:val="-3"/>
          <w:sz w:val="21"/>
        </w:rPr>
        <w:t>款</w:t>
      </w:r>
      <w:r>
        <w:rPr>
          <w:sz w:val="21"/>
        </w:rPr>
        <w:t>支</w:t>
      </w:r>
      <w:r>
        <w:rPr>
          <w:spacing w:val="-3"/>
          <w:sz w:val="21"/>
        </w:rPr>
        <w:t>付</w:t>
      </w:r>
      <w:r>
        <w:rPr>
          <w:sz w:val="21"/>
        </w:rPr>
        <w:t>完</w:t>
      </w:r>
      <w:r>
        <w:rPr>
          <w:spacing w:val="-3"/>
          <w:sz w:val="21"/>
        </w:rPr>
        <w:t>毕</w:t>
      </w:r>
      <w:r>
        <w:rPr>
          <w:sz w:val="21"/>
        </w:rPr>
        <w:t>之日</w:t>
      </w:r>
      <w:r>
        <w:rPr>
          <w:spacing w:val="-3"/>
          <w:sz w:val="21"/>
        </w:rPr>
        <w:t>后</w:t>
      </w:r>
      <w:r>
        <w:rPr>
          <w:spacing w:val="-3"/>
          <w:sz w:val="21"/>
          <w:u w:val="single"/>
        </w:rPr>
        <w:t> </w:t>
        <w:tab/>
      </w:r>
      <w:r>
        <w:rPr>
          <w:spacing w:val="-17"/>
          <w:sz w:val="21"/>
        </w:rPr>
        <w:t>日</w:t>
      </w:r>
      <w:r>
        <w:rPr>
          <w:sz w:val="21"/>
        </w:rPr>
        <w:t>内。</w:t>
      </w:r>
    </w:p>
    <w:p>
      <w:pPr>
        <w:pStyle w:val="ListParagraph"/>
        <w:numPr>
          <w:ilvl w:val="0"/>
          <w:numId w:val="113"/>
        </w:numPr>
        <w:tabs>
          <w:tab w:pos="1362" w:val="left" w:leader="none"/>
        </w:tabs>
        <w:spacing w:line="367" w:lineRule="auto" w:before="0" w:after="0"/>
        <w:ind w:left="678" w:right="1158" w:firstLine="419"/>
        <w:jc w:val="left"/>
        <w:rPr>
          <w:sz w:val="21"/>
        </w:rPr>
      </w:pPr>
      <w:r>
        <w:rPr>
          <w:spacing w:val="-3"/>
          <w:sz w:val="21"/>
        </w:rPr>
        <w:t>你方与发包人协议变更工程款支付日期的，经我方书面同意后，保证期间按照变更后的支付日期做相应调整。</w:t>
      </w:r>
    </w:p>
    <w:p>
      <w:pPr>
        <w:pStyle w:val="BodyText"/>
        <w:spacing w:line="264" w:lineRule="exact"/>
        <w:ind w:left="1098"/>
      </w:pPr>
      <w:r>
        <w:rPr/>
        <w:t>三、承担保证责任的形式</w:t>
      </w:r>
    </w:p>
    <w:p>
      <w:pPr>
        <w:pStyle w:val="BodyText"/>
        <w:spacing w:line="364" w:lineRule="auto" w:before="137"/>
        <w:ind w:right="1209" w:firstLine="419"/>
      </w:pPr>
      <w:r>
        <w:rPr/>
        <w:t>我方承担保证责任的形式是代为支付。发包人未按主合同约定向你方支付工程款的，由我方在保证金额内代为支付。</w:t>
      </w:r>
    </w:p>
    <w:p>
      <w:pPr>
        <w:pStyle w:val="BodyText"/>
        <w:spacing w:line="267" w:lineRule="exact"/>
        <w:ind w:left="1098"/>
      </w:pPr>
      <w:r>
        <w:rPr/>
        <w:t>四、代偿的安排</w:t>
      </w:r>
    </w:p>
    <w:p>
      <w:pPr>
        <w:pStyle w:val="ListParagraph"/>
        <w:numPr>
          <w:ilvl w:val="0"/>
          <w:numId w:val="114"/>
        </w:numPr>
        <w:tabs>
          <w:tab w:pos="1362" w:val="left" w:leader="none"/>
        </w:tabs>
        <w:spacing w:line="364" w:lineRule="auto" w:before="142" w:after="0"/>
        <w:ind w:left="678" w:right="1158" w:firstLine="419"/>
        <w:jc w:val="both"/>
        <w:rPr>
          <w:sz w:val="21"/>
        </w:rPr>
      </w:pPr>
      <w:r>
        <w:rPr>
          <w:spacing w:val="-3"/>
          <w:sz w:val="21"/>
        </w:rPr>
        <w:t>你方要求我方承担保证责任的，应向我方发出书面索赔通知及发包人未支付主合同约定工程款的证明材料。索赔通知应写明要求索赔的金额，支付款项应到达的账号。</w:t>
      </w:r>
    </w:p>
    <w:p>
      <w:pPr>
        <w:pStyle w:val="ListParagraph"/>
        <w:numPr>
          <w:ilvl w:val="0"/>
          <w:numId w:val="114"/>
        </w:numPr>
        <w:tabs>
          <w:tab w:pos="1362" w:val="left" w:leader="none"/>
        </w:tabs>
        <w:spacing w:line="364" w:lineRule="auto" w:before="0" w:after="0"/>
        <w:ind w:left="678" w:right="1158" w:firstLine="419"/>
        <w:jc w:val="both"/>
        <w:rPr>
          <w:sz w:val="21"/>
        </w:rPr>
      </w:pPr>
      <w:r>
        <w:rPr>
          <w:spacing w:val="-3"/>
          <w:sz w:val="21"/>
        </w:rPr>
        <w:t>在出现你方与发包人因工程质量发生争议，发包人拒绝向你方支付工程款的情形时，你方要求我方履行保证责任代为支付的，需提供符合相应条件要求的工程质量检测机构出具的质量说明材料。</w:t>
      </w:r>
    </w:p>
    <w:p>
      <w:pPr>
        <w:pStyle w:val="ListParagraph"/>
        <w:numPr>
          <w:ilvl w:val="0"/>
          <w:numId w:val="114"/>
        </w:numPr>
        <w:tabs>
          <w:tab w:pos="1362" w:val="left" w:leader="none"/>
        </w:tabs>
        <w:spacing w:line="269" w:lineRule="exact" w:before="0" w:after="0"/>
        <w:ind w:left="1362" w:right="0" w:hanging="264"/>
        <w:jc w:val="both"/>
        <w:rPr>
          <w:sz w:val="21"/>
        </w:rPr>
      </w:pPr>
      <w:r>
        <w:rPr>
          <w:spacing w:val="-3"/>
          <w:sz w:val="21"/>
        </w:rPr>
        <w:t>我方收到你方的书面索赔通知及相应的证明材料后７天内无条件支付。</w:t>
      </w:r>
    </w:p>
    <w:p>
      <w:pPr>
        <w:pStyle w:val="BodyText"/>
        <w:spacing w:before="137"/>
        <w:ind w:left="1098"/>
      </w:pPr>
      <w:r>
        <w:rPr/>
        <w:t>五、保证责任的解除</w:t>
      </w:r>
    </w:p>
    <w:p>
      <w:pPr>
        <w:pStyle w:val="ListParagraph"/>
        <w:numPr>
          <w:ilvl w:val="0"/>
          <w:numId w:val="115"/>
        </w:numPr>
        <w:tabs>
          <w:tab w:pos="1362" w:val="left" w:leader="none"/>
        </w:tabs>
        <w:spacing w:line="364" w:lineRule="auto" w:before="139" w:after="0"/>
        <w:ind w:left="678" w:right="1158" w:firstLine="419"/>
        <w:jc w:val="left"/>
        <w:rPr>
          <w:sz w:val="21"/>
        </w:rPr>
      </w:pPr>
      <w:r>
        <w:rPr>
          <w:spacing w:val="-3"/>
          <w:sz w:val="21"/>
        </w:rPr>
        <w:t>在本保函承诺的保证期间内，你方未书面向我方主张保证责任的，自保证期间届满次日起，我方保证责任解除。</w:t>
      </w:r>
    </w:p>
    <w:p>
      <w:pPr>
        <w:pStyle w:val="ListParagraph"/>
        <w:numPr>
          <w:ilvl w:val="0"/>
          <w:numId w:val="115"/>
        </w:numPr>
        <w:tabs>
          <w:tab w:pos="1362" w:val="left" w:leader="none"/>
        </w:tabs>
        <w:spacing w:line="364" w:lineRule="auto" w:before="1" w:after="0"/>
        <w:ind w:left="678" w:right="1158" w:firstLine="419"/>
        <w:jc w:val="left"/>
        <w:rPr>
          <w:sz w:val="21"/>
        </w:rPr>
      </w:pPr>
      <w:r>
        <w:rPr>
          <w:spacing w:val="-3"/>
          <w:sz w:val="21"/>
        </w:rPr>
        <w:t>发包人按主合同约定履行了工程款的全部支付义务的，自本保函承诺的保证期间届满次日起，我方保证责任解除。</w:t>
      </w:r>
    </w:p>
    <w:p>
      <w:pPr>
        <w:pStyle w:val="ListParagraph"/>
        <w:numPr>
          <w:ilvl w:val="0"/>
          <w:numId w:val="115"/>
        </w:numPr>
        <w:tabs>
          <w:tab w:pos="1362" w:val="left" w:leader="none"/>
        </w:tabs>
        <w:spacing w:line="364" w:lineRule="auto" w:before="0" w:after="0"/>
        <w:ind w:left="678" w:right="1158" w:firstLine="419"/>
        <w:jc w:val="left"/>
        <w:rPr>
          <w:sz w:val="21"/>
        </w:rPr>
      </w:pPr>
      <w:r>
        <w:rPr>
          <w:spacing w:val="-3"/>
          <w:sz w:val="21"/>
        </w:rPr>
        <w:t>我方按照本保函向你方履行保证责任所支付金额达到本保函保证金额时，自我方向你方支付（支付款项从我方账户划出</w:t>
      </w:r>
      <w:r>
        <w:rPr>
          <w:sz w:val="21"/>
        </w:rPr>
        <w:t>）</w:t>
      </w:r>
      <w:r>
        <w:rPr>
          <w:spacing w:val="-3"/>
          <w:sz w:val="21"/>
        </w:rPr>
        <w:t>之日起，保证责任即解除。</w:t>
      </w:r>
    </w:p>
    <w:p>
      <w:pPr>
        <w:pStyle w:val="ListParagraph"/>
        <w:numPr>
          <w:ilvl w:val="0"/>
          <w:numId w:val="115"/>
        </w:numPr>
        <w:tabs>
          <w:tab w:pos="1362" w:val="left" w:leader="none"/>
        </w:tabs>
        <w:spacing w:line="367" w:lineRule="auto" w:before="0" w:after="0"/>
        <w:ind w:left="678" w:right="1158" w:firstLine="419"/>
        <w:jc w:val="left"/>
        <w:rPr>
          <w:sz w:val="21"/>
        </w:rPr>
      </w:pPr>
      <w:r>
        <w:rPr>
          <w:spacing w:val="-3"/>
          <w:sz w:val="21"/>
        </w:rPr>
        <w:t>按照法律法规的规定或出现应解除我方保证责任的其他情形的，我方在本保函项下的保证责任亦解除。</w:t>
      </w:r>
    </w:p>
    <w:p>
      <w:pPr>
        <w:pStyle w:val="ListParagraph"/>
        <w:numPr>
          <w:ilvl w:val="0"/>
          <w:numId w:val="115"/>
        </w:numPr>
        <w:tabs>
          <w:tab w:pos="1362" w:val="left" w:leader="none"/>
        </w:tabs>
        <w:spacing w:line="364" w:lineRule="auto" w:before="0" w:after="0"/>
        <w:ind w:left="678" w:right="1158" w:firstLine="419"/>
        <w:jc w:val="left"/>
        <w:rPr>
          <w:sz w:val="21"/>
        </w:rPr>
      </w:pPr>
      <w:r>
        <w:rPr>
          <w:spacing w:val="-3"/>
          <w:sz w:val="21"/>
        </w:rPr>
        <w:t>我方解除保证责任后，你方应自我方保证责任解除之日起</w:t>
      </w:r>
      <w:r>
        <w:rPr>
          <w:spacing w:val="-1"/>
          <w:sz w:val="21"/>
        </w:rPr>
        <w:t> 个工作日内，将本保函原件</w:t>
      </w:r>
      <w:r>
        <w:rPr>
          <w:spacing w:val="-2"/>
          <w:sz w:val="21"/>
        </w:rPr>
        <w:t>返还我方。</w:t>
      </w:r>
    </w:p>
    <w:p>
      <w:pPr>
        <w:spacing w:after="0" w:line="364" w:lineRule="auto"/>
        <w:jc w:val="left"/>
        <w:rPr>
          <w:sz w:val="21"/>
        </w:rPr>
        <w:sectPr>
          <w:pgSz w:w="11910" w:h="16850"/>
          <w:pgMar w:header="0" w:footer="779" w:top="1380" w:bottom="1040" w:left="1120" w:right="280"/>
        </w:sectPr>
      </w:pPr>
    </w:p>
    <w:p>
      <w:pPr>
        <w:pStyle w:val="BodyText"/>
        <w:spacing w:before="60"/>
        <w:ind w:left="1098"/>
      </w:pPr>
      <w:r>
        <w:rPr/>
        <w:t>六、免责条款</w:t>
      </w:r>
    </w:p>
    <w:p>
      <w:pPr>
        <w:pStyle w:val="ListParagraph"/>
        <w:numPr>
          <w:ilvl w:val="0"/>
          <w:numId w:val="116"/>
        </w:numPr>
        <w:tabs>
          <w:tab w:pos="1362" w:val="left" w:leader="none"/>
        </w:tabs>
        <w:spacing w:line="240" w:lineRule="auto" w:before="139" w:after="0"/>
        <w:ind w:left="1362" w:right="0" w:hanging="264"/>
        <w:jc w:val="both"/>
        <w:rPr>
          <w:sz w:val="21"/>
        </w:rPr>
      </w:pPr>
      <w:r>
        <w:rPr>
          <w:spacing w:val="-3"/>
          <w:sz w:val="21"/>
        </w:rPr>
        <w:t>因你方违约致使发包人不能履行义务的，我方不承担保证责任。</w:t>
      </w:r>
    </w:p>
    <w:p>
      <w:pPr>
        <w:pStyle w:val="ListParagraph"/>
        <w:numPr>
          <w:ilvl w:val="0"/>
          <w:numId w:val="116"/>
        </w:numPr>
        <w:tabs>
          <w:tab w:pos="1362" w:val="left" w:leader="none"/>
        </w:tabs>
        <w:spacing w:line="367" w:lineRule="auto" w:before="139" w:after="0"/>
        <w:ind w:left="678" w:right="1158" w:firstLine="419"/>
        <w:jc w:val="both"/>
        <w:rPr>
          <w:sz w:val="21"/>
        </w:rPr>
      </w:pPr>
      <w:r>
        <w:rPr>
          <w:spacing w:val="-3"/>
          <w:sz w:val="21"/>
        </w:rPr>
        <w:t>依照法律法规的规定或你方与发包人的另行约定，免除发包人部分或全部义务的，我方亦免除其相应的保证责任。</w:t>
      </w:r>
    </w:p>
    <w:p>
      <w:pPr>
        <w:pStyle w:val="ListParagraph"/>
        <w:numPr>
          <w:ilvl w:val="0"/>
          <w:numId w:val="116"/>
        </w:numPr>
        <w:tabs>
          <w:tab w:pos="1362" w:val="left" w:leader="none"/>
        </w:tabs>
        <w:spacing w:line="364" w:lineRule="auto" w:before="0" w:after="0"/>
        <w:ind w:left="678" w:right="1148" w:firstLine="419"/>
        <w:jc w:val="both"/>
        <w:rPr>
          <w:sz w:val="21"/>
        </w:rPr>
      </w:pPr>
      <w:r>
        <w:rPr>
          <w:spacing w:val="-3"/>
          <w:sz w:val="21"/>
        </w:rPr>
        <w:t>你方与发包人协议变更主合同的，如加重发包人责任致使我方保证责任加重的，需征得</w:t>
      </w:r>
      <w:r>
        <w:rPr>
          <w:spacing w:val="-7"/>
          <w:sz w:val="21"/>
        </w:rPr>
        <w:t>我方书面同意，否则我方不再承担因此而加重部分的保证责任，但主合同第 </w:t>
      </w:r>
      <w:r>
        <w:rPr>
          <w:rFonts w:ascii="Times New Roman" w:eastAsia="Times New Roman"/>
          <w:sz w:val="21"/>
        </w:rPr>
        <w:t>10</w:t>
      </w:r>
      <w:r>
        <w:rPr>
          <w:rFonts w:ascii="Times New Roman" w:eastAsia="Times New Roman"/>
          <w:spacing w:val="21"/>
          <w:sz w:val="21"/>
        </w:rPr>
        <w:t> </w:t>
      </w:r>
      <w:r>
        <w:rPr>
          <w:spacing w:val="-6"/>
          <w:sz w:val="21"/>
        </w:rPr>
        <w:t>条〔变更〕约定</w:t>
      </w:r>
      <w:r>
        <w:rPr>
          <w:spacing w:val="-4"/>
          <w:sz w:val="21"/>
        </w:rPr>
        <w:t>的变更不受本款限制。</w:t>
      </w:r>
    </w:p>
    <w:p>
      <w:pPr>
        <w:pStyle w:val="ListParagraph"/>
        <w:numPr>
          <w:ilvl w:val="0"/>
          <w:numId w:val="116"/>
        </w:numPr>
        <w:tabs>
          <w:tab w:pos="1362" w:val="left" w:leader="none"/>
        </w:tabs>
        <w:spacing w:line="269" w:lineRule="exact" w:before="0" w:after="0"/>
        <w:ind w:left="1362" w:right="0" w:hanging="264"/>
        <w:jc w:val="both"/>
        <w:rPr>
          <w:sz w:val="21"/>
        </w:rPr>
      </w:pPr>
      <w:r>
        <w:rPr>
          <w:spacing w:val="-3"/>
          <w:sz w:val="21"/>
        </w:rPr>
        <w:t>因不可抗力造成发包人不能履行义务的，我方不承担保证责任。</w:t>
      </w:r>
    </w:p>
    <w:p>
      <w:pPr>
        <w:pStyle w:val="BodyText"/>
        <w:spacing w:before="134"/>
        <w:ind w:left="1098"/>
      </w:pPr>
      <w:r>
        <w:rPr/>
        <w:t>七、争议解决</w:t>
      </w:r>
    </w:p>
    <w:p>
      <w:pPr>
        <w:pStyle w:val="BodyText"/>
        <w:tabs>
          <w:tab w:pos="9141" w:val="left" w:leader="none"/>
        </w:tabs>
        <w:spacing w:line="364" w:lineRule="auto" w:before="140"/>
        <w:ind w:right="1151" w:firstLine="419"/>
      </w:pPr>
      <w:r>
        <w:rPr/>
        <w:t>因本</w:t>
      </w:r>
      <w:r>
        <w:rPr>
          <w:spacing w:val="-3"/>
        </w:rPr>
        <w:t>保</w:t>
      </w:r>
      <w:r>
        <w:rPr/>
        <w:t>函</w:t>
      </w:r>
      <w:r>
        <w:rPr>
          <w:spacing w:val="-3"/>
        </w:rPr>
        <w:t>或</w:t>
      </w:r>
      <w:r>
        <w:rPr/>
        <w:t>本</w:t>
      </w:r>
      <w:r>
        <w:rPr>
          <w:spacing w:val="-3"/>
        </w:rPr>
        <w:t>保</w:t>
      </w:r>
      <w:r>
        <w:rPr/>
        <w:t>函</w:t>
      </w:r>
      <w:r>
        <w:rPr>
          <w:spacing w:val="-3"/>
        </w:rPr>
        <w:t>相</w:t>
      </w:r>
      <w:r>
        <w:rPr/>
        <w:t>关</w:t>
      </w:r>
      <w:r>
        <w:rPr>
          <w:spacing w:val="-3"/>
        </w:rPr>
        <w:t>事</w:t>
      </w:r>
      <w:r>
        <w:rPr/>
        <w:t>项发</w:t>
      </w:r>
      <w:r>
        <w:rPr>
          <w:spacing w:val="-3"/>
        </w:rPr>
        <w:t>生</w:t>
      </w:r>
      <w:r>
        <w:rPr/>
        <w:t>的</w:t>
      </w:r>
      <w:r>
        <w:rPr>
          <w:spacing w:val="-3"/>
        </w:rPr>
        <w:t>纠纷</w:t>
      </w:r>
      <w:r>
        <w:rPr>
          <w:spacing w:val="-85"/>
        </w:rPr>
        <w:t>，</w:t>
      </w:r>
      <w:r>
        <w:rPr>
          <w:spacing w:val="-3"/>
        </w:rPr>
        <w:t>可</w:t>
      </w:r>
      <w:r>
        <w:rPr/>
        <w:t>由</w:t>
      </w:r>
      <w:r>
        <w:rPr>
          <w:spacing w:val="-3"/>
        </w:rPr>
        <w:t>双</w:t>
      </w:r>
      <w:r>
        <w:rPr/>
        <w:t>方</w:t>
      </w:r>
      <w:r>
        <w:rPr>
          <w:spacing w:val="-3"/>
        </w:rPr>
        <w:t>协</w:t>
      </w:r>
      <w:r>
        <w:rPr/>
        <w:t>商解</w:t>
      </w:r>
      <w:r>
        <w:rPr>
          <w:spacing w:val="-3"/>
        </w:rPr>
        <w:t>决</w:t>
      </w:r>
      <w:r>
        <w:rPr>
          <w:spacing w:val="-87"/>
        </w:rPr>
        <w:t>，</w:t>
      </w:r>
      <w:r>
        <w:rPr/>
        <w:t>协</w:t>
      </w:r>
      <w:r>
        <w:rPr>
          <w:spacing w:val="-3"/>
        </w:rPr>
        <w:t>商</w:t>
      </w:r>
      <w:r>
        <w:rPr/>
        <w:t>不</w:t>
      </w:r>
      <w:r>
        <w:rPr>
          <w:spacing w:val="-3"/>
        </w:rPr>
        <w:t>成的</w:t>
      </w:r>
      <w:r>
        <w:rPr>
          <w:spacing w:val="-85"/>
        </w:rPr>
        <w:t>，</w:t>
      </w:r>
      <w:r>
        <w:rPr>
          <w:spacing w:val="-3"/>
        </w:rPr>
        <w:t>按下</w:t>
      </w:r>
      <w:r>
        <w:rPr/>
        <w:t>列第</w:t>
      </w:r>
      <w:r>
        <w:rPr>
          <w:u w:val="single"/>
        </w:rPr>
        <w:t> </w:t>
        <w:tab/>
      </w:r>
      <w:r>
        <w:rPr>
          <w:spacing w:val="-17"/>
        </w:rPr>
        <w:t>种</w:t>
      </w:r>
      <w:r>
        <w:rPr/>
        <w:t>方式</w:t>
      </w:r>
      <w:r>
        <w:rPr>
          <w:spacing w:val="-3"/>
        </w:rPr>
        <w:t>解</w:t>
      </w:r>
      <w:r>
        <w:rPr/>
        <w:t>决：</w:t>
      </w:r>
    </w:p>
    <w:p>
      <w:pPr>
        <w:pStyle w:val="ListParagraph"/>
        <w:numPr>
          <w:ilvl w:val="0"/>
          <w:numId w:val="117"/>
        </w:numPr>
        <w:tabs>
          <w:tab w:pos="1627" w:val="left" w:leader="none"/>
          <w:tab w:pos="4038" w:val="left" w:leader="none"/>
        </w:tabs>
        <w:spacing w:line="267" w:lineRule="exact" w:before="0" w:after="0"/>
        <w:ind w:left="1627" w:right="0" w:hanging="529"/>
        <w:jc w:val="left"/>
        <w:rPr>
          <w:sz w:val="21"/>
        </w:rPr>
      </w:pPr>
      <w:r>
        <w:rPr>
          <w:sz w:val="21"/>
        </w:rPr>
        <w:t>向</w:t>
      </w:r>
      <w:r>
        <w:rPr>
          <w:sz w:val="21"/>
          <w:u w:val="single"/>
        </w:rPr>
        <w:t> </w:t>
        <w:tab/>
      </w:r>
      <w:r>
        <w:rPr>
          <w:sz w:val="21"/>
        </w:rPr>
        <w:t>仲</w:t>
      </w:r>
      <w:r>
        <w:rPr>
          <w:spacing w:val="-3"/>
          <w:sz w:val="21"/>
        </w:rPr>
        <w:t>裁</w:t>
      </w:r>
      <w:r>
        <w:rPr>
          <w:sz w:val="21"/>
        </w:rPr>
        <w:t>委</w:t>
      </w:r>
      <w:r>
        <w:rPr>
          <w:spacing w:val="-3"/>
          <w:sz w:val="21"/>
        </w:rPr>
        <w:t>员</w:t>
      </w:r>
      <w:r>
        <w:rPr>
          <w:sz w:val="21"/>
        </w:rPr>
        <w:t>会</w:t>
      </w:r>
      <w:r>
        <w:rPr>
          <w:spacing w:val="-3"/>
          <w:sz w:val="21"/>
        </w:rPr>
        <w:t>申</w:t>
      </w:r>
      <w:r>
        <w:rPr>
          <w:sz w:val="21"/>
        </w:rPr>
        <w:t>请</w:t>
      </w:r>
      <w:r>
        <w:rPr>
          <w:spacing w:val="-3"/>
          <w:sz w:val="21"/>
        </w:rPr>
        <w:t>仲裁</w:t>
      </w:r>
      <w:r>
        <w:rPr>
          <w:sz w:val="21"/>
        </w:rPr>
        <w:t>；</w:t>
      </w:r>
    </w:p>
    <w:p>
      <w:pPr>
        <w:pStyle w:val="ListParagraph"/>
        <w:numPr>
          <w:ilvl w:val="0"/>
          <w:numId w:val="117"/>
        </w:numPr>
        <w:tabs>
          <w:tab w:pos="1627" w:val="left" w:leader="none"/>
          <w:tab w:pos="4038" w:val="left" w:leader="none"/>
        </w:tabs>
        <w:spacing w:line="240" w:lineRule="auto" w:before="141" w:after="0"/>
        <w:ind w:left="1627" w:right="0" w:hanging="529"/>
        <w:jc w:val="left"/>
        <w:rPr>
          <w:sz w:val="21"/>
        </w:rPr>
      </w:pPr>
      <w:r>
        <w:rPr>
          <w:sz w:val="21"/>
        </w:rPr>
        <w:t>向</w:t>
      </w:r>
      <w:r>
        <w:rPr>
          <w:sz w:val="21"/>
          <w:u w:val="single"/>
        </w:rPr>
        <w:t> </w:t>
        <w:tab/>
      </w:r>
      <w:r>
        <w:rPr>
          <w:sz w:val="21"/>
        </w:rPr>
        <w:t>人</w:t>
      </w:r>
      <w:r>
        <w:rPr>
          <w:spacing w:val="-3"/>
          <w:sz w:val="21"/>
        </w:rPr>
        <w:t>民</w:t>
      </w:r>
      <w:r>
        <w:rPr>
          <w:sz w:val="21"/>
        </w:rPr>
        <w:t>法</w:t>
      </w:r>
      <w:r>
        <w:rPr>
          <w:spacing w:val="-3"/>
          <w:sz w:val="21"/>
        </w:rPr>
        <w:t>院</w:t>
      </w:r>
      <w:r>
        <w:rPr>
          <w:sz w:val="21"/>
        </w:rPr>
        <w:t>起</w:t>
      </w:r>
      <w:r>
        <w:rPr>
          <w:spacing w:val="-3"/>
          <w:sz w:val="21"/>
        </w:rPr>
        <w:t>诉</w:t>
      </w:r>
      <w:r>
        <w:rPr>
          <w:sz w:val="21"/>
        </w:rPr>
        <w:t>。</w:t>
      </w:r>
    </w:p>
    <w:p>
      <w:pPr>
        <w:pStyle w:val="BodyText"/>
        <w:spacing w:before="139"/>
        <w:ind w:left="1098"/>
      </w:pPr>
      <w:r>
        <w:rPr/>
        <w:t>八、保函的生效</w:t>
      </w:r>
    </w:p>
    <w:p>
      <w:pPr>
        <w:pStyle w:val="BodyText"/>
        <w:spacing w:before="139"/>
        <w:ind w:left="1098"/>
      </w:pPr>
      <w:r>
        <w:rPr/>
        <w:t>本保函自我方法定代表人（或其授权代理人）签字并加盖公章之日起生效。</w:t>
      </w:r>
    </w:p>
    <w:p>
      <w:pPr>
        <w:pStyle w:val="BodyText"/>
        <w:ind w:left="0"/>
        <w:rPr>
          <w:sz w:val="20"/>
        </w:rPr>
      </w:pPr>
    </w:p>
    <w:p>
      <w:pPr>
        <w:pStyle w:val="BodyText"/>
        <w:ind w:left="0"/>
        <w:rPr>
          <w:sz w:val="20"/>
        </w:rPr>
      </w:pPr>
    </w:p>
    <w:p>
      <w:pPr>
        <w:pStyle w:val="BodyText"/>
        <w:spacing w:before="6"/>
        <w:ind w:left="0"/>
        <w:rPr>
          <w:sz w:val="27"/>
        </w:rPr>
      </w:pPr>
    </w:p>
    <w:p>
      <w:pPr>
        <w:pStyle w:val="BodyText"/>
        <w:tabs>
          <w:tab w:pos="5195" w:val="left" w:leader="none"/>
          <w:tab w:pos="5975" w:val="left" w:leader="none"/>
        </w:tabs>
        <w:spacing w:line="364" w:lineRule="auto"/>
        <w:ind w:right="4466"/>
        <w:jc w:val="both"/>
        <w:rPr>
          <w:rFonts w:ascii="Times New Roman" w:eastAsia="Times New Roman"/>
        </w:rPr>
      </w:pPr>
      <w:r>
        <w:rPr/>
        <w:t>担保</w:t>
      </w:r>
      <w:r>
        <w:rPr>
          <w:spacing w:val="-3"/>
        </w:rPr>
        <w:t>人</w:t>
      </w:r>
      <w:r>
        <w:rPr/>
        <w:t>：</w:t>
      </w:r>
      <w:r>
        <w:rPr>
          <w:u w:val="single"/>
        </w:rPr>
        <w:t> </w:t>
        <w:tab/>
      </w:r>
      <w:r>
        <w:rPr>
          <w:spacing w:val="-3"/>
        </w:rPr>
        <w:t>（</w:t>
      </w:r>
      <w:r>
        <w:rPr/>
        <w:t>盖章</w:t>
      </w:r>
      <w:r>
        <w:rPr>
          <w:spacing w:val="-17"/>
        </w:rPr>
        <w:t>） </w:t>
      </w:r>
      <w:r>
        <w:rPr/>
        <w:t>法定</w:t>
      </w:r>
      <w:r>
        <w:rPr>
          <w:spacing w:val="-3"/>
        </w:rPr>
        <w:t>代</w:t>
      </w:r>
      <w:r>
        <w:rPr/>
        <w:t>表</w:t>
      </w:r>
      <w:r>
        <w:rPr>
          <w:spacing w:val="-3"/>
        </w:rPr>
        <w:t>人</w:t>
      </w:r>
      <w:r>
        <w:rPr/>
        <w:t>或</w:t>
      </w:r>
      <w:r>
        <w:rPr>
          <w:spacing w:val="-3"/>
        </w:rPr>
        <w:t>委</w:t>
      </w:r>
      <w:r>
        <w:rPr/>
        <w:t>托</w:t>
      </w:r>
      <w:r>
        <w:rPr>
          <w:spacing w:val="-3"/>
        </w:rPr>
        <w:t>代</w:t>
      </w:r>
      <w:r>
        <w:rPr/>
        <w:t>理</w:t>
      </w:r>
      <w:r>
        <w:rPr>
          <w:spacing w:val="-3"/>
        </w:rPr>
        <w:t>人</w:t>
      </w:r>
      <w:r>
        <w:rPr/>
        <w:t>：</w:t>
      </w:r>
      <w:r>
        <w:rPr>
          <w:u w:val="single"/>
        </w:rPr>
        <w:t> </w:t>
        <w:tab/>
      </w:r>
      <w:r>
        <w:rPr>
          <w:spacing w:val="-3"/>
        </w:rPr>
        <w:t>（</w:t>
      </w:r>
      <w:r>
        <w:rPr/>
        <w:t>签字</w:t>
      </w:r>
      <w:r>
        <w:rPr>
          <w:spacing w:val="-17"/>
        </w:rPr>
        <w:t>） </w:t>
      </w:r>
      <w:r>
        <w:rPr/>
        <w:t>地   </w:t>
      </w:r>
      <w:r>
        <w:rPr>
          <w:spacing w:val="2"/>
        </w:rPr>
        <w:t> </w:t>
      </w:r>
      <w:r>
        <w:rPr/>
        <w:t>址</w:t>
      </w:r>
      <w:r>
        <w:rPr>
          <w:spacing w:val="-3"/>
        </w:rPr>
        <w:t>：</w:t>
      </w:r>
      <w:r>
        <w:rPr>
          <w:rFonts w:ascii="Times New Roman" w:eastAsia="Times New Roman"/>
          <w:w w:val="100"/>
          <w:u w:val="single"/>
        </w:rPr>
        <w:t> </w:t>
      </w:r>
      <w:r>
        <w:rPr>
          <w:rFonts w:ascii="Times New Roman" w:eastAsia="Times New Roman"/>
          <w:u w:val="single"/>
        </w:rPr>
        <w:tab/>
        <w:tab/>
        <w:t>                                       </w:t>
      </w:r>
      <w:r>
        <w:rPr/>
        <w:t>邮政</w:t>
      </w:r>
      <w:r>
        <w:rPr>
          <w:spacing w:val="-3"/>
        </w:rPr>
        <w:t>编</w:t>
      </w:r>
      <w:r>
        <w:rPr/>
        <w:t>码</w:t>
      </w:r>
      <w:r>
        <w:rPr>
          <w:spacing w:val="-3"/>
        </w:rPr>
        <w:t>：</w:t>
      </w:r>
      <w:r>
        <w:rPr>
          <w:spacing w:val="-3"/>
          <w:u w:val="single"/>
        </w:rPr>
        <w:tab/>
        <w:tab/>
      </w:r>
      <w:r>
        <w:rPr>
          <w:u w:val="single"/>
        </w:rPr>
        <w:t>                                       </w:t>
      </w:r>
      <w:r>
        <w:rPr/>
        <w:t>传  </w:t>
      </w:r>
      <w:r>
        <w:rPr>
          <w:spacing w:val="2"/>
        </w:rPr>
        <w:t> </w:t>
      </w:r>
      <w:r>
        <w:rPr/>
        <w:t>真 </w:t>
      </w:r>
      <w:r>
        <w:rPr>
          <w:spacing w:val="-3"/>
        </w:rPr>
        <w:t>：</w:t>
      </w:r>
      <w:r>
        <w:rPr>
          <w:rFonts w:ascii="Times New Roman" w:eastAsia="Times New Roman"/>
          <w:u w:val="single"/>
        </w:rPr>
        <w:t> </w:t>
        <w:tab/>
        <w:tab/>
      </w:r>
    </w:p>
    <w:p>
      <w:pPr>
        <w:pStyle w:val="BodyText"/>
        <w:spacing w:before="1"/>
        <w:ind w:left="0"/>
        <w:rPr>
          <w:rFonts w:ascii="Times New Roman"/>
          <w:sz w:val="25"/>
        </w:rPr>
      </w:pPr>
    </w:p>
    <w:p>
      <w:pPr>
        <w:pStyle w:val="BodyText"/>
        <w:tabs>
          <w:tab w:pos="4038" w:val="left" w:leader="none"/>
          <w:tab w:pos="4878" w:val="left" w:leader="none"/>
          <w:tab w:pos="5718" w:val="left" w:leader="none"/>
        </w:tabs>
        <w:spacing w:before="71"/>
        <w:ind w:left="2466"/>
      </w:pPr>
      <w:r>
        <w:rPr>
          <w:rFonts w:ascii="Times New Roman" w:eastAsia="Times New Roman"/>
          <w:w w:val="100"/>
          <w:u w:val="single"/>
        </w:rPr>
        <w:t> </w:t>
      </w:r>
      <w:r>
        <w:rPr>
          <w:rFonts w:ascii="Times New Roman" w:eastAsia="Times New Roman"/>
          <w:u w:val="single"/>
        </w:rPr>
        <w:tab/>
      </w:r>
      <w:r>
        <w:rPr/>
        <w:t>年</w:t>
      </w:r>
      <w:r>
        <w:rPr>
          <w:u w:val="single"/>
        </w:rPr>
        <w:t> </w:t>
        <w:tab/>
      </w:r>
      <w:r>
        <w:rPr/>
        <w:t>月</w:t>
      </w:r>
      <w:r>
        <w:rPr>
          <w:u w:val="single"/>
        </w:rPr>
        <w:t> </w:t>
        <w:tab/>
      </w:r>
      <w:r>
        <w:rPr/>
        <w:t>日</w:t>
      </w:r>
    </w:p>
    <w:p>
      <w:pPr>
        <w:pStyle w:val="BodyText"/>
        <w:spacing w:line="367" w:lineRule="auto" w:before="139"/>
        <w:ind w:right="1300" w:firstLine="419"/>
      </w:pPr>
      <w:r>
        <w:rPr/>
        <w:t>（</w:t>
      </w:r>
      <w:r>
        <w:rPr>
          <w:spacing w:val="-11"/>
        </w:rPr>
        <w:t>备注：银行、保险公司和担保公司出具的保函格式和文本可以自拟，但是必须包含以上</w:t>
      </w:r>
      <w:r>
        <w:rPr>
          <w:spacing w:val="-6"/>
        </w:rPr>
        <w:t>条款所列全部内容</w:t>
      </w:r>
      <w:r>
        <w:rPr/>
        <w:t>）</w:t>
      </w:r>
    </w:p>
    <w:p>
      <w:pPr>
        <w:spacing w:after="0" w:line="367" w:lineRule="auto"/>
        <w:sectPr>
          <w:pgSz w:w="11910" w:h="16850"/>
          <w:pgMar w:header="0" w:footer="779" w:top="1380" w:bottom="1040" w:left="1120" w:right="280"/>
        </w:sectPr>
      </w:pPr>
    </w:p>
    <w:p>
      <w:pPr>
        <w:pStyle w:val="Heading4"/>
        <w:spacing w:line="327" w:lineRule="exact"/>
        <w:ind w:left="826"/>
      </w:pPr>
      <w:r>
        <w:rPr/>
        <w:t>附件 </w:t>
      </w:r>
      <w:r>
        <w:rPr>
          <w:rFonts w:ascii="Times New Roman" w:eastAsia="Times New Roman"/>
        </w:rPr>
        <w:t>10</w:t>
      </w:r>
      <w:r>
        <w:rPr/>
        <w:t>：</w:t>
      </w:r>
    </w:p>
    <w:p>
      <w:pPr>
        <w:spacing w:line="563" w:lineRule="exact" w:before="0"/>
        <w:ind w:left="297" w:right="777" w:firstLine="0"/>
        <w:jc w:val="center"/>
        <w:rPr>
          <w:rFonts w:ascii="Microsoft JhengHei" w:eastAsia="Microsoft JhengHei" w:hint="eastAsia"/>
          <w:b/>
          <w:sz w:val="36"/>
        </w:rPr>
      </w:pPr>
      <w:r>
        <w:rPr>
          <w:rFonts w:ascii="Microsoft JhengHei" w:eastAsia="Microsoft JhengHei" w:hint="eastAsia"/>
          <w:b/>
          <w:sz w:val="36"/>
        </w:rPr>
        <w:t>预付款支付申请（核准）表</w:t>
      </w:r>
    </w:p>
    <w:p>
      <w:pPr>
        <w:pStyle w:val="Heading7"/>
        <w:tabs>
          <w:tab w:pos="7278" w:val="left" w:leader="none"/>
        </w:tabs>
      </w:pPr>
      <w:r>
        <w:rPr/>
        <w:pict>
          <v:line style="position:absolute;mso-position-horizontal-relative:page;mso-position-vertical-relative:paragraph;z-index:-266605568" from="119.059998pt,35.062477pt" to="376.269998pt,35.062477pt" stroked="true" strokeweight=".48001pt" strokecolor="#000000">
            <v:stroke dashstyle="solid"/>
            <w10:wrap type="none"/>
          </v:line>
        </w:pict>
      </w:r>
      <w:r>
        <w:rPr/>
        <w:pict>
          <v:line style="position:absolute;mso-position-horizontal-relative:page;mso-position-vertical-relative:paragraph;z-index:-266604544" from="378.190002pt,55.70248pt" to="441.214002pt,55.70248pt" stroked="true" strokeweight=".48pt" strokecolor="#000000">
            <v:stroke dashstyle="solid"/>
            <w10:wrap type="none"/>
          </v:line>
        </w:pict>
      </w:r>
      <w:r>
        <w:rPr/>
        <w:t>工程名称：</w:t>
        <w:tab/>
        <w:t>编号：</w:t>
      </w:r>
    </w:p>
    <w:tbl>
      <w:tblPr>
        <w:tblW w:w="0" w:type="auto"/>
        <w:jc w:val="left"/>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1"/>
        <w:gridCol w:w="531"/>
        <w:gridCol w:w="3342"/>
        <w:gridCol w:w="488"/>
        <w:gridCol w:w="1278"/>
        <w:gridCol w:w="2241"/>
        <w:gridCol w:w="1093"/>
      </w:tblGrid>
      <w:tr>
        <w:trPr>
          <w:trHeight w:val="1307" w:hRule="atLeast"/>
        </w:trPr>
        <w:tc>
          <w:tcPr>
            <w:tcW w:w="9194" w:type="dxa"/>
            <w:gridSpan w:val="7"/>
            <w:tcBorders>
              <w:bottom w:val="nil"/>
            </w:tcBorders>
          </w:tcPr>
          <w:p>
            <w:pPr>
              <w:pStyle w:val="TableParagraph"/>
              <w:tabs>
                <w:tab w:pos="4517" w:val="left" w:leader="none"/>
              </w:tabs>
              <w:spacing w:before="173"/>
              <w:ind w:left="419"/>
              <w:rPr>
                <w:sz w:val="21"/>
              </w:rPr>
            </w:pPr>
            <w:r>
              <w:rPr>
                <w:sz w:val="21"/>
              </w:rPr>
              <w:t>致：</w:t>
              <w:tab/>
            </w:r>
            <w:r>
              <w:rPr>
                <w:spacing w:val="-3"/>
                <w:sz w:val="21"/>
              </w:rPr>
              <w:t>（</w:t>
            </w:r>
            <w:r>
              <w:rPr>
                <w:sz w:val="21"/>
              </w:rPr>
              <w:t>发</w:t>
            </w:r>
            <w:r>
              <w:rPr>
                <w:spacing w:val="-3"/>
                <w:sz w:val="21"/>
              </w:rPr>
              <w:t>包</w:t>
            </w:r>
            <w:r>
              <w:rPr>
                <w:sz w:val="21"/>
              </w:rPr>
              <w:t>人全</w:t>
            </w:r>
            <w:r>
              <w:rPr>
                <w:spacing w:val="-3"/>
                <w:sz w:val="21"/>
              </w:rPr>
              <w:t>称</w:t>
            </w:r>
            <w:r>
              <w:rPr>
                <w:sz w:val="21"/>
              </w:rPr>
              <w:t>）</w:t>
            </w:r>
          </w:p>
          <w:p>
            <w:pPr>
              <w:pStyle w:val="TableParagraph"/>
              <w:tabs>
                <w:tab w:pos="7285" w:val="left" w:leader="none"/>
              </w:tabs>
              <w:spacing w:before="147"/>
              <w:ind w:left="419"/>
              <w:rPr>
                <w:rFonts w:ascii="Times New Roman" w:eastAsia="Times New Roman"/>
                <w:sz w:val="21"/>
              </w:rPr>
            </w:pPr>
            <w:r>
              <w:rPr>
                <w:sz w:val="21"/>
              </w:rPr>
              <w:t>我方</w:t>
            </w:r>
            <w:r>
              <w:rPr>
                <w:spacing w:val="-3"/>
                <w:sz w:val="21"/>
              </w:rPr>
              <w:t>根</w:t>
            </w:r>
            <w:r>
              <w:rPr>
                <w:sz w:val="21"/>
              </w:rPr>
              <w:t>据</w:t>
            </w:r>
            <w:r>
              <w:rPr>
                <w:spacing w:val="-3"/>
                <w:sz w:val="21"/>
              </w:rPr>
              <w:t>施</w:t>
            </w:r>
            <w:r>
              <w:rPr>
                <w:sz w:val="21"/>
              </w:rPr>
              <w:t>工</w:t>
            </w:r>
            <w:r>
              <w:rPr>
                <w:spacing w:val="-3"/>
                <w:sz w:val="21"/>
              </w:rPr>
              <w:t>合</w:t>
            </w:r>
            <w:r>
              <w:rPr>
                <w:sz w:val="21"/>
              </w:rPr>
              <w:t>同</w:t>
            </w:r>
            <w:r>
              <w:rPr>
                <w:spacing w:val="-3"/>
                <w:sz w:val="21"/>
              </w:rPr>
              <w:t>的</w:t>
            </w:r>
            <w:r>
              <w:rPr>
                <w:sz w:val="21"/>
              </w:rPr>
              <w:t>约</w:t>
            </w:r>
            <w:r>
              <w:rPr>
                <w:spacing w:val="-3"/>
                <w:sz w:val="21"/>
              </w:rPr>
              <w:t>定</w:t>
            </w:r>
            <w:r>
              <w:rPr>
                <w:sz w:val="21"/>
              </w:rPr>
              <w:t>，现</w:t>
            </w:r>
            <w:r>
              <w:rPr>
                <w:spacing w:val="-3"/>
                <w:sz w:val="21"/>
              </w:rPr>
              <w:t>申</w:t>
            </w:r>
            <w:r>
              <w:rPr>
                <w:sz w:val="21"/>
              </w:rPr>
              <w:t>请</w:t>
            </w:r>
            <w:r>
              <w:rPr>
                <w:spacing w:val="-3"/>
                <w:sz w:val="21"/>
              </w:rPr>
              <w:t>支</w:t>
            </w:r>
            <w:r>
              <w:rPr>
                <w:sz w:val="21"/>
              </w:rPr>
              <w:t>付</w:t>
            </w:r>
            <w:r>
              <w:rPr>
                <w:spacing w:val="-3"/>
                <w:sz w:val="21"/>
              </w:rPr>
              <w:t>工</w:t>
            </w:r>
            <w:r>
              <w:rPr>
                <w:sz w:val="21"/>
              </w:rPr>
              <w:t>程</w:t>
            </w:r>
            <w:r>
              <w:rPr>
                <w:spacing w:val="-3"/>
                <w:sz w:val="21"/>
              </w:rPr>
              <w:t>预</w:t>
            </w:r>
            <w:r>
              <w:rPr>
                <w:sz w:val="21"/>
              </w:rPr>
              <w:t>付</w:t>
            </w:r>
            <w:r>
              <w:rPr>
                <w:spacing w:val="-3"/>
                <w:sz w:val="21"/>
              </w:rPr>
              <w:t>款</w:t>
            </w:r>
            <w:r>
              <w:rPr>
                <w:sz w:val="21"/>
              </w:rPr>
              <w:t>额为</w:t>
            </w:r>
            <w:r>
              <w:rPr>
                <w:rFonts w:ascii="Times New Roman" w:eastAsia="Times New Roman"/>
                <w:sz w:val="21"/>
              </w:rPr>
              <w:t>(</w:t>
            </w:r>
            <w:r>
              <w:rPr>
                <w:spacing w:val="-3"/>
                <w:sz w:val="21"/>
              </w:rPr>
              <w:t>大</w:t>
            </w:r>
            <w:r>
              <w:rPr>
                <w:sz w:val="21"/>
              </w:rPr>
              <w:t>写</w:t>
            </w:r>
            <w:r>
              <w:rPr>
                <w:rFonts w:ascii="Times New Roman" w:eastAsia="Times New Roman"/>
                <w:sz w:val="21"/>
              </w:rPr>
              <w:t>)</w:t>
              <w:tab/>
            </w:r>
            <w:r>
              <w:rPr>
                <w:spacing w:val="-3"/>
                <w:sz w:val="21"/>
              </w:rPr>
              <w:t>元</w:t>
            </w:r>
            <w:r>
              <w:rPr>
                <w:sz w:val="21"/>
              </w:rPr>
              <w:t>，</w:t>
            </w:r>
            <w:r>
              <w:rPr>
                <w:rFonts w:ascii="Times New Roman" w:eastAsia="Times New Roman"/>
                <w:sz w:val="21"/>
              </w:rPr>
              <w:t>(</w:t>
            </w:r>
            <w:r>
              <w:rPr>
                <w:sz w:val="21"/>
              </w:rPr>
              <w:t>小写</w:t>
            </w:r>
            <w:r>
              <w:rPr>
                <w:rFonts w:ascii="Times New Roman" w:eastAsia="Times New Roman"/>
                <w:sz w:val="21"/>
              </w:rPr>
              <w:t>)</w:t>
            </w:r>
          </w:p>
          <w:p>
            <w:pPr>
              <w:pStyle w:val="TableParagraph"/>
              <w:tabs>
                <w:tab w:pos="1053" w:val="left" w:leader="none"/>
              </w:tabs>
              <w:spacing w:before="131"/>
              <w:ind w:left="107"/>
              <w:rPr>
                <w:sz w:val="21"/>
              </w:rPr>
            </w:pPr>
            <w:r>
              <w:rPr>
                <w:rFonts w:ascii="Times New Roman" w:eastAsia="Times New Roman"/>
                <w:w w:val="100"/>
                <w:sz w:val="21"/>
                <w:u w:val="single"/>
              </w:rPr>
              <w:t> </w:t>
            </w:r>
            <w:r>
              <w:rPr>
                <w:rFonts w:ascii="Times New Roman" w:eastAsia="Times New Roman"/>
                <w:sz w:val="21"/>
                <w:u w:val="single"/>
              </w:rPr>
              <w:tab/>
            </w:r>
            <w:r>
              <w:rPr>
                <w:spacing w:val="-3"/>
                <w:sz w:val="21"/>
              </w:rPr>
              <w:t>元，请予核准。</w:t>
            </w:r>
          </w:p>
        </w:tc>
      </w:tr>
      <w:tr>
        <w:trPr>
          <w:trHeight w:val="561" w:hRule="atLeast"/>
        </w:trPr>
        <w:tc>
          <w:tcPr>
            <w:tcW w:w="221" w:type="dxa"/>
            <w:vMerge w:val="restart"/>
            <w:tcBorders>
              <w:top w:val="nil"/>
              <w:bottom w:val="nil"/>
            </w:tcBorders>
          </w:tcPr>
          <w:p>
            <w:pPr>
              <w:pStyle w:val="TableParagraph"/>
              <w:rPr>
                <w:rFonts w:ascii="Times New Roman"/>
                <w:sz w:val="20"/>
              </w:rPr>
            </w:pPr>
          </w:p>
        </w:tc>
        <w:tc>
          <w:tcPr>
            <w:tcW w:w="531" w:type="dxa"/>
          </w:tcPr>
          <w:p>
            <w:pPr>
              <w:pStyle w:val="TableParagraph"/>
              <w:spacing w:line="280" w:lineRule="atLeast" w:before="4"/>
              <w:ind w:left="155" w:right="152"/>
              <w:rPr>
                <w:sz w:val="21"/>
              </w:rPr>
            </w:pPr>
            <w:r>
              <w:rPr>
                <w:sz w:val="21"/>
              </w:rPr>
              <w:t>序号</w:t>
            </w:r>
          </w:p>
        </w:tc>
        <w:tc>
          <w:tcPr>
            <w:tcW w:w="3342" w:type="dxa"/>
          </w:tcPr>
          <w:p>
            <w:pPr>
              <w:pStyle w:val="TableParagraph"/>
              <w:tabs>
                <w:tab w:pos="852" w:val="left" w:leader="none"/>
              </w:tabs>
              <w:spacing w:before="154"/>
              <w:ind w:left="9"/>
              <w:jc w:val="center"/>
              <w:rPr>
                <w:sz w:val="21"/>
              </w:rPr>
            </w:pPr>
            <w:r>
              <w:rPr>
                <w:sz w:val="21"/>
              </w:rPr>
              <w:t>名</w:t>
              <w:tab/>
              <w:t>称</w:t>
            </w:r>
          </w:p>
        </w:tc>
        <w:tc>
          <w:tcPr>
            <w:tcW w:w="1766" w:type="dxa"/>
            <w:gridSpan w:val="2"/>
          </w:tcPr>
          <w:p>
            <w:pPr>
              <w:pStyle w:val="TableParagraph"/>
              <w:spacing w:before="154"/>
              <w:ind w:left="144"/>
              <w:rPr>
                <w:sz w:val="21"/>
              </w:rPr>
            </w:pPr>
            <w:r>
              <w:rPr>
                <w:sz w:val="21"/>
              </w:rPr>
              <w:t>申请金额（元）</w:t>
            </w:r>
          </w:p>
        </w:tc>
        <w:tc>
          <w:tcPr>
            <w:tcW w:w="2241" w:type="dxa"/>
          </w:tcPr>
          <w:p>
            <w:pPr>
              <w:pStyle w:val="TableParagraph"/>
              <w:spacing w:before="154"/>
              <w:ind w:left="380"/>
              <w:rPr>
                <w:sz w:val="21"/>
              </w:rPr>
            </w:pPr>
            <w:r>
              <w:rPr>
                <w:sz w:val="21"/>
              </w:rPr>
              <w:t>复核金额（元）</w:t>
            </w:r>
          </w:p>
        </w:tc>
        <w:tc>
          <w:tcPr>
            <w:tcW w:w="1093" w:type="dxa"/>
            <w:tcBorders>
              <w:right w:val="double" w:sz="1" w:space="0" w:color="000000"/>
            </w:tcBorders>
          </w:tcPr>
          <w:p>
            <w:pPr>
              <w:pStyle w:val="TableParagraph"/>
              <w:spacing w:before="154"/>
              <w:ind w:left="324"/>
              <w:rPr>
                <w:sz w:val="21"/>
              </w:rPr>
            </w:pPr>
            <w:r>
              <w:rPr>
                <w:sz w:val="21"/>
              </w:rPr>
              <w:t>备注</w:t>
            </w:r>
          </w:p>
        </w:tc>
      </w:tr>
      <w:tr>
        <w:trPr>
          <w:trHeight w:val="277" w:hRule="atLeast"/>
        </w:trPr>
        <w:tc>
          <w:tcPr>
            <w:tcW w:w="221" w:type="dxa"/>
            <w:vMerge/>
            <w:tcBorders>
              <w:top w:val="nil"/>
              <w:bottom w:val="nil"/>
            </w:tcBorders>
          </w:tcPr>
          <w:p>
            <w:pPr>
              <w:rPr>
                <w:sz w:val="2"/>
                <w:szCs w:val="2"/>
              </w:rPr>
            </w:pPr>
          </w:p>
        </w:tc>
        <w:tc>
          <w:tcPr>
            <w:tcW w:w="531" w:type="dxa"/>
          </w:tcPr>
          <w:p>
            <w:pPr>
              <w:pStyle w:val="TableParagraph"/>
              <w:spacing w:line="233" w:lineRule="exact" w:before="24"/>
              <w:ind w:left="1"/>
              <w:jc w:val="center"/>
              <w:rPr>
                <w:rFonts w:ascii="Times New Roman"/>
                <w:sz w:val="21"/>
              </w:rPr>
            </w:pPr>
            <w:r>
              <w:rPr>
                <w:rFonts w:ascii="Times New Roman"/>
                <w:w w:val="100"/>
                <w:sz w:val="21"/>
              </w:rPr>
              <w:t>1</w:t>
            </w:r>
          </w:p>
        </w:tc>
        <w:tc>
          <w:tcPr>
            <w:tcW w:w="3342" w:type="dxa"/>
          </w:tcPr>
          <w:p>
            <w:pPr>
              <w:pStyle w:val="TableParagraph"/>
              <w:spacing w:line="247" w:lineRule="exact" w:before="10"/>
              <w:ind w:left="106"/>
              <w:rPr>
                <w:sz w:val="21"/>
              </w:rPr>
            </w:pPr>
            <w:r>
              <w:rPr>
                <w:sz w:val="21"/>
              </w:rPr>
              <w:t>已签约合同价款金额</w:t>
            </w:r>
          </w:p>
        </w:tc>
        <w:tc>
          <w:tcPr>
            <w:tcW w:w="1766" w:type="dxa"/>
            <w:gridSpan w:val="2"/>
          </w:tcPr>
          <w:p>
            <w:pPr>
              <w:pStyle w:val="TableParagraph"/>
              <w:rPr>
                <w:rFonts w:ascii="Times New Roman"/>
                <w:sz w:val="20"/>
              </w:rPr>
            </w:pPr>
          </w:p>
        </w:tc>
        <w:tc>
          <w:tcPr>
            <w:tcW w:w="2241" w:type="dxa"/>
          </w:tcPr>
          <w:p>
            <w:pPr>
              <w:pStyle w:val="TableParagraph"/>
              <w:rPr>
                <w:rFonts w:ascii="Times New Roman"/>
                <w:sz w:val="20"/>
              </w:rPr>
            </w:pPr>
          </w:p>
        </w:tc>
        <w:tc>
          <w:tcPr>
            <w:tcW w:w="1093" w:type="dxa"/>
            <w:tcBorders>
              <w:right w:val="double" w:sz="1" w:space="0" w:color="000000"/>
            </w:tcBorders>
          </w:tcPr>
          <w:p>
            <w:pPr>
              <w:pStyle w:val="TableParagraph"/>
              <w:rPr>
                <w:rFonts w:ascii="Times New Roman"/>
                <w:sz w:val="20"/>
              </w:rPr>
            </w:pPr>
          </w:p>
        </w:tc>
      </w:tr>
      <w:tr>
        <w:trPr>
          <w:trHeight w:val="280" w:hRule="atLeast"/>
        </w:trPr>
        <w:tc>
          <w:tcPr>
            <w:tcW w:w="221" w:type="dxa"/>
            <w:vMerge/>
            <w:tcBorders>
              <w:top w:val="nil"/>
              <w:bottom w:val="nil"/>
            </w:tcBorders>
          </w:tcPr>
          <w:p>
            <w:pPr>
              <w:rPr>
                <w:sz w:val="2"/>
                <w:szCs w:val="2"/>
              </w:rPr>
            </w:pPr>
          </w:p>
        </w:tc>
        <w:tc>
          <w:tcPr>
            <w:tcW w:w="531" w:type="dxa"/>
          </w:tcPr>
          <w:p>
            <w:pPr>
              <w:pStyle w:val="TableParagraph"/>
              <w:spacing w:line="234" w:lineRule="exact" w:before="27"/>
              <w:ind w:left="1"/>
              <w:jc w:val="center"/>
              <w:rPr>
                <w:rFonts w:ascii="Times New Roman"/>
                <w:sz w:val="21"/>
              </w:rPr>
            </w:pPr>
            <w:r>
              <w:rPr>
                <w:rFonts w:ascii="Times New Roman"/>
                <w:w w:val="100"/>
                <w:sz w:val="21"/>
              </w:rPr>
              <w:t>2</w:t>
            </w:r>
          </w:p>
        </w:tc>
        <w:tc>
          <w:tcPr>
            <w:tcW w:w="3342" w:type="dxa"/>
          </w:tcPr>
          <w:p>
            <w:pPr>
              <w:pStyle w:val="TableParagraph"/>
              <w:spacing w:line="248" w:lineRule="exact" w:before="13"/>
              <w:ind w:left="106"/>
              <w:rPr>
                <w:sz w:val="21"/>
              </w:rPr>
            </w:pPr>
            <w:r>
              <w:rPr>
                <w:sz w:val="21"/>
              </w:rPr>
              <w:t>其中：安全文明施工费</w:t>
            </w:r>
          </w:p>
        </w:tc>
        <w:tc>
          <w:tcPr>
            <w:tcW w:w="1766" w:type="dxa"/>
            <w:gridSpan w:val="2"/>
          </w:tcPr>
          <w:p>
            <w:pPr>
              <w:pStyle w:val="TableParagraph"/>
              <w:rPr>
                <w:rFonts w:ascii="Times New Roman"/>
                <w:sz w:val="20"/>
              </w:rPr>
            </w:pPr>
          </w:p>
        </w:tc>
        <w:tc>
          <w:tcPr>
            <w:tcW w:w="2241" w:type="dxa"/>
          </w:tcPr>
          <w:p>
            <w:pPr>
              <w:pStyle w:val="TableParagraph"/>
              <w:rPr>
                <w:rFonts w:ascii="Times New Roman"/>
                <w:sz w:val="20"/>
              </w:rPr>
            </w:pPr>
          </w:p>
        </w:tc>
        <w:tc>
          <w:tcPr>
            <w:tcW w:w="1093" w:type="dxa"/>
            <w:tcBorders>
              <w:right w:val="double" w:sz="1" w:space="0" w:color="000000"/>
            </w:tcBorders>
          </w:tcPr>
          <w:p>
            <w:pPr>
              <w:pStyle w:val="TableParagraph"/>
              <w:rPr>
                <w:rFonts w:ascii="Times New Roman"/>
                <w:sz w:val="20"/>
              </w:rPr>
            </w:pPr>
          </w:p>
        </w:tc>
      </w:tr>
      <w:tr>
        <w:trPr>
          <w:trHeight w:val="278" w:hRule="atLeast"/>
        </w:trPr>
        <w:tc>
          <w:tcPr>
            <w:tcW w:w="221" w:type="dxa"/>
            <w:vMerge/>
            <w:tcBorders>
              <w:top w:val="nil"/>
              <w:bottom w:val="nil"/>
            </w:tcBorders>
          </w:tcPr>
          <w:p>
            <w:pPr>
              <w:rPr>
                <w:sz w:val="2"/>
                <w:szCs w:val="2"/>
              </w:rPr>
            </w:pPr>
          </w:p>
        </w:tc>
        <w:tc>
          <w:tcPr>
            <w:tcW w:w="531" w:type="dxa"/>
          </w:tcPr>
          <w:p>
            <w:pPr>
              <w:pStyle w:val="TableParagraph"/>
              <w:spacing w:line="231" w:lineRule="exact" w:before="27"/>
              <w:ind w:left="1"/>
              <w:jc w:val="center"/>
              <w:rPr>
                <w:rFonts w:ascii="Times New Roman"/>
                <w:sz w:val="21"/>
              </w:rPr>
            </w:pPr>
            <w:r>
              <w:rPr>
                <w:rFonts w:ascii="Times New Roman"/>
                <w:w w:val="100"/>
                <w:sz w:val="21"/>
              </w:rPr>
              <w:t>3</w:t>
            </w:r>
          </w:p>
        </w:tc>
        <w:tc>
          <w:tcPr>
            <w:tcW w:w="3342" w:type="dxa"/>
          </w:tcPr>
          <w:p>
            <w:pPr>
              <w:pStyle w:val="TableParagraph"/>
              <w:spacing w:line="245" w:lineRule="exact" w:before="13"/>
              <w:ind w:left="106"/>
              <w:rPr>
                <w:sz w:val="21"/>
              </w:rPr>
            </w:pPr>
            <w:r>
              <w:rPr>
                <w:sz w:val="21"/>
              </w:rPr>
              <w:t>应支付的预付款</w:t>
            </w:r>
          </w:p>
        </w:tc>
        <w:tc>
          <w:tcPr>
            <w:tcW w:w="1766" w:type="dxa"/>
            <w:gridSpan w:val="2"/>
          </w:tcPr>
          <w:p>
            <w:pPr>
              <w:pStyle w:val="TableParagraph"/>
              <w:rPr>
                <w:rFonts w:ascii="Times New Roman"/>
                <w:sz w:val="20"/>
              </w:rPr>
            </w:pPr>
          </w:p>
        </w:tc>
        <w:tc>
          <w:tcPr>
            <w:tcW w:w="2241" w:type="dxa"/>
          </w:tcPr>
          <w:p>
            <w:pPr>
              <w:pStyle w:val="TableParagraph"/>
              <w:rPr>
                <w:rFonts w:ascii="Times New Roman"/>
                <w:sz w:val="20"/>
              </w:rPr>
            </w:pPr>
          </w:p>
        </w:tc>
        <w:tc>
          <w:tcPr>
            <w:tcW w:w="1093" w:type="dxa"/>
            <w:tcBorders>
              <w:right w:val="double" w:sz="1" w:space="0" w:color="000000"/>
            </w:tcBorders>
          </w:tcPr>
          <w:p>
            <w:pPr>
              <w:pStyle w:val="TableParagraph"/>
              <w:rPr>
                <w:rFonts w:ascii="Times New Roman"/>
                <w:sz w:val="20"/>
              </w:rPr>
            </w:pPr>
          </w:p>
        </w:tc>
      </w:tr>
      <w:tr>
        <w:trPr>
          <w:trHeight w:val="280" w:hRule="atLeast"/>
        </w:trPr>
        <w:tc>
          <w:tcPr>
            <w:tcW w:w="221" w:type="dxa"/>
            <w:vMerge/>
            <w:tcBorders>
              <w:top w:val="nil"/>
              <w:bottom w:val="nil"/>
            </w:tcBorders>
          </w:tcPr>
          <w:p>
            <w:pPr>
              <w:rPr>
                <w:sz w:val="2"/>
                <w:szCs w:val="2"/>
              </w:rPr>
            </w:pPr>
          </w:p>
        </w:tc>
        <w:tc>
          <w:tcPr>
            <w:tcW w:w="531" w:type="dxa"/>
          </w:tcPr>
          <w:p>
            <w:pPr>
              <w:pStyle w:val="TableParagraph"/>
              <w:spacing w:line="231" w:lineRule="exact" w:before="29"/>
              <w:ind w:left="1"/>
              <w:jc w:val="center"/>
              <w:rPr>
                <w:rFonts w:ascii="Times New Roman"/>
                <w:sz w:val="21"/>
              </w:rPr>
            </w:pPr>
            <w:r>
              <w:rPr>
                <w:rFonts w:ascii="Times New Roman"/>
                <w:w w:val="100"/>
                <w:sz w:val="21"/>
              </w:rPr>
              <w:t>4</w:t>
            </w:r>
          </w:p>
        </w:tc>
        <w:tc>
          <w:tcPr>
            <w:tcW w:w="3342" w:type="dxa"/>
          </w:tcPr>
          <w:p>
            <w:pPr>
              <w:pStyle w:val="TableParagraph"/>
              <w:spacing w:line="245" w:lineRule="exact" w:before="15"/>
              <w:ind w:left="106"/>
              <w:rPr>
                <w:sz w:val="21"/>
              </w:rPr>
            </w:pPr>
            <w:r>
              <w:rPr>
                <w:sz w:val="21"/>
              </w:rPr>
              <w:t>应支付的安全文明施工费预付款</w:t>
            </w:r>
          </w:p>
        </w:tc>
        <w:tc>
          <w:tcPr>
            <w:tcW w:w="1766" w:type="dxa"/>
            <w:gridSpan w:val="2"/>
          </w:tcPr>
          <w:p>
            <w:pPr>
              <w:pStyle w:val="TableParagraph"/>
              <w:rPr>
                <w:rFonts w:ascii="Times New Roman"/>
                <w:sz w:val="20"/>
              </w:rPr>
            </w:pPr>
          </w:p>
        </w:tc>
        <w:tc>
          <w:tcPr>
            <w:tcW w:w="2241" w:type="dxa"/>
          </w:tcPr>
          <w:p>
            <w:pPr>
              <w:pStyle w:val="TableParagraph"/>
              <w:rPr>
                <w:rFonts w:ascii="Times New Roman"/>
                <w:sz w:val="20"/>
              </w:rPr>
            </w:pPr>
          </w:p>
        </w:tc>
        <w:tc>
          <w:tcPr>
            <w:tcW w:w="1093" w:type="dxa"/>
            <w:tcBorders>
              <w:right w:val="double" w:sz="1" w:space="0" w:color="000000"/>
            </w:tcBorders>
          </w:tcPr>
          <w:p>
            <w:pPr>
              <w:pStyle w:val="TableParagraph"/>
              <w:rPr>
                <w:rFonts w:ascii="Times New Roman"/>
                <w:sz w:val="20"/>
              </w:rPr>
            </w:pPr>
          </w:p>
        </w:tc>
      </w:tr>
      <w:tr>
        <w:trPr>
          <w:trHeight w:val="280" w:hRule="atLeast"/>
        </w:trPr>
        <w:tc>
          <w:tcPr>
            <w:tcW w:w="221" w:type="dxa"/>
            <w:vMerge/>
            <w:tcBorders>
              <w:top w:val="nil"/>
              <w:bottom w:val="nil"/>
            </w:tcBorders>
          </w:tcPr>
          <w:p>
            <w:pPr>
              <w:rPr>
                <w:sz w:val="2"/>
                <w:szCs w:val="2"/>
              </w:rPr>
            </w:pPr>
          </w:p>
        </w:tc>
        <w:tc>
          <w:tcPr>
            <w:tcW w:w="531" w:type="dxa"/>
          </w:tcPr>
          <w:p>
            <w:pPr>
              <w:pStyle w:val="TableParagraph"/>
              <w:spacing w:line="233" w:lineRule="exact" w:before="27"/>
              <w:ind w:left="1"/>
              <w:jc w:val="center"/>
              <w:rPr>
                <w:rFonts w:ascii="Times New Roman"/>
                <w:sz w:val="21"/>
              </w:rPr>
            </w:pPr>
            <w:r>
              <w:rPr>
                <w:rFonts w:ascii="Times New Roman"/>
                <w:w w:val="100"/>
                <w:sz w:val="21"/>
              </w:rPr>
              <w:t>5</w:t>
            </w:r>
          </w:p>
        </w:tc>
        <w:tc>
          <w:tcPr>
            <w:tcW w:w="3342" w:type="dxa"/>
          </w:tcPr>
          <w:p>
            <w:pPr>
              <w:pStyle w:val="TableParagraph"/>
              <w:spacing w:line="247" w:lineRule="exact" w:before="13"/>
              <w:ind w:left="106"/>
              <w:rPr>
                <w:sz w:val="21"/>
              </w:rPr>
            </w:pPr>
            <w:r>
              <w:rPr>
                <w:sz w:val="21"/>
              </w:rPr>
              <w:t>合计应支付的预付款</w:t>
            </w:r>
          </w:p>
        </w:tc>
        <w:tc>
          <w:tcPr>
            <w:tcW w:w="1766" w:type="dxa"/>
            <w:gridSpan w:val="2"/>
          </w:tcPr>
          <w:p>
            <w:pPr>
              <w:pStyle w:val="TableParagraph"/>
              <w:rPr>
                <w:rFonts w:ascii="Times New Roman"/>
                <w:sz w:val="20"/>
              </w:rPr>
            </w:pPr>
          </w:p>
        </w:tc>
        <w:tc>
          <w:tcPr>
            <w:tcW w:w="2241" w:type="dxa"/>
          </w:tcPr>
          <w:p>
            <w:pPr>
              <w:pStyle w:val="TableParagraph"/>
              <w:rPr>
                <w:rFonts w:ascii="Times New Roman"/>
                <w:sz w:val="20"/>
              </w:rPr>
            </w:pPr>
          </w:p>
        </w:tc>
        <w:tc>
          <w:tcPr>
            <w:tcW w:w="1093" w:type="dxa"/>
            <w:tcBorders>
              <w:right w:val="double" w:sz="1" w:space="0" w:color="000000"/>
            </w:tcBorders>
          </w:tcPr>
          <w:p>
            <w:pPr>
              <w:pStyle w:val="TableParagraph"/>
              <w:rPr>
                <w:rFonts w:ascii="Times New Roman"/>
                <w:sz w:val="20"/>
              </w:rPr>
            </w:pPr>
          </w:p>
        </w:tc>
      </w:tr>
      <w:tr>
        <w:trPr>
          <w:trHeight w:val="280" w:hRule="atLeast"/>
        </w:trPr>
        <w:tc>
          <w:tcPr>
            <w:tcW w:w="221" w:type="dxa"/>
            <w:vMerge/>
            <w:tcBorders>
              <w:top w:val="nil"/>
              <w:bottom w:val="nil"/>
            </w:tcBorders>
          </w:tcPr>
          <w:p>
            <w:pPr>
              <w:rPr>
                <w:sz w:val="2"/>
                <w:szCs w:val="2"/>
              </w:rPr>
            </w:pPr>
          </w:p>
        </w:tc>
        <w:tc>
          <w:tcPr>
            <w:tcW w:w="531" w:type="dxa"/>
          </w:tcPr>
          <w:p>
            <w:pPr>
              <w:pStyle w:val="TableParagraph"/>
              <w:rPr>
                <w:rFonts w:ascii="Times New Roman"/>
                <w:sz w:val="20"/>
              </w:rPr>
            </w:pPr>
          </w:p>
        </w:tc>
        <w:tc>
          <w:tcPr>
            <w:tcW w:w="3342" w:type="dxa"/>
          </w:tcPr>
          <w:p>
            <w:pPr>
              <w:pStyle w:val="TableParagraph"/>
              <w:rPr>
                <w:rFonts w:ascii="Times New Roman"/>
                <w:sz w:val="20"/>
              </w:rPr>
            </w:pPr>
          </w:p>
        </w:tc>
        <w:tc>
          <w:tcPr>
            <w:tcW w:w="1766" w:type="dxa"/>
            <w:gridSpan w:val="2"/>
          </w:tcPr>
          <w:p>
            <w:pPr>
              <w:pStyle w:val="TableParagraph"/>
              <w:rPr>
                <w:rFonts w:ascii="Times New Roman"/>
                <w:sz w:val="20"/>
              </w:rPr>
            </w:pPr>
          </w:p>
        </w:tc>
        <w:tc>
          <w:tcPr>
            <w:tcW w:w="2241" w:type="dxa"/>
          </w:tcPr>
          <w:p>
            <w:pPr>
              <w:pStyle w:val="TableParagraph"/>
              <w:rPr>
                <w:rFonts w:ascii="Times New Roman"/>
                <w:sz w:val="20"/>
              </w:rPr>
            </w:pPr>
          </w:p>
        </w:tc>
        <w:tc>
          <w:tcPr>
            <w:tcW w:w="1093" w:type="dxa"/>
            <w:tcBorders>
              <w:right w:val="double" w:sz="1" w:space="0" w:color="000000"/>
            </w:tcBorders>
          </w:tcPr>
          <w:p>
            <w:pPr>
              <w:pStyle w:val="TableParagraph"/>
              <w:rPr>
                <w:rFonts w:ascii="Times New Roman"/>
                <w:sz w:val="20"/>
              </w:rPr>
            </w:pPr>
          </w:p>
        </w:tc>
      </w:tr>
      <w:tr>
        <w:trPr>
          <w:trHeight w:val="2620" w:hRule="atLeast"/>
        </w:trPr>
        <w:tc>
          <w:tcPr>
            <w:tcW w:w="9194" w:type="dxa"/>
            <w:gridSpan w:val="7"/>
            <w:tcBorders>
              <w:top w:val="nil"/>
            </w:tcBorders>
          </w:tcPr>
          <w:p>
            <w:pPr>
              <w:pStyle w:val="TableParagraph"/>
              <w:rPr>
                <w:sz w:val="20"/>
              </w:rPr>
            </w:pPr>
          </w:p>
          <w:p>
            <w:pPr>
              <w:pStyle w:val="TableParagraph"/>
              <w:spacing w:before="10"/>
              <w:rPr>
                <w:sz w:val="19"/>
              </w:rPr>
            </w:pPr>
          </w:p>
          <w:p>
            <w:pPr>
              <w:pStyle w:val="TableParagraph"/>
              <w:ind w:left="1920" w:right="385"/>
              <w:jc w:val="center"/>
              <w:rPr>
                <w:sz w:val="21"/>
              </w:rPr>
            </w:pPr>
            <w:r>
              <w:rPr>
                <w:sz w:val="21"/>
              </w:rPr>
              <w:t>承包人（章）</w:t>
            </w:r>
          </w:p>
          <w:p>
            <w:pPr>
              <w:pStyle w:val="TableParagraph"/>
              <w:tabs>
                <w:tab w:pos="2414" w:val="left" w:leader="none"/>
                <w:tab w:pos="5040" w:val="left" w:leader="none"/>
                <w:tab w:pos="5880" w:val="left" w:leader="none"/>
                <w:tab w:pos="7712" w:val="left" w:leader="none"/>
              </w:tabs>
              <w:spacing w:before="129"/>
              <w:ind w:right="385"/>
              <w:jc w:val="center"/>
              <w:rPr>
                <w:rFonts w:ascii="Times New Roman" w:eastAsia="Times New Roman"/>
                <w:sz w:val="21"/>
              </w:rPr>
            </w:pPr>
            <w:r>
              <w:rPr>
                <w:sz w:val="21"/>
              </w:rPr>
              <w:t>造价</w:t>
            </w:r>
            <w:r>
              <w:rPr>
                <w:spacing w:val="-3"/>
                <w:sz w:val="21"/>
              </w:rPr>
              <w:t>人</w:t>
            </w:r>
            <w:r>
              <w:rPr>
                <w:sz w:val="21"/>
              </w:rPr>
              <w:t>员</w:t>
            </w:r>
            <w:r>
              <w:rPr>
                <w:sz w:val="21"/>
                <w:u w:val="single"/>
              </w:rPr>
              <w:t> </w:t>
              <w:tab/>
            </w:r>
            <w:r>
              <w:rPr>
                <w:sz w:val="21"/>
              </w:rPr>
              <w:t>承包</w:t>
            </w:r>
            <w:r>
              <w:rPr>
                <w:spacing w:val="-3"/>
                <w:sz w:val="21"/>
              </w:rPr>
              <w:t>人</w:t>
            </w:r>
            <w:r>
              <w:rPr>
                <w:sz w:val="21"/>
              </w:rPr>
              <w:t>代</w:t>
            </w:r>
            <w:r>
              <w:rPr>
                <w:spacing w:val="-3"/>
                <w:sz w:val="21"/>
              </w:rPr>
              <w:t>表</w:t>
            </w:r>
            <w:r>
              <w:rPr>
                <w:spacing w:val="-3"/>
                <w:sz w:val="21"/>
                <w:u w:val="single"/>
              </w:rPr>
              <w:t> </w:t>
              <w:tab/>
            </w:r>
            <w:r>
              <w:rPr>
                <w:sz w:val="21"/>
              </w:rPr>
              <w:t>日</w:t>
              <w:tab/>
              <w:t>期</w:t>
            </w:r>
            <w:r>
              <w:rPr>
                <w:rFonts w:ascii="Times New Roman" w:eastAsia="Times New Roman"/>
                <w:sz w:val="21"/>
                <w:u w:val="single"/>
              </w:rPr>
              <w:t> </w:t>
              <w:tab/>
            </w:r>
          </w:p>
        </w:tc>
      </w:tr>
      <w:tr>
        <w:trPr>
          <w:trHeight w:val="2620" w:hRule="atLeast"/>
        </w:trPr>
        <w:tc>
          <w:tcPr>
            <w:tcW w:w="4582" w:type="dxa"/>
            <w:gridSpan w:val="4"/>
          </w:tcPr>
          <w:p>
            <w:pPr>
              <w:pStyle w:val="TableParagraph"/>
              <w:spacing w:before="78"/>
              <w:ind w:left="107"/>
              <w:rPr>
                <w:sz w:val="21"/>
              </w:rPr>
            </w:pPr>
            <w:r>
              <w:rPr>
                <w:sz w:val="21"/>
              </w:rPr>
              <w:t>复核意见：</w:t>
            </w:r>
          </w:p>
          <w:p>
            <w:pPr>
              <w:pStyle w:val="TableParagraph"/>
              <w:spacing w:before="90"/>
              <w:ind w:left="419"/>
              <w:rPr>
                <w:sz w:val="21"/>
              </w:rPr>
            </w:pPr>
            <w:r>
              <w:rPr>
                <w:sz w:val="21"/>
              </w:rPr>
              <w:t>□与合同约定不相符，修改意见见附件。</w:t>
            </w:r>
          </w:p>
          <w:p>
            <w:pPr>
              <w:pStyle w:val="TableParagraph"/>
              <w:spacing w:line="321" w:lineRule="auto" w:before="91"/>
              <w:ind w:left="107" w:right="94" w:firstLine="312"/>
              <w:rPr>
                <w:sz w:val="21"/>
              </w:rPr>
            </w:pPr>
            <w:r>
              <w:rPr>
                <w:sz w:val="21"/>
              </w:rPr>
              <w:t>□与合同约定相符，具体金额由造价工程师复核。</w:t>
            </w:r>
          </w:p>
          <w:p>
            <w:pPr>
              <w:pStyle w:val="TableParagraph"/>
              <w:rPr>
                <w:sz w:val="28"/>
              </w:rPr>
            </w:pPr>
          </w:p>
          <w:p>
            <w:pPr>
              <w:pStyle w:val="TableParagraph"/>
              <w:tabs>
                <w:tab w:pos="3242" w:val="left" w:leader="none"/>
                <w:tab w:pos="4519" w:val="left" w:leader="none"/>
              </w:tabs>
              <w:spacing w:line="321" w:lineRule="auto" w:before="1"/>
              <w:ind w:left="2402" w:right="50" w:firstLine="50"/>
              <w:rPr>
                <w:rFonts w:ascii="Times New Roman" w:eastAsia="Times New Roman"/>
                <w:sz w:val="21"/>
              </w:rPr>
            </w:pPr>
            <w:r>
              <w:rPr>
                <w:spacing w:val="-1"/>
                <w:sz w:val="21"/>
              </w:rPr>
              <w:t>监</w:t>
            </w:r>
            <w:r>
              <w:rPr>
                <w:spacing w:val="-3"/>
                <w:sz w:val="21"/>
              </w:rPr>
              <w:t>理</w:t>
            </w:r>
            <w:r>
              <w:rPr>
                <w:sz w:val="21"/>
              </w:rPr>
              <w:t>工</w:t>
            </w:r>
            <w:r>
              <w:rPr>
                <w:spacing w:val="-3"/>
                <w:sz w:val="21"/>
              </w:rPr>
              <w:t>程</w:t>
            </w:r>
            <w:r>
              <w:rPr>
                <w:sz w:val="21"/>
              </w:rPr>
              <w:t>师</w:t>
            </w:r>
            <w:r>
              <w:rPr>
                <w:sz w:val="21"/>
                <w:u w:val="single"/>
              </w:rPr>
              <w:tab/>
              <w:t>        </w:t>
            </w:r>
            <w:r>
              <w:rPr>
                <w:sz w:val="21"/>
              </w:rPr>
              <w:t>日</w:t>
              <w:tab/>
            </w:r>
            <w:r>
              <w:rPr>
                <w:spacing w:val="-3"/>
                <w:sz w:val="21"/>
              </w:rPr>
              <w:t>期</w:t>
            </w:r>
            <w:r>
              <w:rPr>
                <w:rFonts w:ascii="Times New Roman" w:eastAsia="Times New Roman"/>
                <w:sz w:val="21"/>
                <w:u w:val="single"/>
              </w:rPr>
              <w:t> </w:t>
              <w:tab/>
            </w:r>
          </w:p>
        </w:tc>
        <w:tc>
          <w:tcPr>
            <w:tcW w:w="4612" w:type="dxa"/>
            <w:gridSpan w:val="3"/>
          </w:tcPr>
          <w:p>
            <w:pPr>
              <w:pStyle w:val="TableParagraph"/>
              <w:spacing w:before="78"/>
              <w:ind w:left="105"/>
              <w:rPr>
                <w:sz w:val="21"/>
              </w:rPr>
            </w:pPr>
            <w:r>
              <w:rPr>
                <w:sz w:val="21"/>
              </w:rPr>
              <w:t>复核意见：</w:t>
            </w:r>
          </w:p>
          <w:p>
            <w:pPr>
              <w:pStyle w:val="TableParagraph"/>
              <w:tabs>
                <w:tab w:pos="2979" w:val="left" w:leader="none"/>
              </w:tabs>
              <w:spacing w:line="321" w:lineRule="auto" w:before="90"/>
              <w:ind w:left="105" w:right="101" w:firstLine="434"/>
              <w:rPr>
                <w:sz w:val="21"/>
              </w:rPr>
            </w:pPr>
            <w:r>
              <w:rPr>
                <w:sz w:val="21"/>
              </w:rPr>
              <w:t>你方</w:t>
            </w:r>
            <w:r>
              <w:rPr>
                <w:spacing w:val="-3"/>
                <w:sz w:val="21"/>
              </w:rPr>
              <w:t>提</w:t>
            </w:r>
            <w:r>
              <w:rPr>
                <w:sz w:val="21"/>
              </w:rPr>
              <w:t>出</w:t>
            </w:r>
            <w:r>
              <w:rPr>
                <w:spacing w:val="-3"/>
                <w:sz w:val="21"/>
              </w:rPr>
              <w:t>的</w:t>
            </w:r>
            <w:r>
              <w:rPr>
                <w:sz w:val="21"/>
              </w:rPr>
              <w:t>支</w:t>
            </w:r>
            <w:r>
              <w:rPr>
                <w:spacing w:val="-3"/>
                <w:sz w:val="21"/>
              </w:rPr>
              <w:t>付</w:t>
            </w:r>
            <w:r>
              <w:rPr>
                <w:sz w:val="21"/>
              </w:rPr>
              <w:t>申</w:t>
            </w:r>
            <w:r>
              <w:rPr>
                <w:spacing w:val="-3"/>
                <w:sz w:val="21"/>
              </w:rPr>
              <w:t>请</w:t>
            </w:r>
            <w:r>
              <w:rPr>
                <w:sz w:val="21"/>
              </w:rPr>
              <w:t>经</w:t>
            </w:r>
            <w:r>
              <w:rPr>
                <w:spacing w:val="-3"/>
                <w:sz w:val="21"/>
              </w:rPr>
              <w:t>复</w:t>
            </w:r>
            <w:r>
              <w:rPr>
                <w:sz w:val="21"/>
              </w:rPr>
              <w:t>核</w:t>
            </w:r>
            <w:r>
              <w:rPr>
                <w:spacing w:val="-36"/>
                <w:sz w:val="21"/>
              </w:rPr>
              <w:t>，</w:t>
            </w:r>
            <w:r>
              <w:rPr>
                <w:spacing w:val="-3"/>
                <w:sz w:val="21"/>
              </w:rPr>
              <w:t>应</w:t>
            </w:r>
            <w:r>
              <w:rPr>
                <w:sz w:val="21"/>
              </w:rPr>
              <w:t>支</w:t>
            </w:r>
            <w:r>
              <w:rPr>
                <w:spacing w:val="-3"/>
                <w:sz w:val="21"/>
              </w:rPr>
              <w:t>付</w:t>
            </w:r>
            <w:r>
              <w:rPr>
                <w:sz w:val="21"/>
              </w:rPr>
              <w:t>预</w:t>
            </w:r>
            <w:r>
              <w:rPr>
                <w:spacing w:val="-3"/>
                <w:sz w:val="21"/>
              </w:rPr>
              <w:t>付</w:t>
            </w:r>
            <w:r>
              <w:rPr>
                <w:spacing w:val="-11"/>
                <w:sz w:val="21"/>
              </w:rPr>
              <w:t>款</w:t>
            </w:r>
            <w:r>
              <w:rPr>
                <w:w w:val="100"/>
                <w:sz w:val="21"/>
              </w:rPr>
              <w:t>金额为</w:t>
            </w:r>
            <w:r>
              <w:rPr>
                <w:rFonts w:ascii="Times New Roman" w:eastAsia="Times New Roman"/>
                <w:spacing w:val="-4"/>
                <w:w w:val="100"/>
                <w:sz w:val="21"/>
              </w:rPr>
              <w:t>(</w:t>
            </w:r>
            <w:r>
              <w:rPr>
                <w:w w:val="100"/>
                <w:sz w:val="21"/>
              </w:rPr>
              <w:t>大写</w:t>
            </w:r>
            <w:r>
              <w:rPr>
                <w:rFonts w:ascii="Times New Roman" w:eastAsia="Times New Roman"/>
                <w:spacing w:val="-1"/>
                <w:w w:val="100"/>
                <w:sz w:val="21"/>
              </w:rPr>
              <w:t>)</w:t>
            </w:r>
            <w:r>
              <w:rPr>
                <w:rFonts w:ascii="Times New Roman" w:eastAsia="Times New Roman"/>
                <w:w w:val="100"/>
                <w:sz w:val="21"/>
                <w:u w:val="single"/>
              </w:rPr>
              <w:t> </w:t>
            </w:r>
            <w:r>
              <w:rPr>
                <w:rFonts w:ascii="Times New Roman" w:eastAsia="Times New Roman"/>
                <w:sz w:val="21"/>
                <w:u w:val="single"/>
              </w:rPr>
              <w:tab/>
            </w:r>
            <w:r>
              <w:rPr>
                <w:spacing w:val="-3"/>
                <w:w w:val="100"/>
                <w:sz w:val="21"/>
              </w:rPr>
              <w:t>元</w:t>
            </w:r>
            <w:r>
              <w:rPr>
                <w:spacing w:val="-106"/>
                <w:w w:val="100"/>
                <w:sz w:val="21"/>
              </w:rPr>
              <w:t>，</w:t>
            </w:r>
            <w:r>
              <w:rPr>
                <w:spacing w:val="-3"/>
                <w:w w:val="100"/>
                <w:sz w:val="21"/>
              </w:rPr>
              <w:t>（</w:t>
            </w:r>
            <w:r>
              <w:rPr>
                <w:w w:val="100"/>
                <w:sz w:val="21"/>
              </w:rPr>
              <w:t>小</w:t>
            </w:r>
            <w:r>
              <w:rPr>
                <w:spacing w:val="-3"/>
                <w:w w:val="100"/>
                <w:sz w:val="21"/>
              </w:rPr>
              <w:t>写</w:t>
            </w:r>
            <w:r>
              <w:rPr>
                <w:w w:val="100"/>
                <w:sz w:val="21"/>
              </w:rPr>
              <w:t>）</w:t>
            </w:r>
          </w:p>
          <w:p>
            <w:pPr>
              <w:pStyle w:val="TableParagraph"/>
              <w:tabs>
                <w:tab w:pos="1204" w:val="left" w:leader="none"/>
              </w:tabs>
              <w:spacing w:line="268" w:lineRule="exact"/>
              <w:ind w:left="105"/>
              <w:rPr>
                <w:sz w:val="21"/>
              </w:rPr>
            </w:pPr>
            <w:r>
              <w:rPr>
                <w:rFonts w:ascii="Times New Roman" w:eastAsia="Times New Roman"/>
                <w:w w:val="100"/>
                <w:sz w:val="21"/>
                <w:u w:val="single"/>
              </w:rPr>
              <w:t> </w:t>
            </w:r>
            <w:r>
              <w:rPr>
                <w:rFonts w:ascii="Times New Roman" w:eastAsia="Times New Roman"/>
                <w:sz w:val="21"/>
                <w:u w:val="single"/>
              </w:rPr>
              <w:tab/>
            </w:r>
            <w:r>
              <w:rPr>
                <w:rFonts w:ascii="Times New Roman" w:eastAsia="Times New Roman"/>
                <w:spacing w:val="5"/>
                <w:sz w:val="21"/>
              </w:rPr>
              <w:t> </w:t>
            </w:r>
            <w:r>
              <w:rPr>
                <w:spacing w:val="-3"/>
                <w:sz w:val="21"/>
              </w:rPr>
              <w:t>元。</w:t>
            </w:r>
          </w:p>
          <w:p>
            <w:pPr>
              <w:pStyle w:val="TableParagraph"/>
              <w:rPr>
                <w:sz w:val="22"/>
              </w:rPr>
            </w:pPr>
          </w:p>
          <w:p>
            <w:pPr>
              <w:pStyle w:val="TableParagraph"/>
              <w:tabs>
                <w:tab w:pos="3255" w:val="left" w:leader="none"/>
                <w:tab w:pos="4543" w:val="left" w:leader="none"/>
              </w:tabs>
              <w:spacing w:line="321" w:lineRule="auto" w:before="170"/>
              <w:ind w:left="2414" w:right="56"/>
              <w:rPr>
                <w:rFonts w:ascii="Times New Roman" w:eastAsia="Times New Roman"/>
                <w:sz w:val="21"/>
              </w:rPr>
            </w:pPr>
            <w:r>
              <w:rPr>
                <w:spacing w:val="-3"/>
                <w:sz w:val="21"/>
              </w:rPr>
              <w:t>造</w:t>
            </w:r>
            <w:r>
              <w:rPr>
                <w:spacing w:val="-1"/>
                <w:sz w:val="21"/>
              </w:rPr>
              <w:t>价</w:t>
            </w:r>
            <w:r>
              <w:rPr>
                <w:spacing w:val="-3"/>
                <w:sz w:val="21"/>
              </w:rPr>
              <w:t>工</w:t>
            </w:r>
            <w:r>
              <w:rPr>
                <w:spacing w:val="-1"/>
                <w:sz w:val="21"/>
              </w:rPr>
              <w:t>程</w:t>
            </w:r>
            <w:r>
              <w:rPr>
                <w:sz w:val="21"/>
              </w:rPr>
              <w:t>师</w:t>
            </w:r>
            <w:r>
              <w:rPr>
                <w:sz w:val="21"/>
                <w:u w:val="single"/>
              </w:rPr>
              <w:tab/>
              <w:t>         </w:t>
            </w:r>
            <w:r>
              <w:rPr>
                <w:sz w:val="21"/>
              </w:rPr>
              <w:t>日</w:t>
              <w:tab/>
            </w:r>
            <w:r>
              <w:rPr>
                <w:spacing w:val="-3"/>
                <w:sz w:val="21"/>
              </w:rPr>
              <w:t>期</w:t>
            </w:r>
            <w:r>
              <w:rPr>
                <w:rFonts w:ascii="Times New Roman" w:eastAsia="Times New Roman"/>
                <w:sz w:val="21"/>
                <w:u w:val="single"/>
              </w:rPr>
              <w:t> </w:t>
              <w:tab/>
            </w:r>
          </w:p>
        </w:tc>
      </w:tr>
      <w:tr>
        <w:trPr>
          <w:trHeight w:val="2402" w:hRule="atLeast"/>
        </w:trPr>
        <w:tc>
          <w:tcPr>
            <w:tcW w:w="9194" w:type="dxa"/>
            <w:gridSpan w:val="7"/>
          </w:tcPr>
          <w:p>
            <w:pPr>
              <w:pStyle w:val="TableParagraph"/>
              <w:spacing w:before="112"/>
              <w:ind w:left="107"/>
              <w:rPr>
                <w:sz w:val="21"/>
              </w:rPr>
            </w:pPr>
            <w:r>
              <w:rPr>
                <w:sz w:val="21"/>
              </w:rPr>
              <w:t>审核意见：</w:t>
            </w:r>
          </w:p>
          <w:p>
            <w:pPr>
              <w:pStyle w:val="TableParagraph"/>
              <w:spacing w:before="129"/>
              <w:ind w:left="542"/>
              <w:rPr>
                <w:sz w:val="21"/>
              </w:rPr>
            </w:pPr>
            <w:r>
              <w:rPr>
                <w:sz w:val="21"/>
              </w:rPr>
              <w:t>□不同意。</w:t>
            </w:r>
          </w:p>
          <w:p>
            <w:pPr>
              <w:pStyle w:val="TableParagraph"/>
              <w:tabs>
                <w:tab w:pos="4101" w:val="left" w:leader="none"/>
              </w:tabs>
              <w:spacing w:before="132"/>
              <w:ind w:left="527"/>
              <w:rPr>
                <w:sz w:val="21"/>
              </w:rPr>
            </w:pPr>
            <w:r>
              <w:rPr>
                <w:sz w:val="21"/>
              </w:rPr>
              <w:t>□同</w:t>
            </w:r>
            <w:r>
              <w:rPr>
                <w:spacing w:val="-3"/>
                <w:sz w:val="21"/>
              </w:rPr>
              <w:t>意</w:t>
            </w:r>
            <w:r>
              <w:rPr>
                <w:sz w:val="21"/>
              </w:rPr>
              <w:t>，</w:t>
            </w:r>
            <w:r>
              <w:rPr>
                <w:spacing w:val="-3"/>
                <w:sz w:val="21"/>
              </w:rPr>
              <w:t>支</w:t>
            </w:r>
            <w:r>
              <w:rPr>
                <w:sz w:val="21"/>
              </w:rPr>
              <w:t>付</w:t>
            </w:r>
            <w:r>
              <w:rPr>
                <w:spacing w:val="-3"/>
                <w:sz w:val="21"/>
              </w:rPr>
              <w:t>时</w:t>
            </w:r>
            <w:r>
              <w:rPr>
                <w:sz w:val="21"/>
              </w:rPr>
              <w:t>间</w:t>
            </w:r>
            <w:r>
              <w:rPr>
                <w:spacing w:val="-3"/>
                <w:sz w:val="21"/>
              </w:rPr>
              <w:t>为</w:t>
            </w:r>
            <w:r>
              <w:rPr>
                <w:sz w:val="21"/>
              </w:rPr>
              <w:t>本</w:t>
            </w:r>
            <w:r>
              <w:rPr>
                <w:spacing w:val="-3"/>
                <w:sz w:val="21"/>
              </w:rPr>
              <w:t>表</w:t>
            </w:r>
            <w:r>
              <w:rPr>
                <w:sz w:val="21"/>
              </w:rPr>
              <w:t>签发</w:t>
            </w:r>
            <w:r>
              <w:rPr>
                <w:spacing w:val="-3"/>
                <w:sz w:val="21"/>
              </w:rPr>
              <w:t>后</w:t>
            </w:r>
            <w:r>
              <w:rPr>
                <w:sz w:val="21"/>
              </w:rPr>
              <w:t>的</w:t>
            </w:r>
            <w:r>
              <w:rPr>
                <w:sz w:val="21"/>
                <w:u w:val="single"/>
              </w:rPr>
              <w:t> </w:t>
              <w:tab/>
            </w:r>
            <w:r>
              <w:rPr>
                <w:spacing w:val="-3"/>
                <w:sz w:val="21"/>
              </w:rPr>
              <w:t>天</w:t>
            </w:r>
            <w:r>
              <w:rPr>
                <w:sz w:val="21"/>
              </w:rPr>
              <w:t>内。</w:t>
            </w:r>
          </w:p>
          <w:p>
            <w:pPr>
              <w:pStyle w:val="TableParagraph"/>
              <w:spacing w:before="132"/>
              <w:ind w:left="6663"/>
              <w:rPr>
                <w:sz w:val="21"/>
              </w:rPr>
            </w:pPr>
            <w:r>
              <w:rPr>
                <w:sz w:val="21"/>
              </w:rPr>
              <w:t>发包人（章）</w:t>
            </w:r>
          </w:p>
          <w:p>
            <w:pPr>
              <w:pStyle w:val="TableParagraph"/>
              <w:tabs>
                <w:tab w:pos="7506" w:val="left" w:leader="none"/>
                <w:tab w:pos="9125" w:val="left" w:leader="none"/>
              </w:tabs>
              <w:spacing w:line="400" w:lineRule="exact" w:before="19"/>
              <w:ind w:left="6663" w:right="56"/>
              <w:rPr>
                <w:rFonts w:ascii="Times New Roman" w:eastAsia="Times New Roman"/>
                <w:sz w:val="21"/>
              </w:rPr>
            </w:pPr>
            <w:r>
              <w:rPr>
                <w:spacing w:val="-1"/>
                <w:sz w:val="21"/>
              </w:rPr>
              <w:t>发包</w:t>
            </w:r>
            <w:r>
              <w:rPr>
                <w:spacing w:val="-3"/>
                <w:sz w:val="21"/>
              </w:rPr>
              <w:t>人</w:t>
            </w:r>
            <w:r>
              <w:rPr>
                <w:sz w:val="21"/>
              </w:rPr>
              <w:t>代表</w:t>
            </w:r>
            <w:r>
              <w:rPr>
                <w:sz w:val="21"/>
                <w:u w:val="single"/>
              </w:rPr>
              <w:tab/>
              <w:t>            </w:t>
            </w:r>
            <w:r>
              <w:rPr>
                <w:sz w:val="21"/>
              </w:rPr>
              <w:t>日</w:t>
              <w:tab/>
            </w:r>
            <w:r>
              <w:rPr>
                <w:spacing w:val="-3"/>
                <w:sz w:val="21"/>
              </w:rPr>
              <w:t>期</w:t>
            </w:r>
            <w:r>
              <w:rPr>
                <w:rFonts w:ascii="Times New Roman" w:eastAsia="Times New Roman"/>
                <w:sz w:val="21"/>
                <w:u w:val="single"/>
              </w:rPr>
              <w:t> </w:t>
              <w:tab/>
            </w:r>
          </w:p>
        </w:tc>
      </w:tr>
    </w:tbl>
    <w:p>
      <w:pPr>
        <w:spacing w:before="120"/>
        <w:ind w:left="1038" w:right="0" w:firstLine="0"/>
        <w:jc w:val="left"/>
        <w:rPr>
          <w:sz w:val="18"/>
        </w:rPr>
      </w:pPr>
      <w:r>
        <w:rPr>
          <w:sz w:val="18"/>
        </w:rPr>
        <w:t>注：</w:t>
      </w:r>
      <w:r>
        <w:rPr>
          <w:rFonts w:ascii="Times New Roman" w:hAnsi="Times New Roman" w:eastAsia="Times New Roman"/>
          <w:spacing w:val="1"/>
          <w:sz w:val="18"/>
        </w:rPr>
        <w:t>1</w:t>
      </w:r>
      <w:r>
        <w:rPr>
          <w:rFonts w:ascii="Times New Roman" w:hAnsi="Times New Roman" w:eastAsia="Times New Roman"/>
          <w:sz w:val="18"/>
        </w:rPr>
        <w:t>.</w:t>
      </w:r>
      <w:r>
        <w:rPr>
          <w:spacing w:val="-7"/>
          <w:sz w:val="18"/>
        </w:rPr>
        <w:t>在选择栏中的“□”内作标识“√”。</w:t>
      </w:r>
    </w:p>
    <w:p>
      <w:pPr>
        <w:spacing w:before="122"/>
        <w:ind w:left="1400" w:right="0" w:firstLine="0"/>
        <w:jc w:val="left"/>
        <w:rPr>
          <w:sz w:val="18"/>
        </w:rPr>
      </w:pPr>
      <w:r>
        <w:rPr>
          <w:rFonts w:ascii="Times New Roman" w:eastAsia="Times New Roman"/>
          <w:sz w:val="18"/>
        </w:rPr>
        <w:t>2.</w:t>
      </w:r>
      <w:r>
        <w:rPr>
          <w:sz w:val="18"/>
        </w:rPr>
        <w:t>本表一式四份，由承包人填报，发包人、监理人、造价咨询人、承包人各存一份。</w:t>
      </w:r>
    </w:p>
    <w:p>
      <w:pPr>
        <w:spacing w:after="0"/>
        <w:jc w:val="left"/>
        <w:rPr>
          <w:sz w:val="18"/>
        </w:rPr>
        <w:sectPr>
          <w:pgSz w:w="11910" w:h="16850"/>
          <w:pgMar w:header="0" w:footer="779" w:top="1400" w:bottom="1040" w:left="1120" w:right="280"/>
        </w:sectPr>
      </w:pPr>
    </w:p>
    <w:p>
      <w:pPr>
        <w:pStyle w:val="Heading4"/>
        <w:spacing w:line="327" w:lineRule="exact"/>
      </w:pPr>
      <w:r>
        <w:rPr/>
        <w:t>附件 </w:t>
      </w:r>
      <w:r>
        <w:rPr>
          <w:rFonts w:ascii="Times New Roman" w:eastAsia="Times New Roman"/>
        </w:rPr>
        <w:t>11</w:t>
      </w:r>
      <w:r>
        <w:rPr/>
        <w:t>：</w:t>
      </w:r>
    </w:p>
    <w:p>
      <w:pPr>
        <w:spacing w:line="563" w:lineRule="exact" w:before="0"/>
        <w:ind w:left="297" w:right="777" w:firstLine="0"/>
        <w:jc w:val="center"/>
        <w:rPr>
          <w:rFonts w:ascii="Microsoft JhengHei" w:eastAsia="Microsoft JhengHei" w:hint="eastAsia"/>
          <w:b/>
          <w:sz w:val="36"/>
        </w:rPr>
      </w:pPr>
      <w:r>
        <w:rPr>
          <w:rFonts w:ascii="Microsoft JhengHei" w:eastAsia="Microsoft JhengHei" w:hint="eastAsia"/>
          <w:b/>
          <w:sz w:val="36"/>
        </w:rPr>
        <w:t>进度款支付申请（核准）表</w:t>
      </w:r>
    </w:p>
    <w:p>
      <w:pPr>
        <w:pStyle w:val="Heading7"/>
        <w:tabs>
          <w:tab w:pos="7278" w:val="left" w:leader="none"/>
        </w:tabs>
      </w:pPr>
      <w:r>
        <w:rPr/>
        <w:t>工程名称：</w:t>
        <w:tab/>
        <w:t>编号：</w:t>
      </w:r>
    </w:p>
    <w:tbl>
      <w:tblPr>
        <w:tblW w:w="0" w:type="auto"/>
        <w:jc w:val="left"/>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1"/>
        <w:gridCol w:w="531"/>
        <w:gridCol w:w="3342"/>
        <w:gridCol w:w="430"/>
        <w:gridCol w:w="910"/>
        <w:gridCol w:w="1440"/>
        <w:gridCol w:w="1261"/>
        <w:gridCol w:w="941"/>
      </w:tblGrid>
      <w:tr>
        <w:trPr>
          <w:trHeight w:val="1307" w:hRule="atLeast"/>
        </w:trPr>
        <w:tc>
          <w:tcPr>
            <w:tcW w:w="9076" w:type="dxa"/>
            <w:gridSpan w:val="8"/>
            <w:tcBorders>
              <w:bottom w:val="nil"/>
            </w:tcBorders>
          </w:tcPr>
          <w:p>
            <w:pPr>
              <w:pStyle w:val="TableParagraph"/>
              <w:tabs>
                <w:tab w:pos="4517" w:val="left" w:leader="none"/>
              </w:tabs>
              <w:spacing w:before="173"/>
              <w:ind w:left="419"/>
              <w:rPr>
                <w:sz w:val="21"/>
              </w:rPr>
            </w:pPr>
            <w:r>
              <w:rPr>
                <w:sz w:val="21"/>
              </w:rPr>
              <w:t>致：</w:t>
            </w:r>
            <w:r>
              <w:rPr>
                <w:sz w:val="21"/>
                <w:u w:val="single"/>
              </w:rPr>
              <w:t> </w:t>
              <w:tab/>
            </w:r>
            <w:r>
              <w:rPr>
                <w:spacing w:val="-3"/>
                <w:sz w:val="21"/>
                <w:u w:val="single"/>
              </w:rPr>
              <w:t>（</w:t>
            </w:r>
            <w:r>
              <w:rPr>
                <w:sz w:val="21"/>
                <w:u w:val="single"/>
              </w:rPr>
              <w:t>发</w:t>
            </w:r>
            <w:r>
              <w:rPr>
                <w:spacing w:val="-3"/>
                <w:sz w:val="21"/>
                <w:u w:val="single"/>
              </w:rPr>
              <w:t>包</w:t>
            </w:r>
            <w:r>
              <w:rPr>
                <w:sz w:val="21"/>
                <w:u w:val="single"/>
              </w:rPr>
              <w:t>人全</w:t>
            </w:r>
            <w:r>
              <w:rPr>
                <w:spacing w:val="-3"/>
                <w:sz w:val="21"/>
                <w:u w:val="single"/>
              </w:rPr>
              <w:t>称</w:t>
            </w:r>
            <w:r>
              <w:rPr>
                <w:sz w:val="21"/>
                <w:u w:val="single"/>
              </w:rPr>
              <w:t>）</w:t>
            </w:r>
          </w:p>
          <w:p>
            <w:pPr>
              <w:pStyle w:val="TableParagraph"/>
              <w:tabs>
                <w:tab w:pos="1996" w:val="left" w:leader="none"/>
                <w:tab w:pos="3257" w:val="left" w:leader="none"/>
                <w:tab w:pos="4445" w:val="left" w:leader="none"/>
                <w:tab w:pos="6091" w:val="left" w:leader="none"/>
                <w:tab w:pos="6372" w:val="left" w:leader="none"/>
              </w:tabs>
              <w:spacing w:line="400" w:lineRule="atLeast" w:before="16"/>
              <w:ind w:left="102" w:right="96" w:firstLine="316"/>
              <w:rPr>
                <w:sz w:val="21"/>
              </w:rPr>
            </w:pPr>
            <w:r>
              <w:rPr>
                <w:sz w:val="21"/>
              </w:rPr>
              <w:t>我方</w:t>
            </w:r>
            <w:r>
              <w:rPr>
                <w:spacing w:val="-3"/>
                <w:sz w:val="21"/>
              </w:rPr>
              <w:t>于</w:t>
            </w:r>
            <w:r>
              <w:rPr>
                <w:spacing w:val="-3"/>
                <w:sz w:val="21"/>
                <w:u w:val="single"/>
              </w:rPr>
              <w:t> </w:t>
              <w:tab/>
            </w:r>
            <w:r>
              <w:rPr>
                <w:sz w:val="21"/>
              </w:rPr>
              <w:t>至</w:t>
            </w:r>
            <w:r>
              <w:rPr>
                <w:sz w:val="21"/>
                <w:u w:val="single"/>
              </w:rPr>
              <w:t> </w:t>
              <w:tab/>
            </w:r>
            <w:r>
              <w:rPr>
                <w:spacing w:val="-3"/>
                <w:sz w:val="21"/>
              </w:rPr>
              <w:t>期</w:t>
            </w:r>
            <w:r>
              <w:rPr>
                <w:sz w:val="21"/>
              </w:rPr>
              <w:t>间</w:t>
            </w:r>
            <w:r>
              <w:rPr>
                <w:spacing w:val="-3"/>
                <w:sz w:val="21"/>
              </w:rPr>
              <w:t>已</w:t>
            </w:r>
            <w:r>
              <w:rPr>
                <w:sz w:val="21"/>
              </w:rPr>
              <w:t>完</w:t>
            </w:r>
            <w:r>
              <w:rPr>
                <w:spacing w:val="-3"/>
                <w:sz w:val="21"/>
              </w:rPr>
              <w:t>成</w:t>
            </w:r>
            <w:r>
              <w:rPr>
                <w:sz w:val="21"/>
              </w:rPr>
              <w:t>了</w:t>
            </w:r>
            <w:r>
              <w:rPr>
                <w:sz w:val="21"/>
                <w:u w:val="single"/>
              </w:rPr>
              <w:t> </w:t>
              <w:tab/>
            </w:r>
            <w:r>
              <w:rPr>
                <w:spacing w:val="-3"/>
                <w:sz w:val="21"/>
              </w:rPr>
              <w:t>工</w:t>
            </w:r>
            <w:r>
              <w:rPr>
                <w:sz w:val="21"/>
              </w:rPr>
              <w:t>作</w:t>
            </w:r>
            <w:r>
              <w:rPr>
                <w:spacing w:val="-34"/>
                <w:sz w:val="21"/>
              </w:rPr>
              <w:t>，</w:t>
            </w:r>
            <w:r>
              <w:rPr>
                <w:spacing w:val="-3"/>
                <w:sz w:val="21"/>
              </w:rPr>
              <w:t>根</w:t>
            </w:r>
            <w:r>
              <w:rPr>
                <w:sz w:val="21"/>
              </w:rPr>
              <w:t>据</w:t>
            </w:r>
            <w:r>
              <w:rPr>
                <w:spacing w:val="-3"/>
                <w:sz w:val="21"/>
              </w:rPr>
              <w:t>施工</w:t>
            </w:r>
            <w:r>
              <w:rPr>
                <w:sz w:val="21"/>
              </w:rPr>
              <w:t>合同</w:t>
            </w:r>
            <w:r>
              <w:rPr>
                <w:spacing w:val="-3"/>
                <w:sz w:val="21"/>
              </w:rPr>
              <w:t>的</w:t>
            </w:r>
            <w:r>
              <w:rPr>
                <w:sz w:val="21"/>
              </w:rPr>
              <w:t>约</w:t>
            </w:r>
            <w:r>
              <w:rPr>
                <w:spacing w:val="-3"/>
                <w:sz w:val="21"/>
              </w:rPr>
              <w:t>定</w:t>
            </w:r>
            <w:r>
              <w:rPr>
                <w:spacing w:val="-34"/>
                <w:sz w:val="21"/>
              </w:rPr>
              <w:t>，</w:t>
            </w:r>
            <w:r>
              <w:rPr>
                <w:spacing w:val="-12"/>
                <w:sz w:val="21"/>
              </w:rPr>
              <w:t>现</w:t>
            </w:r>
            <w:r>
              <w:rPr>
                <w:sz w:val="21"/>
              </w:rPr>
              <w:t>申请</w:t>
            </w:r>
            <w:r>
              <w:rPr>
                <w:spacing w:val="-3"/>
                <w:sz w:val="21"/>
              </w:rPr>
              <w:t>支</w:t>
            </w:r>
            <w:r>
              <w:rPr>
                <w:sz w:val="21"/>
              </w:rPr>
              <w:t>付</w:t>
            </w:r>
            <w:r>
              <w:rPr>
                <w:spacing w:val="-3"/>
                <w:sz w:val="21"/>
              </w:rPr>
              <w:t>本</w:t>
            </w:r>
            <w:r>
              <w:rPr>
                <w:sz w:val="21"/>
              </w:rPr>
              <w:t>期</w:t>
            </w:r>
            <w:r>
              <w:rPr>
                <w:spacing w:val="-3"/>
                <w:sz w:val="21"/>
              </w:rPr>
              <w:t>的</w:t>
            </w:r>
            <w:r>
              <w:rPr>
                <w:sz w:val="21"/>
              </w:rPr>
              <w:t>合</w:t>
            </w:r>
            <w:r>
              <w:rPr>
                <w:spacing w:val="-3"/>
                <w:sz w:val="21"/>
              </w:rPr>
              <w:t>同</w:t>
            </w:r>
            <w:r>
              <w:rPr>
                <w:sz w:val="21"/>
              </w:rPr>
              <w:t>款</w:t>
            </w:r>
            <w:r>
              <w:rPr>
                <w:spacing w:val="-3"/>
                <w:sz w:val="21"/>
              </w:rPr>
              <w:t>额</w:t>
            </w:r>
            <w:r>
              <w:rPr>
                <w:sz w:val="21"/>
              </w:rPr>
              <w:t>为</w:t>
            </w:r>
            <w:r>
              <w:rPr>
                <w:rFonts w:ascii="Times New Roman" w:eastAsia="Times New Roman"/>
                <w:sz w:val="21"/>
              </w:rPr>
              <w:t>(</w:t>
            </w:r>
            <w:r>
              <w:rPr>
                <w:sz w:val="21"/>
              </w:rPr>
              <w:t>大写</w:t>
            </w:r>
            <w:r>
              <w:rPr>
                <w:rFonts w:ascii="Times New Roman" w:eastAsia="Times New Roman"/>
                <w:sz w:val="21"/>
              </w:rPr>
              <w:t>)</w:t>
            </w:r>
            <w:r>
              <w:rPr>
                <w:rFonts w:ascii="Times New Roman" w:eastAsia="Times New Roman"/>
                <w:sz w:val="21"/>
                <w:u w:val="single"/>
              </w:rPr>
              <w:t> </w:t>
              <w:tab/>
              <w:tab/>
            </w:r>
            <w:r>
              <w:rPr>
                <w:sz w:val="21"/>
              </w:rPr>
              <w:t>元，</w:t>
            </w:r>
            <w:r>
              <w:rPr>
                <w:rFonts w:ascii="Times New Roman" w:eastAsia="Times New Roman"/>
                <w:sz w:val="21"/>
              </w:rPr>
              <w:t>(</w:t>
            </w:r>
            <w:r>
              <w:rPr>
                <w:sz w:val="21"/>
              </w:rPr>
              <w:t>小写</w:t>
            </w:r>
            <w:r>
              <w:rPr>
                <w:rFonts w:ascii="Times New Roman" w:eastAsia="Times New Roman"/>
                <w:sz w:val="21"/>
              </w:rPr>
              <w:t>)</w:t>
            </w:r>
            <w:r>
              <w:rPr>
                <w:rFonts w:ascii="Times New Roman" w:eastAsia="Times New Roman"/>
                <w:sz w:val="21"/>
                <w:u w:val="single"/>
              </w:rPr>
              <w:t> </w:t>
              <w:tab/>
              <w:tab/>
            </w:r>
            <w:r>
              <w:rPr>
                <w:spacing w:val="-3"/>
                <w:sz w:val="21"/>
              </w:rPr>
              <w:t>元</w:t>
            </w:r>
            <w:r>
              <w:rPr>
                <w:sz w:val="21"/>
              </w:rPr>
              <w:t>，</w:t>
            </w:r>
            <w:r>
              <w:rPr>
                <w:spacing w:val="-3"/>
                <w:sz w:val="21"/>
              </w:rPr>
              <w:t>请予</w:t>
            </w:r>
            <w:r>
              <w:rPr>
                <w:sz w:val="21"/>
              </w:rPr>
              <w:t>核准。</w:t>
            </w:r>
          </w:p>
        </w:tc>
      </w:tr>
      <w:tr>
        <w:trPr>
          <w:trHeight w:val="561" w:hRule="atLeast"/>
        </w:trPr>
        <w:tc>
          <w:tcPr>
            <w:tcW w:w="221" w:type="dxa"/>
            <w:vMerge w:val="restart"/>
            <w:tcBorders>
              <w:top w:val="nil"/>
              <w:bottom w:val="nil"/>
            </w:tcBorders>
          </w:tcPr>
          <w:p>
            <w:pPr>
              <w:pStyle w:val="TableParagraph"/>
              <w:rPr>
                <w:rFonts w:ascii="Times New Roman"/>
                <w:sz w:val="20"/>
              </w:rPr>
            </w:pPr>
          </w:p>
        </w:tc>
        <w:tc>
          <w:tcPr>
            <w:tcW w:w="531" w:type="dxa"/>
          </w:tcPr>
          <w:p>
            <w:pPr>
              <w:pStyle w:val="TableParagraph"/>
              <w:spacing w:line="280" w:lineRule="atLeast" w:before="4"/>
              <w:ind w:left="155" w:right="152"/>
              <w:rPr>
                <w:sz w:val="21"/>
              </w:rPr>
            </w:pPr>
            <w:r>
              <w:rPr>
                <w:sz w:val="21"/>
              </w:rPr>
              <w:t>序号</w:t>
            </w:r>
          </w:p>
        </w:tc>
        <w:tc>
          <w:tcPr>
            <w:tcW w:w="3342" w:type="dxa"/>
          </w:tcPr>
          <w:p>
            <w:pPr>
              <w:pStyle w:val="TableParagraph"/>
              <w:tabs>
                <w:tab w:pos="852" w:val="left" w:leader="none"/>
              </w:tabs>
              <w:spacing w:before="154"/>
              <w:ind w:left="9"/>
              <w:jc w:val="center"/>
              <w:rPr>
                <w:sz w:val="21"/>
              </w:rPr>
            </w:pPr>
            <w:r>
              <w:rPr>
                <w:sz w:val="21"/>
              </w:rPr>
              <w:t>名</w:t>
              <w:tab/>
              <w:t>称</w:t>
            </w:r>
          </w:p>
        </w:tc>
        <w:tc>
          <w:tcPr>
            <w:tcW w:w="1340" w:type="dxa"/>
            <w:gridSpan w:val="2"/>
          </w:tcPr>
          <w:p>
            <w:pPr>
              <w:pStyle w:val="TableParagraph"/>
              <w:spacing w:before="15"/>
              <w:ind w:left="247"/>
              <w:rPr>
                <w:sz w:val="21"/>
              </w:rPr>
            </w:pPr>
            <w:r>
              <w:rPr>
                <w:sz w:val="21"/>
              </w:rPr>
              <w:t>实际金额</w:t>
            </w:r>
          </w:p>
          <w:p>
            <w:pPr>
              <w:pStyle w:val="TableParagraph"/>
              <w:spacing w:line="247" w:lineRule="exact" w:before="9"/>
              <w:ind w:left="351"/>
              <w:rPr>
                <w:sz w:val="21"/>
              </w:rPr>
            </w:pPr>
            <w:r>
              <w:rPr>
                <w:sz w:val="21"/>
              </w:rPr>
              <w:t>（元）</w:t>
            </w:r>
          </w:p>
        </w:tc>
        <w:tc>
          <w:tcPr>
            <w:tcW w:w="1440" w:type="dxa"/>
          </w:tcPr>
          <w:p>
            <w:pPr>
              <w:pStyle w:val="TableParagraph"/>
              <w:spacing w:before="15"/>
              <w:ind w:left="297"/>
              <w:rPr>
                <w:sz w:val="21"/>
              </w:rPr>
            </w:pPr>
            <w:r>
              <w:rPr>
                <w:sz w:val="21"/>
              </w:rPr>
              <w:t>申请金额</w:t>
            </w:r>
          </w:p>
          <w:p>
            <w:pPr>
              <w:pStyle w:val="TableParagraph"/>
              <w:spacing w:line="247" w:lineRule="exact" w:before="9"/>
              <w:ind w:left="401"/>
              <w:rPr>
                <w:sz w:val="21"/>
              </w:rPr>
            </w:pPr>
            <w:r>
              <w:rPr>
                <w:sz w:val="21"/>
              </w:rPr>
              <w:t>（元）</w:t>
            </w:r>
          </w:p>
        </w:tc>
        <w:tc>
          <w:tcPr>
            <w:tcW w:w="1261" w:type="dxa"/>
          </w:tcPr>
          <w:p>
            <w:pPr>
              <w:pStyle w:val="TableParagraph"/>
              <w:spacing w:before="15"/>
              <w:ind w:left="206"/>
              <w:rPr>
                <w:sz w:val="21"/>
              </w:rPr>
            </w:pPr>
            <w:r>
              <w:rPr>
                <w:sz w:val="21"/>
              </w:rPr>
              <w:t>复核金额</w:t>
            </w:r>
          </w:p>
          <w:p>
            <w:pPr>
              <w:pStyle w:val="TableParagraph"/>
              <w:spacing w:line="247" w:lineRule="exact" w:before="9"/>
              <w:ind w:left="312"/>
              <w:rPr>
                <w:sz w:val="21"/>
              </w:rPr>
            </w:pPr>
            <w:r>
              <w:rPr>
                <w:sz w:val="21"/>
              </w:rPr>
              <w:t>（元）</w:t>
            </w:r>
          </w:p>
        </w:tc>
        <w:tc>
          <w:tcPr>
            <w:tcW w:w="941" w:type="dxa"/>
            <w:tcBorders>
              <w:right w:val="single" w:sz="8" w:space="0" w:color="000000"/>
            </w:tcBorders>
          </w:tcPr>
          <w:p>
            <w:pPr>
              <w:pStyle w:val="TableParagraph"/>
              <w:spacing w:before="154"/>
              <w:ind w:left="251"/>
              <w:rPr>
                <w:sz w:val="21"/>
              </w:rPr>
            </w:pPr>
            <w:r>
              <w:rPr>
                <w:sz w:val="21"/>
              </w:rPr>
              <w:t>备注</w:t>
            </w:r>
          </w:p>
        </w:tc>
      </w:tr>
      <w:tr>
        <w:trPr>
          <w:trHeight w:val="277" w:hRule="atLeast"/>
        </w:trPr>
        <w:tc>
          <w:tcPr>
            <w:tcW w:w="221" w:type="dxa"/>
            <w:vMerge/>
            <w:tcBorders>
              <w:top w:val="nil"/>
              <w:bottom w:val="nil"/>
            </w:tcBorders>
          </w:tcPr>
          <w:p>
            <w:pPr>
              <w:rPr>
                <w:sz w:val="2"/>
                <w:szCs w:val="2"/>
              </w:rPr>
            </w:pPr>
          </w:p>
        </w:tc>
        <w:tc>
          <w:tcPr>
            <w:tcW w:w="531" w:type="dxa"/>
          </w:tcPr>
          <w:p>
            <w:pPr>
              <w:pStyle w:val="TableParagraph"/>
              <w:spacing w:line="233" w:lineRule="exact" w:before="24"/>
              <w:ind w:left="1"/>
              <w:jc w:val="center"/>
              <w:rPr>
                <w:rFonts w:ascii="Times New Roman"/>
                <w:sz w:val="21"/>
              </w:rPr>
            </w:pPr>
            <w:r>
              <w:rPr>
                <w:rFonts w:ascii="Times New Roman"/>
                <w:w w:val="100"/>
                <w:sz w:val="21"/>
              </w:rPr>
              <w:t>1</w:t>
            </w:r>
          </w:p>
        </w:tc>
        <w:tc>
          <w:tcPr>
            <w:tcW w:w="3342" w:type="dxa"/>
          </w:tcPr>
          <w:p>
            <w:pPr>
              <w:pStyle w:val="TableParagraph"/>
              <w:spacing w:line="247" w:lineRule="exact" w:before="10"/>
              <w:ind w:left="106"/>
              <w:rPr>
                <w:sz w:val="21"/>
              </w:rPr>
            </w:pPr>
            <w:r>
              <w:rPr>
                <w:sz w:val="21"/>
              </w:rPr>
              <w:t>累计已完成的工程价款</w:t>
            </w:r>
          </w:p>
        </w:tc>
        <w:tc>
          <w:tcPr>
            <w:tcW w:w="1340" w:type="dxa"/>
            <w:gridSpan w:val="2"/>
          </w:tcPr>
          <w:p>
            <w:pPr>
              <w:pStyle w:val="TableParagraph"/>
              <w:rPr>
                <w:rFonts w:ascii="Times New Roman"/>
                <w:sz w:val="20"/>
              </w:rPr>
            </w:pPr>
          </w:p>
        </w:tc>
        <w:tc>
          <w:tcPr>
            <w:tcW w:w="1440" w:type="dxa"/>
          </w:tcPr>
          <w:p>
            <w:pPr>
              <w:pStyle w:val="TableParagraph"/>
              <w:rPr>
                <w:rFonts w:ascii="Times New Roman"/>
                <w:sz w:val="20"/>
              </w:rPr>
            </w:pPr>
          </w:p>
        </w:tc>
        <w:tc>
          <w:tcPr>
            <w:tcW w:w="1261" w:type="dxa"/>
          </w:tcPr>
          <w:p>
            <w:pPr>
              <w:pStyle w:val="TableParagraph"/>
              <w:rPr>
                <w:rFonts w:ascii="Times New Roman"/>
                <w:sz w:val="20"/>
              </w:rPr>
            </w:pPr>
          </w:p>
        </w:tc>
        <w:tc>
          <w:tcPr>
            <w:tcW w:w="941" w:type="dxa"/>
            <w:tcBorders>
              <w:right w:val="single" w:sz="8" w:space="0" w:color="000000"/>
            </w:tcBorders>
          </w:tcPr>
          <w:p>
            <w:pPr>
              <w:pStyle w:val="TableParagraph"/>
              <w:rPr>
                <w:rFonts w:ascii="Times New Roman"/>
                <w:sz w:val="20"/>
              </w:rPr>
            </w:pPr>
          </w:p>
        </w:tc>
      </w:tr>
      <w:tr>
        <w:trPr>
          <w:trHeight w:val="280" w:hRule="atLeast"/>
        </w:trPr>
        <w:tc>
          <w:tcPr>
            <w:tcW w:w="221" w:type="dxa"/>
            <w:vMerge/>
            <w:tcBorders>
              <w:top w:val="nil"/>
              <w:bottom w:val="nil"/>
            </w:tcBorders>
          </w:tcPr>
          <w:p>
            <w:pPr>
              <w:rPr>
                <w:sz w:val="2"/>
                <w:szCs w:val="2"/>
              </w:rPr>
            </w:pPr>
          </w:p>
        </w:tc>
        <w:tc>
          <w:tcPr>
            <w:tcW w:w="531" w:type="dxa"/>
          </w:tcPr>
          <w:p>
            <w:pPr>
              <w:pStyle w:val="TableParagraph"/>
              <w:rPr>
                <w:rFonts w:ascii="Times New Roman"/>
                <w:sz w:val="20"/>
              </w:rPr>
            </w:pPr>
          </w:p>
        </w:tc>
        <w:tc>
          <w:tcPr>
            <w:tcW w:w="3342" w:type="dxa"/>
          </w:tcPr>
          <w:p>
            <w:pPr>
              <w:pStyle w:val="TableParagraph"/>
              <w:spacing w:line="248" w:lineRule="exact" w:before="13"/>
              <w:ind w:left="106"/>
              <w:rPr>
                <w:sz w:val="21"/>
              </w:rPr>
            </w:pPr>
            <w:r>
              <w:rPr>
                <w:sz w:val="21"/>
              </w:rPr>
              <w:t>其中：人工费</w:t>
            </w:r>
          </w:p>
        </w:tc>
        <w:tc>
          <w:tcPr>
            <w:tcW w:w="1340" w:type="dxa"/>
            <w:gridSpan w:val="2"/>
          </w:tcPr>
          <w:p>
            <w:pPr>
              <w:pStyle w:val="TableParagraph"/>
              <w:rPr>
                <w:rFonts w:ascii="Times New Roman"/>
                <w:sz w:val="20"/>
              </w:rPr>
            </w:pPr>
          </w:p>
        </w:tc>
        <w:tc>
          <w:tcPr>
            <w:tcW w:w="1440" w:type="dxa"/>
          </w:tcPr>
          <w:p>
            <w:pPr>
              <w:pStyle w:val="TableParagraph"/>
              <w:rPr>
                <w:rFonts w:ascii="Times New Roman"/>
                <w:sz w:val="20"/>
              </w:rPr>
            </w:pPr>
          </w:p>
        </w:tc>
        <w:tc>
          <w:tcPr>
            <w:tcW w:w="1261" w:type="dxa"/>
          </w:tcPr>
          <w:p>
            <w:pPr>
              <w:pStyle w:val="TableParagraph"/>
              <w:rPr>
                <w:rFonts w:ascii="Times New Roman"/>
                <w:sz w:val="20"/>
              </w:rPr>
            </w:pPr>
          </w:p>
        </w:tc>
        <w:tc>
          <w:tcPr>
            <w:tcW w:w="941" w:type="dxa"/>
            <w:tcBorders>
              <w:right w:val="single" w:sz="8" w:space="0" w:color="000000"/>
            </w:tcBorders>
          </w:tcPr>
          <w:p>
            <w:pPr>
              <w:pStyle w:val="TableParagraph"/>
              <w:rPr>
                <w:rFonts w:ascii="Times New Roman"/>
                <w:sz w:val="20"/>
              </w:rPr>
            </w:pPr>
          </w:p>
        </w:tc>
      </w:tr>
      <w:tr>
        <w:trPr>
          <w:trHeight w:val="278" w:hRule="atLeast"/>
        </w:trPr>
        <w:tc>
          <w:tcPr>
            <w:tcW w:w="221" w:type="dxa"/>
            <w:vMerge/>
            <w:tcBorders>
              <w:top w:val="nil"/>
              <w:bottom w:val="nil"/>
            </w:tcBorders>
          </w:tcPr>
          <w:p>
            <w:pPr>
              <w:rPr>
                <w:sz w:val="2"/>
                <w:szCs w:val="2"/>
              </w:rPr>
            </w:pPr>
          </w:p>
        </w:tc>
        <w:tc>
          <w:tcPr>
            <w:tcW w:w="531" w:type="dxa"/>
          </w:tcPr>
          <w:p>
            <w:pPr>
              <w:pStyle w:val="TableParagraph"/>
              <w:spacing w:line="231" w:lineRule="exact" w:before="27"/>
              <w:ind w:left="1"/>
              <w:jc w:val="center"/>
              <w:rPr>
                <w:rFonts w:ascii="Times New Roman"/>
                <w:sz w:val="21"/>
              </w:rPr>
            </w:pPr>
            <w:r>
              <w:rPr>
                <w:rFonts w:ascii="Times New Roman"/>
                <w:w w:val="100"/>
                <w:sz w:val="21"/>
              </w:rPr>
              <w:t>2</w:t>
            </w:r>
          </w:p>
        </w:tc>
        <w:tc>
          <w:tcPr>
            <w:tcW w:w="3342" w:type="dxa"/>
          </w:tcPr>
          <w:p>
            <w:pPr>
              <w:pStyle w:val="TableParagraph"/>
              <w:spacing w:line="245" w:lineRule="exact" w:before="13"/>
              <w:ind w:left="106"/>
              <w:rPr>
                <w:sz w:val="21"/>
              </w:rPr>
            </w:pPr>
            <w:r>
              <w:rPr>
                <w:sz w:val="21"/>
              </w:rPr>
              <w:t>累计已实际支付的工程价款</w:t>
            </w:r>
          </w:p>
        </w:tc>
        <w:tc>
          <w:tcPr>
            <w:tcW w:w="1340" w:type="dxa"/>
            <w:gridSpan w:val="2"/>
          </w:tcPr>
          <w:p>
            <w:pPr>
              <w:pStyle w:val="TableParagraph"/>
              <w:rPr>
                <w:rFonts w:ascii="Times New Roman"/>
                <w:sz w:val="20"/>
              </w:rPr>
            </w:pPr>
          </w:p>
        </w:tc>
        <w:tc>
          <w:tcPr>
            <w:tcW w:w="1440" w:type="dxa"/>
          </w:tcPr>
          <w:p>
            <w:pPr>
              <w:pStyle w:val="TableParagraph"/>
              <w:rPr>
                <w:rFonts w:ascii="Times New Roman"/>
                <w:sz w:val="20"/>
              </w:rPr>
            </w:pPr>
          </w:p>
        </w:tc>
        <w:tc>
          <w:tcPr>
            <w:tcW w:w="1261" w:type="dxa"/>
          </w:tcPr>
          <w:p>
            <w:pPr>
              <w:pStyle w:val="TableParagraph"/>
              <w:rPr>
                <w:rFonts w:ascii="Times New Roman"/>
                <w:sz w:val="20"/>
              </w:rPr>
            </w:pPr>
          </w:p>
        </w:tc>
        <w:tc>
          <w:tcPr>
            <w:tcW w:w="941" w:type="dxa"/>
            <w:tcBorders>
              <w:right w:val="single" w:sz="8" w:space="0" w:color="000000"/>
            </w:tcBorders>
          </w:tcPr>
          <w:p>
            <w:pPr>
              <w:pStyle w:val="TableParagraph"/>
              <w:rPr>
                <w:rFonts w:ascii="Times New Roman"/>
                <w:sz w:val="20"/>
              </w:rPr>
            </w:pPr>
          </w:p>
        </w:tc>
      </w:tr>
      <w:tr>
        <w:trPr>
          <w:trHeight w:val="280" w:hRule="atLeast"/>
        </w:trPr>
        <w:tc>
          <w:tcPr>
            <w:tcW w:w="221" w:type="dxa"/>
            <w:vMerge/>
            <w:tcBorders>
              <w:top w:val="nil"/>
              <w:bottom w:val="nil"/>
            </w:tcBorders>
          </w:tcPr>
          <w:p>
            <w:pPr>
              <w:rPr>
                <w:sz w:val="2"/>
                <w:szCs w:val="2"/>
              </w:rPr>
            </w:pPr>
          </w:p>
        </w:tc>
        <w:tc>
          <w:tcPr>
            <w:tcW w:w="531" w:type="dxa"/>
          </w:tcPr>
          <w:p>
            <w:pPr>
              <w:pStyle w:val="TableParagraph"/>
              <w:rPr>
                <w:rFonts w:ascii="Times New Roman"/>
                <w:sz w:val="20"/>
              </w:rPr>
            </w:pPr>
          </w:p>
        </w:tc>
        <w:tc>
          <w:tcPr>
            <w:tcW w:w="3342" w:type="dxa"/>
          </w:tcPr>
          <w:p>
            <w:pPr>
              <w:pStyle w:val="TableParagraph"/>
              <w:spacing w:line="245" w:lineRule="exact" w:before="15"/>
              <w:ind w:left="106"/>
              <w:rPr>
                <w:sz w:val="21"/>
              </w:rPr>
            </w:pPr>
            <w:r>
              <w:rPr>
                <w:sz w:val="21"/>
              </w:rPr>
              <w:t>其中：人工费</w:t>
            </w:r>
          </w:p>
        </w:tc>
        <w:tc>
          <w:tcPr>
            <w:tcW w:w="1340" w:type="dxa"/>
            <w:gridSpan w:val="2"/>
          </w:tcPr>
          <w:p>
            <w:pPr>
              <w:pStyle w:val="TableParagraph"/>
              <w:rPr>
                <w:rFonts w:ascii="Times New Roman"/>
                <w:sz w:val="20"/>
              </w:rPr>
            </w:pPr>
          </w:p>
        </w:tc>
        <w:tc>
          <w:tcPr>
            <w:tcW w:w="1440" w:type="dxa"/>
          </w:tcPr>
          <w:p>
            <w:pPr>
              <w:pStyle w:val="TableParagraph"/>
              <w:rPr>
                <w:rFonts w:ascii="Times New Roman"/>
                <w:sz w:val="20"/>
              </w:rPr>
            </w:pPr>
          </w:p>
        </w:tc>
        <w:tc>
          <w:tcPr>
            <w:tcW w:w="1261" w:type="dxa"/>
          </w:tcPr>
          <w:p>
            <w:pPr>
              <w:pStyle w:val="TableParagraph"/>
              <w:rPr>
                <w:rFonts w:ascii="Times New Roman"/>
                <w:sz w:val="20"/>
              </w:rPr>
            </w:pPr>
          </w:p>
        </w:tc>
        <w:tc>
          <w:tcPr>
            <w:tcW w:w="941" w:type="dxa"/>
            <w:tcBorders>
              <w:right w:val="single" w:sz="8" w:space="0" w:color="000000"/>
            </w:tcBorders>
          </w:tcPr>
          <w:p>
            <w:pPr>
              <w:pStyle w:val="TableParagraph"/>
              <w:rPr>
                <w:rFonts w:ascii="Times New Roman"/>
                <w:sz w:val="20"/>
              </w:rPr>
            </w:pPr>
          </w:p>
        </w:tc>
      </w:tr>
      <w:tr>
        <w:trPr>
          <w:trHeight w:val="280" w:hRule="atLeast"/>
        </w:trPr>
        <w:tc>
          <w:tcPr>
            <w:tcW w:w="221" w:type="dxa"/>
            <w:vMerge/>
            <w:tcBorders>
              <w:top w:val="nil"/>
              <w:bottom w:val="nil"/>
            </w:tcBorders>
          </w:tcPr>
          <w:p>
            <w:pPr>
              <w:rPr>
                <w:sz w:val="2"/>
                <w:szCs w:val="2"/>
              </w:rPr>
            </w:pPr>
          </w:p>
        </w:tc>
        <w:tc>
          <w:tcPr>
            <w:tcW w:w="531" w:type="dxa"/>
          </w:tcPr>
          <w:p>
            <w:pPr>
              <w:pStyle w:val="TableParagraph"/>
              <w:spacing w:line="233" w:lineRule="exact" w:before="27"/>
              <w:ind w:left="1"/>
              <w:jc w:val="center"/>
              <w:rPr>
                <w:rFonts w:ascii="Times New Roman"/>
                <w:sz w:val="21"/>
              </w:rPr>
            </w:pPr>
            <w:r>
              <w:rPr>
                <w:rFonts w:ascii="Times New Roman"/>
                <w:w w:val="100"/>
                <w:sz w:val="21"/>
              </w:rPr>
              <w:t>3</w:t>
            </w:r>
          </w:p>
        </w:tc>
        <w:tc>
          <w:tcPr>
            <w:tcW w:w="3342" w:type="dxa"/>
          </w:tcPr>
          <w:p>
            <w:pPr>
              <w:pStyle w:val="TableParagraph"/>
              <w:spacing w:line="247" w:lineRule="exact" w:before="13"/>
              <w:ind w:left="106"/>
              <w:rPr>
                <w:sz w:val="21"/>
              </w:rPr>
            </w:pPr>
            <w:r>
              <w:rPr>
                <w:sz w:val="21"/>
              </w:rPr>
              <w:t>本周期已完成的工程价款</w:t>
            </w:r>
          </w:p>
        </w:tc>
        <w:tc>
          <w:tcPr>
            <w:tcW w:w="1340" w:type="dxa"/>
            <w:gridSpan w:val="2"/>
          </w:tcPr>
          <w:p>
            <w:pPr>
              <w:pStyle w:val="TableParagraph"/>
              <w:rPr>
                <w:rFonts w:ascii="Times New Roman"/>
                <w:sz w:val="20"/>
              </w:rPr>
            </w:pPr>
          </w:p>
        </w:tc>
        <w:tc>
          <w:tcPr>
            <w:tcW w:w="1440" w:type="dxa"/>
          </w:tcPr>
          <w:p>
            <w:pPr>
              <w:pStyle w:val="TableParagraph"/>
              <w:rPr>
                <w:rFonts w:ascii="Times New Roman"/>
                <w:sz w:val="20"/>
              </w:rPr>
            </w:pPr>
          </w:p>
        </w:tc>
        <w:tc>
          <w:tcPr>
            <w:tcW w:w="1261" w:type="dxa"/>
          </w:tcPr>
          <w:p>
            <w:pPr>
              <w:pStyle w:val="TableParagraph"/>
              <w:rPr>
                <w:rFonts w:ascii="Times New Roman"/>
                <w:sz w:val="20"/>
              </w:rPr>
            </w:pPr>
          </w:p>
        </w:tc>
        <w:tc>
          <w:tcPr>
            <w:tcW w:w="941" w:type="dxa"/>
            <w:tcBorders>
              <w:right w:val="single" w:sz="8" w:space="0" w:color="000000"/>
            </w:tcBorders>
          </w:tcPr>
          <w:p>
            <w:pPr>
              <w:pStyle w:val="TableParagraph"/>
              <w:rPr>
                <w:rFonts w:ascii="Times New Roman"/>
                <w:sz w:val="20"/>
              </w:rPr>
            </w:pPr>
          </w:p>
        </w:tc>
      </w:tr>
      <w:tr>
        <w:trPr>
          <w:trHeight w:val="280" w:hRule="atLeast"/>
        </w:trPr>
        <w:tc>
          <w:tcPr>
            <w:tcW w:w="221" w:type="dxa"/>
            <w:vMerge/>
            <w:tcBorders>
              <w:top w:val="nil"/>
              <w:bottom w:val="nil"/>
            </w:tcBorders>
          </w:tcPr>
          <w:p>
            <w:pPr>
              <w:rPr>
                <w:sz w:val="2"/>
                <w:szCs w:val="2"/>
              </w:rPr>
            </w:pPr>
          </w:p>
        </w:tc>
        <w:tc>
          <w:tcPr>
            <w:tcW w:w="531" w:type="dxa"/>
          </w:tcPr>
          <w:p>
            <w:pPr>
              <w:pStyle w:val="TableParagraph"/>
              <w:rPr>
                <w:rFonts w:ascii="Times New Roman"/>
                <w:sz w:val="20"/>
              </w:rPr>
            </w:pPr>
          </w:p>
        </w:tc>
        <w:tc>
          <w:tcPr>
            <w:tcW w:w="3342" w:type="dxa"/>
          </w:tcPr>
          <w:p>
            <w:pPr>
              <w:pStyle w:val="TableParagraph"/>
              <w:spacing w:line="247" w:lineRule="exact" w:before="13"/>
              <w:ind w:left="106"/>
              <w:rPr>
                <w:sz w:val="21"/>
              </w:rPr>
            </w:pPr>
            <w:r>
              <w:rPr>
                <w:sz w:val="21"/>
              </w:rPr>
              <w:t>其中：人工费</w:t>
            </w:r>
          </w:p>
        </w:tc>
        <w:tc>
          <w:tcPr>
            <w:tcW w:w="1340" w:type="dxa"/>
            <w:gridSpan w:val="2"/>
          </w:tcPr>
          <w:p>
            <w:pPr>
              <w:pStyle w:val="TableParagraph"/>
              <w:rPr>
                <w:rFonts w:ascii="Times New Roman"/>
                <w:sz w:val="20"/>
              </w:rPr>
            </w:pPr>
          </w:p>
        </w:tc>
        <w:tc>
          <w:tcPr>
            <w:tcW w:w="1440" w:type="dxa"/>
          </w:tcPr>
          <w:p>
            <w:pPr>
              <w:pStyle w:val="TableParagraph"/>
              <w:rPr>
                <w:rFonts w:ascii="Times New Roman"/>
                <w:sz w:val="20"/>
              </w:rPr>
            </w:pPr>
          </w:p>
        </w:tc>
        <w:tc>
          <w:tcPr>
            <w:tcW w:w="1261" w:type="dxa"/>
          </w:tcPr>
          <w:p>
            <w:pPr>
              <w:pStyle w:val="TableParagraph"/>
              <w:rPr>
                <w:rFonts w:ascii="Times New Roman"/>
                <w:sz w:val="20"/>
              </w:rPr>
            </w:pPr>
          </w:p>
        </w:tc>
        <w:tc>
          <w:tcPr>
            <w:tcW w:w="941" w:type="dxa"/>
            <w:tcBorders>
              <w:right w:val="single" w:sz="8" w:space="0" w:color="000000"/>
            </w:tcBorders>
          </w:tcPr>
          <w:p>
            <w:pPr>
              <w:pStyle w:val="TableParagraph"/>
              <w:rPr>
                <w:rFonts w:ascii="Times New Roman"/>
                <w:sz w:val="20"/>
              </w:rPr>
            </w:pPr>
          </w:p>
        </w:tc>
      </w:tr>
      <w:tr>
        <w:trPr>
          <w:trHeight w:val="280" w:hRule="atLeast"/>
        </w:trPr>
        <w:tc>
          <w:tcPr>
            <w:tcW w:w="221" w:type="dxa"/>
            <w:vMerge/>
            <w:tcBorders>
              <w:top w:val="nil"/>
              <w:bottom w:val="nil"/>
            </w:tcBorders>
          </w:tcPr>
          <w:p>
            <w:pPr>
              <w:rPr>
                <w:sz w:val="2"/>
                <w:szCs w:val="2"/>
              </w:rPr>
            </w:pPr>
          </w:p>
        </w:tc>
        <w:tc>
          <w:tcPr>
            <w:tcW w:w="531" w:type="dxa"/>
          </w:tcPr>
          <w:p>
            <w:pPr>
              <w:pStyle w:val="TableParagraph"/>
              <w:spacing w:line="233" w:lineRule="exact" w:before="27"/>
              <w:ind w:left="1"/>
              <w:jc w:val="center"/>
              <w:rPr>
                <w:rFonts w:ascii="Times New Roman"/>
                <w:sz w:val="21"/>
              </w:rPr>
            </w:pPr>
            <w:r>
              <w:rPr>
                <w:rFonts w:ascii="Times New Roman"/>
                <w:w w:val="100"/>
                <w:sz w:val="21"/>
              </w:rPr>
              <w:t>4</w:t>
            </w:r>
          </w:p>
        </w:tc>
        <w:tc>
          <w:tcPr>
            <w:tcW w:w="3342" w:type="dxa"/>
          </w:tcPr>
          <w:p>
            <w:pPr>
              <w:pStyle w:val="TableParagraph"/>
              <w:spacing w:line="247" w:lineRule="exact" w:before="13"/>
              <w:ind w:left="106"/>
              <w:rPr>
                <w:sz w:val="21"/>
              </w:rPr>
            </w:pPr>
            <w:r>
              <w:rPr>
                <w:sz w:val="21"/>
              </w:rPr>
              <w:t>本周期应扣减的金额</w:t>
            </w:r>
          </w:p>
        </w:tc>
        <w:tc>
          <w:tcPr>
            <w:tcW w:w="1340" w:type="dxa"/>
            <w:gridSpan w:val="2"/>
          </w:tcPr>
          <w:p>
            <w:pPr>
              <w:pStyle w:val="TableParagraph"/>
              <w:rPr>
                <w:rFonts w:ascii="Times New Roman"/>
                <w:sz w:val="20"/>
              </w:rPr>
            </w:pPr>
          </w:p>
        </w:tc>
        <w:tc>
          <w:tcPr>
            <w:tcW w:w="1440" w:type="dxa"/>
          </w:tcPr>
          <w:p>
            <w:pPr>
              <w:pStyle w:val="TableParagraph"/>
              <w:rPr>
                <w:rFonts w:ascii="Times New Roman"/>
                <w:sz w:val="20"/>
              </w:rPr>
            </w:pPr>
          </w:p>
        </w:tc>
        <w:tc>
          <w:tcPr>
            <w:tcW w:w="1261" w:type="dxa"/>
          </w:tcPr>
          <w:p>
            <w:pPr>
              <w:pStyle w:val="TableParagraph"/>
              <w:rPr>
                <w:rFonts w:ascii="Times New Roman"/>
                <w:sz w:val="20"/>
              </w:rPr>
            </w:pPr>
          </w:p>
        </w:tc>
        <w:tc>
          <w:tcPr>
            <w:tcW w:w="941" w:type="dxa"/>
            <w:tcBorders>
              <w:right w:val="single" w:sz="8" w:space="0" w:color="000000"/>
            </w:tcBorders>
          </w:tcPr>
          <w:p>
            <w:pPr>
              <w:pStyle w:val="TableParagraph"/>
              <w:rPr>
                <w:rFonts w:ascii="Times New Roman"/>
                <w:sz w:val="20"/>
              </w:rPr>
            </w:pPr>
          </w:p>
        </w:tc>
      </w:tr>
      <w:tr>
        <w:trPr>
          <w:trHeight w:val="280" w:hRule="atLeast"/>
        </w:trPr>
        <w:tc>
          <w:tcPr>
            <w:tcW w:w="221" w:type="dxa"/>
            <w:vMerge/>
            <w:tcBorders>
              <w:top w:val="nil"/>
              <w:bottom w:val="nil"/>
            </w:tcBorders>
          </w:tcPr>
          <w:p>
            <w:pPr>
              <w:rPr>
                <w:sz w:val="2"/>
                <w:szCs w:val="2"/>
              </w:rPr>
            </w:pPr>
          </w:p>
        </w:tc>
        <w:tc>
          <w:tcPr>
            <w:tcW w:w="531" w:type="dxa"/>
          </w:tcPr>
          <w:p>
            <w:pPr>
              <w:pStyle w:val="TableParagraph"/>
              <w:spacing w:line="233" w:lineRule="exact" w:before="27"/>
              <w:ind w:left="112" w:right="106"/>
              <w:jc w:val="center"/>
              <w:rPr>
                <w:rFonts w:ascii="Times New Roman"/>
                <w:sz w:val="21"/>
              </w:rPr>
            </w:pPr>
            <w:r>
              <w:rPr>
                <w:rFonts w:ascii="Times New Roman"/>
                <w:sz w:val="21"/>
              </w:rPr>
              <w:t>4.1</w:t>
            </w:r>
          </w:p>
        </w:tc>
        <w:tc>
          <w:tcPr>
            <w:tcW w:w="3342" w:type="dxa"/>
          </w:tcPr>
          <w:p>
            <w:pPr>
              <w:pStyle w:val="TableParagraph"/>
              <w:spacing w:line="247" w:lineRule="exact" w:before="13"/>
              <w:ind w:left="106"/>
              <w:rPr>
                <w:sz w:val="21"/>
              </w:rPr>
            </w:pPr>
            <w:r>
              <w:rPr>
                <w:sz w:val="21"/>
              </w:rPr>
              <w:t>本周期实际应抵扣的预付款</w:t>
            </w:r>
          </w:p>
        </w:tc>
        <w:tc>
          <w:tcPr>
            <w:tcW w:w="1340" w:type="dxa"/>
            <w:gridSpan w:val="2"/>
          </w:tcPr>
          <w:p>
            <w:pPr>
              <w:pStyle w:val="TableParagraph"/>
              <w:rPr>
                <w:rFonts w:ascii="Times New Roman"/>
                <w:sz w:val="20"/>
              </w:rPr>
            </w:pPr>
          </w:p>
        </w:tc>
        <w:tc>
          <w:tcPr>
            <w:tcW w:w="1440" w:type="dxa"/>
          </w:tcPr>
          <w:p>
            <w:pPr>
              <w:pStyle w:val="TableParagraph"/>
              <w:rPr>
                <w:rFonts w:ascii="Times New Roman"/>
                <w:sz w:val="20"/>
              </w:rPr>
            </w:pPr>
          </w:p>
        </w:tc>
        <w:tc>
          <w:tcPr>
            <w:tcW w:w="1261" w:type="dxa"/>
          </w:tcPr>
          <w:p>
            <w:pPr>
              <w:pStyle w:val="TableParagraph"/>
              <w:rPr>
                <w:rFonts w:ascii="Times New Roman"/>
                <w:sz w:val="20"/>
              </w:rPr>
            </w:pPr>
          </w:p>
        </w:tc>
        <w:tc>
          <w:tcPr>
            <w:tcW w:w="941" w:type="dxa"/>
            <w:tcBorders>
              <w:right w:val="single" w:sz="8" w:space="0" w:color="000000"/>
            </w:tcBorders>
          </w:tcPr>
          <w:p>
            <w:pPr>
              <w:pStyle w:val="TableParagraph"/>
              <w:rPr>
                <w:rFonts w:ascii="Times New Roman"/>
                <w:sz w:val="20"/>
              </w:rPr>
            </w:pPr>
          </w:p>
        </w:tc>
      </w:tr>
      <w:tr>
        <w:trPr>
          <w:trHeight w:val="278" w:hRule="atLeast"/>
        </w:trPr>
        <w:tc>
          <w:tcPr>
            <w:tcW w:w="221" w:type="dxa"/>
            <w:vMerge/>
            <w:tcBorders>
              <w:top w:val="nil"/>
              <w:bottom w:val="nil"/>
            </w:tcBorders>
          </w:tcPr>
          <w:p>
            <w:pPr>
              <w:rPr>
                <w:sz w:val="2"/>
                <w:szCs w:val="2"/>
              </w:rPr>
            </w:pPr>
          </w:p>
        </w:tc>
        <w:tc>
          <w:tcPr>
            <w:tcW w:w="531" w:type="dxa"/>
          </w:tcPr>
          <w:p>
            <w:pPr>
              <w:pStyle w:val="TableParagraph"/>
              <w:spacing w:line="231" w:lineRule="exact" w:before="27"/>
              <w:ind w:left="112" w:right="106"/>
              <w:jc w:val="center"/>
              <w:rPr>
                <w:rFonts w:ascii="Times New Roman"/>
                <w:sz w:val="21"/>
              </w:rPr>
            </w:pPr>
            <w:r>
              <w:rPr>
                <w:rFonts w:ascii="Times New Roman"/>
                <w:sz w:val="21"/>
              </w:rPr>
              <w:t>4.2</w:t>
            </w:r>
          </w:p>
        </w:tc>
        <w:tc>
          <w:tcPr>
            <w:tcW w:w="3342" w:type="dxa"/>
          </w:tcPr>
          <w:p>
            <w:pPr>
              <w:pStyle w:val="TableParagraph"/>
              <w:spacing w:line="245" w:lineRule="exact" w:before="13"/>
              <w:ind w:left="106"/>
              <w:rPr>
                <w:sz w:val="21"/>
              </w:rPr>
            </w:pPr>
            <w:r>
              <w:rPr>
                <w:sz w:val="21"/>
              </w:rPr>
              <w:t>本周期应扣减的金额</w:t>
            </w:r>
          </w:p>
        </w:tc>
        <w:tc>
          <w:tcPr>
            <w:tcW w:w="1340" w:type="dxa"/>
            <w:gridSpan w:val="2"/>
          </w:tcPr>
          <w:p>
            <w:pPr>
              <w:pStyle w:val="TableParagraph"/>
              <w:rPr>
                <w:rFonts w:ascii="Times New Roman"/>
                <w:sz w:val="20"/>
              </w:rPr>
            </w:pPr>
          </w:p>
        </w:tc>
        <w:tc>
          <w:tcPr>
            <w:tcW w:w="1440" w:type="dxa"/>
          </w:tcPr>
          <w:p>
            <w:pPr>
              <w:pStyle w:val="TableParagraph"/>
              <w:rPr>
                <w:rFonts w:ascii="Times New Roman"/>
                <w:sz w:val="20"/>
              </w:rPr>
            </w:pPr>
          </w:p>
        </w:tc>
        <w:tc>
          <w:tcPr>
            <w:tcW w:w="1261" w:type="dxa"/>
          </w:tcPr>
          <w:p>
            <w:pPr>
              <w:pStyle w:val="TableParagraph"/>
              <w:rPr>
                <w:rFonts w:ascii="Times New Roman"/>
                <w:sz w:val="20"/>
              </w:rPr>
            </w:pPr>
          </w:p>
        </w:tc>
        <w:tc>
          <w:tcPr>
            <w:tcW w:w="941" w:type="dxa"/>
            <w:tcBorders>
              <w:right w:val="single" w:sz="8" w:space="0" w:color="000000"/>
            </w:tcBorders>
          </w:tcPr>
          <w:p>
            <w:pPr>
              <w:pStyle w:val="TableParagraph"/>
              <w:rPr>
                <w:rFonts w:ascii="Times New Roman"/>
                <w:sz w:val="20"/>
              </w:rPr>
            </w:pPr>
          </w:p>
        </w:tc>
      </w:tr>
      <w:tr>
        <w:trPr>
          <w:trHeight w:val="280" w:hRule="atLeast"/>
        </w:trPr>
        <w:tc>
          <w:tcPr>
            <w:tcW w:w="221" w:type="dxa"/>
            <w:vMerge/>
            <w:tcBorders>
              <w:top w:val="nil"/>
              <w:bottom w:val="nil"/>
            </w:tcBorders>
          </w:tcPr>
          <w:p>
            <w:pPr>
              <w:rPr>
                <w:sz w:val="2"/>
                <w:szCs w:val="2"/>
              </w:rPr>
            </w:pPr>
          </w:p>
        </w:tc>
        <w:tc>
          <w:tcPr>
            <w:tcW w:w="531" w:type="dxa"/>
          </w:tcPr>
          <w:p>
            <w:pPr>
              <w:pStyle w:val="TableParagraph"/>
              <w:spacing w:line="231" w:lineRule="exact" w:before="29"/>
              <w:ind w:left="1"/>
              <w:jc w:val="center"/>
              <w:rPr>
                <w:rFonts w:ascii="Times New Roman"/>
                <w:sz w:val="21"/>
              </w:rPr>
            </w:pPr>
            <w:r>
              <w:rPr>
                <w:rFonts w:ascii="Times New Roman"/>
                <w:w w:val="100"/>
                <w:sz w:val="21"/>
              </w:rPr>
              <w:t>5</w:t>
            </w:r>
          </w:p>
        </w:tc>
        <w:tc>
          <w:tcPr>
            <w:tcW w:w="3342" w:type="dxa"/>
          </w:tcPr>
          <w:p>
            <w:pPr>
              <w:pStyle w:val="TableParagraph"/>
              <w:spacing w:line="245" w:lineRule="exact" w:before="15"/>
              <w:ind w:left="106"/>
              <w:rPr>
                <w:sz w:val="21"/>
              </w:rPr>
            </w:pPr>
            <w:r>
              <w:rPr>
                <w:sz w:val="21"/>
              </w:rPr>
              <w:t>本周期应支付的合同价款</w:t>
            </w:r>
          </w:p>
        </w:tc>
        <w:tc>
          <w:tcPr>
            <w:tcW w:w="1340" w:type="dxa"/>
            <w:gridSpan w:val="2"/>
          </w:tcPr>
          <w:p>
            <w:pPr>
              <w:pStyle w:val="TableParagraph"/>
              <w:rPr>
                <w:rFonts w:ascii="Times New Roman"/>
                <w:sz w:val="20"/>
              </w:rPr>
            </w:pPr>
          </w:p>
        </w:tc>
        <w:tc>
          <w:tcPr>
            <w:tcW w:w="1440" w:type="dxa"/>
          </w:tcPr>
          <w:p>
            <w:pPr>
              <w:pStyle w:val="TableParagraph"/>
              <w:rPr>
                <w:rFonts w:ascii="Times New Roman"/>
                <w:sz w:val="20"/>
              </w:rPr>
            </w:pPr>
          </w:p>
        </w:tc>
        <w:tc>
          <w:tcPr>
            <w:tcW w:w="1261" w:type="dxa"/>
          </w:tcPr>
          <w:p>
            <w:pPr>
              <w:pStyle w:val="TableParagraph"/>
              <w:rPr>
                <w:rFonts w:ascii="Times New Roman"/>
                <w:sz w:val="20"/>
              </w:rPr>
            </w:pPr>
          </w:p>
        </w:tc>
        <w:tc>
          <w:tcPr>
            <w:tcW w:w="941" w:type="dxa"/>
            <w:tcBorders>
              <w:right w:val="single" w:sz="8" w:space="0" w:color="000000"/>
            </w:tcBorders>
          </w:tcPr>
          <w:p>
            <w:pPr>
              <w:pStyle w:val="TableParagraph"/>
              <w:rPr>
                <w:rFonts w:ascii="Times New Roman"/>
                <w:sz w:val="20"/>
              </w:rPr>
            </w:pPr>
          </w:p>
        </w:tc>
      </w:tr>
      <w:tr>
        <w:trPr>
          <w:trHeight w:val="280" w:hRule="atLeast"/>
        </w:trPr>
        <w:tc>
          <w:tcPr>
            <w:tcW w:w="221" w:type="dxa"/>
            <w:vMerge/>
            <w:tcBorders>
              <w:top w:val="nil"/>
              <w:bottom w:val="nil"/>
            </w:tcBorders>
          </w:tcPr>
          <w:p>
            <w:pPr>
              <w:rPr>
                <w:sz w:val="2"/>
                <w:szCs w:val="2"/>
              </w:rPr>
            </w:pPr>
          </w:p>
        </w:tc>
        <w:tc>
          <w:tcPr>
            <w:tcW w:w="531" w:type="dxa"/>
          </w:tcPr>
          <w:p>
            <w:pPr>
              <w:pStyle w:val="TableParagraph"/>
              <w:rPr>
                <w:rFonts w:ascii="Times New Roman"/>
                <w:sz w:val="20"/>
              </w:rPr>
            </w:pPr>
          </w:p>
        </w:tc>
        <w:tc>
          <w:tcPr>
            <w:tcW w:w="3342" w:type="dxa"/>
          </w:tcPr>
          <w:p>
            <w:pPr>
              <w:pStyle w:val="TableParagraph"/>
              <w:spacing w:line="247" w:lineRule="exact" w:before="13"/>
              <w:ind w:left="106"/>
              <w:rPr>
                <w:sz w:val="21"/>
              </w:rPr>
            </w:pPr>
            <w:r>
              <w:rPr>
                <w:sz w:val="21"/>
              </w:rPr>
              <w:t>其中：人工费</w:t>
            </w:r>
          </w:p>
        </w:tc>
        <w:tc>
          <w:tcPr>
            <w:tcW w:w="1340" w:type="dxa"/>
            <w:gridSpan w:val="2"/>
          </w:tcPr>
          <w:p>
            <w:pPr>
              <w:pStyle w:val="TableParagraph"/>
              <w:rPr>
                <w:rFonts w:ascii="Times New Roman"/>
                <w:sz w:val="20"/>
              </w:rPr>
            </w:pPr>
          </w:p>
        </w:tc>
        <w:tc>
          <w:tcPr>
            <w:tcW w:w="1440" w:type="dxa"/>
          </w:tcPr>
          <w:p>
            <w:pPr>
              <w:pStyle w:val="TableParagraph"/>
              <w:rPr>
                <w:rFonts w:ascii="Times New Roman"/>
                <w:sz w:val="20"/>
              </w:rPr>
            </w:pPr>
          </w:p>
        </w:tc>
        <w:tc>
          <w:tcPr>
            <w:tcW w:w="1261" w:type="dxa"/>
          </w:tcPr>
          <w:p>
            <w:pPr>
              <w:pStyle w:val="TableParagraph"/>
              <w:rPr>
                <w:rFonts w:ascii="Times New Roman"/>
                <w:sz w:val="20"/>
              </w:rPr>
            </w:pPr>
          </w:p>
        </w:tc>
        <w:tc>
          <w:tcPr>
            <w:tcW w:w="941" w:type="dxa"/>
            <w:tcBorders>
              <w:right w:val="single" w:sz="8" w:space="0" w:color="000000"/>
            </w:tcBorders>
          </w:tcPr>
          <w:p>
            <w:pPr>
              <w:pStyle w:val="TableParagraph"/>
              <w:rPr>
                <w:rFonts w:ascii="Times New Roman"/>
                <w:sz w:val="20"/>
              </w:rPr>
            </w:pPr>
          </w:p>
        </w:tc>
      </w:tr>
      <w:tr>
        <w:trPr>
          <w:trHeight w:val="1200" w:hRule="atLeast"/>
        </w:trPr>
        <w:tc>
          <w:tcPr>
            <w:tcW w:w="9076" w:type="dxa"/>
            <w:gridSpan w:val="8"/>
            <w:tcBorders>
              <w:top w:val="nil"/>
            </w:tcBorders>
          </w:tcPr>
          <w:p>
            <w:pPr>
              <w:pStyle w:val="TableParagraph"/>
              <w:spacing w:before="109"/>
              <w:ind w:right="6011"/>
              <w:jc w:val="center"/>
              <w:rPr>
                <w:sz w:val="21"/>
              </w:rPr>
            </w:pPr>
            <w:r>
              <w:rPr>
                <w:sz w:val="21"/>
              </w:rPr>
              <w:t>附：上述 </w:t>
            </w:r>
            <w:r>
              <w:rPr>
                <w:rFonts w:ascii="Times New Roman" w:eastAsia="Times New Roman"/>
                <w:sz w:val="21"/>
              </w:rPr>
              <w:t>3</w:t>
            </w:r>
            <w:r>
              <w:rPr>
                <w:sz w:val="21"/>
              </w:rPr>
              <w:t>、</w:t>
            </w:r>
            <w:r>
              <w:rPr>
                <w:rFonts w:ascii="Times New Roman" w:eastAsia="Times New Roman"/>
                <w:sz w:val="21"/>
              </w:rPr>
              <w:t>4 </w:t>
            </w:r>
            <w:r>
              <w:rPr>
                <w:sz w:val="21"/>
              </w:rPr>
              <w:t>详见附件清单。</w:t>
            </w:r>
          </w:p>
          <w:p>
            <w:pPr>
              <w:pStyle w:val="TableParagraph"/>
              <w:spacing w:before="132"/>
              <w:ind w:left="1920" w:right="267"/>
              <w:jc w:val="center"/>
              <w:rPr>
                <w:sz w:val="21"/>
              </w:rPr>
            </w:pPr>
            <w:r>
              <w:rPr>
                <w:sz w:val="21"/>
              </w:rPr>
              <w:t>承包人（章）</w:t>
            </w:r>
          </w:p>
          <w:p>
            <w:pPr>
              <w:pStyle w:val="TableParagraph"/>
              <w:tabs>
                <w:tab w:pos="2414" w:val="left" w:leader="none"/>
                <w:tab w:pos="5040" w:val="left" w:leader="none"/>
                <w:tab w:pos="5880" w:val="left" w:leader="none"/>
                <w:tab w:pos="7712" w:val="left" w:leader="none"/>
              </w:tabs>
              <w:spacing w:before="132"/>
              <w:ind w:right="267"/>
              <w:jc w:val="center"/>
              <w:rPr>
                <w:rFonts w:ascii="Times New Roman" w:eastAsia="Times New Roman"/>
                <w:sz w:val="21"/>
              </w:rPr>
            </w:pPr>
            <w:r>
              <w:rPr>
                <w:sz w:val="21"/>
              </w:rPr>
              <w:t>造价</w:t>
            </w:r>
            <w:r>
              <w:rPr>
                <w:spacing w:val="-3"/>
                <w:sz w:val="21"/>
              </w:rPr>
              <w:t>人</w:t>
            </w:r>
            <w:r>
              <w:rPr>
                <w:sz w:val="21"/>
              </w:rPr>
              <w:t>员</w:t>
            </w:r>
            <w:r>
              <w:rPr>
                <w:sz w:val="21"/>
                <w:u w:val="single"/>
              </w:rPr>
              <w:t> </w:t>
              <w:tab/>
            </w:r>
            <w:r>
              <w:rPr>
                <w:sz w:val="21"/>
              </w:rPr>
              <w:t>承包</w:t>
            </w:r>
            <w:r>
              <w:rPr>
                <w:spacing w:val="-3"/>
                <w:sz w:val="21"/>
              </w:rPr>
              <w:t>人</w:t>
            </w:r>
            <w:r>
              <w:rPr>
                <w:sz w:val="21"/>
              </w:rPr>
              <w:t>代</w:t>
            </w:r>
            <w:r>
              <w:rPr>
                <w:spacing w:val="-3"/>
                <w:sz w:val="21"/>
              </w:rPr>
              <w:t>表</w:t>
            </w:r>
            <w:r>
              <w:rPr>
                <w:spacing w:val="-3"/>
                <w:sz w:val="21"/>
                <w:u w:val="single"/>
              </w:rPr>
              <w:t> </w:t>
              <w:tab/>
            </w:r>
            <w:r>
              <w:rPr>
                <w:sz w:val="21"/>
              </w:rPr>
              <w:t>日</w:t>
              <w:tab/>
              <w:t>期</w:t>
            </w:r>
            <w:r>
              <w:rPr>
                <w:rFonts w:ascii="Times New Roman" w:eastAsia="Times New Roman"/>
                <w:sz w:val="21"/>
                <w:u w:val="single"/>
              </w:rPr>
              <w:t> </w:t>
              <w:tab/>
            </w:r>
          </w:p>
        </w:tc>
      </w:tr>
      <w:tr>
        <w:trPr>
          <w:trHeight w:val="2622" w:hRule="atLeast"/>
        </w:trPr>
        <w:tc>
          <w:tcPr>
            <w:tcW w:w="4524" w:type="dxa"/>
            <w:gridSpan w:val="4"/>
          </w:tcPr>
          <w:p>
            <w:pPr>
              <w:pStyle w:val="TableParagraph"/>
              <w:spacing w:before="78"/>
              <w:ind w:left="107"/>
              <w:rPr>
                <w:sz w:val="21"/>
              </w:rPr>
            </w:pPr>
            <w:r>
              <w:rPr>
                <w:sz w:val="21"/>
              </w:rPr>
              <w:t>复核意见：</w:t>
            </w:r>
          </w:p>
          <w:p>
            <w:pPr>
              <w:pStyle w:val="TableParagraph"/>
              <w:spacing w:before="90"/>
              <w:ind w:left="419" w:right="-15"/>
              <w:rPr>
                <w:sz w:val="21"/>
              </w:rPr>
            </w:pPr>
            <w:r>
              <w:rPr>
                <w:spacing w:val="-12"/>
                <w:sz w:val="21"/>
              </w:rPr>
              <w:t>□与实际施工情况不相符，修改意见见附件。</w:t>
            </w:r>
          </w:p>
          <w:p>
            <w:pPr>
              <w:pStyle w:val="TableParagraph"/>
              <w:spacing w:line="321" w:lineRule="auto" w:before="91"/>
              <w:ind w:left="107" w:right="98" w:firstLine="311"/>
              <w:rPr>
                <w:sz w:val="21"/>
              </w:rPr>
            </w:pPr>
            <w:r>
              <w:rPr>
                <w:sz w:val="21"/>
              </w:rPr>
              <w:t>□与实际施工情况相符，具体金额由造价工程师复核。</w:t>
            </w:r>
          </w:p>
          <w:p>
            <w:pPr>
              <w:pStyle w:val="TableParagraph"/>
              <w:rPr>
                <w:sz w:val="28"/>
              </w:rPr>
            </w:pPr>
          </w:p>
          <w:p>
            <w:pPr>
              <w:pStyle w:val="TableParagraph"/>
              <w:tabs>
                <w:tab w:pos="3213" w:val="left" w:leader="none"/>
                <w:tab w:pos="4459" w:val="left" w:leader="none"/>
              </w:tabs>
              <w:spacing w:line="321" w:lineRule="auto" w:before="1"/>
              <w:ind w:left="2373" w:right="52" w:firstLine="50"/>
              <w:rPr>
                <w:rFonts w:ascii="Times New Roman" w:eastAsia="Times New Roman"/>
                <w:sz w:val="21"/>
              </w:rPr>
            </w:pPr>
            <w:r>
              <w:rPr>
                <w:spacing w:val="-1"/>
                <w:sz w:val="21"/>
              </w:rPr>
              <w:t>监</w:t>
            </w:r>
            <w:r>
              <w:rPr>
                <w:spacing w:val="-3"/>
                <w:sz w:val="21"/>
              </w:rPr>
              <w:t>理</w:t>
            </w:r>
            <w:r>
              <w:rPr>
                <w:sz w:val="21"/>
              </w:rPr>
              <w:t>工</w:t>
            </w:r>
            <w:r>
              <w:rPr>
                <w:spacing w:val="-3"/>
                <w:sz w:val="21"/>
              </w:rPr>
              <w:t>程</w:t>
            </w:r>
            <w:r>
              <w:rPr>
                <w:sz w:val="21"/>
              </w:rPr>
              <w:t>师</w:t>
            </w:r>
            <w:r>
              <w:rPr>
                <w:sz w:val="21"/>
                <w:u w:val="single"/>
              </w:rPr>
              <w:tab/>
              <w:t>        </w:t>
            </w:r>
            <w:r>
              <w:rPr>
                <w:sz w:val="21"/>
              </w:rPr>
              <w:t>日</w:t>
              <w:tab/>
            </w:r>
            <w:r>
              <w:rPr>
                <w:spacing w:val="-3"/>
                <w:sz w:val="21"/>
              </w:rPr>
              <w:t>期</w:t>
            </w:r>
            <w:r>
              <w:rPr>
                <w:rFonts w:ascii="Times New Roman" w:eastAsia="Times New Roman"/>
                <w:sz w:val="21"/>
                <w:u w:val="single"/>
              </w:rPr>
              <w:t> </w:t>
              <w:tab/>
            </w:r>
          </w:p>
        </w:tc>
        <w:tc>
          <w:tcPr>
            <w:tcW w:w="4552" w:type="dxa"/>
            <w:gridSpan w:val="4"/>
          </w:tcPr>
          <w:p>
            <w:pPr>
              <w:pStyle w:val="TableParagraph"/>
              <w:spacing w:before="78"/>
              <w:ind w:left="103"/>
              <w:rPr>
                <w:sz w:val="21"/>
              </w:rPr>
            </w:pPr>
            <w:r>
              <w:rPr>
                <w:sz w:val="21"/>
              </w:rPr>
              <w:t>复核意见：</w:t>
            </w:r>
          </w:p>
          <w:p>
            <w:pPr>
              <w:pStyle w:val="TableParagraph"/>
              <w:tabs>
                <w:tab w:pos="3397" w:val="left" w:leader="none"/>
              </w:tabs>
              <w:spacing w:line="321" w:lineRule="auto" w:before="90"/>
              <w:ind w:left="103" w:right="-15" w:firstLine="434"/>
              <w:rPr>
                <w:sz w:val="21"/>
              </w:rPr>
            </w:pPr>
            <w:r>
              <w:rPr>
                <w:sz w:val="21"/>
              </w:rPr>
              <w:t>你方</w:t>
            </w:r>
            <w:r>
              <w:rPr>
                <w:spacing w:val="-3"/>
                <w:sz w:val="21"/>
              </w:rPr>
              <w:t>提</w:t>
            </w:r>
            <w:r>
              <w:rPr>
                <w:sz w:val="21"/>
              </w:rPr>
              <w:t>出</w:t>
            </w:r>
            <w:r>
              <w:rPr>
                <w:spacing w:val="-3"/>
                <w:sz w:val="21"/>
              </w:rPr>
              <w:t>的</w:t>
            </w:r>
            <w:r>
              <w:rPr>
                <w:sz w:val="21"/>
              </w:rPr>
              <w:t>支</w:t>
            </w:r>
            <w:r>
              <w:rPr>
                <w:spacing w:val="-3"/>
                <w:sz w:val="21"/>
              </w:rPr>
              <w:t>付</w:t>
            </w:r>
            <w:r>
              <w:rPr>
                <w:sz w:val="21"/>
              </w:rPr>
              <w:t>申</w:t>
            </w:r>
            <w:r>
              <w:rPr>
                <w:spacing w:val="-3"/>
                <w:sz w:val="21"/>
              </w:rPr>
              <w:t>请</w:t>
            </w:r>
            <w:r>
              <w:rPr>
                <w:sz w:val="21"/>
              </w:rPr>
              <w:t>经</w:t>
            </w:r>
            <w:r>
              <w:rPr>
                <w:spacing w:val="-3"/>
                <w:sz w:val="21"/>
              </w:rPr>
              <w:t>复</w:t>
            </w:r>
            <w:r>
              <w:rPr>
                <w:sz w:val="21"/>
              </w:rPr>
              <w:t>核</w:t>
            </w:r>
            <w:r>
              <w:rPr>
                <w:spacing w:val="-92"/>
                <w:sz w:val="21"/>
              </w:rPr>
              <w:t>，</w:t>
            </w:r>
            <w:r>
              <w:rPr>
                <w:sz w:val="21"/>
              </w:rPr>
              <w:t>本</w:t>
            </w:r>
            <w:r>
              <w:rPr>
                <w:spacing w:val="-3"/>
                <w:sz w:val="21"/>
              </w:rPr>
              <w:t>周</w:t>
            </w:r>
            <w:r>
              <w:rPr>
                <w:sz w:val="21"/>
              </w:rPr>
              <w:t>期</w:t>
            </w:r>
            <w:r>
              <w:rPr>
                <w:spacing w:val="-3"/>
                <w:sz w:val="21"/>
              </w:rPr>
              <w:t>已</w:t>
            </w:r>
            <w:r>
              <w:rPr>
                <w:sz w:val="21"/>
              </w:rPr>
              <w:t>完成</w:t>
            </w:r>
            <w:r>
              <w:rPr>
                <w:w w:val="100"/>
                <w:sz w:val="21"/>
              </w:rPr>
              <w:t>工程</w:t>
            </w:r>
            <w:r>
              <w:rPr>
                <w:spacing w:val="-3"/>
                <w:w w:val="100"/>
                <w:sz w:val="21"/>
              </w:rPr>
              <w:t>价</w:t>
            </w:r>
            <w:r>
              <w:rPr>
                <w:w w:val="100"/>
                <w:sz w:val="21"/>
              </w:rPr>
              <w:t>款为</w:t>
            </w:r>
            <w:r>
              <w:rPr>
                <w:rFonts w:ascii="Times New Roman" w:eastAsia="Times New Roman"/>
                <w:spacing w:val="-4"/>
                <w:w w:val="100"/>
                <w:sz w:val="21"/>
              </w:rPr>
              <w:t>(</w:t>
            </w:r>
            <w:r>
              <w:rPr>
                <w:w w:val="100"/>
                <w:sz w:val="21"/>
              </w:rPr>
              <w:t>大写</w:t>
            </w:r>
            <w:r>
              <w:rPr>
                <w:rFonts w:ascii="Times New Roman" w:eastAsia="Times New Roman"/>
                <w:spacing w:val="-1"/>
                <w:w w:val="100"/>
                <w:sz w:val="21"/>
              </w:rPr>
              <w:t>)</w:t>
            </w:r>
            <w:r>
              <w:rPr>
                <w:rFonts w:ascii="Times New Roman" w:eastAsia="Times New Roman"/>
                <w:w w:val="100"/>
                <w:sz w:val="21"/>
                <w:u w:val="single"/>
              </w:rPr>
              <w:t> </w:t>
            </w:r>
            <w:r>
              <w:rPr>
                <w:rFonts w:ascii="Times New Roman" w:eastAsia="Times New Roman"/>
                <w:sz w:val="21"/>
                <w:u w:val="single"/>
              </w:rPr>
              <w:tab/>
            </w:r>
            <w:r>
              <w:rPr>
                <w:spacing w:val="-3"/>
                <w:w w:val="100"/>
                <w:sz w:val="21"/>
              </w:rPr>
              <w:t>元</w:t>
            </w:r>
            <w:r>
              <w:rPr>
                <w:spacing w:val="-111"/>
                <w:w w:val="100"/>
                <w:sz w:val="21"/>
              </w:rPr>
              <w:t>，</w:t>
            </w:r>
            <w:r>
              <w:rPr>
                <w:w w:val="100"/>
                <w:sz w:val="21"/>
              </w:rPr>
              <w:t>（</w:t>
            </w:r>
            <w:r>
              <w:rPr>
                <w:spacing w:val="-3"/>
                <w:w w:val="100"/>
                <w:sz w:val="21"/>
              </w:rPr>
              <w:t>小</w:t>
            </w:r>
            <w:r>
              <w:rPr>
                <w:w w:val="100"/>
                <w:sz w:val="21"/>
              </w:rPr>
              <w:t>写</w:t>
            </w:r>
            <w:r>
              <w:rPr>
                <w:spacing w:val="-11"/>
                <w:w w:val="100"/>
                <w:sz w:val="21"/>
              </w:rPr>
              <w:t>）</w:t>
            </w:r>
          </w:p>
          <w:p>
            <w:pPr>
              <w:pStyle w:val="TableParagraph"/>
              <w:tabs>
                <w:tab w:pos="1202" w:val="left" w:leader="none"/>
              </w:tabs>
              <w:spacing w:line="268" w:lineRule="exact"/>
              <w:ind w:left="103"/>
              <w:rPr>
                <w:sz w:val="21"/>
              </w:rPr>
            </w:pPr>
            <w:r>
              <w:rPr>
                <w:rFonts w:ascii="Times New Roman" w:eastAsia="Times New Roman"/>
                <w:w w:val="100"/>
                <w:sz w:val="21"/>
                <w:u w:val="single"/>
              </w:rPr>
              <w:t> </w:t>
            </w:r>
            <w:r>
              <w:rPr>
                <w:rFonts w:ascii="Times New Roman" w:eastAsia="Times New Roman"/>
                <w:sz w:val="21"/>
                <w:u w:val="single"/>
              </w:rPr>
              <w:tab/>
            </w:r>
            <w:r>
              <w:rPr>
                <w:rFonts w:ascii="Times New Roman" w:eastAsia="Times New Roman"/>
                <w:spacing w:val="5"/>
                <w:sz w:val="21"/>
              </w:rPr>
              <w:t> </w:t>
            </w:r>
            <w:r>
              <w:rPr>
                <w:spacing w:val="-3"/>
                <w:sz w:val="21"/>
              </w:rPr>
              <w:t>元，本期间应支付金额为</w:t>
            </w:r>
            <w:r>
              <w:rPr>
                <w:sz w:val="21"/>
              </w:rPr>
              <w:t>（</w:t>
            </w:r>
            <w:r>
              <w:rPr>
                <w:spacing w:val="-2"/>
                <w:sz w:val="21"/>
              </w:rPr>
              <w:t>大写</w:t>
            </w:r>
            <w:r>
              <w:rPr>
                <w:sz w:val="21"/>
              </w:rPr>
              <w:t>）</w:t>
            </w:r>
          </w:p>
          <w:p>
            <w:pPr>
              <w:pStyle w:val="TableParagraph"/>
              <w:tabs>
                <w:tab w:pos="1785" w:val="left" w:leader="none"/>
                <w:tab w:pos="3888" w:val="left" w:leader="none"/>
              </w:tabs>
              <w:spacing w:before="91"/>
              <w:ind w:right="129"/>
              <w:jc w:val="right"/>
              <w:rPr>
                <w:sz w:val="21"/>
              </w:rPr>
            </w:pPr>
            <w:r>
              <w:rPr>
                <w:rFonts w:ascii="Times New Roman" w:eastAsia="Times New Roman"/>
                <w:w w:val="100"/>
                <w:sz w:val="21"/>
                <w:u w:val="single"/>
              </w:rPr>
              <w:t> </w:t>
            </w:r>
            <w:r>
              <w:rPr>
                <w:rFonts w:ascii="Times New Roman" w:eastAsia="Times New Roman"/>
                <w:sz w:val="21"/>
                <w:u w:val="single"/>
              </w:rPr>
              <w:tab/>
            </w:r>
            <w:r>
              <w:rPr>
                <w:w w:val="100"/>
                <w:sz w:val="21"/>
              </w:rPr>
              <w:t>元</w:t>
            </w:r>
            <w:r>
              <w:rPr>
                <w:spacing w:val="-106"/>
                <w:w w:val="100"/>
                <w:sz w:val="21"/>
              </w:rPr>
              <w:t>，</w:t>
            </w:r>
            <w:r>
              <w:rPr>
                <w:spacing w:val="-3"/>
                <w:w w:val="100"/>
                <w:sz w:val="21"/>
              </w:rPr>
              <w:t>（</w:t>
            </w:r>
            <w:r>
              <w:rPr>
                <w:w w:val="100"/>
                <w:sz w:val="21"/>
              </w:rPr>
              <w:t>小写</w:t>
            </w:r>
            <w:r>
              <w:rPr>
                <w:spacing w:val="-2"/>
                <w:w w:val="100"/>
                <w:sz w:val="21"/>
              </w:rPr>
              <w:t>）</w:t>
            </w:r>
            <w:r>
              <w:rPr>
                <w:rFonts w:ascii="Times New Roman" w:eastAsia="Times New Roman"/>
                <w:w w:val="100"/>
                <w:sz w:val="21"/>
                <w:u w:val="single"/>
              </w:rPr>
              <w:t> </w:t>
            </w:r>
            <w:r>
              <w:rPr>
                <w:rFonts w:ascii="Times New Roman" w:eastAsia="Times New Roman"/>
                <w:sz w:val="21"/>
                <w:u w:val="single"/>
              </w:rPr>
              <w:tab/>
            </w:r>
            <w:r>
              <w:rPr>
                <w:spacing w:val="-3"/>
                <w:w w:val="100"/>
                <w:sz w:val="21"/>
              </w:rPr>
              <w:t>元。</w:t>
            </w:r>
          </w:p>
          <w:p>
            <w:pPr>
              <w:pStyle w:val="TableParagraph"/>
              <w:tabs>
                <w:tab w:pos="3015" w:val="left" w:leader="none"/>
                <w:tab w:pos="4426" w:val="left" w:leader="none"/>
                <w:tab w:pos="4489" w:val="left" w:leader="none"/>
              </w:tabs>
              <w:spacing w:line="321" w:lineRule="auto" w:before="91"/>
              <w:ind w:left="2175" w:right="50" w:firstLine="211"/>
              <w:jc w:val="right"/>
              <w:rPr>
                <w:rFonts w:ascii="Times New Roman" w:eastAsia="Times New Roman"/>
                <w:sz w:val="21"/>
              </w:rPr>
            </w:pPr>
            <w:r>
              <w:rPr>
                <w:spacing w:val="-3"/>
                <w:sz w:val="21"/>
              </w:rPr>
              <w:t>造</w:t>
            </w:r>
            <w:r>
              <w:rPr>
                <w:spacing w:val="-1"/>
                <w:sz w:val="21"/>
              </w:rPr>
              <w:t>价</w:t>
            </w:r>
            <w:r>
              <w:rPr>
                <w:spacing w:val="-3"/>
                <w:sz w:val="21"/>
              </w:rPr>
              <w:t>工</w:t>
            </w:r>
            <w:r>
              <w:rPr>
                <w:spacing w:val="-1"/>
                <w:sz w:val="21"/>
              </w:rPr>
              <w:t>程</w:t>
            </w:r>
            <w:r>
              <w:rPr>
                <w:sz w:val="21"/>
              </w:rPr>
              <w:t>师</w:t>
            </w:r>
            <w:r>
              <w:rPr>
                <w:sz w:val="21"/>
                <w:u w:val="single"/>
              </w:rPr>
              <w:tab/>
              <w:tab/>
              <w:t>         </w:t>
            </w:r>
            <w:r>
              <w:rPr>
                <w:sz w:val="21"/>
              </w:rPr>
              <w:t>日</w:t>
              <w:tab/>
            </w:r>
            <w:r>
              <w:rPr>
                <w:spacing w:val="-3"/>
                <w:sz w:val="21"/>
              </w:rPr>
              <w:t>期</w:t>
            </w:r>
            <w:r>
              <w:rPr>
                <w:rFonts w:ascii="Times New Roman" w:eastAsia="Times New Roman"/>
                <w:sz w:val="21"/>
                <w:u w:val="single"/>
              </w:rPr>
              <w:t> </w:t>
              <w:tab/>
            </w:r>
          </w:p>
        </w:tc>
      </w:tr>
      <w:tr>
        <w:trPr>
          <w:trHeight w:val="2400" w:hRule="atLeast"/>
        </w:trPr>
        <w:tc>
          <w:tcPr>
            <w:tcW w:w="9076" w:type="dxa"/>
            <w:gridSpan w:val="8"/>
          </w:tcPr>
          <w:p>
            <w:pPr>
              <w:pStyle w:val="TableParagraph"/>
              <w:spacing w:before="109"/>
              <w:ind w:left="107"/>
              <w:rPr>
                <w:sz w:val="21"/>
              </w:rPr>
            </w:pPr>
            <w:r>
              <w:rPr>
                <w:sz w:val="21"/>
              </w:rPr>
              <w:t>审核意见：</w:t>
            </w:r>
          </w:p>
          <w:p>
            <w:pPr>
              <w:pStyle w:val="TableParagraph"/>
              <w:spacing w:before="132"/>
              <w:ind w:left="542"/>
              <w:rPr>
                <w:sz w:val="21"/>
              </w:rPr>
            </w:pPr>
            <w:r>
              <w:rPr>
                <w:sz w:val="21"/>
              </w:rPr>
              <w:t>□不同意。</w:t>
            </w:r>
          </w:p>
          <w:p>
            <w:pPr>
              <w:pStyle w:val="TableParagraph"/>
              <w:tabs>
                <w:tab w:pos="4101" w:val="left" w:leader="none"/>
              </w:tabs>
              <w:spacing w:before="129"/>
              <w:ind w:left="527"/>
              <w:rPr>
                <w:sz w:val="21"/>
              </w:rPr>
            </w:pPr>
            <w:r>
              <w:rPr>
                <w:sz w:val="21"/>
              </w:rPr>
              <w:t>□同</w:t>
            </w:r>
            <w:r>
              <w:rPr>
                <w:spacing w:val="-3"/>
                <w:sz w:val="21"/>
              </w:rPr>
              <w:t>意</w:t>
            </w:r>
            <w:r>
              <w:rPr>
                <w:sz w:val="21"/>
              </w:rPr>
              <w:t>，</w:t>
            </w:r>
            <w:r>
              <w:rPr>
                <w:spacing w:val="-3"/>
                <w:sz w:val="21"/>
              </w:rPr>
              <w:t>支</w:t>
            </w:r>
            <w:r>
              <w:rPr>
                <w:sz w:val="21"/>
              </w:rPr>
              <w:t>付</w:t>
            </w:r>
            <w:r>
              <w:rPr>
                <w:spacing w:val="-3"/>
                <w:sz w:val="21"/>
              </w:rPr>
              <w:t>时</w:t>
            </w:r>
            <w:r>
              <w:rPr>
                <w:sz w:val="21"/>
              </w:rPr>
              <w:t>间</w:t>
            </w:r>
            <w:r>
              <w:rPr>
                <w:spacing w:val="-3"/>
                <w:sz w:val="21"/>
              </w:rPr>
              <w:t>为</w:t>
            </w:r>
            <w:r>
              <w:rPr>
                <w:sz w:val="21"/>
              </w:rPr>
              <w:t>本</w:t>
            </w:r>
            <w:r>
              <w:rPr>
                <w:spacing w:val="-3"/>
                <w:sz w:val="21"/>
              </w:rPr>
              <w:t>表</w:t>
            </w:r>
            <w:r>
              <w:rPr>
                <w:sz w:val="21"/>
              </w:rPr>
              <w:t>签发</w:t>
            </w:r>
            <w:r>
              <w:rPr>
                <w:spacing w:val="-3"/>
                <w:sz w:val="21"/>
              </w:rPr>
              <w:t>后</w:t>
            </w:r>
            <w:r>
              <w:rPr>
                <w:sz w:val="21"/>
              </w:rPr>
              <w:t>的</w:t>
            </w:r>
            <w:r>
              <w:rPr>
                <w:sz w:val="21"/>
                <w:u w:val="single"/>
              </w:rPr>
              <w:t> </w:t>
              <w:tab/>
            </w:r>
            <w:r>
              <w:rPr>
                <w:spacing w:val="-3"/>
                <w:sz w:val="21"/>
              </w:rPr>
              <w:t>天</w:t>
            </w:r>
            <w:r>
              <w:rPr>
                <w:sz w:val="21"/>
              </w:rPr>
              <w:t>内。</w:t>
            </w:r>
          </w:p>
          <w:p>
            <w:pPr>
              <w:pStyle w:val="TableParagraph"/>
              <w:spacing w:before="132"/>
              <w:ind w:left="6550"/>
              <w:rPr>
                <w:sz w:val="21"/>
              </w:rPr>
            </w:pPr>
            <w:r>
              <w:rPr>
                <w:sz w:val="21"/>
              </w:rPr>
              <w:t>发包人（章）</w:t>
            </w:r>
          </w:p>
          <w:p>
            <w:pPr>
              <w:pStyle w:val="TableParagraph"/>
              <w:tabs>
                <w:tab w:pos="7393" w:val="left" w:leader="none"/>
                <w:tab w:pos="9013" w:val="left" w:leader="none"/>
              </w:tabs>
              <w:spacing w:line="400" w:lineRule="atLeast" w:before="1"/>
              <w:ind w:left="6550" w:right="50"/>
              <w:rPr>
                <w:rFonts w:ascii="Times New Roman" w:eastAsia="Times New Roman"/>
                <w:sz w:val="21"/>
              </w:rPr>
            </w:pPr>
            <w:r>
              <w:rPr>
                <w:spacing w:val="-1"/>
                <w:sz w:val="21"/>
              </w:rPr>
              <w:t>发包</w:t>
            </w:r>
            <w:r>
              <w:rPr>
                <w:spacing w:val="-3"/>
                <w:sz w:val="21"/>
              </w:rPr>
              <w:t>人</w:t>
            </w:r>
            <w:r>
              <w:rPr>
                <w:sz w:val="21"/>
              </w:rPr>
              <w:t>代表</w:t>
            </w:r>
            <w:r>
              <w:rPr>
                <w:sz w:val="21"/>
                <w:u w:val="single"/>
              </w:rPr>
              <w:tab/>
              <w:t>            </w:t>
            </w:r>
            <w:r>
              <w:rPr>
                <w:sz w:val="21"/>
              </w:rPr>
              <w:t>日</w:t>
              <w:tab/>
            </w:r>
            <w:r>
              <w:rPr>
                <w:spacing w:val="-3"/>
                <w:sz w:val="21"/>
              </w:rPr>
              <w:t>期</w:t>
            </w:r>
            <w:r>
              <w:rPr>
                <w:rFonts w:ascii="Times New Roman" w:eastAsia="Times New Roman"/>
                <w:sz w:val="21"/>
                <w:u w:val="single"/>
              </w:rPr>
              <w:t> </w:t>
              <w:tab/>
            </w:r>
          </w:p>
        </w:tc>
      </w:tr>
    </w:tbl>
    <w:p>
      <w:pPr>
        <w:spacing w:before="120"/>
        <w:ind w:left="1038" w:right="0" w:firstLine="0"/>
        <w:jc w:val="left"/>
        <w:rPr>
          <w:sz w:val="18"/>
        </w:rPr>
      </w:pPr>
      <w:r>
        <w:rPr>
          <w:sz w:val="18"/>
        </w:rPr>
        <w:t>注：</w:t>
      </w:r>
      <w:r>
        <w:rPr>
          <w:rFonts w:ascii="Times New Roman" w:hAnsi="Times New Roman" w:eastAsia="Times New Roman"/>
          <w:spacing w:val="1"/>
          <w:sz w:val="18"/>
        </w:rPr>
        <w:t>1</w:t>
      </w:r>
      <w:r>
        <w:rPr>
          <w:rFonts w:ascii="Times New Roman" w:hAnsi="Times New Roman" w:eastAsia="Times New Roman"/>
          <w:sz w:val="18"/>
        </w:rPr>
        <w:t>.</w:t>
      </w:r>
      <w:r>
        <w:rPr>
          <w:spacing w:val="-7"/>
          <w:sz w:val="18"/>
        </w:rPr>
        <w:t>在选择栏中的“□”内作标识“√”。</w:t>
      </w:r>
    </w:p>
    <w:p>
      <w:pPr>
        <w:spacing w:before="124"/>
        <w:ind w:left="1400" w:right="0" w:firstLine="0"/>
        <w:jc w:val="left"/>
        <w:rPr>
          <w:sz w:val="18"/>
        </w:rPr>
      </w:pPr>
      <w:r>
        <w:rPr>
          <w:rFonts w:ascii="Times New Roman" w:eastAsia="Times New Roman"/>
          <w:sz w:val="18"/>
        </w:rPr>
        <w:t>2.</w:t>
      </w:r>
      <w:r>
        <w:rPr>
          <w:sz w:val="18"/>
        </w:rPr>
        <w:t>本表一式四份，由承包人填报，发包人、监理人、造价咨询人、承包人各存一份。</w:t>
      </w:r>
    </w:p>
    <w:p>
      <w:pPr>
        <w:spacing w:after="0"/>
        <w:jc w:val="left"/>
        <w:rPr>
          <w:sz w:val="18"/>
        </w:rPr>
        <w:sectPr>
          <w:pgSz w:w="11910" w:h="16850"/>
          <w:pgMar w:header="0" w:footer="779" w:top="1400" w:bottom="1040" w:left="1120" w:right="280"/>
        </w:sectPr>
      </w:pPr>
    </w:p>
    <w:p>
      <w:pPr>
        <w:pStyle w:val="Heading4"/>
        <w:spacing w:line="327" w:lineRule="exact"/>
        <w:rPr>
          <w:rFonts w:ascii="Times New Roman" w:eastAsia="Times New Roman"/>
        </w:rPr>
      </w:pPr>
      <w:r>
        <w:rPr/>
        <w:t>附件 </w:t>
      </w:r>
      <w:r>
        <w:rPr>
          <w:rFonts w:ascii="Times New Roman" w:eastAsia="Times New Roman"/>
        </w:rPr>
        <w:t>12</w:t>
      </w:r>
    </w:p>
    <w:p>
      <w:pPr>
        <w:spacing w:line="563" w:lineRule="exact" w:before="0"/>
        <w:ind w:left="297" w:right="776" w:firstLine="0"/>
        <w:jc w:val="center"/>
        <w:rPr>
          <w:rFonts w:ascii="Microsoft JhengHei" w:eastAsia="Microsoft JhengHei" w:hint="eastAsia"/>
          <w:b/>
          <w:sz w:val="36"/>
        </w:rPr>
      </w:pPr>
      <w:r>
        <w:rPr>
          <w:rFonts w:ascii="Microsoft JhengHei" w:eastAsia="Microsoft JhengHei" w:hint="eastAsia"/>
          <w:b/>
          <w:sz w:val="36"/>
        </w:rPr>
        <w:t>竣工结算款支付申请（核准）表</w:t>
      </w:r>
    </w:p>
    <w:p>
      <w:pPr>
        <w:pStyle w:val="Heading7"/>
        <w:tabs>
          <w:tab w:pos="7398" w:val="left" w:leader="none"/>
        </w:tabs>
      </w:pPr>
      <w:r>
        <w:rPr/>
        <w:t>工程名称：</w:t>
        <w:tab/>
        <w:t>编号：</w:t>
      </w:r>
    </w:p>
    <w:tbl>
      <w:tblPr>
        <w:tblW w:w="0" w:type="auto"/>
        <w:jc w:val="left"/>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1"/>
        <w:gridCol w:w="531"/>
        <w:gridCol w:w="3421"/>
        <w:gridCol w:w="365"/>
        <w:gridCol w:w="1256"/>
        <w:gridCol w:w="1621"/>
        <w:gridCol w:w="1661"/>
      </w:tblGrid>
      <w:tr>
        <w:trPr>
          <w:trHeight w:val="1307" w:hRule="atLeast"/>
        </w:trPr>
        <w:tc>
          <w:tcPr>
            <w:tcW w:w="9076" w:type="dxa"/>
            <w:gridSpan w:val="7"/>
            <w:tcBorders>
              <w:bottom w:val="nil"/>
            </w:tcBorders>
          </w:tcPr>
          <w:p>
            <w:pPr>
              <w:pStyle w:val="TableParagraph"/>
              <w:tabs>
                <w:tab w:pos="4517" w:val="left" w:leader="none"/>
              </w:tabs>
              <w:spacing w:before="173"/>
              <w:ind w:left="419"/>
              <w:rPr>
                <w:sz w:val="21"/>
              </w:rPr>
            </w:pPr>
            <w:r>
              <w:rPr>
                <w:sz w:val="21"/>
              </w:rPr>
              <w:t>致：</w:t>
            </w:r>
            <w:r>
              <w:rPr>
                <w:sz w:val="21"/>
                <w:u w:val="single"/>
              </w:rPr>
              <w:t> </w:t>
              <w:tab/>
            </w:r>
            <w:r>
              <w:rPr>
                <w:spacing w:val="-3"/>
                <w:sz w:val="21"/>
                <w:u w:val="single"/>
              </w:rPr>
              <w:t>（</w:t>
            </w:r>
            <w:r>
              <w:rPr>
                <w:sz w:val="21"/>
                <w:u w:val="single"/>
              </w:rPr>
              <w:t>发</w:t>
            </w:r>
            <w:r>
              <w:rPr>
                <w:spacing w:val="-3"/>
                <w:sz w:val="21"/>
                <w:u w:val="single"/>
              </w:rPr>
              <w:t>包</w:t>
            </w:r>
            <w:r>
              <w:rPr>
                <w:sz w:val="21"/>
                <w:u w:val="single"/>
              </w:rPr>
              <w:t>人全</w:t>
            </w:r>
            <w:r>
              <w:rPr>
                <w:spacing w:val="-3"/>
                <w:sz w:val="21"/>
                <w:u w:val="single"/>
              </w:rPr>
              <w:t>称</w:t>
            </w:r>
            <w:r>
              <w:rPr>
                <w:sz w:val="21"/>
                <w:u w:val="single"/>
              </w:rPr>
              <w:t>）</w:t>
            </w:r>
          </w:p>
          <w:p>
            <w:pPr>
              <w:pStyle w:val="TableParagraph"/>
              <w:tabs>
                <w:tab w:pos="2003" w:val="left" w:leader="none"/>
                <w:tab w:pos="3273" w:val="left" w:leader="none"/>
                <w:tab w:pos="4445" w:val="left" w:leader="none"/>
                <w:tab w:pos="6372" w:val="left" w:leader="none"/>
              </w:tabs>
              <w:spacing w:line="400" w:lineRule="atLeast" w:before="16"/>
              <w:ind w:left="102" w:right="94" w:firstLine="316"/>
              <w:rPr>
                <w:sz w:val="21"/>
              </w:rPr>
            </w:pPr>
            <w:r>
              <w:rPr>
                <w:sz w:val="21"/>
              </w:rPr>
              <w:t>我方于</w:t>
            </w:r>
            <w:r>
              <w:rPr>
                <w:sz w:val="21"/>
                <w:u w:val="single"/>
              </w:rPr>
              <w:t> </w:t>
              <w:tab/>
            </w:r>
            <w:r>
              <w:rPr>
                <w:sz w:val="21"/>
              </w:rPr>
              <w:t>至</w:t>
            </w:r>
            <w:r>
              <w:rPr>
                <w:sz w:val="21"/>
                <w:u w:val="single"/>
              </w:rPr>
              <w:t> </w:t>
              <w:tab/>
            </w:r>
            <w:r>
              <w:rPr>
                <w:sz w:val="21"/>
              </w:rPr>
              <w:t>期间已完成了合同</w:t>
            </w:r>
            <w:r>
              <w:rPr>
                <w:spacing w:val="-3"/>
                <w:sz w:val="21"/>
              </w:rPr>
              <w:t>约</w:t>
            </w:r>
            <w:r>
              <w:rPr>
                <w:sz w:val="21"/>
              </w:rPr>
              <w:t>定的工作，根据施</w:t>
            </w:r>
            <w:r>
              <w:rPr>
                <w:spacing w:val="-3"/>
                <w:sz w:val="21"/>
              </w:rPr>
              <w:t>工</w:t>
            </w:r>
            <w:r>
              <w:rPr>
                <w:sz w:val="21"/>
              </w:rPr>
              <w:t>合</w:t>
            </w:r>
            <w:r>
              <w:rPr>
                <w:spacing w:val="-3"/>
                <w:sz w:val="21"/>
              </w:rPr>
              <w:t>同</w:t>
            </w:r>
            <w:r>
              <w:rPr>
                <w:sz w:val="21"/>
              </w:rPr>
              <w:t>的约定，现申</w:t>
            </w:r>
            <w:r>
              <w:rPr>
                <w:spacing w:val="-15"/>
                <w:sz w:val="21"/>
              </w:rPr>
              <w:t>请</w:t>
            </w:r>
            <w:r>
              <w:rPr>
                <w:sz w:val="21"/>
              </w:rPr>
              <w:t>支付</w:t>
            </w:r>
            <w:r>
              <w:rPr>
                <w:spacing w:val="-3"/>
                <w:sz w:val="21"/>
              </w:rPr>
              <w:t>竣</w:t>
            </w:r>
            <w:r>
              <w:rPr>
                <w:sz w:val="21"/>
              </w:rPr>
              <w:t>工</w:t>
            </w:r>
            <w:r>
              <w:rPr>
                <w:spacing w:val="-3"/>
                <w:sz w:val="21"/>
              </w:rPr>
              <w:t>结</w:t>
            </w:r>
            <w:r>
              <w:rPr>
                <w:sz w:val="21"/>
              </w:rPr>
              <w:t>算</w:t>
            </w:r>
            <w:r>
              <w:rPr>
                <w:spacing w:val="-3"/>
                <w:sz w:val="21"/>
              </w:rPr>
              <w:t>的</w:t>
            </w:r>
            <w:r>
              <w:rPr>
                <w:sz w:val="21"/>
              </w:rPr>
              <w:t>工</w:t>
            </w:r>
            <w:r>
              <w:rPr>
                <w:spacing w:val="-3"/>
                <w:sz w:val="21"/>
              </w:rPr>
              <w:t>程</w:t>
            </w:r>
            <w:r>
              <w:rPr>
                <w:sz w:val="21"/>
              </w:rPr>
              <w:t>款</w:t>
            </w:r>
            <w:r>
              <w:rPr>
                <w:spacing w:val="-3"/>
                <w:sz w:val="21"/>
              </w:rPr>
              <w:t>额</w:t>
            </w:r>
            <w:r>
              <w:rPr>
                <w:sz w:val="21"/>
              </w:rPr>
              <w:t>为</w:t>
            </w:r>
            <w:r>
              <w:rPr>
                <w:rFonts w:ascii="Times New Roman" w:eastAsia="Times New Roman"/>
                <w:sz w:val="21"/>
              </w:rPr>
              <w:t>(</w:t>
            </w:r>
            <w:r>
              <w:rPr>
                <w:sz w:val="21"/>
              </w:rPr>
              <w:t>大写</w:t>
            </w:r>
            <w:r>
              <w:rPr>
                <w:rFonts w:ascii="Times New Roman" w:eastAsia="Times New Roman"/>
                <w:sz w:val="21"/>
              </w:rPr>
              <w:t>)</w:t>
            </w:r>
            <w:r>
              <w:rPr>
                <w:rFonts w:ascii="Times New Roman" w:eastAsia="Times New Roman"/>
                <w:sz w:val="21"/>
                <w:u w:val="single"/>
              </w:rPr>
              <w:t> </w:t>
              <w:tab/>
              <w:tab/>
            </w:r>
            <w:r>
              <w:rPr>
                <w:sz w:val="21"/>
              </w:rPr>
              <w:t>元，</w:t>
            </w:r>
            <w:r>
              <w:rPr>
                <w:rFonts w:ascii="Times New Roman" w:eastAsia="Times New Roman"/>
                <w:sz w:val="21"/>
              </w:rPr>
              <w:t>(</w:t>
            </w:r>
            <w:r>
              <w:rPr>
                <w:sz w:val="21"/>
              </w:rPr>
              <w:t>小写</w:t>
            </w:r>
            <w:r>
              <w:rPr>
                <w:rFonts w:ascii="Times New Roman" w:eastAsia="Times New Roman"/>
                <w:sz w:val="21"/>
              </w:rPr>
              <w:t>)</w:t>
            </w:r>
            <w:r>
              <w:rPr>
                <w:rFonts w:ascii="Times New Roman" w:eastAsia="Times New Roman"/>
                <w:sz w:val="21"/>
                <w:u w:val="single"/>
              </w:rPr>
              <w:t> </w:t>
              <w:tab/>
            </w:r>
            <w:r>
              <w:rPr>
                <w:spacing w:val="-3"/>
                <w:sz w:val="21"/>
              </w:rPr>
              <w:t>元</w:t>
            </w:r>
            <w:r>
              <w:rPr>
                <w:sz w:val="21"/>
              </w:rPr>
              <w:t>，</w:t>
            </w:r>
            <w:r>
              <w:rPr>
                <w:spacing w:val="-3"/>
                <w:sz w:val="21"/>
              </w:rPr>
              <w:t>请予</w:t>
            </w:r>
            <w:r>
              <w:rPr>
                <w:sz w:val="21"/>
              </w:rPr>
              <w:t>核准。</w:t>
            </w:r>
          </w:p>
        </w:tc>
      </w:tr>
      <w:tr>
        <w:trPr>
          <w:trHeight w:val="561" w:hRule="atLeast"/>
        </w:trPr>
        <w:tc>
          <w:tcPr>
            <w:tcW w:w="221" w:type="dxa"/>
            <w:vMerge w:val="restart"/>
            <w:tcBorders>
              <w:top w:val="nil"/>
              <w:bottom w:val="nil"/>
            </w:tcBorders>
          </w:tcPr>
          <w:p>
            <w:pPr>
              <w:pStyle w:val="TableParagraph"/>
              <w:rPr>
                <w:rFonts w:ascii="Times New Roman"/>
                <w:sz w:val="20"/>
              </w:rPr>
            </w:pPr>
          </w:p>
        </w:tc>
        <w:tc>
          <w:tcPr>
            <w:tcW w:w="531" w:type="dxa"/>
          </w:tcPr>
          <w:p>
            <w:pPr>
              <w:pStyle w:val="TableParagraph"/>
              <w:spacing w:line="280" w:lineRule="atLeast" w:before="4"/>
              <w:ind w:left="155" w:right="152"/>
              <w:rPr>
                <w:sz w:val="21"/>
              </w:rPr>
            </w:pPr>
            <w:r>
              <w:rPr>
                <w:sz w:val="21"/>
              </w:rPr>
              <w:t>序号</w:t>
            </w:r>
          </w:p>
        </w:tc>
        <w:tc>
          <w:tcPr>
            <w:tcW w:w="3421" w:type="dxa"/>
          </w:tcPr>
          <w:p>
            <w:pPr>
              <w:pStyle w:val="TableParagraph"/>
              <w:tabs>
                <w:tab w:pos="850" w:val="left" w:leader="none"/>
              </w:tabs>
              <w:spacing w:before="154"/>
              <w:ind w:left="7"/>
              <w:jc w:val="center"/>
              <w:rPr>
                <w:sz w:val="21"/>
              </w:rPr>
            </w:pPr>
            <w:r>
              <w:rPr>
                <w:sz w:val="21"/>
              </w:rPr>
              <w:t>名</w:t>
              <w:tab/>
              <w:t>称</w:t>
            </w:r>
          </w:p>
        </w:tc>
        <w:tc>
          <w:tcPr>
            <w:tcW w:w="1621" w:type="dxa"/>
            <w:gridSpan w:val="2"/>
          </w:tcPr>
          <w:p>
            <w:pPr>
              <w:pStyle w:val="TableParagraph"/>
              <w:spacing w:before="154"/>
              <w:ind w:left="106"/>
              <w:rPr>
                <w:sz w:val="21"/>
              </w:rPr>
            </w:pPr>
            <w:r>
              <w:rPr>
                <w:sz w:val="21"/>
              </w:rPr>
              <w:t>申请金额（元）</w:t>
            </w:r>
          </w:p>
        </w:tc>
        <w:tc>
          <w:tcPr>
            <w:tcW w:w="1621" w:type="dxa"/>
          </w:tcPr>
          <w:p>
            <w:pPr>
              <w:pStyle w:val="TableParagraph"/>
              <w:spacing w:before="154"/>
              <w:ind w:left="105"/>
              <w:rPr>
                <w:sz w:val="21"/>
              </w:rPr>
            </w:pPr>
            <w:r>
              <w:rPr>
                <w:sz w:val="21"/>
              </w:rPr>
              <w:t>复核金额（元）</w:t>
            </w:r>
          </w:p>
        </w:tc>
        <w:tc>
          <w:tcPr>
            <w:tcW w:w="1661" w:type="dxa"/>
            <w:tcBorders>
              <w:right w:val="single" w:sz="8" w:space="0" w:color="000000"/>
            </w:tcBorders>
          </w:tcPr>
          <w:p>
            <w:pPr>
              <w:pStyle w:val="TableParagraph"/>
              <w:spacing w:before="154"/>
              <w:ind w:left="593" w:right="593"/>
              <w:jc w:val="center"/>
              <w:rPr>
                <w:sz w:val="21"/>
              </w:rPr>
            </w:pPr>
            <w:r>
              <w:rPr>
                <w:sz w:val="21"/>
              </w:rPr>
              <w:t>备注</w:t>
            </w:r>
          </w:p>
        </w:tc>
      </w:tr>
      <w:tr>
        <w:trPr>
          <w:trHeight w:val="277" w:hRule="atLeast"/>
        </w:trPr>
        <w:tc>
          <w:tcPr>
            <w:tcW w:w="221" w:type="dxa"/>
            <w:vMerge/>
            <w:tcBorders>
              <w:top w:val="nil"/>
              <w:bottom w:val="nil"/>
            </w:tcBorders>
          </w:tcPr>
          <w:p>
            <w:pPr>
              <w:rPr>
                <w:sz w:val="2"/>
                <w:szCs w:val="2"/>
              </w:rPr>
            </w:pPr>
          </w:p>
        </w:tc>
        <w:tc>
          <w:tcPr>
            <w:tcW w:w="531" w:type="dxa"/>
          </w:tcPr>
          <w:p>
            <w:pPr>
              <w:pStyle w:val="TableParagraph"/>
              <w:spacing w:line="233" w:lineRule="exact" w:before="24"/>
              <w:ind w:left="1"/>
              <w:jc w:val="center"/>
              <w:rPr>
                <w:rFonts w:ascii="Times New Roman"/>
                <w:sz w:val="21"/>
              </w:rPr>
            </w:pPr>
            <w:r>
              <w:rPr>
                <w:rFonts w:ascii="Times New Roman"/>
                <w:w w:val="100"/>
                <w:sz w:val="21"/>
              </w:rPr>
              <w:t>1</w:t>
            </w:r>
          </w:p>
        </w:tc>
        <w:tc>
          <w:tcPr>
            <w:tcW w:w="3421" w:type="dxa"/>
          </w:tcPr>
          <w:p>
            <w:pPr>
              <w:pStyle w:val="TableParagraph"/>
              <w:spacing w:line="247" w:lineRule="exact" w:before="10"/>
              <w:ind w:left="106"/>
              <w:rPr>
                <w:sz w:val="21"/>
              </w:rPr>
            </w:pPr>
            <w:r>
              <w:rPr>
                <w:sz w:val="21"/>
              </w:rPr>
              <w:t>竣工结算合同价款总额</w:t>
            </w:r>
          </w:p>
        </w:tc>
        <w:tc>
          <w:tcPr>
            <w:tcW w:w="1621" w:type="dxa"/>
            <w:gridSpan w:val="2"/>
          </w:tcPr>
          <w:p>
            <w:pPr>
              <w:pStyle w:val="TableParagraph"/>
              <w:rPr>
                <w:rFonts w:ascii="Times New Roman"/>
                <w:sz w:val="20"/>
              </w:rPr>
            </w:pPr>
          </w:p>
        </w:tc>
        <w:tc>
          <w:tcPr>
            <w:tcW w:w="1621" w:type="dxa"/>
          </w:tcPr>
          <w:p>
            <w:pPr>
              <w:pStyle w:val="TableParagraph"/>
              <w:rPr>
                <w:rFonts w:ascii="Times New Roman"/>
                <w:sz w:val="20"/>
              </w:rPr>
            </w:pPr>
          </w:p>
        </w:tc>
        <w:tc>
          <w:tcPr>
            <w:tcW w:w="1661" w:type="dxa"/>
            <w:tcBorders>
              <w:right w:val="single" w:sz="8" w:space="0" w:color="000000"/>
            </w:tcBorders>
          </w:tcPr>
          <w:p>
            <w:pPr>
              <w:pStyle w:val="TableParagraph"/>
              <w:rPr>
                <w:rFonts w:ascii="Times New Roman"/>
                <w:sz w:val="20"/>
              </w:rPr>
            </w:pPr>
          </w:p>
        </w:tc>
      </w:tr>
      <w:tr>
        <w:trPr>
          <w:trHeight w:val="280" w:hRule="atLeast"/>
        </w:trPr>
        <w:tc>
          <w:tcPr>
            <w:tcW w:w="221" w:type="dxa"/>
            <w:vMerge/>
            <w:tcBorders>
              <w:top w:val="nil"/>
              <w:bottom w:val="nil"/>
            </w:tcBorders>
          </w:tcPr>
          <w:p>
            <w:pPr>
              <w:rPr>
                <w:sz w:val="2"/>
                <w:szCs w:val="2"/>
              </w:rPr>
            </w:pPr>
          </w:p>
        </w:tc>
        <w:tc>
          <w:tcPr>
            <w:tcW w:w="531" w:type="dxa"/>
          </w:tcPr>
          <w:p>
            <w:pPr>
              <w:pStyle w:val="TableParagraph"/>
              <w:spacing w:line="234" w:lineRule="exact" w:before="27"/>
              <w:ind w:left="1"/>
              <w:jc w:val="center"/>
              <w:rPr>
                <w:rFonts w:ascii="Times New Roman"/>
                <w:sz w:val="21"/>
              </w:rPr>
            </w:pPr>
            <w:r>
              <w:rPr>
                <w:rFonts w:ascii="Times New Roman"/>
                <w:w w:val="100"/>
                <w:sz w:val="21"/>
              </w:rPr>
              <w:t>2</w:t>
            </w:r>
          </w:p>
        </w:tc>
        <w:tc>
          <w:tcPr>
            <w:tcW w:w="3421" w:type="dxa"/>
          </w:tcPr>
          <w:p>
            <w:pPr>
              <w:pStyle w:val="TableParagraph"/>
              <w:spacing w:line="248" w:lineRule="exact" w:before="13"/>
              <w:ind w:left="106"/>
              <w:rPr>
                <w:sz w:val="21"/>
              </w:rPr>
            </w:pPr>
            <w:r>
              <w:rPr>
                <w:sz w:val="21"/>
              </w:rPr>
              <w:t>累计已实际支付的合同价款</w:t>
            </w:r>
          </w:p>
        </w:tc>
        <w:tc>
          <w:tcPr>
            <w:tcW w:w="1621" w:type="dxa"/>
            <w:gridSpan w:val="2"/>
          </w:tcPr>
          <w:p>
            <w:pPr>
              <w:pStyle w:val="TableParagraph"/>
              <w:rPr>
                <w:rFonts w:ascii="Times New Roman"/>
                <w:sz w:val="20"/>
              </w:rPr>
            </w:pPr>
          </w:p>
        </w:tc>
        <w:tc>
          <w:tcPr>
            <w:tcW w:w="1621" w:type="dxa"/>
          </w:tcPr>
          <w:p>
            <w:pPr>
              <w:pStyle w:val="TableParagraph"/>
              <w:rPr>
                <w:rFonts w:ascii="Times New Roman"/>
                <w:sz w:val="20"/>
              </w:rPr>
            </w:pPr>
          </w:p>
        </w:tc>
        <w:tc>
          <w:tcPr>
            <w:tcW w:w="1661" w:type="dxa"/>
            <w:tcBorders>
              <w:right w:val="single" w:sz="8" w:space="0" w:color="000000"/>
            </w:tcBorders>
          </w:tcPr>
          <w:p>
            <w:pPr>
              <w:pStyle w:val="TableParagraph"/>
              <w:rPr>
                <w:rFonts w:ascii="Times New Roman"/>
                <w:sz w:val="20"/>
              </w:rPr>
            </w:pPr>
          </w:p>
        </w:tc>
      </w:tr>
      <w:tr>
        <w:trPr>
          <w:trHeight w:val="278" w:hRule="atLeast"/>
        </w:trPr>
        <w:tc>
          <w:tcPr>
            <w:tcW w:w="221" w:type="dxa"/>
            <w:vMerge/>
            <w:tcBorders>
              <w:top w:val="nil"/>
              <w:bottom w:val="nil"/>
            </w:tcBorders>
          </w:tcPr>
          <w:p>
            <w:pPr>
              <w:rPr>
                <w:sz w:val="2"/>
                <w:szCs w:val="2"/>
              </w:rPr>
            </w:pPr>
          </w:p>
        </w:tc>
        <w:tc>
          <w:tcPr>
            <w:tcW w:w="531" w:type="dxa"/>
          </w:tcPr>
          <w:p>
            <w:pPr>
              <w:pStyle w:val="TableParagraph"/>
              <w:spacing w:line="231" w:lineRule="exact" w:before="27"/>
              <w:ind w:left="1"/>
              <w:jc w:val="center"/>
              <w:rPr>
                <w:rFonts w:ascii="Times New Roman"/>
                <w:sz w:val="21"/>
              </w:rPr>
            </w:pPr>
            <w:r>
              <w:rPr>
                <w:rFonts w:ascii="Times New Roman"/>
                <w:w w:val="100"/>
                <w:sz w:val="21"/>
              </w:rPr>
              <w:t>3</w:t>
            </w:r>
          </w:p>
        </w:tc>
        <w:tc>
          <w:tcPr>
            <w:tcW w:w="3421" w:type="dxa"/>
          </w:tcPr>
          <w:p>
            <w:pPr>
              <w:pStyle w:val="TableParagraph"/>
              <w:spacing w:line="245" w:lineRule="exact" w:before="13"/>
              <w:ind w:left="106"/>
              <w:rPr>
                <w:sz w:val="21"/>
              </w:rPr>
            </w:pPr>
            <w:r>
              <w:rPr>
                <w:sz w:val="21"/>
              </w:rPr>
              <w:t>应预留的质量保证金</w:t>
            </w:r>
          </w:p>
        </w:tc>
        <w:tc>
          <w:tcPr>
            <w:tcW w:w="1621" w:type="dxa"/>
            <w:gridSpan w:val="2"/>
          </w:tcPr>
          <w:p>
            <w:pPr>
              <w:pStyle w:val="TableParagraph"/>
              <w:rPr>
                <w:rFonts w:ascii="Times New Roman"/>
                <w:sz w:val="20"/>
              </w:rPr>
            </w:pPr>
          </w:p>
        </w:tc>
        <w:tc>
          <w:tcPr>
            <w:tcW w:w="1621" w:type="dxa"/>
          </w:tcPr>
          <w:p>
            <w:pPr>
              <w:pStyle w:val="TableParagraph"/>
              <w:rPr>
                <w:rFonts w:ascii="Times New Roman"/>
                <w:sz w:val="20"/>
              </w:rPr>
            </w:pPr>
          </w:p>
        </w:tc>
        <w:tc>
          <w:tcPr>
            <w:tcW w:w="1661" w:type="dxa"/>
            <w:tcBorders>
              <w:right w:val="single" w:sz="8" w:space="0" w:color="000000"/>
            </w:tcBorders>
          </w:tcPr>
          <w:p>
            <w:pPr>
              <w:pStyle w:val="TableParagraph"/>
              <w:rPr>
                <w:rFonts w:ascii="Times New Roman"/>
                <w:sz w:val="20"/>
              </w:rPr>
            </w:pPr>
          </w:p>
        </w:tc>
      </w:tr>
      <w:tr>
        <w:trPr>
          <w:trHeight w:val="280" w:hRule="atLeast"/>
        </w:trPr>
        <w:tc>
          <w:tcPr>
            <w:tcW w:w="221" w:type="dxa"/>
            <w:vMerge/>
            <w:tcBorders>
              <w:top w:val="nil"/>
              <w:bottom w:val="nil"/>
            </w:tcBorders>
          </w:tcPr>
          <w:p>
            <w:pPr>
              <w:rPr>
                <w:sz w:val="2"/>
                <w:szCs w:val="2"/>
              </w:rPr>
            </w:pPr>
          </w:p>
        </w:tc>
        <w:tc>
          <w:tcPr>
            <w:tcW w:w="531" w:type="dxa"/>
          </w:tcPr>
          <w:p>
            <w:pPr>
              <w:pStyle w:val="TableParagraph"/>
              <w:spacing w:line="231" w:lineRule="exact" w:before="29"/>
              <w:ind w:left="1"/>
              <w:jc w:val="center"/>
              <w:rPr>
                <w:rFonts w:ascii="Times New Roman"/>
                <w:sz w:val="21"/>
              </w:rPr>
            </w:pPr>
            <w:r>
              <w:rPr>
                <w:rFonts w:ascii="Times New Roman"/>
                <w:w w:val="100"/>
                <w:sz w:val="21"/>
              </w:rPr>
              <w:t>4</w:t>
            </w:r>
          </w:p>
        </w:tc>
        <w:tc>
          <w:tcPr>
            <w:tcW w:w="3421" w:type="dxa"/>
          </w:tcPr>
          <w:p>
            <w:pPr>
              <w:pStyle w:val="TableParagraph"/>
              <w:spacing w:line="245" w:lineRule="exact" w:before="15"/>
              <w:ind w:left="106"/>
              <w:rPr>
                <w:sz w:val="21"/>
              </w:rPr>
            </w:pPr>
            <w:r>
              <w:rPr>
                <w:sz w:val="21"/>
              </w:rPr>
              <w:t>应支付的竣工结算款金额</w:t>
            </w:r>
          </w:p>
        </w:tc>
        <w:tc>
          <w:tcPr>
            <w:tcW w:w="1621" w:type="dxa"/>
            <w:gridSpan w:val="2"/>
          </w:tcPr>
          <w:p>
            <w:pPr>
              <w:pStyle w:val="TableParagraph"/>
              <w:rPr>
                <w:rFonts w:ascii="Times New Roman"/>
                <w:sz w:val="20"/>
              </w:rPr>
            </w:pPr>
          </w:p>
        </w:tc>
        <w:tc>
          <w:tcPr>
            <w:tcW w:w="1621" w:type="dxa"/>
          </w:tcPr>
          <w:p>
            <w:pPr>
              <w:pStyle w:val="TableParagraph"/>
              <w:rPr>
                <w:rFonts w:ascii="Times New Roman"/>
                <w:sz w:val="20"/>
              </w:rPr>
            </w:pPr>
          </w:p>
        </w:tc>
        <w:tc>
          <w:tcPr>
            <w:tcW w:w="1661" w:type="dxa"/>
            <w:tcBorders>
              <w:right w:val="single" w:sz="8" w:space="0" w:color="000000"/>
            </w:tcBorders>
          </w:tcPr>
          <w:p>
            <w:pPr>
              <w:pStyle w:val="TableParagraph"/>
              <w:rPr>
                <w:rFonts w:ascii="Times New Roman"/>
                <w:sz w:val="20"/>
              </w:rPr>
            </w:pPr>
          </w:p>
        </w:tc>
      </w:tr>
      <w:tr>
        <w:trPr>
          <w:trHeight w:val="280" w:hRule="atLeast"/>
        </w:trPr>
        <w:tc>
          <w:tcPr>
            <w:tcW w:w="221" w:type="dxa"/>
            <w:vMerge/>
            <w:tcBorders>
              <w:top w:val="nil"/>
              <w:bottom w:val="nil"/>
            </w:tcBorders>
          </w:tcPr>
          <w:p>
            <w:pPr>
              <w:rPr>
                <w:sz w:val="2"/>
                <w:szCs w:val="2"/>
              </w:rPr>
            </w:pPr>
          </w:p>
        </w:tc>
        <w:tc>
          <w:tcPr>
            <w:tcW w:w="531" w:type="dxa"/>
          </w:tcPr>
          <w:p>
            <w:pPr>
              <w:pStyle w:val="TableParagraph"/>
              <w:rPr>
                <w:rFonts w:ascii="Times New Roman"/>
                <w:sz w:val="20"/>
              </w:rPr>
            </w:pPr>
          </w:p>
        </w:tc>
        <w:tc>
          <w:tcPr>
            <w:tcW w:w="3421" w:type="dxa"/>
          </w:tcPr>
          <w:p>
            <w:pPr>
              <w:pStyle w:val="TableParagraph"/>
              <w:rPr>
                <w:rFonts w:ascii="Times New Roman"/>
                <w:sz w:val="20"/>
              </w:rPr>
            </w:pPr>
          </w:p>
        </w:tc>
        <w:tc>
          <w:tcPr>
            <w:tcW w:w="1621" w:type="dxa"/>
            <w:gridSpan w:val="2"/>
          </w:tcPr>
          <w:p>
            <w:pPr>
              <w:pStyle w:val="TableParagraph"/>
              <w:rPr>
                <w:rFonts w:ascii="Times New Roman"/>
                <w:sz w:val="20"/>
              </w:rPr>
            </w:pPr>
          </w:p>
        </w:tc>
        <w:tc>
          <w:tcPr>
            <w:tcW w:w="1621" w:type="dxa"/>
          </w:tcPr>
          <w:p>
            <w:pPr>
              <w:pStyle w:val="TableParagraph"/>
              <w:rPr>
                <w:rFonts w:ascii="Times New Roman"/>
                <w:sz w:val="20"/>
              </w:rPr>
            </w:pPr>
          </w:p>
        </w:tc>
        <w:tc>
          <w:tcPr>
            <w:tcW w:w="1661" w:type="dxa"/>
            <w:tcBorders>
              <w:right w:val="single" w:sz="8" w:space="0" w:color="000000"/>
            </w:tcBorders>
          </w:tcPr>
          <w:p>
            <w:pPr>
              <w:pStyle w:val="TableParagraph"/>
              <w:rPr>
                <w:rFonts w:ascii="Times New Roman"/>
                <w:sz w:val="20"/>
              </w:rPr>
            </w:pPr>
          </w:p>
        </w:tc>
      </w:tr>
      <w:tr>
        <w:trPr>
          <w:trHeight w:val="280" w:hRule="atLeast"/>
        </w:trPr>
        <w:tc>
          <w:tcPr>
            <w:tcW w:w="221" w:type="dxa"/>
            <w:vMerge/>
            <w:tcBorders>
              <w:top w:val="nil"/>
              <w:bottom w:val="nil"/>
            </w:tcBorders>
          </w:tcPr>
          <w:p>
            <w:pPr>
              <w:rPr>
                <w:sz w:val="2"/>
                <w:szCs w:val="2"/>
              </w:rPr>
            </w:pPr>
          </w:p>
        </w:tc>
        <w:tc>
          <w:tcPr>
            <w:tcW w:w="531" w:type="dxa"/>
          </w:tcPr>
          <w:p>
            <w:pPr>
              <w:pStyle w:val="TableParagraph"/>
              <w:rPr>
                <w:rFonts w:ascii="Times New Roman"/>
                <w:sz w:val="20"/>
              </w:rPr>
            </w:pPr>
          </w:p>
        </w:tc>
        <w:tc>
          <w:tcPr>
            <w:tcW w:w="3421" w:type="dxa"/>
          </w:tcPr>
          <w:p>
            <w:pPr>
              <w:pStyle w:val="TableParagraph"/>
              <w:rPr>
                <w:rFonts w:ascii="Times New Roman"/>
                <w:sz w:val="20"/>
              </w:rPr>
            </w:pPr>
          </w:p>
        </w:tc>
        <w:tc>
          <w:tcPr>
            <w:tcW w:w="1621" w:type="dxa"/>
            <w:gridSpan w:val="2"/>
          </w:tcPr>
          <w:p>
            <w:pPr>
              <w:pStyle w:val="TableParagraph"/>
              <w:rPr>
                <w:rFonts w:ascii="Times New Roman"/>
                <w:sz w:val="20"/>
              </w:rPr>
            </w:pPr>
          </w:p>
        </w:tc>
        <w:tc>
          <w:tcPr>
            <w:tcW w:w="1621" w:type="dxa"/>
          </w:tcPr>
          <w:p>
            <w:pPr>
              <w:pStyle w:val="TableParagraph"/>
              <w:rPr>
                <w:rFonts w:ascii="Times New Roman"/>
                <w:sz w:val="20"/>
              </w:rPr>
            </w:pPr>
          </w:p>
        </w:tc>
        <w:tc>
          <w:tcPr>
            <w:tcW w:w="1661" w:type="dxa"/>
            <w:tcBorders>
              <w:right w:val="single" w:sz="8" w:space="0" w:color="000000"/>
            </w:tcBorders>
          </w:tcPr>
          <w:p>
            <w:pPr>
              <w:pStyle w:val="TableParagraph"/>
              <w:rPr>
                <w:rFonts w:ascii="Times New Roman"/>
                <w:sz w:val="20"/>
              </w:rPr>
            </w:pPr>
          </w:p>
        </w:tc>
      </w:tr>
      <w:tr>
        <w:trPr>
          <w:trHeight w:val="280" w:hRule="atLeast"/>
        </w:trPr>
        <w:tc>
          <w:tcPr>
            <w:tcW w:w="221" w:type="dxa"/>
            <w:vMerge/>
            <w:tcBorders>
              <w:top w:val="nil"/>
              <w:bottom w:val="nil"/>
            </w:tcBorders>
          </w:tcPr>
          <w:p>
            <w:pPr>
              <w:rPr>
                <w:sz w:val="2"/>
                <w:szCs w:val="2"/>
              </w:rPr>
            </w:pPr>
          </w:p>
        </w:tc>
        <w:tc>
          <w:tcPr>
            <w:tcW w:w="531" w:type="dxa"/>
          </w:tcPr>
          <w:p>
            <w:pPr>
              <w:pStyle w:val="TableParagraph"/>
              <w:rPr>
                <w:rFonts w:ascii="Times New Roman"/>
                <w:sz w:val="20"/>
              </w:rPr>
            </w:pPr>
          </w:p>
        </w:tc>
        <w:tc>
          <w:tcPr>
            <w:tcW w:w="3421" w:type="dxa"/>
          </w:tcPr>
          <w:p>
            <w:pPr>
              <w:pStyle w:val="TableParagraph"/>
              <w:rPr>
                <w:rFonts w:ascii="Times New Roman"/>
                <w:sz w:val="20"/>
              </w:rPr>
            </w:pPr>
          </w:p>
        </w:tc>
        <w:tc>
          <w:tcPr>
            <w:tcW w:w="1621" w:type="dxa"/>
            <w:gridSpan w:val="2"/>
          </w:tcPr>
          <w:p>
            <w:pPr>
              <w:pStyle w:val="TableParagraph"/>
              <w:rPr>
                <w:rFonts w:ascii="Times New Roman"/>
                <w:sz w:val="20"/>
              </w:rPr>
            </w:pPr>
          </w:p>
        </w:tc>
        <w:tc>
          <w:tcPr>
            <w:tcW w:w="1621" w:type="dxa"/>
          </w:tcPr>
          <w:p>
            <w:pPr>
              <w:pStyle w:val="TableParagraph"/>
              <w:rPr>
                <w:rFonts w:ascii="Times New Roman"/>
                <w:sz w:val="20"/>
              </w:rPr>
            </w:pPr>
          </w:p>
        </w:tc>
        <w:tc>
          <w:tcPr>
            <w:tcW w:w="1661" w:type="dxa"/>
            <w:tcBorders>
              <w:right w:val="single" w:sz="8" w:space="0" w:color="000000"/>
            </w:tcBorders>
          </w:tcPr>
          <w:p>
            <w:pPr>
              <w:pStyle w:val="TableParagraph"/>
              <w:rPr>
                <w:rFonts w:ascii="Times New Roman"/>
                <w:sz w:val="20"/>
              </w:rPr>
            </w:pPr>
          </w:p>
        </w:tc>
      </w:tr>
      <w:tr>
        <w:trPr>
          <w:trHeight w:val="280" w:hRule="atLeast"/>
        </w:trPr>
        <w:tc>
          <w:tcPr>
            <w:tcW w:w="221" w:type="dxa"/>
            <w:vMerge/>
            <w:tcBorders>
              <w:top w:val="nil"/>
              <w:bottom w:val="nil"/>
            </w:tcBorders>
          </w:tcPr>
          <w:p>
            <w:pPr>
              <w:rPr>
                <w:sz w:val="2"/>
                <w:szCs w:val="2"/>
              </w:rPr>
            </w:pPr>
          </w:p>
        </w:tc>
        <w:tc>
          <w:tcPr>
            <w:tcW w:w="531" w:type="dxa"/>
          </w:tcPr>
          <w:p>
            <w:pPr>
              <w:pStyle w:val="TableParagraph"/>
              <w:rPr>
                <w:rFonts w:ascii="Times New Roman"/>
                <w:sz w:val="20"/>
              </w:rPr>
            </w:pPr>
          </w:p>
        </w:tc>
        <w:tc>
          <w:tcPr>
            <w:tcW w:w="3421" w:type="dxa"/>
          </w:tcPr>
          <w:p>
            <w:pPr>
              <w:pStyle w:val="TableParagraph"/>
              <w:rPr>
                <w:rFonts w:ascii="Times New Roman"/>
                <w:sz w:val="20"/>
              </w:rPr>
            </w:pPr>
          </w:p>
        </w:tc>
        <w:tc>
          <w:tcPr>
            <w:tcW w:w="1621" w:type="dxa"/>
            <w:gridSpan w:val="2"/>
          </w:tcPr>
          <w:p>
            <w:pPr>
              <w:pStyle w:val="TableParagraph"/>
              <w:rPr>
                <w:rFonts w:ascii="Times New Roman"/>
                <w:sz w:val="20"/>
              </w:rPr>
            </w:pPr>
          </w:p>
        </w:tc>
        <w:tc>
          <w:tcPr>
            <w:tcW w:w="1621" w:type="dxa"/>
          </w:tcPr>
          <w:p>
            <w:pPr>
              <w:pStyle w:val="TableParagraph"/>
              <w:rPr>
                <w:rFonts w:ascii="Times New Roman"/>
                <w:sz w:val="20"/>
              </w:rPr>
            </w:pPr>
          </w:p>
        </w:tc>
        <w:tc>
          <w:tcPr>
            <w:tcW w:w="1661" w:type="dxa"/>
            <w:tcBorders>
              <w:right w:val="single" w:sz="8" w:space="0" w:color="000000"/>
            </w:tcBorders>
          </w:tcPr>
          <w:p>
            <w:pPr>
              <w:pStyle w:val="TableParagraph"/>
              <w:rPr>
                <w:rFonts w:ascii="Times New Roman"/>
                <w:sz w:val="20"/>
              </w:rPr>
            </w:pPr>
          </w:p>
        </w:tc>
      </w:tr>
      <w:tr>
        <w:trPr>
          <w:trHeight w:val="280" w:hRule="atLeast"/>
        </w:trPr>
        <w:tc>
          <w:tcPr>
            <w:tcW w:w="221" w:type="dxa"/>
            <w:vMerge/>
            <w:tcBorders>
              <w:top w:val="nil"/>
              <w:bottom w:val="nil"/>
            </w:tcBorders>
          </w:tcPr>
          <w:p>
            <w:pPr>
              <w:rPr>
                <w:sz w:val="2"/>
                <w:szCs w:val="2"/>
              </w:rPr>
            </w:pPr>
          </w:p>
        </w:tc>
        <w:tc>
          <w:tcPr>
            <w:tcW w:w="531" w:type="dxa"/>
          </w:tcPr>
          <w:p>
            <w:pPr>
              <w:pStyle w:val="TableParagraph"/>
              <w:rPr>
                <w:rFonts w:ascii="Times New Roman"/>
                <w:sz w:val="20"/>
              </w:rPr>
            </w:pPr>
          </w:p>
        </w:tc>
        <w:tc>
          <w:tcPr>
            <w:tcW w:w="3421" w:type="dxa"/>
          </w:tcPr>
          <w:p>
            <w:pPr>
              <w:pStyle w:val="TableParagraph"/>
              <w:rPr>
                <w:rFonts w:ascii="Times New Roman"/>
                <w:sz w:val="20"/>
              </w:rPr>
            </w:pPr>
          </w:p>
        </w:tc>
        <w:tc>
          <w:tcPr>
            <w:tcW w:w="1621" w:type="dxa"/>
            <w:gridSpan w:val="2"/>
          </w:tcPr>
          <w:p>
            <w:pPr>
              <w:pStyle w:val="TableParagraph"/>
              <w:rPr>
                <w:rFonts w:ascii="Times New Roman"/>
                <w:sz w:val="20"/>
              </w:rPr>
            </w:pPr>
          </w:p>
        </w:tc>
        <w:tc>
          <w:tcPr>
            <w:tcW w:w="1621" w:type="dxa"/>
          </w:tcPr>
          <w:p>
            <w:pPr>
              <w:pStyle w:val="TableParagraph"/>
              <w:rPr>
                <w:rFonts w:ascii="Times New Roman"/>
                <w:sz w:val="20"/>
              </w:rPr>
            </w:pPr>
          </w:p>
        </w:tc>
        <w:tc>
          <w:tcPr>
            <w:tcW w:w="1661" w:type="dxa"/>
            <w:tcBorders>
              <w:right w:val="single" w:sz="8" w:space="0" w:color="000000"/>
            </w:tcBorders>
          </w:tcPr>
          <w:p>
            <w:pPr>
              <w:pStyle w:val="TableParagraph"/>
              <w:rPr>
                <w:rFonts w:ascii="Times New Roman"/>
                <w:sz w:val="20"/>
              </w:rPr>
            </w:pPr>
          </w:p>
        </w:tc>
      </w:tr>
      <w:tr>
        <w:trPr>
          <w:trHeight w:val="1281" w:hRule="atLeast"/>
        </w:trPr>
        <w:tc>
          <w:tcPr>
            <w:tcW w:w="9076" w:type="dxa"/>
            <w:gridSpan w:val="7"/>
            <w:tcBorders>
              <w:top w:val="nil"/>
            </w:tcBorders>
          </w:tcPr>
          <w:p>
            <w:pPr>
              <w:pStyle w:val="TableParagraph"/>
              <w:rPr>
                <w:sz w:val="20"/>
              </w:rPr>
            </w:pPr>
          </w:p>
          <w:p>
            <w:pPr>
              <w:pStyle w:val="TableParagraph"/>
              <w:spacing w:before="7"/>
              <w:rPr>
                <w:sz w:val="19"/>
              </w:rPr>
            </w:pPr>
          </w:p>
          <w:p>
            <w:pPr>
              <w:pStyle w:val="TableParagraph"/>
              <w:ind w:left="6223"/>
              <w:rPr>
                <w:sz w:val="21"/>
              </w:rPr>
            </w:pPr>
            <w:r>
              <w:rPr>
                <w:sz w:val="21"/>
              </w:rPr>
              <w:t>承包人（章）</w:t>
            </w:r>
          </w:p>
          <w:p>
            <w:pPr>
              <w:pStyle w:val="TableParagraph"/>
              <w:tabs>
                <w:tab w:pos="2957" w:val="left" w:leader="none"/>
                <w:tab w:pos="5583" w:val="left" w:leader="none"/>
                <w:tab w:pos="6423" w:val="left" w:leader="none"/>
                <w:tab w:pos="8254" w:val="left" w:leader="none"/>
              </w:tabs>
              <w:spacing w:before="132"/>
              <w:ind w:left="542"/>
              <w:rPr>
                <w:rFonts w:ascii="Times New Roman" w:eastAsia="Times New Roman"/>
                <w:sz w:val="21"/>
              </w:rPr>
            </w:pPr>
            <w:r>
              <w:rPr>
                <w:sz w:val="21"/>
              </w:rPr>
              <w:t>造价</w:t>
            </w:r>
            <w:r>
              <w:rPr>
                <w:spacing w:val="-3"/>
                <w:sz w:val="21"/>
              </w:rPr>
              <w:t>人</w:t>
            </w:r>
            <w:r>
              <w:rPr>
                <w:sz w:val="21"/>
              </w:rPr>
              <w:t>员</w:t>
            </w:r>
            <w:r>
              <w:rPr>
                <w:sz w:val="21"/>
                <w:u w:val="single"/>
              </w:rPr>
              <w:t> </w:t>
              <w:tab/>
            </w:r>
            <w:r>
              <w:rPr>
                <w:sz w:val="21"/>
              </w:rPr>
              <w:t>承包</w:t>
            </w:r>
            <w:r>
              <w:rPr>
                <w:spacing w:val="-3"/>
                <w:sz w:val="21"/>
              </w:rPr>
              <w:t>人</w:t>
            </w:r>
            <w:r>
              <w:rPr>
                <w:sz w:val="21"/>
              </w:rPr>
              <w:t>代</w:t>
            </w:r>
            <w:r>
              <w:rPr>
                <w:spacing w:val="-3"/>
                <w:sz w:val="21"/>
              </w:rPr>
              <w:t>表</w:t>
            </w:r>
            <w:r>
              <w:rPr>
                <w:spacing w:val="-3"/>
                <w:sz w:val="21"/>
                <w:u w:val="single"/>
              </w:rPr>
              <w:t> </w:t>
              <w:tab/>
            </w:r>
            <w:r>
              <w:rPr>
                <w:sz w:val="21"/>
              </w:rPr>
              <w:t>日</w:t>
              <w:tab/>
              <w:t>期</w:t>
            </w:r>
            <w:r>
              <w:rPr>
                <w:rFonts w:ascii="Times New Roman" w:eastAsia="Times New Roman"/>
                <w:sz w:val="21"/>
                <w:u w:val="single"/>
              </w:rPr>
              <w:t> </w:t>
              <w:tab/>
            </w:r>
          </w:p>
        </w:tc>
      </w:tr>
      <w:tr>
        <w:trPr>
          <w:trHeight w:val="3240" w:hRule="atLeast"/>
        </w:trPr>
        <w:tc>
          <w:tcPr>
            <w:tcW w:w="4538" w:type="dxa"/>
            <w:gridSpan w:val="4"/>
          </w:tcPr>
          <w:p>
            <w:pPr>
              <w:pStyle w:val="TableParagraph"/>
              <w:spacing w:before="78"/>
              <w:ind w:left="107"/>
              <w:rPr>
                <w:sz w:val="21"/>
              </w:rPr>
            </w:pPr>
            <w:r>
              <w:rPr>
                <w:sz w:val="21"/>
              </w:rPr>
              <w:t>复核意见：</w:t>
            </w:r>
          </w:p>
          <w:p>
            <w:pPr>
              <w:pStyle w:val="TableParagraph"/>
              <w:spacing w:before="91"/>
              <w:ind w:left="419" w:right="-15"/>
              <w:rPr>
                <w:sz w:val="21"/>
              </w:rPr>
            </w:pPr>
            <w:r>
              <w:rPr>
                <w:spacing w:val="-11"/>
                <w:sz w:val="21"/>
              </w:rPr>
              <w:t>□与实际施工情况不相符，修改意见见附件。</w:t>
            </w:r>
          </w:p>
          <w:p>
            <w:pPr>
              <w:pStyle w:val="TableParagraph"/>
              <w:spacing w:line="321" w:lineRule="auto" w:before="91"/>
              <w:ind w:left="107" w:right="95" w:firstLine="311"/>
              <w:rPr>
                <w:sz w:val="21"/>
              </w:rPr>
            </w:pPr>
            <w:r>
              <w:rPr>
                <w:sz w:val="21"/>
              </w:rPr>
              <w:t>□与实际施工情况相符，具体金额由造价工程师复核。</w:t>
            </w:r>
          </w:p>
          <w:p>
            <w:pPr>
              <w:pStyle w:val="TableParagraph"/>
              <w:rPr>
                <w:sz w:val="20"/>
              </w:rPr>
            </w:pPr>
          </w:p>
          <w:p>
            <w:pPr>
              <w:pStyle w:val="TableParagraph"/>
              <w:rPr>
                <w:sz w:val="20"/>
              </w:rPr>
            </w:pPr>
          </w:p>
          <w:p>
            <w:pPr>
              <w:pStyle w:val="TableParagraph"/>
              <w:rPr>
                <w:sz w:val="20"/>
              </w:rPr>
            </w:pPr>
          </w:p>
          <w:p>
            <w:pPr>
              <w:pStyle w:val="TableParagraph"/>
              <w:spacing w:before="1"/>
              <w:rPr>
                <w:sz w:val="17"/>
              </w:rPr>
            </w:pPr>
          </w:p>
          <w:p>
            <w:pPr>
              <w:pStyle w:val="TableParagraph"/>
              <w:tabs>
                <w:tab w:pos="3115" w:val="left" w:leader="none"/>
                <w:tab w:pos="4476" w:val="left" w:leader="none"/>
              </w:tabs>
              <w:spacing w:line="360" w:lineRule="atLeast"/>
              <w:ind w:left="2275" w:right="49"/>
              <w:rPr>
                <w:rFonts w:ascii="Times New Roman" w:eastAsia="Times New Roman"/>
                <w:sz w:val="21"/>
              </w:rPr>
            </w:pPr>
            <w:r>
              <w:rPr>
                <w:spacing w:val="-1"/>
                <w:sz w:val="21"/>
              </w:rPr>
              <w:t>监</w:t>
            </w:r>
            <w:r>
              <w:rPr>
                <w:spacing w:val="-3"/>
                <w:sz w:val="21"/>
              </w:rPr>
              <w:t>理</w:t>
            </w:r>
            <w:r>
              <w:rPr>
                <w:sz w:val="21"/>
              </w:rPr>
              <w:t>工</w:t>
            </w:r>
            <w:r>
              <w:rPr>
                <w:spacing w:val="-3"/>
                <w:sz w:val="21"/>
              </w:rPr>
              <w:t>程</w:t>
            </w:r>
            <w:r>
              <w:rPr>
                <w:sz w:val="21"/>
              </w:rPr>
              <w:t>师</w:t>
            </w:r>
            <w:r>
              <w:rPr>
                <w:sz w:val="21"/>
                <w:u w:val="single"/>
              </w:rPr>
              <w:tab/>
              <w:t>         </w:t>
            </w:r>
            <w:r>
              <w:rPr>
                <w:sz w:val="21"/>
              </w:rPr>
              <w:t>日</w:t>
              <w:tab/>
              <w:t>期</w:t>
            </w:r>
            <w:r>
              <w:rPr>
                <w:rFonts w:ascii="Times New Roman" w:eastAsia="Times New Roman"/>
                <w:sz w:val="21"/>
                <w:u w:val="single"/>
              </w:rPr>
              <w:t> </w:t>
              <w:tab/>
            </w:r>
          </w:p>
        </w:tc>
        <w:tc>
          <w:tcPr>
            <w:tcW w:w="4538" w:type="dxa"/>
            <w:gridSpan w:val="3"/>
          </w:tcPr>
          <w:p>
            <w:pPr>
              <w:pStyle w:val="TableParagraph"/>
              <w:spacing w:before="78"/>
              <w:ind w:left="106"/>
              <w:rPr>
                <w:sz w:val="21"/>
              </w:rPr>
            </w:pPr>
            <w:r>
              <w:rPr>
                <w:sz w:val="21"/>
              </w:rPr>
              <w:t>复核意见：</w:t>
            </w:r>
          </w:p>
          <w:p>
            <w:pPr>
              <w:pStyle w:val="TableParagraph"/>
              <w:tabs>
                <w:tab w:pos="1632" w:val="left" w:leader="none"/>
                <w:tab w:pos="3683" w:val="left" w:leader="none"/>
                <w:tab w:pos="4112" w:val="left" w:leader="none"/>
              </w:tabs>
              <w:spacing w:line="321" w:lineRule="auto" w:before="91"/>
              <w:ind w:left="106" w:right="-15" w:firstLine="434"/>
              <w:jc w:val="both"/>
              <w:rPr>
                <w:sz w:val="21"/>
              </w:rPr>
            </w:pPr>
            <w:r>
              <w:rPr>
                <w:sz w:val="21"/>
              </w:rPr>
              <w:t>你方</w:t>
            </w:r>
            <w:r>
              <w:rPr>
                <w:spacing w:val="-3"/>
                <w:sz w:val="21"/>
              </w:rPr>
              <w:t>提</w:t>
            </w:r>
            <w:r>
              <w:rPr>
                <w:sz w:val="21"/>
              </w:rPr>
              <w:t>出</w:t>
            </w:r>
            <w:r>
              <w:rPr>
                <w:spacing w:val="-3"/>
                <w:sz w:val="21"/>
              </w:rPr>
              <w:t>的</w:t>
            </w:r>
            <w:r>
              <w:rPr>
                <w:sz w:val="21"/>
              </w:rPr>
              <w:t>竣</w:t>
            </w:r>
            <w:r>
              <w:rPr>
                <w:spacing w:val="-3"/>
                <w:sz w:val="21"/>
              </w:rPr>
              <w:t>工</w:t>
            </w:r>
            <w:r>
              <w:rPr>
                <w:sz w:val="21"/>
              </w:rPr>
              <w:t>结</w:t>
            </w:r>
            <w:r>
              <w:rPr>
                <w:spacing w:val="-3"/>
                <w:sz w:val="21"/>
              </w:rPr>
              <w:t>算</w:t>
            </w:r>
            <w:r>
              <w:rPr>
                <w:sz w:val="21"/>
              </w:rPr>
              <w:t>支</w:t>
            </w:r>
            <w:r>
              <w:rPr>
                <w:spacing w:val="-3"/>
                <w:sz w:val="21"/>
              </w:rPr>
              <w:t>付</w:t>
            </w:r>
            <w:r>
              <w:rPr>
                <w:sz w:val="21"/>
              </w:rPr>
              <w:t>申请</w:t>
            </w:r>
            <w:r>
              <w:rPr>
                <w:spacing w:val="-3"/>
                <w:sz w:val="21"/>
              </w:rPr>
              <w:t>经</w:t>
            </w:r>
            <w:r>
              <w:rPr>
                <w:sz w:val="21"/>
              </w:rPr>
              <w:t>复</w:t>
            </w:r>
            <w:r>
              <w:rPr>
                <w:spacing w:val="-3"/>
                <w:sz w:val="21"/>
              </w:rPr>
              <w:t>核</w:t>
            </w:r>
            <w:r>
              <w:rPr>
                <w:spacing w:val="-106"/>
                <w:sz w:val="21"/>
              </w:rPr>
              <w:t>，</w:t>
            </w:r>
            <w:r>
              <w:rPr>
                <w:spacing w:val="-3"/>
                <w:sz w:val="21"/>
              </w:rPr>
              <w:t>竣</w:t>
            </w:r>
            <w:r>
              <w:rPr>
                <w:sz w:val="21"/>
              </w:rPr>
              <w:t>工</w:t>
            </w:r>
            <w:r>
              <w:rPr>
                <w:spacing w:val="2"/>
                <w:w w:val="100"/>
                <w:sz w:val="21"/>
              </w:rPr>
              <w:t>结算款总额为</w:t>
            </w:r>
            <w:r>
              <w:rPr>
                <w:rFonts w:ascii="Times New Roman" w:eastAsia="Times New Roman"/>
                <w:spacing w:val="1"/>
                <w:w w:val="100"/>
                <w:sz w:val="21"/>
              </w:rPr>
              <w:t>(</w:t>
            </w:r>
            <w:r>
              <w:rPr>
                <w:spacing w:val="2"/>
                <w:w w:val="100"/>
                <w:sz w:val="21"/>
              </w:rPr>
              <w:t>大写</w:t>
            </w:r>
            <w:r>
              <w:rPr>
                <w:rFonts w:ascii="Times New Roman" w:eastAsia="Times New Roman"/>
                <w:spacing w:val="-1"/>
                <w:w w:val="100"/>
                <w:sz w:val="21"/>
              </w:rPr>
              <w:t>)</w:t>
            </w:r>
            <w:r>
              <w:rPr>
                <w:rFonts w:ascii="Times New Roman" w:eastAsia="Times New Roman"/>
                <w:w w:val="100"/>
                <w:sz w:val="21"/>
                <w:u w:val="single"/>
              </w:rPr>
              <w:t> </w:t>
            </w:r>
            <w:r>
              <w:rPr>
                <w:rFonts w:ascii="Times New Roman" w:eastAsia="Times New Roman"/>
                <w:sz w:val="21"/>
                <w:u w:val="single"/>
              </w:rPr>
              <w:tab/>
            </w:r>
            <w:r>
              <w:rPr>
                <w:spacing w:val="2"/>
                <w:w w:val="100"/>
                <w:sz w:val="21"/>
              </w:rPr>
              <w:t>元</w:t>
            </w:r>
            <w:r>
              <w:rPr>
                <w:spacing w:val="-101"/>
                <w:w w:val="100"/>
                <w:sz w:val="21"/>
              </w:rPr>
              <w:t>，</w:t>
            </w:r>
            <w:r>
              <w:rPr>
                <w:w w:val="100"/>
                <w:sz w:val="21"/>
              </w:rPr>
              <w:t>（小</w:t>
            </w:r>
            <w:r>
              <w:rPr>
                <w:sz w:val="21"/>
              </w:rPr>
              <w:t>写）</w:t>
            </w:r>
            <w:r>
              <w:rPr>
                <w:sz w:val="21"/>
                <w:u w:val="single"/>
              </w:rPr>
              <w:t> </w:t>
              <w:tab/>
            </w:r>
            <w:r>
              <w:rPr>
                <w:sz w:val="21"/>
              </w:rPr>
              <w:t>元，扣</w:t>
            </w:r>
            <w:r>
              <w:rPr>
                <w:spacing w:val="-3"/>
                <w:sz w:val="21"/>
              </w:rPr>
              <w:t>除</w:t>
            </w:r>
            <w:r>
              <w:rPr>
                <w:sz w:val="21"/>
              </w:rPr>
              <w:t>前期支付以</w:t>
            </w:r>
            <w:r>
              <w:rPr>
                <w:spacing w:val="-3"/>
                <w:sz w:val="21"/>
              </w:rPr>
              <w:t>及</w:t>
            </w:r>
            <w:r>
              <w:rPr>
                <w:sz w:val="21"/>
              </w:rPr>
              <w:t>质量保证金</w:t>
            </w:r>
            <w:r>
              <w:rPr>
                <w:spacing w:val="-3"/>
                <w:sz w:val="21"/>
              </w:rPr>
              <w:t>后</w:t>
            </w:r>
            <w:r>
              <w:rPr>
                <w:sz w:val="21"/>
              </w:rPr>
              <w:t>应</w:t>
            </w:r>
            <w:r>
              <w:rPr>
                <w:spacing w:val="-3"/>
                <w:sz w:val="21"/>
              </w:rPr>
              <w:t>支</w:t>
            </w:r>
            <w:r>
              <w:rPr>
                <w:sz w:val="21"/>
              </w:rPr>
              <w:t>付</w:t>
            </w:r>
            <w:r>
              <w:rPr>
                <w:spacing w:val="-3"/>
                <w:sz w:val="21"/>
              </w:rPr>
              <w:t>金</w:t>
            </w:r>
            <w:r>
              <w:rPr>
                <w:sz w:val="21"/>
              </w:rPr>
              <w:t>额</w:t>
            </w:r>
            <w:r>
              <w:rPr>
                <w:spacing w:val="-101"/>
                <w:sz w:val="21"/>
              </w:rPr>
              <w:t>为</w:t>
            </w:r>
            <w:r>
              <w:rPr>
                <w:sz w:val="21"/>
              </w:rPr>
              <w:t>（</w:t>
            </w:r>
            <w:r>
              <w:rPr>
                <w:spacing w:val="-3"/>
                <w:sz w:val="21"/>
              </w:rPr>
              <w:t>大写</w:t>
            </w:r>
            <w:r>
              <w:rPr>
                <w:sz w:val="21"/>
              </w:rPr>
              <w:t>）</w:t>
              <w:tab/>
              <w:tab/>
              <w:t>元</w:t>
            </w:r>
            <w:r>
              <w:rPr>
                <w:spacing w:val="-12"/>
                <w:sz w:val="21"/>
              </w:rPr>
              <w:t>，</w:t>
            </w:r>
          </w:p>
          <w:p>
            <w:pPr>
              <w:pStyle w:val="TableParagraph"/>
              <w:tabs>
                <w:tab w:pos="1892" w:val="left" w:leader="none"/>
              </w:tabs>
              <w:spacing w:line="267" w:lineRule="exact"/>
              <w:ind w:left="106"/>
              <w:rPr>
                <w:sz w:val="21"/>
              </w:rPr>
            </w:pPr>
            <w:r>
              <w:rPr>
                <w:sz w:val="21"/>
              </w:rPr>
              <w:t>（小</w:t>
            </w:r>
            <w:r>
              <w:rPr>
                <w:spacing w:val="-3"/>
                <w:sz w:val="21"/>
              </w:rPr>
              <w:t>写</w:t>
            </w:r>
            <w:r>
              <w:rPr>
                <w:sz w:val="21"/>
              </w:rPr>
              <w:t>）</w:t>
            </w:r>
            <w:r>
              <w:rPr>
                <w:sz w:val="21"/>
                <w:u w:val="single"/>
              </w:rPr>
              <w:t> </w:t>
              <w:tab/>
            </w:r>
            <w:r>
              <w:rPr>
                <w:sz w:val="21"/>
              </w:rPr>
              <w:t>元。</w:t>
            </w:r>
          </w:p>
          <w:p>
            <w:pPr>
              <w:pStyle w:val="TableParagraph"/>
              <w:spacing w:before="1"/>
              <w:rPr>
                <w:sz w:val="28"/>
              </w:rPr>
            </w:pPr>
          </w:p>
          <w:p>
            <w:pPr>
              <w:pStyle w:val="TableParagraph"/>
              <w:tabs>
                <w:tab w:pos="3011" w:val="left" w:leader="none"/>
                <w:tab w:pos="4422" w:val="left" w:leader="none"/>
              </w:tabs>
              <w:spacing w:line="360" w:lineRule="atLeast"/>
              <w:ind w:left="2170" w:right="103"/>
              <w:rPr>
                <w:rFonts w:ascii="Times New Roman" w:eastAsia="Times New Roman"/>
                <w:sz w:val="21"/>
              </w:rPr>
            </w:pPr>
            <w:r>
              <w:rPr>
                <w:spacing w:val="-3"/>
                <w:sz w:val="21"/>
              </w:rPr>
              <w:t>造</w:t>
            </w:r>
            <w:r>
              <w:rPr>
                <w:spacing w:val="-1"/>
                <w:sz w:val="21"/>
              </w:rPr>
              <w:t>价</w:t>
            </w:r>
            <w:r>
              <w:rPr>
                <w:spacing w:val="-3"/>
                <w:sz w:val="21"/>
              </w:rPr>
              <w:t>工</w:t>
            </w:r>
            <w:r>
              <w:rPr>
                <w:spacing w:val="-1"/>
                <w:sz w:val="21"/>
              </w:rPr>
              <w:t>程</w:t>
            </w:r>
            <w:r>
              <w:rPr>
                <w:sz w:val="21"/>
              </w:rPr>
              <w:t>师</w:t>
            </w:r>
            <w:r>
              <w:rPr>
                <w:sz w:val="21"/>
                <w:u w:val="single"/>
              </w:rPr>
              <w:tab/>
              <w:t>          </w:t>
            </w:r>
            <w:r>
              <w:rPr>
                <w:sz w:val="21"/>
              </w:rPr>
              <w:t>日</w:t>
              <w:tab/>
            </w:r>
            <w:r>
              <w:rPr>
                <w:spacing w:val="-3"/>
                <w:sz w:val="21"/>
              </w:rPr>
              <w:t>期</w:t>
            </w:r>
            <w:r>
              <w:rPr>
                <w:rFonts w:ascii="Times New Roman" w:eastAsia="Times New Roman"/>
                <w:sz w:val="21"/>
                <w:u w:val="single"/>
              </w:rPr>
              <w:t> </w:t>
              <w:tab/>
            </w:r>
          </w:p>
        </w:tc>
      </w:tr>
      <w:tr>
        <w:trPr>
          <w:trHeight w:val="2400" w:hRule="atLeast"/>
        </w:trPr>
        <w:tc>
          <w:tcPr>
            <w:tcW w:w="9076" w:type="dxa"/>
            <w:gridSpan w:val="7"/>
          </w:tcPr>
          <w:p>
            <w:pPr>
              <w:pStyle w:val="TableParagraph"/>
              <w:spacing w:before="109"/>
              <w:ind w:left="107"/>
              <w:rPr>
                <w:sz w:val="21"/>
              </w:rPr>
            </w:pPr>
            <w:r>
              <w:rPr>
                <w:sz w:val="21"/>
              </w:rPr>
              <w:t>审核意见：</w:t>
            </w:r>
          </w:p>
          <w:p>
            <w:pPr>
              <w:pStyle w:val="TableParagraph"/>
              <w:spacing w:before="132"/>
              <w:ind w:left="542"/>
              <w:rPr>
                <w:sz w:val="21"/>
              </w:rPr>
            </w:pPr>
            <w:r>
              <w:rPr>
                <w:sz w:val="21"/>
              </w:rPr>
              <w:t>□不同意。</w:t>
            </w:r>
          </w:p>
          <w:p>
            <w:pPr>
              <w:pStyle w:val="TableParagraph"/>
              <w:tabs>
                <w:tab w:pos="4101" w:val="left" w:leader="none"/>
              </w:tabs>
              <w:spacing w:before="129"/>
              <w:ind w:left="527"/>
              <w:rPr>
                <w:sz w:val="21"/>
              </w:rPr>
            </w:pPr>
            <w:r>
              <w:rPr>
                <w:sz w:val="21"/>
              </w:rPr>
              <w:t>□同</w:t>
            </w:r>
            <w:r>
              <w:rPr>
                <w:spacing w:val="-3"/>
                <w:sz w:val="21"/>
              </w:rPr>
              <w:t>意</w:t>
            </w:r>
            <w:r>
              <w:rPr>
                <w:sz w:val="21"/>
              </w:rPr>
              <w:t>，</w:t>
            </w:r>
            <w:r>
              <w:rPr>
                <w:spacing w:val="-3"/>
                <w:sz w:val="21"/>
              </w:rPr>
              <w:t>支</w:t>
            </w:r>
            <w:r>
              <w:rPr>
                <w:sz w:val="21"/>
              </w:rPr>
              <w:t>付</w:t>
            </w:r>
            <w:r>
              <w:rPr>
                <w:spacing w:val="-3"/>
                <w:sz w:val="21"/>
              </w:rPr>
              <w:t>时</w:t>
            </w:r>
            <w:r>
              <w:rPr>
                <w:sz w:val="21"/>
              </w:rPr>
              <w:t>间</w:t>
            </w:r>
            <w:r>
              <w:rPr>
                <w:spacing w:val="-3"/>
                <w:sz w:val="21"/>
              </w:rPr>
              <w:t>为</w:t>
            </w:r>
            <w:r>
              <w:rPr>
                <w:sz w:val="21"/>
              </w:rPr>
              <w:t>本</w:t>
            </w:r>
            <w:r>
              <w:rPr>
                <w:spacing w:val="-3"/>
                <w:sz w:val="21"/>
              </w:rPr>
              <w:t>表</w:t>
            </w:r>
            <w:r>
              <w:rPr>
                <w:sz w:val="21"/>
              </w:rPr>
              <w:t>签发</w:t>
            </w:r>
            <w:r>
              <w:rPr>
                <w:spacing w:val="-3"/>
                <w:sz w:val="21"/>
              </w:rPr>
              <w:t>后</w:t>
            </w:r>
            <w:r>
              <w:rPr>
                <w:sz w:val="21"/>
              </w:rPr>
              <w:t>的</w:t>
            </w:r>
            <w:r>
              <w:rPr>
                <w:sz w:val="21"/>
                <w:u w:val="single"/>
              </w:rPr>
              <w:t> </w:t>
              <w:tab/>
            </w:r>
            <w:r>
              <w:rPr>
                <w:spacing w:val="-3"/>
                <w:sz w:val="21"/>
              </w:rPr>
              <w:t>天</w:t>
            </w:r>
            <w:r>
              <w:rPr>
                <w:sz w:val="21"/>
              </w:rPr>
              <w:t>内。</w:t>
            </w:r>
          </w:p>
          <w:p>
            <w:pPr>
              <w:pStyle w:val="TableParagraph"/>
              <w:spacing w:before="132"/>
              <w:ind w:left="6550"/>
              <w:rPr>
                <w:sz w:val="21"/>
              </w:rPr>
            </w:pPr>
            <w:r>
              <w:rPr>
                <w:sz w:val="21"/>
              </w:rPr>
              <w:t>发包人（章）</w:t>
            </w:r>
          </w:p>
          <w:p>
            <w:pPr>
              <w:pStyle w:val="TableParagraph"/>
              <w:tabs>
                <w:tab w:pos="7393" w:val="left" w:leader="none"/>
                <w:tab w:pos="9013" w:val="left" w:leader="none"/>
              </w:tabs>
              <w:spacing w:line="400" w:lineRule="atLeast" w:before="1"/>
              <w:ind w:left="6550" w:right="50"/>
              <w:rPr>
                <w:rFonts w:ascii="Times New Roman" w:eastAsia="Times New Roman"/>
                <w:sz w:val="21"/>
              </w:rPr>
            </w:pPr>
            <w:r>
              <w:rPr>
                <w:spacing w:val="-1"/>
                <w:sz w:val="21"/>
              </w:rPr>
              <w:t>发包</w:t>
            </w:r>
            <w:r>
              <w:rPr>
                <w:spacing w:val="-3"/>
                <w:sz w:val="21"/>
              </w:rPr>
              <w:t>人</w:t>
            </w:r>
            <w:r>
              <w:rPr>
                <w:sz w:val="21"/>
              </w:rPr>
              <w:t>代表</w:t>
            </w:r>
            <w:r>
              <w:rPr>
                <w:sz w:val="21"/>
                <w:u w:val="single"/>
              </w:rPr>
              <w:tab/>
              <w:t>            </w:t>
            </w:r>
            <w:r>
              <w:rPr>
                <w:sz w:val="21"/>
              </w:rPr>
              <w:t>日</w:t>
              <w:tab/>
            </w:r>
            <w:r>
              <w:rPr>
                <w:spacing w:val="-3"/>
                <w:sz w:val="21"/>
              </w:rPr>
              <w:t>期</w:t>
            </w:r>
            <w:r>
              <w:rPr>
                <w:rFonts w:ascii="Times New Roman" w:eastAsia="Times New Roman"/>
                <w:sz w:val="21"/>
                <w:u w:val="single"/>
              </w:rPr>
              <w:t> </w:t>
              <w:tab/>
            </w:r>
          </w:p>
        </w:tc>
      </w:tr>
    </w:tbl>
    <w:p>
      <w:pPr>
        <w:spacing w:before="120"/>
        <w:ind w:left="1038" w:right="0" w:firstLine="0"/>
        <w:jc w:val="left"/>
        <w:rPr>
          <w:sz w:val="18"/>
        </w:rPr>
      </w:pPr>
      <w:r>
        <w:rPr>
          <w:sz w:val="18"/>
        </w:rPr>
        <w:t>注：</w:t>
      </w:r>
      <w:r>
        <w:rPr>
          <w:rFonts w:ascii="Times New Roman" w:hAnsi="Times New Roman" w:eastAsia="Times New Roman"/>
          <w:spacing w:val="1"/>
          <w:sz w:val="18"/>
        </w:rPr>
        <w:t>1</w:t>
      </w:r>
      <w:r>
        <w:rPr>
          <w:rFonts w:ascii="Times New Roman" w:hAnsi="Times New Roman" w:eastAsia="Times New Roman"/>
          <w:sz w:val="18"/>
        </w:rPr>
        <w:t>.</w:t>
      </w:r>
      <w:r>
        <w:rPr>
          <w:spacing w:val="-7"/>
          <w:sz w:val="18"/>
        </w:rPr>
        <w:t>在选择栏中的“□”内作标识“√”。</w:t>
      </w:r>
    </w:p>
    <w:p>
      <w:pPr>
        <w:spacing w:before="124"/>
        <w:ind w:left="1400" w:right="0" w:firstLine="0"/>
        <w:jc w:val="left"/>
        <w:rPr>
          <w:sz w:val="18"/>
        </w:rPr>
      </w:pPr>
      <w:r>
        <w:rPr>
          <w:rFonts w:ascii="Times New Roman" w:eastAsia="Times New Roman"/>
          <w:sz w:val="18"/>
        </w:rPr>
        <w:t>2.</w:t>
      </w:r>
      <w:r>
        <w:rPr>
          <w:sz w:val="18"/>
        </w:rPr>
        <w:t>本表一式四份，由承包人填报，发包人、监理人、造价咨询人、承包人各存一份。</w:t>
      </w:r>
    </w:p>
    <w:p>
      <w:pPr>
        <w:spacing w:after="0"/>
        <w:jc w:val="left"/>
        <w:rPr>
          <w:sz w:val="18"/>
        </w:rPr>
        <w:sectPr>
          <w:pgSz w:w="11910" w:h="16850"/>
          <w:pgMar w:header="0" w:footer="779" w:top="1400" w:bottom="1040" w:left="1120" w:right="280"/>
        </w:sectPr>
      </w:pPr>
    </w:p>
    <w:p>
      <w:pPr>
        <w:pStyle w:val="Heading4"/>
        <w:spacing w:line="327" w:lineRule="exact"/>
      </w:pPr>
      <w:r>
        <w:rPr/>
        <w:t>附件 </w:t>
      </w:r>
      <w:r>
        <w:rPr>
          <w:rFonts w:ascii="Times New Roman" w:eastAsia="Times New Roman"/>
        </w:rPr>
        <w:t>13</w:t>
      </w:r>
      <w:r>
        <w:rPr/>
        <w:t>：</w:t>
      </w:r>
    </w:p>
    <w:p>
      <w:pPr>
        <w:spacing w:line="563" w:lineRule="exact" w:before="0"/>
        <w:ind w:left="297" w:right="776" w:firstLine="0"/>
        <w:jc w:val="center"/>
        <w:rPr>
          <w:rFonts w:ascii="Microsoft JhengHei" w:eastAsia="Microsoft JhengHei" w:hint="eastAsia"/>
          <w:b/>
          <w:sz w:val="36"/>
        </w:rPr>
      </w:pPr>
      <w:r>
        <w:rPr>
          <w:rFonts w:ascii="Microsoft JhengHei" w:eastAsia="Microsoft JhengHei" w:hint="eastAsia"/>
          <w:b/>
          <w:sz w:val="36"/>
        </w:rPr>
        <w:t>最终结算款支付申请（核准）表</w:t>
      </w:r>
    </w:p>
    <w:p>
      <w:pPr>
        <w:pStyle w:val="Heading7"/>
        <w:tabs>
          <w:tab w:pos="7278" w:val="left" w:leader="none"/>
        </w:tabs>
      </w:pPr>
      <w:r>
        <w:rPr/>
        <w:t>工程名称：</w:t>
        <w:tab/>
        <w:t>编号：</w:t>
      </w:r>
    </w:p>
    <w:tbl>
      <w:tblPr>
        <w:tblW w:w="0" w:type="auto"/>
        <w:jc w:val="left"/>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1"/>
        <w:gridCol w:w="531"/>
        <w:gridCol w:w="3421"/>
        <w:gridCol w:w="365"/>
        <w:gridCol w:w="1256"/>
        <w:gridCol w:w="1621"/>
        <w:gridCol w:w="1661"/>
      </w:tblGrid>
      <w:tr>
        <w:trPr>
          <w:trHeight w:val="1307" w:hRule="atLeast"/>
        </w:trPr>
        <w:tc>
          <w:tcPr>
            <w:tcW w:w="9076" w:type="dxa"/>
            <w:gridSpan w:val="7"/>
            <w:tcBorders>
              <w:bottom w:val="nil"/>
            </w:tcBorders>
          </w:tcPr>
          <w:p>
            <w:pPr>
              <w:pStyle w:val="TableParagraph"/>
              <w:tabs>
                <w:tab w:pos="4517" w:val="left" w:leader="none"/>
              </w:tabs>
              <w:spacing w:before="173"/>
              <w:ind w:left="419"/>
              <w:rPr>
                <w:sz w:val="21"/>
              </w:rPr>
            </w:pPr>
            <w:r>
              <w:rPr>
                <w:sz w:val="21"/>
              </w:rPr>
              <w:t>致：</w:t>
            </w:r>
            <w:r>
              <w:rPr>
                <w:sz w:val="21"/>
                <w:u w:val="single"/>
              </w:rPr>
              <w:t> </w:t>
              <w:tab/>
              <w:t>（发</w:t>
            </w:r>
            <w:r>
              <w:rPr>
                <w:spacing w:val="-3"/>
                <w:sz w:val="21"/>
                <w:u w:val="single"/>
              </w:rPr>
              <w:t>包</w:t>
            </w:r>
            <w:r>
              <w:rPr>
                <w:sz w:val="21"/>
                <w:u w:val="single"/>
              </w:rPr>
              <w:t>人全</w:t>
            </w:r>
            <w:r>
              <w:rPr>
                <w:spacing w:val="-3"/>
                <w:sz w:val="21"/>
                <w:u w:val="single"/>
              </w:rPr>
              <w:t>称</w:t>
            </w:r>
            <w:r>
              <w:rPr>
                <w:sz w:val="21"/>
                <w:u w:val="single"/>
              </w:rPr>
              <w:t>）</w:t>
            </w:r>
          </w:p>
          <w:p>
            <w:pPr>
              <w:pStyle w:val="TableParagraph"/>
              <w:tabs>
                <w:tab w:pos="2003" w:val="left" w:leader="none"/>
                <w:tab w:pos="3273" w:val="left" w:leader="none"/>
                <w:tab w:pos="4025" w:val="left" w:leader="none"/>
                <w:tab w:pos="5950" w:val="left" w:leader="none"/>
              </w:tabs>
              <w:spacing w:line="400" w:lineRule="atLeast" w:before="16"/>
              <w:ind w:left="102" w:right="94" w:firstLine="316"/>
              <w:rPr>
                <w:sz w:val="21"/>
              </w:rPr>
            </w:pPr>
            <w:r>
              <w:rPr>
                <w:sz w:val="21"/>
              </w:rPr>
              <w:t>我方于</w:t>
            </w:r>
            <w:r>
              <w:rPr>
                <w:sz w:val="21"/>
                <w:u w:val="single"/>
              </w:rPr>
              <w:t> </w:t>
              <w:tab/>
            </w:r>
            <w:r>
              <w:rPr>
                <w:sz w:val="21"/>
              </w:rPr>
              <w:t>至</w:t>
            </w:r>
            <w:r>
              <w:rPr>
                <w:sz w:val="21"/>
                <w:u w:val="single"/>
              </w:rPr>
              <w:t> </w:t>
              <w:tab/>
            </w:r>
            <w:r>
              <w:rPr>
                <w:sz w:val="21"/>
              </w:rPr>
              <w:t>期间已完成了缺陷</w:t>
            </w:r>
            <w:r>
              <w:rPr>
                <w:spacing w:val="-3"/>
                <w:sz w:val="21"/>
              </w:rPr>
              <w:t>修</w:t>
            </w:r>
            <w:r>
              <w:rPr>
                <w:sz w:val="21"/>
              </w:rPr>
              <w:t>复工作，根据施工</w:t>
            </w:r>
            <w:r>
              <w:rPr>
                <w:spacing w:val="-3"/>
                <w:sz w:val="21"/>
              </w:rPr>
              <w:t>合</w:t>
            </w:r>
            <w:r>
              <w:rPr>
                <w:sz w:val="21"/>
              </w:rPr>
              <w:t>同</w:t>
            </w:r>
            <w:r>
              <w:rPr>
                <w:spacing w:val="-3"/>
                <w:sz w:val="21"/>
              </w:rPr>
              <w:t>的</w:t>
            </w:r>
            <w:r>
              <w:rPr>
                <w:sz w:val="21"/>
              </w:rPr>
              <w:t>约定，现申请</w:t>
            </w:r>
            <w:r>
              <w:rPr>
                <w:spacing w:val="-15"/>
                <w:sz w:val="21"/>
              </w:rPr>
              <w:t>支</w:t>
            </w:r>
            <w:r>
              <w:rPr>
                <w:sz w:val="21"/>
              </w:rPr>
              <w:t>付最</w:t>
            </w:r>
            <w:r>
              <w:rPr>
                <w:spacing w:val="-3"/>
                <w:sz w:val="21"/>
              </w:rPr>
              <w:t>终</w:t>
            </w:r>
            <w:r>
              <w:rPr>
                <w:sz w:val="21"/>
              </w:rPr>
              <w:t>结</w:t>
            </w:r>
            <w:r>
              <w:rPr>
                <w:spacing w:val="-3"/>
                <w:sz w:val="21"/>
              </w:rPr>
              <w:t>清</w:t>
            </w:r>
            <w:r>
              <w:rPr>
                <w:sz w:val="21"/>
              </w:rPr>
              <w:t>合</w:t>
            </w:r>
            <w:r>
              <w:rPr>
                <w:spacing w:val="-3"/>
                <w:sz w:val="21"/>
              </w:rPr>
              <w:t>同</w:t>
            </w:r>
            <w:r>
              <w:rPr>
                <w:sz w:val="21"/>
              </w:rPr>
              <w:t>款</w:t>
            </w:r>
            <w:r>
              <w:rPr>
                <w:spacing w:val="-3"/>
                <w:sz w:val="21"/>
              </w:rPr>
              <w:t>额</w:t>
            </w:r>
            <w:r>
              <w:rPr>
                <w:sz w:val="21"/>
              </w:rPr>
              <w:t>为</w:t>
            </w:r>
            <w:r>
              <w:rPr>
                <w:rFonts w:ascii="Times New Roman" w:eastAsia="Times New Roman"/>
                <w:sz w:val="21"/>
              </w:rPr>
              <w:t>(</w:t>
            </w:r>
            <w:r>
              <w:rPr>
                <w:spacing w:val="-3"/>
                <w:sz w:val="21"/>
              </w:rPr>
              <w:t>大</w:t>
            </w:r>
            <w:r>
              <w:rPr>
                <w:sz w:val="21"/>
              </w:rPr>
              <w:t>写</w:t>
            </w:r>
            <w:r>
              <w:rPr>
                <w:rFonts w:ascii="Times New Roman" w:eastAsia="Times New Roman"/>
                <w:sz w:val="21"/>
              </w:rPr>
              <w:t>)</w:t>
            </w:r>
            <w:r>
              <w:rPr>
                <w:rFonts w:ascii="Times New Roman" w:eastAsia="Times New Roman"/>
                <w:sz w:val="21"/>
                <w:u w:val="single"/>
              </w:rPr>
              <w:t> </w:t>
              <w:tab/>
              <w:tab/>
            </w:r>
            <w:r>
              <w:rPr>
                <w:sz w:val="21"/>
              </w:rPr>
              <w:t>元，</w:t>
            </w:r>
            <w:r>
              <w:rPr>
                <w:rFonts w:ascii="Times New Roman" w:eastAsia="Times New Roman"/>
                <w:sz w:val="21"/>
              </w:rPr>
              <w:t>(</w:t>
            </w:r>
            <w:r>
              <w:rPr>
                <w:sz w:val="21"/>
              </w:rPr>
              <w:t>小写</w:t>
            </w:r>
            <w:r>
              <w:rPr>
                <w:rFonts w:ascii="Times New Roman" w:eastAsia="Times New Roman"/>
                <w:sz w:val="21"/>
              </w:rPr>
              <w:t>)</w:t>
            </w:r>
            <w:r>
              <w:rPr>
                <w:rFonts w:ascii="Times New Roman" w:eastAsia="Times New Roman"/>
                <w:sz w:val="21"/>
                <w:u w:val="single"/>
              </w:rPr>
              <w:t> </w:t>
              <w:tab/>
            </w:r>
            <w:r>
              <w:rPr>
                <w:sz w:val="21"/>
              </w:rPr>
              <w:t>元</w:t>
            </w:r>
            <w:r>
              <w:rPr>
                <w:spacing w:val="-3"/>
                <w:sz w:val="21"/>
              </w:rPr>
              <w:t>，</w:t>
            </w:r>
            <w:r>
              <w:rPr>
                <w:sz w:val="21"/>
              </w:rPr>
              <w:t>请</w:t>
            </w:r>
            <w:r>
              <w:rPr>
                <w:spacing w:val="-3"/>
                <w:sz w:val="21"/>
              </w:rPr>
              <w:t>予</w:t>
            </w:r>
            <w:r>
              <w:rPr>
                <w:sz w:val="21"/>
              </w:rPr>
              <w:t>核</w:t>
            </w:r>
            <w:r>
              <w:rPr>
                <w:spacing w:val="-3"/>
                <w:sz w:val="21"/>
              </w:rPr>
              <w:t>准</w:t>
            </w:r>
            <w:r>
              <w:rPr>
                <w:sz w:val="21"/>
              </w:rPr>
              <w:t>。</w:t>
            </w:r>
          </w:p>
        </w:tc>
      </w:tr>
      <w:tr>
        <w:trPr>
          <w:trHeight w:val="561" w:hRule="atLeast"/>
        </w:trPr>
        <w:tc>
          <w:tcPr>
            <w:tcW w:w="221" w:type="dxa"/>
            <w:vMerge w:val="restart"/>
            <w:tcBorders>
              <w:top w:val="nil"/>
              <w:bottom w:val="nil"/>
            </w:tcBorders>
          </w:tcPr>
          <w:p>
            <w:pPr>
              <w:pStyle w:val="TableParagraph"/>
              <w:rPr>
                <w:rFonts w:ascii="Times New Roman"/>
                <w:sz w:val="20"/>
              </w:rPr>
            </w:pPr>
          </w:p>
        </w:tc>
        <w:tc>
          <w:tcPr>
            <w:tcW w:w="531" w:type="dxa"/>
          </w:tcPr>
          <w:p>
            <w:pPr>
              <w:pStyle w:val="TableParagraph"/>
              <w:spacing w:line="280" w:lineRule="atLeast" w:before="4"/>
              <w:ind w:left="155" w:right="152"/>
              <w:rPr>
                <w:sz w:val="21"/>
              </w:rPr>
            </w:pPr>
            <w:r>
              <w:rPr>
                <w:sz w:val="21"/>
              </w:rPr>
              <w:t>序号</w:t>
            </w:r>
          </w:p>
        </w:tc>
        <w:tc>
          <w:tcPr>
            <w:tcW w:w="3421" w:type="dxa"/>
          </w:tcPr>
          <w:p>
            <w:pPr>
              <w:pStyle w:val="TableParagraph"/>
              <w:tabs>
                <w:tab w:pos="850" w:val="left" w:leader="none"/>
              </w:tabs>
              <w:spacing w:before="154"/>
              <w:ind w:left="7"/>
              <w:jc w:val="center"/>
              <w:rPr>
                <w:sz w:val="21"/>
              </w:rPr>
            </w:pPr>
            <w:r>
              <w:rPr>
                <w:sz w:val="21"/>
              </w:rPr>
              <w:t>名</w:t>
              <w:tab/>
              <w:t>称</w:t>
            </w:r>
          </w:p>
        </w:tc>
        <w:tc>
          <w:tcPr>
            <w:tcW w:w="1621" w:type="dxa"/>
            <w:gridSpan w:val="2"/>
          </w:tcPr>
          <w:p>
            <w:pPr>
              <w:pStyle w:val="TableParagraph"/>
              <w:spacing w:before="154"/>
              <w:ind w:left="106"/>
              <w:rPr>
                <w:sz w:val="21"/>
              </w:rPr>
            </w:pPr>
            <w:r>
              <w:rPr>
                <w:sz w:val="21"/>
              </w:rPr>
              <w:t>申请金额（元）</w:t>
            </w:r>
          </w:p>
        </w:tc>
        <w:tc>
          <w:tcPr>
            <w:tcW w:w="1621" w:type="dxa"/>
          </w:tcPr>
          <w:p>
            <w:pPr>
              <w:pStyle w:val="TableParagraph"/>
              <w:spacing w:before="154"/>
              <w:ind w:left="105"/>
              <w:rPr>
                <w:sz w:val="21"/>
              </w:rPr>
            </w:pPr>
            <w:r>
              <w:rPr>
                <w:sz w:val="21"/>
              </w:rPr>
              <w:t>复核金额（元）</w:t>
            </w:r>
          </w:p>
        </w:tc>
        <w:tc>
          <w:tcPr>
            <w:tcW w:w="1661" w:type="dxa"/>
            <w:tcBorders>
              <w:right w:val="single" w:sz="8" w:space="0" w:color="000000"/>
            </w:tcBorders>
          </w:tcPr>
          <w:p>
            <w:pPr>
              <w:pStyle w:val="TableParagraph"/>
              <w:spacing w:before="154"/>
              <w:ind w:left="593" w:right="593"/>
              <w:jc w:val="center"/>
              <w:rPr>
                <w:sz w:val="21"/>
              </w:rPr>
            </w:pPr>
            <w:r>
              <w:rPr>
                <w:sz w:val="21"/>
              </w:rPr>
              <w:t>备注</w:t>
            </w:r>
          </w:p>
        </w:tc>
      </w:tr>
      <w:tr>
        <w:trPr>
          <w:trHeight w:val="277" w:hRule="atLeast"/>
        </w:trPr>
        <w:tc>
          <w:tcPr>
            <w:tcW w:w="221" w:type="dxa"/>
            <w:vMerge/>
            <w:tcBorders>
              <w:top w:val="nil"/>
              <w:bottom w:val="nil"/>
            </w:tcBorders>
          </w:tcPr>
          <w:p>
            <w:pPr>
              <w:rPr>
                <w:sz w:val="2"/>
                <w:szCs w:val="2"/>
              </w:rPr>
            </w:pPr>
          </w:p>
        </w:tc>
        <w:tc>
          <w:tcPr>
            <w:tcW w:w="531" w:type="dxa"/>
          </w:tcPr>
          <w:p>
            <w:pPr>
              <w:pStyle w:val="TableParagraph"/>
              <w:spacing w:line="233" w:lineRule="exact" w:before="24"/>
              <w:ind w:left="1"/>
              <w:jc w:val="center"/>
              <w:rPr>
                <w:rFonts w:ascii="Times New Roman"/>
                <w:sz w:val="21"/>
              </w:rPr>
            </w:pPr>
            <w:r>
              <w:rPr>
                <w:rFonts w:ascii="Times New Roman"/>
                <w:w w:val="100"/>
                <w:sz w:val="21"/>
              </w:rPr>
              <w:t>1</w:t>
            </w:r>
          </w:p>
        </w:tc>
        <w:tc>
          <w:tcPr>
            <w:tcW w:w="3421" w:type="dxa"/>
          </w:tcPr>
          <w:p>
            <w:pPr>
              <w:pStyle w:val="TableParagraph"/>
              <w:spacing w:line="247" w:lineRule="exact" w:before="10"/>
              <w:ind w:left="106"/>
              <w:rPr>
                <w:sz w:val="21"/>
              </w:rPr>
            </w:pPr>
            <w:r>
              <w:rPr>
                <w:sz w:val="21"/>
              </w:rPr>
              <w:t>已预留的质量保证金</w:t>
            </w:r>
          </w:p>
        </w:tc>
        <w:tc>
          <w:tcPr>
            <w:tcW w:w="1621" w:type="dxa"/>
            <w:gridSpan w:val="2"/>
          </w:tcPr>
          <w:p>
            <w:pPr>
              <w:pStyle w:val="TableParagraph"/>
              <w:rPr>
                <w:rFonts w:ascii="Times New Roman"/>
                <w:sz w:val="20"/>
              </w:rPr>
            </w:pPr>
          </w:p>
        </w:tc>
        <w:tc>
          <w:tcPr>
            <w:tcW w:w="1621" w:type="dxa"/>
          </w:tcPr>
          <w:p>
            <w:pPr>
              <w:pStyle w:val="TableParagraph"/>
              <w:rPr>
                <w:rFonts w:ascii="Times New Roman"/>
                <w:sz w:val="20"/>
              </w:rPr>
            </w:pPr>
          </w:p>
        </w:tc>
        <w:tc>
          <w:tcPr>
            <w:tcW w:w="1661" w:type="dxa"/>
            <w:tcBorders>
              <w:right w:val="single" w:sz="8" w:space="0" w:color="000000"/>
            </w:tcBorders>
          </w:tcPr>
          <w:p>
            <w:pPr>
              <w:pStyle w:val="TableParagraph"/>
              <w:rPr>
                <w:rFonts w:ascii="Times New Roman"/>
                <w:sz w:val="20"/>
              </w:rPr>
            </w:pPr>
          </w:p>
        </w:tc>
      </w:tr>
      <w:tr>
        <w:trPr>
          <w:trHeight w:val="559" w:hRule="atLeast"/>
        </w:trPr>
        <w:tc>
          <w:tcPr>
            <w:tcW w:w="221" w:type="dxa"/>
            <w:vMerge/>
            <w:tcBorders>
              <w:top w:val="nil"/>
              <w:bottom w:val="nil"/>
            </w:tcBorders>
          </w:tcPr>
          <w:p>
            <w:pPr>
              <w:rPr>
                <w:sz w:val="2"/>
                <w:szCs w:val="2"/>
              </w:rPr>
            </w:pPr>
          </w:p>
        </w:tc>
        <w:tc>
          <w:tcPr>
            <w:tcW w:w="531" w:type="dxa"/>
          </w:tcPr>
          <w:p>
            <w:pPr>
              <w:pStyle w:val="TableParagraph"/>
              <w:spacing w:before="27"/>
              <w:ind w:left="1"/>
              <w:jc w:val="center"/>
              <w:rPr>
                <w:rFonts w:ascii="Times New Roman"/>
                <w:sz w:val="21"/>
              </w:rPr>
            </w:pPr>
            <w:r>
              <w:rPr>
                <w:rFonts w:ascii="Times New Roman"/>
                <w:w w:val="100"/>
                <w:sz w:val="21"/>
              </w:rPr>
              <w:t>2</w:t>
            </w:r>
          </w:p>
        </w:tc>
        <w:tc>
          <w:tcPr>
            <w:tcW w:w="3421" w:type="dxa"/>
          </w:tcPr>
          <w:p>
            <w:pPr>
              <w:pStyle w:val="TableParagraph"/>
              <w:spacing w:line="280" w:lineRule="atLeast" w:before="2"/>
              <w:ind w:left="106" w:right="99"/>
              <w:rPr>
                <w:sz w:val="21"/>
              </w:rPr>
            </w:pPr>
            <w:r>
              <w:rPr>
                <w:sz w:val="21"/>
              </w:rPr>
              <w:t>应增加因发包人原因造成缺陷的修复金额</w:t>
            </w:r>
          </w:p>
        </w:tc>
        <w:tc>
          <w:tcPr>
            <w:tcW w:w="1621" w:type="dxa"/>
            <w:gridSpan w:val="2"/>
          </w:tcPr>
          <w:p>
            <w:pPr>
              <w:pStyle w:val="TableParagraph"/>
              <w:rPr>
                <w:rFonts w:ascii="Times New Roman"/>
                <w:sz w:val="20"/>
              </w:rPr>
            </w:pPr>
          </w:p>
        </w:tc>
        <w:tc>
          <w:tcPr>
            <w:tcW w:w="1621" w:type="dxa"/>
          </w:tcPr>
          <w:p>
            <w:pPr>
              <w:pStyle w:val="TableParagraph"/>
              <w:rPr>
                <w:rFonts w:ascii="Times New Roman"/>
                <w:sz w:val="20"/>
              </w:rPr>
            </w:pPr>
          </w:p>
        </w:tc>
        <w:tc>
          <w:tcPr>
            <w:tcW w:w="1661" w:type="dxa"/>
            <w:tcBorders>
              <w:right w:val="single" w:sz="8" w:space="0" w:color="000000"/>
            </w:tcBorders>
          </w:tcPr>
          <w:p>
            <w:pPr>
              <w:pStyle w:val="TableParagraph"/>
              <w:rPr>
                <w:rFonts w:ascii="Times New Roman"/>
                <w:sz w:val="20"/>
              </w:rPr>
            </w:pPr>
          </w:p>
        </w:tc>
      </w:tr>
      <w:tr>
        <w:trPr>
          <w:trHeight w:val="558" w:hRule="atLeast"/>
        </w:trPr>
        <w:tc>
          <w:tcPr>
            <w:tcW w:w="221" w:type="dxa"/>
            <w:vMerge/>
            <w:tcBorders>
              <w:top w:val="nil"/>
              <w:bottom w:val="nil"/>
            </w:tcBorders>
          </w:tcPr>
          <w:p>
            <w:pPr>
              <w:rPr>
                <w:sz w:val="2"/>
                <w:szCs w:val="2"/>
              </w:rPr>
            </w:pPr>
          </w:p>
        </w:tc>
        <w:tc>
          <w:tcPr>
            <w:tcW w:w="531" w:type="dxa"/>
          </w:tcPr>
          <w:p>
            <w:pPr>
              <w:pStyle w:val="TableParagraph"/>
              <w:spacing w:before="24"/>
              <w:ind w:left="1"/>
              <w:jc w:val="center"/>
              <w:rPr>
                <w:rFonts w:ascii="Times New Roman"/>
                <w:sz w:val="21"/>
              </w:rPr>
            </w:pPr>
            <w:r>
              <w:rPr>
                <w:rFonts w:ascii="Times New Roman"/>
                <w:w w:val="100"/>
                <w:sz w:val="21"/>
              </w:rPr>
              <w:t>3</w:t>
            </w:r>
          </w:p>
        </w:tc>
        <w:tc>
          <w:tcPr>
            <w:tcW w:w="3421" w:type="dxa"/>
          </w:tcPr>
          <w:p>
            <w:pPr>
              <w:pStyle w:val="TableParagraph"/>
              <w:spacing w:before="10"/>
              <w:ind w:left="106"/>
              <w:rPr>
                <w:sz w:val="21"/>
              </w:rPr>
            </w:pPr>
            <w:r>
              <w:rPr>
                <w:sz w:val="21"/>
              </w:rPr>
              <w:t>应扣减承包人不修复缺陷、发包人</w:t>
            </w:r>
          </w:p>
          <w:p>
            <w:pPr>
              <w:pStyle w:val="TableParagraph"/>
              <w:spacing w:line="247" w:lineRule="exact" w:before="12"/>
              <w:ind w:left="106"/>
              <w:rPr>
                <w:sz w:val="21"/>
              </w:rPr>
            </w:pPr>
            <w:r>
              <w:rPr>
                <w:sz w:val="21"/>
              </w:rPr>
              <w:t>组织修复的金额</w:t>
            </w:r>
          </w:p>
        </w:tc>
        <w:tc>
          <w:tcPr>
            <w:tcW w:w="1621" w:type="dxa"/>
            <w:gridSpan w:val="2"/>
          </w:tcPr>
          <w:p>
            <w:pPr>
              <w:pStyle w:val="TableParagraph"/>
              <w:rPr>
                <w:rFonts w:ascii="Times New Roman"/>
                <w:sz w:val="20"/>
              </w:rPr>
            </w:pPr>
          </w:p>
        </w:tc>
        <w:tc>
          <w:tcPr>
            <w:tcW w:w="1621" w:type="dxa"/>
          </w:tcPr>
          <w:p>
            <w:pPr>
              <w:pStyle w:val="TableParagraph"/>
              <w:rPr>
                <w:rFonts w:ascii="Times New Roman"/>
                <w:sz w:val="20"/>
              </w:rPr>
            </w:pPr>
          </w:p>
        </w:tc>
        <w:tc>
          <w:tcPr>
            <w:tcW w:w="1661" w:type="dxa"/>
            <w:tcBorders>
              <w:right w:val="single" w:sz="8" w:space="0" w:color="000000"/>
            </w:tcBorders>
          </w:tcPr>
          <w:p>
            <w:pPr>
              <w:pStyle w:val="TableParagraph"/>
              <w:rPr>
                <w:rFonts w:ascii="Times New Roman"/>
                <w:sz w:val="20"/>
              </w:rPr>
            </w:pPr>
          </w:p>
        </w:tc>
      </w:tr>
      <w:tr>
        <w:trPr>
          <w:trHeight w:val="280" w:hRule="atLeast"/>
        </w:trPr>
        <w:tc>
          <w:tcPr>
            <w:tcW w:w="221" w:type="dxa"/>
            <w:vMerge/>
            <w:tcBorders>
              <w:top w:val="nil"/>
              <w:bottom w:val="nil"/>
            </w:tcBorders>
          </w:tcPr>
          <w:p>
            <w:pPr>
              <w:rPr>
                <w:sz w:val="2"/>
                <w:szCs w:val="2"/>
              </w:rPr>
            </w:pPr>
          </w:p>
        </w:tc>
        <w:tc>
          <w:tcPr>
            <w:tcW w:w="531" w:type="dxa"/>
          </w:tcPr>
          <w:p>
            <w:pPr>
              <w:pStyle w:val="TableParagraph"/>
              <w:spacing w:line="233" w:lineRule="exact" w:before="27"/>
              <w:ind w:left="1"/>
              <w:jc w:val="center"/>
              <w:rPr>
                <w:rFonts w:ascii="Times New Roman"/>
                <w:sz w:val="21"/>
              </w:rPr>
            </w:pPr>
            <w:r>
              <w:rPr>
                <w:rFonts w:ascii="Times New Roman"/>
                <w:w w:val="100"/>
                <w:sz w:val="21"/>
              </w:rPr>
              <w:t>4</w:t>
            </w:r>
          </w:p>
        </w:tc>
        <w:tc>
          <w:tcPr>
            <w:tcW w:w="3421" w:type="dxa"/>
          </w:tcPr>
          <w:p>
            <w:pPr>
              <w:pStyle w:val="TableParagraph"/>
              <w:spacing w:line="247" w:lineRule="exact" w:before="13"/>
              <w:ind w:left="106"/>
              <w:rPr>
                <w:sz w:val="21"/>
              </w:rPr>
            </w:pPr>
            <w:r>
              <w:rPr>
                <w:sz w:val="21"/>
              </w:rPr>
              <w:t>最终应支付的合同价款</w:t>
            </w:r>
          </w:p>
        </w:tc>
        <w:tc>
          <w:tcPr>
            <w:tcW w:w="1621" w:type="dxa"/>
            <w:gridSpan w:val="2"/>
          </w:tcPr>
          <w:p>
            <w:pPr>
              <w:pStyle w:val="TableParagraph"/>
              <w:rPr>
                <w:rFonts w:ascii="Times New Roman"/>
                <w:sz w:val="20"/>
              </w:rPr>
            </w:pPr>
          </w:p>
        </w:tc>
        <w:tc>
          <w:tcPr>
            <w:tcW w:w="1621" w:type="dxa"/>
          </w:tcPr>
          <w:p>
            <w:pPr>
              <w:pStyle w:val="TableParagraph"/>
              <w:rPr>
                <w:rFonts w:ascii="Times New Roman"/>
                <w:sz w:val="20"/>
              </w:rPr>
            </w:pPr>
          </w:p>
        </w:tc>
        <w:tc>
          <w:tcPr>
            <w:tcW w:w="1661" w:type="dxa"/>
            <w:tcBorders>
              <w:right w:val="single" w:sz="8" w:space="0" w:color="000000"/>
            </w:tcBorders>
          </w:tcPr>
          <w:p>
            <w:pPr>
              <w:pStyle w:val="TableParagraph"/>
              <w:rPr>
                <w:rFonts w:ascii="Times New Roman"/>
                <w:sz w:val="20"/>
              </w:rPr>
            </w:pPr>
          </w:p>
        </w:tc>
      </w:tr>
      <w:tr>
        <w:trPr>
          <w:trHeight w:val="278" w:hRule="atLeast"/>
        </w:trPr>
        <w:tc>
          <w:tcPr>
            <w:tcW w:w="221" w:type="dxa"/>
            <w:vMerge/>
            <w:tcBorders>
              <w:top w:val="nil"/>
              <w:bottom w:val="nil"/>
            </w:tcBorders>
          </w:tcPr>
          <w:p>
            <w:pPr>
              <w:rPr>
                <w:sz w:val="2"/>
                <w:szCs w:val="2"/>
              </w:rPr>
            </w:pPr>
          </w:p>
        </w:tc>
        <w:tc>
          <w:tcPr>
            <w:tcW w:w="531" w:type="dxa"/>
          </w:tcPr>
          <w:p>
            <w:pPr>
              <w:pStyle w:val="TableParagraph"/>
              <w:rPr>
                <w:rFonts w:ascii="Times New Roman"/>
                <w:sz w:val="20"/>
              </w:rPr>
            </w:pPr>
          </w:p>
        </w:tc>
        <w:tc>
          <w:tcPr>
            <w:tcW w:w="3421" w:type="dxa"/>
          </w:tcPr>
          <w:p>
            <w:pPr>
              <w:pStyle w:val="TableParagraph"/>
              <w:rPr>
                <w:rFonts w:ascii="Times New Roman"/>
                <w:sz w:val="20"/>
              </w:rPr>
            </w:pPr>
          </w:p>
        </w:tc>
        <w:tc>
          <w:tcPr>
            <w:tcW w:w="1621" w:type="dxa"/>
            <w:gridSpan w:val="2"/>
          </w:tcPr>
          <w:p>
            <w:pPr>
              <w:pStyle w:val="TableParagraph"/>
              <w:rPr>
                <w:rFonts w:ascii="Times New Roman"/>
                <w:sz w:val="20"/>
              </w:rPr>
            </w:pPr>
          </w:p>
        </w:tc>
        <w:tc>
          <w:tcPr>
            <w:tcW w:w="1621" w:type="dxa"/>
          </w:tcPr>
          <w:p>
            <w:pPr>
              <w:pStyle w:val="TableParagraph"/>
              <w:rPr>
                <w:rFonts w:ascii="Times New Roman"/>
                <w:sz w:val="20"/>
              </w:rPr>
            </w:pPr>
          </w:p>
        </w:tc>
        <w:tc>
          <w:tcPr>
            <w:tcW w:w="1661" w:type="dxa"/>
            <w:tcBorders>
              <w:right w:val="single" w:sz="8" w:space="0" w:color="000000"/>
            </w:tcBorders>
          </w:tcPr>
          <w:p>
            <w:pPr>
              <w:pStyle w:val="TableParagraph"/>
              <w:rPr>
                <w:rFonts w:ascii="Times New Roman"/>
                <w:sz w:val="20"/>
              </w:rPr>
            </w:pPr>
          </w:p>
        </w:tc>
      </w:tr>
      <w:tr>
        <w:trPr>
          <w:trHeight w:val="280" w:hRule="atLeast"/>
        </w:trPr>
        <w:tc>
          <w:tcPr>
            <w:tcW w:w="221" w:type="dxa"/>
            <w:vMerge/>
            <w:tcBorders>
              <w:top w:val="nil"/>
              <w:bottom w:val="nil"/>
            </w:tcBorders>
          </w:tcPr>
          <w:p>
            <w:pPr>
              <w:rPr>
                <w:sz w:val="2"/>
                <w:szCs w:val="2"/>
              </w:rPr>
            </w:pPr>
          </w:p>
        </w:tc>
        <w:tc>
          <w:tcPr>
            <w:tcW w:w="531" w:type="dxa"/>
          </w:tcPr>
          <w:p>
            <w:pPr>
              <w:pStyle w:val="TableParagraph"/>
              <w:rPr>
                <w:rFonts w:ascii="Times New Roman"/>
                <w:sz w:val="20"/>
              </w:rPr>
            </w:pPr>
          </w:p>
        </w:tc>
        <w:tc>
          <w:tcPr>
            <w:tcW w:w="3421" w:type="dxa"/>
          </w:tcPr>
          <w:p>
            <w:pPr>
              <w:pStyle w:val="TableParagraph"/>
              <w:rPr>
                <w:rFonts w:ascii="Times New Roman"/>
                <w:sz w:val="20"/>
              </w:rPr>
            </w:pPr>
          </w:p>
        </w:tc>
        <w:tc>
          <w:tcPr>
            <w:tcW w:w="1621" w:type="dxa"/>
            <w:gridSpan w:val="2"/>
          </w:tcPr>
          <w:p>
            <w:pPr>
              <w:pStyle w:val="TableParagraph"/>
              <w:rPr>
                <w:rFonts w:ascii="Times New Roman"/>
                <w:sz w:val="20"/>
              </w:rPr>
            </w:pPr>
          </w:p>
        </w:tc>
        <w:tc>
          <w:tcPr>
            <w:tcW w:w="1621" w:type="dxa"/>
          </w:tcPr>
          <w:p>
            <w:pPr>
              <w:pStyle w:val="TableParagraph"/>
              <w:rPr>
                <w:rFonts w:ascii="Times New Roman"/>
                <w:sz w:val="20"/>
              </w:rPr>
            </w:pPr>
          </w:p>
        </w:tc>
        <w:tc>
          <w:tcPr>
            <w:tcW w:w="1661" w:type="dxa"/>
            <w:tcBorders>
              <w:right w:val="single" w:sz="8" w:space="0" w:color="000000"/>
            </w:tcBorders>
          </w:tcPr>
          <w:p>
            <w:pPr>
              <w:pStyle w:val="TableParagraph"/>
              <w:rPr>
                <w:rFonts w:ascii="Times New Roman"/>
                <w:sz w:val="20"/>
              </w:rPr>
            </w:pPr>
          </w:p>
        </w:tc>
      </w:tr>
      <w:tr>
        <w:trPr>
          <w:trHeight w:val="280" w:hRule="atLeast"/>
        </w:trPr>
        <w:tc>
          <w:tcPr>
            <w:tcW w:w="221" w:type="dxa"/>
            <w:vMerge/>
            <w:tcBorders>
              <w:top w:val="nil"/>
              <w:bottom w:val="nil"/>
            </w:tcBorders>
          </w:tcPr>
          <w:p>
            <w:pPr>
              <w:rPr>
                <w:sz w:val="2"/>
                <w:szCs w:val="2"/>
              </w:rPr>
            </w:pPr>
          </w:p>
        </w:tc>
        <w:tc>
          <w:tcPr>
            <w:tcW w:w="531" w:type="dxa"/>
          </w:tcPr>
          <w:p>
            <w:pPr>
              <w:pStyle w:val="TableParagraph"/>
              <w:rPr>
                <w:rFonts w:ascii="Times New Roman"/>
                <w:sz w:val="20"/>
              </w:rPr>
            </w:pPr>
          </w:p>
        </w:tc>
        <w:tc>
          <w:tcPr>
            <w:tcW w:w="3421" w:type="dxa"/>
          </w:tcPr>
          <w:p>
            <w:pPr>
              <w:pStyle w:val="TableParagraph"/>
              <w:rPr>
                <w:rFonts w:ascii="Times New Roman"/>
                <w:sz w:val="20"/>
              </w:rPr>
            </w:pPr>
          </w:p>
        </w:tc>
        <w:tc>
          <w:tcPr>
            <w:tcW w:w="1621" w:type="dxa"/>
            <w:gridSpan w:val="2"/>
          </w:tcPr>
          <w:p>
            <w:pPr>
              <w:pStyle w:val="TableParagraph"/>
              <w:rPr>
                <w:rFonts w:ascii="Times New Roman"/>
                <w:sz w:val="20"/>
              </w:rPr>
            </w:pPr>
          </w:p>
        </w:tc>
        <w:tc>
          <w:tcPr>
            <w:tcW w:w="1621" w:type="dxa"/>
          </w:tcPr>
          <w:p>
            <w:pPr>
              <w:pStyle w:val="TableParagraph"/>
              <w:rPr>
                <w:rFonts w:ascii="Times New Roman"/>
                <w:sz w:val="20"/>
              </w:rPr>
            </w:pPr>
          </w:p>
        </w:tc>
        <w:tc>
          <w:tcPr>
            <w:tcW w:w="1661" w:type="dxa"/>
            <w:tcBorders>
              <w:right w:val="single" w:sz="8" w:space="0" w:color="000000"/>
            </w:tcBorders>
          </w:tcPr>
          <w:p>
            <w:pPr>
              <w:pStyle w:val="TableParagraph"/>
              <w:rPr>
                <w:rFonts w:ascii="Times New Roman"/>
                <w:sz w:val="20"/>
              </w:rPr>
            </w:pPr>
          </w:p>
        </w:tc>
      </w:tr>
      <w:tr>
        <w:trPr>
          <w:trHeight w:val="280" w:hRule="atLeast"/>
        </w:trPr>
        <w:tc>
          <w:tcPr>
            <w:tcW w:w="221" w:type="dxa"/>
            <w:vMerge/>
            <w:tcBorders>
              <w:top w:val="nil"/>
              <w:bottom w:val="nil"/>
            </w:tcBorders>
          </w:tcPr>
          <w:p>
            <w:pPr>
              <w:rPr>
                <w:sz w:val="2"/>
                <w:szCs w:val="2"/>
              </w:rPr>
            </w:pPr>
          </w:p>
        </w:tc>
        <w:tc>
          <w:tcPr>
            <w:tcW w:w="531" w:type="dxa"/>
          </w:tcPr>
          <w:p>
            <w:pPr>
              <w:pStyle w:val="TableParagraph"/>
              <w:rPr>
                <w:rFonts w:ascii="Times New Roman"/>
                <w:sz w:val="20"/>
              </w:rPr>
            </w:pPr>
          </w:p>
        </w:tc>
        <w:tc>
          <w:tcPr>
            <w:tcW w:w="3421" w:type="dxa"/>
          </w:tcPr>
          <w:p>
            <w:pPr>
              <w:pStyle w:val="TableParagraph"/>
              <w:rPr>
                <w:rFonts w:ascii="Times New Roman"/>
                <w:sz w:val="20"/>
              </w:rPr>
            </w:pPr>
          </w:p>
        </w:tc>
        <w:tc>
          <w:tcPr>
            <w:tcW w:w="1621" w:type="dxa"/>
            <w:gridSpan w:val="2"/>
          </w:tcPr>
          <w:p>
            <w:pPr>
              <w:pStyle w:val="TableParagraph"/>
              <w:rPr>
                <w:rFonts w:ascii="Times New Roman"/>
                <w:sz w:val="20"/>
              </w:rPr>
            </w:pPr>
          </w:p>
        </w:tc>
        <w:tc>
          <w:tcPr>
            <w:tcW w:w="1621" w:type="dxa"/>
          </w:tcPr>
          <w:p>
            <w:pPr>
              <w:pStyle w:val="TableParagraph"/>
              <w:rPr>
                <w:rFonts w:ascii="Times New Roman"/>
                <w:sz w:val="20"/>
              </w:rPr>
            </w:pPr>
          </w:p>
        </w:tc>
        <w:tc>
          <w:tcPr>
            <w:tcW w:w="1661" w:type="dxa"/>
            <w:tcBorders>
              <w:right w:val="single" w:sz="8" w:space="0" w:color="000000"/>
            </w:tcBorders>
          </w:tcPr>
          <w:p>
            <w:pPr>
              <w:pStyle w:val="TableParagraph"/>
              <w:rPr>
                <w:rFonts w:ascii="Times New Roman"/>
                <w:sz w:val="20"/>
              </w:rPr>
            </w:pPr>
          </w:p>
        </w:tc>
      </w:tr>
      <w:tr>
        <w:trPr>
          <w:trHeight w:val="1024" w:hRule="atLeast"/>
        </w:trPr>
        <w:tc>
          <w:tcPr>
            <w:tcW w:w="9076" w:type="dxa"/>
            <w:gridSpan w:val="7"/>
            <w:tcBorders>
              <w:top w:val="nil"/>
              <w:bottom w:val="single" w:sz="6" w:space="0" w:color="000000"/>
            </w:tcBorders>
          </w:tcPr>
          <w:p>
            <w:pPr>
              <w:pStyle w:val="TableParagraph"/>
              <w:spacing w:before="109"/>
              <w:ind w:left="6223"/>
              <w:rPr>
                <w:sz w:val="21"/>
              </w:rPr>
            </w:pPr>
            <w:r>
              <w:rPr>
                <w:sz w:val="21"/>
              </w:rPr>
              <w:t>承包人（章）</w:t>
            </w:r>
          </w:p>
          <w:p>
            <w:pPr>
              <w:pStyle w:val="TableParagraph"/>
              <w:tabs>
                <w:tab w:pos="2957" w:val="left" w:leader="none"/>
                <w:tab w:pos="5583" w:val="left" w:leader="none"/>
                <w:tab w:pos="6423" w:val="left" w:leader="none"/>
                <w:tab w:pos="8254" w:val="left" w:leader="none"/>
              </w:tabs>
              <w:spacing w:before="131"/>
              <w:ind w:left="542"/>
              <w:rPr>
                <w:rFonts w:ascii="Times New Roman" w:eastAsia="Times New Roman"/>
                <w:sz w:val="21"/>
              </w:rPr>
            </w:pPr>
            <w:r>
              <w:rPr>
                <w:sz w:val="21"/>
              </w:rPr>
              <w:t>造价</w:t>
            </w:r>
            <w:r>
              <w:rPr>
                <w:spacing w:val="-3"/>
                <w:sz w:val="21"/>
              </w:rPr>
              <w:t>人</w:t>
            </w:r>
            <w:r>
              <w:rPr>
                <w:sz w:val="21"/>
              </w:rPr>
              <w:t>员</w:t>
            </w:r>
            <w:r>
              <w:rPr>
                <w:sz w:val="21"/>
                <w:u w:val="single"/>
              </w:rPr>
              <w:t> </w:t>
              <w:tab/>
            </w:r>
            <w:r>
              <w:rPr>
                <w:sz w:val="21"/>
              </w:rPr>
              <w:t>承包</w:t>
            </w:r>
            <w:r>
              <w:rPr>
                <w:spacing w:val="-3"/>
                <w:sz w:val="21"/>
              </w:rPr>
              <w:t>人</w:t>
            </w:r>
            <w:r>
              <w:rPr>
                <w:sz w:val="21"/>
              </w:rPr>
              <w:t>代</w:t>
            </w:r>
            <w:r>
              <w:rPr>
                <w:spacing w:val="-3"/>
                <w:sz w:val="21"/>
              </w:rPr>
              <w:t>表</w:t>
            </w:r>
            <w:r>
              <w:rPr>
                <w:spacing w:val="-3"/>
                <w:sz w:val="21"/>
                <w:u w:val="single"/>
              </w:rPr>
              <w:t> </w:t>
              <w:tab/>
            </w:r>
            <w:r>
              <w:rPr>
                <w:sz w:val="21"/>
              </w:rPr>
              <w:t>日</w:t>
              <w:tab/>
              <w:t>期</w:t>
            </w:r>
            <w:r>
              <w:rPr>
                <w:rFonts w:ascii="Times New Roman" w:eastAsia="Times New Roman"/>
                <w:sz w:val="21"/>
                <w:u w:val="single"/>
              </w:rPr>
              <w:t> </w:t>
              <w:tab/>
            </w:r>
          </w:p>
        </w:tc>
      </w:tr>
      <w:tr>
        <w:trPr>
          <w:trHeight w:val="3237" w:hRule="atLeast"/>
        </w:trPr>
        <w:tc>
          <w:tcPr>
            <w:tcW w:w="4538" w:type="dxa"/>
            <w:gridSpan w:val="4"/>
            <w:tcBorders>
              <w:top w:val="single" w:sz="6" w:space="0" w:color="000000"/>
            </w:tcBorders>
          </w:tcPr>
          <w:p>
            <w:pPr>
              <w:pStyle w:val="TableParagraph"/>
              <w:spacing w:before="75"/>
              <w:ind w:left="107"/>
              <w:rPr>
                <w:sz w:val="21"/>
              </w:rPr>
            </w:pPr>
            <w:r>
              <w:rPr>
                <w:sz w:val="21"/>
              </w:rPr>
              <w:t>复核意见：</w:t>
            </w:r>
          </w:p>
          <w:p>
            <w:pPr>
              <w:pStyle w:val="TableParagraph"/>
              <w:spacing w:before="91"/>
              <w:ind w:left="419" w:right="-15"/>
              <w:rPr>
                <w:sz w:val="21"/>
              </w:rPr>
            </w:pPr>
            <w:r>
              <w:rPr>
                <w:spacing w:val="-11"/>
                <w:sz w:val="21"/>
              </w:rPr>
              <w:t>□与实际施工情况不相符，修改意见见附件。</w:t>
            </w:r>
          </w:p>
          <w:p>
            <w:pPr>
              <w:pStyle w:val="TableParagraph"/>
              <w:spacing w:line="321" w:lineRule="auto" w:before="91"/>
              <w:ind w:left="107" w:right="95" w:firstLine="311"/>
              <w:rPr>
                <w:sz w:val="21"/>
              </w:rPr>
            </w:pPr>
            <w:r>
              <w:rPr>
                <w:sz w:val="21"/>
              </w:rPr>
              <w:t>□与实际施工情况相符，具体金额由造价工程师复核。</w:t>
            </w:r>
          </w:p>
          <w:p>
            <w:pPr>
              <w:pStyle w:val="TableParagraph"/>
              <w:rPr>
                <w:sz w:val="20"/>
              </w:rPr>
            </w:pPr>
          </w:p>
          <w:p>
            <w:pPr>
              <w:pStyle w:val="TableParagraph"/>
              <w:rPr>
                <w:sz w:val="20"/>
              </w:rPr>
            </w:pPr>
          </w:p>
          <w:p>
            <w:pPr>
              <w:pStyle w:val="TableParagraph"/>
              <w:rPr>
                <w:sz w:val="20"/>
              </w:rPr>
            </w:pPr>
          </w:p>
          <w:p>
            <w:pPr>
              <w:pStyle w:val="TableParagraph"/>
              <w:spacing w:before="1"/>
              <w:rPr>
                <w:sz w:val="17"/>
              </w:rPr>
            </w:pPr>
          </w:p>
          <w:p>
            <w:pPr>
              <w:pStyle w:val="TableParagraph"/>
              <w:tabs>
                <w:tab w:pos="3221" w:val="left" w:leader="none"/>
                <w:tab w:pos="4476" w:val="left" w:leader="none"/>
              </w:tabs>
              <w:spacing w:line="360" w:lineRule="atLeast" w:before="1"/>
              <w:ind w:left="2381" w:right="49"/>
              <w:rPr>
                <w:rFonts w:ascii="Times New Roman" w:eastAsia="Times New Roman"/>
                <w:sz w:val="21"/>
              </w:rPr>
            </w:pPr>
            <w:r>
              <w:rPr>
                <w:spacing w:val="-3"/>
                <w:sz w:val="21"/>
              </w:rPr>
              <w:t>监</w:t>
            </w:r>
            <w:r>
              <w:rPr>
                <w:sz w:val="21"/>
              </w:rPr>
              <w:t>理</w:t>
            </w:r>
            <w:r>
              <w:rPr>
                <w:spacing w:val="-3"/>
                <w:sz w:val="21"/>
              </w:rPr>
              <w:t>工</w:t>
            </w:r>
            <w:r>
              <w:rPr>
                <w:sz w:val="21"/>
              </w:rPr>
              <w:t>程</w:t>
            </w:r>
            <w:r>
              <w:rPr>
                <w:spacing w:val="-3"/>
                <w:sz w:val="21"/>
              </w:rPr>
              <w:t>师</w:t>
            </w:r>
            <w:r>
              <w:rPr>
                <w:spacing w:val="-3"/>
                <w:sz w:val="21"/>
                <w:u w:val="single"/>
              </w:rPr>
              <w:tab/>
            </w:r>
            <w:r>
              <w:rPr>
                <w:sz w:val="21"/>
                <w:u w:val="single"/>
              </w:rPr>
              <w:t>        </w:t>
            </w:r>
            <w:r>
              <w:rPr>
                <w:sz w:val="21"/>
              </w:rPr>
              <w:t>日</w:t>
              <w:tab/>
            </w:r>
            <w:r>
              <w:rPr>
                <w:spacing w:val="-3"/>
                <w:sz w:val="21"/>
              </w:rPr>
              <w:t>期</w:t>
            </w:r>
            <w:r>
              <w:rPr>
                <w:rFonts w:ascii="Times New Roman" w:eastAsia="Times New Roman"/>
                <w:sz w:val="21"/>
                <w:u w:val="single"/>
              </w:rPr>
              <w:t> </w:t>
              <w:tab/>
            </w:r>
          </w:p>
        </w:tc>
        <w:tc>
          <w:tcPr>
            <w:tcW w:w="4538" w:type="dxa"/>
            <w:gridSpan w:val="3"/>
            <w:tcBorders>
              <w:top w:val="single" w:sz="6" w:space="0" w:color="000000"/>
            </w:tcBorders>
          </w:tcPr>
          <w:p>
            <w:pPr>
              <w:pStyle w:val="TableParagraph"/>
              <w:spacing w:before="75"/>
              <w:ind w:left="106"/>
              <w:rPr>
                <w:sz w:val="21"/>
              </w:rPr>
            </w:pPr>
            <w:r>
              <w:rPr>
                <w:sz w:val="21"/>
              </w:rPr>
              <w:t>复核意见：</w:t>
            </w:r>
          </w:p>
          <w:p>
            <w:pPr>
              <w:pStyle w:val="TableParagraph"/>
              <w:tabs>
                <w:tab w:pos="2216" w:val="left" w:leader="none"/>
                <w:tab w:pos="4112" w:val="left" w:leader="none"/>
              </w:tabs>
              <w:spacing w:line="321" w:lineRule="auto" w:before="91"/>
              <w:ind w:left="106" w:right="-15" w:firstLine="434"/>
              <w:rPr>
                <w:sz w:val="21"/>
              </w:rPr>
            </w:pPr>
            <w:r>
              <w:rPr>
                <w:sz w:val="21"/>
              </w:rPr>
              <w:t>你方</w:t>
            </w:r>
            <w:r>
              <w:rPr>
                <w:spacing w:val="-3"/>
                <w:sz w:val="21"/>
              </w:rPr>
              <w:t>提</w:t>
            </w:r>
            <w:r>
              <w:rPr>
                <w:sz w:val="21"/>
              </w:rPr>
              <w:t>出</w:t>
            </w:r>
            <w:r>
              <w:rPr>
                <w:spacing w:val="-3"/>
                <w:sz w:val="21"/>
              </w:rPr>
              <w:t>的</w:t>
            </w:r>
            <w:r>
              <w:rPr>
                <w:sz w:val="21"/>
              </w:rPr>
              <w:t>支</w:t>
            </w:r>
            <w:r>
              <w:rPr>
                <w:spacing w:val="-3"/>
                <w:sz w:val="21"/>
              </w:rPr>
              <w:t>付</w:t>
            </w:r>
            <w:r>
              <w:rPr>
                <w:sz w:val="21"/>
              </w:rPr>
              <w:t>申</w:t>
            </w:r>
            <w:r>
              <w:rPr>
                <w:spacing w:val="-3"/>
                <w:sz w:val="21"/>
              </w:rPr>
              <w:t>请</w:t>
            </w:r>
            <w:r>
              <w:rPr>
                <w:sz w:val="21"/>
              </w:rPr>
              <w:t>经</w:t>
            </w:r>
            <w:r>
              <w:rPr>
                <w:spacing w:val="-3"/>
                <w:sz w:val="21"/>
              </w:rPr>
              <w:t>复</w:t>
            </w:r>
            <w:r>
              <w:rPr>
                <w:sz w:val="21"/>
              </w:rPr>
              <w:t>核</w:t>
            </w:r>
            <w:r>
              <w:rPr>
                <w:spacing w:val="-106"/>
                <w:sz w:val="21"/>
              </w:rPr>
              <w:t>，</w:t>
            </w:r>
            <w:r>
              <w:rPr>
                <w:spacing w:val="-3"/>
                <w:sz w:val="21"/>
              </w:rPr>
              <w:t>最</w:t>
            </w:r>
            <w:r>
              <w:rPr>
                <w:sz w:val="21"/>
              </w:rPr>
              <w:t>终</w:t>
            </w:r>
            <w:r>
              <w:rPr>
                <w:spacing w:val="-3"/>
                <w:sz w:val="21"/>
              </w:rPr>
              <w:t>应</w:t>
            </w:r>
            <w:r>
              <w:rPr>
                <w:sz w:val="21"/>
              </w:rPr>
              <w:t>支</w:t>
            </w:r>
            <w:r>
              <w:rPr>
                <w:spacing w:val="-3"/>
                <w:sz w:val="21"/>
              </w:rPr>
              <w:t>付</w:t>
            </w:r>
            <w:r>
              <w:rPr>
                <w:sz w:val="21"/>
              </w:rPr>
              <w:t>金</w:t>
            </w:r>
            <w:r>
              <w:rPr>
                <w:w w:val="100"/>
                <w:sz w:val="21"/>
              </w:rPr>
              <w:t>额</w:t>
            </w:r>
            <w:r>
              <w:rPr>
                <w:spacing w:val="-104"/>
                <w:w w:val="100"/>
                <w:sz w:val="21"/>
              </w:rPr>
              <w:t>为</w:t>
            </w:r>
            <w:r>
              <w:rPr>
                <w:w w:val="100"/>
                <w:sz w:val="21"/>
              </w:rPr>
              <w:t>（</w:t>
            </w:r>
            <w:r>
              <w:rPr>
                <w:spacing w:val="-3"/>
                <w:w w:val="100"/>
                <w:sz w:val="21"/>
              </w:rPr>
              <w:t>大</w:t>
            </w:r>
            <w:r>
              <w:rPr>
                <w:w w:val="100"/>
                <w:sz w:val="21"/>
              </w:rPr>
              <w:t>写</w:t>
            </w:r>
            <w:r>
              <w:rPr>
                <w:w w:val="100"/>
                <w:sz w:val="21"/>
                <w:u w:val="single"/>
              </w:rPr>
              <w:t>）</w:t>
            </w:r>
            <w:r>
              <w:rPr>
                <w:sz w:val="21"/>
                <w:u w:val="single"/>
              </w:rPr>
              <w:tab/>
            </w:r>
            <w:r>
              <w:rPr>
                <w:spacing w:val="-3"/>
                <w:w w:val="100"/>
                <w:sz w:val="21"/>
              </w:rPr>
              <w:t>元</w:t>
            </w:r>
            <w:r>
              <w:rPr>
                <w:spacing w:val="-209"/>
                <w:w w:val="100"/>
                <w:sz w:val="21"/>
              </w:rPr>
              <w:t>，</w:t>
            </w:r>
            <w:r>
              <w:rPr>
                <w:w w:val="100"/>
                <w:sz w:val="21"/>
              </w:rPr>
              <w:t>（</w:t>
            </w:r>
            <w:r>
              <w:rPr>
                <w:spacing w:val="-3"/>
                <w:w w:val="100"/>
                <w:sz w:val="21"/>
              </w:rPr>
              <w:t>小</w:t>
            </w:r>
            <w:r>
              <w:rPr>
                <w:w w:val="100"/>
                <w:sz w:val="21"/>
              </w:rPr>
              <w:t>写）</w:t>
            </w:r>
            <w:r>
              <w:rPr>
                <w:spacing w:val="3"/>
                <w:sz w:val="21"/>
              </w:rPr>
              <w:t> </w:t>
            </w:r>
            <w:r>
              <w:rPr>
                <w:rFonts w:ascii="Times New Roman" w:eastAsia="Times New Roman"/>
                <w:w w:val="100"/>
                <w:sz w:val="21"/>
                <w:u w:val="single"/>
              </w:rPr>
              <w:t> </w:t>
            </w:r>
            <w:r>
              <w:rPr>
                <w:rFonts w:ascii="Times New Roman" w:eastAsia="Times New Roman"/>
                <w:sz w:val="21"/>
                <w:u w:val="single"/>
              </w:rPr>
              <w:tab/>
            </w:r>
            <w:r>
              <w:rPr>
                <w:w w:val="100"/>
                <w:sz w:val="21"/>
              </w:rPr>
              <w:t>元</w:t>
            </w:r>
            <w:r>
              <w:rPr>
                <w:spacing w:val="-12"/>
                <w:w w:val="100"/>
                <w:sz w:val="21"/>
              </w:rPr>
              <w:t>。</w:t>
            </w: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3"/>
              <w:rPr>
                <w:sz w:val="17"/>
              </w:rPr>
            </w:pPr>
          </w:p>
          <w:p>
            <w:pPr>
              <w:pStyle w:val="TableParagraph"/>
              <w:tabs>
                <w:tab w:pos="3011" w:val="left" w:leader="none"/>
                <w:tab w:pos="4422" w:val="left" w:leader="none"/>
              </w:tabs>
              <w:spacing w:line="360" w:lineRule="atLeast"/>
              <w:ind w:left="2170" w:right="103"/>
              <w:rPr>
                <w:rFonts w:ascii="Times New Roman" w:eastAsia="Times New Roman"/>
                <w:sz w:val="21"/>
              </w:rPr>
            </w:pPr>
            <w:r>
              <w:rPr>
                <w:spacing w:val="-3"/>
                <w:sz w:val="21"/>
              </w:rPr>
              <w:t>造</w:t>
            </w:r>
            <w:r>
              <w:rPr>
                <w:spacing w:val="-1"/>
                <w:sz w:val="21"/>
              </w:rPr>
              <w:t>价</w:t>
            </w:r>
            <w:r>
              <w:rPr>
                <w:spacing w:val="-3"/>
                <w:sz w:val="21"/>
              </w:rPr>
              <w:t>工</w:t>
            </w:r>
            <w:r>
              <w:rPr>
                <w:spacing w:val="-1"/>
                <w:sz w:val="21"/>
              </w:rPr>
              <w:t>程</w:t>
            </w:r>
            <w:r>
              <w:rPr>
                <w:sz w:val="21"/>
              </w:rPr>
              <w:t>师</w:t>
            </w:r>
            <w:r>
              <w:rPr>
                <w:sz w:val="21"/>
                <w:u w:val="single"/>
              </w:rPr>
              <w:tab/>
              <w:t>          </w:t>
            </w:r>
            <w:r>
              <w:rPr>
                <w:sz w:val="21"/>
              </w:rPr>
              <w:t>日</w:t>
              <w:tab/>
            </w:r>
            <w:r>
              <w:rPr>
                <w:spacing w:val="-3"/>
                <w:sz w:val="21"/>
              </w:rPr>
              <w:t>期</w:t>
            </w:r>
            <w:r>
              <w:rPr>
                <w:rFonts w:ascii="Times New Roman" w:eastAsia="Times New Roman"/>
                <w:sz w:val="21"/>
                <w:u w:val="single"/>
              </w:rPr>
              <w:t> </w:t>
              <w:tab/>
            </w:r>
          </w:p>
        </w:tc>
      </w:tr>
      <w:tr>
        <w:trPr>
          <w:trHeight w:val="2400" w:hRule="atLeast"/>
        </w:trPr>
        <w:tc>
          <w:tcPr>
            <w:tcW w:w="9076" w:type="dxa"/>
            <w:gridSpan w:val="7"/>
          </w:tcPr>
          <w:p>
            <w:pPr>
              <w:pStyle w:val="TableParagraph"/>
              <w:spacing w:before="109"/>
              <w:ind w:left="107"/>
              <w:rPr>
                <w:sz w:val="21"/>
              </w:rPr>
            </w:pPr>
            <w:r>
              <w:rPr>
                <w:sz w:val="21"/>
              </w:rPr>
              <w:t>审核意见：</w:t>
            </w:r>
          </w:p>
          <w:p>
            <w:pPr>
              <w:pStyle w:val="TableParagraph"/>
              <w:spacing w:before="132"/>
              <w:ind w:left="542"/>
              <w:rPr>
                <w:sz w:val="21"/>
              </w:rPr>
            </w:pPr>
            <w:r>
              <w:rPr>
                <w:sz w:val="21"/>
              </w:rPr>
              <w:t>□不同意。</w:t>
            </w:r>
          </w:p>
          <w:p>
            <w:pPr>
              <w:pStyle w:val="TableParagraph"/>
              <w:tabs>
                <w:tab w:pos="4101" w:val="left" w:leader="none"/>
              </w:tabs>
              <w:spacing w:before="129"/>
              <w:ind w:left="527"/>
              <w:rPr>
                <w:sz w:val="21"/>
              </w:rPr>
            </w:pPr>
            <w:r>
              <w:rPr>
                <w:sz w:val="21"/>
              </w:rPr>
              <w:t>□同</w:t>
            </w:r>
            <w:r>
              <w:rPr>
                <w:spacing w:val="-3"/>
                <w:sz w:val="21"/>
              </w:rPr>
              <w:t>意</w:t>
            </w:r>
            <w:r>
              <w:rPr>
                <w:sz w:val="21"/>
              </w:rPr>
              <w:t>，</w:t>
            </w:r>
            <w:r>
              <w:rPr>
                <w:spacing w:val="-3"/>
                <w:sz w:val="21"/>
              </w:rPr>
              <w:t>支</w:t>
            </w:r>
            <w:r>
              <w:rPr>
                <w:sz w:val="21"/>
              </w:rPr>
              <w:t>付</w:t>
            </w:r>
            <w:r>
              <w:rPr>
                <w:spacing w:val="-3"/>
                <w:sz w:val="21"/>
              </w:rPr>
              <w:t>时</w:t>
            </w:r>
            <w:r>
              <w:rPr>
                <w:sz w:val="21"/>
              </w:rPr>
              <w:t>间</w:t>
            </w:r>
            <w:r>
              <w:rPr>
                <w:spacing w:val="-3"/>
                <w:sz w:val="21"/>
              </w:rPr>
              <w:t>为</w:t>
            </w:r>
            <w:r>
              <w:rPr>
                <w:sz w:val="21"/>
              </w:rPr>
              <w:t>本</w:t>
            </w:r>
            <w:r>
              <w:rPr>
                <w:spacing w:val="-3"/>
                <w:sz w:val="21"/>
              </w:rPr>
              <w:t>表</w:t>
            </w:r>
            <w:r>
              <w:rPr>
                <w:sz w:val="21"/>
              </w:rPr>
              <w:t>签发</w:t>
            </w:r>
            <w:r>
              <w:rPr>
                <w:spacing w:val="-3"/>
                <w:sz w:val="21"/>
              </w:rPr>
              <w:t>后</w:t>
            </w:r>
            <w:r>
              <w:rPr>
                <w:sz w:val="21"/>
              </w:rPr>
              <w:t>的</w:t>
            </w:r>
            <w:r>
              <w:rPr>
                <w:sz w:val="21"/>
                <w:u w:val="single"/>
              </w:rPr>
              <w:t> </w:t>
              <w:tab/>
            </w:r>
            <w:r>
              <w:rPr>
                <w:spacing w:val="-3"/>
                <w:sz w:val="21"/>
              </w:rPr>
              <w:t>天</w:t>
            </w:r>
            <w:r>
              <w:rPr>
                <w:sz w:val="21"/>
              </w:rPr>
              <w:t>内。</w:t>
            </w:r>
          </w:p>
          <w:p>
            <w:pPr>
              <w:pStyle w:val="TableParagraph"/>
              <w:spacing w:before="132"/>
              <w:ind w:left="6550"/>
              <w:rPr>
                <w:sz w:val="21"/>
              </w:rPr>
            </w:pPr>
            <w:r>
              <w:rPr>
                <w:sz w:val="21"/>
              </w:rPr>
              <w:t>发包人（章）</w:t>
            </w:r>
          </w:p>
          <w:p>
            <w:pPr>
              <w:pStyle w:val="TableParagraph"/>
              <w:tabs>
                <w:tab w:pos="7393" w:val="left" w:leader="none"/>
                <w:tab w:pos="9013" w:val="left" w:leader="none"/>
              </w:tabs>
              <w:spacing w:line="400" w:lineRule="atLeast" w:before="1"/>
              <w:ind w:left="6550" w:right="50"/>
              <w:rPr>
                <w:rFonts w:ascii="Times New Roman" w:eastAsia="Times New Roman"/>
                <w:sz w:val="21"/>
              </w:rPr>
            </w:pPr>
            <w:r>
              <w:rPr>
                <w:spacing w:val="-1"/>
                <w:sz w:val="21"/>
              </w:rPr>
              <w:t>发包</w:t>
            </w:r>
            <w:r>
              <w:rPr>
                <w:spacing w:val="-3"/>
                <w:sz w:val="21"/>
              </w:rPr>
              <w:t>人</w:t>
            </w:r>
            <w:r>
              <w:rPr>
                <w:sz w:val="21"/>
              </w:rPr>
              <w:t>代表</w:t>
            </w:r>
            <w:r>
              <w:rPr>
                <w:sz w:val="21"/>
                <w:u w:val="single"/>
              </w:rPr>
              <w:tab/>
              <w:t>            </w:t>
            </w:r>
            <w:r>
              <w:rPr>
                <w:sz w:val="21"/>
              </w:rPr>
              <w:t>日</w:t>
              <w:tab/>
            </w:r>
            <w:r>
              <w:rPr>
                <w:spacing w:val="-3"/>
                <w:sz w:val="21"/>
              </w:rPr>
              <w:t>期</w:t>
            </w:r>
            <w:r>
              <w:rPr>
                <w:rFonts w:ascii="Times New Roman" w:eastAsia="Times New Roman"/>
                <w:sz w:val="21"/>
                <w:u w:val="single"/>
              </w:rPr>
              <w:t> </w:t>
              <w:tab/>
            </w:r>
          </w:p>
        </w:tc>
      </w:tr>
    </w:tbl>
    <w:p>
      <w:pPr>
        <w:spacing w:before="120"/>
        <w:ind w:left="1038" w:right="0" w:firstLine="0"/>
        <w:jc w:val="left"/>
        <w:rPr>
          <w:sz w:val="18"/>
        </w:rPr>
      </w:pPr>
      <w:r>
        <w:rPr>
          <w:sz w:val="18"/>
        </w:rPr>
        <w:t>注：</w:t>
      </w:r>
      <w:r>
        <w:rPr>
          <w:rFonts w:ascii="Times New Roman" w:hAnsi="Times New Roman" w:eastAsia="Times New Roman"/>
          <w:spacing w:val="1"/>
          <w:sz w:val="18"/>
        </w:rPr>
        <w:t>1</w:t>
      </w:r>
      <w:r>
        <w:rPr>
          <w:rFonts w:ascii="Times New Roman" w:hAnsi="Times New Roman" w:eastAsia="Times New Roman"/>
          <w:sz w:val="18"/>
        </w:rPr>
        <w:t>.</w:t>
      </w:r>
      <w:r>
        <w:rPr>
          <w:spacing w:val="-7"/>
          <w:sz w:val="18"/>
        </w:rPr>
        <w:t>在选择栏中的“□”内作标识“√”。 如监理人已退场，监理工程师栏可空缺。</w:t>
      </w:r>
    </w:p>
    <w:p>
      <w:pPr>
        <w:spacing w:before="122"/>
        <w:ind w:left="1400" w:right="0" w:firstLine="0"/>
        <w:jc w:val="left"/>
        <w:rPr>
          <w:sz w:val="18"/>
        </w:rPr>
      </w:pPr>
      <w:r>
        <w:rPr>
          <w:rFonts w:ascii="Times New Roman" w:eastAsia="Times New Roman"/>
          <w:sz w:val="18"/>
        </w:rPr>
        <w:t>2.</w:t>
      </w:r>
      <w:r>
        <w:rPr>
          <w:sz w:val="18"/>
        </w:rPr>
        <w:t>本表一式四份，由承包人填报，发包人、监理人、造价咨询人、承包人各存一份。</w:t>
      </w:r>
    </w:p>
    <w:p>
      <w:pPr>
        <w:spacing w:after="0"/>
        <w:jc w:val="left"/>
        <w:rPr>
          <w:sz w:val="18"/>
        </w:rPr>
        <w:sectPr>
          <w:pgSz w:w="11910" w:h="16850"/>
          <w:pgMar w:header="0" w:footer="779" w:top="1400" w:bottom="1040" w:left="1120" w:right="280"/>
        </w:sectPr>
      </w:pPr>
    </w:p>
    <w:p>
      <w:pPr>
        <w:pStyle w:val="Heading4"/>
      </w:pPr>
      <w:r>
        <w:rPr/>
        <w:t> </w:t>
      </w:r>
    </w:p>
    <w:p>
      <w:pPr>
        <w:spacing w:before="5"/>
        <w:ind w:left="678" w:right="0" w:firstLine="0"/>
        <w:jc w:val="left"/>
        <w:rPr>
          <w:sz w:val="30"/>
        </w:rPr>
      </w:pPr>
      <w:r>
        <w:rPr>
          <w:sz w:val="30"/>
        </w:rPr>
        <w:t>附件 </w:t>
      </w:r>
      <w:r>
        <w:rPr>
          <w:rFonts w:ascii="Times New Roman" w:eastAsia="Times New Roman"/>
          <w:sz w:val="30"/>
        </w:rPr>
        <w:t>14</w:t>
      </w:r>
      <w:r>
        <w:rPr>
          <w:sz w:val="30"/>
        </w:rPr>
        <w:t>：</w:t>
      </w:r>
    </w:p>
    <w:p>
      <w:pPr>
        <w:spacing w:before="199"/>
        <w:ind w:left="3213" w:right="0" w:firstLine="0"/>
        <w:jc w:val="left"/>
        <w:rPr>
          <w:sz w:val="36"/>
        </w:rPr>
      </w:pPr>
      <w:r>
        <w:rPr>
          <w:sz w:val="36"/>
        </w:rPr>
        <w:t>总价合同进度款支付分解表 </w:t>
      </w:r>
    </w:p>
    <w:p>
      <w:pPr>
        <w:pStyle w:val="BodyText"/>
        <w:spacing w:before="2"/>
        <w:ind w:left="0"/>
        <w:rPr>
          <w:sz w:val="13"/>
        </w:rPr>
      </w:pPr>
    </w:p>
    <w:p>
      <w:pPr>
        <w:pStyle w:val="BodyText"/>
        <w:spacing w:before="72"/>
      </w:pPr>
      <w:r>
        <w:rPr/>
        <w:t>工程名称： </w:t>
      </w:r>
    </w:p>
    <w:p>
      <w:pPr>
        <w:pStyle w:val="BodyText"/>
        <w:spacing w:before="9"/>
        <w:ind w:left="0"/>
        <w:rPr>
          <w:sz w:val="10"/>
        </w:r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
        <w:gridCol w:w="1416"/>
        <w:gridCol w:w="3121"/>
        <w:gridCol w:w="675"/>
        <w:gridCol w:w="2269"/>
        <w:gridCol w:w="1157"/>
        <w:gridCol w:w="120"/>
      </w:tblGrid>
      <w:tr>
        <w:trPr>
          <w:trHeight w:val="410" w:hRule="atLeast"/>
        </w:trPr>
        <w:tc>
          <w:tcPr>
            <w:tcW w:w="113" w:type="dxa"/>
            <w:tcBorders>
              <w:top w:val="nil"/>
              <w:left w:val="nil"/>
              <w:bottom w:val="nil"/>
            </w:tcBorders>
          </w:tcPr>
          <w:p>
            <w:pPr>
              <w:pStyle w:val="TableParagraph"/>
              <w:rPr>
                <w:rFonts w:ascii="Times New Roman"/>
                <w:sz w:val="22"/>
              </w:rPr>
            </w:pPr>
          </w:p>
        </w:tc>
        <w:tc>
          <w:tcPr>
            <w:tcW w:w="1416" w:type="dxa"/>
          </w:tcPr>
          <w:p>
            <w:pPr>
              <w:pStyle w:val="TableParagraph"/>
              <w:spacing w:before="1"/>
              <w:ind w:left="215" w:right="101"/>
              <w:jc w:val="center"/>
              <w:rPr>
                <w:sz w:val="21"/>
              </w:rPr>
            </w:pPr>
            <w:r>
              <w:rPr>
                <w:sz w:val="21"/>
              </w:rPr>
              <w:t>进度款期次 </w:t>
            </w:r>
          </w:p>
        </w:tc>
        <w:tc>
          <w:tcPr>
            <w:tcW w:w="3796" w:type="dxa"/>
            <w:gridSpan w:val="2"/>
          </w:tcPr>
          <w:p>
            <w:pPr>
              <w:pStyle w:val="TableParagraph"/>
              <w:spacing w:before="1"/>
              <w:ind w:left="1508" w:right="1397"/>
              <w:jc w:val="center"/>
              <w:rPr>
                <w:sz w:val="21"/>
              </w:rPr>
            </w:pPr>
            <w:r>
              <w:rPr>
                <w:sz w:val="21"/>
              </w:rPr>
              <w:t>形象进度 </w:t>
            </w:r>
          </w:p>
        </w:tc>
        <w:tc>
          <w:tcPr>
            <w:tcW w:w="2269" w:type="dxa"/>
          </w:tcPr>
          <w:p>
            <w:pPr>
              <w:pStyle w:val="TableParagraph"/>
              <w:spacing w:before="1"/>
              <w:ind w:left="157" w:right="36"/>
              <w:jc w:val="center"/>
              <w:rPr>
                <w:sz w:val="21"/>
              </w:rPr>
            </w:pPr>
            <w:r>
              <w:rPr>
                <w:spacing w:val="-3"/>
                <w:sz w:val="21"/>
              </w:rPr>
              <w:t>进度款付款金额</w:t>
            </w:r>
            <w:r>
              <w:rPr>
                <w:sz w:val="21"/>
              </w:rPr>
              <w:t>（</w:t>
            </w:r>
            <w:r>
              <w:rPr>
                <w:spacing w:val="-3"/>
                <w:sz w:val="21"/>
              </w:rPr>
              <w:t>元</w:t>
            </w:r>
            <w:r>
              <w:rPr>
                <w:spacing w:val="-51"/>
                <w:sz w:val="21"/>
              </w:rPr>
              <w:t>）</w:t>
            </w:r>
            <w:r>
              <w:rPr>
                <w:sz w:val="21"/>
              </w:rPr>
              <w:t> </w:t>
            </w:r>
          </w:p>
        </w:tc>
        <w:tc>
          <w:tcPr>
            <w:tcW w:w="1277" w:type="dxa"/>
            <w:gridSpan w:val="2"/>
          </w:tcPr>
          <w:p>
            <w:pPr>
              <w:pStyle w:val="TableParagraph"/>
              <w:spacing w:before="1"/>
              <w:ind w:left="425"/>
              <w:rPr>
                <w:sz w:val="21"/>
              </w:rPr>
            </w:pPr>
            <w:r>
              <w:rPr>
                <w:sz w:val="21"/>
              </w:rPr>
              <w:t>备注 </w:t>
            </w:r>
          </w:p>
        </w:tc>
      </w:tr>
      <w:tr>
        <w:trPr>
          <w:trHeight w:val="407" w:hRule="atLeast"/>
        </w:trPr>
        <w:tc>
          <w:tcPr>
            <w:tcW w:w="113" w:type="dxa"/>
            <w:tcBorders>
              <w:top w:val="nil"/>
              <w:left w:val="nil"/>
              <w:bottom w:val="nil"/>
            </w:tcBorders>
          </w:tcPr>
          <w:p>
            <w:pPr>
              <w:pStyle w:val="TableParagraph"/>
              <w:rPr>
                <w:rFonts w:ascii="Times New Roman"/>
                <w:sz w:val="22"/>
              </w:rPr>
            </w:pPr>
          </w:p>
        </w:tc>
        <w:tc>
          <w:tcPr>
            <w:tcW w:w="1416" w:type="dxa"/>
          </w:tcPr>
          <w:p>
            <w:pPr>
              <w:pStyle w:val="TableParagraph"/>
              <w:spacing w:before="1"/>
              <w:ind w:left="213" w:right="101"/>
              <w:jc w:val="center"/>
              <w:rPr>
                <w:sz w:val="21"/>
              </w:rPr>
            </w:pPr>
            <w:r>
              <w:rPr>
                <w:sz w:val="21"/>
              </w:rPr>
              <w:t>第一期 </w:t>
            </w:r>
          </w:p>
        </w:tc>
        <w:tc>
          <w:tcPr>
            <w:tcW w:w="3796" w:type="dxa"/>
            <w:gridSpan w:val="2"/>
          </w:tcPr>
          <w:p>
            <w:pPr>
              <w:pStyle w:val="TableParagraph"/>
              <w:spacing w:before="1"/>
              <w:ind w:left="111"/>
              <w:jc w:val="center"/>
              <w:rPr>
                <w:sz w:val="21"/>
              </w:rPr>
            </w:pPr>
            <w:r>
              <w:rPr>
                <w:w w:val="100"/>
                <w:sz w:val="21"/>
              </w:rPr>
              <w:t> </w:t>
            </w:r>
          </w:p>
        </w:tc>
        <w:tc>
          <w:tcPr>
            <w:tcW w:w="2269" w:type="dxa"/>
          </w:tcPr>
          <w:p>
            <w:pPr>
              <w:pStyle w:val="TableParagraph"/>
              <w:spacing w:before="1"/>
              <w:ind w:left="110"/>
              <w:jc w:val="center"/>
              <w:rPr>
                <w:sz w:val="21"/>
              </w:rPr>
            </w:pPr>
            <w:r>
              <w:rPr>
                <w:w w:val="100"/>
                <w:sz w:val="21"/>
              </w:rPr>
              <w:t> </w:t>
            </w:r>
          </w:p>
        </w:tc>
        <w:tc>
          <w:tcPr>
            <w:tcW w:w="1277" w:type="dxa"/>
            <w:gridSpan w:val="2"/>
          </w:tcPr>
          <w:p>
            <w:pPr>
              <w:pStyle w:val="TableParagraph"/>
              <w:spacing w:before="1"/>
              <w:ind w:left="112"/>
              <w:jc w:val="center"/>
              <w:rPr>
                <w:sz w:val="21"/>
              </w:rPr>
            </w:pPr>
            <w:r>
              <w:rPr>
                <w:w w:val="100"/>
                <w:sz w:val="21"/>
              </w:rPr>
              <w:t> </w:t>
            </w:r>
          </w:p>
        </w:tc>
      </w:tr>
      <w:tr>
        <w:trPr>
          <w:trHeight w:val="407" w:hRule="atLeast"/>
        </w:trPr>
        <w:tc>
          <w:tcPr>
            <w:tcW w:w="113" w:type="dxa"/>
            <w:tcBorders>
              <w:top w:val="nil"/>
              <w:left w:val="nil"/>
              <w:bottom w:val="nil"/>
            </w:tcBorders>
          </w:tcPr>
          <w:p>
            <w:pPr>
              <w:pStyle w:val="TableParagraph"/>
              <w:rPr>
                <w:rFonts w:ascii="Times New Roman"/>
                <w:sz w:val="22"/>
              </w:rPr>
            </w:pPr>
          </w:p>
        </w:tc>
        <w:tc>
          <w:tcPr>
            <w:tcW w:w="1416" w:type="dxa"/>
          </w:tcPr>
          <w:p>
            <w:pPr>
              <w:pStyle w:val="TableParagraph"/>
              <w:spacing w:before="1"/>
              <w:ind w:left="213" w:right="101"/>
              <w:jc w:val="center"/>
              <w:rPr>
                <w:sz w:val="21"/>
              </w:rPr>
            </w:pPr>
            <w:r>
              <w:rPr>
                <w:sz w:val="21"/>
              </w:rPr>
              <w:t>第二期 </w:t>
            </w:r>
          </w:p>
        </w:tc>
        <w:tc>
          <w:tcPr>
            <w:tcW w:w="3796" w:type="dxa"/>
            <w:gridSpan w:val="2"/>
          </w:tcPr>
          <w:p>
            <w:pPr>
              <w:pStyle w:val="TableParagraph"/>
              <w:spacing w:before="1"/>
              <w:ind w:left="111"/>
              <w:jc w:val="center"/>
              <w:rPr>
                <w:sz w:val="21"/>
              </w:rPr>
            </w:pPr>
            <w:r>
              <w:rPr>
                <w:w w:val="100"/>
                <w:sz w:val="21"/>
              </w:rPr>
              <w:t> </w:t>
            </w:r>
          </w:p>
        </w:tc>
        <w:tc>
          <w:tcPr>
            <w:tcW w:w="2269" w:type="dxa"/>
          </w:tcPr>
          <w:p>
            <w:pPr>
              <w:pStyle w:val="TableParagraph"/>
              <w:spacing w:before="1"/>
              <w:ind w:left="110"/>
              <w:jc w:val="center"/>
              <w:rPr>
                <w:sz w:val="21"/>
              </w:rPr>
            </w:pPr>
            <w:r>
              <w:rPr>
                <w:w w:val="100"/>
                <w:sz w:val="21"/>
              </w:rPr>
              <w:t> </w:t>
            </w:r>
          </w:p>
        </w:tc>
        <w:tc>
          <w:tcPr>
            <w:tcW w:w="1277" w:type="dxa"/>
            <w:gridSpan w:val="2"/>
          </w:tcPr>
          <w:p>
            <w:pPr>
              <w:pStyle w:val="TableParagraph"/>
              <w:spacing w:before="1"/>
              <w:ind w:left="112"/>
              <w:jc w:val="center"/>
              <w:rPr>
                <w:sz w:val="21"/>
              </w:rPr>
            </w:pPr>
            <w:r>
              <w:rPr>
                <w:w w:val="100"/>
                <w:sz w:val="21"/>
              </w:rPr>
              <w:t> </w:t>
            </w:r>
          </w:p>
        </w:tc>
      </w:tr>
      <w:tr>
        <w:trPr>
          <w:trHeight w:val="410" w:hRule="atLeast"/>
        </w:trPr>
        <w:tc>
          <w:tcPr>
            <w:tcW w:w="113" w:type="dxa"/>
            <w:tcBorders>
              <w:top w:val="nil"/>
              <w:left w:val="nil"/>
              <w:bottom w:val="nil"/>
            </w:tcBorders>
          </w:tcPr>
          <w:p>
            <w:pPr>
              <w:pStyle w:val="TableParagraph"/>
              <w:rPr>
                <w:rFonts w:ascii="Times New Roman"/>
                <w:sz w:val="22"/>
              </w:rPr>
            </w:pPr>
          </w:p>
        </w:tc>
        <w:tc>
          <w:tcPr>
            <w:tcW w:w="1416" w:type="dxa"/>
          </w:tcPr>
          <w:p>
            <w:pPr>
              <w:pStyle w:val="TableParagraph"/>
              <w:spacing w:before="3"/>
              <w:ind w:left="213" w:right="101"/>
              <w:jc w:val="center"/>
              <w:rPr>
                <w:sz w:val="21"/>
              </w:rPr>
            </w:pPr>
            <w:r>
              <w:rPr>
                <w:sz w:val="21"/>
              </w:rPr>
              <w:t>第三期 </w:t>
            </w:r>
          </w:p>
        </w:tc>
        <w:tc>
          <w:tcPr>
            <w:tcW w:w="3796" w:type="dxa"/>
            <w:gridSpan w:val="2"/>
          </w:tcPr>
          <w:p>
            <w:pPr>
              <w:pStyle w:val="TableParagraph"/>
              <w:spacing w:before="3"/>
              <w:ind w:left="111"/>
              <w:jc w:val="center"/>
              <w:rPr>
                <w:sz w:val="21"/>
              </w:rPr>
            </w:pPr>
            <w:r>
              <w:rPr>
                <w:w w:val="100"/>
                <w:sz w:val="21"/>
              </w:rPr>
              <w:t> </w:t>
            </w:r>
          </w:p>
        </w:tc>
        <w:tc>
          <w:tcPr>
            <w:tcW w:w="2269" w:type="dxa"/>
          </w:tcPr>
          <w:p>
            <w:pPr>
              <w:pStyle w:val="TableParagraph"/>
              <w:spacing w:before="3"/>
              <w:ind w:left="110"/>
              <w:jc w:val="center"/>
              <w:rPr>
                <w:sz w:val="21"/>
              </w:rPr>
            </w:pPr>
            <w:r>
              <w:rPr>
                <w:w w:val="100"/>
                <w:sz w:val="21"/>
              </w:rPr>
              <w:t> </w:t>
            </w:r>
          </w:p>
        </w:tc>
        <w:tc>
          <w:tcPr>
            <w:tcW w:w="1277" w:type="dxa"/>
            <w:gridSpan w:val="2"/>
          </w:tcPr>
          <w:p>
            <w:pPr>
              <w:pStyle w:val="TableParagraph"/>
              <w:spacing w:before="3"/>
              <w:ind w:left="112"/>
              <w:jc w:val="center"/>
              <w:rPr>
                <w:sz w:val="21"/>
              </w:rPr>
            </w:pPr>
            <w:r>
              <w:rPr>
                <w:w w:val="100"/>
                <w:sz w:val="21"/>
              </w:rPr>
              <w:t> </w:t>
            </w:r>
          </w:p>
        </w:tc>
      </w:tr>
      <w:tr>
        <w:trPr>
          <w:trHeight w:val="407" w:hRule="atLeast"/>
        </w:trPr>
        <w:tc>
          <w:tcPr>
            <w:tcW w:w="113" w:type="dxa"/>
            <w:tcBorders>
              <w:top w:val="nil"/>
              <w:left w:val="nil"/>
            </w:tcBorders>
          </w:tcPr>
          <w:p>
            <w:pPr>
              <w:pStyle w:val="TableParagraph"/>
              <w:rPr>
                <w:rFonts w:ascii="Times New Roman"/>
                <w:sz w:val="22"/>
              </w:rPr>
            </w:pPr>
          </w:p>
        </w:tc>
        <w:tc>
          <w:tcPr>
            <w:tcW w:w="1416" w:type="dxa"/>
          </w:tcPr>
          <w:p>
            <w:pPr>
              <w:pStyle w:val="TableParagraph"/>
              <w:spacing w:before="1"/>
              <w:ind w:left="213" w:right="101"/>
              <w:jc w:val="center"/>
              <w:rPr>
                <w:sz w:val="21"/>
              </w:rPr>
            </w:pPr>
            <w:r>
              <w:rPr>
                <w:sz w:val="21"/>
              </w:rPr>
              <w:t>…… </w:t>
            </w:r>
          </w:p>
        </w:tc>
        <w:tc>
          <w:tcPr>
            <w:tcW w:w="3796" w:type="dxa"/>
            <w:gridSpan w:val="2"/>
          </w:tcPr>
          <w:p>
            <w:pPr>
              <w:pStyle w:val="TableParagraph"/>
              <w:spacing w:before="1"/>
              <w:ind w:left="111"/>
              <w:jc w:val="center"/>
              <w:rPr>
                <w:sz w:val="21"/>
              </w:rPr>
            </w:pPr>
            <w:r>
              <w:rPr>
                <w:w w:val="100"/>
                <w:sz w:val="21"/>
              </w:rPr>
              <w:t> </w:t>
            </w:r>
          </w:p>
        </w:tc>
        <w:tc>
          <w:tcPr>
            <w:tcW w:w="2269" w:type="dxa"/>
          </w:tcPr>
          <w:p>
            <w:pPr>
              <w:pStyle w:val="TableParagraph"/>
              <w:spacing w:before="1"/>
              <w:ind w:left="110"/>
              <w:jc w:val="center"/>
              <w:rPr>
                <w:sz w:val="21"/>
              </w:rPr>
            </w:pPr>
            <w:r>
              <w:rPr>
                <w:w w:val="100"/>
                <w:sz w:val="21"/>
              </w:rPr>
              <w:t> </w:t>
            </w:r>
          </w:p>
        </w:tc>
        <w:tc>
          <w:tcPr>
            <w:tcW w:w="1277" w:type="dxa"/>
            <w:gridSpan w:val="2"/>
          </w:tcPr>
          <w:p>
            <w:pPr>
              <w:pStyle w:val="TableParagraph"/>
              <w:spacing w:before="1"/>
              <w:ind w:left="112"/>
              <w:jc w:val="center"/>
              <w:rPr>
                <w:sz w:val="21"/>
              </w:rPr>
            </w:pPr>
            <w:r>
              <w:rPr>
                <w:w w:val="100"/>
                <w:sz w:val="21"/>
              </w:rPr>
              <w:t> </w:t>
            </w:r>
          </w:p>
        </w:tc>
      </w:tr>
      <w:tr>
        <w:trPr>
          <w:trHeight w:val="2961" w:hRule="atLeast"/>
        </w:trPr>
        <w:tc>
          <w:tcPr>
            <w:tcW w:w="4650" w:type="dxa"/>
            <w:gridSpan w:val="3"/>
          </w:tcPr>
          <w:p>
            <w:pPr>
              <w:pStyle w:val="TableParagraph"/>
              <w:rPr>
                <w:sz w:val="20"/>
              </w:rPr>
            </w:pPr>
          </w:p>
          <w:p>
            <w:pPr>
              <w:pStyle w:val="TableParagraph"/>
              <w:rPr>
                <w:sz w:val="20"/>
              </w:rPr>
            </w:pPr>
          </w:p>
          <w:p>
            <w:pPr>
              <w:pStyle w:val="TableParagraph"/>
              <w:spacing w:before="3"/>
              <w:rPr>
                <w:sz w:val="22"/>
              </w:rPr>
            </w:pPr>
          </w:p>
          <w:p>
            <w:pPr>
              <w:pStyle w:val="TableParagraph"/>
              <w:spacing w:line="643" w:lineRule="auto"/>
              <w:ind w:left="1701" w:right="1254"/>
              <w:rPr>
                <w:sz w:val="21"/>
              </w:rPr>
            </w:pPr>
            <w:r>
              <w:rPr>
                <w:sz w:val="21"/>
              </w:rPr>
              <w:t>发包人代表签字： 发包人（盖公章）</w:t>
            </w:r>
          </w:p>
          <w:p>
            <w:pPr>
              <w:pStyle w:val="TableParagraph"/>
              <w:tabs>
                <w:tab w:pos="3278" w:val="left" w:leader="none"/>
                <w:tab w:pos="4327" w:val="left" w:leader="none"/>
                <w:tab w:pos="4588" w:val="left" w:leader="none"/>
              </w:tabs>
              <w:spacing w:line="267" w:lineRule="exact"/>
              <w:ind w:left="2438"/>
              <w:rPr>
                <w:rFonts w:ascii="Times New Roman" w:eastAsia="Times New Roman"/>
                <w:sz w:val="21"/>
              </w:rPr>
            </w:pPr>
            <w:r>
              <w:rPr>
                <w:sz w:val="21"/>
              </w:rPr>
              <w:t>日</w:t>
              <w:tab/>
              <w:t>期</w:t>
              <w:tab/>
            </w:r>
            <w:r>
              <w:rPr>
                <w:rFonts w:ascii="Times New Roman" w:eastAsia="Times New Roman"/>
                <w:w w:val="100"/>
                <w:sz w:val="21"/>
                <w:u w:val="single"/>
              </w:rPr>
              <w:t> </w:t>
            </w:r>
            <w:r>
              <w:rPr>
                <w:rFonts w:ascii="Times New Roman" w:eastAsia="Times New Roman"/>
                <w:sz w:val="21"/>
                <w:u w:val="single"/>
              </w:rPr>
              <w:tab/>
            </w:r>
          </w:p>
        </w:tc>
        <w:tc>
          <w:tcPr>
            <w:tcW w:w="4101" w:type="dxa"/>
            <w:gridSpan w:val="3"/>
          </w:tcPr>
          <w:p>
            <w:pPr>
              <w:pStyle w:val="TableParagraph"/>
              <w:rPr>
                <w:sz w:val="20"/>
              </w:rPr>
            </w:pPr>
          </w:p>
          <w:p>
            <w:pPr>
              <w:pStyle w:val="TableParagraph"/>
              <w:rPr>
                <w:sz w:val="20"/>
              </w:rPr>
            </w:pPr>
          </w:p>
          <w:p>
            <w:pPr>
              <w:pStyle w:val="TableParagraph"/>
              <w:spacing w:before="3"/>
              <w:rPr>
                <w:sz w:val="22"/>
              </w:rPr>
            </w:pPr>
          </w:p>
          <w:p>
            <w:pPr>
              <w:pStyle w:val="TableParagraph"/>
              <w:spacing w:line="643" w:lineRule="auto"/>
              <w:ind w:left="1425" w:right="981"/>
              <w:rPr>
                <w:sz w:val="21"/>
              </w:rPr>
            </w:pPr>
            <w:r>
              <w:rPr>
                <w:sz w:val="21"/>
              </w:rPr>
              <w:t>承包人代表签字： 承包人（盖公章）</w:t>
            </w:r>
          </w:p>
          <w:p>
            <w:pPr>
              <w:pStyle w:val="TableParagraph"/>
              <w:tabs>
                <w:tab w:pos="3002" w:val="left" w:leader="none"/>
                <w:tab w:pos="4039" w:val="left" w:leader="none"/>
              </w:tabs>
              <w:spacing w:line="267" w:lineRule="exact"/>
              <w:ind w:left="2161"/>
              <w:rPr>
                <w:rFonts w:ascii="Times New Roman" w:eastAsia="Times New Roman"/>
                <w:sz w:val="21"/>
              </w:rPr>
            </w:pPr>
            <w:r>
              <w:rPr>
                <w:sz w:val="21"/>
              </w:rPr>
              <w:t>日</w:t>
              <w:tab/>
            </w:r>
            <w:r>
              <w:rPr>
                <w:spacing w:val="-3"/>
                <w:sz w:val="21"/>
              </w:rPr>
              <w:t>期</w:t>
            </w:r>
            <w:r>
              <w:rPr>
                <w:rFonts w:ascii="Times New Roman" w:eastAsia="Times New Roman"/>
                <w:sz w:val="21"/>
                <w:u w:val="single"/>
              </w:rPr>
              <w:t> </w:t>
              <w:tab/>
            </w:r>
          </w:p>
        </w:tc>
        <w:tc>
          <w:tcPr>
            <w:tcW w:w="120" w:type="dxa"/>
            <w:tcBorders>
              <w:bottom w:val="nil"/>
              <w:right w:val="nil"/>
            </w:tcBorders>
          </w:tcPr>
          <w:p>
            <w:pPr>
              <w:pStyle w:val="TableParagraph"/>
              <w:rPr>
                <w:rFonts w:ascii="Times New Roman"/>
                <w:sz w:val="22"/>
              </w:rPr>
            </w:pPr>
          </w:p>
        </w:tc>
      </w:tr>
    </w:tbl>
    <w:p>
      <w:pPr>
        <w:pStyle w:val="BodyText"/>
        <w:spacing w:before="1"/>
      </w:pPr>
      <w:r>
        <w:rPr>
          <w:w w:val="100"/>
        </w:rPr>
        <w:t> </w:t>
      </w:r>
    </w:p>
    <w:p>
      <w:pPr>
        <w:pStyle w:val="BodyText"/>
        <w:spacing w:before="139"/>
      </w:pPr>
      <w:r>
        <w:rPr>
          <w:w w:val="100"/>
        </w:rPr>
        <w:t> </w:t>
      </w:r>
    </w:p>
    <w:p>
      <w:pPr>
        <w:spacing w:before="139"/>
        <w:ind w:left="678" w:right="0" w:firstLine="0"/>
        <w:jc w:val="left"/>
        <w:rPr>
          <w:sz w:val="20"/>
        </w:rPr>
      </w:pPr>
      <w:r>
        <w:rPr>
          <w:color w:val="000080"/>
          <w:spacing w:val="1"/>
          <w:w w:val="99"/>
          <w:sz w:val="20"/>
        </w:rPr>
        <w:t> </w:t>
      </w:r>
      <w:r>
        <w:rPr>
          <w:color w:val="000080"/>
          <w:w w:val="99"/>
          <w:sz w:val="20"/>
        </w:rPr>
        <w:t> </w:t>
      </w:r>
    </w:p>
    <w:p>
      <w:pPr>
        <w:spacing w:before="3"/>
        <w:ind w:left="678" w:right="0" w:firstLine="0"/>
        <w:jc w:val="left"/>
        <w:rPr>
          <w:sz w:val="20"/>
        </w:rPr>
      </w:pPr>
      <w:r>
        <w:rPr>
          <w:color w:val="000080"/>
          <w:spacing w:val="1"/>
          <w:w w:val="99"/>
          <w:sz w:val="20"/>
        </w:rPr>
        <w:t> </w:t>
      </w:r>
      <w:r>
        <w:rPr>
          <w:color w:val="000080"/>
          <w:spacing w:val="-2"/>
          <w:w w:val="99"/>
          <w:sz w:val="20"/>
        </w:rPr>
        <w:t> </w:t>
      </w:r>
      <w:r>
        <w:rPr>
          <w:color w:val="000080"/>
          <w:w w:val="99"/>
          <w:sz w:val="20"/>
        </w:rPr>
        <w:t> </w:t>
      </w:r>
    </w:p>
    <w:p>
      <w:pPr>
        <w:spacing w:after="0"/>
        <w:jc w:val="left"/>
        <w:rPr>
          <w:sz w:val="20"/>
        </w:rPr>
        <w:sectPr>
          <w:pgSz w:w="11910" w:h="16850"/>
          <w:pgMar w:header="0" w:footer="779" w:top="1400" w:bottom="1040" w:left="1120" w:right="280"/>
        </w:sectPr>
      </w:pPr>
    </w:p>
    <w:p>
      <w:pPr>
        <w:pStyle w:val="BodyText"/>
        <w:ind w:left="0"/>
        <w:rPr>
          <w:sz w:val="23"/>
        </w:rPr>
      </w:pPr>
    </w:p>
    <w:p>
      <w:pPr>
        <w:pStyle w:val="Heading1"/>
        <w:spacing w:line="702" w:lineRule="exact"/>
      </w:pPr>
      <w:bookmarkStart w:name="第五章 工程量清单" w:id="475"/>
      <w:bookmarkEnd w:id="475"/>
      <w:r>
        <w:rPr>
          <w:b w:val="0"/>
        </w:rPr>
      </w:r>
      <w:bookmarkStart w:name="_bookmark101" w:id="476"/>
      <w:bookmarkEnd w:id="476"/>
      <w:r>
        <w:rPr>
          <w:b w:val="0"/>
        </w:rPr>
      </w:r>
      <w:r>
        <w:rPr/>
        <w:t>第五章 工程量清单</w:t>
      </w:r>
      <w:r>
        <w:rPr>
          <w:w w:val="199"/>
        </w:rPr>
        <w:t> </w:t>
      </w:r>
    </w:p>
    <w:p>
      <w:pPr>
        <w:pStyle w:val="BodyText"/>
        <w:ind w:left="0"/>
        <w:rPr>
          <w:rFonts w:ascii="Microsoft JhengHei"/>
          <w:b/>
          <w:sz w:val="20"/>
        </w:rPr>
      </w:pPr>
    </w:p>
    <w:p>
      <w:pPr>
        <w:pStyle w:val="BodyText"/>
        <w:spacing w:before="4"/>
        <w:ind w:left="0"/>
        <w:rPr>
          <w:rFonts w:ascii="Microsoft JhengHei"/>
          <w:b/>
          <w:sz w:val="13"/>
        </w:rPr>
      </w:pPr>
    </w:p>
    <w:p>
      <w:pPr>
        <w:pStyle w:val="Heading2"/>
        <w:spacing w:line="538" w:lineRule="exact"/>
        <w:ind w:left="678"/>
      </w:pPr>
      <w:bookmarkStart w:name="1 工程量清单编制说明" w:id="477"/>
      <w:bookmarkEnd w:id="477"/>
      <w:r>
        <w:rPr>
          <w:b w:val="0"/>
        </w:rPr>
      </w:r>
      <w:bookmarkStart w:name="_bookmark102" w:id="478"/>
      <w:bookmarkEnd w:id="478"/>
      <w:r>
        <w:rPr>
          <w:b w:val="0"/>
        </w:rPr>
      </w:r>
      <w:r>
        <w:rPr/>
        <w:t>1 工程量清单编制说明</w:t>
      </w:r>
      <w:r>
        <w:rPr>
          <w:w w:val="199"/>
        </w:rPr>
        <w:t> </w:t>
      </w:r>
    </w:p>
    <w:p>
      <w:pPr>
        <w:pStyle w:val="BodyText"/>
        <w:ind w:left="0"/>
        <w:rPr>
          <w:rFonts w:ascii="Microsoft JhengHei"/>
          <w:b/>
          <w:sz w:val="16"/>
        </w:rPr>
      </w:pPr>
    </w:p>
    <w:p>
      <w:pPr>
        <w:pStyle w:val="ListParagraph"/>
        <w:numPr>
          <w:ilvl w:val="1"/>
          <w:numId w:val="118"/>
        </w:numPr>
        <w:tabs>
          <w:tab w:pos="1468" w:val="left" w:leader="none"/>
        </w:tabs>
        <w:spacing w:line="364" w:lineRule="auto" w:before="0" w:after="0"/>
        <w:ind w:left="678" w:right="1149" w:firstLine="419"/>
        <w:jc w:val="both"/>
        <w:rPr>
          <w:sz w:val="21"/>
        </w:rPr>
      </w:pPr>
      <w:r>
        <w:rPr>
          <w:spacing w:val="-11"/>
          <w:sz w:val="21"/>
        </w:rPr>
        <w:t>本工程量清单依据《建设工程工程量清单计价规范</w:t>
      </w:r>
      <w:r>
        <w:rPr>
          <w:spacing w:val="-5"/>
          <w:sz w:val="21"/>
        </w:rPr>
        <w:t>（GB50500-2013）</w:t>
      </w:r>
      <w:r>
        <w:rPr>
          <w:spacing w:val="-3"/>
          <w:sz w:val="21"/>
        </w:rPr>
        <w:t>广西实施细则</w:t>
      </w:r>
      <w:r>
        <w:rPr>
          <w:spacing w:val="-157"/>
          <w:sz w:val="21"/>
        </w:rPr>
        <w:t>》</w:t>
      </w:r>
      <w:r>
        <w:rPr>
          <w:spacing w:val="-3"/>
          <w:sz w:val="21"/>
        </w:rPr>
        <w:t>（</w:t>
      </w:r>
      <w:r>
        <w:rPr>
          <w:sz w:val="21"/>
        </w:rPr>
        <w:t>以</w:t>
      </w:r>
      <w:r>
        <w:rPr>
          <w:w w:val="100"/>
          <w:sz w:val="21"/>
        </w:rPr>
        <w:t>下简称“《计价规范》”</w:t>
      </w:r>
      <w:r>
        <w:rPr>
          <w:spacing w:val="-106"/>
          <w:w w:val="100"/>
          <w:sz w:val="21"/>
        </w:rPr>
        <w:t>）</w:t>
      </w:r>
      <w:r>
        <w:rPr>
          <w:w w:val="100"/>
          <w:sz w:val="21"/>
        </w:rPr>
        <w:t>、各专业《工程量清单计算规范</w:t>
      </w:r>
      <w:r>
        <w:rPr>
          <w:spacing w:val="3"/>
          <w:w w:val="100"/>
          <w:sz w:val="21"/>
        </w:rPr>
        <w:t>（</w:t>
      </w:r>
      <w:r>
        <w:rPr>
          <w:w w:val="100"/>
          <w:sz w:val="21"/>
        </w:rPr>
        <w:t>G</w:t>
      </w:r>
      <w:r>
        <w:rPr>
          <w:spacing w:val="-3"/>
          <w:w w:val="100"/>
          <w:sz w:val="21"/>
        </w:rPr>
        <w:t>B</w:t>
      </w:r>
      <w:r>
        <w:rPr>
          <w:w w:val="100"/>
          <w:sz w:val="21"/>
        </w:rPr>
        <w:t>508</w:t>
      </w:r>
      <w:r>
        <w:rPr>
          <w:spacing w:val="-3"/>
          <w:w w:val="100"/>
          <w:sz w:val="21"/>
        </w:rPr>
        <w:t>5</w:t>
      </w:r>
      <w:r>
        <w:rPr>
          <w:w w:val="100"/>
          <w:sz w:val="21"/>
        </w:rPr>
        <w:t>4~5</w:t>
      </w:r>
      <w:r>
        <w:rPr>
          <w:spacing w:val="-3"/>
          <w:w w:val="100"/>
          <w:sz w:val="21"/>
        </w:rPr>
        <w:t>0</w:t>
      </w:r>
      <w:r>
        <w:rPr>
          <w:w w:val="100"/>
          <w:sz w:val="21"/>
        </w:rPr>
        <w:t>86</w:t>
      </w:r>
      <w:r>
        <w:rPr>
          <w:spacing w:val="-1"/>
          <w:w w:val="100"/>
          <w:sz w:val="21"/>
        </w:rPr>
        <w:t>2</w:t>
      </w:r>
      <w:r>
        <w:rPr>
          <w:spacing w:val="-2"/>
          <w:w w:val="100"/>
          <w:sz w:val="21"/>
        </w:rPr>
        <w:t>-</w:t>
      </w:r>
      <w:r>
        <w:rPr>
          <w:spacing w:val="-3"/>
          <w:w w:val="100"/>
          <w:sz w:val="21"/>
        </w:rPr>
        <w:t>2</w:t>
      </w:r>
      <w:r>
        <w:rPr>
          <w:w w:val="100"/>
          <w:sz w:val="21"/>
        </w:rPr>
        <w:t>01</w:t>
      </w:r>
      <w:r>
        <w:rPr>
          <w:spacing w:val="2"/>
          <w:w w:val="100"/>
          <w:sz w:val="21"/>
        </w:rPr>
        <w:t>3</w:t>
      </w:r>
      <w:r>
        <w:rPr>
          <w:spacing w:val="-106"/>
          <w:w w:val="100"/>
          <w:sz w:val="21"/>
        </w:rPr>
        <w:t>）</w:t>
      </w:r>
      <w:r>
        <w:rPr>
          <w:w w:val="100"/>
          <w:sz w:val="21"/>
        </w:rPr>
        <w:t>》及广西实施细则</w:t>
      </w:r>
      <w:r>
        <w:rPr>
          <w:spacing w:val="2"/>
          <w:w w:val="100"/>
          <w:sz w:val="21"/>
        </w:rPr>
        <w:t>（</w:t>
      </w:r>
      <w:r>
        <w:rPr>
          <w:w w:val="100"/>
          <w:sz w:val="21"/>
        </w:rPr>
        <w:t>修订本</w:t>
      </w:r>
      <w:r>
        <w:rPr>
          <w:spacing w:val="-106"/>
          <w:w w:val="100"/>
          <w:sz w:val="21"/>
        </w:rPr>
        <w:t>）</w:t>
      </w:r>
      <w:r>
        <w:rPr>
          <w:w w:val="100"/>
          <w:sz w:val="21"/>
        </w:rPr>
        <w:t>（以下简称“《计算规范》”</w:t>
      </w:r>
      <w:r>
        <w:rPr>
          <w:spacing w:val="-104"/>
          <w:w w:val="100"/>
          <w:sz w:val="21"/>
        </w:rPr>
        <w:t>）</w:t>
      </w:r>
      <w:r>
        <w:rPr>
          <w:spacing w:val="-1"/>
          <w:w w:val="100"/>
          <w:sz w:val="21"/>
        </w:rPr>
        <w:t>、《关于建筑业实施营业税改征增值税后广西</w:t>
      </w:r>
      <w:r>
        <w:rPr>
          <w:spacing w:val="-3"/>
          <w:sz w:val="21"/>
        </w:rPr>
        <w:t>壮族自治区建设工程计价依据调整的通知》（</w:t>
      </w:r>
      <w:r>
        <w:rPr>
          <w:spacing w:val="-2"/>
          <w:sz w:val="21"/>
        </w:rPr>
        <w:t>桂建标〔</w:t>
      </w:r>
      <w:r>
        <w:rPr>
          <w:sz w:val="21"/>
        </w:rPr>
        <w:t>2016</w:t>
      </w:r>
      <w:r>
        <w:rPr>
          <w:spacing w:val="-3"/>
          <w:sz w:val="21"/>
        </w:rPr>
        <w:t>〕</w:t>
      </w:r>
      <w:r>
        <w:rPr>
          <w:sz w:val="21"/>
        </w:rPr>
        <w:t>17</w:t>
      </w:r>
      <w:r>
        <w:rPr>
          <w:spacing w:val="-7"/>
          <w:sz w:val="21"/>
        </w:rPr>
        <w:t> 号</w:t>
      </w:r>
      <w:r>
        <w:rPr>
          <w:sz w:val="21"/>
        </w:rPr>
        <w:t>）</w:t>
      </w:r>
      <w:r>
        <w:rPr>
          <w:spacing w:val="-3"/>
          <w:sz w:val="21"/>
        </w:rPr>
        <w:t>、招标文件、施工图等编</w:t>
      </w:r>
      <w:r>
        <w:rPr>
          <w:spacing w:val="-6"/>
          <w:sz w:val="21"/>
        </w:rPr>
        <w:t>制。计算规范中没有的清单项目，应在本章第 </w:t>
      </w:r>
      <w:r>
        <w:rPr>
          <w:sz w:val="21"/>
        </w:rPr>
        <w:t>1.4</w:t>
      </w:r>
      <w:r>
        <w:rPr>
          <w:spacing w:val="-13"/>
          <w:sz w:val="21"/>
        </w:rPr>
        <w:t> 款约定。</w:t>
      </w:r>
      <w:r>
        <w:rPr>
          <w:sz w:val="21"/>
        </w:rPr>
        <w:t> </w:t>
      </w:r>
    </w:p>
    <w:p>
      <w:pPr>
        <w:pStyle w:val="ListParagraph"/>
        <w:numPr>
          <w:ilvl w:val="1"/>
          <w:numId w:val="118"/>
        </w:numPr>
        <w:tabs>
          <w:tab w:pos="1416" w:val="left" w:leader="none"/>
        </w:tabs>
        <w:spacing w:line="364" w:lineRule="auto" w:before="0" w:after="0"/>
        <w:ind w:left="678" w:right="1156" w:firstLine="419"/>
        <w:jc w:val="left"/>
        <w:rPr>
          <w:sz w:val="21"/>
        </w:rPr>
      </w:pPr>
      <w:r>
        <w:rPr>
          <w:spacing w:val="-1"/>
          <w:sz w:val="21"/>
        </w:rPr>
        <w:t>工程量清单应与投标须知、合同协议条款、合同的通用条款、合同专用条款、技术规</w:t>
      </w:r>
      <w:r>
        <w:rPr>
          <w:spacing w:val="-3"/>
          <w:sz w:val="21"/>
        </w:rPr>
        <w:t>范及图纸等文件一起结合使用。</w:t>
      </w:r>
      <w:r>
        <w:rPr>
          <w:sz w:val="21"/>
        </w:rPr>
        <w:t> </w:t>
      </w:r>
    </w:p>
    <w:p>
      <w:pPr>
        <w:pStyle w:val="ListParagraph"/>
        <w:numPr>
          <w:ilvl w:val="1"/>
          <w:numId w:val="118"/>
        </w:numPr>
        <w:tabs>
          <w:tab w:pos="1416" w:val="left" w:leader="none"/>
        </w:tabs>
        <w:spacing w:line="364" w:lineRule="auto" w:before="0" w:after="0"/>
        <w:ind w:left="678" w:right="1047" w:firstLine="419"/>
        <w:jc w:val="left"/>
        <w:rPr>
          <w:sz w:val="21"/>
        </w:rPr>
      </w:pPr>
      <w:r>
        <w:rPr>
          <w:spacing w:val="-6"/>
          <w:sz w:val="21"/>
        </w:rPr>
        <w:t>工程量清单是招标文件的组成部分，是工程量清单计价的基础，作为编制招标控制价、</w:t>
      </w:r>
      <w:r>
        <w:rPr>
          <w:spacing w:val="-4"/>
          <w:sz w:val="21"/>
        </w:rPr>
        <w:t>投标报价、计算或调整工程量、索赔等的依据之一。 </w:t>
      </w:r>
    </w:p>
    <w:p>
      <w:pPr>
        <w:pStyle w:val="ListParagraph"/>
        <w:numPr>
          <w:ilvl w:val="1"/>
          <w:numId w:val="118"/>
        </w:numPr>
        <w:tabs>
          <w:tab w:pos="1416" w:val="left" w:leader="none"/>
        </w:tabs>
        <w:spacing w:line="240" w:lineRule="auto" w:before="0" w:after="0"/>
        <w:ind w:left="1415" w:right="0" w:hanging="318"/>
        <w:jc w:val="left"/>
        <w:rPr>
          <w:sz w:val="21"/>
        </w:rPr>
      </w:pPr>
      <w:r>
        <w:rPr>
          <w:spacing w:val="-3"/>
          <w:sz w:val="21"/>
        </w:rPr>
        <w:t>补充清单项目的特征、计量单位、工程量计算规则及工作内容说明如下： </w:t>
      </w:r>
    </w:p>
    <w:p>
      <w:pPr>
        <w:pStyle w:val="BodyText"/>
        <w:spacing w:line="242" w:lineRule="auto" w:before="135"/>
        <w:ind w:right="1148"/>
        <w:jc w:val="both"/>
      </w:pPr>
      <w:r>
        <w:rPr>
          <w:w w:val="100"/>
        </w:rPr>
        <w:t>  </w:t>
      </w:r>
      <w:r>
        <w:rPr>
          <w:spacing w:val="-1"/>
          <w:w w:val="100"/>
        </w:rPr>
        <w:t> </w:t>
      </w:r>
      <w:r>
        <w:rPr>
          <w:color w:val="0000FF"/>
          <w:spacing w:val="-3"/>
          <w:w w:val="100"/>
        </w:rPr>
        <w:t>《建设工程工程量清单计价规范</w:t>
      </w:r>
      <w:r>
        <w:rPr>
          <w:color w:val="0000FF"/>
          <w:spacing w:val="-130"/>
          <w:w w:val="100"/>
        </w:rPr>
        <w:t>》</w:t>
      </w:r>
      <w:r>
        <w:rPr>
          <w:color w:val="0000FF"/>
          <w:w w:val="100"/>
        </w:rPr>
        <w:t>（</w:t>
      </w:r>
      <w:r>
        <w:rPr>
          <w:color w:val="0000FF"/>
          <w:spacing w:val="-3"/>
          <w:w w:val="100"/>
        </w:rPr>
        <w:t>G</w:t>
      </w:r>
      <w:r>
        <w:rPr>
          <w:color w:val="0000FF"/>
          <w:w w:val="100"/>
        </w:rPr>
        <w:t>B50</w:t>
      </w:r>
      <w:r>
        <w:rPr>
          <w:color w:val="0000FF"/>
          <w:spacing w:val="-3"/>
          <w:w w:val="100"/>
        </w:rPr>
        <w:t>5</w:t>
      </w:r>
      <w:r>
        <w:rPr>
          <w:color w:val="0000FF"/>
          <w:w w:val="100"/>
        </w:rPr>
        <w:t>0</w:t>
      </w:r>
      <w:r>
        <w:rPr>
          <w:color w:val="0000FF"/>
          <w:spacing w:val="-1"/>
          <w:w w:val="100"/>
        </w:rPr>
        <w:t>0</w:t>
      </w:r>
      <w:r>
        <w:rPr>
          <w:color w:val="0000FF"/>
          <w:w w:val="100"/>
        </w:rPr>
        <w:t>-</w:t>
      </w:r>
      <w:r>
        <w:rPr>
          <w:color w:val="0000FF"/>
          <w:spacing w:val="-3"/>
          <w:w w:val="100"/>
        </w:rPr>
        <w:t>2</w:t>
      </w:r>
      <w:r>
        <w:rPr>
          <w:color w:val="0000FF"/>
          <w:w w:val="100"/>
        </w:rPr>
        <w:t>01</w:t>
      </w:r>
      <w:r>
        <w:rPr>
          <w:color w:val="0000FF"/>
          <w:spacing w:val="-3"/>
          <w:w w:val="100"/>
        </w:rPr>
        <w:t>3</w:t>
      </w:r>
      <w:r>
        <w:rPr>
          <w:color w:val="0000FF"/>
          <w:spacing w:val="-106"/>
          <w:w w:val="100"/>
        </w:rPr>
        <w:t>）</w:t>
      </w:r>
      <w:r>
        <w:rPr>
          <w:color w:val="0000FF"/>
          <w:spacing w:val="-6"/>
          <w:w w:val="100"/>
        </w:rPr>
        <w:t>、广西壮族自治区住房和城乡建设厅颁布</w:t>
      </w:r>
      <w:r>
        <w:rPr>
          <w:color w:val="0000FF"/>
          <w:spacing w:val="-9"/>
        </w:rPr>
        <w:t>的《&lt;建设工程工程量清单计价规范&gt;</w:t>
      </w:r>
      <w:r>
        <w:rPr>
          <w:color w:val="0000FF"/>
        </w:rPr>
        <w:t>GB50500-2013</w:t>
      </w:r>
      <w:r>
        <w:rPr>
          <w:color w:val="0000FF"/>
          <w:spacing w:val="-15"/>
        </w:rPr>
        <w:t> 广西壮族自治区实施细则》</w:t>
      </w:r>
      <w:r>
        <w:rPr>
          <w:color w:val="0000FF"/>
          <w:spacing w:val="-20"/>
        </w:rPr>
        <w:t>、《&lt;建设工程工程</w:t>
      </w:r>
      <w:r>
        <w:rPr>
          <w:color w:val="0000FF"/>
          <w:spacing w:val="-9"/>
        </w:rPr>
        <w:t>量清单计算规范</w:t>
      </w:r>
      <w:r>
        <w:rPr>
          <w:color w:val="0000FF"/>
        </w:rPr>
        <w:t>&gt;GB50854～50862-2013</w:t>
      </w:r>
      <w:r>
        <w:rPr>
          <w:color w:val="0000FF"/>
          <w:spacing w:val="-10"/>
        </w:rPr>
        <w:t> 广西壮族自治区实施细则》(修订本)、</w:t>
      </w:r>
      <w:r>
        <w:rPr>
          <w:color w:val="0000FF"/>
        </w:rPr>
        <w:t>2013</w:t>
      </w:r>
      <w:r>
        <w:rPr>
          <w:color w:val="0000FF"/>
          <w:spacing w:val="-11"/>
        </w:rPr>
        <w:t> 年《广西壮</w:t>
      </w:r>
      <w:r>
        <w:rPr>
          <w:color w:val="0000FF"/>
          <w:spacing w:val="-15"/>
        </w:rPr>
        <w:t>族自治区建筑装饰装修工程消耗量定额》、</w:t>
      </w:r>
      <w:r>
        <w:rPr>
          <w:color w:val="0000FF"/>
        </w:rPr>
        <w:t>2015</w:t>
      </w:r>
      <w:r>
        <w:rPr>
          <w:color w:val="0000FF"/>
          <w:spacing w:val="-15"/>
        </w:rPr>
        <w:t> 年《广西壮族自治区安装工程消耗量定额》,</w:t>
      </w:r>
      <w:r>
        <w:rPr>
          <w:color w:val="0000FF"/>
        </w:rPr>
        <w:t>2016 年《广西壮族自治区建设工程费用定额》及现行的有关配套费率、人工和机械台班费用调整规</w:t>
      </w:r>
      <w:r>
        <w:rPr>
          <w:color w:val="0000FF"/>
          <w:spacing w:val="-14"/>
        </w:rPr>
        <w:t>定、《关于建筑业实施营业税改征增值税后广西壮族自治区建设工程计价依据调整的通知》</w:t>
      </w:r>
      <w:r>
        <w:rPr>
          <w:color w:val="0000FF"/>
        </w:rPr>
        <w:t>（桂</w:t>
      </w:r>
      <w:r>
        <w:rPr>
          <w:color w:val="0000FF"/>
          <w:spacing w:val="-4"/>
        </w:rPr>
        <w:t>建标</w:t>
      </w:r>
      <w:r>
        <w:rPr>
          <w:color w:val="0000FF"/>
        </w:rPr>
        <w:t>（2016）17</w:t>
      </w:r>
      <w:r>
        <w:rPr>
          <w:color w:val="0000FF"/>
          <w:spacing w:val="-21"/>
        </w:rPr>
        <w:t> 号</w:t>
      </w:r>
      <w:r>
        <w:rPr>
          <w:color w:val="0000FF"/>
          <w:spacing w:val="-106"/>
        </w:rPr>
        <w:t>）</w:t>
      </w:r>
      <w:r>
        <w:rPr>
          <w:color w:val="0000FF"/>
          <w:spacing w:val="-13"/>
        </w:rPr>
        <w:t>、《关于调整除税价计算适用增值税税率的通知》桂造价</w:t>
      </w:r>
      <w:r>
        <w:rPr>
          <w:color w:val="0000FF"/>
        </w:rPr>
        <w:t>（2019</w:t>
      </w:r>
      <w:r>
        <w:rPr>
          <w:color w:val="0000FF"/>
          <w:spacing w:val="-10"/>
        </w:rPr>
        <w:t>〕</w:t>
      </w:r>
      <w:r>
        <w:rPr>
          <w:color w:val="0000FF"/>
        </w:rPr>
        <w:t>10</w:t>
      </w:r>
      <w:r>
        <w:rPr>
          <w:color w:val="0000FF"/>
          <w:spacing w:val="-13"/>
        </w:rPr>
        <w:t> 号、人工工资和管理费费率的调整按《关于调整建设工程定额人工工资单价的通知》桂建标</w:t>
      </w:r>
      <w:r>
        <w:rPr>
          <w:color w:val="0000FF"/>
          <w:spacing w:val="-3"/>
        </w:rPr>
        <w:t>[2018]19 </w:t>
      </w:r>
      <w:r>
        <w:rPr>
          <w:color w:val="0000FF"/>
          <w:spacing w:val="-16"/>
        </w:rPr>
        <w:t>号文执行、《南宁市人民政府关于推广使用预拌砂浆的实施意见》</w:t>
      </w:r>
      <w:r>
        <w:rPr>
          <w:color w:val="0000FF"/>
          <w:spacing w:val="-3"/>
        </w:rPr>
        <w:t>（</w:t>
      </w:r>
      <w:r>
        <w:rPr>
          <w:color w:val="0000FF"/>
          <w:spacing w:val="-2"/>
        </w:rPr>
        <w:t>南府规</w:t>
      </w:r>
      <w:r>
        <w:rPr>
          <w:color w:val="0000FF"/>
        </w:rPr>
        <w:t>（2016)12</w:t>
      </w:r>
      <w:r>
        <w:rPr>
          <w:color w:val="0000FF"/>
          <w:spacing w:val="-9"/>
        </w:rPr>
        <w:t> 号</w:t>
      </w:r>
      <w:r>
        <w:rPr>
          <w:color w:val="0000FF"/>
          <w:spacing w:val="-106"/>
        </w:rPr>
        <w:t>）</w:t>
      </w:r>
      <w:r>
        <w:rPr>
          <w:color w:val="0000FF"/>
          <w:spacing w:val="-2"/>
        </w:rPr>
        <w:t>、本工</w:t>
      </w:r>
      <w:r>
        <w:rPr>
          <w:color w:val="0000FF"/>
          <w:spacing w:val="-3"/>
        </w:rPr>
        <w:t>程凡涉及到砂项目按南府字</w:t>
      </w:r>
      <w:r>
        <w:rPr>
          <w:color w:val="0000FF"/>
        </w:rPr>
        <w:t>[2007]13</w:t>
      </w:r>
      <w:r>
        <w:rPr>
          <w:color w:val="0000FF"/>
          <w:spacing w:val="-15"/>
        </w:rPr>
        <w:t> 号文执行，均按商品碎考虑、材料价格按 </w:t>
      </w:r>
      <w:r>
        <w:rPr>
          <w:color w:val="0000FF"/>
        </w:rPr>
        <w:t>2020</w:t>
      </w:r>
      <w:r>
        <w:rPr>
          <w:color w:val="0000FF"/>
          <w:spacing w:val="-32"/>
        </w:rPr>
        <w:t> 年 </w:t>
      </w:r>
      <w:r>
        <w:rPr>
          <w:color w:val="0000FF"/>
        </w:rPr>
        <w:t>9</w:t>
      </w:r>
      <w:r>
        <w:rPr>
          <w:color w:val="0000FF"/>
          <w:spacing w:val="-21"/>
        </w:rPr>
        <w:t> 月《南</w:t>
      </w:r>
      <w:r>
        <w:rPr>
          <w:color w:val="0000FF"/>
          <w:spacing w:val="-11"/>
        </w:rPr>
        <w:t>宁市建设工程造价信息》,其中地方材料价格参照横县信息价, 信息价缺项的材料按市场询价计</w:t>
      </w:r>
      <w:r>
        <w:rPr>
          <w:color w:val="0000FF"/>
          <w:spacing w:val="-8"/>
        </w:rPr>
        <w:t>取。</w:t>
      </w:r>
      <w:r>
        <w:rPr>
          <w:color w:val="0000FF"/>
        </w:rPr>
        <w:t> </w:t>
      </w:r>
    </w:p>
    <w:p>
      <w:pPr>
        <w:pStyle w:val="ListParagraph"/>
        <w:numPr>
          <w:ilvl w:val="1"/>
          <w:numId w:val="118"/>
        </w:numPr>
        <w:tabs>
          <w:tab w:pos="1416" w:val="left" w:leader="none"/>
        </w:tabs>
        <w:spacing w:line="367" w:lineRule="auto" w:before="6" w:after="0"/>
        <w:ind w:left="678" w:right="1047" w:firstLine="419"/>
        <w:jc w:val="left"/>
        <w:rPr>
          <w:sz w:val="21"/>
        </w:rPr>
      </w:pPr>
      <w:r>
        <w:rPr>
          <w:spacing w:val="-3"/>
          <w:sz w:val="21"/>
        </w:rPr>
        <w:t>《承包人提供的主要材料和设备一览表</w:t>
      </w:r>
      <w:r>
        <w:rPr>
          <w:spacing w:val="-123"/>
          <w:sz w:val="21"/>
        </w:rPr>
        <w:t>》</w:t>
      </w:r>
      <w:r>
        <w:rPr>
          <w:sz w:val="21"/>
        </w:rPr>
        <w:t>（</w:t>
      </w:r>
      <w:r>
        <w:rPr>
          <w:spacing w:val="-3"/>
          <w:sz w:val="21"/>
        </w:rPr>
        <w:t>表-</w:t>
      </w:r>
      <w:r>
        <w:rPr>
          <w:spacing w:val="-5"/>
          <w:sz w:val="21"/>
        </w:rPr>
        <w:t>22</w:t>
      </w:r>
      <w:r>
        <w:rPr>
          <w:spacing w:val="-3"/>
          <w:sz w:val="21"/>
        </w:rPr>
        <w:t>，表格编号为计价规范相应表格编号， 下同）作为项目实施过程中材料和设备价格风险调整依据。</w:t>
      </w:r>
      <w:r>
        <w:rPr>
          <w:sz w:val="21"/>
        </w:rPr>
        <w:t> </w:t>
      </w:r>
    </w:p>
    <w:p>
      <w:pPr>
        <w:pStyle w:val="ListParagraph"/>
        <w:numPr>
          <w:ilvl w:val="1"/>
          <w:numId w:val="118"/>
        </w:numPr>
        <w:tabs>
          <w:tab w:pos="1416" w:val="left" w:leader="none"/>
        </w:tabs>
        <w:spacing w:line="364" w:lineRule="auto" w:before="0" w:after="0"/>
        <w:ind w:left="678" w:right="1155" w:firstLine="419"/>
        <w:jc w:val="left"/>
        <w:rPr>
          <w:sz w:val="21"/>
        </w:rPr>
      </w:pPr>
      <w:r>
        <w:rPr>
          <w:w w:val="100"/>
          <w:sz w:val="21"/>
        </w:rPr>
        <w:t>本工程暂列金额（约按合同造价</w:t>
      </w:r>
      <w:r>
        <w:rPr>
          <w:color w:val="0000FF"/>
          <w:spacing w:val="-3"/>
          <w:w w:val="100"/>
          <w:sz w:val="21"/>
        </w:rPr>
        <w:t>/</w:t>
      </w:r>
      <w:r>
        <w:rPr>
          <w:w w:val="100"/>
          <w:sz w:val="21"/>
        </w:rPr>
        <w:t>%计算</w:t>
      </w:r>
      <w:r>
        <w:rPr>
          <w:spacing w:val="-106"/>
          <w:w w:val="100"/>
          <w:sz w:val="21"/>
        </w:rPr>
        <w:t>）</w:t>
      </w:r>
      <w:r>
        <w:rPr>
          <w:w w:val="100"/>
          <w:sz w:val="21"/>
        </w:rPr>
        <w:t>，共</w:t>
      </w:r>
      <w:r>
        <w:rPr>
          <w:color w:val="0000FF"/>
          <w:w w:val="100"/>
          <w:sz w:val="21"/>
        </w:rPr>
        <w:t>/</w:t>
      </w:r>
      <w:r>
        <w:rPr>
          <w:spacing w:val="-1"/>
          <w:w w:val="100"/>
          <w:sz w:val="21"/>
        </w:rPr>
        <w:t>元，作为合同签订时尚未确定或者不可</w:t>
      </w:r>
      <w:r>
        <w:rPr>
          <w:spacing w:val="-3"/>
          <w:sz w:val="21"/>
        </w:rPr>
        <w:t>预见但施工中可能发生的费用。</w:t>
      </w:r>
      <w:r>
        <w:rPr>
          <w:sz w:val="21"/>
        </w:rPr>
        <w:t> </w:t>
      </w:r>
    </w:p>
    <w:p>
      <w:pPr>
        <w:pStyle w:val="ListParagraph"/>
        <w:numPr>
          <w:ilvl w:val="1"/>
          <w:numId w:val="118"/>
        </w:numPr>
        <w:tabs>
          <w:tab w:pos="1416" w:val="left" w:leader="none"/>
        </w:tabs>
        <w:spacing w:line="267" w:lineRule="exact" w:before="0" w:after="0"/>
        <w:ind w:left="1415" w:right="0" w:hanging="318"/>
        <w:jc w:val="left"/>
        <w:rPr>
          <w:sz w:val="21"/>
        </w:rPr>
      </w:pPr>
      <w:r>
        <w:rPr>
          <w:spacing w:val="-5"/>
          <w:sz w:val="21"/>
        </w:rPr>
        <w:t>本工程发包人提供的材料和设备详见《发包人提供的主要材料和工程设备一览表</w:t>
      </w:r>
      <w:r>
        <w:rPr>
          <w:spacing w:val="-130"/>
          <w:sz w:val="21"/>
        </w:rPr>
        <w:t>》</w:t>
      </w:r>
      <w:r>
        <w:rPr>
          <w:spacing w:val="-3"/>
          <w:sz w:val="21"/>
        </w:rPr>
        <w:t>（</w:t>
      </w:r>
      <w:r>
        <w:rPr>
          <w:sz w:val="21"/>
        </w:rPr>
        <w:t>表</w:t>
      </w:r>
    </w:p>
    <w:p>
      <w:pPr>
        <w:pStyle w:val="BodyText"/>
        <w:spacing w:before="137"/>
      </w:pPr>
      <w:r>
        <w:rPr>
          <w:w w:val="100"/>
        </w:rPr>
        <w:t>-2</w:t>
      </w:r>
      <w:r>
        <w:rPr>
          <w:spacing w:val="-1"/>
          <w:w w:val="100"/>
        </w:rPr>
        <w:t>1</w:t>
      </w:r>
      <w:r>
        <w:rPr>
          <w:spacing w:val="-106"/>
          <w:w w:val="100"/>
        </w:rPr>
        <w:t>）</w:t>
      </w:r>
      <w:r>
        <w:rPr>
          <w:spacing w:val="-3"/>
          <w:w w:val="100"/>
        </w:rPr>
        <w:t>。</w:t>
      </w:r>
      <w:r>
        <w:rPr>
          <w:w w:val="100"/>
        </w:rPr>
        <w:t> </w:t>
      </w:r>
    </w:p>
    <w:p>
      <w:pPr>
        <w:pStyle w:val="ListParagraph"/>
        <w:numPr>
          <w:ilvl w:val="1"/>
          <w:numId w:val="118"/>
        </w:numPr>
        <w:tabs>
          <w:tab w:pos="1416" w:val="left" w:leader="none"/>
        </w:tabs>
        <w:spacing w:line="364" w:lineRule="auto" w:before="139" w:after="0"/>
        <w:ind w:left="678" w:right="1156" w:firstLine="419"/>
        <w:jc w:val="left"/>
        <w:rPr>
          <w:sz w:val="21"/>
        </w:rPr>
      </w:pPr>
      <w:r>
        <w:rPr>
          <w:spacing w:val="-1"/>
          <w:sz w:val="21"/>
        </w:rPr>
        <w:t>本工程部分材料和设备在招标时作为暂估价计列，结算按实调整，具体内容详见《材</w:t>
      </w:r>
      <w:r>
        <w:rPr>
          <w:w w:val="100"/>
          <w:sz w:val="21"/>
        </w:rPr>
        <w:t>料（</w:t>
      </w:r>
      <w:r>
        <w:rPr>
          <w:spacing w:val="-3"/>
          <w:w w:val="100"/>
          <w:sz w:val="21"/>
        </w:rPr>
        <w:t>工程设备）</w:t>
      </w:r>
      <w:r>
        <w:rPr>
          <w:spacing w:val="-15"/>
          <w:w w:val="100"/>
          <w:sz w:val="21"/>
        </w:rPr>
        <w:t>暂估单价及调整表》</w:t>
      </w:r>
      <w:r>
        <w:rPr>
          <w:w w:val="100"/>
          <w:sz w:val="21"/>
        </w:rPr>
        <w:t>（表</w:t>
      </w:r>
      <w:r>
        <w:rPr>
          <w:spacing w:val="-55"/>
          <w:sz w:val="21"/>
        </w:rPr>
        <w:t> </w:t>
      </w:r>
      <w:r>
        <w:rPr>
          <w:w w:val="100"/>
          <w:sz w:val="21"/>
        </w:rPr>
        <w:t>12-</w:t>
      </w:r>
      <w:r>
        <w:rPr>
          <w:spacing w:val="-3"/>
          <w:w w:val="100"/>
          <w:sz w:val="21"/>
        </w:rPr>
        <w:t>2</w:t>
      </w:r>
      <w:r>
        <w:rPr>
          <w:spacing w:val="-106"/>
          <w:w w:val="100"/>
          <w:sz w:val="21"/>
        </w:rPr>
        <w:t>）</w:t>
      </w:r>
      <w:r>
        <w:rPr>
          <w:spacing w:val="-3"/>
          <w:w w:val="100"/>
          <w:sz w:val="21"/>
        </w:rPr>
        <w:t>。</w:t>
      </w:r>
      <w:r>
        <w:rPr>
          <w:w w:val="100"/>
          <w:sz w:val="21"/>
        </w:rPr>
        <w:t> </w:t>
      </w:r>
    </w:p>
    <w:p>
      <w:pPr>
        <w:pStyle w:val="ListParagraph"/>
        <w:numPr>
          <w:ilvl w:val="1"/>
          <w:numId w:val="118"/>
        </w:numPr>
        <w:tabs>
          <w:tab w:pos="1416" w:val="left" w:leader="none"/>
        </w:tabs>
        <w:spacing w:line="364" w:lineRule="auto" w:before="0" w:after="0"/>
        <w:ind w:left="678" w:right="1156" w:firstLine="419"/>
        <w:jc w:val="left"/>
        <w:rPr>
          <w:sz w:val="21"/>
        </w:rPr>
      </w:pPr>
      <w:r>
        <w:rPr>
          <w:spacing w:val="-1"/>
          <w:sz w:val="21"/>
        </w:rPr>
        <w:t>招标时暂估专业工程的价款属于暂估价，结算按实调整，具体内容详见《专业工程暂</w:t>
      </w:r>
      <w:r>
        <w:rPr>
          <w:spacing w:val="-16"/>
          <w:w w:val="100"/>
          <w:sz w:val="21"/>
        </w:rPr>
        <w:t>估价及结算价表》</w:t>
      </w:r>
      <w:r>
        <w:rPr>
          <w:spacing w:val="-3"/>
          <w:w w:val="100"/>
          <w:sz w:val="21"/>
        </w:rPr>
        <w:t>（</w:t>
      </w:r>
      <w:r>
        <w:rPr>
          <w:w w:val="100"/>
          <w:sz w:val="21"/>
        </w:rPr>
        <w:t>表</w:t>
      </w:r>
      <w:r>
        <w:rPr>
          <w:spacing w:val="-52"/>
          <w:sz w:val="21"/>
        </w:rPr>
        <w:t> </w:t>
      </w:r>
      <w:r>
        <w:rPr>
          <w:w w:val="100"/>
          <w:sz w:val="21"/>
        </w:rPr>
        <w:t>1</w:t>
      </w:r>
      <w:r>
        <w:rPr>
          <w:spacing w:val="-3"/>
          <w:w w:val="100"/>
          <w:sz w:val="21"/>
        </w:rPr>
        <w:t>2-</w:t>
      </w:r>
      <w:r>
        <w:rPr>
          <w:w w:val="100"/>
          <w:sz w:val="21"/>
        </w:rPr>
        <w:t>3</w:t>
      </w:r>
      <w:r>
        <w:rPr>
          <w:spacing w:val="-106"/>
          <w:w w:val="100"/>
          <w:sz w:val="21"/>
        </w:rPr>
        <w:t>）</w:t>
      </w:r>
      <w:r>
        <w:rPr>
          <w:spacing w:val="-3"/>
          <w:w w:val="100"/>
          <w:sz w:val="21"/>
        </w:rPr>
        <w:t>。</w:t>
      </w:r>
      <w:r>
        <w:rPr>
          <w:w w:val="100"/>
          <w:sz w:val="21"/>
        </w:rPr>
        <w:t> </w:t>
      </w:r>
    </w:p>
    <w:p>
      <w:pPr>
        <w:spacing w:after="0" w:line="364" w:lineRule="auto"/>
        <w:jc w:val="left"/>
        <w:rPr>
          <w:sz w:val="21"/>
        </w:rPr>
        <w:sectPr>
          <w:pgSz w:w="11910" w:h="16850"/>
          <w:pgMar w:header="0" w:footer="779" w:top="1380" w:bottom="1040" w:left="1120" w:right="280"/>
        </w:sectPr>
      </w:pPr>
    </w:p>
    <w:p>
      <w:pPr>
        <w:pStyle w:val="ListParagraph"/>
        <w:numPr>
          <w:ilvl w:val="1"/>
          <w:numId w:val="118"/>
        </w:numPr>
        <w:tabs>
          <w:tab w:pos="1522" w:val="left" w:leader="none"/>
        </w:tabs>
        <w:spacing w:line="364" w:lineRule="auto" w:before="60" w:after="0"/>
        <w:ind w:left="678" w:right="1156" w:firstLine="419"/>
        <w:jc w:val="left"/>
        <w:rPr>
          <w:sz w:val="21"/>
        </w:rPr>
      </w:pPr>
      <w:r>
        <w:rPr>
          <w:spacing w:val="-3"/>
          <w:sz w:val="21"/>
        </w:rPr>
        <w:t>本工程量清单编码处标注“</w:t>
      </w:r>
      <w:r>
        <w:rPr>
          <w:sz w:val="21"/>
        </w:rPr>
        <w:t>*</w:t>
      </w:r>
      <w:r>
        <w:rPr>
          <w:spacing w:val="-11"/>
          <w:sz w:val="21"/>
        </w:rPr>
        <w:t>”号的清单项目作为主要清单项目，需要投标人提供《主</w:t>
      </w:r>
      <w:r>
        <w:rPr>
          <w:spacing w:val="-12"/>
          <w:w w:val="100"/>
          <w:sz w:val="21"/>
        </w:rPr>
        <w:t>要清单项目工料机分析表》</w:t>
      </w:r>
      <w:r>
        <w:rPr>
          <w:w w:val="100"/>
          <w:sz w:val="21"/>
        </w:rPr>
        <w:t>（表-</w:t>
      </w:r>
      <w:r>
        <w:rPr>
          <w:spacing w:val="-3"/>
          <w:w w:val="100"/>
          <w:sz w:val="21"/>
        </w:rPr>
        <w:t>1</w:t>
      </w:r>
      <w:r>
        <w:rPr>
          <w:w w:val="100"/>
          <w:sz w:val="21"/>
        </w:rPr>
        <w:t>0</w:t>
      </w:r>
      <w:r>
        <w:rPr>
          <w:spacing w:val="-106"/>
          <w:w w:val="100"/>
          <w:sz w:val="21"/>
        </w:rPr>
        <w:t>）</w:t>
      </w:r>
      <w:r>
        <w:rPr>
          <w:spacing w:val="-3"/>
          <w:w w:val="100"/>
          <w:sz w:val="21"/>
        </w:rPr>
        <w:t>。</w:t>
      </w:r>
      <w:r>
        <w:rPr>
          <w:w w:val="100"/>
          <w:sz w:val="21"/>
        </w:rPr>
        <w:t> </w:t>
      </w:r>
    </w:p>
    <w:p>
      <w:pPr>
        <w:pStyle w:val="ListParagraph"/>
        <w:numPr>
          <w:ilvl w:val="1"/>
          <w:numId w:val="118"/>
        </w:numPr>
        <w:tabs>
          <w:tab w:pos="1522" w:val="left" w:leader="none"/>
        </w:tabs>
        <w:spacing w:line="268" w:lineRule="exact" w:before="0" w:after="0"/>
        <w:ind w:left="1521" w:right="0" w:hanging="424"/>
        <w:jc w:val="left"/>
        <w:rPr>
          <w:sz w:val="21"/>
        </w:rPr>
      </w:pPr>
      <w:r>
        <w:rPr>
          <w:spacing w:val="-3"/>
          <w:sz w:val="21"/>
        </w:rPr>
        <w:t>其它需要说明的问题： </w:t>
      </w:r>
    </w:p>
    <w:p>
      <w:pPr>
        <w:pStyle w:val="BodyText"/>
        <w:spacing w:before="141"/>
      </w:pPr>
      <w:r>
        <w:rPr>
          <w:color w:val="0000FF"/>
        </w:rPr>
        <w:t>钢筋主材包含从南宁至横县每吨增加 55 元超运距费用</w:t>
      </w:r>
      <w:r>
        <w:rPr/>
        <w:t> </w:t>
      </w:r>
    </w:p>
    <w:p>
      <w:pPr>
        <w:pStyle w:val="ListParagraph"/>
        <w:numPr>
          <w:ilvl w:val="1"/>
          <w:numId w:val="118"/>
        </w:numPr>
        <w:tabs>
          <w:tab w:pos="1522" w:val="left" w:leader="none"/>
        </w:tabs>
        <w:spacing w:line="364" w:lineRule="auto" w:before="3" w:after="0"/>
        <w:ind w:left="678" w:right="1105" w:firstLine="419"/>
        <w:jc w:val="left"/>
        <w:rPr>
          <w:sz w:val="21"/>
        </w:rPr>
      </w:pPr>
      <w:r>
        <w:rPr>
          <w:spacing w:val="-3"/>
          <w:sz w:val="21"/>
        </w:rPr>
        <w:t>工程量清单在南宁市公共资源交易中心系统发布，潜在投标人可登陆系统自行下载， </w:t>
      </w:r>
      <w:r>
        <w:rPr>
          <w:spacing w:val="-6"/>
          <w:w w:val="100"/>
          <w:sz w:val="21"/>
        </w:rPr>
        <w:t>文件后缀名为“</w:t>
      </w:r>
      <w:r>
        <w:rPr>
          <w:w w:val="100"/>
          <w:sz w:val="21"/>
        </w:rPr>
        <w:t>.g</w:t>
      </w:r>
      <w:r>
        <w:rPr>
          <w:spacing w:val="-3"/>
          <w:w w:val="100"/>
          <w:sz w:val="21"/>
        </w:rPr>
        <w:t>x</w:t>
      </w:r>
      <w:r>
        <w:rPr>
          <w:w w:val="100"/>
          <w:sz w:val="21"/>
        </w:rPr>
        <w:t>zb</w:t>
      </w:r>
      <w:r>
        <w:rPr>
          <w:spacing w:val="-14"/>
          <w:w w:val="100"/>
          <w:sz w:val="21"/>
        </w:rPr>
        <w:t>”。 一般计税法建设工程的工程量清单表格按《关于建筑业实施营业税改</w:t>
      </w:r>
      <w:r>
        <w:rPr>
          <w:spacing w:val="-7"/>
          <w:sz w:val="21"/>
        </w:rPr>
        <w:t>征增值税后广西壮族自治区建设工程计价依据调整的通知》</w:t>
      </w:r>
      <w:r>
        <w:rPr>
          <w:spacing w:val="-3"/>
          <w:sz w:val="21"/>
        </w:rPr>
        <w:t>（桂建标〔</w:t>
      </w:r>
      <w:r>
        <w:rPr>
          <w:sz w:val="21"/>
        </w:rPr>
        <w:t>2016〕17</w:t>
      </w:r>
      <w:r>
        <w:rPr>
          <w:spacing w:val="-18"/>
          <w:sz w:val="21"/>
        </w:rPr>
        <w:t> 号</w:t>
      </w:r>
      <w:r>
        <w:rPr>
          <w:spacing w:val="-3"/>
          <w:sz w:val="21"/>
        </w:rPr>
        <w:t>）</w:t>
      </w:r>
      <w:r>
        <w:rPr>
          <w:spacing w:val="-2"/>
          <w:sz w:val="21"/>
        </w:rPr>
        <w:t>附件“增</w:t>
      </w:r>
      <w:r>
        <w:rPr>
          <w:spacing w:val="-3"/>
          <w:sz w:val="21"/>
        </w:rPr>
        <w:t>值税一般计税方法工程计价表”要求提供；简易计税法建设工程按照《计价规范》要求的表格提供，但规费和税费要按照《关于建筑业实施营业税改征增值税后广西壮族自治区建设工程计</w:t>
      </w:r>
      <w:r>
        <w:rPr>
          <w:spacing w:val="-15"/>
          <w:sz w:val="21"/>
        </w:rPr>
        <w:t>价依据调整的通知》</w:t>
      </w:r>
      <w:r>
        <w:rPr>
          <w:sz w:val="21"/>
        </w:rPr>
        <w:t>（</w:t>
      </w:r>
      <w:r>
        <w:rPr>
          <w:spacing w:val="-2"/>
          <w:sz w:val="21"/>
        </w:rPr>
        <w:t>桂建标〔</w:t>
      </w:r>
      <w:r>
        <w:rPr>
          <w:sz w:val="21"/>
        </w:rPr>
        <w:t>2016</w:t>
      </w:r>
      <w:r>
        <w:rPr>
          <w:spacing w:val="-3"/>
          <w:sz w:val="21"/>
        </w:rPr>
        <w:t>〕</w:t>
      </w:r>
      <w:r>
        <w:rPr>
          <w:sz w:val="21"/>
        </w:rPr>
        <w:t>17</w:t>
      </w:r>
      <w:r>
        <w:rPr>
          <w:spacing w:val="-28"/>
          <w:sz w:val="21"/>
        </w:rPr>
        <w:t> 号</w:t>
      </w:r>
      <w:r>
        <w:rPr>
          <w:spacing w:val="-3"/>
          <w:sz w:val="21"/>
        </w:rPr>
        <w:t>）要求调整，具体包括：</w:t>
      </w:r>
      <w:r>
        <w:rPr>
          <w:sz w:val="21"/>
        </w:rPr>
        <w:t> </w:t>
      </w:r>
    </w:p>
    <w:p>
      <w:pPr>
        <w:pStyle w:val="ListParagraph"/>
        <w:numPr>
          <w:ilvl w:val="1"/>
          <w:numId w:val="119"/>
        </w:numPr>
        <w:tabs>
          <w:tab w:pos="996" w:val="left" w:leader="none"/>
        </w:tabs>
        <w:spacing w:line="266" w:lineRule="exact" w:before="0" w:after="0"/>
        <w:ind w:left="995" w:right="0" w:hanging="318"/>
        <w:jc w:val="left"/>
        <w:rPr>
          <w:sz w:val="21"/>
        </w:rPr>
      </w:pPr>
      <w:r>
        <w:rPr>
          <w:color w:val="0000FF"/>
          <w:spacing w:val="-3"/>
          <w:sz w:val="21"/>
        </w:rPr>
        <w:t>招标工程量清单</w:t>
      </w:r>
      <w:r>
        <w:rPr>
          <w:color w:val="0000FF"/>
          <w:sz w:val="21"/>
        </w:rPr>
        <w:t>（</w:t>
      </w:r>
      <w:r>
        <w:rPr>
          <w:color w:val="0000FF"/>
          <w:spacing w:val="-2"/>
          <w:sz w:val="21"/>
        </w:rPr>
        <w:t>封-</w:t>
      </w:r>
      <w:r>
        <w:rPr>
          <w:color w:val="0000FF"/>
          <w:sz w:val="21"/>
        </w:rPr>
        <w:t>1）</w:t>
      </w:r>
      <w:r>
        <w:rPr>
          <w:sz w:val="21"/>
        </w:rPr>
        <w:t> </w:t>
      </w:r>
    </w:p>
    <w:p>
      <w:pPr>
        <w:pStyle w:val="ListParagraph"/>
        <w:numPr>
          <w:ilvl w:val="1"/>
          <w:numId w:val="119"/>
        </w:numPr>
        <w:tabs>
          <w:tab w:pos="996" w:val="left" w:leader="none"/>
        </w:tabs>
        <w:spacing w:line="240" w:lineRule="auto" w:before="4" w:after="0"/>
        <w:ind w:left="995" w:right="0" w:hanging="318"/>
        <w:jc w:val="left"/>
        <w:rPr>
          <w:sz w:val="21"/>
        </w:rPr>
      </w:pPr>
      <w:r>
        <w:rPr>
          <w:color w:val="0000FF"/>
          <w:spacing w:val="-3"/>
          <w:sz w:val="21"/>
        </w:rPr>
        <w:t>招标工程量清单</w:t>
      </w:r>
      <w:r>
        <w:rPr>
          <w:color w:val="0000FF"/>
          <w:sz w:val="21"/>
        </w:rPr>
        <w:t>（</w:t>
      </w:r>
      <w:r>
        <w:rPr>
          <w:color w:val="0000FF"/>
          <w:spacing w:val="-2"/>
          <w:sz w:val="21"/>
        </w:rPr>
        <w:t>封扉</w:t>
      </w:r>
      <w:r>
        <w:rPr>
          <w:color w:val="0000FF"/>
          <w:sz w:val="21"/>
        </w:rPr>
        <w:t>-1） </w:t>
      </w:r>
    </w:p>
    <w:p>
      <w:pPr>
        <w:pStyle w:val="BodyText"/>
        <w:spacing w:before="2"/>
      </w:pPr>
      <w:r>
        <w:rPr>
          <w:color w:val="0000FF"/>
        </w:rPr>
        <w:t>1.3 总说明（表-01） </w:t>
      </w:r>
    </w:p>
    <w:p>
      <w:pPr>
        <w:pStyle w:val="ListParagraph"/>
        <w:numPr>
          <w:ilvl w:val="1"/>
          <w:numId w:val="120"/>
        </w:numPr>
        <w:tabs>
          <w:tab w:pos="996" w:val="left" w:leader="none"/>
        </w:tabs>
        <w:spacing w:line="240" w:lineRule="auto" w:before="5" w:after="0"/>
        <w:ind w:left="995" w:right="0" w:hanging="318"/>
        <w:jc w:val="left"/>
        <w:rPr>
          <w:sz w:val="21"/>
        </w:rPr>
      </w:pPr>
      <w:r>
        <w:rPr>
          <w:color w:val="0000FF"/>
          <w:spacing w:val="-3"/>
          <w:sz w:val="21"/>
        </w:rPr>
        <w:t>建设项目投标报价汇总表（</w:t>
      </w:r>
      <w:r>
        <w:rPr>
          <w:color w:val="0000FF"/>
          <w:sz w:val="21"/>
        </w:rPr>
        <w:t>表-02） </w:t>
      </w:r>
    </w:p>
    <w:p>
      <w:pPr>
        <w:pStyle w:val="ListParagraph"/>
        <w:numPr>
          <w:ilvl w:val="1"/>
          <w:numId w:val="120"/>
        </w:numPr>
        <w:tabs>
          <w:tab w:pos="996" w:val="left" w:leader="none"/>
        </w:tabs>
        <w:spacing w:line="240" w:lineRule="auto" w:before="2" w:after="0"/>
        <w:ind w:left="995" w:right="0" w:hanging="318"/>
        <w:jc w:val="left"/>
        <w:rPr>
          <w:sz w:val="21"/>
        </w:rPr>
      </w:pPr>
      <w:r>
        <w:rPr>
          <w:color w:val="0000FF"/>
          <w:spacing w:val="-3"/>
          <w:sz w:val="21"/>
        </w:rPr>
        <w:t>单项工程投标报价汇总表（</w:t>
      </w:r>
      <w:r>
        <w:rPr>
          <w:color w:val="0000FF"/>
          <w:sz w:val="21"/>
        </w:rPr>
        <w:t>表-03） </w:t>
      </w:r>
    </w:p>
    <w:p>
      <w:pPr>
        <w:pStyle w:val="ListParagraph"/>
        <w:numPr>
          <w:ilvl w:val="1"/>
          <w:numId w:val="120"/>
        </w:numPr>
        <w:tabs>
          <w:tab w:pos="996" w:val="left" w:leader="none"/>
        </w:tabs>
        <w:spacing w:line="240" w:lineRule="auto" w:before="4" w:after="0"/>
        <w:ind w:left="995" w:right="0" w:hanging="318"/>
        <w:jc w:val="left"/>
        <w:rPr>
          <w:sz w:val="21"/>
        </w:rPr>
      </w:pPr>
      <w:r>
        <w:rPr>
          <w:color w:val="0000FF"/>
          <w:spacing w:val="-3"/>
          <w:sz w:val="21"/>
        </w:rPr>
        <w:t>单位工程投标报价汇总表（</w:t>
      </w:r>
      <w:r>
        <w:rPr>
          <w:color w:val="0000FF"/>
          <w:sz w:val="21"/>
        </w:rPr>
        <w:t>表-04） </w:t>
      </w:r>
    </w:p>
    <w:p>
      <w:pPr>
        <w:pStyle w:val="ListParagraph"/>
        <w:numPr>
          <w:ilvl w:val="1"/>
          <w:numId w:val="120"/>
        </w:numPr>
        <w:tabs>
          <w:tab w:pos="996" w:val="left" w:leader="none"/>
        </w:tabs>
        <w:spacing w:line="240" w:lineRule="auto" w:before="3" w:after="0"/>
        <w:ind w:left="995" w:right="0" w:hanging="318"/>
        <w:jc w:val="left"/>
        <w:rPr>
          <w:sz w:val="21"/>
        </w:rPr>
      </w:pPr>
      <w:r>
        <w:rPr>
          <w:color w:val="0000FF"/>
          <w:spacing w:val="-3"/>
          <w:sz w:val="21"/>
        </w:rPr>
        <w:t>分部分项工程和单价措施项目清单与计价表（</w:t>
      </w:r>
      <w:r>
        <w:rPr>
          <w:color w:val="0000FF"/>
          <w:sz w:val="21"/>
        </w:rPr>
        <w:t>表-08） </w:t>
      </w:r>
    </w:p>
    <w:p>
      <w:pPr>
        <w:pStyle w:val="ListParagraph"/>
        <w:numPr>
          <w:ilvl w:val="1"/>
          <w:numId w:val="120"/>
        </w:numPr>
        <w:tabs>
          <w:tab w:pos="996" w:val="left" w:leader="none"/>
        </w:tabs>
        <w:spacing w:line="240" w:lineRule="auto" w:before="4" w:after="0"/>
        <w:ind w:left="995" w:right="0" w:hanging="318"/>
        <w:jc w:val="left"/>
        <w:rPr>
          <w:sz w:val="21"/>
        </w:rPr>
      </w:pPr>
      <w:r>
        <w:rPr>
          <w:color w:val="0000FF"/>
          <w:spacing w:val="-3"/>
          <w:sz w:val="21"/>
        </w:rPr>
        <w:t>总价措施项目清单与计价表</w:t>
      </w:r>
      <w:r>
        <w:rPr>
          <w:color w:val="0000FF"/>
          <w:sz w:val="21"/>
        </w:rPr>
        <w:t>（</w:t>
      </w:r>
      <w:r>
        <w:rPr>
          <w:color w:val="0000FF"/>
          <w:spacing w:val="-3"/>
          <w:sz w:val="21"/>
        </w:rPr>
        <w:t>表</w:t>
      </w:r>
      <w:r>
        <w:rPr>
          <w:color w:val="0000FF"/>
          <w:sz w:val="21"/>
        </w:rPr>
        <w:t>-11） </w:t>
      </w:r>
    </w:p>
    <w:p>
      <w:pPr>
        <w:pStyle w:val="ListParagraph"/>
        <w:numPr>
          <w:ilvl w:val="1"/>
          <w:numId w:val="120"/>
        </w:numPr>
        <w:tabs>
          <w:tab w:pos="996" w:val="left" w:leader="none"/>
        </w:tabs>
        <w:spacing w:line="240" w:lineRule="auto" w:before="2" w:after="0"/>
        <w:ind w:left="995" w:right="0" w:hanging="318"/>
        <w:jc w:val="left"/>
        <w:rPr>
          <w:sz w:val="21"/>
        </w:rPr>
      </w:pPr>
      <w:r>
        <w:rPr>
          <w:color w:val="0000FF"/>
          <w:spacing w:val="-3"/>
          <w:sz w:val="21"/>
        </w:rPr>
        <w:t>其他项目清单与计价汇总表</w:t>
      </w:r>
      <w:r>
        <w:rPr>
          <w:color w:val="0000FF"/>
          <w:sz w:val="21"/>
        </w:rPr>
        <w:t>（</w:t>
      </w:r>
      <w:r>
        <w:rPr>
          <w:color w:val="0000FF"/>
          <w:spacing w:val="-3"/>
          <w:sz w:val="21"/>
        </w:rPr>
        <w:t>表</w:t>
      </w:r>
      <w:r>
        <w:rPr>
          <w:color w:val="0000FF"/>
          <w:sz w:val="21"/>
        </w:rPr>
        <w:t>-12） </w:t>
      </w:r>
    </w:p>
    <w:p>
      <w:pPr>
        <w:pStyle w:val="ListParagraph"/>
        <w:numPr>
          <w:ilvl w:val="1"/>
          <w:numId w:val="120"/>
        </w:numPr>
        <w:tabs>
          <w:tab w:pos="1102" w:val="left" w:leader="none"/>
        </w:tabs>
        <w:spacing w:line="240" w:lineRule="auto" w:before="5" w:after="0"/>
        <w:ind w:left="1101" w:right="0" w:hanging="424"/>
        <w:jc w:val="left"/>
        <w:rPr>
          <w:sz w:val="21"/>
        </w:rPr>
      </w:pPr>
      <w:r>
        <w:rPr>
          <w:color w:val="0000FF"/>
          <w:spacing w:val="-3"/>
          <w:sz w:val="21"/>
        </w:rPr>
        <w:t>暂列金额明细表（</w:t>
      </w:r>
      <w:r>
        <w:rPr>
          <w:color w:val="0000FF"/>
          <w:spacing w:val="-26"/>
          <w:sz w:val="21"/>
        </w:rPr>
        <w:t>表 </w:t>
      </w:r>
      <w:r>
        <w:rPr>
          <w:color w:val="0000FF"/>
          <w:sz w:val="21"/>
        </w:rPr>
        <w:t>12-1） </w:t>
      </w:r>
    </w:p>
    <w:p>
      <w:pPr>
        <w:pStyle w:val="ListParagraph"/>
        <w:numPr>
          <w:ilvl w:val="1"/>
          <w:numId w:val="120"/>
        </w:numPr>
        <w:tabs>
          <w:tab w:pos="1102" w:val="left" w:leader="none"/>
        </w:tabs>
        <w:spacing w:line="240" w:lineRule="auto" w:before="2" w:after="0"/>
        <w:ind w:left="1101" w:right="0" w:hanging="424"/>
        <w:jc w:val="left"/>
        <w:rPr>
          <w:sz w:val="21"/>
        </w:rPr>
      </w:pPr>
      <w:r>
        <w:rPr>
          <w:color w:val="0000FF"/>
          <w:spacing w:val="-2"/>
          <w:sz w:val="21"/>
        </w:rPr>
        <w:t>材料</w:t>
      </w:r>
      <w:r>
        <w:rPr>
          <w:color w:val="0000FF"/>
          <w:sz w:val="21"/>
        </w:rPr>
        <w:t>（</w:t>
      </w:r>
      <w:r>
        <w:rPr>
          <w:color w:val="0000FF"/>
          <w:spacing w:val="-3"/>
          <w:sz w:val="21"/>
        </w:rPr>
        <w:t>工程设备）暂估单价及调整表（</w:t>
      </w:r>
      <w:r>
        <w:rPr>
          <w:color w:val="0000FF"/>
          <w:spacing w:val="-27"/>
          <w:sz w:val="21"/>
        </w:rPr>
        <w:t>表 </w:t>
      </w:r>
      <w:r>
        <w:rPr>
          <w:color w:val="0000FF"/>
          <w:sz w:val="21"/>
        </w:rPr>
        <w:t>12-2） </w:t>
      </w:r>
    </w:p>
    <w:p>
      <w:pPr>
        <w:pStyle w:val="ListParagraph"/>
        <w:numPr>
          <w:ilvl w:val="1"/>
          <w:numId w:val="120"/>
        </w:numPr>
        <w:tabs>
          <w:tab w:pos="1102" w:val="left" w:leader="none"/>
        </w:tabs>
        <w:spacing w:line="240" w:lineRule="auto" w:before="5" w:after="0"/>
        <w:ind w:left="1101" w:right="0" w:hanging="424"/>
        <w:jc w:val="left"/>
        <w:rPr>
          <w:sz w:val="21"/>
        </w:rPr>
      </w:pPr>
      <w:r>
        <w:rPr>
          <w:color w:val="0000FF"/>
          <w:spacing w:val="-3"/>
          <w:sz w:val="21"/>
        </w:rPr>
        <w:t>专业工程暂估价及结算价表（</w:t>
      </w:r>
      <w:r>
        <w:rPr>
          <w:color w:val="0000FF"/>
          <w:spacing w:val="-27"/>
          <w:sz w:val="21"/>
        </w:rPr>
        <w:t>表 </w:t>
      </w:r>
      <w:r>
        <w:rPr>
          <w:color w:val="0000FF"/>
          <w:sz w:val="21"/>
        </w:rPr>
        <w:t>12-3） </w:t>
      </w:r>
    </w:p>
    <w:p>
      <w:pPr>
        <w:pStyle w:val="BodyText"/>
        <w:spacing w:before="2"/>
      </w:pPr>
      <w:r>
        <w:rPr>
          <w:color w:val="0000FF"/>
        </w:rPr>
        <w:t>1.13 计日工表（表 12-4） </w:t>
      </w:r>
    </w:p>
    <w:p>
      <w:pPr>
        <w:pStyle w:val="ListParagraph"/>
        <w:numPr>
          <w:ilvl w:val="1"/>
          <w:numId w:val="121"/>
        </w:numPr>
        <w:tabs>
          <w:tab w:pos="1102" w:val="left" w:leader="none"/>
        </w:tabs>
        <w:spacing w:line="240" w:lineRule="auto" w:before="5" w:after="0"/>
        <w:ind w:left="1101" w:right="0" w:hanging="424"/>
        <w:jc w:val="left"/>
        <w:rPr>
          <w:sz w:val="21"/>
        </w:rPr>
      </w:pPr>
      <w:r>
        <w:rPr>
          <w:color w:val="0000FF"/>
          <w:spacing w:val="-3"/>
          <w:sz w:val="21"/>
        </w:rPr>
        <w:t>总承包服务费计价表</w:t>
      </w:r>
      <w:r>
        <w:rPr>
          <w:color w:val="0000FF"/>
          <w:sz w:val="21"/>
        </w:rPr>
        <w:t>（</w:t>
      </w:r>
      <w:r>
        <w:rPr>
          <w:color w:val="0000FF"/>
          <w:spacing w:val="-26"/>
          <w:sz w:val="21"/>
        </w:rPr>
        <w:t>表 </w:t>
      </w:r>
      <w:r>
        <w:rPr>
          <w:color w:val="0000FF"/>
          <w:sz w:val="21"/>
        </w:rPr>
        <w:t>12-5） </w:t>
      </w:r>
    </w:p>
    <w:p>
      <w:pPr>
        <w:pStyle w:val="ListParagraph"/>
        <w:numPr>
          <w:ilvl w:val="1"/>
          <w:numId w:val="121"/>
        </w:numPr>
        <w:tabs>
          <w:tab w:pos="1102" w:val="left" w:leader="none"/>
        </w:tabs>
        <w:spacing w:line="240" w:lineRule="auto" w:before="2" w:after="0"/>
        <w:ind w:left="1101" w:right="0" w:hanging="424"/>
        <w:jc w:val="left"/>
        <w:rPr>
          <w:sz w:val="21"/>
        </w:rPr>
      </w:pPr>
      <w:r>
        <w:rPr>
          <w:color w:val="0000FF"/>
          <w:spacing w:val="-3"/>
          <w:sz w:val="21"/>
        </w:rPr>
        <w:t>税前项目清单与计价表</w:t>
      </w:r>
      <w:r>
        <w:rPr>
          <w:color w:val="0000FF"/>
          <w:sz w:val="21"/>
        </w:rPr>
        <w:t>（</w:t>
      </w:r>
      <w:r>
        <w:rPr>
          <w:color w:val="0000FF"/>
          <w:spacing w:val="-3"/>
          <w:sz w:val="21"/>
        </w:rPr>
        <w:t>表</w:t>
      </w:r>
      <w:r>
        <w:rPr>
          <w:color w:val="0000FF"/>
          <w:sz w:val="21"/>
        </w:rPr>
        <w:t>-14） </w:t>
      </w:r>
    </w:p>
    <w:p>
      <w:pPr>
        <w:pStyle w:val="ListParagraph"/>
        <w:numPr>
          <w:ilvl w:val="1"/>
          <w:numId w:val="121"/>
        </w:numPr>
        <w:tabs>
          <w:tab w:pos="1102" w:val="left" w:leader="none"/>
        </w:tabs>
        <w:spacing w:line="240" w:lineRule="auto" w:before="4" w:after="0"/>
        <w:ind w:left="1101" w:right="0" w:hanging="424"/>
        <w:jc w:val="left"/>
        <w:rPr>
          <w:sz w:val="21"/>
        </w:rPr>
      </w:pPr>
      <w:r>
        <w:rPr>
          <w:color w:val="0000FF"/>
          <w:spacing w:val="-3"/>
          <w:sz w:val="21"/>
        </w:rPr>
        <w:t>规费、增值税计价表</w:t>
      </w:r>
      <w:r>
        <w:rPr>
          <w:color w:val="0000FF"/>
          <w:sz w:val="21"/>
        </w:rPr>
        <w:t>（表-15） </w:t>
      </w:r>
    </w:p>
    <w:p>
      <w:pPr>
        <w:pStyle w:val="ListParagraph"/>
        <w:numPr>
          <w:ilvl w:val="1"/>
          <w:numId w:val="121"/>
        </w:numPr>
        <w:tabs>
          <w:tab w:pos="1102" w:val="left" w:leader="none"/>
        </w:tabs>
        <w:spacing w:line="240" w:lineRule="auto" w:before="2" w:after="0"/>
        <w:ind w:left="1101" w:right="0" w:hanging="424"/>
        <w:jc w:val="left"/>
        <w:rPr>
          <w:sz w:val="21"/>
        </w:rPr>
      </w:pPr>
      <w:r>
        <w:rPr>
          <w:color w:val="0000FF"/>
          <w:spacing w:val="-3"/>
          <w:sz w:val="21"/>
        </w:rPr>
        <w:t>发包人提供主要材料和工程设备一览表（</w:t>
      </w:r>
      <w:r>
        <w:rPr>
          <w:color w:val="0000FF"/>
          <w:sz w:val="21"/>
        </w:rPr>
        <w:t>表-21） </w:t>
      </w:r>
    </w:p>
    <w:p>
      <w:pPr>
        <w:pStyle w:val="ListParagraph"/>
        <w:numPr>
          <w:ilvl w:val="1"/>
          <w:numId w:val="121"/>
        </w:numPr>
        <w:tabs>
          <w:tab w:pos="1102" w:val="left" w:leader="none"/>
        </w:tabs>
        <w:spacing w:line="240" w:lineRule="auto" w:before="5" w:after="0"/>
        <w:ind w:left="1101" w:right="0" w:hanging="424"/>
        <w:jc w:val="left"/>
        <w:rPr>
          <w:sz w:val="21"/>
        </w:rPr>
      </w:pPr>
      <w:r>
        <w:rPr>
          <w:color w:val="0000FF"/>
          <w:spacing w:val="-3"/>
          <w:w w:val="100"/>
          <w:sz w:val="21"/>
        </w:rPr>
        <w:t>承包人提供主要材料和工程设备一览表（适用于造价信息差额调整法</w:t>
      </w:r>
      <w:r>
        <w:rPr>
          <w:color w:val="0000FF"/>
          <w:spacing w:val="-108"/>
          <w:w w:val="100"/>
          <w:sz w:val="21"/>
        </w:rPr>
        <w:t>）</w:t>
      </w:r>
      <w:r>
        <w:rPr>
          <w:color w:val="0000FF"/>
          <w:spacing w:val="-3"/>
          <w:w w:val="100"/>
          <w:sz w:val="21"/>
        </w:rPr>
        <w:t>（</w:t>
      </w:r>
      <w:r>
        <w:rPr>
          <w:color w:val="0000FF"/>
          <w:w w:val="100"/>
          <w:sz w:val="21"/>
        </w:rPr>
        <w:t>表-2</w:t>
      </w:r>
      <w:r>
        <w:rPr>
          <w:color w:val="0000FF"/>
          <w:spacing w:val="-3"/>
          <w:w w:val="100"/>
          <w:sz w:val="21"/>
        </w:rPr>
        <w:t>2）</w:t>
      </w:r>
      <w:r>
        <w:rPr>
          <w:color w:val="0000FF"/>
          <w:w w:val="100"/>
          <w:sz w:val="21"/>
        </w:rPr>
        <w:t> </w:t>
      </w:r>
    </w:p>
    <w:p>
      <w:pPr>
        <w:pStyle w:val="ListParagraph"/>
        <w:numPr>
          <w:ilvl w:val="1"/>
          <w:numId w:val="121"/>
        </w:numPr>
        <w:tabs>
          <w:tab w:pos="1151" w:val="left" w:leader="none"/>
        </w:tabs>
        <w:spacing w:line="240" w:lineRule="auto" w:before="2" w:after="0"/>
        <w:ind w:left="1150" w:right="0" w:hanging="473"/>
        <w:jc w:val="left"/>
        <w:rPr>
          <w:sz w:val="21"/>
        </w:rPr>
      </w:pPr>
      <w:r>
        <w:rPr>
          <w:color w:val="0000FF"/>
          <w:spacing w:val="-3"/>
          <w:w w:val="100"/>
          <w:sz w:val="21"/>
        </w:rPr>
        <w:t>承包人提供主要材料和工程设备一览表（适用于价格指数差额调整法</w:t>
      </w:r>
      <w:r>
        <w:rPr>
          <w:color w:val="0000FF"/>
          <w:spacing w:val="-108"/>
          <w:w w:val="100"/>
          <w:sz w:val="21"/>
        </w:rPr>
        <w:t>）</w:t>
      </w:r>
      <w:r>
        <w:rPr>
          <w:color w:val="0000FF"/>
          <w:spacing w:val="-3"/>
          <w:w w:val="100"/>
          <w:sz w:val="21"/>
        </w:rPr>
        <w:t>（</w:t>
      </w:r>
      <w:r>
        <w:rPr>
          <w:color w:val="0000FF"/>
          <w:w w:val="100"/>
          <w:sz w:val="21"/>
        </w:rPr>
        <w:t>表-2</w:t>
      </w:r>
      <w:r>
        <w:rPr>
          <w:color w:val="0000FF"/>
          <w:spacing w:val="-3"/>
          <w:w w:val="100"/>
          <w:sz w:val="21"/>
        </w:rPr>
        <w:t>3）</w:t>
      </w:r>
      <w:r>
        <w:rPr>
          <w:color w:val="0000FF"/>
          <w:w w:val="100"/>
          <w:sz w:val="21"/>
        </w:rPr>
        <w:t> </w:t>
      </w:r>
    </w:p>
    <w:p>
      <w:pPr>
        <w:pStyle w:val="BodyText"/>
        <w:spacing w:line="242" w:lineRule="auto" w:before="2"/>
        <w:ind w:right="1151"/>
        <w:jc w:val="both"/>
      </w:pPr>
      <w:r>
        <w:rPr>
          <w:color w:val="0000FF"/>
          <w:spacing w:val="-6"/>
        </w:rPr>
        <w:t>注：如本工程在合同中约定采用造价信息价差调整法，1.18</w:t>
      </w:r>
      <w:r>
        <w:rPr>
          <w:color w:val="0000FF"/>
          <w:spacing w:val="-2"/>
        </w:rPr>
        <w:t> 承包人提供主要材料和工程设备一</w:t>
      </w:r>
      <w:r>
        <w:rPr>
          <w:color w:val="0000FF"/>
          <w:spacing w:val="-2"/>
          <w:w w:val="100"/>
        </w:rPr>
        <w:t>览表</w:t>
      </w:r>
      <w:r>
        <w:rPr>
          <w:color w:val="0000FF"/>
          <w:spacing w:val="2"/>
          <w:w w:val="100"/>
        </w:rPr>
        <w:t>（</w:t>
      </w:r>
      <w:r>
        <w:rPr>
          <w:color w:val="0000FF"/>
          <w:w w:val="100"/>
        </w:rPr>
        <w:t>适用于造价信息差额调整法</w:t>
      </w:r>
      <w:r>
        <w:rPr>
          <w:color w:val="0000FF"/>
          <w:spacing w:val="-106"/>
          <w:w w:val="100"/>
        </w:rPr>
        <w:t>）</w:t>
      </w:r>
      <w:r>
        <w:rPr>
          <w:color w:val="0000FF"/>
          <w:w w:val="100"/>
        </w:rPr>
        <w:t>（</w:t>
      </w:r>
      <w:r>
        <w:rPr>
          <w:color w:val="0000FF"/>
          <w:spacing w:val="1"/>
          <w:w w:val="100"/>
        </w:rPr>
        <w:t>表-</w:t>
      </w:r>
      <w:r>
        <w:rPr>
          <w:color w:val="0000FF"/>
          <w:spacing w:val="-3"/>
          <w:w w:val="100"/>
        </w:rPr>
        <w:t>2</w:t>
      </w:r>
      <w:r>
        <w:rPr>
          <w:color w:val="0000FF"/>
          <w:w w:val="100"/>
        </w:rPr>
        <w:t>2）</w:t>
      </w:r>
      <w:r>
        <w:rPr>
          <w:color w:val="0000FF"/>
          <w:spacing w:val="-1"/>
          <w:w w:val="100"/>
        </w:rPr>
        <w:t>载明的主要材料和设备为本工程允许调整的材料</w:t>
      </w:r>
      <w:r>
        <w:rPr>
          <w:color w:val="0000FF"/>
          <w:spacing w:val="-3"/>
        </w:rPr>
        <w:t>和设备，招标工程量清单必须提供该表格，且不能提供空白表。</w:t>
      </w:r>
      <w:r>
        <w:rPr>
          <w:color w:val="0000FF"/>
        </w:rPr>
        <w:t> </w:t>
      </w:r>
    </w:p>
    <w:p>
      <w:pPr>
        <w:pStyle w:val="BodyText"/>
        <w:spacing w:line="242" w:lineRule="auto" w:before="3"/>
        <w:ind w:right="1156"/>
      </w:pPr>
      <w:r>
        <w:rPr>
          <w:color w:val="0000FF"/>
        </w:rPr>
        <w:t>以下表格视工程实际需要选用，如该工程不发生如下表格相关项目和费用，所编制招标工程量清单则不需列入相应表格： </w:t>
      </w:r>
    </w:p>
    <w:p>
      <w:pPr>
        <w:pStyle w:val="BodyText"/>
        <w:spacing w:before="2"/>
      </w:pPr>
      <w:r>
        <w:rPr>
          <w:color w:val="0000FF"/>
        </w:rPr>
        <w:t>①建设项目投标报价汇总表（表-02） </w:t>
      </w:r>
    </w:p>
    <w:p>
      <w:pPr>
        <w:pStyle w:val="BodyText"/>
        <w:spacing w:before="2"/>
      </w:pPr>
      <w:r>
        <w:rPr>
          <w:color w:val="0000FF"/>
        </w:rPr>
        <w:t>②暂列金额明细表（表 12-1） </w:t>
      </w:r>
    </w:p>
    <w:p>
      <w:pPr>
        <w:pStyle w:val="BodyText"/>
        <w:spacing w:before="5"/>
      </w:pPr>
      <w:r>
        <w:rPr>
          <w:color w:val="0000FF"/>
        </w:rPr>
        <w:t>③材料（工程设备）暂估单价及调整表（表 12-2） </w:t>
      </w:r>
    </w:p>
    <w:p>
      <w:pPr>
        <w:pStyle w:val="BodyText"/>
        <w:spacing w:before="2"/>
      </w:pPr>
      <w:r>
        <w:rPr>
          <w:color w:val="0000FF"/>
        </w:rPr>
        <w:t>④专业工程暂估价表（表 12-3） </w:t>
      </w:r>
    </w:p>
    <w:p>
      <w:pPr>
        <w:pStyle w:val="BodyText"/>
        <w:spacing w:before="5"/>
      </w:pPr>
      <w:r>
        <w:rPr>
          <w:color w:val="0000FF"/>
        </w:rPr>
        <w:t>⑤计日工表（表 12-4） </w:t>
      </w:r>
    </w:p>
    <w:p>
      <w:pPr>
        <w:pStyle w:val="BodyText"/>
        <w:spacing w:before="2"/>
      </w:pPr>
      <w:r>
        <w:rPr>
          <w:color w:val="0000FF"/>
        </w:rPr>
        <w:t>⑥总承包服务费计价表（表 12-5） </w:t>
      </w:r>
    </w:p>
    <w:p>
      <w:pPr>
        <w:pStyle w:val="BodyText"/>
        <w:spacing w:before="4"/>
      </w:pPr>
      <w:r>
        <w:rPr>
          <w:color w:val="0000FF"/>
        </w:rPr>
        <w:t>⑦税前项目清单与计价表（表-14） </w:t>
      </w:r>
    </w:p>
    <w:p>
      <w:pPr>
        <w:pStyle w:val="BodyText"/>
        <w:spacing w:line="248" w:lineRule="exact" w:before="2"/>
      </w:pPr>
      <w:r>
        <w:rPr>
          <w:color w:val="0000FF"/>
          <w:spacing w:val="-3"/>
          <w:w w:val="100"/>
        </w:rPr>
        <w:t>⑧ 承包人提供主要材料和工程设备一览表</w:t>
      </w:r>
      <w:r>
        <w:rPr>
          <w:color w:val="0000FF"/>
          <w:w w:val="100"/>
        </w:rPr>
        <w:t>（</w:t>
      </w:r>
      <w:r>
        <w:rPr>
          <w:color w:val="0000FF"/>
          <w:spacing w:val="-3"/>
          <w:w w:val="100"/>
        </w:rPr>
        <w:t>适用于价格指数差额调整法</w:t>
      </w:r>
      <w:r>
        <w:rPr>
          <w:color w:val="0000FF"/>
          <w:spacing w:val="-106"/>
          <w:w w:val="100"/>
        </w:rPr>
        <w:t>）</w:t>
      </w:r>
      <w:r>
        <w:rPr>
          <w:color w:val="0000FF"/>
          <w:spacing w:val="-3"/>
          <w:w w:val="100"/>
        </w:rPr>
        <w:t>（表</w:t>
      </w:r>
      <w:r>
        <w:rPr>
          <w:color w:val="0000FF"/>
          <w:w w:val="100"/>
        </w:rPr>
        <w:t>-23</w:t>
      </w:r>
      <w:r>
        <w:rPr>
          <w:color w:val="0000FF"/>
          <w:spacing w:val="-3"/>
          <w:w w:val="100"/>
        </w:rPr>
        <w:t>）</w:t>
      </w:r>
      <w:r>
        <w:rPr>
          <w:color w:val="0000FF"/>
          <w:w w:val="100"/>
        </w:rPr>
        <w:t> </w:t>
      </w:r>
    </w:p>
    <w:p>
      <w:pPr>
        <w:pStyle w:val="Heading2"/>
        <w:spacing w:line="567" w:lineRule="exact"/>
        <w:ind w:left="678"/>
      </w:pPr>
      <w:bookmarkStart w:name="2 招标控制价编制说明" w:id="479"/>
      <w:bookmarkEnd w:id="479"/>
      <w:r>
        <w:rPr>
          <w:b w:val="0"/>
        </w:rPr>
      </w:r>
      <w:bookmarkStart w:name="_bookmark103" w:id="480"/>
      <w:bookmarkEnd w:id="480"/>
      <w:r>
        <w:rPr>
          <w:b w:val="0"/>
        </w:rPr>
      </w:r>
      <w:r>
        <w:rPr/>
        <w:t>2 招标控制价编制说明</w:t>
      </w:r>
      <w:r>
        <w:rPr>
          <w:w w:val="199"/>
        </w:rPr>
        <w:t> </w:t>
      </w:r>
    </w:p>
    <w:p>
      <w:pPr>
        <w:pStyle w:val="BodyText"/>
        <w:spacing w:before="17"/>
        <w:ind w:left="0"/>
        <w:rPr>
          <w:rFonts w:ascii="Microsoft JhengHei"/>
          <w:b/>
          <w:sz w:val="15"/>
        </w:rPr>
      </w:pPr>
    </w:p>
    <w:p>
      <w:pPr>
        <w:pStyle w:val="ListParagraph"/>
        <w:numPr>
          <w:ilvl w:val="1"/>
          <w:numId w:val="122"/>
        </w:numPr>
        <w:tabs>
          <w:tab w:pos="1416" w:val="left" w:leader="none"/>
        </w:tabs>
        <w:spacing w:line="240" w:lineRule="auto" w:before="0" w:after="0"/>
        <w:ind w:left="1415" w:right="0" w:hanging="318"/>
        <w:jc w:val="left"/>
        <w:rPr>
          <w:sz w:val="21"/>
        </w:rPr>
      </w:pPr>
      <w:r>
        <w:rPr>
          <w:spacing w:val="-3"/>
          <w:sz w:val="21"/>
        </w:rPr>
        <w:t>招标控制价编制依据： </w:t>
      </w:r>
    </w:p>
    <w:p>
      <w:pPr>
        <w:spacing w:after="0" w:line="240" w:lineRule="auto"/>
        <w:jc w:val="left"/>
        <w:rPr>
          <w:sz w:val="21"/>
        </w:rPr>
        <w:sectPr>
          <w:pgSz w:w="11910" w:h="16850"/>
          <w:pgMar w:header="0" w:footer="779" w:top="1380" w:bottom="1040" w:left="1120" w:right="280"/>
        </w:sectPr>
      </w:pPr>
    </w:p>
    <w:p>
      <w:pPr>
        <w:pStyle w:val="ListParagraph"/>
        <w:numPr>
          <w:ilvl w:val="0"/>
          <w:numId w:val="123"/>
        </w:numPr>
        <w:tabs>
          <w:tab w:pos="1627" w:val="left" w:leader="none"/>
        </w:tabs>
        <w:spacing w:line="364" w:lineRule="auto" w:before="60" w:after="0"/>
        <w:ind w:left="678" w:right="1151" w:firstLine="419"/>
        <w:jc w:val="left"/>
        <w:rPr>
          <w:sz w:val="21"/>
        </w:rPr>
      </w:pPr>
      <w:r>
        <w:rPr>
          <w:spacing w:val="-15"/>
          <w:sz w:val="21"/>
        </w:rPr>
        <w:t>《计价规范》及《计算规范》、《关于建筑业实施营业税改征增值税后广西壮族自治</w:t>
      </w:r>
      <w:r>
        <w:rPr>
          <w:spacing w:val="-3"/>
          <w:sz w:val="21"/>
        </w:rPr>
        <w:t>区建设工程计价依据调整的通知》</w:t>
      </w:r>
      <w:r>
        <w:rPr>
          <w:sz w:val="21"/>
        </w:rPr>
        <w:t>（</w:t>
      </w:r>
      <w:r>
        <w:rPr>
          <w:spacing w:val="-3"/>
          <w:sz w:val="21"/>
        </w:rPr>
        <w:t>桂建标〔</w:t>
      </w:r>
      <w:r>
        <w:rPr>
          <w:sz w:val="21"/>
        </w:rPr>
        <w:t>2016〕17</w:t>
      </w:r>
      <w:r>
        <w:rPr>
          <w:spacing w:val="-27"/>
          <w:sz w:val="21"/>
        </w:rPr>
        <w:t> 号</w:t>
      </w:r>
      <w:r>
        <w:rPr>
          <w:spacing w:val="-3"/>
          <w:sz w:val="21"/>
        </w:rPr>
        <w:t>）</w:t>
      </w:r>
      <w:r>
        <w:rPr>
          <w:spacing w:val="-2"/>
          <w:sz w:val="21"/>
        </w:rPr>
        <w:t>等；</w:t>
      </w:r>
      <w:r>
        <w:rPr>
          <w:sz w:val="21"/>
        </w:rPr>
        <w:t> </w:t>
      </w:r>
    </w:p>
    <w:p>
      <w:pPr>
        <w:pStyle w:val="ListParagraph"/>
        <w:numPr>
          <w:ilvl w:val="0"/>
          <w:numId w:val="123"/>
        </w:numPr>
        <w:tabs>
          <w:tab w:pos="1627" w:val="left" w:leader="none"/>
        </w:tabs>
        <w:spacing w:line="268" w:lineRule="exact" w:before="0" w:after="0"/>
        <w:ind w:left="1627" w:right="0" w:hanging="529"/>
        <w:jc w:val="left"/>
        <w:rPr>
          <w:sz w:val="21"/>
        </w:rPr>
      </w:pPr>
      <w:r>
        <w:rPr>
          <w:spacing w:val="-3"/>
          <w:sz w:val="21"/>
        </w:rPr>
        <w:t>自治区住房城乡建设行政主管部门颁发的计价定额及有关规定：</w:t>
      </w:r>
      <w:r>
        <w:rPr>
          <w:sz w:val="21"/>
        </w:rPr>
        <w:t> </w:t>
      </w:r>
    </w:p>
    <w:p>
      <w:pPr>
        <w:pStyle w:val="BodyText"/>
        <w:spacing w:before="141"/>
      </w:pPr>
      <w:r>
        <w:rPr>
          <w:color w:val="0000FF"/>
          <w:spacing w:val="-8"/>
          <w:w w:val="100"/>
        </w:rPr>
        <w:t>《建设工程工程量清单计价规范》</w:t>
      </w:r>
      <w:r>
        <w:rPr>
          <w:color w:val="0000FF"/>
          <w:spacing w:val="3"/>
          <w:w w:val="100"/>
        </w:rPr>
        <w:t>（</w:t>
      </w:r>
      <w:r>
        <w:rPr>
          <w:color w:val="0000FF"/>
          <w:w w:val="100"/>
        </w:rPr>
        <w:t>GB</w:t>
      </w:r>
      <w:r>
        <w:rPr>
          <w:color w:val="0000FF"/>
          <w:spacing w:val="-3"/>
          <w:w w:val="100"/>
        </w:rPr>
        <w:t>5</w:t>
      </w:r>
      <w:r>
        <w:rPr>
          <w:color w:val="0000FF"/>
          <w:w w:val="100"/>
        </w:rPr>
        <w:t>050</w:t>
      </w:r>
      <w:r>
        <w:rPr>
          <w:color w:val="0000FF"/>
          <w:spacing w:val="-3"/>
          <w:w w:val="100"/>
        </w:rPr>
        <w:t>0</w:t>
      </w:r>
      <w:r>
        <w:rPr>
          <w:color w:val="0000FF"/>
          <w:w w:val="100"/>
        </w:rPr>
        <w:t>-20</w:t>
      </w:r>
      <w:r>
        <w:rPr>
          <w:color w:val="0000FF"/>
          <w:spacing w:val="-3"/>
          <w:w w:val="100"/>
        </w:rPr>
        <w:t>1</w:t>
      </w:r>
      <w:r>
        <w:rPr>
          <w:color w:val="0000FF"/>
          <w:w w:val="100"/>
        </w:rPr>
        <w:t>3</w:t>
      </w:r>
      <w:r>
        <w:rPr>
          <w:color w:val="0000FF"/>
          <w:spacing w:val="-106"/>
          <w:w w:val="100"/>
        </w:rPr>
        <w:t>）</w:t>
      </w:r>
      <w:r>
        <w:rPr>
          <w:color w:val="0000FF"/>
          <w:w w:val="100"/>
        </w:rPr>
        <w:t>、广西壮族自治区住房和城乡建设厅颁布的</w:t>
      </w:r>
    </w:p>
    <w:p>
      <w:pPr>
        <w:pStyle w:val="BodyText"/>
        <w:spacing w:line="242" w:lineRule="auto" w:before="3"/>
        <w:ind w:right="1148"/>
        <w:jc w:val="both"/>
      </w:pPr>
      <w:r>
        <w:rPr>
          <w:color w:val="0000FF"/>
          <w:spacing w:val="-3"/>
        </w:rPr>
        <w:t>《&lt;建设工程工程量清单计价规范</w:t>
      </w:r>
      <w:r>
        <w:rPr>
          <w:color w:val="0000FF"/>
        </w:rPr>
        <w:t>&gt;GB50500-2013</w:t>
      </w:r>
      <w:r>
        <w:rPr>
          <w:color w:val="0000FF"/>
          <w:spacing w:val="-15"/>
        </w:rPr>
        <w:t> 广西壮族自治区实施细则》</w:t>
      </w:r>
      <w:r>
        <w:rPr>
          <w:color w:val="0000FF"/>
          <w:spacing w:val="-24"/>
        </w:rPr>
        <w:t>、《&lt;建设工程工程量</w:t>
      </w:r>
      <w:r>
        <w:rPr>
          <w:color w:val="0000FF"/>
          <w:spacing w:val="-9"/>
        </w:rPr>
        <w:t>清单计算规范&gt;</w:t>
      </w:r>
      <w:r>
        <w:rPr>
          <w:color w:val="0000FF"/>
        </w:rPr>
        <w:t>GB50854～50862-2013</w:t>
      </w:r>
      <w:r>
        <w:rPr>
          <w:color w:val="0000FF"/>
          <w:spacing w:val="-10"/>
        </w:rPr>
        <w:t> 广西壮族自治区实施细则》(修订本)、</w:t>
      </w:r>
      <w:r>
        <w:rPr>
          <w:color w:val="0000FF"/>
        </w:rPr>
        <w:t>2013</w:t>
      </w:r>
      <w:r>
        <w:rPr>
          <w:color w:val="0000FF"/>
          <w:spacing w:val="-11"/>
        </w:rPr>
        <w:t> 年《广西壮族</w:t>
      </w:r>
      <w:r>
        <w:rPr>
          <w:color w:val="0000FF"/>
          <w:spacing w:val="-12"/>
        </w:rPr>
        <w:t>自治区建筑装饰装修工程消耗量定额》、</w:t>
      </w:r>
      <w:r>
        <w:rPr>
          <w:color w:val="0000FF"/>
        </w:rPr>
        <w:t>2015</w:t>
      </w:r>
      <w:r>
        <w:rPr>
          <w:color w:val="0000FF"/>
          <w:spacing w:val="-5"/>
        </w:rPr>
        <w:t> 年《广西壮族自治区安装工程消耗量定额》,</w:t>
      </w:r>
      <w:r>
        <w:rPr>
          <w:color w:val="0000FF"/>
        </w:rPr>
        <w:t>2016 年《广西壮族自治区建设工程费用定额》及现行的有关配套费率、人工和机械台班费用调整规</w:t>
      </w:r>
      <w:r>
        <w:rPr>
          <w:color w:val="0000FF"/>
          <w:spacing w:val="-14"/>
        </w:rPr>
        <w:t>定、《关于建筑业实施营业税改征增值税后广西壮族自治区建设工程计价依据调整的通知》</w:t>
      </w:r>
      <w:r>
        <w:rPr>
          <w:color w:val="0000FF"/>
        </w:rPr>
        <w:t>（桂</w:t>
      </w:r>
      <w:r>
        <w:rPr>
          <w:color w:val="0000FF"/>
          <w:spacing w:val="-4"/>
        </w:rPr>
        <w:t>建标</w:t>
      </w:r>
      <w:r>
        <w:rPr>
          <w:color w:val="0000FF"/>
        </w:rPr>
        <w:t>（2016）17</w:t>
      </w:r>
      <w:r>
        <w:rPr>
          <w:color w:val="0000FF"/>
          <w:spacing w:val="-21"/>
        </w:rPr>
        <w:t> 号</w:t>
      </w:r>
      <w:r>
        <w:rPr>
          <w:color w:val="0000FF"/>
          <w:spacing w:val="-106"/>
        </w:rPr>
        <w:t>）</w:t>
      </w:r>
      <w:r>
        <w:rPr>
          <w:color w:val="0000FF"/>
          <w:spacing w:val="-13"/>
        </w:rPr>
        <w:t>、《关于调整除税价计算适用增值税税率的通知》桂造价</w:t>
      </w:r>
      <w:r>
        <w:rPr>
          <w:color w:val="0000FF"/>
        </w:rPr>
        <w:t>（2019</w:t>
      </w:r>
      <w:r>
        <w:rPr>
          <w:color w:val="0000FF"/>
          <w:spacing w:val="-10"/>
        </w:rPr>
        <w:t>〕</w:t>
      </w:r>
      <w:r>
        <w:rPr>
          <w:color w:val="0000FF"/>
        </w:rPr>
        <w:t>10</w:t>
      </w:r>
      <w:r>
        <w:rPr>
          <w:color w:val="0000FF"/>
          <w:spacing w:val="-13"/>
        </w:rPr>
        <w:t> 号、人工工资和管理费费率的调整按《关于调整建设工程定额人工工资单价的通知》桂建标</w:t>
      </w:r>
      <w:r>
        <w:rPr>
          <w:color w:val="0000FF"/>
          <w:spacing w:val="-3"/>
        </w:rPr>
        <w:t>[2018]19 </w:t>
      </w:r>
      <w:r>
        <w:rPr>
          <w:color w:val="0000FF"/>
          <w:spacing w:val="-16"/>
        </w:rPr>
        <w:t>号文执行、《南宁市人民政府关于推广使用预拌砂浆的实施意见》</w:t>
      </w:r>
      <w:r>
        <w:rPr>
          <w:color w:val="0000FF"/>
          <w:spacing w:val="-3"/>
        </w:rPr>
        <w:t>（</w:t>
      </w:r>
      <w:r>
        <w:rPr>
          <w:color w:val="0000FF"/>
          <w:spacing w:val="-2"/>
        </w:rPr>
        <w:t>南府规</w:t>
      </w:r>
      <w:r>
        <w:rPr>
          <w:color w:val="0000FF"/>
        </w:rPr>
        <w:t>（2016)12</w:t>
      </w:r>
      <w:r>
        <w:rPr>
          <w:color w:val="0000FF"/>
          <w:spacing w:val="-8"/>
        </w:rPr>
        <w:t> 号</w:t>
      </w:r>
      <w:r>
        <w:rPr>
          <w:color w:val="0000FF"/>
          <w:spacing w:val="-106"/>
        </w:rPr>
        <w:t>）</w:t>
      </w:r>
      <w:r>
        <w:rPr>
          <w:color w:val="0000FF"/>
          <w:spacing w:val="-2"/>
        </w:rPr>
        <w:t>、本工</w:t>
      </w:r>
      <w:r>
        <w:rPr>
          <w:color w:val="0000FF"/>
          <w:spacing w:val="-3"/>
        </w:rPr>
        <w:t>程凡涉及到砂项目按南府字</w:t>
      </w:r>
      <w:r>
        <w:rPr>
          <w:color w:val="0000FF"/>
        </w:rPr>
        <w:t>[2007]13</w:t>
      </w:r>
      <w:r>
        <w:rPr>
          <w:color w:val="0000FF"/>
          <w:spacing w:val="-15"/>
        </w:rPr>
        <w:t> 号文执行，均按商品碎考虑、材料价格按 </w:t>
      </w:r>
      <w:r>
        <w:rPr>
          <w:color w:val="0000FF"/>
        </w:rPr>
        <w:t>2020</w:t>
      </w:r>
      <w:r>
        <w:rPr>
          <w:color w:val="0000FF"/>
          <w:spacing w:val="-32"/>
        </w:rPr>
        <w:t> 年 </w:t>
      </w:r>
      <w:r>
        <w:rPr>
          <w:color w:val="0000FF"/>
        </w:rPr>
        <w:t>9</w:t>
      </w:r>
      <w:r>
        <w:rPr>
          <w:color w:val="0000FF"/>
          <w:spacing w:val="-21"/>
        </w:rPr>
        <w:t> 月《南</w:t>
      </w:r>
      <w:r>
        <w:rPr>
          <w:color w:val="0000FF"/>
          <w:spacing w:val="-11"/>
        </w:rPr>
        <w:t>宁市建设工程造价信息》,其中地方材料价格参照横县信息价, 信息价缺项的材料按市场询价计</w:t>
      </w:r>
      <w:r>
        <w:rPr>
          <w:color w:val="0000FF"/>
          <w:spacing w:val="-8"/>
        </w:rPr>
        <w:t>取。</w:t>
      </w:r>
      <w:r>
        <w:rPr/>
        <w:t> </w:t>
      </w:r>
    </w:p>
    <w:p>
      <w:pPr>
        <w:pStyle w:val="ListParagraph"/>
        <w:numPr>
          <w:ilvl w:val="0"/>
          <w:numId w:val="123"/>
        </w:numPr>
        <w:tabs>
          <w:tab w:pos="1627" w:val="left" w:leader="none"/>
        </w:tabs>
        <w:spacing w:line="240" w:lineRule="auto" w:before="6" w:after="0"/>
        <w:ind w:left="1627" w:right="0" w:hanging="529"/>
        <w:jc w:val="left"/>
        <w:rPr>
          <w:sz w:val="21"/>
        </w:rPr>
      </w:pPr>
      <w:r>
        <w:rPr>
          <w:spacing w:val="-3"/>
          <w:sz w:val="21"/>
        </w:rPr>
        <w:t>建设工程设计文件及相关资料：</w:t>
      </w:r>
      <w:r>
        <w:rPr>
          <w:sz w:val="21"/>
        </w:rPr>
        <w:t> </w:t>
      </w:r>
    </w:p>
    <w:p>
      <w:pPr>
        <w:pStyle w:val="BodyText"/>
        <w:spacing w:before="141"/>
      </w:pPr>
      <w:r>
        <w:rPr>
          <w:color w:val="0000FF"/>
        </w:rPr>
        <w:t>设计图纸及相关标准、规范、技术资料</w:t>
      </w:r>
      <w:r>
        <w:rPr/>
        <w:t> </w:t>
      </w:r>
    </w:p>
    <w:p>
      <w:pPr>
        <w:pStyle w:val="ListParagraph"/>
        <w:numPr>
          <w:ilvl w:val="0"/>
          <w:numId w:val="123"/>
        </w:numPr>
        <w:tabs>
          <w:tab w:pos="1627" w:val="left" w:leader="none"/>
        </w:tabs>
        <w:spacing w:line="240" w:lineRule="auto" w:before="3" w:after="0"/>
        <w:ind w:left="1627" w:right="0" w:hanging="529"/>
        <w:jc w:val="left"/>
        <w:rPr>
          <w:sz w:val="21"/>
        </w:rPr>
      </w:pPr>
      <w:r>
        <w:rPr>
          <w:spacing w:val="-3"/>
          <w:sz w:val="21"/>
        </w:rPr>
        <w:t>本工程招标文件及工程量清单；</w:t>
      </w:r>
      <w:r>
        <w:rPr>
          <w:sz w:val="21"/>
        </w:rPr>
        <w:t> </w:t>
      </w:r>
    </w:p>
    <w:p>
      <w:pPr>
        <w:pStyle w:val="ListParagraph"/>
        <w:numPr>
          <w:ilvl w:val="0"/>
          <w:numId w:val="123"/>
        </w:numPr>
        <w:tabs>
          <w:tab w:pos="1627" w:val="left" w:leader="none"/>
        </w:tabs>
        <w:spacing w:line="240" w:lineRule="auto" w:before="139" w:after="0"/>
        <w:ind w:left="1627" w:right="0" w:hanging="529"/>
        <w:jc w:val="left"/>
        <w:rPr>
          <w:sz w:val="21"/>
        </w:rPr>
      </w:pPr>
      <w:r>
        <w:rPr>
          <w:spacing w:val="-3"/>
          <w:sz w:val="21"/>
        </w:rPr>
        <w:t>与建设项目相关的标准、规范、技术资料；</w:t>
      </w:r>
      <w:r>
        <w:rPr>
          <w:sz w:val="21"/>
        </w:rPr>
        <w:t> </w:t>
      </w:r>
    </w:p>
    <w:p>
      <w:pPr>
        <w:pStyle w:val="ListParagraph"/>
        <w:numPr>
          <w:ilvl w:val="0"/>
          <w:numId w:val="123"/>
        </w:numPr>
        <w:tabs>
          <w:tab w:pos="1627" w:val="left" w:leader="none"/>
        </w:tabs>
        <w:spacing w:line="240" w:lineRule="auto" w:before="138" w:after="0"/>
        <w:ind w:left="1627" w:right="0" w:hanging="529"/>
        <w:jc w:val="left"/>
        <w:rPr>
          <w:sz w:val="21"/>
        </w:rPr>
      </w:pPr>
      <w:r>
        <w:rPr>
          <w:spacing w:val="-3"/>
          <w:sz w:val="21"/>
        </w:rPr>
        <w:t>施工现场情况、工程特点及常规施工方案；</w:t>
      </w:r>
      <w:r>
        <w:rPr>
          <w:sz w:val="21"/>
        </w:rPr>
        <w:t> </w:t>
      </w:r>
    </w:p>
    <w:p>
      <w:pPr>
        <w:pStyle w:val="ListParagraph"/>
        <w:numPr>
          <w:ilvl w:val="0"/>
          <w:numId w:val="123"/>
        </w:numPr>
        <w:tabs>
          <w:tab w:pos="1625" w:val="left" w:leader="none"/>
        </w:tabs>
        <w:spacing w:line="364" w:lineRule="auto" w:before="142" w:after="0"/>
        <w:ind w:left="678" w:right="1149" w:firstLine="419"/>
        <w:jc w:val="left"/>
        <w:rPr>
          <w:sz w:val="21"/>
        </w:rPr>
      </w:pPr>
      <w:r>
        <w:rPr>
          <w:spacing w:val="-7"/>
          <w:sz w:val="21"/>
        </w:rPr>
        <w:t>材料价格信息：材料价格主要按照南宁市建设工程造价管理机构发布的工程造价信 </w:t>
      </w:r>
      <w:r>
        <w:rPr>
          <w:sz w:val="21"/>
        </w:rPr>
        <w:t>息</w:t>
      </w:r>
      <w:r>
        <w:rPr>
          <w:color w:val="0000FF"/>
          <w:spacing w:val="1"/>
          <w:sz w:val="21"/>
        </w:rPr>
        <w:t> </w:t>
      </w:r>
      <w:r>
        <w:rPr>
          <w:color w:val="0000FF"/>
          <w:sz w:val="21"/>
        </w:rPr>
        <w:t>2020</w:t>
      </w:r>
      <w:r>
        <w:rPr>
          <w:color w:val="0000FF"/>
          <w:spacing w:val="-55"/>
          <w:sz w:val="21"/>
        </w:rPr>
        <w:t> </w:t>
      </w:r>
      <w:r>
        <w:rPr>
          <w:spacing w:val="-19"/>
          <w:sz w:val="21"/>
        </w:rPr>
        <w:t>年第 </w:t>
      </w:r>
      <w:r>
        <w:rPr>
          <w:color w:val="0000FF"/>
          <w:sz w:val="21"/>
        </w:rPr>
        <w:t>9</w:t>
      </w:r>
      <w:r>
        <w:rPr>
          <w:color w:val="0000FF"/>
          <w:spacing w:val="-53"/>
          <w:sz w:val="21"/>
        </w:rPr>
        <w:t> </w:t>
      </w:r>
      <w:r>
        <w:rPr>
          <w:spacing w:val="-3"/>
          <w:sz w:val="21"/>
        </w:rPr>
        <w:t>期，不足部分参考市场定价。</w:t>
      </w:r>
      <w:r>
        <w:rPr>
          <w:sz w:val="21"/>
        </w:rPr>
        <w:t> </w:t>
      </w:r>
    </w:p>
    <w:p>
      <w:pPr>
        <w:pStyle w:val="ListParagraph"/>
        <w:numPr>
          <w:ilvl w:val="1"/>
          <w:numId w:val="122"/>
        </w:numPr>
        <w:tabs>
          <w:tab w:pos="1416" w:val="left" w:leader="none"/>
        </w:tabs>
        <w:spacing w:line="364" w:lineRule="auto" w:before="0" w:after="0"/>
        <w:ind w:left="678" w:right="1156" w:firstLine="419"/>
        <w:jc w:val="left"/>
        <w:rPr>
          <w:sz w:val="21"/>
        </w:rPr>
      </w:pPr>
      <w:r>
        <w:rPr>
          <w:spacing w:val="-1"/>
          <w:sz w:val="21"/>
        </w:rPr>
        <w:t>分部分项及单价措施项目综合单价应包括招标文件中招标人要求投标人所承担的风险</w:t>
      </w:r>
      <w:r>
        <w:rPr>
          <w:spacing w:val="-2"/>
          <w:sz w:val="21"/>
        </w:rPr>
        <w:t>内容及其范围</w:t>
      </w:r>
      <w:r>
        <w:rPr>
          <w:spacing w:val="-3"/>
          <w:sz w:val="21"/>
        </w:rPr>
        <w:t>（</w:t>
      </w:r>
      <w:r>
        <w:rPr>
          <w:spacing w:val="-2"/>
          <w:sz w:val="21"/>
        </w:rPr>
        <w:t>幅度</w:t>
      </w:r>
      <w:r>
        <w:rPr>
          <w:sz w:val="21"/>
        </w:rPr>
        <w:t>）</w:t>
      </w:r>
      <w:r>
        <w:rPr>
          <w:spacing w:val="-3"/>
          <w:sz w:val="21"/>
        </w:rPr>
        <w:t>产生的风险费用。</w:t>
      </w:r>
      <w:r>
        <w:rPr>
          <w:sz w:val="21"/>
        </w:rPr>
        <w:t> </w:t>
      </w:r>
    </w:p>
    <w:p>
      <w:pPr>
        <w:pStyle w:val="ListParagraph"/>
        <w:numPr>
          <w:ilvl w:val="1"/>
          <w:numId w:val="122"/>
        </w:numPr>
        <w:tabs>
          <w:tab w:pos="1416" w:val="left" w:leader="none"/>
        </w:tabs>
        <w:spacing w:line="364" w:lineRule="auto" w:before="0" w:after="0"/>
        <w:ind w:left="678" w:right="1156" w:firstLine="419"/>
        <w:jc w:val="left"/>
        <w:rPr>
          <w:sz w:val="21"/>
        </w:rPr>
      </w:pPr>
      <w:r>
        <w:rPr>
          <w:spacing w:val="-1"/>
          <w:sz w:val="21"/>
        </w:rPr>
        <w:t>总价措施项目应根据拟定的招标文件和常规施工方案按《计价规范》和《计算规范》</w:t>
      </w:r>
      <w:r>
        <w:rPr>
          <w:spacing w:val="-2"/>
          <w:sz w:val="21"/>
        </w:rPr>
        <w:t>规定编制。</w:t>
      </w:r>
      <w:r>
        <w:rPr>
          <w:sz w:val="21"/>
        </w:rPr>
        <w:t> </w:t>
      </w:r>
    </w:p>
    <w:p>
      <w:pPr>
        <w:pStyle w:val="ListParagraph"/>
        <w:numPr>
          <w:ilvl w:val="1"/>
          <w:numId w:val="122"/>
        </w:numPr>
        <w:tabs>
          <w:tab w:pos="1416" w:val="left" w:leader="none"/>
        </w:tabs>
        <w:spacing w:line="267" w:lineRule="exact" w:before="0" w:after="0"/>
        <w:ind w:left="1415" w:right="0" w:hanging="318"/>
        <w:jc w:val="left"/>
        <w:rPr>
          <w:sz w:val="21"/>
        </w:rPr>
      </w:pPr>
      <w:r>
        <w:rPr>
          <w:spacing w:val="-3"/>
          <w:sz w:val="21"/>
        </w:rPr>
        <w:t>其他项目费应按下列规定报价：</w:t>
      </w:r>
      <w:r>
        <w:rPr>
          <w:sz w:val="21"/>
        </w:rPr>
        <w:t> </w:t>
      </w:r>
    </w:p>
    <w:p>
      <w:pPr>
        <w:pStyle w:val="ListParagraph"/>
        <w:numPr>
          <w:ilvl w:val="0"/>
          <w:numId w:val="124"/>
        </w:numPr>
        <w:tabs>
          <w:tab w:pos="1627" w:val="left" w:leader="none"/>
        </w:tabs>
        <w:spacing w:line="240" w:lineRule="auto" w:before="138" w:after="0"/>
        <w:ind w:left="1627" w:right="0" w:hanging="529"/>
        <w:jc w:val="left"/>
        <w:rPr>
          <w:sz w:val="21"/>
        </w:rPr>
      </w:pPr>
      <w:r>
        <w:rPr>
          <w:spacing w:val="-3"/>
          <w:sz w:val="21"/>
        </w:rPr>
        <w:t>暂列金额应按招标工程量清单中列出的金额填写；</w:t>
      </w:r>
      <w:r>
        <w:rPr>
          <w:sz w:val="21"/>
        </w:rPr>
        <w:t> </w:t>
      </w:r>
    </w:p>
    <w:p>
      <w:pPr>
        <w:pStyle w:val="ListParagraph"/>
        <w:numPr>
          <w:ilvl w:val="0"/>
          <w:numId w:val="124"/>
        </w:numPr>
        <w:tabs>
          <w:tab w:pos="1627" w:val="left" w:leader="none"/>
        </w:tabs>
        <w:spacing w:line="240" w:lineRule="auto" w:before="139" w:after="0"/>
        <w:ind w:left="1627" w:right="0" w:hanging="529"/>
        <w:jc w:val="left"/>
        <w:rPr>
          <w:sz w:val="21"/>
        </w:rPr>
      </w:pPr>
      <w:r>
        <w:rPr>
          <w:spacing w:val="-3"/>
          <w:sz w:val="21"/>
        </w:rPr>
        <w:t>材料、工程设备暂估价应按招标工程量清单中列出的单价计入综合单价； </w:t>
      </w:r>
    </w:p>
    <w:p>
      <w:pPr>
        <w:pStyle w:val="ListParagraph"/>
        <w:numPr>
          <w:ilvl w:val="0"/>
          <w:numId w:val="124"/>
        </w:numPr>
        <w:tabs>
          <w:tab w:pos="1627" w:val="left" w:leader="none"/>
        </w:tabs>
        <w:spacing w:line="240" w:lineRule="auto" w:before="141" w:after="0"/>
        <w:ind w:left="1627" w:right="0" w:hanging="529"/>
        <w:jc w:val="left"/>
        <w:rPr>
          <w:sz w:val="21"/>
        </w:rPr>
      </w:pPr>
      <w:r>
        <w:rPr>
          <w:spacing w:val="-3"/>
          <w:sz w:val="21"/>
        </w:rPr>
        <w:t>专业工程暂估价应按招标工程量清单中列出的金额填写；</w:t>
      </w:r>
      <w:r>
        <w:rPr>
          <w:sz w:val="21"/>
        </w:rPr>
        <w:t> </w:t>
      </w:r>
    </w:p>
    <w:p>
      <w:pPr>
        <w:pStyle w:val="ListParagraph"/>
        <w:numPr>
          <w:ilvl w:val="0"/>
          <w:numId w:val="124"/>
        </w:numPr>
        <w:tabs>
          <w:tab w:pos="1625" w:val="left" w:leader="none"/>
        </w:tabs>
        <w:spacing w:line="364" w:lineRule="auto" w:before="139" w:after="0"/>
        <w:ind w:left="678" w:right="1151" w:firstLine="419"/>
        <w:jc w:val="left"/>
        <w:rPr>
          <w:sz w:val="21"/>
        </w:rPr>
      </w:pPr>
      <w:r>
        <w:rPr>
          <w:spacing w:val="-4"/>
          <w:sz w:val="21"/>
        </w:rPr>
        <w:t>计日工应按招标工程量清单中列出的项目和数量，根据工程特点和有关计价依据确 </w:t>
      </w:r>
      <w:r>
        <w:rPr>
          <w:spacing w:val="-3"/>
          <w:sz w:val="21"/>
        </w:rPr>
        <w:t>定的综合单价计算；</w:t>
      </w:r>
      <w:r>
        <w:rPr>
          <w:sz w:val="21"/>
        </w:rPr>
        <w:t> </w:t>
      </w:r>
    </w:p>
    <w:p>
      <w:pPr>
        <w:pStyle w:val="ListParagraph"/>
        <w:numPr>
          <w:ilvl w:val="0"/>
          <w:numId w:val="124"/>
        </w:numPr>
        <w:tabs>
          <w:tab w:pos="1625" w:val="left" w:leader="none"/>
        </w:tabs>
        <w:spacing w:line="364" w:lineRule="auto" w:before="0" w:after="0"/>
        <w:ind w:left="678" w:right="1151" w:firstLine="419"/>
        <w:jc w:val="left"/>
        <w:rPr>
          <w:sz w:val="21"/>
        </w:rPr>
      </w:pPr>
      <w:r>
        <w:rPr>
          <w:spacing w:val="-4"/>
          <w:sz w:val="21"/>
        </w:rPr>
        <w:t>总承包服务费应根据招标工程量清单列出的内容和要求，按自治区住房城乡建设行 </w:t>
      </w:r>
      <w:r>
        <w:rPr>
          <w:spacing w:val="-3"/>
          <w:sz w:val="21"/>
        </w:rPr>
        <w:t>政主管部门颁发的计价定额及有关规定计算。</w:t>
      </w:r>
      <w:r>
        <w:rPr>
          <w:sz w:val="21"/>
        </w:rPr>
        <w:t> </w:t>
      </w:r>
    </w:p>
    <w:p>
      <w:pPr>
        <w:pStyle w:val="ListParagraph"/>
        <w:numPr>
          <w:ilvl w:val="1"/>
          <w:numId w:val="122"/>
        </w:numPr>
        <w:tabs>
          <w:tab w:pos="1416" w:val="left" w:leader="none"/>
        </w:tabs>
        <w:spacing w:line="240" w:lineRule="auto" w:before="0" w:after="0"/>
        <w:ind w:left="1415" w:right="0" w:hanging="318"/>
        <w:jc w:val="left"/>
        <w:rPr>
          <w:sz w:val="21"/>
        </w:rPr>
      </w:pPr>
      <w:r>
        <w:rPr>
          <w:spacing w:val="-3"/>
          <w:sz w:val="21"/>
        </w:rPr>
        <w:t>规费和增值税应按规定确定，作为不可竞争费用。</w:t>
      </w:r>
      <w:r>
        <w:rPr>
          <w:sz w:val="21"/>
        </w:rPr>
        <w:t> </w:t>
      </w:r>
    </w:p>
    <w:p>
      <w:pPr>
        <w:pStyle w:val="ListParagraph"/>
        <w:numPr>
          <w:ilvl w:val="1"/>
          <w:numId w:val="122"/>
        </w:numPr>
        <w:tabs>
          <w:tab w:pos="1416" w:val="left" w:leader="none"/>
        </w:tabs>
        <w:spacing w:line="240" w:lineRule="auto" w:before="138" w:after="0"/>
        <w:ind w:left="1415" w:right="0" w:hanging="318"/>
        <w:jc w:val="left"/>
        <w:rPr>
          <w:sz w:val="21"/>
        </w:rPr>
      </w:pPr>
      <w:r>
        <w:rPr>
          <w:spacing w:val="-3"/>
          <w:sz w:val="21"/>
        </w:rPr>
        <w:t>其它需要说明的问题： </w:t>
      </w:r>
    </w:p>
    <w:p>
      <w:pPr>
        <w:pStyle w:val="BodyText"/>
        <w:spacing w:before="139"/>
      </w:pPr>
      <w:r>
        <w:rPr>
          <w:color w:val="0000FF"/>
        </w:rPr>
        <w:t>钢筋主材包含从南宁至横县每吨增加 55 元超运距费用</w:t>
      </w:r>
      <w:r>
        <w:rPr/>
        <w:t> </w:t>
      </w:r>
    </w:p>
    <w:p>
      <w:pPr>
        <w:spacing w:after="0"/>
        <w:sectPr>
          <w:pgSz w:w="11910" w:h="16850"/>
          <w:pgMar w:header="0" w:footer="779" w:top="1380" w:bottom="1040" w:left="1120" w:right="280"/>
        </w:sectPr>
      </w:pPr>
    </w:p>
    <w:p>
      <w:pPr>
        <w:pStyle w:val="Heading2"/>
        <w:spacing w:line="522" w:lineRule="exact"/>
        <w:ind w:left="678"/>
      </w:pPr>
      <w:bookmarkStart w:name="3 投标报价（已标价工程量清单）编制说明" w:id="481"/>
      <w:bookmarkEnd w:id="481"/>
      <w:r>
        <w:rPr>
          <w:b w:val="0"/>
        </w:rPr>
      </w:r>
      <w:bookmarkStart w:name="_bookmark104" w:id="482"/>
      <w:bookmarkEnd w:id="482"/>
      <w:r>
        <w:rPr>
          <w:b w:val="0"/>
        </w:rPr>
      </w:r>
      <w:r>
        <w:rPr/>
        <w:t>3 投标报价（已标价工程量清单）编制说明</w:t>
      </w:r>
      <w:r>
        <w:rPr>
          <w:w w:val="199"/>
        </w:rPr>
        <w:t> </w:t>
      </w:r>
    </w:p>
    <w:p>
      <w:pPr>
        <w:pStyle w:val="BodyText"/>
        <w:ind w:left="0"/>
        <w:rPr>
          <w:rFonts w:ascii="Microsoft JhengHei"/>
          <w:b/>
          <w:sz w:val="16"/>
        </w:rPr>
      </w:pPr>
    </w:p>
    <w:p>
      <w:pPr>
        <w:pStyle w:val="ListParagraph"/>
        <w:numPr>
          <w:ilvl w:val="1"/>
          <w:numId w:val="125"/>
        </w:numPr>
        <w:tabs>
          <w:tab w:pos="1416" w:val="left" w:leader="none"/>
        </w:tabs>
        <w:spacing w:line="364" w:lineRule="auto" w:before="0" w:after="0"/>
        <w:ind w:left="678" w:right="1048" w:firstLine="419"/>
        <w:jc w:val="both"/>
        <w:rPr>
          <w:sz w:val="21"/>
        </w:rPr>
      </w:pPr>
      <w:r>
        <w:rPr>
          <w:spacing w:val="-8"/>
          <w:sz w:val="21"/>
        </w:rPr>
        <w:t>投标人应依据招标文件、招标工程量清单以及《计价规范》、《计算规范》自主报价，自主报价不得违反计价规范强制性条文规定。投标人不得采用总价让利或以百分比让利等形式进行报价，任何优惠（或降价、让利）均应反映在相应清单项目的综合单价中。同时，不得出现</w:t>
      </w:r>
      <w:r>
        <w:rPr>
          <w:spacing w:val="-10"/>
          <w:sz w:val="21"/>
        </w:rPr>
        <w:t>任意一项单价重大让利，不得以自有机械闲置、自有材料等不计成本为由低于工程成本报价。</w:t>
      </w:r>
      <w:r>
        <w:rPr>
          <w:sz w:val="21"/>
        </w:rPr>
        <w:t> </w:t>
      </w:r>
    </w:p>
    <w:p>
      <w:pPr>
        <w:pStyle w:val="ListParagraph"/>
        <w:numPr>
          <w:ilvl w:val="1"/>
          <w:numId w:val="125"/>
        </w:numPr>
        <w:tabs>
          <w:tab w:pos="1416" w:val="left" w:leader="none"/>
        </w:tabs>
        <w:spacing w:line="367" w:lineRule="auto" w:before="0" w:after="0"/>
        <w:ind w:left="678" w:right="1156" w:firstLine="419"/>
        <w:jc w:val="left"/>
        <w:rPr>
          <w:sz w:val="21"/>
        </w:rPr>
      </w:pPr>
      <w:r>
        <w:rPr>
          <w:spacing w:val="-1"/>
          <w:sz w:val="21"/>
        </w:rPr>
        <w:t>投标人应按招标工程量清单填报价格。项目编码、项目名称、项目特征、计量单位、</w:t>
      </w:r>
      <w:r>
        <w:rPr>
          <w:spacing w:val="-3"/>
          <w:sz w:val="21"/>
        </w:rPr>
        <w:t>工程量必须与招标工程量清单一致，投标人不得对招标工程量清单项目进行增减调整。</w:t>
      </w:r>
      <w:r>
        <w:rPr>
          <w:sz w:val="21"/>
        </w:rPr>
        <w:t> </w:t>
      </w:r>
    </w:p>
    <w:p>
      <w:pPr>
        <w:pStyle w:val="ListParagraph"/>
        <w:numPr>
          <w:ilvl w:val="1"/>
          <w:numId w:val="125"/>
        </w:numPr>
        <w:tabs>
          <w:tab w:pos="1416" w:val="left" w:leader="none"/>
        </w:tabs>
        <w:spacing w:line="264" w:lineRule="exact" w:before="0" w:after="0"/>
        <w:ind w:left="1415" w:right="0" w:hanging="318"/>
        <w:jc w:val="left"/>
        <w:rPr>
          <w:sz w:val="21"/>
        </w:rPr>
      </w:pPr>
      <w:r>
        <w:rPr>
          <w:spacing w:val="-3"/>
          <w:sz w:val="21"/>
        </w:rPr>
        <w:t>综合单价中应包含招标文件中划分的应由投标人承担的风险范围及其费用。 </w:t>
      </w:r>
    </w:p>
    <w:p>
      <w:pPr>
        <w:pStyle w:val="ListParagraph"/>
        <w:numPr>
          <w:ilvl w:val="1"/>
          <w:numId w:val="125"/>
        </w:numPr>
        <w:tabs>
          <w:tab w:pos="1416" w:val="left" w:leader="none"/>
        </w:tabs>
        <w:spacing w:line="364" w:lineRule="auto" w:before="136" w:after="0"/>
        <w:ind w:left="678" w:right="1155" w:firstLine="419"/>
        <w:jc w:val="both"/>
        <w:rPr>
          <w:sz w:val="21"/>
        </w:rPr>
      </w:pPr>
      <w:r>
        <w:rPr>
          <w:spacing w:val="-1"/>
          <w:sz w:val="21"/>
        </w:rPr>
        <w:t>分部分项工程项目和单价措施项目，应根据招标文件和招标工程量清单项目中的特征描述确定综合单价计算。如出现招标工程量清单特征描述与设计图纸不符时，投标人应以招标</w:t>
      </w:r>
      <w:r>
        <w:rPr>
          <w:spacing w:val="-3"/>
          <w:sz w:val="21"/>
        </w:rPr>
        <w:t>工程量清单的项目特征描述为准，确定投标报价的综合单价。</w:t>
      </w:r>
      <w:r>
        <w:rPr>
          <w:sz w:val="21"/>
        </w:rPr>
        <w:t> </w:t>
      </w:r>
    </w:p>
    <w:p>
      <w:pPr>
        <w:pStyle w:val="ListParagraph"/>
        <w:numPr>
          <w:ilvl w:val="1"/>
          <w:numId w:val="125"/>
        </w:numPr>
        <w:tabs>
          <w:tab w:pos="1416" w:val="left" w:leader="none"/>
        </w:tabs>
        <w:spacing w:line="364" w:lineRule="auto" w:before="0" w:after="0"/>
        <w:ind w:left="678" w:right="1045" w:firstLine="419"/>
        <w:jc w:val="left"/>
        <w:rPr>
          <w:sz w:val="21"/>
        </w:rPr>
      </w:pPr>
      <w:r>
        <w:rPr>
          <w:sz w:val="21"/>
        </w:rPr>
        <w:t>总价措施项目的金额应根据招标文件及投标时拟定的施工组织设计或施工方案，按计价</w:t>
      </w:r>
      <w:r>
        <w:rPr>
          <w:spacing w:val="-7"/>
          <w:sz w:val="21"/>
        </w:rPr>
        <w:t>规范的规定自主确定。但安全文明施工费按国家、省级或行业建设主管部门的有关规定执行，作</w:t>
      </w:r>
      <w:r>
        <w:rPr>
          <w:spacing w:val="-4"/>
          <w:sz w:val="21"/>
        </w:rPr>
        <w:t>为不竞争费用单列。</w:t>
      </w:r>
      <w:r>
        <w:rPr>
          <w:sz w:val="21"/>
        </w:rPr>
        <w:t> </w:t>
      </w:r>
    </w:p>
    <w:p>
      <w:pPr>
        <w:pStyle w:val="ListParagraph"/>
        <w:numPr>
          <w:ilvl w:val="1"/>
          <w:numId w:val="125"/>
        </w:numPr>
        <w:tabs>
          <w:tab w:pos="1416" w:val="left" w:leader="none"/>
        </w:tabs>
        <w:spacing w:line="266" w:lineRule="exact" w:before="0" w:after="0"/>
        <w:ind w:left="1415" w:right="0" w:hanging="318"/>
        <w:jc w:val="left"/>
        <w:rPr>
          <w:sz w:val="21"/>
        </w:rPr>
      </w:pPr>
      <w:r>
        <w:rPr>
          <w:spacing w:val="-3"/>
          <w:sz w:val="21"/>
        </w:rPr>
        <w:t>其他项目费应按下列规定报价：</w:t>
      </w:r>
      <w:r>
        <w:rPr>
          <w:sz w:val="21"/>
        </w:rPr>
        <w:t> </w:t>
      </w:r>
    </w:p>
    <w:p>
      <w:pPr>
        <w:pStyle w:val="ListParagraph"/>
        <w:numPr>
          <w:ilvl w:val="0"/>
          <w:numId w:val="126"/>
        </w:numPr>
        <w:tabs>
          <w:tab w:pos="1627" w:val="left" w:leader="none"/>
        </w:tabs>
        <w:spacing w:line="240" w:lineRule="auto" w:before="140" w:after="0"/>
        <w:ind w:left="1627" w:right="0" w:hanging="529"/>
        <w:jc w:val="left"/>
        <w:rPr>
          <w:sz w:val="21"/>
        </w:rPr>
      </w:pPr>
      <w:r>
        <w:rPr>
          <w:spacing w:val="-3"/>
          <w:sz w:val="21"/>
        </w:rPr>
        <w:t>暂列金额应按招标工程量清单中列出的金额填写；</w:t>
      </w:r>
      <w:r>
        <w:rPr>
          <w:sz w:val="21"/>
        </w:rPr>
        <w:t> </w:t>
      </w:r>
    </w:p>
    <w:p>
      <w:pPr>
        <w:pStyle w:val="ListParagraph"/>
        <w:numPr>
          <w:ilvl w:val="0"/>
          <w:numId w:val="126"/>
        </w:numPr>
        <w:tabs>
          <w:tab w:pos="1627" w:val="left" w:leader="none"/>
        </w:tabs>
        <w:spacing w:line="240" w:lineRule="auto" w:before="140" w:after="0"/>
        <w:ind w:left="1627" w:right="0" w:hanging="529"/>
        <w:jc w:val="left"/>
        <w:rPr>
          <w:sz w:val="21"/>
        </w:rPr>
      </w:pPr>
      <w:r>
        <w:rPr>
          <w:spacing w:val="-3"/>
          <w:sz w:val="21"/>
        </w:rPr>
        <w:t>材料、工程设备暂估价应按招标工程量清单中列出的单价计入综合单价； </w:t>
      </w:r>
    </w:p>
    <w:p>
      <w:pPr>
        <w:pStyle w:val="ListParagraph"/>
        <w:numPr>
          <w:ilvl w:val="0"/>
          <w:numId w:val="126"/>
        </w:numPr>
        <w:tabs>
          <w:tab w:pos="1627" w:val="left" w:leader="none"/>
        </w:tabs>
        <w:spacing w:line="240" w:lineRule="auto" w:before="139" w:after="0"/>
        <w:ind w:left="1627" w:right="0" w:hanging="529"/>
        <w:jc w:val="left"/>
        <w:rPr>
          <w:sz w:val="21"/>
        </w:rPr>
      </w:pPr>
      <w:r>
        <w:rPr>
          <w:spacing w:val="-3"/>
          <w:sz w:val="21"/>
        </w:rPr>
        <w:t>专业工程暂估价应按招标工程量清单中列出的金额填写；</w:t>
      </w:r>
      <w:r>
        <w:rPr>
          <w:sz w:val="21"/>
        </w:rPr>
        <w:t> </w:t>
      </w:r>
    </w:p>
    <w:p>
      <w:pPr>
        <w:pStyle w:val="ListParagraph"/>
        <w:numPr>
          <w:ilvl w:val="0"/>
          <w:numId w:val="126"/>
        </w:numPr>
        <w:tabs>
          <w:tab w:pos="1625" w:val="left" w:leader="none"/>
        </w:tabs>
        <w:spacing w:line="364" w:lineRule="auto" w:before="139" w:after="0"/>
        <w:ind w:left="678" w:right="1151" w:firstLine="419"/>
        <w:jc w:val="left"/>
        <w:rPr>
          <w:sz w:val="21"/>
        </w:rPr>
      </w:pPr>
      <w:r>
        <w:rPr>
          <w:spacing w:val="-4"/>
          <w:sz w:val="21"/>
        </w:rPr>
        <w:t>计日工应按招标工程量清单中列出的项目和估算数量，自主确定综合单价并计算计 </w:t>
      </w:r>
      <w:r>
        <w:rPr>
          <w:spacing w:val="-3"/>
          <w:sz w:val="21"/>
        </w:rPr>
        <w:t>日工总额；计日工单价均不含规费和税金；</w:t>
      </w:r>
      <w:r>
        <w:rPr>
          <w:sz w:val="21"/>
        </w:rPr>
        <w:t> </w:t>
      </w:r>
    </w:p>
    <w:p>
      <w:pPr>
        <w:pStyle w:val="ListParagraph"/>
        <w:numPr>
          <w:ilvl w:val="0"/>
          <w:numId w:val="126"/>
        </w:numPr>
        <w:tabs>
          <w:tab w:pos="1627" w:val="left" w:leader="none"/>
        </w:tabs>
        <w:spacing w:line="364" w:lineRule="auto" w:before="0" w:after="0"/>
        <w:ind w:left="678" w:right="1151" w:firstLine="419"/>
        <w:jc w:val="left"/>
        <w:rPr>
          <w:sz w:val="21"/>
        </w:rPr>
      </w:pPr>
      <w:r>
        <w:rPr>
          <w:spacing w:val="-5"/>
          <w:sz w:val="21"/>
        </w:rPr>
        <w:t>总承包服务费应根据招标工程量清单中列出的内容和供应材料、设备情况，按照招 </w:t>
      </w:r>
      <w:r>
        <w:rPr>
          <w:spacing w:val="-4"/>
          <w:sz w:val="21"/>
        </w:rPr>
        <w:t>标人提出的协调、配合与服务要求和施工现场管理需要自主确定。</w:t>
      </w:r>
      <w:r>
        <w:rPr>
          <w:sz w:val="21"/>
        </w:rPr>
        <w:t> </w:t>
      </w:r>
    </w:p>
    <w:p>
      <w:pPr>
        <w:pStyle w:val="ListParagraph"/>
        <w:numPr>
          <w:ilvl w:val="1"/>
          <w:numId w:val="125"/>
        </w:numPr>
        <w:tabs>
          <w:tab w:pos="1416" w:val="left" w:leader="none"/>
        </w:tabs>
        <w:spacing w:line="267" w:lineRule="exact" w:before="0" w:after="0"/>
        <w:ind w:left="1415" w:right="0" w:hanging="318"/>
        <w:jc w:val="left"/>
        <w:rPr>
          <w:sz w:val="21"/>
        </w:rPr>
      </w:pPr>
      <w:r>
        <w:rPr>
          <w:spacing w:val="-3"/>
          <w:sz w:val="21"/>
        </w:rPr>
        <w:t>规费和增值税应按规定确定，作为不可竞争费用。</w:t>
      </w:r>
      <w:r>
        <w:rPr>
          <w:sz w:val="21"/>
        </w:rPr>
        <w:t> </w:t>
      </w:r>
    </w:p>
    <w:p>
      <w:pPr>
        <w:pStyle w:val="ListParagraph"/>
        <w:numPr>
          <w:ilvl w:val="1"/>
          <w:numId w:val="125"/>
        </w:numPr>
        <w:tabs>
          <w:tab w:pos="1416" w:val="left" w:leader="none"/>
        </w:tabs>
        <w:spacing w:line="364" w:lineRule="auto" w:before="139" w:after="0"/>
        <w:ind w:left="678" w:right="1155" w:firstLine="419"/>
        <w:jc w:val="both"/>
        <w:rPr>
          <w:sz w:val="21"/>
        </w:rPr>
      </w:pPr>
      <w:r>
        <w:rPr>
          <w:spacing w:val="-1"/>
          <w:sz w:val="21"/>
        </w:rPr>
        <w:t>招标工程量清单与计价表中列明的所有需要填写的单价和合价的项目，投标人均应填写且只允许有一个报价。未填写单价和合价的项目，视为此项费用已包含在已标价工程量清单</w:t>
      </w:r>
      <w:r>
        <w:rPr>
          <w:spacing w:val="-3"/>
          <w:sz w:val="21"/>
        </w:rPr>
        <w:t>中其他项目的单价和合价之中。竣工结算时，此项目不得重新组价予以调整。 </w:t>
      </w:r>
    </w:p>
    <w:p>
      <w:pPr>
        <w:pStyle w:val="ListParagraph"/>
        <w:numPr>
          <w:ilvl w:val="1"/>
          <w:numId w:val="125"/>
        </w:numPr>
        <w:tabs>
          <w:tab w:pos="1416" w:val="left" w:leader="none"/>
        </w:tabs>
        <w:spacing w:line="364" w:lineRule="auto" w:before="0" w:after="0"/>
        <w:ind w:left="678" w:right="1156" w:firstLine="419"/>
        <w:jc w:val="left"/>
        <w:rPr>
          <w:sz w:val="21"/>
        </w:rPr>
      </w:pPr>
      <w:r>
        <w:rPr>
          <w:spacing w:val="-1"/>
          <w:sz w:val="21"/>
        </w:rPr>
        <w:t>投标总价应当与分部分项工程费、措施项目费、其他项目费和规费、增值税的合计金</w:t>
      </w:r>
      <w:r>
        <w:rPr>
          <w:spacing w:val="-2"/>
          <w:sz w:val="21"/>
        </w:rPr>
        <w:t>额一致。</w:t>
      </w:r>
      <w:r>
        <w:rPr>
          <w:sz w:val="21"/>
        </w:rPr>
        <w:t> </w:t>
      </w:r>
    </w:p>
    <w:p>
      <w:pPr>
        <w:pStyle w:val="ListParagraph"/>
        <w:numPr>
          <w:ilvl w:val="1"/>
          <w:numId w:val="125"/>
        </w:numPr>
        <w:tabs>
          <w:tab w:pos="1522" w:val="left" w:leader="none"/>
        </w:tabs>
        <w:spacing w:line="367" w:lineRule="auto" w:before="0" w:after="0"/>
        <w:ind w:left="678" w:right="1048" w:firstLine="419"/>
        <w:jc w:val="left"/>
        <w:rPr>
          <w:sz w:val="21"/>
        </w:rPr>
      </w:pPr>
      <w:r>
        <w:rPr>
          <w:spacing w:val="-12"/>
          <w:sz w:val="21"/>
        </w:rPr>
        <w:t>因分部分项工程量清单漏项、设计变更、相关签证引起工程项目、工程量任何变化的， </w:t>
      </w:r>
      <w:r>
        <w:rPr>
          <w:spacing w:val="-6"/>
          <w:sz w:val="21"/>
        </w:rPr>
        <w:t>变更合同价款按专用合同条款中变更估价原则处理。 </w:t>
      </w:r>
    </w:p>
    <w:p>
      <w:pPr>
        <w:pStyle w:val="ListParagraph"/>
        <w:numPr>
          <w:ilvl w:val="1"/>
          <w:numId w:val="125"/>
        </w:numPr>
        <w:tabs>
          <w:tab w:pos="1522" w:val="left" w:leader="none"/>
        </w:tabs>
        <w:spacing w:line="364" w:lineRule="auto" w:before="0" w:after="0"/>
        <w:ind w:left="678" w:right="1151" w:firstLine="419"/>
        <w:jc w:val="left"/>
        <w:rPr>
          <w:sz w:val="21"/>
        </w:rPr>
      </w:pPr>
      <w:r>
        <w:rPr>
          <w:spacing w:val="-8"/>
          <w:sz w:val="21"/>
        </w:rPr>
        <w:t>投标人应按《承包人提供的主要材料和设备一览表》的内容填报，不得擅自调整材料</w:t>
      </w:r>
      <w:r>
        <w:rPr>
          <w:spacing w:val="-5"/>
          <w:sz w:val="21"/>
        </w:rPr>
        <w:t>和设备名称型号规格、单位、风险系数、基准单价。 </w:t>
      </w:r>
    </w:p>
    <w:p>
      <w:pPr>
        <w:pStyle w:val="ListParagraph"/>
        <w:numPr>
          <w:ilvl w:val="1"/>
          <w:numId w:val="125"/>
        </w:numPr>
        <w:tabs>
          <w:tab w:pos="1581" w:val="left" w:leader="none"/>
        </w:tabs>
        <w:spacing w:line="267" w:lineRule="exact" w:before="0" w:after="0"/>
        <w:ind w:left="1580" w:right="0" w:hanging="483"/>
        <w:jc w:val="left"/>
        <w:rPr>
          <w:sz w:val="21"/>
        </w:rPr>
      </w:pPr>
      <w:r>
        <w:rPr>
          <w:spacing w:val="-3"/>
          <w:sz w:val="21"/>
        </w:rPr>
        <w:t>投标报价表格按本工程工程量清单表格要求填写，并应按招标文件的要求，附上《工</w:t>
      </w:r>
    </w:p>
    <w:p>
      <w:pPr>
        <w:spacing w:after="0" w:line="267" w:lineRule="exact"/>
        <w:jc w:val="left"/>
        <w:rPr>
          <w:sz w:val="21"/>
        </w:rPr>
        <w:sectPr>
          <w:pgSz w:w="11910" w:h="16850"/>
          <w:pgMar w:header="0" w:footer="779" w:top="1400" w:bottom="1040" w:left="1120" w:right="280"/>
        </w:sectPr>
      </w:pPr>
    </w:p>
    <w:p>
      <w:pPr>
        <w:pStyle w:val="BodyText"/>
        <w:spacing w:before="60"/>
      </w:pPr>
      <w:r>
        <w:rPr>
          <w:spacing w:val="-12"/>
          <w:w w:val="100"/>
        </w:rPr>
        <w:t>程量清单综合单价分析表》</w:t>
      </w:r>
      <w:r>
        <w:rPr>
          <w:w w:val="100"/>
        </w:rPr>
        <w:t>（表-</w:t>
      </w:r>
      <w:r>
        <w:rPr>
          <w:spacing w:val="-3"/>
          <w:w w:val="100"/>
        </w:rPr>
        <w:t>0</w:t>
      </w:r>
      <w:r>
        <w:rPr>
          <w:w w:val="100"/>
        </w:rPr>
        <w:t>9</w:t>
      </w:r>
      <w:r>
        <w:rPr>
          <w:spacing w:val="-3"/>
          <w:w w:val="100"/>
        </w:rPr>
        <w:t>）</w:t>
      </w:r>
      <w:r>
        <w:rPr>
          <w:spacing w:val="-10"/>
          <w:w w:val="100"/>
        </w:rPr>
        <w:t>和《主要清单项目工料机分析表》</w:t>
      </w:r>
      <w:r>
        <w:rPr>
          <w:spacing w:val="-3"/>
          <w:w w:val="100"/>
        </w:rPr>
        <w:t>（</w:t>
      </w:r>
      <w:r>
        <w:rPr>
          <w:spacing w:val="-1"/>
          <w:w w:val="100"/>
        </w:rPr>
        <w:t>表</w:t>
      </w:r>
      <w:r>
        <w:rPr>
          <w:w w:val="100"/>
        </w:rPr>
        <w:t>-1</w:t>
      </w:r>
      <w:r>
        <w:rPr>
          <w:spacing w:val="-2"/>
          <w:w w:val="100"/>
        </w:rPr>
        <w:t>0</w:t>
      </w:r>
      <w:r>
        <w:rPr>
          <w:spacing w:val="-108"/>
          <w:w w:val="100"/>
        </w:rPr>
        <w:t>）</w:t>
      </w:r>
      <w:r>
        <w:rPr>
          <w:w w:val="100"/>
        </w:rPr>
        <w:t>。 </w:t>
      </w:r>
    </w:p>
    <w:p>
      <w:pPr>
        <w:pStyle w:val="BodyText"/>
        <w:spacing w:line="364" w:lineRule="auto" w:before="139"/>
        <w:ind w:right="1154" w:firstLine="419"/>
      </w:pPr>
      <w:r>
        <w:rPr/>
        <w:t>未尽事宜详见本工程招标工程量清单、招标控制价编制说明以及现行《计价规范》等有关规定执行。 </w:t>
      </w:r>
    </w:p>
    <w:p>
      <w:pPr>
        <w:spacing w:before="1"/>
        <w:ind w:left="678" w:right="0" w:firstLine="0"/>
        <w:jc w:val="left"/>
        <w:rPr>
          <w:sz w:val="21"/>
        </w:rPr>
      </w:pPr>
      <w:r>
        <w:rPr>
          <w:color w:val="000080"/>
          <w:spacing w:val="1"/>
          <w:w w:val="99"/>
          <w:sz w:val="20"/>
        </w:rPr>
        <w:t> </w:t>
      </w:r>
      <w:r>
        <w:rPr>
          <w:w w:val="100"/>
          <w:sz w:val="21"/>
        </w:rPr>
        <w:t> </w:t>
      </w:r>
    </w:p>
    <w:p>
      <w:pPr>
        <w:spacing w:after="0"/>
        <w:jc w:val="left"/>
        <w:rPr>
          <w:sz w:val="21"/>
        </w:rPr>
        <w:sectPr>
          <w:pgSz w:w="11910" w:h="16850"/>
          <w:pgMar w:header="0" w:footer="779" w:top="1380" w:bottom="1040" w:left="1120" w:right="280"/>
        </w:sectPr>
      </w:pPr>
    </w:p>
    <w:p>
      <w:pPr>
        <w:pStyle w:val="BodyText"/>
        <w:ind w:left="0"/>
        <w:rPr>
          <w:sz w:val="20"/>
        </w:rPr>
      </w:pPr>
    </w:p>
    <w:p>
      <w:pPr>
        <w:pStyle w:val="BodyText"/>
        <w:ind w:left="0"/>
        <w:rPr>
          <w:sz w:val="20"/>
        </w:rPr>
      </w:pPr>
    </w:p>
    <w:p>
      <w:pPr>
        <w:pStyle w:val="BodyText"/>
        <w:ind w:left="0"/>
        <w:rPr>
          <w:sz w:val="15"/>
        </w:rPr>
      </w:pPr>
    </w:p>
    <w:p>
      <w:pPr>
        <w:pStyle w:val="Heading1"/>
        <w:spacing w:line="702" w:lineRule="exact"/>
      </w:pPr>
      <w:bookmarkStart w:name="第六章 图  纸" w:id="483"/>
      <w:bookmarkEnd w:id="483"/>
      <w:r>
        <w:rPr>
          <w:b w:val="0"/>
        </w:rPr>
      </w:r>
      <w:bookmarkStart w:name="_bookmark105" w:id="484"/>
      <w:bookmarkEnd w:id="484"/>
      <w:r>
        <w:rPr>
          <w:b w:val="0"/>
        </w:rPr>
      </w:r>
      <w:r>
        <w:rPr/>
        <w:t>第 六 章  图  纸</w:t>
      </w:r>
      <w:r>
        <w:rPr>
          <w:w w:val="199"/>
        </w:rPr>
        <w:t> </w:t>
      </w:r>
    </w:p>
    <w:p>
      <w:pPr>
        <w:pStyle w:val="Heading2"/>
        <w:spacing w:before="82"/>
        <w:ind w:left="297" w:right="615"/>
        <w:jc w:val="center"/>
      </w:pPr>
      <w:r>
        <w:rPr/>
        <w:t>（登陆南宁市公共资源交易系统下载）</w:t>
      </w:r>
      <w:r>
        <w:rPr>
          <w:w w:val="199"/>
        </w:rPr>
        <w:t> </w:t>
      </w:r>
    </w:p>
    <w:p>
      <w:pPr>
        <w:spacing w:after="0"/>
        <w:jc w:val="center"/>
        <w:sectPr>
          <w:pgSz w:w="11910" w:h="16850"/>
          <w:pgMar w:header="0" w:footer="779" w:top="1380" w:bottom="1040" w:left="1120" w:right="280"/>
        </w:sectPr>
      </w:pPr>
    </w:p>
    <w:p>
      <w:pPr>
        <w:pStyle w:val="BodyText"/>
        <w:spacing w:line="198" w:lineRule="exact" w:before="60"/>
      </w:pPr>
      <w:r>
        <w:rPr>
          <w:w w:val="100"/>
        </w:rPr>
        <w:t> </w:t>
      </w:r>
    </w:p>
    <w:p>
      <w:pPr>
        <w:pStyle w:val="Heading1"/>
        <w:spacing w:line="738" w:lineRule="exact"/>
        <w:ind w:left="706" w:right="0"/>
        <w:jc w:val="left"/>
      </w:pPr>
      <w:bookmarkStart w:name="第七章 危险性较大的分部分项工程清单（如有）" w:id="485"/>
      <w:bookmarkEnd w:id="485"/>
      <w:r>
        <w:rPr>
          <w:b w:val="0"/>
        </w:rPr>
      </w:r>
      <w:bookmarkStart w:name="_bookmark106" w:id="486"/>
      <w:bookmarkEnd w:id="486"/>
      <w:r>
        <w:rPr>
          <w:b w:val="0"/>
        </w:rPr>
      </w:r>
      <w:r>
        <w:rPr/>
        <w:t>第七章 危险性较大的分部分项工程清单（如</w:t>
      </w:r>
    </w:p>
    <w:p>
      <w:pPr>
        <w:spacing w:before="48"/>
        <w:ind w:left="297" w:right="555" w:firstLine="0"/>
        <w:jc w:val="center"/>
        <w:rPr>
          <w:rFonts w:ascii="Microsoft JhengHei" w:eastAsia="Microsoft JhengHei" w:hint="eastAsia"/>
          <w:b/>
          <w:sz w:val="44"/>
        </w:rPr>
      </w:pPr>
      <w:r>
        <w:rPr>
          <w:rFonts w:ascii="Microsoft JhengHei" w:eastAsia="Microsoft JhengHei" w:hint="eastAsia"/>
          <w:b/>
          <w:sz w:val="44"/>
        </w:rPr>
        <w:t>有）</w:t>
      </w:r>
      <w:r>
        <w:rPr>
          <w:rFonts w:ascii="Microsoft JhengHei" w:eastAsia="Microsoft JhengHei" w:hint="eastAsia"/>
          <w:b/>
          <w:w w:val="199"/>
          <w:sz w:val="44"/>
        </w:rPr>
        <w:t> </w:t>
      </w:r>
    </w:p>
    <w:p>
      <w:pPr>
        <w:pStyle w:val="BodyText"/>
        <w:spacing w:before="12"/>
        <w:ind w:left="0"/>
        <w:rPr>
          <w:rFonts w:ascii="Microsoft JhengHei"/>
          <w:b/>
          <w:sz w:val="20"/>
        </w:rPr>
      </w:pPr>
    </w:p>
    <w:p>
      <w:pPr>
        <w:pStyle w:val="BodyText"/>
        <w:spacing w:before="72"/>
        <w:ind w:left="1098"/>
      </w:pPr>
      <w:r>
        <w:rPr/>
        <w:t>本章由招标人根据国家行业和地方现行标准、规范和规程等，以及项目具体情况摘录。</w:t>
      </w:r>
    </w:p>
    <w:p>
      <w:pPr>
        <w:pStyle w:val="BodyText"/>
        <w:spacing w:before="139"/>
        <w:ind w:left="1098"/>
      </w:pPr>
      <w:r>
        <w:rPr/>
        <w:t>《危险性较大的分部分项工程安全管理规定》（建设部令第 37 号）2019 年修订版以及住房</w:t>
      </w:r>
    </w:p>
    <w:p>
      <w:pPr>
        <w:pStyle w:val="BodyText"/>
        <w:spacing w:line="364" w:lineRule="auto" w:before="139"/>
        <w:ind w:right="1155"/>
      </w:pPr>
      <w:r>
        <w:rPr/>
        <w:t>城乡建设部办公厅关于实施《危险性较大的分部分项工程安全管理规定》有关问题的通知（</w:t>
      </w:r>
      <w:r>
        <w:rPr>
          <w:spacing w:val="-17"/>
        </w:rPr>
        <w:t>建</w:t>
      </w:r>
      <w:r>
        <w:rPr>
          <w:spacing w:val="-1"/>
        </w:rPr>
        <w:t>办质〔</w:t>
      </w:r>
      <w:r>
        <w:rPr/>
        <w:t>2018〕31</w:t>
      </w:r>
      <w:r>
        <w:rPr>
          <w:spacing w:val="-27"/>
        </w:rPr>
        <w:t> 号</w:t>
      </w:r>
      <w:r>
        <w:rPr>
          <w:spacing w:val="-108"/>
        </w:rPr>
        <w:t>）。</w:t>
      </w:r>
    </w:p>
    <w:p>
      <w:pPr>
        <w:spacing w:before="1"/>
        <w:ind w:left="678" w:right="0" w:firstLine="0"/>
        <w:jc w:val="left"/>
        <w:rPr>
          <w:sz w:val="20"/>
        </w:rPr>
      </w:pPr>
      <w:r>
        <w:rPr>
          <w:color w:val="000080"/>
          <w:spacing w:val="1"/>
          <w:w w:val="99"/>
          <w:sz w:val="20"/>
        </w:rPr>
        <w:t> </w:t>
      </w:r>
      <w:r>
        <w:rPr>
          <w:color w:val="000080"/>
          <w:w w:val="99"/>
          <w:sz w:val="20"/>
        </w:rPr>
        <w:t> </w:t>
      </w:r>
    </w:p>
    <w:p>
      <w:pPr>
        <w:spacing w:after="0"/>
        <w:jc w:val="left"/>
        <w:rPr>
          <w:sz w:val="20"/>
        </w:rPr>
        <w:sectPr>
          <w:pgSz w:w="11910" w:h="16850"/>
          <w:pgMar w:header="0" w:footer="779" w:top="1380" w:bottom="1040" w:left="1120" w:right="280"/>
        </w:sectPr>
      </w:pPr>
    </w:p>
    <w:p>
      <w:pPr>
        <w:pStyle w:val="BodyText"/>
        <w:spacing w:before="1"/>
        <w:ind w:left="0"/>
        <w:rPr>
          <w:sz w:val="22"/>
        </w:rPr>
      </w:pPr>
    </w:p>
    <w:p>
      <w:pPr>
        <w:pStyle w:val="Heading1"/>
        <w:spacing w:line="701" w:lineRule="exact"/>
      </w:pPr>
      <w:bookmarkStart w:name="第八章 技术标准和要求" w:id="487"/>
      <w:bookmarkEnd w:id="487"/>
      <w:r>
        <w:rPr>
          <w:b w:val="0"/>
        </w:rPr>
      </w:r>
      <w:bookmarkStart w:name="_bookmark107" w:id="488"/>
      <w:bookmarkEnd w:id="488"/>
      <w:r>
        <w:rPr>
          <w:b w:val="0"/>
        </w:rPr>
      </w:r>
      <w:r>
        <w:rPr/>
        <w:t>第八章 技术标准和要求</w:t>
      </w:r>
      <w:r>
        <w:rPr>
          <w:w w:val="199"/>
        </w:rPr>
        <w:t> </w:t>
      </w:r>
    </w:p>
    <w:p>
      <w:pPr>
        <w:spacing w:before="193"/>
        <w:ind w:left="678" w:right="0" w:firstLine="0"/>
        <w:jc w:val="left"/>
        <w:rPr>
          <w:sz w:val="20"/>
        </w:rPr>
      </w:pPr>
      <w:r>
        <w:rPr>
          <w:color w:val="000080"/>
          <w:w w:val="99"/>
          <w:sz w:val="20"/>
        </w:rPr>
        <w:t> </w:t>
      </w:r>
    </w:p>
    <w:p>
      <w:pPr>
        <w:pStyle w:val="BodyText"/>
        <w:spacing w:before="2"/>
      </w:pPr>
      <w:r>
        <w:rPr/>
        <w:t>一、本工程执行的技术标准</w:t>
      </w:r>
    </w:p>
    <w:p>
      <w:pPr>
        <w:pStyle w:val="BodyText"/>
        <w:spacing w:line="242" w:lineRule="auto" w:before="2"/>
        <w:ind w:right="1151" w:firstLine="419"/>
        <w:jc w:val="both"/>
      </w:pPr>
      <w:r>
        <w:rPr>
          <w:spacing w:val="-1"/>
        </w:rPr>
        <w:t>本工程技术规范采用建设部现行工程施工规范、验评标准及强制性标准条文以及地方现行</w:t>
      </w:r>
      <w:r>
        <w:rPr>
          <w:spacing w:val="-8"/>
        </w:rPr>
        <w:t>标准、规范和规程，计量支付采用《建设工程工程量清单计价规范</w:t>
      </w:r>
      <w:r>
        <w:rPr>
          <w:spacing w:val="-125"/>
        </w:rPr>
        <w:t>》</w:t>
      </w:r>
      <w:r>
        <w:rPr>
          <w:spacing w:val="-3"/>
        </w:rPr>
        <w:t>（</w:t>
      </w:r>
      <w:r>
        <w:rPr>
          <w:rFonts w:ascii="Times New Roman" w:eastAsia="Times New Roman"/>
          <w:spacing w:val="-3"/>
        </w:rPr>
        <w:t>GB50500-2013</w:t>
      </w:r>
      <w:r>
        <w:rPr>
          <w:spacing w:val="-3"/>
        </w:rPr>
        <w:t>）</w:t>
      </w:r>
      <w:r>
        <w:rPr>
          <w:spacing w:val="-2"/>
        </w:rPr>
        <w:t>及其广西</w:t>
      </w:r>
      <w:r>
        <w:rPr>
          <w:spacing w:val="-8"/>
        </w:rPr>
        <w:t>壮族自治区实施细则和《建设工程工程量计算规范》</w:t>
      </w:r>
      <w:r>
        <w:rPr/>
        <w:t>（</w:t>
      </w:r>
      <w:r>
        <w:rPr>
          <w:rFonts w:ascii="Times New Roman" w:eastAsia="Times New Roman"/>
        </w:rPr>
        <w:t>GB50854</w:t>
      </w:r>
      <w:r>
        <w:rPr/>
        <w:t>～</w:t>
      </w:r>
      <w:r>
        <w:rPr>
          <w:rFonts w:ascii="Times New Roman" w:eastAsia="Times New Roman"/>
        </w:rPr>
        <w:t>50862-2013</w:t>
      </w:r>
      <w:r>
        <w:rPr/>
        <w:t>）</w:t>
      </w:r>
      <w:r>
        <w:rPr>
          <w:spacing w:val="-2"/>
        </w:rPr>
        <w:t>及其广西壮族自</w:t>
      </w:r>
      <w:r>
        <w:rPr>
          <w:spacing w:val="-3"/>
        </w:rPr>
        <w:t>治区实施细则。</w:t>
      </w:r>
    </w:p>
    <w:p>
      <w:pPr>
        <w:pStyle w:val="BodyText"/>
        <w:spacing w:line="244" w:lineRule="auto" w:before="3"/>
        <w:ind w:right="4888"/>
      </w:pPr>
      <w:r>
        <w:rPr/>
        <w:t>二、本工程地质勘查情况 中标后发包人提供（如有） 三、其他要求</w:t>
      </w:r>
    </w:p>
    <w:p>
      <w:pPr>
        <w:pStyle w:val="BodyText"/>
        <w:spacing w:line="265" w:lineRule="exact"/>
      </w:pPr>
      <w:r>
        <w:rPr>
          <w:w w:val="100"/>
        </w:rPr>
        <w:t>无</w:t>
      </w:r>
    </w:p>
    <w:p>
      <w:pPr>
        <w:spacing w:before="5"/>
        <w:ind w:left="678" w:right="0" w:firstLine="0"/>
        <w:jc w:val="left"/>
        <w:rPr>
          <w:sz w:val="20"/>
        </w:rPr>
      </w:pPr>
      <w:r>
        <w:rPr>
          <w:color w:val="000080"/>
          <w:spacing w:val="1"/>
          <w:w w:val="99"/>
          <w:sz w:val="20"/>
        </w:rPr>
        <w:t> </w:t>
      </w:r>
      <w:r>
        <w:rPr>
          <w:color w:val="000080"/>
          <w:w w:val="99"/>
          <w:sz w:val="20"/>
        </w:rPr>
        <w:t> </w:t>
      </w:r>
    </w:p>
    <w:p>
      <w:pPr>
        <w:spacing w:after="0"/>
        <w:jc w:val="left"/>
        <w:rPr>
          <w:sz w:val="20"/>
        </w:rPr>
        <w:sectPr>
          <w:pgSz w:w="11910" w:h="16850"/>
          <w:pgMar w:header="0" w:footer="779" w:top="1380" w:bottom="1040" w:left="1120" w:right="280"/>
        </w:sectPr>
      </w:pPr>
    </w:p>
    <w:p>
      <w:pPr>
        <w:pStyle w:val="BodyText"/>
        <w:ind w:left="0"/>
        <w:rPr>
          <w:sz w:val="20"/>
        </w:rPr>
      </w:pPr>
    </w:p>
    <w:p>
      <w:pPr>
        <w:pStyle w:val="Heading1"/>
        <w:spacing w:before="55"/>
      </w:pPr>
      <w:bookmarkStart w:name="第九章 投标文件格式" w:id="489"/>
      <w:bookmarkEnd w:id="489"/>
      <w:r>
        <w:rPr>
          <w:b w:val="0"/>
        </w:rPr>
      </w:r>
      <w:bookmarkStart w:name="_bookmark108" w:id="490"/>
      <w:bookmarkEnd w:id="490"/>
      <w:r>
        <w:rPr>
          <w:b w:val="0"/>
        </w:rPr>
      </w:r>
      <w:r>
        <w:rPr/>
        <w:t>第九章 投标文件格式</w:t>
      </w:r>
      <w:r>
        <w:rPr>
          <w:w w:val="199"/>
        </w:rPr>
        <w:t> </w:t>
      </w:r>
    </w:p>
    <w:p>
      <w:pPr>
        <w:pStyle w:val="BodyText"/>
        <w:spacing w:before="6"/>
        <w:ind w:left="0"/>
        <w:rPr>
          <w:rFonts w:ascii="Microsoft JhengHei"/>
          <w:b/>
        </w:rPr>
      </w:pPr>
    </w:p>
    <w:p>
      <w:pPr>
        <w:tabs>
          <w:tab w:pos="2078" w:val="left" w:leader="none"/>
        </w:tabs>
        <w:spacing w:before="71"/>
        <w:ind w:left="0" w:right="476" w:firstLine="0"/>
        <w:jc w:val="center"/>
        <w:rPr>
          <w:sz w:val="28"/>
        </w:rPr>
      </w:pPr>
      <w:r>
        <w:rPr>
          <w:rFonts w:ascii="Times New Roman" w:eastAsia="Times New Roman"/>
          <w:w w:val="100"/>
          <w:sz w:val="28"/>
          <w:u w:val="single"/>
        </w:rPr>
        <w:t> </w:t>
      </w:r>
      <w:r>
        <w:rPr>
          <w:rFonts w:ascii="Times New Roman" w:eastAsia="Times New Roman"/>
          <w:sz w:val="28"/>
          <w:u w:val="single"/>
        </w:rPr>
        <w:tab/>
      </w:r>
      <w:r>
        <w:rPr>
          <w:sz w:val="28"/>
        </w:rPr>
        <w:t>（</w:t>
      </w:r>
      <w:r>
        <w:rPr>
          <w:spacing w:val="-1"/>
          <w:sz w:val="28"/>
        </w:rPr>
        <w:t>项目名称</w:t>
      </w:r>
      <w:r>
        <w:rPr>
          <w:sz w:val="28"/>
        </w:rPr>
        <w:t>）</w:t>
      </w:r>
      <w:r>
        <w:rPr>
          <w:spacing w:val="-3"/>
          <w:sz w:val="28"/>
        </w:rPr>
        <w:t>施工招标</w:t>
      </w:r>
    </w:p>
    <w:p>
      <w:pPr>
        <w:pStyle w:val="BodyText"/>
        <w:ind w:left="0"/>
        <w:rPr>
          <w:sz w:val="20"/>
        </w:rPr>
      </w:pPr>
    </w:p>
    <w:p>
      <w:pPr>
        <w:pStyle w:val="BodyText"/>
        <w:spacing w:before="10"/>
        <w:ind w:left="0"/>
      </w:pPr>
    </w:p>
    <w:p>
      <w:pPr>
        <w:tabs>
          <w:tab w:pos="4232" w:val="left" w:leader="none"/>
          <w:tab w:pos="5274" w:val="left" w:leader="none"/>
          <w:tab w:pos="6314" w:val="left" w:leader="none"/>
        </w:tabs>
        <w:spacing w:before="27"/>
        <w:ind w:left="3193" w:right="0" w:firstLine="0"/>
        <w:jc w:val="left"/>
        <w:rPr>
          <w:sz w:val="52"/>
        </w:rPr>
      </w:pPr>
      <w:r>
        <w:rPr>
          <w:sz w:val="52"/>
        </w:rPr>
        <w:t>投</w:t>
        <w:tab/>
        <w:t>标</w:t>
        <w:tab/>
        <w:t>文</w:t>
        <w:tab/>
        <w:t>件</w:t>
      </w:r>
    </w:p>
    <w:p>
      <w:pPr>
        <w:pStyle w:val="BodyText"/>
        <w:ind w:left="0"/>
        <w:rPr>
          <w:sz w:val="52"/>
        </w:rPr>
      </w:pPr>
    </w:p>
    <w:p>
      <w:pPr>
        <w:pStyle w:val="BodyText"/>
        <w:spacing w:before="9"/>
        <w:ind w:left="0"/>
        <w:rPr>
          <w:sz w:val="63"/>
        </w:rPr>
      </w:pPr>
    </w:p>
    <w:p>
      <w:pPr>
        <w:tabs>
          <w:tab w:pos="7744" w:val="left" w:leader="none"/>
        </w:tabs>
        <w:spacing w:before="0"/>
        <w:ind w:left="3059" w:right="0" w:firstLine="0"/>
        <w:jc w:val="left"/>
        <w:rPr>
          <w:rFonts w:ascii="Times New Roman" w:eastAsia="Times New Roman"/>
          <w:sz w:val="28"/>
        </w:rPr>
      </w:pPr>
      <w:r>
        <w:rPr>
          <w:sz w:val="28"/>
        </w:rPr>
        <w:t>项目招</w:t>
      </w:r>
      <w:r>
        <w:rPr>
          <w:spacing w:val="-3"/>
          <w:sz w:val="28"/>
        </w:rPr>
        <w:t>标</w:t>
      </w:r>
      <w:r>
        <w:rPr>
          <w:sz w:val="28"/>
        </w:rPr>
        <w:t>编号：</w:t>
      </w:r>
      <w:r>
        <w:rPr>
          <w:rFonts w:ascii="Times New Roman" w:eastAsia="Times New Roman"/>
          <w:sz w:val="28"/>
          <w:u w:val="single"/>
        </w:rPr>
        <w:t> </w:t>
        <w:tab/>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tabs>
          <w:tab w:pos="5156" w:val="left" w:leader="none"/>
          <w:tab w:pos="5716" w:val="left" w:leader="none"/>
          <w:tab w:pos="7807" w:val="left" w:leader="none"/>
          <w:tab w:pos="8381" w:val="left" w:leader="none"/>
        </w:tabs>
        <w:spacing w:line="364" w:lineRule="auto" w:before="233"/>
        <w:ind w:left="2077" w:right="1012" w:firstLine="0"/>
        <w:jc w:val="left"/>
        <w:rPr>
          <w:sz w:val="28"/>
        </w:rPr>
      </w:pPr>
      <w:r>
        <w:rPr>
          <w:sz w:val="28"/>
        </w:rPr>
        <w:t>投标内</w:t>
      </w:r>
      <w:r>
        <w:rPr>
          <w:spacing w:val="-3"/>
          <w:sz w:val="28"/>
        </w:rPr>
        <w:t>容</w:t>
      </w:r>
      <w:r>
        <w:rPr>
          <w:sz w:val="28"/>
        </w:rPr>
        <w:t>：</w:t>
      </w:r>
      <w:r>
        <w:rPr>
          <w:sz w:val="28"/>
          <w:u w:val="single"/>
        </w:rPr>
        <w:t> </w:t>
        <w:tab/>
        <w:t>资格审查部分</w:t>
        <w:tab/>
        <w:tab/>
      </w:r>
      <w:r>
        <w:rPr>
          <w:sz w:val="28"/>
        </w:rPr>
        <w:t>                 投标人</w:t>
      </w:r>
      <w:r>
        <w:rPr>
          <w:spacing w:val="-5"/>
          <w:sz w:val="28"/>
        </w:rPr>
        <w:t>：</w:t>
      </w:r>
      <w:r>
        <w:rPr>
          <w:spacing w:val="-5"/>
          <w:sz w:val="28"/>
          <w:u w:val="single"/>
        </w:rPr>
        <w:t> </w:t>
        <w:tab/>
        <w:tab/>
        <w:tab/>
      </w:r>
      <w:r>
        <w:rPr>
          <w:sz w:val="28"/>
        </w:rPr>
        <w:t>（盖单位章</w:t>
      </w:r>
      <w:r>
        <w:rPr>
          <w:spacing w:val="-18"/>
          <w:sz w:val="28"/>
        </w:rPr>
        <w:t>） </w:t>
      </w:r>
      <w:r>
        <w:rPr>
          <w:sz w:val="28"/>
        </w:rPr>
        <w:t>法定代</w:t>
      </w:r>
      <w:r>
        <w:rPr>
          <w:spacing w:val="-3"/>
          <w:sz w:val="28"/>
        </w:rPr>
        <w:t>表</w:t>
      </w:r>
      <w:r>
        <w:rPr>
          <w:sz w:val="28"/>
        </w:rPr>
        <w:t>人：</w:t>
      </w:r>
      <w:r>
        <w:rPr>
          <w:sz w:val="28"/>
          <w:u w:val="single"/>
        </w:rPr>
        <w:t> </w:t>
        <w:tab/>
        <w:tab/>
      </w:r>
      <w:r>
        <w:rPr>
          <w:sz w:val="28"/>
        </w:rPr>
        <w:t>（签字或盖章）</w:t>
      </w:r>
    </w:p>
    <w:p>
      <w:pPr>
        <w:pStyle w:val="BodyText"/>
        <w:ind w:left="0"/>
        <w:rPr>
          <w:sz w:val="20"/>
        </w:rPr>
      </w:pPr>
    </w:p>
    <w:p>
      <w:pPr>
        <w:pStyle w:val="BodyText"/>
        <w:spacing w:before="7"/>
        <w:ind w:left="0"/>
        <w:rPr>
          <w:sz w:val="25"/>
        </w:rPr>
      </w:pPr>
    </w:p>
    <w:p>
      <w:pPr>
        <w:tabs>
          <w:tab w:pos="1257" w:val="left" w:leader="none"/>
          <w:tab w:pos="2798" w:val="left" w:leader="none"/>
          <w:tab w:pos="4339" w:val="left" w:leader="none"/>
        </w:tabs>
        <w:spacing w:before="61"/>
        <w:ind w:left="0" w:right="475" w:firstLine="0"/>
        <w:jc w:val="center"/>
        <w:rPr>
          <w:sz w:val="28"/>
        </w:rPr>
      </w:pPr>
      <w:r>
        <w:rPr>
          <w:rFonts w:ascii="Times New Roman" w:eastAsia="Times New Roman"/>
          <w:w w:val="100"/>
          <w:sz w:val="28"/>
          <w:u w:val="single"/>
        </w:rPr>
        <w:t> </w:t>
      </w:r>
      <w:r>
        <w:rPr>
          <w:rFonts w:ascii="Times New Roman" w:eastAsia="Times New Roman"/>
          <w:sz w:val="28"/>
          <w:u w:val="single"/>
        </w:rPr>
        <w:tab/>
      </w:r>
      <w:r>
        <w:rPr>
          <w:sz w:val="28"/>
        </w:rPr>
        <w:t>年</w:t>
      </w:r>
      <w:r>
        <w:rPr>
          <w:sz w:val="28"/>
          <w:u w:val="single"/>
        </w:rPr>
        <w:t> </w:t>
        <w:tab/>
      </w:r>
      <w:r>
        <w:rPr>
          <w:sz w:val="28"/>
        </w:rPr>
        <w:t>月</w:t>
      </w:r>
      <w:r>
        <w:rPr>
          <w:sz w:val="28"/>
          <w:u w:val="single"/>
        </w:rPr>
        <w:t> </w:t>
        <w:tab/>
      </w:r>
      <w:r>
        <w:rPr>
          <w:sz w:val="28"/>
        </w:rPr>
        <w:t>日</w:t>
      </w:r>
    </w:p>
    <w:p>
      <w:pPr>
        <w:spacing w:after="0"/>
        <w:jc w:val="center"/>
        <w:rPr>
          <w:sz w:val="28"/>
        </w:rPr>
        <w:sectPr>
          <w:pgSz w:w="11910" w:h="16850"/>
          <w:pgMar w:header="0" w:footer="779" w:top="1400" w:bottom="1040" w:left="1120" w:right="280"/>
        </w:sectPr>
      </w:pPr>
    </w:p>
    <w:p>
      <w:pPr>
        <w:spacing w:line="480" w:lineRule="exact" w:before="0"/>
        <w:ind w:left="297" w:right="776" w:firstLine="0"/>
        <w:jc w:val="center"/>
        <w:rPr>
          <w:rFonts w:ascii="Microsoft JhengHei" w:eastAsia="Microsoft JhengHei" w:hint="eastAsia"/>
          <w:b/>
          <w:sz w:val="28"/>
        </w:rPr>
      </w:pPr>
      <w:bookmarkStart w:name="1、投标人基本情况表（包含联合体各方）" w:id="491"/>
      <w:bookmarkEnd w:id="491"/>
      <w:r>
        <w:rPr/>
      </w:r>
      <w:bookmarkStart w:name="_bookmark109" w:id="492"/>
      <w:bookmarkEnd w:id="492"/>
      <w:r>
        <w:rPr/>
      </w:r>
      <w:r>
        <w:rPr>
          <w:rFonts w:ascii="Times New Roman" w:eastAsia="Times New Roman"/>
          <w:b/>
          <w:sz w:val="28"/>
        </w:rPr>
        <w:t>1</w:t>
      </w:r>
      <w:r>
        <w:rPr>
          <w:rFonts w:ascii="Microsoft JhengHei" w:eastAsia="Microsoft JhengHei" w:hint="eastAsia"/>
          <w:b/>
          <w:sz w:val="28"/>
        </w:rPr>
        <w:t>、投标人基本情况表（包含联合体各方）</w:t>
      </w:r>
    </w:p>
    <w:p>
      <w:pPr>
        <w:pStyle w:val="BodyText"/>
        <w:spacing w:before="13"/>
        <w:ind w:left="0"/>
        <w:rPr>
          <w:rFonts w:ascii="Microsoft JhengHei"/>
          <w:b/>
          <w:sz w:val="6"/>
        </w:rPr>
      </w:pPr>
    </w:p>
    <w:tbl>
      <w:tblPr>
        <w:tblW w:w="0" w:type="auto"/>
        <w:jc w:val="lef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25"/>
        <w:gridCol w:w="898"/>
        <w:gridCol w:w="1022"/>
        <w:gridCol w:w="1159"/>
        <w:gridCol w:w="311"/>
        <w:gridCol w:w="1286"/>
        <w:gridCol w:w="740"/>
        <w:gridCol w:w="1922"/>
      </w:tblGrid>
      <w:tr>
        <w:trPr>
          <w:trHeight w:val="565" w:hRule="atLeast"/>
        </w:trPr>
        <w:tc>
          <w:tcPr>
            <w:tcW w:w="1625" w:type="dxa"/>
          </w:tcPr>
          <w:p>
            <w:pPr>
              <w:pStyle w:val="TableParagraph"/>
              <w:spacing w:before="150"/>
              <w:ind w:left="269" w:right="255"/>
              <w:jc w:val="center"/>
              <w:rPr>
                <w:sz w:val="21"/>
              </w:rPr>
            </w:pPr>
            <w:r>
              <w:rPr>
                <w:sz w:val="21"/>
              </w:rPr>
              <w:t>投标人名称</w:t>
            </w:r>
          </w:p>
        </w:tc>
        <w:tc>
          <w:tcPr>
            <w:tcW w:w="7338" w:type="dxa"/>
            <w:gridSpan w:val="7"/>
          </w:tcPr>
          <w:p>
            <w:pPr>
              <w:pStyle w:val="TableParagraph"/>
              <w:rPr>
                <w:rFonts w:ascii="Times New Roman"/>
                <w:sz w:val="20"/>
              </w:rPr>
            </w:pPr>
          </w:p>
        </w:tc>
      </w:tr>
      <w:tr>
        <w:trPr>
          <w:trHeight w:val="568" w:hRule="atLeast"/>
        </w:trPr>
        <w:tc>
          <w:tcPr>
            <w:tcW w:w="1625" w:type="dxa"/>
          </w:tcPr>
          <w:p>
            <w:pPr>
              <w:pStyle w:val="TableParagraph"/>
              <w:spacing w:before="150"/>
              <w:ind w:left="269" w:right="255"/>
              <w:jc w:val="center"/>
              <w:rPr>
                <w:sz w:val="21"/>
              </w:rPr>
            </w:pPr>
            <w:r>
              <w:rPr>
                <w:sz w:val="21"/>
              </w:rPr>
              <w:t>注册地址</w:t>
            </w:r>
          </w:p>
        </w:tc>
        <w:tc>
          <w:tcPr>
            <w:tcW w:w="3390" w:type="dxa"/>
            <w:gridSpan w:val="4"/>
          </w:tcPr>
          <w:p>
            <w:pPr>
              <w:pStyle w:val="TableParagraph"/>
              <w:rPr>
                <w:rFonts w:ascii="Times New Roman"/>
                <w:sz w:val="20"/>
              </w:rPr>
            </w:pPr>
          </w:p>
        </w:tc>
        <w:tc>
          <w:tcPr>
            <w:tcW w:w="1286" w:type="dxa"/>
          </w:tcPr>
          <w:p>
            <w:pPr>
              <w:pStyle w:val="TableParagraph"/>
              <w:spacing w:before="150"/>
              <w:ind w:right="29"/>
              <w:jc w:val="center"/>
              <w:rPr>
                <w:sz w:val="21"/>
              </w:rPr>
            </w:pPr>
            <w:r>
              <w:rPr>
                <w:sz w:val="21"/>
              </w:rPr>
              <w:t>邮政编码</w:t>
            </w:r>
          </w:p>
        </w:tc>
        <w:tc>
          <w:tcPr>
            <w:tcW w:w="2662" w:type="dxa"/>
            <w:gridSpan w:val="2"/>
          </w:tcPr>
          <w:p>
            <w:pPr>
              <w:pStyle w:val="TableParagraph"/>
              <w:rPr>
                <w:rFonts w:ascii="Times New Roman"/>
                <w:sz w:val="20"/>
              </w:rPr>
            </w:pPr>
          </w:p>
        </w:tc>
      </w:tr>
      <w:tr>
        <w:trPr>
          <w:trHeight w:val="565" w:hRule="atLeast"/>
        </w:trPr>
        <w:tc>
          <w:tcPr>
            <w:tcW w:w="1625" w:type="dxa"/>
            <w:vMerge w:val="restart"/>
          </w:tcPr>
          <w:p>
            <w:pPr>
              <w:pStyle w:val="TableParagraph"/>
              <w:spacing w:before="14"/>
              <w:rPr>
                <w:rFonts w:ascii="Microsoft JhengHei"/>
                <w:b/>
                <w:sz w:val="23"/>
              </w:rPr>
            </w:pPr>
          </w:p>
          <w:p>
            <w:pPr>
              <w:pStyle w:val="TableParagraph"/>
              <w:spacing w:before="1"/>
              <w:ind w:left="393"/>
              <w:rPr>
                <w:sz w:val="21"/>
              </w:rPr>
            </w:pPr>
            <w:r>
              <w:rPr>
                <w:sz w:val="21"/>
              </w:rPr>
              <w:t>联系方式</w:t>
            </w:r>
          </w:p>
        </w:tc>
        <w:tc>
          <w:tcPr>
            <w:tcW w:w="898" w:type="dxa"/>
          </w:tcPr>
          <w:p>
            <w:pPr>
              <w:pStyle w:val="TableParagraph"/>
              <w:spacing w:before="147"/>
              <w:ind w:left="8"/>
              <w:jc w:val="center"/>
              <w:rPr>
                <w:sz w:val="21"/>
              </w:rPr>
            </w:pPr>
            <w:r>
              <w:rPr>
                <w:sz w:val="21"/>
              </w:rPr>
              <w:t>联系人</w:t>
            </w:r>
          </w:p>
        </w:tc>
        <w:tc>
          <w:tcPr>
            <w:tcW w:w="2492" w:type="dxa"/>
            <w:gridSpan w:val="3"/>
          </w:tcPr>
          <w:p>
            <w:pPr>
              <w:pStyle w:val="TableParagraph"/>
              <w:rPr>
                <w:rFonts w:ascii="Times New Roman"/>
                <w:sz w:val="20"/>
              </w:rPr>
            </w:pPr>
          </w:p>
        </w:tc>
        <w:tc>
          <w:tcPr>
            <w:tcW w:w="1286" w:type="dxa"/>
          </w:tcPr>
          <w:p>
            <w:pPr>
              <w:pStyle w:val="TableParagraph"/>
              <w:tabs>
                <w:tab w:pos="422" w:val="left" w:leader="none"/>
              </w:tabs>
              <w:spacing w:before="147"/>
              <w:ind w:right="27"/>
              <w:jc w:val="center"/>
              <w:rPr>
                <w:sz w:val="21"/>
              </w:rPr>
            </w:pPr>
            <w:r>
              <w:rPr>
                <w:sz w:val="21"/>
              </w:rPr>
              <w:t>电</w:t>
              <w:tab/>
              <w:t>话</w:t>
            </w:r>
          </w:p>
        </w:tc>
        <w:tc>
          <w:tcPr>
            <w:tcW w:w="2662" w:type="dxa"/>
            <w:gridSpan w:val="2"/>
          </w:tcPr>
          <w:p>
            <w:pPr>
              <w:pStyle w:val="TableParagraph"/>
              <w:rPr>
                <w:rFonts w:ascii="Times New Roman"/>
                <w:sz w:val="20"/>
              </w:rPr>
            </w:pPr>
          </w:p>
        </w:tc>
      </w:tr>
      <w:tr>
        <w:trPr>
          <w:trHeight w:val="568" w:hRule="atLeast"/>
        </w:trPr>
        <w:tc>
          <w:tcPr>
            <w:tcW w:w="1625" w:type="dxa"/>
            <w:vMerge/>
            <w:tcBorders>
              <w:top w:val="nil"/>
            </w:tcBorders>
          </w:tcPr>
          <w:p>
            <w:pPr>
              <w:rPr>
                <w:sz w:val="2"/>
                <w:szCs w:val="2"/>
              </w:rPr>
            </w:pPr>
          </w:p>
        </w:tc>
        <w:tc>
          <w:tcPr>
            <w:tcW w:w="898" w:type="dxa"/>
          </w:tcPr>
          <w:p>
            <w:pPr>
              <w:pStyle w:val="TableParagraph"/>
              <w:tabs>
                <w:tab w:pos="432" w:val="left" w:leader="none"/>
              </w:tabs>
              <w:spacing w:before="149"/>
              <w:ind w:left="9"/>
              <w:jc w:val="center"/>
              <w:rPr>
                <w:sz w:val="21"/>
              </w:rPr>
            </w:pPr>
            <w:r>
              <w:rPr>
                <w:sz w:val="21"/>
              </w:rPr>
              <w:t>传</w:t>
              <w:tab/>
              <w:t>真</w:t>
            </w:r>
          </w:p>
        </w:tc>
        <w:tc>
          <w:tcPr>
            <w:tcW w:w="2492" w:type="dxa"/>
            <w:gridSpan w:val="3"/>
          </w:tcPr>
          <w:p>
            <w:pPr>
              <w:pStyle w:val="TableParagraph"/>
              <w:rPr>
                <w:rFonts w:ascii="Times New Roman"/>
                <w:sz w:val="20"/>
              </w:rPr>
            </w:pPr>
          </w:p>
        </w:tc>
        <w:tc>
          <w:tcPr>
            <w:tcW w:w="1286" w:type="dxa"/>
          </w:tcPr>
          <w:p>
            <w:pPr>
              <w:pStyle w:val="TableParagraph"/>
              <w:tabs>
                <w:tab w:pos="422" w:val="left" w:leader="none"/>
              </w:tabs>
              <w:spacing w:before="149"/>
              <w:ind w:right="27"/>
              <w:jc w:val="center"/>
              <w:rPr>
                <w:sz w:val="21"/>
              </w:rPr>
            </w:pPr>
            <w:r>
              <w:rPr>
                <w:sz w:val="21"/>
              </w:rPr>
              <w:t>网</w:t>
              <w:tab/>
              <w:t>址</w:t>
            </w:r>
          </w:p>
        </w:tc>
        <w:tc>
          <w:tcPr>
            <w:tcW w:w="2662" w:type="dxa"/>
            <w:gridSpan w:val="2"/>
          </w:tcPr>
          <w:p>
            <w:pPr>
              <w:pStyle w:val="TableParagraph"/>
              <w:rPr>
                <w:rFonts w:ascii="Times New Roman"/>
                <w:sz w:val="20"/>
              </w:rPr>
            </w:pPr>
          </w:p>
        </w:tc>
      </w:tr>
      <w:tr>
        <w:trPr>
          <w:trHeight w:val="566" w:hRule="atLeast"/>
        </w:trPr>
        <w:tc>
          <w:tcPr>
            <w:tcW w:w="1625" w:type="dxa"/>
          </w:tcPr>
          <w:p>
            <w:pPr>
              <w:pStyle w:val="TableParagraph"/>
              <w:spacing w:line="270" w:lineRule="atLeast" w:before="9"/>
              <w:ind w:left="602" w:right="168" w:hanging="420"/>
              <w:rPr>
                <w:sz w:val="21"/>
              </w:rPr>
            </w:pPr>
            <w:r>
              <w:rPr>
                <w:sz w:val="21"/>
              </w:rPr>
              <w:t>统一社会信用代码</w:t>
            </w:r>
          </w:p>
        </w:tc>
        <w:tc>
          <w:tcPr>
            <w:tcW w:w="7338" w:type="dxa"/>
            <w:gridSpan w:val="7"/>
          </w:tcPr>
          <w:p>
            <w:pPr>
              <w:pStyle w:val="TableParagraph"/>
              <w:rPr>
                <w:rFonts w:ascii="Times New Roman"/>
                <w:sz w:val="20"/>
              </w:rPr>
            </w:pPr>
          </w:p>
        </w:tc>
      </w:tr>
      <w:tr>
        <w:trPr>
          <w:trHeight w:val="566" w:hRule="atLeast"/>
        </w:trPr>
        <w:tc>
          <w:tcPr>
            <w:tcW w:w="1625" w:type="dxa"/>
          </w:tcPr>
          <w:p>
            <w:pPr>
              <w:pStyle w:val="TableParagraph"/>
              <w:spacing w:before="150"/>
              <w:ind w:left="269" w:right="255"/>
              <w:jc w:val="center"/>
              <w:rPr>
                <w:sz w:val="21"/>
              </w:rPr>
            </w:pPr>
            <w:r>
              <w:rPr>
                <w:sz w:val="21"/>
              </w:rPr>
              <w:t>法定代表人</w:t>
            </w:r>
          </w:p>
        </w:tc>
        <w:tc>
          <w:tcPr>
            <w:tcW w:w="898" w:type="dxa"/>
          </w:tcPr>
          <w:p>
            <w:pPr>
              <w:pStyle w:val="TableParagraph"/>
              <w:spacing w:before="150"/>
              <w:ind w:left="8"/>
              <w:jc w:val="center"/>
              <w:rPr>
                <w:sz w:val="21"/>
              </w:rPr>
            </w:pPr>
            <w:r>
              <w:rPr>
                <w:sz w:val="21"/>
              </w:rPr>
              <w:t>姓名</w:t>
            </w:r>
          </w:p>
        </w:tc>
        <w:tc>
          <w:tcPr>
            <w:tcW w:w="3778" w:type="dxa"/>
            <w:gridSpan w:val="4"/>
          </w:tcPr>
          <w:p>
            <w:pPr>
              <w:pStyle w:val="TableParagraph"/>
              <w:rPr>
                <w:rFonts w:ascii="Times New Roman"/>
                <w:sz w:val="20"/>
              </w:rPr>
            </w:pPr>
          </w:p>
        </w:tc>
        <w:tc>
          <w:tcPr>
            <w:tcW w:w="740" w:type="dxa"/>
          </w:tcPr>
          <w:p>
            <w:pPr>
              <w:pStyle w:val="TableParagraph"/>
              <w:spacing w:before="150"/>
              <w:ind w:right="133"/>
              <w:jc w:val="right"/>
              <w:rPr>
                <w:sz w:val="21"/>
              </w:rPr>
            </w:pPr>
            <w:r>
              <w:rPr>
                <w:sz w:val="21"/>
              </w:rPr>
              <w:t>电话</w:t>
            </w:r>
          </w:p>
        </w:tc>
        <w:tc>
          <w:tcPr>
            <w:tcW w:w="1922" w:type="dxa"/>
          </w:tcPr>
          <w:p>
            <w:pPr>
              <w:pStyle w:val="TableParagraph"/>
              <w:rPr>
                <w:rFonts w:ascii="Times New Roman"/>
                <w:sz w:val="20"/>
              </w:rPr>
            </w:pPr>
          </w:p>
        </w:tc>
      </w:tr>
      <w:tr>
        <w:trPr>
          <w:trHeight w:val="568" w:hRule="atLeast"/>
        </w:trPr>
        <w:tc>
          <w:tcPr>
            <w:tcW w:w="1625" w:type="dxa"/>
          </w:tcPr>
          <w:p>
            <w:pPr>
              <w:pStyle w:val="TableParagraph"/>
              <w:spacing w:before="150"/>
              <w:ind w:left="269" w:right="255"/>
              <w:jc w:val="center"/>
              <w:rPr>
                <w:sz w:val="21"/>
              </w:rPr>
            </w:pPr>
            <w:r>
              <w:rPr>
                <w:sz w:val="21"/>
              </w:rPr>
              <w:t>技术负责人</w:t>
            </w:r>
          </w:p>
        </w:tc>
        <w:tc>
          <w:tcPr>
            <w:tcW w:w="898" w:type="dxa"/>
          </w:tcPr>
          <w:p>
            <w:pPr>
              <w:pStyle w:val="TableParagraph"/>
              <w:spacing w:before="150"/>
              <w:ind w:left="8"/>
              <w:jc w:val="center"/>
              <w:rPr>
                <w:sz w:val="21"/>
              </w:rPr>
            </w:pPr>
            <w:r>
              <w:rPr>
                <w:sz w:val="21"/>
              </w:rPr>
              <w:t>姓名</w:t>
            </w:r>
          </w:p>
        </w:tc>
        <w:tc>
          <w:tcPr>
            <w:tcW w:w="1022" w:type="dxa"/>
          </w:tcPr>
          <w:p>
            <w:pPr>
              <w:pStyle w:val="TableParagraph"/>
              <w:rPr>
                <w:rFonts w:ascii="Times New Roman"/>
                <w:sz w:val="20"/>
              </w:rPr>
            </w:pPr>
          </w:p>
        </w:tc>
        <w:tc>
          <w:tcPr>
            <w:tcW w:w="1159" w:type="dxa"/>
          </w:tcPr>
          <w:p>
            <w:pPr>
              <w:pStyle w:val="TableParagraph"/>
              <w:spacing w:before="150"/>
              <w:ind w:left="156"/>
              <w:rPr>
                <w:sz w:val="21"/>
              </w:rPr>
            </w:pPr>
            <w:r>
              <w:rPr>
                <w:sz w:val="21"/>
              </w:rPr>
              <w:t>技术职称</w:t>
            </w:r>
          </w:p>
        </w:tc>
        <w:tc>
          <w:tcPr>
            <w:tcW w:w="1597" w:type="dxa"/>
            <w:gridSpan w:val="2"/>
          </w:tcPr>
          <w:p>
            <w:pPr>
              <w:pStyle w:val="TableParagraph"/>
              <w:rPr>
                <w:rFonts w:ascii="Times New Roman"/>
                <w:sz w:val="20"/>
              </w:rPr>
            </w:pPr>
          </w:p>
        </w:tc>
        <w:tc>
          <w:tcPr>
            <w:tcW w:w="740" w:type="dxa"/>
          </w:tcPr>
          <w:p>
            <w:pPr>
              <w:pStyle w:val="TableParagraph"/>
              <w:spacing w:before="150"/>
              <w:ind w:right="133"/>
              <w:jc w:val="right"/>
              <w:rPr>
                <w:sz w:val="21"/>
              </w:rPr>
            </w:pPr>
            <w:r>
              <w:rPr>
                <w:sz w:val="21"/>
              </w:rPr>
              <w:t>电话</w:t>
            </w:r>
          </w:p>
        </w:tc>
        <w:tc>
          <w:tcPr>
            <w:tcW w:w="1922" w:type="dxa"/>
          </w:tcPr>
          <w:p>
            <w:pPr>
              <w:pStyle w:val="TableParagraph"/>
              <w:rPr>
                <w:rFonts w:ascii="Times New Roman"/>
                <w:sz w:val="20"/>
              </w:rPr>
            </w:pPr>
          </w:p>
        </w:tc>
      </w:tr>
      <w:tr>
        <w:trPr>
          <w:trHeight w:val="565" w:hRule="atLeast"/>
        </w:trPr>
        <w:tc>
          <w:tcPr>
            <w:tcW w:w="1625" w:type="dxa"/>
          </w:tcPr>
          <w:p>
            <w:pPr>
              <w:pStyle w:val="TableParagraph"/>
              <w:spacing w:before="147"/>
              <w:ind w:left="269" w:right="255"/>
              <w:jc w:val="center"/>
              <w:rPr>
                <w:sz w:val="21"/>
              </w:rPr>
            </w:pPr>
            <w:r>
              <w:rPr>
                <w:sz w:val="21"/>
              </w:rPr>
              <w:t>成立时间</w:t>
            </w:r>
          </w:p>
        </w:tc>
        <w:tc>
          <w:tcPr>
            <w:tcW w:w="1920" w:type="dxa"/>
            <w:gridSpan w:val="2"/>
          </w:tcPr>
          <w:p>
            <w:pPr>
              <w:pStyle w:val="TableParagraph"/>
              <w:rPr>
                <w:rFonts w:ascii="Times New Roman"/>
                <w:sz w:val="20"/>
              </w:rPr>
            </w:pPr>
          </w:p>
        </w:tc>
        <w:tc>
          <w:tcPr>
            <w:tcW w:w="5418" w:type="dxa"/>
            <w:gridSpan w:val="5"/>
          </w:tcPr>
          <w:p>
            <w:pPr>
              <w:pStyle w:val="TableParagraph"/>
              <w:spacing w:before="147"/>
              <w:ind w:left="2060" w:right="2048"/>
              <w:jc w:val="center"/>
              <w:rPr>
                <w:sz w:val="21"/>
              </w:rPr>
            </w:pPr>
            <w:r>
              <w:rPr>
                <w:sz w:val="21"/>
              </w:rPr>
              <w:t>员工总人数：</w:t>
            </w:r>
          </w:p>
        </w:tc>
      </w:tr>
      <w:tr>
        <w:trPr>
          <w:trHeight w:val="568" w:hRule="atLeast"/>
        </w:trPr>
        <w:tc>
          <w:tcPr>
            <w:tcW w:w="1625" w:type="dxa"/>
          </w:tcPr>
          <w:p>
            <w:pPr>
              <w:pStyle w:val="TableParagraph"/>
              <w:spacing w:before="149"/>
              <w:ind w:left="269" w:right="255"/>
              <w:jc w:val="center"/>
              <w:rPr>
                <w:sz w:val="21"/>
              </w:rPr>
            </w:pPr>
            <w:r>
              <w:rPr>
                <w:sz w:val="21"/>
              </w:rPr>
              <w:t>资质等级</w:t>
            </w:r>
          </w:p>
        </w:tc>
        <w:tc>
          <w:tcPr>
            <w:tcW w:w="1920" w:type="dxa"/>
            <w:gridSpan w:val="2"/>
          </w:tcPr>
          <w:p>
            <w:pPr>
              <w:pStyle w:val="TableParagraph"/>
              <w:rPr>
                <w:rFonts w:ascii="Times New Roman"/>
                <w:sz w:val="20"/>
              </w:rPr>
            </w:pPr>
          </w:p>
        </w:tc>
        <w:tc>
          <w:tcPr>
            <w:tcW w:w="1159"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17"/>
              <w:rPr>
                <w:rFonts w:ascii="Microsoft JhengHei"/>
                <w:b/>
                <w:sz w:val="10"/>
              </w:rPr>
            </w:pPr>
          </w:p>
          <w:p>
            <w:pPr>
              <w:pStyle w:val="TableParagraph"/>
              <w:ind w:left="367"/>
              <w:rPr>
                <w:sz w:val="21"/>
              </w:rPr>
            </w:pPr>
            <w:r>
              <w:rPr>
                <w:sz w:val="21"/>
              </w:rPr>
              <w:t>其中</w:t>
            </w:r>
          </w:p>
        </w:tc>
        <w:tc>
          <w:tcPr>
            <w:tcW w:w="1597" w:type="dxa"/>
            <w:gridSpan w:val="2"/>
          </w:tcPr>
          <w:p>
            <w:pPr>
              <w:pStyle w:val="TableParagraph"/>
              <w:spacing w:before="149"/>
              <w:ind w:left="389"/>
              <w:rPr>
                <w:sz w:val="21"/>
              </w:rPr>
            </w:pPr>
            <w:r>
              <w:rPr>
                <w:sz w:val="21"/>
              </w:rPr>
              <w:t>项目经理</w:t>
            </w:r>
          </w:p>
        </w:tc>
        <w:tc>
          <w:tcPr>
            <w:tcW w:w="2662" w:type="dxa"/>
            <w:gridSpan w:val="2"/>
          </w:tcPr>
          <w:p>
            <w:pPr>
              <w:pStyle w:val="TableParagraph"/>
              <w:rPr>
                <w:rFonts w:ascii="Times New Roman"/>
                <w:sz w:val="20"/>
              </w:rPr>
            </w:pPr>
          </w:p>
        </w:tc>
      </w:tr>
      <w:tr>
        <w:trPr>
          <w:trHeight w:val="565" w:hRule="atLeast"/>
        </w:trPr>
        <w:tc>
          <w:tcPr>
            <w:tcW w:w="1625" w:type="dxa"/>
          </w:tcPr>
          <w:p>
            <w:pPr>
              <w:pStyle w:val="TableParagraph"/>
              <w:spacing w:line="270" w:lineRule="atLeast" w:before="12"/>
              <w:ind w:left="602" w:right="168" w:hanging="420"/>
              <w:rPr>
                <w:sz w:val="21"/>
              </w:rPr>
            </w:pPr>
            <w:r>
              <w:rPr>
                <w:sz w:val="21"/>
              </w:rPr>
              <w:t>安全生产许可证号</w:t>
            </w:r>
          </w:p>
        </w:tc>
        <w:tc>
          <w:tcPr>
            <w:tcW w:w="1920" w:type="dxa"/>
            <w:gridSpan w:val="2"/>
          </w:tcPr>
          <w:p>
            <w:pPr>
              <w:pStyle w:val="TableParagraph"/>
              <w:rPr>
                <w:rFonts w:ascii="Times New Roman"/>
                <w:sz w:val="20"/>
              </w:rPr>
            </w:pPr>
          </w:p>
        </w:tc>
        <w:tc>
          <w:tcPr>
            <w:tcW w:w="1159" w:type="dxa"/>
            <w:vMerge/>
            <w:tcBorders>
              <w:top w:val="nil"/>
            </w:tcBorders>
          </w:tcPr>
          <w:p>
            <w:pPr>
              <w:rPr>
                <w:sz w:val="2"/>
                <w:szCs w:val="2"/>
              </w:rPr>
            </w:pPr>
          </w:p>
        </w:tc>
        <w:tc>
          <w:tcPr>
            <w:tcW w:w="1597" w:type="dxa"/>
            <w:gridSpan w:val="2"/>
          </w:tcPr>
          <w:p>
            <w:pPr>
              <w:pStyle w:val="TableParagraph"/>
              <w:spacing w:before="147"/>
              <w:ind w:left="180"/>
              <w:rPr>
                <w:sz w:val="21"/>
              </w:rPr>
            </w:pPr>
            <w:r>
              <w:rPr>
                <w:sz w:val="21"/>
              </w:rPr>
              <w:t>高级职称人员</w:t>
            </w:r>
          </w:p>
        </w:tc>
        <w:tc>
          <w:tcPr>
            <w:tcW w:w="2662" w:type="dxa"/>
            <w:gridSpan w:val="2"/>
          </w:tcPr>
          <w:p>
            <w:pPr>
              <w:pStyle w:val="TableParagraph"/>
              <w:rPr>
                <w:rFonts w:ascii="Times New Roman"/>
                <w:sz w:val="20"/>
              </w:rPr>
            </w:pPr>
          </w:p>
        </w:tc>
      </w:tr>
      <w:tr>
        <w:trPr>
          <w:trHeight w:val="568" w:hRule="atLeast"/>
        </w:trPr>
        <w:tc>
          <w:tcPr>
            <w:tcW w:w="1625" w:type="dxa"/>
          </w:tcPr>
          <w:p>
            <w:pPr>
              <w:pStyle w:val="TableParagraph"/>
              <w:spacing w:before="149"/>
              <w:ind w:left="269" w:right="255"/>
              <w:jc w:val="center"/>
              <w:rPr>
                <w:sz w:val="21"/>
              </w:rPr>
            </w:pPr>
            <w:r>
              <w:rPr>
                <w:sz w:val="21"/>
              </w:rPr>
              <w:t>注册资金</w:t>
            </w:r>
          </w:p>
        </w:tc>
        <w:tc>
          <w:tcPr>
            <w:tcW w:w="1920" w:type="dxa"/>
            <w:gridSpan w:val="2"/>
          </w:tcPr>
          <w:p>
            <w:pPr>
              <w:pStyle w:val="TableParagraph"/>
              <w:rPr>
                <w:rFonts w:ascii="Times New Roman"/>
                <w:sz w:val="20"/>
              </w:rPr>
            </w:pPr>
          </w:p>
        </w:tc>
        <w:tc>
          <w:tcPr>
            <w:tcW w:w="1159" w:type="dxa"/>
            <w:vMerge/>
            <w:tcBorders>
              <w:top w:val="nil"/>
            </w:tcBorders>
          </w:tcPr>
          <w:p>
            <w:pPr>
              <w:rPr>
                <w:sz w:val="2"/>
                <w:szCs w:val="2"/>
              </w:rPr>
            </w:pPr>
          </w:p>
        </w:tc>
        <w:tc>
          <w:tcPr>
            <w:tcW w:w="1597" w:type="dxa"/>
            <w:gridSpan w:val="2"/>
          </w:tcPr>
          <w:p>
            <w:pPr>
              <w:pStyle w:val="TableParagraph"/>
              <w:spacing w:before="149"/>
              <w:ind w:left="180"/>
              <w:rPr>
                <w:sz w:val="21"/>
              </w:rPr>
            </w:pPr>
            <w:r>
              <w:rPr>
                <w:sz w:val="21"/>
              </w:rPr>
              <w:t>中级职称人员</w:t>
            </w:r>
          </w:p>
        </w:tc>
        <w:tc>
          <w:tcPr>
            <w:tcW w:w="2662" w:type="dxa"/>
            <w:gridSpan w:val="2"/>
          </w:tcPr>
          <w:p>
            <w:pPr>
              <w:pStyle w:val="TableParagraph"/>
              <w:rPr>
                <w:rFonts w:ascii="Times New Roman"/>
                <w:sz w:val="20"/>
              </w:rPr>
            </w:pPr>
          </w:p>
        </w:tc>
      </w:tr>
      <w:tr>
        <w:trPr>
          <w:trHeight w:val="566" w:hRule="atLeast"/>
        </w:trPr>
        <w:tc>
          <w:tcPr>
            <w:tcW w:w="1625" w:type="dxa"/>
          </w:tcPr>
          <w:p>
            <w:pPr>
              <w:pStyle w:val="TableParagraph"/>
              <w:spacing w:before="147"/>
              <w:ind w:left="269" w:right="255"/>
              <w:jc w:val="center"/>
              <w:rPr>
                <w:sz w:val="21"/>
              </w:rPr>
            </w:pPr>
            <w:r>
              <w:rPr>
                <w:sz w:val="21"/>
              </w:rPr>
              <w:t>开户银行</w:t>
            </w:r>
          </w:p>
        </w:tc>
        <w:tc>
          <w:tcPr>
            <w:tcW w:w="1920" w:type="dxa"/>
            <w:gridSpan w:val="2"/>
          </w:tcPr>
          <w:p>
            <w:pPr>
              <w:pStyle w:val="TableParagraph"/>
              <w:rPr>
                <w:rFonts w:ascii="Times New Roman"/>
                <w:sz w:val="20"/>
              </w:rPr>
            </w:pPr>
          </w:p>
        </w:tc>
        <w:tc>
          <w:tcPr>
            <w:tcW w:w="1159" w:type="dxa"/>
            <w:vMerge/>
            <w:tcBorders>
              <w:top w:val="nil"/>
            </w:tcBorders>
          </w:tcPr>
          <w:p>
            <w:pPr>
              <w:rPr>
                <w:sz w:val="2"/>
                <w:szCs w:val="2"/>
              </w:rPr>
            </w:pPr>
          </w:p>
        </w:tc>
        <w:tc>
          <w:tcPr>
            <w:tcW w:w="1597" w:type="dxa"/>
            <w:gridSpan w:val="2"/>
          </w:tcPr>
          <w:p>
            <w:pPr>
              <w:pStyle w:val="TableParagraph"/>
              <w:spacing w:before="147"/>
              <w:ind w:left="180"/>
              <w:rPr>
                <w:sz w:val="21"/>
              </w:rPr>
            </w:pPr>
            <w:r>
              <w:rPr>
                <w:sz w:val="21"/>
              </w:rPr>
              <w:t>初级职称人员</w:t>
            </w:r>
          </w:p>
        </w:tc>
        <w:tc>
          <w:tcPr>
            <w:tcW w:w="2662" w:type="dxa"/>
            <w:gridSpan w:val="2"/>
          </w:tcPr>
          <w:p>
            <w:pPr>
              <w:pStyle w:val="TableParagraph"/>
              <w:rPr>
                <w:rFonts w:ascii="Times New Roman"/>
                <w:sz w:val="20"/>
              </w:rPr>
            </w:pPr>
          </w:p>
        </w:tc>
      </w:tr>
      <w:tr>
        <w:trPr>
          <w:trHeight w:val="566" w:hRule="atLeast"/>
        </w:trPr>
        <w:tc>
          <w:tcPr>
            <w:tcW w:w="1625" w:type="dxa"/>
          </w:tcPr>
          <w:p>
            <w:pPr>
              <w:pStyle w:val="TableParagraph"/>
              <w:spacing w:before="150"/>
              <w:ind w:left="266" w:right="255"/>
              <w:jc w:val="center"/>
              <w:rPr>
                <w:sz w:val="21"/>
              </w:rPr>
            </w:pPr>
            <w:r>
              <w:rPr>
                <w:sz w:val="21"/>
              </w:rPr>
              <w:t>账号</w:t>
            </w:r>
          </w:p>
        </w:tc>
        <w:tc>
          <w:tcPr>
            <w:tcW w:w="1920" w:type="dxa"/>
            <w:gridSpan w:val="2"/>
          </w:tcPr>
          <w:p>
            <w:pPr>
              <w:pStyle w:val="TableParagraph"/>
              <w:rPr>
                <w:rFonts w:ascii="Times New Roman"/>
                <w:sz w:val="20"/>
              </w:rPr>
            </w:pPr>
          </w:p>
        </w:tc>
        <w:tc>
          <w:tcPr>
            <w:tcW w:w="1159" w:type="dxa"/>
            <w:vMerge/>
            <w:tcBorders>
              <w:top w:val="nil"/>
            </w:tcBorders>
          </w:tcPr>
          <w:p>
            <w:pPr>
              <w:rPr>
                <w:sz w:val="2"/>
                <w:szCs w:val="2"/>
              </w:rPr>
            </w:pPr>
          </w:p>
        </w:tc>
        <w:tc>
          <w:tcPr>
            <w:tcW w:w="1597" w:type="dxa"/>
            <w:gridSpan w:val="2"/>
          </w:tcPr>
          <w:p>
            <w:pPr>
              <w:pStyle w:val="TableParagraph"/>
              <w:tabs>
                <w:tab w:pos="917" w:val="left" w:leader="none"/>
              </w:tabs>
              <w:spacing w:before="150"/>
              <w:ind w:left="495"/>
              <w:rPr>
                <w:sz w:val="21"/>
              </w:rPr>
            </w:pPr>
            <w:r>
              <w:rPr>
                <w:sz w:val="21"/>
              </w:rPr>
              <w:t>技</w:t>
              <w:tab/>
              <w:t>工</w:t>
            </w:r>
          </w:p>
        </w:tc>
        <w:tc>
          <w:tcPr>
            <w:tcW w:w="2662" w:type="dxa"/>
            <w:gridSpan w:val="2"/>
          </w:tcPr>
          <w:p>
            <w:pPr>
              <w:pStyle w:val="TableParagraph"/>
              <w:rPr>
                <w:rFonts w:ascii="Times New Roman"/>
                <w:sz w:val="20"/>
              </w:rPr>
            </w:pPr>
          </w:p>
        </w:tc>
      </w:tr>
      <w:tr>
        <w:trPr>
          <w:trHeight w:val="1837" w:hRule="atLeast"/>
        </w:trPr>
        <w:tc>
          <w:tcPr>
            <w:tcW w:w="1625" w:type="dxa"/>
          </w:tcPr>
          <w:p>
            <w:pPr>
              <w:pStyle w:val="TableParagraph"/>
              <w:rPr>
                <w:rFonts w:ascii="Microsoft JhengHei"/>
                <w:b/>
                <w:sz w:val="20"/>
              </w:rPr>
            </w:pPr>
          </w:p>
          <w:p>
            <w:pPr>
              <w:pStyle w:val="TableParagraph"/>
              <w:spacing w:before="13"/>
              <w:rPr>
                <w:rFonts w:ascii="Microsoft JhengHei"/>
                <w:b/>
                <w:sz w:val="22"/>
              </w:rPr>
            </w:pPr>
          </w:p>
          <w:p>
            <w:pPr>
              <w:pStyle w:val="TableParagraph"/>
              <w:ind w:left="269" w:right="255"/>
              <w:jc w:val="center"/>
              <w:rPr>
                <w:sz w:val="21"/>
              </w:rPr>
            </w:pPr>
            <w:r>
              <w:rPr>
                <w:sz w:val="21"/>
              </w:rPr>
              <w:t>经营范围</w:t>
            </w:r>
          </w:p>
        </w:tc>
        <w:tc>
          <w:tcPr>
            <w:tcW w:w="7338" w:type="dxa"/>
            <w:gridSpan w:val="7"/>
          </w:tcPr>
          <w:p>
            <w:pPr>
              <w:pStyle w:val="TableParagraph"/>
              <w:rPr>
                <w:rFonts w:ascii="Times New Roman"/>
                <w:sz w:val="20"/>
              </w:rPr>
            </w:pPr>
          </w:p>
        </w:tc>
      </w:tr>
      <w:tr>
        <w:trPr>
          <w:trHeight w:val="569" w:hRule="atLeast"/>
        </w:trPr>
        <w:tc>
          <w:tcPr>
            <w:tcW w:w="1625" w:type="dxa"/>
          </w:tcPr>
          <w:p>
            <w:pPr>
              <w:pStyle w:val="TableParagraph"/>
              <w:spacing w:before="150"/>
              <w:ind w:left="266" w:right="255"/>
              <w:jc w:val="center"/>
              <w:rPr>
                <w:sz w:val="21"/>
              </w:rPr>
            </w:pPr>
            <w:r>
              <w:rPr>
                <w:sz w:val="21"/>
              </w:rPr>
              <w:t>备注</w:t>
            </w:r>
          </w:p>
        </w:tc>
        <w:tc>
          <w:tcPr>
            <w:tcW w:w="7338" w:type="dxa"/>
            <w:gridSpan w:val="7"/>
          </w:tcPr>
          <w:p>
            <w:pPr>
              <w:pStyle w:val="TableParagraph"/>
              <w:rPr>
                <w:rFonts w:ascii="Times New Roman"/>
                <w:sz w:val="20"/>
              </w:rPr>
            </w:pPr>
          </w:p>
        </w:tc>
      </w:tr>
    </w:tbl>
    <w:p>
      <w:pPr>
        <w:pStyle w:val="BodyText"/>
        <w:spacing w:before="11"/>
        <w:ind w:left="0"/>
        <w:rPr>
          <w:rFonts w:ascii="Microsoft JhengHei"/>
          <w:b/>
          <w:sz w:val="31"/>
        </w:rPr>
      </w:pPr>
    </w:p>
    <w:p>
      <w:pPr>
        <w:pStyle w:val="BodyText"/>
        <w:spacing w:line="391" w:lineRule="auto" w:before="1"/>
        <w:ind w:right="1156"/>
      </w:pPr>
      <w:r>
        <w:rPr/>
        <w:t>【备注：附已录入广西建筑业企业诚信信息库的有效的企业营业执照、企业资质证书副本和安全生产许可证副本等的扫描件。以上扫描件均为原件的扫描件】</w:t>
      </w:r>
    </w:p>
    <w:p>
      <w:pPr>
        <w:spacing w:after="0" w:line="391" w:lineRule="auto"/>
        <w:sectPr>
          <w:pgSz w:w="11910" w:h="16850"/>
          <w:pgMar w:header="0" w:footer="779" w:top="1380" w:bottom="1040" w:left="1120" w:right="280"/>
        </w:sectPr>
      </w:pPr>
    </w:p>
    <w:p>
      <w:pPr>
        <w:spacing w:line="480" w:lineRule="exact" w:before="0"/>
        <w:ind w:left="297" w:right="773" w:firstLine="0"/>
        <w:jc w:val="center"/>
        <w:rPr>
          <w:rFonts w:ascii="Microsoft JhengHei" w:eastAsia="Microsoft JhengHei" w:hint="eastAsia"/>
          <w:b/>
          <w:sz w:val="28"/>
        </w:rPr>
      </w:pPr>
      <w:bookmarkStart w:name="2、联合体协议书（联合体投标人适用）" w:id="493"/>
      <w:bookmarkEnd w:id="493"/>
      <w:r>
        <w:rPr/>
      </w:r>
      <w:bookmarkStart w:name="_bookmark110" w:id="494"/>
      <w:bookmarkEnd w:id="494"/>
      <w:r>
        <w:rPr/>
      </w:r>
      <w:r>
        <w:rPr>
          <w:rFonts w:ascii="Times New Roman" w:eastAsia="Times New Roman"/>
          <w:b/>
          <w:sz w:val="28"/>
        </w:rPr>
        <w:t>2</w:t>
      </w:r>
      <w:r>
        <w:rPr>
          <w:rFonts w:ascii="Microsoft JhengHei" w:eastAsia="Microsoft JhengHei" w:hint="eastAsia"/>
          <w:b/>
          <w:sz w:val="28"/>
        </w:rPr>
        <w:t>、联合体协议书（联合体投标人适用）</w:t>
      </w:r>
    </w:p>
    <w:p>
      <w:pPr>
        <w:pStyle w:val="BodyText"/>
        <w:tabs>
          <w:tab w:pos="7235" w:val="left" w:leader="none"/>
        </w:tabs>
        <w:spacing w:line="350" w:lineRule="auto" w:before="230"/>
        <w:ind w:right="3268"/>
        <w:jc w:val="both"/>
        <w:rPr>
          <w:rFonts w:ascii="Times New Roman" w:eastAsia="Times New Roman"/>
        </w:rPr>
      </w:pPr>
      <w:r>
        <w:rPr>
          <w:spacing w:val="-1"/>
        </w:rPr>
        <w:t>牵</w:t>
      </w:r>
      <w:r>
        <w:rPr/>
        <w:t>头</w:t>
      </w:r>
      <w:r>
        <w:rPr>
          <w:spacing w:val="-3"/>
        </w:rPr>
        <w:t>人</w:t>
      </w:r>
      <w:r>
        <w:rPr/>
        <w:t>名</w:t>
      </w:r>
      <w:r>
        <w:rPr>
          <w:spacing w:val="-3"/>
        </w:rPr>
        <w:t>称</w:t>
      </w:r>
      <w:r>
        <w:rPr/>
        <w:t>：</w:t>
      </w:r>
      <w:r>
        <w:rPr>
          <w:u w:val="single"/>
        </w:rPr>
        <w:tab/>
      </w:r>
      <w:r>
        <w:rPr>
          <w:spacing w:val="-1"/>
          <w:u w:val="single"/>
        </w:rPr>
        <w:t>                                                </w:t>
      </w:r>
      <w:r>
        <w:rPr>
          <w:spacing w:val="48"/>
          <w:u w:val="single"/>
        </w:rPr>
        <w:t> </w:t>
      </w:r>
      <w:r>
        <w:rPr>
          <w:spacing w:val="-1"/>
        </w:rPr>
        <w:t>法</w:t>
      </w:r>
      <w:r>
        <w:rPr/>
        <w:t>定</w:t>
      </w:r>
      <w:r>
        <w:rPr>
          <w:spacing w:val="-3"/>
        </w:rPr>
        <w:t>代</w:t>
      </w:r>
      <w:r>
        <w:rPr/>
        <w:t>表</w:t>
      </w:r>
      <w:r>
        <w:rPr>
          <w:spacing w:val="-3"/>
        </w:rPr>
        <w:t>人</w:t>
      </w:r>
      <w:r>
        <w:rPr/>
        <w:t>：</w:t>
      </w:r>
      <w:r>
        <w:rPr>
          <w:u w:val="single"/>
        </w:rPr>
        <w:tab/>
        <w:t>                                                 </w:t>
      </w:r>
      <w:r>
        <w:rPr/>
        <w:t>法定</w:t>
      </w:r>
      <w:r>
        <w:rPr>
          <w:spacing w:val="-3"/>
        </w:rPr>
        <w:t>住</w:t>
      </w:r>
      <w:r>
        <w:rPr/>
        <w:t>所</w:t>
      </w:r>
      <w:r>
        <w:rPr>
          <w:spacing w:val="-3"/>
        </w:rPr>
        <w:t>：</w:t>
      </w:r>
      <w:r>
        <w:rPr>
          <w:spacing w:val="-3"/>
          <w:u w:val="single"/>
        </w:rPr>
        <w:tab/>
      </w:r>
      <w:r>
        <w:rPr>
          <w:spacing w:val="-1"/>
          <w:u w:val="single"/>
        </w:rPr>
        <w:t>                                                  </w:t>
      </w:r>
      <w:r>
        <w:rPr>
          <w:spacing w:val="50"/>
          <w:u w:val="single"/>
        </w:rPr>
        <w:t> </w:t>
      </w:r>
      <w:r>
        <w:rPr>
          <w:spacing w:val="-1"/>
        </w:rPr>
        <w:t>成</w:t>
      </w:r>
      <w:r>
        <w:rPr/>
        <w:t>员</w:t>
      </w:r>
      <w:r>
        <w:rPr>
          <w:spacing w:val="-3"/>
        </w:rPr>
        <w:t>二</w:t>
      </w:r>
      <w:r>
        <w:rPr/>
        <w:t>名</w:t>
      </w:r>
      <w:r>
        <w:rPr>
          <w:spacing w:val="-3"/>
        </w:rPr>
        <w:t>称</w:t>
      </w:r>
      <w:r>
        <w:rPr/>
        <w:t>：</w:t>
      </w:r>
      <w:r>
        <w:rPr>
          <w:u w:val="single"/>
        </w:rPr>
        <w:tab/>
      </w:r>
      <w:r>
        <w:rPr>
          <w:spacing w:val="-1"/>
          <w:u w:val="single"/>
        </w:rPr>
        <w:t>                                                </w:t>
      </w:r>
      <w:r>
        <w:rPr>
          <w:spacing w:val="48"/>
          <w:u w:val="single"/>
        </w:rPr>
        <w:t> </w:t>
      </w:r>
      <w:r>
        <w:rPr>
          <w:spacing w:val="-1"/>
        </w:rPr>
        <w:t>法</w:t>
      </w:r>
      <w:r>
        <w:rPr/>
        <w:t>定</w:t>
      </w:r>
      <w:r>
        <w:rPr>
          <w:spacing w:val="-3"/>
        </w:rPr>
        <w:t>代</w:t>
      </w:r>
      <w:r>
        <w:rPr/>
        <w:t>表</w:t>
      </w:r>
      <w:r>
        <w:rPr>
          <w:spacing w:val="-3"/>
        </w:rPr>
        <w:t>人</w:t>
      </w:r>
      <w:r>
        <w:rPr/>
        <w:t>：</w:t>
      </w:r>
      <w:r>
        <w:rPr>
          <w:u w:val="single"/>
        </w:rPr>
        <w:tab/>
        <w:t>                                                 </w:t>
      </w:r>
      <w:r>
        <w:rPr/>
        <w:t>法定</w:t>
      </w:r>
      <w:r>
        <w:rPr>
          <w:spacing w:val="-3"/>
        </w:rPr>
        <w:t>住</w:t>
      </w:r>
      <w:r>
        <w:rPr/>
        <w:t>所</w:t>
      </w:r>
      <w:r>
        <w:rPr>
          <w:spacing w:val="-3"/>
        </w:rPr>
        <w:t>：</w:t>
      </w:r>
      <w:r>
        <w:rPr>
          <w:rFonts w:ascii="Times New Roman" w:eastAsia="Times New Roman"/>
          <w:u w:val="single"/>
        </w:rPr>
        <w:t> </w:t>
        <w:tab/>
      </w:r>
    </w:p>
    <w:p>
      <w:pPr>
        <w:pStyle w:val="BodyText"/>
        <w:spacing w:before="21"/>
        <w:rPr>
          <w:rFonts w:ascii="Times New Roman" w:hAnsi="Times New Roman"/>
        </w:rPr>
      </w:pPr>
      <w:r>
        <w:rPr>
          <w:rFonts w:ascii="Times New Roman" w:hAnsi="Times New Roman"/>
        </w:rPr>
        <w:t>……</w:t>
      </w:r>
    </w:p>
    <w:p>
      <w:pPr>
        <w:pStyle w:val="BodyText"/>
        <w:tabs>
          <w:tab w:pos="6215" w:val="left" w:leader="none"/>
          <w:tab w:pos="7987" w:val="left" w:leader="none"/>
        </w:tabs>
        <w:spacing w:line="357" w:lineRule="auto" w:before="142"/>
        <w:ind w:right="1045" w:firstLine="419"/>
      </w:pPr>
      <w:r>
        <w:rPr/>
        <w:t>鉴于</w:t>
      </w:r>
      <w:r>
        <w:rPr>
          <w:spacing w:val="-3"/>
        </w:rPr>
        <w:t>上</w:t>
      </w:r>
      <w:r>
        <w:rPr/>
        <w:t>述</w:t>
      </w:r>
      <w:r>
        <w:rPr>
          <w:spacing w:val="-3"/>
        </w:rPr>
        <w:t>各</w:t>
      </w:r>
      <w:r>
        <w:rPr/>
        <w:t>成</w:t>
      </w:r>
      <w:r>
        <w:rPr>
          <w:spacing w:val="-3"/>
        </w:rPr>
        <w:t>员</w:t>
      </w:r>
      <w:r>
        <w:rPr/>
        <w:t>单</w:t>
      </w:r>
      <w:r>
        <w:rPr>
          <w:spacing w:val="-3"/>
        </w:rPr>
        <w:t>位</w:t>
      </w:r>
      <w:r>
        <w:rPr/>
        <w:t>经</w:t>
      </w:r>
      <w:r>
        <w:rPr>
          <w:spacing w:val="-3"/>
        </w:rPr>
        <w:t>过</w:t>
      </w:r>
      <w:r>
        <w:rPr/>
        <w:t>友好</w:t>
      </w:r>
      <w:r>
        <w:rPr>
          <w:spacing w:val="-3"/>
        </w:rPr>
        <w:t>协商</w:t>
      </w:r>
      <w:r>
        <w:rPr>
          <w:spacing w:val="-22"/>
        </w:rPr>
        <w:t>，</w:t>
      </w:r>
      <w:r>
        <w:rPr>
          <w:spacing w:val="-3"/>
        </w:rPr>
        <w:t>自</w:t>
      </w:r>
      <w:r>
        <w:rPr/>
        <w:t>愿</w:t>
      </w:r>
      <w:r>
        <w:rPr>
          <w:spacing w:val="-3"/>
        </w:rPr>
        <w:t>组</w:t>
      </w:r>
      <w:r>
        <w:rPr/>
        <w:t>成</w:t>
      </w:r>
      <w:r>
        <w:rPr>
          <w:u w:val="single"/>
        </w:rPr>
        <w:t> </w:t>
        <w:tab/>
        <w:tab/>
      </w:r>
      <w:r>
        <w:rPr>
          <w:spacing w:val="-3"/>
        </w:rPr>
        <w:t>（</w:t>
      </w:r>
      <w:r>
        <w:rPr/>
        <w:t>联合</w:t>
      </w:r>
      <w:r>
        <w:rPr>
          <w:spacing w:val="-3"/>
        </w:rPr>
        <w:t>体</w:t>
      </w:r>
      <w:r>
        <w:rPr/>
        <w:t>名</w:t>
      </w:r>
      <w:r>
        <w:rPr>
          <w:spacing w:val="-3"/>
        </w:rPr>
        <w:t>称</w:t>
      </w:r>
      <w:r>
        <w:rPr>
          <w:spacing w:val="-15"/>
        </w:rPr>
        <w:t>） </w:t>
      </w:r>
      <w:r>
        <w:rPr>
          <w:w w:val="100"/>
        </w:rPr>
        <w:t>联合</w:t>
      </w:r>
      <w:r>
        <w:rPr>
          <w:spacing w:val="-3"/>
          <w:w w:val="100"/>
        </w:rPr>
        <w:t>体</w:t>
      </w:r>
      <w:r>
        <w:rPr>
          <w:spacing w:val="-17"/>
          <w:w w:val="100"/>
        </w:rPr>
        <w:t>，</w:t>
      </w:r>
      <w:r>
        <w:rPr>
          <w:w w:val="100"/>
        </w:rPr>
        <w:t>共</w:t>
      </w:r>
      <w:r>
        <w:rPr>
          <w:spacing w:val="-3"/>
          <w:w w:val="100"/>
        </w:rPr>
        <w:t>同</w:t>
      </w:r>
      <w:r>
        <w:rPr>
          <w:w w:val="100"/>
        </w:rPr>
        <w:t>参</w:t>
      </w:r>
      <w:r>
        <w:rPr>
          <w:spacing w:val="-1"/>
          <w:w w:val="100"/>
        </w:rPr>
        <w:t>加</w:t>
      </w:r>
      <w:r>
        <w:rPr>
          <w:rFonts w:ascii="Times New Roman" w:eastAsia="Times New Roman"/>
          <w:w w:val="100"/>
          <w:u w:val="single"/>
        </w:rPr>
        <w:t> </w:t>
      </w:r>
      <w:r>
        <w:rPr>
          <w:rFonts w:ascii="Times New Roman" w:eastAsia="Times New Roman"/>
          <w:u w:val="single"/>
        </w:rPr>
        <w:tab/>
      </w:r>
      <w:r>
        <w:rPr>
          <w:spacing w:val="-3"/>
          <w:w w:val="100"/>
        </w:rPr>
        <w:t>（</w:t>
      </w:r>
      <w:r>
        <w:rPr>
          <w:w w:val="100"/>
        </w:rPr>
        <w:t>招</w:t>
      </w:r>
      <w:r>
        <w:rPr>
          <w:spacing w:val="-3"/>
          <w:w w:val="100"/>
        </w:rPr>
        <w:t>标</w:t>
      </w:r>
      <w:r>
        <w:rPr>
          <w:w w:val="100"/>
        </w:rPr>
        <w:t>人</w:t>
      </w:r>
      <w:r>
        <w:rPr>
          <w:spacing w:val="-3"/>
          <w:w w:val="100"/>
        </w:rPr>
        <w:t>名</w:t>
      </w:r>
      <w:r>
        <w:rPr>
          <w:w w:val="100"/>
        </w:rPr>
        <w:t>称</w:t>
      </w:r>
      <w:r>
        <w:rPr>
          <w:spacing w:val="-123"/>
          <w:w w:val="100"/>
        </w:rPr>
        <w:t>）</w:t>
      </w:r>
      <w:r>
        <w:rPr>
          <w:spacing w:val="-3"/>
          <w:w w:val="100"/>
        </w:rPr>
        <w:t>（</w:t>
      </w:r>
      <w:r>
        <w:rPr>
          <w:w w:val="100"/>
        </w:rPr>
        <w:t>以下</w:t>
      </w:r>
      <w:r>
        <w:rPr>
          <w:spacing w:val="-3"/>
          <w:w w:val="100"/>
        </w:rPr>
        <w:t>简</w:t>
      </w:r>
      <w:r>
        <w:rPr>
          <w:w w:val="100"/>
        </w:rPr>
        <w:t>称</w:t>
      </w:r>
      <w:r>
        <w:rPr>
          <w:spacing w:val="-3"/>
          <w:w w:val="100"/>
        </w:rPr>
        <w:t>招</w:t>
      </w:r>
      <w:r>
        <w:rPr>
          <w:w w:val="100"/>
        </w:rPr>
        <w:t>标</w:t>
      </w:r>
      <w:r>
        <w:rPr>
          <w:spacing w:val="-3"/>
          <w:w w:val="100"/>
        </w:rPr>
        <w:t>人</w:t>
      </w:r>
      <w:r>
        <w:rPr>
          <w:w w:val="100"/>
        </w:rPr>
        <w:t>）</w:t>
      </w:r>
    </w:p>
    <w:p>
      <w:pPr>
        <w:pStyle w:val="BodyText"/>
        <w:tabs>
          <w:tab w:pos="3512" w:val="left" w:leader="none"/>
        </w:tabs>
        <w:spacing w:line="357" w:lineRule="auto"/>
        <w:ind w:right="1155"/>
      </w:pPr>
      <w:r>
        <w:rPr>
          <w:rFonts w:ascii="Times New Roman" w:eastAsia="Times New Roman"/>
          <w:w w:val="100"/>
          <w:u w:val="single"/>
        </w:rPr>
        <w:t> </w:t>
      </w:r>
      <w:r>
        <w:rPr>
          <w:rFonts w:ascii="Times New Roman" w:eastAsia="Times New Roman"/>
          <w:u w:val="single"/>
        </w:rPr>
        <w:tab/>
      </w:r>
      <w:r>
        <w:rPr>
          <w:spacing w:val="2"/>
          <w:w w:val="100"/>
        </w:rPr>
        <w:t>（</w:t>
      </w:r>
      <w:r>
        <w:rPr>
          <w:w w:val="100"/>
        </w:rPr>
        <w:t>项目名称</w:t>
      </w:r>
      <w:r>
        <w:rPr>
          <w:spacing w:val="-106"/>
          <w:w w:val="100"/>
        </w:rPr>
        <w:t>）</w:t>
      </w:r>
      <w:r>
        <w:rPr>
          <w:spacing w:val="2"/>
          <w:w w:val="100"/>
        </w:rPr>
        <w:t>（</w:t>
      </w:r>
      <w:r>
        <w:rPr>
          <w:w w:val="100"/>
        </w:rPr>
        <w:t>以下简称本工程</w:t>
      </w:r>
      <w:r>
        <w:rPr>
          <w:spacing w:val="2"/>
          <w:w w:val="100"/>
        </w:rPr>
        <w:t>）</w:t>
      </w:r>
      <w:r>
        <w:rPr>
          <w:spacing w:val="-2"/>
          <w:w w:val="100"/>
        </w:rPr>
        <w:t>的施工投标并争取赢得本工程</w:t>
      </w:r>
      <w:r>
        <w:rPr>
          <w:spacing w:val="-2"/>
        </w:rPr>
        <w:t>施工承包合同</w:t>
      </w:r>
      <w:r>
        <w:rPr>
          <w:spacing w:val="-3"/>
        </w:rPr>
        <w:t>（以下简称合同</w:t>
      </w:r>
      <w:r>
        <w:rPr>
          <w:spacing w:val="-108"/>
        </w:rPr>
        <w:t>）</w:t>
      </w:r>
      <w:r>
        <w:rPr>
          <w:spacing w:val="-3"/>
        </w:rPr>
        <w:t>。现就联合体投标事宜订立如下协议：</w:t>
      </w:r>
    </w:p>
    <w:p>
      <w:pPr>
        <w:pStyle w:val="ListParagraph"/>
        <w:numPr>
          <w:ilvl w:val="0"/>
          <w:numId w:val="127"/>
        </w:numPr>
        <w:tabs>
          <w:tab w:pos="1416" w:val="left" w:leader="none"/>
          <w:tab w:pos="2254" w:val="left" w:leader="none"/>
          <w:tab w:pos="5824" w:val="left" w:leader="none"/>
        </w:tabs>
        <w:spacing w:line="269" w:lineRule="exact" w:before="0" w:after="0"/>
        <w:ind w:left="1415" w:right="0" w:hanging="318"/>
        <w:jc w:val="left"/>
        <w:rPr>
          <w:sz w:val="21"/>
        </w:rPr>
      </w:pPr>
      <w:r>
        <w:rPr>
          <w:rFonts w:ascii="Times New Roman" w:eastAsia="Times New Roman"/>
          <w:w w:val="100"/>
          <w:sz w:val="21"/>
          <w:u w:val="single"/>
        </w:rPr>
        <w:t> </w:t>
      </w:r>
      <w:r>
        <w:rPr>
          <w:rFonts w:ascii="Times New Roman" w:eastAsia="Times New Roman"/>
          <w:sz w:val="21"/>
          <w:u w:val="single"/>
        </w:rPr>
        <w:tab/>
      </w:r>
      <w:r>
        <w:rPr>
          <w:spacing w:val="-3"/>
          <w:sz w:val="21"/>
        </w:rPr>
        <w:t>（</w:t>
      </w:r>
      <w:r>
        <w:rPr>
          <w:sz w:val="21"/>
        </w:rPr>
        <w:t>某</w:t>
      </w:r>
      <w:r>
        <w:rPr>
          <w:spacing w:val="-3"/>
          <w:sz w:val="21"/>
        </w:rPr>
        <w:t>成</w:t>
      </w:r>
      <w:r>
        <w:rPr>
          <w:sz w:val="21"/>
        </w:rPr>
        <w:t>员</w:t>
      </w:r>
      <w:r>
        <w:rPr>
          <w:spacing w:val="-3"/>
          <w:sz w:val="21"/>
        </w:rPr>
        <w:t>单位</w:t>
      </w:r>
      <w:r>
        <w:rPr>
          <w:sz w:val="21"/>
        </w:rPr>
        <w:t>名称</w:t>
      </w:r>
      <w:r>
        <w:rPr>
          <w:spacing w:val="-3"/>
          <w:sz w:val="21"/>
        </w:rPr>
        <w:t>）</w:t>
      </w:r>
      <w:r>
        <w:rPr>
          <w:sz w:val="21"/>
        </w:rPr>
        <w:t>为</w:t>
      </w:r>
      <w:r>
        <w:rPr>
          <w:sz w:val="21"/>
          <w:u w:val="single"/>
        </w:rPr>
        <w:t> </w:t>
        <w:tab/>
      </w:r>
      <w:r>
        <w:rPr>
          <w:sz w:val="21"/>
        </w:rPr>
        <w:t>（联</w:t>
      </w:r>
      <w:r>
        <w:rPr>
          <w:spacing w:val="-3"/>
          <w:sz w:val="21"/>
        </w:rPr>
        <w:t>合</w:t>
      </w:r>
      <w:r>
        <w:rPr>
          <w:sz w:val="21"/>
        </w:rPr>
        <w:t>体</w:t>
      </w:r>
      <w:r>
        <w:rPr>
          <w:spacing w:val="-3"/>
          <w:sz w:val="21"/>
        </w:rPr>
        <w:t>名</w:t>
      </w:r>
      <w:r>
        <w:rPr>
          <w:sz w:val="21"/>
        </w:rPr>
        <w:t>称</w:t>
      </w:r>
      <w:r>
        <w:rPr>
          <w:spacing w:val="-3"/>
          <w:sz w:val="21"/>
        </w:rPr>
        <w:t>）</w:t>
      </w:r>
      <w:r>
        <w:rPr>
          <w:sz w:val="21"/>
        </w:rPr>
        <w:t>牵</w:t>
      </w:r>
      <w:r>
        <w:rPr>
          <w:spacing w:val="-3"/>
          <w:sz w:val="21"/>
        </w:rPr>
        <w:t>头</w:t>
      </w:r>
      <w:r>
        <w:rPr>
          <w:sz w:val="21"/>
        </w:rPr>
        <w:t>人。</w:t>
      </w:r>
    </w:p>
    <w:p>
      <w:pPr>
        <w:pStyle w:val="ListParagraph"/>
        <w:numPr>
          <w:ilvl w:val="0"/>
          <w:numId w:val="127"/>
        </w:numPr>
        <w:tabs>
          <w:tab w:pos="1416" w:val="left" w:leader="none"/>
        </w:tabs>
        <w:spacing w:line="357" w:lineRule="auto" w:before="126" w:after="0"/>
        <w:ind w:left="678" w:right="1043" w:firstLine="419"/>
        <w:jc w:val="left"/>
        <w:rPr>
          <w:sz w:val="21"/>
        </w:rPr>
      </w:pPr>
      <w:r>
        <w:rPr>
          <w:spacing w:val="-10"/>
          <w:sz w:val="21"/>
        </w:rPr>
        <w:t>在本工程投标阶段，联合体牵头人合法代表联合体各成员负责本工程投标文件编制活动，代表联合体提交和接收相关的资料、信息及指示，并处理与投标和中标有关的一切事务；联</w:t>
      </w:r>
      <w:r>
        <w:rPr>
          <w:spacing w:val="-7"/>
          <w:sz w:val="21"/>
        </w:rPr>
        <w:t>合体中标后，联合体牵头人负责合同订立和合同实施阶段的主办、组织和协调工作。</w:t>
      </w:r>
    </w:p>
    <w:p>
      <w:pPr>
        <w:pStyle w:val="ListParagraph"/>
        <w:numPr>
          <w:ilvl w:val="0"/>
          <w:numId w:val="127"/>
        </w:numPr>
        <w:tabs>
          <w:tab w:pos="1416" w:val="left" w:leader="none"/>
        </w:tabs>
        <w:spacing w:line="357" w:lineRule="auto" w:before="0" w:after="0"/>
        <w:ind w:left="678" w:right="1045" w:firstLine="419"/>
        <w:jc w:val="left"/>
        <w:rPr>
          <w:sz w:val="21"/>
        </w:rPr>
      </w:pPr>
      <w:r>
        <w:rPr>
          <w:spacing w:val="-8"/>
          <w:sz w:val="21"/>
        </w:rPr>
        <w:t>联合体将严格按照招标文件的各项要求，递交投标文件，履行投标义务和中标后的合同 ，共同承担合同规定的一切义务和责任，联合体各成员单位按照内部职责的部分，承担各自所</w:t>
      </w:r>
      <w:r>
        <w:rPr>
          <w:spacing w:val="-6"/>
          <w:sz w:val="21"/>
        </w:rPr>
        <w:t>负的责任和风险，并向招标人承担连带责任。</w:t>
      </w:r>
    </w:p>
    <w:p>
      <w:pPr>
        <w:pStyle w:val="ListParagraph"/>
        <w:numPr>
          <w:ilvl w:val="0"/>
          <w:numId w:val="127"/>
        </w:numPr>
        <w:tabs>
          <w:tab w:pos="1416" w:val="left" w:leader="none"/>
          <w:tab w:pos="8767" w:val="left" w:leader="none"/>
          <w:tab w:pos="8945" w:val="left" w:leader="none"/>
        </w:tabs>
        <w:spacing w:line="357" w:lineRule="auto" w:before="0" w:after="0"/>
        <w:ind w:left="678" w:right="1170" w:firstLine="419"/>
        <w:jc w:val="left"/>
        <w:rPr>
          <w:sz w:val="21"/>
        </w:rPr>
      </w:pPr>
      <w:r>
        <w:rPr>
          <w:spacing w:val="-3"/>
          <w:sz w:val="21"/>
        </w:rPr>
        <w:t>联</w:t>
      </w:r>
      <w:r>
        <w:rPr>
          <w:sz w:val="21"/>
        </w:rPr>
        <w:t>合</w:t>
      </w:r>
      <w:r>
        <w:rPr>
          <w:spacing w:val="-3"/>
          <w:sz w:val="21"/>
        </w:rPr>
        <w:t>体</w:t>
      </w:r>
      <w:r>
        <w:rPr>
          <w:sz w:val="21"/>
        </w:rPr>
        <w:t>各</w:t>
      </w:r>
      <w:r>
        <w:rPr>
          <w:spacing w:val="-3"/>
          <w:sz w:val="21"/>
        </w:rPr>
        <w:t>成</w:t>
      </w:r>
      <w:r>
        <w:rPr>
          <w:sz w:val="21"/>
        </w:rPr>
        <w:t>员</w:t>
      </w:r>
      <w:r>
        <w:rPr>
          <w:spacing w:val="-3"/>
          <w:sz w:val="21"/>
        </w:rPr>
        <w:t>单</w:t>
      </w:r>
      <w:r>
        <w:rPr>
          <w:sz w:val="21"/>
        </w:rPr>
        <w:t>位</w:t>
      </w:r>
      <w:r>
        <w:rPr>
          <w:spacing w:val="-3"/>
          <w:sz w:val="21"/>
        </w:rPr>
        <w:t>内部</w:t>
      </w:r>
      <w:r>
        <w:rPr>
          <w:sz w:val="21"/>
        </w:rPr>
        <w:t>的职</w:t>
      </w:r>
      <w:r>
        <w:rPr>
          <w:spacing w:val="-3"/>
          <w:sz w:val="21"/>
        </w:rPr>
        <w:t>责</w:t>
      </w:r>
      <w:r>
        <w:rPr>
          <w:sz w:val="21"/>
        </w:rPr>
        <w:t>分</w:t>
      </w:r>
      <w:r>
        <w:rPr>
          <w:spacing w:val="-3"/>
          <w:sz w:val="21"/>
        </w:rPr>
        <w:t>工</w:t>
      </w:r>
      <w:r>
        <w:rPr>
          <w:sz w:val="21"/>
        </w:rPr>
        <w:t>如</w:t>
      </w:r>
      <w:r>
        <w:rPr>
          <w:spacing w:val="-3"/>
          <w:sz w:val="21"/>
        </w:rPr>
        <w:t>下</w:t>
      </w:r>
      <w:r>
        <w:rPr>
          <w:spacing w:val="-15"/>
          <w:sz w:val="21"/>
        </w:rPr>
        <w:t>：</w:t>
      </w:r>
      <w:r>
        <w:rPr>
          <w:spacing w:val="-15"/>
          <w:sz w:val="21"/>
          <w:u w:val="single"/>
        </w:rPr>
        <w:t> </w:t>
        <w:tab/>
        <w:tab/>
      </w:r>
      <w:r>
        <w:rPr>
          <w:spacing w:val="-17"/>
          <w:sz w:val="21"/>
        </w:rPr>
        <w:t>。</w:t>
      </w:r>
      <w:r>
        <w:rPr>
          <w:spacing w:val="-34"/>
          <w:sz w:val="21"/>
        </w:rPr>
        <w:t>按</w:t>
      </w:r>
      <w:r>
        <w:rPr>
          <w:sz w:val="21"/>
        </w:rPr>
        <w:t>照本</w:t>
      </w:r>
      <w:r>
        <w:rPr>
          <w:spacing w:val="-3"/>
          <w:sz w:val="21"/>
        </w:rPr>
        <w:t>条</w:t>
      </w:r>
      <w:r>
        <w:rPr>
          <w:sz w:val="21"/>
        </w:rPr>
        <w:t>上</w:t>
      </w:r>
      <w:r>
        <w:rPr>
          <w:spacing w:val="-3"/>
          <w:sz w:val="21"/>
        </w:rPr>
        <w:t>述</w:t>
      </w:r>
      <w:r>
        <w:rPr>
          <w:sz w:val="21"/>
        </w:rPr>
        <w:t>分</w:t>
      </w:r>
      <w:r>
        <w:rPr>
          <w:spacing w:val="-3"/>
          <w:sz w:val="21"/>
        </w:rPr>
        <w:t>工</w:t>
      </w:r>
      <w:r>
        <w:rPr>
          <w:sz w:val="21"/>
        </w:rPr>
        <w:t>，</w:t>
      </w:r>
      <w:r>
        <w:rPr>
          <w:spacing w:val="-3"/>
          <w:sz w:val="21"/>
        </w:rPr>
        <w:t>联</w:t>
      </w:r>
      <w:r>
        <w:rPr>
          <w:sz w:val="21"/>
        </w:rPr>
        <w:t>合</w:t>
      </w:r>
      <w:r>
        <w:rPr>
          <w:spacing w:val="-3"/>
          <w:sz w:val="21"/>
        </w:rPr>
        <w:t>体</w:t>
      </w:r>
      <w:r>
        <w:rPr>
          <w:sz w:val="21"/>
        </w:rPr>
        <w:t>成员</w:t>
      </w:r>
      <w:r>
        <w:rPr>
          <w:spacing w:val="-3"/>
          <w:sz w:val="21"/>
        </w:rPr>
        <w:t>单</w:t>
      </w:r>
      <w:r>
        <w:rPr>
          <w:sz w:val="21"/>
        </w:rPr>
        <w:t>位</w:t>
      </w:r>
      <w:r>
        <w:rPr>
          <w:spacing w:val="-3"/>
          <w:sz w:val="21"/>
        </w:rPr>
        <w:t>各</w:t>
      </w:r>
      <w:r>
        <w:rPr>
          <w:sz w:val="21"/>
        </w:rPr>
        <w:t>自</w:t>
      </w:r>
      <w:r>
        <w:rPr>
          <w:spacing w:val="-3"/>
          <w:sz w:val="21"/>
        </w:rPr>
        <w:t>所</w:t>
      </w:r>
      <w:r>
        <w:rPr>
          <w:sz w:val="21"/>
        </w:rPr>
        <w:t>承</w:t>
      </w:r>
      <w:r>
        <w:rPr>
          <w:spacing w:val="-3"/>
          <w:sz w:val="21"/>
        </w:rPr>
        <w:t>担</w:t>
      </w:r>
      <w:r>
        <w:rPr>
          <w:sz w:val="21"/>
        </w:rPr>
        <w:t>的</w:t>
      </w:r>
      <w:r>
        <w:rPr>
          <w:spacing w:val="-3"/>
          <w:sz w:val="21"/>
        </w:rPr>
        <w:t>合</w:t>
      </w:r>
      <w:r>
        <w:rPr>
          <w:sz w:val="21"/>
        </w:rPr>
        <w:t>同工</w:t>
      </w:r>
      <w:r>
        <w:rPr>
          <w:spacing w:val="-3"/>
          <w:sz w:val="21"/>
        </w:rPr>
        <w:t>作</w:t>
      </w:r>
      <w:r>
        <w:rPr>
          <w:sz w:val="21"/>
        </w:rPr>
        <w:t>量</w:t>
      </w:r>
      <w:r>
        <w:rPr>
          <w:spacing w:val="-3"/>
          <w:sz w:val="21"/>
        </w:rPr>
        <w:t>比</w:t>
      </w:r>
      <w:r>
        <w:rPr>
          <w:sz w:val="21"/>
        </w:rPr>
        <w:t>例</w:t>
      </w:r>
      <w:r>
        <w:rPr>
          <w:spacing w:val="-3"/>
          <w:sz w:val="21"/>
        </w:rPr>
        <w:t>如</w:t>
      </w:r>
      <w:r>
        <w:rPr>
          <w:sz w:val="21"/>
        </w:rPr>
        <w:t>下</w:t>
      </w:r>
      <w:r>
        <w:rPr>
          <w:spacing w:val="-3"/>
          <w:sz w:val="21"/>
        </w:rPr>
        <w:t>：</w:t>
      </w:r>
      <w:r>
        <w:rPr>
          <w:spacing w:val="-3"/>
          <w:sz w:val="21"/>
          <w:u w:val="single"/>
        </w:rPr>
        <w:t> </w:t>
        <w:tab/>
      </w:r>
      <w:r>
        <w:rPr>
          <w:sz w:val="21"/>
        </w:rPr>
        <w:t>。</w:t>
      </w:r>
    </w:p>
    <w:p>
      <w:pPr>
        <w:pStyle w:val="ListParagraph"/>
        <w:numPr>
          <w:ilvl w:val="0"/>
          <w:numId w:val="127"/>
        </w:numPr>
        <w:tabs>
          <w:tab w:pos="1416" w:val="left" w:leader="none"/>
        </w:tabs>
        <w:spacing w:line="269" w:lineRule="exact" w:before="0" w:after="0"/>
        <w:ind w:left="1415" w:right="0" w:hanging="318"/>
        <w:jc w:val="left"/>
        <w:rPr>
          <w:sz w:val="21"/>
        </w:rPr>
      </w:pPr>
      <w:r>
        <w:rPr>
          <w:spacing w:val="-3"/>
          <w:sz w:val="21"/>
        </w:rPr>
        <w:t>投标工作和联合体在中标后工程实施过程中的有关费用按各自承担的工作量分摊。</w:t>
      </w:r>
    </w:p>
    <w:p>
      <w:pPr>
        <w:pStyle w:val="ListParagraph"/>
        <w:numPr>
          <w:ilvl w:val="0"/>
          <w:numId w:val="127"/>
        </w:numPr>
        <w:tabs>
          <w:tab w:pos="1416" w:val="left" w:leader="none"/>
        </w:tabs>
        <w:spacing w:line="240" w:lineRule="auto" w:before="125" w:after="0"/>
        <w:ind w:left="1415" w:right="0" w:hanging="318"/>
        <w:jc w:val="left"/>
        <w:rPr>
          <w:sz w:val="21"/>
        </w:rPr>
      </w:pPr>
      <w:r>
        <w:rPr>
          <w:spacing w:val="-3"/>
          <w:sz w:val="21"/>
        </w:rPr>
        <w:t>联合体中标后，本联合体协议是合同的附件，对联合体各成员单位有合同约束力。</w:t>
      </w:r>
    </w:p>
    <w:p>
      <w:pPr>
        <w:pStyle w:val="ListParagraph"/>
        <w:numPr>
          <w:ilvl w:val="0"/>
          <w:numId w:val="127"/>
        </w:numPr>
        <w:tabs>
          <w:tab w:pos="1416" w:val="left" w:leader="none"/>
        </w:tabs>
        <w:spacing w:line="240" w:lineRule="auto" w:before="131" w:after="0"/>
        <w:ind w:left="1415" w:right="0" w:hanging="318"/>
        <w:jc w:val="left"/>
        <w:rPr>
          <w:sz w:val="21"/>
        </w:rPr>
      </w:pPr>
      <w:r>
        <w:rPr>
          <w:spacing w:val="-3"/>
          <w:sz w:val="21"/>
        </w:rPr>
        <w:t>本协议书自签署之日起生效，联合体未中标或者中标时合同履行完毕后自动失效。</w:t>
      </w:r>
    </w:p>
    <w:p>
      <w:pPr>
        <w:pStyle w:val="ListParagraph"/>
        <w:numPr>
          <w:ilvl w:val="0"/>
          <w:numId w:val="127"/>
        </w:numPr>
        <w:tabs>
          <w:tab w:pos="1416" w:val="left" w:leader="none"/>
          <w:tab w:pos="3935" w:val="left" w:leader="none"/>
        </w:tabs>
        <w:spacing w:line="240" w:lineRule="auto" w:before="132" w:after="0"/>
        <w:ind w:left="1415" w:right="0" w:hanging="318"/>
        <w:jc w:val="left"/>
        <w:rPr>
          <w:sz w:val="21"/>
        </w:rPr>
      </w:pPr>
      <w:r>
        <w:rPr>
          <w:spacing w:val="-3"/>
          <w:sz w:val="21"/>
        </w:rPr>
        <w:t>本</w:t>
      </w:r>
      <w:r>
        <w:rPr>
          <w:sz w:val="21"/>
        </w:rPr>
        <w:t>协</w:t>
      </w:r>
      <w:r>
        <w:rPr>
          <w:spacing w:val="-3"/>
          <w:sz w:val="21"/>
        </w:rPr>
        <w:t>议</w:t>
      </w:r>
      <w:r>
        <w:rPr>
          <w:sz w:val="21"/>
        </w:rPr>
        <w:t>书</w:t>
      </w:r>
      <w:r>
        <w:rPr>
          <w:spacing w:val="-3"/>
          <w:sz w:val="21"/>
        </w:rPr>
        <w:t>一</w:t>
      </w:r>
      <w:r>
        <w:rPr>
          <w:sz w:val="21"/>
        </w:rPr>
        <w:t>式</w:t>
      </w:r>
      <w:r>
        <w:rPr>
          <w:sz w:val="21"/>
          <w:u w:val="single"/>
        </w:rPr>
        <w:t> </w:t>
        <w:tab/>
      </w:r>
      <w:r>
        <w:rPr>
          <w:spacing w:val="-3"/>
          <w:sz w:val="21"/>
        </w:rPr>
        <w:t>份</w:t>
      </w:r>
      <w:r>
        <w:rPr>
          <w:sz w:val="21"/>
        </w:rPr>
        <w:t>，</w:t>
      </w:r>
      <w:r>
        <w:rPr>
          <w:spacing w:val="-3"/>
          <w:sz w:val="21"/>
        </w:rPr>
        <w:t>联</w:t>
      </w:r>
      <w:r>
        <w:rPr>
          <w:sz w:val="21"/>
        </w:rPr>
        <w:t>合</w:t>
      </w:r>
      <w:r>
        <w:rPr>
          <w:spacing w:val="-3"/>
          <w:sz w:val="21"/>
        </w:rPr>
        <w:t>体</w:t>
      </w:r>
      <w:r>
        <w:rPr>
          <w:sz w:val="21"/>
        </w:rPr>
        <w:t>成</w:t>
      </w:r>
      <w:r>
        <w:rPr>
          <w:spacing w:val="-3"/>
          <w:sz w:val="21"/>
        </w:rPr>
        <w:t>员</w:t>
      </w:r>
      <w:r>
        <w:rPr>
          <w:sz w:val="21"/>
        </w:rPr>
        <w:t>和</w:t>
      </w:r>
      <w:r>
        <w:rPr>
          <w:spacing w:val="-3"/>
          <w:sz w:val="21"/>
        </w:rPr>
        <w:t>招</w:t>
      </w:r>
      <w:r>
        <w:rPr>
          <w:sz w:val="21"/>
        </w:rPr>
        <w:t>标人</w:t>
      </w:r>
      <w:r>
        <w:rPr>
          <w:spacing w:val="-3"/>
          <w:sz w:val="21"/>
        </w:rPr>
        <w:t>各</w:t>
      </w:r>
      <w:r>
        <w:rPr>
          <w:sz w:val="21"/>
        </w:rPr>
        <w:t>执</w:t>
      </w:r>
      <w:r>
        <w:rPr>
          <w:spacing w:val="-3"/>
          <w:sz w:val="21"/>
        </w:rPr>
        <w:t>一</w:t>
      </w:r>
      <w:r>
        <w:rPr>
          <w:sz w:val="21"/>
        </w:rPr>
        <w:t>份。</w:t>
      </w:r>
    </w:p>
    <w:p>
      <w:pPr>
        <w:pStyle w:val="BodyText"/>
        <w:ind w:left="0"/>
        <w:rPr>
          <w:sz w:val="20"/>
        </w:rPr>
      </w:pPr>
    </w:p>
    <w:p>
      <w:pPr>
        <w:pStyle w:val="BodyText"/>
        <w:spacing w:before="10"/>
        <w:ind w:left="0"/>
        <w:rPr>
          <w:sz w:val="14"/>
        </w:rPr>
      </w:pPr>
    </w:p>
    <w:p>
      <w:pPr>
        <w:pStyle w:val="BodyText"/>
        <w:tabs>
          <w:tab w:pos="7504" w:val="left" w:leader="none"/>
        </w:tabs>
        <w:spacing w:line="350" w:lineRule="auto" w:before="78"/>
        <w:ind w:left="2463" w:right="1525"/>
      </w:pPr>
      <w:r>
        <w:rPr/>
        <w:t>牵头</w:t>
      </w:r>
      <w:r>
        <w:rPr>
          <w:spacing w:val="-3"/>
        </w:rPr>
        <w:t>人</w:t>
      </w:r>
      <w:r>
        <w:rPr/>
        <w:t>名</w:t>
      </w:r>
      <w:r>
        <w:rPr>
          <w:spacing w:val="-3"/>
        </w:rPr>
        <w:t>称</w:t>
      </w:r>
      <w:r>
        <w:rPr/>
        <w:t>：</w:t>
      </w:r>
      <w:r>
        <w:rPr>
          <w:u w:val="single"/>
        </w:rPr>
        <w:t> </w:t>
        <w:tab/>
      </w:r>
      <w:r>
        <w:rPr/>
        <w:t>（</w:t>
      </w:r>
      <w:r>
        <w:rPr>
          <w:spacing w:val="-3"/>
        </w:rPr>
        <w:t>盖</w:t>
      </w:r>
      <w:r>
        <w:rPr/>
        <w:t>单</w:t>
      </w:r>
      <w:r>
        <w:rPr>
          <w:spacing w:val="-3"/>
        </w:rPr>
        <w:t>位</w:t>
      </w:r>
      <w:r>
        <w:rPr/>
        <w:t>章）</w:t>
      </w:r>
      <w:r>
        <w:rPr>
          <w:color w:val="FF0000"/>
        </w:rPr>
        <w:t> 法定</w:t>
      </w:r>
      <w:r>
        <w:rPr>
          <w:color w:val="FF0000"/>
          <w:spacing w:val="-3"/>
        </w:rPr>
        <w:t>代</w:t>
      </w:r>
      <w:r>
        <w:rPr>
          <w:color w:val="FF0000"/>
        </w:rPr>
        <w:t>表</w:t>
      </w:r>
      <w:r>
        <w:rPr>
          <w:color w:val="FF0000"/>
          <w:spacing w:val="-3"/>
        </w:rPr>
        <w:t>人</w:t>
      </w:r>
      <w:r>
        <w:rPr>
          <w:color w:val="FF0000"/>
        </w:rPr>
        <w:t>或</w:t>
      </w:r>
      <w:r>
        <w:rPr>
          <w:color w:val="FF0000"/>
          <w:spacing w:val="-3"/>
        </w:rPr>
        <w:t>其</w:t>
      </w:r>
      <w:r>
        <w:rPr>
          <w:color w:val="FF0000"/>
        </w:rPr>
        <w:t>委</w:t>
      </w:r>
      <w:r>
        <w:rPr>
          <w:color w:val="FF0000"/>
          <w:spacing w:val="-3"/>
        </w:rPr>
        <w:t>托</w:t>
      </w:r>
      <w:r>
        <w:rPr>
          <w:color w:val="FF0000"/>
        </w:rPr>
        <w:t>代</w:t>
      </w:r>
      <w:r>
        <w:rPr>
          <w:color w:val="FF0000"/>
          <w:spacing w:val="-3"/>
        </w:rPr>
        <w:t>理</w:t>
      </w:r>
      <w:r>
        <w:rPr>
          <w:color w:val="FF0000"/>
        </w:rPr>
        <w:t>人：</w:t>
      </w:r>
      <w:r>
        <w:rPr>
          <w:u w:val="single"/>
        </w:rPr>
        <w:t> </w:t>
        <w:tab/>
      </w:r>
      <w:r>
        <w:rPr>
          <w:spacing w:val="-3"/>
        </w:rPr>
        <w:t>（</w:t>
      </w:r>
      <w:r>
        <w:rPr/>
        <w:t>签</w:t>
      </w:r>
      <w:r>
        <w:rPr>
          <w:spacing w:val="-3"/>
        </w:rPr>
        <w:t>字</w:t>
      </w:r>
      <w:r>
        <w:rPr/>
        <w:t>或</w:t>
      </w:r>
      <w:r>
        <w:rPr>
          <w:spacing w:val="-3"/>
        </w:rPr>
        <w:t>盖</w:t>
      </w:r>
      <w:r>
        <w:rPr/>
        <w:t>章</w:t>
      </w:r>
      <w:r>
        <w:rPr>
          <w:spacing w:val="-14"/>
        </w:rPr>
        <w:t>）</w:t>
      </w:r>
    </w:p>
    <w:p>
      <w:pPr>
        <w:pStyle w:val="BodyText"/>
        <w:spacing w:before="9"/>
        <w:ind w:left="0"/>
        <w:rPr>
          <w:sz w:val="24"/>
        </w:rPr>
      </w:pPr>
    </w:p>
    <w:p>
      <w:pPr>
        <w:pStyle w:val="BodyText"/>
        <w:tabs>
          <w:tab w:pos="7504" w:val="left" w:leader="none"/>
        </w:tabs>
        <w:spacing w:line="350" w:lineRule="auto" w:before="79"/>
        <w:ind w:left="2463" w:right="1525"/>
      </w:pPr>
      <w:r>
        <w:rPr/>
        <w:t>成员</w:t>
      </w:r>
      <w:r>
        <w:rPr>
          <w:spacing w:val="-3"/>
        </w:rPr>
        <w:t>二</w:t>
      </w:r>
      <w:r>
        <w:rPr/>
        <w:t>名</w:t>
      </w:r>
      <w:r>
        <w:rPr>
          <w:spacing w:val="-3"/>
        </w:rPr>
        <w:t>称</w:t>
      </w:r>
      <w:r>
        <w:rPr/>
        <w:t>：</w:t>
      </w:r>
      <w:r>
        <w:rPr>
          <w:u w:val="single"/>
        </w:rPr>
        <w:t> </w:t>
        <w:tab/>
      </w:r>
      <w:r>
        <w:rPr/>
        <w:t>（</w:t>
      </w:r>
      <w:r>
        <w:rPr>
          <w:spacing w:val="-3"/>
        </w:rPr>
        <w:t>盖</w:t>
      </w:r>
      <w:r>
        <w:rPr/>
        <w:t>单</w:t>
      </w:r>
      <w:r>
        <w:rPr>
          <w:spacing w:val="-3"/>
        </w:rPr>
        <w:t>位</w:t>
      </w:r>
      <w:r>
        <w:rPr/>
        <w:t>章）</w:t>
      </w:r>
      <w:r>
        <w:rPr>
          <w:color w:val="FF0000"/>
        </w:rPr>
        <w:t> 法定</w:t>
      </w:r>
      <w:r>
        <w:rPr>
          <w:color w:val="FF0000"/>
          <w:spacing w:val="-3"/>
        </w:rPr>
        <w:t>代</w:t>
      </w:r>
      <w:r>
        <w:rPr>
          <w:color w:val="FF0000"/>
        </w:rPr>
        <w:t>表</w:t>
      </w:r>
      <w:r>
        <w:rPr>
          <w:color w:val="FF0000"/>
          <w:spacing w:val="-3"/>
        </w:rPr>
        <w:t>人</w:t>
      </w:r>
      <w:r>
        <w:rPr>
          <w:color w:val="FF0000"/>
        </w:rPr>
        <w:t>或</w:t>
      </w:r>
      <w:r>
        <w:rPr>
          <w:color w:val="FF0000"/>
          <w:spacing w:val="-3"/>
        </w:rPr>
        <w:t>其</w:t>
      </w:r>
      <w:r>
        <w:rPr>
          <w:color w:val="FF0000"/>
        </w:rPr>
        <w:t>委</w:t>
      </w:r>
      <w:r>
        <w:rPr>
          <w:color w:val="FF0000"/>
          <w:spacing w:val="-3"/>
        </w:rPr>
        <w:t>托</w:t>
      </w:r>
      <w:r>
        <w:rPr>
          <w:color w:val="FF0000"/>
        </w:rPr>
        <w:t>代</w:t>
      </w:r>
      <w:r>
        <w:rPr>
          <w:color w:val="FF0000"/>
          <w:spacing w:val="-3"/>
        </w:rPr>
        <w:t>理</w:t>
      </w:r>
      <w:r>
        <w:rPr>
          <w:color w:val="FF0000"/>
        </w:rPr>
        <w:t>人：</w:t>
      </w:r>
      <w:r>
        <w:rPr>
          <w:u w:val="single"/>
        </w:rPr>
        <w:t> </w:t>
        <w:tab/>
      </w:r>
      <w:r>
        <w:rPr>
          <w:spacing w:val="-3"/>
        </w:rPr>
        <w:t>（</w:t>
      </w:r>
      <w:r>
        <w:rPr/>
        <w:t>签</w:t>
      </w:r>
      <w:r>
        <w:rPr>
          <w:spacing w:val="-3"/>
        </w:rPr>
        <w:t>字</w:t>
      </w:r>
      <w:r>
        <w:rPr/>
        <w:t>或</w:t>
      </w:r>
      <w:r>
        <w:rPr>
          <w:spacing w:val="-3"/>
        </w:rPr>
        <w:t>盖</w:t>
      </w:r>
      <w:r>
        <w:rPr/>
        <w:t>章</w:t>
      </w:r>
      <w:r>
        <w:rPr>
          <w:spacing w:val="-14"/>
        </w:rPr>
        <w:t>）</w:t>
      </w:r>
    </w:p>
    <w:p>
      <w:pPr>
        <w:pStyle w:val="BodyText"/>
        <w:spacing w:before="15"/>
        <w:ind w:left="2463"/>
        <w:rPr>
          <w:rFonts w:ascii="Times New Roman" w:hAnsi="Times New Roman"/>
        </w:rPr>
      </w:pPr>
      <w:r>
        <w:rPr>
          <w:rFonts w:ascii="Times New Roman" w:hAnsi="Times New Roman"/>
        </w:rPr>
        <w:t>……</w:t>
      </w:r>
    </w:p>
    <w:p>
      <w:pPr>
        <w:pStyle w:val="BodyText"/>
        <w:tabs>
          <w:tab w:pos="7043" w:val="left" w:leader="none"/>
          <w:tab w:pos="8093" w:val="left" w:leader="none"/>
          <w:tab w:pos="9141" w:val="left" w:leader="none"/>
        </w:tabs>
        <w:spacing w:before="141"/>
        <w:ind w:left="6201"/>
      </w:pPr>
      <w:r>
        <w:rPr>
          <w:rFonts w:ascii="Times New Roman" w:eastAsia="Times New Roman"/>
          <w:w w:val="100"/>
          <w:u w:val="single"/>
        </w:rPr>
        <w:t> </w:t>
      </w:r>
      <w:r>
        <w:rPr>
          <w:rFonts w:ascii="Times New Roman" w:eastAsia="Times New Roman"/>
          <w:u w:val="single"/>
        </w:rPr>
        <w:tab/>
      </w:r>
      <w:r>
        <w:rPr>
          <w:spacing w:val="-3"/>
        </w:rPr>
        <w:t>年</w:t>
      </w:r>
      <w:r>
        <w:rPr>
          <w:spacing w:val="-3"/>
          <w:u w:val="single"/>
        </w:rPr>
        <w:t> </w:t>
        <w:tab/>
      </w:r>
      <w:r>
        <w:rPr/>
        <w:t>月</w:t>
      </w:r>
      <w:r>
        <w:rPr>
          <w:u w:val="single"/>
        </w:rPr>
        <w:t> </w:t>
        <w:tab/>
      </w:r>
      <w:r>
        <w:rPr/>
        <w:t>日</w:t>
      </w:r>
    </w:p>
    <w:p>
      <w:pPr>
        <w:pStyle w:val="BodyText"/>
        <w:spacing w:before="124"/>
      </w:pPr>
      <w:r>
        <w:rPr/>
        <w:t>【备注：本协议书由委托代理人签字的，应附法定代表人签字的授权委托书】</w:t>
      </w:r>
    </w:p>
    <w:p>
      <w:pPr>
        <w:spacing w:after="0"/>
        <w:sectPr>
          <w:pgSz w:w="11910" w:h="16850"/>
          <w:pgMar w:header="0" w:footer="779" w:top="1380" w:bottom="1040" w:left="1120" w:right="280"/>
        </w:sectPr>
      </w:pPr>
    </w:p>
    <w:p>
      <w:pPr>
        <w:pStyle w:val="BodyText"/>
        <w:spacing w:before="2"/>
        <w:ind w:left="0"/>
        <w:rPr>
          <w:sz w:val="12"/>
        </w:rPr>
      </w:pPr>
    </w:p>
    <w:p>
      <w:pPr>
        <w:pStyle w:val="BodyText"/>
        <w:spacing w:line="484" w:lineRule="auto" w:before="78"/>
        <w:ind w:right="1209" w:firstLine="525"/>
      </w:pPr>
      <w:r>
        <w:rPr>
          <w:rFonts w:ascii="Times New Roman" w:eastAsia="Times New Roman"/>
        </w:rPr>
        <w:t>3</w:t>
      </w:r>
      <w:r>
        <w:rPr/>
        <w:t>、投标保证金的转帐（或电汇）底单（可提供底单原件或网上银行电子回执单）或银行保函（工程担保或工程保证保险）扫描件，投标人的基本账户开户许可证的扫描件；</w:t>
      </w:r>
    </w:p>
    <w:p>
      <w:pPr>
        <w:pStyle w:val="Heading2"/>
        <w:spacing w:line="486" w:lineRule="exact"/>
        <w:ind w:left="297" w:right="774"/>
        <w:jc w:val="center"/>
      </w:pPr>
      <w:bookmarkStart w:name="4、建设工程项目管理承诺书" w:id="495"/>
      <w:bookmarkEnd w:id="495"/>
      <w:r>
        <w:rPr>
          <w:b w:val="0"/>
        </w:rPr>
      </w:r>
      <w:bookmarkStart w:name="_bookmark111" w:id="496"/>
      <w:bookmarkEnd w:id="496"/>
      <w:r>
        <w:rPr>
          <w:b w:val="0"/>
        </w:rPr>
      </w:r>
      <w:r>
        <w:rPr>
          <w:rFonts w:ascii="Times New Roman" w:eastAsia="Times New Roman"/>
        </w:rPr>
        <w:t>4</w:t>
      </w:r>
      <w:r>
        <w:rPr/>
        <w:t>、建设工程项目管理承诺书</w:t>
      </w:r>
    </w:p>
    <w:p>
      <w:pPr>
        <w:pStyle w:val="BodyText"/>
        <w:spacing w:before="17"/>
        <w:ind w:left="0"/>
        <w:rPr>
          <w:rFonts w:ascii="Microsoft JhengHei"/>
          <w:b/>
          <w:sz w:val="33"/>
        </w:rPr>
      </w:pPr>
    </w:p>
    <w:p>
      <w:pPr>
        <w:pStyle w:val="BodyText"/>
        <w:tabs>
          <w:tab w:pos="3409" w:val="left" w:leader="none"/>
        </w:tabs>
      </w:pPr>
      <w:r>
        <w:rPr>
          <w:spacing w:val="-1"/>
          <w:w w:val="100"/>
        </w:rPr>
        <w:t>致</w:t>
      </w:r>
      <w:r>
        <w:rPr>
          <w:rFonts w:ascii="Times New Roman" w:eastAsia="Times New Roman"/>
          <w:w w:val="100"/>
          <w:u w:val="single"/>
        </w:rPr>
        <w:t> </w:t>
      </w:r>
      <w:r>
        <w:rPr>
          <w:rFonts w:ascii="Times New Roman" w:eastAsia="Times New Roman"/>
          <w:u w:val="single"/>
        </w:rPr>
        <w:tab/>
      </w:r>
      <w:r>
        <w:rPr>
          <w:spacing w:val="-3"/>
          <w:w w:val="100"/>
        </w:rPr>
        <w:t>（</w:t>
      </w:r>
      <w:r>
        <w:rPr>
          <w:w w:val="100"/>
        </w:rPr>
        <w:t>招</w:t>
      </w:r>
      <w:r>
        <w:rPr>
          <w:spacing w:val="-3"/>
          <w:w w:val="100"/>
        </w:rPr>
        <w:t>标</w:t>
      </w:r>
      <w:r>
        <w:rPr>
          <w:w w:val="100"/>
        </w:rPr>
        <w:t>人</w:t>
      </w:r>
      <w:r>
        <w:rPr>
          <w:spacing w:val="-3"/>
          <w:w w:val="100"/>
        </w:rPr>
        <w:t>名</w:t>
      </w:r>
      <w:r>
        <w:rPr>
          <w:w w:val="100"/>
        </w:rPr>
        <w:t>称</w:t>
      </w:r>
      <w:r>
        <w:rPr>
          <w:spacing w:val="-106"/>
          <w:w w:val="100"/>
        </w:rPr>
        <w:t>）</w:t>
      </w:r>
      <w:r>
        <w:rPr>
          <w:w w:val="100"/>
        </w:rPr>
        <w:t>：</w:t>
      </w:r>
    </w:p>
    <w:p>
      <w:pPr>
        <w:pStyle w:val="BodyText"/>
        <w:ind w:left="0"/>
        <w:rPr>
          <w:sz w:val="20"/>
        </w:rPr>
      </w:pPr>
    </w:p>
    <w:p>
      <w:pPr>
        <w:pStyle w:val="BodyText"/>
        <w:spacing w:before="5"/>
        <w:ind w:left="0"/>
        <w:rPr>
          <w:sz w:val="17"/>
        </w:rPr>
      </w:pPr>
    </w:p>
    <w:p>
      <w:pPr>
        <w:pStyle w:val="BodyText"/>
        <w:tabs>
          <w:tab w:pos="3856" w:val="left" w:leader="none"/>
        </w:tabs>
        <w:ind w:left="1124"/>
      </w:pPr>
      <w:r>
        <w:rPr/>
        <w:t>作为</w:t>
      </w:r>
      <w:r>
        <w:rPr>
          <w:spacing w:val="-3"/>
        </w:rPr>
        <w:t>参</w:t>
      </w:r>
      <w:r>
        <w:rPr/>
        <w:t>与</w:t>
      </w:r>
      <w:r>
        <w:rPr>
          <w:u w:val="single"/>
        </w:rPr>
        <w:t> </w:t>
        <w:tab/>
      </w:r>
      <w:r>
        <w:rPr>
          <w:spacing w:val="-3"/>
        </w:rPr>
        <w:t>（</w:t>
      </w:r>
      <w:r>
        <w:rPr/>
        <w:t>工</w:t>
      </w:r>
      <w:r>
        <w:rPr>
          <w:spacing w:val="-3"/>
        </w:rPr>
        <w:t>程</w:t>
      </w:r>
      <w:r>
        <w:rPr/>
        <w:t>名</w:t>
      </w:r>
      <w:r>
        <w:rPr>
          <w:spacing w:val="-3"/>
        </w:rPr>
        <w:t>称</w:t>
      </w:r>
      <w:r>
        <w:rPr/>
        <w:t>）</w:t>
      </w:r>
      <w:r>
        <w:rPr>
          <w:spacing w:val="-3"/>
        </w:rPr>
        <w:t>项</w:t>
      </w:r>
      <w:r>
        <w:rPr/>
        <w:t>目</w:t>
      </w:r>
      <w:r>
        <w:rPr>
          <w:spacing w:val="-3"/>
        </w:rPr>
        <w:t>的投</w:t>
      </w:r>
      <w:r>
        <w:rPr/>
        <w:t>标方</w:t>
      </w:r>
      <w:r>
        <w:rPr>
          <w:spacing w:val="-3"/>
        </w:rPr>
        <w:t>，</w:t>
      </w:r>
      <w:r>
        <w:rPr/>
        <w:t>根</w:t>
      </w:r>
      <w:r>
        <w:rPr>
          <w:spacing w:val="-3"/>
        </w:rPr>
        <w:t>据</w:t>
      </w:r>
      <w:r>
        <w:rPr/>
        <w:t>国</w:t>
      </w:r>
      <w:r>
        <w:rPr>
          <w:spacing w:val="-3"/>
        </w:rPr>
        <w:t>家</w:t>
      </w:r>
      <w:r>
        <w:rPr/>
        <w:t>、</w:t>
      </w:r>
      <w:r>
        <w:rPr>
          <w:spacing w:val="-3"/>
        </w:rPr>
        <w:t>自</w:t>
      </w:r>
      <w:r>
        <w:rPr/>
        <w:t>治</w:t>
      </w:r>
      <w:r>
        <w:rPr>
          <w:spacing w:val="-3"/>
        </w:rPr>
        <w:t>区</w:t>
      </w:r>
      <w:r>
        <w:rPr/>
        <w:t>相关</w:t>
      </w:r>
      <w:r>
        <w:rPr>
          <w:spacing w:val="-3"/>
        </w:rPr>
        <w:t>文</w:t>
      </w:r>
      <w:r>
        <w:rPr/>
        <w:t>件规</w:t>
      </w:r>
    </w:p>
    <w:p>
      <w:pPr>
        <w:pStyle w:val="BodyText"/>
        <w:spacing w:before="12"/>
        <w:ind w:left="0"/>
        <w:rPr>
          <w:sz w:val="13"/>
        </w:rPr>
      </w:pPr>
    </w:p>
    <w:p>
      <w:pPr>
        <w:pStyle w:val="BodyText"/>
        <w:spacing w:before="72"/>
        <w:ind w:left="668"/>
      </w:pPr>
      <w:r>
        <w:rPr/>
        <w:t>定，我方在此向招标人承诺：</w:t>
      </w:r>
    </w:p>
    <w:p>
      <w:pPr>
        <w:pStyle w:val="BodyText"/>
        <w:spacing w:before="8"/>
        <w:ind w:left="0"/>
        <w:rPr>
          <w:sz w:val="19"/>
        </w:rPr>
      </w:pPr>
    </w:p>
    <w:p>
      <w:pPr>
        <w:pStyle w:val="BodyText"/>
        <w:spacing w:line="463" w:lineRule="auto"/>
        <w:ind w:left="668" w:right="1045" w:firstLine="455"/>
      </w:pPr>
      <w:r>
        <w:rPr>
          <w:rFonts w:ascii="Times New Roman" w:eastAsia="Times New Roman"/>
        </w:rPr>
        <w:t>1</w:t>
      </w:r>
      <w:r>
        <w:rPr>
          <w:spacing w:val="-11"/>
        </w:rPr>
        <w:t>、一旦中标，我方保证按照政府相关部门的规定，在发出中标通知书之日起 </w:t>
      </w:r>
      <w:r>
        <w:rPr>
          <w:rFonts w:ascii="Times New Roman" w:eastAsia="Times New Roman"/>
        </w:rPr>
        <w:t>7 </w:t>
      </w:r>
      <w:r>
        <w:rPr>
          <w:spacing w:val="-3"/>
        </w:rPr>
        <w:t>个工作日内足额将农民工工资保障金转入农民工工资保障金专用账户。一旦我方所承包的该项目中出现拖 欠农民工工资情况，由劳动保障、住房城乡建设行政主管部门按照《关于进一步完善建筑行业 农民工工资保证金制度的通知</w:t>
      </w:r>
      <w:r>
        <w:rPr>
          <w:spacing w:val="-157"/>
        </w:rPr>
        <w:t>》</w:t>
      </w:r>
      <w:r>
        <w:rPr/>
        <w:t>（</w:t>
      </w:r>
      <w:r>
        <w:rPr>
          <w:spacing w:val="-13"/>
        </w:rPr>
        <w:t>桂劳社发〔</w:t>
      </w:r>
      <w:r>
        <w:rPr>
          <w:rFonts w:ascii="Times New Roman" w:eastAsia="Times New Roman"/>
        </w:rPr>
        <w:t>2009</w:t>
      </w:r>
      <w:r>
        <w:rPr>
          <w:spacing w:val="-48"/>
        </w:rPr>
        <w:t>〕</w:t>
      </w:r>
      <w:r>
        <w:rPr>
          <w:rFonts w:ascii="Times New Roman" w:eastAsia="Times New Roman"/>
        </w:rPr>
        <w:t>50 </w:t>
      </w:r>
      <w:r>
        <w:rPr/>
        <w:t>号</w:t>
      </w:r>
      <w:r>
        <w:rPr>
          <w:spacing w:val="-51"/>
        </w:rPr>
        <w:t>）</w:t>
      </w:r>
      <w:r>
        <w:rPr>
          <w:spacing w:val="-3"/>
        </w:rPr>
        <w:t>从我方农民工工资保障金中先予划支。我方将认真贯彻落实保障农民工工资支付各项要求，保证不出现拖欠农民工资行为、不出现因 工程款纠纷引发农民工集聚讨薪行为，做到按照规定签订劳动合同、推行农民工实名制、足额 </w:t>
      </w:r>
      <w:r>
        <w:rPr>
          <w:spacing w:val="-6"/>
        </w:rPr>
        <w:t>交纳农民工工资保障金、开设农民工工资专户、实行农民工工资支付分账制度和银行代发制度、</w:t>
      </w:r>
      <w:r>
        <w:rPr>
          <w:spacing w:val="-4"/>
        </w:rPr>
        <w:t>确保按月足额发放农民工工资，保证按照规定做好广西建筑农民工实名制管理公共服务平台工 </w:t>
      </w:r>
      <w:r>
        <w:rPr>
          <w:spacing w:val="-8"/>
        </w:rPr>
        <w:t>人信息的采集、运用和数据的上传，保证落实劳资专员按照《南宁市城乡建委员会关于印发</w:t>
      </w:r>
      <w:r>
        <w:rPr>
          <w:rFonts w:ascii="Times New Roman" w:eastAsia="Times New Roman"/>
        </w:rPr>
        <w:t>&lt;</w:t>
      </w:r>
      <w:r>
        <w:rPr/>
        <w:t>南</w:t>
      </w:r>
      <w:r>
        <w:rPr>
          <w:spacing w:val="-3"/>
        </w:rPr>
        <w:t>宁市房屋建筑和市政工程领域农民工工资支付管理资料样板</w:t>
      </w:r>
      <w:r>
        <w:rPr>
          <w:rFonts w:ascii="Times New Roman" w:eastAsia="Times New Roman"/>
        </w:rPr>
        <w:t>&gt;</w:t>
      </w:r>
      <w:r>
        <w:rPr>
          <w:spacing w:val="-29"/>
        </w:rPr>
        <w:t>的通知》</w:t>
      </w:r>
      <w:r>
        <w:rPr/>
        <w:t>（</w:t>
      </w:r>
      <w:r>
        <w:rPr>
          <w:spacing w:val="-2"/>
        </w:rPr>
        <w:t>南建〔</w:t>
      </w:r>
      <w:r>
        <w:rPr>
          <w:rFonts w:ascii="Times New Roman" w:eastAsia="Times New Roman"/>
        </w:rPr>
        <w:t>2018</w:t>
      </w:r>
      <w:r>
        <w:rPr/>
        <w:t>〕</w:t>
      </w:r>
      <w:r>
        <w:rPr>
          <w:rFonts w:ascii="Times New Roman" w:eastAsia="Times New Roman"/>
        </w:rPr>
        <w:t>66 </w:t>
      </w:r>
      <w:r>
        <w:rPr>
          <w:spacing w:val="-3"/>
        </w:rPr>
        <w:t>号</w:t>
      </w:r>
      <w:r>
        <w:rPr/>
        <w:t>）的</w:t>
      </w:r>
      <w:r>
        <w:rPr>
          <w:spacing w:val="-3"/>
        </w:rPr>
        <w:t>要求做好农民工工资支付管理资料的整理、归档。</w:t>
      </w:r>
    </w:p>
    <w:p>
      <w:pPr>
        <w:pStyle w:val="BodyText"/>
        <w:spacing w:line="463" w:lineRule="auto" w:before="7"/>
        <w:ind w:left="668" w:right="1149" w:firstLine="455"/>
        <w:jc w:val="both"/>
      </w:pPr>
      <w:r>
        <w:rPr>
          <w:rFonts w:ascii="Times New Roman" w:eastAsia="Times New Roman"/>
        </w:rPr>
        <w:t>2</w:t>
      </w:r>
      <w:r>
        <w:rPr>
          <w:spacing w:val="-9"/>
        </w:rPr>
        <w:t>、一旦中标，我方保证在施工过程中，严格执行《广西壮族自治区建筑工程安全文明施工</w:t>
      </w:r>
      <w:r>
        <w:rPr>
          <w:spacing w:val="-20"/>
        </w:rPr>
        <w:t>费使用管理细则》</w:t>
      </w:r>
      <w:r>
        <w:rPr>
          <w:spacing w:val="-3"/>
        </w:rPr>
        <w:t>（</w:t>
      </w:r>
      <w:r>
        <w:rPr>
          <w:spacing w:val="-6"/>
        </w:rPr>
        <w:t>桂建质〔</w:t>
      </w:r>
      <w:r>
        <w:rPr>
          <w:rFonts w:ascii="Times New Roman" w:eastAsia="Times New Roman"/>
        </w:rPr>
        <w:t>2015</w:t>
      </w:r>
      <w:r>
        <w:rPr>
          <w:spacing w:val="-15"/>
        </w:rPr>
        <w:t>〕</w:t>
      </w:r>
      <w:r>
        <w:rPr>
          <w:rFonts w:ascii="Times New Roman" w:eastAsia="Times New Roman"/>
        </w:rPr>
        <w:t>16 </w:t>
      </w:r>
      <w:r>
        <w:rPr>
          <w:spacing w:val="-3"/>
        </w:rPr>
        <w:t>号</w:t>
      </w:r>
      <w:r>
        <w:rPr>
          <w:spacing w:val="-15"/>
        </w:rPr>
        <w:t>）</w:t>
      </w:r>
      <w:r>
        <w:rPr>
          <w:spacing w:val="-7"/>
        </w:rPr>
        <w:t>的有关规定，确保建设工程各项安全防护、文明施工</w:t>
      </w:r>
      <w:r>
        <w:rPr>
          <w:spacing w:val="-5"/>
        </w:rPr>
        <w:t>措施落实到位。如我方在该项目的承包中出现未按桂建质〔</w:t>
      </w:r>
      <w:r>
        <w:rPr>
          <w:rFonts w:ascii="Times New Roman" w:eastAsia="Times New Roman"/>
        </w:rPr>
        <w:t>2015</w:t>
      </w:r>
      <w:r>
        <w:rPr>
          <w:spacing w:val="-3"/>
        </w:rPr>
        <w:t>〕</w:t>
      </w:r>
      <w:r>
        <w:rPr>
          <w:rFonts w:ascii="Times New Roman" w:eastAsia="Times New Roman"/>
        </w:rPr>
        <w:t>16 </w:t>
      </w:r>
      <w:r>
        <w:rPr>
          <w:spacing w:val="-3"/>
        </w:rPr>
        <w:t>号文附件一规定执行的情形，我方愿意按照相关规定接受建设单位及有关主管部门的处罚。</w:t>
      </w:r>
    </w:p>
    <w:p>
      <w:pPr>
        <w:pStyle w:val="BodyText"/>
        <w:spacing w:line="463" w:lineRule="auto" w:before="5"/>
        <w:ind w:left="668" w:right="1045" w:firstLine="455"/>
      </w:pPr>
      <w:r>
        <w:rPr>
          <w:rFonts w:ascii="Times New Roman" w:eastAsia="Times New Roman"/>
        </w:rPr>
        <w:t>3</w:t>
      </w:r>
      <w:r>
        <w:rPr>
          <w:spacing w:val="-3"/>
        </w:rPr>
        <w:t>、一旦中标，我方保证在施工过程中，严格执行《南宁市人民政府关于修改</w:t>
      </w:r>
      <w:r>
        <w:rPr>
          <w:rFonts w:ascii="Times New Roman" w:eastAsia="Times New Roman"/>
        </w:rPr>
        <w:t>&lt;</w:t>
      </w:r>
      <w:r>
        <w:rPr>
          <w:spacing w:val="-1"/>
        </w:rPr>
        <w:t>南宁市散装</w:t>
      </w:r>
      <w:r>
        <w:rPr>
          <w:spacing w:val="-3"/>
        </w:rPr>
        <w:t>水泥和预拌混凝土管理规定</w:t>
      </w:r>
      <w:r>
        <w:rPr>
          <w:rFonts w:ascii="Times New Roman" w:eastAsia="Times New Roman"/>
        </w:rPr>
        <w:t>&gt;</w:t>
      </w:r>
      <w:r>
        <w:rPr>
          <w:spacing w:val="-28"/>
        </w:rPr>
        <w:t>的决定》</w:t>
      </w:r>
      <w:r>
        <w:rPr>
          <w:spacing w:val="-3"/>
        </w:rPr>
        <w:t>（</w:t>
      </w:r>
      <w:r>
        <w:rPr>
          <w:spacing w:val="-7"/>
        </w:rPr>
        <w:t>南宁市人民政府令 第 </w:t>
      </w:r>
      <w:r>
        <w:rPr>
          <w:rFonts w:ascii="Times New Roman" w:eastAsia="Times New Roman"/>
        </w:rPr>
        <w:t>32 </w:t>
      </w:r>
      <w:r>
        <w:rPr>
          <w:spacing w:val="-3"/>
        </w:rPr>
        <w:t>号</w:t>
      </w:r>
      <w:r>
        <w:rPr>
          <w:spacing w:val="-106"/>
        </w:rPr>
        <w:t>）</w:t>
      </w:r>
      <w:r>
        <w:rPr>
          <w:spacing w:val="-12"/>
        </w:rPr>
        <w:t>、《南宁市人民政府关于推</w:t>
      </w:r>
      <w:r>
        <w:rPr>
          <w:spacing w:val="-6"/>
        </w:rPr>
        <w:t>广使用预拌砂浆的实施意见》</w:t>
      </w:r>
      <w:r>
        <w:rPr>
          <w:rFonts w:ascii="Times New Roman" w:eastAsia="Times New Roman"/>
          <w:spacing w:val="-4"/>
        </w:rPr>
        <w:t>(</w:t>
      </w:r>
      <w:r>
        <w:rPr>
          <w:spacing w:val="-3"/>
        </w:rPr>
        <w:t>南府规〔</w:t>
      </w:r>
      <w:r>
        <w:rPr>
          <w:rFonts w:ascii="Times New Roman" w:eastAsia="Times New Roman"/>
        </w:rPr>
        <w:t>2016</w:t>
      </w:r>
      <w:r>
        <w:rPr>
          <w:spacing w:val="-5"/>
        </w:rPr>
        <w:t>〕</w:t>
      </w:r>
      <w:r>
        <w:rPr>
          <w:rFonts w:ascii="Times New Roman" w:eastAsia="Times New Roman"/>
        </w:rPr>
        <w:t>12 </w:t>
      </w:r>
      <w:r>
        <w:rPr>
          <w:spacing w:val="-3"/>
        </w:rPr>
        <w:t>号</w:t>
      </w:r>
      <w:r>
        <w:rPr>
          <w:rFonts w:ascii="Times New Roman" w:eastAsia="Times New Roman"/>
        </w:rPr>
        <w:t>)</w:t>
      </w:r>
      <w:r>
        <w:rPr>
          <w:spacing w:val="-3"/>
        </w:rPr>
        <w:t>等关于散装水泥和预拌混凝土管理的规定，</w:t>
      </w:r>
    </w:p>
    <w:p>
      <w:pPr>
        <w:spacing w:after="0" w:line="463" w:lineRule="auto"/>
        <w:sectPr>
          <w:pgSz w:w="11910" w:h="16850"/>
          <w:pgMar w:header="0" w:footer="779" w:top="1600" w:bottom="1040" w:left="1120" w:right="280"/>
        </w:sectPr>
      </w:pPr>
    </w:p>
    <w:p>
      <w:pPr>
        <w:pStyle w:val="BodyText"/>
        <w:spacing w:line="463" w:lineRule="auto" w:before="44"/>
        <w:ind w:left="668" w:right="1218"/>
        <w:jc w:val="both"/>
      </w:pPr>
      <w:r>
        <w:rPr/>
        <w:t>确保建设工程按规定使用相应质量等级的散装水泥、预拌砂浆和预拌混凝土。如我方在该项目的承包中出现未按规定执行的情形，我方愿意按照相关规定接受建设单位及有关主管部门的处罚。</w:t>
      </w:r>
    </w:p>
    <w:p>
      <w:pPr>
        <w:pStyle w:val="BodyText"/>
        <w:spacing w:line="463" w:lineRule="auto" w:before="3"/>
        <w:ind w:left="668" w:right="1150" w:firstLine="455"/>
      </w:pPr>
      <w:r>
        <w:rPr>
          <w:rFonts w:ascii="Times New Roman" w:hAnsi="Times New Roman" w:eastAsia="Times New Roman"/>
        </w:rPr>
        <w:t>4</w:t>
      </w:r>
      <w:r>
        <w:rPr>
          <w:spacing w:val="-7"/>
        </w:rPr>
        <w:t>、一旦中标，我方保证严格执行《危险性较大的分部分项工程安全管理规定》</w:t>
      </w:r>
      <w:r>
        <w:rPr/>
        <w:t>（</w:t>
      </w:r>
      <w:r>
        <w:rPr>
          <w:spacing w:val="-2"/>
        </w:rPr>
        <w:t>中华人民</w:t>
      </w:r>
      <w:r>
        <w:rPr>
          <w:spacing w:val="-4"/>
        </w:rPr>
        <w:t>共和国住房和城乡建设部令 第 </w:t>
      </w:r>
      <w:r>
        <w:rPr>
          <w:rFonts w:ascii="Times New Roman" w:hAnsi="Times New Roman" w:eastAsia="Times New Roman"/>
        </w:rPr>
        <w:t>37 </w:t>
      </w:r>
      <w:r>
        <w:rPr>
          <w:spacing w:val="-3"/>
        </w:rPr>
        <w:t>号</w:t>
      </w:r>
      <w:r>
        <w:rPr>
          <w:spacing w:val="-106"/>
        </w:rPr>
        <w:t>）</w:t>
      </w:r>
      <w:r>
        <w:rPr>
          <w:spacing w:val="-13"/>
        </w:rPr>
        <w:t>、《广西壮族自治区建筑工程安全生产管理办法</w:t>
      </w:r>
      <w:r>
        <w:rPr>
          <w:spacing w:val="-125"/>
        </w:rPr>
        <w:t>》</w:t>
      </w:r>
      <w:r>
        <w:rPr/>
        <w:t>（</w:t>
      </w:r>
      <w:r>
        <w:rPr>
          <w:spacing w:val="-2"/>
        </w:rPr>
        <w:t>广西壮</w:t>
      </w:r>
      <w:r>
        <w:rPr>
          <w:spacing w:val="-5"/>
        </w:rPr>
        <w:t>族自治区人民政府令 第 </w:t>
      </w:r>
      <w:r>
        <w:rPr>
          <w:rFonts w:ascii="Times New Roman" w:hAnsi="Times New Roman" w:eastAsia="Times New Roman"/>
        </w:rPr>
        <w:t>124 </w:t>
      </w:r>
      <w:r>
        <w:rPr>
          <w:spacing w:val="-3"/>
        </w:rPr>
        <w:t>号</w:t>
      </w:r>
      <w:r>
        <w:rPr>
          <w:spacing w:val="-17"/>
        </w:rPr>
        <w:t>）</w:t>
      </w:r>
      <w:r>
        <w:rPr>
          <w:spacing w:val="-6"/>
        </w:rPr>
        <w:t>的规定，按照南宁市安委办及市住房城乡建设行政主管部门的</w:t>
      </w:r>
      <w:r>
        <w:rPr>
          <w:spacing w:val="-4"/>
        </w:rPr>
        <w:t>要求，强化对深基坑、高切坡、高大模板、人工挖孔桩、起重吊装、临时活动板房等重大危险</w:t>
      </w:r>
      <w:r>
        <w:rPr>
          <w:spacing w:val="-3"/>
        </w:rPr>
        <w:t>源的专项施工方案的编制、论证、审批、实施、检测的风险管理，做好施工现场安全风险分级管控和隐患排查治理“双预防”工作，并按照《南宁市房屋建筑及市政工程领域安全生产风险分级管控资料汇编》的要求建立管控台账，按时录入市安委办隐患排查治理信息平台。</w:t>
      </w:r>
    </w:p>
    <w:p>
      <w:pPr>
        <w:pStyle w:val="BodyText"/>
        <w:spacing w:line="463" w:lineRule="auto" w:before="6"/>
        <w:ind w:left="668" w:right="1149" w:firstLine="455"/>
      </w:pPr>
      <w:r>
        <w:rPr>
          <w:rFonts w:ascii="Times New Roman" w:eastAsia="Times New Roman"/>
        </w:rPr>
        <w:t>5</w:t>
      </w:r>
      <w:r>
        <w:rPr>
          <w:spacing w:val="-10"/>
        </w:rPr>
        <w:t>、一旦中标，我方保证由法人签署授权书确认项目负责人，项目负责人签署建设工程质量</w:t>
      </w:r>
      <w:r>
        <w:rPr>
          <w:spacing w:val="-5"/>
        </w:rPr>
        <w:t>终身责任制承诺书，自觉承担建设工程终身责任，按程序履行设计变更手续，严格按照审查合</w:t>
      </w:r>
      <w:r>
        <w:rPr>
          <w:spacing w:val="-4"/>
        </w:rPr>
        <w:t>格并经备案的施工图施工</w:t>
      </w:r>
      <w:r>
        <w:rPr/>
        <w:t>（</w:t>
      </w:r>
      <w:r>
        <w:rPr>
          <w:spacing w:val="-3"/>
        </w:rPr>
        <w:t>包括：全装修工程、主体工程、基础工程、排水工程等</w:t>
      </w:r>
      <w:r>
        <w:rPr>
          <w:spacing w:val="-106"/>
        </w:rPr>
        <w:t>）</w:t>
      </w:r>
      <w:r>
        <w:rPr/>
        <w:t>。</w:t>
      </w:r>
    </w:p>
    <w:p>
      <w:pPr>
        <w:pStyle w:val="BodyText"/>
        <w:spacing w:line="463" w:lineRule="auto" w:before="3"/>
        <w:ind w:left="668" w:right="1045" w:firstLine="455"/>
      </w:pPr>
      <w:r>
        <w:rPr>
          <w:rFonts w:ascii="Times New Roman" w:eastAsia="Times New Roman"/>
        </w:rPr>
        <w:t>6</w:t>
      </w:r>
      <w:r>
        <w:rPr>
          <w:spacing w:val="-16"/>
        </w:rPr>
        <w:t>、一旦中标，我方保证项目负责人和管理人员按招标文件和合同约定持证上岗并履职到位， </w:t>
      </w:r>
      <w:r>
        <w:rPr>
          <w:spacing w:val="-7"/>
        </w:rPr>
        <w:t>做好相关履约评价工作，绝不在项目承包中进行违法转包、违法分包及挂靠等违法行为，接受 </w:t>
      </w:r>
      <w:r>
        <w:rPr>
          <w:spacing w:val="-5"/>
        </w:rPr>
        <w:t>有关部门、专家对我方的诚信考评。</w:t>
      </w:r>
    </w:p>
    <w:p>
      <w:pPr>
        <w:pStyle w:val="BodyText"/>
        <w:spacing w:line="463" w:lineRule="auto" w:before="2"/>
        <w:ind w:left="668" w:right="1149" w:firstLine="455"/>
      </w:pPr>
      <w:r>
        <w:rPr>
          <w:rFonts w:ascii="Times New Roman" w:eastAsia="Times New Roman"/>
        </w:rPr>
        <w:t>7</w:t>
      </w:r>
      <w:r>
        <w:rPr>
          <w:spacing w:val="-10"/>
        </w:rPr>
        <w:t>、一旦中标，我方保证按现行建筑市场专业分包的实际状况，将本工程非主体部分的专业</w:t>
      </w:r>
      <w:r>
        <w:rPr>
          <w:spacing w:val="-5"/>
        </w:rPr>
        <w:t>承包工程分包给有信誉、实力强、有资质、在南宁市注册的企业负责施工。</w:t>
      </w:r>
    </w:p>
    <w:p>
      <w:pPr>
        <w:pStyle w:val="BodyText"/>
        <w:ind w:left="1124"/>
      </w:pPr>
      <w:r>
        <w:rPr>
          <w:rFonts w:ascii="Times New Roman" w:eastAsia="Times New Roman"/>
        </w:rPr>
        <w:t>8</w:t>
      </w:r>
      <w:r>
        <w:rPr>
          <w:spacing w:val="-14"/>
        </w:rPr>
        <w:t>、一旦中标，我方保证在施工过程中，严格执行《大气污染防治法</w:t>
      </w:r>
      <w:r>
        <w:rPr>
          <w:spacing w:val="-142"/>
        </w:rPr>
        <w:t>》</w:t>
      </w:r>
      <w:r>
        <w:rPr>
          <w:spacing w:val="-3"/>
        </w:rPr>
        <w:t>（主席令第三十一号</w:t>
      </w:r>
      <w:r>
        <w:rPr>
          <w:spacing w:val="-106"/>
        </w:rPr>
        <w:t>）</w:t>
      </w:r>
      <w:r>
        <w:rPr/>
        <w:t>、</w:t>
      </w:r>
    </w:p>
    <w:p>
      <w:pPr>
        <w:pStyle w:val="BodyText"/>
        <w:spacing w:before="8"/>
        <w:ind w:left="0"/>
        <w:rPr>
          <w:sz w:val="19"/>
        </w:rPr>
      </w:pPr>
    </w:p>
    <w:p>
      <w:pPr>
        <w:pStyle w:val="BodyText"/>
        <w:spacing w:line="463" w:lineRule="auto" w:before="1"/>
        <w:ind w:left="668" w:right="1045"/>
      </w:pPr>
      <w:r>
        <w:rPr>
          <w:spacing w:val="-3"/>
        </w:rPr>
        <w:t>《南宁市建设工程质量和安全生产管理办法</w:t>
      </w:r>
      <w:r>
        <w:rPr>
          <w:spacing w:val="-125"/>
        </w:rPr>
        <w:t>》</w:t>
      </w:r>
      <w:r>
        <w:rPr/>
        <w:t>（</w:t>
      </w:r>
      <w:r>
        <w:rPr>
          <w:spacing w:val="-6"/>
        </w:rPr>
        <w:t>南宁市人民政府令 第 </w:t>
      </w:r>
      <w:r>
        <w:rPr>
          <w:rFonts w:ascii="Times New Roman" w:hAnsi="Times New Roman" w:eastAsia="Times New Roman"/>
        </w:rPr>
        <w:t>46 </w:t>
      </w:r>
      <w:r>
        <w:rPr/>
        <w:t>号</w:t>
      </w:r>
      <w:r>
        <w:rPr>
          <w:spacing w:val="-106"/>
        </w:rPr>
        <w:t>）</w:t>
      </w:r>
      <w:r>
        <w:rPr>
          <w:spacing w:val="-17"/>
        </w:rPr>
        <w:t>、《南宁市建设工程</w:t>
      </w:r>
      <w:r>
        <w:rPr>
          <w:spacing w:val="-23"/>
        </w:rPr>
        <w:t>质量安全标准化图集》、《南宁市建设工程施工现场管理若干规定》</w:t>
      </w:r>
      <w:r>
        <w:rPr/>
        <w:t>（</w:t>
      </w:r>
      <w:r>
        <w:rPr>
          <w:spacing w:val="-5"/>
        </w:rPr>
        <w:t>南宁市人民政府令 第 </w:t>
      </w:r>
      <w:r>
        <w:rPr>
          <w:rFonts w:ascii="Times New Roman" w:hAnsi="Times New Roman" w:eastAsia="Times New Roman"/>
        </w:rPr>
        <w:t>8 </w:t>
      </w:r>
      <w:r>
        <w:rPr/>
        <w:t>号） </w:t>
      </w:r>
      <w:r>
        <w:rPr>
          <w:spacing w:val="-6"/>
        </w:rPr>
        <w:t>的有关规定，与辖区卫生防疫、环卫管理部门或有合法资质资格的企业签订病媒生物消杀协议、</w:t>
      </w:r>
      <w:r>
        <w:rPr>
          <w:spacing w:val="-4"/>
        </w:rPr>
        <w:t>生活垃圾清运协议、渣土密闭运输协议、在线远程监控扬尘监测协议，遵守“一口两池三包四 </w:t>
      </w:r>
      <w:r>
        <w:rPr>
          <w:spacing w:val="-3"/>
        </w:rPr>
        <w:t>协议”的有关规定，施工前办理排水许可证，严格执行排水许可，做好工地泥浆水、临时生活 污水的排放管理，现场设置三级沉淀池及化粪池，避免生活污水及施工废水直排市政排水管网 </w:t>
      </w:r>
      <w:r>
        <w:rPr>
          <w:spacing w:val="-5"/>
        </w:rPr>
        <w:t>及内河。采取道路硬化、裸土必盖</w:t>
      </w:r>
      <w:r>
        <w:rPr>
          <w:spacing w:val="-3"/>
        </w:rPr>
        <w:t>（种草、绿网</w:t>
      </w:r>
      <w:r>
        <w:rPr>
          <w:spacing w:val="-106"/>
        </w:rPr>
        <w:t>）</w:t>
      </w:r>
      <w:r>
        <w:rPr>
          <w:spacing w:val="-5"/>
        </w:rPr>
        <w:t>、洗车出门、保洁路口、在线监测、抑尘喷淋</w:t>
      </w:r>
    </w:p>
    <w:p>
      <w:pPr>
        <w:spacing w:after="0" w:line="463" w:lineRule="auto"/>
        <w:sectPr>
          <w:pgSz w:w="11910" w:h="16850"/>
          <w:pgMar w:header="0" w:footer="779" w:top="1600" w:bottom="1040" w:left="1120" w:right="280"/>
        </w:sectPr>
      </w:pPr>
    </w:p>
    <w:p>
      <w:pPr>
        <w:pStyle w:val="BodyText"/>
        <w:spacing w:before="44"/>
        <w:ind w:left="668"/>
      </w:pPr>
      <w:r>
        <w:rPr/>
        <w:t>等有效措施。</w:t>
      </w:r>
    </w:p>
    <w:p>
      <w:pPr>
        <w:pStyle w:val="BodyText"/>
        <w:spacing w:before="9"/>
        <w:ind w:left="0"/>
        <w:rPr>
          <w:sz w:val="19"/>
        </w:rPr>
      </w:pPr>
    </w:p>
    <w:p>
      <w:pPr>
        <w:pStyle w:val="BodyText"/>
        <w:spacing w:line="463" w:lineRule="auto"/>
        <w:ind w:left="668" w:right="1151" w:firstLine="455"/>
      </w:pPr>
      <w:r>
        <w:rPr>
          <w:rFonts w:ascii="Times New Roman" w:eastAsia="Times New Roman"/>
        </w:rPr>
        <w:t>9</w:t>
      </w:r>
      <w:r>
        <w:rPr>
          <w:spacing w:val="-8"/>
        </w:rPr>
        <w:t>、一旦中标，我方保证在施工过程中，不使用不合格建材</w:t>
      </w:r>
      <w:r>
        <w:rPr/>
        <w:t>（</w:t>
      </w:r>
      <w:r>
        <w:rPr>
          <w:spacing w:val="-5"/>
        </w:rPr>
        <w:t>如地条钢、海砂等</w:t>
      </w:r>
      <w:r>
        <w:rPr>
          <w:spacing w:val="-13"/>
        </w:rPr>
        <w:t>）</w:t>
      </w:r>
      <w:r>
        <w:rPr>
          <w:spacing w:val="-3"/>
        </w:rPr>
        <w:t>作为建筑用材，按照《广西壮族自治区新型墙体材料促进条例》规定使用新型墙体材料，不使用黏土砖</w:t>
      </w:r>
    </w:p>
    <w:p>
      <w:pPr>
        <w:pStyle w:val="BodyText"/>
        <w:spacing w:line="463" w:lineRule="auto"/>
        <w:ind w:left="668" w:right="1218"/>
        <w:jc w:val="both"/>
      </w:pPr>
      <w:r>
        <w:rPr/>
        <w:t>（制品）及无证无照企业生产、质量达不到标准的墙体材料。项目实施装配式建筑的，按照装配式建筑技术标准、规程采取相应安全措施，做好预制构件部品保护、施工安装，按质按量完成装配式施工。</w:t>
      </w:r>
    </w:p>
    <w:p>
      <w:pPr>
        <w:pStyle w:val="BodyText"/>
        <w:spacing w:line="463" w:lineRule="auto" w:before="3"/>
        <w:ind w:left="668" w:right="1182" w:firstLine="455"/>
        <w:jc w:val="both"/>
      </w:pPr>
      <w:r>
        <w:rPr>
          <w:rFonts w:ascii="Times New Roman" w:eastAsia="Times New Roman"/>
        </w:rPr>
        <w:t>10</w:t>
      </w:r>
      <w:r>
        <w:rPr/>
        <w:t>、一旦中标，我方保证根据相关法律法规要求，做好供水、排水、供电、通讯、燃气、油气管道等地下管线设施的保护工作，在开工建设前，与设施维护运营单位、管理责任单位等共同制定设施保护方案，并采取相应的安全防护措施。</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2"/>
        <w:ind w:left="0"/>
        <w:rPr>
          <w:sz w:val="27"/>
        </w:rPr>
      </w:pPr>
    </w:p>
    <w:p>
      <w:pPr>
        <w:pStyle w:val="BodyText"/>
        <w:tabs>
          <w:tab w:pos="7084" w:val="left" w:leader="none"/>
        </w:tabs>
        <w:ind w:left="4038"/>
      </w:pPr>
      <w:r>
        <w:rPr/>
        <w:t>投标</w:t>
      </w:r>
      <w:r>
        <w:rPr>
          <w:spacing w:val="-3"/>
        </w:rPr>
        <w:t>人</w:t>
      </w:r>
      <w:r>
        <w:rPr/>
        <w:t>：</w:t>
      </w:r>
      <w:r>
        <w:rPr>
          <w:u w:val="single"/>
        </w:rPr>
        <w:t> </w:t>
        <w:tab/>
        <w:t>（</w:t>
      </w:r>
      <w:r>
        <w:rPr>
          <w:spacing w:val="-3"/>
          <w:u w:val="single"/>
        </w:rPr>
        <w:t>盖</w:t>
      </w:r>
      <w:r>
        <w:rPr>
          <w:u w:val="single"/>
        </w:rPr>
        <w:t>单</w:t>
      </w:r>
      <w:r>
        <w:rPr>
          <w:spacing w:val="-3"/>
          <w:u w:val="single"/>
        </w:rPr>
        <w:t>位</w:t>
      </w:r>
      <w:r>
        <w:rPr>
          <w:u w:val="single"/>
        </w:rPr>
        <w:t>章）</w:t>
      </w:r>
    </w:p>
    <w:p>
      <w:pPr>
        <w:pStyle w:val="BodyText"/>
        <w:tabs>
          <w:tab w:pos="5615" w:val="left" w:leader="none"/>
          <w:tab w:pos="6664" w:val="left" w:leader="none"/>
          <w:tab w:pos="7716" w:val="left" w:leader="none"/>
          <w:tab w:pos="7987" w:val="left" w:leader="none"/>
        </w:tabs>
        <w:spacing w:line="364" w:lineRule="auto" w:before="141"/>
        <w:ind w:left="4038" w:right="1045"/>
      </w:pPr>
      <w:r>
        <w:rPr/>
        <w:t>法定</w:t>
      </w:r>
      <w:r>
        <w:rPr>
          <w:spacing w:val="-3"/>
        </w:rPr>
        <w:t>代</w:t>
      </w:r>
      <w:r>
        <w:rPr/>
        <w:t>表</w:t>
      </w:r>
      <w:r>
        <w:rPr>
          <w:spacing w:val="-3"/>
        </w:rPr>
        <w:t>人</w:t>
      </w:r>
      <w:r>
        <w:rPr/>
        <w:t>或</w:t>
      </w:r>
      <w:r>
        <w:rPr>
          <w:spacing w:val="-3"/>
        </w:rPr>
        <w:t>授</w:t>
      </w:r>
      <w:r>
        <w:rPr/>
        <w:t>权</w:t>
      </w:r>
      <w:r>
        <w:rPr>
          <w:spacing w:val="-3"/>
        </w:rPr>
        <w:t>代</w:t>
      </w:r>
      <w:r>
        <w:rPr/>
        <w:t>理</w:t>
      </w:r>
      <w:r>
        <w:rPr>
          <w:spacing w:val="-3"/>
        </w:rPr>
        <w:t>人</w:t>
      </w:r>
      <w:r>
        <w:rPr>
          <w:spacing w:val="-22"/>
        </w:rPr>
        <w:t>：</w:t>
      </w:r>
      <w:r>
        <w:rPr>
          <w:spacing w:val="-22"/>
          <w:u w:val="single"/>
        </w:rPr>
        <w:t> </w:t>
        <w:tab/>
        <w:tab/>
        <w:tab/>
      </w:r>
      <w:r>
        <w:rPr>
          <w:spacing w:val="-3"/>
          <w:u w:val="single"/>
        </w:rPr>
        <w:t>（</w:t>
      </w:r>
      <w:r>
        <w:rPr>
          <w:u w:val="single"/>
        </w:rPr>
        <w:t>签</w:t>
      </w:r>
      <w:r>
        <w:rPr>
          <w:spacing w:val="-3"/>
          <w:u w:val="single"/>
        </w:rPr>
        <w:t>字</w:t>
      </w:r>
      <w:r>
        <w:rPr>
          <w:u w:val="single"/>
        </w:rPr>
        <w:t>或盖</w:t>
      </w:r>
      <w:r>
        <w:rPr>
          <w:spacing w:val="-3"/>
          <w:u w:val="single"/>
        </w:rPr>
        <w:t>章</w:t>
      </w:r>
      <w:r>
        <w:rPr>
          <w:spacing w:val="-15"/>
          <w:u w:val="single"/>
        </w:rPr>
        <w:t>） </w:t>
      </w:r>
      <w:r>
        <w:rPr/>
        <w:t>日期</w:t>
      </w:r>
      <w:r>
        <w:rPr>
          <w:spacing w:val="-3"/>
        </w:rPr>
        <w:t>：</w:t>
      </w:r>
      <w:r>
        <w:rPr>
          <w:spacing w:val="-3"/>
          <w:u w:val="single"/>
        </w:rPr>
        <w:t> </w:t>
        <w:tab/>
      </w:r>
      <w:r>
        <w:rPr/>
        <w:t>年</w:t>
      </w:r>
      <w:r>
        <w:rPr>
          <w:u w:val="single"/>
        </w:rPr>
        <w:t> </w:t>
        <w:tab/>
      </w:r>
      <w:r>
        <w:rPr/>
        <w:t>月</w:t>
      </w:r>
      <w:r>
        <w:rPr>
          <w:u w:val="single"/>
        </w:rPr>
        <w:t> </w:t>
        <w:tab/>
      </w:r>
      <w:r>
        <w:rPr/>
        <w:t>日</w:t>
      </w:r>
    </w:p>
    <w:p>
      <w:pPr>
        <w:spacing w:after="0" w:line="364" w:lineRule="auto"/>
        <w:sectPr>
          <w:pgSz w:w="11910" w:h="16850"/>
          <w:pgMar w:header="0" w:footer="779" w:top="1600" w:bottom="1040" w:left="1120" w:right="280"/>
        </w:sect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7"/>
        <w:ind w:left="0"/>
        <w:rPr>
          <w:sz w:val="25"/>
        </w:rPr>
      </w:pPr>
    </w:p>
    <w:p>
      <w:pPr>
        <w:pStyle w:val="Heading5"/>
        <w:spacing w:line="456" w:lineRule="exact"/>
        <w:ind w:right="777"/>
      </w:pPr>
      <w:r>
        <w:rPr/>
        <w:t>广西壮族自治区建筑工程安全文明施工措施项目清单内容</w:t>
      </w:r>
    </w:p>
    <w:p>
      <w:pPr>
        <w:pStyle w:val="Heading7"/>
        <w:spacing w:line="278" w:lineRule="exact" w:after="0"/>
        <w:ind w:left="297" w:right="175"/>
        <w:jc w:val="center"/>
      </w:pPr>
      <w:r>
        <w:rPr/>
        <w:t>（桂建质〔</w:t>
      </w:r>
      <w:r>
        <w:rPr>
          <w:rFonts w:ascii="Times New Roman" w:eastAsia="Times New Roman"/>
        </w:rPr>
        <w:t>2015</w:t>
      </w:r>
      <w:r>
        <w:rPr/>
        <w:t>〕</w:t>
      </w:r>
      <w:r>
        <w:rPr>
          <w:rFonts w:ascii="Times New Roman" w:eastAsia="Times New Roman"/>
        </w:rPr>
        <w:t>16 </w:t>
      </w:r>
      <w:r>
        <w:rPr/>
        <w:t>号文附件一）</w:t>
      </w:r>
    </w:p>
    <w:p>
      <w:pPr>
        <w:spacing w:line="377" w:lineRule="exact" w:before="79"/>
        <w:ind w:left="297" w:right="652" w:firstLine="0"/>
        <w:jc w:val="center"/>
        <w:rPr>
          <w:rFonts w:ascii="Microsoft JhengHei" w:eastAsia="Microsoft JhengHei" w:hint="eastAsia"/>
          <w:b/>
          <w:sz w:val="24"/>
        </w:rPr>
      </w:pPr>
      <w:r>
        <w:rPr>
          <w:rFonts w:ascii="Microsoft JhengHei" w:eastAsia="Microsoft JhengHei" w:hint="eastAsia"/>
          <w:b/>
          <w:sz w:val="24"/>
        </w:rPr>
        <w:t>广西壮族自治区</w:t>
      </w:r>
      <w:r>
        <w:rPr>
          <w:rFonts w:ascii="Microsoft JhengHei" w:eastAsia="Microsoft JhengHei" w:hint="eastAsia"/>
          <w:b/>
          <w:w w:val="200"/>
          <w:sz w:val="24"/>
        </w:rPr>
        <w:t> </w:t>
      </w:r>
    </w:p>
    <w:p>
      <w:pPr>
        <w:spacing w:line="377" w:lineRule="exact" w:before="0"/>
        <w:ind w:left="297" w:right="231" w:firstLine="0"/>
        <w:jc w:val="center"/>
        <w:rPr>
          <w:rFonts w:ascii="Microsoft JhengHei" w:eastAsia="Microsoft JhengHei" w:hint="eastAsia"/>
          <w:b/>
          <w:sz w:val="24"/>
        </w:rPr>
      </w:pPr>
      <w:r>
        <w:rPr>
          <w:rFonts w:ascii="Microsoft JhengHei" w:eastAsia="Microsoft JhengHei" w:hint="eastAsia"/>
          <w:b/>
          <w:sz w:val="24"/>
        </w:rPr>
        <w:t>建设工程安全文明施工措施项目清单内容</w:t>
      </w:r>
    </w:p>
    <w:p>
      <w:pPr>
        <w:pStyle w:val="BodyText"/>
        <w:spacing w:before="5"/>
        <w:ind w:left="0"/>
        <w:rPr>
          <w:rFonts w:ascii="Microsoft JhengHei"/>
          <w:b/>
          <w:sz w:val="12"/>
        </w:rPr>
      </w:pPr>
    </w:p>
    <w:tbl>
      <w:tblPr>
        <w:tblW w:w="0" w:type="auto"/>
        <w:jc w:val="left"/>
        <w:tblInd w:w="69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39"/>
        <w:gridCol w:w="523"/>
        <w:gridCol w:w="1546"/>
        <w:gridCol w:w="6646"/>
      </w:tblGrid>
      <w:tr>
        <w:trPr>
          <w:trHeight w:val="469" w:hRule="atLeast"/>
        </w:trPr>
        <w:tc>
          <w:tcPr>
            <w:tcW w:w="739" w:type="dxa"/>
            <w:tcBorders>
              <w:bottom w:val="single" w:sz="4" w:space="0" w:color="000000"/>
              <w:right w:val="single" w:sz="4" w:space="0" w:color="000000"/>
            </w:tcBorders>
          </w:tcPr>
          <w:p>
            <w:pPr>
              <w:pStyle w:val="TableParagraph"/>
              <w:spacing w:before="48"/>
              <w:ind w:left="157"/>
              <w:rPr>
                <w:rFonts w:ascii="微软雅黑" w:eastAsia="微软雅黑" w:hint="eastAsia"/>
                <w:b/>
                <w:sz w:val="21"/>
              </w:rPr>
            </w:pPr>
            <w:r>
              <w:rPr>
                <w:rFonts w:ascii="微软雅黑" w:eastAsia="微软雅黑" w:hint="eastAsia"/>
                <w:b/>
                <w:sz w:val="21"/>
              </w:rPr>
              <w:t>类别</w:t>
            </w:r>
          </w:p>
        </w:tc>
        <w:tc>
          <w:tcPr>
            <w:tcW w:w="2069" w:type="dxa"/>
            <w:gridSpan w:val="2"/>
            <w:tcBorders>
              <w:left w:val="single" w:sz="4" w:space="0" w:color="000000"/>
              <w:bottom w:val="single" w:sz="4" w:space="0" w:color="000000"/>
              <w:right w:val="single" w:sz="4" w:space="0" w:color="000000"/>
            </w:tcBorders>
          </w:tcPr>
          <w:p>
            <w:pPr>
              <w:pStyle w:val="TableParagraph"/>
              <w:spacing w:before="48"/>
              <w:ind w:left="621"/>
              <w:rPr>
                <w:rFonts w:ascii="微软雅黑" w:eastAsia="微软雅黑" w:hint="eastAsia"/>
                <w:b/>
                <w:sz w:val="21"/>
              </w:rPr>
            </w:pPr>
            <w:r>
              <w:rPr>
                <w:rFonts w:ascii="微软雅黑" w:eastAsia="微软雅黑" w:hint="eastAsia"/>
                <w:b/>
                <w:sz w:val="21"/>
              </w:rPr>
              <w:t>项目名称</w:t>
            </w:r>
          </w:p>
        </w:tc>
        <w:tc>
          <w:tcPr>
            <w:tcW w:w="6646" w:type="dxa"/>
            <w:tcBorders>
              <w:left w:val="single" w:sz="4" w:space="0" w:color="000000"/>
              <w:bottom w:val="single" w:sz="4" w:space="0" w:color="000000"/>
            </w:tcBorders>
          </w:tcPr>
          <w:p>
            <w:pPr>
              <w:pStyle w:val="TableParagraph"/>
              <w:spacing w:before="48"/>
              <w:ind w:left="2579" w:right="2537"/>
              <w:jc w:val="center"/>
              <w:rPr>
                <w:rFonts w:ascii="微软雅黑" w:eastAsia="微软雅黑" w:hint="eastAsia"/>
                <w:b/>
                <w:sz w:val="21"/>
              </w:rPr>
            </w:pPr>
            <w:r>
              <w:rPr>
                <w:rFonts w:ascii="微软雅黑" w:eastAsia="微软雅黑" w:hint="eastAsia"/>
                <w:b/>
                <w:sz w:val="21"/>
              </w:rPr>
              <w:t>主要内容和要求</w:t>
            </w:r>
          </w:p>
        </w:tc>
      </w:tr>
      <w:tr>
        <w:trPr>
          <w:trHeight w:val="599" w:hRule="atLeast"/>
        </w:trPr>
        <w:tc>
          <w:tcPr>
            <w:tcW w:w="739" w:type="dxa"/>
            <w:vMerge w:val="restart"/>
            <w:tcBorders>
              <w:top w:val="single" w:sz="4" w:space="0" w:color="000000"/>
              <w:bottom w:val="single" w:sz="4" w:space="0" w:color="000000"/>
              <w:right w:val="single" w:sz="4" w:space="0" w:color="000000"/>
            </w:tcBorders>
          </w:tcPr>
          <w:p>
            <w:pPr>
              <w:pStyle w:val="TableParagraph"/>
              <w:rPr>
                <w:rFonts w:ascii="Microsoft JhengHei"/>
                <w:b/>
                <w:sz w:val="28"/>
              </w:rPr>
            </w:pPr>
          </w:p>
          <w:p>
            <w:pPr>
              <w:pStyle w:val="TableParagraph"/>
              <w:rPr>
                <w:rFonts w:ascii="Microsoft JhengHei"/>
                <w:b/>
                <w:sz w:val="28"/>
              </w:rPr>
            </w:pPr>
          </w:p>
          <w:p>
            <w:pPr>
              <w:pStyle w:val="TableParagraph"/>
              <w:rPr>
                <w:rFonts w:ascii="Microsoft JhengHei"/>
                <w:b/>
                <w:sz w:val="28"/>
              </w:rPr>
            </w:pPr>
          </w:p>
          <w:p>
            <w:pPr>
              <w:pStyle w:val="TableParagraph"/>
              <w:rPr>
                <w:rFonts w:ascii="Microsoft JhengHei"/>
                <w:b/>
                <w:sz w:val="28"/>
              </w:rPr>
            </w:pPr>
          </w:p>
          <w:p>
            <w:pPr>
              <w:pStyle w:val="TableParagraph"/>
              <w:rPr>
                <w:rFonts w:ascii="Microsoft JhengHei"/>
                <w:b/>
                <w:sz w:val="25"/>
              </w:rPr>
            </w:pPr>
          </w:p>
          <w:p>
            <w:pPr>
              <w:pStyle w:val="TableParagraph"/>
              <w:spacing w:line="187" w:lineRule="auto"/>
              <w:ind w:left="157" w:right="136"/>
              <w:jc w:val="center"/>
              <w:rPr>
                <w:rFonts w:ascii="微软雅黑" w:eastAsia="微软雅黑" w:hint="eastAsia"/>
                <w:sz w:val="21"/>
              </w:rPr>
            </w:pPr>
            <w:r>
              <w:rPr>
                <w:rFonts w:ascii="微软雅黑" w:eastAsia="微软雅黑" w:hint="eastAsia"/>
                <w:spacing w:val="-9"/>
                <w:sz w:val="21"/>
              </w:rPr>
              <w:t>文明施工</w:t>
            </w:r>
            <w:r>
              <w:rPr>
                <w:rFonts w:ascii="微软雅黑" w:eastAsia="微软雅黑" w:hint="eastAsia"/>
                <w:sz w:val="21"/>
              </w:rPr>
              <w:t>与 </w:t>
            </w:r>
            <w:r>
              <w:rPr>
                <w:rFonts w:ascii="微软雅黑" w:eastAsia="微软雅黑" w:hint="eastAsia"/>
                <w:spacing w:val="-9"/>
                <w:sz w:val="21"/>
              </w:rPr>
              <w:t>环境保护</w:t>
            </w:r>
          </w:p>
        </w:tc>
        <w:tc>
          <w:tcPr>
            <w:tcW w:w="2069" w:type="dxa"/>
            <w:gridSpan w:val="2"/>
            <w:tcBorders>
              <w:top w:val="single" w:sz="4" w:space="0" w:color="000000"/>
              <w:left w:val="single" w:sz="4" w:space="0" w:color="000000"/>
              <w:bottom w:val="single" w:sz="4" w:space="0" w:color="000000"/>
              <w:right w:val="single" w:sz="4" w:space="0" w:color="000000"/>
            </w:tcBorders>
          </w:tcPr>
          <w:p>
            <w:pPr>
              <w:pStyle w:val="TableParagraph"/>
              <w:spacing w:line="306" w:lineRule="exact"/>
              <w:ind w:left="602" w:right="576"/>
              <w:jc w:val="center"/>
              <w:rPr>
                <w:rFonts w:ascii="微软雅黑" w:eastAsia="微软雅黑" w:hint="eastAsia"/>
                <w:sz w:val="21"/>
              </w:rPr>
            </w:pPr>
            <w:r>
              <w:rPr>
                <w:rFonts w:ascii="微软雅黑" w:eastAsia="微软雅黑" w:hint="eastAsia"/>
                <w:sz w:val="21"/>
              </w:rPr>
              <w:t>安全警示</w:t>
            </w:r>
          </w:p>
          <w:p>
            <w:pPr>
              <w:pStyle w:val="TableParagraph"/>
              <w:spacing w:line="273" w:lineRule="exact"/>
              <w:ind w:left="600" w:right="576"/>
              <w:jc w:val="center"/>
              <w:rPr>
                <w:rFonts w:ascii="微软雅黑" w:eastAsia="微软雅黑" w:hint="eastAsia"/>
                <w:sz w:val="21"/>
              </w:rPr>
            </w:pPr>
            <w:r>
              <w:rPr>
                <w:rFonts w:ascii="微软雅黑" w:eastAsia="微软雅黑" w:hint="eastAsia"/>
                <w:sz w:val="21"/>
              </w:rPr>
              <w:t>标志牌</w:t>
            </w:r>
          </w:p>
        </w:tc>
        <w:tc>
          <w:tcPr>
            <w:tcW w:w="6646" w:type="dxa"/>
            <w:tcBorders>
              <w:top w:val="single" w:sz="4" w:space="0" w:color="000000"/>
              <w:left w:val="single" w:sz="4" w:space="0" w:color="000000"/>
              <w:bottom w:val="single" w:sz="4" w:space="0" w:color="000000"/>
            </w:tcBorders>
          </w:tcPr>
          <w:p>
            <w:pPr>
              <w:pStyle w:val="TableParagraph"/>
              <w:spacing w:line="306" w:lineRule="exact"/>
              <w:ind w:left="117"/>
              <w:rPr>
                <w:rFonts w:ascii="微软雅黑" w:eastAsia="微软雅黑" w:hint="eastAsia"/>
                <w:sz w:val="21"/>
              </w:rPr>
            </w:pPr>
            <w:r>
              <w:rPr>
                <w:rFonts w:ascii="微软雅黑" w:eastAsia="微软雅黑" w:hint="eastAsia"/>
                <w:spacing w:val="-6"/>
                <w:sz w:val="21"/>
              </w:rPr>
              <w:t>在易发伤亡事故</w:t>
            </w:r>
            <w:r>
              <w:rPr>
                <w:rFonts w:ascii="微软雅黑" w:eastAsia="微软雅黑" w:hint="eastAsia"/>
                <w:spacing w:val="-3"/>
                <w:sz w:val="21"/>
              </w:rPr>
              <w:t>（或危险</w:t>
            </w:r>
            <w:r>
              <w:rPr>
                <w:rFonts w:ascii="微软雅黑" w:eastAsia="微软雅黑" w:hint="eastAsia"/>
                <w:spacing w:val="-27"/>
                <w:sz w:val="21"/>
              </w:rPr>
              <w:t>）</w:t>
            </w:r>
            <w:r>
              <w:rPr>
                <w:rFonts w:ascii="微软雅黑" w:eastAsia="微软雅黑" w:hint="eastAsia"/>
                <w:spacing w:val="-7"/>
                <w:sz w:val="21"/>
              </w:rPr>
              <w:t>处设置明显的、符合国家标准要求的安全警</w:t>
            </w:r>
          </w:p>
          <w:p>
            <w:pPr>
              <w:pStyle w:val="TableParagraph"/>
              <w:spacing w:line="273" w:lineRule="exact"/>
              <w:ind w:left="117"/>
              <w:rPr>
                <w:rFonts w:ascii="微软雅黑" w:eastAsia="微软雅黑" w:hint="eastAsia"/>
                <w:sz w:val="21"/>
              </w:rPr>
            </w:pPr>
            <w:r>
              <w:rPr>
                <w:rFonts w:ascii="微软雅黑" w:eastAsia="微软雅黑" w:hint="eastAsia"/>
                <w:sz w:val="21"/>
              </w:rPr>
              <w:t>示标志牌。</w:t>
            </w:r>
          </w:p>
        </w:tc>
      </w:tr>
      <w:tr>
        <w:trPr>
          <w:trHeight w:val="601" w:hRule="atLeast"/>
        </w:trPr>
        <w:tc>
          <w:tcPr>
            <w:tcW w:w="739" w:type="dxa"/>
            <w:vMerge/>
            <w:tcBorders>
              <w:top w:val="nil"/>
              <w:bottom w:val="single" w:sz="4" w:space="0" w:color="000000"/>
              <w:right w:val="single" w:sz="4" w:space="0" w:color="000000"/>
            </w:tcBorders>
          </w:tcPr>
          <w:p>
            <w:pPr>
              <w:rPr>
                <w:sz w:val="2"/>
                <w:szCs w:val="2"/>
              </w:rPr>
            </w:pPr>
          </w:p>
        </w:tc>
        <w:tc>
          <w:tcPr>
            <w:tcW w:w="2069"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14"/>
              <w:ind w:left="621"/>
              <w:rPr>
                <w:rFonts w:ascii="微软雅黑" w:eastAsia="微软雅黑" w:hint="eastAsia"/>
                <w:sz w:val="21"/>
              </w:rPr>
            </w:pPr>
            <w:r>
              <w:rPr>
                <w:rFonts w:ascii="微软雅黑" w:eastAsia="微软雅黑" w:hint="eastAsia"/>
                <w:sz w:val="21"/>
              </w:rPr>
              <w:t>现场围挡</w:t>
            </w:r>
          </w:p>
        </w:tc>
        <w:tc>
          <w:tcPr>
            <w:tcW w:w="6646" w:type="dxa"/>
            <w:tcBorders>
              <w:top w:val="single" w:sz="4" w:space="0" w:color="000000"/>
              <w:left w:val="single" w:sz="4" w:space="0" w:color="000000"/>
              <w:bottom w:val="single" w:sz="4" w:space="0" w:color="000000"/>
            </w:tcBorders>
          </w:tcPr>
          <w:p>
            <w:pPr>
              <w:pStyle w:val="TableParagraph"/>
              <w:numPr>
                <w:ilvl w:val="0"/>
                <w:numId w:val="128"/>
              </w:numPr>
              <w:tabs>
                <w:tab w:pos="399" w:val="left" w:leader="none"/>
              </w:tabs>
              <w:spacing w:line="309" w:lineRule="exact" w:before="0" w:after="0"/>
              <w:ind w:left="398" w:right="0" w:hanging="282"/>
              <w:jc w:val="left"/>
              <w:rPr>
                <w:rFonts w:ascii="微软雅黑" w:eastAsia="微软雅黑" w:hint="eastAsia"/>
                <w:sz w:val="21"/>
              </w:rPr>
            </w:pPr>
            <w:r>
              <w:rPr>
                <w:rFonts w:ascii="微软雅黑" w:eastAsia="微软雅黑" w:hint="eastAsia"/>
                <w:spacing w:val="-4"/>
                <w:sz w:val="21"/>
              </w:rPr>
              <w:t>现场采用封闭围挡，高度不小于 </w:t>
            </w:r>
            <w:r>
              <w:rPr>
                <w:rFonts w:ascii="微软雅黑" w:eastAsia="微软雅黑" w:hint="eastAsia"/>
                <w:sz w:val="21"/>
              </w:rPr>
              <w:t>1.8m。</w:t>
            </w:r>
          </w:p>
          <w:p>
            <w:pPr>
              <w:pStyle w:val="TableParagraph"/>
              <w:numPr>
                <w:ilvl w:val="0"/>
                <w:numId w:val="128"/>
              </w:numPr>
              <w:tabs>
                <w:tab w:pos="399" w:val="left" w:leader="none"/>
              </w:tabs>
              <w:spacing w:line="273" w:lineRule="exact" w:before="0" w:after="0"/>
              <w:ind w:left="398" w:right="0" w:hanging="282"/>
              <w:jc w:val="left"/>
              <w:rPr>
                <w:rFonts w:ascii="微软雅黑" w:eastAsia="微软雅黑" w:hint="eastAsia"/>
                <w:sz w:val="21"/>
              </w:rPr>
            </w:pPr>
            <w:r>
              <w:rPr>
                <w:rFonts w:ascii="微软雅黑" w:eastAsia="微软雅黑" w:hint="eastAsia"/>
                <w:spacing w:val="-3"/>
                <w:sz w:val="21"/>
              </w:rPr>
              <w:t>围挡材料可用彩色、定型钢板，砌块等墙体。</w:t>
            </w:r>
          </w:p>
        </w:tc>
      </w:tr>
      <w:tr>
        <w:trPr>
          <w:trHeight w:val="899" w:hRule="atLeast"/>
        </w:trPr>
        <w:tc>
          <w:tcPr>
            <w:tcW w:w="739" w:type="dxa"/>
            <w:vMerge/>
            <w:tcBorders>
              <w:top w:val="nil"/>
              <w:bottom w:val="single" w:sz="4" w:space="0" w:color="000000"/>
              <w:right w:val="single" w:sz="4" w:space="0" w:color="000000"/>
            </w:tcBorders>
          </w:tcPr>
          <w:p>
            <w:pPr>
              <w:rPr>
                <w:sz w:val="2"/>
                <w:szCs w:val="2"/>
              </w:rPr>
            </w:pPr>
          </w:p>
        </w:tc>
        <w:tc>
          <w:tcPr>
            <w:tcW w:w="2069"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
              <w:rPr>
                <w:rFonts w:ascii="Microsoft JhengHei"/>
                <w:b/>
                <w:sz w:val="14"/>
              </w:rPr>
            </w:pPr>
          </w:p>
          <w:p>
            <w:pPr>
              <w:pStyle w:val="TableParagraph"/>
              <w:ind w:left="621"/>
              <w:rPr>
                <w:rFonts w:ascii="微软雅黑" w:eastAsia="微软雅黑" w:hint="eastAsia"/>
                <w:sz w:val="21"/>
              </w:rPr>
            </w:pPr>
            <w:r>
              <w:rPr>
                <w:rFonts w:ascii="微软雅黑" w:eastAsia="微软雅黑" w:hint="eastAsia"/>
                <w:sz w:val="21"/>
              </w:rPr>
              <w:t>七牌二图</w:t>
            </w:r>
          </w:p>
        </w:tc>
        <w:tc>
          <w:tcPr>
            <w:tcW w:w="6646" w:type="dxa"/>
            <w:tcBorders>
              <w:top w:val="single" w:sz="4" w:space="0" w:color="000000"/>
              <w:left w:val="single" w:sz="4" w:space="0" w:color="000000"/>
              <w:bottom w:val="single" w:sz="4" w:space="0" w:color="000000"/>
            </w:tcBorders>
          </w:tcPr>
          <w:p>
            <w:pPr>
              <w:pStyle w:val="TableParagraph"/>
              <w:spacing w:line="187" w:lineRule="auto" w:before="23"/>
              <w:ind w:left="117" w:right="72"/>
              <w:rPr>
                <w:rFonts w:ascii="微软雅黑" w:eastAsia="微软雅黑" w:hint="eastAsia"/>
                <w:sz w:val="21"/>
              </w:rPr>
            </w:pPr>
            <w:r>
              <w:rPr>
                <w:rFonts w:ascii="微软雅黑" w:eastAsia="微软雅黑" w:hint="eastAsia"/>
                <w:spacing w:val="-9"/>
                <w:sz w:val="21"/>
              </w:rPr>
              <w:t>在进门处悬挂工程概况、现场出入制度、管理人员名单及监督电话、安</w:t>
            </w:r>
            <w:r>
              <w:rPr>
                <w:rFonts w:ascii="微软雅黑" w:eastAsia="微软雅黑" w:hint="eastAsia"/>
                <w:spacing w:val="-12"/>
                <w:sz w:val="21"/>
              </w:rPr>
              <w:t>全生产规定、文明施工、消防保卫、节能公示等七牌以及施工现场总平</w:t>
            </w:r>
          </w:p>
          <w:p>
            <w:pPr>
              <w:pStyle w:val="TableParagraph"/>
              <w:spacing w:line="252" w:lineRule="exact"/>
              <w:ind w:left="117"/>
              <w:rPr>
                <w:rFonts w:ascii="微软雅黑" w:eastAsia="微软雅黑" w:hint="eastAsia"/>
                <w:sz w:val="21"/>
              </w:rPr>
            </w:pPr>
            <w:r>
              <w:rPr>
                <w:rFonts w:ascii="微软雅黑" w:eastAsia="微软雅黑" w:hint="eastAsia"/>
                <w:sz w:val="21"/>
              </w:rPr>
              <w:t>面图、工程效果图。</w:t>
            </w:r>
          </w:p>
        </w:tc>
      </w:tr>
      <w:tr>
        <w:trPr>
          <w:trHeight w:val="508" w:hRule="atLeast"/>
        </w:trPr>
        <w:tc>
          <w:tcPr>
            <w:tcW w:w="739" w:type="dxa"/>
            <w:vMerge/>
            <w:tcBorders>
              <w:top w:val="nil"/>
              <w:bottom w:val="single" w:sz="4" w:space="0" w:color="000000"/>
              <w:right w:val="single" w:sz="4" w:space="0" w:color="000000"/>
            </w:tcBorders>
          </w:tcPr>
          <w:p>
            <w:pPr>
              <w:rPr>
                <w:sz w:val="2"/>
                <w:szCs w:val="2"/>
              </w:rPr>
            </w:pPr>
          </w:p>
        </w:tc>
        <w:tc>
          <w:tcPr>
            <w:tcW w:w="2069" w:type="dxa"/>
            <w:gridSpan w:val="2"/>
            <w:tcBorders>
              <w:top w:val="single" w:sz="4" w:space="0" w:color="000000"/>
              <w:left w:val="single" w:sz="4" w:space="0" w:color="000000"/>
              <w:bottom w:val="single" w:sz="4" w:space="0" w:color="000000"/>
              <w:right w:val="single" w:sz="4" w:space="0" w:color="000000"/>
            </w:tcBorders>
          </w:tcPr>
          <w:p>
            <w:pPr>
              <w:pStyle w:val="TableParagraph"/>
              <w:spacing w:before="68"/>
              <w:ind w:left="621"/>
              <w:rPr>
                <w:rFonts w:ascii="微软雅黑" w:eastAsia="微软雅黑" w:hint="eastAsia"/>
                <w:sz w:val="21"/>
              </w:rPr>
            </w:pPr>
            <w:r>
              <w:rPr>
                <w:rFonts w:ascii="微软雅黑" w:eastAsia="微软雅黑" w:hint="eastAsia"/>
                <w:sz w:val="21"/>
              </w:rPr>
              <w:t>企业标志</w:t>
            </w:r>
          </w:p>
        </w:tc>
        <w:tc>
          <w:tcPr>
            <w:tcW w:w="6646" w:type="dxa"/>
            <w:tcBorders>
              <w:top w:val="single" w:sz="4" w:space="0" w:color="000000"/>
              <w:left w:val="single" w:sz="4" w:space="0" w:color="000000"/>
              <w:bottom w:val="single" w:sz="4" w:space="0" w:color="000000"/>
            </w:tcBorders>
          </w:tcPr>
          <w:p>
            <w:pPr>
              <w:pStyle w:val="TableParagraph"/>
              <w:spacing w:before="68"/>
              <w:ind w:left="117"/>
              <w:rPr>
                <w:rFonts w:ascii="微软雅黑" w:eastAsia="微软雅黑" w:hint="eastAsia"/>
                <w:sz w:val="21"/>
              </w:rPr>
            </w:pPr>
            <w:r>
              <w:rPr>
                <w:rFonts w:ascii="微软雅黑" w:eastAsia="微软雅黑" w:hint="eastAsia"/>
                <w:sz w:val="21"/>
              </w:rPr>
              <w:t>现场出入的大门应设有本企业标志或企业标识。</w:t>
            </w:r>
          </w:p>
        </w:tc>
      </w:tr>
      <w:tr>
        <w:trPr>
          <w:trHeight w:val="1202" w:hRule="atLeast"/>
        </w:trPr>
        <w:tc>
          <w:tcPr>
            <w:tcW w:w="739" w:type="dxa"/>
            <w:vMerge/>
            <w:tcBorders>
              <w:top w:val="nil"/>
              <w:bottom w:val="single" w:sz="4" w:space="0" w:color="000000"/>
              <w:right w:val="single" w:sz="4" w:space="0" w:color="000000"/>
            </w:tcBorders>
          </w:tcPr>
          <w:p>
            <w:pPr>
              <w:rPr>
                <w:sz w:val="2"/>
                <w:szCs w:val="2"/>
              </w:rPr>
            </w:pPr>
          </w:p>
        </w:tc>
        <w:tc>
          <w:tcPr>
            <w:tcW w:w="2069" w:type="dxa"/>
            <w:gridSpan w:val="2"/>
            <w:tcBorders>
              <w:top w:val="single" w:sz="4" w:space="0" w:color="000000"/>
              <w:left w:val="single" w:sz="4" w:space="0" w:color="000000"/>
              <w:bottom w:val="single" w:sz="4" w:space="0" w:color="000000"/>
              <w:right w:val="single" w:sz="4" w:space="0" w:color="000000"/>
            </w:tcBorders>
          </w:tcPr>
          <w:p>
            <w:pPr>
              <w:pStyle w:val="TableParagraph"/>
              <w:spacing w:before="9"/>
              <w:rPr>
                <w:rFonts w:ascii="Microsoft JhengHei"/>
                <w:b/>
                <w:sz w:val="22"/>
              </w:rPr>
            </w:pPr>
          </w:p>
          <w:p>
            <w:pPr>
              <w:pStyle w:val="TableParagraph"/>
              <w:ind w:left="621"/>
              <w:rPr>
                <w:rFonts w:ascii="微软雅黑" w:eastAsia="微软雅黑" w:hint="eastAsia"/>
                <w:sz w:val="21"/>
              </w:rPr>
            </w:pPr>
            <w:r>
              <w:rPr>
                <w:rFonts w:ascii="微软雅黑" w:eastAsia="微软雅黑" w:hint="eastAsia"/>
                <w:sz w:val="21"/>
              </w:rPr>
              <w:t>场容场貌</w:t>
            </w:r>
          </w:p>
        </w:tc>
        <w:tc>
          <w:tcPr>
            <w:tcW w:w="6646" w:type="dxa"/>
            <w:tcBorders>
              <w:top w:val="single" w:sz="4" w:space="0" w:color="000000"/>
              <w:left w:val="single" w:sz="4" w:space="0" w:color="000000"/>
              <w:bottom w:val="single" w:sz="4" w:space="0" w:color="000000"/>
            </w:tcBorders>
          </w:tcPr>
          <w:p>
            <w:pPr>
              <w:pStyle w:val="TableParagraph"/>
              <w:numPr>
                <w:ilvl w:val="0"/>
                <w:numId w:val="129"/>
              </w:numPr>
              <w:tabs>
                <w:tab w:pos="399" w:val="left" w:leader="none"/>
              </w:tabs>
              <w:spacing w:line="309" w:lineRule="exact" w:before="0" w:after="0"/>
              <w:ind w:left="398" w:right="0" w:hanging="282"/>
              <w:jc w:val="left"/>
              <w:rPr>
                <w:rFonts w:ascii="微软雅黑" w:eastAsia="微软雅黑" w:hint="eastAsia"/>
                <w:sz w:val="21"/>
              </w:rPr>
            </w:pPr>
            <w:r>
              <w:rPr>
                <w:rFonts w:ascii="微软雅黑" w:eastAsia="微软雅黑" w:hint="eastAsia"/>
                <w:spacing w:val="-3"/>
                <w:sz w:val="21"/>
              </w:rPr>
              <w:t>道路畅通。</w:t>
            </w:r>
          </w:p>
          <w:p>
            <w:pPr>
              <w:pStyle w:val="TableParagraph"/>
              <w:numPr>
                <w:ilvl w:val="0"/>
                <w:numId w:val="129"/>
              </w:numPr>
              <w:tabs>
                <w:tab w:pos="399" w:val="left" w:leader="none"/>
              </w:tabs>
              <w:spacing w:line="300" w:lineRule="exact" w:before="0" w:after="0"/>
              <w:ind w:left="398" w:right="0" w:hanging="282"/>
              <w:jc w:val="left"/>
              <w:rPr>
                <w:rFonts w:ascii="微软雅黑" w:eastAsia="微软雅黑" w:hint="eastAsia"/>
                <w:sz w:val="21"/>
              </w:rPr>
            </w:pPr>
            <w:r>
              <w:rPr>
                <w:rFonts w:ascii="微软雅黑" w:eastAsia="微软雅黑" w:hint="eastAsia"/>
                <w:spacing w:val="-3"/>
                <w:sz w:val="21"/>
              </w:rPr>
              <w:t>排水设施齐全畅通。</w:t>
            </w:r>
          </w:p>
          <w:p>
            <w:pPr>
              <w:pStyle w:val="TableParagraph"/>
              <w:numPr>
                <w:ilvl w:val="0"/>
                <w:numId w:val="129"/>
              </w:numPr>
              <w:tabs>
                <w:tab w:pos="399" w:val="left" w:leader="none"/>
              </w:tabs>
              <w:spacing w:line="300" w:lineRule="exact" w:before="0" w:after="0"/>
              <w:ind w:left="398" w:right="0" w:hanging="282"/>
              <w:jc w:val="left"/>
              <w:rPr>
                <w:rFonts w:ascii="微软雅黑" w:eastAsia="微软雅黑" w:hint="eastAsia"/>
                <w:sz w:val="21"/>
              </w:rPr>
            </w:pPr>
            <w:r>
              <w:rPr>
                <w:rFonts w:ascii="微软雅黑" w:eastAsia="微软雅黑" w:hint="eastAsia"/>
                <w:sz w:val="21"/>
              </w:rPr>
              <w:t>工地地面硬化处理（办公区、生活区、现场道路、材料堆放、混凝</w:t>
            </w:r>
          </w:p>
          <w:p>
            <w:pPr>
              <w:pStyle w:val="TableParagraph"/>
              <w:spacing w:line="273" w:lineRule="exact"/>
              <w:ind w:left="117"/>
              <w:rPr>
                <w:rFonts w:ascii="微软雅黑" w:eastAsia="微软雅黑" w:hint="eastAsia"/>
                <w:sz w:val="21"/>
              </w:rPr>
            </w:pPr>
            <w:r>
              <w:rPr>
                <w:rFonts w:ascii="微软雅黑" w:eastAsia="微软雅黑" w:hint="eastAsia"/>
                <w:spacing w:val="-3"/>
                <w:sz w:val="21"/>
              </w:rPr>
              <w:t>土搅拌、砂浆搅拌、钢筋加工等场地和外脚手架基础等</w:t>
            </w:r>
            <w:r>
              <w:rPr>
                <w:rFonts w:ascii="微软雅黑" w:eastAsia="微软雅黑" w:hint="eastAsia"/>
                <w:spacing w:val="-108"/>
                <w:sz w:val="21"/>
              </w:rPr>
              <w:t>）</w:t>
            </w:r>
            <w:r>
              <w:rPr>
                <w:rFonts w:ascii="微软雅黑" w:eastAsia="微软雅黑" w:hint="eastAsia"/>
                <w:sz w:val="21"/>
              </w:rPr>
              <w:t>。</w:t>
            </w:r>
          </w:p>
        </w:tc>
      </w:tr>
      <w:tr>
        <w:trPr>
          <w:trHeight w:val="899" w:hRule="atLeast"/>
        </w:trPr>
        <w:tc>
          <w:tcPr>
            <w:tcW w:w="739" w:type="dxa"/>
            <w:vMerge/>
            <w:tcBorders>
              <w:top w:val="nil"/>
              <w:bottom w:val="single" w:sz="4" w:space="0" w:color="000000"/>
              <w:right w:val="single" w:sz="4" w:space="0" w:color="000000"/>
            </w:tcBorders>
          </w:tcPr>
          <w:p>
            <w:pPr>
              <w:rPr>
                <w:sz w:val="2"/>
                <w:szCs w:val="2"/>
              </w:rPr>
            </w:pPr>
          </w:p>
        </w:tc>
        <w:tc>
          <w:tcPr>
            <w:tcW w:w="2069"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
              <w:rPr>
                <w:rFonts w:ascii="Microsoft JhengHei"/>
                <w:b/>
                <w:sz w:val="14"/>
              </w:rPr>
            </w:pPr>
          </w:p>
          <w:p>
            <w:pPr>
              <w:pStyle w:val="TableParagraph"/>
              <w:ind w:left="621"/>
              <w:rPr>
                <w:rFonts w:ascii="微软雅黑" w:eastAsia="微软雅黑" w:hint="eastAsia"/>
                <w:sz w:val="21"/>
              </w:rPr>
            </w:pPr>
            <w:r>
              <w:rPr>
                <w:rFonts w:ascii="微软雅黑" w:eastAsia="微软雅黑" w:hint="eastAsia"/>
                <w:sz w:val="21"/>
              </w:rPr>
              <w:t>材料堆放</w:t>
            </w:r>
          </w:p>
        </w:tc>
        <w:tc>
          <w:tcPr>
            <w:tcW w:w="6646" w:type="dxa"/>
            <w:tcBorders>
              <w:top w:val="single" w:sz="4" w:space="0" w:color="000000"/>
              <w:left w:val="single" w:sz="4" w:space="0" w:color="000000"/>
              <w:bottom w:val="single" w:sz="4" w:space="0" w:color="000000"/>
            </w:tcBorders>
          </w:tcPr>
          <w:p>
            <w:pPr>
              <w:pStyle w:val="TableParagraph"/>
              <w:numPr>
                <w:ilvl w:val="0"/>
                <w:numId w:val="130"/>
              </w:numPr>
              <w:tabs>
                <w:tab w:pos="351" w:val="left" w:leader="none"/>
              </w:tabs>
              <w:spacing w:line="306" w:lineRule="exact" w:before="0" w:after="0"/>
              <w:ind w:left="350" w:right="0" w:hanging="234"/>
              <w:jc w:val="left"/>
              <w:rPr>
                <w:rFonts w:ascii="微软雅黑" w:eastAsia="微软雅黑" w:hint="eastAsia"/>
                <w:sz w:val="21"/>
              </w:rPr>
            </w:pPr>
            <w:r>
              <w:rPr>
                <w:rFonts w:ascii="微软雅黑" w:eastAsia="微软雅黑" w:hint="eastAsia"/>
                <w:spacing w:val="-3"/>
                <w:sz w:val="21"/>
              </w:rPr>
              <w:t>材料、构件、料具等堆放时，应有名称、品种、规格等标牌。</w:t>
            </w:r>
          </w:p>
          <w:p>
            <w:pPr>
              <w:pStyle w:val="TableParagraph"/>
              <w:numPr>
                <w:ilvl w:val="0"/>
                <w:numId w:val="130"/>
              </w:numPr>
              <w:tabs>
                <w:tab w:pos="399" w:val="left" w:leader="none"/>
              </w:tabs>
              <w:spacing w:line="300" w:lineRule="exact" w:before="0" w:after="0"/>
              <w:ind w:left="398" w:right="0" w:hanging="282"/>
              <w:jc w:val="left"/>
              <w:rPr>
                <w:rFonts w:ascii="微软雅黑" w:eastAsia="微软雅黑" w:hint="eastAsia"/>
                <w:sz w:val="21"/>
              </w:rPr>
            </w:pPr>
            <w:r>
              <w:rPr>
                <w:rFonts w:ascii="微软雅黑" w:eastAsia="微软雅黑" w:hint="eastAsia"/>
                <w:spacing w:val="-3"/>
                <w:sz w:val="21"/>
              </w:rPr>
              <w:t>水泥和其它易飞扬细颗粒建筑材料应封闭存放或采取覆盖等措施。</w:t>
            </w:r>
          </w:p>
          <w:p>
            <w:pPr>
              <w:pStyle w:val="TableParagraph"/>
              <w:numPr>
                <w:ilvl w:val="0"/>
                <w:numId w:val="130"/>
              </w:numPr>
              <w:tabs>
                <w:tab w:pos="399" w:val="left" w:leader="none"/>
              </w:tabs>
              <w:spacing w:line="273" w:lineRule="exact" w:before="0" w:after="0"/>
              <w:ind w:left="398" w:right="0" w:hanging="282"/>
              <w:jc w:val="left"/>
              <w:rPr>
                <w:rFonts w:ascii="微软雅黑" w:eastAsia="微软雅黑" w:hint="eastAsia"/>
                <w:sz w:val="21"/>
              </w:rPr>
            </w:pPr>
            <w:r>
              <w:rPr>
                <w:rFonts w:ascii="微软雅黑" w:eastAsia="微软雅黑" w:hint="eastAsia"/>
                <w:spacing w:val="-3"/>
                <w:sz w:val="21"/>
              </w:rPr>
              <w:t>易燃、易爆和有毒有害物品分类存放。</w:t>
            </w:r>
          </w:p>
        </w:tc>
      </w:tr>
      <w:tr>
        <w:trPr>
          <w:trHeight w:val="498" w:hRule="atLeast"/>
        </w:trPr>
        <w:tc>
          <w:tcPr>
            <w:tcW w:w="739" w:type="dxa"/>
            <w:vMerge/>
            <w:tcBorders>
              <w:top w:val="nil"/>
              <w:bottom w:val="single" w:sz="4" w:space="0" w:color="000000"/>
              <w:right w:val="single" w:sz="4" w:space="0" w:color="000000"/>
            </w:tcBorders>
          </w:tcPr>
          <w:p>
            <w:pPr>
              <w:rPr>
                <w:sz w:val="2"/>
                <w:szCs w:val="2"/>
              </w:rPr>
            </w:pPr>
          </w:p>
        </w:tc>
        <w:tc>
          <w:tcPr>
            <w:tcW w:w="2069" w:type="dxa"/>
            <w:gridSpan w:val="2"/>
            <w:tcBorders>
              <w:top w:val="single" w:sz="4" w:space="0" w:color="000000"/>
              <w:left w:val="single" w:sz="4" w:space="0" w:color="000000"/>
              <w:bottom w:val="single" w:sz="4" w:space="0" w:color="000000"/>
              <w:right w:val="single" w:sz="4" w:space="0" w:color="000000"/>
            </w:tcBorders>
          </w:tcPr>
          <w:p>
            <w:pPr>
              <w:pStyle w:val="TableParagraph"/>
              <w:spacing w:before="63"/>
              <w:ind w:left="621"/>
              <w:rPr>
                <w:rFonts w:ascii="微软雅黑" w:eastAsia="微软雅黑" w:hint="eastAsia"/>
                <w:sz w:val="21"/>
              </w:rPr>
            </w:pPr>
            <w:r>
              <w:rPr>
                <w:rFonts w:ascii="微软雅黑" w:eastAsia="微软雅黑" w:hint="eastAsia"/>
                <w:sz w:val="21"/>
              </w:rPr>
              <w:t>现场防火</w:t>
            </w:r>
          </w:p>
        </w:tc>
        <w:tc>
          <w:tcPr>
            <w:tcW w:w="6646" w:type="dxa"/>
            <w:tcBorders>
              <w:top w:val="single" w:sz="4" w:space="0" w:color="000000"/>
              <w:left w:val="single" w:sz="4" w:space="0" w:color="000000"/>
              <w:bottom w:val="single" w:sz="4" w:space="0" w:color="000000"/>
            </w:tcBorders>
          </w:tcPr>
          <w:p>
            <w:pPr>
              <w:pStyle w:val="TableParagraph"/>
              <w:spacing w:before="63"/>
              <w:ind w:left="117"/>
              <w:rPr>
                <w:rFonts w:ascii="微软雅黑" w:eastAsia="微软雅黑" w:hint="eastAsia"/>
                <w:sz w:val="21"/>
              </w:rPr>
            </w:pPr>
            <w:r>
              <w:rPr>
                <w:rFonts w:ascii="微软雅黑" w:eastAsia="微软雅黑" w:hint="eastAsia"/>
                <w:sz w:val="21"/>
              </w:rPr>
              <w:t>消防器材配置合理，符合消防要求。</w:t>
            </w:r>
          </w:p>
        </w:tc>
      </w:tr>
      <w:tr>
        <w:trPr>
          <w:trHeight w:val="600" w:hRule="atLeast"/>
        </w:trPr>
        <w:tc>
          <w:tcPr>
            <w:tcW w:w="739" w:type="dxa"/>
            <w:vMerge/>
            <w:tcBorders>
              <w:top w:val="nil"/>
              <w:bottom w:val="single" w:sz="4" w:space="0" w:color="000000"/>
              <w:right w:val="single" w:sz="4" w:space="0" w:color="000000"/>
            </w:tcBorders>
          </w:tcPr>
          <w:p>
            <w:pPr>
              <w:rPr>
                <w:sz w:val="2"/>
                <w:szCs w:val="2"/>
              </w:rPr>
            </w:pPr>
          </w:p>
        </w:tc>
        <w:tc>
          <w:tcPr>
            <w:tcW w:w="2069"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14"/>
              <w:ind w:left="621"/>
              <w:rPr>
                <w:rFonts w:ascii="微软雅黑" w:eastAsia="微软雅黑" w:hint="eastAsia"/>
                <w:sz w:val="21"/>
              </w:rPr>
            </w:pPr>
            <w:r>
              <w:rPr>
                <w:rFonts w:ascii="微软雅黑" w:eastAsia="微软雅黑" w:hint="eastAsia"/>
                <w:sz w:val="21"/>
              </w:rPr>
              <w:t>垃圾清运</w:t>
            </w:r>
          </w:p>
        </w:tc>
        <w:tc>
          <w:tcPr>
            <w:tcW w:w="6646" w:type="dxa"/>
            <w:tcBorders>
              <w:top w:val="single" w:sz="4" w:space="0" w:color="000000"/>
              <w:left w:val="single" w:sz="4" w:space="0" w:color="000000"/>
              <w:bottom w:val="single" w:sz="4" w:space="0" w:color="000000"/>
            </w:tcBorders>
          </w:tcPr>
          <w:p>
            <w:pPr>
              <w:pStyle w:val="TableParagraph"/>
              <w:numPr>
                <w:ilvl w:val="0"/>
                <w:numId w:val="131"/>
              </w:numPr>
              <w:tabs>
                <w:tab w:pos="399" w:val="left" w:leader="none"/>
              </w:tabs>
              <w:spacing w:line="307" w:lineRule="exact" w:before="0" w:after="0"/>
              <w:ind w:left="398" w:right="0" w:hanging="282"/>
              <w:jc w:val="left"/>
              <w:rPr>
                <w:rFonts w:ascii="微软雅黑" w:eastAsia="微软雅黑" w:hint="eastAsia"/>
                <w:sz w:val="21"/>
              </w:rPr>
            </w:pPr>
            <w:r>
              <w:rPr>
                <w:rFonts w:ascii="微软雅黑" w:eastAsia="微软雅黑" w:hint="eastAsia"/>
                <w:spacing w:val="-3"/>
                <w:sz w:val="21"/>
              </w:rPr>
              <w:t>施工现场应设置密闭式垃圾站，施工垃圾、生活垃圾应分类存放。</w:t>
            </w:r>
          </w:p>
          <w:p>
            <w:pPr>
              <w:pStyle w:val="TableParagraph"/>
              <w:numPr>
                <w:ilvl w:val="0"/>
                <w:numId w:val="131"/>
              </w:numPr>
              <w:tabs>
                <w:tab w:pos="399" w:val="left" w:leader="none"/>
              </w:tabs>
              <w:spacing w:line="273" w:lineRule="exact" w:before="0" w:after="0"/>
              <w:ind w:left="398" w:right="0" w:hanging="282"/>
              <w:jc w:val="left"/>
              <w:rPr>
                <w:rFonts w:ascii="微软雅黑" w:eastAsia="微软雅黑" w:hint="eastAsia"/>
                <w:sz w:val="21"/>
              </w:rPr>
            </w:pPr>
            <w:r>
              <w:rPr>
                <w:rFonts w:ascii="微软雅黑" w:eastAsia="微软雅黑" w:hint="eastAsia"/>
                <w:spacing w:val="-3"/>
                <w:sz w:val="21"/>
              </w:rPr>
              <w:t>施工垃圾必须采用相应容器或管道运输。</w:t>
            </w:r>
          </w:p>
        </w:tc>
      </w:tr>
      <w:tr>
        <w:trPr>
          <w:trHeight w:val="602" w:hRule="atLeast"/>
        </w:trPr>
        <w:tc>
          <w:tcPr>
            <w:tcW w:w="739" w:type="dxa"/>
            <w:vMerge/>
            <w:tcBorders>
              <w:top w:val="nil"/>
              <w:bottom w:val="single" w:sz="4" w:space="0" w:color="000000"/>
              <w:right w:val="single" w:sz="4" w:space="0" w:color="000000"/>
            </w:tcBorders>
          </w:tcPr>
          <w:p>
            <w:pPr>
              <w:rPr>
                <w:sz w:val="2"/>
                <w:szCs w:val="2"/>
              </w:rPr>
            </w:pPr>
          </w:p>
        </w:tc>
        <w:tc>
          <w:tcPr>
            <w:tcW w:w="2069" w:type="dxa"/>
            <w:gridSpan w:val="2"/>
            <w:tcBorders>
              <w:top w:val="single" w:sz="4" w:space="0" w:color="000000"/>
              <w:left w:val="single" w:sz="4" w:space="0" w:color="000000"/>
              <w:bottom w:val="single" w:sz="4" w:space="0" w:color="000000"/>
              <w:right w:val="single" w:sz="4" w:space="0" w:color="000000"/>
            </w:tcBorders>
          </w:tcPr>
          <w:p>
            <w:pPr>
              <w:pStyle w:val="TableParagraph"/>
              <w:spacing w:line="309" w:lineRule="exact"/>
              <w:ind w:left="115"/>
              <w:rPr>
                <w:rFonts w:ascii="微软雅黑" w:eastAsia="微软雅黑" w:hint="eastAsia"/>
                <w:sz w:val="21"/>
              </w:rPr>
            </w:pPr>
            <w:r>
              <w:rPr>
                <w:rFonts w:ascii="微软雅黑" w:eastAsia="微软雅黑" w:hint="eastAsia"/>
                <w:sz w:val="21"/>
              </w:rPr>
              <w:t>宣传栏、环保及不扰</w:t>
            </w:r>
          </w:p>
          <w:p>
            <w:pPr>
              <w:pStyle w:val="TableParagraph"/>
              <w:spacing w:line="273" w:lineRule="exact"/>
              <w:ind w:left="115"/>
              <w:rPr>
                <w:rFonts w:ascii="微软雅黑" w:eastAsia="微软雅黑" w:hint="eastAsia"/>
                <w:sz w:val="21"/>
              </w:rPr>
            </w:pPr>
            <w:r>
              <w:rPr>
                <w:rFonts w:ascii="微软雅黑" w:eastAsia="微软雅黑" w:hint="eastAsia"/>
                <w:sz w:val="21"/>
              </w:rPr>
              <w:t>民措施</w:t>
            </w:r>
          </w:p>
        </w:tc>
        <w:tc>
          <w:tcPr>
            <w:tcW w:w="6646" w:type="dxa"/>
            <w:tcBorders>
              <w:top w:val="single" w:sz="4" w:space="0" w:color="000000"/>
              <w:left w:val="single" w:sz="4" w:space="0" w:color="000000"/>
              <w:bottom w:val="single" w:sz="4" w:space="0" w:color="000000"/>
            </w:tcBorders>
          </w:tcPr>
          <w:p>
            <w:pPr>
              <w:pStyle w:val="TableParagraph"/>
              <w:spacing w:line="309" w:lineRule="exact"/>
              <w:ind w:left="117"/>
              <w:rPr>
                <w:rFonts w:ascii="微软雅黑" w:eastAsia="微软雅黑" w:hint="eastAsia"/>
                <w:sz w:val="21"/>
              </w:rPr>
            </w:pPr>
            <w:r>
              <w:rPr>
                <w:rFonts w:ascii="微软雅黑" w:eastAsia="微软雅黑" w:hint="eastAsia"/>
                <w:spacing w:val="-2"/>
                <w:sz w:val="21"/>
              </w:rPr>
              <w:t>宣传栏、安全宣传标语等，洗车</w:t>
            </w:r>
            <w:r>
              <w:rPr>
                <w:rFonts w:ascii="微软雅黑" w:eastAsia="微软雅黑" w:hint="eastAsia"/>
                <w:sz w:val="21"/>
              </w:rPr>
              <w:t>（</w:t>
            </w:r>
            <w:r>
              <w:rPr>
                <w:rFonts w:ascii="微软雅黑" w:eastAsia="微软雅黑" w:hint="eastAsia"/>
                <w:spacing w:val="-2"/>
                <w:sz w:val="21"/>
              </w:rPr>
              <w:t>防止污染市区道路</w:t>
            </w:r>
            <w:r>
              <w:rPr>
                <w:rFonts w:ascii="微软雅黑" w:eastAsia="微软雅黑" w:hint="eastAsia"/>
                <w:spacing w:val="-104"/>
                <w:sz w:val="21"/>
              </w:rPr>
              <w:t>）</w:t>
            </w:r>
            <w:r>
              <w:rPr>
                <w:rFonts w:ascii="微软雅黑" w:eastAsia="微软雅黑" w:hint="eastAsia"/>
                <w:spacing w:val="-3"/>
                <w:sz w:val="21"/>
              </w:rPr>
              <w:t>、粉尘、噪声控</w:t>
            </w:r>
          </w:p>
          <w:p>
            <w:pPr>
              <w:pStyle w:val="TableParagraph"/>
              <w:spacing w:line="273" w:lineRule="exact"/>
              <w:ind w:left="117"/>
              <w:rPr>
                <w:rFonts w:ascii="微软雅黑" w:eastAsia="微软雅黑" w:hint="eastAsia"/>
                <w:sz w:val="21"/>
              </w:rPr>
            </w:pPr>
            <w:r>
              <w:rPr>
                <w:rFonts w:ascii="微软雅黑" w:eastAsia="微软雅黑" w:hint="eastAsia"/>
                <w:sz w:val="21"/>
              </w:rPr>
              <w:t>制和排污（污水、废气）措施等。</w:t>
            </w:r>
          </w:p>
        </w:tc>
      </w:tr>
      <w:tr>
        <w:trPr>
          <w:trHeight w:val="889" w:hRule="atLeast"/>
        </w:trPr>
        <w:tc>
          <w:tcPr>
            <w:tcW w:w="739" w:type="dxa"/>
            <w:vMerge w:val="restart"/>
            <w:tcBorders>
              <w:top w:val="single" w:sz="4" w:space="0" w:color="000000"/>
              <w:right w:val="single" w:sz="4" w:space="0" w:color="000000"/>
            </w:tcBorders>
          </w:tcPr>
          <w:p>
            <w:pPr>
              <w:pStyle w:val="TableParagraph"/>
              <w:rPr>
                <w:rFonts w:ascii="Microsoft JhengHei"/>
                <w:b/>
                <w:sz w:val="28"/>
              </w:rPr>
            </w:pPr>
          </w:p>
          <w:p>
            <w:pPr>
              <w:pStyle w:val="TableParagraph"/>
              <w:spacing w:before="4"/>
              <w:rPr>
                <w:rFonts w:ascii="Microsoft JhengHei"/>
                <w:b/>
                <w:sz w:val="14"/>
              </w:rPr>
            </w:pPr>
          </w:p>
          <w:p>
            <w:pPr>
              <w:pStyle w:val="TableParagraph"/>
              <w:spacing w:line="187" w:lineRule="auto" w:before="1"/>
              <w:ind w:left="157" w:right="136"/>
              <w:rPr>
                <w:rFonts w:ascii="微软雅黑" w:eastAsia="微软雅黑" w:hint="eastAsia"/>
                <w:sz w:val="21"/>
              </w:rPr>
            </w:pPr>
            <w:r>
              <w:rPr>
                <w:rFonts w:ascii="微软雅黑" w:eastAsia="微软雅黑" w:hint="eastAsia"/>
                <w:sz w:val="21"/>
              </w:rPr>
              <w:t>临时设施</w:t>
            </w:r>
          </w:p>
        </w:tc>
        <w:tc>
          <w:tcPr>
            <w:tcW w:w="2069" w:type="dxa"/>
            <w:gridSpan w:val="2"/>
            <w:tcBorders>
              <w:top w:val="single" w:sz="4" w:space="0" w:color="000000"/>
              <w:left w:val="single" w:sz="4" w:space="0" w:color="000000"/>
              <w:bottom w:val="single" w:sz="4" w:space="0" w:color="000000"/>
              <w:right w:val="single" w:sz="4" w:space="0" w:color="000000"/>
            </w:tcBorders>
          </w:tcPr>
          <w:p>
            <w:pPr>
              <w:pStyle w:val="TableParagraph"/>
              <w:spacing w:line="187" w:lineRule="auto" w:before="172"/>
              <w:ind w:left="621" w:right="593"/>
              <w:rPr>
                <w:rFonts w:ascii="微软雅黑" w:eastAsia="微软雅黑" w:hint="eastAsia"/>
                <w:sz w:val="21"/>
              </w:rPr>
            </w:pPr>
            <w:r>
              <w:rPr>
                <w:rFonts w:ascii="微软雅黑" w:eastAsia="微软雅黑" w:hint="eastAsia"/>
                <w:sz w:val="21"/>
              </w:rPr>
              <w:t>现场办公生活设施</w:t>
            </w:r>
          </w:p>
        </w:tc>
        <w:tc>
          <w:tcPr>
            <w:tcW w:w="6646" w:type="dxa"/>
            <w:tcBorders>
              <w:top w:val="single" w:sz="4" w:space="0" w:color="000000"/>
              <w:left w:val="single" w:sz="4" w:space="0" w:color="000000"/>
              <w:bottom w:val="single" w:sz="4" w:space="0" w:color="000000"/>
            </w:tcBorders>
          </w:tcPr>
          <w:p>
            <w:pPr>
              <w:pStyle w:val="TableParagraph"/>
              <w:numPr>
                <w:ilvl w:val="0"/>
                <w:numId w:val="132"/>
              </w:numPr>
              <w:tabs>
                <w:tab w:pos="399" w:val="left" w:leader="none"/>
              </w:tabs>
              <w:spacing w:line="306" w:lineRule="exact" w:before="0" w:after="0"/>
              <w:ind w:left="398" w:right="0" w:hanging="282"/>
              <w:jc w:val="left"/>
              <w:rPr>
                <w:rFonts w:ascii="微软雅黑" w:eastAsia="微软雅黑" w:hint="eastAsia"/>
                <w:sz w:val="21"/>
              </w:rPr>
            </w:pPr>
            <w:r>
              <w:rPr>
                <w:rFonts w:ascii="微软雅黑" w:eastAsia="微软雅黑" w:hint="eastAsia"/>
                <w:spacing w:val="-3"/>
                <w:sz w:val="21"/>
              </w:rPr>
              <w:t>施工现场办公、生活区与作业区分开设置，保持安全距离。</w:t>
            </w:r>
          </w:p>
          <w:p>
            <w:pPr>
              <w:pStyle w:val="TableParagraph"/>
              <w:numPr>
                <w:ilvl w:val="0"/>
                <w:numId w:val="132"/>
              </w:numPr>
              <w:tabs>
                <w:tab w:pos="399" w:val="left" w:leader="none"/>
              </w:tabs>
              <w:spacing w:line="300" w:lineRule="exact" w:before="0" w:after="0"/>
              <w:ind w:left="398" w:right="0" w:hanging="282"/>
              <w:jc w:val="left"/>
              <w:rPr>
                <w:rFonts w:ascii="微软雅黑" w:eastAsia="微软雅黑" w:hint="eastAsia"/>
                <w:sz w:val="21"/>
              </w:rPr>
            </w:pPr>
            <w:r>
              <w:rPr>
                <w:rFonts w:ascii="微软雅黑" w:eastAsia="微软雅黑" w:hint="eastAsia"/>
                <w:sz w:val="21"/>
              </w:rPr>
              <w:t>工地办公室、现场宿舍、食堂、厕所、饮水、沐浴、休息场所等符</w:t>
            </w:r>
          </w:p>
          <w:p>
            <w:pPr>
              <w:pStyle w:val="TableParagraph"/>
              <w:spacing w:line="263" w:lineRule="exact"/>
              <w:ind w:left="117"/>
              <w:rPr>
                <w:rFonts w:ascii="微软雅黑" w:eastAsia="微软雅黑" w:hint="eastAsia"/>
                <w:sz w:val="21"/>
              </w:rPr>
            </w:pPr>
            <w:r>
              <w:rPr>
                <w:rFonts w:ascii="微软雅黑" w:eastAsia="微软雅黑" w:hint="eastAsia"/>
                <w:sz w:val="21"/>
              </w:rPr>
              <w:t>合卫生、消防安全要求。</w:t>
            </w:r>
          </w:p>
        </w:tc>
      </w:tr>
      <w:tr>
        <w:trPr>
          <w:trHeight w:val="1189" w:hRule="atLeast"/>
        </w:trPr>
        <w:tc>
          <w:tcPr>
            <w:tcW w:w="739" w:type="dxa"/>
            <w:vMerge/>
            <w:tcBorders>
              <w:top w:val="nil"/>
              <w:right w:val="single" w:sz="4" w:space="0" w:color="000000"/>
            </w:tcBorders>
          </w:tcPr>
          <w:p>
            <w:pPr>
              <w:rPr>
                <w:sz w:val="2"/>
                <w:szCs w:val="2"/>
              </w:rPr>
            </w:pPr>
          </w:p>
        </w:tc>
        <w:tc>
          <w:tcPr>
            <w:tcW w:w="523" w:type="dxa"/>
            <w:tcBorders>
              <w:top w:val="single" w:sz="4" w:space="0" w:color="000000"/>
              <w:left w:val="single" w:sz="4" w:space="0" w:color="000000"/>
              <w:right w:val="single" w:sz="4" w:space="0" w:color="000000"/>
            </w:tcBorders>
          </w:tcPr>
          <w:p>
            <w:pPr>
              <w:pStyle w:val="TableParagraph"/>
              <w:spacing w:line="187" w:lineRule="auto" w:before="13"/>
              <w:ind w:left="163" w:right="136"/>
              <w:jc w:val="both"/>
              <w:rPr>
                <w:rFonts w:ascii="微软雅黑" w:eastAsia="微软雅黑" w:hint="eastAsia"/>
                <w:sz w:val="21"/>
              </w:rPr>
            </w:pPr>
            <w:r>
              <w:rPr>
                <w:rFonts w:ascii="微软雅黑" w:eastAsia="微软雅黑" w:hint="eastAsia"/>
                <w:sz w:val="21"/>
              </w:rPr>
              <w:t>施工现</w:t>
            </w:r>
          </w:p>
          <w:p>
            <w:pPr>
              <w:pStyle w:val="TableParagraph"/>
              <w:spacing w:line="250" w:lineRule="exact"/>
              <w:ind w:left="163"/>
              <w:rPr>
                <w:rFonts w:ascii="微软雅黑" w:eastAsia="微软雅黑" w:hint="eastAsia"/>
                <w:sz w:val="21"/>
              </w:rPr>
            </w:pPr>
            <w:r>
              <w:rPr>
                <w:rFonts w:ascii="微软雅黑" w:eastAsia="微软雅黑" w:hint="eastAsia"/>
                <w:w w:val="100"/>
                <w:sz w:val="21"/>
              </w:rPr>
              <w:t>场</w:t>
            </w:r>
          </w:p>
        </w:tc>
        <w:tc>
          <w:tcPr>
            <w:tcW w:w="1546" w:type="dxa"/>
            <w:tcBorders>
              <w:top w:val="single" w:sz="4" w:space="0" w:color="000000"/>
              <w:left w:val="single" w:sz="4" w:space="0" w:color="000000"/>
              <w:right w:val="single" w:sz="4" w:space="0" w:color="000000"/>
            </w:tcBorders>
          </w:tcPr>
          <w:p>
            <w:pPr>
              <w:pStyle w:val="TableParagraph"/>
              <w:spacing w:before="15"/>
              <w:rPr>
                <w:rFonts w:ascii="Microsoft JhengHei"/>
                <w:b/>
                <w:sz w:val="21"/>
              </w:rPr>
            </w:pPr>
          </w:p>
          <w:p>
            <w:pPr>
              <w:pStyle w:val="TableParagraph"/>
              <w:ind w:left="362"/>
              <w:rPr>
                <w:rFonts w:ascii="微软雅黑" w:eastAsia="微软雅黑" w:hint="eastAsia"/>
                <w:sz w:val="21"/>
              </w:rPr>
            </w:pPr>
            <w:r>
              <w:rPr>
                <w:rFonts w:ascii="微软雅黑" w:eastAsia="微软雅黑" w:hint="eastAsia"/>
                <w:sz w:val="21"/>
              </w:rPr>
              <w:t>配电线路</w:t>
            </w:r>
          </w:p>
        </w:tc>
        <w:tc>
          <w:tcPr>
            <w:tcW w:w="6646" w:type="dxa"/>
            <w:tcBorders>
              <w:top w:val="single" w:sz="4" w:space="0" w:color="000000"/>
              <w:left w:val="single" w:sz="4" w:space="0" w:color="000000"/>
            </w:tcBorders>
          </w:tcPr>
          <w:p>
            <w:pPr>
              <w:pStyle w:val="TableParagraph"/>
              <w:numPr>
                <w:ilvl w:val="0"/>
                <w:numId w:val="133"/>
              </w:numPr>
              <w:tabs>
                <w:tab w:pos="399" w:val="left" w:leader="none"/>
              </w:tabs>
              <w:spacing w:line="296" w:lineRule="exact" w:before="0" w:after="0"/>
              <w:ind w:left="398" w:right="0" w:hanging="282"/>
              <w:jc w:val="left"/>
              <w:rPr>
                <w:rFonts w:ascii="微软雅黑" w:eastAsia="微软雅黑" w:hint="eastAsia"/>
                <w:sz w:val="21"/>
              </w:rPr>
            </w:pPr>
            <w:r>
              <w:rPr>
                <w:rFonts w:ascii="微软雅黑" w:eastAsia="微软雅黑" w:hint="eastAsia"/>
                <w:spacing w:val="-5"/>
                <w:sz w:val="21"/>
              </w:rPr>
              <w:t>按照 </w:t>
            </w:r>
            <w:r>
              <w:rPr>
                <w:rFonts w:ascii="微软雅黑" w:eastAsia="微软雅黑" w:hint="eastAsia"/>
                <w:sz w:val="21"/>
              </w:rPr>
              <w:t>TN-S</w:t>
            </w:r>
            <w:r>
              <w:rPr>
                <w:rFonts w:ascii="微软雅黑" w:eastAsia="微软雅黑" w:hint="eastAsia"/>
                <w:spacing w:val="-4"/>
                <w:sz w:val="21"/>
              </w:rPr>
              <w:t> 系统要求配备五芯电缆、四芯电缆和三芯电缆。</w:t>
            </w:r>
          </w:p>
          <w:p>
            <w:pPr>
              <w:pStyle w:val="TableParagraph"/>
              <w:numPr>
                <w:ilvl w:val="0"/>
                <w:numId w:val="133"/>
              </w:numPr>
              <w:tabs>
                <w:tab w:pos="399" w:val="left" w:leader="none"/>
              </w:tabs>
              <w:spacing w:line="187" w:lineRule="auto" w:before="17" w:after="0"/>
              <w:ind w:left="117" w:right="77" w:firstLine="0"/>
              <w:jc w:val="left"/>
              <w:rPr>
                <w:rFonts w:ascii="微软雅黑" w:eastAsia="微软雅黑" w:hint="eastAsia"/>
                <w:sz w:val="21"/>
              </w:rPr>
            </w:pPr>
            <w:r>
              <w:rPr>
                <w:rFonts w:ascii="微软雅黑" w:eastAsia="微软雅黑" w:hint="eastAsia"/>
                <w:spacing w:val="-1"/>
                <w:sz w:val="21"/>
              </w:rPr>
              <w:t>按要求架设临时用电线路的电杆、横担、瓷夹、瓷瓶等，或电缆埋地的地沟。</w:t>
            </w:r>
          </w:p>
          <w:p>
            <w:pPr>
              <w:pStyle w:val="TableParagraph"/>
              <w:numPr>
                <w:ilvl w:val="0"/>
                <w:numId w:val="133"/>
              </w:numPr>
              <w:tabs>
                <w:tab w:pos="399" w:val="left" w:leader="none"/>
              </w:tabs>
              <w:spacing w:line="252" w:lineRule="exact" w:before="0" w:after="0"/>
              <w:ind w:left="398" w:right="-44" w:hanging="282"/>
              <w:jc w:val="left"/>
              <w:rPr>
                <w:rFonts w:ascii="微软雅黑" w:eastAsia="微软雅黑" w:hint="eastAsia"/>
                <w:sz w:val="21"/>
              </w:rPr>
            </w:pPr>
            <w:r>
              <w:rPr>
                <w:rFonts w:ascii="微软雅黑" w:eastAsia="微软雅黑" w:hint="eastAsia"/>
                <w:spacing w:val="-6"/>
                <w:sz w:val="21"/>
              </w:rPr>
              <w:t>对靠近施工现场的外电线路，设置木质、塑料等绝缘体的防护设施。</w:t>
            </w:r>
          </w:p>
        </w:tc>
      </w:tr>
    </w:tbl>
    <w:p>
      <w:pPr>
        <w:spacing w:after="0" w:line="252" w:lineRule="exact"/>
        <w:jc w:val="left"/>
        <w:rPr>
          <w:rFonts w:ascii="微软雅黑" w:eastAsia="微软雅黑" w:hint="eastAsia"/>
          <w:sz w:val="21"/>
        </w:rPr>
        <w:sectPr>
          <w:pgSz w:w="11910" w:h="16850"/>
          <w:pgMar w:header="0" w:footer="779" w:top="1600" w:bottom="1040" w:left="1120" w:right="280"/>
        </w:sectPr>
      </w:pPr>
    </w:p>
    <w:tbl>
      <w:tblPr>
        <w:tblW w:w="0" w:type="auto"/>
        <w:jc w:val="left"/>
        <w:tblInd w:w="69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39"/>
        <w:gridCol w:w="523"/>
        <w:gridCol w:w="1546"/>
        <w:gridCol w:w="6646"/>
      </w:tblGrid>
      <w:tr>
        <w:trPr>
          <w:trHeight w:val="1802" w:hRule="atLeast"/>
        </w:trPr>
        <w:tc>
          <w:tcPr>
            <w:tcW w:w="739" w:type="dxa"/>
            <w:vMerge w:val="restart"/>
            <w:tcBorders>
              <w:bottom w:val="single" w:sz="4" w:space="0" w:color="000000"/>
              <w:right w:val="single" w:sz="4" w:space="0" w:color="000000"/>
            </w:tcBorders>
          </w:tcPr>
          <w:p>
            <w:pPr>
              <w:pStyle w:val="TableParagraph"/>
              <w:rPr>
                <w:rFonts w:ascii="Times New Roman"/>
                <w:sz w:val="20"/>
              </w:rPr>
            </w:pPr>
          </w:p>
        </w:tc>
        <w:tc>
          <w:tcPr>
            <w:tcW w:w="523" w:type="dxa"/>
            <w:vMerge w:val="restart"/>
            <w:tcBorders>
              <w:left w:val="single" w:sz="4" w:space="0" w:color="000000"/>
              <w:bottom w:val="single" w:sz="4" w:space="0" w:color="000000"/>
              <w:right w:val="single" w:sz="4" w:space="0" w:color="000000"/>
            </w:tcBorders>
          </w:tcPr>
          <w:p>
            <w:pPr>
              <w:pStyle w:val="TableParagraph"/>
              <w:spacing w:line="187" w:lineRule="auto" w:before="26"/>
              <w:ind w:left="163" w:right="136"/>
              <w:jc w:val="both"/>
              <w:rPr>
                <w:rFonts w:ascii="微软雅黑" w:eastAsia="微软雅黑" w:hint="eastAsia"/>
                <w:sz w:val="21"/>
              </w:rPr>
            </w:pPr>
            <w:r>
              <w:rPr>
                <w:rFonts w:ascii="微软雅黑" w:eastAsia="微软雅黑" w:hint="eastAsia"/>
                <w:sz w:val="21"/>
              </w:rPr>
              <w:t>临时用电</w:t>
            </w:r>
          </w:p>
        </w:tc>
        <w:tc>
          <w:tcPr>
            <w:tcW w:w="1546" w:type="dxa"/>
            <w:tcBorders>
              <w:left w:val="single" w:sz="4" w:space="0" w:color="000000"/>
              <w:bottom w:val="single" w:sz="4" w:space="0" w:color="000000"/>
              <w:right w:val="single" w:sz="4" w:space="0" w:color="000000"/>
            </w:tcBorders>
          </w:tcPr>
          <w:p>
            <w:pPr>
              <w:pStyle w:val="TableParagraph"/>
              <w:rPr>
                <w:rFonts w:ascii="Microsoft JhengHei"/>
                <w:b/>
                <w:sz w:val="34"/>
              </w:rPr>
            </w:pPr>
          </w:p>
          <w:p>
            <w:pPr>
              <w:pStyle w:val="TableParagraph"/>
              <w:spacing w:line="187" w:lineRule="auto"/>
              <w:ind w:left="465" w:right="434"/>
              <w:rPr>
                <w:rFonts w:ascii="微软雅黑" w:eastAsia="微软雅黑" w:hint="eastAsia"/>
                <w:sz w:val="21"/>
              </w:rPr>
            </w:pPr>
            <w:r>
              <w:rPr>
                <w:rFonts w:ascii="微软雅黑" w:eastAsia="微软雅黑" w:hint="eastAsia"/>
                <w:sz w:val="21"/>
              </w:rPr>
              <w:t>配电箱开关箱</w:t>
            </w:r>
          </w:p>
        </w:tc>
        <w:tc>
          <w:tcPr>
            <w:tcW w:w="6646" w:type="dxa"/>
            <w:tcBorders>
              <w:left w:val="single" w:sz="4" w:space="0" w:color="000000"/>
              <w:bottom w:val="single" w:sz="4" w:space="0" w:color="000000"/>
            </w:tcBorders>
          </w:tcPr>
          <w:p>
            <w:pPr>
              <w:pStyle w:val="TableParagraph"/>
              <w:numPr>
                <w:ilvl w:val="0"/>
                <w:numId w:val="134"/>
              </w:numPr>
              <w:tabs>
                <w:tab w:pos="399" w:val="left" w:leader="none"/>
              </w:tabs>
              <w:spacing w:line="187" w:lineRule="auto" w:before="26" w:after="0"/>
              <w:ind w:left="117" w:right="75" w:firstLine="0"/>
              <w:jc w:val="both"/>
              <w:rPr>
                <w:rFonts w:ascii="微软雅黑" w:hAnsi="微软雅黑" w:eastAsia="微软雅黑" w:hint="eastAsia"/>
                <w:sz w:val="21"/>
              </w:rPr>
            </w:pPr>
            <w:r>
              <w:rPr>
                <w:rFonts w:ascii="微软雅黑" w:hAnsi="微软雅黑" w:eastAsia="微软雅黑" w:hint="eastAsia"/>
                <w:sz w:val="21"/>
              </w:rPr>
              <w:t>按三级配电要求，配备总配电箱、分配电箱、开关箱三类（铁质</w:t>
            </w:r>
            <w:r>
              <w:rPr>
                <w:rFonts w:ascii="微软雅黑" w:hAnsi="微软雅黑" w:eastAsia="微软雅黑" w:hint="eastAsia"/>
                <w:spacing w:val="-13"/>
                <w:sz w:val="21"/>
              </w:rPr>
              <w:t>） </w:t>
            </w:r>
            <w:r>
              <w:rPr>
                <w:rFonts w:ascii="微软雅黑" w:hAnsi="微软雅黑" w:eastAsia="微软雅黑" w:hint="eastAsia"/>
                <w:spacing w:val="-9"/>
                <w:w w:val="100"/>
                <w:sz w:val="21"/>
              </w:rPr>
              <w:t>标准电箱，开关箱应符合“一机、一箱、一闸、一漏”，三类电箱中的</w:t>
            </w:r>
            <w:r>
              <w:rPr>
                <w:rFonts w:ascii="微软雅黑" w:hAnsi="微软雅黑" w:eastAsia="微软雅黑" w:hint="eastAsia"/>
                <w:spacing w:val="-3"/>
                <w:sz w:val="21"/>
              </w:rPr>
              <w:t>各类电器应是合格品。</w:t>
            </w:r>
          </w:p>
          <w:p>
            <w:pPr>
              <w:pStyle w:val="TableParagraph"/>
              <w:numPr>
                <w:ilvl w:val="0"/>
                <w:numId w:val="134"/>
              </w:numPr>
              <w:tabs>
                <w:tab w:pos="399" w:val="left" w:leader="none"/>
              </w:tabs>
              <w:spacing w:line="187" w:lineRule="auto" w:before="0" w:after="0"/>
              <w:ind w:left="117" w:right="77" w:firstLine="0"/>
              <w:jc w:val="both"/>
              <w:rPr>
                <w:rFonts w:ascii="微软雅黑" w:eastAsia="微软雅黑" w:hint="eastAsia"/>
                <w:sz w:val="21"/>
              </w:rPr>
            </w:pPr>
            <w:r>
              <w:rPr>
                <w:rFonts w:ascii="微软雅黑" w:eastAsia="微软雅黑" w:hint="eastAsia"/>
                <w:spacing w:val="-1"/>
                <w:sz w:val="21"/>
              </w:rPr>
              <w:t>按两级保护的要求，选取符合容量要求和质量合格的总配电箱和开</w:t>
            </w:r>
            <w:r>
              <w:rPr>
                <w:rFonts w:ascii="微软雅黑" w:eastAsia="微软雅黑" w:hint="eastAsia"/>
                <w:spacing w:val="-3"/>
                <w:sz w:val="21"/>
              </w:rPr>
              <w:t>关箱中的漏电保护器。</w:t>
            </w:r>
          </w:p>
          <w:p>
            <w:pPr>
              <w:pStyle w:val="TableParagraph"/>
              <w:numPr>
                <w:ilvl w:val="0"/>
                <w:numId w:val="134"/>
              </w:numPr>
              <w:tabs>
                <w:tab w:pos="399" w:val="left" w:leader="none"/>
              </w:tabs>
              <w:spacing w:line="252" w:lineRule="exact" w:before="0" w:after="0"/>
              <w:ind w:left="398" w:right="0" w:hanging="282"/>
              <w:jc w:val="both"/>
              <w:rPr>
                <w:rFonts w:ascii="微软雅黑" w:eastAsia="微软雅黑" w:hint="eastAsia"/>
                <w:sz w:val="21"/>
              </w:rPr>
            </w:pPr>
            <w:r>
              <w:rPr>
                <w:rFonts w:ascii="微软雅黑" w:eastAsia="微软雅黑" w:hint="eastAsia"/>
                <w:spacing w:val="-3"/>
                <w:sz w:val="21"/>
              </w:rPr>
              <w:t>对大型、落地式分配电箱、开关箱设置防护棚和通透式围挡。</w:t>
            </w:r>
          </w:p>
        </w:tc>
      </w:tr>
      <w:tr>
        <w:trPr>
          <w:trHeight w:val="573" w:hRule="atLeast"/>
        </w:trPr>
        <w:tc>
          <w:tcPr>
            <w:tcW w:w="739" w:type="dxa"/>
            <w:vMerge/>
            <w:tcBorders>
              <w:top w:val="nil"/>
              <w:bottom w:val="single" w:sz="4" w:space="0" w:color="000000"/>
              <w:right w:val="single" w:sz="4" w:space="0" w:color="000000"/>
            </w:tcBorders>
          </w:tcPr>
          <w:p>
            <w:pPr>
              <w:rPr>
                <w:sz w:val="2"/>
                <w:szCs w:val="2"/>
              </w:rPr>
            </w:pPr>
          </w:p>
        </w:tc>
        <w:tc>
          <w:tcPr>
            <w:tcW w:w="523" w:type="dxa"/>
            <w:vMerge/>
            <w:tcBorders>
              <w:top w:val="nil"/>
              <w:left w:val="single" w:sz="4" w:space="0" w:color="000000"/>
              <w:bottom w:val="single" w:sz="4" w:space="0" w:color="000000"/>
              <w:right w:val="single" w:sz="4" w:space="0" w:color="000000"/>
            </w:tcBorders>
          </w:tcPr>
          <w:p>
            <w:pPr>
              <w:rPr>
                <w:sz w:val="2"/>
                <w:szCs w:val="2"/>
              </w:rPr>
            </w:pPr>
          </w:p>
        </w:tc>
        <w:tc>
          <w:tcPr>
            <w:tcW w:w="1546" w:type="dxa"/>
            <w:tcBorders>
              <w:top w:val="single" w:sz="4" w:space="0" w:color="000000"/>
              <w:left w:val="single" w:sz="4" w:space="0" w:color="000000"/>
              <w:bottom w:val="single" w:sz="4" w:space="0" w:color="000000"/>
              <w:right w:val="single" w:sz="4" w:space="0" w:color="000000"/>
            </w:tcBorders>
          </w:tcPr>
          <w:p>
            <w:pPr>
              <w:pStyle w:val="TableParagraph"/>
              <w:spacing w:before="99"/>
              <w:ind w:left="362"/>
              <w:rPr>
                <w:rFonts w:ascii="微软雅黑" w:eastAsia="微软雅黑" w:hint="eastAsia"/>
                <w:sz w:val="21"/>
              </w:rPr>
            </w:pPr>
            <w:r>
              <w:rPr>
                <w:rFonts w:ascii="微软雅黑" w:eastAsia="微软雅黑" w:hint="eastAsia"/>
                <w:sz w:val="21"/>
              </w:rPr>
              <w:t>接地装置</w:t>
            </w:r>
          </w:p>
        </w:tc>
        <w:tc>
          <w:tcPr>
            <w:tcW w:w="6646" w:type="dxa"/>
            <w:tcBorders>
              <w:top w:val="single" w:sz="4" w:space="0" w:color="000000"/>
              <w:left w:val="single" w:sz="4" w:space="0" w:color="000000"/>
              <w:bottom w:val="single" w:sz="4" w:space="0" w:color="000000"/>
            </w:tcBorders>
          </w:tcPr>
          <w:p>
            <w:pPr>
              <w:pStyle w:val="TableParagraph"/>
              <w:spacing w:before="99"/>
              <w:ind w:left="117"/>
              <w:rPr>
                <w:rFonts w:ascii="微软雅黑" w:eastAsia="微软雅黑" w:hint="eastAsia"/>
                <w:sz w:val="21"/>
              </w:rPr>
            </w:pPr>
            <w:r>
              <w:rPr>
                <w:rFonts w:ascii="微软雅黑" w:eastAsia="微软雅黑" w:hint="eastAsia"/>
                <w:sz w:val="21"/>
              </w:rPr>
              <w:t>施工现场应设置不少于三处的重复接地装置。</w:t>
            </w:r>
          </w:p>
        </w:tc>
      </w:tr>
      <w:tr>
        <w:trPr>
          <w:trHeight w:val="916" w:hRule="atLeast"/>
        </w:trPr>
        <w:tc>
          <w:tcPr>
            <w:tcW w:w="739" w:type="dxa"/>
            <w:vMerge/>
            <w:tcBorders>
              <w:top w:val="nil"/>
              <w:bottom w:val="single" w:sz="4" w:space="0" w:color="000000"/>
              <w:right w:val="single" w:sz="4" w:space="0" w:color="000000"/>
            </w:tcBorders>
          </w:tcPr>
          <w:p>
            <w:pPr>
              <w:rPr>
                <w:sz w:val="2"/>
                <w:szCs w:val="2"/>
              </w:rPr>
            </w:pPr>
          </w:p>
        </w:tc>
        <w:tc>
          <w:tcPr>
            <w:tcW w:w="523" w:type="dxa"/>
            <w:vMerge/>
            <w:tcBorders>
              <w:top w:val="nil"/>
              <w:left w:val="single" w:sz="4" w:space="0" w:color="000000"/>
              <w:bottom w:val="single" w:sz="4" w:space="0" w:color="000000"/>
              <w:right w:val="single" w:sz="4" w:space="0" w:color="000000"/>
            </w:tcBorders>
          </w:tcPr>
          <w:p>
            <w:pPr>
              <w:rPr>
                <w:sz w:val="2"/>
                <w:szCs w:val="2"/>
              </w:rPr>
            </w:pPr>
          </w:p>
        </w:tc>
        <w:tc>
          <w:tcPr>
            <w:tcW w:w="1546" w:type="dxa"/>
            <w:tcBorders>
              <w:top w:val="single" w:sz="4" w:space="0" w:color="000000"/>
              <w:left w:val="single" w:sz="4" w:space="0" w:color="000000"/>
              <w:bottom w:val="single" w:sz="4" w:space="0" w:color="000000"/>
              <w:right w:val="single" w:sz="4" w:space="0" w:color="000000"/>
            </w:tcBorders>
          </w:tcPr>
          <w:p>
            <w:pPr>
              <w:pStyle w:val="TableParagraph"/>
              <w:spacing w:line="187" w:lineRule="auto" w:before="182"/>
              <w:ind w:left="676" w:right="120" w:hanging="526"/>
              <w:rPr>
                <w:rFonts w:ascii="微软雅黑" w:eastAsia="微软雅黑" w:hint="eastAsia"/>
                <w:sz w:val="21"/>
              </w:rPr>
            </w:pPr>
            <w:r>
              <w:rPr>
                <w:rFonts w:ascii="微软雅黑" w:eastAsia="微软雅黑" w:hint="eastAsia"/>
                <w:sz w:val="21"/>
              </w:rPr>
              <w:t>现场变配电装置</w:t>
            </w:r>
          </w:p>
        </w:tc>
        <w:tc>
          <w:tcPr>
            <w:tcW w:w="6646" w:type="dxa"/>
            <w:tcBorders>
              <w:top w:val="single" w:sz="4" w:space="0" w:color="000000"/>
              <w:left w:val="single" w:sz="4" w:space="0" w:color="000000"/>
              <w:bottom w:val="single" w:sz="4" w:space="0" w:color="000000"/>
            </w:tcBorders>
          </w:tcPr>
          <w:p>
            <w:pPr>
              <w:pStyle w:val="TableParagraph"/>
              <w:spacing w:before="14"/>
              <w:rPr>
                <w:rFonts w:ascii="Microsoft JhengHei"/>
                <w:b/>
                <w:sz w:val="14"/>
              </w:rPr>
            </w:pPr>
          </w:p>
          <w:p>
            <w:pPr>
              <w:pStyle w:val="TableParagraph"/>
              <w:ind w:left="117"/>
              <w:rPr>
                <w:rFonts w:ascii="微软雅黑" w:eastAsia="微软雅黑" w:hint="eastAsia"/>
                <w:sz w:val="21"/>
              </w:rPr>
            </w:pPr>
            <w:r>
              <w:rPr>
                <w:rFonts w:ascii="微软雅黑" w:eastAsia="微软雅黑" w:hint="eastAsia"/>
                <w:sz w:val="21"/>
              </w:rPr>
              <w:t>总配电房建筑材料必须达到消防防火要求，室内做硬地坪、电缆沟。</w:t>
            </w:r>
          </w:p>
        </w:tc>
      </w:tr>
      <w:tr>
        <w:trPr>
          <w:trHeight w:val="612" w:hRule="atLeast"/>
        </w:trPr>
        <w:tc>
          <w:tcPr>
            <w:tcW w:w="739" w:type="dxa"/>
            <w:tcBorders>
              <w:top w:val="single" w:sz="4" w:space="0" w:color="000000"/>
              <w:bottom w:val="single" w:sz="4" w:space="0" w:color="000000"/>
              <w:right w:val="single" w:sz="4" w:space="0" w:color="000000"/>
            </w:tcBorders>
          </w:tcPr>
          <w:p>
            <w:pPr>
              <w:pStyle w:val="TableParagraph"/>
              <w:spacing w:before="119"/>
              <w:ind w:left="157"/>
              <w:rPr>
                <w:rFonts w:ascii="微软雅黑" w:eastAsia="微软雅黑" w:hint="eastAsia"/>
                <w:b/>
                <w:sz w:val="21"/>
              </w:rPr>
            </w:pPr>
            <w:r>
              <w:rPr>
                <w:rFonts w:ascii="微软雅黑" w:eastAsia="微软雅黑" w:hint="eastAsia"/>
                <w:b/>
                <w:sz w:val="21"/>
              </w:rPr>
              <w:t>类别</w:t>
            </w:r>
          </w:p>
        </w:tc>
        <w:tc>
          <w:tcPr>
            <w:tcW w:w="2069"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19"/>
              <w:ind w:left="621"/>
              <w:rPr>
                <w:rFonts w:ascii="微软雅黑" w:eastAsia="微软雅黑" w:hint="eastAsia"/>
                <w:b/>
                <w:sz w:val="21"/>
              </w:rPr>
            </w:pPr>
            <w:r>
              <w:rPr>
                <w:rFonts w:ascii="微软雅黑" w:eastAsia="微软雅黑" w:hint="eastAsia"/>
                <w:b/>
                <w:sz w:val="21"/>
              </w:rPr>
              <w:t>项目名称</w:t>
            </w:r>
          </w:p>
        </w:tc>
        <w:tc>
          <w:tcPr>
            <w:tcW w:w="6646" w:type="dxa"/>
            <w:tcBorders>
              <w:top w:val="single" w:sz="4" w:space="0" w:color="000000"/>
              <w:left w:val="single" w:sz="4" w:space="0" w:color="000000"/>
              <w:bottom w:val="single" w:sz="4" w:space="0" w:color="000000"/>
            </w:tcBorders>
          </w:tcPr>
          <w:p>
            <w:pPr>
              <w:pStyle w:val="TableParagraph"/>
              <w:spacing w:before="119"/>
              <w:ind w:left="2579" w:right="2537"/>
              <w:jc w:val="center"/>
              <w:rPr>
                <w:rFonts w:ascii="微软雅黑" w:eastAsia="微软雅黑" w:hint="eastAsia"/>
                <w:b/>
                <w:sz w:val="21"/>
              </w:rPr>
            </w:pPr>
            <w:r>
              <w:rPr>
                <w:rFonts w:ascii="微软雅黑" w:eastAsia="微软雅黑" w:hint="eastAsia"/>
                <w:b/>
                <w:sz w:val="21"/>
              </w:rPr>
              <w:t>主要内容和要求</w:t>
            </w:r>
          </w:p>
        </w:tc>
      </w:tr>
      <w:tr>
        <w:trPr>
          <w:trHeight w:val="599" w:hRule="atLeast"/>
        </w:trPr>
        <w:tc>
          <w:tcPr>
            <w:tcW w:w="739" w:type="dxa"/>
            <w:vMerge w:val="restart"/>
            <w:tcBorders>
              <w:top w:val="single" w:sz="4" w:space="0" w:color="000000"/>
              <w:bottom w:val="single" w:sz="4" w:space="0" w:color="000000"/>
              <w:right w:val="single" w:sz="4" w:space="0" w:color="000000"/>
            </w:tcBorders>
          </w:tcPr>
          <w:p>
            <w:pPr>
              <w:pStyle w:val="TableParagraph"/>
              <w:rPr>
                <w:rFonts w:ascii="Microsoft JhengHei"/>
                <w:b/>
                <w:sz w:val="28"/>
              </w:rPr>
            </w:pPr>
          </w:p>
          <w:p>
            <w:pPr>
              <w:pStyle w:val="TableParagraph"/>
              <w:rPr>
                <w:rFonts w:ascii="Microsoft JhengHei"/>
                <w:b/>
                <w:sz w:val="28"/>
              </w:rPr>
            </w:pPr>
          </w:p>
          <w:p>
            <w:pPr>
              <w:pStyle w:val="TableParagraph"/>
              <w:rPr>
                <w:rFonts w:ascii="Microsoft JhengHei"/>
                <w:b/>
                <w:sz w:val="28"/>
              </w:rPr>
            </w:pPr>
          </w:p>
          <w:p>
            <w:pPr>
              <w:pStyle w:val="TableParagraph"/>
              <w:rPr>
                <w:rFonts w:ascii="Microsoft JhengHei"/>
                <w:b/>
                <w:sz w:val="28"/>
              </w:rPr>
            </w:pPr>
          </w:p>
          <w:p>
            <w:pPr>
              <w:pStyle w:val="TableParagraph"/>
              <w:spacing w:before="1"/>
              <w:rPr>
                <w:rFonts w:ascii="Microsoft JhengHei"/>
                <w:b/>
                <w:sz w:val="14"/>
              </w:rPr>
            </w:pPr>
          </w:p>
          <w:p>
            <w:pPr>
              <w:pStyle w:val="TableParagraph"/>
              <w:spacing w:line="187" w:lineRule="auto"/>
              <w:ind w:left="157" w:right="136"/>
              <w:rPr>
                <w:rFonts w:ascii="微软雅黑" w:eastAsia="微软雅黑" w:hint="eastAsia"/>
                <w:sz w:val="21"/>
              </w:rPr>
            </w:pPr>
            <w:r>
              <w:rPr>
                <w:rFonts w:ascii="微软雅黑" w:eastAsia="微软雅黑" w:hint="eastAsia"/>
                <w:sz w:val="21"/>
              </w:rPr>
              <w:t>安全施工</w:t>
            </w:r>
          </w:p>
        </w:tc>
        <w:tc>
          <w:tcPr>
            <w:tcW w:w="523"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Microsoft JhengHei"/>
                <w:b/>
                <w:sz w:val="28"/>
              </w:rPr>
            </w:pPr>
          </w:p>
          <w:p>
            <w:pPr>
              <w:pStyle w:val="TableParagraph"/>
              <w:rPr>
                <w:rFonts w:ascii="Microsoft JhengHei"/>
                <w:b/>
                <w:sz w:val="28"/>
              </w:rPr>
            </w:pPr>
          </w:p>
          <w:p>
            <w:pPr>
              <w:pStyle w:val="TableParagraph"/>
              <w:spacing w:before="15"/>
              <w:rPr>
                <w:rFonts w:ascii="Microsoft JhengHei"/>
                <w:b/>
                <w:sz w:val="20"/>
              </w:rPr>
            </w:pPr>
          </w:p>
          <w:p>
            <w:pPr>
              <w:pStyle w:val="TableParagraph"/>
              <w:spacing w:line="187" w:lineRule="auto"/>
              <w:ind w:left="163" w:right="136"/>
              <w:jc w:val="both"/>
              <w:rPr>
                <w:rFonts w:ascii="微软雅黑" w:eastAsia="微软雅黑" w:hint="eastAsia"/>
                <w:sz w:val="21"/>
              </w:rPr>
            </w:pPr>
            <w:r>
              <w:rPr>
                <w:rFonts w:ascii="微软雅黑" w:eastAsia="微软雅黑" w:hint="eastAsia"/>
                <w:sz w:val="21"/>
              </w:rPr>
              <w:t>高处作业防护</w:t>
            </w:r>
          </w:p>
        </w:tc>
        <w:tc>
          <w:tcPr>
            <w:tcW w:w="1546" w:type="dxa"/>
            <w:tcBorders>
              <w:top w:val="single" w:sz="4" w:space="0" w:color="000000"/>
              <w:left w:val="single" w:sz="4" w:space="0" w:color="000000"/>
              <w:bottom w:val="single" w:sz="4" w:space="0" w:color="000000"/>
              <w:right w:val="single" w:sz="4" w:space="0" w:color="000000"/>
            </w:tcBorders>
          </w:tcPr>
          <w:p>
            <w:pPr>
              <w:pStyle w:val="TableParagraph"/>
              <w:spacing w:line="306" w:lineRule="exact"/>
              <w:ind w:left="117"/>
              <w:rPr>
                <w:rFonts w:ascii="微软雅黑" w:eastAsia="微软雅黑" w:hint="eastAsia"/>
                <w:sz w:val="21"/>
              </w:rPr>
            </w:pPr>
            <w:r>
              <w:rPr>
                <w:rFonts w:ascii="微软雅黑" w:eastAsia="微软雅黑" w:hint="eastAsia"/>
                <w:sz w:val="21"/>
              </w:rPr>
              <w:t>楼层、屋面、</w:t>
            </w:r>
          </w:p>
          <w:p>
            <w:pPr>
              <w:pStyle w:val="TableParagraph"/>
              <w:spacing w:line="273" w:lineRule="exact"/>
              <w:ind w:left="117"/>
              <w:rPr>
                <w:rFonts w:ascii="微软雅黑" w:eastAsia="微软雅黑" w:hint="eastAsia"/>
                <w:sz w:val="21"/>
              </w:rPr>
            </w:pPr>
            <w:r>
              <w:rPr>
                <w:rFonts w:ascii="微软雅黑" w:eastAsia="微软雅黑" w:hint="eastAsia"/>
                <w:sz w:val="21"/>
              </w:rPr>
              <w:t>阳台等临边</w:t>
            </w:r>
          </w:p>
        </w:tc>
        <w:tc>
          <w:tcPr>
            <w:tcW w:w="6646" w:type="dxa"/>
            <w:tcBorders>
              <w:top w:val="single" w:sz="4" w:space="0" w:color="000000"/>
              <w:left w:val="single" w:sz="4" w:space="0" w:color="000000"/>
              <w:bottom w:val="single" w:sz="4" w:space="0" w:color="000000"/>
            </w:tcBorders>
          </w:tcPr>
          <w:p>
            <w:pPr>
              <w:pStyle w:val="TableParagraph"/>
              <w:spacing w:before="114"/>
              <w:ind w:left="117"/>
              <w:rPr>
                <w:rFonts w:ascii="微软雅黑" w:eastAsia="微软雅黑" w:hint="eastAsia"/>
                <w:sz w:val="21"/>
              </w:rPr>
            </w:pPr>
            <w:r>
              <w:rPr>
                <w:rFonts w:ascii="微软雅黑" w:eastAsia="微软雅黑" w:hint="eastAsia"/>
                <w:sz w:val="21"/>
              </w:rPr>
              <w:t>设两道防护栏杆和 18cm 高的踢脚板，用密目式安全立网全封闭。</w:t>
            </w:r>
          </w:p>
        </w:tc>
      </w:tr>
      <w:tr>
        <w:trPr>
          <w:trHeight w:val="601" w:hRule="atLeast"/>
        </w:trPr>
        <w:tc>
          <w:tcPr>
            <w:tcW w:w="739" w:type="dxa"/>
            <w:vMerge/>
            <w:tcBorders>
              <w:top w:val="nil"/>
              <w:bottom w:val="single" w:sz="4" w:space="0" w:color="000000"/>
              <w:right w:val="single" w:sz="4" w:space="0" w:color="000000"/>
            </w:tcBorders>
          </w:tcPr>
          <w:p>
            <w:pPr>
              <w:rPr>
                <w:sz w:val="2"/>
                <w:szCs w:val="2"/>
              </w:rPr>
            </w:pPr>
          </w:p>
        </w:tc>
        <w:tc>
          <w:tcPr>
            <w:tcW w:w="523" w:type="dxa"/>
            <w:vMerge/>
            <w:tcBorders>
              <w:top w:val="nil"/>
              <w:left w:val="single" w:sz="4" w:space="0" w:color="000000"/>
              <w:bottom w:val="single" w:sz="4" w:space="0" w:color="000000"/>
              <w:right w:val="single" w:sz="4" w:space="0" w:color="000000"/>
            </w:tcBorders>
          </w:tcPr>
          <w:p>
            <w:pPr>
              <w:rPr>
                <w:sz w:val="2"/>
                <w:szCs w:val="2"/>
              </w:rPr>
            </w:pPr>
          </w:p>
        </w:tc>
        <w:tc>
          <w:tcPr>
            <w:tcW w:w="1546" w:type="dxa"/>
            <w:tcBorders>
              <w:top w:val="single" w:sz="4" w:space="0" w:color="000000"/>
              <w:left w:val="single" w:sz="4" w:space="0" w:color="000000"/>
              <w:bottom w:val="single" w:sz="4" w:space="0" w:color="000000"/>
              <w:right w:val="single" w:sz="4" w:space="0" w:color="000000"/>
            </w:tcBorders>
          </w:tcPr>
          <w:p>
            <w:pPr>
              <w:pStyle w:val="TableParagraph"/>
              <w:spacing w:before="114"/>
              <w:ind w:left="117"/>
              <w:rPr>
                <w:rFonts w:ascii="微软雅黑" w:eastAsia="微软雅黑" w:hint="eastAsia"/>
                <w:sz w:val="21"/>
              </w:rPr>
            </w:pPr>
            <w:r>
              <w:rPr>
                <w:rFonts w:ascii="微软雅黑" w:eastAsia="微软雅黑" w:hint="eastAsia"/>
                <w:sz w:val="21"/>
              </w:rPr>
              <w:t>通道口</w:t>
            </w:r>
          </w:p>
        </w:tc>
        <w:tc>
          <w:tcPr>
            <w:tcW w:w="6646" w:type="dxa"/>
            <w:tcBorders>
              <w:top w:val="single" w:sz="4" w:space="0" w:color="000000"/>
              <w:left w:val="single" w:sz="4" w:space="0" w:color="000000"/>
              <w:bottom w:val="single" w:sz="4" w:space="0" w:color="000000"/>
            </w:tcBorders>
          </w:tcPr>
          <w:p>
            <w:pPr>
              <w:pStyle w:val="TableParagraph"/>
              <w:spacing w:line="309" w:lineRule="exact"/>
              <w:ind w:left="117" w:right="-44"/>
              <w:rPr>
                <w:rFonts w:ascii="微软雅黑" w:eastAsia="微软雅黑" w:hint="eastAsia"/>
                <w:sz w:val="21"/>
              </w:rPr>
            </w:pPr>
            <w:r>
              <w:rPr>
                <w:rFonts w:ascii="微软雅黑" w:eastAsia="微软雅黑" w:hint="eastAsia"/>
                <w:spacing w:val="-12"/>
                <w:sz w:val="21"/>
              </w:rPr>
              <w:t>设防护棚，防护棚应为不小于 </w:t>
            </w:r>
            <w:r>
              <w:rPr>
                <w:rFonts w:ascii="微软雅黑" w:eastAsia="微软雅黑" w:hint="eastAsia"/>
                <w:sz w:val="21"/>
              </w:rPr>
              <w:t>5cm</w:t>
            </w:r>
            <w:r>
              <w:rPr>
                <w:rFonts w:ascii="微软雅黑" w:eastAsia="微软雅黑" w:hint="eastAsia"/>
                <w:spacing w:val="-4"/>
                <w:sz w:val="21"/>
              </w:rPr>
              <w:t> 厚的木板或两道相距 </w:t>
            </w:r>
            <w:r>
              <w:rPr>
                <w:rFonts w:ascii="微软雅黑" w:eastAsia="微软雅黑" w:hint="eastAsia"/>
                <w:sz w:val="21"/>
              </w:rPr>
              <w:t>50cm</w:t>
            </w:r>
            <w:r>
              <w:rPr>
                <w:rFonts w:ascii="微软雅黑" w:eastAsia="微软雅黑" w:hint="eastAsia"/>
                <w:spacing w:val="-3"/>
                <w:sz w:val="21"/>
              </w:rPr>
              <w:t> 的竹笆。</w:t>
            </w:r>
          </w:p>
          <w:p>
            <w:pPr>
              <w:pStyle w:val="TableParagraph"/>
              <w:spacing w:line="273" w:lineRule="exact"/>
              <w:ind w:left="117"/>
              <w:rPr>
                <w:rFonts w:ascii="微软雅黑" w:eastAsia="微软雅黑" w:hint="eastAsia"/>
                <w:sz w:val="21"/>
              </w:rPr>
            </w:pPr>
            <w:r>
              <w:rPr>
                <w:rFonts w:ascii="微软雅黑" w:eastAsia="微软雅黑" w:hint="eastAsia"/>
                <w:sz w:val="21"/>
              </w:rPr>
              <w:t>两侧应沿栏杆架用密目式安全网封闭。</w:t>
            </w:r>
          </w:p>
        </w:tc>
      </w:tr>
      <w:tr>
        <w:trPr>
          <w:trHeight w:val="599" w:hRule="atLeast"/>
        </w:trPr>
        <w:tc>
          <w:tcPr>
            <w:tcW w:w="739" w:type="dxa"/>
            <w:vMerge/>
            <w:tcBorders>
              <w:top w:val="nil"/>
              <w:bottom w:val="single" w:sz="4" w:space="0" w:color="000000"/>
              <w:right w:val="single" w:sz="4" w:space="0" w:color="000000"/>
            </w:tcBorders>
          </w:tcPr>
          <w:p>
            <w:pPr>
              <w:rPr>
                <w:sz w:val="2"/>
                <w:szCs w:val="2"/>
              </w:rPr>
            </w:pPr>
          </w:p>
        </w:tc>
        <w:tc>
          <w:tcPr>
            <w:tcW w:w="523" w:type="dxa"/>
            <w:vMerge/>
            <w:tcBorders>
              <w:top w:val="nil"/>
              <w:left w:val="single" w:sz="4" w:space="0" w:color="000000"/>
              <w:bottom w:val="single" w:sz="4" w:space="0" w:color="000000"/>
              <w:right w:val="single" w:sz="4" w:space="0" w:color="000000"/>
            </w:tcBorders>
          </w:tcPr>
          <w:p>
            <w:pPr>
              <w:rPr>
                <w:sz w:val="2"/>
                <w:szCs w:val="2"/>
              </w:rPr>
            </w:pPr>
          </w:p>
        </w:tc>
        <w:tc>
          <w:tcPr>
            <w:tcW w:w="1546" w:type="dxa"/>
            <w:tcBorders>
              <w:top w:val="single" w:sz="4" w:space="0" w:color="000000"/>
              <w:left w:val="single" w:sz="4" w:space="0" w:color="000000"/>
              <w:bottom w:val="single" w:sz="4" w:space="0" w:color="000000"/>
              <w:right w:val="single" w:sz="4" w:space="0" w:color="000000"/>
            </w:tcBorders>
          </w:tcPr>
          <w:p>
            <w:pPr>
              <w:pStyle w:val="TableParagraph"/>
              <w:spacing w:before="111"/>
              <w:ind w:left="117"/>
              <w:rPr>
                <w:rFonts w:ascii="微软雅黑" w:eastAsia="微软雅黑" w:hint="eastAsia"/>
                <w:sz w:val="21"/>
              </w:rPr>
            </w:pPr>
            <w:r>
              <w:rPr>
                <w:rFonts w:ascii="微软雅黑" w:eastAsia="微软雅黑" w:hint="eastAsia"/>
                <w:sz w:val="21"/>
              </w:rPr>
              <w:t>预留洞口</w:t>
            </w:r>
          </w:p>
        </w:tc>
        <w:tc>
          <w:tcPr>
            <w:tcW w:w="6646" w:type="dxa"/>
            <w:tcBorders>
              <w:top w:val="single" w:sz="4" w:space="0" w:color="000000"/>
              <w:left w:val="single" w:sz="4" w:space="0" w:color="000000"/>
              <w:bottom w:val="single" w:sz="4" w:space="0" w:color="000000"/>
            </w:tcBorders>
          </w:tcPr>
          <w:p>
            <w:pPr>
              <w:pStyle w:val="TableParagraph"/>
              <w:spacing w:line="306" w:lineRule="exact"/>
              <w:ind w:left="117"/>
              <w:rPr>
                <w:rFonts w:ascii="微软雅黑" w:eastAsia="微软雅黑" w:hint="eastAsia"/>
                <w:sz w:val="21"/>
              </w:rPr>
            </w:pPr>
            <w:r>
              <w:rPr>
                <w:rFonts w:ascii="微软雅黑" w:eastAsia="微软雅黑" w:hint="eastAsia"/>
                <w:sz w:val="21"/>
              </w:rPr>
              <w:t>用硬质材料全封闭，短边超过 1.5m 长的洞口，除封闭外四周还应设有</w:t>
            </w:r>
          </w:p>
          <w:p>
            <w:pPr>
              <w:pStyle w:val="TableParagraph"/>
              <w:spacing w:line="273" w:lineRule="exact"/>
              <w:ind w:left="117"/>
              <w:rPr>
                <w:rFonts w:ascii="微软雅黑" w:eastAsia="微软雅黑" w:hint="eastAsia"/>
                <w:sz w:val="21"/>
              </w:rPr>
            </w:pPr>
            <w:r>
              <w:rPr>
                <w:rFonts w:ascii="微软雅黑" w:eastAsia="微软雅黑" w:hint="eastAsia"/>
                <w:sz w:val="21"/>
              </w:rPr>
              <w:t>防护栏杆。</w:t>
            </w:r>
          </w:p>
        </w:tc>
      </w:tr>
      <w:tr>
        <w:trPr>
          <w:trHeight w:val="604" w:hRule="atLeast"/>
        </w:trPr>
        <w:tc>
          <w:tcPr>
            <w:tcW w:w="739" w:type="dxa"/>
            <w:vMerge/>
            <w:tcBorders>
              <w:top w:val="nil"/>
              <w:bottom w:val="single" w:sz="4" w:space="0" w:color="000000"/>
              <w:right w:val="single" w:sz="4" w:space="0" w:color="000000"/>
            </w:tcBorders>
          </w:tcPr>
          <w:p>
            <w:pPr>
              <w:rPr>
                <w:sz w:val="2"/>
                <w:szCs w:val="2"/>
              </w:rPr>
            </w:pPr>
          </w:p>
        </w:tc>
        <w:tc>
          <w:tcPr>
            <w:tcW w:w="523" w:type="dxa"/>
            <w:vMerge/>
            <w:tcBorders>
              <w:top w:val="nil"/>
              <w:left w:val="single" w:sz="4" w:space="0" w:color="000000"/>
              <w:bottom w:val="single" w:sz="4" w:space="0" w:color="000000"/>
              <w:right w:val="single" w:sz="4" w:space="0" w:color="000000"/>
            </w:tcBorders>
          </w:tcPr>
          <w:p>
            <w:pPr>
              <w:rPr>
                <w:sz w:val="2"/>
                <w:szCs w:val="2"/>
              </w:rPr>
            </w:pPr>
          </w:p>
        </w:tc>
        <w:tc>
          <w:tcPr>
            <w:tcW w:w="1546" w:type="dxa"/>
            <w:tcBorders>
              <w:top w:val="single" w:sz="4" w:space="0" w:color="000000"/>
              <w:left w:val="single" w:sz="4" w:space="0" w:color="000000"/>
              <w:bottom w:val="single" w:sz="4" w:space="0" w:color="000000"/>
              <w:right w:val="single" w:sz="4" w:space="0" w:color="000000"/>
            </w:tcBorders>
          </w:tcPr>
          <w:p>
            <w:pPr>
              <w:pStyle w:val="TableParagraph"/>
              <w:spacing w:before="114"/>
              <w:ind w:left="117"/>
              <w:rPr>
                <w:rFonts w:ascii="微软雅黑" w:eastAsia="微软雅黑" w:hint="eastAsia"/>
                <w:sz w:val="21"/>
              </w:rPr>
            </w:pPr>
            <w:r>
              <w:rPr>
                <w:rFonts w:ascii="微软雅黑" w:eastAsia="微软雅黑" w:hint="eastAsia"/>
                <w:sz w:val="21"/>
              </w:rPr>
              <w:t>电梯井口</w:t>
            </w:r>
          </w:p>
        </w:tc>
        <w:tc>
          <w:tcPr>
            <w:tcW w:w="6646" w:type="dxa"/>
            <w:tcBorders>
              <w:top w:val="single" w:sz="4" w:space="0" w:color="000000"/>
              <w:left w:val="single" w:sz="4" w:space="0" w:color="000000"/>
              <w:bottom w:val="single" w:sz="4" w:space="0" w:color="000000"/>
            </w:tcBorders>
          </w:tcPr>
          <w:p>
            <w:pPr>
              <w:pStyle w:val="TableParagraph"/>
              <w:spacing w:line="309" w:lineRule="exact"/>
              <w:ind w:left="117"/>
              <w:rPr>
                <w:rFonts w:ascii="微软雅黑" w:eastAsia="微软雅黑" w:hint="eastAsia"/>
                <w:sz w:val="21"/>
              </w:rPr>
            </w:pPr>
            <w:r>
              <w:rPr>
                <w:rFonts w:ascii="微软雅黑" w:eastAsia="微软雅黑" w:hint="eastAsia"/>
                <w:sz w:val="21"/>
              </w:rPr>
              <w:t>设置定型化、工具化的防护门，在电梯井内每隔 2 层（不大于 10m）</w:t>
            </w:r>
          </w:p>
          <w:p>
            <w:pPr>
              <w:pStyle w:val="TableParagraph"/>
              <w:spacing w:line="276" w:lineRule="exact"/>
              <w:ind w:left="117"/>
              <w:rPr>
                <w:rFonts w:ascii="微软雅黑" w:eastAsia="微软雅黑" w:hint="eastAsia"/>
                <w:sz w:val="21"/>
              </w:rPr>
            </w:pPr>
            <w:r>
              <w:rPr>
                <w:rFonts w:ascii="微软雅黑" w:eastAsia="微软雅黑" w:hint="eastAsia"/>
                <w:sz w:val="21"/>
              </w:rPr>
              <w:t>设置一道水平防护。</w:t>
            </w:r>
          </w:p>
        </w:tc>
      </w:tr>
      <w:tr>
        <w:trPr>
          <w:trHeight w:val="299" w:hRule="atLeast"/>
        </w:trPr>
        <w:tc>
          <w:tcPr>
            <w:tcW w:w="739" w:type="dxa"/>
            <w:vMerge/>
            <w:tcBorders>
              <w:top w:val="nil"/>
              <w:bottom w:val="single" w:sz="4" w:space="0" w:color="000000"/>
              <w:right w:val="single" w:sz="4" w:space="0" w:color="000000"/>
            </w:tcBorders>
          </w:tcPr>
          <w:p>
            <w:pPr>
              <w:rPr>
                <w:sz w:val="2"/>
                <w:szCs w:val="2"/>
              </w:rPr>
            </w:pPr>
          </w:p>
        </w:tc>
        <w:tc>
          <w:tcPr>
            <w:tcW w:w="523" w:type="dxa"/>
            <w:vMerge/>
            <w:tcBorders>
              <w:top w:val="nil"/>
              <w:left w:val="single" w:sz="4" w:space="0" w:color="000000"/>
              <w:bottom w:val="single" w:sz="4" w:space="0" w:color="000000"/>
              <w:right w:val="single" w:sz="4" w:space="0" w:color="000000"/>
            </w:tcBorders>
          </w:tcPr>
          <w:p>
            <w:pPr>
              <w:rPr>
                <w:sz w:val="2"/>
                <w:szCs w:val="2"/>
              </w:rPr>
            </w:pPr>
          </w:p>
        </w:tc>
        <w:tc>
          <w:tcPr>
            <w:tcW w:w="1546" w:type="dxa"/>
            <w:tcBorders>
              <w:top w:val="single" w:sz="4" w:space="0" w:color="000000"/>
              <w:left w:val="single" w:sz="4" w:space="0" w:color="000000"/>
              <w:bottom w:val="single" w:sz="4" w:space="0" w:color="000000"/>
              <w:right w:val="single" w:sz="4" w:space="0" w:color="000000"/>
            </w:tcBorders>
          </w:tcPr>
          <w:p>
            <w:pPr>
              <w:pStyle w:val="TableParagraph"/>
              <w:spacing w:line="280" w:lineRule="exact"/>
              <w:ind w:left="117"/>
              <w:rPr>
                <w:rFonts w:ascii="微软雅黑" w:eastAsia="微软雅黑" w:hint="eastAsia"/>
                <w:sz w:val="21"/>
              </w:rPr>
            </w:pPr>
            <w:r>
              <w:rPr>
                <w:rFonts w:ascii="微软雅黑" w:eastAsia="微软雅黑" w:hint="eastAsia"/>
                <w:sz w:val="21"/>
              </w:rPr>
              <w:t>楼梯边</w:t>
            </w:r>
          </w:p>
        </w:tc>
        <w:tc>
          <w:tcPr>
            <w:tcW w:w="6646" w:type="dxa"/>
            <w:tcBorders>
              <w:top w:val="single" w:sz="4" w:space="0" w:color="000000"/>
              <w:left w:val="single" w:sz="4" w:space="0" w:color="000000"/>
              <w:bottom w:val="single" w:sz="4" w:space="0" w:color="000000"/>
            </w:tcBorders>
          </w:tcPr>
          <w:p>
            <w:pPr>
              <w:pStyle w:val="TableParagraph"/>
              <w:spacing w:line="280" w:lineRule="exact"/>
              <w:ind w:left="117"/>
              <w:rPr>
                <w:rFonts w:ascii="微软雅黑" w:eastAsia="微软雅黑" w:hint="eastAsia"/>
                <w:sz w:val="21"/>
              </w:rPr>
            </w:pPr>
            <w:r>
              <w:rPr>
                <w:rFonts w:ascii="微软雅黑" w:eastAsia="微软雅黑" w:hint="eastAsia"/>
                <w:sz w:val="21"/>
              </w:rPr>
              <w:t>设 1.2m 高的定型化、工具化的防护栏，18cm 高的踢脚板。</w:t>
            </w:r>
          </w:p>
        </w:tc>
      </w:tr>
      <w:tr>
        <w:trPr>
          <w:trHeight w:val="599" w:hRule="atLeast"/>
        </w:trPr>
        <w:tc>
          <w:tcPr>
            <w:tcW w:w="739" w:type="dxa"/>
            <w:vMerge/>
            <w:tcBorders>
              <w:top w:val="nil"/>
              <w:bottom w:val="single" w:sz="4" w:space="0" w:color="000000"/>
              <w:right w:val="single" w:sz="4" w:space="0" w:color="000000"/>
            </w:tcBorders>
          </w:tcPr>
          <w:p>
            <w:pPr>
              <w:rPr>
                <w:sz w:val="2"/>
                <w:szCs w:val="2"/>
              </w:rPr>
            </w:pPr>
          </w:p>
        </w:tc>
        <w:tc>
          <w:tcPr>
            <w:tcW w:w="523" w:type="dxa"/>
            <w:vMerge/>
            <w:tcBorders>
              <w:top w:val="nil"/>
              <w:left w:val="single" w:sz="4" w:space="0" w:color="000000"/>
              <w:bottom w:val="single" w:sz="4" w:space="0" w:color="000000"/>
              <w:right w:val="single" w:sz="4" w:space="0" w:color="000000"/>
            </w:tcBorders>
          </w:tcPr>
          <w:p>
            <w:pPr>
              <w:rPr>
                <w:sz w:val="2"/>
                <w:szCs w:val="2"/>
              </w:rPr>
            </w:pPr>
          </w:p>
        </w:tc>
        <w:tc>
          <w:tcPr>
            <w:tcW w:w="1546" w:type="dxa"/>
            <w:tcBorders>
              <w:top w:val="single" w:sz="4" w:space="0" w:color="000000"/>
              <w:left w:val="single" w:sz="4" w:space="0" w:color="000000"/>
              <w:bottom w:val="single" w:sz="4" w:space="0" w:color="000000"/>
              <w:right w:val="single" w:sz="4" w:space="0" w:color="000000"/>
            </w:tcBorders>
          </w:tcPr>
          <w:p>
            <w:pPr>
              <w:pStyle w:val="TableParagraph"/>
              <w:spacing w:line="306" w:lineRule="exact"/>
              <w:ind w:left="117"/>
              <w:rPr>
                <w:rFonts w:ascii="微软雅黑" w:eastAsia="微软雅黑" w:hint="eastAsia"/>
                <w:sz w:val="21"/>
              </w:rPr>
            </w:pPr>
            <w:r>
              <w:rPr>
                <w:rFonts w:ascii="微软雅黑" w:eastAsia="微软雅黑" w:hint="eastAsia"/>
                <w:sz w:val="21"/>
              </w:rPr>
              <w:t>垂直方向交叉</w:t>
            </w:r>
          </w:p>
          <w:p>
            <w:pPr>
              <w:pStyle w:val="TableParagraph"/>
              <w:spacing w:line="274" w:lineRule="exact"/>
              <w:ind w:left="117"/>
              <w:rPr>
                <w:rFonts w:ascii="微软雅黑" w:eastAsia="微软雅黑" w:hint="eastAsia"/>
                <w:sz w:val="21"/>
              </w:rPr>
            </w:pPr>
            <w:r>
              <w:rPr>
                <w:rFonts w:ascii="微软雅黑" w:eastAsia="微软雅黑" w:hint="eastAsia"/>
                <w:sz w:val="21"/>
              </w:rPr>
              <w:t>作业</w:t>
            </w:r>
          </w:p>
        </w:tc>
        <w:tc>
          <w:tcPr>
            <w:tcW w:w="6646" w:type="dxa"/>
            <w:tcBorders>
              <w:top w:val="single" w:sz="4" w:space="0" w:color="000000"/>
              <w:left w:val="single" w:sz="4" w:space="0" w:color="000000"/>
              <w:bottom w:val="single" w:sz="4" w:space="0" w:color="000000"/>
            </w:tcBorders>
          </w:tcPr>
          <w:p>
            <w:pPr>
              <w:pStyle w:val="TableParagraph"/>
              <w:spacing w:before="114"/>
              <w:ind w:left="117"/>
              <w:rPr>
                <w:rFonts w:ascii="微软雅黑" w:eastAsia="微软雅黑" w:hint="eastAsia"/>
                <w:sz w:val="21"/>
              </w:rPr>
            </w:pPr>
            <w:r>
              <w:rPr>
                <w:rFonts w:ascii="微软雅黑" w:eastAsia="微软雅黑" w:hint="eastAsia"/>
                <w:sz w:val="21"/>
              </w:rPr>
              <w:t>设置防护隔离棚或其它设施。</w:t>
            </w:r>
          </w:p>
        </w:tc>
      </w:tr>
      <w:tr>
        <w:trPr>
          <w:trHeight w:val="602" w:hRule="atLeast"/>
        </w:trPr>
        <w:tc>
          <w:tcPr>
            <w:tcW w:w="739" w:type="dxa"/>
            <w:vMerge/>
            <w:tcBorders>
              <w:top w:val="nil"/>
              <w:bottom w:val="single" w:sz="4" w:space="0" w:color="000000"/>
              <w:right w:val="single" w:sz="4" w:space="0" w:color="000000"/>
            </w:tcBorders>
          </w:tcPr>
          <w:p>
            <w:pPr>
              <w:rPr>
                <w:sz w:val="2"/>
                <w:szCs w:val="2"/>
              </w:rPr>
            </w:pPr>
          </w:p>
        </w:tc>
        <w:tc>
          <w:tcPr>
            <w:tcW w:w="523" w:type="dxa"/>
            <w:vMerge/>
            <w:tcBorders>
              <w:top w:val="nil"/>
              <w:left w:val="single" w:sz="4" w:space="0" w:color="000000"/>
              <w:bottom w:val="single" w:sz="4" w:space="0" w:color="000000"/>
              <w:right w:val="single" w:sz="4" w:space="0" w:color="000000"/>
            </w:tcBorders>
          </w:tcPr>
          <w:p>
            <w:pPr>
              <w:rPr>
                <w:sz w:val="2"/>
                <w:szCs w:val="2"/>
              </w:rPr>
            </w:pPr>
          </w:p>
        </w:tc>
        <w:tc>
          <w:tcPr>
            <w:tcW w:w="1546" w:type="dxa"/>
            <w:tcBorders>
              <w:top w:val="single" w:sz="4" w:space="0" w:color="000000"/>
              <w:left w:val="single" w:sz="4" w:space="0" w:color="000000"/>
              <w:bottom w:val="single" w:sz="4" w:space="0" w:color="000000"/>
              <w:right w:val="single" w:sz="4" w:space="0" w:color="000000"/>
            </w:tcBorders>
          </w:tcPr>
          <w:p>
            <w:pPr>
              <w:pStyle w:val="TableParagraph"/>
              <w:spacing w:before="114"/>
              <w:ind w:left="117"/>
              <w:rPr>
                <w:rFonts w:ascii="微软雅黑" w:eastAsia="微软雅黑" w:hint="eastAsia"/>
                <w:sz w:val="21"/>
              </w:rPr>
            </w:pPr>
            <w:r>
              <w:rPr>
                <w:rFonts w:ascii="微软雅黑" w:eastAsia="微软雅黑" w:hint="eastAsia"/>
                <w:sz w:val="21"/>
              </w:rPr>
              <w:t>高处作业</w:t>
            </w:r>
          </w:p>
        </w:tc>
        <w:tc>
          <w:tcPr>
            <w:tcW w:w="6646" w:type="dxa"/>
            <w:tcBorders>
              <w:top w:val="single" w:sz="4" w:space="0" w:color="000000"/>
              <w:left w:val="single" w:sz="4" w:space="0" w:color="000000"/>
              <w:bottom w:val="single" w:sz="4" w:space="0" w:color="000000"/>
            </w:tcBorders>
          </w:tcPr>
          <w:p>
            <w:pPr>
              <w:pStyle w:val="TableParagraph"/>
              <w:spacing w:line="309" w:lineRule="exact"/>
              <w:ind w:left="117"/>
              <w:rPr>
                <w:rFonts w:ascii="微软雅黑" w:eastAsia="微软雅黑" w:hint="eastAsia"/>
                <w:sz w:val="21"/>
              </w:rPr>
            </w:pPr>
            <w:r>
              <w:rPr>
                <w:rFonts w:ascii="微软雅黑" w:eastAsia="微软雅黑" w:hint="eastAsia"/>
                <w:spacing w:val="-8"/>
                <w:sz w:val="21"/>
              </w:rPr>
              <w:t>有悬挂安全带的悬索或其它设施，有操作平台，有上下的梯子或其它形</w:t>
            </w:r>
          </w:p>
          <w:p>
            <w:pPr>
              <w:pStyle w:val="TableParagraph"/>
              <w:spacing w:line="273" w:lineRule="exact"/>
              <w:ind w:left="117"/>
              <w:rPr>
                <w:rFonts w:ascii="微软雅黑" w:eastAsia="微软雅黑" w:hint="eastAsia"/>
                <w:sz w:val="21"/>
              </w:rPr>
            </w:pPr>
            <w:r>
              <w:rPr>
                <w:rFonts w:ascii="微软雅黑" w:eastAsia="微软雅黑" w:hint="eastAsia"/>
                <w:sz w:val="21"/>
              </w:rPr>
              <w:t>式的通道。</w:t>
            </w:r>
          </w:p>
        </w:tc>
      </w:tr>
      <w:tr>
        <w:trPr>
          <w:trHeight w:val="599" w:hRule="atLeast"/>
        </w:trPr>
        <w:tc>
          <w:tcPr>
            <w:tcW w:w="739" w:type="dxa"/>
            <w:vMerge/>
            <w:tcBorders>
              <w:top w:val="nil"/>
              <w:bottom w:val="single" w:sz="4" w:space="0" w:color="000000"/>
              <w:right w:val="single" w:sz="4" w:space="0" w:color="000000"/>
            </w:tcBorders>
          </w:tcPr>
          <w:p>
            <w:pPr>
              <w:rPr>
                <w:sz w:val="2"/>
                <w:szCs w:val="2"/>
              </w:rPr>
            </w:pPr>
          </w:p>
        </w:tc>
        <w:tc>
          <w:tcPr>
            <w:tcW w:w="523" w:type="dxa"/>
            <w:vMerge/>
            <w:tcBorders>
              <w:top w:val="nil"/>
              <w:left w:val="single" w:sz="4" w:space="0" w:color="000000"/>
              <w:bottom w:val="single" w:sz="4" w:space="0" w:color="000000"/>
              <w:right w:val="single" w:sz="4" w:space="0" w:color="000000"/>
            </w:tcBorders>
          </w:tcPr>
          <w:p>
            <w:pPr>
              <w:rPr>
                <w:sz w:val="2"/>
                <w:szCs w:val="2"/>
              </w:rPr>
            </w:pPr>
          </w:p>
        </w:tc>
        <w:tc>
          <w:tcPr>
            <w:tcW w:w="1546" w:type="dxa"/>
            <w:tcBorders>
              <w:top w:val="single" w:sz="4" w:space="0" w:color="000000"/>
              <w:left w:val="single" w:sz="4" w:space="0" w:color="000000"/>
              <w:bottom w:val="single" w:sz="4" w:space="0" w:color="000000"/>
              <w:right w:val="single" w:sz="4" w:space="0" w:color="000000"/>
            </w:tcBorders>
          </w:tcPr>
          <w:p>
            <w:pPr>
              <w:pStyle w:val="TableParagraph"/>
              <w:spacing w:line="306" w:lineRule="exact"/>
              <w:ind w:left="117"/>
              <w:rPr>
                <w:rFonts w:ascii="微软雅黑" w:eastAsia="微软雅黑" w:hint="eastAsia"/>
                <w:sz w:val="21"/>
              </w:rPr>
            </w:pPr>
            <w:r>
              <w:rPr>
                <w:rFonts w:ascii="微软雅黑" w:eastAsia="微软雅黑" w:hint="eastAsia"/>
                <w:sz w:val="21"/>
              </w:rPr>
              <w:t>基坑、物料平</w:t>
            </w:r>
          </w:p>
          <w:p>
            <w:pPr>
              <w:pStyle w:val="TableParagraph"/>
              <w:spacing w:line="273" w:lineRule="exact"/>
              <w:ind w:left="117"/>
              <w:rPr>
                <w:rFonts w:ascii="微软雅黑" w:eastAsia="微软雅黑" w:hint="eastAsia"/>
                <w:sz w:val="21"/>
              </w:rPr>
            </w:pPr>
            <w:r>
              <w:rPr>
                <w:rFonts w:ascii="微软雅黑" w:eastAsia="微软雅黑" w:hint="eastAsia"/>
                <w:w w:val="100"/>
                <w:sz w:val="21"/>
              </w:rPr>
              <w:t>台</w:t>
            </w:r>
          </w:p>
        </w:tc>
        <w:tc>
          <w:tcPr>
            <w:tcW w:w="6646" w:type="dxa"/>
            <w:tcBorders>
              <w:top w:val="single" w:sz="4" w:space="0" w:color="000000"/>
              <w:left w:val="single" w:sz="4" w:space="0" w:color="000000"/>
              <w:bottom w:val="single" w:sz="4" w:space="0" w:color="000000"/>
            </w:tcBorders>
          </w:tcPr>
          <w:p>
            <w:pPr>
              <w:pStyle w:val="TableParagraph"/>
              <w:spacing w:before="111"/>
              <w:ind w:left="117"/>
              <w:rPr>
                <w:rFonts w:ascii="微软雅黑" w:eastAsia="微软雅黑" w:hint="eastAsia"/>
                <w:sz w:val="21"/>
              </w:rPr>
            </w:pPr>
            <w:r>
              <w:rPr>
                <w:rFonts w:ascii="微软雅黑" w:eastAsia="微软雅黑" w:hint="eastAsia"/>
                <w:sz w:val="21"/>
              </w:rPr>
              <w:t>设 1.2m 高标准化的防护栏，用密目式安全立网封闭，悬挂标识。</w:t>
            </w:r>
          </w:p>
        </w:tc>
      </w:tr>
      <w:tr>
        <w:trPr>
          <w:trHeight w:val="599" w:hRule="atLeast"/>
        </w:trPr>
        <w:tc>
          <w:tcPr>
            <w:tcW w:w="739" w:type="dxa"/>
            <w:vMerge/>
            <w:tcBorders>
              <w:top w:val="nil"/>
              <w:bottom w:val="single" w:sz="4" w:space="0" w:color="000000"/>
              <w:right w:val="single" w:sz="4" w:space="0" w:color="000000"/>
            </w:tcBorders>
          </w:tcPr>
          <w:p>
            <w:pPr>
              <w:rPr>
                <w:sz w:val="2"/>
                <w:szCs w:val="2"/>
              </w:rPr>
            </w:pPr>
          </w:p>
        </w:tc>
        <w:tc>
          <w:tcPr>
            <w:tcW w:w="2069"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11"/>
              <w:ind w:left="410"/>
              <w:rPr>
                <w:rFonts w:ascii="微软雅黑" w:eastAsia="微软雅黑" w:hint="eastAsia"/>
                <w:sz w:val="21"/>
              </w:rPr>
            </w:pPr>
            <w:r>
              <w:rPr>
                <w:rFonts w:ascii="微软雅黑" w:eastAsia="微软雅黑" w:hint="eastAsia"/>
                <w:sz w:val="21"/>
              </w:rPr>
              <w:t>安全防护用品</w:t>
            </w:r>
          </w:p>
        </w:tc>
        <w:tc>
          <w:tcPr>
            <w:tcW w:w="6646" w:type="dxa"/>
            <w:tcBorders>
              <w:top w:val="single" w:sz="4" w:space="0" w:color="000000"/>
              <w:left w:val="single" w:sz="4" w:space="0" w:color="000000"/>
              <w:bottom w:val="single" w:sz="4" w:space="0" w:color="000000"/>
            </w:tcBorders>
          </w:tcPr>
          <w:p>
            <w:pPr>
              <w:pStyle w:val="TableParagraph"/>
              <w:spacing w:line="306" w:lineRule="exact"/>
              <w:ind w:left="117" w:right="-15"/>
              <w:rPr>
                <w:rFonts w:ascii="微软雅黑" w:eastAsia="微软雅黑" w:hint="eastAsia"/>
                <w:sz w:val="21"/>
              </w:rPr>
            </w:pPr>
            <w:r>
              <w:rPr>
                <w:rFonts w:ascii="微软雅黑" w:eastAsia="微软雅黑" w:hint="eastAsia"/>
                <w:spacing w:val="-3"/>
                <w:sz w:val="21"/>
              </w:rPr>
              <w:t>安全帽、安全带、特种作业人员</w:t>
            </w:r>
            <w:r>
              <w:rPr>
                <w:rFonts w:ascii="微软雅黑" w:eastAsia="微软雅黑" w:hint="eastAsia"/>
                <w:sz w:val="21"/>
              </w:rPr>
              <w:t>（</w:t>
            </w:r>
            <w:r>
              <w:rPr>
                <w:rFonts w:ascii="微软雅黑" w:eastAsia="微软雅黑" w:hint="eastAsia"/>
                <w:spacing w:val="-3"/>
                <w:sz w:val="21"/>
              </w:rPr>
              <w:t>电工、焊工、架子工等</w:t>
            </w:r>
            <w:r>
              <w:rPr>
                <w:rFonts w:ascii="微软雅黑" w:eastAsia="微软雅黑" w:hint="eastAsia"/>
                <w:sz w:val="21"/>
              </w:rPr>
              <w:t>）</w:t>
            </w:r>
            <w:r>
              <w:rPr>
                <w:rFonts w:ascii="微软雅黑" w:eastAsia="微软雅黑" w:hint="eastAsia"/>
                <w:spacing w:val="-3"/>
                <w:sz w:val="21"/>
              </w:rPr>
              <w:t>防护服装、</w:t>
            </w:r>
          </w:p>
          <w:p>
            <w:pPr>
              <w:pStyle w:val="TableParagraph"/>
              <w:spacing w:line="273" w:lineRule="exact"/>
              <w:ind w:left="117"/>
              <w:rPr>
                <w:rFonts w:ascii="微软雅黑" w:eastAsia="微软雅黑" w:hint="eastAsia"/>
                <w:sz w:val="21"/>
              </w:rPr>
            </w:pPr>
            <w:r>
              <w:rPr>
                <w:rFonts w:ascii="微软雅黑" w:eastAsia="微软雅黑" w:hint="eastAsia"/>
                <w:sz w:val="21"/>
              </w:rPr>
              <w:t>用品等。</w:t>
            </w:r>
          </w:p>
        </w:tc>
      </w:tr>
      <w:tr>
        <w:trPr>
          <w:trHeight w:val="644" w:hRule="atLeast"/>
        </w:trPr>
        <w:tc>
          <w:tcPr>
            <w:tcW w:w="739" w:type="dxa"/>
            <w:vMerge w:val="restart"/>
            <w:tcBorders>
              <w:top w:val="single" w:sz="4" w:space="0" w:color="000000"/>
              <w:right w:val="single" w:sz="4" w:space="0" w:color="000000"/>
            </w:tcBorders>
          </w:tcPr>
          <w:p>
            <w:pPr>
              <w:pStyle w:val="TableParagraph"/>
              <w:rPr>
                <w:rFonts w:ascii="Microsoft JhengHei"/>
                <w:b/>
                <w:sz w:val="28"/>
              </w:rPr>
            </w:pPr>
          </w:p>
          <w:p>
            <w:pPr>
              <w:pStyle w:val="TableParagraph"/>
              <w:rPr>
                <w:rFonts w:ascii="Microsoft JhengHei"/>
                <w:b/>
                <w:sz w:val="28"/>
              </w:rPr>
            </w:pPr>
          </w:p>
          <w:p>
            <w:pPr>
              <w:pStyle w:val="TableParagraph"/>
              <w:spacing w:before="1"/>
              <w:rPr>
                <w:rFonts w:ascii="Microsoft JhengHei"/>
                <w:b/>
                <w:sz w:val="27"/>
              </w:rPr>
            </w:pPr>
          </w:p>
          <w:p>
            <w:pPr>
              <w:pStyle w:val="TableParagraph"/>
              <w:ind w:left="157"/>
              <w:rPr>
                <w:rFonts w:ascii="微软雅黑" w:eastAsia="微软雅黑" w:hint="eastAsia"/>
                <w:sz w:val="21"/>
              </w:rPr>
            </w:pPr>
            <w:r>
              <w:rPr>
                <w:rFonts w:ascii="微软雅黑" w:eastAsia="微软雅黑" w:hint="eastAsia"/>
                <w:sz w:val="21"/>
              </w:rPr>
              <w:t>其它</w:t>
            </w:r>
          </w:p>
        </w:tc>
        <w:tc>
          <w:tcPr>
            <w:tcW w:w="52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187" w:lineRule="auto" w:before="23"/>
              <w:ind w:left="163" w:right="136"/>
              <w:jc w:val="both"/>
              <w:rPr>
                <w:rFonts w:ascii="微软雅黑" w:eastAsia="微软雅黑" w:hint="eastAsia"/>
                <w:sz w:val="21"/>
              </w:rPr>
            </w:pPr>
            <w:r>
              <w:rPr>
                <w:rFonts w:ascii="微软雅黑" w:eastAsia="微软雅黑" w:hint="eastAsia"/>
                <w:sz w:val="21"/>
              </w:rPr>
              <w:t>机械设备防</w:t>
            </w:r>
          </w:p>
          <w:p>
            <w:pPr>
              <w:pStyle w:val="TableParagraph"/>
              <w:spacing w:line="237" w:lineRule="exact"/>
              <w:ind w:left="163"/>
              <w:rPr>
                <w:rFonts w:ascii="微软雅黑" w:eastAsia="微软雅黑" w:hint="eastAsia"/>
                <w:sz w:val="21"/>
              </w:rPr>
            </w:pPr>
            <w:r>
              <w:rPr>
                <w:rFonts w:ascii="微软雅黑" w:eastAsia="微软雅黑" w:hint="eastAsia"/>
                <w:w w:val="100"/>
                <w:sz w:val="21"/>
              </w:rPr>
              <w:t>护</w:t>
            </w:r>
          </w:p>
        </w:tc>
        <w:tc>
          <w:tcPr>
            <w:tcW w:w="1546" w:type="dxa"/>
            <w:tcBorders>
              <w:top w:val="single" w:sz="4" w:space="0" w:color="000000"/>
              <w:left w:val="single" w:sz="4" w:space="0" w:color="000000"/>
              <w:bottom w:val="single" w:sz="4" w:space="0" w:color="000000"/>
              <w:right w:val="single" w:sz="4" w:space="0" w:color="000000"/>
            </w:tcBorders>
          </w:tcPr>
          <w:p>
            <w:pPr>
              <w:pStyle w:val="TableParagraph"/>
              <w:spacing w:before="140"/>
              <w:ind w:left="256"/>
              <w:rPr>
                <w:rFonts w:ascii="微软雅黑" w:eastAsia="微软雅黑" w:hint="eastAsia"/>
                <w:sz w:val="21"/>
              </w:rPr>
            </w:pPr>
            <w:r>
              <w:rPr>
                <w:rFonts w:ascii="微软雅黑" w:eastAsia="微软雅黑" w:hint="eastAsia"/>
                <w:sz w:val="21"/>
              </w:rPr>
              <w:t>中小型机械</w:t>
            </w:r>
          </w:p>
        </w:tc>
        <w:tc>
          <w:tcPr>
            <w:tcW w:w="6646" w:type="dxa"/>
            <w:tcBorders>
              <w:top w:val="single" w:sz="4" w:space="0" w:color="000000"/>
              <w:left w:val="single" w:sz="4" w:space="0" w:color="000000"/>
              <w:bottom w:val="single" w:sz="4" w:space="0" w:color="000000"/>
            </w:tcBorders>
          </w:tcPr>
          <w:p>
            <w:pPr>
              <w:pStyle w:val="TableParagraph"/>
              <w:spacing w:before="140"/>
              <w:ind w:left="117"/>
              <w:rPr>
                <w:rFonts w:ascii="微软雅黑" w:eastAsia="微软雅黑" w:hint="eastAsia"/>
                <w:sz w:val="21"/>
              </w:rPr>
            </w:pPr>
            <w:r>
              <w:rPr>
                <w:rFonts w:ascii="微软雅黑" w:eastAsia="微软雅黑" w:hint="eastAsia"/>
                <w:spacing w:val="-1"/>
                <w:sz w:val="21"/>
              </w:rPr>
              <w:t>设防护棚</w:t>
            </w:r>
            <w:r>
              <w:rPr>
                <w:rFonts w:ascii="微软雅黑" w:eastAsia="微软雅黑" w:hint="eastAsia"/>
                <w:spacing w:val="-3"/>
                <w:sz w:val="21"/>
              </w:rPr>
              <w:t>（同通道口防护并有防雨措施</w:t>
            </w:r>
            <w:r>
              <w:rPr>
                <w:rFonts w:ascii="微软雅黑" w:eastAsia="微软雅黑" w:hint="eastAsia"/>
                <w:spacing w:val="-108"/>
                <w:sz w:val="21"/>
              </w:rPr>
              <w:t>）</w:t>
            </w:r>
            <w:r>
              <w:rPr>
                <w:rFonts w:ascii="微软雅黑" w:eastAsia="微软雅黑" w:hint="eastAsia"/>
                <w:sz w:val="21"/>
              </w:rPr>
              <w:t>。</w:t>
            </w:r>
          </w:p>
        </w:tc>
      </w:tr>
      <w:tr>
        <w:trPr>
          <w:trHeight w:val="1115" w:hRule="atLeast"/>
        </w:trPr>
        <w:tc>
          <w:tcPr>
            <w:tcW w:w="739" w:type="dxa"/>
            <w:vMerge/>
            <w:tcBorders>
              <w:top w:val="nil"/>
              <w:right w:val="single" w:sz="4" w:space="0" w:color="000000"/>
            </w:tcBorders>
          </w:tcPr>
          <w:p>
            <w:pPr>
              <w:rPr>
                <w:sz w:val="2"/>
                <w:szCs w:val="2"/>
              </w:rPr>
            </w:pPr>
          </w:p>
        </w:tc>
        <w:tc>
          <w:tcPr>
            <w:tcW w:w="523" w:type="dxa"/>
            <w:vMerge/>
            <w:tcBorders>
              <w:top w:val="nil"/>
              <w:left w:val="single" w:sz="4" w:space="0" w:color="000000"/>
              <w:bottom w:val="single" w:sz="4" w:space="0" w:color="000000"/>
              <w:right w:val="single" w:sz="4" w:space="0" w:color="000000"/>
            </w:tcBorders>
          </w:tcPr>
          <w:p>
            <w:pPr>
              <w:rPr>
                <w:sz w:val="2"/>
                <w:szCs w:val="2"/>
              </w:rPr>
            </w:pPr>
          </w:p>
        </w:tc>
        <w:tc>
          <w:tcPr>
            <w:tcW w:w="1546"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Microsoft JhengHei"/>
                <w:b/>
                <w:sz w:val="20"/>
              </w:rPr>
            </w:pPr>
          </w:p>
          <w:p>
            <w:pPr>
              <w:pStyle w:val="TableParagraph"/>
              <w:ind w:left="151"/>
              <w:rPr>
                <w:rFonts w:ascii="微软雅黑" w:eastAsia="微软雅黑" w:hint="eastAsia"/>
                <w:sz w:val="21"/>
              </w:rPr>
            </w:pPr>
            <w:r>
              <w:rPr>
                <w:rFonts w:ascii="微软雅黑" w:eastAsia="微软雅黑" w:hint="eastAsia"/>
                <w:sz w:val="21"/>
              </w:rPr>
              <w:t>垂直运输设备</w:t>
            </w:r>
          </w:p>
        </w:tc>
        <w:tc>
          <w:tcPr>
            <w:tcW w:w="6646" w:type="dxa"/>
            <w:tcBorders>
              <w:top w:val="single" w:sz="4" w:space="0" w:color="000000"/>
              <w:left w:val="single" w:sz="4" w:space="0" w:color="000000"/>
              <w:bottom w:val="single" w:sz="4" w:space="0" w:color="000000"/>
            </w:tcBorders>
          </w:tcPr>
          <w:p>
            <w:pPr>
              <w:pStyle w:val="TableParagraph"/>
              <w:numPr>
                <w:ilvl w:val="0"/>
                <w:numId w:val="135"/>
              </w:numPr>
              <w:tabs>
                <w:tab w:pos="399" w:val="left" w:leader="none"/>
              </w:tabs>
              <w:spacing w:line="344" w:lineRule="exact" w:before="70" w:after="0"/>
              <w:ind w:left="398" w:right="0" w:hanging="282"/>
              <w:jc w:val="left"/>
              <w:rPr>
                <w:rFonts w:ascii="微软雅黑" w:eastAsia="微软雅黑" w:hint="eastAsia"/>
                <w:sz w:val="21"/>
              </w:rPr>
            </w:pPr>
            <w:r>
              <w:rPr>
                <w:rFonts w:ascii="微软雅黑" w:eastAsia="微软雅黑" w:hint="eastAsia"/>
                <w:spacing w:val="-3"/>
                <w:sz w:val="21"/>
              </w:rPr>
              <w:t>垂直运输设备检测、检验、日常维护、保养等。</w:t>
            </w:r>
          </w:p>
          <w:p>
            <w:pPr>
              <w:pStyle w:val="TableParagraph"/>
              <w:numPr>
                <w:ilvl w:val="0"/>
                <w:numId w:val="135"/>
              </w:numPr>
              <w:tabs>
                <w:tab w:pos="399" w:val="left" w:leader="none"/>
              </w:tabs>
              <w:spacing w:line="187" w:lineRule="auto" w:before="18" w:after="0"/>
              <w:ind w:left="117" w:right="77" w:firstLine="0"/>
              <w:jc w:val="left"/>
              <w:rPr>
                <w:rFonts w:ascii="微软雅黑" w:eastAsia="微软雅黑" w:hint="eastAsia"/>
                <w:sz w:val="21"/>
              </w:rPr>
            </w:pPr>
            <w:r>
              <w:rPr>
                <w:rFonts w:ascii="微软雅黑" w:eastAsia="微软雅黑" w:hint="eastAsia"/>
                <w:spacing w:val="-1"/>
                <w:sz w:val="21"/>
              </w:rPr>
              <w:t>物料提升机、施工电梯等物料平台搭设、外侧用密目式安全立网全</w:t>
            </w:r>
            <w:r>
              <w:rPr>
                <w:rFonts w:ascii="微软雅黑" w:eastAsia="微软雅黑" w:hint="eastAsia"/>
                <w:spacing w:val="-3"/>
                <w:sz w:val="21"/>
              </w:rPr>
              <w:t>封闭，有安全通道、安全防护门、防护棚等。</w:t>
            </w:r>
          </w:p>
        </w:tc>
      </w:tr>
      <w:tr>
        <w:trPr>
          <w:trHeight w:val="481" w:hRule="atLeast"/>
        </w:trPr>
        <w:tc>
          <w:tcPr>
            <w:tcW w:w="739" w:type="dxa"/>
            <w:vMerge/>
            <w:tcBorders>
              <w:top w:val="nil"/>
              <w:right w:val="single" w:sz="4" w:space="0" w:color="000000"/>
            </w:tcBorders>
          </w:tcPr>
          <w:p>
            <w:pPr>
              <w:rPr>
                <w:sz w:val="2"/>
                <w:szCs w:val="2"/>
              </w:rPr>
            </w:pPr>
          </w:p>
        </w:tc>
        <w:tc>
          <w:tcPr>
            <w:tcW w:w="2069"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3"/>
              <w:ind w:left="410"/>
              <w:rPr>
                <w:rFonts w:ascii="微软雅黑" w:eastAsia="微软雅黑" w:hint="eastAsia"/>
                <w:sz w:val="21"/>
              </w:rPr>
            </w:pPr>
            <w:r>
              <w:rPr>
                <w:rFonts w:ascii="微软雅黑" w:eastAsia="微软雅黑" w:hint="eastAsia"/>
                <w:sz w:val="21"/>
              </w:rPr>
              <w:t>专家论证审查</w:t>
            </w:r>
          </w:p>
        </w:tc>
        <w:tc>
          <w:tcPr>
            <w:tcW w:w="6646" w:type="dxa"/>
            <w:tcBorders>
              <w:top w:val="single" w:sz="4" w:space="0" w:color="000000"/>
              <w:left w:val="single" w:sz="4" w:space="0" w:color="000000"/>
              <w:bottom w:val="single" w:sz="4" w:space="0" w:color="000000"/>
            </w:tcBorders>
          </w:tcPr>
          <w:p>
            <w:pPr>
              <w:pStyle w:val="TableParagraph"/>
              <w:spacing w:before="53"/>
              <w:ind w:left="117"/>
              <w:rPr>
                <w:rFonts w:ascii="微软雅黑" w:eastAsia="微软雅黑" w:hint="eastAsia"/>
                <w:sz w:val="21"/>
              </w:rPr>
            </w:pPr>
            <w:r>
              <w:rPr>
                <w:rFonts w:ascii="微软雅黑" w:eastAsia="微软雅黑" w:hint="eastAsia"/>
                <w:sz w:val="21"/>
              </w:rPr>
              <w:t>超过一定规模的危险性较大分部分项工程专家论证审查。</w:t>
            </w:r>
          </w:p>
        </w:tc>
      </w:tr>
      <w:tr>
        <w:trPr>
          <w:trHeight w:val="478" w:hRule="atLeast"/>
        </w:trPr>
        <w:tc>
          <w:tcPr>
            <w:tcW w:w="739" w:type="dxa"/>
            <w:vMerge/>
            <w:tcBorders>
              <w:top w:val="nil"/>
              <w:right w:val="single" w:sz="4" w:space="0" w:color="000000"/>
            </w:tcBorders>
          </w:tcPr>
          <w:p>
            <w:pPr>
              <w:rPr>
                <w:sz w:val="2"/>
                <w:szCs w:val="2"/>
              </w:rPr>
            </w:pPr>
          </w:p>
        </w:tc>
        <w:tc>
          <w:tcPr>
            <w:tcW w:w="2069"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1"/>
              <w:ind w:left="410"/>
              <w:rPr>
                <w:rFonts w:ascii="微软雅黑" w:eastAsia="微软雅黑" w:hint="eastAsia"/>
                <w:sz w:val="21"/>
              </w:rPr>
            </w:pPr>
            <w:r>
              <w:rPr>
                <w:rFonts w:ascii="微软雅黑" w:eastAsia="微软雅黑" w:hint="eastAsia"/>
                <w:sz w:val="21"/>
              </w:rPr>
              <w:t>应急救援预案</w:t>
            </w:r>
          </w:p>
        </w:tc>
        <w:tc>
          <w:tcPr>
            <w:tcW w:w="6646" w:type="dxa"/>
            <w:tcBorders>
              <w:top w:val="single" w:sz="4" w:space="0" w:color="000000"/>
              <w:left w:val="single" w:sz="4" w:space="0" w:color="000000"/>
              <w:bottom w:val="single" w:sz="4" w:space="0" w:color="000000"/>
            </w:tcBorders>
          </w:tcPr>
          <w:p>
            <w:pPr>
              <w:pStyle w:val="TableParagraph"/>
              <w:spacing w:before="51"/>
              <w:ind w:left="117"/>
              <w:rPr>
                <w:rFonts w:ascii="微软雅黑" w:eastAsia="微软雅黑" w:hint="eastAsia"/>
                <w:sz w:val="21"/>
              </w:rPr>
            </w:pPr>
            <w:r>
              <w:rPr>
                <w:rFonts w:ascii="微软雅黑" w:eastAsia="微软雅黑" w:hint="eastAsia"/>
                <w:sz w:val="21"/>
              </w:rPr>
              <w:t>救援器材准备及演练等。</w:t>
            </w:r>
          </w:p>
        </w:tc>
      </w:tr>
      <w:tr>
        <w:trPr>
          <w:trHeight w:val="589" w:hRule="atLeast"/>
        </w:trPr>
        <w:tc>
          <w:tcPr>
            <w:tcW w:w="739" w:type="dxa"/>
            <w:vMerge/>
            <w:tcBorders>
              <w:top w:val="nil"/>
              <w:right w:val="single" w:sz="4" w:space="0" w:color="000000"/>
            </w:tcBorders>
          </w:tcPr>
          <w:p>
            <w:pPr>
              <w:rPr>
                <w:sz w:val="2"/>
                <w:szCs w:val="2"/>
              </w:rPr>
            </w:pPr>
          </w:p>
        </w:tc>
        <w:tc>
          <w:tcPr>
            <w:tcW w:w="2069" w:type="dxa"/>
            <w:gridSpan w:val="2"/>
            <w:tcBorders>
              <w:top w:val="single" w:sz="4" w:space="0" w:color="000000"/>
              <w:left w:val="single" w:sz="4" w:space="0" w:color="000000"/>
              <w:right w:val="single" w:sz="4" w:space="0" w:color="000000"/>
            </w:tcBorders>
          </w:tcPr>
          <w:p>
            <w:pPr>
              <w:pStyle w:val="TableParagraph"/>
              <w:spacing w:before="104"/>
              <w:ind w:left="304"/>
              <w:rPr>
                <w:rFonts w:ascii="微软雅黑" w:eastAsia="微软雅黑" w:hint="eastAsia"/>
                <w:sz w:val="21"/>
              </w:rPr>
            </w:pPr>
            <w:r>
              <w:rPr>
                <w:rFonts w:ascii="微软雅黑" w:eastAsia="微软雅黑" w:hint="eastAsia"/>
                <w:sz w:val="21"/>
              </w:rPr>
              <w:t>非正常情况施工</w:t>
            </w:r>
          </w:p>
        </w:tc>
        <w:tc>
          <w:tcPr>
            <w:tcW w:w="6646" w:type="dxa"/>
            <w:tcBorders>
              <w:top w:val="single" w:sz="4" w:space="0" w:color="000000"/>
              <w:left w:val="single" w:sz="4" w:space="0" w:color="000000"/>
            </w:tcBorders>
          </w:tcPr>
          <w:p>
            <w:pPr>
              <w:pStyle w:val="TableParagraph"/>
              <w:spacing w:line="296" w:lineRule="exact"/>
              <w:ind w:left="117"/>
              <w:rPr>
                <w:rFonts w:ascii="微软雅黑" w:eastAsia="微软雅黑" w:hint="eastAsia"/>
                <w:sz w:val="21"/>
              </w:rPr>
            </w:pPr>
            <w:r>
              <w:rPr>
                <w:rFonts w:ascii="微软雅黑" w:eastAsia="微软雅黑" w:hint="eastAsia"/>
                <w:spacing w:val="-8"/>
                <w:sz w:val="21"/>
              </w:rPr>
              <w:t>其它特殊情况下的防护费用，如：城市主干道、人流密集、河边等处施</w:t>
            </w:r>
          </w:p>
          <w:p>
            <w:pPr>
              <w:pStyle w:val="TableParagraph"/>
              <w:spacing w:line="273" w:lineRule="exact"/>
              <w:ind w:left="117"/>
              <w:rPr>
                <w:rFonts w:ascii="微软雅黑" w:eastAsia="微软雅黑" w:hint="eastAsia"/>
                <w:sz w:val="21"/>
              </w:rPr>
            </w:pPr>
            <w:r>
              <w:rPr>
                <w:rFonts w:ascii="微软雅黑" w:eastAsia="微软雅黑" w:hint="eastAsia"/>
                <w:sz w:val="21"/>
              </w:rPr>
              <w:t>工及文物、古建筑、古树保护等。</w:t>
            </w:r>
          </w:p>
        </w:tc>
      </w:tr>
    </w:tbl>
    <w:p>
      <w:pPr>
        <w:pStyle w:val="BodyText"/>
        <w:spacing w:before="14"/>
        <w:ind w:left="0"/>
        <w:rPr>
          <w:rFonts w:ascii="Microsoft JhengHei"/>
          <w:b/>
          <w:sz w:val="17"/>
        </w:rPr>
      </w:pPr>
    </w:p>
    <w:p>
      <w:pPr>
        <w:pStyle w:val="BodyText"/>
        <w:spacing w:line="242" w:lineRule="auto" w:before="72"/>
        <w:ind w:right="1154" w:firstLine="419"/>
      </w:pPr>
      <w:r>
        <w:rPr/>
        <w:t>注：本表所列建筑工程安全文明施工费，是依据现行法律法规及标准规范确定的。如法律法规和标准规范修订，本表所列项目应按照修订后的法律法规和标准规范进行调整。</w:t>
      </w:r>
    </w:p>
    <w:p>
      <w:pPr>
        <w:spacing w:after="0" w:line="242" w:lineRule="auto"/>
        <w:sectPr>
          <w:pgSz w:w="11910" w:h="16850"/>
          <w:pgMar w:header="0" w:footer="779" w:top="1440" w:bottom="1040" w:left="1120" w:right="280"/>
        </w:sect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Heading2"/>
        <w:spacing w:line="254" w:lineRule="auto" w:before="90"/>
        <w:ind w:left="678" w:right="1159"/>
      </w:pPr>
      <w:bookmarkStart w:name="5、项目经理简历表（附已录入广西建筑业企业诚信信息库的项目经理注册建造师执业资格" w:id="497"/>
      <w:bookmarkEnd w:id="497"/>
      <w:r>
        <w:rPr>
          <w:b w:val="0"/>
        </w:rPr>
      </w:r>
      <w:bookmarkStart w:name="_bookmark112" w:id="498"/>
      <w:bookmarkEnd w:id="498"/>
      <w:r>
        <w:rPr>
          <w:b w:val="0"/>
        </w:rPr>
      </w:r>
      <w:r>
        <w:rPr>
          <w:rFonts w:ascii="Times New Roman" w:eastAsia="Times New Roman"/>
          <w:spacing w:val="6"/>
          <w:w w:val="95"/>
        </w:rPr>
        <w:t>5</w:t>
      </w:r>
      <w:r>
        <w:rPr>
          <w:spacing w:val="7"/>
          <w:w w:val="95"/>
        </w:rPr>
        <w:t>、项目经理简历表</w:t>
      </w:r>
      <w:r>
        <w:rPr>
          <w:spacing w:val="9"/>
          <w:w w:val="95"/>
        </w:rPr>
        <w:t>（</w:t>
      </w:r>
      <w:r>
        <w:rPr>
          <w:spacing w:val="5"/>
          <w:w w:val="95"/>
        </w:rPr>
        <w:t>附已录入广西建筑业企业诚信信息库的  </w:t>
      </w:r>
      <w:r>
        <w:rPr>
          <w:spacing w:val="13"/>
          <w:w w:val="95"/>
        </w:rPr>
        <w:t>项目经理注册建造师执业资格证书和安全生产考核合格证书</w:t>
      </w:r>
    </w:p>
    <w:p>
      <w:pPr>
        <w:spacing w:line="587" w:lineRule="exact" w:before="0"/>
        <w:ind w:left="678" w:right="0" w:firstLine="0"/>
        <w:jc w:val="left"/>
        <w:rPr>
          <w:rFonts w:ascii="Microsoft JhengHei" w:eastAsia="Microsoft JhengHei" w:hint="eastAsia"/>
          <w:b/>
          <w:sz w:val="32"/>
        </w:rPr>
      </w:pPr>
      <w:r>
        <w:rPr>
          <w:rFonts w:ascii="Microsoft JhengHei" w:eastAsia="Microsoft JhengHei" w:hint="eastAsia"/>
          <w:b/>
          <w:sz w:val="32"/>
        </w:rPr>
        <w:t>（</w:t>
      </w:r>
      <w:r>
        <w:rPr>
          <w:rFonts w:ascii="Times New Roman" w:eastAsia="Times New Roman"/>
          <w:b/>
          <w:sz w:val="32"/>
        </w:rPr>
        <w:t>B </w:t>
      </w:r>
      <w:r>
        <w:rPr>
          <w:rFonts w:ascii="Microsoft JhengHei" w:eastAsia="Microsoft JhengHei" w:hint="eastAsia"/>
          <w:b/>
          <w:sz w:val="32"/>
        </w:rPr>
        <w:t>类）的扫描件）；</w:t>
      </w:r>
    </w:p>
    <w:p>
      <w:pPr>
        <w:pStyle w:val="BodyText"/>
        <w:spacing w:line="219" w:lineRule="exact" w:before="139"/>
      </w:pPr>
      <w:r>
        <w:rPr/>
        <w:t>【备注：以上扫描件均为原件的扫描件】</w:t>
      </w:r>
    </w:p>
    <w:p>
      <w:pPr>
        <w:pStyle w:val="Heading2"/>
        <w:spacing w:line="538" w:lineRule="exact"/>
        <w:ind w:left="678"/>
      </w:pPr>
      <w:bookmarkStart w:name="6、项目技术负责人简历表（附已录入广西建筑业企业诚信信息库的职称证书的扫描件；" w:id="499"/>
      <w:bookmarkEnd w:id="499"/>
      <w:r>
        <w:rPr>
          <w:b w:val="0"/>
        </w:rPr>
      </w:r>
      <w:bookmarkStart w:name="_bookmark113" w:id="500"/>
      <w:bookmarkEnd w:id="500"/>
      <w:r>
        <w:rPr>
          <w:b w:val="0"/>
        </w:rPr>
      </w:r>
      <w:r>
        <w:rPr>
          <w:rFonts w:ascii="Times New Roman" w:eastAsia="Times New Roman"/>
        </w:rPr>
        <w:t>6</w:t>
      </w:r>
      <w:r>
        <w:rPr/>
        <w:t>、项目技术负责人简历表（附已录入广西建筑业企业诚信信</w:t>
      </w:r>
    </w:p>
    <w:p>
      <w:pPr>
        <w:spacing w:before="33"/>
        <w:ind w:left="678" w:right="0" w:firstLine="0"/>
        <w:jc w:val="left"/>
        <w:rPr>
          <w:rFonts w:ascii="Microsoft JhengHei" w:eastAsia="Microsoft JhengHei" w:hint="eastAsia"/>
          <w:b/>
          <w:sz w:val="32"/>
        </w:rPr>
      </w:pPr>
      <w:r>
        <w:rPr>
          <w:rFonts w:ascii="Microsoft JhengHei" w:eastAsia="Microsoft JhengHei" w:hint="eastAsia"/>
          <w:b/>
          <w:sz w:val="32"/>
        </w:rPr>
        <w:t>息库的职称证书的扫描件；</w:t>
      </w:r>
    </w:p>
    <w:p>
      <w:pPr>
        <w:pStyle w:val="BodyText"/>
        <w:spacing w:line="219" w:lineRule="exact" w:before="138"/>
      </w:pPr>
      <w:r>
        <w:rPr/>
        <w:t>【备注：以上扫描件均为原件的扫描件】</w:t>
      </w:r>
    </w:p>
    <w:p>
      <w:pPr>
        <w:pStyle w:val="Heading2"/>
        <w:spacing w:line="538" w:lineRule="exact"/>
        <w:ind w:left="678"/>
      </w:pPr>
      <w:bookmarkStart w:name="7、已录入广西建筑业企业诚信信息库的安全员的安全生产考核合格证书（C类）的扫描件" w:id="501"/>
      <w:bookmarkEnd w:id="501"/>
      <w:r>
        <w:rPr>
          <w:b w:val="0"/>
        </w:rPr>
      </w:r>
      <w:bookmarkStart w:name="_bookmark114" w:id="502"/>
      <w:bookmarkEnd w:id="502"/>
      <w:r>
        <w:rPr>
          <w:b w:val="0"/>
        </w:rPr>
      </w:r>
      <w:r>
        <w:rPr>
          <w:rFonts w:ascii="Times New Roman" w:eastAsia="Times New Roman"/>
        </w:rPr>
        <w:t>7</w:t>
      </w:r>
      <w:r>
        <w:rPr/>
        <w:t>、已录入广西建筑业企业诚信信息库的安全员的安全生产考</w:t>
      </w:r>
    </w:p>
    <w:p>
      <w:pPr>
        <w:spacing w:before="33"/>
        <w:ind w:left="678" w:right="0" w:firstLine="0"/>
        <w:jc w:val="left"/>
        <w:rPr>
          <w:rFonts w:ascii="Microsoft JhengHei" w:eastAsia="Microsoft JhengHei" w:hint="eastAsia"/>
          <w:b/>
          <w:sz w:val="32"/>
        </w:rPr>
      </w:pPr>
      <w:r>
        <w:rPr>
          <w:rFonts w:ascii="Microsoft JhengHei" w:eastAsia="Microsoft JhengHei" w:hint="eastAsia"/>
          <w:b/>
          <w:sz w:val="32"/>
        </w:rPr>
        <w:t>核合格证书（</w:t>
      </w:r>
      <w:r>
        <w:rPr>
          <w:rFonts w:ascii="Times New Roman" w:eastAsia="Times New Roman"/>
          <w:b/>
          <w:sz w:val="32"/>
        </w:rPr>
        <w:t>C </w:t>
      </w:r>
      <w:r>
        <w:rPr>
          <w:rFonts w:ascii="Microsoft JhengHei" w:eastAsia="Microsoft JhengHei" w:hint="eastAsia"/>
          <w:b/>
          <w:sz w:val="32"/>
        </w:rPr>
        <w:t>类）的扫描件）</w:t>
      </w:r>
    </w:p>
    <w:p>
      <w:pPr>
        <w:pStyle w:val="BodyText"/>
        <w:spacing w:line="218" w:lineRule="exact" w:before="141"/>
      </w:pPr>
      <w:r>
        <w:rPr/>
        <w:t>【备注：以上扫描件均为原件的扫描件】</w:t>
      </w:r>
    </w:p>
    <w:p>
      <w:pPr>
        <w:pStyle w:val="Heading2"/>
        <w:spacing w:line="537" w:lineRule="exact"/>
        <w:ind w:left="678"/>
      </w:pPr>
      <w:bookmarkStart w:name="8、已录入广西建筑业企业诚信信息库的专职投标员、项目经理、技术负责人和主要管理人" w:id="503"/>
      <w:bookmarkEnd w:id="503"/>
      <w:r>
        <w:rPr>
          <w:b w:val="0"/>
        </w:rPr>
      </w:r>
      <w:bookmarkStart w:name="_bookmark115" w:id="504"/>
      <w:bookmarkEnd w:id="504"/>
      <w:r>
        <w:rPr>
          <w:b w:val="0"/>
        </w:rPr>
      </w:r>
      <w:r>
        <w:rPr>
          <w:rFonts w:ascii="Times New Roman" w:eastAsia="Times New Roman"/>
        </w:rPr>
        <w:t>8</w:t>
      </w:r>
      <w:r>
        <w:rPr/>
        <w:t>、已录入广西建筑业企业诚信信息库的专职投标员、项目经</w:t>
      </w:r>
    </w:p>
    <w:p>
      <w:pPr>
        <w:spacing w:line="254" w:lineRule="auto" w:before="34"/>
        <w:ind w:left="678" w:right="1151" w:firstLine="0"/>
        <w:jc w:val="left"/>
        <w:rPr>
          <w:rFonts w:ascii="Microsoft JhengHei" w:eastAsia="Microsoft JhengHei" w:hint="eastAsia"/>
          <w:b/>
          <w:sz w:val="32"/>
        </w:rPr>
      </w:pPr>
      <w:r>
        <w:rPr>
          <w:rFonts w:ascii="Microsoft JhengHei" w:eastAsia="Microsoft JhengHei" w:hint="eastAsia"/>
          <w:b/>
          <w:sz w:val="32"/>
        </w:rPr>
        <w:t>理、技术负责人和主要管理人员近 </w:t>
      </w:r>
      <w:r>
        <w:rPr>
          <w:rFonts w:ascii="Times New Roman" w:eastAsia="Times New Roman"/>
          <w:b/>
          <w:sz w:val="32"/>
        </w:rPr>
        <w:t>3 </w:t>
      </w:r>
      <w:r>
        <w:rPr>
          <w:rFonts w:ascii="Microsoft JhengHei" w:eastAsia="Microsoft JhengHei" w:hint="eastAsia"/>
          <w:b/>
          <w:sz w:val="32"/>
        </w:rPr>
        <w:t>个月在现任职单位依法缴纳社会保险的证明材料的扫描件；</w:t>
      </w:r>
    </w:p>
    <w:p>
      <w:pPr>
        <w:pStyle w:val="BodyText"/>
        <w:spacing w:line="219" w:lineRule="exact" w:before="103"/>
      </w:pPr>
      <w:r>
        <w:rPr/>
        <w:t>【备注：以上扫描件均为原件的扫描件】</w:t>
      </w:r>
    </w:p>
    <w:p>
      <w:pPr>
        <w:pStyle w:val="Heading2"/>
        <w:spacing w:line="538" w:lineRule="exact"/>
        <w:ind w:left="678"/>
      </w:pPr>
      <w:bookmarkStart w:name="9、资格审查需要的其他材料：项目管理机构配备情况表、拟投入施工机械设备情况表、企" w:id="505"/>
      <w:bookmarkEnd w:id="505"/>
      <w:r>
        <w:rPr>
          <w:b w:val="0"/>
        </w:rPr>
      </w:r>
      <w:bookmarkStart w:name="_bookmark116" w:id="506"/>
      <w:bookmarkEnd w:id="506"/>
      <w:r>
        <w:rPr>
          <w:b w:val="0"/>
        </w:rPr>
      </w:r>
      <w:r>
        <w:rPr>
          <w:rFonts w:ascii="Times New Roman" w:eastAsia="Times New Roman"/>
          <w:spacing w:val="6"/>
          <w:w w:val="95"/>
        </w:rPr>
        <w:t>9</w:t>
      </w:r>
      <w:r>
        <w:rPr>
          <w:spacing w:val="6"/>
          <w:w w:val="95"/>
        </w:rPr>
        <w:t>、资格审查需要的其他材料：项目管理机构配备情况表、拟</w:t>
      </w:r>
    </w:p>
    <w:p>
      <w:pPr>
        <w:spacing w:line="254" w:lineRule="auto" w:before="33"/>
        <w:ind w:left="678" w:right="1148" w:firstLine="0"/>
        <w:jc w:val="both"/>
        <w:rPr>
          <w:rFonts w:ascii="Microsoft JhengHei" w:eastAsia="Microsoft JhengHei" w:hint="eastAsia"/>
          <w:b/>
          <w:sz w:val="32"/>
        </w:rPr>
      </w:pPr>
      <w:r>
        <w:rPr>
          <w:rFonts w:ascii="Microsoft JhengHei" w:eastAsia="Microsoft JhengHei" w:hint="eastAsia"/>
          <w:b/>
          <w:spacing w:val="3"/>
          <w:sz w:val="32"/>
        </w:rPr>
        <w:t>投入施工机械设备情况表、企业 </w:t>
      </w:r>
      <w:r>
        <w:rPr>
          <w:rFonts w:ascii="Times New Roman" w:eastAsia="Times New Roman"/>
          <w:b/>
          <w:sz w:val="32"/>
        </w:rPr>
        <w:t>2017</w:t>
      </w:r>
      <w:r>
        <w:rPr>
          <w:rFonts w:ascii="Times New Roman" w:eastAsia="Times New Roman"/>
          <w:b/>
          <w:spacing w:val="42"/>
          <w:sz w:val="32"/>
        </w:rPr>
        <w:t> </w:t>
      </w:r>
      <w:r>
        <w:rPr>
          <w:rFonts w:ascii="Microsoft JhengHei" w:eastAsia="Microsoft JhengHei" w:hint="eastAsia"/>
          <w:b/>
          <w:spacing w:val="24"/>
          <w:sz w:val="32"/>
        </w:rPr>
        <w:t>年 </w:t>
      </w:r>
      <w:r>
        <w:rPr>
          <w:rFonts w:ascii="Times New Roman" w:eastAsia="Times New Roman"/>
          <w:b/>
          <w:sz w:val="32"/>
        </w:rPr>
        <w:t>7</w:t>
      </w:r>
      <w:r>
        <w:rPr>
          <w:rFonts w:ascii="Times New Roman" w:eastAsia="Times New Roman"/>
          <w:b/>
          <w:spacing w:val="42"/>
          <w:sz w:val="32"/>
        </w:rPr>
        <w:t> </w:t>
      </w:r>
      <w:r>
        <w:rPr>
          <w:rFonts w:ascii="Microsoft JhengHei" w:eastAsia="Microsoft JhengHei" w:hint="eastAsia"/>
          <w:b/>
          <w:sz w:val="32"/>
        </w:rPr>
        <w:t>月至投标截止日期止（一般为近三年）已完成类似项目一览表（如有）</w:t>
      </w:r>
      <w:r>
        <w:rPr>
          <w:rFonts w:ascii="Microsoft JhengHei" w:eastAsia="Microsoft JhengHei" w:hint="eastAsia"/>
          <w:b/>
          <w:spacing w:val="-1"/>
          <w:sz w:val="32"/>
        </w:rPr>
        <w:t>、企业诚</w:t>
      </w:r>
      <w:r>
        <w:rPr>
          <w:rFonts w:ascii="Microsoft JhengHei" w:eastAsia="Microsoft JhengHei" w:hint="eastAsia"/>
          <w:b/>
          <w:sz w:val="32"/>
        </w:rPr>
        <w:t>信情况一览表（如有）</w:t>
      </w:r>
      <w:r>
        <w:rPr>
          <w:rFonts w:ascii="Microsoft JhengHei" w:eastAsia="Microsoft JhengHei" w:hint="eastAsia"/>
          <w:b/>
          <w:spacing w:val="2"/>
          <w:sz w:val="32"/>
        </w:rPr>
        <w:t>、企业 </w:t>
      </w:r>
      <w:r>
        <w:rPr>
          <w:rFonts w:ascii="Times New Roman" w:eastAsia="Times New Roman"/>
          <w:b/>
          <w:sz w:val="32"/>
        </w:rPr>
        <w:t>2017</w:t>
      </w:r>
      <w:r>
        <w:rPr>
          <w:rFonts w:ascii="Times New Roman" w:eastAsia="Times New Roman"/>
          <w:b/>
          <w:spacing w:val="3"/>
          <w:sz w:val="32"/>
        </w:rPr>
        <w:t> </w:t>
      </w:r>
      <w:r>
        <w:rPr>
          <w:rFonts w:ascii="Microsoft JhengHei" w:eastAsia="Microsoft JhengHei" w:hint="eastAsia"/>
          <w:b/>
          <w:spacing w:val="1"/>
          <w:sz w:val="32"/>
        </w:rPr>
        <w:t>年至 </w:t>
      </w:r>
      <w:r>
        <w:rPr>
          <w:rFonts w:ascii="Times New Roman" w:eastAsia="Times New Roman"/>
          <w:b/>
          <w:sz w:val="32"/>
        </w:rPr>
        <w:t>2019</w:t>
      </w:r>
      <w:r>
        <w:rPr>
          <w:rFonts w:ascii="Times New Roman" w:eastAsia="Times New Roman"/>
          <w:b/>
          <w:spacing w:val="3"/>
          <w:sz w:val="32"/>
        </w:rPr>
        <w:t> </w:t>
      </w:r>
      <w:r>
        <w:rPr>
          <w:rFonts w:ascii="Microsoft JhengHei" w:eastAsia="Microsoft JhengHei" w:hint="eastAsia"/>
          <w:b/>
          <w:sz w:val="32"/>
        </w:rPr>
        <w:t>年（一般为近三</w:t>
      </w:r>
    </w:p>
    <w:p>
      <w:pPr>
        <w:spacing w:line="254" w:lineRule="auto" w:before="0"/>
        <w:ind w:left="678" w:right="1155" w:firstLine="0"/>
        <w:jc w:val="both"/>
        <w:rPr>
          <w:rFonts w:ascii="Microsoft JhengHei" w:eastAsia="Microsoft JhengHei" w:hint="eastAsia"/>
          <w:b/>
          <w:sz w:val="32"/>
        </w:rPr>
      </w:pPr>
      <w:r>
        <w:rPr>
          <w:rFonts w:ascii="Microsoft JhengHei" w:eastAsia="Microsoft JhengHei" w:hint="eastAsia"/>
          <w:b/>
          <w:sz w:val="32"/>
        </w:rPr>
        <w:t>年）财务状况表、企业 </w:t>
      </w:r>
      <w:r>
        <w:rPr>
          <w:rFonts w:ascii="Times New Roman" w:eastAsia="Times New Roman"/>
          <w:b/>
          <w:sz w:val="32"/>
        </w:rPr>
        <w:t>2017 </w:t>
      </w:r>
      <w:r>
        <w:rPr>
          <w:rFonts w:ascii="Microsoft JhengHei" w:eastAsia="Microsoft JhengHei" w:hint="eastAsia"/>
          <w:b/>
          <w:sz w:val="32"/>
        </w:rPr>
        <w:t>年 </w:t>
      </w:r>
      <w:r>
        <w:rPr>
          <w:rFonts w:ascii="Times New Roman" w:eastAsia="Times New Roman"/>
          <w:b/>
          <w:sz w:val="32"/>
        </w:rPr>
        <w:t>7 </w:t>
      </w:r>
      <w:r>
        <w:rPr>
          <w:rFonts w:ascii="Microsoft JhengHei" w:eastAsia="Microsoft JhengHei" w:hint="eastAsia"/>
          <w:b/>
          <w:sz w:val="32"/>
        </w:rPr>
        <w:t>月至投标截止日期止（一般为近三年）发生的诉讼和仲裁情况（如有）等。</w:t>
      </w:r>
    </w:p>
    <w:p>
      <w:pPr>
        <w:spacing w:after="0" w:line="254" w:lineRule="auto"/>
        <w:jc w:val="both"/>
        <w:rPr>
          <w:rFonts w:ascii="Microsoft JhengHei" w:eastAsia="Microsoft JhengHei" w:hint="eastAsia"/>
          <w:sz w:val="32"/>
        </w:rPr>
        <w:sectPr>
          <w:pgSz w:w="11910" w:h="16850"/>
          <w:pgMar w:header="0" w:footer="779" w:top="1600" w:bottom="1040" w:left="1120" w:right="280"/>
        </w:sectPr>
      </w:pPr>
    </w:p>
    <w:p>
      <w:pPr>
        <w:pStyle w:val="Heading5"/>
        <w:spacing w:line="455" w:lineRule="exact"/>
        <w:ind w:left="678"/>
        <w:jc w:val="left"/>
      </w:pPr>
      <w:r>
        <w:rPr/>
        <w:t>附表：</w:t>
      </w:r>
    </w:p>
    <w:p>
      <w:pPr>
        <w:pStyle w:val="Heading6"/>
        <w:numPr>
          <w:ilvl w:val="0"/>
          <w:numId w:val="136"/>
        </w:numPr>
        <w:tabs>
          <w:tab w:pos="1764" w:val="left" w:leader="none"/>
        </w:tabs>
        <w:spacing w:line="240" w:lineRule="auto" w:before="104" w:after="0"/>
        <w:ind w:left="1763" w:right="0" w:hanging="604"/>
        <w:jc w:val="left"/>
        <w:rPr>
          <w:sz w:val="22"/>
        </w:rPr>
      </w:pPr>
      <w:r>
        <w:rPr/>
        <w:t>项目管理机构配备情况表</w:t>
      </w:r>
    </w:p>
    <w:p>
      <w:pPr>
        <w:pStyle w:val="BodyText"/>
        <w:tabs>
          <w:tab w:pos="4986" w:val="left" w:leader="none"/>
        </w:tabs>
        <w:spacing w:before="228"/>
        <w:ind w:left="1940"/>
      </w:pPr>
      <w:r>
        <w:rPr>
          <w:spacing w:val="-3"/>
        </w:rPr>
        <w:t>（</w:t>
      </w:r>
      <w:r>
        <w:rPr/>
        <w:t>招</w:t>
      </w:r>
      <w:r>
        <w:rPr>
          <w:spacing w:val="-3"/>
        </w:rPr>
        <w:t>标</w:t>
      </w:r>
      <w:r>
        <w:rPr/>
        <w:t>工</w:t>
      </w:r>
      <w:r>
        <w:rPr>
          <w:spacing w:val="-3"/>
        </w:rPr>
        <w:t>程</w:t>
      </w:r>
      <w:r>
        <w:rPr/>
        <w:t>项目</w:t>
      </w:r>
      <w:r>
        <w:rPr>
          <w:spacing w:val="-3"/>
        </w:rPr>
        <w:t>名</w:t>
      </w:r>
      <w:r>
        <w:rPr/>
        <w:t>称）</w:t>
        <w:tab/>
      </w:r>
      <w:r>
        <w:rPr>
          <w:spacing w:val="-3"/>
        </w:rPr>
        <w:t>工程</w:t>
      </w:r>
    </w:p>
    <w:tbl>
      <w:tblPr>
        <w:tblW w:w="0" w:type="auto"/>
        <w:jc w:val="left"/>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828"/>
        <w:gridCol w:w="817"/>
        <w:gridCol w:w="1148"/>
        <w:gridCol w:w="1150"/>
        <w:gridCol w:w="1148"/>
        <w:gridCol w:w="1148"/>
        <w:gridCol w:w="853"/>
        <w:gridCol w:w="1678"/>
      </w:tblGrid>
      <w:tr>
        <w:trPr>
          <w:trHeight w:val="467" w:hRule="atLeast"/>
        </w:trPr>
        <w:tc>
          <w:tcPr>
            <w:tcW w:w="994" w:type="dxa"/>
            <w:vMerge w:val="restart"/>
          </w:tcPr>
          <w:p>
            <w:pPr>
              <w:pStyle w:val="TableParagraph"/>
              <w:spacing w:before="6"/>
              <w:rPr>
                <w:sz w:val="29"/>
              </w:rPr>
            </w:pPr>
          </w:p>
          <w:p>
            <w:pPr>
              <w:pStyle w:val="TableParagraph"/>
              <w:ind w:left="285"/>
              <w:rPr>
                <w:sz w:val="21"/>
              </w:rPr>
            </w:pPr>
            <w:r>
              <w:rPr>
                <w:sz w:val="21"/>
              </w:rPr>
              <w:t>岗位</w:t>
            </w:r>
          </w:p>
        </w:tc>
        <w:tc>
          <w:tcPr>
            <w:tcW w:w="828" w:type="dxa"/>
            <w:vMerge w:val="restart"/>
          </w:tcPr>
          <w:p>
            <w:pPr>
              <w:pStyle w:val="TableParagraph"/>
              <w:spacing w:before="6"/>
              <w:rPr>
                <w:sz w:val="29"/>
              </w:rPr>
            </w:pPr>
          </w:p>
          <w:p>
            <w:pPr>
              <w:pStyle w:val="TableParagraph"/>
              <w:ind w:left="201"/>
              <w:rPr>
                <w:sz w:val="21"/>
              </w:rPr>
            </w:pPr>
            <w:r>
              <w:rPr>
                <w:sz w:val="21"/>
              </w:rPr>
              <w:t>姓名</w:t>
            </w:r>
          </w:p>
        </w:tc>
        <w:tc>
          <w:tcPr>
            <w:tcW w:w="817" w:type="dxa"/>
            <w:vMerge w:val="restart"/>
          </w:tcPr>
          <w:p>
            <w:pPr>
              <w:pStyle w:val="TableParagraph"/>
              <w:spacing w:before="6"/>
              <w:rPr>
                <w:sz w:val="29"/>
              </w:rPr>
            </w:pPr>
          </w:p>
          <w:p>
            <w:pPr>
              <w:pStyle w:val="TableParagraph"/>
              <w:ind w:left="196"/>
              <w:rPr>
                <w:sz w:val="21"/>
              </w:rPr>
            </w:pPr>
            <w:r>
              <w:rPr>
                <w:sz w:val="21"/>
              </w:rPr>
              <w:t>职称</w:t>
            </w:r>
          </w:p>
        </w:tc>
        <w:tc>
          <w:tcPr>
            <w:tcW w:w="4594" w:type="dxa"/>
            <w:gridSpan w:val="4"/>
          </w:tcPr>
          <w:p>
            <w:pPr>
              <w:pStyle w:val="TableParagraph"/>
              <w:spacing w:before="99"/>
              <w:ind w:left="1348"/>
              <w:rPr>
                <w:sz w:val="21"/>
              </w:rPr>
            </w:pPr>
            <w:r>
              <w:rPr>
                <w:sz w:val="21"/>
              </w:rPr>
              <w:t>执业或职业资格证明</w:t>
            </w:r>
          </w:p>
        </w:tc>
        <w:tc>
          <w:tcPr>
            <w:tcW w:w="2531" w:type="dxa"/>
            <w:gridSpan w:val="2"/>
          </w:tcPr>
          <w:p>
            <w:pPr>
              <w:pStyle w:val="TableParagraph"/>
              <w:spacing w:before="99"/>
              <w:ind w:left="422"/>
              <w:rPr>
                <w:sz w:val="21"/>
              </w:rPr>
            </w:pPr>
            <w:r>
              <w:rPr>
                <w:sz w:val="21"/>
              </w:rPr>
              <w:t>承担完工工程情况</w:t>
            </w:r>
          </w:p>
        </w:tc>
      </w:tr>
      <w:tr>
        <w:trPr>
          <w:trHeight w:val="544" w:hRule="atLeast"/>
        </w:trPr>
        <w:tc>
          <w:tcPr>
            <w:tcW w:w="994" w:type="dxa"/>
            <w:vMerge/>
            <w:tcBorders>
              <w:top w:val="nil"/>
            </w:tcBorders>
          </w:tcPr>
          <w:p>
            <w:pPr>
              <w:rPr>
                <w:sz w:val="2"/>
                <w:szCs w:val="2"/>
              </w:rPr>
            </w:pPr>
          </w:p>
        </w:tc>
        <w:tc>
          <w:tcPr>
            <w:tcW w:w="828" w:type="dxa"/>
            <w:vMerge/>
            <w:tcBorders>
              <w:top w:val="nil"/>
            </w:tcBorders>
          </w:tcPr>
          <w:p>
            <w:pPr>
              <w:rPr>
                <w:sz w:val="2"/>
                <w:szCs w:val="2"/>
              </w:rPr>
            </w:pPr>
          </w:p>
        </w:tc>
        <w:tc>
          <w:tcPr>
            <w:tcW w:w="817" w:type="dxa"/>
            <w:vMerge/>
            <w:tcBorders>
              <w:top w:val="nil"/>
            </w:tcBorders>
          </w:tcPr>
          <w:p>
            <w:pPr>
              <w:rPr>
                <w:sz w:val="2"/>
                <w:szCs w:val="2"/>
              </w:rPr>
            </w:pPr>
          </w:p>
        </w:tc>
        <w:tc>
          <w:tcPr>
            <w:tcW w:w="1148" w:type="dxa"/>
          </w:tcPr>
          <w:p>
            <w:pPr>
              <w:pStyle w:val="TableParagraph"/>
              <w:spacing w:before="137"/>
              <w:ind w:left="153"/>
              <w:rPr>
                <w:sz w:val="21"/>
              </w:rPr>
            </w:pPr>
            <w:r>
              <w:rPr>
                <w:sz w:val="21"/>
              </w:rPr>
              <w:t>证书名称</w:t>
            </w:r>
          </w:p>
        </w:tc>
        <w:tc>
          <w:tcPr>
            <w:tcW w:w="1150" w:type="dxa"/>
          </w:tcPr>
          <w:p>
            <w:pPr>
              <w:pStyle w:val="TableParagraph"/>
              <w:spacing w:before="137"/>
              <w:ind w:left="361"/>
              <w:rPr>
                <w:sz w:val="21"/>
              </w:rPr>
            </w:pPr>
            <w:r>
              <w:rPr>
                <w:sz w:val="21"/>
              </w:rPr>
              <w:t>级别</w:t>
            </w:r>
          </w:p>
        </w:tc>
        <w:tc>
          <w:tcPr>
            <w:tcW w:w="1148" w:type="dxa"/>
          </w:tcPr>
          <w:p>
            <w:pPr>
              <w:pStyle w:val="TableParagraph"/>
              <w:spacing w:before="137"/>
              <w:ind w:left="358"/>
              <w:rPr>
                <w:sz w:val="21"/>
              </w:rPr>
            </w:pPr>
            <w:r>
              <w:rPr>
                <w:sz w:val="21"/>
              </w:rPr>
              <w:t>证号</w:t>
            </w:r>
          </w:p>
        </w:tc>
        <w:tc>
          <w:tcPr>
            <w:tcW w:w="1148" w:type="dxa"/>
          </w:tcPr>
          <w:p>
            <w:pPr>
              <w:pStyle w:val="TableParagraph"/>
              <w:spacing w:before="137"/>
              <w:ind w:left="360"/>
              <w:rPr>
                <w:sz w:val="21"/>
              </w:rPr>
            </w:pPr>
            <w:r>
              <w:rPr>
                <w:sz w:val="21"/>
              </w:rPr>
              <w:t>专业</w:t>
            </w:r>
          </w:p>
        </w:tc>
        <w:tc>
          <w:tcPr>
            <w:tcW w:w="853" w:type="dxa"/>
          </w:tcPr>
          <w:p>
            <w:pPr>
              <w:pStyle w:val="TableParagraph"/>
              <w:spacing w:before="137"/>
              <w:ind w:left="105"/>
              <w:rPr>
                <w:sz w:val="21"/>
              </w:rPr>
            </w:pPr>
            <w:r>
              <w:rPr>
                <w:sz w:val="21"/>
              </w:rPr>
              <w:t>项目数</w:t>
            </w:r>
          </w:p>
        </w:tc>
        <w:tc>
          <w:tcPr>
            <w:tcW w:w="1678" w:type="dxa"/>
          </w:tcPr>
          <w:p>
            <w:pPr>
              <w:pStyle w:val="TableParagraph"/>
              <w:spacing w:before="1"/>
              <w:ind w:left="395" w:right="393"/>
              <w:jc w:val="center"/>
              <w:rPr>
                <w:sz w:val="21"/>
              </w:rPr>
            </w:pPr>
            <w:r>
              <w:rPr>
                <w:sz w:val="21"/>
              </w:rPr>
              <w:t>主要项目</w:t>
            </w:r>
          </w:p>
          <w:p>
            <w:pPr>
              <w:pStyle w:val="TableParagraph"/>
              <w:spacing w:line="250" w:lineRule="exact" w:before="4"/>
              <w:ind w:left="393" w:right="393"/>
              <w:jc w:val="center"/>
              <w:rPr>
                <w:sz w:val="21"/>
              </w:rPr>
            </w:pPr>
            <w:r>
              <w:rPr>
                <w:sz w:val="21"/>
              </w:rPr>
              <w:t>名称</w:t>
            </w:r>
          </w:p>
        </w:tc>
      </w:tr>
      <w:tr>
        <w:trPr>
          <w:trHeight w:val="661" w:hRule="atLeast"/>
        </w:trPr>
        <w:tc>
          <w:tcPr>
            <w:tcW w:w="994" w:type="dxa"/>
          </w:tcPr>
          <w:p>
            <w:pPr>
              <w:pStyle w:val="TableParagraph"/>
              <w:rPr>
                <w:rFonts w:ascii="Times New Roman"/>
                <w:sz w:val="20"/>
              </w:rPr>
            </w:pPr>
          </w:p>
        </w:tc>
        <w:tc>
          <w:tcPr>
            <w:tcW w:w="828" w:type="dxa"/>
          </w:tcPr>
          <w:p>
            <w:pPr>
              <w:pStyle w:val="TableParagraph"/>
              <w:rPr>
                <w:rFonts w:ascii="Times New Roman"/>
                <w:sz w:val="20"/>
              </w:rPr>
            </w:pPr>
          </w:p>
        </w:tc>
        <w:tc>
          <w:tcPr>
            <w:tcW w:w="817" w:type="dxa"/>
          </w:tcPr>
          <w:p>
            <w:pPr>
              <w:pStyle w:val="TableParagraph"/>
              <w:rPr>
                <w:rFonts w:ascii="Times New Roman"/>
                <w:sz w:val="20"/>
              </w:rPr>
            </w:pPr>
          </w:p>
        </w:tc>
        <w:tc>
          <w:tcPr>
            <w:tcW w:w="1148" w:type="dxa"/>
          </w:tcPr>
          <w:p>
            <w:pPr>
              <w:pStyle w:val="TableParagraph"/>
              <w:rPr>
                <w:rFonts w:ascii="Times New Roman"/>
                <w:sz w:val="20"/>
              </w:rPr>
            </w:pPr>
          </w:p>
        </w:tc>
        <w:tc>
          <w:tcPr>
            <w:tcW w:w="1150" w:type="dxa"/>
          </w:tcPr>
          <w:p>
            <w:pPr>
              <w:pStyle w:val="TableParagraph"/>
              <w:rPr>
                <w:rFonts w:ascii="Times New Roman"/>
                <w:sz w:val="20"/>
              </w:rPr>
            </w:pPr>
          </w:p>
        </w:tc>
        <w:tc>
          <w:tcPr>
            <w:tcW w:w="1148" w:type="dxa"/>
          </w:tcPr>
          <w:p>
            <w:pPr>
              <w:pStyle w:val="TableParagraph"/>
              <w:rPr>
                <w:rFonts w:ascii="Times New Roman"/>
                <w:sz w:val="20"/>
              </w:rPr>
            </w:pPr>
          </w:p>
        </w:tc>
        <w:tc>
          <w:tcPr>
            <w:tcW w:w="1148" w:type="dxa"/>
          </w:tcPr>
          <w:p>
            <w:pPr>
              <w:pStyle w:val="TableParagraph"/>
              <w:rPr>
                <w:rFonts w:ascii="Times New Roman"/>
                <w:sz w:val="20"/>
              </w:rPr>
            </w:pPr>
          </w:p>
        </w:tc>
        <w:tc>
          <w:tcPr>
            <w:tcW w:w="853" w:type="dxa"/>
          </w:tcPr>
          <w:p>
            <w:pPr>
              <w:pStyle w:val="TableParagraph"/>
              <w:rPr>
                <w:rFonts w:ascii="Times New Roman"/>
                <w:sz w:val="20"/>
              </w:rPr>
            </w:pPr>
          </w:p>
        </w:tc>
        <w:tc>
          <w:tcPr>
            <w:tcW w:w="1678" w:type="dxa"/>
          </w:tcPr>
          <w:p>
            <w:pPr>
              <w:pStyle w:val="TableParagraph"/>
              <w:rPr>
                <w:rFonts w:ascii="Times New Roman"/>
                <w:sz w:val="20"/>
              </w:rPr>
            </w:pPr>
          </w:p>
        </w:tc>
      </w:tr>
      <w:tr>
        <w:trPr>
          <w:trHeight w:val="660" w:hRule="atLeast"/>
        </w:trPr>
        <w:tc>
          <w:tcPr>
            <w:tcW w:w="994" w:type="dxa"/>
          </w:tcPr>
          <w:p>
            <w:pPr>
              <w:pStyle w:val="TableParagraph"/>
              <w:rPr>
                <w:rFonts w:ascii="Times New Roman"/>
                <w:sz w:val="20"/>
              </w:rPr>
            </w:pPr>
          </w:p>
        </w:tc>
        <w:tc>
          <w:tcPr>
            <w:tcW w:w="828" w:type="dxa"/>
          </w:tcPr>
          <w:p>
            <w:pPr>
              <w:pStyle w:val="TableParagraph"/>
              <w:rPr>
                <w:rFonts w:ascii="Times New Roman"/>
                <w:sz w:val="20"/>
              </w:rPr>
            </w:pPr>
          </w:p>
        </w:tc>
        <w:tc>
          <w:tcPr>
            <w:tcW w:w="817" w:type="dxa"/>
          </w:tcPr>
          <w:p>
            <w:pPr>
              <w:pStyle w:val="TableParagraph"/>
              <w:rPr>
                <w:rFonts w:ascii="Times New Roman"/>
                <w:sz w:val="20"/>
              </w:rPr>
            </w:pPr>
          </w:p>
        </w:tc>
        <w:tc>
          <w:tcPr>
            <w:tcW w:w="1148" w:type="dxa"/>
          </w:tcPr>
          <w:p>
            <w:pPr>
              <w:pStyle w:val="TableParagraph"/>
              <w:rPr>
                <w:rFonts w:ascii="Times New Roman"/>
                <w:sz w:val="20"/>
              </w:rPr>
            </w:pPr>
          </w:p>
        </w:tc>
        <w:tc>
          <w:tcPr>
            <w:tcW w:w="1150" w:type="dxa"/>
          </w:tcPr>
          <w:p>
            <w:pPr>
              <w:pStyle w:val="TableParagraph"/>
              <w:rPr>
                <w:rFonts w:ascii="Times New Roman"/>
                <w:sz w:val="20"/>
              </w:rPr>
            </w:pPr>
          </w:p>
        </w:tc>
        <w:tc>
          <w:tcPr>
            <w:tcW w:w="1148" w:type="dxa"/>
          </w:tcPr>
          <w:p>
            <w:pPr>
              <w:pStyle w:val="TableParagraph"/>
              <w:rPr>
                <w:rFonts w:ascii="Times New Roman"/>
                <w:sz w:val="20"/>
              </w:rPr>
            </w:pPr>
          </w:p>
        </w:tc>
        <w:tc>
          <w:tcPr>
            <w:tcW w:w="1148" w:type="dxa"/>
          </w:tcPr>
          <w:p>
            <w:pPr>
              <w:pStyle w:val="TableParagraph"/>
              <w:rPr>
                <w:rFonts w:ascii="Times New Roman"/>
                <w:sz w:val="20"/>
              </w:rPr>
            </w:pPr>
          </w:p>
        </w:tc>
        <w:tc>
          <w:tcPr>
            <w:tcW w:w="853" w:type="dxa"/>
          </w:tcPr>
          <w:p>
            <w:pPr>
              <w:pStyle w:val="TableParagraph"/>
              <w:rPr>
                <w:rFonts w:ascii="Times New Roman"/>
                <w:sz w:val="20"/>
              </w:rPr>
            </w:pPr>
          </w:p>
        </w:tc>
        <w:tc>
          <w:tcPr>
            <w:tcW w:w="1678" w:type="dxa"/>
          </w:tcPr>
          <w:p>
            <w:pPr>
              <w:pStyle w:val="TableParagraph"/>
              <w:rPr>
                <w:rFonts w:ascii="Times New Roman"/>
                <w:sz w:val="20"/>
              </w:rPr>
            </w:pPr>
          </w:p>
        </w:tc>
      </w:tr>
      <w:tr>
        <w:trPr>
          <w:trHeight w:val="659" w:hRule="atLeast"/>
        </w:trPr>
        <w:tc>
          <w:tcPr>
            <w:tcW w:w="994" w:type="dxa"/>
          </w:tcPr>
          <w:p>
            <w:pPr>
              <w:pStyle w:val="TableParagraph"/>
              <w:rPr>
                <w:rFonts w:ascii="Times New Roman"/>
                <w:sz w:val="20"/>
              </w:rPr>
            </w:pPr>
          </w:p>
        </w:tc>
        <w:tc>
          <w:tcPr>
            <w:tcW w:w="828" w:type="dxa"/>
          </w:tcPr>
          <w:p>
            <w:pPr>
              <w:pStyle w:val="TableParagraph"/>
              <w:rPr>
                <w:rFonts w:ascii="Times New Roman"/>
                <w:sz w:val="20"/>
              </w:rPr>
            </w:pPr>
          </w:p>
        </w:tc>
        <w:tc>
          <w:tcPr>
            <w:tcW w:w="817" w:type="dxa"/>
          </w:tcPr>
          <w:p>
            <w:pPr>
              <w:pStyle w:val="TableParagraph"/>
              <w:rPr>
                <w:rFonts w:ascii="Times New Roman"/>
                <w:sz w:val="20"/>
              </w:rPr>
            </w:pPr>
          </w:p>
        </w:tc>
        <w:tc>
          <w:tcPr>
            <w:tcW w:w="1148" w:type="dxa"/>
          </w:tcPr>
          <w:p>
            <w:pPr>
              <w:pStyle w:val="TableParagraph"/>
              <w:rPr>
                <w:rFonts w:ascii="Times New Roman"/>
                <w:sz w:val="20"/>
              </w:rPr>
            </w:pPr>
          </w:p>
        </w:tc>
        <w:tc>
          <w:tcPr>
            <w:tcW w:w="1150" w:type="dxa"/>
          </w:tcPr>
          <w:p>
            <w:pPr>
              <w:pStyle w:val="TableParagraph"/>
              <w:rPr>
                <w:rFonts w:ascii="Times New Roman"/>
                <w:sz w:val="20"/>
              </w:rPr>
            </w:pPr>
          </w:p>
        </w:tc>
        <w:tc>
          <w:tcPr>
            <w:tcW w:w="1148" w:type="dxa"/>
          </w:tcPr>
          <w:p>
            <w:pPr>
              <w:pStyle w:val="TableParagraph"/>
              <w:rPr>
                <w:rFonts w:ascii="Times New Roman"/>
                <w:sz w:val="20"/>
              </w:rPr>
            </w:pPr>
          </w:p>
        </w:tc>
        <w:tc>
          <w:tcPr>
            <w:tcW w:w="1148" w:type="dxa"/>
          </w:tcPr>
          <w:p>
            <w:pPr>
              <w:pStyle w:val="TableParagraph"/>
              <w:rPr>
                <w:rFonts w:ascii="Times New Roman"/>
                <w:sz w:val="20"/>
              </w:rPr>
            </w:pPr>
          </w:p>
        </w:tc>
        <w:tc>
          <w:tcPr>
            <w:tcW w:w="853" w:type="dxa"/>
          </w:tcPr>
          <w:p>
            <w:pPr>
              <w:pStyle w:val="TableParagraph"/>
              <w:rPr>
                <w:rFonts w:ascii="Times New Roman"/>
                <w:sz w:val="20"/>
              </w:rPr>
            </w:pPr>
          </w:p>
        </w:tc>
        <w:tc>
          <w:tcPr>
            <w:tcW w:w="1678" w:type="dxa"/>
          </w:tcPr>
          <w:p>
            <w:pPr>
              <w:pStyle w:val="TableParagraph"/>
              <w:rPr>
                <w:rFonts w:ascii="Times New Roman"/>
                <w:sz w:val="20"/>
              </w:rPr>
            </w:pPr>
          </w:p>
        </w:tc>
      </w:tr>
      <w:tr>
        <w:trPr>
          <w:trHeight w:val="659" w:hRule="atLeast"/>
        </w:trPr>
        <w:tc>
          <w:tcPr>
            <w:tcW w:w="994" w:type="dxa"/>
          </w:tcPr>
          <w:p>
            <w:pPr>
              <w:pStyle w:val="TableParagraph"/>
              <w:rPr>
                <w:rFonts w:ascii="Times New Roman"/>
                <w:sz w:val="20"/>
              </w:rPr>
            </w:pPr>
          </w:p>
        </w:tc>
        <w:tc>
          <w:tcPr>
            <w:tcW w:w="828" w:type="dxa"/>
          </w:tcPr>
          <w:p>
            <w:pPr>
              <w:pStyle w:val="TableParagraph"/>
              <w:rPr>
                <w:rFonts w:ascii="Times New Roman"/>
                <w:sz w:val="20"/>
              </w:rPr>
            </w:pPr>
          </w:p>
        </w:tc>
        <w:tc>
          <w:tcPr>
            <w:tcW w:w="817" w:type="dxa"/>
          </w:tcPr>
          <w:p>
            <w:pPr>
              <w:pStyle w:val="TableParagraph"/>
              <w:rPr>
                <w:rFonts w:ascii="Times New Roman"/>
                <w:sz w:val="20"/>
              </w:rPr>
            </w:pPr>
          </w:p>
        </w:tc>
        <w:tc>
          <w:tcPr>
            <w:tcW w:w="1148" w:type="dxa"/>
          </w:tcPr>
          <w:p>
            <w:pPr>
              <w:pStyle w:val="TableParagraph"/>
              <w:rPr>
                <w:rFonts w:ascii="Times New Roman"/>
                <w:sz w:val="20"/>
              </w:rPr>
            </w:pPr>
          </w:p>
        </w:tc>
        <w:tc>
          <w:tcPr>
            <w:tcW w:w="1150" w:type="dxa"/>
          </w:tcPr>
          <w:p>
            <w:pPr>
              <w:pStyle w:val="TableParagraph"/>
              <w:rPr>
                <w:rFonts w:ascii="Times New Roman"/>
                <w:sz w:val="20"/>
              </w:rPr>
            </w:pPr>
          </w:p>
        </w:tc>
        <w:tc>
          <w:tcPr>
            <w:tcW w:w="1148" w:type="dxa"/>
          </w:tcPr>
          <w:p>
            <w:pPr>
              <w:pStyle w:val="TableParagraph"/>
              <w:rPr>
                <w:rFonts w:ascii="Times New Roman"/>
                <w:sz w:val="20"/>
              </w:rPr>
            </w:pPr>
          </w:p>
        </w:tc>
        <w:tc>
          <w:tcPr>
            <w:tcW w:w="1148" w:type="dxa"/>
          </w:tcPr>
          <w:p>
            <w:pPr>
              <w:pStyle w:val="TableParagraph"/>
              <w:rPr>
                <w:rFonts w:ascii="Times New Roman"/>
                <w:sz w:val="20"/>
              </w:rPr>
            </w:pPr>
          </w:p>
        </w:tc>
        <w:tc>
          <w:tcPr>
            <w:tcW w:w="853" w:type="dxa"/>
          </w:tcPr>
          <w:p>
            <w:pPr>
              <w:pStyle w:val="TableParagraph"/>
              <w:rPr>
                <w:rFonts w:ascii="Times New Roman"/>
                <w:sz w:val="20"/>
              </w:rPr>
            </w:pPr>
          </w:p>
        </w:tc>
        <w:tc>
          <w:tcPr>
            <w:tcW w:w="1678" w:type="dxa"/>
          </w:tcPr>
          <w:p>
            <w:pPr>
              <w:pStyle w:val="TableParagraph"/>
              <w:rPr>
                <w:rFonts w:ascii="Times New Roman"/>
                <w:sz w:val="20"/>
              </w:rPr>
            </w:pPr>
          </w:p>
        </w:tc>
      </w:tr>
      <w:tr>
        <w:trPr>
          <w:trHeight w:val="659" w:hRule="atLeast"/>
        </w:trPr>
        <w:tc>
          <w:tcPr>
            <w:tcW w:w="994" w:type="dxa"/>
          </w:tcPr>
          <w:p>
            <w:pPr>
              <w:pStyle w:val="TableParagraph"/>
              <w:rPr>
                <w:rFonts w:ascii="Times New Roman"/>
                <w:sz w:val="20"/>
              </w:rPr>
            </w:pPr>
          </w:p>
        </w:tc>
        <w:tc>
          <w:tcPr>
            <w:tcW w:w="828" w:type="dxa"/>
          </w:tcPr>
          <w:p>
            <w:pPr>
              <w:pStyle w:val="TableParagraph"/>
              <w:rPr>
                <w:rFonts w:ascii="Times New Roman"/>
                <w:sz w:val="20"/>
              </w:rPr>
            </w:pPr>
          </w:p>
        </w:tc>
        <w:tc>
          <w:tcPr>
            <w:tcW w:w="817" w:type="dxa"/>
          </w:tcPr>
          <w:p>
            <w:pPr>
              <w:pStyle w:val="TableParagraph"/>
              <w:rPr>
                <w:rFonts w:ascii="Times New Roman"/>
                <w:sz w:val="20"/>
              </w:rPr>
            </w:pPr>
          </w:p>
        </w:tc>
        <w:tc>
          <w:tcPr>
            <w:tcW w:w="1148" w:type="dxa"/>
          </w:tcPr>
          <w:p>
            <w:pPr>
              <w:pStyle w:val="TableParagraph"/>
              <w:rPr>
                <w:rFonts w:ascii="Times New Roman"/>
                <w:sz w:val="20"/>
              </w:rPr>
            </w:pPr>
          </w:p>
        </w:tc>
        <w:tc>
          <w:tcPr>
            <w:tcW w:w="1150" w:type="dxa"/>
          </w:tcPr>
          <w:p>
            <w:pPr>
              <w:pStyle w:val="TableParagraph"/>
              <w:rPr>
                <w:rFonts w:ascii="Times New Roman"/>
                <w:sz w:val="20"/>
              </w:rPr>
            </w:pPr>
          </w:p>
        </w:tc>
        <w:tc>
          <w:tcPr>
            <w:tcW w:w="1148" w:type="dxa"/>
          </w:tcPr>
          <w:p>
            <w:pPr>
              <w:pStyle w:val="TableParagraph"/>
              <w:rPr>
                <w:rFonts w:ascii="Times New Roman"/>
                <w:sz w:val="20"/>
              </w:rPr>
            </w:pPr>
          </w:p>
        </w:tc>
        <w:tc>
          <w:tcPr>
            <w:tcW w:w="1148" w:type="dxa"/>
          </w:tcPr>
          <w:p>
            <w:pPr>
              <w:pStyle w:val="TableParagraph"/>
              <w:rPr>
                <w:rFonts w:ascii="Times New Roman"/>
                <w:sz w:val="20"/>
              </w:rPr>
            </w:pPr>
          </w:p>
        </w:tc>
        <w:tc>
          <w:tcPr>
            <w:tcW w:w="853" w:type="dxa"/>
          </w:tcPr>
          <w:p>
            <w:pPr>
              <w:pStyle w:val="TableParagraph"/>
              <w:rPr>
                <w:rFonts w:ascii="Times New Roman"/>
                <w:sz w:val="20"/>
              </w:rPr>
            </w:pPr>
          </w:p>
        </w:tc>
        <w:tc>
          <w:tcPr>
            <w:tcW w:w="1678" w:type="dxa"/>
          </w:tcPr>
          <w:p>
            <w:pPr>
              <w:pStyle w:val="TableParagraph"/>
              <w:rPr>
                <w:rFonts w:ascii="Times New Roman"/>
                <w:sz w:val="20"/>
              </w:rPr>
            </w:pPr>
          </w:p>
        </w:tc>
      </w:tr>
      <w:tr>
        <w:trPr>
          <w:trHeight w:val="659" w:hRule="atLeast"/>
        </w:trPr>
        <w:tc>
          <w:tcPr>
            <w:tcW w:w="994" w:type="dxa"/>
          </w:tcPr>
          <w:p>
            <w:pPr>
              <w:pStyle w:val="TableParagraph"/>
              <w:rPr>
                <w:rFonts w:ascii="Times New Roman"/>
                <w:sz w:val="20"/>
              </w:rPr>
            </w:pPr>
          </w:p>
        </w:tc>
        <w:tc>
          <w:tcPr>
            <w:tcW w:w="828" w:type="dxa"/>
          </w:tcPr>
          <w:p>
            <w:pPr>
              <w:pStyle w:val="TableParagraph"/>
              <w:rPr>
                <w:rFonts w:ascii="Times New Roman"/>
                <w:sz w:val="20"/>
              </w:rPr>
            </w:pPr>
          </w:p>
        </w:tc>
        <w:tc>
          <w:tcPr>
            <w:tcW w:w="817" w:type="dxa"/>
          </w:tcPr>
          <w:p>
            <w:pPr>
              <w:pStyle w:val="TableParagraph"/>
              <w:rPr>
                <w:rFonts w:ascii="Times New Roman"/>
                <w:sz w:val="20"/>
              </w:rPr>
            </w:pPr>
          </w:p>
        </w:tc>
        <w:tc>
          <w:tcPr>
            <w:tcW w:w="1148" w:type="dxa"/>
          </w:tcPr>
          <w:p>
            <w:pPr>
              <w:pStyle w:val="TableParagraph"/>
              <w:rPr>
                <w:rFonts w:ascii="Times New Roman"/>
                <w:sz w:val="20"/>
              </w:rPr>
            </w:pPr>
          </w:p>
        </w:tc>
        <w:tc>
          <w:tcPr>
            <w:tcW w:w="1150" w:type="dxa"/>
          </w:tcPr>
          <w:p>
            <w:pPr>
              <w:pStyle w:val="TableParagraph"/>
              <w:rPr>
                <w:rFonts w:ascii="Times New Roman"/>
                <w:sz w:val="20"/>
              </w:rPr>
            </w:pPr>
          </w:p>
        </w:tc>
        <w:tc>
          <w:tcPr>
            <w:tcW w:w="1148" w:type="dxa"/>
          </w:tcPr>
          <w:p>
            <w:pPr>
              <w:pStyle w:val="TableParagraph"/>
              <w:rPr>
                <w:rFonts w:ascii="Times New Roman"/>
                <w:sz w:val="20"/>
              </w:rPr>
            </w:pPr>
          </w:p>
        </w:tc>
        <w:tc>
          <w:tcPr>
            <w:tcW w:w="1148" w:type="dxa"/>
          </w:tcPr>
          <w:p>
            <w:pPr>
              <w:pStyle w:val="TableParagraph"/>
              <w:rPr>
                <w:rFonts w:ascii="Times New Roman"/>
                <w:sz w:val="20"/>
              </w:rPr>
            </w:pPr>
          </w:p>
        </w:tc>
        <w:tc>
          <w:tcPr>
            <w:tcW w:w="853" w:type="dxa"/>
          </w:tcPr>
          <w:p>
            <w:pPr>
              <w:pStyle w:val="TableParagraph"/>
              <w:rPr>
                <w:rFonts w:ascii="Times New Roman"/>
                <w:sz w:val="20"/>
              </w:rPr>
            </w:pPr>
          </w:p>
        </w:tc>
        <w:tc>
          <w:tcPr>
            <w:tcW w:w="1678" w:type="dxa"/>
          </w:tcPr>
          <w:p>
            <w:pPr>
              <w:pStyle w:val="TableParagraph"/>
              <w:rPr>
                <w:rFonts w:ascii="Times New Roman"/>
                <w:sz w:val="20"/>
              </w:rPr>
            </w:pPr>
          </w:p>
        </w:tc>
      </w:tr>
      <w:tr>
        <w:trPr>
          <w:trHeight w:val="662" w:hRule="atLeast"/>
        </w:trPr>
        <w:tc>
          <w:tcPr>
            <w:tcW w:w="994" w:type="dxa"/>
          </w:tcPr>
          <w:p>
            <w:pPr>
              <w:pStyle w:val="TableParagraph"/>
              <w:rPr>
                <w:rFonts w:ascii="Times New Roman"/>
                <w:sz w:val="20"/>
              </w:rPr>
            </w:pPr>
          </w:p>
        </w:tc>
        <w:tc>
          <w:tcPr>
            <w:tcW w:w="828" w:type="dxa"/>
          </w:tcPr>
          <w:p>
            <w:pPr>
              <w:pStyle w:val="TableParagraph"/>
              <w:rPr>
                <w:rFonts w:ascii="Times New Roman"/>
                <w:sz w:val="20"/>
              </w:rPr>
            </w:pPr>
          </w:p>
        </w:tc>
        <w:tc>
          <w:tcPr>
            <w:tcW w:w="817" w:type="dxa"/>
          </w:tcPr>
          <w:p>
            <w:pPr>
              <w:pStyle w:val="TableParagraph"/>
              <w:rPr>
                <w:rFonts w:ascii="Times New Roman"/>
                <w:sz w:val="20"/>
              </w:rPr>
            </w:pPr>
          </w:p>
        </w:tc>
        <w:tc>
          <w:tcPr>
            <w:tcW w:w="1148" w:type="dxa"/>
          </w:tcPr>
          <w:p>
            <w:pPr>
              <w:pStyle w:val="TableParagraph"/>
              <w:rPr>
                <w:rFonts w:ascii="Times New Roman"/>
                <w:sz w:val="20"/>
              </w:rPr>
            </w:pPr>
          </w:p>
        </w:tc>
        <w:tc>
          <w:tcPr>
            <w:tcW w:w="1150" w:type="dxa"/>
          </w:tcPr>
          <w:p>
            <w:pPr>
              <w:pStyle w:val="TableParagraph"/>
              <w:rPr>
                <w:rFonts w:ascii="Times New Roman"/>
                <w:sz w:val="20"/>
              </w:rPr>
            </w:pPr>
          </w:p>
        </w:tc>
        <w:tc>
          <w:tcPr>
            <w:tcW w:w="1148" w:type="dxa"/>
          </w:tcPr>
          <w:p>
            <w:pPr>
              <w:pStyle w:val="TableParagraph"/>
              <w:rPr>
                <w:rFonts w:ascii="Times New Roman"/>
                <w:sz w:val="20"/>
              </w:rPr>
            </w:pPr>
          </w:p>
        </w:tc>
        <w:tc>
          <w:tcPr>
            <w:tcW w:w="1148" w:type="dxa"/>
          </w:tcPr>
          <w:p>
            <w:pPr>
              <w:pStyle w:val="TableParagraph"/>
              <w:rPr>
                <w:rFonts w:ascii="Times New Roman"/>
                <w:sz w:val="20"/>
              </w:rPr>
            </w:pPr>
          </w:p>
        </w:tc>
        <w:tc>
          <w:tcPr>
            <w:tcW w:w="853" w:type="dxa"/>
          </w:tcPr>
          <w:p>
            <w:pPr>
              <w:pStyle w:val="TableParagraph"/>
              <w:rPr>
                <w:rFonts w:ascii="Times New Roman"/>
                <w:sz w:val="20"/>
              </w:rPr>
            </w:pPr>
          </w:p>
        </w:tc>
        <w:tc>
          <w:tcPr>
            <w:tcW w:w="1678" w:type="dxa"/>
          </w:tcPr>
          <w:p>
            <w:pPr>
              <w:pStyle w:val="TableParagraph"/>
              <w:rPr>
                <w:rFonts w:ascii="Times New Roman"/>
                <w:sz w:val="20"/>
              </w:rPr>
            </w:pPr>
          </w:p>
        </w:tc>
      </w:tr>
      <w:tr>
        <w:trPr>
          <w:trHeight w:val="659" w:hRule="atLeast"/>
        </w:trPr>
        <w:tc>
          <w:tcPr>
            <w:tcW w:w="994" w:type="dxa"/>
          </w:tcPr>
          <w:p>
            <w:pPr>
              <w:pStyle w:val="TableParagraph"/>
              <w:rPr>
                <w:rFonts w:ascii="Times New Roman"/>
                <w:sz w:val="20"/>
              </w:rPr>
            </w:pPr>
          </w:p>
        </w:tc>
        <w:tc>
          <w:tcPr>
            <w:tcW w:w="828" w:type="dxa"/>
          </w:tcPr>
          <w:p>
            <w:pPr>
              <w:pStyle w:val="TableParagraph"/>
              <w:rPr>
                <w:rFonts w:ascii="Times New Roman"/>
                <w:sz w:val="20"/>
              </w:rPr>
            </w:pPr>
          </w:p>
        </w:tc>
        <w:tc>
          <w:tcPr>
            <w:tcW w:w="817" w:type="dxa"/>
          </w:tcPr>
          <w:p>
            <w:pPr>
              <w:pStyle w:val="TableParagraph"/>
              <w:rPr>
                <w:rFonts w:ascii="Times New Roman"/>
                <w:sz w:val="20"/>
              </w:rPr>
            </w:pPr>
          </w:p>
        </w:tc>
        <w:tc>
          <w:tcPr>
            <w:tcW w:w="1148" w:type="dxa"/>
          </w:tcPr>
          <w:p>
            <w:pPr>
              <w:pStyle w:val="TableParagraph"/>
              <w:rPr>
                <w:rFonts w:ascii="Times New Roman"/>
                <w:sz w:val="20"/>
              </w:rPr>
            </w:pPr>
          </w:p>
        </w:tc>
        <w:tc>
          <w:tcPr>
            <w:tcW w:w="1150" w:type="dxa"/>
          </w:tcPr>
          <w:p>
            <w:pPr>
              <w:pStyle w:val="TableParagraph"/>
              <w:rPr>
                <w:rFonts w:ascii="Times New Roman"/>
                <w:sz w:val="20"/>
              </w:rPr>
            </w:pPr>
          </w:p>
        </w:tc>
        <w:tc>
          <w:tcPr>
            <w:tcW w:w="1148" w:type="dxa"/>
          </w:tcPr>
          <w:p>
            <w:pPr>
              <w:pStyle w:val="TableParagraph"/>
              <w:rPr>
                <w:rFonts w:ascii="Times New Roman"/>
                <w:sz w:val="20"/>
              </w:rPr>
            </w:pPr>
          </w:p>
        </w:tc>
        <w:tc>
          <w:tcPr>
            <w:tcW w:w="1148" w:type="dxa"/>
          </w:tcPr>
          <w:p>
            <w:pPr>
              <w:pStyle w:val="TableParagraph"/>
              <w:rPr>
                <w:rFonts w:ascii="Times New Roman"/>
                <w:sz w:val="20"/>
              </w:rPr>
            </w:pPr>
          </w:p>
        </w:tc>
        <w:tc>
          <w:tcPr>
            <w:tcW w:w="853" w:type="dxa"/>
          </w:tcPr>
          <w:p>
            <w:pPr>
              <w:pStyle w:val="TableParagraph"/>
              <w:rPr>
                <w:rFonts w:ascii="Times New Roman"/>
                <w:sz w:val="20"/>
              </w:rPr>
            </w:pPr>
          </w:p>
        </w:tc>
        <w:tc>
          <w:tcPr>
            <w:tcW w:w="1678" w:type="dxa"/>
          </w:tcPr>
          <w:p>
            <w:pPr>
              <w:pStyle w:val="TableParagraph"/>
              <w:rPr>
                <w:rFonts w:ascii="Times New Roman"/>
                <w:sz w:val="20"/>
              </w:rPr>
            </w:pPr>
          </w:p>
        </w:tc>
      </w:tr>
      <w:tr>
        <w:trPr>
          <w:trHeight w:val="659" w:hRule="atLeast"/>
        </w:trPr>
        <w:tc>
          <w:tcPr>
            <w:tcW w:w="994" w:type="dxa"/>
          </w:tcPr>
          <w:p>
            <w:pPr>
              <w:pStyle w:val="TableParagraph"/>
              <w:rPr>
                <w:rFonts w:ascii="Times New Roman"/>
                <w:sz w:val="20"/>
              </w:rPr>
            </w:pPr>
          </w:p>
        </w:tc>
        <w:tc>
          <w:tcPr>
            <w:tcW w:w="828" w:type="dxa"/>
          </w:tcPr>
          <w:p>
            <w:pPr>
              <w:pStyle w:val="TableParagraph"/>
              <w:rPr>
                <w:rFonts w:ascii="Times New Roman"/>
                <w:sz w:val="20"/>
              </w:rPr>
            </w:pPr>
          </w:p>
        </w:tc>
        <w:tc>
          <w:tcPr>
            <w:tcW w:w="817" w:type="dxa"/>
          </w:tcPr>
          <w:p>
            <w:pPr>
              <w:pStyle w:val="TableParagraph"/>
              <w:rPr>
                <w:rFonts w:ascii="Times New Roman"/>
                <w:sz w:val="20"/>
              </w:rPr>
            </w:pPr>
          </w:p>
        </w:tc>
        <w:tc>
          <w:tcPr>
            <w:tcW w:w="1148" w:type="dxa"/>
          </w:tcPr>
          <w:p>
            <w:pPr>
              <w:pStyle w:val="TableParagraph"/>
              <w:rPr>
                <w:rFonts w:ascii="Times New Roman"/>
                <w:sz w:val="20"/>
              </w:rPr>
            </w:pPr>
          </w:p>
        </w:tc>
        <w:tc>
          <w:tcPr>
            <w:tcW w:w="1150" w:type="dxa"/>
          </w:tcPr>
          <w:p>
            <w:pPr>
              <w:pStyle w:val="TableParagraph"/>
              <w:rPr>
                <w:rFonts w:ascii="Times New Roman"/>
                <w:sz w:val="20"/>
              </w:rPr>
            </w:pPr>
          </w:p>
        </w:tc>
        <w:tc>
          <w:tcPr>
            <w:tcW w:w="1148" w:type="dxa"/>
          </w:tcPr>
          <w:p>
            <w:pPr>
              <w:pStyle w:val="TableParagraph"/>
              <w:rPr>
                <w:rFonts w:ascii="Times New Roman"/>
                <w:sz w:val="20"/>
              </w:rPr>
            </w:pPr>
          </w:p>
        </w:tc>
        <w:tc>
          <w:tcPr>
            <w:tcW w:w="1148" w:type="dxa"/>
          </w:tcPr>
          <w:p>
            <w:pPr>
              <w:pStyle w:val="TableParagraph"/>
              <w:rPr>
                <w:rFonts w:ascii="Times New Roman"/>
                <w:sz w:val="20"/>
              </w:rPr>
            </w:pPr>
          </w:p>
        </w:tc>
        <w:tc>
          <w:tcPr>
            <w:tcW w:w="853" w:type="dxa"/>
          </w:tcPr>
          <w:p>
            <w:pPr>
              <w:pStyle w:val="TableParagraph"/>
              <w:rPr>
                <w:rFonts w:ascii="Times New Roman"/>
                <w:sz w:val="20"/>
              </w:rPr>
            </w:pPr>
          </w:p>
        </w:tc>
        <w:tc>
          <w:tcPr>
            <w:tcW w:w="1678" w:type="dxa"/>
          </w:tcPr>
          <w:p>
            <w:pPr>
              <w:pStyle w:val="TableParagraph"/>
              <w:rPr>
                <w:rFonts w:ascii="Times New Roman"/>
                <w:sz w:val="20"/>
              </w:rPr>
            </w:pPr>
          </w:p>
        </w:tc>
      </w:tr>
      <w:tr>
        <w:trPr>
          <w:trHeight w:val="1466" w:hRule="atLeast"/>
        </w:trPr>
        <w:tc>
          <w:tcPr>
            <w:tcW w:w="9764" w:type="dxa"/>
            <w:gridSpan w:val="9"/>
          </w:tcPr>
          <w:p>
            <w:pPr>
              <w:pStyle w:val="TableParagraph"/>
              <w:spacing w:line="364" w:lineRule="auto" w:before="121"/>
              <w:ind w:left="108" w:right="105"/>
              <w:jc w:val="both"/>
              <w:rPr>
                <w:sz w:val="21"/>
              </w:rPr>
            </w:pPr>
            <w:r>
              <w:rPr>
                <w:sz w:val="21"/>
              </w:rPr>
              <w:t>一旦我单位中标，将实行项目经理负责制，我方保证并配备上述项目管理机构。上述填报内容真实，若不真实，愿按有关规定接受处理。项目管理班子机构设置、职责分工等情况另附资料说明。相关证明材料未通过广西建筑业企业诚信信息库审核的，在评审时不予承认。</w:t>
            </w:r>
          </w:p>
        </w:tc>
      </w:tr>
    </w:tbl>
    <w:p>
      <w:pPr>
        <w:pStyle w:val="BodyText"/>
        <w:spacing w:before="5"/>
        <w:ind w:left="0"/>
        <w:rPr>
          <w:sz w:val="28"/>
        </w:rPr>
      </w:pPr>
    </w:p>
    <w:p>
      <w:pPr>
        <w:pStyle w:val="BodyText"/>
        <w:spacing w:line="364" w:lineRule="auto"/>
        <w:ind w:right="947"/>
      </w:pPr>
      <w:r>
        <w:rPr/>
        <w:t>【备注：附已录入广西建筑业企业诚信信息库的各岗位人员资格证件（如有）扫描件。以上扫描件均为原件的扫描件】</w:t>
      </w:r>
    </w:p>
    <w:p>
      <w:pPr>
        <w:pStyle w:val="BodyText"/>
        <w:spacing w:before="11"/>
        <w:ind w:left="0"/>
      </w:pPr>
    </w:p>
    <w:p>
      <w:pPr>
        <w:pStyle w:val="Heading6"/>
        <w:numPr>
          <w:ilvl w:val="0"/>
          <w:numId w:val="136"/>
        </w:numPr>
        <w:tabs>
          <w:tab w:pos="1764" w:val="left" w:leader="none"/>
        </w:tabs>
        <w:spacing w:line="240" w:lineRule="auto" w:before="0" w:after="0"/>
        <w:ind w:left="1763" w:right="0" w:hanging="604"/>
        <w:jc w:val="left"/>
        <w:rPr>
          <w:sz w:val="22"/>
        </w:rPr>
      </w:pPr>
      <w:r>
        <w:rPr/>
        <w:t>拟投入施工机械设备情况表（格式自拟）</w:t>
      </w:r>
    </w:p>
    <w:p>
      <w:pPr>
        <w:pStyle w:val="BodyText"/>
        <w:spacing w:before="9"/>
        <w:ind w:left="0"/>
        <w:rPr>
          <w:rFonts w:ascii="Microsoft JhengHei"/>
          <w:b/>
          <w:sz w:val="30"/>
        </w:rPr>
      </w:pPr>
    </w:p>
    <w:p>
      <w:pPr>
        <w:pStyle w:val="Heading8"/>
        <w:numPr>
          <w:ilvl w:val="0"/>
          <w:numId w:val="136"/>
        </w:numPr>
        <w:tabs>
          <w:tab w:pos="1207" w:val="left" w:leader="none"/>
          <w:tab w:pos="1940" w:val="left" w:leader="none"/>
          <w:tab w:pos="2468" w:val="left" w:leader="none"/>
        </w:tabs>
        <w:spacing w:line="240" w:lineRule="auto" w:before="0" w:after="0"/>
        <w:ind w:left="1207" w:right="0" w:hanging="529"/>
        <w:jc w:val="left"/>
        <w:rPr>
          <w:sz w:val="19"/>
        </w:rPr>
      </w:pPr>
      <w:r>
        <w:rPr/>
        <w:pict>
          <v:shape style="position:absolute;margin-left:72.503998pt;margin-top:17.085838pt;width:468.6pt;height:44.2pt;mso-position-horizontal-relative:page;mso-position-vertical-relative:paragraph;z-index:25180979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1700"/>
                    <w:gridCol w:w="1419"/>
                    <w:gridCol w:w="850"/>
                    <w:gridCol w:w="994"/>
                    <w:gridCol w:w="1133"/>
                    <w:gridCol w:w="1278"/>
                    <w:gridCol w:w="1133"/>
                  </w:tblGrid>
                  <w:tr>
                    <w:trPr>
                      <w:trHeight w:val="863" w:hRule="atLeast"/>
                    </w:trPr>
                    <w:tc>
                      <w:tcPr>
                        <w:tcW w:w="852" w:type="dxa"/>
                      </w:tcPr>
                      <w:p>
                        <w:pPr>
                          <w:pStyle w:val="TableParagraph"/>
                          <w:spacing w:before="1"/>
                          <w:rPr>
                            <w:rFonts w:ascii="Microsoft JhengHei"/>
                            <w:b/>
                            <w:sz w:val="16"/>
                          </w:rPr>
                        </w:pPr>
                      </w:p>
                      <w:p>
                        <w:pPr>
                          <w:pStyle w:val="TableParagraph"/>
                          <w:spacing w:before="1"/>
                          <w:ind w:left="215"/>
                          <w:rPr>
                            <w:sz w:val="21"/>
                          </w:rPr>
                        </w:pPr>
                        <w:r>
                          <w:rPr>
                            <w:sz w:val="21"/>
                          </w:rPr>
                          <w:t>序号</w:t>
                        </w:r>
                      </w:p>
                    </w:tc>
                    <w:tc>
                      <w:tcPr>
                        <w:tcW w:w="1700" w:type="dxa"/>
                      </w:tcPr>
                      <w:p>
                        <w:pPr>
                          <w:pStyle w:val="TableParagraph"/>
                          <w:spacing w:before="1"/>
                          <w:rPr>
                            <w:rFonts w:ascii="Microsoft JhengHei"/>
                            <w:b/>
                            <w:sz w:val="16"/>
                          </w:rPr>
                        </w:pPr>
                      </w:p>
                      <w:p>
                        <w:pPr>
                          <w:pStyle w:val="TableParagraph"/>
                          <w:spacing w:before="1"/>
                          <w:ind w:left="321"/>
                          <w:rPr>
                            <w:sz w:val="21"/>
                          </w:rPr>
                        </w:pPr>
                        <w:r>
                          <w:rPr>
                            <w:sz w:val="21"/>
                          </w:rPr>
                          <w:t>发包人名称</w:t>
                        </w:r>
                      </w:p>
                    </w:tc>
                    <w:tc>
                      <w:tcPr>
                        <w:tcW w:w="1419" w:type="dxa"/>
                      </w:tcPr>
                      <w:p>
                        <w:pPr>
                          <w:pStyle w:val="TableParagraph"/>
                          <w:spacing w:line="242" w:lineRule="auto" w:before="161"/>
                          <w:ind w:left="181" w:right="171" w:firstLine="105"/>
                          <w:rPr>
                            <w:sz w:val="21"/>
                          </w:rPr>
                        </w:pPr>
                        <w:r>
                          <w:rPr>
                            <w:sz w:val="21"/>
                          </w:rPr>
                          <w:t>工程名称及建设地点</w:t>
                        </w:r>
                      </w:p>
                    </w:tc>
                    <w:tc>
                      <w:tcPr>
                        <w:tcW w:w="850" w:type="dxa"/>
                      </w:tcPr>
                      <w:p>
                        <w:pPr>
                          <w:pStyle w:val="TableParagraph"/>
                          <w:spacing w:line="242" w:lineRule="auto" w:before="161"/>
                          <w:ind w:left="214" w:right="200"/>
                          <w:rPr>
                            <w:sz w:val="21"/>
                          </w:rPr>
                        </w:pPr>
                        <w:r>
                          <w:rPr>
                            <w:sz w:val="21"/>
                          </w:rPr>
                          <w:t>结构类型</w:t>
                        </w:r>
                      </w:p>
                    </w:tc>
                    <w:tc>
                      <w:tcPr>
                        <w:tcW w:w="994" w:type="dxa"/>
                      </w:tcPr>
                      <w:p>
                        <w:pPr>
                          <w:pStyle w:val="TableParagraph"/>
                          <w:spacing w:line="242" w:lineRule="auto" w:before="161"/>
                          <w:ind w:left="284" w:right="275"/>
                          <w:rPr>
                            <w:sz w:val="21"/>
                          </w:rPr>
                        </w:pPr>
                        <w:r>
                          <w:rPr>
                            <w:sz w:val="21"/>
                          </w:rPr>
                          <w:t>建设规模</w:t>
                        </w:r>
                      </w:p>
                    </w:tc>
                    <w:tc>
                      <w:tcPr>
                        <w:tcW w:w="1133" w:type="dxa"/>
                      </w:tcPr>
                      <w:p>
                        <w:pPr>
                          <w:pStyle w:val="TableParagraph"/>
                          <w:spacing w:before="161"/>
                          <w:ind w:left="142"/>
                          <w:rPr>
                            <w:sz w:val="21"/>
                          </w:rPr>
                        </w:pPr>
                        <w:r>
                          <w:rPr>
                            <w:spacing w:val="-1"/>
                            <w:sz w:val="21"/>
                          </w:rPr>
                          <w:t>合同金额</w:t>
                        </w:r>
                      </w:p>
                      <w:p>
                        <w:pPr>
                          <w:pStyle w:val="TableParagraph"/>
                          <w:spacing w:before="3"/>
                          <w:ind w:left="142"/>
                          <w:rPr>
                            <w:sz w:val="21"/>
                          </w:rPr>
                        </w:pPr>
                        <w:r>
                          <w:rPr>
                            <w:sz w:val="21"/>
                          </w:rPr>
                          <w:t>（</w:t>
                        </w:r>
                        <w:r>
                          <w:rPr>
                            <w:spacing w:val="-2"/>
                            <w:sz w:val="21"/>
                          </w:rPr>
                          <w:t>万元</w:t>
                        </w:r>
                        <w:r>
                          <w:rPr>
                            <w:sz w:val="21"/>
                          </w:rPr>
                          <w:t>）</w:t>
                        </w:r>
                      </w:p>
                    </w:tc>
                    <w:tc>
                      <w:tcPr>
                        <w:tcW w:w="1278" w:type="dxa"/>
                      </w:tcPr>
                      <w:p>
                        <w:pPr>
                          <w:pStyle w:val="TableParagraph"/>
                          <w:spacing w:line="242" w:lineRule="auto" w:before="161"/>
                          <w:ind w:left="216" w:right="206"/>
                          <w:rPr>
                            <w:sz w:val="21"/>
                          </w:rPr>
                        </w:pPr>
                        <w:r>
                          <w:rPr>
                            <w:sz w:val="21"/>
                          </w:rPr>
                          <w:t>竣工达到质量标准</w:t>
                        </w:r>
                      </w:p>
                    </w:tc>
                    <w:tc>
                      <w:tcPr>
                        <w:tcW w:w="1133" w:type="dxa"/>
                      </w:tcPr>
                      <w:p>
                        <w:pPr>
                          <w:pStyle w:val="TableParagraph"/>
                          <w:tabs>
                            <w:tab w:pos="669" w:val="left" w:leader="none"/>
                          </w:tabs>
                          <w:spacing w:line="242" w:lineRule="auto" w:before="161"/>
                          <w:ind w:left="247" w:right="240"/>
                          <w:rPr>
                            <w:sz w:val="21"/>
                          </w:rPr>
                        </w:pPr>
                        <w:r>
                          <w:rPr>
                            <w:sz w:val="21"/>
                          </w:rPr>
                          <w:t>开竣</w:t>
                        </w:r>
                        <w:r>
                          <w:rPr>
                            <w:spacing w:val="-18"/>
                            <w:sz w:val="21"/>
                          </w:rPr>
                          <w:t>工</w:t>
                        </w:r>
                        <w:r>
                          <w:rPr>
                            <w:sz w:val="21"/>
                          </w:rPr>
                          <w:t>日</w:t>
                          <w:tab/>
                        </w:r>
                        <w:r>
                          <w:rPr>
                            <w:spacing w:val="-18"/>
                            <w:sz w:val="21"/>
                          </w:rPr>
                          <w:t>期</w:t>
                        </w:r>
                      </w:p>
                    </w:tc>
                  </w:tr>
                </w:tbl>
                <w:p>
                  <w:pPr>
                    <w:pStyle w:val="BodyText"/>
                    <w:ind w:left="0"/>
                  </w:pPr>
                </w:p>
              </w:txbxContent>
            </v:textbox>
            <w10:wrap type="none"/>
          </v:shape>
        </w:pict>
      </w:r>
      <w:r>
        <w:rPr/>
        <w:t>企业</w:t>
      </w:r>
      <w:r>
        <w:rPr>
          <w:u w:val="single"/>
        </w:rPr>
        <w:t> </w:t>
        <w:tab/>
      </w:r>
      <w:r>
        <w:rPr/>
        <w:t>年</w:t>
      </w:r>
      <w:r>
        <w:rPr>
          <w:u w:val="single"/>
        </w:rPr>
        <w:t> </w:t>
        <w:tab/>
      </w:r>
      <w:r>
        <w:rPr/>
        <w:t>月至</w:t>
      </w:r>
      <w:r>
        <w:rPr>
          <w:spacing w:val="-3"/>
        </w:rPr>
        <w:t>投</w:t>
      </w:r>
      <w:r>
        <w:rPr/>
        <w:t>标截止日期止（一</w:t>
      </w:r>
      <w:r>
        <w:rPr>
          <w:spacing w:val="-3"/>
        </w:rPr>
        <w:t>般</w:t>
      </w:r>
      <w:r>
        <w:rPr/>
        <w:t>为</w:t>
      </w:r>
      <w:r>
        <w:rPr>
          <w:spacing w:val="-3"/>
        </w:rPr>
        <w:t>近</w:t>
      </w:r>
      <w:r>
        <w:rPr/>
        <w:t>三年）已完成类似</w:t>
      </w:r>
      <w:r>
        <w:rPr>
          <w:spacing w:val="-3"/>
        </w:rPr>
        <w:t>工</w:t>
      </w:r>
      <w:r>
        <w:rPr/>
        <w:t>程</w:t>
      </w:r>
      <w:r>
        <w:rPr>
          <w:spacing w:val="-3"/>
        </w:rPr>
        <w:t>一</w:t>
      </w:r>
      <w:r>
        <w:rPr/>
        <w:t>览表</w:t>
      </w:r>
    </w:p>
    <w:p>
      <w:pPr>
        <w:spacing w:after="0" w:line="240" w:lineRule="auto"/>
        <w:jc w:val="left"/>
        <w:rPr>
          <w:sz w:val="19"/>
        </w:rPr>
        <w:sectPr>
          <w:pgSz w:w="11910" w:h="16850"/>
          <w:pgMar w:header="0" w:footer="779" w:top="1600" w:bottom="1040" w:left="1120" w:right="280"/>
        </w:sectPr>
      </w:pPr>
    </w:p>
    <w:tbl>
      <w:tblPr>
        <w:tblW w:w="0" w:type="auto"/>
        <w:jc w:val="left"/>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1700"/>
        <w:gridCol w:w="1419"/>
        <w:gridCol w:w="850"/>
        <w:gridCol w:w="994"/>
        <w:gridCol w:w="1133"/>
        <w:gridCol w:w="1278"/>
        <w:gridCol w:w="1133"/>
      </w:tblGrid>
      <w:tr>
        <w:trPr>
          <w:trHeight w:val="614" w:hRule="atLeast"/>
        </w:trPr>
        <w:tc>
          <w:tcPr>
            <w:tcW w:w="852" w:type="dxa"/>
          </w:tcPr>
          <w:p>
            <w:pPr>
              <w:pStyle w:val="TableParagraph"/>
              <w:rPr>
                <w:rFonts w:ascii="Times New Roman"/>
                <w:sz w:val="20"/>
              </w:rPr>
            </w:pPr>
          </w:p>
        </w:tc>
        <w:tc>
          <w:tcPr>
            <w:tcW w:w="1700" w:type="dxa"/>
          </w:tcPr>
          <w:p>
            <w:pPr>
              <w:pStyle w:val="TableParagraph"/>
              <w:rPr>
                <w:rFonts w:ascii="Times New Roman"/>
                <w:sz w:val="20"/>
              </w:rPr>
            </w:pPr>
          </w:p>
        </w:tc>
        <w:tc>
          <w:tcPr>
            <w:tcW w:w="1419" w:type="dxa"/>
          </w:tcPr>
          <w:p>
            <w:pPr>
              <w:pStyle w:val="TableParagraph"/>
              <w:rPr>
                <w:rFonts w:ascii="Times New Roman"/>
                <w:sz w:val="20"/>
              </w:rPr>
            </w:pPr>
          </w:p>
        </w:tc>
        <w:tc>
          <w:tcPr>
            <w:tcW w:w="850" w:type="dxa"/>
          </w:tcPr>
          <w:p>
            <w:pPr>
              <w:pStyle w:val="TableParagraph"/>
              <w:rPr>
                <w:rFonts w:ascii="Times New Roman"/>
                <w:sz w:val="20"/>
              </w:rPr>
            </w:pPr>
          </w:p>
        </w:tc>
        <w:tc>
          <w:tcPr>
            <w:tcW w:w="994" w:type="dxa"/>
          </w:tcPr>
          <w:p>
            <w:pPr>
              <w:pStyle w:val="TableParagraph"/>
              <w:rPr>
                <w:rFonts w:ascii="Times New Roman"/>
                <w:sz w:val="20"/>
              </w:rPr>
            </w:pPr>
          </w:p>
        </w:tc>
        <w:tc>
          <w:tcPr>
            <w:tcW w:w="1133" w:type="dxa"/>
          </w:tcPr>
          <w:p>
            <w:pPr>
              <w:pStyle w:val="TableParagraph"/>
              <w:rPr>
                <w:rFonts w:ascii="Times New Roman"/>
                <w:sz w:val="20"/>
              </w:rPr>
            </w:pPr>
          </w:p>
        </w:tc>
        <w:tc>
          <w:tcPr>
            <w:tcW w:w="1278" w:type="dxa"/>
          </w:tcPr>
          <w:p>
            <w:pPr>
              <w:pStyle w:val="TableParagraph"/>
              <w:rPr>
                <w:rFonts w:ascii="Times New Roman"/>
                <w:sz w:val="20"/>
              </w:rPr>
            </w:pPr>
          </w:p>
        </w:tc>
        <w:tc>
          <w:tcPr>
            <w:tcW w:w="1133" w:type="dxa"/>
          </w:tcPr>
          <w:p>
            <w:pPr>
              <w:pStyle w:val="TableParagraph"/>
              <w:rPr>
                <w:rFonts w:ascii="Times New Roman"/>
                <w:sz w:val="20"/>
              </w:rPr>
            </w:pPr>
          </w:p>
        </w:tc>
      </w:tr>
      <w:tr>
        <w:trPr>
          <w:trHeight w:val="618" w:hRule="atLeast"/>
        </w:trPr>
        <w:tc>
          <w:tcPr>
            <w:tcW w:w="852" w:type="dxa"/>
          </w:tcPr>
          <w:p>
            <w:pPr>
              <w:pStyle w:val="TableParagraph"/>
              <w:rPr>
                <w:rFonts w:ascii="Times New Roman"/>
                <w:sz w:val="20"/>
              </w:rPr>
            </w:pPr>
          </w:p>
        </w:tc>
        <w:tc>
          <w:tcPr>
            <w:tcW w:w="1700" w:type="dxa"/>
          </w:tcPr>
          <w:p>
            <w:pPr>
              <w:pStyle w:val="TableParagraph"/>
              <w:rPr>
                <w:rFonts w:ascii="Times New Roman"/>
                <w:sz w:val="20"/>
              </w:rPr>
            </w:pPr>
          </w:p>
        </w:tc>
        <w:tc>
          <w:tcPr>
            <w:tcW w:w="1419" w:type="dxa"/>
          </w:tcPr>
          <w:p>
            <w:pPr>
              <w:pStyle w:val="TableParagraph"/>
              <w:rPr>
                <w:rFonts w:ascii="Times New Roman"/>
                <w:sz w:val="20"/>
              </w:rPr>
            </w:pPr>
          </w:p>
        </w:tc>
        <w:tc>
          <w:tcPr>
            <w:tcW w:w="850" w:type="dxa"/>
          </w:tcPr>
          <w:p>
            <w:pPr>
              <w:pStyle w:val="TableParagraph"/>
              <w:rPr>
                <w:rFonts w:ascii="Times New Roman"/>
                <w:sz w:val="20"/>
              </w:rPr>
            </w:pPr>
          </w:p>
        </w:tc>
        <w:tc>
          <w:tcPr>
            <w:tcW w:w="994" w:type="dxa"/>
          </w:tcPr>
          <w:p>
            <w:pPr>
              <w:pStyle w:val="TableParagraph"/>
              <w:rPr>
                <w:rFonts w:ascii="Times New Roman"/>
                <w:sz w:val="20"/>
              </w:rPr>
            </w:pPr>
          </w:p>
        </w:tc>
        <w:tc>
          <w:tcPr>
            <w:tcW w:w="1133" w:type="dxa"/>
          </w:tcPr>
          <w:p>
            <w:pPr>
              <w:pStyle w:val="TableParagraph"/>
              <w:rPr>
                <w:rFonts w:ascii="Times New Roman"/>
                <w:sz w:val="20"/>
              </w:rPr>
            </w:pPr>
          </w:p>
        </w:tc>
        <w:tc>
          <w:tcPr>
            <w:tcW w:w="1278" w:type="dxa"/>
          </w:tcPr>
          <w:p>
            <w:pPr>
              <w:pStyle w:val="TableParagraph"/>
              <w:rPr>
                <w:rFonts w:ascii="Times New Roman"/>
                <w:sz w:val="20"/>
              </w:rPr>
            </w:pPr>
          </w:p>
        </w:tc>
        <w:tc>
          <w:tcPr>
            <w:tcW w:w="1133" w:type="dxa"/>
          </w:tcPr>
          <w:p>
            <w:pPr>
              <w:pStyle w:val="TableParagraph"/>
              <w:rPr>
                <w:rFonts w:ascii="Times New Roman"/>
                <w:sz w:val="20"/>
              </w:rPr>
            </w:pPr>
          </w:p>
        </w:tc>
      </w:tr>
      <w:tr>
        <w:trPr>
          <w:trHeight w:val="613" w:hRule="atLeast"/>
        </w:trPr>
        <w:tc>
          <w:tcPr>
            <w:tcW w:w="852" w:type="dxa"/>
          </w:tcPr>
          <w:p>
            <w:pPr>
              <w:pStyle w:val="TableParagraph"/>
              <w:rPr>
                <w:rFonts w:ascii="Times New Roman"/>
                <w:sz w:val="20"/>
              </w:rPr>
            </w:pPr>
          </w:p>
        </w:tc>
        <w:tc>
          <w:tcPr>
            <w:tcW w:w="1700" w:type="dxa"/>
          </w:tcPr>
          <w:p>
            <w:pPr>
              <w:pStyle w:val="TableParagraph"/>
              <w:rPr>
                <w:rFonts w:ascii="Times New Roman"/>
                <w:sz w:val="20"/>
              </w:rPr>
            </w:pPr>
          </w:p>
        </w:tc>
        <w:tc>
          <w:tcPr>
            <w:tcW w:w="1419" w:type="dxa"/>
          </w:tcPr>
          <w:p>
            <w:pPr>
              <w:pStyle w:val="TableParagraph"/>
              <w:rPr>
                <w:rFonts w:ascii="Times New Roman"/>
                <w:sz w:val="20"/>
              </w:rPr>
            </w:pPr>
          </w:p>
        </w:tc>
        <w:tc>
          <w:tcPr>
            <w:tcW w:w="850" w:type="dxa"/>
          </w:tcPr>
          <w:p>
            <w:pPr>
              <w:pStyle w:val="TableParagraph"/>
              <w:rPr>
                <w:rFonts w:ascii="Times New Roman"/>
                <w:sz w:val="20"/>
              </w:rPr>
            </w:pPr>
          </w:p>
        </w:tc>
        <w:tc>
          <w:tcPr>
            <w:tcW w:w="994" w:type="dxa"/>
          </w:tcPr>
          <w:p>
            <w:pPr>
              <w:pStyle w:val="TableParagraph"/>
              <w:rPr>
                <w:rFonts w:ascii="Times New Roman"/>
                <w:sz w:val="20"/>
              </w:rPr>
            </w:pPr>
          </w:p>
        </w:tc>
        <w:tc>
          <w:tcPr>
            <w:tcW w:w="1133" w:type="dxa"/>
          </w:tcPr>
          <w:p>
            <w:pPr>
              <w:pStyle w:val="TableParagraph"/>
              <w:rPr>
                <w:rFonts w:ascii="Times New Roman"/>
                <w:sz w:val="20"/>
              </w:rPr>
            </w:pPr>
          </w:p>
        </w:tc>
        <w:tc>
          <w:tcPr>
            <w:tcW w:w="1278" w:type="dxa"/>
          </w:tcPr>
          <w:p>
            <w:pPr>
              <w:pStyle w:val="TableParagraph"/>
              <w:rPr>
                <w:rFonts w:ascii="Times New Roman"/>
                <w:sz w:val="20"/>
              </w:rPr>
            </w:pPr>
          </w:p>
        </w:tc>
        <w:tc>
          <w:tcPr>
            <w:tcW w:w="1133" w:type="dxa"/>
          </w:tcPr>
          <w:p>
            <w:pPr>
              <w:pStyle w:val="TableParagraph"/>
              <w:rPr>
                <w:rFonts w:ascii="Times New Roman"/>
                <w:sz w:val="20"/>
              </w:rPr>
            </w:pPr>
          </w:p>
        </w:tc>
      </w:tr>
      <w:tr>
        <w:trPr>
          <w:trHeight w:val="613" w:hRule="atLeast"/>
        </w:trPr>
        <w:tc>
          <w:tcPr>
            <w:tcW w:w="852" w:type="dxa"/>
          </w:tcPr>
          <w:p>
            <w:pPr>
              <w:pStyle w:val="TableParagraph"/>
              <w:rPr>
                <w:rFonts w:ascii="Times New Roman"/>
                <w:sz w:val="20"/>
              </w:rPr>
            </w:pPr>
          </w:p>
        </w:tc>
        <w:tc>
          <w:tcPr>
            <w:tcW w:w="1700" w:type="dxa"/>
          </w:tcPr>
          <w:p>
            <w:pPr>
              <w:pStyle w:val="TableParagraph"/>
              <w:rPr>
                <w:rFonts w:ascii="Times New Roman"/>
                <w:sz w:val="20"/>
              </w:rPr>
            </w:pPr>
          </w:p>
        </w:tc>
        <w:tc>
          <w:tcPr>
            <w:tcW w:w="1419" w:type="dxa"/>
          </w:tcPr>
          <w:p>
            <w:pPr>
              <w:pStyle w:val="TableParagraph"/>
              <w:rPr>
                <w:rFonts w:ascii="Times New Roman"/>
                <w:sz w:val="20"/>
              </w:rPr>
            </w:pPr>
          </w:p>
        </w:tc>
        <w:tc>
          <w:tcPr>
            <w:tcW w:w="850" w:type="dxa"/>
          </w:tcPr>
          <w:p>
            <w:pPr>
              <w:pStyle w:val="TableParagraph"/>
              <w:rPr>
                <w:rFonts w:ascii="Times New Roman"/>
                <w:sz w:val="20"/>
              </w:rPr>
            </w:pPr>
          </w:p>
        </w:tc>
        <w:tc>
          <w:tcPr>
            <w:tcW w:w="994" w:type="dxa"/>
          </w:tcPr>
          <w:p>
            <w:pPr>
              <w:pStyle w:val="TableParagraph"/>
              <w:rPr>
                <w:rFonts w:ascii="Times New Roman"/>
                <w:sz w:val="20"/>
              </w:rPr>
            </w:pPr>
          </w:p>
        </w:tc>
        <w:tc>
          <w:tcPr>
            <w:tcW w:w="1133" w:type="dxa"/>
          </w:tcPr>
          <w:p>
            <w:pPr>
              <w:pStyle w:val="TableParagraph"/>
              <w:rPr>
                <w:rFonts w:ascii="Times New Roman"/>
                <w:sz w:val="20"/>
              </w:rPr>
            </w:pPr>
          </w:p>
        </w:tc>
        <w:tc>
          <w:tcPr>
            <w:tcW w:w="1278" w:type="dxa"/>
          </w:tcPr>
          <w:p>
            <w:pPr>
              <w:pStyle w:val="TableParagraph"/>
              <w:rPr>
                <w:rFonts w:ascii="Times New Roman"/>
                <w:sz w:val="20"/>
              </w:rPr>
            </w:pPr>
          </w:p>
        </w:tc>
        <w:tc>
          <w:tcPr>
            <w:tcW w:w="1133" w:type="dxa"/>
          </w:tcPr>
          <w:p>
            <w:pPr>
              <w:pStyle w:val="TableParagraph"/>
              <w:rPr>
                <w:rFonts w:ascii="Times New Roman"/>
                <w:sz w:val="20"/>
              </w:rPr>
            </w:pPr>
          </w:p>
        </w:tc>
      </w:tr>
      <w:tr>
        <w:trPr>
          <w:trHeight w:val="614" w:hRule="atLeast"/>
        </w:trPr>
        <w:tc>
          <w:tcPr>
            <w:tcW w:w="852" w:type="dxa"/>
          </w:tcPr>
          <w:p>
            <w:pPr>
              <w:pStyle w:val="TableParagraph"/>
              <w:rPr>
                <w:rFonts w:ascii="Times New Roman"/>
                <w:sz w:val="20"/>
              </w:rPr>
            </w:pPr>
          </w:p>
        </w:tc>
        <w:tc>
          <w:tcPr>
            <w:tcW w:w="1700" w:type="dxa"/>
          </w:tcPr>
          <w:p>
            <w:pPr>
              <w:pStyle w:val="TableParagraph"/>
              <w:rPr>
                <w:rFonts w:ascii="Times New Roman"/>
                <w:sz w:val="20"/>
              </w:rPr>
            </w:pPr>
          </w:p>
        </w:tc>
        <w:tc>
          <w:tcPr>
            <w:tcW w:w="1419" w:type="dxa"/>
          </w:tcPr>
          <w:p>
            <w:pPr>
              <w:pStyle w:val="TableParagraph"/>
              <w:rPr>
                <w:rFonts w:ascii="Times New Roman"/>
                <w:sz w:val="20"/>
              </w:rPr>
            </w:pPr>
          </w:p>
        </w:tc>
        <w:tc>
          <w:tcPr>
            <w:tcW w:w="850" w:type="dxa"/>
          </w:tcPr>
          <w:p>
            <w:pPr>
              <w:pStyle w:val="TableParagraph"/>
              <w:rPr>
                <w:rFonts w:ascii="Times New Roman"/>
                <w:sz w:val="20"/>
              </w:rPr>
            </w:pPr>
          </w:p>
        </w:tc>
        <w:tc>
          <w:tcPr>
            <w:tcW w:w="994" w:type="dxa"/>
          </w:tcPr>
          <w:p>
            <w:pPr>
              <w:pStyle w:val="TableParagraph"/>
              <w:rPr>
                <w:rFonts w:ascii="Times New Roman"/>
                <w:sz w:val="20"/>
              </w:rPr>
            </w:pPr>
          </w:p>
        </w:tc>
        <w:tc>
          <w:tcPr>
            <w:tcW w:w="1133" w:type="dxa"/>
          </w:tcPr>
          <w:p>
            <w:pPr>
              <w:pStyle w:val="TableParagraph"/>
              <w:rPr>
                <w:rFonts w:ascii="Times New Roman"/>
                <w:sz w:val="20"/>
              </w:rPr>
            </w:pPr>
          </w:p>
        </w:tc>
        <w:tc>
          <w:tcPr>
            <w:tcW w:w="1278" w:type="dxa"/>
          </w:tcPr>
          <w:p>
            <w:pPr>
              <w:pStyle w:val="TableParagraph"/>
              <w:rPr>
                <w:rFonts w:ascii="Times New Roman"/>
                <w:sz w:val="20"/>
              </w:rPr>
            </w:pPr>
          </w:p>
        </w:tc>
        <w:tc>
          <w:tcPr>
            <w:tcW w:w="1133" w:type="dxa"/>
          </w:tcPr>
          <w:p>
            <w:pPr>
              <w:pStyle w:val="TableParagraph"/>
              <w:rPr>
                <w:rFonts w:ascii="Times New Roman"/>
                <w:sz w:val="20"/>
              </w:rPr>
            </w:pPr>
          </w:p>
        </w:tc>
      </w:tr>
    </w:tbl>
    <w:p>
      <w:pPr>
        <w:pStyle w:val="BodyText"/>
        <w:spacing w:before="5"/>
        <w:ind w:left="0"/>
        <w:rPr>
          <w:rFonts w:ascii="Microsoft JhengHei"/>
          <w:b/>
          <w:sz w:val="9"/>
        </w:rPr>
      </w:pPr>
    </w:p>
    <w:p>
      <w:pPr>
        <w:pStyle w:val="BodyText"/>
        <w:spacing w:before="72"/>
      </w:pPr>
      <w:r>
        <w:rPr/>
        <w:t>备注：</w:t>
      </w:r>
    </w:p>
    <w:p>
      <w:pPr>
        <w:pStyle w:val="BodyText"/>
        <w:spacing w:line="244" w:lineRule="auto" w:before="3"/>
        <w:ind w:right="1154" w:firstLine="419"/>
      </w:pPr>
      <w:r>
        <w:rPr>
          <w:rFonts w:ascii="Times New Roman" w:eastAsia="Times New Roman"/>
        </w:rPr>
        <w:t>1</w:t>
      </w:r>
      <w:r>
        <w:rPr/>
        <w:t>、投标人应附上已录入广西建筑业企业诚信信息库的中标通知书（如有</w:t>
      </w:r>
      <w:r>
        <w:rPr>
          <w:spacing w:val="-106"/>
        </w:rPr>
        <w:t>）</w:t>
      </w:r>
      <w:r>
        <w:rPr>
          <w:spacing w:val="-3"/>
        </w:rPr>
        <w:t>、工程合同协议书有关页面、工程竣工验收证明材料的扫描件。以上扫描件均为原件的扫描件。</w:t>
      </w:r>
    </w:p>
    <w:p>
      <w:pPr>
        <w:pStyle w:val="BodyText"/>
        <w:spacing w:line="265" w:lineRule="exact"/>
        <w:ind w:left="1098"/>
      </w:pPr>
      <w:r>
        <w:rPr>
          <w:rFonts w:ascii="Times New Roman" w:eastAsia="Times New Roman"/>
        </w:rPr>
        <w:t>2</w:t>
      </w:r>
      <w:r>
        <w:rPr/>
        <w:t>、相关证明材料未通过广西建筑业企业诚信信息库审核的，在评审时不予承认。</w:t>
      </w:r>
    </w:p>
    <w:p>
      <w:pPr>
        <w:pStyle w:val="BodyText"/>
        <w:ind w:left="0"/>
        <w:rPr>
          <w:sz w:val="20"/>
        </w:rPr>
      </w:pPr>
    </w:p>
    <w:p>
      <w:pPr>
        <w:pStyle w:val="Heading8"/>
        <w:tabs>
          <w:tab w:pos="1625" w:val="left" w:leader="none"/>
          <w:tab w:pos="2151" w:val="left" w:leader="none"/>
        </w:tabs>
        <w:ind w:left="678" w:firstLine="0"/>
      </w:pPr>
      <w:r>
        <w:rPr/>
        <w:pict>
          <v:shape style="position:absolute;margin-left:72.503998pt;margin-top:16.965839pt;width:468.6pt;height:200.55pt;mso-position-horizontal-relative:page;mso-position-vertical-relative:paragraph;z-index:25181081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1700"/>
                    <w:gridCol w:w="1419"/>
                    <w:gridCol w:w="850"/>
                    <w:gridCol w:w="994"/>
                    <w:gridCol w:w="1133"/>
                    <w:gridCol w:w="1278"/>
                    <w:gridCol w:w="1133"/>
                  </w:tblGrid>
                  <w:tr>
                    <w:trPr>
                      <w:trHeight w:val="866" w:hRule="atLeast"/>
                    </w:trPr>
                    <w:tc>
                      <w:tcPr>
                        <w:tcW w:w="852" w:type="dxa"/>
                      </w:tcPr>
                      <w:p>
                        <w:pPr>
                          <w:pStyle w:val="TableParagraph"/>
                          <w:spacing w:before="11"/>
                          <w:rPr>
                            <w:rFonts w:ascii="Times New Roman"/>
                            <w:sz w:val="25"/>
                          </w:rPr>
                        </w:pPr>
                      </w:p>
                      <w:p>
                        <w:pPr>
                          <w:pStyle w:val="TableParagraph"/>
                          <w:ind w:left="215"/>
                          <w:rPr>
                            <w:sz w:val="21"/>
                          </w:rPr>
                        </w:pPr>
                        <w:r>
                          <w:rPr>
                            <w:sz w:val="21"/>
                          </w:rPr>
                          <w:t>序号</w:t>
                        </w:r>
                      </w:p>
                    </w:tc>
                    <w:tc>
                      <w:tcPr>
                        <w:tcW w:w="1700" w:type="dxa"/>
                      </w:tcPr>
                      <w:p>
                        <w:pPr>
                          <w:pStyle w:val="TableParagraph"/>
                          <w:spacing w:before="11"/>
                          <w:rPr>
                            <w:rFonts w:ascii="Times New Roman"/>
                            <w:sz w:val="25"/>
                          </w:rPr>
                        </w:pPr>
                      </w:p>
                      <w:p>
                        <w:pPr>
                          <w:pStyle w:val="TableParagraph"/>
                          <w:ind w:left="321"/>
                          <w:rPr>
                            <w:sz w:val="21"/>
                          </w:rPr>
                        </w:pPr>
                        <w:r>
                          <w:rPr>
                            <w:sz w:val="21"/>
                          </w:rPr>
                          <w:t>发包人名称</w:t>
                        </w:r>
                      </w:p>
                    </w:tc>
                    <w:tc>
                      <w:tcPr>
                        <w:tcW w:w="1419" w:type="dxa"/>
                      </w:tcPr>
                      <w:p>
                        <w:pPr>
                          <w:pStyle w:val="TableParagraph"/>
                          <w:spacing w:line="244" w:lineRule="auto" w:before="161"/>
                          <w:ind w:left="181" w:right="171" w:firstLine="105"/>
                          <w:rPr>
                            <w:sz w:val="21"/>
                          </w:rPr>
                        </w:pPr>
                        <w:r>
                          <w:rPr>
                            <w:sz w:val="21"/>
                          </w:rPr>
                          <w:t>工程名称及建设地点</w:t>
                        </w:r>
                      </w:p>
                    </w:tc>
                    <w:tc>
                      <w:tcPr>
                        <w:tcW w:w="850" w:type="dxa"/>
                      </w:tcPr>
                      <w:p>
                        <w:pPr>
                          <w:pStyle w:val="TableParagraph"/>
                          <w:spacing w:line="244" w:lineRule="auto" w:before="161"/>
                          <w:ind w:left="214" w:right="200"/>
                          <w:rPr>
                            <w:sz w:val="21"/>
                          </w:rPr>
                        </w:pPr>
                        <w:r>
                          <w:rPr>
                            <w:sz w:val="21"/>
                          </w:rPr>
                          <w:t>结构类型</w:t>
                        </w:r>
                      </w:p>
                    </w:tc>
                    <w:tc>
                      <w:tcPr>
                        <w:tcW w:w="994" w:type="dxa"/>
                      </w:tcPr>
                      <w:p>
                        <w:pPr>
                          <w:pStyle w:val="TableParagraph"/>
                          <w:spacing w:line="244" w:lineRule="auto" w:before="161"/>
                          <w:ind w:left="284" w:right="275"/>
                          <w:rPr>
                            <w:sz w:val="21"/>
                          </w:rPr>
                        </w:pPr>
                        <w:r>
                          <w:rPr>
                            <w:sz w:val="21"/>
                          </w:rPr>
                          <w:t>建设规模</w:t>
                        </w:r>
                      </w:p>
                    </w:tc>
                    <w:tc>
                      <w:tcPr>
                        <w:tcW w:w="1133" w:type="dxa"/>
                      </w:tcPr>
                      <w:p>
                        <w:pPr>
                          <w:pStyle w:val="TableParagraph"/>
                          <w:spacing w:before="161"/>
                          <w:ind w:left="142"/>
                          <w:rPr>
                            <w:sz w:val="21"/>
                          </w:rPr>
                        </w:pPr>
                        <w:r>
                          <w:rPr>
                            <w:spacing w:val="-1"/>
                            <w:sz w:val="21"/>
                          </w:rPr>
                          <w:t>合同金额</w:t>
                        </w:r>
                      </w:p>
                      <w:p>
                        <w:pPr>
                          <w:pStyle w:val="TableParagraph"/>
                          <w:spacing w:before="5"/>
                          <w:ind w:left="142"/>
                          <w:rPr>
                            <w:sz w:val="21"/>
                          </w:rPr>
                        </w:pPr>
                        <w:r>
                          <w:rPr>
                            <w:sz w:val="21"/>
                          </w:rPr>
                          <w:t>（</w:t>
                        </w:r>
                        <w:r>
                          <w:rPr>
                            <w:spacing w:val="-2"/>
                            <w:sz w:val="21"/>
                          </w:rPr>
                          <w:t>万元</w:t>
                        </w:r>
                        <w:r>
                          <w:rPr>
                            <w:sz w:val="21"/>
                          </w:rPr>
                          <w:t>）</w:t>
                        </w:r>
                      </w:p>
                    </w:tc>
                    <w:tc>
                      <w:tcPr>
                        <w:tcW w:w="1278" w:type="dxa"/>
                      </w:tcPr>
                      <w:p>
                        <w:pPr>
                          <w:pStyle w:val="TableParagraph"/>
                          <w:spacing w:before="11"/>
                          <w:rPr>
                            <w:rFonts w:ascii="Times New Roman"/>
                            <w:sz w:val="25"/>
                          </w:rPr>
                        </w:pPr>
                      </w:p>
                      <w:p>
                        <w:pPr>
                          <w:pStyle w:val="TableParagraph"/>
                          <w:ind w:left="216"/>
                          <w:rPr>
                            <w:sz w:val="21"/>
                          </w:rPr>
                        </w:pPr>
                        <w:r>
                          <w:rPr>
                            <w:sz w:val="21"/>
                          </w:rPr>
                          <w:t>开工日期</w:t>
                        </w:r>
                      </w:p>
                    </w:tc>
                    <w:tc>
                      <w:tcPr>
                        <w:tcW w:w="1133" w:type="dxa"/>
                      </w:tcPr>
                      <w:p>
                        <w:pPr>
                          <w:pStyle w:val="TableParagraph"/>
                          <w:spacing w:line="244" w:lineRule="auto" w:before="161"/>
                          <w:ind w:left="352" w:right="134" w:hanging="209"/>
                          <w:rPr>
                            <w:sz w:val="21"/>
                          </w:rPr>
                        </w:pPr>
                        <w:r>
                          <w:rPr>
                            <w:sz w:val="21"/>
                          </w:rPr>
                          <w:t>计划竣工日期</w:t>
                        </w:r>
                      </w:p>
                    </w:tc>
                  </w:tr>
                  <w:tr>
                    <w:trPr>
                      <w:trHeight w:val="613" w:hRule="atLeast"/>
                    </w:trPr>
                    <w:tc>
                      <w:tcPr>
                        <w:tcW w:w="852" w:type="dxa"/>
                      </w:tcPr>
                      <w:p>
                        <w:pPr>
                          <w:pStyle w:val="TableParagraph"/>
                          <w:rPr>
                            <w:rFonts w:ascii="Times New Roman"/>
                            <w:sz w:val="20"/>
                          </w:rPr>
                        </w:pPr>
                      </w:p>
                    </w:tc>
                    <w:tc>
                      <w:tcPr>
                        <w:tcW w:w="1700" w:type="dxa"/>
                      </w:tcPr>
                      <w:p>
                        <w:pPr>
                          <w:pStyle w:val="TableParagraph"/>
                          <w:rPr>
                            <w:rFonts w:ascii="Times New Roman"/>
                            <w:sz w:val="20"/>
                          </w:rPr>
                        </w:pPr>
                      </w:p>
                    </w:tc>
                    <w:tc>
                      <w:tcPr>
                        <w:tcW w:w="1419" w:type="dxa"/>
                      </w:tcPr>
                      <w:p>
                        <w:pPr>
                          <w:pStyle w:val="TableParagraph"/>
                          <w:rPr>
                            <w:rFonts w:ascii="Times New Roman"/>
                            <w:sz w:val="20"/>
                          </w:rPr>
                        </w:pPr>
                      </w:p>
                    </w:tc>
                    <w:tc>
                      <w:tcPr>
                        <w:tcW w:w="850" w:type="dxa"/>
                      </w:tcPr>
                      <w:p>
                        <w:pPr>
                          <w:pStyle w:val="TableParagraph"/>
                          <w:rPr>
                            <w:rFonts w:ascii="Times New Roman"/>
                            <w:sz w:val="20"/>
                          </w:rPr>
                        </w:pPr>
                      </w:p>
                    </w:tc>
                    <w:tc>
                      <w:tcPr>
                        <w:tcW w:w="994" w:type="dxa"/>
                      </w:tcPr>
                      <w:p>
                        <w:pPr>
                          <w:pStyle w:val="TableParagraph"/>
                          <w:rPr>
                            <w:rFonts w:ascii="Times New Roman"/>
                            <w:sz w:val="20"/>
                          </w:rPr>
                        </w:pPr>
                      </w:p>
                    </w:tc>
                    <w:tc>
                      <w:tcPr>
                        <w:tcW w:w="1133" w:type="dxa"/>
                      </w:tcPr>
                      <w:p>
                        <w:pPr>
                          <w:pStyle w:val="TableParagraph"/>
                          <w:rPr>
                            <w:rFonts w:ascii="Times New Roman"/>
                            <w:sz w:val="20"/>
                          </w:rPr>
                        </w:pPr>
                      </w:p>
                    </w:tc>
                    <w:tc>
                      <w:tcPr>
                        <w:tcW w:w="1278" w:type="dxa"/>
                      </w:tcPr>
                      <w:p>
                        <w:pPr>
                          <w:pStyle w:val="TableParagraph"/>
                          <w:rPr>
                            <w:rFonts w:ascii="Times New Roman"/>
                            <w:sz w:val="20"/>
                          </w:rPr>
                        </w:pPr>
                      </w:p>
                    </w:tc>
                    <w:tc>
                      <w:tcPr>
                        <w:tcW w:w="1133" w:type="dxa"/>
                      </w:tcPr>
                      <w:p>
                        <w:pPr>
                          <w:pStyle w:val="TableParagraph"/>
                          <w:rPr>
                            <w:rFonts w:ascii="Times New Roman"/>
                            <w:sz w:val="20"/>
                          </w:rPr>
                        </w:pPr>
                      </w:p>
                    </w:tc>
                  </w:tr>
                  <w:tr>
                    <w:trPr>
                      <w:trHeight w:val="619" w:hRule="atLeast"/>
                    </w:trPr>
                    <w:tc>
                      <w:tcPr>
                        <w:tcW w:w="852" w:type="dxa"/>
                      </w:tcPr>
                      <w:p>
                        <w:pPr>
                          <w:pStyle w:val="TableParagraph"/>
                          <w:rPr>
                            <w:rFonts w:ascii="Times New Roman"/>
                            <w:sz w:val="20"/>
                          </w:rPr>
                        </w:pPr>
                      </w:p>
                    </w:tc>
                    <w:tc>
                      <w:tcPr>
                        <w:tcW w:w="1700" w:type="dxa"/>
                      </w:tcPr>
                      <w:p>
                        <w:pPr>
                          <w:pStyle w:val="TableParagraph"/>
                          <w:rPr>
                            <w:rFonts w:ascii="Times New Roman"/>
                            <w:sz w:val="20"/>
                          </w:rPr>
                        </w:pPr>
                      </w:p>
                    </w:tc>
                    <w:tc>
                      <w:tcPr>
                        <w:tcW w:w="1419" w:type="dxa"/>
                      </w:tcPr>
                      <w:p>
                        <w:pPr>
                          <w:pStyle w:val="TableParagraph"/>
                          <w:rPr>
                            <w:rFonts w:ascii="Times New Roman"/>
                            <w:sz w:val="20"/>
                          </w:rPr>
                        </w:pPr>
                      </w:p>
                    </w:tc>
                    <w:tc>
                      <w:tcPr>
                        <w:tcW w:w="850" w:type="dxa"/>
                      </w:tcPr>
                      <w:p>
                        <w:pPr>
                          <w:pStyle w:val="TableParagraph"/>
                          <w:rPr>
                            <w:rFonts w:ascii="Times New Roman"/>
                            <w:sz w:val="20"/>
                          </w:rPr>
                        </w:pPr>
                      </w:p>
                    </w:tc>
                    <w:tc>
                      <w:tcPr>
                        <w:tcW w:w="994" w:type="dxa"/>
                      </w:tcPr>
                      <w:p>
                        <w:pPr>
                          <w:pStyle w:val="TableParagraph"/>
                          <w:rPr>
                            <w:rFonts w:ascii="Times New Roman"/>
                            <w:sz w:val="20"/>
                          </w:rPr>
                        </w:pPr>
                      </w:p>
                    </w:tc>
                    <w:tc>
                      <w:tcPr>
                        <w:tcW w:w="1133" w:type="dxa"/>
                      </w:tcPr>
                      <w:p>
                        <w:pPr>
                          <w:pStyle w:val="TableParagraph"/>
                          <w:rPr>
                            <w:rFonts w:ascii="Times New Roman"/>
                            <w:sz w:val="20"/>
                          </w:rPr>
                        </w:pPr>
                      </w:p>
                    </w:tc>
                    <w:tc>
                      <w:tcPr>
                        <w:tcW w:w="1278" w:type="dxa"/>
                      </w:tcPr>
                      <w:p>
                        <w:pPr>
                          <w:pStyle w:val="TableParagraph"/>
                          <w:rPr>
                            <w:rFonts w:ascii="Times New Roman"/>
                            <w:sz w:val="20"/>
                          </w:rPr>
                        </w:pPr>
                      </w:p>
                    </w:tc>
                    <w:tc>
                      <w:tcPr>
                        <w:tcW w:w="1133" w:type="dxa"/>
                      </w:tcPr>
                      <w:p>
                        <w:pPr>
                          <w:pStyle w:val="TableParagraph"/>
                          <w:rPr>
                            <w:rFonts w:ascii="Times New Roman"/>
                            <w:sz w:val="20"/>
                          </w:rPr>
                        </w:pPr>
                      </w:p>
                    </w:tc>
                  </w:tr>
                  <w:tr>
                    <w:trPr>
                      <w:trHeight w:val="613" w:hRule="atLeast"/>
                    </w:trPr>
                    <w:tc>
                      <w:tcPr>
                        <w:tcW w:w="852" w:type="dxa"/>
                      </w:tcPr>
                      <w:p>
                        <w:pPr>
                          <w:pStyle w:val="TableParagraph"/>
                          <w:rPr>
                            <w:rFonts w:ascii="Times New Roman"/>
                            <w:sz w:val="20"/>
                          </w:rPr>
                        </w:pPr>
                      </w:p>
                    </w:tc>
                    <w:tc>
                      <w:tcPr>
                        <w:tcW w:w="1700" w:type="dxa"/>
                      </w:tcPr>
                      <w:p>
                        <w:pPr>
                          <w:pStyle w:val="TableParagraph"/>
                          <w:rPr>
                            <w:rFonts w:ascii="Times New Roman"/>
                            <w:sz w:val="20"/>
                          </w:rPr>
                        </w:pPr>
                      </w:p>
                    </w:tc>
                    <w:tc>
                      <w:tcPr>
                        <w:tcW w:w="1419" w:type="dxa"/>
                      </w:tcPr>
                      <w:p>
                        <w:pPr>
                          <w:pStyle w:val="TableParagraph"/>
                          <w:rPr>
                            <w:rFonts w:ascii="Times New Roman"/>
                            <w:sz w:val="20"/>
                          </w:rPr>
                        </w:pPr>
                      </w:p>
                    </w:tc>
                    <w:tc>
                      <w:tcPr>
                        <w:tcW w:w="850" w:type="dxa"/>
                      </w:tcPr>
                      <w:p>
                        <w:pPr>
                          <w:pStyle w:val="TableParagraph"/>
                          <w:rPr>
                            <w:rFonts w:ascii="Times New Roman"/>
                            <w:sz w:val="20"/>
                          </w:rPr>
                        </w:pPr>
                      </w:p>
                    </w:tc>
                    <w:tc>
                      <w:tcPr>
                        <w:tcW w:w="994" w:type="dxa"/>
                      </w:tcPr>
                      <w:p>
                        <w:pPr>
                          <w:pStyle w:val="TableParagraph"/>
                          <w:rPr>
                            <w:rFonts w:ascii="Times New Roman"/>
                            <w:sz w:val="20"/>
                          </w:rPr>
                        </w:pPr>
                      </w:p>
                    </w:tc>
                    <w:tc>
                      <w:tcPr>
                        <w:tcW w:w="1133" w:type="dxa"/>
                      </w:tcPr>
                      <w:p>
                        <w:pPr>
                          <w:pStyle w:val="TableParagraph"/>
                          <w:rPr>
                            <w:rFonts w:ascii="Times New Roman"/>
                            <w:sz w:val="20"/>
                          </w:rPr>
                        </w:pPr>
                      </w:p>
                    </w:tc>
                    <w:tc>
                      <w:tcPr>
                        <w:tcW w:w="1278" w:type="dxa"/>
                      </w:tcPr>
                      <w:p>
                        <w:pPr>
                          <w:pStyle w:val="TableParagraph"/>
                          <w:rPr>
                            <w:rFonts w:ascii="Times New Roman"/>
                            <w:sz w:val="20"/>
                          </w:rPr>
                        </w:pPr>
                      </w:p>
                    </w:tc>
                    <w:tc>
                      <w:tcPr>
                        <w:tcW w:w="1133" w:type="dxa"/>
                      </w:tcPr>
                      <w:p>
                        <w:pPr>
                          <w:pStyle w:val="TableParagraph"/>
                          <w:rPr>
                            <w:rFonts w:ascii="Times New Roman"/>
                            <w:sz w:val="20"/>
                          </w:rPr>
                        </w:pPr>
                      </w:p>
                    </w:tc>
                  </w:tr>
                  <w:tr>
                    <w:trPr>
                      <w:trHeight w:val="614" w:hRule="atLeast"/>
                    </w:trPr>
                    <w:tc>
                      <w:tcPr>
                        <w:tcW w:w="852" w:type="dxa"/>
                      </w:tcPr>
                      <w:p>
                        <w:pPr>
                          <w:pStyle w:val="TableParagraph"/>
                          <w:rPr>
                            <w:rFonts w:ascii="Times New Roman"/>
                            <w:sz w:val="20"/>
                          </w:rPr>
                        </w:pPr>
                      </w:p>
                    </w:tc>
                    <w:tc>
                      <w:tcPr>
                        <w:tcW w:w="1700" w:type="dxa"/>
                      </w:tcPr>
                      <w:p>
                        <w:pPr>
                          <w:pStyle w:val="TableParagraph"/>
                          <w:rPr>
                            <w:rFonts w:ascii="Times New Roman"/>
                            <w:sz w:val="20"/>
                          </w:rPr>
                        </w:pPr>
                      </w:p>
                    </w:tc>
                    <w:tc>
                      <w:tcPr>
                        <w:tcW w:w="1419" w:type="dxa"/>
                      </w:tcPr>
                      <w:p>
                        <w:pPr>
                          <w:pStyle w:val="TableParagraph"/>
                          <w:rPr>
                            <w:rFonts w:ascii="Times New Roman"/>
                            <w:sz w:val="20"/>
                          </w:rPr>
                        </w:pPr>
                      </w:p>
                    </w:tc>
                    <w:tc>
                      <w:tcPr>
                        <w:tcW w:w="850" w:type="dxa"/>
                      </w:tcPr>
                      <w:p>
                        <w:pPr>
                          <w:pStyle w:val="TableParagraph"/>
                          <w:rPr>
                            <w:rFonts w:ascii="Times New Roman"/>
                            <w:sz w:val="20"/>
                          </w:rPr>
                        </w:pPr>
                      </w:p>
                    </w:tc>
                    <w:tc>
                      <w:tcPr>
                        <w:tcW w:w="994" w:type="dxa"/>
                      </w:tcPr>
                      <w:p>
                        <w:pPr>
                          <w:pStyle w:val="TableParagraph"/>
                          <w:rPr>
                            <w:rFonts w:ascii="Times New Roman"/>
                            <w:sz w:val="20"/>
                          </w:rPr>
                        </w:pPr>
                      </w:p>
                    </w:tc>
                    <w:tc>
                      <w:tcPr>
                        <w:tcW w:w="1133" w:type="dxa"/>
                      </w:tcPr>
                      <w:p>
                        <w:pPr>
                          <w:pStyle w:val="TableParagraph"/>
                          <w:rPr>
                            <w:rFonts w:ascii="Times New Roman"/>
                            <w:sz w:val="20"/>
                          </w:rPr>
                        </w:pPr>
                      </w:p>
                    </w:tc>
                    <w:tc>
                      <w:tcPr>
                        <w:tcW w:w="1278" w:type="dxa"/>
                      </w:tcPr>
                      <w:p>
                        <w:pPr>
                          <w:pStyle w:val="TableParagraph"/>
                          <w:rPr>
                            <w:rFonts w:ascii="Times New Roman"/>
                            <w:sz w:val="20"/>
                          </w:rPr>
                        </w:pPr>
                      </w:p>
                    </w:tc>
                    <w:tc>
                      <w:tcPr>
                        <w:tcW w:w="1133" w:type="dxa"/>
                      </w:tcPr>
                      <w:p>
                        <w:pPr>
                          <w:pStyle w:val="TableParagraph"/>
                          <w:rPr>
                            <w:rFonts w:ascii="Times New Roman"/>
                            <w:sz w:val="20"/>
                          </w:rPr>
                        </w:pPr>
                      </w:p>
                    </w:tc>
                  </w:tr>
                  <w:tr>
                    <w:trPr>
                      <w:trHeight w:val="613" w:hRule="atLeast"/>
                    </w:trPr>
                    <w:tc>
                      <w:tcPr>
                        <w:tcW w:w="852" w:type="dxa"/>
                      </w:tcPr>
                      <w:p>
                        <w:pPr>
                          <w:pStyle w:val="TableParagraph"/>
                          <w:rPr>
                            <w:rFonts w:ascii="Times New Roman"/>
                            <w:sz w:val="20"/>
                          </w:rPr>
                        </w:pPr>
                      </w:p>
                    </w:tc>
                    <w:tc>
                      <w:tcPr>
                        <w:tcW w:w="1700" w:type="dxa"/>
                      </w:tcPr>
                      <w:p>
                        <w:pPr>
                          <w:pStyle w:val="TableParagraph"/>
                          <w:rPr>
                            <w:rFonts w:ascii="Times New Roman"/>
                            <w:sz w:val="20"/>
                          </w:rPr>
                        </w:pPr>
                      </w:p>
                    </w:tc>
                    <w:tc>
                      <w:tcPr>
                        <w:tcW w:w="1419" w:type="dxa"/>
                      </w:tcPr>
                      <w:p>
                        <w:pPr>
                          <w:pStyle w:val="TableParagraph"/>
                          <w:rPr>
                            <w:rFonts w:ascii="Times New Roman"/>
                            <w:sz w:val="20"/>
                          </w:rPr>
                        </w:pPr>
                      </w:p>
                    </w:tc>
                    <w:tc>
                      <w:tcPr>
                        <w:tcW w:w="850" w:type="dxa"/>
                      </w:tcPr>
                      <w:p>
                        <w:pPr>
                          <w:pStyle w:val="TableParagraph"/>
                          <w:rPr>
                            <w:rFonts w:ascii="Times New Roman"/>
                            <w:sz w:val="20"/>
                          </w:rPr>
                        </w:pPr>
                      </w:p>
                    </w:tc>
                    <w:tc>
                      <w:tcPr>
                        <w:tcW w:w="994" w:type="dxa"/>
                      </w:tcPr>
                      <w:p>
                        <w:pPr>
                          <w:pStyle w:val="TableParagraph"/>
                          <w:rPr>
                            <w:rFonts w:ascii="Times New Roman"/>
                            <w:sz w:val="20"/>
                          </w:rPr>
                        </w:pPr>
                      </w:p>
                    </w:tc>
                    <w:tc>
                      <w:tcPr>
                        <w:tcW w:w="1133" w:type="dxa"/>
                      </w:tcPr>
                      <w:p>
                        <w:pPr>
                          <w:pStyle w:val="TableParagraph"/>
                          <w:rPr>
                            <w:rFonts w:ascii="Times New Roman"/>
                            <w:sz w:val="20"/>
                          </w:rPr>
                        </w:pPr>
                      </w:p>
                    </w:tc>
                    <w:tc>
                      <w:tcPr>
                        <w:tcW w:w="1278" w:type="dxa"/>
                      </w:tcPr>
                      <w:p>
                        <w:pPr>
                          <w:pStyle w:val="TableParagraph"/>
                          <w:rPr>
                            <w:rFonts w:ascii="Times New Roman"/>
                            <w:sz w:val="20"/>
                          </w:rPr>
                        </w:pPr>
                      </w:p>
                    </w:tc>
                    <w:tc>
                      <w:tcPr>
                        <w:tcW w:w="1133" w:type="dxa"/>
                      </w:tcPr>
                      <w:p>
                        <w:pPr>
                          <w:pStyle w:val="TableParagraph"/>
                          <w:rPr>
                            <w:rFonts w:ascii="Times New Roman"/>
                            <w:sz w:val="20"/>
                          </w:rPr>
                        </w:pPr>
                      </w:p>
                    </w:tc>
                  </w:tr>
                </w:tbl>
                <w:p>
                  <w:pPr>
                    <w:pStyle w:val="BodyText"/>
                    <w:ind w:left="0"/>
                  </w:pPr>
                </w:p>
              </w:txbxContent>
            </v:textbox>
            <w10:wrap type="none"/>
          </v:shape>
        </w:pict>
      </w:r>
      <w:r>
        <w:rPr/>
        <w:t>或企业</w:t>
      </w:r>
      <w:r>
        <w:rPr>
          <w:u w:val="single"/>
        </w:rPr>
        <w:t> </w:t>
        <w:tab/>
      </w:r>
      <w:r>
        <w:rPr/>
        <w:t>年</w:t>
      </w:r>
      <w:r>
        <w:rPr>
          <w:u w:val="single"/>
        </w:rPr>
        <w:t> </w:t>
        <w:tab/>
      </w:r>
      <w:r>
        <w:rPr/>
        <w:t>月至投</w:t>
      </w:r>
      <w:r>
        <w:rPr>
          <w:spacing w:val="-3"/>
        </w:rPr>
        <w:t>标</w:t>
      </w:r>
      <w:r>
        <w:rPr/>
        <w:t>截止日期止（一般</w:t>
      </w:r>
      <w:r>
        <w:rPr>
          <w:spacing w:val="-3"/>
        </w:rPr>
        <w:t>为</w:t>
      </w:r>
      <w:r>
        <w:rPr/>
        <w:t>近</w:t>
      </w:r>
      <w:r>
        <w:rPr>
          <w:spacing w:val="-3"/>
        </w:rPr>
        <w:t>三</w:t>
      </w:r>
      <w:r>
        <w:rPr/>
        <w:t>年）以来在建类似</w:t>
      </w:r>
      <w:r>
        <w:rPr>
          <w:spacing w:val="-3"/>
        </w:rPr>
        <w:t>工</w:t>
      </w:r>
      <w:r>
        <w:rPr/>
        <w:t>程</w:t>
      </w:r>
      <w:r>
        <w:rPr>
          <w:spacing w:val="-3"/>
        </w:rPr>
        <w:t>一</w:t>
      </w:r>
      <w:r>
        <w:rPr/>
        <w:t>览表</w:t>
      </w:r>
    </w:p>
    <w:p>
      <w:pPr>
        <w:pStyle w:val="BodyText"/>
        <w:ind w:left="0"/>
        <w:rPr>
          <w:rFonts w:ascii="Microsoft JhengHei"/>
          <w:b/>
          <w:sz w:val="22"/>
        </w:rPr>
      </w:pPr>
    </w:p>
    <w:p>
      <w:pPr>
        <w:pStyle w:val="BodyText"/>
        <w:ind w:left="0"/>
        <w:rPr>
          <w:rFonts w:ascii="Microsoft JhengHei"/>
          <w:b/>
          <w:sz w:val="22"/>
        </w:rPr>
      </w:pPr>
    </w:p>
    <w:p>
      <w:pPr>
        <w:pStyle w:val="BodyText"/>
        <w:ind w:left="0"/>
        <w:rPr>
          <w:rFonts w:ascii="Microsoft JhengHei"/>
          <w:b/>
          <w:sz w:val="22"/>
        </w:rPr>
      </w:pPr>
    </w:p>
    <w:p>
      <w:pPr>
        <w:pStyle w:val="BodyText"/>
        <w:ind w:left="0"/>
        <w:rPr>
          <w:rFonts w:ascii="Microsoft JhengHei"/>
          <w:b/>
          <w:sz w:val="22"/>
        </w:rPr>
      </w:pPr>
    </w:p>
    <w:p>
      <w:pPr>
        <w:pStyle w:val="BodyText"/>
        <w:ind w:left="0"/>
        <w:rPr>
          <w:rFonts w:ascii="Microsoft JhengHei"/>
          <w:b/>
          <w:sz w:val="22"/>
        </w:rPr>
      </w:pPr>
    </w:p>
    <w:p>
      <w:pPr>
        <w:pStyle w:val="BodyText"/>
        <w:ind w:left="0"/>
        <w:rPr>
          <w:rFonts w:ascii="Microsoft JhengHei"/>
          <w:b/>
          <w:sz w:val="22"/>
        </w:rPr>
      </w:pPr>
    </w:p>
    <w:p>
      <w:pPr>
        <w:pStyle w:val="BodyText"/>
        <w:ind w:left="0"/>
        <w:rPr>
          <w:rFonts w:ascii="Microsoft JhengHei"/>
          <w:b/>
          <w:sz w:val="22"/>
        </w:rPr>
      </w:pPr>
    </w:p>
    <w:p>
      <w:pPr>
        <w:pStyle w:val="BodyText"/>
        <w:ind w:left="0"/>
        <w:rPr>
          <w:rFonts w:ascii="Microsoft JhengHei"/>
          <w:b/>
          <w:sz w:val="22"/>
        </w:rPr>
      </w:pPr>
    </w:p>
    <w:p>
      <w:pPr>
        <w:pStyle w:val="BodyText"/>
        <w:ind w:left="0"/>
        <w:rPr>
          <w:rFonts w:ascii="Microsoft JhengHei"/>
          <w:b/>
          <w:sz w:val="22"/>
        </w:rPr>
      </w:pPr>
    </w:p>
    <w:p>
      <w:pPr>
        <w:pStyle w:val="BodyText"/>
        <w:ind w:left="0"/>
        <w:rPr>
          <w:rFonts w:ascii="Microsoft JhengHei"/>
          <w:b/>
          <w:sz w:val="22"/>
        </w:rPr>
      </w:pPr>
    </w:p>
    <w:p>
      <w:pPr>
        <w:pStyle w:val="BodyText"/>
        <w:spacing w:before="3"/>
        <w:ind w:left="0"/>
        <w:rPr>
          <w:rFonts w:ascii="Microsoft JhengHei"/>
          <w:b/>
          <w:sz w:val="26"/>
        </w:rPr>
      </w:pPr>
    </w:p>
    <w:p>
      <w:pPr>
        <w:pStyle w:val="BodyText"/>
      </w:pPr>
      <w:r>
        <w:rPr/>
        <w:t>备注：</w:t>
      </w:r>
    </w:p>
    <w:p>
      <w:pPr>
        <w:pStyle w:val="BodyText"/>
        <w:spacing w:line="242" w:lineRule="auto" w:before="5"/>
        <w:ind w:right="1153" w:firstLine="419"/>
        <w:jc w:val="both"/>
      </w:pPr>
      <w:r>
        <w:rPr/>
        <w:t>附：如招标人选择接受在建工程作为业绩的，投标人应在投标文件组成的“业绩（</w:t>
      </w:r>
      <w:r>
        <w:rPr>
          <w:spacing w:val="-5"/>
        </w:rPr>
        <w:t>在建工</w:t>
      </w:r>
      <w:r>
        <w:rPr>
          <w:w w:val="100"/>
        </w:rPr>
        <w:t>程</w:t>
      </w:r>
      <w:r>
        <w:rPr>
          <w:spacing w:val="-106"/>
          <w:w w:val="100"/>
        </w:rPr>
        <w:t>）</w:t>
      </w:r>
      <w:r>
        <w:rPr>
          <w:spacing w:val="-7"/>
          <w:w w:val="100"/>
        </w:rPr>
        <w:t>”节点上传相关证明材料的原件扫描件，内容包括：中标</w:t>
      </w:r>
      <w:r>
        <w:rPr>
          <w:w w:val="100"/>
        </w:rPr>
        <w:t>（</w:t>
      </w:r>
      <w:r>
        <w:rPr>
          <w:spacing w:val="-2"/>
          <w:w w:val="100"/>
        </w:rPr>
        <w:t>发包</w:t>
      </w:r>
      <w:r>
        <w:rPr>
          <w:spacing w:val="-10"/>
          <w:w w:val="100"/>
        </w:rPr>
        <w:t>）</w:t>
      </w:r>
      <w:r>
        <w:rPr>
          <w:spacing w:val="-5"/>
          <w:w w:val="100"/>
        </w:rPr>
        <w:t>通知书、工程合同协议书</w:t>
      </w:r>
      <w:r>
        <w:rPr>
          <w:spacing w:val="-4"/>
        </w:rPr>
        <w:t>有关页面等。</w:t>
      </w:r>
    </w:p>
    <w:p>
      <w:pPr>
        <w:pStyle w:val="BodyText"/>
        <w:ind w:left="0"/>
        <w:rPr>
          <w:sz w:val="19"/>
        </w:rPr>
      </w:pPr>
    </w:p>
    <w:p>
      <w:pPr>
        <w:pStyle w:val="ListParagraph"/>
        <w:numPr>
          <w:ilvl w:val="0"/>
          <w:numId w:val="136"/>
        </w:numPr>
        <w:tabs>
          <w:tab w:pos="1207" w:val="left" w:leader="none"/>
        </w:tabs>
        <w:spacing w:line="240" w:lineRule="auto" w:before="0" w:after="0"/>
        <w:ind w:left="1207" w:right="0" w:hanging="529"/>
        <w:jc w:val="left"/>
        <w:rPr>
          <w:sz w:val="19"/>
        </w:rPr>
      </w:pPr>
      <w:r>
        <w:rPr>
          <w:spacing w:val="-3"/>
          <w:sz w:val="21"/>
        </w:rPr>
        <w:t>企业诚信情况一览表</w:t>
      </w:r>
      <w:r>
        <w:rPr>
          <w:rFonts w:ascii="Times New Roman" w:eastAsia="Times New Roman"/>
          <w:sz w:val="21"/>
        </w:rPr>
        <w:t>(</w:t>
      </w:r>
      <w:r>
        <w:rPr>
          <w:sz w:val="21"/>
        </w:rPr>
        <w:t>如有</w:t>
      </w:r>
      <w:r>
        <w:rPr>
          <w:rFonts w:ascii="Times New Roman" w:eastAsia="Times New Roman"/>
          <w:sz w:val="21"/>
        </w:rPr>
        <w:t>)</w:t>
      </w:r>
    </w:p>
    <w:tbl>
      <w:tblPr>
        <w:tblW w:w="0" w:type="auto"/>
        <w:jc w:val="left"/>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8361"/>
      </w:tblGrid>
      <w:tr>
        <w:trPr>
          <w:trHeight w:val="611" w:hRule="atLeast"/>
        </w:trPr>
        <w:tc>
          <w:tcPr>
            <w:tcW w:w="852" w:type="dxa"/>
          </w:tcPr>
          <w:p>
            <w:pPr>
              <w:pStyle w:val="TableParagraph"/>
              <w:spacing w:before="171"/>
              <w:ind w:left="215"/>
              <w:rPr>
                <w:sz w:val="21"/>
              </w:rPr>
            </w:pPr>
            <w:r>
              <w:rPr>
                <w:sz w:val="21"/>
              </w:rPr>
              <w:t>序号</w:t>
            </w:r>
          </w:p>
        </w:tc>
        <w:tc>
          <w:tcPr>
            <w:tcW w:w="8361" w:type="dxa"/>
          </w:tcPr>
          <w:p>
            <w:pPr>
              <w:pStyle w:val="TableParagraph"/>
              <w:spacing w:before="171"/>
              <w:ind w:left="3739" w:right="3731"/>
              <w:jc w:val="center"/>
              <w:rPr>
                <w:sz w:val="21"/>
              </w:rPr>
            </w:pPr>
            <w:r>
              <w:rPr>
                <w:sz w:val="21"/>
              </w:rPr>
              <w:t>项目类别</w:t>
            </w:r>
          </w:p>
        </w:tc>
      </w:tr>
      <w:tr>
        <w:trPr>
          <w:trHeight w:val="609" w:hRule="atLeast"/>
        </w:trPr>
        <w:tc>
          <w:tcPr>
            <w:tcW w:w="852" w:type="dxa"/>
          </w:tcPr>
          <w:p>
            <w:pPr>
              <w:pStyle w:val="TableParagraph"/>
              <w:rPr>
                <w:rFonts w:ascii="Times New Roman"/>
                <w:sz w:val="20"/>
              </w:rPr>
            </w:pPr>
          </w:p>
        </w:tc>
        <w:tc>
          <w:tcPr>
            <w:tcW w:w="8361" w:type="dxa"/>
          </w:tcPr>
          <w:p>
            <w:pPr>
              <w:pStyle w:val="TableParagraph"/>
              <w:rPr>
                <w:rFonts w:ascii="Times New Roman"/>
                <w:sz w:val="20"/>
              </w:rPr>
            </w:pPr>
          </w:p>
        </w:tc>
      </w:tr>
      <w:tr>
        <w:trPr>
          <w:trHeight w:val="609" w:hRule="atLeast"/>
        </w:trPr>
        <w:tc>
          <w:tcPr>
            <w:tcW w:w="852" w:type="dxa"/>
          </w:tcPr>
          <w:p>
            <w:pPr>
              <w:pStyle w:val="TableParagraph"/>
              <w:rPr>
                <w:rFonts w:ascii="Times New Roman"/>
                <w:sz w:val="20"/>
              </w:rPr>
            </w:pPr>
          </w:p>
        </w:tc>
        <w:tc>
          <w:tcPr>
            <w:tcW w:w="8361" w:type="dxa"/>
          </w:tcPr>
          <w:p>
            <w:pPr>
              <w:pStyle w:val="TableParagraph"/>
              <w:rPr>
                <w:rFonts w:ascii="Times New Roman"/>
                <w:sz w:val="20"/>
              </w:rPr>
            </w:pPr>
          </w:p>
        </w:tc>
      </w:tr>
      <w:tr>
        <w:trPr>
          <w:trHeight w:val="611" w:hRule="atLeast"/>
        </w:trPr>
        <w:tc>
          <w:tcPr>
            <w:tcW w:w="852" w:type="dxa"/>
          </w:tcPr>
          <w:p>
            <w:pPr>
              <w:pStyle w:val="TableParagraph"/>
              <w:rPr>
                <w:rFonts w:ascii="Times New Roman"/>
                <w:sz w:val="20"/>
              </w:rPr>
            </w:pPr>
          </w:p>
        </w:tc>
        <w:tc>
          <w:tcPr>
            <w:tcW w:w="8361" w:type="dxa"/>
          </w:tcPr>
          <w:p>
            <w:pPr>
              <w:pStyle w:val="TableParagraph"/>
              <w:rPr>
                <w:rFonts w:ascii="Times New Roman"/>
                <w:sz w:val="20"/>
              </w:rPr>
            </w:pPr>
          </w:p>
        </w:tc>
      </w:tr>
    </w:tbl>
    <w:p>
      <w:pPr>
        <w:spacing w:after="0"/>
        <w:rPr>
          <w:rFonts w:ascii="Times New Roman"/>
          <w:sz w:val="20"/>
        </w:rPr>
        <w:sectPr>
          <w:pgSz w:w="11910" w:h="16850"/>
          <w:pgMar w:header="0" w:footer="779" w:top="1440" w:bottom="1040" w:left="1120" w:right="280"/>
        </w:sectPr>
      </w:pPr>
    </w:p>
    <w:tbl>
      <w:tblPr>
        <w:tblW w:w="0" w:type="auto"/>
        <w:jc w:val="left"/>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8361"/>
      </w:tblGrid>
      <w:tr>
        <w:trPr>
          <w:trHeight w:val="609" w:hRule="atLeast"/>
        </w:trPr>
        <w:tc>
          <w:tcPr>
            <w:tcW w:w="852" w:type="dxa"/>
          </w:tcPr>
          <w:p>
            <w:pPr>
              <w:pStyle w:val="TableParagraph"/>
              <w:rPr>
                <w:rFonts w:ascii="Times New Roman"/>
                <w:sz w:val="20"/>
              </w:rPr>
            </w:pPr>
          </w:p>
        </w:tc>
        <w:tc>
          <w:tcPr>
            <w:tcW w:w="8361" w:type="dxa"/>
          </w:tcPr>
          <w:p>
            <w:pPr>
              <w:pStyle w:val="TableParagraph"/>
              <w:rPr>
                <w:rFonts w:ascii="Times New Roman"/>
                <w:sz w:val="20"/>
              </w:rPr>
            </w:pPr>
          </w:p>
        </w:tc>
      </w:tr>
      <w:tr>
        <w:trPr>
          <w:trHeight w:val="611" w:hRule="atLeast"/>
        </w:trPr>
        <w:tc>
          <w:tcPr>
            <w:tcW w:w="852" w:type="dxa"/>
          </w:tcPr>
          <w:p>
            <w:pPr>
              <w:pStyle w:val="TableParagraph"/>
              <w:rPr>
                <w:rFonts w:ascii="Times New Roman"/>
                <w:sz w:val="20"/>
              </w:rPr>
            </w:pPr>
          </w:p>
        </w:tc>
        <w:tc>
          <w:tcPr>
            <w:tcW w:w="8361" w:type="dxa"/>
          </w:tcPr>
          <w:p>
            <w:pPr>
              <w:pStyle w:val="TableParagraph"/>
              <w:rPr>
                <w:rFonts w:ascii="Times New Roman"/>
                <w:sz w:val="20"/>
              </w:rPr>
            </w:pPr>
          </w:p>
        </w:tc>
      </w:tr>
      <w:tr>
        <w:trPr>
          <w:trHeight w:val="609" w:hRule="atLeast"/>
        </w:trPr>
        <w:tc>
          <w:tcPr>
            <w:tcW w:w="852" w:type="dxa"/>
          </w:tcPr>
          <w:p>
            <w:pPr>
              <w:pStyle w:val="TableParagraph"/>
              <w:rPr>
                <w:rFonts w:ascii="Times New Roman"/>
                <w:sz w:val="20"/>
              </w:rPr>
            </w:pPr>
          </w:p>
        </w:tc>
        <w:tc>
          <w:tcPr>
            <w:tcW w:w="8361" w:type="dxa"/>
          </w:tcPr>
          <w:p>
            <w:pPr>
              <w:pStyle w:val="TableParagraph"/>
              <w:rPr>
                <w:rFonts w:ascii="Times New Roman"/>
                <w:sz w:val="20"/>
              </w:rPr>
            </w:pPr>
          </w:p>
        </w:tc>
      </w:tr>
      <w:tr>
        <w:trPr>
          <w:trHeight w:val="609" w:hRule="atLeast"/>
        </w:trPr>
        <w:tc>
          <w:tcPr>
            <w:tcW w:w="852" w:type="dxa"/>
          </w:tcPr>
          <w:p>
            <w:pPr>
              <w:pStyle w:val="TableParagraph"/>
              <w:rPr>
                <w:rFonts w:ascii="Times New Roman"/>
                <w:sz w:val="20"/>
              </w:rPr>
            </w:pPr>
          </w:p>
        </w:tc>
        <w:tc>
          <w:tcPr>
            <w:tcW w:w="8361" w:type="dxa"/>
          </w:tcPr>
          <w:p>
            <w:pPr>
              <w:pStyle w:val="TableParagraph"/>
              <w:rPr>
                <w:rFonts w:ascii="Times New Roman"/>
                <w:sz w:val="20"/>
              </w:rPr>
            </w:pPr>
          </w:p>
        </w:tc>
      </w:tr>
      <w:tr>
        <w:trPr>
          <w:trHeight w:val="611" w:hRule="atLeast"/>
        </w:trPr>
        <w:tc>
          <w:tcPr>
            <w:tcW w:w="852" w:type="dxa"/>
          </w:tcPr>
          <w:p>
            <w:pPr>
              <w:pStyle w:val="TableParagraph"/>
              <w:rPr>
                <w:rFonts w:ascii="Times New Roman"/>
                <w:sz w:val="20"/>
              </w:rPr>
            </w:pPr>
          </w:p>
        </w:tc>
        <w:tc>
          <w:tcPr>
            <w:tcW w:w="8361" w:type="dxa"/>
          </w:tcPr>
          <w:p>
            <w:pPr>
              <w:pStyle w:val="TableParagraph"/>
              <w:rPr>
                <w:rFonts w:ascii="Times New Roman"/>
                <w:sz w:val="20"/>
              </w:rPr>
            </w:pPr>
          </w:p>
        </w:tc>
      </w:tr>
      <w:tr>
        <w:trPr>
          <w:trHeight w:val="609" w:hRule="atLeast"/>
        </w:trPr>
        <w:tc>
          <w:tcPr>
            <w:tcW w:w="852" w:type="dxa"/>
          </w:tcPr>
          <w:p>
            <w:pPr>
              <w:pStyle w:val="TableParagraph"/>
              <w:rPr>
                <w:rFonts w:ascii="Times New Roman"/>
                <w:sz w:val="20"/>
              </w:rPr>
            </w:pPr>
          </w:p>
        </w:tc>
        <w:tc>
          <w:tcPr>
            <w:tcW w:w="8361" w:type="dxa"/>
          </w:tcPr>
          <w:p>
            <w:pPr>
              <w:pStyle w:val="TableParagraph"/>
              <w:rPr>
                <w:rFonts w:ascii="Times New Roman"/>
                <w:sz w:val="20"/>
              </w:rPr>
            </w:pPr>
          </w:p>
        </w:tc>
      </w:tr>
      <w:tr>
        <w:trPr>
          <w:trHeight w:val="609" w:hRule="atLeast"/>
        </w:trPr>
        <w:tc>
          <w:tcPr>
            <w:tcW w:w="852" w:type="dxa"/>
          </w:tcPr>
          <w:p>
            <w:pPr>
              <w:pStyle w:val="TableParagraph"/>
              <w:rPr>
                <w:rFonts w:ascii="Times New Roman"/>
                <w:sz w:val="20"/>
              </w:rPr>
            </w:pPr>
          </w:p>
        </w:tc>
        <w:tc>
          <w:tcPr>
            <w:tcW w:w="8361" w:type="dxa"/>
          </w:tcPr>
          <w:p>
            <w:pPr>
              <w:pStyle w:val="TableParagraph"/>
              <w:rPr>
                <w:rFonts w:ascii="Times New Roman"/>
                <w:sz w:val="20"/>
              </w:rPr>
            </w:pPr>
          </w:p>
        </w:tc>
      </w:tr>
      <w:tr>
        <w:trPr>
          <w:trHeight w:val="611" w:hRule="atLeast"/>
        </w:trPr>
        <w:tc>
          <w:tcPr>
            <w:tcW w:w="852" w:type="dxa"/>
          </w:tcPr>
          <w:p>
            <w:pPr>
              <w:pStyle w:val="TableParagraph"/>
              <w:rPr>
                <w:rFonts w:ascii="Times New Roman"/>
                <w:sz w:val="20"/>
              </w:rPr>
            </w:pPr>
          </w:p>
        </w:tc>
        <w:tc>
          <w:tcPr>
            <w:tcW w:w="8361" w:type="dxa"/>
          </w:tcPr>
          <w:p>
            <w:pPr>
              <w:pStyle w:val="TableParagraph"/>
              <w:rPr>
                <w:rFonts w:ascii="Times New Roman"/>
                <w:sz w:val="20"/>
              </w:rPr>
            </w:pPr>
          </w:p>
        </w:tc>
      </w:tr>
      <w:tr>
        <w:trPr>
          <w:trHeight w:val="609" w:hRule="atLeast"/>
        </w:trPr>
        <w:tc>
          <w:tcPr>
            <w:tcW w:w="852" w:type="dxa"/>
          </w:tcPr>
          <w:p>
            <w:pPr>
              <w:pStyle w:val="TableParagraph"/>
              <w:rPr>
                <w:rFonts w:ascii="Times New Roman"/>
                <w:sz w:val="20"/>
              </w:rPr>
            </w:pPr>
          </w:p>
        </w:tc>
        <w:tc>
          <w:tcPr>
            <w:tcW w:w="8361" w:type="dxa"/>
          </w:tcPr>
          <w:p>
            <w:pPr>
              <w:pStyle w:val="TableParagraph"/>
              <w:rPr>
                <w:rFonts w:ascii="Times New Roman"/>
                <w:sz w:val="20"/>
              </w:rPr>
            </w:pPr>
          </w:p>
        </w:tc>
      </w:tr>
    </w:tbl>
    <w:p>
      <w:pPr>
        <w:pStyle w:val="BodyText"/>
        <w:spacing w:before="9"/>
        <w:ind w:left="0"/>
        <w:rPr>
          <w:rFonts w:ascii="Times New Roman"/>
          <w:sz w:val="17"/>
        </w:rPr>
      </w:pPr>
    </w:p>
    <w:p>
      <w:pPr>
        <w:pStyle w:val="BodyText"/>
        <w:spacing w:before="72"/>
      </w:pPr>
      <w:r>
        <w:rPr/>
        <w:t>备注：</w:t>
      </w:r>
    </w:p>
    <w:p>
      <w:pPr>
        <w:pStyle w:val="BodyText"/>
        <w:spacing w:before="4"/>
        <w:ind w:left="1098"/>
      </w:pPr>
      <w:r>
        <w:rPr>
          <w:rFonts w:ascii="Times New Roman" w:hAnsi="Times New Roman" w:eastAsia="Times New Roman"/>
        </w:rPr>
        <w:t>1</w:t>
      </w:r>
      <w:r>
        <w:rPr/>
        <w:t>、项目类别由招标人自行确定，但应与“评标办法前附表”第 </w:t>
      </w:r>
      <w:r>
        <w:rPr>
          <w:rFonts w:ascii="Times New Roman" w:hAnsi="Times New Roman" w:eastAsia="Times New Roman"/>
        </w:rPr>
        <w:t>2.1.1 </w:t>
      </w:r>
      <w:r>
        <w:rPr/>
        <w:t>条一致。</w:t>
      </w:r>
    </w:p>
    <w:p>
      <w:pPr>
        <w:pStyle w:val="BodyText"/>
        <w:tabs>
          <w:tab w:pos="3618" w:val="left" w:leader="none"/>
          <w:tab w:pos="4249" w:val="left" w:leader="none"/>
          <w:tab w:pos="4878" w:val="left" w:leader="none"/>
          <w:tab w:pos="6453" w:val="left" w:leader="none"/>
          <w:tab w:pos="7084" w:val="left" w:leader="none"/>
          <w:tab w:pos="7713" w:val="left" w:leader="none"/>
        </w:tabs>
        <w:spacing w:before="2"/>
        <w:ind w:left="1098"/>
      </w:pPr>
      <w:r>
        <w:rPr>
          <w:rFonts w:ascii="Times New Roman" w:eastAsia="Times New Roman"/>
        </w:rPr>
        <w:t>2</w:t>
      </w:r>
      <w:r>
        <w:rPr/>
        <w:t>、</w:t>
      </w:r>
      <w:r>
        <w:rPr>
          <w:spacing w:val="-3"/>
        </w:rPr>
        <w:t>考</w:t>
      </w:r>
      <w:r>
        <w:rPr/>
        <w:t>核</w:t>
      </w:r>
      <w:r>
        <w:rPr>
          <w:spacing w:val="-3"/>
        </w:rPr>
        <w:t>期</w:t>
      </w:r>
      <w:r>
        <w:rPr/>
        <w:t>为：</w:t>
      </w:r>
      <w:r>
        <w:rPr>
          <w:u w:val="single"/>
        </w:rPr>
        <w:t> </w:t>
        <w:tab/>
      </w:r>
      <w:r>
        <w:rPr/>
        <w:t>年</w:t>
      </w:r>
      <w:r>
        <w:rPr>
          <w:u w:val="single"/>
        </w:rPr>
        <w:t> </w:t>
        <w:tab/>
      </w:r>
      <w:r>
        <w:rPr/>
        <w:t>月</w:t>
      </w:r>
      <w:r>
        <w:rPr>
          <w:u w:val="single"/>
        </w:rPr>
        <w:t> </w:t>
        <w:tab/>
      </w:r>
      <w:r>
        <w:rPr/>
        <w:t>日至</w:t>
      </w:r>
      <w:r>
        <w:rPr>
          <w:u w:val="single"/>
        </w:rPr>
        <w:t> </w:t>
        <w:tab/>
      </w:r>
      <w:r>
        <w:rPr/>
        <w:t>年</w:t>
      </w:r>
      <w:r>
        <w:rPr>
          <w:u w:val="single"/>
        </w:rPr>
        <w:t> </w:t>
        <w:tab/>
      </w:r>
      <w:r>
        <w:rPr/>
        <w:t>月</w:t>
      </w:r>
      <w:r>
        <w:rPr>
          <w:u w:val="single"/>
        </w:rPr>
        <w:t> </w:t>
        <w:tab/>
      </w:r>
      <w:r>
        <w:rPr/>
        <w:t>日。</w:t>
      </w:r>
    </w:p>
    <w:p>
      <w:pPr>
        <w:pStyle w:val="BodyText"/>
        <w:spacing w:line="242" w:lineRule="auto" w:before="5"/>
        <w:ind w:right="1151" w:firstLine="419"/>
      </w:pPr>
      <w:r>
        <w:rPr>
          <w:rFonts w:ascii="Times New Roman" w:eastAsia="Times New Roman"/>
        </w:rPr>
        <w:t>3</w:t>
      </w:r>
      <w:r>
        <w:rPr>
          <w:spacing w:val="-8"/>
        </w:rPr>
        <w:t>、所有奖项、业绩均以广西建筑企业诚信信息库为准，附上已录入广西建筑业企业诚信信</w:t>
      </w:r>
      <w:r>
        <w:rPr>
          <w:spacing w:val="-5"/>
        </w:rPr>
        <w:t>息库的证明材料扫描件。以上扫描件均为原件的扫描件。</w:t>
      </w:r>
    </w:p>
    <w:p>
      <w:pPr>
        <w:spacing w:after="0" w:line="242" w:lineRule="auto"/>
        <w:sectPr>
          <w:pgSz w:w="11910" w:h="16850"/>
          <w:pgMar w:header="0" w:footer="779" w:top="1440" w:bottom="1040" w:left="1120" w:right="280"/>
        </w:sectPr>
      </w:pPr>
    </w:p>
    <w:p>
      <w:pPr>
        <w:pStyle w:val="Heading6"/>
        <w:numPr>
          <w:ilvl w:val="0"/>
          <w:numId w:val="136"/>
        </w:numPr>
        <w:tabs>
          <w:tab w:pos="1702" w:val="left" w:leader="none"/>
        </w:tabs>
        <w:spacing w:line="421" w:lineRule="exact" w:before="0" w:after="0"/>
        <w:ind w:left="1701" w:right="0" w:hanging="604"/>
        <w:jc w:val="left"/>
        <w:rPr>
          <w:sz w:val="22"/>
        </w:rPr>
      </w:pPr>
      <w:r>
        <w:rPr/>
        <w:t>企业 </w:t>
      </w:r>
      <w:r>
        <w:rPr>
          <w:rFonts w:ascii="Times New Roman" w:eastAsia="Times New Roman"/>
        </w:rPr>
        <w:t>2017</w:t>
      </w:r>
      <w:r>
        <w:rPr>
          <w:rFonts w:ascii="Times New Roman" w:eastAsia="Times New Roman"/>
          <w:spacing w:val="-2"/>
        </w:rPr>
        <w:t> </w:t>
      </w:r>
      <w:r>
        <w:rPr/>
        <w:t>年至 </w:t>
      </w:r>
      <w:r>
        <w:rPr>
          <w:rFonts w:ascii="Times New Roman" w:eastAsia="Times New Roman"/>
        </w:rPr>
        <w:t>2019 </w:t>
      </w:r>
      <w:r>
        <w:rPr/>
        <w:t>年（一般为近三年）财务状况表</w:t>
      </w:r>
    </w:p>
    <w:p>
      <w:pPr>
        <w:pStyle w:val="BodyText"/>
        <w:spacing w:before="5"/>
        <w:ind w:left="0"/>
        <w:rPr>
          <w:rFonts w:ascii="Microsoft JhengHei"/>
          <w:b/>
          <w:sz w:val="22"/>
        </w:rPr>
      </w:pPr>
    </w:p>
    <w:p>
      <w:pPr>
        <w:pStyle w:val="BodyText"/>
        <w:spacing w:line="364" w:lineRule="auto"/>
        <w:ind w:right="1151"/>
        <w:jc w:val="both"/>
      </w:pPr>
      <w:r>
        <w:rPr/>
        <w:t>【备注：附已录入广西建筑业企业诚信信息库的、经会计师事务所或审计机构审计的财务会计报表，包括资产负债表、现金流量表、利润表的扫描件。具体年份要求见第二章</w:t>
      </w:r>
      <w:r>
        <w:rPr>
          <w:rFonts w:ascii="Times New Roman" w:hAnsi="Times New Roman" w:eastAsia="Times New Roman"/>
        </w:rPr>
        <w:t>“</w:t>
      </w:r>
      <w:r>
        <w:rPr/>
        <w:t>投标人须知</w:t>
      </w:r>
      <w:r>
        <w:rPr>
          <w:rFonts w:ascii="Times New Roman" w:hAnsi="Times New Roman" w:eastAsia="Times New Roman"/>
        </w:rPr>
        <w:t>” </w:t>
      </w:r>
      <w:r>
        <w:rPr/>
        <w:t>的规定。以上扫描件均为原件的扫描件】</w:t>
      </w:r>
    </w:p>
    <w:p>
      <w:pPr>
        <w:pStyle w:val="BodyText"/>
        <w:spacing w:before="8"/>
        <w:ind w:left="0"/>
        <w:rPr>
          <w:sz w:val="29"/>
        </w:rPr>
      </w:pPr>
    </w:p>
    <w:p>
      <w:pPr>
        <w:pStyle w:val="Heading6"/>
        <w:numPr>
          <w:ilvl w:val="0"/>
          <w:numId w:val="136"/>
        </w:numPr>
        <w:tabs>
          <w:tab w:pos="1282" w:val="left" w:leader="none"/>
        </w:tabs>
        <w:spacing w:line="240" w:lineRule="auto" w:before="0" w:after="0"/>
        <w:ind w:left="1281" w:right="0" w:hanging="604"/>
        <w:jc w:val="both"/>
        <w:rPr>
          <w:sz w:val="22"/>
        </w:rPr>
      </w:pPr>
      <w:r>
        <w:rPr/>
        <w:t>企业 </w:t>
      </w:r>
      <w:r>
        <w:rPr>
          <w:rFonts w:ascii="Times New Roman" w:eastAsia="Times New Roman"/>
        </w:rPr>
        <w:t>2017</w:t>
      </w:r>
      <w:r>
        <w:rPr>
          <w:rFonts w:ascii="Times New Roman" w:eastAsia="Times New Roman"/>
          <w:spacing w:val="-2"/>
        </w:rPr>
        <w:t> </w:t>
      </w:r>
      <w:r>
        <w:rPr>
          <w:spacing w:val="2"/>
        </w:rPr>
        <w:t>年 </w:t>
      </w:r>
      <w:r>
        <w:rPr>
          <w:rFonts w:ascii="Times New Roman" w:eastAsia="Times New Roman"/>
        </w:rPr>
        <w:t>7</w:t>
      </w:r>
      <w:r>
        <w:rPr>
          <w:rFonts w:ascii="Times New Roman" w:eastAsia="Times New Roman"/>
          <w:spacing w:val="1"/>
        </w:rPr>
        <w:t> </w:t>
      </w:r>
      <w:r>
        <w:rPr/>
        <w:t>月至投标截止日期止（一般为近三年）发生的诉讼和仲裁情况</w:t>
      </w:r>
    </w:p>
    <w:p>
      <w:pPr>
        <w:pStyle w:val="BodyText"/>
        <w:spacing w:before="16"/>
        <w:ind w:left="0"/>
        <w:rPr>
          <w:rFonts w:ascii="Microsoft JhengHei"/>
          <w:b/>
          <w:sz w:val="16"/>
        </w:rPr>
      </w:pPr>
    </w:p>
    <w:tbl>
      <w:tblPr>
        <w:tblW w:w="0" w:type="auto"/>
        <w:jc w:val="left"/>
        <w:tblInd w:w="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8"/>
        <w:gridCol w:w="2871"/>
        <w:gridCol w:w="1436"/>
        <w:gridCol w:w="1441"/>
        <w:gridCol w:w="1438"/>
      </w:tblGrid>
      <w:tr>
        <w:trPr>
          <w:trHeight w:val="448" w:hRule="atLeast"/>
        </w:trPr>
        <w:tc>
          <w:tcPr>
            <w:tcW w:w="8624" w:type="dxa"/>
            <w:gridSpan w:val="5"/>
          </w:tcPr>
          <w:p>
            <w:pPr>
              <w:pStyle w:val="TableParagraph"/>
              <w:spacing w:before="90"/>
              <w:ind w:left="3869" w:right="3864"/>
              <w:jc w:val="center"/>
              <w:rPr>
                <w:sz w:val="21"/>
              </w:rPr>
            </w:pPr>
            <w:r>
              <w:rPr>
                <w:sz w:val="21"/>
              </w:rPr>
              <w:t>诉讼情况</w:t>
            </w:r>
          </w:p>
        </w:tc>
      </w:tr>
      <w:tr>
        <w:trPr>
          <w:trHeight w:val="429" w:hRule="atLeast"/>
        </w:trPr>
        <w:tc>
          <w:tcPr>
            <w:tcW w:w="1438" w:type="dxa"/>
          </w:tcPr>
          <w:p>
            <w:pPr>
              <w:pStyle w:val="TableParagraph"/>
              <w:spacing w:before="80"/>
              <w:ind w:left="506"/>
              <w:rPr>
                <w:sz w:val="21"/>
              </w:rPr>
            </w:pPr>
            <w:r>
              <w:rPr>
                <w:sz w:val="21"/>
              </w:rPr>
              <w:t>序号</w:t>
            </w:r>
          </w:p>
        </w:tc>
        <w:tc>
          <w:tcPr>
            <w:tcW w:w="2871" w:type="dxa"/>
          </w:tcPr>
          <w:p>
            <w:pPr>
              <w:pStyle w:val="TableParagraph"/>
              <w:spacing w:before="80"/>
              <w:ind w:left="698"/>
              <w:rPr>
                <w:sz w:val="21"/>
              </w:rPr>
            </w:pPr>
            <w:r>
              <w:rPr>
                <w:sz w:val="21"/>
              </w:rPr>
              <w:t>判决或裁定时间</w:t>
            </w:r>
          </w:p>
        </w:tc>
        <w:tc>
          <w:tcPr>
            <w:tcW w:w="1436" w:type="dxa"/>
          </w:tcPr>
          <w:p>
            <w:pPr>
              <w:pStyle w:val="TableParagraph"/>
              <w:spacing w:before="80"/>
              <w:ind w:left="191"/>
              <w:rPr>
                <w:sz w:val="21"/>
              </w:rPr>
            </w:pPr>
            <w:r>
              <w:rPr>
                <w:sz w:val="21"/>
              </w:rPr>
              <w:t>诉讼相对人</w:t>
            </w:r>
          </w:p>
        </w:tc>
        <w:tc>
          <w:tcPr>
            <w:tcW w:w="1441" w:type="dxa"/>
          </w:tcPr>
          <w:p>
            <w:pPr>
              <w:pStyle w:val="TableParagraph"/>
              <w:spacing w:before="80"/>
              <w:ind w:left="298"/>
              <w:rPr>
                <w:sz w:val="21"/>
              </w:rPr>
            </w:pPr>
            <w:r>
              <w:rPr>
                <w:sz w:val="21"/>
              </w:rPr>
              <w:t>诉讼原因</w:t>
            </w:r>
          </w:p>
        </w:tc>
        <w:tc>
          <w:tcPr>
            <w:tcW w:w="1438" w:type="dxa"/>
          </w:tcPr>
          <w:p>
            <w:pPr>
              <w:pStyle w:val="TableParagraph"/>
              <w:spacing w:before="80"/>
              <w:ind w:left="296"/>
              <w:rPr>
                <w:sz w:val="21"/>
              </w:rPr>
            </w:pPr>
            <w:r>
              <w:rPr>
                <w:sz w:val="21"/>
              </w:rPr>
              <w:t>证明材料</w:t>
            </w:r>
          </w:p>
        </w:tc>
      </w:tr>
      <w:tr>
        <w:trPr>
          <w:trHeight w:val="448" w:hRule="atLeast"/>
        </w:trPr>
        <w:tc>
          <w:tcPr>
            <w:tcW w:w="1438" w:type="dxa"/>
          </w:tcPr>
          <w:p>
            <w:pPr>
              <w:pStyle w:val="TableParagraph"/>
              <w:rPr>
                <w:rFonts w:ascii="Times New Roman"/>
                <w:sz w:val="22"/>
              </w:rPr>
            </w:pPr>
          </w:p>
        </w:tc>
        <w:tc>
          <w:tcPr>
            <w:tcW w:w="2871" w:type="dxa"/>
          </w:tcPr>
          <w:p>
            <w:pPr>
              <w:pStyle w:val="TableParagraph"/>
              <w:rPr>
                <w:rFonts w:ascii="Times New Roman"/>
                <w:sz w:val="22"/>
              </w:rPr>
            </w:pPr>
          </w:p>
        </w:tc>
        <w:tc>
          <w:tcPr>
            <w:tcW w:w="1436" w:type="dxa"/>
          </w:tcPr>
          <w:p>
            <w:pPr>
              <w:pStyle w:val="TableParagraph"/>
              <w:rPr>
                <w:rFonts w:ascii="Times New Roman"/>
                <w:sz w:val="22"/>
              </w:rPr>
            </w:pPr>
          </w:p>
        </w:tc>
        <w:tc>
          <w:tcPr>
            <w:tcW w:w="1441" w:type="dxa"/>
          </w:tcPr>
          <w:p>
            <w:pPr>
              <w:pStyle w:val="TableParagraph"/>
              <w:rPr>
                <w:rFonts w:ascii="Times New Roman"/>
                <w:sz w:val="22"/>
              </w:rPr>
            </w:pPr>
          </w:p>
        </w:tc>
        <w:tc>
          <w:tcPr>
            <w:tcW w:w="1438" w:type="dxa"/>
          </w:tcPr>
          <w:p>
            <w:pPr>
              <w:pStyle w:val="TableParagraph"/>
              <w:rPr>
                <w:rFonts w:ascii="Times New Roman"/>
                <w:sz w:val="22"/>
              </w:rPr>
            </w:pPr>
          </w:p>
        </w:tc>
      </w:tr>
      <w:tr>
        <w:trPr>
          <w:trHeight w:val="448" w:hRule="atLeast"/>
        </w:trPr>
        <w:tc>
          <w:tcPr>
            <w:tcW w:w="1438" w:type="dxa"/>
          </w:tcPr>
          <w:p>
            <w:pPr>
              <w:pStyle w:val="TableParagraph"/>
              <w:rPr>
                <w:rFonts w:ascii="Times New Roman"/>
                <w:sz w:val="22"/>
              </w:rPr>
            </w:pPr>
          </w:p>
        </w:tc>
        <w:tc>
          <w:tcPr>
            <w:tcW w:w="2871" w:type="dxa"/>
          </w:tcPr>
          <w:p>
            <w:pPr>
              <w:pStyle w:val="TableParagraph"/>
              <w:rPr>
                <w:rFonts w:ascii="Times New Roman"/>
                <w:sz w:val="22"/>
              </w:rPr>
            </w:pPr>
          </w:p>
        </w:tc>
        <w:tc>
          <w:tcPr>
            <w:tcW w:w="1436" w:type="dxa"/>
          </w:tcPr>
          <w:p>
            <w:pPr>
              <w:pStyle w:val="TableParagraph"/>
              <w:rPr>
                <w:rFonts w:ascii="Times New Roman"/>
                <w:sz w:val="22"/>
              </w:rPr>
            </w:pPr>
          </w:p>
        </w:tc>
        <w:tc>
          <w:tcPr>
            <w:tcW w:w="1441" w:type="dxa"/>
          </w:tcPr>
          <w:p>
            <w:pPr>
              <w:pStyle w:val="TableParagraph"/>
              <w:rPr>
                <w:rFonts w:ascii="Times New Roman"/>
                <w:sz w:val="22"/>
              </w:rPr>
            </w:pPr>
          </w:p>
        </w:tc>
        <w:tc>
          <w:tcPr>
            <w:tcW w:w="1438" w:type="dxa"/>
          </w:tcPr>
          <w:p>
            <w:pPr>
              <w:pStyle w:val="TableParagraph"/>
              <w:rPr>
                <w:rFonts w:ascii="Times New Roman"/>
                <w:sz w:val="22"/>
              </w:rPr>
            </w:pPr>
          </w:p>
        </w:tc>
      </w:tr>
      <w:tr>
        <w:trPr>
          <w:trHeight w:val="429" w:hRule="atLeast"/>
        </w:trPr>
        <w:tc>
          <w:tcPr>
            <w:tcW w:w="1438" w:type="dxa"/>
          </w:tcPr>
          <w:p>
            <w:pPr>
              <w:pStyle w:val="TableParagraph"/>
              <w:rPr>
                <w:rFonts w:ascii="Times New Roman"/>
                <w:sz w:val="22"/>
              </w:rPr>
            </w:pPr>
          </w:p>
        </w:tc>
        <w:tc>
          <w:tcPr>
            <w:tcW w:w="2871" w:type="dxa"/>
          </w:tcPr>
          <w:p>
            <w:pPr>
              <w:pStyle w:val="TableParagraph"/>
              <w:rPr>
                <w:rFonts w:ascii="Times New Roman"/>
                <w:sz w:val="22"/>
              </w:rPr>
            </w:pPr>
          </w:p>
        </w:tc>
        <w:tc>
          <w:tcPr>
            <w:tcW w:w="1436" w:type="dxa"/>
          </w:tcPr>
          <w:p>
            <w:pPr>
              <w:pStyle w:val="TableParagraph"/>
              <w:rPr>
                <w:rFonts w:ascii="Times New Roman"/>
                <w:sz w:val="22"/>
              </w:rPr>
            </w:pPr>
          </w:p>
        </w:tc>
        <w:tc>
          <w:tcPr>
            <w:tcW w:w="1441" w:type="dxa"/>
          </w:tcPr>
          <w:p>
            <w:pPr>
              <w:pStyle w:val="TableParagraph"/>
              <w:rPr>
                <w:rFonts w:ascii="Times New Roman"/>
                <w:sz w:val="22"/>
              </w:rPr>
            </w:pPr>
          </w:p>
        </w:tc>
        <w:tc>
          <w:tcPr>
            <w:tcW w:w="1438" w:type="dxa"/>
          </w:tcPr>
          <w:p>
            <w:pPr>
              <w:pStyle w:val="TableParagraph"/>
              <w:rPr>
                <w:rFonts w:ascii="Times New Roman"/>
                <w:sz w:val="22"/>
              </w:rPr>
            </w:pPr>
          </w:p>
        </w:tc>
      </w:tr>
      <w:tr>
        <w:trPr>
          <w:trHeight w:val="445" w:hRule="atLeast"/>
        </w:trPr>
        <w:tc>
          <w:tcPr>
            <w:tcW w:w="1438" w:type="dxa"/>
          </w:tcPr>
          <w:p>
            <w:pPr>
              <w:pStyle w:val="TableParagraph"/>
              <w:spacing w:before="96"/>
              <w:ind w:left="526" w:right="652"/>
              <w:jc w:val="center"/>
              <w:rPr>
                <w:rFonts w:ascii="Times New Roman" w:hAnsi="Times New Roman"/>
                <w:sz w:val="21"/>
              </w:rPr>
            </w:pPr>
            <w:r>
              <w:rPr>
                <w:rFonts w:ascii="Times New Roman" w:hAnsi="Times New Roman"/>
                <w:sz w:val="21"/>
              </w:rPr>
              <w:t>···</w:t>
            </w:r>
          </w:p>
        </w:tc>
        <w:tc>
          <w:tcPr>
            <w:tcW w:w="2871" w:type="dxa"/>
          </w:tcPr>
          <w:p>
            <w:pPr>
              <w:pStyle w:val="TableParagraph"/>
              <w:spacing w:before="96"/>
              <w:ind w:left="862" w:right="985"/>
              <w:jc w:val="center"/>
              <w:rPr>
                <w:rFonts w:ascii="Times New Roman" w:hAnsi="Times New Roman"/>
                <w:sz w:val="21"/>
              </w:rPr>
            </w:pPr>
            <w:r>
              <w:rPr>
                <w:rFonts w:ascii="Times New Roman" w:hAnsi="Times New Roman"/>
                <w:sz w:val="21"/>
              </w:rPr>
              <w:t>···</w:t>
            </w:r>
          </w:p>
        </w:tc>
        <w:tc>
          <w:tcPr>
            <w:tcW w:w="1436" w:type="dxa"/>
          </w:tcPr>
          <w:p>
            <w:pPr>
              <w:pStyle w:val="TableParagraph"/>
              <w:rPr>
                <w:rFonts w:ascii="Times New Roman"/>
                <w:sz w:val="22"/>
              </w:rPr>
            </w:pPr>
          </w:p>
        </w:tc>
        <w:tc>
          <w:tcPr>
            <w:tcW w:w="1441" w:type="dxa"/>
          </w:tcPr>
          <w:p>
            <w:pPr>
              <w:pStyle w:val="TableParagraph"/>
              <w:rPr>
                <w:rFonts w:ascii="Times New Roman"/>
                <w:sz w:val="22"/>
              </w:rPr>
            </w:pPr>
          </w:p>
        </w:tc>
        <w:tc>
          <w:tcPr>
            <w:tcW w:w="1438" w:type="dxa"/>
          </w:tcPr>
          <w:p>
            <w:pPr>
              <w:pStyle w:val="TableParagraph"/>
              <w:rPr>
                <w:rFonts w:ascii="Times New Roman"/>
                <w:sz w:val="22"/>
              </w:rPr>
            </w:pPr>
          </w:p>
        </w:tc>
      </w:tr>
      <w:tr>
        <w:trPr>
          <w:trHeight w:val="448" w:hRule="atLeast"/>
        </w:trPr>
        <w:tc>
          <w:tcPr>
            <w:tcW w:w="8624" w:type="dxa"/>
            <w:gridSpan w:val="5"/>
          </w:tcPr>
          <w:p>
            <w:pPr>
              <w:pStyle w:val="TableParagraph"/>
              <w:spacing w:before="90"/>
              <w:ind w:left="3869" w:right="3864"/>
              <w:jc w:val="center"/>
              <w:rPr>
                <w:sz w:val="21"/>
              </w:rPr>
            </w:pPr>
            <w:r>
              <w:rPr>
                <w:sz w:val="21"/>
              </w:rPr>
              <w:t>仲裁情况</w:t>
            </w:r>
          </w:p>
        </w:tc>
      </w:tr>
      <w:tr>
        <w:trPr>
          <w:trHeight w:val="448" w:hRule="atLeast"/>
        </w:trPr>
        <w:tc>
          <w:tcPr>
            <w:tcW w:w="1438" w:type="dxa"/>
          </w:tcPr>
          <w:p>
            <w:pPr>
              <w:pStyle w:val="TableParagraph"/>
              <w:spacing w:before="89"/>
              <w:ind w:left="506"/>
              <w:rPr>
                <w:sz w:val="21"/>
              </w:rPr>
            </w:pPr>
            <w:r>
              <w:rPr>
                <w:sz w:val="21"/>
              </w:rPr>
              <w:t>序号</w:t>
            </w:r>
          </w:p>
        </w:tc>
        <w:tc>
          <w:tcPr>
            <w:tcW w:w="2871" w:type="dxa"/>
          </w:tcPr>
          <w:p>
            <w:pPr>
              <w:pStyle w:val="TableParagraph"/>
              <w:spacing w:before="89"/>
              <w:ind w:left="996" w:right="985"/>
              <w:jc w:val="center"/>
              <w:rPr>
                <w:sz w:val="21"/>
              </w:rPr>
            </w:pPr>
            <w:r>
              <w:rPr>
                <w:sz w:val="21"/>
              </w:rPr>
              <w:t>裁决时间</w:t>
            </w:r>
          </w:p>
        </w:tc>
        <w:tc>
          <w:tcPr>
            <w:tcW w:w="1436" w:type="dxa"/>
          </w:tcPr>
          <w:p>
            <w:pPr>
              <w:pStyle w:val="TableParagraph"/>
              <w:spacing w:before="89"/>
              <w:ind w:left="191"/>
              <w:rPr>
                <w:sz w:val="21"/>
              </w:rPr>
            </w:pPr>
            <w:r>
              <w:rPr>
                <w:sz w:val="21"/>
              </w:rPr>
              <w:t>仲裁相对人</w:t>
            </w:r>
          </w:p>
        </w:tc>
        <w:tc>
          <w:tcPr>
            <w:tcW w:w="1441" w:type="dxa"/>
          </w:tcPr>
          <w:p>
            <w:pPr>
              <w:pStyle w:val="TableParagraph"/>
              <w:spacing w:before="89"/>
              <w:ind w:left="298"/>
              <w:rPr>
                <w:sz w:val="21"/>
              </w:rPr>
            </w:pPr>
            <w:r>
              <w:rPr>
                <w:sz w:val="21"/>
              </w:rPr>
              <w:t>仲裁原因</w:t>
            </w:r>
          </w:p>
        </w:tc>
        <w:tc>
          <w:tcPr>
            <w:tcW w:w="1438" w:type="dxa"/>
          </w:tcPr>
          <w:p>
            <w:pPr>
              <w:pStyle w:val="TableParagraph"/>
              <w:spacing w:before="89"/>
              <w:ind w:left="296"/>
              <w:rPr>
                <w:sz w:val="21"/>
              </w:rPr>
            </w:pPr>
            <w:r>
              <w:rPr>
                <w:sz w:val="21"/>
              </w:rPr>
              <w:t>证明材料</w:t>
            </w:r>
          </w:p>
        </w:tc>
      </w:tr>
      <w:tr>
        <w:trPr>
          <w:trHeight w:val="429" w:hRule="atLeast"/>
        </w:trPr>
        <w:tc>
          <w:tcPr>
            <w:tcW w:w="1438" w:type="dxa"/>
          </w:tcPr>
          <w:p>
            <w:pPr>
              <w:pStyle w:val="TableParagraph"/>
              <w:rPr>
                <w:rFonts w:ascii="Times New Roman"/>
                <w:sz w:val="22"/>
              </w:rPr>
            </w:pPr>
          </w:p>
        </w:tc>
        <w:tc>
          <w:tcPr>
            <w:tcW w:w="2871" w:type="dxa"/>
          </w:tcPr>
          <w:p>
            <w:pPr>
              <w:pStyle w:val="TableParagraph"/>
              <w:rPr>
                <w:rFonts w:ascii="Times New Roman"/>
                <w:sz w:val="22"/>
              </w:rPr>
            </w:pPr>
          </w:p>
        </w:tc>
        <w:tc>
          <w:tcPr>
            <w:tcW w:w="1436" w:type="dxa"/>
          </w:tcPr>
          <w:p>
            <w:pPr>
              <w:pStyle w:val="TableParagraph"/>
              <w:rPr>
                <w:rFonts w:ascii="Times New Roman"/>
                <w:sz w:val="22"/>
              </w:rPr>
            </w:pPr>
          </w:p>
        </w:tc>
        <w:tc>
          <w:tcPr>
            <w:tcW w:w="1441" w:type="dxa"/>
          </w:tcPr>
          <w:p>
            <w:pPr>
              <w:pStyle w:val="TableParagraph"/>
              <w:rPr>
                <w:rFonts w:ascii="Times New Roman"/>
                <w:sz w:val="22"/>
              </w:rPr>
            </w:pPr>
          </w:p>
        </w:tc>
        <w:tc>
          <w:tcPr>
            <w:tcW w:w="1438" w:type="dxa"/>
          </w:tcPr>
          <w:p>
            <w:pPr>
              <w:pStyle w:val="TableParagraph"/>
              <w:rPr>
                <w:rFonts w:ascii="Times New Roman"/>
                <w:sz w:val="22"/>
              </w:rPr>
            </w:pPr>
          </w:p>
        </w:tc>
      </w:tr>
      <w:tr>
        <w:trPr>
          <w:trHeight w:val="429" w:hRule="atLeast"/>
        </w:trPr>
        <w:tc>
          <w:tcPr>
            <w:tcW w:w="1438" w:type="dxa"/>
          </w:tcPr>
          <w:p>
            <w:pPr>
              <w:pStyle w:val="TableParagraph"/>
              <w:rPr>
                <w:rFonts w:ascii="Times New Roman"/>
                <w:sz w:val="22"/>
              </w:rPr>
            </w:pPr>
          </w:p>
        </w:tc>
        <w:tc>
          <w:tcPr>
            <w:tcW w:w="2871" w:type="dxa"/>
          </w:tcPr>
          <w:p>
            <w:pPr>
              <w:pStyle w:val="TableParagraph"/>
              <w:rPr>
                <w:rFonts w:ascii="Times New Roman"/>
                <w:sz w:val="22"/>
              </w:rPr>
            </w:pPr>
          </w:p>
        </w:tc>
        <w:tc>
          <w:tcPr>
            <w:tcW w:w="1436" w:type="dxa"/>
          </w:tcPr>
          <w:p>
            <w:pPr>
              <w:pStyle w:val="TableParagraph"/>
              <w:rPr>
                <w:rFonts w:ascii="Times New Roman"/>
                <w:sz w:val="22"/>
              </w:rPr>
            </w:pPr>
          </w:p>
        </w:tc>
        <w:tc>
          <w:tcPr>
            <w:tcW w:w="1441" w:type="dxa"/>
          </w:tcPr>
          <w:p>
            <w:pPr>
              <w:pStyle w:val="TableParagraph"/>
              <w:rPr>
                <w:rFonts w:ascii="Times New Roman"/>
                <w:sz w:val="22"/>
              </w:rPr>
            </w:pPr>
          </w:p>
        </w:tc>
        <w:tc>
          <w:tcPr>
            <w:tcW w:w="1438" w:type="dxa"/>
          </w:tcPr>
          <w:p>
            <w:pPr>
              <w:pStyle w:val="TableParagraph"/>
              <w:rPr>
                <w:rFonts w:ascii="Times New Roman"/>
                <w:sz w:val="22"/>
              </w:rPr>
            </w:pPr>
          </w:p>
        </w:tc>
      </w:tr>
      <w:tr>
        <w:trPr>
          <w:trHeight w:val="429" w:hRule="atLeast"/>
        </w:trPr>
        <w:tc>
          <w:tcPr>
            <w:tcW w:w="1438" w:type="dxa"/>
          </w:tcPr>
          <w:p>
            <w:pPr>
              <w:pStyle w:val="TableParagraph"/>
              <w:rPr>
                <w:rFonts w:ascii="Times New Roman"/>
                <w:sz w:val="22"/>
              </w:rPr>
            </w:pPr>
          </w:p>
        </w:tc>
        <w:tc>
          <w:tcPr>
            <w:tcW w:w="2871" w:type="dxa"/>
          </w:tcPr>
          <w:p>
            <w:pPr>
              <w:pStyle w:val="TableParagraph"/>
              <w:rPr>
                <w:rFonts w:ascii="Times New Roman"/>
                <w:sz w:val="22"/>
              </w:rPr>
            </w:pPr>
          </w:p>
        </w:tc>
        <w:tc>
          <w:tcPr>
            <w:tcW w:w="1436" w:type="dxa"/>
          </w:tcPr>
          <w:p>
            <w:pPr>
              <w:pStyle w:val="TableParagraph"/>
              <w:rPr>
                <w:rFonts w:ascii="Times New Roman"/>
                <w:sz w:val="22"/>
              </w:rPr>
            </w:pPr>
          </w:p>
        </w:tc>
        <w:tc>
          <w:tcPr>
            <w:tcW w:w="1441" w:type="dxa"/>
          </w:tcPr>
          <w:p>
            <w:pPr>
              <w:pStyle w:val="TableParagraph"/>
              <w:rPr>
                <w:rFonts w:ascii="Times New Roman"/>
                <w:sz w:val="22"/>
              </w:rPr>
            </w:pPr>
          </w:p>
        </w:tc>
        <w:tc>
          <w:tcPr>
            <w:tcW w:w="1438" w:type="dxa"/>
          </w:tcPr>
          <w:p>
            <w:pPr>
              <w:pStyle w:val="TableParagraph"/>
              <w:rPr>
                <w:rFonts w:ascii="Times New Roman"/>
                <w:sz w:val="22"/>
              </w:rPr>
            </w:pPr>
          </w:p>
        </w:tc>
      </w:tr>
      <w:tr>
        <w:trPr>
          <w:trHeight w:val="448" w:hRule="atLeast"/>
        </w:trPr>
        <w:tc>
          <w:tcPr>
            <w:tcW w:w="1438" w:type="dxa"/>
          </w:tcPr>
          <w:p>
            <w:pPr>
              <w:pStyle w:val="TableParagraph"/>
              <w:rPr>
                <w:rFonts w:ascii="Times New Roman"/>
                <w:sz w:val="22"/>
              </w:rPr>
            </w:pPr>
          </w:p>
        </w:tc>
        <w:tc>
          <w:tcPr>
            <w:tcW w:w="2871" w:type="dxa"/>
          </w:tcPr>
          <w:p>
            <w:pPr>
              <w:pStyle w:val="TableParagraph"/>
              <w:rPr>
                <w:rFonts w:ascii="Times New Roman"/>
                <w:sz w:val="22"/>
              </w:rPr>
            </w:pPr>
          </w:p>
        </w:tc>
        <w:tc>
          <w:tcPr>
            <w:tcW w:w="1436" w:type="dxa"/>
          </w:tcPr>
          <w:p>
            <w:pPr>
              <w:pStyle w:val="TableParagraph"/>
              <w:rPr>
                <w:rFonts w:ascii="Times New Roman"/>
                <w:sz w:val="22"/>
              </w:rPr>
            </w:pPr>
          </w:p>
        </w:tc>
        <w:tc>
          <w:tcPr>
            <w:tcW w:w="1441" w:type="dxa"/>
          </w:tcPr>
          <w:p>
            <w:pPr>
              <w:pStyle w:val="TableParagraph"/>
              <w:rPr>
                <w:rFonts w:ascii="Times New Roman"/>
                <w:sz w:val="22"/>
              </w:rPr>
            </w:pPr>
          </w:p>
        </w:tc>
        <w:tc>
          <w:tcPr>
            <w:tcW w:w="1438" w:type="dxa"/>
          </w:tcPr>
          <w:p>
            <w:pPr>
              <w:pStyle w:val="TableParagraph"/>
              <w:rPr>
                <w:rFonts w:ascii="Times New Roman"/>
                <w:sz w:val="22"/>
              </w:rPr>
            </w:pPr>
          </w:p>
        </w:tc>
      </w:tr>
      <w:tr>
        <w:trPr>
          <w:trHeight w:val="448" w:hRule="atLeast"/>
        </w:trPr>
        <w:tc>
          <w:tcPr>
            <w:tcW w:w="1438" w:type="dxa"/>
          </w:tcPr>
          <w:p>
            <w:pPr>
              <w:pStyle w:val="TableParagraph"/>
              <w:spacing w:before="96"/>
              <w:ind w:left="526" w:right="652"/>
              <w:jc w:val="center"/>
              <w:rPr>
                <w:rFonts w:ascii="Times New Roman" w:hAnsi="Times New Roman"/>
                <w:sz w:val="21"/>
              </w:rPr>
            </w:pPr>
            <w:r>
              <w:rPr>
                <w:rFonts w:ascii="Times New Roman" w:hAnsi="Times New Roman"/>
                <w:sz w:val="21"/>
              </w:rPr>
              <w:t>···</w:t>
            </w:r>
          </w:p>
        </w:tc>
        <w:tc>
          <w:tcPr>
            <w:tcW w:w="2871" w:type="dxa"/>
          </w:tcPr>
          <w:p>
            <w:pPr>
              <w:pStyle w:val="TableParagraph"/>
              <w:spacing w:before="96"/>
              <w:ind w:left="862" w:right="985"/>
              <w:jc w:val="center"/>
              <w:rPr>
                <w:rFonts w:ascii="Times New Roman" w:hAnsi="Times New Roman"/>
                <w:sz w:val="21"/>
              </w:rPr>
            </w:pPr>
            <w:r>
              <w:rPr>
                <w:rFonts w:ascii="Times New Roman" w:hAnsi="Times New Roman"/>
                <w:sz w:val="21"/>
              </w:rPr>
              <w:t>···</w:t>
            </w:r>
          </w:p>
        </w:tc>
        <w:tc>
          <w:tcPr>
            <w:tcW w:w="1436" w:type="dxa"/>
          </w:tcPr>
          <w:p>
            <w:pPr>
              <w:pStyle w:val="TableParagraph"/>
              <w:rPr>
                <w:rFonts w:ascii="Times New Roman"/>
                <w:sz w:val="22"/>
              </w:rPr>
            </w:pPr>
          </w:p>
        </w:tc>
        <w:tc>
          <w:tcPr>
            <w:tcW w:w="1441" w:type="dxa"/>
          </w:tcPr>
          <w:p>
            <w:pPr>
              <w:pStyle w:val="TableParagraph"/>
              <w:rPr>
                <w:rFonts w:ascii="Times New Roman"/>
                <w:sz w:val="22"/>
              </w:rPr>
            </w:pPr>
          </w:p>
        </w:tc>
        <w:tc>
          <w:tcPr>
            <w:tcW w:w="1438" w:type="dxa"/>
          </w:tcPr>
          <w:p>
            <w:pPr>
              <w:pStyle w:val="TableParagraph"/>
              <w:rPr>
                <w:rFonts w:ascii="Times New Roman"/>
                <w:sz w:val="22"/>
              </w:rPr>
            </w:pPr>
          </w:p>
        </w:tc>
      </w:tr>
    </w:tbl>
    <w:p>
      <w:pPr>
        <w:pStyle w:val="BodyText"/>
        <w:spacing w:before="14"/>
        <w:ind w:left="0"/>
        <w:rPr>
          <w:rFonts w:ascii="Microsoft JhengHei"/>
          <w:b/>
          <w:sz w:val="19"/>
        </w:rPr>
      </w:pPr>
    </w:p>
    <w:p>
      <w:pPr>
        <w:pStyle w:val="BodyText"/>
        <w:spacing w:line="364" w:lineRule="auto"/>
        <w:ind w:right="1155"/>
        <w:jc w:val="both"/>
      </w:pPr>
      <w:r>
        <w:rPr/>
        <w:t>【备注：近</w:t>
      </w:r>
      <w:r>
        <w:rPr>
          <w:spacing w:val="53"/>
          <w:u w:val="single"/>
        </w:rPr>
        <w:t> </w:t>
      </w:r>
      <w:r>
        <w:rPr>
          <w:spacing w:val="-1"/>
        </w:rPr>
        <w:t>年发生的诉讼和仲裁情况仅限于投标人败诉的，且与履行施工承包合同有关的案件，不包括调解结案以及未裁决的仲裁或未终审判决的诉讼。附裁决书、裁定书、仲裁裁决书</w:t>
      </w:r>
      <w:r>
        <w:rPr>
          <w:spacing w:val="-7"/>
        </w:rPr>
        <w:t>及有关文件的扫描件。以上扫描件均为原件的扫描件，由投标人单独上传。】</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tabs>
          <w:tab w:pos="2078" w:val="left" w:leader="none"/>
        </w:tabs>
        <w:spacing w:before="0"/>
        <w:ind w:left="0" w:right="476" w:firstLine="0"/>
        <w:jc w:val="center"/>
        <w:rPr>
          <w:sz w:val="28"/>
        </w:rPr>
      </w:pPr>
      <w:r>
        <w:rPr>
          <w:rFonts w:ascii="Times New Roman" w:eastAsia="Times New Roman"/>
          <w:w w:val="100"/>
          <w:sz w:val="28"/>
          <w:u w:val="single"/>
        </w:rPr>
        <w:t> </w:t>
      </w:r>
      <w:r>
        <w:rPr>
          <w:rFonts w:ascii="Times New Roman" w:eastAsia="Times New Roman"/>
          <w:sz w:val="28"/>
          <w:u w:val="single"/>
        </w:rPr>
        <w:tab/>
      </w:r>
      <w:r>
        <w:rPr>
          <w:sz w:val="28"/>
        </w:rPr>
        <w:t>（</w:t>
      </w:r>
      <w:r>
        <w:rPr>
          <w:spacing w:val="-1"/>
          <w:sz w:val="28"/>
        </w:rPr>
        <w:t>项目名称</w:t>
      </w:r>
      <w:r>
        <w:rPr>
          <w:sz w:val="28"/>
        </w:rPr>
        <w:t>）</w:t>
      </w:r>
      <w:r>
        <w:rPr>
          <w:spacing w:val="-3"/>
          <w:sz w:val="28"/>
        </w:rPr>
        <w:t>施工招标</w:t>
      </w:r>
    </w:p>
    <w:p>
      <w:pPr>
        <w:pStyle w:val="BodyText"/>
        <w:ind w:left="0"/>
        <w:rPr>
          <w:sz w:val="20"/>
        </w:rPr>
      </w:pPr>
    </w:p>
    <w:p>
      <w:pPr>
        <w:pStyle w:val="BodyText"/>
        <w:spacing w:before="10"/>
        <w:ind w:left="0"/>
      </w:pPr>
    </w:p>
    <w:p>
      <w:pPr>
        <w:tabs>
          <w:tab w:pos="1039" w:val="left" w:leader="none"/>
          <w:tab w:pos="2081" w:val="left" w:leader="none"/>
          <w:tab w:pos="3120" w:val="left" w:leader="none"/>
        </w:tabs>
        <w:spacing w:before="27"/>
        <w:ind w:left="0" w:right="475" w:firstLine="0"/>
        <w:jc w:val="center"/>
        <w:rPr>
          <w:sz w:val="52"/>
        </w:rPr>
      </w:pPr>
      <w:r>
        <w:rPr>
          <w:sz w:val="52"/>
        </w:rPr>
        <w:t>投</w:t>
        <w:tab/>
        <w:t>标</w:t>
        <w:tab/>
        <w:t>文</w:t>
        <w:tab/>
        <w:t>件</w:t>
      </w:r>
    </w:p>
    <w:p>
      <w:pPr>
        <w:spacing w:after="0"/>
        <w:jc w:val="center"/>
        <w:rPr>
          <w:sz w:val="52"/>
        </w:rPr>
        <w:sectPr>
          <w:pgSz w:w="11910" w:h="16850"/>
          <w:pgMar w:header="0" w:footer="779" w:top="1380" w:bottom="1040" w:left="1120" w:right="280"/>
        </w:sectPr>
      </w:pPr>
    </w:p>
    <w:p>
      <w:pPr>
        <w:pStyle w:val="BodyText"/>
        <w:ind w:left="0"/>
        <w:rPr>
          <w:sz w:val="20"/>
        </w:rPr>
      </w:pPr>
    </w:p>
    <w:p>
      <w:pPr>
        <w:pStyle w:val="BodyText"/>
        <w:ind w:left="0"/>
        <w:rPr>
          <w:sz w:val="20"/>
        </w:rPr>
      </w:pPr>
    </w:p>
    <w:p>
      <w:pPr>
        <w:pStyle w:val="BodyText"/>
        <w:ind w:left="0"/>
        <w:rPr>
          <w:sz w:val="28"/>
        </w:rPr>
      </w:pPr>
    </w:p>
    <w:p>
      <w:pPr>
        <w:tabs>
          <w:tab w:pos="4983" w:val="left" w:leader="none"/>
        </w:tabs>
        <w:spacing w:before="70"/>
        <w:ind w:left="297" w:right="0" w:firstLine="0"/>
        <w:jc w:val="center"/>
        <w:rPr>
          <w:rFonts w:ascii="Times New Roman" w:eastAsia="Times New Roman"/>
          <w:sz w:val="28"/>
        </w:rPr>
      </w:pPr>
      <w:r>
        <w:rPr>
          <w:sz w:val="28"/>
        </w:rPr>
        <w:t>项目招</w:t>
      </w:r>
      <w:r>
        <w:rPr>
          <w:spacing w:val="-3"/>
          <w:sz w:val="28"/>
        </w:rPr>
        <w:t>标</w:t>
      </w:r>
      <w:r>
        <w:rPr>
          <w:sz w:val="28"/>
        </w:rPr>
        <w:t>编号：</w:t>
      </w:r>
      <w:r>
        <w:rPr>
          <w:rFonts w:ascii="Times New Roman" w:eastAsia="Times New Roman"/>
          <w:sz w:val="28"/>
          <w:u w:val="single"/>
        </w:rPr>
        <w:t> </w:t>
        <w:tab/>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6"/>
        </w:rPr>
      </w:pPr>
    </w:p>
    <w:p>
      <w:pPr>
        <w:tabs>
          <w:tab w:pos="5156" w:val="left" w:leader="none"/>
          <w:tab w:pos="5716" w:val="left" w:leader="none"/>
          <w:tab w:pos="7807" w:val="left" w:leader="none"/>
          <w:tab w:pos="8100" w:val="left" w:leader="none"/>
        </w:tabs>
        <w:spacing w:line="364" w:lineRule="auto" w:before="71"/>
        <w:ind w:left="2077" w:right="1012" w:firstLine="0"/>
        <w:jc w:val="left"/>
        <w:rPr>
          <w:sz w:val="28"/>
        </w:rPr>
      </w:pPr>
      <w:r>
        <w:rPr>
          <w:sz w:val="28"/>
        </w:rPr>
        <w:t>投标内</w:t>
      </w:r>
      <w:r>
        <w:rPr>
          <w:spacing w:val="-3"/>
          <w:sz w:val="28"/>
        </w:rPr>
        <w:t>容</w:t>
      </w:r>
      <w:r>
        <w:rPr>
          <w:sz w:val="28"/>
        </w:rPr>
        <w:t>：</w:t>
      </w:r>
      <w:r>
        <w:rPr>
          <w:sz w:val="28"/>
          <w:u w:val="single"/>
        </w:rPr>
        <w:t> </w:t>
        <w:tab/>
        <w:t>商务标部分</w:t>
        <w:tab/>
        <w:tab/>
      </w:r>
      <w:r>
        <w:rPr>
          <w:sz w:val="28"/>
        </w:rPr>
        <w:t>                   投标人</w:t>
      </w:r>
      <w:r>
        <w:rPr>
          <w:spacing w:val="-5"/>
          <w:sz w:val="28"/>
        </w:rPr>
        <w:t>：</w:t>
      </w:r>
      <w:r>
        <w:rPr>
          <w:spacing w:val="-5"/>
          <w:sz w:val="28"/>
          <w:u w:val="single"/>
        </w:rPr>
        <w:t> </w:t>
        <w:tab/>
        <w:tab/>
        <w:tab/>
      </w:r>
      <w:r>
        <w:rPr>
          <w:sz w:val="28"/>
        </w:rPr>
        <w:t>（盖单位章</w:t>
      </w:r>
      <w:r>
        <w:rPr>
          <w:spacing w:val="-18"/>
          <w:sz w:val="28"/>
        </w:rPr>
        <w:t>） </w:t>
      </w:r>
      <w:r>
        <w:rPr>
          <w:sz w:val="28"/>
        </w:rPr>
        <w:t>法定代</w:t>
      </w:r>
      <w:r>
        <w:rPr>
          <w:spacing w:val="-3"/>
          <w:sz w:val="28"/>
        </w:rPr>
        <w:t>表</w:t>
      </w:r>
      <w:r>
        <w:rPr>
          <w:sz w:val="28"/>
        </w:rPr>
        <w:t>人：</w:t>
      </w:r>
      <w:r>
        <w:rPr>
          <w:sz w:val="28"/>
          <w:u w:val="single"/>
        </w:rPr>
        <w:t> </w:t>
        <w:tab/>
        <w:tab/>
      </w:r>
      <w:r>
        <w:rPr>
          <w:sz w:val="28"/>
        </w:rPr>
        <w:t>（签字或盖章）</w:t>
      </w:r>
    </w:p>
    <w:p>
      <w:pPr>
        <w:pStyle w:val="BodyText"/>
        <w:ind w:left="0"/>
        <w:rPr>
          <w:sz w:val="20"/>
        </w:rPr>
      </w:pPr>
    </w:p>
    <w:p>
      <w:pPr>
        <w:pStyle w:val="BodyText"/>
        <w:spacing w:before="9"/>
        <w:ind w:left="0"/>
        <w:rPr>
          <w:sz w:val="25"/>
        </w:rPr>
      </w:pPr>
    </w:p>
    <w:p>
      <w:pPr>
        <w:tabs>
          <w:tab w:pos="1257" w:val="left" w:leader="none"/>
          <w:tab w:pos="2798" w:val="left" w:leader="none"/>
          <w:tab w:pos="4339" w:val="left" w:leader="none"/>
        </w:tabs>
        <w:spacing w:before="61"/>
        <w:ind w:left="0" w:right="475" w:firstLine="0"/>
        <w:jc w:val="center"/>
        <w:rPr>
          <w:sz w:val="28"/>
        </w:rPr>
      </w:pPr>
      <w:r>
        <w:rPr>
          <w:rFonts w:ascii="Times New Roman" w:eastAsia="Times New Roman"/>
          <w:w w:val="100"/>
          <w:sz w:val="28"/>
          <w:u w:val="single"/>
        </w:rPr>
        <w:t> </w:t>
      </w:r>
      <w:r>
        <w:rPr>
          <w:rFonts w:ascii="Times New Roman" w:eastAsia="Times New Roman"/>
          <w:sz w:val="28"/>
          <w:u w:val="single"/>
        </w:rPr>
        <w:tab/>
      </w:r>
      <w:r>
        <w:rPr>
          <w:sz w:val="28"/>
        </w:rPr>
        <w:t>年</w:t>
      </w:r>
      <w:r>
        <w:rPr>
          <w:sz w:val="28"/>
          <w:u w:val="single"/>
        </w:rPr>
        <w:t> </w:t>
        <w:tab/>
      </w:r>
      <w:r>
        <w:rPr>
          <w:sz w:val="28"/>
        </w:rPr>
        <w:t>月</w:t>
      </w:r>
      <w:r>
        <w:rPr>
          <w:sz w:val="28"/>
          <w:u w:val="single"/>
        </w:rPr>
        <w:t> </w:t>
        <w:tab/>
      </w:r>
      <w:r>
        <w:rPr>
          <w:sz w:val="28"/>
        </w:rPr>
        <w:t>日</w:t>
      </w:r>
    </w:p>
    <w:p>
      <w:pPr>
        <w:spacing w:after="0"/>
        <w:jc w:val="center"/>
        <w:rPr>
          <w:sz w:val="28"/>
        </w:rPr>
        <w:sectPr>
          <w:pgSz w:w="11910" w:h="16850"/>
          <w:pgMar w:header="0" w:footer="779" w:top="1600" w:bottom="1040" w:left="1120" w:right="280"/>
        </w:sectPr>
      </w:pPr>
    </w:p>
    <w:p>
      <w:pPr>
        <w:pStyle w:val="Heading6"/>
        <w:spacing w:line="401" w:lineRule="exact"/>
        <w:ind w:right="775"/>
      </w:pPr>
      <w:bookmarkStart w:name="一、投标函" w:id="507"/>
      <w:bookmarkEnd w:id="507"/>
      <w:r>
        <w:rPr>
          <w:b w:val="0"/>
        </w:rPr>
      </w:r>
      <w:bookmarkStart w:name="_bookmark117" w:id="508"/>
      <w:bookmarkEnd w:id="508"/>
      <w:r>
        <w:rPr>
          <w:b w:val="0"/>
        </w:rPr>
      </w:r>
      <w:r>
        <w:rPr/>
        <w:t>一、投标函</w:t>
      </w:r>
    </w:p>
    <w:p>
      <w:pPr>
        <w:pStyle w:val="BodyText"/>
        <w:spacing w:before="6"/>
        <w:ind w:left="0"/>
        <w:rPr>
          <w:rFonts w:ascii="Microsoft JhengHei"/>
          <w:b/>
          <w:sz w:val="14"/>
        </w:rPr>
      </w:pPr>
    </w:p>
    <w:p>
      <w:pPr>
        <w:pStyle w:val="BodyText"/>
        <w:ind w:left="1098"/>
      </w:pPr>
      <w:r>
        <w:rPr>
          <w:rFonts w:ascii="Times New Roman" w:eastAsia="Times New Roman"/>
        </w:rPr>
        <w:t>1</w:t>
      </w:r>
      <w:r>
        <w:rPr>
          <w:spacing w:val="-7"/>
        </w:rPr>
        <w:t>、根据你方项目招标编号为</w:t>
      </w:r>
      <w:r>
        <w:rPr>
          <w:spacing w:val="79"/>
          <w:u w:val="single"/>
        </w:rPr>
        <w:t> </w:t>
      </w:r>
      <w:r>
        <w:rPr>
          <w:u w:val="single"/>
        </w:rPr>
        <w:t>（</w:t>
      </w:r>
      <w:r>
        <w:rPr>
          <w:spacing w:val="-3"/>
          <w:u w:val="single"/>
        </w:rPr>
        <w:t>项目招标编号</w:t>
      </w:r>
      <w:r>
        <w:rPr>
          <w:u w:val="single"/>
        </w:rPr>
        <w:t>）</w:t>
      </w:r>
      <w:r>
        <w:rPr>
          <w:spacing w:val="76"/>
          <w:u w:val="single"/>
        </w:rPr>
        <w:t> </w:t>
      </w:r>
      <w:r>
        <w:rPr/>
        <w:t>的</w:t>
      </w:r>
      <w:r>
        <w:rPr>
          <w:spacing w:val="79"/>
          <w:u w:val="single"/>
        </w:rPr>
        <w:t> </w:t>
      </w:r>
      <w:r>
        <w:rPr>
          <w:u w:val="single"/>
        </w:rPr>
        <w:t>（</w:t>
      </w:r>
      <w:r>
        <w:rPr>
          <w:spacing w:val="-3"/>
          <w:u w:val="single"/>
        </w:rPr>
        <w:t>工程项目名称</w:t>
      </w:r>
      <w:r>
        <w:rPr>
          <w:u w:val="single"/>
        </w:rPr>
        <w:t>）</w:t>
      </w:r>
      <w:r>
        <w:rPr>
          <w:spacing w:val="77"/>
          <w:u w:val="single"/>
        </w:rPr>
        <w:t> </w:t>
      </w:r>
      <w:r>
        <w:rPr>
          <w:spacing w:val="-2"/>
        </w:rPr>
        <w:t>工程招标文件，</w:t>
      </w:r>
    </w:p>
    <w:p>
      <w:pPr>
        <w:pStyle w:val="BodyText"/>
        <w:spacing w:before="2"/>
        <w:ind w:left="0"/>
        <w:rPr>
          <w:sz w:val="9"/>
        </w:rPr>
      </w:pPr>
    </w:p>
    <w:p>
      <w:pPr>
        <w:pStyle w:val="BodyText"/>
        <w:tabs>
          <w:tab w:pos="1731" w:val="left" w:leader="none"/>
        </w:tabs>
        <w:spacing w:line="410" w:lineRule="auto" w:before="72"/>
        <w:ind w:right="1151"/>
        <w:jc w:val="both"/>
      </w:pPr>
      <w:r>
        <w:rPr/>
        <w:t>遵照《中华人民共和国招标投标法》等有关规定，经踏勘项目现场和研究上述招标文件的投</w:t>
      </w:r>
      <w:r>
        <w:rPr>
          <w:spacing w:val="-12"/>
        </w:rPr>
        <w:t>标</w:t>
      </w:r>
      <w:r>
        <w:rPr/>
        <w:t>须知、合同条款、图纸、工程建设标准和工程量清单及其他有关文件后，我方愿以人民币（</w:t>
      </w:r>
      <w:r>
        <w:rPr>
          <w:spacing w:val="-12"/>
        </w:rPr>
        <w:t>大</w:t>
      </w:r>
      <w:r>
        <w:rPr/>
        <w:t>写）</w:t>
      </w:r>
      <w:r>
        <w:rPr>
          <w:u w:val="single"/>
        </w:rPr>
        <w:t> </w:t>
        <w:tab/>
      </w:r>
      <w:r>
        <w:rPr/>
        <w:t>（</w:t>
      </w:r>
      <w:r>
        <w:rPr>
          <w:rFonts w:ascii="Times New Roman" w:eastAsia="Times New Roman"/>
        </w:rPr>
        <w:t>RMB</w:t>
      </w:r>
      <w:r>
        <w:rPr>
          <w:u w:val="single"/>
        </w:rPr>
        <w:t>￥</w:t>
      </w:r>
      <w:r>
        <w:rPr>
          <w:spacing w:val="35"/>
          <w:u w:val="single"/>
        </w:rPr>
        <w:t> </w:t>
      </w:r>
      <w:r>
        <w:rPr/>
        <w:t>元）</w:t>
      </w:r>
      <w:r>
        <w:rPr>
          <w:spacing w:val="-3"/>
        </w:rPr>
        <w:t>的</w:t>
      </w:r>
      <w:r>
        <w:rPr/>
        <w:t>投标</w:t>
      </w:r>
      <w:r>
        <w:rPr>
          <w:spacing w:val="-3"/>
        </w:rPr>
        <w:t>总</w:t>
      </w:r>
      <w:r>
        <w:rPr/>
        <w:t>价</w:t>
      </w:r>
      <w:r>
        <w:rPr>
          <w:spacing w:val="-3"/>
        </w:rPr>
        <w:t>并</w:t>
      </w:r>
      <w:r>
        <w:rPr/>
        <w:t>按</w:t>
      </w:r>
      <w:r>
        <w:rPr>
          <w:spacing w:val="-3"/>
        </w:rPr>
        <w:t>上</w:t>
      </w:r>
      <w:r>
        <w:rPr/>
        <w:t>述图纸</w:t>
      </w:r>
      <w:r>
        <w:rPr>
          <w:spacing w:val="-3"/>
        </w:rPr>
        <w:t>、</w:t>
      </w:r>
      <w:r>
        <w:rPr/>
        <w:t>合</w:t>
      </w:r>
      <w:r>
        <w:rPr>
          <w:spacing w:val="-3"/>
        </w:rPr>
        <w:t>同</w:t>
      </w:r>
      <w:r>
        <w:rPr/>
        <w:t>条款</w:t>
      </w:r>
      <w:r>
        <w:rPr>
          <w:spacing w:val="-3"/>
        </w:rPr>
        <w:t>、</w:t>
      </w:r>
      <w:r>
        <w:rPr/>
        <w:t>工</w:t>
      </w:r>
      <w:r>
        <w:rPr>
          <w:spacing w:val="-3"/>
        </w:rPr>
        <w:t>程</w:t>
      </w:r>
      <w:r>
        <w:rPr/>
        <w:t>建设标</w:t>
      </w:r>
      <w:r>
        <w:rPr>
          <w:spacing w:val="-3"/>
        </w:rPr>
        <w:t>准</w:t>
      </w:r>
      <w:r>
        <w:rPr/>
        <w:t>和</w:t>
      </w:r>
      <w:r>
        <w:rPr>
          <w:spacing w:val="-3"/>
        </w:rPr>
        <w:t>工</w:t>
      </w:r>
      <w:r>
        <w:rPr/>
        <w:t>程量</w:t>
      </w:r>
    </w:p>
    <w:p>
      <w:pPr>
        <w:pStyle w:val="BodyText"/>
        <w:tabs>
          <w:tab w:pos="3092" w:val="left" w:leader="none"/>
        </w:tabs>
        <w:spacing w:line="410" w:lineRule="auto"/>
        <w:ind w:right="1155"/>
      </w:pPr>
      <w:r>
        <w:rPr/>
        <w:t>清单（如有时）的条件要求承包上述工程的施工、竣工，并承担任何质量缺陷保修责任。我</w:t>
      </w:r>
      <w:r>
        <w:rPr>
          <w:spacing w:val="-16"/>
        </w:rPr>
        <w:t>方</w:t>
      </w:r>
      <w:r>
        <w:rPr/>
        <w:t>保证</w:t>
      </w:r>
      <w:r>
        <w:rPr>
          <w:spacing w:val="-3"/>
        </w:rPr>
        <w:t>工</w:t>
      </w:r>
      <w:r>
        <w:rPr/>
        <w:t>程</w:t>
      </w:r>
      <w:r>
        <w:rPr>
          <w:spacing w:val="-3"/>
        </w:rPr>
        <w:t>质</w:t>
      </w:r>
      <w:r>
        <w:rPr/>
        <w:t>量</w:t>
      </w:r>
      <w:r>
        <w:rPr>
          <w:spacing w:val="-3"/>
        </w:rPr>
        <w:t>达</w:t>
      </w:r>
      <w:r>
        <w:rPr/>
        <w:t>到</w:t>
      </w:r>
      <w:r>
        <w:rPr>
          <w:u w:val="single"/>
        </w:rPr>
        <w:t> </w:t>
        <w:tab/>
      </w:r>
      <w:r>
        <w:rPr/>
        <w:t>等级。</w:t>
      </w:r>
    </w:p>
    <w:p>
      <w:pPr>
        <w:pStyle w:val="BodyText"/>
        <w:spacing w:before="1"/>
        <w:ind w:left="1098"/>
      </w:pPr>
      <w:r>
        <w:rPr>
          <w:rFonts w:ascii="Times New Roman" w:eastAsia="Times New Roman"/>
        </w:rPr>
        <w:t>2</w:t>
      </w:r>
      <w:r>
        <w:rPr/>
        <w:t>、我方已详细审核全部招标文件，包括修改文件（如有时）及有关附件。</w:t>
      </w:r>
    </w:p>
    <w:p>
      <w:pPr>
        <w:pStyle w:val="BodyText"/>
        <w:spacing w:before="190"/>
        <w:ind w:left="1098"/>
      </w:pPr>
      <w:r>
        <w:rPr>
          <w:rFonts w:ascii="Times New Roman" w:eastAsia="Times New Roman"/>
        </w:rPr>
        <w:t>3</w:t>
      </w:r>
      <w:r>
        <w:rPr/>
        <w:t>、我方承认投标函附录是我方投标函的组成部分。</w:t>
      </w:r>
    </w:p>
    <w:p>
      <w:pPr>
        <w:pStyle w:val="BodyText"/>
        <w:tabs>
          <w:tab w:pos="6515" w:val="left" w:leader="none"/>
        </w:tabs>
        <w:spacing w:before="192"/>
        <w:ind w:left="1098"/>
      </w:pPr>
      <w:r>
        <w:rPr>
          <w:rFonts w:ascii="Times New Roman" w:eastAsia="Times New Roman"/>
        </w:rPr>
        <w:t>4</w:t>
      </w:r>
      <w:r>
        <w:rPr>
          <w:spacing w:val="-75"/>
        </w:rPr>
        <w:t>、</w:t>
      </w:r>
      <w:r>
        <w:rPr>
          <w:spacing w:val="-3"/>
        </w:rPr>
        <w:t>一</w:t>
      </w:r>
      <w:r>
        <w:rPr/>
        <w:t>旦</w:t>
      </w:r>
      <w:r>
        <w:rPr>
          <w:spacing w:val="-3"/>
        </w:rPr>
        <w:t>我</w:t>
      </w:r>
      <w:r>
        <w:rPr/>
        <w:t>方</w:t>
      </w:r>
      <w:r>
        <w:rPr>
          <w:spacing w:val="-3"/>
        </w:rPr>
        <w:t>中标</w:t>
      </w:r>
      <w:r>
        <w:rPr>
          <w:spacing w:val="-75"/>
        </w:rPr>
        <w:t>，</w:t>
      </w:r>
      <w:r>
        <w:rPr>
          <w:spacing w:val="-3"/>
        </w:rPr>
        <w:t>我</w:t>
      </w:r>
      <w:r>
        <w:rPr/>
        <w:t>方</w:t>
      </w:r>
      <w:r>
        <w:rPr>
          <w:spacing w:val="-3"/>
        </w:rPr>
        <w:t>保</w:t>
      </w:r>
      <w:r>
        <w:rPr/>
        <w:t>证按</w:t>
      </w:r>
      <w:r>
        <w:rPr>
          <w:spacing w:val="-3"/>
        </w:rPr>
        <w:t>合</w:t>
      </w:r>
      <w:r>
        <w:rPr/>
        <w:t>同</w:t>
      </w:r>
      <w:r>
        <w:rPr>
          <w:spacing w:val="-3"/>
        </w:rPr>
        <w:t>书</w:t>
      </w:r>
      <w:r>
        <w:rPr/>
        <w:t>中</w:t>
      </w:r>
      <w:r>
        <w:rPr>
          <w:spacing w:val="-3"/>
        </w:rPr>
        <w:t>规</w:t>
      </w:r>
      <w:r>
        <w:rPr/>
        <w:t>定</w:t>
      </w:r>
      <w:r>
        <w:rPr>
          <w:spacing w:val="-3"/>
        </w:rPr>
        <w:t>的</w:t>
      </w:r>
      <w:r>
        <w:rPr/>
        <w:t>工</w:t>
      </w:r>
      <w:r>
        <w:rPr>
          <w:spacing w:val="-3"/>
        </w:rPr>
        <w:t>期</w:t>
      </w:r>
      <w:r>
        <w:rPr>
          <w:spacing w:val="-3"/>
          <w:u w:val="single"/>
        </w:rPr>
        <w:t> </w:t>
        <w:tab/>
      </w:r>
      <w:r>
        <w:rPr>
          <w:spacing w:val="-3"/>
        </w:rPr>
        <w:t>日</w:t>
      </w:r>
      <w:r>
        <w:rPr/>
        <w:t>历</w:t>
      </w:r>
      <w:r>
        <w:rPr>
          <w:spacing w:val="-3"/>
        </w:rPr>
        <w:t>天</w:t>
      </w:r>
      <w:r>
        <w:rPr/>
        <w:t>内</w:t>
      </w:r>
      <w:r>
        <w:rPr>
          <w:spacing w:val="-3"/>
        </w:rPr>
        <w:t>完</w:t>
      </w:r>
      <w:r>
        <w:rPr/>
        <w:t>成</w:t>
      </w:r>
      <w:r>
        <w:rPr>
          <w:spacing w:val="-3"/>
        </w:rPr>
        <w:t>并移</w:t>
      </w:r>
      <w:r>
        <w:rPr/>
        <w:t>交全</w:t>
      </w:r>
      <w:r>
        <w:rPr>
          <w:spacing w:val="-3"/>
        </w:rPr>
        <w:t>部</w:t>
      </w:r>
      <w:r>
        <w:rPr/>
        <w:t>工</w:t>
      </w:r>
      <w:r>
        <w:rPr>
          <w:spacing w:val="-3"/>
        </w:rPr>
        <w:t>程</w:t>
      </w:r>
      <w:r>
        <w:rPr/>
        <w:t>。</w:t>
      </w:r>
    </w:p>
    <w:p>
      <w:pPr>
        <w:pStyle w:val="BodyText"/>
        <w:spacing w:before="191"/>
        <w:ind w:left="1098"/>
      </w:pPr>
      <w:r>
        <w:rPr>
          <w:rFonts w:ascii="Times New Roman" w:eastAsia="Times New Roman"/>
        </w:rPr>
        <w:t>5</w:t>
      </w:r>
      <w:r>
        <w:rPr/>
        <w:t>、如果我方中标，我方将按照文件规定提交履约保证金作为履约担保。</w:t>
      </w:r>
    </w:p>
    <w:p>
      <w:pPr>
        <w:pStyle w:val="BodyText"/>
        <w:spacing w:line="410" w:lineRule="auto" w:before="190"/>
        <w:ind w:right="1151" w:firstLine="419"/>
      </w:pPr>
      <w:r>
        <w:rPr>
          <w:rFonts w:ascii="Times New Roman" w:hAnsi="Times New Roman" w:eastAsia="Times New Roman"/>
        </w:rPr>
        <w:t>6</w:t>
      </w:r>
      <w:r>
        <w:rPr/>
        <w:t>、我方同意所提交的投标文件在招标文件的“投标人须知”中第 </w:t>
      </w:r>
      <w:r>
        <w:rPr>
          <w:rFonts w:ascii="Times New Roman" w:hAnsi="Times New Roman" w:eastAsia="Times New Roman"/>
        </w:rPr>
        <w:t>3.3.1 </w:t>
      </w:r>
      <w:r>
        <w:rPr/>
        <w:t>条规定的投标有效期内有效，在此期间内如果中标，我方将受此约束。</w:t>
      </w:r>
    </w:p>
    <w:p>
      <w:pPr>
        <w:pStyle w:val="BodyText"/>
        <w:spacing w:line="408" w:lineRule="auto" w:before="1"/>
        <w:ind w:right="1151" w:firstLine="419"/>
      </w:pPr>
      <w:r>
        <w:rPr>
          <w:rFonts w:ascii="Times New Roman" w:eastAsia="Times New Roman"/>
        </w:rPr>
        <w:t>7</w:t>
      </w:r>
      <w:r>
        <w:rPr>
          <w:spacing w:val="-8"/>
        </w:rPr>
        <w:t>、除非另外达成协议并生效，你方的中标通知书和本投标文件将成为约束双方的合同文件</w:t>
      </w:r>
      <w:r>
        <w:rPr>
          <w:spacing w:val="-5"/>
        </w:rPr>
        <w:t>的组成部分。</w:t>
      </w:r>
    </w:p>
    <w:p>
      <w:pPr>
        <w:pStyle w:val="BodyText"/>
        <w:tabs>
          <w:tab w:pos="6736" w:val="left" w:leader="none"/>
          <w:tab w:pos="8721" w:val="left" w:leader="none"/>
        </w:tabs>
        <w:spacing w:before="5"/>
        <w:ind w:left="1098"/>
      </w:pPr>
      <w:r>
        <w:rPr>
          <w:rFonts w:ascii="Times New Roman" w:eastAsia="Times New Roman"/>
        </w:rPr>
        <w:t>8</w:t>
      </w:r>
      <w:r>
        <w:rPr>
          <w:spacing w:val="-13"/>
        </w:rPr>
        <w:t>、</w:t>
      </w:r>
      <w:r>
        <w:rPr/>
        <w:t>我</w:t>
      </w:r>
      <w:r>
        <w:rPr>
          <w:spacing w:val="-3"/>
        </w:rPr>
        <w:t>方</w:t>
      </w:r>
      <w:r>
        <w:rPr/>
        <w:t>将</w:t>
      </w:r>
      <w:r>
        <w:rPr>
          <w:spacing w:val="-3"/>
        </w:rPr>
        <w:t>与</w:t>
      </w:r>
      <w:r>
        <w:rPr/>
        <w:t>本</w:t>
      </w:r>
      <w:r>
        <w:rPr>
          <w:spacing w:val="-3"/>
        </w:rPr>
        <w:t>投</w:t>
      </w:r>
      <w:r>
        <w:rPr/>
        <w:t>标</w:t>
      </w:r>
      <w:r>
        <w:rPr>
          <w:spacing w:val="-3"/>
        </w:rPr>
        <w:t>函</w:t>
      </w:r>
      <w:r>
        <w:rPr/>
        <w:t>一</w:t>
      </w:r>
      <w:r>
        <w:rPr>
          <w:spacing w:val="-3"/>
        </w:rPr>
        <w:t>起</w:t>
      </w:r>
      <w:r>
        <w:rPr>
          <w:spacing w:val="-13"/>
        </w:rPr>
        <w:t>，</w:t>
      </w:r>
      <w:r>
        <w:rPr/>
        <w:t>提</w:t>
      </w:r>
      <w:r>
        <w:rPr>
          <w:spacing w:val="-3"/>
        </w:rPr>
        <w:t>交</w:t>
      </w:r>
      <w:r>
        <w:rPr/>
        <w:t>无</w:t>
      </w:r>
      <w:r>
        <w:rPr>
          <w:spacing w:val="-3"/>
        </w:rPr>
        <w:t>条</w:t>
      </w:r>
      <w:r>
        <w:rPr/>
        <w:t>件</w:t>
      </w:r>
      <w:r>
        <w:rPr>
          <w:spacing w:val="-3"/>
        </w:rPr>
        <w:t>保</w:t>
      </w:r>
      <w:r>
        <w:rPr>
          <w:spacing w:val="-13"/>
        </w:rPr>
        <w:t>函</w:t>
      </w:r>
      <w:r>
        <w:rPr/>
        <w:t>（</w:t>
      </w:r>
      <w:r>
        <w:rPr>
          <w:spacing w:val="-3"/>
        </w:rPr>
        <w:t>保证</w:t>
      </w:r>
      <w:r>
        <w:rPr/>
        <w:t>额度</w:t>
      </w:r>
      <w:r>
        <w:rPr>
          <w:u w:val="single"/>
        </w:rPr>
        <w:t> </w:t>
        <w:tab/>
        <w:t>元</w:t>
      </w:r>
      <w:r>
        <w:rPr>
          <w:spacing w:val="-13"/>
        </w:rPr>
        <w:t>）</w:t>
      </w:r>
      <w:r>
        <w:rPr>
          <w:spacing w:val="-3"/>
        </w:rPr>
        <w:t>或</w:t>
      </w:r>
      <w:r>
        <w:rPr/>
        <w:t>人</w:t>
      </w:r>
      <w:r>
        <w:rPr>
          <w:spacing w:val="-3"/>
        </w:rPr>
        <w:t>民</w:t>
      </w:r>
      <w:r>
        <w:rPr/>
        <w:t>币</w:t>
      </w:r>
      <w:r>
        <w:rPr>
          <w:u w:val="single"/>
        </w:rPr>
        <w:t> </w:t>
        <w:tab/>
      </w:r>
      <w:r>
        <w:rPr/>
        <w:t>元</w:t>
      </w:r>
      <w:r>
        <w:rPr>
          <w:spacing w:val="-3"/>
        </w:rPr>
        <w:t>作</w:t>
      </w:r>
      <w:r>
        <w:rPr/>
        <w:t>为</w:t>
      </w:r>
    </w:p>
    <w:p>
      <w:pPr>
        <w:pStyle w:val="BodyText"/>
        <w:spacing w:before="5"/>
        <w:ind w:left="0"/>
        <w:rPr>
          <w:sz w:val="9"/>
        </w:rPr>
      </w:pPr>
    </w:p>
    <w:p>
      <w:pPr>
        <w:pStyle w:val="BodyText"/>
        <w:spacing w:before="71"/>
      </w:pPr>
      <w:r>
        <w:rPr/>
        <w:t>投标保证金。</w:t>
      </w:r>
    </w:p>
    <w:p>
      <w:pPr>
        <w:pStyle w:val="BodyText"/>
        <w:ind w:left="0"/>
        <w:rPr>
          <w:sz w:val="20"/>
        </w:rPr>
      </w:pPr>
    </w:p>
    <w:p>
      <w:pPr>
        <w:pStyle w:val="BodyText"/>
        <w:ind w:left="0"/>
        <w:rPr>
          <w:sz w:val="20"/>
        </w:rPr>
      </w:pPr>
    </w:p>
    <w:p>
      <w:pPr>
        <w:pStyle w:val="BodyText"/>
        <w:ind w:left="0"/>
        <w:rPr>
          <w:sz w:val="20"/>
        </w:rPr>
      </w:pPr>
    </w:p>
    <w:p>
      <w:pPr>
        <w:pStyle w:val="BodyText"/>
        <w:spacing w:before="11"/>
        <w:ind w:left="0"/>
      </w:pPr>
    </w:p>
    <w:p>
      <w:pPr>
        <w:pStyle w:val="BodyText"/>
        <w:tabs>
          <w:tab w:pos="7874" w:val="left" w:leader="none"/>
          <w:tab w:pos="7922" w:val="left" w:leader="none"/>
        </w:tabs>
        <w:spacing w:line="364" w:lineRule="auto" w:before="72"/>
        <w:ind w:left="2624" w:right="1369"/>
        <w:rPr>
          <w:rFonts w:ascii="Times New Roman" w:eastAsia="Times New Roman"/>
        </w:rPr>
      </w:pPr>
      <w:r>
        <w:rPr/>
        <w:t>投 标</w:t>
      </w:r>
      <w:r>
        <w:rPr>
          <w:spacing w:val="1"/>
        </w:rPr>
        <w:t> </w:t>
      </w:r>
      <w:r>
        <w:rPr>
          <w:spacing w:val="-3"/>
        </w:rPr>
        <w:t>人</w:t>
      </w:r>
      <w:r>
        <w:rPr/>
        <w:t>：</w:t>
      </w:r>
      <w:r>
        <w:rPr>
          <w:u w:val="single"/>
        </w:rPr>
        <w:t> </w:t>
        <w:tab/>
        <w:t>（</w:t>
      </w:r>
      <w:r>
        <w:rPr>
          <w:spacing w:val="-3"/>
          <w:u w:val="single"/>
        </w:rPr>
        <w:t>盖</w:t>
      </w:r>
      <w:r>
        <w:rPr>
          <w:u w:val="single"/>
        </w:rPr>
        <w:t>单</w:t>
      </w:r>
      <w:r>
        <w:rPr>
          <w:spacing w:val="-3"/>
          <w:u w:val="single"/>
        </w:rPr>
        <w:t>位章</w:t>
      </w:r>
      <w:r>
        <w:rPr>
          <w:spacing w:val="-15"/>
          <w:u w:val="single"/>
        </w:rPr>
        <w:t>） </w:t>
      </w:r>
      <w:r>
        <w:rPr/>
        <w:t>单</w:t>
      </w:r>
      <w:r>
        <w:rPr>
          <w:spacing w:val="-3"/>
        </w:rPr>
        <w:t>位</w:t>
      </w:r>
      <w:r>
        <w:rPr/>
        <w:t>地</w:t>
      </w:r>
      <w:r>
        <w:rPr>
          <w:spacing w:val="-3"/>
        </w:rPr>
        <w:t>址</w:t>
      </w:r>
      <w:r>
        <w:rPr/>
        <w:t>：</w:t>
      </w:r>
      <w:r>
        <w:rPr>
          <w:rFonts w:ascii="Times New Roman" w:eastAsia="Times New Roman"/>
          <w:u w:val="single"/>
        </w:rPr>
        <w:t> </w:t>
        <w:tab/>
        <w:tab/>
      </w:r>
    </w:p>
    <w:p>
      <w:pPr>
        <w:pStyle w:val="BodyText"/>
        <w:tabs>
          <w:tab w:pos="4516" w:val="left" w:leader="none"/>
        </w:tabs>
        <w:spacing w:line="267" w:lineRule="exact"/>
        <w:ind w:left="2624"/>
      </w:pPr>
      <w:r>
        <w:rPr/>
        <w:t>法</w:t>
      </w:r>
      <w:r>
        <w:rPr>
          <w:spacing w:val="-3"/>
        </w:rPr>
        <w:t>定</w:t>
      </w:r>
      <w:r>
        <w:rPr/>
        <w:t>代</w:t>
      </w:r>
      <w:r>
        <w:rPr>
          <w:spacing w:val="-3"/>
        </w:rPr>
        <w:t>表</w:t>
      </w:r>
      <w:r>
        <w:rPr/>
        <w:t>人：</w:t>
      </w:r>
      <w:r>
        <w:rPr>
          <w:u w:val="single"/>
        </w:rPr>
        <w:t> </w:t>
        <w:tab/>
      </w:r>
      <w:r>
        <w:rPr>
          <w:spacing w:val="-3"/>
          <w:u w:val="single"/>
        </w:rPr>
        <w:t>（</w:t>
      </w:r>
      <w:r>
        <w:rPr>
          <w:u w:val="single"/>
        </w:rPr>
        <w:t>签</w:t>
      </w:r>
      <w:r>
        <w:rPr>
          <w:spacing w:val="-3"/>
          <w:u w:val="single"/>
        </w:rPr>
        <w:t>字</w:t>
      </w:r>
      <w:r>
        <w:rPr>
          <w:u w:val="single"/>
        </w:rPr>
        <w:t>或</w:t>
      </w:r>
      <w:r>
        <w:rPr>
          <w:spacing w:val="-3"/>
          <w:u w:val="single"/>
        </w:rPr>
        <w:t>盖</w:t>
      </w:r>
      <w:r>
        <w:rPr>
          <w:u w:val="single"/>
        </w:rPr>
        <w:t>章）</w:t>
      </w:r>
    </w:p>
    <w:p>
      <w:pPr>
        <w:pStyle w:val="BodyText"/>
        <w:tabs>
          <w:tab w:pos="4201" w:val="left" w:leader="none"/>
          <w:tab w:pos="4724" w:val="left" w:leader="none"/>
          <w:tab w:pos="5250" w:val="left" w:leader="none"/>
          <w:tab w:pos="6302" w:val="left" w:leader="none"/>
          <w:tab w:pos="6349" w:val="left" w:leader="none"/>
          <w:tab w:pos="7922" w:val="left" w:leader="none"/>
          <w:tab w:pos="8131" w:val="left" w:leader="none"/>
        </w:tabs>
        <w:spacing w:line="364" w:lineRule="auto" w:before="142"/>
        <w:ind w:left="2624" w:right="2373" w:hanging="3"/>
      </w:pPr>
      <w:r>
        <w:rPr/>
        <w:t>邮政</w:t>
      </w:r>
      <w:r>
        <w:rPr>
          <w:spacing w:val="-3"/>
        </w:rPr>
        <w:t>编</w:t>
      </w:r>
      <w:r>
        <w:rPr/>
        <w:t>码：</w:t>
      </w:r>
      <w:r>
        <w:rPr>
          <w:u w:val="single"/>
        </w:rPr>
        <w:t> </w:t>
        <w:tab/>
        <w:tab/>
      </w:r>
      <w:r>
        <w:rPr>
          <w:spacing w:val="-3"/>
        </w:rPr>
        <w:t>电</w:t>
      </w:r>
      <w:r>
        <w:rPr/>
        <w:t>话：</w:t>
      </w:r>
      <w:r>
        <w:rPr>
          <w:u w:val="single"/>
        </w:rPr>
        <w:t> </w:t>
        <w:tab/>
        <w:tab/>
      </w:r>
      <w:r>
        <w:rPr>
          <w:spacing w:val="-1"/>
        </w:rPr>
        <w:t>传</w:t>
      </w:r>
      <w:r>
        <w:rPr>
          <w:spacing w:val="-3"/>
        </w:rPr>
        <w:t>真</w:t>
      </w:r>
      <w:r>
        <w:rPr/>
        <w:t>：</w:t>
      </w:r>
      <w:r>
        <w:rPr>
          <w:u w:val="single"/>
        </w:rPr>
        <w:tab/>
        <w:tab/>
        <w:t>         </w:t>
      </w:r>
      <w:r>
        <w:rPr/>
        <w:t>开</w:t>
      </w:r>
      <w:r>
        <w:rPr>
          <w:spacing w:val="-3"/>
        </w:rPr>
        <w:t>户</w:t>
      </w:r>
      <w:r>
        <w:rPr/>
        <w:t>银</w:t>
      </w:r>
      <w:r>
        <w:rPr>
          <w:spacing w:val="-3"/>
        </w:rPr>
        <w:t>行</w:t>
      </w:r>
      <w:r>
        <w:rPr/>
        <w:t>名</w:t>
      </w:r>
      <w:r>
        <w:rPr>
          <w:spacing w:val="-3"/>
        </w:rPr>
        <w:t>称：</w:t>
      </w:r>
      <w:r>
        <w:rPr>
          <w:spacing w:val="-3"/>
          <w:u w:val="single"/>
        </w:rPr>
        <w:tab/>
        <w:tab/>
        <w:tab/>
        <w:tab/>
        <w:tab/>
        <w:tab/>
      </w:r>
      <w:r>
        <w:rPr/>
        <w:t>                                    开</w:t>
      </w:r>
      <w:r>
        <w:rPr>
          <w:spacing w:val="-3"/>
        </w:rPr>
        <w:t>户</w:t>
      </w:r>
      <w:r>
        <w:rPr/>
        <w:t>银</w:t>
      </w:r>
      <w:r>
        <w:rPr>
          <w:spacing w:val="-3"/>
        </w:rPr>
        <w:t>行</w:t>
      </w:r>
      <w:r>
        <w:rPr/>
        <w:t>账</w:t>
      </w:r>
      <w:r>
        <w:rPr>
          <w:spacing w:val="-3"/>
        </w:rPr>
        <w:t>号：</w:t>
      </w:r>
      <w:r>
        <w:rPr>
          <w:spacing w:val="-3"/>
          <w:u w:val="single"/>
        </w:rPr>
        <w:tab/>
        <w:tab/>
        <w:tab/>
        <w:tab/>
        <w:tab/>
        <w:tab/>
      </w:r>
      <w:r>
        <w:rPr/>
        <w:t>                                    开</w:t>
      </w:r>
      <w:r>
        <w:rPr>
          <w:spacing w:val="-3"/>
        </w:rPr>
        <w:t>户</w:t>
      </w:r>
      <w:r>
        <w:rPr/>
        <w:t>银</w:t>
      </w:r>
      <w:r>
        <w:rPr>
          <w:spacing w:val="-3"/>
        </w:rPr>
        <w:t>行</w:t>
      </w:r>
      <w:r>
        <w:rPr/>
        <w:t>地</w:t>
      </w:r>
      <w:r>
        <w:rPr>
          <w:spacing w:val="-3"/>
        </w:rPr>
        <w:t>址：</w:t>
      </w:r>
      <w:r>
        <w:rPr>
          <w:spacing w:val="-3"/>
          <w:u w:val="single"/>
        </w:rPr>
        <w:tab/>
        <w:tab/>
        <w:tab/>
        <w:tab/>
        <w:tab/>
        <w:tab/>
      </w:r>
      <w:r>
        <w:rPr/>
        <w:t>                                    开</w:t>
      </w:r>
      <w:r>
        <w:rPr>
          <w:spacing w:val="-3"/>
        </w:rPr>
        <w:t>户</w:t>
      </w:r>
      <w:r>
        <w:rPr/>
        <w:t>银</w:t>
      </w:r>
      <w:r>
        <w:rPr>
          <w:spacing w:val="-3"/>
        </w:rPr>
        <w:t>行</w:t>
      </w:r>
      <w:r>
        <w:rPr/>
        <w:t>电</w:t>
      </w:r>
      <w:r>
        <w:rPr>
          <w:spacing w:val="-3"/>
        </w:rPr>
        <w:t>话：</w:t>
      </w:r>
      <w:r>
        <w:rPr>
          <w:spacing w:val="-3"/>
          <w:u w:val="single"/>
        </w:rPr>
        <w:tab/>
        <w:tab/>
        <w:tab/>
        <w:tab/>
        <w:tab/>
        <w:tab/>
      </w:r>
      <w:r>
        <w:rPr/>
        <w:t>                                    日期：</w:t>
      </w:r>
      <w:r>
        <w:rPr>
          <w:u w:val="single"/>
        </w:rPr>
        <w:t> </w:t>
        <w:tab/>
      </w:r>
      <w:r>
        <w:rPr/>
        <w:t>年</w:t>
      </w:r>
      <w:r>
        <w:rPr>
          <w:u w:val="single"/>
        </w:rPr>
        <w:t> </w:t>
        <w:tab/>
        <w:tab/>
      </w:r>
      <w:r>
        <w:rPr/>
        <w:t>月</w:t>
      </w:r>
      <w:r>
        <w:rPr>
          <w:u w:val="single"/>
        </w:rPr>
        <w:t> </w:t>
        <w:tab/>
      </w:r>
      <w:r>
        <w:rPr/>
        <w:t>日</w:t>
      </w:r>
    </w:p>
    <w:p>
      <w:pPr>
        <w:spacing w:after="0" w:line="364" w:lineRule="auto"/>
        <w:sectPr>
          <w:pgSz w:w="11910" w:h="16850"/>
          <w:pgMar w:header="0" w:footer="779" w:top="1400" w:bottom="1040" w:left="1120" w:right="280"/>
        </w:sectPr>
      </w:pPr>
    </w:p>
    <w:p>
      <w:pPr>
        <w:pStyle w:val="Heading2"/>
        <w:spacing w:line="524" w:lineRule="exact"/>
        <w:ind w:left="297" w:right="770"/>
        <w:jc w:val="center"/>
      </w:pPr>
      <w:bookmarkStart w:name="二、投标函附录" w:id="509"/>
      <w:bookmarkEnd w:id="509"/>
      <w:r>
        <w:rPr>
          <w:b w:val="0"/>
        </w:rPr>
      </w:r>
      <w:bookmarkStart w:name="_bookmark118" w:id="510"/>
      <w:bookmarkEnd w:id="510"/>
      <w:r>
        <w:rPr>
          <w:b w:val="0"/>
        </w:rPr>
      </w:r>
      <w:r>
        <w:rPr/>
        <w:t>二、投标函附录</w:t>
      </w:r>
    </w:p>
    <w:p>
      <w:pPr>
        <w:pStyle w:val="BodyText"/>
        <w:spacing w:before="2"/>
        <w:ind w:left="0"/>
        <w:rPr>
          <w:rFonts w:ascii="Microsoft JhengHei"/>
          <w:b/>
          <w:sz w:val="25"/>
        </w:rPr>
      </w:pPr>
    </w:p>
    <w:p>
      <w:pPr>
        <w:pStyle w:val="BodyText"/>
        <w:tabs>
          <w:tab w:pos="7178" w:val="left" w:leader="none"/>
        </w:tabs>
        <w:ind w:left="1191"/>
      </w:pPr>
      <w:r>
        <w:rPr/>
        <w:pict>
          <v:line style="position:absolute;mso-position-horizontal-relative:page;mso-position-vertical-relative:paragraph;z-index:251811840" from="168.139999pt,11.939988pt" to="488.369999pt,11.939988pt" stroked="true" strokeweight=".48001pt" strokecolor="#000000">
            <v:stroke dashstyle="solid"/>
            <w10:wrap type="none"/>
          </v:line>
        </w:pict>
      </w:r>
      <w:r>
        <w:rPr/>
        <w:t>项目</w:t>
      </w:r>
      <w:r>
        <w:rPr>
          <w:spacing w:val="-3"/>
        </w:rPr>
        <w:t>名</w:t>
      </w:r>
      <w:r>
        <w:rPr/>
        <w:t>称：</w:t>
        <w:tab/>
      </w:r>
      <w:r>
        <w:rPr>
          <w:spacing w:val="-3"/>
        </w:rPr>
        <w:t>项</w:t>
      </w:r>
      <w:r>
        <w:rPr/>
        <w:t>目</w:t>
      </w:r>
      <w:r>
        <w:rPr>
          <w:spacing w:val="-3"/>
        </w:rPr>
        <w:t>招</w:t>
      </w:r>
      <w:r>
        <w:rPr/>
        <w:t>标</w:t>
      </w:r>
      <w:r>
        <w:rPr>
          <w:spacing w:val="-3"/>
        </w:rPr>
        <w:t>编号</w:t>
      </w:r>
      <w:r>
        <w:rPr/>
        <w:t>：</w:t>
      </w:r>
    </w:p>
    <w:tbl>
      <w:tblPr>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1985"/>
        <w:gridCol w:w="2126"/>
        <w:gridCol w:w="1984"/>
        <w:gridCol w:w="1843"/>
      </w:tblGrid>
      <w:tr>
        <w:trPr>
          <w:trHeight w:val="566" w:hRule="atLeast"/>
        </w:trPr>
        <w:tc>
          <w:tcPr>
            <w:tcW w:w="991" w:type="dxa"/>
          </w:tcPr>
          <w:p>
            <w:pPr>
              <w:pStyle w:val="TableParagraph"/>
              <w:spacing w:before="149"/>
              <w:ind w:left="214" w:right="202"/>
              <w:jc w:val="center"/>
              <w:rPr>
                <w:sz w:val="21"/>
              </w:rPr>
            </w:pPr>
            <w:r>
              <w:rPr>
                <w:sz w:val="21"/>
              </w:rPr>
              <w:t>序 号</w:t>
            </w:r>
          </w:p>
        </w:tc>
        <w:tc>
          <w:tcPr>
            <w:tcW w:w="1985" w:type="dxa"/>
          </w:tcPr>
          <w:p>
            <w:pPr>
              <w:pStyle w:val="TableParagraph"/>
              <w:spacing w:before="149"/>
              <w:ind w:left="571"/>
              <w:rPr>
                <w:sz w:val="21"/>
              </w:rPr>
            </w:pPr>
            <w:r>
              <w:rPr>
                <w:sz w:val="21"/>
              </w:rPr>
              <w:t>条款内容</w:t>
            </w:r>
          </w:p>
        </w:tc>
        <w:tc>
          <w:tcPr>
            <w:tcW w:w="2126" w:type="dxa"/>
          </w:tcPr>
          <w:p>
            <w:pPr>
              <w:pStyle w:val="TableParagraph"/>
              <w:spacing w:before="149"/>
              <w:ind w:right="522"/>
              <w:jc w:val="right"/>
              <w:rPr>
                <w:sz w:val="21"/>
              </w:rPr>
            </w:pPr>
            <w:r>
              <w:rPr>
                <w:sz w:val="21"/>
              </w:rPr>
              <w:t>合同条款号</w:t>
            </w:r>
          </w:p>
        </w:tc>
        <w:tc>
          <w:tcPr>
            <w:tcW w:w="1984" w:type="dxa"/>
          </w:tcPr>
          <w:p>
            <w:pPr>
              <w:pStyle w:val="TableParagraph"/>
              <w:spacing w:before="149"/>
              <w:ind w:left="38" w:right="25"/>
              <w:jc w:val="center"/>
              <w:rPr>
                <w:sz w:val="21"/>
              </w:rPr>
            </w:pPr>
            <w:r>
              <w:rPr>
                <w:sz w:val="21"/>
              </w:rPr>
              <w:t>约定内容</w:t>
            </w:r>
          </w:p>
        </w:tc>
        <w:tc>
          <w:tcPr>
            <w:tcW w:w="1843" w:type="dxa"/>
          </w:tcPr>
          <w:p>
            <w:pPr>
              <w:pStyle w:val="TableParagraph"/>
              <w:spacing w:before="149"/>
              <w:ind w:left="187"/>
              <w:rPr>
                <w:sz w:val="21"/>
              </w:rPr>
            </w:pPr>
            <w:r>
              <w:rPr>
                <w:sz w:val="21"/>
              </w:rPr>
              <w:t>投标人响应情况</w:t>
            </w:r>
          </w:p>
        </w:tc>
      </w:tr>
      <w:tr>
        <w:trPr>
          <w:trHeight w:val="568" w:hRule="atLeast"/>
        </w:trPr>
        <w:tc>
          <w:tcPr>
            <w:tcW w:w="991" w:type="dxa"/>
          </w:tcPr>
          <w:p>
            <w:pPr>
              <w:pStyle w:val="TableParagraph"/>
              <w:spacing w:before="156"/>
              <w:ind w:left="7"/>
              <w:jc w:val="center"/>
              <w:rPr>
                <w:rFonts w:ascii="Times New Roman"/>
                <w:sz w:val="21"/>
              </w:rPr>
            </w:pPr>
            <w:r>
              <w:rPr>
                <w:rFonts w:ascii="Times New Roman"/>
                <w:w w:val="100"/>
                <w:sz w:val="21"/>
              </w:rPr>
              <w:t>1</w:t>
            </w:r>
          </w:p>
        </w:tc>
        <w:tc>
          <w:tcPr>
            <w:tcW w:w="1985" w:type="dxa"/>
          </w:tcPr>
          <w:p>
            <w:pPr>
              <w:pStyle w:val="TableParagraph"/>
              <w:spacing w:before="149"/>
              <w:ind w:left="107"/>
              <w:rPr>
                <w:sz w:val="21"/>
              </w:rPr>
            </w:pPr>
            <w:r>
              <w:rPr>
                <w:sz w:val="21"/>
              </w:rPr>
              <w:t>项目经理</w:t>
            </w:r>
          </w:p>
        </w:tc>
        <w:tc>
          <w:tcPr>
            <w:tcW w:w="2126" w:type="dxa"/>
          </w:tcPr>
          <w:p>
            <w:pPr>
              <w:pStyle w:val="TableParagraph"/>
              <w:spacing w:before="149"/>
              <w:ind w:right="596"/>
              <w:jc w:val="right"/>
              <w:rPr>
                <w:sz w:val="21"/>
              </w:rPr>
            </w:pPr>
            <w:r>
              <w:rPr>
                <w:sz w:val="21"/>
              </w:rPr>
              <w:t>专用条款</w:t>
            </w:r>
          </w:p>
        </w:tc>
        <w:tc>
          <w:tcPr>
            <w:tcW w:w="1984" w:type="dxa"/>
          </w:tcPr>
          <w:p>
            <w:pPr>
              <w:pStyle w:val="TableParagraph"/>
              <w:tabs>
                <w:tab w:pos="1727" w:val="left" w:leader="none"/>
              </w:tabs>
              <w:spacing w:before="149"/>
              <w:ind w:right="25"/>
              <w:jc w:val="center"/>
              <w:rPr>
                <w:rFonts w:ascii="Times New Roman" w:eastAsia="Times New Roman"/>
                <w:sz w:val="21"/>
              </w:rPr>
            </w:pPr>
            <w:r>
              <w:rPr>
                <w:sz w:val="21"/>
              </w:rPr>
              <w:t>姓名</w:t>
            </w:r>
            <w:r>
              <w:rPr>
                <w:spacing w:val="-3"/>
                <w:sz w:val="21"/>
              </w:rPr>
              <w:t>：</w:t>
            </w:r>
            <w:r>
              <w:rPr>
                <w:rFonts w:ascii="Times New Roman" w:eastAsia="Times New Roman"/>
                <w:sz w:val="21"/>
                <w:u w:val="single"/>
              </w:rPr>
              <w:t> </w:t>
              <w:tab/>
            </w:r>
          </w:p>
        </w:tc>
        <w:tc>
          <w:tcPr>
            <w:tcW w:w="1843" w:type="dxa"/>
          </w:tcPr>
          <w:p>
            <w:pPr>
              <w:pStyle w:val="TableParagraph"/>
              <w:rPr>
                <w:rFonts w:ascii="Times New Roman"/>
                <w:sz w:val="20"/>
              </w:rPr>
            </w:pPr>
          </w:p>
        </w:tc>
      </w:tr>
      <w:tr>
        <w:trPr>
          <w:trHeight w:val="566" w:hRule="atLeast"/>
        </w:trPr>
        <w:tc>
          <w:tcPr>
            <w:tcW w:w="991" w:type="dxa"/>
          </w:tcPr>
          <w:p>
            <w:pPr>
              <w:pStyle w:val="TableParagraph"/>
              <w:spacing w:before="156"/>
              <w:ind w:left="7"/>
              <w:jc w:val="center"/>
              <w:rPr>
                <w:rFonts w:ascii="Times New Roman"/>
                <w:sz w:val="21"/>
              </w:rPr>
            </w:pPr>
            <w:r>
              <w:rPr>
                <w:rFonts w:ascii="Times New Roman"/>
                <w:w w:val="100"/>
                <w:sz w:val="21"/>
              </w:rPr>
              <w:t>2</w:t>
            </w:r>
          </w:p>
        </w:tc>
        <w:tc>
          <w:tcPr>
            <w:tcW w:w="1985" w:type="dxa"/>
          </w:tcPr>
          <w:p>
            <w:pPr>
              <w:pStyle w:val="TableParagraph"/>
              <w:spacing w:before="147"/>
              <w:ind w:left="107"/>
              <w:rPr>
                <w:sz w:val="21"/>
              </w:rPr>
            </w:pPr>
            <w:r>
              <w:rPr>
                <w:sz w:val="21"/>
              </w:rPr>
              <w:t>投标有效期</w:t>
            </w:r>
          </w:p>
        </w:tc>
        <w:tc>
          <w:tcPr>
            <w:tcW w:w="2126" w:type="dxa"/>
          </w:tcPr>
          <w:p>
            <w:pPr>
              <w:pStyle w:val="TableParagraph"/>
              <w:rPr>
                <w:rFonts w:ascii="Times New Roman"/>
                <w:sz w:val="20"/>
              </w:rPr>
            </w:pPr>
          </w:p>
        </w:tc>
        <w:tc>
          <w:tcPr>
            <w:tcW w:w="1984" w:type="dxa"/>
          </w:tcPr>
          <w:p>
            <w:pPr>
              <w:pStyle w:val="TableParagraph"/>
              <w:tabs>
                <w:tab w:pos="1064" w:val="left" w:leader="none"/>
              </w:tabs>
              <w:spacing w:before="147"/>
              <w:ind w:left="13"/>
              <w:jc w:val="center"/>
              <w:rPr>
                <w:sz w:val="21"/>
              </w:rPr>
            </w:pPr>
            <w:r>
              <w:rPr>
                <w:rFonts w:ascii="Times New Roman" w:eastAsia="Times New Roman"/>
                <w:w w:val="100"/>
                <w:sz w:val="21"/>
                <w:u w:val="single"/>
              </w:rPr>
              <w:t> </w:t>
            </w:r>
            <w:r>
              <w:rPr>
                <w:rFonts w:ascii="Times New Roman" w:eastAsia="Times New Roman"/>
                <w:sz w:val="21"/>
                <w:u w:val="single"/>
              </w:rPr>
              <w:tab/>
            </w:r>
            <w:r>
              <w:rPr>
                <w:spacing w:val="-2"/>
                <w:sz w:val="21"/>
              </w:rPr>
              <w:t>日历天</w:t>
            </w:r>
          </w:p>
        </w:tc>
        <w:tc>
          <w:tcPr>
            <w:tcW w:w="1843" w:type="dxa"/>
          </w:tcPr>
          <w:p>
            <w:pPr>
              <w:pStyle w:val="TableParagraph"/>
              <w:rPr>
                <w:rFonts w:ascii="Times New Roman"/>
                <w:sz w:val="20"/>
              </w:rPr>
            </w:pPr>
          </w:p>
        </w:tc>
      </w:tr>
      <w:tr>
        <w:trPr>
          <w:trHeight w:val="568" w:hRule="atLeast"/>
        </w:trPr>
        <w:tc>
          <w:tcPr>
            <w:tcW w:w="991" w:type="dxa"/>
          </w:tcPr>
          <w:p>
            <w:pPr>
              <w:pStyle w:val="TableParagraph"/>
              <w:spacing w:before="156"/>
              <w:ind w:left="7"/>
              <w:jc w:val="center"/>
              <w:rPr>
                <w:rFonts w:ascii="Times New Roman"/>
                <w:sz w:val="21"/>
              </w:rPr>
            </w:pPr>
            <w:r>
              <w:rPr>
                <w:rFonts w:ascii="Times New Roman"/>
                <w:w w:val="100"/>
                <w:sz w:val="21"/>
              </w:rPr>
              <w:t>3</w:t>
            </w:r>
          </w:p>
        </w:tc>
        <w:tc>
          <w:tcPr>
            <w:tcW w:w="1985" w:type="dxa"/>
          </w:tcPr>
          <w:p>
            <w:pPr>
              <w:pStyle w:val="TableParagraph"/>
              <w:spacing w:before="150"/>
              <w:ind w:left="107"/>
              <w:rPr>
                <w:sz w:val="21"/>
              </w:rPr>
            </w:pPr>
            <w:r>
              <w:rPr>
                <w:sz w:val="21"/>
              </w:rPr>
              <w:t>工期</w:t>
            </w:r>
          </w:p>
        </w:tc>
        <w:tc>
          <w:tcPr>
            <w:tcW w:w="2126" w:type="dxa"/>
          </w:tcPr>
          <w:p>
            <w:pPr>
              <w:pStyle w:val="TableParagraph"/>
              <w:spacing w:before="150"/>
              <w:ind w:right="596"/>
              <w:jc w:val="right"/>
              <w:rPr>
                <w:sz w:val="21"/>
              </w:rPr>
            </w:pPr>
            <w:r>
              <w:rPr>
                <w:sz w:val="21"/>
              </w:rPr>
              <w:t>专用条款</w:t>
            </w:r>
          </w:p>
        </w:tc>
        <w:tc>
          <w:tcPr>
            <w:tcW w:w="1984" w:type="dxa"/>
          </w:tcPr>
          <w:p>
            <w:pPr>
              <w:pStyle w:val="TableParagraph"/>
              <w:tabs>
                <w:tab w:pos="1064" w:val="left" w:leader="none"/>
              </w:tabs>
              <w:spacing w:before="150"/>
              <w:ind w:left="13"/>
              <w:jc w:val="center"/>
              <w:rPr>
                <w:sz w:val="21"/>
              </w:rPr>
            </w:pPr>
            <w:r>
              <w:rPr>
                <w:rFonts w:ascii="Times New Roman" w:eastAsia="Times New Roman"/>
                <w:w w:val="100"/>
                <w:sz w:val="21"/>
                <w:u w:val="single"/>
              </w:rPr>
              <w:t> </w:t>
            </w:r>
            <w:r>
              <w:rPr>
                <w:rFonts w:ascii="Times New Roman" w:eastAsia="Times New Roman"/>
                <w:sz w:val="21"/>
                <w:u w:val="single"/>
              </w:rPr>
              <w:tab/>
            </w:r>
            <w:r>
              <w:rPr>
                <w:spacing w:val="-2"/>
                <w:sz w:val="21"/>
              </w:rPr>
              <w:t>日历天</w:t>
            </w:r>
          </w:p>
        </w:tc>
        <w:tc>
          <w:tcPr>
            <w:tcW w:w="1843" w:type="dxa"/>
          </w:tcPr>
          <w:p>
            <w:pPr>
              <w:pStyle w:val="TableParagraph"/>
              <w:rPr>
                <w:rFonts w:ascii="Times New Roman"/>
                <w:sz w:val="20"/>
              </w:rPr>
            </w:pPr>
          </w:p>
        </w:tc>
      </w:tr>
      <w:tr>
        <w:trPr>
          <w:trHeight w:val="566" w:hRule="atLeast"/>
        </w:trPr>
        <w:tc>
          <w:tcPr>
            <w:tcW w:w="991" w:type="dxa"/>
          </w:tcPr>
          <w:p>
            <w:pPr>
              <w:pStyle w:val="TableParagraph"/>
              <w:spacing w:before="157"/>
              <w:ind w:left="7"/>
              <w:jc w:val="center"/>
              <w:rPr>
                <w:rFonts w:ascii="Times New Roman"/>
                <w:sz w:val="21"/>
              </w:rPr>
            </w:pPr>
            <w:r>
              <w:rPr>
                <w:rFonts w:ascii="Times New Roman"/>
                <w:w w:val="100"/>
                <w:sz w:val="21"/>
              </w:rPr>
              <w:t>4</w:t>
            </w:r>
          </w:p>
        </w:tc>
        <w:tc>
          <w:tcPr>
            <w:tcW w:w="1985" w:type="dxa"/>
          </w:tcPr>
          <w:p>
            <w:pPr>
              <w:pStyle w:val="TableParagraph"/>
              <w:spacing w:before="148"/>
              <w:ind w:left="107"/>
              <w:rPr>
                <w:sz w:val="21"/>
              </w:rPr>
            </w:pPr>
            <w:r>
              <w:rPr>
                <w:sz w:val="21"/>
              </w:rPr>
              <w:t>缺陷责任期</w:t>
            </w:r>
          </w:p>
        </w:tc>
        <w:tc>
          <w:tcPr>
            <w:tcW w:w="2126" w:type="dxa"/>
          </w:tcPr>
          <w:p>
            <w:pPr>
              <w:pStyle w:val="TableParagraph"/>
              <w:spacing w:before="148"/>
              <w:ind w:right="596"/>
              <w:jc w:val="right"/>
              <w:rPr>
                <w:sz w:val="21"/>
              </w:rPr>
            </w:pPr>
            <w:r>
              <w:rPr>
                <w:sz w:val="21"/>
              </w:rPr>
              <w:t>专用条款</w:t>
            </w:r>
          </w:p>
        </w:tc>
        <w:tc>
          <w:tcPr>
            <w:tcW w:w="1984" w:type="dxa"/>
          </w:tcPr>
          <w:p>
            <w:pPr>
              <w:pStyle w:val="TableParagraph"/>
              <w:spacing w:before="148"/>
              <w:ind w:left="35" w:right="25"/>
              <w:jc w:val="center"/>
              <w:rPr>
                <w:sz w:val="21"/>
              </w:rPr>
            </w:pPr>
            <w:r>
              <w:rPr>
                <w:rFonts w:ascii="Times New Roman" w:eastAsia="Times New Roman"/>
                <w:sz w:val="21"/>
              </w:rPr>
              <w:t>24 </w:t>
            </w:r>
            <w:r>
              <w:rPr>
                <w:sz w:val="21"/>
              </w:rPr>
              <w:t>个月</w:t>
            </w:r>
          </w:p>
        </w:tc>
        <w:tc>
          <w:tcPr>
            <w:tcW w:w="1843" w:type="dxa"/>
          </w:tcPr>
          <w:p>
            <w:pPr>
              <w:pStyle w:val="TableParagraph"/>
              <w:rPr>
                <w:rFonts w:ascii="Times New Roman"/>
                <w:sz w:val="20"/>
              </w:rPr>
            </w:pPr>
          </w:p>
        </w:tc>
      </w:tr>
      <w:tr>
        <w:trPr>
          <w:trHeight w:val="568" w:hRule="atLeast"/>
        </w:trPr>
        <w:tc>
          <w:tcPr>
            <w:tcW w:w="991" w:type="dxa"/>
          </w:tcPr>
          <w:p>
            <w:pPr>
              <w:pStyle w:val="TableParagraph"/>
              <w:spacing w:before="156"/>
              <w:ind w:left="7"/>
              <w:jc w:val="center"/>
              <w:rPr>
                <w:rFonts w:ascii="Times New Roman"/>
                <w:sz w:val="21"/>
              </w:rPr>
            </w:pPr>
            <w:r>
              <w:rPr>
                <w:rFonts w:ascii="Times New Roman"/>
                <w:w w:val="100"/>
                <w:sz w:val="21"/>
              </w:rPr>
              <w:t>5</w:t>
            </w:r>
          </w:p>
        </w:tc>
        <w:tc>
          <w:tcPr>
            <w:tcW w:w="1985" w:type="dxa"/>
          </w:tcPr>
          <w:p>
            <w:pPr>
              <w:pStyle w:val="TableParagraph"/>
              <w:spacing w:before="150"/>
              <w:ind w:left="107"/>
              <w:rPr>
                <w:sz w:val="21"/>
              </w:rPr>
            </w:pPr>
            <w:r>
              <w:rPr>
                <w:sz w:val="21"/>
              </w:rPr>
              <w:t>发包人支付担保</w:t>
            </w:r>
          </w:p>
        </w:tc>
        <w:tc>
          <w:tcPr>
            <w:tcW w:w="2126" w:type="dxa"/>
          </w:tcPr>
          <w:p>
            <w:pPr>
              <w:pStyle w:val="TableParagraph"/>
              <w:spacing w:before="150"/>
              <w:ind w:right="596"/>
              <w:jc w:val="right"/>
              <w:rPr>
                <w:sz w:val="21"/>
              </w:rPr>
            </w:pPr>
            <w:r>
              <w:rPr>
                <w:sz w:val="21"/>
              </w:rPr>
              <w:t>专用条款</w:t>
            </w:r>
          </w:p>
        </w:tc>
        <w:tc>
          <w:tcPr>
            <w:tcW w:w="1984" w:type="dxa"/>
          </w:tcPr>
          <w:p>
            <w:pPr>
              <w:pStyle w:val="TableParagraph"/>
              <w:rPr>
                <w:rFonts w:ascii="Times New Roman"/>
                <w:sz w:val="20"/>
              </w:rPr>
            </w:pPr>
          </w:p>
        </w:tc>
        <w:tc>
          <w:tcPr>
            <w:tcW w:w="1843" w:type="dxa"/>
          </w:tcPr>
          <w:p>
            <w:pPr>
              <w:pStyle w:val="TableParagraph"/>
              <w:rPr>
                <w:rFonts w:ascii="Times New Roman"/>
                <w:sz w:val="20"/>
              </w:rPr>
            </w:pPr>
          </w:p>
        </w:tc>
      </w:tr>
      <w:tr>
        <w:trPr>
          <w:trHeight w:val="566" w:hRule="atLeast"/>
        </w:trPr>
        <w:tc>
          <w:tcPr>
            <w:tcW w:w="991" w:type="dxa"/>
          </w:tcPr>
          <w:p>
            <w:pPr>
              <w:pStyle w:val="TableParagraph"/>
              <w:spacing w:before="154"/>
              <w:ind w:left="7"/>
              <w:jc w:val="center"/>
              <w:rPr>
                <w:rFonts w:ascii="Times New Roman"/>
                <w:sz w:val="21"/>
              </w:rPr>
            </w:pPr>
            <w:r>
              <w:rPr>
                <w:rFonts w:ascii="Times New Roman"/>
                <w:w w:val="100"/>
                <w:sz w:val="21"/>
              </w:rPr>
              <w:t>6</w:t>
            </w:r>
          </w:p>
        </w:tc>
        <w:tc>
          <w:tcPr>
            <w:tcW w:w="1985" w:type="dxa"/>
          </w:tcPr>
          <w:p>
            <w:pPr>
              <w:pStyle w:val="TableParagraph"/>
              <w:spacing w:line="270" w:lineRule="atLeast" w:before="9"/>
              <w:ind w:left="107" w:right="95"/>
              <w:rPr>
                <w:sz w:val="21"/>
              </w:rPr>
            </w:pPr>
            <w:r>
              <w:rPr>
                <w:sz w:val="21"/>
              </w:rPr>
              <w:t>承包人履约担保金额</w:t>
            </w:r>
          </w:p>
        </w:tc>
        <w:tc>
          <w:tcPr>
            <w:tcW w:w="2126" w:type="dxa"/>
          </w:tcPr>
          <w:p>
            <w:pPr>
              <w:pStyle w:val="TableParagraph"/>
              <w:spacing w:before="147"/>
              <w:ind w:right="596"/>
              <w:jc w:val="right"/>
              <w:rPr>
                <w:sz w:val="21"/>
              </w:rPr>
            </w:pPr>
            <w:r>
              <w:rPr>
                <w:sz w:val="21"/>
              </w:rPr>
              <w:t>专用条款</w:t>
            </w:r>
          </w:p>
        </w:tc>
        <w:tc>
          <w:tcPr>
            <w:tcW w:w="1984" w:type="dxa"/>
          </w:tcPr>
          <w:p>
            <w:pPr>
              <w:pStyle w:val="TableParagraph"/>
              <w:rPr>
                <w:rFonts w:ascii="Times New Roman"/>
                <w:sz w:val="20"/>
              </w:rPr>
            </w:pPr>
          </w:p>
        </w:tc>
        <w:tc>
          <w:tcPr>
            <w:tcW w:w="1843" w:type="dxa"/>
          </w:tcPr>
          <w:p>
            <w:pPr>
              <w:pStyle w:val="TableParagraph"/>
              <w:rPr>
                <w:rFonts w:ascii="Times New Roman"/>
                <w:sz w:val="20"/>
              </w:rPr>
            </w:pPr>
          </w:p>
        </w:tc>
      </w:tr>
      <w:tr>
        <w:trPr>
          <w:trHeight w:val="566" w:hRule="atLeast"/>
        </w:trPr>
        <w:tc>
          <w:tcPr>
            <w:tcW w:w="991" w:type="dxa"/>
          </w:tcPr>
          <w:p>
            <w:pPr>
              <w:pStyle w:val="TableParagraph"/>
              <w:spacing w:before="156"/>
              <w:ind w:left="7"/>
              <w:jc w:val="center"/>
              <w:rPr>
                <w:rFonts w:ascii="Times New Roman"/>
                <w:sz w:val="21"/>
              </w:rPr>
            </w:pPr>
            <w:r>
              <w:rPr>
                <w:rFonts w:ascii="Times New Roman"/>
                <w:w w:val="100"/>
                <w:sz w:val="21"/>
              </w:rPr>
              <w:t>7</w:t>
            </w:r>
          </w:p>
        </w:tc>
        <w:tc>
          <w:tcPr>
            <w:tcW w:w="1985" w:type="dxa"/>
          </w:tcPr>
          <w:p>
            <w:pPr>
              <w:pStyle w:val="TableParagraph"/>
              <w:spacing w:before="147"/>
              <w:ind w:left="107"/>
              <w:rPr>
                <w:sz w:val="21"/>
              </w:rPr>
            </w:pPr>
            <w:r>
              <w:rPr>
                <w:sz w:val="21"/>
              </w:rPr>
              <w:t>分包</w:t>
            </w:r>
          </w:p>
        </w:tc>
        <w:tc>
          <w:tcPr>
            <w:tcW w:w="2126" w:type="dxa"/>
          </w:tcPr>
          <w:p>
            <w:pPr>
              <w:pStyle w:val="TableParagraph"/>
              <w:spacing w:before="147"/>
              <w:ind w:right="596"/>
              <w:jc w:val="right"/>
              <w:rPr>
                <w:sz w:val="21"/>
              </w:rPr>
            </w:pPr>
            <w:r>
              <w:rPr>
                <w:sz w:val="21"/>
              </w:rPr>
              <w:t>专用条款</w:t>
            </w:r>
          </w:p>
        </w:tc>
        <w:tc>
          <w:tcPr>
            <w:tcW w:w="1984" w:type="dxa"/>
          </w:tcPr>
          <w:p>
            <w:pPr>
              <w:pStyle w:val="TableParagraph"/>
              <w:spacing w:before="147"/>
              <w:ind w:left="38" w:right="25"/>
              <w:jc w:val="center"/>
              <w:rPr>
                <w:sz w:val="21"/>
              </w:rPr>
            </w:pPr>
            <w:r>
              <w:rPr>
                <w:sz w:val="21"/>
              </w:rPr>
              <w:t>见分包项目情况表</w:t>
            </w:r>
          </w:p>
        </w:tc>
        <w:tc>
          <w:tcPr>
            <w:tcW w:w="1843" w:type="dxa"/>
          </w:tcPr>
          <w:p>
            <w:pPr>
              <w:pStyle w:val="TableParagraph"/>
              <w:rPr>
                <w:rFonts w:ascii="Times New Roman"/>
                <w:sz w:val="20"/>
              </w:rPr>
            </w:pPr>
          </w:p>
        </w:tc>
      </w:tr>
      <w:tr>
        <w:trPr>
          <w:trHeight w:val="568" w:hRule="atLeast"/>
        </w:trPr>
        <w:tc>
          <w:tcPr>
            <w:tcW w:w="991" w:type="dxa"/>
          </w:tcPr>
          <w:p>
            <w:pPr>
              <w:pStyle w:val="TableParagraph"/>
              <w:spacing w:before="156"/>
              <w:ind w:left="7"/>
              <w:jc w:val="center"/>
              <w:rPr>
                <w:rFonts w:ascii="Times New Roman"/>
                <w:sz w:val="21"/>
              </w:rPr>
            </w:pPr>
            <w:r>
              <w:rPr>
                <w:rFonts w:ascii="Times New Roman"/>
                <w:w w:val="100"/>
                <w:sz w:val="21"/>
              </w:rPr>
              <w:t>8</w:t>
            </w:r>
          </w:p>
        </w:tc>
        <w:tc>
          <w:tcPr>
            <w:tcW w:w="1985" w:type="dxa"/>
          </w:tcPr>
          <w:p>
            <w:pPr>
              <w:pStyle w:val="TableParagraph"/>
              <w:spacing w:before="149"/>
              <w:ind w:left="107"/>
              <w:rPr>
                <w:sz w:val="21"/>
              </w:rPr>
            </w:pPr>
            <w:r>
              <w:rPr>
                <w:sz w:val="21"/>
              </w:rPr>
              <w:t>逾期竣工违约金</w:t>
            </w:r>
          </w:p>
        </w:tc>
        <w:tc>
          <w:tcPr>
            <w:tcW w:w="2126" w:type="dxa"/>
          </w:tcPr>
          <w:p>
            <w:pPr>
              <w:pStyle w:val="TableParagraph"/>
              <w:spacing w:before="149"/>
              <w:ind w:right="596"/>
              <w:jc w:val="right"/>
              <w:rPr>
                <w:sz w:val="21"/>
              </w:rPr>
            </w:pPr>
            <w:r>
              <w:rPr>
                <w:sz w:val="21"/>
              </w:rPr>
              <w:t>专用条款</w:t>
            </w:r>
          </w:p>
        </w:tc>
        <w:tc>
          <w:tcPr>
            <w:tcW w:w="1984" w:type="dxa"/>
          </w:tcPr>
          <w:p>
            <w:pPr>
              <w:pStyle w:val="TableParagraph"/>
              <w:rPr>
                <w:rFonts w:ascii="Times New Roman"/>
                <w:sz w:val="20"/>
              </w:rPr>
            </w:pPr>
          </w:p>
        </w:tc>
        <w:tc>
          <w:tcPr>
            <w:tcW w:w="1843" w:type="dxa"/>
          </w:tcPr>
          <w:p>
            <w:pPr>
              <w:pStyle w:val="TableParagraph"/>
              <w:rPr>
                <w:rFonts w:ascii="Times New Roman"/>
                <w:sz w:val="20"/>
              </w:rPr>
            </w:pPr>
          </w:p>
        </w:tc>
      </w:tr>
      <w:tr>
        <w:trPr>
          <w:trHeight w:val="566" w:hRule="atLeast"/>
        </w:trPr>
        <w:tc>
          <w:tcPr>
            <w:tcW w:w="991" w:type="dxa"/>
          </w:tcPr>
          <w:p>
            <w:pPr>
              <w:pStyle w:val="TableParagraph"/>
              <w:spacing w:before="156"/>
              <w:ind w:left="7"/>
              <w:jc w:val="center"/>
              <w:rPr>
                <w:rFonts w:ascii="Times New Roman"/>
                <w:sz w:val="21"/>
              </w:rPr>
            </w:pPr>
            <w:r>
              <w:rPr>
                <w:rFonts w:ascii="Times New Roman"/>
                <w:w w:val="100"/>
                <w:sz w:val="21"/>
              </w:rPr>
              <w:t>9</w:t>
            </w:r>
          </w:p>
        </w:tc>
        <w:tc>
          <w:tcPr>
            <w:tcW w:w="1985" w:type="dxa"/>
          </w:tcPr>
          <w:p>
            <w:pPr>
              <w:pStyle w:val="TableParagraph"/>
              <w:spacing w:line="270" w:lineRule="atLeast" w:before="12"/>
              <w:ind w:left="107" w:right="95"/>
              <w:rPr>
                <w:sz w:val="21"/>
              </w:rPr>
            </w:pPr>
            <w:r>
              <w:rPr>
                <w:sz w:val="21"/>
              </w:rPr>
              <w:t>逾期竣工违约金最高限额</w:t>
            </w:r>
          </w:p>
        </w:tc>
        <w:tc>
          <w:tcPr>
            <w:tcW w:w="2126" w:type="dxa"/>
          </w:tcPr>
          <w:p>
            <w:pPr>
              <w:pStyle w:val="TableParagraph"/>
              <w:spacing w:before="147"/>
              <w:ind w:right="596"/>
              <w:jc w:val="right"/>
              <w:rPr>
                <w:sz w:val="21"/>
              </w:rPr>
            </w:pPr>
            <w:r>
              <w:rPr>
                <w:sz w:val="21"/>
              </w:rPr>
              <w:t>专用条款</w:t>
            </w:r>
          </w:p>
        </w:tc>
        <w:tc>
          <w:tcPr>
            <w:tcW w:w="1984" w:type="dxa"/>
          </w:tcPr>
          <w:p>
            <w:pPr>
              <w:pStyle w:val="TableParagraph"/>
              <w:rPr>
                <w:rFonts w:ascii="Times New Roman"/>
                <w:sz w:val="20"/>
              </w:rPr>
            </w:pPr>
          </w:p>
        </w:tc>
        <w:tc>
          <w:tcPr>
            <w:tcW w:w="1843" w:type="dxa"/>
          </w:tcPr>
          <w:p>
            <w:pPr>
              <w:pStyle w:val="TableParagraph"/>
              <w:rPr>
                <w:rFonts w:ascii="Times New Roman"/>
                <w:sz w:val="20"/>
              </w:rPr>
            </w:pPr>
          </w:p>
        </w:tc>
      </w:tr>
      <w:tr>
        <w:trPr>
          <w:trHeight w:val="568" w:hRule="atLeast"/>
        </w:trPr>
        <w:tc>
          <w:tcPr>
            <w:tcW w:w="991" w:type="dxa"/>
          </w:tcPr>
          <w:p>
            <w:pPr>
              <w:pStyle w:val="TableParagraph"/>
              <w:spacing w:before="156"/>
              <w:ind w:left="209" w:right="202"/>
              <w:jc w:val="center"/>
              <w:rPr>
                <w:rFonts w:ascii="Times New Roman"/>
                <w:sz w:val="21"/>
              </w:rPr>
            </w:pPr>
            <w:r>
              <w:rPr>
                <w:rFonts w:ascii="Times New Roman"/>
                <w:sz w:val="21"/>
              </w:rPr>
              <w:t>10</w:t>
            </w:r>
          </w:p>
        </w:tc>
        <w:tc>
          <w:tcPr>
            <w:tcW w:w="1985" w:type="dxa"/>
          </w:tcPr>
          <w:p>
            <w:pPr>
              <w:pStyle w:val="TableParagraph"/>
              <w:spacing w:before="149"/>
              <w:ind w:left="107"/>
              <w:rPr>
                <w:sz w:val="21"/>
              </w:rPr>
            </w:pPr>
            <w:r>
              <w:rPr>
                <w:sz w:val="21"/>
              </w:rPr>
              <w:t>质量标准</w:t>
            </w:r>
          </w:p>
        </w:tc>
        <w:tc>
          <w:tcPr>
            <w:tcW w:w="2126" w:type="dxa"/>
          </w:tcPr>
          <w:p>
            <w:pPr>
              <w:pStyle w:val="TableParagraph"/>
              <w:spacing w:before="149"/>
              <w:ind w:right="596"/>
              <w:jc w:val="right"/>
              <w:rPr>
                <w:sz w:val="21"/>
              </w:rPr>
            </w:pPr>
            <w:r>
              <w:rPr>
                <w:sz w:val="21"/>
              </w:rPr>
              <w:t>专用条款</w:t>
            </w:r>
          </w:p>
        </w:tc>
        <w:tc>
          <w:tcPr>
            <w:tcW w:w="1984" w:type="dxa"/>
          </w:tcPr>
          <w:p>
            <w:pPr>
              <w:pStyle w:val="TableParagraph"/>
              <w:rPr>
                <w:rFonts w:ascii="Times New Roman"/>
                <w:sz w:val="20"/>
              </w:rPr>
            </w:pPr>
          </w:p>
        </w:tc>
        <w:tc>
          <w:tcPr>
            <w:tcW w:w="1843" w:type="dxa"/>
          </w:tcPr>
          <w:p>
            <w:pPr>
              <w:pStyle w:val="TableParagraph"/>
              <w:rPr>
                <w:rFonts w:ascii="Times New Roman"/>
                <w:sz w:val="20"/>
              </w:rPr>
            </w:pPr>
          </w:p>
        </w:tc>
      </w:tr>
      <w:tr>
        <w:trPr>
          <w:trHeight w:val="565" w:hRule="atLeast"/>
        </w:trPr>
        <w:tc>
          <w:tcPr>
            <w:tcW w:w="991" w:type="dxa"/>
          </w:tcPr>
          <w:p>
            <w:pPr>
              <w:pStyle w:val="TableParagraph"/>
              <w:spacing w:before="156"/>
              <w:ind w:left="204" w:right="202"/>
              <w:jc w:val="center"/>
              <w:rPr>
                <w:rFonts w:ascii="Times New Roman"/>
                <w:sz w:val="21"/>
              </w:rPr>
            </w:pPr>
            <w:r>
              <w:rPr>
                <w:rFonts w:ascii="Times New Roman"/>
                <w:sz w:val="21"/>
              </w:rPr>
              <w:t>11</w:t>
            </w:r>
          </w:p>
        </w:tc>
        <w:tc>
          <w:tcPr>
            <w:tcW w:w="1985" w:type="dxa"/>
          </w:tcPr>
          <w:p>
            <w:pPr>
              <w:pStyle w:val="TableParagraph"/>
              <w:spacing w:before="147"/>
              <w:ind w:left="107"/>
              <w:rPr>
                <w:sz w:val="21"/>
              </w:rPr>
            </w:pPr>
            <w:r>
              <w:rPr>
                <w:sz w:val="21"/>
              </w:rPr>
              <w:t>预付款额度</w:t>
            </w:r>
          </w:p>
        </w:tc>
        <w:tc>
          <w:tcPr>
            <w:tcW w:w="2126" w:type="dxa"/>
          </w:tcPr>
          <w:p>
            <w:pPr>
              <w:pStyle w:val="TableParagraph"/>
              <w:spacing w:before="147"/>
              <w:ind w:right="596"/>
              <w:jc w:val="right"/>
              <w:rPr>
                <w:sz w:val="21"/>
              </w:rPr>
            </w:pPr>
            <w:r>
              <w:rPr>
                <w:sz w:val="21"/>
              </w:rPr>
              <w:t>专用条款</w:t>
            </w:r>
          </w:p>
        </w:tc>
        <w:tc>
          <w:tcPr>
            <w:tcW w:w="1984" w:type="dxa"/>
          </w:tcPr>
          <w:p>
            <w:pPr>
              <w:pStyle w:val="TableParagraph"/>
              <w:rPr>
                <w:rFonts w:ascii="Times New Roman"/>
                <w:sz w:val="20"/>
              </w:rPr>
            </w:pPr>
          </w:p>
        </w:tc>
        <w:tc>
          <w:tcPr>
            <w:tcW w:w="1843" w:type="dxa"/>
          </w:tcPr>
          <w:p>
            <w:pPr>
              <w:pStyle w:val="TableParagraph"/>
              <w:rPr>
                <w:rFonts w:ascii="Times New Roman"/>
                <w:sz w:val="20"/>
              </w:rPr>
            </w:pPr>
          </w:p>
        </w:tc>
      </w:tr>
      <w:tr>
        <w:trPr>
          <w:trHeight w:val="566" w:hRule="atLeast"/>
        </w:trPr>
        <w:tc>
          <w:tcPr>
            <w:tcW w:w="991" w:type="dxa"/>
          </w:tcPr>
          <w:p>
            <w:pPr>
              <w:pStyle w:val="TableParagraph"/>
              <w:spacing w:before="156"/>
              <w:ind w:left="209" w:right="202"/>
              <w:jc w:val="center"/>
              <w:rPr>
                <w:rFonts w:ascii="Times New Roman"/>
                <w:sz w:val="21"/>
              </w:rPr>
            </w:pPr>
            <w:r>
              <w:rPr>
                <w:rFonts w:ascii="Times New Roman"/>
                <w:sz w:val="21"/>
              </w:rPr>
              <w:t>12</w:t>
            </w:r>
          </w:p>
        </w:tc>
        <w:tc>
          <w:tcPr>
            <w:tcW w:w="1985" w:type="dxa"/>
          </w:tcPr>
          <w:p>
            <w:pPr>
              <w:pStyle w:val="TableParagraph"/>
              <w:spacing w:before="149"/>
              <w:ind w:left="107"/>
              <w:rPr>
                <w:sz w:val="21"/>
              </w:rPr>
            </w:pPr>
            <w:r>
              <w:rPr>
                <w:sz w:val="21"/>
              </w:rPr>
              <w:t>预付款保函金额</w:t>
            </w:r>
          </w:p>
        </w:tc>
        <w:tc>
          <w:tcPr>
            <w:tcW w:w="2126" w:type="dxa"/>
          </w:tcPr>
          <w:p>
            <w:pPr>
              <w:pStyle w:val="TableParagraph"/>
              <w:spacing w:before="149"/>
              <w:ind w:right="596"/>
              <w:jc w:val="right"/>
              <w:rPr>
                <w:sz w:val="21"/>
              </w:rPr>
            </w:pPr>
            <w:r>
              <w:rPr>
                <w:sz w:val="21"/>
              </w:rPr>
              <w:t>专用条款</w:t>
            </w:r>
          </w:p>
        </w:tc>
        <w:tc>
          <w:tcPr>
            <w:tcW w:w="1984" w:type="dxa"/>
          </w:tcPr>
          <w:p>
            <w:pPr>
              <w:pStyle w:val="TableParagraph"/>
              <w:rPr>
                <w:rFonts w:ascii="Times New Roman"/>
                <w:sz w:val="20"/>
              </w:rPr>
            </w:pPr>
          </w:p>
        </w:tc>
        <w:tc>
          <w:tcPr>
            <w:tcW w:w="1843" w:type="dxa"/>
          </w:tcPr>
          <w:p>
            <w:pPr>
              <w:pStyle w:val="TableParagraph"/>
              <w:rPr>
                <w:rFonts w:ascii="Times New Roman"/>
                <w:sz w:val="20"/>
              </w:rPr>
            </w:pPr>
          </w:p>
        </w:tc>
      </w:tr>
      <w:tr>
        <w:trPr>
          <w:trHeight w:val="568" w:hRule="atLeast"/>
        </w:trPr>
        <w:tc>
          <w:tcPr>
            <w:tcW w:w="991" w:type="dxa"/>
          </w:tcPr>
          <w:p>
            <w:pPr>
              <w:pStyle w:val="TableParagraph"/>
              <w:spacing w:before="156"/>
              <w:ind w:left="209" w:right="202"/>
              <w:jc w:val="center"/>
              <w:rPr>
                <w:rFonts w:ascii="Times New Roman"/>
                <w:sz w:val="21"/>
              </w:rPr>
            </w:pPr>
            <w:r>
              <w:rPr>
                <w:rFonts w:ascii="Times New Roman"/>
                <w:sz w:val="21"/>
              </w:rPr>
              <w:t>13</w:t>
            </w:r>
          </w:p>
        </w:tc>
        <w:tc>
          <w:tcPr>
            <w:tcW w:w="1985" w:type="dxa"/>
          </w:tcPr>
          <w:p>
            <w:pPr>
              <w:pStyle w:val="TableParagraph"/>
              <w:spacing w:before="149"/>
              <w:ind w:left="107"/>
              <w:rPr>
                <w:sz w:val="21"/>
              </w:rPr>
            </w:pPr>
            <w:r>
              <w:rPr>
                <w:sz w:val="21"/>
              </w:rPr>
              <w:t>质量保证金额度</w:t>
            </w:r>
          </w:p>
        </w:tc>
        <w:tc>
          <w:tcPr>
            <w:tcW w:w="2126" w:type="dxa"/>
          </w:tcPr>
          <w:p>
            <w:pPr>
              <w:pStyle w:val="TableParagraph"/>
              <w:spacing w:before="149"/>
              <w:ind w:right="596"/>
              <w:jc w:val="right"/>
              <w:rPr>
                <w:sz w:val="21"/>
              </w:rPr>
            </w:pPr>
            <w:r>
              <w:rPr>
                <w:sz w:val="21"/>
              </w:rPr>
              <w:t>专用条款</w:t>
            </w:r>
          </w:p>
        </w:tc>
        <w:tc>
          <w:tcPr>
            <w:tcW w:w="1984" w:type="dxa"/>
          </w:tcPr>
          <w:p>
            <w:pPr>
              <w:pStyle w:val="TableParagraph"/>
              <w:tabs>
                <w:tab w:pos="1381" w:val="left" w:leader="none"/>
              </w:tabs>
              <w:spacing w:before="149"/>
              <w:ind w:left="13"/>
              <w:jc w:val="center"/>
              <w:rPr>
                <w:rFonts w:ascii="Times New Roman" w:eastAsia="Times New Roman"/>
                <w:sz w:val="21"/>
              </w:rPr>
            </w:pPr>
            <w:r>
              <w:rPr>
                <w:sz w:val="21"/>
              </w:rPr>
              <w:t>结算</w:t>
            </w:r>
            <w:r>
              <w:rPr>
                <w:spacing w:val="-3"/>
                <w:sz w:val="21"/>
              </w:rPr>
              <w:t>价</w:t>
            </w:r>
            <w:r>
              <w:rPr>
                <w:sz w:val="21"/>
              </w:rPr>
              <w:t>的</w:t>
            </w:r>
            <w:r>
              <w:rPr>
                <w:sz w:val="21"/>
                <w:u w:val="single"/>
              </w:rPr>
              <w:t> </w:t>
              <w:tab/>
            </w:r>
            <w:r>
              <w:rPr>
                <w:rFonts w:ascii="Times New Roman" w:eastAsia="Times New Roman"/>
                <w:sz w:val="21"/>
              </w:rPr>
              <w:t>%</w:t>
            </w:r>
          </w:p>
        </w:tc>
        <w:tc>
          <w:tcPr>
            <w:tcW w:w="1843" w:type="dxa"/>
          </w:tcPr>
          <w:p>
            <w:pPr>
              <w:pStyle w:val="TableParagraph"/>
              <w:rPr>
                <w:rFonts w:ascii="Times New Roman"/>
                <w:sz w:val="20"/>
              </w:rPr>
            </w:pPr>
          </w:p>
        </w:tc>
      </w:tr>
      <w:tr>
        <w:trPr>
          <w:trHeight w:val="566" w:hRule="atLeast"/>
        </w:trPr>
        <w:tc>
          <w:tcPr>
            <w:tcW w:w="991" w:type="dxa"/>
          </w:tcPr>
          <w:p>
            <w:pPr>
              <w:pStyle w:val="TableParagraph"/>
              <w:spacing w:before="156"/>
              <w:ind w:left="214" w:right="202"/>
              <w:jc w:val="center"/>
              <w:rPr>
                <w:rFonts w:ascii="Times New Roman" w:hAnsi="Times New Roman"/>
                <w:sz w:val="21"/>
              </w:rPr>
            </w:pPr>
            <w:r>
              <w:rPr>
                <w:rFonts w:ascii="Times New Roman" w:hAnsi="Times New Roman"/>
                <w:sz w:val="21"/>
              </w:rPr>
              <w:t>……</w:t>
            </w:r>
          </w:p>
        </w:tc>
        <w:tc>
          <w:tcPr>
            <w:tcW w:w="1985" w:type="dxa"/>
          </w:tcPr>
          <w:p>
            <w:pPr>
              <w:pStyle w:val="TableParagraph"/>
              <w:spacing w:before="156"/>
              <w:ind w:left="763" w:right="751"/>
              <w:jc w:val="center"/>
              <w:rPr>
                <w:rFonts w:ascii="Times New Roman" w:hAnsi="Times New Roman"/>
                <w:sz w:val="21"/>
              </w:rPr>
            </w:pPr>
            <w:r>
              <w:rPr>
                <w:rFonts w:ascii="Times New Roman" w:hAnsi="Times New Roman"/>
                <w:sz w:val="21"/>
              </w:rPr>
              <w:t>……</w:t>
            </w:r>
          </w:p>
        </w:tc>
        <w:tc>
          <w:tcPr>
            <w:tcW w:w="2126" w:type="dxa"/>
          </w:tcPr>
          <w:p>
            <w:pPr>
              <w:pStyle w:val="TableParagraph"/>
              <w:rPr>
                <w:rFonts w:ascii="Times New Roman"/>
                <w:sz w:val="20"/>
              </w:rPr>
            </w:pPr>
          </w:p>
        </w:tc>
        <w:tc>
          <w:tcPr>
            <w:tcW w:w="1984" w:type="dxa"/>
          </w:tcPr>
          <w:p>
            <w:pPr>
              <w:pStyle w:val="TableParagraph"/>
              <w:rPr>
                <w:rFonts w:ascii="Times New Roman"/>
                <w:sz w:val="20"/>
              </w:rPr>
            </w:pPr>
          </w:p>
        </w:tc>
        <w:tc>
          <w:tcPr>
            <w:tcW w:w="1843" w:type="dxa"/>
          </w:tcPr>
          <w:p>
            <w:pPr>
              <w:pStyle w:val="TableParagraph"/>
              <w:rPr>
                <w:rFonts w:ascii="Times New Roman"/>
                <w:sz w:val="20"/>
              </w:rPr>
            </w:pPr>
          </w:p>
        </w:tc>
      </w:tr>
      <w:tr>
        <w:trPr>
          <w:trHeight w:val="926" w:hRule="atLeast"/>
        </w:trPr>
        <w:tc>
          <w:tcPr>
            <w:tcW w:w="8929" w:type="dxa"/>
            <w:gridSpan w:val="5"/>
          </w:tcPr>
          <w:p>
            <w:pPr>
              <w:pStyle w:val="TableParagraph"/>
              <w:spacing w:line="364" w:lineRule="auto" w:before="56"/>
              <w:ind w:left="107" w:right="99"/>
              <w:rPr>
                <w:sz w:val="21"/>
              </w:rPr>
            </w:pPr>
            <w:r>
              <w:rPr>
                <w:sz w:val="21"/>
              </w:rPr>
              <w:t>说明：投标人在响应招标文件中规定的实质性要求和条件的基础上，可做出其他有利于招标人的承诺。此类承诺可在本表中予以补充填写。</w:t>
            </w:r>
          </w:p>
        </w:tc>
      </w:tr>
    </w:tbl>
    <w:p>
      <w:pPr>
        <w:pStyle w:val="BodyText"/>
        <w:spacing w:before="174"/>
        <w:ind w:left="1098"/>
      </w:pPr>
      <w:r>
        <w:rPr>
          <w:spacing w:val="-1"/>
          <w:w w:val="100"/>
        </w:rPr>
        <w:t>投标人</w:t>
      </w:r>
      <w:r>
        <w:rPr>
          <w:w w:val="100"/>
        </w:rPr>
        <w:t>（</w:t>
      </w:r>
      <w:r>
        <w:rPr>
          <w:spacing w:val="-3"/>
          <w:w w:val="100"/>
        </w:rPr>
        <w:t>盖单位章</w:t>
      </w:r>
      <w:r>
        <w:rPr>
          <w:spacing w:val="-108"/>
          <w:w w:val="100"/>
        </w:rPr>
        <w:t>）</w:t>
      </w:r>
      <w:r>
        <w:rPr>
          <w:w w:val="100"/>
        </w:rPr>
        <w:t>：</w:t>
      </w:r>
    </w:p>
    <w:p>
      <w:pPr>
        <w:pStyle w:val="BodyText"/>
        <w:spacing w:before="5"/>
        <w:ind w:left="0"/>
        <w:rPr>
          <w:sz w:val="16"/>
        </w:rPr>
      </w:pPr>
    </w:p>
    <w:p>
      <w:pPr>
        <w:pStyle w:val="BodyText"/>
        <w:spacing w:before="1"/>
        <w:ind w:left="1098"/>
      </w:pPr>
      <w:r>
        <w:rPr>
          <w:spacing w:val="-1"/>
          <w:w w:val="100"/>
        </w:rPr>
        <w:t>法人代表</w:t>
      </w:r>
      <w:r>
        <w:rPr>
          <w:spacing w:val="-3"/>
          <w:w w:val="100"/>
        </w:rPr>
        <w:t>（签字或盖章</w:t>
      </w:r>
      <w:r>
        <w:rPr>
          <w:spacing w:val="-108"/>
          <w:w w:val="100"/>
        </w:rPr>
        <w:t>）</w:t>
      </w:r>
      <w:r>
        <w:rPr>
          <w:w w:val="100"/>
        </w:rPr>
        <w:t>：</w:t>
      </w:r>
    </w:p>
    <w:p>
      <w:pPr>
        <w:pStyle w:val="BodyText"/>
        <w:spacing w:before="5"/>
        <w:ind w:left="0"/>
        <w:rPr>
          <w:sz w:val="16"/>
        </w:rPr>
      </w:pPr>
    </w:p>
    <w:p>
      <w:pPr>
        <w:pStyle w:val="BodyText"/>
        <w:tabs>
          <w:tab w:pos="3200" w:val="left" w:leader="none"/>
          <w:tab w:pos="4038" w:val="left" w:leader="none"/>
          <w:tab w:pos="4878" w:val="left" w:leader="none"/>
        </w:tabs>
        <w:spacing w:before="1"/>
        <w:ind w:left="1098"/>
      </w:pPr>
      <w:r>
        <w:rPr/>
        <w:t>日期</w:t>
      </w:r>
      <w:r>
        <w:rPr>
          <w:spacing w:val="-3"/>
        </w:rPr>
        <w:t>：</w:t>
      </w:r>
      <w:r>
        <w:rPr>
          <w:spacing w:val="-3"/>
          <w:u w:val="single"/>
        </w:rPr>
        <w:t> </w:t>
        <w:tab/>
      </w:r>
      <w:r>
        <w:rPr>
          <w:spacing w:val="-3"/>
        </w:rPr>
        <w:t>年</w:t>
      </w:r>
      <w:r>
        <w:rPr>
          <w:spacing w:val="-3"/>
          <w:u w:val="single"/>
        </w:rPr>
        <w:t> </w:t>
        <w:tab/>
      </w:r>
      <w:r>
        <w:rPr/>
        <w:t>月</w:t>
      </w:r>
      <w:r>
        <w:rPr>
          <w:u w:val="single"/>
        </w:rPr>
        <w:t> </w:t>
        <w:tab/>
      </w:r>
      <w:r>
        <w:rPr/>
        <w:t>日</w:t>
      </w:r>
    </w:p>
    <w:p>
      <w:pPr>
        <w:spacing w:after="0"/>
        <w:sectPr>
          <w:pgSz w:w="11910" w:h="16850"/>
          <w:pgMar w:header="0" w:footer="779" w:top="1400" w:bottom="1040" w:left="1120" w:right="280"/>
        </w:sectPr>
      </w:pPr>
    </w:p>
    <w:p>
      <w:pPr>
        <w:pStyle w:val="Heading6"/>
        <w:spacing w:line="401" w:lineRule="exact"/>
        <w:ind w:right="773"/>
      </w:pPr>
      <w:bookmarkStart w:name="三、投标报价表" w:id="511"/>
      <w:bookmarkEnd w:id="511"/>
      <w:r>
        <w:rPr>
          <w:b w:val="0"/>
        </w:rPr>
      </w:r>
      <w:bookmarkStart w:name="_bookmark119" w:id="512"/>
      <w:bookmarkEnd w:id="512"/>
      <w:r>
        <w:rPr>
          <w:b w:val="0"/>
        </w:rPr>
      </w:r>
      <w:r>
        <w:rPr/>
        <w:t>三、投标报价表</w:t>
      </w:r>
    </w:p>
    <w:p>
      <w:pPr>
        <w:pStyle w:val="BodyText"/>
        <w:spacing w:before="1"/>
        <w:ind w:left="0"/>
        <w:rPr>
          <w:rFonts w:ascii="Microsoft JhengHei"/>
          <w:b/>
          <w:sz w:val="32"/>
        </w:rPr>
      </w:pPr>
    </w:p>
    <w:p>
      <w:pPr>
        <w:pStyle w:val="BodyText"/>
        <w:tabs>
          <w:tab w:pos="6801" w:val="left" w:leader="none"/>
        </w:tabs>
        <w:ind w:left="500"/>
      </w:pPr>
      <w:r>
        <w:rPr/>
        <w:t>项目</w:t>
      </w:r>
      <w:r>
        <w:rPr>
          <w:spacing w:val="-3"/>
        </w:rPr>
        <w:t>名</w:t>
      </w:r>
      <w:r>
        <w:rPr/>
        <w:t>称：</w:t>
        <w:tab/>
        <w:t>币</w:t>
      </w:r>
      <w:r>
        <w:rPr>
          <w:spacing w:val="-3"/>
        </w:rPr>
        <w:t>种</w:t>
      </w:r>
      <w:r>
        <w:rPr/>
        <w:t>：</w:t>
      </w:r>
      <w:r>
        <w:rPr>
          <w:spacing w:val="-3"/>
        </w:rPr>
        <w:t>人</w:t>
      </w:r>
      <w:r>
        <w:rPr/>
        <w:t>民币</w:t>
      </w:r>
    </w:p>
    <w:tbl>
      <w:tblPr>
        <w:tblW w:w="0" w:type="auto"/>
        <w:jc w:val="left"/>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5"/>
        <w:gridCol w:w="3116"/>
        <w:gridCol w:w="1988"/>
        <w:gridCol w:w="1702"/>
      </w:tblGrid>
      <w:tr>
        <w:trPr>
          <w:trHeight w:val="534" w:hRule="atLeast"/>
        </w:trPr>
        <w:tc>
          <w:tcPr>
            <w:tcW w:w="5101" w:type="dxa"/>
            <w:gridSpan w:val="2"/>
          </w:tcPr>
          <w:p>
            <w:pPr>
              <w:pStyle w:val="TableParagraph"/>
              <w:spacing w:before="133"/>
              <w:ind w:left="2110" w:right="2101"/>
              <w:jc w:val="center"/>
              <w:rPr>
                <w:sz w:val="21"/>
              </w:rPr>
            </w:pPr>
            <w:r>
              <w:rPr>
                <w:sz w:val="21"/>
              </w:rPr>
              <w:t>投标总价</w:t>
            </w:r>
          </w:p>
        </w:tc>
        <w:tc>
          <w:tcPr>
            <w:tcW w:w="1988" w:type="dxa"/>
          </w:tcPr>
          <w:p>
            <w:pPr>
              <w:pStyle w:val="TableParagraph"/>
              <w:spacing w:before="133"/>
              <w:ind w:right="94"/>
              <w:jc w:val="right"/>
              <w:rPr>
                <w:sz w:val="21"/>
              </w:rPr>
            </w:pPr>
            <w:r>
              <w:rPr>
                <w:sz w:val="21"/>
              </w:rPr>
              <w:t>万元</w:t>
            </w:r>
          </w:p>
        </w:tc>
        <w:tc>
          <w:tcPr>
            <w:tcW w:w="1702" w:type="dxa"/>
          </w:tcPr>
          <w:p>
            <w:pPr>
              <w:pStyle w:val="TableParagraph"/>
              <w:spacing w:before="133"/>
              <w:ind w:left="621" w:right="610"/>
              <w:jc w:val="center"/>
              <w:rPr>
                <w:sz w:val="21"/>
              </w:rPr>
            </w:pPr>
            <w:r>
              <w:rPr>
                <w:sz w:val="21"/>
              </w:rPr>
              <w:t>备注</w:t>
            </w:r>
          </w:p>
        </w:tc>
      </w:tr>
      <w:tr>
        <w:trPr>
          <w:trHeight w:val="544" w:hRule="atLeast"/>
        </w:trPr>
        <w:tc>
          <w:tcPr>
            <w:tcW w:w="1985"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
              <w:rPr>
                <w:sz w:val="18"/>
              </w:rPr>
            </w:pPr>
          </w:p>
          <w:p>
            <w:pPr>
              <w:pStyle w:val="TableParagraph"/>
              <w:ind w:left="762" w:right="751"/>
              <w:jc w:val="center"/>
              <w:rPr>
                <w:sz w:val="21"/>
              </w:rPr>
            </w:pPr>
            <w:r>
              <w:rPr>
                <w:sz w:val="21"/>
              </w:rPr>
              <w:t>其中</w:t>
            </w:r>
          </w:p>
        </w:tc>
        <w:tc>
          <w:tcPr>
            <w:tcW w:w="3116" w:type="dxa"/>
          </w:tcPr>
          <w:p>
            <w:pPr>
              <w:pStyle w:val="TableParagraph"/>
              <w:spacing w:before="137"/>
              <w:ind w:left="818"/>
              <w:rPr>
                <w:sz w:val="21"/>
              </w:rPr>
            </w:pPr>
            <w:r>
              <w:rPr>
                <w:sz w:val="21"/>
              </w:rPr>
              <w:t>安全文明施工费</w:t>
            </w:r>
          </w:p>
        </w:tc>
        <w:tc>
          <w:tcPr>
            <w:tcW w:w="1988" w:type="dxa"/>
          </w:tcPr>
          <w:p>
            <w:pPr>
              <w:pStyle w:val="TableParagraph"/>
              <w:spacing w:before="137"/>
              <w:ind w:right="94"/>
              <w:jc w:val="right"/>
              <w:rPr>
                <w:sz w:val="21"/>
              </w:rPr>
            </w:pPr>
            <w:r>
              <w:rPr>
                <w:sz w:val="21"/>
              </w:rPr>
              <w:t>万元</w:t>
            </w:r>
          </w:p>
        </w:tc>
        <w:tc>
          <w:tcPr>
            <w:tcW w:w="1702" w:type="dxa"/>
          </w:tcPr>
          <w:p>
            <w:pPr>
              <w:pStyle w:val="TableParagraph"/>
              <w:rPr>
                <w:rFonts w:ascii="Times New Roman"/>
                <w:sz w:val="20"/>
              </w:rPr>
            </w:pPr>
          </w:p>
        </w:tc>
      </w:tr>
      <w:tr>
        <w:trPr>
          <w:trHeight w:val="551" w:hRule="atLeast"/>
        </w:trPr>
        <w:tc>
          <w:tcPr>
            <w:tcW w:w="1985" w:type="dxa"/>
            <w:vMerge/>
            <w:tcBorders>
              <w:top w:val="nil"/>
            </w:tcBorders>
          </w:tcPr>
          <w:p>
            <w:pPr>
              <w:rPr>
                <w:sz w:val="2"/>
                <w:szCs w:val="2"/>
              </w:rPr>
            </w:pPr>
          </w:p>
        </w:tc>
        <w:tc>
          <w:tcPr>
            <w:tcW w:w="3116" w:type="dxa"/>
          </w:tcPr>
          <w:p>
            <w:pPr>
              <w:pStyle w:val="TableParagraph"/>
              <w:spacing w:before="3"/>
              <w:ind w:left="67" w:right="58"/>
              <w:jc w:val="center"/>
              <w:rPr>
                <w:sz w:val="21"/>
              </w:rPr>
            </w:pPr>
            <w:r>
              <w:rPr>
                <w:sz w:val="21"/>
              </w:rPr>
              <w:t>发包人提供材料（设备）暂估价</w:t>
            </w:r>
          </w:p>
          <w:p>
            <w:pPr>
              <w:pStyle w:val="TableParagraph"/>
              <w:spacing w:line="255" w:lineRule="exact" w:before="5"/>
              <w:ind w:left="65" w:right="58"/>
              <w:jc w:val="center"/>
              <w:rPr>
                <w:sz w:val="21"/>
              </w:rPr>
            </w:pPr>
            <w:r>
              <w:rPr>
                <w:sz w:val="21"/>
              </w:rPr>
              <w:t>（如有）</w:t>
            </w:r>
          </w:p>
        </w:tc>
        <w:tc>
          <w:tcPr>
            <w:tcW w:w="1988" w:type="dxa"/>
          </w:tcPr>
          <w:p>
            <w:pPr>
              <w:pStyle w:val="TableParagraph"/>
              <w:spacing w:before="140"/>
              <w:ind w:right="94"/>
              <w:jc w:val="right"/>
              <w:rPr>
                <w:sz w:val="21"/>
              </w:rPr>
            </w:pPr>
            <w:r>
              <w:rPr>
                <w:sz w:val="21"/>
              </w:rPr>
              <w:t>万元</w:t>
            </w:r>
          </w:p>
        </w:tc>
        <w:tc>
          <w:tcPr>
            <w:tcW w:w="1702" w:type="dxa"/>
          </w:tcPr>
          <w:p>
            <w:pPr>
              <w:pStyle w:val="TableParagraph"/>
              <w:rPr>
                <w:rFonts w:ascii="Times New Roman"/>
                <w:sz w:val="20"/>
              </w:rPr>
            </w:pPr>
          </w:p>
        </w:tc>
      </w:tr>
      <w:tr>
        <w:trPr>
          <w:trHeight w:val="551" w:hRule="atLeast"/>
        </w:trPr>
        <w:tc>
          <w:tcPr>
            <w:tcW w:w="1985" w:type="dxa"/>
            <w:vMerge/>
            <w:tcBorders>
              <w:top w:val="nil"/>
            </w:tcBorders>
          </w:tcPr>
          <w:p>
            <w:pPr>
              <w:rPr>
                <w:sz w:val="2"/>
                <w:szCs w:val="2"/>
              </w:rPr>
            </w:pPr>
          </w:p>
        </w:tc>
        <w:tc>
          <w:tcPr>
            <w:tcW w:w="3116" w:type="dxa"/>
          </w:tcPr>
          <w:p>
            <w:pPr>
              <w:pStyle w:val="TableParagraph"/>
              <w:rPr>
                <w:rFonts w:ascii="Times New Roman"/>
                <w:sz w:val="20"/>
              </w:rPr>
            </w:pPr>
          </w:p>
        </w:tc>
        <w:tc>
          <w:tcPr>
            <w:tcW w:w="1988" w:type="dxa"/>
          </w:tcPr>
          <w:p>
            <w:pPr>
              <w:pStyle w:val="TableParagraph"/>
              <w:rPr>
                <w:rFonts w:ascii="Times New Roman"/>
                <w:sz w:val="20"/>
              </w:rPr>
            </w:pPr>
          </w:p>
        </w:tc>
        <w:tc>
          <w:tcPr>
            <w:tcW w:w="1702" w:type="dxa"/>
          </w:tcPr>
          <w:p>
            <w:pPr>
              <w:pStyle w:val="TableParagraph"/>
              <w:rPr>
                <w:rFonts w:ascii="Times New Roman"/>
                <w:sz w:val="20"/>
              </w:rPr>
            </w:pPr>
          </w:p>
        </w:tc>
      </w:tr>
      <w:tr>
        <w:trPr>
          <w:trHeight w:val="552" w:hRule="atLeast"/>
        </w:trPr>
        <w:tc>
          <w:tcPr>
            <w:tcW w:w="1985" w:type="dxa"/>
            <w:vMerge/>
            <w:tcBorders>
              <w:top w:val="nil"/>
            </w:tcBorders>
          </w:tcPr>
          <w:p>
            <w:pPr>
              <w:rPr>
                <w:sz w:val="2"/>
                <w:szCs w:val="2"/>
              </w:rPr>
            </w:pPr>
          </w:p>
        </w:tc>
        <w:tc>
          <w:tcPr>
            <w:tcW w:w="3116" w:type="dxa"/>
          </w:tcPr>
          <w:p>
            <w:pPr>
              <w:pStyle w:val="TableParagraph"/>
              <w:spacing w:before="143"/>
              <w:ind w:left="105"/>
              <w:rPr>
                <w:sz w:val="21"/>
              </w:rPr>
            </w:pPr>
            <w:r>
              <w:rPr>
                <w:sz w:val="21"/>
              </w:rPr>
              <w:t>专业工程暂估价（如有）</w:t>
            </w:r>
          </w:p>
        </w:tc>
        <w:tc>
          <w:tcPr>
            <w:tcW w:w="1988" w:type="dxa"/>
          </w:tcPr>
          <w:p>
            <w:pPr>
              <w:pStyle w:val="TableParagraph"/>
              <w:spacing w:before="143"/>
              <w:ind w:right="94"/>
              <w:jc w:val="right"/>
              <w:rPr>
                <w:sz w:val="21"/>
              </w:rPr>
            </w:pPr>
            <w:r>
              <w:rPr>
                <w:sz w:val="21"/>
              </w:rPr>
              <w:t>万元</w:t>
            </w:r>
          </w:p>
        </w:tc>
        <w:tc>
          <w:tcPr>
            <w:tcW w:w="1702" w:type="dxa"/>
          </w:tcPr>
          <w:p>
            <w:pPr>
              <w:pStyle w:val="TableParagraph"/>
              <w:rPr>
                <w:rFonts w:ascii="Times New Roman"/>
                <w:sz w:val="20"/>
              </w:rPr>
            </w:pPr>
          </w:p>
        </w:tc>
      </w:tr>
      <w:tr>
        <w:trPr>
          <w:trHeight w:val="551" w:hRule="atLeast"/>
        </w:trPr>
        <w:tc>
          <w:tcPr>
            <w:tcW w:w="1985" w:type="dxa"/>
            <w:vMerge/>
            <w:tcBorders>
              <w:top w:val="nil"/>
            </w:tcBorders>
          </w:tcPr>
          <w:p>
            <w:pPr>
              <w:rPr>
                <w:sz w:val="2"/>
                <w:szCs w:val="2"/>
              </w:rPr>
            </w:pPr>
          </w:p>
        </w:tc>
        <w:tc>
          <w:tcPr>
            <w:tcW w:w="3116" w:type="dxa"/>
          </w:tcPr>
          <w:p>
            <w:pPr>
              <w:pStyle w:val="TableParagraph"/>
              <w:spacing w:before="142"/>
              <w:ind w:left="1051"/>
              <w:rPr>
                <w:sz w:val="21"/>
              </w:rPr>
            </w:pPr>
            <w:r>
              <w:rPr>
                <w:sz w:val="21"/>
              </w:rPr>
              <w:t>暂列金额（如有）</w:t>
            </w:r>
          </w:p>
        </w:tc>
        <w:tc>
          <w:tcPr>
            <w:tcW w:w="1988" w:type="dxa"/>
          </w:tcPr>
          <w:p>
            <w:pPr>
              <w:pStyle w:val="TableParagraph"/>
              <w:spacing w:before="142"/>
              <w:ind w:right="94"/>
              <w:jc w:val="right"/>
              <w:rPr>
                <w:sz w:val="21"/>
              </w:rPr>
            </w:pPr>
            <w:r>
              <w:rPr>
                <w:sz w:val="21"/>
              </w:rPr>
              <w:t>万元</w:t>
            </w:r>
          </w:p>
        </w:tc>
        <w:tc>
          <w:tcPr>
            <w:tcW w:w="1702" w:type="dxa"/>
          </w:tcPr>
          <w:p>
            <w:pPr>
              <w:pStyle w:val="TableParagraph"/>
              <w:rPr>
                <w:rFonts w:ascii="Times New Roman"/>
                <w:sz w:val="20"/>
              </w:rPr>
            </w:pPr>
          </w:p>
        </w:tc>
      </w:tr>
      <w:tr>
        <w:trPr>
          <w:trHeight w:val="537" w:hRule="atLeast"/>
        </w:trPr>
        <w:tc>
          <w:tcPr>
            <w:tcW w:w="1985" w:type="dxa"/>
            <w:vMerge w:val="restart"/>
          </w:tcPr>
          <w:p>
            <w:pPr>
              <w:pStyle w:val="TableParagraph"/>
              <w:rPr>
                <w:sz w:val="20"/>
              </w:rPr>
            </w:pPr>
          </w:p>
          <w:p>
            <w:pPr>
              <w:pStyle w:val="TableParagraph"/>
              <w:rPr>
                <w:sz w:val="20"/>
              </w:rPr>
            </w:pPr>
          </w:p>
          <w:p>
            <w:pPr>
              <w:pStyle w:val="TableParagraph"/>
              <w:spacing w:before="2"/>
              <w:rPr>
                <w:sz w:val="14"/>
              </w:rPr>
            </w:pPr>
          </w:p>
          <w:p>
            <w:pPr>
              <w:pStyle w:val="TableParagraph"/>
              <w:ind w:left="570"/>
              <w:rPr>
                <w:sz w:val="21"/>
              </w:rPr>
            </w:pPr>
            <w:r>
              <w:rPr>
                <w:sz w:val="21"/>
              </w:rPr>
              <w:t>主要材料</w:t>
            </w:r>
          </w:p>
        </w:tc>
        <w:tc>
          <w:tcPr>
            <w:tcW w:w="3116" w:type="dxa"/>
          </w:tcPr>
          <w:p>
            <w:pPr>
              <w:pStyle w:val="TableParagraph"/>
              <w:spacing w:before="135"/>
              <w:ind w:left="62" w:right="58"/>
              <w:jc w:val="center"/>
              <w:rPr>
                <w:sz w:val="21"/>
              </w:rPr>
            </w:pPr>
            <w:r>
              <w:rPr>
                <w:sz w:val="21"/>
              </w:rPr>
              <w:t>钢筋</w:t>
            </w:r>
          </w:p>
        </w:tc>
        <w:tc>
          <w:tcPr>
            <w:tcW w:w="1988" w:type="dxa"/>
          </w:tcPr>
          <w:p>
            <w:pPr>
              <w:pStyle w:val="TableParagraph"/>
              <w:spacing w:before="135"/>
              <w:ind w:right="97"/>
              <w:jc w:val="right"/>
              <w:rPr>
                <w:sz w:val="21"/>
              </w:rPr>
            </w:pPr>
            <w:r>
              <w:rPr>
                <w:w w:val="100"/>
                <w:sz w:val="21"/>
              </w:rPr>
              <w:t>吨</w:t>
            </w:r>
          </w:p>
        </w:tc>
        <w:tc>
          <w:tcPr>
            <w:tcW w:w="1702" w:type="dxa"/>
          </w:tcPr>
          <w:p>
            <w:pPr>
              <w:pStyle w:val="TableParagraph"/>
              <w:rPr>
                <w:rFonts w:ascii="Times New Roman"/>
                <w:sz w:val="20"/>
              </w:rPr>
            </w:pPr>
          </w:p>
        </w:tc>
      </w:tr>
      <w:tr>
        <w:trPr>
          <w:trHeight w:val="558" w:hRule="atLeast"/>
        </w:trPr>
        <w:tc>
          <w:tcPr>
            <w:tcW w:w="1985" w:type="dxa"/>
            <w:vMerge/>
            <w:tcBorders>
              <w:top w:val="nil"/>
            </w:tcBorders>
          </w:tcPr>
          <w:p>
            <w:pPr>
              <w:rPr>
                <w:sz w:val="2"/>
                <w:szCs w:val="2"/>
              </w:rPr>
            </w:pPr>
          </w:p>
        </w:tc>
        <w:tc>
          <w:tcPr>
            <w:tcW w:w="3116" w:type="dxa"/>
          </w:tcPr>
          <w:p>
            <w:pPr>
              <w:pStyle w:val="TableParagraph"/>
              <w:spacing w:before="145"/>
              <w:ind w:left="189"/>
              <w:rPr>
                <w:sz w:val="21"/>
              </w:rPr>
            </w:pPr>
            <w:r>
              <w:rPr>
                <w:sz w:val="21"/>
              </w:rPr>
              <w:t>水泥（不含商品混凝土用量）</w:t>
            </w:r>
          </w:p>
        </w:tc>
        <w:tc>
          <w:tcPr>
            <w:tcW w:w="1988" w:type="dxa"/>
          </w:tcPr>
          <w:p>
            <w:pPr>
              <w:pStyle w:val="TableParagraph"/>
              <w:spacing w:before="145"/>
              <w:ind w:right="116"/>
              <w:jc w:val="right"/>
              <w:rPr>
                <w:sz w:val="21"/>
              </w:rPr>
            </w:pPr>
            <w:r>
              <w:rPr>
                <w:w w:val="100"/>
                <w:sz w:val="21"/>
              </w:rPr>
              <w:t>吨</w:t>
            </w:r>
          </w:p>
        </w:tc>
        <w:tc>
          <w:tcPr>
            <w:tcW w:w="1702" w:type="dxa"/>
          </w:tcPr>
          <w:p>
            <w:pPr>
              <w:pStyle w:val="TableParagraph"/>
              <w:rPr>
                <w:rFonts w:ascii="Times New Roman"/>
                <w:sz w:val="20"/>
              </w:rPr>
            </w:pPr>
          </w:p>
        </w:tc>
      </w:tr>
      <w:tr>
        <w:trPr>
          <w:trHeight w:val="539" w:hRule="atLeast"/>
        </w:trPr>
        <w:tc>
          <w:tcPr>
            <w:tcW w:w="1985" w:type="dxa"/>
            <w:vMerge/>
            <w:tcBorders>
              <w:top w:val="nil"/>
            </w:tcBorders>
          </w:tcPr>
          <w:p>
            <w:pPr>
              <w:rPr>
                <w:sz w:val="2"/>
                <w:szCs w:val="2"/>
              </w:rPr>
            </w:pPr>
          </w:p>
        </w:tc>
        <w:tc>
          <w:tcPr>
            <w:tcW w:w="3116" w:type="dxa"/>
          </w:tcPr>
          <w:p>
            <w:pPr>
              <w:pStyle w:val="TableParagraph"/>
              <w:spacing w:before="135"/>
              <w:ind w:left="1029"/>
              <w:rPr>
                <w:sz w:val="21"/>
              </w:rPr>
            </w:pPr>
            <w:r>
              <w:rPr>
                <w:sz w:val="21"/>
              </w:rPr>
              <w:t>商品混凝土</w:t>
            </w:r>
          </w:p>
        </w:tc>
        <w:tc>
          <w:tcPr>
            <w:tcW w:w="1988" w:type="dxa"/>
          </w:tcPr>
          <w:p>
            <w:pPr>
              <w:pStyle w:val="TableParagraph"/>
              <w:spacing w:before="138"/>
              <w:ind w:right="99"/>
              <w:jc w:val="right"/>
              <w:rPr>
                <w:rFonts w:ascii="Times New Roman"/>
                <w:sz w:val="14"/>
              </w:rPr>
            </w:pPr>
            <w:r>
              <w:rPr>
                <w:rFonts w:ascii="Times New Roman"/>
                <w:position w:val="-6"/>
                <w:sz w:val="21"/>
              </w:rPr>
              <w:t>m</w:t>
            </w:r>
            <w:r>
              <w:rPr>
                <w:rFonts w:ascii="Times New Roman"/>
                <w:sz w:val="14"/>
              </w:rPr>
              <w:t>3</w:t>
            </w:r>
          </w:p>
        </w:tc>
        <w:tc>
          <w:tcPr>
            <w:tcW w:w="1702" w:type="dxa"/>
          </w:tcPr>
          <w:p>
            <w:pPr>
              <w:pStyle w:val="TableParagraph"/>
              <w:rPr>
                <w:rFonts w:ascii="Times New Roman"/>
                <w:sz w:val="20"/>
              </w:rPr>
            </w:pPr>
          </w:p>
        </w:tc>
      </w:tr>
    </w:tbl>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0"/>
        <w:ind w:left="0"/>
        <w:rPr>
          <w:sz w:val="14"/>
        </w:rPr>
      </w:pPr>
    </w:p>
    <w:p>
      <w:pPr>
        <w:pStyle w:val="BodyText"/>
        <w:ind w:left="889"/>
      </w:pPr>
      <w:r>
        <w:rPr>
          <w:spacing w:val="-1"/>
          <w:w w:val="100"/>
        </w:rPr>
        <w:t>投标人</w:t>
      </w:r>
      <w:r>
        <w:rPr>
          <w:w w:val="100"/>
        </w:rPr>
        <w:t>（</w:t>
      </w:r>
      <w:r>
        <w:rPr>
          <w:spacing w:val="-3"/>
          <w:w w:val="100"/>
        </w:rPr>
        <w:t>盖单位章</w:t>
      </w:r>
      <w:r>
        <w:rPr>
          <w:spacing w:val="-108"/>
          <w:w w:val="100"/>
        </w:rPr>
        <w:t>）</w:t>
      </w:r>
      <w:r>
        <w:rPr>
          <w:w w:val="100"/>
        </w:rPr>
        <w:t>：</w:t>
      </w:r>
    </w:p>
    <w:p>
      <w:pPr>
        <w:pStyle w:val="BodyText"/>
        <w:spacing w:before="7"/>
        <w:ind w:left="0"/>
      </w:pPr>
    </w:p>
    <w:p>
      <w:pPr>
        <w:pStyle w:val="BodyText"/>
        <w:ind w:left="889"/>
      </w:pPr>
      <w:r>
        <w:rPr>
          <w:spacing w:val="-2"/>
          <w:w w:val="100"/>
        </w:rPr>
        <w:t>法定代表人</w:t>
      </w:r>
      <w:r>
        <w:rPr>
          <w:w w:val="100"/>
        </w:rPr>
        <w:t>（</w:t>
      </w:r>
      <w:r>
        <w:rPr>
          <w:spacing w:val="-3"/>
          <w:w w:val="100"/>
        </w:rPr>
        <w:t>签字或盖章</w:t>
      </w:r>
      <w:r>
        <w:rPr>
          <w:spacing w:val="-108"/>
          <w:w w:val="100"/>
        </w:rPr>
        <w:t>）</w:t>
      </w:r>
      <w:r>
        <w:rPr>
          <w:w w:val="100"/>
        </w:rPr>
        <w:t>：</w:t>
      </w:r>
    </w:p>
    <w:p>
      <w:pPr>
        <w:pStyle w:val="BodyText"/>
        <w:spacing w:before="6"/>
        <w:ind w:left="0"/>
      </w:pPr>
    </w:p>
    <w:p>
      <w:pPr>
        <w:pStyle w:val="BodyText"/>
        <w:tabs>
          <w:tab w:pos="2992" w:val="left" w:leader="none"/>
          <w:tab w:pos="3829" w:val="left" w:leader="none"/>
          <w:tab w:pos="4669" w:val="left" w:leader="none"/>
        </w:tabs>
        <w:ind w:left="889"/>
      </w:pPr>
      <w:r>
        <w:rPr/>
        <w:t>日期</w:t>
      </w:r>
      <w:r>
        <w:rPr>
          <w:spacing w:val="-3"/>
        </w:rPr>
        <w:t>：</w:t>
      </w:r>
      <w:r>
        <w:rPr>
          <w:spacing w:val="-3"/>
          <w:u w:val="single"/>
        </w:rPr>
        <w:t> </w:t>
        <w:tab/>
      </w:r>
      <w:r>
        <w:rPr>
          <w:spacing w:val="-3"/>
        </w:rPr>
        <w:t>年</w:t>
      </w:r>
      <w:r>
        <w:rPr>
          <w:spacing w:val="-3"/>
          <w:u w:val="single"/>
        </w:rPr>
        <w:t> </w:t>
        <w:tab/>
      </w:r>
      <w:r>
        <w:rPr/>
        <w:t>月</w:t>
      </w:r>
      <w:r>
        <w:rPr>
          <w:u w:val="single"/>
        </w:rPr>
        <w:t> </w:t>
        <w:tab/>
      </w:r>
      <w:r>
        <w:rPr/>
        <w:t>日</w:t>
      </w:r>
    </w:p>
    <w:p>
      <w:pPr>
        <w:pStyle w:val="BodyText"/>
        <w:ind w:left="0"/>
        <w:rPr>
          <w:sz w:val="20"/>
        </w:rPr>
      </w:pPr>
    </w:p>
    <w:p>
      <w:pPr>
        <w:pStyle w:val="BodyText"/>
        <w:ind w:left="0"/>
        <w:rPr>
          <w:sz w:val="20"/>
        </w:rPr>
      </w:pPr>
    </w:p>
    <w:p>
      <w:pPr>
        <w:pStyle w:val="BodyText"/>
        <w:ind w:left="0"/>
        <w:rPr>
          <w:sz w:val="15"/>
        </w:rPr>
      </w:pPr>
    </w:p>
    <w:p>
      <w:pPr>
        <w:pStyle w:val="Heading2"/>
        <w:spacing w:line="538" w:lineRule="exact"/>
        <w:ind w:left="297" w:right="776"/>
        <w:jc w:val="center"/>
      </w:pPr>
      <w:bookmarkStart w:name="四、已标价工程量清单" w:id="513"/>
      <w:bookmarkEnd w:id="513"/>
      <w:r>
        <w:rPr>
          <w:b w:val="0"/>
        </w:rPr>
      </w:r>
      <w:bookmarkStart w:name="_bookmark120" w:id="514"/>
      <w:bookmarkEnd w:id="514"/>
      <w:r>
        <w:rPr>
          <w:b w:val="0"/>
        </w:rPr>
      </w:r>
      <w:r>
        <w:rPr/>
        <w:t>四、已标价工程量清单</w:t>
      </w:r>
    </w:p>
    <w:p>
      <w:pPr>
        <w:pStyle w:val="BodyText"/>
        <w:spacing w:before="2"/>
        <w:ind w:left="0"/>
        <w:rPr>
          <w:rFonts w:ascii="Microsoft JhengHei"/>
          <w:b/>
          <w:sz w:val="25"/>
        </w:rPr>
      </w:pPr>
    </w:p>
    <w:p>
      <w:pPr>
        <w:pStyle w:val="ListParagraph"/>
        <w:numPr>
          <w:ilvl w:val="1"/>
          <w:numId w:val="136"/>
        </w:numPr>
        <w:tabs>
          <w:tab w:pos="1362" w:val="left" w:leader="none"/>
        </w:tabs>
        <w:spacing w:line="364" w:lineRule="auto" w:before="0" w:after="0"/>
        <w:ind w:left="678" w:right="1151" w:firstLine="419"/>
        <w:jc w:val="both"/>
        <w:rPr>
          <w:sz w:val="21"/>
        </w:rPr>
      </w:pPr>
      <w:r>
        <w:rPr>
          <w:spacing w:val="-2"/>
          <w:sz w:val="21"/>
        </w:rPr>
        <w:t>已标价工程量清单应按第五章</w:t>
      </w:r>
      <w:r>
        <w:rPr>
          <w:rFonts w:ascii="Times New Roman" w:hAnsi="Times New Roman" w:eastAsia="Times New Roman"/>
          <w:sz w:val="21"/>
        </w:rPr>
        <w:t>“</w:t>
      </w:r>
      <w:r>
        <w:rPr>
          <w:sz w:val="21"/>
        </w:rPr>
        <w:t>工程量清单</w:t>
      </w:r>
      <w:r>
        <w:rPr>
          <w:rFonts w:ascii="Times New Roman" w:hAnsi="Times New Roman" w:eastAsia="Times New Roman"/>
          <w:sz w:val="21"/>
        </w:rPr>
        <w:t>”</w:t>
      </w:r>
      <w:r>
        <w:rPr>
          <w:spacing w:val="-3"/>
          <w:sz w:val="21"/>
        </w:rPr>
        <w:t>中的相关表格及投标报价说明填写。构成合同文件的已标价工程量清单包括第五章</w:t>
      </w:r>
      <w:r>
        <w:rPr>
          <w:rFonts w:ascii="Times New Roman" w:hAnsi="Times New Roman" w:eastAsia="Times New Roman"/>
          <w:sz w:val="21"/>
        </w:rPr>
        <w:t>“</w:t>
      </w:r>
      <w:r>
        <w:rPr>
          <w:sz w:val="21"/>
        </w:rPr>
        <w:t>工程量清单</w:t>
      </w:r>
      <w:r>
        <w:rPr>
          <w:rFonts w:ascii="Times New Roman" w:hAnsi="Times New Roman" w:eastAsia="Times New Roman"/>
          <w:sz w:val="21"/>
        </w:rPr>
        <w:t>”</w:t>
      </w:r>
      <w:r>
        <w:rPr>
          <w:spacing w:val="-1"/>
          <w:sz w:val="21"/>
        </w:rPr>
        <w:t>有关工程量清单、投标报价以及其他说明的内容。</w:t>
      </w:r>
    </w:p>
    <w:p>
      <w:pPr>
        <w:pStyle w:val="ListParagraph"/>
        <w:numPr>
          <w:ilvl w:val="1"/>
          <w:numId w:val="136"/>
        </w:numPr>
        <w:tabs>
          <w:tab w:pos="1362" w:val="left" w:leader="none"/>
        </w:tabs>
        <w:spacing w:line="364" w:lineRule="auto" w:before="0" w:after="0"/>
        <w:ind w:left="678" w:right="1149" w:firstLine="419"/>
        <w:jc w:val="both"/>
        <w:rPr>
          <w:rFonts w:ascii="Times New Roman" w:hAnsi="Times New Roman" w:eastAsia="Times New Roman"/>
          <w:sz w:val="21"/>
        </w:rPr>
      </w:pPr>
      <w:r>
        <w:rPr>
          <w:spacing w:val="-3"/>
          <w:sz w:val="21"/>
        </w:rPr>
        <w:t>一般计税法建设工程已标价工程量清单表格按《关于建筑业实施营业税改征增值税后广西壮族自治区建设工程计价依据调整的通知》</w:t>
      </w:r>
      <w:r>
        <w:rPr>
          <w:sz w:val="21"/>
        </w:rPr>
        <w:t>（</w:t>
      </w:r>
      <w:r>
        <w:rPr>
          <w:spacing w:val="-3"/>
          <w:sz w:val="21"/>
        </w:rPr>
        <w:t>桂建标〔</w:t>
      </w:r>
      <w:r>
        <w:rPr>
          <w:rFonts w:ascii="Times New Roman" w:hAnsi="Times New Roman" w:eastAsia="Times New Roman"/>
          <w:sz w:val="21"/>
        </w:rPr>
        <w:t>2016</w:t>
      </w:r>
      <w:r>
        <w:rPr>
          <w:sz w:val="21"/>
        </w:rPr>
        <w:t>〕</w:t>
      </w:r>
      <w:r>
        <w:rPr>
          <w:rFonts w:ascii="Times New Roman" w:hAnsi="Times New Roman" w:eastAsia="Times New Roman"/>
          <w:sz w:val="21"/>
        </w:rPr>
        <w:t>17</w:t>
      </w:r>
      <w:r>
        <w:rPr>
          <w:rFonts w:ascii="Times New Roman" w:hAnsi="Times New Roman" w:eastAsia="Times New Roman"/>
          <w:spacing w:val="40"/>
          <w:sz w:val="21"/>
        </w:rPr>
        <w:t> </w:t>
      </w:r>
      <w:r>
        <w:rPr>
          <w:sz w:val="21"/>
        </w:rPr>
        <w:t>号</w:t>
      </w:r>
      <w:r>
        <w:rPr>
          <w:spacing w:val="-3"/>
          <w:sz w:val="21"/>
        </w:rPr>
        <w:t>）附件“增值税一般计税</w:t>
      </w:r>
      <w:r>
        <w:rPr>
          <w:spacing w:val="17"/>
          <w:sz w:val="21"/>
        </w:rPr>
        <w:t>方法工程计价表” 要求提供，简易计税法表格按《</w:t>
      </w:r>
      <w:r>
        <w:rPr>
          <w:rFonts w:ascii="Times New Roman" w:hAnsi="Times New Roman" w:eastAsia="Times New Roman"/>
          <w:spacing w:val="-5"/>
          <w:sz w:val="21"/>
        </w:rPr>
        <w:t>&lt; </w:t>
      </w:r>
      <w:r>
        <w:rPr>
          <w:spacing w:val="28"/>
          <w:sz w:val="21"/>
        </w:rPr>
        <w:t>建设工程工程量清单计价规范</w:t>
      </w:r>
      <w:r>
        <w:rPr>
          <w:rFonts w:ascii="Times New Roman" w:hAnsi="Times New Roman" w:eastAsia="Times New Roman"/>
          <w:sz w:val="21"/>
        </w:rPr>
        <w:t>&gt;</w:t>
      </w:r>
    </w:p>
    <w:p>
      <w:pPr>
        <w:pStyle w:val="BodyText"/>
        <w:spacing w:line="268" w:lineRule="exact"/>
        <w:ind w:left="297" w:right="769"/>
        <w:jc w:val="center"/>
      </w:pPr>
      <w:r>
        <w:rPr/>
        <w:t>（</w:t>
      </w:r>
      <w:r>
        <w:rPr>
          <w:rFonts w:ascii="Times New Roman" w:eastAsia="Times New Roman"/>
        </w:rPr>
        <w:t>GB5050-2013</w:t>
      </w:r>
      <w:r>
        <w:rPr/>
        <w:t>）广西壮族自治区实施细则》要求的表格提供，但规费和税费按照《关于建筑业</w:t>
      </w:r>
    </w:p>
    <w:p>
      <w:pPr>
        <w:spacing w:after="0" w:line="268" w:lineRule="exact"/>
        <w:jc w:val="center"/>
        <w:sectPr>
          <w:pgSz w:w="11910" w:h="16850"/>
          <w:pgMar w:header="0" w:footer="779" w:top="1400" w:bottom="1040" w:left="1120" w:right="280"/>
        </w:sectPr>
      </w:pPr>
    </w:p>
    <w:p>
      <w:pPr>
        <w:pStyle w:val="BodyText"/>
        <w:spacing w:line="364" w:lineRule="auto" w:before="60"/>
        <w:ind w:right="1045"/>
        <w:jc w:val="both"/>
      </w:pPr>
      <w:r>
        <w:rPr/>
        <w:t>实施营业税改征增值税后广西壮族自治区建设工程计价依据调整的通知》（桂建标〔</w:t>
      </w:r>
      <w:r>
        <w:rPr>
          <w:rFonts w:ascii="Times New Roman" w:eastAsia="Times New Roman"/>
        </w:rPr>
        <w:t>2016</w:t>
      </w:r>
      <w:r>
        <w:rPr/>
        <w:t>〕</w:t>
      </w:r>
      <w:r>
        <w:rPr>
          <w:rFonts w:ascii="Times New Roman" w:eastAsia="Times New Roman"/>
        </w:rPr>
        <w:t>17 </w:t>
      </w:r>
      <w:r>
        <w:rPr/>
        <w:t>号）、《自治区住房城乡建设厅关于调整建设工程计价增值税税率的通知》（桂建标〔</w:t>
      </w:r>
      <w:r>
        <w:rPr>
          <w:rFonts w:ascii="Times New Roman" w:eastAsia="Times New Roman"/>
        </w:rPr>
        <w:t>2018</w:t>
      </w:r>
      <w:r>
        <w:rPr/>
        <w:t>〕</w:t>
      </w:r>
      <w:r>
        <w:rPr>
          <w:rFonts w:ascii="Times New Roman" w:eastAsia="Times New Roman"/>
        </w:rPr>
        <w:t>14 </w:t>
      </w:r>
      <w:r>
        <w:rPr/>
        <w:t>号</w:t>
      </w:r>
      <w:r>
        <w:rPr>
          <w:spacing w:val="-20"/>
        </w:rPr>
        <w:t>）</w:t>
      </w:r>
      <w:r>
        <w:rPr>
          <w:spacing w:val="-9"/>
        </w:rPr>
        <w:t>、《自治区住房城乡建设厅关于调整建设工程计价增值税税率的通知》</w:t>
      </w:r>
      <w:r>
        <w:rPr/>
        <w:t>（</w:t>
      </w:r>
      <w:r>
        <w:rPr>
          <w:spacing w:val="-6"/>
        </w:rPr>
        <w:t>桂建标〔</w:t>
      </w:r>
      <w:r>
        <w:rPr>
          <w:rFonts w:ascii="Times New Roman" w:eastAsia="Times New Roman"/>
        </w:rPr>
        <w:t>2019</w:t>
      </w:r>
      <w:r>
        <w:rPr/>
        <w:t>〕</w:t>
      </w:r>
    </w:p>
    <w:p>
      <w:pPr>
        <w:pStyle w:val="BodyText"/>
        <w:jc w:val="both"/>
      </w:pPr>
      <w:r>
        <w:rPr>
          <w:rFonts w:ascii="Times New Roman" w:eastAsia="Times New Roman"/>
        </w:rPr>
        <w:t>12 </w:t>
      </w:r>
      <w:r>
        <w:rPr/>
        <w:t>号）调整，具体内容包括：</w:t>
      </w:r>
    </w:p>
    <w:p>
      <w:pPr>
        <w:pStyle w:val="ListParagraph"/>
        <w:numPr>
          <w:ilvl w:val="1"/>
          <w:numId w:val="137"/>
        </w:numPr>
        <w:tabs>
          <w:tab w:pos="1679" w:val="left" w:leader="none"/>
        </w:tabs>
        <w:spacing w:line="240" w:lineRule="auto" w:before="139" w:after="0"/>
        <w:ind w:left="1678" w:right="0" w:hanging="370"/>
        <w:jc w:val="left"/>
        <w:rPr>
          <w:sz w:val="21"/>
        </w:rPr>
      </w:pPr>
      <w:r>
        <w:rPr>
          <w:spacing w:val="-3"/>
          <w:sz w:val="21"/>
        </w:rPr>
        <w:t>投标总价（</w:t>
      </w:r>
      <w:r>
        <w:rPr>
          <w:spacing w:val="-1"/>
          <w:sz w:val="21"/>
        </w:rPr>
        <w:t>封</w:t>
      </w:r>
      <w:r>
        <w:rPr>
          <w:rFonts w:ascii="Times New Roman" w:eastAsia="Times New Roman"/>
          <w:spacing w:val="-1"/>
          <w:sz w:val="21"/>
        </w:rPr>
        <w:t>-3</w:t>
      </w:r>
      <w:r>
        <w:rPr>
          <w:spacing w:val="-1"/>
          <w:sz w:val="21"/>
        </w:rPr>
        <w:t>）</w:t>
      </w:r>
    </w:p>
    <w:p>
      <w:pPr>
        <w:pStyle w:val="ListParagraph"/>
        <w:numPr>
          <w:ilvl w:val="1"/>
          <w:numId w:val="137"/>
        </w:numPr>
        <w:tabs>
          <w:tab w:pos="1679" w:val="left" w:leader="none"/>
        </w:tabs>
        <w:spacing w:line="240" w:lineRule="auto" w:before="139" w:after="0"/>
        <w:ind w:left="1678" w:right="0" w:hanging="370"/>
        <w:jc w:val="left"/>
        <w:rPr>
          <w:sz w:val="21"/>
        </w:rPr>
      </w:pPr>
      <w:r>
        <w:rPr>
          <w:spacing w:val="-3"/>
          <w:sz w:val="21"/>
        </w:rPr>
        <w:t>投标总价（</w:t>
      </w:r>
      <w:r>
        <w:rPr>
          <w:spacing w:val="-1"/>
          <w:sz w:val="21"/>
        </w:rPr>
        <w:t>扉</w:t>
      </w:r>
      <w:r>
        <w:rPr>
          <w:rFonts w:ascii="Times New Roman" w:eastAsia="Times New Roman"/>
          <w:spacing w:val="-1"/>
          <w:sz w:val="21"/>
        </w:rPr>
        <w:t>-3</w:t>
      </w:r>
      <w:r>
        <w:rPr>
          <w:spacing w:val="-1"/>
          <w:sz w:val="21"/>
        </w:rPr>
        <w:t>）</w:t>
      </w:r>
    </w:p>
    <w:p>
      <w:pPr>
        <w:pStyle w:val="BodyText"/>
        <w:spacing w:before="139"/>
        <w:ind w:left="1309"/>
      </w:pPr>
      <w:r>
        <w:rPr>
          <w:rFonts w:ascii="Times New Roman" w:eastAsia="Times New Roman"/>
        </w:rPr>
        <w:t>1.3 </w:t>
      </w:r>
      <w:r>
        <w:rPr/>
        <w:t>总说明（表</w:t>
      </w:r>
      <w:r>
        <w:rPr>
          <w:rFonts w:ascii="Times New Roman" w:eastAsia="Times New Roman"/>
        </w:rPr>
        <w:t>-01</w:t>
      </w:r>
      <w:r>
        <w:rPr/>
        <w:t>）</w:t>
      </w:r>
    </w:p>
    <w:p>
      <w:pPr>
        <w:pStyle w:val="ListParagraph"/>
        <w:numPr>
          <w:ilvl w:val="1"/>
          <w:numId w:val="138"/>
        </w:numPr>
        <w:tabs>
          <w:tab w:pos="1679" w:val="left" w:leader="none"/>
        </w:tabs>
        <w:spacing w:line="240" w:lineRule="auto" w:before="141" w:after="0"/>
        <w:ind w:left="1678" w:right="0" w:hanging="370"/>
        <w:jc w:val="left"/>
        <w:rPr>
          <w:sz w:val="21"/>
        </w:rPr>
      </w:pPr>
      <w:r>
        <w:rPr>
          <w:spacing w:val="-3"/>
          <w:sz w:val="21"/>
        </w:rPr>
        <w:t>建设项目投标报价汇总表（</w:t>
      </w:r>
      <w:r>
        <w:rPr>
          <w:sz w:val="21"/>
        </w:rPr>
        <w:t>表</w:t>
      </w:r>
      <w:r>
        <w:rPr>
          <w:rFonts w:ascii="Times New Roman" w:eastAsia="Times New Roman"/>
          <w:sz w:val="21"/>
        </w:rPr>
        <w:t>-02</w:t>
      </w:r>
      <w:r>
        <w:rPr>
          <w:sz w:val="21"/>
        </w:rPr>
        <w:t>）</w:t>
      </w:r>
    </w:p>
    <w:p>
      <w:pPr>
        <w:pStyle w:val="ListParagraph"/>
        <w:numPr>
          <w:ilvl w:val="1"/>
          <w:numId w:val="138"/>
        </w:numPr>
        <w:tabs>
          <w:tab w:pos="1679" w:val="left" w:leader="none"/>
        </w:tabs>
        <w:spacing w:line="240" w:lineRule="auto" w:before="139" w:after="0"/>
        <w:ind w:left="1678" w:right="0" w:hanging="370"/>
        <w:jc w:val="left"/>
        <w:rPr>
          <w:sz w:val="21"/>
        </w:rPr>
      </w:pPr>
      <w:r>
        <w:rPr>
          <w:spacing w:val="-3"/>
          <w:sz w:val="21"/>
        </w:rPr>
        <w:t>单项工程投标报价汇总表（</w:t>
      </w:r>
      <w:r>
        <w:rPr>
          <w:sz w:val="21"/>
        </w:rPr>
        <w:t>表</w:t>
      </w:r>
      <w:r>
        <w:rPr>
          <w:rFonts w:ascii="Times New Roman" w:eastAsia="Times New Roman"/>
          <w:sz w:val="21"/>
        </w:rPr>
        <w:t>-03</w:t>
      </w:r>
      <w:r>
        <w:rPr>
          <w:sz w:val="21"/>
        </w:rPr>
        <w:t>）</w:t>
      </w:r>
    </w:p>
    <w:p>
      <w:pPr>
        <w:pStyle w:val="ListParagraph"/>
        <w:numPr>
          <w:ilvl w:val="1"/>
          <w:numId w:val="138"/>
        </w:numPr>
        <w:tabs>
          <w:tab w:pos="1679" w:val="left" w:leader="none"/>
        </w:tabs>
        <w:spacing w:line="240" w:lineRule="auto" w:before="140" w:after="0"/>
        <w:ind w:left="1678" w:right="0" w:hanging="370"/>
        <w:jc w:val="left"/>
        <w:rPr>
          <w:sz w:val="21"/>
        </w:rPr>
      </w:pPr>
      <w:r>
        <w:rPr>
          <w:spacing w:val="-3"/>
          <w:sz w:val="21"/>
        </w:rPr>
        <w:t>单位工程投标报价汇总表（</w:t>
      </w:r>
      <w:r>
        <w:rPr>
          <w:sz w:val="21"/>
        </w:rPr>
        <w:t>表</w:t>
      </w:r>
      <w:r>
        <w:rPr>
          <w:rFonts w:ascii="Times New Roman" w:eastAsia="Times New Roman"/>
          <w:sz w:val="21"/>
        </w:rPr>
        <w:t>-04</w:t>
      </w:r>
      <w:r>
        <w:rPr>
          <w:sz w:val="21"/>
        </w:rPr>
        <w:t>）</w:t>
      </w:r>
    </w:p>
    <w:p>
      <w:pPr>
        <w:pStyle w:val="ListParagraph"/>
        <w:numPr>
          <w:ilvl w:val="1"/>
          <w:numId w:val="138"/>
        </w:numPr>
        <w:tabs>
          <w:tab w:pos="1679" w:val="left" w:leader="none"/>
        </w:tabs>
        <w:spacing w:line="240" w:lineRule="auto" w:before="139" w:after="0"/>
        <w:ind w:left="1678" w:right="0" w:hanging="370"/>
        <w:jc w:val="left"/>
        <w:rPr>
          <w:sz w:val="21"/>
        </w:rPr>
      </w:pPr>
      <w:r>
        <w:rPr>
          <w:spacing w:val="-3"/>
          <w:sz w:val="21"/>
        </w:rPr>
        <w:t>分部分项工程和单价措施项目清单与计价表（</w:t>
      </w:r>
      <w:r>
        <w:rPr>
          <w:sz w:val="21"/>
        </w:rPr>
        <w:t>表</w:t>
      </w:r>
      <w:r>
        <w:rPr>
          <w:rFonts w:ascii="Times New Roman" w:eastAsia="Times New Roman"/>
          <w:sz w:val="21"/>
        </w:rPr>
        <w:t>-08</w:t>
      </w:r>
      <w:r>
        <w:rPr>
          <w:sz w:val="21"/>
        </w:rPr>
        <w:t>）</w:t>
      </w:r>
    </w:p>
    <w:p>
      <w:pPr>
        <w:pStyle w:val="ListParagraph"/>
        <w:numPr>
          <w:ilvl w:val="1"/>
          <w:numId w:val="138"/>
        </w:numPr>
        <w:tabs>
          <w:tab w:pos="1679" w:val="left" w:leader="none"/>
        </w:tabs>
        <w:spacing w:line="240" w:lineRule="auto" w:before="138" w:after="0"/>
        <w:ind w:left="1678" w:right="0" w:hanging="370"/>
        <w:jc w:val="left"/>
        <w:rPr>
          <w:sz w:val="21"/>
        </w:rPr>
      </w:pPr>
      <w:r>
        <w:rPr>
          <w:spacing w:val="-3"/>
          <w:sz w:val="21"/>
        </w:rPr>
        <w:t>工程量清单综合单价分析表</w:t>
      </w:r>
      <w:r>
        <w:rPr>
          <w:sz w:val="21"/>
        </w:rPr>
        <w:t>（表</w:t>
      </w:r>
      <w:r>
        <w:rPr>
          <w:rFonts w:ascii="Times New Roman" w:eastAsia="Times New Roman"/>
          <w:sz w:val="21"/>
        </w:rPr>
        <w:t>-09</w:t>
      </w:r>
      <w:r>
        <w:rPr>
          <w:sz w:val="21"/>
        </w:rPr>
        <w:t>）</w:t>
      </w:r>
    </w:p>
    <w:p>
      <w:pPr>
        <w:pStyle w:val="ListParagraph"/>
        <w:numPr>
          <w:ilvl w:val="1"/>
          <w:numId w:val="138"/>
        </w:numPr>
        <w:tabs>
          <w:tab w:pos="1679" w:val="left" w:leader="none"/>
        </w:tabs>
        <w:spacing w:line="240" w:lineRule="auto" w:before="142" w:after="0"/>
        <w:ind w:left="1678" w:right="0" w:hanging="370"/>
        <w:jc w:val="left"/>
        <w:rPr>
          <w:sz w:val="21"/>
        </w:rPr>
      </w:pPr>
      <w:r>
        <w:rPr>
          <w:spacing w:val="-3"/>
          <w:w w:val="100"/>
          <w:sz w:val="21"/>
        </w:rPr>
        <w:t>主要清单项目工料机分析表</w:t>
      </w:r>
      <w:r>
        <w:rPr>
          <w:w w:val="100"/>
          <w:sz w:val="21"/>
        </w:rPr>
        <w:t>（表</w:t>
      </w:r>
      <w:r>
        <w:rPr>
          <w:rFonts w:ascii="Times New Roman" w:eastAsia="Times New Roman"/>
          <w:spacing w:val="-4"/>
          <w:w w:val="100"/>
          <w:sz w:val="21"/>
        </w:rPr>
        <w:t>-</w:t>
      </w:r>
      <w:r>
        <w:rPr>
          <w:rFonts w:ascii="Times New Roman" w:eastAsia="Times New Roman"/>
          <w:w w:val="100"/>
          <w:sz w:val="21"/>
        </w:rPr>
        <w:t>10</w:t>
      </w:r>
      <w:r>
        <w:rPr>
          <w:spacing w:val="-108"/>
          <w:w w:val="100"/>
          <w:sz w:val="21"/>
        </w:rPr>
        <w:t>）</w:t>
      </w:r>
      <w:r>
        <w:rPr>
          <w:spacing w:val="-3"/>
          <w:w w:val="100"/>
          <w:sz w:val="21"/>
        </w:rPr>
        <w:t>【备注：可按要求有选择的提供】</w:t>
      </w:r>
    </w:p>
    <w:p>
      <w:pPr>
        <w:pStyle w:val="ListParagraph"/>
        <w:numPr>
          <w:ilvl w:val="1"/>
          <w:numId w:val="138"/>
        </w:numPr>
        <w:tabs>
          <w:tab w:pos="1782" w:val="left" w:leader="none"/>
        </w:tabs>
        <w:spacing w:line="240" w:lineRule="auto" w:before="139" w:after="0"/>
        <w:ind w:left="1782" w:right="0" w:hanging="473"/>
        <w:jc w:val="left"/>
        <w:rPr>
          <w:sz w:val="21"/>
        </w:rPr>
      </w:pPr>
      <w:r>
        <w:rPr>
          <w:spacing w:val="-3"/>
          <w:sz w:val="21"/>
        </w:rPr>
        <w:t>总价措施项目清单与计价表</w:t>
      </w:r>
      <w:r>
        <w:rPr>
          <w:sz w:val="21"/>
        </w:rPr>
        <w:t>（表</w:t>
      </w:r>
      <w:r>
        <w:rPr>
          <w:rFonts w:ascii="Times New Roman" w:eastAsia="Times New Roman"/>
          <w:spacing w:val="-4"/>
          <w:sz w:val="21"/>
        </w:rPr>
        <w:t>-11</w:t>
      </w:r>
      <w:r>
        <w:rPr>
          <w:spacing w:val="-4"/>
          <w:sz w:val="21"/>
        </w:rPr>
        <w:t>）</w:t>
      </w:r>
    </w:p>
    <w:p>
      <w:pPr>
        <w:pStyle w:val="ListParagraph"/>
        <w:numPr>
          <w:ilvl w:val="1"/>
          <w:numId w:val="138"/>
        </w:numPr>
        <w:tabs>
          <w:tab w:pos="1775" w:val="left" w:leader="none"/>
        </w:tabs>
        <w:spacing w:line="240" w:lineRule="auto" w:before="139" w:after="0"/>
        <w:ind w:left="1774" w:right="0" w:hanging="466"/>
        <w:jc w:val="left"/>
        <w:rPr>
          <w:sz w:val="21"/>
        </w:rPr>
      </w:pPr>
      <w:r>
        <w:rPr>
          <w:spacing w:val="-3"/>
          <w:sz w:val="21"/>
        </w:rPr>
        <w:t>其他项目清单与计价汇总表</w:t>
      </w:r>
      <w:r>
        <w:rPr>
          <w:sz w:val="21"/>
        </w:rPr>
        <w:t>（表</w:t>
      </w:r>
      <w:r>
        <w:rPr>
          <w:rFonts w:ascii="Times New Roman" w:eastAsia="Times New Roman"/>
          <w:sz w:val="21"/>
        </w:rPr>
        <w:t>-12</w:t>
      </w:r>
      <w:r>
        <w:rPr>
          <w:sz w:val="21"/>
        </w:rPr>
        <w:t>）</w:t>
      </w:r>
    </w:p>
    <w:p>
      <w:pPr>
        <w:pStyle w:val="ListParagraph"/>
        <w:numPr>
          <w:ilvl w:val="1"/>
          <w:numId w:val="138"/>
        </w:numPr>
        <w:tabs>
          <w:tab w:pos="1782" w:val="left" w:leader="none"/>
        </w:tabs>
        <w:spacing w:line="240" w:lineRule="auto" w:before="139" w:after="0"/>
        <w:ind w:left="1782" w:right="0" w:hanging="473"/>
        <w:jc w:val="left"/>
        <w:rPr>
          <w:sz w:val="21"/>
        </w:rPr>
      </w:pPr>
      <w:r>
        <w:rPr>
          <w:spacing w:val="-3"/>
          <w:sz w:val="21"/>
        </w:rPr>
        <w:t>暂列金额明细表（</w:t>
      </w:r>
      <w:r>
        <w:rPr>
          <w:spacing w:val="-28"/>
          <w:sz w:val="21"/>
        </w:rPr>
        <w:t>表 </w:t>
      </w:r>
      <w:r>
        <w:rPr>
          <w:rFonts w:ascii="Times New Roman" w:eastAsia="Times New Roman"/>
          <w:sz w:val="21"/>
        </w:rPr>
        <w:t>12-1</w:t>
      </w:r>
      <w:r>
        <w:rPr>
          <w:sz w:val="21"/>
        </w:rPr>
        <w:t>）</w:t>
      </w:r>
    </w:p>
    <w:p>
      <w:pPr>
        <w:pStyle w:val="ListParagraph"/>
        <w:numPr>
          <w:ilvl w:val="1"/>
          <w:numId w:val="138"/>
        </w:numPr>
        <w:tabs>
          <w:tab w:pos="1782" w:val="left" w:leader="none"/>
        </w:tabs>
        <w:spacing w:line="240" w:lineRule="auto" w:before="139" w:after="0"/>
        <w:ind w:left="1782" w:right="0" w:hanging="473"/>
        <w:jc w:val="left"/>
        <w:rPr>
          <w:sz w:val="21"/>
        </w:rPr>
      </w:pPr>
      <w:r>
        <w:rPr>
          <w:spacing w:val="-2"/>
          <w:sz w:val="21"/>
        </w:rPr>
        <w:t>材料</w:t>
      </w:r>
      <w:r>
        <w:rPr>
          <w:sz w:val="21"/>
        </w:rPr>
        <w:t>（</w:t>
      </w:r>
      <w:r>
        <w:rPr>
          <w:spacing w:val="-3"/>
          <w:sz w:val="21"/>
        </w:rPr>
        <w:t>工程设备）暂估单价及调整表（</w:t>
      </w:r>
      <w:r>
        <w:rPr>
          <w:spacing w:val="-26"/>
          <w:sz w:val="21"/>
        </w:rPr>
        <w:t>表 </w:t>
      </w:r>
      <w:r>
        <w:rPr>
          <w:rFonts w:ascii="Times New Roman" w:eastAsia="Times New Roman"/>
          <w:sz w:val="21"/>
        </w:rPr>
        <w:t>12-2</w:t>
      </w:r>
      <w:r>
        <w:rPr>
          <w:sz w:val="21"/>
        </w:rPr>
        <w:t>）</w:t>
      </w:r>
    </w:p>
    <w:p>
      <w:pPr>
        <w:pStyle w:val="ListParagraph"/>
        <w:numPr>
          <w:ilvl w:val="1"/>
          <w:numId w:val="138"/>
        </w:numPr>
        <w:tabs>
          <w:tab w:pos="1782" w:val="left" w:leader="none"/>
        </w:tabs>
        <w:spacing w:line="240" w:lineRule="auto" w:before="141" w:after="0"/>
        <w:ind w:left="1782" w:right="0" w:hanging="473"/>
        <w:jc w:val="left"/>
        <w:rPr>
          <w:sz w:val="21"/>
        </w:rPr>
      </w:pPr>
      <w:r>
        <w:rPr>
          <w:spacing w:val="-3"/>
          <w:sz w:val="21"/>
        </w:rPr>
        <w:t>专业工程暂估价及结算价表（</w:t>
      </w:r>
      <w:r>
        <w:rPr>
          <w:spacing w:val="-27"/>
          <w:sz w:val="21"/>
        </w:rPr>
        <w:t>表 </w:t>
      </w:r>
      <w:r>
        <w:rPr>
          <w:rFonts w:ascii="Times New Roman" w:eastAsia="Times New Roman"/>
          <w:sz w:val="21"/>
        </w:rPr>
        <w:t>12-3</w:t>
      </w:r>
      <w:r>
        <w:rPr>
          <w:sz w:val="21"/>
        </w:rPr>
        <w:t>）</w:t>
      </w:r>
    </w:p>
    <w:p>
      <w:pPr>
        <w:pStyle w:val="BodyText"/>
        <w:spacing w:before="139"/>
        <w:ind w:left="1309"/>
      </w:pPr>
      <w:r>
        <w:rPr>
          <w:rFonts w:ascii="Times New Roman" w:eastAsia="Times New Roman"/>
        </w:rPr>
        <w:t>1.15 </w:t>
      </w:r>
      <w:r>
        <w:rPr/>
        <w:t>计日工表（表 </w:t>
      </w:r>
      <w:r>
        <w:rPr>
          <w:rFonts w:ascii="Times New Roman" w:eastAsia="Times New Roman"/>
        </w:rPr>
        <w:t>12-4</w:t>
      </w:r>
      <w:r>
        <w:rPr/>
        <w:t>）</w:t>
      </w:r>
    </w:p>
    <w:p>
      <w:pPr>
        <w:pStyle w:val="ListParagraph"/>
        <w:numPr>
          <w:ilvl w:val="1"/>
          <w:numId w:val="139"/>
        </w:numPr>
        <w:tabs>
          <w:tab w:pos="1782" w:val="left" w:leader="none"/>
        </w:tabs>
        <w:spacing w:line="240" w:lineRule="auto" w:before="139" w:after="0"/>
        <w:ind w:left="1782" w:right="0" w:hanging="473"/>
        <w:jc w:val="left"/>
        <w:rPr>
          <w:sz w:val="21"/>
        </w:rPr>
      </w:pPr>
      <w:r>
        <w:rPr>
          <w:spacing w:val="-3"/>
          <w:sz w:val="21"/>
        </w:rPr>
        <w:t>总承包服务费计价表</w:t>
      </w:r>
      <w:r>
        <w:rPr>
          <w:sz w:val="21"/>
        </w:rPr>
        <w:t>（</w:t>
      </w:r>
      <w:r>
        <w:rPr>
          <w:spacing w:val="-26"/>
          <w:sz w:val="21"/>
        </w:rPr>
        <w:t>表 </w:t>
      </w:r>
      <w:r>
        <w:rPr>
          <w:rFonts w:ascii="Times New Roman" w:eastAsia="Times New Roman"/>
          <w:sz w:val="21"/>
        </w:rPr>
        <w:t>12-5</w:t>
      </w:r>
      <w:r>
        <w:rPr>
          <w:sz w:val="21"/>
        </w:rPr>
        <w:t>）</w:t>
      </w:r>
    </w:p>
    <w:p>
      <w:pPr>
        <w:pStyle w:val="ListParagraph"/>
        <w:numPr>
          <w:ilvl w:val="1"/>
          <w:numId w:val="139"/>
        </w:numPr>
        <w:tabs>
          <w:tab w:pos="1782" w:val="left" w:leader="none"/>
        </w:tabs>
        <w:spacing w:line="240" w:lineRule="auto" w:before="139" w:after="0"/>
        <w:ind w:left="1782" w:right="0" w:hanging="473"/>
        <w:jc w:val="left"/>
        <w:rPr>
          <w:sz w:val="21"/>
        </w:rPr>
      </w:pPr>
      <w:r>
        <w:rPr>
          <w:spacing w:val="-3"/>
          <w:sz w:val="21"/>
        </w:rPr>
        <w:t>税前项目清单与计价表</w:t>
      </w:r>
      <w:r>
        <w:rPr>
          <w:sz w:val="21"/>
        </w:rPr>
        <w:t>（表</w:t>
      </w:r>
      <w:r>
        <w:rPr>
          <w:rFonts w:ascii="Times New Roman" w:eastAsia="Times New Roman"/>
          <w:sz w:val="21"/>
        </w:rPr>
        <w:t>-14</w:t>
      </w:r>
      <w:r>
        <w:rPr>
          <w:sz w:val="21"/>
        </w:rPr>
        <w:t>）</w:t>
      </w:r>
    </w:p>
    <w:p>
      <w:pPr>
        <w:pStyle w:val="ListParagraph"/>
        <w:numPr>
          <w:ilvl w:val="1"/>
          <w:numId w:val="139"/>
        </w:numPr>
        <w:tabs>
          <w:tab w:pos="1782" w:val="left" w:leader="none"/>
        </w:tabs>
        <w:spacing w:line="240" w:lineRule="auto" w:before="141" w:after="0"/>
        <w:ind w:left="1782" w:right="0" w:hanging="473"/>
        <w:jc w:val="left"/>
        <w:rPr>
          <w:sz w:val="21"/>
        </w:rPr>
      </w:pPr>
      <w:r>
        <w:rPr>
          <w:spacing w:val="-3"/>
          <w:sz w:val="21"/>
        </w:rPr>
        <w:t>规费、增值税计价表</w:t>
      </w:r>
      <w:r>
        <w:rPr>
          <w:sz w:val="21"/>
        </w:rPr>
        <w:t>（表</w:t>
      </w:r>
      <w:r>
        <w:rPr>
          <w:rFonts w:ascii="Times New Roman" w:eastAsia="Times New Roman"/>
          <w:sz w:val="21"/>
        </w:rPr>
        <w:t>-15</w:t>
      </w:r>
      <w:r>
        <w:rPr>
          <w:sz w:val="21"/>
        </w:rPr>
        <w:t>）</w:t>
      </w:r>
    </w:p>
    <w:p>
      <w:pPr>
        <w:pStyle w:val="ListParagraph"/>
        <w:numPr>
          <w:ilvl w:val="1"/>
          <w:numId w:val="139"/>
        </w:numPr>
        <w:tabs>
          <w:tab w:pos="1782" w:val="left" w:leader="none"/>
        </w:tabs>
        <w:spacing w:line="240" w:lineRule="auto" w:before="139" w:after="0"/>
        <w:ind w:left="1782" w:right="0" w:hanging="473"/>
        <w:jc w:val="left"/>
        <w:rPr>
          <w:sz w:val="21"/>
        </w:rPr>
      </w:pPr>
      <w:r>
        <w:rPr>
          <w:spacing w:val="-3"/>
          <w:sz w:val="21"/>
        </w:rPr>
        <w:t>发包人提供主要材料和工程设备一览表（</w:t>
      </w:r>
      <w:r>
        <w:rPr>
          <w:sz w:val="21"/>
        </w:rPr>
        <w:t>表</w:t>
      </w:r>
      <w:r>
        <w:rPr>
          <w:rFonts w:ascii="Times New Roman" w:eastAsia="Times New Roman"/>
          <w:sz w:val="21"/>
        </w:rPr>
        <w:t>-21</w:t>
      </w:r>
      <w:r>
        <w:rPr>
          <w:sz w:val="21"/>
        </w:rPr>
        <w:t>）</w:t>
      </w:r>
    </w:p>
    <w:p>
      <w:pPr>
        <w:pStyle w:val="ListParagraph"/>
        <w:numPr>
          <w:ilvl w:val="1"/>
          <w:numId w:val="139"/>
        </w:numPr>
        <w:tabs>
          <w:tab w:pos="1782" w:val="left" w:leader="none"/>
        </w:tabs>
        <w:spacing w:line="240" w:lineRule="auto" w:before="139" w:after="0"/>
        <w:ind w:left="1782" w:right="0" w:hanging="473"/>
        <w:jc w:val="left"/>
        <w:rPr>
          <w:sz w:val="21"/>
        </w:rPr>
      </w:pPr>
      <w:r>
        <w:rPr>
          <w:spacing w:val="-3"/>
          <w:w w:val="100"/>
          <w:sz w:val="21"/>
        </w:rPr>
        <w:t>承包人提供主要材料和工程设备一览表（适用于造价信息差额调整法</w:t>
      </w:r>
      <w:r>
        <w:rPr>
          <w:spacing w:val="-108"/>
          <w:w w:val="100"/>
          <w:sz w:val="21"/>
        </w:rPr>
        <w:t>）</w:t>
      </w:r>
      <w:r>
        <w:rPr>
          <w:spacing w:val="-3"/>
          <w:w w:val="100"/>
          <w:sz w:val="21"/>
        </w:rPr>
        <w:t>（</w:t>
      </w:r>
      <w:r>
        <w:rPr>
          <w:w w:val="100"/>
          <w:sz w:val="21"/>
        </w:rPr>
        <w:t>表</w:t>
      </w:r>
      <w:r>
        <w:rPr>
          <w:rFonts w:ascii="Times New Roman" w:eastAsia="Times New Roman"/>
          <w:spacing w:val="-4"/>
          <w:w w:val="100"/>
          <w:sz w:val="21"/>
        </w:rPr>
        <w:t>-</w:t>
      </w:r>
      <w:r>
        <w:rPr>
          <w:rFonts w:ascii="Times New Roman" w:eastAsia="Times New Roman"/>
          <w:w w:val="100"/>
          <w:sz w:val="21"/>
        </w:rPr>
        <w:t>22</w:t>
      </w:r>
      <w:r>
        <w:rPr>
          <w:w w:val="100"/>
          <w:sz w:val="21"/>
        </w:rPr>
        <w:t>）</w:t>
      </w:r>
    </w:p>
    <w:p>
      <w:pPr>
        <w:pStyle w:val="ListParagraph"/>
        <w:numPr>
          <w:ilvl w:val="1"/>
          <w:numId w:val="139"/>
        </w:numPr>
        <w:tabs>
          <w:tab w:pos="1782" w:val="left" w:leader="none"/>
        </w:tabs>
        <w:spacing w:line="240" w:lineRule="auto" w:before="139" w:after="0"/>
        <w:ind w:left="1782" w:right="0" w:hanging="473"/>
        <w:jc w:val="left"/>
        <w:rPr>
          <w:sz w:val="21"/>
        </w:rPr>
      </w:pPr>
      <w:r>
        <w:rPr>
          <w:spacing w:val="-3"/>
          <w:w w:val="100"/>
          <w:sz w:val="21"/>
        </w:rPr>
        <w:t>承包人提供主要材料和工程设备一览表（适用于价格指数差额调整法</w:t>
      </w:r>
      <w:r>
        <w:rPr>
          <w:spacing w:val="-108"/>
          <w:w w:val="100"/>
          <w:sz w:val="21"/>
        </w:rPr>
        <w:t>）</w:t>
      </w:r>
      <w:r>
        <w:rPr>
          <w:spacing w:val="-3"/>
          <w:w w:val="100"/>
          <w:sz w:val="21"/>
        </w:rPr>
        <w:t>（</w:t>
      </w:r>
      <w:r>
        <w:rPr>
          <w:w w:val="100"/>
          <w:sz w:val="21"/>
        </w:rPr>
        <w:t>表</w:t>
      </w:r>
      <w:r>
        <w:rPr>
          <w:rFonts w:ascii="Times New Roman" w:eastAsia="Times New Roman"/>
          <w:spacing w:val="-4"/>
          <w:w w:val="100"/>
          <w:sz w:val="21"/>
        </w:rPr>
        <w:t>-</w:t>
      </w:r>
      <w:r>
        <w:rPr>
          <w:rFonts w:ascii="Times New Roman" w:eastAsia="Times New Roman"/>
          <w:w w:val="100"/>
          <w:sz w:val="21"/>
        </w:rPr>
        <w:t>23</w:t>
      </w:r>
      <w:r>
        <w:rPr>
          <w:w w:val="100"/>
          <w:sz w:val="21"/>
        </w:rPr>
        <w:t>）</w:t>
      </w:r>
    </w:p>
    <w:p>
      <w:pPr>
        <w:pStyle w:val="BodyText"/>
        <w:ind w:left="0"/>
        <w:rPr>
          <w:sz w:val="22"/>
        </w:rPr>
      </w:pPr>
    </w:p>
    <w:p>
      <w:pPr>
        <w:pStyle w:val="BodyText"/>
        <w:spacing w:before="2"/>
        <w:ind w:left="0"/>
        <w:rPr>
          <w:sz w:val="17"/>
        </w:rPr>
      </w:pPr>
    </w:p>
    <w:p>
      <w:pPr>
        <w:pStyle w:val="BodyText"/>
        <w:spacing w:before="1"/>
      </w:pPr>
      <w:r>
        <w:rPr/>
        <w:t>备注：</w:t>
      </w:r>
    </w:p>
    <w:p>
      <w:pPr>
        <w:pStyle w:val="BodyText"/>
        <w:spacing w:line="364" w:lineRule="auto" w:before="141"/>
        <w:ind w:right="1151" w:firstLine="419"/>
        <w:jc w:val="both"/>
      </w:pPr>
      <w:r>
        <w:rPr>
          <w:spacing w:val="-9"/>
        </w:rPr>
        <w:t>（</w:t>
      </w:r>
      <w:r>
        <w:rPr>
          <w:rFonts w:ascii="Times New Roman" w:eastAsia="Times New Roman"/>
          <w:spacing w:val="-9"/>
        </w:rPr>
        <w:t>1</w:t>
      </w:r>
      <w:r>
        <w:rPr>
          <w:spacing w:val="-9"/>
        </w:rPr>
        <w:t>）</w:t>
      </w:r>
      <w:r>
        <w:rPr>
          <w:spacing w:val="-4"/>
        </w:rPr>
        <w:t>投标人在上传投标报价文件时应上传纸质投标总价封面的原件扫描件。报标总价封面</w:t>
      </w:r>
      <w:r>
        <w:rPr>
          <w:spacing w:val="-6"/>
          <w:w w:val="100"/>
        </w:rPr>
        <w:t>必须经投标人盖章，并由法定代表人</w:t>
      </w:r>
      <w:r>
        <w:rPr>
          <w:w w:val="100"/>
        </w:rPr>
        <w:t>（</w:t>
      </w:r>
      <w:r>
        <w:rPr>
          <w:spacing w:val="-2"/>
          <w:w w:val="100"/>
        </w:rPr>
        <w:t>或其</w:t>
      </w:r>
      <w:r>
        <w:rPr>
          <w:color w:val="FF0000"/>
          <w:spacing w:val="-2"/>
          <w:w w:val="100"/>
        </w:rPr>
        <w:t>委托</w:t>
      </w:r>
      <w:r>
        <w:rPr>
          <w:spacing w:val="-3"/>
          <w:w w:val="100"/>
        </w:rPr>
        <w:t>人</w:t>
      </w:r>
      <w:r>
        <w:rPr>
          <w:spacing w:val="-10"/>
          <w:w w:val="100"/>
        </w:rPr>
        <w:t>）</w:t>
      </w:r>
      <w:r>
        <w:rPr>
          <w:spacing w:val="-5"/>
          <w:w w:val="100"/>
        </w:rPr>
        <w:t>签字</w:t>
      </w:r>
      <w:r>
        <w:rPr>
          <w:spacing w:val="-3"/>
          <w:w w:val="100"/>
        </w:rPr>
        <w:t>（</w:t>
      </w:r>
      <w:r>
        <w:rPr>
          <w:spacing w:val="-2"/>
          <w:w w:val="100"/>
        </w:rPr>
        <w:t>或盖章</w:t>
      </w:r>
      <w:r>
        <w:rPr>
          <w:spacing w:val="-106"/>
          <w:w w:val="100"/>
        </w:rPr>
        <w:t>）</w:t>
      </w:r>
      <w:r>
        <w:rPr>
          <w:spacing w:val="-5"/>
          <w:w w:val="100"/>
        </w:rPr>
        <w:t>，同时由编制人签字盖专用</w:t>
      </w:r>
      <w:r>
        <w:rPr>
          <w:spacing w:val="-5"/>
        </w:rPr>
        <w:t>章。</w:t>
      </w:r>
    </w:p>
    <w:p>
      <w:pPr>
        <w:pStyle w:val="BodyText"/>
        <w:spacing w:line="266" w:lineRule="exact"/>
        <w:ind w:left="1098"/>
        <w:jc w:val="both"/>
      </w:pPr>
      <w:r>
        <w:rPr/>
        <w:t>（</w:t>
      </w:r>
      <w:r>
        <w:rPr>
          <w:rFonts w:ascii="Times New Roman" w:eastAsia="Times New Roman"/>
        </w:rPr>
        <w:t>2</w:t>
      </w:r>
      <w:r>
        <w:rPr/>
        <w:t>）</w:t>
      </w:r>
      <w:r>
        <w:rPr>
          <w:rFonts w:ascii="Times New Roman" w:eastAsia="Times New Roman"/>
        </w:rPr>
        <w:t>1.8 </w:t>
      </w:r>
      <w:r>
        <w:rPr/>
        <w:t>工程量清单综合单价分析表和 </w:t>
      </w:r>
      <w:r>
        <w:rPr>
          <w:rFonts w:ascii="Times New Roman" w:eastAsia="Times New Roman"/>
        </w:rPr>
        <w:t>1.9 </w:t>
      </w:r>
      <w:r>
        <w:rPr/>
        <w:t>主要清单项目工料机分析表要求附上。</w:t>
      </w:r>
    </w:p>
    <w:p>
      <w:pPr>
        <w:pStyle w:val="BodyText"/>
        <w:spacing w:line="364" w:lineRule="auto" w:before="139"/>
        <w:ind w:right="1149" w:firstLine="419"/>
        <w:jc w:val="both"/>
      </w:pPr>
      <w:r>
        <w:rPr>
          <w:spacing w:val="-9"/>
        </w:rPr>
        <w:t>（</w:t>
      </w:r>
      <w:r>
        <w:rPr>
          <w:rFonts w:ascii="Times New Roman" w:eastAsia="Times New Roman"/>
          <w:spacing w:val="-9"/>
        </w:rPr>
        <w:t>3</w:t>
      </w:r>
      <w:r>
        <w:rPr>
          <w:spacing w:val="-9"/>
        </w:rPr>
        <w:t>）</w:t>
      </w:r>
      <w:r>
        <w:rPr>
          <w:spacing w:val="-4"/>
        </w:rPr>
        <w:t>已标价工程量清单表格要严格按照招标工程量清单给出的表格要求和内容填报。如本</w:t>
      </w:r>
      <w:r>
        <w:rPr>
          <w:spacing w:val="-3"/>
        </w:rPr>
        <w:t>工程在合同中约定采用造价信息价差调整法，</w:t>
      </w:r>
      <w:r>
        <w:rPr>
          <w:rFonts w:ascii="Times New Roman" w:eastAsia="Times New Roman"/>
        </w:rPr>
        <w:t>1.18 </w:t>
      </w:r>
      <w:r>
        <w:rPr>
          <w:spacing w:val="-3"/>
        </w:rPr>
        <w:t>承包人提供主要材料和工程设备一览表</w:t>
      </w:r>
      <w:r>
        <w:rPr/>
        <w:t>（适</w:t>
      </w:r>
      <w:r>
        <w:rPr>
          <w:w w:val="100"/>
        </w:rPr>
        <w:t>用于造价信息差额调整法</w:t>
      </w:r>
      <w:r>
        <w:rPr>
          <w:spacing w:val="-106"/>
          <w:w w:val="100"/>
        </w:rPr>
        <w:t>）</w:t>
      </w:r>
      <w:r>
        <w:rPr>
          <w:spacing w:val="2"/>
          <w:w w:val="100"/>
        </w:rPr>
        <w:t>（</w:t>
      </w:r>
      <w:r>
        <w:rPr>
          <w:spacing w:val="4"/>
          <w:w w:val="100"/>
        </w:rPr>
        <w:t>表</w:t>
      </w:r>
      <w:r>
        <w:rPr>
          <w:rFonts w:ascii="Times New Roman" w:eastAsia="Times New Roman"/>
          <w:spacing w:val="-4"/>
          <w:w w:val="100"/>
        </w:rPr>
        <w:t>-</w:t>
      </w:r>
      <w:r>
        <w:rPr>
          <w:rFonts w:ascii="Times New Roman" w:eastAsia="Times New Roman"/>
          <w:w w:val="100"/>
        </w:rPr>
        <w:t>2</w:t>
      </w:r>
      <w:r>
        <w:rPr>
          <w:rFonts w:ascii="Times New Roman" w:eastAsia="Times New Roman"/>
          <w:spacing w:val="2"/>
          <w:w w:val="100"/>
        </w:rPr>
        <w:t>2</w:t>
      </w:r>
      <w:r>
        <w:rPr>
          <w:spacing w:val="2"/>
          <w:w w:val="100"/>
        </w:rPr>
        <w:t>）</w:t>
      </w:r>
      <w:r>
        <w:rPr>
          <w:w w:val="100"/>
        </w:rPr>
        <w:t>载明的主要材料和设备为本工程允许调整的材料和设备，</w:t>
      </w:r>
    </w:p>
    <w:p>
      <w:pPr>
        <w:spacing w:after="0" w:line="364" w:lineRule="auto"/>
        <w:jc w:val="both"/>
        <w:sectPr>
          <w:pgSz w:w="11910" w:h="16850"/>
          <w:pgMar w:header="0" w:footer="779" w:top="1380" w:bottom="1040" w:left="1120" w:right="280"/>
        </w:sectPr>
      </w:pPr>
    </w:p>
    <w:p>
      <w:pPr>
        <w:pStyle w:val="BodyText"/>
        <w:spacing w:line="364" w:lineRule="auto" w:before="60"/>
        <w:ind w:right="1155"/>
        <w:jc w:val="both"/>
      </w:pPr>
      <w:r>
        <w:rPr/>
        <w:t>招标工程量清单必须提供该表格，且不能提供空白表。以下表格视工程实际需要选用，如该工程不发生如下表格相关项目和费用，招标工程量清单不应列入该部分表格，已标价工程量清单亦不包括这部分表格。</w:t>
      </w:r>
    </w:p>
    <w:p>
      <w:pPr>
        <w:pStyle w:val="BodyText"/>
        <w:ind w:left="1623"/>
      </w:pPr>
      <w:r>
        <w:rPr/>
        <w:t>①建设项目投标报价汇总表（表</w:t>
      </w:r>
      <w:r>
        <w:rPr>
          <w:rFonts w:ascii="Times New Roman" w:hAnsi="Times New Roman" w:eastAsia="Times New Roman"/>
        </w:rPr>
        <w:t>-02</w:t>
      </w:r>
      <w:r>
        <w:rPr/>
        <w:t>）</w:t>
      </w:r>
    </w:p>
    <w:p>
      <w:pPr>
        <w:pStyle w:val="BodyText"/>
        <w:spacing w:before="139"/>
        <w:ind w:left="1623"/>
      </w:pPr>
      <w:r>
        <w:rPr/>
        <w:t>②暂列金额明细表（表 </w:t>
      </w:r>
      <w:r>
        <w:rPr>
          <w:rFonts w:ascii="Times New Roman" w:hAnsi="Times New Roman" w:eastAsia="Times New Roman"/>
        </w:rPr>
        <w:t>12-1</w:t>
      </w:r>
      <w:r>
        <w:rPr/>
        <w:t>）</w:t>
      </w:r>
    </w:p>
    <w:p>
      <w:pPr>
        <w:pStyle w:val="BodyText"/>
        <w:spacing w:before="139"/>
        <w:ind w:left="1623"/>
      </w:pPr>
      <w:r>
        <w:rPr/>
        <w:t>③材料（工程设备）暂估单位及调整表（表 </w:t>
      </w:r>
      <w:r>
        <w:rPr>
          <w:rFonts w:ascii="Times New Roman" w:hAnsi="Times New Roman" w:eastAsia="Times New Roman"/>
        </w:rPr>
        <w:t>12-2</w:t>
      </w:r>
      <w:r>
        <w:rPr/>
        <w:t>）</w:t>
      </w:r>
    </w:p>
    <w:p>
      <w:pPr>
        <w:pStyle w:val="BodyText"/>
        <w:spacing w:before="139"/>
        <w:ind w:left="1623"/>
      </w:pPr>
      <w:r>
        <w:rPr/>
        <w:t>④专业工程暂估价及结算价表（表 </w:t>
      </w:r>
      <w:r>
        <w:rPr>
          <w:rFonts w:ascii="Times New Roman" w:hAnsi="Times New Roman" w:eastAsia="Times New Roman"/>
        </w:rPr>
        <w:t>12-3</w:t>
      </w:r>
      <w:r>
        <w:rPr/>
        <w:t>）</w:t>
      </w:r>
    </w:p>
    <w:p>
      <w:pPr>
        <w:pStyle w:val="BodyText"/>
        <w:spacing w:before="141"/>
        <w:ind w:left="1623"/>
      </w:pPr>
      <w:r>
        <w:rPr/>
        <w:t>⑤计日工表（表 </w:t>
      </w:r>
      <w:r>
        <w:rPr>
          <w:rFonts w:ascii="Times New Roman" w:hAnsi="Times New Roman" w:eastAsia="Times New Roman"/>
        </w:rPr>
        <w:t>12-4</w:t>
      </w:r>
      <w:r>
        <w:rPr/>
        <w:t>）</w:t>
      </w:r>
    </w:p>
    <w:p>
      <w:pPr>
        <w:pStyle w:val="BodyText"/>
        <w:spacing w:before="139"/>
        <w:ind w:left="1623"/>
      </w:pPr>
      <w:r>
        <w:rPr/>
        <w:t>⑥总承包服务费计价表（表 </w:t>
      </w:r>
      <w:r>
        <w:rPr>
          <w:rFonts w:ascii="Times New Roman" w:hAnsi="Times New Roman" w:eastAsia="Times New Roman"/>
        </w:rPr>
        <w:t>12-5</w:t>
      </w:r>
      <w:r>
        <w:rPr/>
        <w:t>）</w:t>
      </w:r>
    </w:p>
    <w:p>
      <w:pPr>
        <w:pStyle w:val="BodyText"/>
        <w:spacing w:before="140"/>
        <w:ind w:left="1623"/>
      </w:pPr>
      <w:r>
        <w:rPr/>
        <w:t>⑦税前项目清单与计价表（表</w:t>
      </w:r>
      <w:r>
        <w:rPr>
          <w:rFonts w:ascii="Times New Roman" w:hAnsi="Times New Roman" w:eastAsia="Times New Roman"/>
        </w:rPr>
        <w:t>-14</w:t>
      </w:r>
      <w:r>
        <w:rPr/>
        <w:t>）</w:t>
      </w:r>
    </w:p>
    <w:p>
      <w:pPr>
        <w:pStyle w:val="BodyText"/>
        <w:spacing w:before="139"/>
        <w:ind w:left="1623"/>
      </w:pPr>
      <w:r>
        <w:rPr>
          <w:rFonts w:ascii="Times New Roman" w:eastAsia="Times New Roman"/>
          <w:w w:val="100"/>
        </w:rPr>
        <w:t>8</w:t>
      </w:r>
      <w:r>
        <w:rPr>
          <w:rFonts w:ascii="Times New Roman" w:eastAsia="Times New Roman"/>
        </w:rPr>
        <w:t>  </w:t>
      </w:r>
      <w:r>
        <w:rPr>
          <w:spacing w:val="-3"/>
          <w:w w:val="100"/>
        </w:rPr>
        <w:t>承包人提供主要材料和工程设备一览表</w:t>
      </w:r>
      <w:r>
        <w:rPr>
          <w:w w:val="100"/>
        </w:rPr>
        <w:t>（</w:t>
      </w:r>
      <w:r>
        <w:rPr>
          <w:spacing w:val="-3"/>
          <w:w w:val="100"/>
        </w:rPr>
        <w:t>适用于价格指数差额调整法</w:t>
      </w:r>
      <w:r>
        <w:rPr>
          <w:spacing w:val="-106"/>
          <w:w w:val="100"/>
        </w:rPr>
        <w:t>）</w:t>
      </w:r>
      <w:r>
        <w:rPr>
          <w:spacing w:val="-3"/>
          <w:w w:val="100"/>
        </w:rPr>
        <w:t>（</w:t>
      </w:r>
      <w:r>
        <w:rPr>
          <w:spacing w:val="-2"/>
          <w:w w:val="100"/>
        </w:rPr>
        <w:t>表</w:t>
      </w:r>
      <w:r>
        <w:rPr>
          <w:rFonts w:ascii="Times New Roman" w:eastAsia="Times New Roman"/>
          <w:spacing w:val="-4"/>
          <w:w w:val="100"/>
        </w:rPr>
        <w:t>-</w:t>
      </w:r>
      <w:r>
        <w:rPr>
          <w:rFonts w:ascii="Times New Roman" w:eastAsia="Times New Roman"/>
          <w:w w:val="100"/>
        </w:rPr>
        <w:t>23</w:t>
      </w:r>
      <w:r>
        <w:rPr>
          <w:w w:val="100"/>
        </w:rPr>
        <w:t>）</w:t>
      </w: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spacing w:before="10"/>
        <w:ind w:left="0"/>
        <w:rPr>
          <w:sz w:val="18"/>
        </w:rPr>
      </w:pPr>
    </w:p>
    <w:p>
      <w:pPr>
        <w:tabs>
          <w:tab w:pos="2078" w:val="left" w:leader="none"/>
        </w:tabs>
        <w:spacing w:before="0"/>
        <w:ind w:left="0" w:right="476" w:firstLine="0"/>
        <w:jc w:val="center"/>
        <w:rPr>
          <w:sz w:val="28"/>
        </w:rPr>
      </w:pPr>
      <w:r>
        <w:rPr>
          <w:rFonts w:ascii="Times New Roman" w:eastAsia="Times New Roman"/>
          <w:w w:val="100"/>
          <w:sz w:val="28"/>
          <w:u w:val="single"/>
        </w:rPr>
        <w:t> </w:t>
      </w:r>
      <w:r>
        <w:rPr>
          <w:rFonts w:ascii="Times New Roman" w:eastAsia="Times New Roman"/>
          <w:sz w:val="28"/>
          <w:u w:val="single"/>
        </w:rPr>
        <w:tab/>
      </w:r>
      <w:r>
        <w:rPr>
          <w:sz w:val="28"/>
        </w:rPr>
        <w:t>（</w:t>
      </w:r>
      <w:r>
        <w:rPr>
          <w:spacing w:val="-1"/>
          <w:sz w:val="28"/>
        </w:rPr>
        <w:t>项目名称</w:t>
      </w:r>
      <w:r>
        <w:rPr>
          <w:sz w:val="28"/>
        </w:rPr>
        <w:t>）</w:t>
      </w:r>
      <w:r>
        <w:rPr>
          <w:spacing w:val="-3"/>
          <w:sz w:val="28"/>
        </w:rPr>
        <w:t>施工招标</w:t>
      </w:r>
    </w:p>
    <w:p>
      <w:pPr>
        <w:pStyle w:val="BodyText"/>
        <w:ind w:left="0"/>
        <w:rPr>
          <w:sz w:val="20"/>
        </w:rPr>
      </w:pPr>
    </w:p>
    <w:p>
      <w:pPr>
        <w:pStyle w:val="BodyText"/>
        <w:spacing w:before="12"/>
        <w:ind w:left="0"/>
      </w:pPr>
    </w:p>
    <w:p>
      <w:pPr>
        <w:tabs>
          <w:tab w:pos="4232" w:val="left" w:leader="none"/>
          <w:tab w:pos="5274" w:val="left" w:leader="none"/>
          <w:tab w:pos="6314" w:val="left" w:leader="none"/>
        </w:tabs>
        <w:spacing w:before="28"/>
        <w:ind w:left="3193" w:right="0" w:firstLine="0"/>
        <w:jc w:val="left"/>
        <w:rPr>
          <w:sz w:val="52"/>
        </w:rPr>
      </w:pPr>
      <w:r>
        <w:rPr>
          <w:sz w:val="52"/>
        </w:rPr>
        <w:t>投</w:t>
        <w:tab/>
        <w:t>标</w:t>
        <w:tab/>
        <w:t>文</w:t>
        <w:tab/>
        <w:t>件</w:t>
      </w:r>
    </w:p>
    <w:p>
      <w:pPr>
        <w:pStyle w:val="BodyText"/>
        <w:ind w:left="0"/>
        <w:rPr>
          <w:sz w:val="52"/>
        </w:rPr>
      </w:pPr>
    </w:p>
    <w:p>
      <w:pPr>
        <w:pStyle w:val="BodyText"/>
        <w:spacing w:before="6"/>
        <w:ind w:left="0"/>
        <w:rPr>
          <w:sz w:val="63"/>
        </w:rPr>
      </w:pPr>
    </w:p>
    <w:p>
      <w:pPr>
        <w:tabs>
          <w:tab w:pos="7744" w:val="left" w:leader="none"/>
        </w:tabs>
        <w:spacing w:before="0"/>
        <w:ind w:left="3059" w:right="0" w:firstLine="0"/>
        <w:jc w:val="left"/>
        <w:rPr>
          <w:rFonts w:ascii="Times New Roman" w:eastAsia="Times New Roman"/>
          <w:sz w:val="28"/>
        </w:rPr>
      </w:pPr>
      <w:r>
        <w:rPr>
          <w:sz w:val="28"/>
        </w:rPr>
        <w:t>项目招</w:t>
      </w:r>
      <w:r>
        <w:rPr>
          <w:spacing w:val="-3"/>
          <w:sz w:val="28"/>
        </w:rPr>
        <w:t>标</w:t>
      </w:r>
      <w:r>
        <w:rPr>
          <w:sz w:val="28"/>
        </w:rPr>
        <w:t>编号：</w:t>
      </w:r>
      <w:r>
        <w:rPr>
          <w:rFonts w:ascii="Times New Roman" w:eastAsia="Times New Roman"/>
          <w:sz w:val="28"/>
          <w:u w:val="single"/>
        </w:rPr>
        <w:t> </w:t>
        <w:tab/>
      </w:r>
    </w:p>
    <w:p>
      <w:pPr>
        <w:spacing w:after="0"/>
        <w:jc w:val="left"/>
        <w:rPr>
          <w:rFonts w:ascii="Times New Roman" w:eastAsia="Times New Roman"/>
          <w:sz w:val="28"/>
        </w:rPr>
        <w:sectPr>
          <w:pgSz w:w="11910" w:h="16850"/>
          <w:pgMar w:header="0" w:footer="779" w:top="1380" w:bottom="1040" w:left="1120" w:right="280"/>
        </w:sectPr>
      </w:pPr>
    </w:p>
    <w:p>
      <w:pPr>
        <w:pStyle w:val="BodyText"/>
        <w:ind w:left="0"/>
        <w:rPr>
          <w:rFonts w:ascii="Times New Roman"/>
          <w:sz w:val="20"/>
        </w:rPr>
      </w:pPr>
    </w:p>
    <w:p>
      <w:pPr>
        <w:pStyle w:val="BodyText"/>
        <w:spacing w:before="10"/>
        <w:ind w:left="0"/>
        <w:rPr>
          <w:rFonts w:ascii="Times New Roman"/>
          <w:sz w:val="23"/>
        </w:rPr>
      </w:pPr>
    </w:p>
    <w:p>
      <w:pPr>
        <w:tabs>
          <w:tab w:pos="4736" w:val="left" w:leader="none"/>
          <w:tab w:pos="4876" w:val="left" w:leader="none"/>
          <w:tab w:pos="7118" w:val="left" w:leader="none"/>
          <w:tab w:pos="7679" w:val="left" w:leader="none"/>
        </w:tabs>
        <w:spacing w:line="364" w:lineRule="auto" w:before="70"/>
        <w:ind w:left="1657" w:right="1701" w:firstLine="0"/>
        <w:jc w:val="left"/>
        <w:rPr>
          <w:sz w:val="28"/>
        </w:rPr>
      </w:pPr>
      <w:r>
        <w:rPr>
          <w:sz w:val="28"/>
        </w:rPr>
        <w:t>投标内</w:t>
      </w:r>
      <w:r>
        <w:rPr>
          <w:spacing w:val="-3"/>
          <w:sz w:val="28"/>
        </w:rPr>
        <w:t>容</w:t>
      </w:r>
      <w:r>
        <w:rPr>
          <w:sz w:val="28"/>
        </w:rPr>
        <w:t>：</w:t>
      </w:r>
      <w:r>
        <w:rPr>
          <w:sz w:val="28"/>
          <w:u w:val="single"/>
        </w:rPr>
        <w:t> </w:t>
        <w:tab/>
        <w:t>技术标部分</w:t>
        <w:tab/>
        <w:tab/>
      </w:r>
      <w:r>
        <w:rPr>
          <w:sz w:val="28"/>
        </w:rPr>
        <w:t>                 投标人：</w:t>
      </w:r>
      <w:r>
        <w:rPr>
          <w:sz w:val="28"/>
          <w:u w:val="single"/>
        </w:rPr>
        <w:t> </w:t>
        <w:tab/>
        <w:tab/>
        <w:tab/>
      </w:r>
      <w:r>
        <w:rPr>
          <w:sz w:val="28"/>
        </w:rPr>
        <w:t>（盖单位章</w:t>
      </w:r>
      <w:r>
        <w:rPr>
          <w:spacing w:val="-18"/>
          <w:sz w:val="28"/>
        </w:rPr>
        <w:t>） </w:t>
      </w:r>
      <w:r>
        <w:rPr>
          <w:sz w:val="28"/>
        </w:rPr>
        <w:t>法定代</w:t>
      </w:r>
      <w:r>
        <w:rPr>
          <w:spacing w:val="-3"/>
          <w:sz w:val="28"/>
        </w:rPr>
        <w:t>表</w:t>
      </w:r>
      <w:r>
        <w:rPr>
          <w:sz w:val="28"/>
        </w:rPr>
        <w:t>人：</w:t>
      </w:r>
      <w:r>
        <w:rPr>
          <w:sz w:val="28"/>
          <w:u w:val="single"/>
        </w:rPr>
        <w:t> </w:t>
        <w:tab/>
        <w:tab/>
      </w:r>
      <w:r>
        <w:rPr>
          <w:sz w:val="28"/>
        </w:rPr>
        <w:t>（签字或</w:t>
      </w:r>
      <w:r>
        <w:rPr>
          <w:spacing w:val="-3"/>
          <w:sz w:val="28"/>
        </w:rPr>
        <w:t>盖</w:t>
      </w:r>
      <w:r>
        <w:rPr>
          <w:sz w:val="28"/>
        </w:rPr>
        <w:t>章）</w:t>
      </w:r>
    </w:p>
    <w:p>
      <w:pPr>
        <w:pStyle w:val="BodyText"/>
        <w:ind w:left="0"/>
        <w:rPr>
          <w:sz w:val="20"/>
        </w:rPr>
      </w:pPr>
    </w:p>
    <w:p>
      <w:pPr>
        <w:pStyle w:val="BodyText"/>
        <w:spacing w:before="6"/>
        <w:ind w:left="0"/>
        <w:rPr>
          <w:sz w:val="25"/>
        </w:rPr>
      </w:pPr>
    </w:p>
    <w:p>
      <w:pPr>
        <w:tabs>
          <w:tab w:pos="1257" w:val="left" w:leader="none"/>
          <w:tab w:pos="2798" w:val="left" w:leader="none"/>
          <w:tab w:pos="4339" w:val="left" w:leader="none"/>
        </w:tabs>
        <w:spacing w:before="62"/>
        <w:ind w:left="0" w:right="475" w:firstLine="0"/>
        <w:jc w:val="center"/>
        <w:rPr>
          <w:sz w:val="28"/>
        </w:rPr>
      </w:pPr>
      <w:r>
        <w:rPr>
          <w:rFonts w:ascii="Times New Roman" w:eastAsia="Times New Roman"/>
          <w:w w:val="100"/>
          <w:sz w:val="28"/>
          <w:u w:val="single"/>
        </w:rPr>
        <w:t> </w:t>
      </w:r>
      <w:r>
        <w:rPr>
          <w:rFonts w:ascii="Times New Roman" w:eastAsia="Times New Roman"/>
          <w:sz w:val="28"/>
          <w:u w:val="single"/>
        </w:rPr>
        <w:tab/>
      </w:r>
      <w:r>
        <w:rPr>
          <w:sz w:val="28"/>
        </w:rPr>
        <w:t>年</w:t>
      </w:r>
      <w:r>
        <w:rPr>
          <w:sz w:val="28"/>
          <w:u w:val="single"/>
        </w:rPr>
        <w:t> </w:t>
        <w:tab/>
      </w:r>
      <w:r>
        <w:rPr>
          <w:sz w:val="28"/>
        </w:rPr>
        <w:t>月</w:t>
      </w:r>
      <w:r>
        <w:rPr>
          <w:sz w:val="28"/>
          <w:u w:val="single"/>
        </w:rPr>
        <w:t> </w:t>
        <w:tab/>
      </w:r>
      <w:r>
        <w:rPr>
          <w:sz w:val="28"/>
        </w:rPr>
        <w:t>日</w:t>
      </w:r>
    </w:p>
    <w:p>
      <w:pPr>
        <w:spacing w:after="0"/>
        <w:jc w:val="center"/>
        <w:rPr>
          <w:sz w:val="28"/>
        </w:rPr>
        <w:sectPr>
          <w:pgSz w:w="11910" w:h="16850"/>
          <w:pgMar w:header="0" w:footer="779" w:top="1600" w:bottom="1040" w:left="1120" w:right="280"/>
        </w:sectPr>
      </w:pPr>
    </w:p>
    <w:p>
      <w:pPr>
        <w:tabs>
          <w:tab w:pos="780" w:val="left" w:leader="none"/>
        </w:tabs>
        <w:spacing w:line="470" w:lineRule="exact" w:before="0"/>
        <w:ind w:left="79" w:right="0" w:firstLine="0"/>
        <w:jc w:val="center"/>
        <w:rPr>
          <w:rFonts w:ascii="Microsoft JhengHei" w:eastAsia="Microsoft JhengHei" w:hint="eastAsia"/>
          <w:b/>
          <w:sz w:val="28"/>
        </w:rPr>
      </w:pPr>
      <w:r>
        <w:rPr>
          <w:rFonts w:ascii="Microsoft JhengHei" w:eastAsia="Microsoft JhengHei" w:hint="eastAsia"/>
          <w:b/>
          <w:sz w:val="28"/>
        </w:rPr>
        <w:t>目</w:t>
        <w:tab/>
        <w:t>录</w:t>
      </w:r>
    </w:p>
    <w:p>
      <w:pPr>
        <w:pStyle w:val="BodyText"/>
        <w:spacing w:before="7"/>
        <w:ind w:left="0"/>
        <w:rPr>
          <w:rFonts w:ascii="Microsoft JhengHei"/>
          <w:b/>
          <w:sz w:val="20"/>
        </w:rPr>
      </w:pPr>
    </w:p>
    <w:p>
      <w:pPr>
        <w:pStyle w:val="BodyText"/>
        <w:spacing w:line="410" w:lineRule="auto" w:before="72"/>
        <w:ind w:right="7932"/>
        <w:jc w:val="both"/>
      </w:pPr>
      <w:r>
        <w:rPr/>
        <w:t>一、施工组织设计； 二、拟分包计划表； 三、项目管理机构。</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6"/>
        <w:ind w:left="0"/>
        <w:rPr>
          <w:sz w:val="28"/>
        </w:rPr>
      </w:pPr>
    </w:p>
    <w:p>
      <w:pPr>
        <w:pStyle w:val="BodyText"/>
      </w:pPr>
      <w:r>
        <w:rPr>
          <w:w w:val="100"/>
        </w:rPr>
        <w:t> </w:t>
      </w:r>
    </w:p>
    <w:p>
      <w:pPr>
        <w:spacing w:after="0"/>
        <w:sectPr>
          <w:pgSz w:w="11910" w:h="16850"/>
          <w:pgMar w:header="0" w:footer="779" w:top="1400" w:bottom="1040" w:left="1120" w:right="280"/>
        </w:sectPr>
      </w:pPr>
    </w:p>
    <w:p>
      <w:pPr>
        <w:pStyle w:val="Heading2"/>
        <w:spacing w:line="524" w:lineRule="exact"/>
        <w:ind w:left="297" w:right="775"/>
        <w:jc w:val="center"/>
      </w:pPr>
      <w:bookmarkStart w:name="一、施工组织设计" w:id="515"/>
      <w:bookmarkEnd w:id="515"/>
      <w:r>
        <w:rPr>
          <w:b w:val="0"/>
        </w:rPr>
      </w:r>
      <w:bookmarkStart w:name="_bookmark121" w:id="516"/>
      <w:bookmarkEnd w:id="516"/>
      <w:r>
        <w:rPr>
          <w:b w:val="0"/>
        </w:rPr>
      </w:r>
      <w:r>
        <w:rPr/>
        <w:t>一、施工组织设计</w:t>
      </w:r>
    </w:p>
    <w:p>
      <w:pPr>
        <w:pStyle w:val="BodyText"/>
        <w:spacing w:before="13"/>
        <w:ind w:left="0"/>
        <w:rPr>
          <w:rFonts w:ascii="Microsoft JhengHei"/>
          <w:b/>
          <w:sz w:val="20"/>
        </w:rPr>
      </w:pPr>
    </w:p>
    <w:p>
      <w:pPr>
        <w:pStyle w:val="BodyText"/>
        <w:ind w:left="1098"/>
      </w:pPr>
      <w:r>
        <w:rPr/>
        <w:t>一、技术标的施工组织设计编制要求： </w:t>
      </w:r>
    </w:p>
    <w:p>
      <w:pPr>
        <w:pStyle w:val="BodyText"/>
        <w:spacing w:line="364" w:lineRule="auto" w:before="139"/>
        <w:ind w:right="1074" w:firstLine="566"/>
      </w:pPr>
      <w:r>
        <w:rPr/>
        <w:t>1、技术标施工组织设计应按投标人须知 </w:t>
      </w:r>
      <w:r>
        <w:rPr>
          <w:rFonts w:ascii="Times New Roman" w:eastAsia="Times New Roman"/>
        </w:rPr>
        <w:t>3.1.1.3 </w:t>
      </w:r>
      <w:r>
        <w:rPr/>
        <w:t>施工组织设计要求的内容顺序编制，可采用文字并结合图表形式说明施工方法。</w:t>
      </w:r>
    </w:p>
    <w:p>
      <w:pPr>
        <w:pStyle w:val="BodyText"/>
        <w:ind w:left="1244"/>
      </w:pPr>
      <w:r>
        <w:rPr/>
        <w:t>2、技术标施工组织设计除采用文字表述外可附下列图表，图表及格式要求附后。 </w:t>
      </w:r>
    </w:p>
    <w:p>
      <w:pPr>
        <w:pStyle w:val="BodyText"/>
        <w:ind w:left="0"/>
        <w:rPr>
          <w:sz w:val="23"/>
        </w:rPr>
      </w:pPr>
    </w:p>
    <w:p>
      <w:pPr>
        <w:pStyle w:val="BodyText"/>
        <w:tabs>
          <w:tab w:pos="1940" w:val="left" w:leader="none"/>
        </w:tabs>
        <w:ind w:left="1098"/>
      </w:pPr>
      <w:r>
        <w:rPr/>
        <w:t>附表一</w:t>
        <w:tab/>
      </w:r>
      <w:r>
        <w:rPr>
          <w:spacing w:val="-3"/>
        </w:rPr>
        <w:t>拟</w:t>
      </w:r>
      <w:r>
        <w:rPr/>
        <w:t>投</w:t>
      </w:r>
      <w:r>
        <w:rPr>
          <w:spacing w:val="-3"/>
        </w:rPr>
        <w:t>入</w:t>
      </w:r>
      <w:r>
        <w:rPr/>
        <w:t>本</w:t>
      </w:r>
      <w:r>
        <w:rPr>
          <w:spacing w:val="-3"/>
        </w:rPr>
        <w:t>工</w:t>
      </w:r>
      <w:r>
        <w:rPr/>
        <w:t>程</w:t>
      </w:r>
      <w:r>
        <w:rPr>
          <w:spacing w:val="-3"/>
        </w:rPr>
        <w:t>的</w:t>
      </w:r>
      <w:r>
        <w:rPr/>
        <w:t>主要</w:t>
      </w:r>
      <w:r>
        <w:rPr>
          <w:spacing w:val="-3"/>
        </w:rPr>
        <w:t>施</w:t>
      </w:r>
      <w:r>
        <w:rPr/>
        <w:t>工</w:t>
      </w:r>
      <w:r>
        <w:rPr>
          <w:spacing w:val="-3"/>
        </w:rPr>
        <w:t>设</w:t>
      </w:r>
      <w:r>
        <w:rPr/>
        <w:t>备表</w:t>
      </w:r>
    </w:p>
    <w:p>
      <w:pPr>
        <w:pStyle w:val="BodyText"/>
        <w:ind w:left="0"/>
        <w:rPr>
          <w:sz w:val="15"/>
        </w:rPr>
      </w:pPr>
    </w:p>
    <w:p>
      <w:pPr>
        <w:pStyle w:val="BodyText"/>
        <w:tabs>
          <w:tab w:pos="1940" w:val="left" w:leader="none"/>
        </w:tabs>
        <w:spacing w:line="410" w:lineRule="auto"/>
        <w:ind w:left="1098" w:right="4992"/>
      </w:pPr>
      <w:r>
        <w:rPr/>
        <w:t>附表二</w:t>
        <w:tab/>
      </w:r>
      <w:r>
        <w:rPr>
          <w:spacing w:val="-3"/>
        </w:rPr>
        <w:t>拟</w:t>
      </w:r>
      <w:r>
        <w:rPr/>
        <w:t>配</w:t>
      </w:r>
      <w:r>
        <w:rPr>
          <w:spacing w:val="-3"/>
        </w:rPr>
        <w:t>备</w:t>
      </w:r>
      <w:r>
        <w:rPr/>
        <w:t>本</w:t>
      </w:r>
      <w:r>
        <w:rPr>
          <w:spacing w:val="-3"/>
        </w:rPr>
        <w:t>工</w:t>
      </w:r>
      <w:r>
        <w:rPr/>
        <w:t>程</w:t>
      </w:r>
      <w:r>
        <w:rPr>
          <w:spacing w:val="-3"/>
        </w:rPr>
        <w:t>的</w:t>
      </w:r>
      <w:r>
        <w:rPr/>
        <w:t>试验</w:t>
      </w:r>
      <w:r>
        <w:rPr>
          <w:spacing w:val="-3"/>
        </w:rPr>
        <w:t>和</w:t>
      </w:r>
      <w:r>
        <w:rPr/>
        <w:t>检</w:t>
      </w:r>
      <w:r>
        <w:rPr>
          <w:spacing w:val="-3"/>
        </w:rPr>
        <w:t>测</w:t>
      </w:r>
      <w:r>
        <w:rPr/>
        <w:t>仪</w:t>
      </w:r>
      <w:r>
        <w:rPr>
          <w:spacing w:val="-3"/>
        </w:rPr>
        <w:t>器</w:t>
      </w:r>
      <w:r>
        <w:rPr/>
        <w:t>设</w:t>
      </w:r>
      <w:r>
        <w:rPr>
          <w:spacing w:val="-3"/>
        </w:rPr>
        <w:t>备</w:t>
      </w:r>
      <w:r>
        <w:rPr>
          <w:spacing w:val="-12"/>
        </w:rPr>
        <w:t>表</w:t>
      </w:r>
      <w:r>
        <w:rPr/>
        <w:t>附表三</w:t>
        <w:tab/>
      </w:r>
      <w:r>
        <w:rPr>
          <w:spacing w:val="-3"/>
        </w:rPr>
        <w:t>劳</w:t>
      </w:r>
      <w:r>
        <w:rPr/>
        <w:t>动</w:t>
      </w:r>
      <w:r>
        <w:rPr>
          <w:spacing w:val="-3"/>
        </w:rPr>
        <w:t>力</w:t>
      </w:r>
      <w:r>
        <w:rPr/>
        <w:t>计</w:t>
      </w:r>
      <w:r>
        <w:rPr>
          <w:spacing w:val="-3"/>
        </w:rPr>
        <w:t>划</w:t>
      </w:r>
      <w:r>
        <w:rPr/>
        <w:t>表</w:t>
      </w:r>
    </w:p>
    <w:p>
      <w:pPr>
        <w:pStyle w:val="BodyText"/>
        <w:tabs>
          <w:tab w:pos="1940" w:val="left" w:leader="none"/>
        </w:tabs>
        <w:spacing w:line="410" w:lineRule="auto"/>
        <w:ind w:left="1098" w:right="3520"/>
      </w:pPr>
      <w:r>
        <w:rPr/>
        <w:t>附表四</w:t>
        <w:tab/>
      </w:r>
      <w:r>
        <w:rPr>
          <w:spacing w:val="-3"/>
        </w:rPr>
        <w:t>计</w:t>
      </w:r>
      <w:r>
        <w:rPr/>
        <w:t>划</w:t>
      </w:r>
      <w:r>
        <w:rPr>
          <w:spacing w:val="-3"/>
        </w:rPr>
        <w:t>开</w:t>
      </w:r>
      <w:r>
        <w:rPr/>
        <w:t>、</w:t>
      </w:r>
      <w:r>
        <w:rPr>
          <w:spacing w:val="-3"/>
        </w:rPr>
        <w:t>竣</w:t>
      </w:r>
      <w:r>
        <w:rPr/>
        <w:t>工</w:t>
      </w:r>
      <w:r>
        <w:rPr>
          <w:spacing w:val="-3"/>
        </w:rPr>
        <w:t>日</w:t>
      </w:r>
      <w:r>
        <w:rPr/>
        <w:t>期和</w:t>
      </w:r>
      <w:r>
        <w:rPr>
          <w:spacing w:val="-3"/>
        </w:rPr>
        <w:t>施</w:t>
      </w:r>
      <w:r>
        <w:rPr/>
        <w:t>工</w:t>
      </w:r>
      <w:r>
        <w:rPr>
          <w:spacing w:val="-3"/>
        </w:rPr>
        <w:t>进</w:t>
      </w:r>
      <w:r>
        <w:rPr/>
        <w:t>度</w:t>
      </w:r>
      <w:r>
        <w:rPr>
          <w:spacing w:val="-3"/>
        </w:rPr>
        <w:t>计</w:t>
      </w:r>
      <w:r>
        <w:rPr/>
        <w:t>划</w:t>
      </w:r>
      <w:r>
        <w:rPr>
          <w:spacing w:val="-3"/>
        </w:rPr>
        <w:t>（</w:t>
      </w:r>
      <w:r>
        <w:rPr/>
        <w:t>网</w:t>
      </w:r>
      <w:r>
        <w:rPr>
          <w:spacing w:val="-3"/>
        </w:rPr>
        <w:t>络</w:t>
      </w:r>
      <w:r>
        <w:rPr/>
        <w:t>图或</w:t>
      </w:r>
      <w:r>
        <w:rPr>
          <w:spacing w:val="-3"/>
        </w:rPr>
        <w:t>横</w:t>
      </w:r>
      <w:r>
        <w:rPr/>
        <w:t>道</w:t>
      </w:r>
      <w:r>
        <w:rPr>
          <w:spacing w:val="-3"/>
        </w:rPr>
        <w:t>图</w:t>
      </w:r>
      <w:r>
        <w:rPr/>
        <w:t>） 附表五</w:t>
        <w:tab/>
      </w:r>
      <w:r>
        <w:rPr>
          <w:spacing w:val="-3"/>
        </w:rPr>
        <w:t>施</w:t>
      </w:r>
      <w:r>
        <w:rPr/>
        <w:t>工</w:t>
      </w:r>
      <w:r>
        <w:rPr>
          <w:spacing w:val="-3"/>
        </w:rPr>
        <w:t>总</w:t>
      </w:r>
      <w:r>
        <w:rPr/>
        <w:t>平</w:t>
      </w:r>
      <w:r>
        <w:rPr>
          <w:spacing w:val="-3"/>
        </w:rPr>
        <w:t>面</w:t>
      </w:r>
      <w:r>
        <w:rPr/>
        <w:t>图</w:t>
      </w:r>
    </w:p>
    <w:p>
      <w:pPr>
        <w:pStyle w:val="BodyText"/>
        <w:tabs>
          <w:tab w:pos="1940" w:val="left" w:leader="none"/>
        </w:tabs>
        <w:spacing w:line="268" w:lineRule="exact"/>
        <w:ind w:left="1098"/>
      </w:pPr>
      <w:r>
        <w:rPr/>
        <w:t>附表六</w:t>
        <w:tab/>
      </w:r>
      <w:r>
        <w:rPr>
          <w:spacing w:val="-3"/>
        </w:rPr>
        <w:t>临</w:t>
      </w:r>
      <w:r>
        <w:rPr/>
        <w:t>时</w:t>
      </w:r>
      <w:r>
        <w:rPr>
          <w:spacing w:val="-3"/>
        </w:rPr>
        <w:t>用</w:t>
      </w:r>
      <w:r>
        <w:rPr/>
        <w:t>地表</w:t>
      </w:r>
    </w:p>
    <w:p>
      <w:pPr>
        <w:pStyle w:val="BodyText"/>
        <w:spacing w:before="35"/>
        <w:ind w:left="1098"/>
      </w:pPr>
      <w:r>
        <w:rPr/>
        <w:t>二、技术标中施工组织设计采用暗标编制，具体要求如下：</w:t>
      </w:r>
    </w:p>
    <w:p>
      <w:pPr>
        <w:pStyle w:val="BodyText"/>
        <w:spacing w:before="139"/>
        <w:ind w:left="1098"/>
      </w:pPr>
      <w:r>
        <w:rPr/>
        <w:t>（一）技术标中施工组织设计纳入</w:t>
      </w:r>
      <w:r>
        <w:rPr>
          <w:rFonts w:ascii="Times New Roman" w:hAnsi="Times New Roman" w:eastAsia="Times New Roman"/>
        </w:rPr>
        <w:t>“</w:t>
      </w:r>
      <w:r>
        <w:rPr/>
        <w:t>暗标</w:t>
      </w:r>
      <w:r>
        <w:rPr>
          <w:rFonts w:ascii="Times New Roman" w:hAnsi="Times New Roman" w:eastAsia="Times New Roman"/>
        </w:rPr>
        <w:t>”</w:t>
      </w:r>
      <w:r>
        <w:rPr/>
        <w:t>的内容：</w:t>
      </w:r>
    </w:p>
    <w:p>
      <w:pPr>
        <w:pStyle w:val="BodyText"/>
        <w:spacing w:before="139"/>
        <w:ind w:left="1203"/>
      </w:pPr>
      <w:r>
        <w:rPr/>
        <w:t>本招标文件第二章投标人须知 </w:t>
      </w:r>
      <w:r>
        <w:rPr>
          <w:rFonts w:ascii="Times New Roman" w:hAnsi="Times New Roman" w:eastAsia="Times New Roman"/>
        </w:rPr>
        <w:t>3.1.1.3 </w:t>
      </w:r>
      <w:r>
        <w:rPr/>
        <w:t>技术标的施工组织设计全部内容纳入“暗标”部分。</w:t>
      </w:r>
    </w:p>
    <w:p>
      <w:pPr>
        <w:pStyle w:val="BodyText"/>
        <w:spacing w:before="139"/>
        <w:ind w:left="1203"/>
      </w:pPr>
      <w:r>
        <w:rPr/>
        <w:t>（二）暗标的编制要求</w:t>
      </w:r>
    </w:p>
    <w:p>
      <w:pPr>
        <w:pStyle w:val="BodyText"/>
        <w:spacing w:before="142"/>
        <w:ind w:left="1244"/>
      </w:pPr>
      <w:r>
        <w:rPr/>
        <w:t>1、技术标施工组织设计封面的编制： </w:t>
      </w:r>
    </w:p>
    <w:p>
      <w:pPr>
        <w:pStyle w:val="BodyText"/>
        <w:spacing w:line="364" w:lineRule="auto" w:before="139"/>
        <w:ind w:right="1153" w:firstLine="566"/>
      </w:pPr>
      <w:r>
        <w:rPr>
          <w:spacing w:val="-9"/>
        </w:rPr>
        <w:t>需点击投标文件编制专用工具的“编辑文档”按钮进行内容编辑，关闭编辑框后软件自动</w:t>
      </w:r>
      <w:r>
        <w:rPr>
          <w:spacing w:val="2"/>
        </w:rPr>
        <w:t>将编辑内容转换成</w:t>
      </w:r>
      <w:r>
        <w:rPr/>
        <w:t>PDF</w:t>
      </w:r>
      <w:r>
        <w:rPr>
          <w:spacing w:val="-12"/>
        </w:rPr>
        <w:t> 格式文档；</w:t>
      </w:r>
      <w:r>
        <w:rPr/>
        <w:t> </w:t>
      </w:r>
    </w:p>
    <w:p>
      <w:pPr>
        <w:pStyle w:val="BodyText"/>
        <w:spacing w:line="267" w:lineRule="exact"/>
        <w:ind w:left="1244"/>
      </w:pPr>
      <w:r>
        <w:rPr/>
        <w:t>2、技术标施工组织设计正文编制： </w:t>
      </w:r>
    </w:p>
    <w:p>
      <w:pPr>
        <w:pStyle w:val="BodyText"/>
        <w:spacing w:line="364" w:lineRule="auto" w:before="141"/>
        <w:ind w:right="1149" w:firstLine="566"/>
      </w:pPr>
      <w:r>
        <w:rPr>
          <w:spacing w:val="-8"/>
        </w:rPr>
        <w:t>导入已编制好的技术标施工组织设计正文文档，将技术标施工组织设计正文文档相应内容</w:t>
      </w:r>
      <w:r>
        <w:rPr>
          <w:spacing w:val="-5"/>
        </w:rPr>
        <w:t>与各个评分点进行节点对应。</w:t>
      </w:r>
      <w:r>
        <w:rPr/>
        <w:t> </w:t>
      </w:r>
    </w:p>
    <w:p>
      <w:pPr>
        <w:pStyle w:val="BodyText"/>
        <w:spacing w:line="267" w:lineRule="exact"/>
        <w:ind w:left="1244"/>
      </w:pPr>
      <w:r>
        <w:rPr/>
        <w:t>3、目录要求： </w:t>
      </w:r>
    </w:p>
    <w:p>
      <w:pPr>
        <w:pStyle w:val="BodyText"/>
        <w:spacing w:line="364" w:lineRule="auto" w:before="139"/>
        <w:ind w:right="1153" w:firstLine="566"/>
        <w:jc w:val="both"/>
      </w:pPr>
      <w:r>
        <w:rPr>
          <w:spacing w:val="-8"/>
        </w:rPr>
        <w:t>技术标施工组织设计首页应为目录，目录标题采用宋体三号居中，正文采用宋体四号左端</w:t>
      </w:r>
      <w:r>
        <w:rPr>
          <w:spacing w:val="-9"/>
        </w:rPr>
        <w:t>对齐。目录中各章点名称与其页数之间采用点划线，页数放在最后一列，目录不编制页码。目</w:t>
      </w:r>
      <w:r>
        <w:rPr>
          <w:spacing w:val="-3"/>
        </w:rPr>
        <w:t>录应按如下规则编制：</w:t>
      </w:r>
      <w:r>
        <w:rPr/>
        <w:t> </w:t>
      </w:r>
    </w:p>
    <w:p>
      <w:pPr>
        <w:pStyle w:val="ListParagraph"/>
        <w:numPr>
          <w:ilvl w:val="0"/>
          <w:numId w:val="140"/>
        </w:numPr>
        <w:tabs>
          <w:tab w:pos="1404" w:val="left" w:leader="none"/>
        </w:tabs>
        <w:spacing w:line="240" w:lineRule="auto" w:before="0" w:after="0"/>
        <w:ind w:left="1403" w:right="0" w:hanging="160"/>
        <w:jc w:val="left"/>
        <w:rPr>
          <w:sz w:val="21"/>
        </w:rPr>
      </w:pPr>
      <w:r>
        <w:rPr>
          <w:spacing w:val="-2"/>
          <w:sz w:val="21"/>
        </w:rPr>
        <w:t>概述；</w:t>
      </w:r>
    </w:p>
    <w:p>
      <w:pPr>
        <w:pStyle w:val="BodyText"/>
        <w:spacing w:before="131"/>
        <w:ind w:left="1244"/>
        <w:rPr>
          <w:rFonts w:ascii="Times New Roman" w:hAnsi="Times New Roman"/>
        </w:rPr>
      </w:pPr>
      <w:r>
        <w:rPr>
          <w:rFonts w:ascii="Times New Roman" w:hAnsi="Times New Roman"/>
        </w:rPr>
        <w:t>1.1…</w:t>
      </w:r>
    </w:p>
    <w:p>
      <w:pPr>
        <w:pStyle w:val="BodyText"/>
        <w:spacing w:before="121"/>
        <w:ind w:left="1244"/>
        <w:rPr>
          <w:rFonts w:ascii="Times New Roman" w:hAnsi="Times New Roman"/>
        </w:rPr>
      </w:pPr>
      <w:r>
        <w:rPr>
          <w:rFonts w:ascii="Times New Roman" w:hAnsi="Times New Roman"/>
        </w:rPr>
        <w:t>1.1.1…</w:t>
      </w:r>
    </w:p>
    <w:p>
      <w:pPr>
        <w:pStyle w:val="BodyText"/>
        <w:spacing w:before="121"/>
        <w:ind w:left="1244"/>
        <w:rPr>
          <w:rFonts w:ascii="Times New Roman" w:hAnsi="Times New Roman"/>
        </w:rPr>
      </w:pPr>
      <w:r>
        <w:rPr>
          <w:rFonts w:ascii="Times New Roman" w:hAnsi="Times New Roman"/>
        </w:rPr>
        <w:t>1.2…</w:t>
      </w:r>
    </w:p>
    <w:p>
      <w:pPr>
        <w:pStyle w:val="BodyText"/>
        <w:spacing w:before="121"/>
        <w:ind w:left="1244"/>
        <w:rPr>
          <w:rFonts w:ascii="Times New Roman" w:hAnsi="Times New Roman"/>
        </w:rPr>
      </w:pPr>
      <w:r>
        <w:rPr>
          <w:rFonts w:ascii="Times New Roman" w:hAnsi="Times New Roman"/>
        </w:rPr>
        <w:t>1.2.1…</w:t>
      </w:r>
    </w:p>
    <w:p>
      <w:pPr>
        <w:pStyle w:val="ListParagraph"/>
        <w:numPr>
          <w:ilvl w:val="0"/>
          <w:numId w:val="140"/>
        </w:numPr>
        <w:tabs>
          <w:tab w:pos="1509" w:val="left" w:leader="none"/>
        </w:tabs>
        <w:spacing w:line="240" w:lineRule="auto" w:before="129" w:after="0"/>
        <w:ind w:left="1508" w:right="0" w:hanging="265"/>
        <w:jc w:val="left"/>
        <w:rPr>
          <w:sz w:val="21"/>
        </w:rPr>
      </w:pPr>
      <w:r>
        <w:rPr>
          <w:spacing w:val="-3"/>
          <w:sz w:val="21"/>
        </w:rPr>
        <w:t>主要施工方法</w:t>
      </w:r>
    </w:p>
    <w:p>
      <w:pPr>
        <w:pStyle w:val="ListParagraph"/>
        <w:numPr>
          <w:ilvl w:val="0"/>
          <w:numId w:val="140"/>
        </w:numPr>
        <w:tabs>
          <w:tab w:pos="1509" w:val="left" w:leader="none"/>
        </w:tabs>
        <w:spacing w:line="240" w:lineRule="auto" w:before="139" w:after="0"/>
        <w:ind w:left="1508" w:right="0" w:hanging="265"/>
        <w:jc w:val="left"/>
        <w:rPr>
          <w:sz w:val="21"/>
        </w:rPr>
      </w:pPr>
      <w:r>
        <w:rPr>
          <w:spacing w:val="-3"/>
          <w:sz w:val="21"/>
        </w:rPr>
        <w:t>拟投入的主要物资计划；</w:t>
      </w:r>
    </w:p>
    <w:p>
      <w:pPr>
        <w:pStyle w:val="ListParagraph"/>
        <w:numPr>
          <w:ilvl w:val="0"/>
          <w:numId w:val="140"/>
        </w:numPr>
        <w:tabs>
          <w:tab w:pos="1404" w:val="left" w:leader="none"/>
        </w:tabs>
        <w:spacing w:line="240" w:lineRule="auto" w:before="139" w:after="0"/>
        <w:ind w:left="1403" w:right="0" w:hanging="160"/>
        <w:jc w:val="left"/>
        <w:rPr>
          <w:sz w:val="21"/>
        </w:rPr>
      </w:pPr>
      <w:r>
        <w:rPr>
          <w:spacing w:val="-3"/>
          <w:sz w:val="21"/>
        </w:rPr>
        <w:t>拟投入的主要施工机械、设备计划</w:t>
      </w:r>
    </w:p>
    <w:p>
      <w:pPr>
        <w:spacing w:after="0" w:line="240" w:lineRule="auto"/>
        <w:jc w:val="left"/>
        <w:rPr>
          <w:sz w:val="21"/>
        </w:rPr>
        <w:sectPr>
          <w:pgSz w:w="11910" w:h="16850"/>
          <w:pgMar w:header="0" w:footer="779" w:top="1400" w:bottom="1040" w:left="1120" w:right="280"/>
        </w:sectPr>
      </w:pPr>
    </w:p>
    <w:p>
      <w:pPr>
        <w:pStyle w:val="ListParagraph"/>
        <w:numPr>
          <w:ilvl w:val="0"/>
          <w:numId w:val="140"/>
        </w:numPr>
        <w:tabs>
          <w:tab w:pos="1404" w:val="left" w:leader="none"/>
        </w:tabs>
        <w:spacing w:line="240" w:lineRule="auto" w:before="60" w:after="0"/>
        <w:ind w:left="1403" w:right="0" w:hanging="160"/>
        <w:jc w:val="left"/>
        <w:rPr>
          <w:sz w:val="21"/>
        </w:rPr>
      </w:pPr>
      <w:r>
        <w:rPr>
          <w:spacing w:val="-3"/>
          <w:sz w:val="21"/>
        </w:rPr>
        <w:t>劳动力安排计划；</w:t>
      </w:r>
    </w:p>
    <w:p>
      <w:pPr>
        <w:pStyle w:val="ListParagraph"/>
        <w:numPr>
          <w:ilvl w:val="0"/>
          <w:numId w:val="140"/>
        </w:numPr>
        <w:tabs>
          <w:tab w:pos="1404" w:val="left" w:leader="none"/>
        </w:tabs>
        <w:spacing w:line="240" w:lineRule="auto" w:before="139" w:after="0"/>
        <w:ind w:left="1403" w:right="0" w:hanging="160"/>
        <w:jc w:val="left"/>
        <w:rPr>
          <w:sz w:val="21"/>
        </w:rPr>
      </w:pPr>
      <w:r>
        <w:rPr>
          <w:spacing w:val="-3"/>
          <w:sz w:val="21"/>
        </w:rPr>
        <w:t>确保工程质量的技术组织措施；</w:t>
      </w:r>
    </w:p>
    <w:p>
      <w:pPr>
        <w:pStyle w:val="ListParagraph"/>
        <w:numPr>
          <w:ilvl w:val="0"/>
          <w:numId w:val="140"/>
        </w:numPr>
        <w:tabs>
          <w:tab w:pos="1404" w:val="left" w:leader="none"/>
        </w:tabs>
        <w:spacing w:line="240" w:lineRule="auto" w:before="139" w:after="0"/>
        <w:ind w:left="1403" w:right="0" w:hanging="160"/>
        <w:jc w:val="left"/>
        <w:rPr>
          <w:sz w:val="21"/>
        </w:rPr>
      </w:pPr>
      <w:r>
        <w:rPr>
          <w:spacing w:val="-3"/>
          <w:sz w:val="21"/>
        </w:rPr>
        <w:t>确保安全生产的技术组织措施；</w:t>
      </w:r>
    </w:p>
    <w:p>
      <w:pPr>
        <w:pStyle w:val="ListParagraph"/>
        <w:numPr>
          <w:ilvl w:val="0"/>
          <w:numId w:val="140"/>
        </w:numPr>
        <w:tabs>
          <w:tab w:pos="1404" w:val="left" w:leader="none"/>
        </w:tabs>
        <w:spacing w:line="240" w:lineRule="auto" w:before="142" w:after="0"/>
        <w:ind w:left="1403" w:right="0" w:hanging="160"/>
        <w:jc w:val="left"/>
        <w:rPr>
          <w:sz w:val="21"/>
        </w:rPr>
      </w:pPr>
      <w:r>
        <w:rPr>
          <w:spacing w:val="-3"/>
          <w:sz w:val="21"/>
        </w:rPr>
        <w:t>确保工期的技术组织措施；</w:t>
      </w:r>
    </w:p>
    <w:p>
      <w:pPr>
        <w:pStyle w:val="ListParagraph"/>
        <w:numPr>
          <w:ilvl w:val="0"/>
          <w:numId w:val="140"/>
        </w:numPr>
        <w:tabs>
          <w:tab w:pos="1404" w:val="left" w:leader="none"/>
        </w:tabs>
        <w:spacing w:line="240" w:lineRule="auto" w:before="139" w:after="0"/>
        <w:ind w:left="1403" w:right="0" w:hanging="160"/>
        <w:jc w:val="left"/>
        <w:rPr>
          <w:sz w:val="21"/>
        </w:rPr>
      </w:pPr>
      <w:r>
        <w:rPr>
          <w:spacing w:val="-3"/>
          <w:sz w:val="21"/>
        </w:rPr>
        <w:t>确保文明施工的技术组织措施；</w:t>
      </w:r>
    </w:p>
    <w:p>
      <w:pPr>
        <w:pStyle w:val="ListParagraph"/>
        <w:numPr>
          <w:ilvl w:val="0"/>
          <w:numId w:val="140"/>
        </w:numPr>
        <w:tabs>
          <w:tab w:pos="1510" w:val="left" w:leader="none"/>
        </w:tabs>
        <w:spacing w:line="240" w:lineRule="auto" w:before="139" w:after="0"/>
        <w:ind w:left="1509" w:right="0" w:hanging="266"/>
        <w:jc w:val="left"/>
        <w:rPr>
          <w:sz w:val="21"/>
        </w:rPr>
      </w:pPr>
      <w:r>
        <w:rPr>
          <w:spacing w:val="-3"/>
          <w:sz w:val="21"/>
        </w:rPr>
        <w:t>工程施工的重点和难点及保证措施；</w:t>
      </w:r>
    </w:p>
    <w:p>
      <w:pPr>
        <w:pStyle w:val="ListParagraph"/>
        <w:numPr>
          <w:ilvl w:val="0"/>
          <w:numId w:val="140"/>
        </w:numPr>
        <w:tabs>
          <w:tab w:pos="1503" w:val="left" w:leader="none"/>
        </w:tabs>
        <w:spacing w:line="240" w:lineRule="auto" w:before="139" w:after="0"/>
        <w:ind w:left="1502" w:right="0" w:hanging="259"/>
        <w:jc w:val="left"/>
        <w:rPr>
          <w:sz w:val="21"/>
        </w:rPr>
      </w:pPr>
      <w:r>
        <w:rPr>
          <w:spacing w:val="-3"/>
          <w:sz w:val="21"/>
        </w:rPr>
        <w:t>施工总平面布置图；</w:t>
      </w:r>
    </w:p>
    <w:p>
      <w:pPr>
        <w:pStyle w:val="ListParagraph"/>
        <w:numPr>
          <w:ilvl w:val="0"/>
          <w:numId w:val="140"/>
        </w:numPr>
        <w:tabs>
          <w:tab w:pos="1510" w:val="left" w:leader="none"/>
        </w:tabs>
        <w:spacing w:line="240" w:lineRule="auto" w:before="141" w:after="0"/>
        <w:ind w:left="1509" w:right="0" w:hanging="266"/>
        <w:jc w:val="left"/>
        <w:rPr>
          <w:sz w:val="21"/>
        </w:rPr>
      </w:pPr>
      <w:r>
        <w:rPr>
          <w:spacing w:val="-2"/>
          <w:w w:val="100"/>
          <w:sz w:val="21"/>
        </w:rPr>
        <w:t>其他</w:t>
      </w:r>
      <w:r>
        <w:rPr>
          <w:spacing w:val="-3"/>
          <w:w w:val="100"/>
          <w:sz w:val="21"/>
        </w:rPr>
        <w:t>（</w:t>
      </w:r>
      <w:r>
        <w:rPr>
          <w:w w:val="100"/>
          <w:sz w:val="21"/>
        </w:rPr>
        <w:t>如有</w:t>
      </w:r>
      <w:r>
        <w:rPr>
          <w:spacing w:val="-108"/>
          <w:w w:val="100"/>
          <w:sz w:val="21"/>
        </w:rPr>
        <w:t>）</w:t>
      </w:r>
      <w:r>
        <w:rPr>
          <w:w w:val="100"/>
          <w:sz w:val="21"/>
        </w:rPr>
        <w:t>（</w:t>
      </w:r>
      <w:r>
        <w:rPr>
          <w:spacing w:val="-3"/>
          <w:w w:val="100"/>
          <w:sz w:val="21"/>
        </w:rPr>
        <w:t>与评标办法前附表技术标评分标准一致</w:t>
      </w:r>
      <w:r>
        <w:rPr>
          <w:w w:val="100"/>
          <w:sz w:val="21"/>
        </w:rPr>
        <w:t>）</w:t>
      </w:r>
    </w:p>
    <w:p>
      <w:pPr>
        <w:pStyle w:val="BodyText"/>
        <w:spacing w:before="139"/>
        <w:ind w:left="1244"/>
      </w:pPr>
      <w:r>
        <w:rPr>
          <w:rFonts w:ascii="Times New Roman" w:eastAsia="Times New Roman"/>
        </w:rPr>
        <w:t>4</w:t>
      </w:r>
      <w:r>
        <w:rPr/>
        <w:t>、章节要求： </w:t>
      </w:r>
    </w:p>
    <w:p>
      <w:pPr>
        <w:pStyle w:val="BodyText"/>
        <w:spacing w:line="364" w:lineRule="auto" w:before="139"/>
        <w:ind w:right="1098" w:firstLine="566"/>
      </w:pPr>
      <w:r>
        <w:rPr/>
        <w:t>技术标施工组织设计应按投标人须知正文 </w:t>
      </w:r>
      <w:r>
        <w:rPr>
          <w:rFonts w:ascii="Times New Roman" w:hAnsi="Times New Roman" w:eastAsia="Times New Roman"/>
        </w:rPr>
        <w:t>3.1.1.3  </w:t>
      </w:r>
      <w:r>
        <w:rPr/>
        <w:t>要求的内容顺序编制，各章节间应分页编排。章节序号应按 </w:t>
      </w:r>
      <w:r>
        <w:rPr>
          <w:rFonts w:ascii="Times New Roman" w:hAnsi="Times New Roman" w:eastAsia="Times New Roman"/>
        </w:rPr>
        <w:t>1.</w:t>
      </w:r>
      <w:r>
        <w:rPr/>
        <w:t>，</w:t>
      </w:r>
      <w:r>
        <w:rPr>
          <w:rFonts w:ascii="Times New Roman" w:hAnsi="Times New Roman" w:eastAsia="Times New Roman"/>
        </w:rPr>
        <w:t>1.1</w:t>
      </w:r>
      <w:r>
        <w:rPr/>
        <w:t>，</w:t>
      </w:r>
      <w:r>
        <w:rPr>
          <w:rFonts w:ascii="Times New Roman" w:hAnsi="Times New Roman" w:eastAsia="Times New Roman"/>
        </w:rPr>
        <w:t>1.1.1…</w:t>
      </w:r>
      <w:r>
        <w:rPr/>
        <w:t>类比编排。 </w:t>
      </w:r>
    </w:p>
    <w:p>
      <w:pPr>
        <w:pStyle w:val="BodyText"/>
        <w:spacing w:line="267" w:lineRule="exact"/>
        <w:ind w:left="1244"/>
      </w:pPr>
      <w:r>
        <w:rPr/>
        <w:t>5、排版要求：</w:t>
      </w:r>
    </w:p>
    <w:p>
      <w:pPr>
        <w:pStyle w:val="BodyText"/>
        <w:spacing w:before="142"/>
        <w:ind w:left="1244"/>
      </w:pPr>
      <w:r>
        <w:rPr/>
        <w:t>字体、字符间距：宋体，黑色，字符间距缩放 </w:t>
      </w:r>
      <w:r>
        <w:rPr>
          <w:rFonts w:ascii="Times New Roman" w:eastAsia="Times New Roman"/>
        </w:rPr>
        <w:t>100%</w:t>
      </w:r>
      <w:r>
        <w:rPr/>
        <w:t>，间距、位置为标准；</w:t>
      </w:r>
    </w:p>
    <w:p>
      <w:pPr>
        <w:pStyle w:val="BodyText"/>
        <w:spacing w:line="364" w:lineRule="auto" w:before="139"/>
        <w:ind w:right="1046" w:firstLine="566"/>
      </w:pPr>
      <w:r>
        <w:rPr>
          <w:spacing w:val="-16"/>
        </w:rPr>
        <w:t>字号、行距：一级标题采用三号字，居中排版；其他采用小四号字，开始段落空两个字符， </w:t>
      </w:r>
      <w:r>
        <w:rPr>
          <w:spacing w:val="-19"/>
        </w:rPr>
        <w:t>行距设 </w:t>
      </w:r>
      <w:r>
        <w:rPr>
          <w:rFonts w:ascii="Times New Roman" w:eastAsia="Times New Roman"/>
        </w:rPr>
        <w:t>1.5 </w:t>
      </w:r>
      <w:r>
        <w:rPr>
          <w:spacing w:val="-2"/>
        </w:rPr>
        <w:t>倍行距；</w:t>
      </w:r>
    </w:p>
    <w:p>
      <w:pPr>
        <w:pStyle w:val="BodyText"/>
        <w:spacing w:line="267" w:lineRule="exact"/>
        <w:ind w:left="1244"/>
      </w:pPr>
      <w:r>
        <w:rPr/>
        <w:t>页边距：上下左右均为 </w:t>
      </w:r>
      <w:r>
        <w:rPr>
          <w:rFonts w:ascii="Times New Roman" w:eastAsia="Times New Roman"/>
        </w:rPr>
        <w:t>2.15cm,</w:t>
      </w:r>
      <w:r>
        <w:rPr/>
        <w:t>装订线 </w:t>
      </w:r>
      <w:r>
        <w:rPr>
          <w:rFonts w:ascii="Times New Roman" w:eastAsia="Times New Roman"/>
        </w:rPr>
        <w:t>0cm</w:t>
      </w:r>
      <w:r>
        <w:rPr/>
        <w:t>；</w:t>
      </w:r>
    </w:p>
    <w:p>
      <w:pPr>
        <w:pStyle w:val="BodyText"/>
        <w:spacing w:line="367" w:lineRule="auto" w:before="139"/>
        <w:ind w:right="1153" w:firstLine="566"/>
      </w:pPr>
      <w:r>
        <w:rPr>
          <w:spacing w:val="-8"/>
        </w:rPr>
        <w:t>页眉页脚：页眉页脚距边界 </w:t>
      </w:r>
      <w:r>
        <w:rPr>
          <w:rFonts w:ascii="Times New Roman" w:eastAsia="Times New Roman"/>
        </w:rPr>
        <w:t>1.5cm,</w:t>
      </w:r>
      <w:r>
        <w:rPr>
          <w:spacing w:val="-9"/>
        </w:rPr>
        <w:t>不允许有页眉，页脚只允许有页码，页码采用阿拉伯数</w:t>
      </w:r>
      <w:r>
        <w:rPr>
          <w:spacing w:val="-5"/>
        </w:rPr>
        <w:t>字，宋体五号，居中布置，页码应当连续，不得分章或节单独编码；</w:t>
      </w:r>
    </w:p>
    <w:p>
      <w:pPr>
        <w:pStyle w:val="ListParagraph"/>
        <w:numPr>
          <w:ilvl w:val="0"/>
          <w:numId w:val="141"/>
        </w:numPr>
        <w:tabs>
          <w:tab w:pos="1416" w:val="left" w:leader="none"/>
        </w:tabs>
        <w:spacing w:line="265" w:lineRule="exact" w:before="0" w:after="0"/>
        <w:ind w:left="1415" w:right="0" w:hanging="318"/>
        <w:jc w:val="left"/>
        <w:rPr>
          <w:sz w:val="21"/>
        </w:rPr>
      </w:pPr>
      <w:r>
        <w:rPr>
          <w:spacing w:val="-3"/>
          <w:sz w:val="21"/>
        </w:rPr>
        <w:t>表格内文字要求：宋体小四号字体</w:t>
      </w:r>
    </w:p>
    <w:p>
      <w:pPr>
        <w:pStyle w:val="ListParagraph"/>
        <w:numPr>
          <w:ilvl w:val="0"/>
          <w:numId w:val="141"/>
        </w:numPr>
        <w:tabs>
          <w:tab w:pos="1416" w:val="left" w:leader="none"/>
        </w:tabs>
        <w:spacing w:line="240" w:lineRule="auto" w:before="138" w:after="0"/>
        <w:ind w:left="1415" w:right="0" w:hanging="318"/>
        <w:jc w:val="left"/>
        <w:rPr>
          <w:sz w:val="21"/>
        </w:rPr>
      </w:pPr>
      <w:r>
        <w:rPr>
          <w:spacing w:val="-3"/>
          <w:sz w:val="21"/>
        </w:rPr>
        <w:t>图表字体、颜色不做限制</w:t>
      </w:r>
    </w:p>
    <w:p>
      <w:pPr>
        <w:pStyle w:val="ListParagraph"/>
        <w:numPr>
          <w:ilvl w:val="0"/>
          <w:numId w:val="141"/>
        </w:numPr>
        <w:tabs>
          <w:tab w:pos="1416" w:val="left" w:leader="none"/>
        </w:tabs>
        <w:spacing w:line="240" w:lineRule="auto" w:before="139" w:after="0"/>
        <w:ind w:left="1415" w:right="0" w:hanging="318"/>
        <w:jc w:val="left"/>
        <w:rPr>
          <w:sz w:val="21"/>
        </w:rPr>
      </w:pPr>
      <w:r>
        <w:rPr>
          <w:spacing w:val="-3"/>
          <w:sz w:val="21"/>
        </w:rPr>
        <w:t>图片：颜色不做限制</w:t>
      </w:r>
    </w:p>
    <w:p>
      <w:pPr>
        <w:pStyle w:val="BodyText"/>
        <w:spacing w:before="142"/>
        <w:ind w:left="1244"/>
      </w:pPr>
      <w:r>
        <w:rPr>
          <w:rFonts w:ascii="Times New Roman" w:eastAsia="Times New Roman"/>
        </w:rPr>
        <w:t>6</w:t>
      </w:r>
      <w:r>
        <w:rPr/>
        <w:t>、编写软件及版本要求：</w:t>
      </w:r>
      <w:r>
        <w:rPr>
          <w:rFonts w:ascii="Times New Roman" w:eastAsia="Times New Roman"/>
        </w:rPr>
        <w:t>Microsoft Word</w:t>
      </w:r>
      <w:r>
        <w:rPr/>
        <w:t>；</w:t>
      </w:r>
    </w:p>
    <w:p>
      <w:pPr>
        <w:pStyle w:val="BodyText"/>
        <w:spacing w:line="364" w:lineRule="auto" w:before="139"/>
        <w:ind w:right="1154" w:firstLine="566"/>
      </w:pPr>
      <w:r>
        <w:rPr>
          <w:rFonts w:ascii="Times New Roman" w:hAnsi="Times New Roman" w:eastAsia="Times New Roman"/>
        </w:rPr>
        <w:t>7</w:t>
      </w:r>
      <w:r>
        <w:rPr/>
        <w:t>、</w:t>
      </w:r>
      <w:r>
        <w:rPr>
          <w:rFonts w:ascii="Times New Roman" w:hAnsi="Times New Roman" w:eastAsia="Times New Roman"/>
        </w:rPr>
        <w:t>“</w:t>
      </w:r>
      <w:r>
        <w:rPr/>
        <w:t>技术标</w:t>
      </w:r>
      <w:r>
        <w:rPr>
          <w:rFonts w:ascii="Times New Roman" w:hAnsi="Times New Roman" w:eastAsia="Times New Roman"/>
        </w:rPr>
        <w:t>”</w:t>
      </w:r>
      <w:r>
        <w:rPr>
          <w:spacing w:val="-3"/>
        </w:rPr>
        <w:t>的施工组织设计正文中不得出现投标人的名称和其他可识别投标人身份的字</w:t>
      </w:r>
      <w:r>
        <w:rPr/>
        <w:t>符（</w:t>
      </w:r>
      <w:r>
        <w:rPr>
          <w:spacing w:val="-2"/>
        </w:rPr>
        <w:t>图表</w:t>
      </w:r>
      <w:r>
        <w:rPr>
          <w:spacing w:val="-109"/>
        </w:rPr>
        <w:t>）</w:t>
      </w:r>
      <w:r>
        <w:rPr>
          <w:spacing w:val="-3"/>
        </w:rPr>
        <w:t>、徽标、业绩、荣誉或人员姓名以及其他特殊标记等。</w:t>
      </w:r>
    </w:p>
    <w:p>
      <w:pPr>
        <w:spacing w:after="0" w:line="364" w:lineRule="auto"/>
        <w:sectPr>
          <w:pgSz w:w="11910" w:h="16850"/>
          <w:pgMar w:header="0" w:footer="779" w:top="1380" w:bottom="1040" w:left="1120" w:right="280"/>
        </w:sectPr>
      </w:pPr>
    </w:p>
    <w:p>
      <w:pPr>
        <w:pStyle w:val="BodyText"/>
        <w:spacing w:before="3"/>
        <w:ind w:left="0"/>
        <w:rPr>
          <w:sz w:val="10"/>
        </w:rPr>
      </w:pPr>
    </w:p>
    <w:p>
      <w:pPr>
        <w:pStyle w:val="BodyText"/>
        <w:spacing w:before="72"/>
      </w:pPr>
      <w:r>
        <w:rPr/>
        <w:t>附表一：拟投入本工程的主要施工设备表</w:t>
      </w:r>
    </w:p>
    <w:tbl>
      <w:tblPr>
        <w:tblW w:w="0" w:type="auto"/>
        <w:jc w:val="left"/>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8"/>
        <w:gridCol w:w="1226"/>
        <w:gridCol w:w="850"/>
        <w:gridCol w:w="708"/>
        <w:gridCol w:w="710"/>
        <w:gridCol w:w="850"/>
        <w:gridCol w:w="1135"/>
        <w:gridCol w:w="991"/>
        <w:gridCol w:w="1136"/>
        <w:gridCol w:w="991"/>
      </w:tblGrid>
      <w:tr>
        <w:trPr>
          <w:trHeight w:val="918" w:hRule="atLeast"/>
        </w:trPr>
        <w:tc>
          <w:tcPr>
            <w:tcW w:w="758" w:type="dxa"/>
          </w:tcPr>
          <w:p>
            <w:pPr>
              <w:pStyle w:val="TableParagraph"/>
              <w:spacing w:before="4"/>
              <w:rPr>
                <w:sz w:val="25"/>
              </w:rPr>
            </w:pPr>
          </w:p>
          <w:p>
            <w:pPr>
              <w:pStyle w:val="TableParagraph"/>
              <w:ind w:left="167"/>
              <w:rPr>
                <w:sz w:val="21"/>
              </w:rPr>
            </w:pPr>
            <w:r>
              <w:rPr>
                <w:sz w:val="21"/>
              </w:rPr>
              <w:t>序号</w:t>
            </w:r>
          </w:p>
        </w:tc>
        <w:tc>
          <w:tcPr>
            <w:tcW w:w="1226" w:type="dxa"/>
          </w:tcPr>
          <w:p>
            <w:pPr>
              <w:pStyle w:val="TableParagraph"/>
              <w:spacing w:before="4"/>
              <w:rPr>
                <w:sz w:val="25"/>
              </w:rPr>
            </w:pPr>
          </w:p>
          <w:p>
            <w:pPr>
              <w:pStyle w:val="TableParagraph"/>
              <w:ind w:left="192"/>
              <w:rPr>
                <w:sz w:val="21"/>
              </w:rPr>
            </w:pPr>
            <w:r>
              <w:rPr>
                <w:sz w:val="21"/>
              </w:rPr>
              <w:t>设备名称</w:t>
            </w:r>
          </w:p>
        </w:tc>
        <w:tc>
          <w:tcPr>
            <w:tcW w:w="850" w:type="dxa"/>
          </w:tcPr>
          <w:p>
            <w:pPr>
              <w:pStyle w:val="TableParagraph"/>
              <w:spacing w:before="8"/>
              <w:rPr>
                <w:sz w:val="14"/>
              </w:rPr>
            </w:pPr>
          </w:p>
          <w:p>
            <w:pPr>
              <w:pStyle w:val="TableParagraph"/>
              <w:spacing w:line="244" w:lineRule="auto" w:before="1"/>
              <w:ind w:left="216" w:right="199"/>
              <w:rPr>
                <w:sz w:val="21"/>
              </w:rPr>
            </w:pPr>
            <w:r>
              <w:rPr>
                <w:sz w:val="21"/>
              </w:rPr>
              <w:t>型号规格</w:t>
            </w:r>
          </w:p>
        </w:tc>
        <w:tc>
          <w:tcPr>
            <w:tcW w:w="708" w:type="dxa"/>
          </w:tcPr>
          <w:p>
            <w:pPr>
              <w:pStyle w:val="TableParagraph"/>
              <w:spacing w:before="4"/>
              <w:rPr>
                <w:sz w:val="25"/>
              </w:rPr>
            </w:pPr>
          </w:p>
          <w:p>
            <w:pPr>
              <w:pStyle w:val="TableParagraph"/>
              <w:ind w:left="144"/>
              <w:rPr>
                <w:sz w:val="21"/>
              </w:rPr>
            </w:pPr>
            <w:r>
              <w:rPr>
                <w:sz w:val="21"/>
              </w:rPr>
              <w:t>数量</w:t>
            </w:r>
          </w:p>
        </w:tc>
        <w:tc>
          <w:tcPr>
            <w:tcW w:w="710" w:type="dxa"/>
          </w:tcPr>
          <w:p>
            <w:pPr>
              <w:pStyle w:val="TableParagraph"/>
              <w:spacing w:before="8"/>
              <w:rPr>
                <w:sz w:val="14"/>
              </w:rPr>
            </w:pPr>
          </w:p>
          <w:p>
            <w:pPr>
              <w:pStyle w:val="TableParagraph"/>
              <w:spacing w:line="244" w:lineRule="auto" w:before="1"/>
              <w:ind w:left="144" w:right="130"/>
              <w:rPr>
                <w:sz w:val="21"/>
              </w:rPr>
            </w:pPr>
            <w:r>
              <w:rPr>
                <w:sz w:val="21"/>
              </w:rPr>
              <w:t>国别产地</w:t>
            </w:r>
          </w:p>
        </w:tc>
        <w:tc>
          <w:tcPr>
            <w:tcW w:w="850" w:type="dxa"/>
          </w:tcPr>
          <w:p>
            <w:pPr>
              <w:pStyle w:val="TableParagraph"/>
              <w:spacing w:before="8"/>
              <w:rPr>
                <w:sz w:val="14"/>
              </w:rPr>
            </w:pPr>
          </w:p>
          <w:p>
            <w:pPr>
              <w:pStyle w:val="TableParagraph"/>
              <w:spacing w:line="244" w:lineRule="auto" w:before="1"/>
              <w:ind w:left="214" w:right="200"/>
              <w:rPr>
                <w:sz w:val="21"/>
              </w:rPr>
            </w:pPr>
            <w:r>
              <w:rPr>
                <w:sz w:val="21"/>
              </w:rPr>
              <w:t>制造年份</w:t>
            </w:r>
          </w:p>
        </w:tc>
        <w:tc>
          <w:tcPr>
            <w:tcW w:w="1135" w:type="dxa"/>
          </w:tcPr>
          <w:p>
            <w:pPr>
              <w:pStyle w:val="TableParagraph"/>
              <w:spacing w:before="8"/>
              <w:rPr>
                <w:sz w:val="14"/>
              </w:rPr>
            </w:pPr>
          </w:p>
          <w:p>
            <w:pPr>
              <w:pStyle w:val="TableParagraph"/>
              <w:spacing w:before="1"/>
              <w:ind w:left="147"/>
              <w:rPr>
                <w:sz w:val="21"/>
              </w:rPr>
            </w:pPr>
            <w:r>
              <w:rPr>
                <w:spacing w:val="-1"/>
                <w:sz w:val="21"/>
              </w:rPr>
              <w:t>额定功率</w:t>
            </w:r>
          </w:p>
          <w:p>
            <w:pPr>
              <w:pStyle w:val="TableParagraph"/>
              <w:spacing w:before="4"/>
              <w:ind w:left="181"/>
              <w:rPr>
                <w:sz w:val="21"/>
              </w:rPr>
            </w:pPr>
            <w:r>
              <w:rPr>
                <w:sz w:val="21"/>
              </w:rPr>
              <w:t>（</w:t>
            </w:r>
            <w:r>
              <w:rPr>
                <w:rFonts w:ascii="Times New Roman" w:eastAsia="Times New Roman"/>
                <w:sz w:val="21"/>
              </w:rPr>
              <w:t>KW</w:t>
            </w:r>
            <w:r>
              <w:rPr>
                <w:sz w:val="21"/>
              </w:rPr>
              <w:t>）</w:t>
            </w:r>
          </w:p>
        </w:tc>
        <w:tc>
          <w:tcPr>
            <w:tcW w:w="991" w:type="dxa"/>
          </w:tcPr>
          <w:p>
            <w:pPr>
              <w:pStyle w:val="TableParagraph"/>
              <w:spacing w:before="8"/>
              <w:rPr>
                <w:sz w:val="14"/>
              </w:rPr>
            </w:pPr>
          </w:p>
          <w:p>
            <w:pPr>
              <w:pStyle w:val="TableParagraph"/>
              <w:spacing w:line="244" w:lineRule="auto" w:before="1"/>
              <w:ind w:left="286" w:right="269"/>
              <w:rPr>
                <w:sz w:val="21"/>
              </w:rPr>
            </w:pPr>
            <w:r>
              <w:rPr>
                <w:sz w:val="21"/>
              </w:rPr>
              <w:t>生产能力</w:t>
            </w:r>
          </w:p>
        </w:tc>
        <w:tc>
          <w:tcPr>
            <w:tcW w:w="1136" w:type="dxa"/>
          </w:tcPr>
          <w:p>
            <w:pPr>
              <w:pStyle w:val="TableParagraph"/>
              <w:spacing w:before="8"/>
              <w:rPr>
                <w:sz w:val="14"/>
              </w:rPr>
            </w:pPr>
          </w:p>
          <w:p>
            <w:pPr>
              <w:pStyle w:val="TableParagraph"/>
              <w:spacing w:line="244" w:lineRule="auto" w:before="1"/>
              <w:ind w:left="251" w:right="238"/>
              <w:rPr>
                <w:sz w:val="21"/>
              </w:rPr>
            </w:pPr>
            <w:r>
              <w:rPr>
                <w:sz w:val="21"/>
              </w:rPr>
              <w:t>用于施工部位</w:t>
            </w:r>
          </w:p>
        </w:tc>
        <w:tc>
          <w:tcPr>
            <w:tcW w:w="991" w:type="dxa"/>
          </w:tcPr>
          <w:p>
            <w:pPr>
              <w:pStyle w:val="TableParagraph"/>
              <w:spacing w:before="4"/>
              <w:rPr>
                <w:sz w:val="25"/>
              </w:rPr>
            </w:pPr>
          </w:p>
          <w:p>
            <w:pPr>
              <w:pStyle w:val="TableParagraph"/>
              <w:ind w:left="284"/>
              <w:rPr>
                <w:sz w:val="21"/>
              </w:rPr>
            </w:pPr>
            <w:r>
              <w:rPr>
                <w:sz w:val="21"/>
              </w:rPr>
              <w:t>备注</w:t>
            </w:r>
          </w:p>
        </w:tc>
      </w:tr>
      <w:tr>
        <w:trPr>
          <w:trHeight w:val="453" w:hRule="atLeast"/>
        </w:trPr>
        <w:tc>
          <w:tcPr>
            <w:tcW w:w="758" w:type="dxa"/>
          </w:tcPr>
          <w:p>
            <w:pPr>
              <w:pStyle w:val="TableParagraph"/>
              <w:rPr>
                <w:rFonts w:ascii="Times New Roman"/>
                <w:sz w:val="20"/>
              </w:rPr>
            </w:pPr>
          </w:p>
        </w:tc>
        <w:tc>
          <w:tcPr>
            <w:tcW w:w="1226" w:type="dxa"/>
          </w:tcPr>
          <w:p>
            <w:pPr>
              <w:pStyle w:val="TableParagraph"/>
              <w:rPr>
                <w:rFonts w:ascii="Times New Roman"/>
                <w:sz w:val="20"/>
              </w:rPr>
            </w:pPr>
          </w:p>
        </w:tc>
        <w:tc>
          <w:tcPr>
            <w:tcW w:w="850" w:type="dxa"/>
          </w:tcPr>
          <w:p>
            <w:pPr>
              <w:pStyle w:val="TableParagraph"/>
              <w:rPr>
                <w:rFonts w:ascii="Times New Roman"/>
                <w:sz w:val="20"/>
              </w:rPr>
            </w:pPr>
          </w:p>
        </w:tc>
        <w:tc>
          <w:tcPr>
            <w:tcW w:w="708" w:type="dxa"/>
          </w:tcPr>
          <w:p>
            <w:pPr>
              <w:pStyle w:val="TableParagraph"/>
              <w:rPr>
                <w:rFonts w:ascii="Times New Roman"/>
                <w:sz w:val="20"/>
              </w:rPr>
            </w:pPr>
          </w:p>
        </w:tc>
        <w:tc>
          <w:tcPr>
            <w:tcW w:w="710" w:type="dxa"/>
          </w:tcPr>
          <w:p>
            <w:pPr>
              <w:pStyle w:val="TableParagraph"/>
              <w:rPr>
                <w:rFonts w:ascii="Times New Roman"/>
                <w:sz w:val="20"/>
              </w:rPr>
            </w:pPr>
          </w:p>
        </w:tc>
        <w:tc>
          <w:tcPr>
            <w:tcW w:w="850" w:type="dxa"/>
          </w:tcPr>
          <w:p>
            <w:pPr>
              <w:pStyle w:val="TableParagraph"/>
              <w:rPr>
                <w:rFonts w:ascii="Times New Roman"/>
                <w:sz w:val="20"/>
              </w:rPr>
            </w:pPr>
          </w:p>
        </w:tc>
        <w:tc>
          <w:tcPr>
            <w:tcW w:w="1135" w:type="dxa"/>
          </w:tcPr>
          <w:p>
            <w:pPr>
              <w:pStyle w:val="TableParagraph"/>
              <w:rPr>
                <w:rFonts w:ascii="Times New Roman"/>
                <w:sz w:val="20"/>
              </w:rPr>
            </w:pPr>
          </w:p>
        </w:tc>
        <w:tc>
          <w:tcPr>
            <w:tcW w:w="991" w:type="dxa"/>
          </w:tcPr>
          <w:p>
            <w:pPr>
              <w:pStyle w:val="TableParagraph"/>
              <w:rPr>
                <w:rFonts w:ascii="Times New Roman"/>
                <w:sz w:val="20"/>
              </w:rPr>
            </w:pPr>
          </w:p>
        </w:tc>
        <w:tc>
          <w:tcPr>
            <w:tcW w:w="1136" w:type="dxa"/>
          </w:tcPr>
          <w:p>
            <w:pPr>
              <w:pStyle w:val="TableParagraph"/>
              <w:rPr>
                <w:rFonts w:ascii="Times New Roman"/>
                <w:sz w:val="20"/>
              </w:rPr>
            </w:pPr>
          </w:p>
        </w:tc>
        <w:tc>
          <w:tcPr>
            <w:tcW w:w="991" w:type="dxa"/>
          </w:tcPr>
          <w:p>
            <w:pPr>
              <w:pStyle w:val="TableParagraph"/>
              <w:rPr>
                <w:rFonts w:ascii="Times New Roman"/>
                <w:sz w:val="20"/>
              </w:rPr>
            </w:pPr>
          </w:p>
        </w:tc>
      </w:tr>
      <w:tr>
        <w:trPr>
          <w:trHeight w:val="453" w:hRule="atLeast"/>
        </w:trPr>
        <w:tc>
          <w:tcPr>
            <w:tcW w:w="758" w:type="dxa"/>
          </w:tcPr>
          <w:p>
            <w:pPr>
              <w:pStyle w:val="TableParagraph"/>
              <w:rPr>
                <w:rFonts w:ascii="Times New Roman"/>
                <w:sz w:val="20"/>
              </w:rPr>
            </w:pPr>
          </w:p>
        </w:tc>
        <w:tc>
          <w:tcPr>
            <w:tcW w:w="1226" w:type="dxa"/>
          </w:tcPr>
          <w:p>
            <w:pPr>
              <w:pStyle w:val="TableParagraph"/>
              <w:rPr>
                <w:rFonts w:ascii="Times New Roman"/>
                <w:sz w:val="20"/>
              </w:rPr>
            </w:pPr>
          </w:p>
        </w:tc>
        <w:tc>
          <w:tcPr>
            <w:tcW w:w="850" w:type="dxa"/>
          </w:tcPr>
          <w:p>
            <w:pPr>
              <w:pStyle w:val="TableParagraph"/>
              <w:rPr>
                <w:rFonts w:ascii="Times New Roman"/>
                <w:sz w:val="20"/>
              </w:rPr>
            </w:pPr>
          </w:p>
        </w:tc>
        <w:tc>
          <w:tcPr>
            <w:tcW w:w="708" w:type="dxa"/>
          </w:tcPr>
          <w:p>
            <w:pPr>
              <w:pStyle w:val="TableParagraph"/>
              <w:rPr>
                <w:rFonts w:ascii="Times New Roman"/>
                <w:sz w:val="20"/>
              </w:rPr>
            </w:pPr>
          </w:p>
        </w:tc>
        <w:tc>
          <w:tcPr>
            <w:tcW w:w="710" w:type="dxa"/>
          </w:tcPr>
          <w:p>
            <w:pPr>
              <w:pStyle w:val="TableParagraph"/>
              <w:rPr>
                <w:rFonts w:ascii="Times New Roman"/>
                <w:sz w:val="20"/>
              </w:rPr>
            </w:pPr>
          </w:p>
        </w:tc>
        <w:tc>
          <w:tcPr>
            <w:tcW w:w="850" w:type="dxa"/>
          </w:tcPr>
          <w:p>
            <w:pPr>
              <w:pStyle w:val="TableParagraph"/>
              <w:rPr>
                <w:rFonts w:ascii="Times New Roman"/>
                <w:sz w:val="20"/>
              </w:rPr>
            </w:pPr>
          </w:p>
        </w:tc>
        <w:tc>
          <w:tcPr>
            <w:tcW w:w="1135" w:type="dxa"/>
          </w:tcPr>
          <w:p>
            <w:pPr>
              <w:pStyle w:val="TableParagraph"/>
              <w:rPr>
                <w:rFonts w:ascii="Times New Roman"/>
                <w:sz w:val="20"/>
              </w:rPr>
            </w:pPr>
          </w:p>
        </w:tc>
        <w:tc>
          <w:tcPr>
            <w:tcW w:w="991" w:type="dxa"/>
          </w:tcPr>
          <w:p>
            <w:pPr>
              <w:pStyle w:val="TableParagraph"/>
              <w:rPr>
                <w:rFonts w:ascii="Times New Roman"/>
                <w:sz w:val="20"/>
              </w:rPr>
            </w:pPr>
          </w:p>
        </w:tc>
        <w:tc>
          <w:tcPr>
            <w:tcW w:w="1136" w:type="dxa"/>
          </w:tcPr>
          <w:p>
            <w:pPr>
              <w:pStyle w:val="TableParagraph"/>
              <w:rPr>
                <w:rFonts w:ascii="Times New Roman"/>
                <w:sz w:val="20"/>
              </w:rPr>
            </w:pPr>
          </w:p>
        </w:tc>
        <w:tc>
          <w:tcPr>
            <w:tcW w:w="991" w:type="dxa"/>
          </w:tcPr>
          <w:p>
            <w:pPr>
              <w:pStyle w:val="TableParagraph"/>
              <w:rPr>
                <w:rFonts w:ascii="Times New Roman"/>
                <w:sz w:val="20"/>
              </w:rPr>
            </w:pPr>
          </w:p>
        </w:tc>
      </w:tr>
      <w:tr>
        <w:trPr>
          <w:trHeight w:val="455" w:hRule="atLeast"/>
        </w:trPr>
        <w:tc>
          <w:tcPr>
            <w:tcW w:w="758" w:type="dxa"/>
          </w:tcPr>
          <w:p>
            <w:pPr>
              <w:pStyle w:val="TableParagraph"/>
              <w:rPr>
                <w:rFonts w:ascii="Times New Roman"/>
                <w:sz w:val="20"/>
              </w:rPr>
            </w:pPr>
          </w:p>
        </w:tc>
        <w:tc>
          <w:tcPr>
            <w:tcW w:w="1226" w:type="dxa"/>
          </w:tcPr>
          <w:p>
            <w:pPr>
              <w:pStyle w:val="TableParagraph"/>
              <w:rPr>
                <w:rFonts w:ascii="Times New Roman"/>
                <w:sz w:val="20"/>
              </w:rPr>
            </w:pPr>
          </w:p>
        </w:tc>
        <w:tc>
          <w:tcPr>
            <w:tcW w:w="850" w:type="dxa"/>
          </w:tcPr>
          <w:p>
            <w:pPr>
              <w:pStyle w:val="TableParagraph"/>
              <w:rPr>
                <w:rFonts w:ascii="Times New Roman"/>
                <w:sz w:val="20"/>
              </w:rPr>
            </w:pPr>
          </w:p>
        </w:tc>
        <w:tc>
          <w:tcPr>
            <w:tcW w:w="708" w:type="dxa"/>
          </w:tcPr>
          <w:p>
            <w:pPr>
              <w:pStyle w:val="TableParagraph"/>
              <w:rPr>
                <w:rFonts w:ascii="Times New Roman"/>
                <w:sz w:val="20"/>
              </w:rPr>
            </w:pPr>
          </w:p>
        </w:tc>
        <w:tc>
          <w:tcPr>
            <w:tcW w:w="710" w:type="dxa"/>
          </w:tcPr>
          <w:p>
            <w:pPr>
              <w:pStyle w:val="TableParagraph"/>
              <w:rPr>
                <w:rFonts w:ascii="Times New Roman"/>
                <w:sz w:val="20"/>
              </w:rPr>
            </w:pPr>
          </w:p>
        </w:tc>
        <w:tc>
          <w:tcPr>
            <w:tcW w:w="850" w:type="dxa"/>
          </w:tcPr>
          <w:p>
            <w:pPr>
              <w:pStyle w:val="TableParagraph"/>
              <w:rPr>
                <w:rFonts w:ascii="Times New Roman"/>
                <w:sz w:val="20"/>
              </w:rPr>
            </w:pPr>
          </w:p>
        </w:tc>
        <w:tc>
          <w:tcPr>
            <w:tcW w:w="1135" w:type="dxa"/>
          </w:tcPr>
          <w:p>
            <w:pPr>
              <w:pStyle w:val="TableParagraph"/>
              <w:rPr>
                <w:rFonts w:ascii="Times New Roman"/>
                <w:sz w:val="20"/>
              </w:rPr>
            </w:pPr>
          </w:p>
        </w:tc>
        <w:tc>
          <w:tcPr>
            <w:tcW w:w="991" w:type="dxa"/>
          </w:tcPr>
          <w:p>
            <w:pPr>
              <w:pStyle w:val="TableParagraph"/>
              <w:rPr>
                <w:rFonts w:ascii="Times New Roman"/>
                <w:sz w:val="20"/>
              </w:rPr>
            </w:pPr>
          </w:p>
        </w:tc>
        <w:tc>
          <w:tcPr>
            <w:tcW w:w="1136" w:type="dxa"/>
          </w:tcPr>
          <w:p>
            <w:pPr>
              <w:pStyle w:val="TableParagraph"/>
              <w:rPr>
                <w:rFonts w:ascii="Times New Roman"/>
                <w:sz w:val="20"/>
              </w:rPr>
            </w:pPr>
          </w:p>
        </w:tc>
        <w:tc>
          <w:tcPr>
            <w:tcW w:w="991" w:type="dxa"/>
          </w:tcPr>
          <w:p>
            <w:pPr>
              <w:pStyle w:val="TableParagraph"/>
              <w:rPr>
                <w:rFonts w:ascii="Times New Roman"/>
                <w:sz w:val="20"/>
              </w:rPr>
            </w:pPr>
          </w:p>
        </w:tc>
      </w:tr>
      <w:tr>
        <w:trPr>
          <w:trHeight w:val="453" w:hRule="atLeast"/>
        </w:trPr>
        <w:tc>
          <w:tcPr>
            <w:tcW w:w="758" w:type="dxa"/>
          </w:tcPr>
          <w:p>
            <w:pPr>
              <w:pStyle w:val="TableParagraph"/>
              <w:rPr>
                <w:rFonts w:ascii="Times New Roman"/>
                <w:sz w:val="20"/>
              </w:rPr>
            </w:pPr>
          </w:p>
        </w:tc>
        <w:tc>
          <w:tcPr>
            <w:tcW w:w="1226" w:type="dxa"/>
          </w:tcPr>
          <w:p>
            <w:pPr>
              <w:pStyle w:val="TableParagraph"/>
              <w:rPr>
                <w:rFonts w:ascii="Times New Roman"/>
                <w:sz w:val="20"/>
              </w:rPr>
            </w:pPr>
          </w:p>
        </w:tc>
        <w:tc>
          <w:tcPr>
            <w:tcW w:w="850" w:type="dxa"/>
          </w:tcPr>
          <w:p>
            <w:pPr>
              <w:pStyle w:val="TableParagraph"/>
              <w:rPr>
                <w:rFonts w:ascii="Times New Roman"/>
                <w:sz w:val="20"/>
              </w:rPr>
            </w:pPr>
          </w:p>
        </w:tc>
        <w:tc>
          <w:tcPr>
            <w:tcW w:w="708" w:type="dxa"/>
          </w:tcPr>
          <w:p>
            <w:pPr>
              <w:pStyle w:val="TableParagraph"/>
              <w:rPr>
                <w:rFonts w:ascii="Times New Roman"/>
                <w:sz w:val="20"/>
              </w:rPr>
            </w:pPr>
          </w:p>
        </w:tc>
        <w:tc>
          <w:tcPr>
            <w:tcW w:w="710" w:type="dxa"/>
          </w:tcPr>
          <w:p>
            <w:pPr>
              <w:pStyle w:val="TableParagraph"/>
              <w:rPr>
                <w:rFonts w:ascii="Times New Roman"/>
                <w:sz w:val="20"/>
              </w:rPr>
            </w:pPr>
          </w:p>
        </w:tc>
        <w:tc>
          <w:tcPr>
            <w:tcW w:w="850" w:type="dxa"/>
          </w:tcPr>
          <w:p>
            <w:pPr>
              <w:pStyle w:val="TableParagraph"/>
              <w:rPr>
                <w:rFonts w:ascii="Times New Roman"/>
                <w:sz w:val="20"/>
              </w:rPr>
            </w:pPr>
          </w:p>
        </w:tc>
        <w:tc>
          <w:tcPr>
            <w:tcW w:w="1135" w:type="dxa"/>
          </w:tcPr>
          <w:p>
            <w:pPr>
              <w:pStyle w:val="TableParagraph"/>
              <w:rPr>
                <w:rFonts w:ascii="Times New Roman"/>
                <w:sz w:val="20"/>
              </w:rPr>
            </w:pPr>
          </w:p>
        </w:tc>
        <w:tc>
          <w:tcPr>
            <w:tcW w:w="991" w:type="dxa"/>
          </w:tcPr>
          <w:p>
            <w:pPr>
              <w:pStyle w:val="TableParagraph"/>
              <w:rPr>
                <w:rFonts w:ascii="Times New Roman"/>
                <w:sz w:val="20"/>
              </w:rPr>
            </w:pPr>
          </w:p>
        </w:tc>
        <w:tc>
          <w:tcPr>
            <w:tcW w:w="1136" w:type="dxa"/>
          </w:tcPr>
          <w:p>
            <w:pPr>
              <w:pStyle w:val="TableParagraph"/>
              <w:rPr>
                <w:rFonts w:ascii="Times New Roman"/>
                <w:sz w:val="20"/>
              </w:rPr>
            </w:pPr>
          </w:p>
        </w:tc>
        <w:tc>
          <w:tcPr>
            <w:tcW w:w="991" w:type="dxa"/>
          </w:tcPr>
          <w:p>
            <w:pPr>
              <w:pStyle w:val="TableParagraph"/>
              <w:rPr>
                <w:rFonts w:ascii="Times New Roman"/>
                <w:sz w:val="20"/>
              </w:rPr>
            </w:pPr>
          </w:p>
        </w:tc>
      </w:tr>
      <w:tr>
        <w:trPr>
          <w:trHeight w:val="453" w:hRule="atLeast"/>
        </w:trPr>
        <w:tc>
          <w:tcPr>
            <w:tcW w:w="758" w:type="dxa"/>
          </w:tcPr>
          <w:p>
            <w:pPr>
              <w:pStyle w:val="TableParagraph"/>
              <w:rPr>
                <w:rFonts w:ascii="Times New Roman"/>
                <w:sz w:val="20"/>
              </w:rPr>
            </w:pPr>
          </w:p>
        </w:tc>
        <w:tc>
          <w:tcPr>
            <w:tcW w:w="1226" w:type="dxa"/>
          </w:tcPr>
          <w:p>
            <w:pPr>
              <w:pStyle w:val="TableParagraph"/>
              <w:rPr>
                <w:rFonts w:ascii="Times New Roman"/>
                <w:sz w:val="20"/>
              </w:rPr>
            </w:pPr>
          </w:p>
        </w:tc>
        <w:tc>
          <w:tcPr>
            <w:tcW w:w="850" w:type="dxa"/>
          </w:tcPr>
          <w:p>
            <w:pPr>
              <w:pStyle w:val="TableParagraph"/>
              <w:rPr>
                <w:rFonts w:ascii="Times New Roman"/>
                <w:sz w:val="20"/>
              </w:rPr>
            </w:pPr>
          </w:p>
        </w:tc>
        <w:tc>
          <w:tcPr>
            <w:tcW w:w="708" w:type="dxa"/>
          </w:tcPr>
          <w:p>
            <w:pPr>
              <w:pStyle w:val="TableParagraph"/>
              <w:rPr>
                <w:rFonts w:ascii="Times New Roman"/>
                <w:sz w:val="20"/>
              </w:rPr>
            </w:pPr>
          </w:p>
        </w:tc>
        <w:tc>
          <w:tcPr>
            <w:tcW w:w="710" w:type="dxa"/>
          </w:tcPr>
          <w:p>
            <w:pPr>
              <w:pStyle w:val="TableParagraph"/>
              <w:rPr>
                <w:rFonts w:ascii="Times New Roman"/>
                <w:sz w:val="20"/>
              </w:rPr>
            </w:pPr>
          </w:p>
        </w:tc>
        <w:tc>
          <w:tcPr>
            <w:tcW w:w="850" w:type="dxa"/>
          </w:tcPr>
          <w:p>
            <w:pPr>
              <w:pStyle w:val="TableParagraph"/>
              <w:rPr>
                <w:rFonts w:ascii="Times New Roman"/>
                <w:sz w:val="20"/>
              </w:rPr>
            </w:pPr>
          </w:p>
        </w:tc>
        <w:tc>
          <w:tcPr>
            <w:tcW w:w="1135" w:type="dxa"/>
          </w:tcPr>
          <w:p>
            <w:pPr>
              <w:pStyle w:val="TableParagraph"/>
              <w:rPr>
                <w:rFonts w:ascii="Times New Roman"/>
                <w:sz w:val="20"/>
              </w:rPr>
            </w:pPr>
          </w:p>
        </w:tc>
        <w:tc>
          <w:tcPr>
            <w:tcW w:w="991" w:type="dxa"/>
          </w:tcPr>
          <w:p>
            <w:pPr>
              <w:pStyle w:val="TableParagraph"/>
              <w:rPr>
                <w:rFonts w:ascii="Times New Roman"/>
                <w:sz w:val="20"/>
              </w:rPr>
            </w:pPr>
          </w:p>
        </w:tc>
        <w:tc>
          <w:tcPr>
            <w:tcW w:w="1136" w:type="dxa"/>
          </w:tcPr>
          <w:p>
            <w:pPr>
              <w:pStyle w:val="TableParagraph"/>
              <w:rPr>
                <w:rFonts w:ascii="Times New Roman"/>
                <w:sz w:val="20"/>
              </w:rPr>
            </w:pPr>
          </w:p>
        </w:tc>
        <w:tc>
          <w:tcPr>
            <w:tcW w:w="991" w:type="dxa"/>
          </w:tcPr>
          <w:p>
            <w:pPr>
              <w:pStyle w:val="TableParagraph"/>
              <w:rPr>
                <w:rFonts w:ascii="Times New Roman"/>
                <w:sz w:val="20"/>
              </w:rPr>
            </w:pPr>
          </w:p>
        </w:tc>
      </w:tr>
    </w:tbl>
    <w:p>
      <w:pPr>
        <w:pStyle w:val="BodyText"/>
        <w:ind w:left="0"/>
        <w:rPr>
          <w:sz w:val="20"/>
        </w:rPr>
      </w:pPr>
    </w:p>
    <w:p>
      <w:pPr>
        <w:pStyle w:val="BodyText"/>
        <w:spacing w:before="11"/>
        <w:ind w:left="0"/>
        <w:rPr>
          <w:sz w:val="17"/>
        </w:rPr>
      </w:pPr>
    </w:p>
    <w:p>
      <w:pPr>
        <w:pStyle w:val="BodyText"/>
        <w:spacing w:before="1"/>
      </w:pPr>
      <w:r>
        <w:rPr/>
        <w:t>附表二：拟配备本工程的试验和检测仪器设备表</w:t>
      </w:r>
    </w:p>
    <w:tbl>
      <w:tblPr>
        <w:tblW w:w="0" w:type="auto"/>
        <w:jc w:val="left"/>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8"/>
        <w:gridCol w:w="1226"/>
        <w:gridCol w:w="850"/>
        <w:gridCol w:w="708"/>
        <w:gridCol w:w="710"/>
        <w:gridCol w:w="1133"/>
        <w:gridCol w:w="1277"/>
        <w:gridCol w:w="1134"/>
        <w:gridCol w:w="1561"/>
      </w:tblGrid>
      <w:tr>
        <w:trPr>
          <w:trHeight w:val="544" w:hRule="atLeast"/>
        </w:trPr>
        <w:tc>
          <w:tcPr>
            <w:tcW w:w="758" w:type="dxa"/>
          </w:tcPr>
          <w:p>
            <w:pPr>
              <w:pStyle w:val="TableParagraph"/>
              <w:spacing w:before="138"/>
              <w:ind w:left="167"/>
              <w:rPr>
                <w:sz w:val="21"/>
              </w:rPr>
            </w:pPr>
            <w:r>
              <w:rPr>
                <w:sz w:val="21"/>
              </w:rPr>
              <w:t>序号</w:t>
            </w:r>
          </w:p>
        </w:tc>
        <w:tc>
          <w:tcPr>
            <w:tcW w:w="1226" w:type="dxa"/>
          </w:tcPr>
          <w:p>
            <w:pPr>
              <w:pStyle w:val="TableParagraph"/>
              <w:spacing w:before="1"/>
              <w:ind w:left="173" w:right="163"/>
              <w:jc w:val="center"/>
              <w:rPr>
                <w:sz w:val="21"/>
              </w:rPr>
            </w:pPr>
            <w:r>
              <w:rPr>
                <w:sz w:val="21"/>
              </w:rPr>
              <w:t>仪器设备</w:t>
            </w:r>
          </w:p>
          <w:p>
            <w:pPr>
              <w:pStyle w:val="TableParagraph"/>
              <w:spacing w:line="250" w:lineRule="exact" w:before="4"/>
              <w:ind w:left="173" w:right="160"/>
              <w:jc w:val="center"/>
              <w:rPr>
                <w:sz w:val="21"/>
              </w:rPr>
            </w:pPr>
            <w:r>
              <w:rPr>
                <w:sz w:val="21"/>
              </w:rPr>
              <w:t>名称</w:t>
            </w:r>
          </w:p>
        </w:tc>
        <w:tc>
          <w:tcPr>
            <w:tcW w:w="850" w:type="dxa"/>
          </w:tcPr>
          <w:p>
            <w:pPr>
              <w:pStyle w:val="TableParagraph"/>
              <w:spacing w:before="1"/>
              <w:ind w:left="216"/>
              <w:rPr>
                <w:sz w:val="21"/>
              </w:rPr>
            </w:pPr>
            <w:r>
              <w:rPr>
                <w:sz w:val="21"/>
              </w:rPr>
              <w:t>型号</w:t>
            </w:r>
          </w:p>
          <w:p>
            <w:pPr>
              <w:pStyle w:val="TableParagraph"/>
              <w:spacing w:line="250" w:lineRule="exact" w:before="4"/>
              <w:ind w:left="216"/>
              <w:rPr>
                <w:sz w:val="21"/>
              </w:rPr>
            </w:pPr>
            <w:r>
              <w:rPr>
                <w:sz w:val="21"/>
              </w:rPr>
              <w:t>规格</w:t>
            </w:r>
          </w:p>
        </w:tc>
        <w:tc>
          <w:tcPr>
            <w:tcW w:w="708" w:type="dxa"/>
          </w:tcPr>
          <w:p>
            <w:pPr>
              <w:pStyle w:val="TableParagraph"/>
              <w:spacing w:before="138"/>
              <w:ind w:left="144"/>
              <w:rPr>
                <w:sz w:val="21"/>
              </w:rPr>
            </w:pPr>
            <w:r>
              <w:rPr>
                <w:sz w:val="21"/>
              </w:rPr>
              <w:t>数量</w:t>
            </w:r>
          </w:p>
        </w:tc>
        <w:tc>
          <w:tcPr>
            <w:tcW w:w="710" w:type="dxa"/>
          </w:tcPr>
          <w:p>
            <w:pPr>
              <w:pStyle w:val="TableParagraph"/>
              <w:spacing w:before="1"/>
              <w:ind w:left="144"/>
              <w:rPr>
                <w:sz w:val="21"/>
              </w:rPr>
            </w:pPr>
            <w:r>
              <w:rPr>
                <w:sz w:val="21"/>
              </w:rPr>
              <w:t>国别</w:t>
            </w:r>
          </w:p>
          <w:p>
            <w:pPr>
              <w:pStyle w:val="TableParagraph"/>
              <w:spacing w:line="250" w:lineRule="exact" w:before="4"/>
              <w:ind w:left="144"/>
              <w:rPr>
                <w:sz w:val="21"/>
              </w:rPr>
            </w:pPr>
            <w:r>
              <w:rPr>
                <w:sz w:val="21"/>
              </w:rPr>
              <w:t>产地</w:t>
            </w:r>
          </w:p>
        </w:tc>
        <w:tc>
          <w:tcPr>
            <w:tcW w:w="1133" w:type="dxa"/>
          </w:tcPr>
          <w:p>
            <w:pPr>
              <w:pStyle w:val="TableParagraph"/>
              <w:spacing w:before="138"/>
              <w:ind w:left="145"/>
              <w:rPr>
                <w:sz w:val="21"/>
              </w:rPr>
            </w:pPr>
            <w:r>
              <w:rPr>
                <w:sz w:val="21"/>
              </w:rPr>
              <w:t>制造年份</w:t>
            </w:r>
          </w:p>
        </w:tc>
        <w:tc>
          <w:tcPr>
            <w:tcW w:w="1277" w:type="dxa"/>
          </w:tcPr>
          <w:p>
            <w:pPr>
              <w:pStyle w:val="TableParagraph"/>
              <w:spacing w:before="1"/>
              <w:ind w:left="322"/>
              <w:rPr>
                <w:sz w:val="21"/>
              </w:rPr>
            </w:pPr>
            <w:r>
              <w:rPr>
                <w:sz w:val="21"/>
              </w:rPr>
              <w:t>已使用</w:t>
            </w:r>
          </w:p>
          <w:p>
            <w:pPr>
              <w:pStyle w:val="TableParagraph"/>
              <w:spacing w:line="250" w:lineRule="exact" w:before="4"/>
              <w:ind w:left="322"/>
              <w:rPr>
                <w:sz w:val="21"/>
              </w:rPr>
            </w:pPr>
            <w:r>
              <w:rPr>
                <w:sz w:val="21"/>
              </w:rPr>
              <w:t>台时数</w:t>
            </w:r>
          </w:p>
        </w:tc>
        <w:tc>
          <w:tcPr>
            <w:tcW w:w="1134" w:type="dxa"/>
          </w:tcPr>
          <w:p>
            <w:pPr>
              <w:pStyle w:val="TableParagraph"/>
              <w:spacing w:before="138"/>
              <w:ind w:left="356"/>
              <w:rPr>
                <w:sz w:val="21"/>
              </w:rPr>
            </w:pPr>
            <w:r>
              <w:rPr>
                <w:sz w:val="21"/>
              </w:rPr>
              <w:t>用途</w:t>
            </w:r>
          </w:p>
        </w:tc>
        <w:tc>
          <w:tcPr>
            <w:tcW w:w="1561" w:type="dxa"/>
          </w:tcPr>
          <w:p>
            <w:pPr>
              <w:pStyle w:val="TableParagraph"/>
              <w:spacing w:before="138"/>
              <w:ind w:left="550" w:right="540"/>
              <w:jc w:val="center"/>
              <w:rPr>
                <w:sz w:val="21"/>
              </w:rPr>
            </w:pPr>
            <w:r>
              <w:rPr>
                <w:sz w:val="21"/>
              </w:rPr>
              <w:t>备注</w:t>
            </w:r>
          </w:p>
        </w:tc>
      </w:tr>
      <w:tr>
        <w:trPr>
          <w:trHeight w:val="361" w:hRule="atLeast"/>
        </w:trPr>
        <w:tc>
          <w:tcPr>
            <w:tcW w:w="758" w:type="dxa"/>
          </w:tcPr>
          <w:p>
            <w:pPr>
              <w:pStyle w:val="TableParagraph"/>
              <w:rPr>
                <w:rFonts w:ascii="Times New Roman"/>
                <w:sz w:val="20"/>
              </w:rPr>
            </w:pPr>
          </w:p>
        </w:tc>
        <w:tc>
          <w:tcPr>
            <w:tcW w:w="1226" w:type="dxa"/>
          </w:tcPr>
          <w:p>
            <w:pPr>
              <w:pStyle w:val="TableParagraph"/>
              <w:rPr>
                <w:rFonts w:ascii="Times New Roman"/>
                <w:sz w:val="20"/>
              </w:rPr>
            </w:pPr>
          </w:p>
        </w:tc>
        <w:tc>
          <w:tcPr>
            <w:tcW w:w="850" w:type="dxa"/>
          </w:tcPr>
          <w:p>
            <w:pPr>
              <w:pStyle w:val="TableParagraph"/>
              <w:rPr>
                <w:rFonts w:ascii="Times New Roman"/>
                <w:sz w:val="20"/>
              </w:rPr>
            </w:pPr>
          </w:p>
        </w:tc>
        <w:tc>
          <w:tcPr>
            <w:tcW w:w="708" w:type="dxa"/>
          </w:tcPr>
          <w:p>
            <w:pPr>
              <w:pStyle w:val="TableParagraph"/>
              <w:rPr>
                <w:rFonts w:ascii="Times New Roman"/>
                <w:sz w:val="20"/>
              </w:rPr>
            </w:pPr>
          </w:p>
        </w:tc>
        <w:tc>
          <w:tcPr>
            <w:tcW w:w="710" w:type="dxa"/>
          </w:tcPr>
          <w:p>
            <w:pPr>
              <w:pStyle w:val="TableParagraph"/>
              <w:rPr>
                <w:rFonts w:ascii="Times New Roman"/>
                <w:sz w:val="20"/>
              </w:rPr>
            </w:pPr>
          </w:p>
        </w:tc>
        <w:tc>
          <w:tcPr>
            <w:tcW w:w="1133" w:type="dxa"/>
          </w:tcPr>
          <w:p>
            <w:pPr>
              <w:pStyle w:val="TableParagraph"/>
              <w:rPr>
                <w:rFonts w:ascii="Times New Roman"/>
                <w:sz w:val="20"/>
              </w:rPr>
            </w:pPr>
          </w:p>
        </w:tc>
        <w:tc>
          <w:tcPr>
            <w:tcW w:w="1277" w:type="dxa"/>
          </w:tcPr>
          <w:p>
            <w:pPr>
              <w:pStyle w:val="TableParagraph"/>
              <w:rPr>
                <w:rFonts w:ascii="Times New Roman"/>
                <w:sz w:val="20"/>
              </w:rPr>
            </w:pPr>
          </w:p>
        </w:tc>
        <w:tc>
          <w:tcPr>
            <w:tcW w:w="1134" w:type="dxa"/>
          </w:tcPr>
          <w:p>
            <w:pPr>
              <w:pStyle w:val="TableParagraph"/>
              <w:rPr>
                <w:rFonts w:ascii="Times New Roman"/>
                <w:sz w:val="20"/>
              </w:rPr>
            </w:pPr>
          </w:p>
        </w:tc>
        <w:tc>
          <w:tcPr>
            <w:tcW w:w="1561" w:type="dxa"/>
          </w:tcPr>
          <w:p>
            <w:pPr>
              <w:pStyle w:val="TableParagraph"/>
              <w:rPr>
                <w:rFonts w:ascii="Times New Roman"/>
                <w:sz w:val="20"/>
              </w:rPr>
            </w:pPr>
          </w:p>
        </w:tc>
      </w:tr>
      <w:tr>
        <w:trPr>
          <w:trHeight w:val="362" w:hRule="atLeast"/>
        </w:trPr>
        <w:tc>
          <w:tcPr>
            <w:tcW w:w="758" w:type="dxa"/>
          </w:tcPr>
          <w:p>
            <w:pPr>
              <w:pStyle w:val="TableParagraph"/>
              <w:rPr>
                <w:rFonts w:ascii="Times New Roman"/>
                <w:sz w:val="20"/>
              </w:rPr>
            </w:pPr>
          </w:p>
        </w:tc>
        <w:tc>
          <w:tcPr>
            <w:tcW w:w="1226" w:type="dxa"/>
          </w:tcPr>
          <w:p>
            <w:pPr>
              <w:pStyle w:val="TableParagraph"/>
              <w:rPr>
                <w:rFonts w:ascii="Times New Roman"/>
                <w:sz w:val="20"/>
              </w:rPr>
            </w:pPr>
          </w:p>
        </w:tc>
        <w:tc>
          <w:tcPr>
            <w:tcW w:w="850" w:type="dxa"/>
          </w:tcPr>
          <w:p>
            <w:pPr>
              <w:pStyle w:val="TableParagraph"/>
              <w:rPr>
                <w:rFonts w:ascii="Times New Roman"/>
                <w:sz w:val="20"/>
              </w:rPr>
            </w:pPr>
          </w:p>
        </w:tc>
        <w:tc>
          <w:tcPr>
            <w:tcW w:w="708" w:type="dxa"/>
          </w:tcPr>
          <w:p>
            <w:pPr>
              <w:pStyle w:val="TableParagraph"/>
              <w:rPr>
                <w:rFonts w:ascii="Times New Roman"/>
                <w:sz w:val="20"/>
              </w:rPr>
            </w:pPr>
          </w:p>
        </w:tc>
        <w:tc>
          <w:tcPr>
            <w:tcW w:w="710" w:type="dxa"/>
          </w:tcPr>
          <w:p>
            <w:pPr>
              <w:pStyle w:val="TableParagraph"/>
              <w:rPr>
                <w:rFonts w:ascii="Times New Roman"/>
                <w:sz w:val="20"/>
              </w:rPr>
            </w:pPr>
          </w:p>
        </w:tc>
        <w:tc>
          <w:tcPr>
            <w:tcW w:w="1133" w:type="dxa"/>
          </w:tcPr>
          <w:p>
            <w:pPr>
              <w:pStyle w:val="TableParagraph"/>
              <w:rPr>
                <w:rFonts w:ascii="Times New Roman"/>
                <w:sz w:val="20"/>
              </w:rPr>
            </w:pPr>
          </w:p>
        </w:tc>
        <w:tc>
          <w:tcPr>
            <w:tcW w:w="1277" w:type="dxa"/>
          </w:tcPr>
          <w:p>
            <w:pPr>
              <w:pStyle w:val="TableParagraph"/>
              <w:rPr>
                <w:rFonts w:ascii="Times New Roman"/>
                <w:sz w:val="20"/>
              </w:rPr>
            </w:pPr>
          </w:p>
        </w:tc>
        <w:tc>
          <w:tcPr>
            <w:tcW w:w="1134" w:type="dxa"/>
          </w:tcPr>
          <w:p>
            <w:pPr>
              <w:pStyle w:val="TableParagraph"/>
              <w:rPr>
                <w:rFonts w:ascii="Times New Roman"/>
                <w:sz w:val="20"/>
              </w:rPr>
            </w:pPr>
          </w:p>
        </w:tc>
        <w:tc>
          <w:tcPr>
            <w:tcW w:w="1561" w:type="dxa"/>
          </w:tcPr>
          <w:p>
            <w:pPr>
              <w:pStyle w:val="TableParagraph"/>
              <w:rPr>
                <w:rFonts w:ascii="Times New Roman"/>
                <w:sz w:val="20"/>
              </w:rPr>
            </w:pPr>
          </w:p>
        </w:tc>
      </w:tr>
      <w:tr>
        <w:trPr>
          <w:trHeight w:val="364" w:hRule="atLeast"/>
        </w:trPr>
        <w:tc>
          <w:tcPr>
            <w:tcW w:w="758" w:type="dxa"/>
          </w:tcPr>
          <w:p>
            <w:pPr>
              <w:pStyle w:val="TableParagraph"/>
              <w:rPr>
                <w:rFonts w:ascii="Times New Roman"/>
                <w:sz w:val="20"/>
              </w:rPr>
            </w:pPr>
          </w:p>
        </w:tc>
        <w:tc>
          <w:tcPr>
            <w:tcW w:w="1226" w:type="dxa"/>
          </w:tcPr>
          <w:p>
            <w:pPr>
              <w:pStyle w:val="TableParagraph"/>
              <w:rPr>
                <w:rFonts w:ascii="Times New Roman"/>
                <w:sz w:val="20"/>
              </w:rPr>
            </w:pPr>
          </w:p>
        </w:tc>
        <w:tc>
          <w:tcPr>
            <w:tcW w:w="850" w:type="dxa"/>
          </w:tcPr>
          <w:p>
            <w:pPr>
              <w:pStyle w:val="TableParagraph"/>
              <w:rPr>
                <w:rFonts w:ascii="Times New Roman"/>
                <w:sz w:val="20"/>
              </w:rPr>
            </w:pPr>
          </w:p>
        </w:tc>
        <w:tc>
          <w:tcPr>
            <w:tcW w:w="708" w:type="dxa"/>
          </w:tcPr>
          <w:p>
            <w:pPr>
              <w:pStyle w:val="TableParagraph"/>
              <w:rPr>
                <w:rFonts w:ascii="Times New Roman"/>
                <w:sz w:val="20"/>
              </w:rPr>
            </w:pPr>
          </w:p>
        </w:tc>
        <w:tc>
          <w:tcPr>
            <w:tcW w:w="710" w:type="dxa"/>
          </w:tcPr>
          <w:p>
            <w:pPr>
              <w:pStyle w:val="TableParagraph"/>
              <w:rPr>
                <w:rFonts w:ascii="Times New Roman"/>
                <w:sz w:val="20"/>
              </w:rPr>
            </w:pPr>
          </w:p>
        </w:tc>
        <w:tc>
          <w:tcPr>
            <w:tcW w:w="1133" w:type="dxa"/>
          </w:tcPr>
          <w:p>
            <w:pPr>
              <w:pStyle w:val="TableParagraph"/>
              <w:rPr>
                <w:rFonts w:ascii="Times New Roman"/>
                <w:sz w:val="20"/>
              </w:rPr>
            </w:pPr>
          </w:p>
        </w:tc>
        <w:tc>
          <w:tcPr>
            <w:tcW w:w="1277" w:type="dxa"/>
          </w:tcPr>
          <w:p>
            <w:pPr>
              <w:pStyle w:val="TableParagraph"/>
              <w:rPr>
                <w:rFonts w:ascii="Times New Roman"/>
                <w:sz w:val="20"/>
              </w:rPr>
            </w:pPr>
          </w:p>
        </w:tc>
        <w:tc>
          <w:tcPr>
            <w:tcW w:w="1134" w:type="dxa"/>
          </w:tcPr>
          <w:p>
            <w:pPr>
              <w:pStyle w:val="TableParagraph"/>
              <w:rPr>
                <w:rFonts w:ascii="Times New Roman"/>
                <w:sz w:val="20"/>
              </w:rPr>
            </w:pPr>
          </w:p>
        </w:tc>
        <w:tc>
          <w:tcPr>
            <w:tcW w:w="1561" w:type="dxa"/>
          </w:tcPr>
          <w:p>
            <w:pPr>
              <w:pStyle w:val="TableParagraph"/>
              <w:rPr>
                <w:rFonts w:ascii="Times New Roman"/>
                <w:sz w:val="20"/>
              </w:rPr>
            </w:pPr>
          </w:p>
        </w:tc>
      </w:tr>
      <w:tr>
        <w:trPr>
          <w:trHeight w:val="362" w:hRule="atLeast"/>
        </w:trPr>
        <w:tc>
          <w:tcPr>
            <w:tcW w:w="758" w:type="dxa"/>
          </w:tcPr>
          <w:p>
            <w:pPr>
              <w:pStyle w:val="TableParagraph"/>
              <w:rPr>
                <w:rFonts w:ascii="Times New Roman"/>
                <w:sz w:val="20"/>
              </w:rPr>
            </w:pPr>
          </w:p>
        </w:tc>
        <w:tc>
          <w:tcPr>
            <w:tcW w:w="1226" w:type="dxa"/>
          </w:tcPr>
          <w:p>
            <w:pPr>
              <w:pStyle w:val="TableParagraph"/>
              <w:rPr>
                <w:rFonts w:ascii="Times New Roman"/>
                <w:sz w:val="20"/>
              </w:rPr>
            </w:pPr>
          </w:p>
        </w:tc>
        <w:tc>
          <w:tcPr>
            <w:tcW w:w="850" w:type="dxa"/>
          </w:tcPr>
          <w:p>
            <w:pPr>
              <w:pStyle w:val="TableParagraph"/>
              <w:rPr>
                <w:rFonts w:ascii="Times New Roman"/>
                <w:sz w:val="20"/>
              </w:rPr>
            </w:pPr>
          </w:p>
        </w:tc>
        <w:tc>
          <w:tcPr>
            <w:tcW w:w="708" w:type="dxa"/>
          </w:tcPr>
          <w:p>
            <w:pPr>
              <w:pStyle w:val="TableParagraph"/>
              <w:rPr>
                <w:rFonts w:ascii="Times New Roman"/>
                <w:sz w:val="20"/>
              </w:rPr>
            </w:pPr>
          </w:p>
        </w:tc>
        <w:tc>
          <w:tcPr>
            <w:tcW w:w="710" w:type="dxa"/>
          </w:tcPr>
          <w:p>
            <w:pPr>
              <w:pStyle w:val="TableParagraph"/>
              <w:rPr>
                <w:rFonts w:ascii="Times New Roman"/>
                <w:sz w:val="20"/>
              </w:rPr>
            </w:pPr>
          </w:p>
        </w:tc>
        <w:tc>
          <w:tcPr>
            <w:tcW w:w="1133" w:type="dxa"/>
          </w:tcPr>
          <w:p>
            <w:pPr>
              <w:pStyle w:val="TableParagraph"/>
              <w:rPr>
                <w:rFonts w:ascii="Times New Roman"/>
                <w:sz w:val="20"/>
              </w:rPr>
            </w:pPr>
          </w:p>
        </w:tc>
        <w:tc>
          <w:tcPr>
            <w:tcW w:w="1277" w:type="dxa"/>
          </w:tcPr>
          <w:p>
            <w:pPr>
              <w:pStyle w:val="TableParagraph"/>
              <w:rPr>
                <w:rFonts w:ascii="Times New Roman"/>
                <w:sz w:val="20"/>
              </w:rPr>
            </w:pPr>
          </w:p>
        </w:tc>
        <w:tc>
          <w:tcPr>
            <w:tcW w:w="1134" w:type="dxa"/>
          </w:tcPr>
          <w:p>
            <w:pPr>
              <w:pStyle w:val="TableParagraph"/>
              <w:rPr>
                <w:rFonts w:ascii="Times New Roman"/>
                <w:sz w:val="20"/>
              </w:rPr>
            </w:pPr>
          </w:p>
        </w:tc>
        <w:tc>
          <w:tcPr>
            <w:tcW w:w="1561" w:type="dxa"/>
          </w:tcPr>
          <w:p>
            <w:pPr>
              <w:pStyle w:val="TableParagraph"/>
              <w:rPr>
                <w:rFonts w:ascii="Times New Roman"/>
                <w:sz w:val="20"/>
              </w:rPr>
            </w:pPr>
          </w:p>
        </w:tc>
      </w:tr>
      <w:tr>
        <w:trPr>
          <w:trHeight w:val="362" w:hRule="atLeast"/>
        </w:trPr>
        <w:tc>
          <w:tcPr>
            <w:tcW w:w="758" w:type="dxa"/>
          </w:tcPr>
          <w:p>
            <w:pPr>
              <w:pStyle w:val="TableParagraph"/>
              <w:rPr>
                <w:rFonts w:ascii="Times New Roman"/>
                <w:sz w:val="20"/>
              </w:rPr>
            </w:pPr>
          </w:p>
        </w:tc>
        <w:tc>
          <w:tcPr>
            <w:tcW w:w="1226" w:type="dxa"/>
          </w:tcPr>
          <w:p>
            <w:pPr>
              <w:pStyle w:val="TableParagraph"/>
              <w:rPr>
                <w:rFonts w:ascii="Times New Roman"/>
                <w:sz w:val="20"/>
              </w:rPr>
            </w:pPr>
          </w:p>
        </w:tc>
        <w:tc>
          <w:tcPr>
            <w:tcW w:w="850" w:type="dxa"/>
          </w:tcPr>
          <w:p>
            <w:pPr>
              <w:pStyle w:val="TableParagraph"/>
              <w:rPr>
                <w:rFonts w:ascii="Times New Roman"/>
                <w:sz w:val="20"/>
              </w:rPr>
            </w:pPr>
          </w:p>
        </w:tc>
        <w:tc>
          <w:tcPr>
            <w:tcW w:w="708" w:type="dxa"/>
          </w:tcPr>
          <w:p>
            <w:pPr>
              <w:pStyle w:val="TableParagraph"/>
              <w:rPr>
                <w:rFonts w:ascii="Times New Roman"/>
                <w:sz w:val="20"/>
              </w:rPr>
            </w:pPr>
          </w:p>
        </w:tc>
        <w:tc>
          <w:tcPr>
            <w:tcW w:w="710" w:type="dxa"/>
          </w:tcPr>
          <w:p>
            <w:pPr>
              <w:pStyle w:val="TableParagraph"/>
              <w:rPr>
                <w:rFonts w:ascii="Times New Roman"/>
                <w:sz w:val="20"/>
              </w:rPr>
            </w:pPr>
          </w:p>
        </w:tc>
        <w:tc>
          <w:tcPr>
            <w:tcW w:w="1133" w:type="dxa"/>
          </w:tcPr>
          <w:p>
            <w:pPr>
              <w:pStyle w:val="TableParagraph"/>
              <w:rPr>
                <w:rFonts w:ascii="Times New Roman"/>
                <w:sz w:val="20"/>
              </w:rPr>
            </w:pPr>
          </w:p>
        </w:tc>
        <w:tc>
          <w:tcPr>
            <w:tcW w:w="1277" w:type="dxa"/>
          </w:tcPr>
          <w:p>
            <w:pPr>
              <w:pStyle w:val="TableParagraph"/>
              <w:rPr>
                <w:rFonts w:ascii="Times New Roman"/>
                <w:sz w:val="20"/>
              </w:rPr>
            </w:pPr>
          </w:p>
        </w:tc>
        <w:tc>
          <w:tcPr>
            <w:tcW w:w="1134" w:type="dxa"/>
          </w:tcPr>
          <w:p>
            <w:pPr>
              <w:pStyle w:val="TableParagraph"/>
              <w:rPr>
                <w:rFonts w:ascii="Times New Roman"/>
                <w:sz w:val="20"/>
              </w:rPr>
            </w:pPr>
          </w:p>
        </w:tc>
        <w:tc>
          <w:tcPr>
            <w:tcW w:w="1561" w:type="dxa"/>
          </w:tcPr>
          <w:p>
            <w:pPr>
              <w:pStyle w:val="TableParagraph"/>
              <w:rPr>
                <w:rFonts w:ascii="Times New Roman"/>
                <w:sz w:val="20"/>
              </w:rPr>
            </w:pPr>
          </w:p>
        </w:tc>
      </w:tr>
    </w:tbl>
    <w:p>
      <w:pPr>
        <w:pStyle w:val="BodyText"/>
        <w:ind w:left="0"/>
        <w:rPr>
          <w:sz w:val="20"/>
        </w:rPr>
      </w:pPr>
    </w:p>
    <w:p>
      <w:pPr>
        <w:pStyle w:val="BodyText"/>
        <w:ind w:left="0"/>
        <w:rPr>
          <w:sz w:val="20"/>
        </w:rPr>
      </w:pPr>
    </w:p>
    <w:p>
      <w:pPr>
        <w:pStyle w:val="BodyText"/>
        <w:spacing w:before="10"/>
        <w:ind w:left="0"/>
        <w:rPr>
          <w:sz w:val="29"/>
        </w:rPr>
      </w:pPr>
    </w:p>
    <w:p>
      <w:pPr>
        <w:pStyle w:val="BodyText"/>
        <w:spacing w:before="72"/>
      </w:pPr>
      <w:r>
        <w:rPr/>
        <w:t>附表三：劳动力计划表</w:t>
      </w:r>
    </w:p>
    <w:p>
      <w:pPr>
        <w:pStyle w:val="BodyText"/>
        <w:spacing w:before="4"/>
        <w:ind w:left="8347"/>
      </w:pPr>
      <w:r>
        <w:rPr/>
        <w:t>单位：人</w:t>
      </w:r>
    </w:p>
    <w:tbl>
      <w:tblPr>
        <w:tblW w:w="0" w:type="auto"/>
        <w:jc w:val="left"/>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4"/>
        <w:gridCol w:w="960"/>
        <w:gridCol w:w="1258"/>
        <w:gridCol w:w="1257"/>
        <w:gridCol w:w="1257"/>
        <w:gridCol w:w="1257"/>
        <w:gridCol w:w="1258"/>
        <w:gridCol w:w="1257"/>
      </w:tblGrid>
      <w:tr>
        <w:trPr>
          <w:trHeight w:val="410" w:hRule="atLeast"/>
        </w:trPr>
        <w:tc>
          <w:tcPr>
            <w:tcW w:w="854" w:type="dxa"/>
          </w:tcPr>
          <w:p>
            <w:pPr>
              <w:pStyle w:val="TableParagraph"/>
              <w:spacing w:before="3"/>
              <w:ind w:left="215"/>
              <w:rPr>
                <w:sz w:val="21"/>
              </w:rPr>
            </w:pPr>
            <w:r>
              <w:rPr>
                <w:sz w:val="21"/>
              </w:rPr>
              <w:t>工种</w:t>
            </w:r>
          </w:p>
        </w:tc>
        <w:tc>
          <w:tcPr>
            <w:tcW w:w="8504" w:type="dxa"/>
            <w:gridSpan w:val="7"/>
          </w:tcPr>
          <w:p>
            <w:pPr>
              <w:pStyle w:val="TableParagraph"/>
              <w:spacing w:before="3"/>
              <w:ind w:left="2762" w:right="2751"/>
              <w:jc w:val="center"/>
              <w:rPr>
                <w:sz w:val="21"/>
              </w:rPr>
            </w:pPr>
            <w:r>
              <w:rPr>
                <w:sz w:val="21"/>
              </w:rPr>
              <w:t>按工程施工阶段投入劳动力情况</w:t>
            </w:r>
          </w:p>
        </w:tc>
      </w:tr>
      <w:tr>
        <w:trPr>
          <w:trHeight w:val="361" w:hRule="atLeast"/>
        </w:trPr>
        <w:tc>
          <w:tcPr>
            <w:tcW w:w="854" w:type="dxa"/>
          </w:tcPr>
          <w:p>
            <w:pPr>
              <w:pStyle w:val="TableParagraph"/>
              <w:rPr>
                <w:rFonts w:ascii="Times New Roman"/>
                <w:sz w:val="20"/>
              </w:rPr>
            </w:pPr>
          </w:p>
        </w:tc>
        <w:tc>
          <w:tcPr>
            <w:tcW w:w="960" w:type="dxa"/>
          </w:tcPr>
          <w:p>
            <w:pPr>
              <w:pStyle w:val="TableParagraph"/>
              <w:rPr>
                <w:rFonts w:ascii="Times New Roman"/>
                <w:sz w:val="20"/>
              </w:rPr>
            </w:pPr>
          </w:p>
        </w:tc>
        <w:tc>
          <w:tcPr>
            <w:tcW w:w="1258" w:type="dxa"/>
          </w:tcPr>
          <w:p>
            <w:pPr>
              <w:pStyle w:val="TableParagraph"/>
              <w:rPr>
                <w:rFonts w:ascii="Times New Roman"/>
                <w:sz w:val="20"/>
              </w:rPr>
            </w:pPr>
          </w:p>
        </w:tc>
        <w:tc>
          <w:tcPr>
            <w:tcW w:w="1257" w:type="dxa"/>
          </w:tcPr>
          <w:p>
            <w:pPr>
              <w:pStyle w:val="TableParagraph"/>
              <w:rPr>
                <w:rFonts w:ascii="Times New Roman"/>
                <w:sz w:val="20"/>
              </w:rPr>
            </w:pPr>
          </w:p>
        </w:tc>
        <w:tc>
          <w:tcPr>
            <w:tcW w:w="1257" w:type="dxa"/>
          </w:tcPr>
          <w:p>
            <w:pPr>
              <w:pStyle w:val="TableParagraph"/>
              <w:rPr>
                <w:rFonts w:ascii="Times New Roman"/>
                <w:sz w:val="20"/>
              </w:rPr>
            </w:pPr>
          </w:p>
        </w:tc>
        <w:tc>
          <w:tcPr>
            <w:tcW w:w="1257" w:type="dxa"/>
          </w:tcPr>
          <w:p>
            <w:pPr>
              <w:pStyle w:val="TableParagraph"/>
              <w:rPr>
                <w:rFonts w:ascii="Times New Roman"/>
                <w:sz w:val="20"/>
              </w:rPr>
            </w:pPr>
          </w:p>
        </w:tc>
        <w:tc>
          <w:tcPr>
            <w:tcW w:w="1258" w:type="dxa"/>
          </w:tcPr>
          <w:p>
            <w:pPr>
              <w:pStyle w:val="TableParagraph"/>
              <w:rPr>
                <w:rFonts w:ascii="Times New Roman"/>
                <w:sz w:val="20"/>
              </w:rPr>
            </w:pPr>
          </w:p>
        </w:tc>
        <w:tc>
          <w:tcPr>
            <w:tcW w:w="1257" w:type="dxa"/>
          </w:tcPr>
          <w:p>
            <w:pPr>
              <w:pStyle w:val="TableParagraph"/>
              <w:rPr>
                <w:rFonts w:ascii="Times New Roman"/>
                <w:sz w:val="20"/>
              </w:rPr>
            </w:pPr>
          </w:p>
        </w:tc>
      </w:tr>
      <w:tr>
        <w:trPr>
          <w:trHeight w:val="362" w:hRule="atLeast"/>
        </w:trPr>
        <w:tc>
          <w:tcPr>
            <w:tcW w:w="854" w:type="dxa"/>
          </w:tcPr>
          <w:p>
            <w:pPr>
              <w:pStyle w:val="TableParagraph"/>
              <w:rPr>
                <w:rFonts w:ascii="Times New Roman"/>
                <w:sz w:val="20"/>
              </w:rPr>
            </w:pPr>
          </w:p>
        </w:tc>
        <w:tc>
          <w:tcPr>
            <w:tcW w:w="960" w:type="dxa"/>
          </w:tcPr>
          <w:p>
            <w:pPr>
              <w:pStyle w:val="TableParagraph"/>
              <w:rPr>
                <w:rFonts w:ascii="Times New Roman"/>
                <w:sz w:val="20"/>
              </w:rPr>
            </w:pPr>
          </w:p>
        </w:tc>
        <w:tc>
          <w:tcPr>
            <w:tcW w:w="1258" w:type="dxa"/>
          </w:tcPr>
          <w:p>
            <w:pPr>
              <w:pStyle w:val="TableParagraph"/>
              <w:rPr>
                <w:rFonts w:ascii="Times New Roman"/>
                <w:sz w:val="20"/>
              </w:rPr>
            </w:pPr>
          </w:p>
        </w:tc>
        <w:tc>
          <w:tcPr>
            <w:tcW w:w="1257" w:type="dxa"/>
          </w:tcPr>
          <w:p>
            <w:pPr>
              <w:pStyle w:val="TableParagraph"/>
              <w:rPr>
                <w:rFonts w:ascii="Times New Roman"/>
                <w:sz w:val="20"/>
              </w:rPr>
            </w:pPr>
          </w:p>
        </w:tc>
        <w:tc>
          <w:tcPr>
            <w:tcW w:w="1257" w:type="dxa"/>
          </w:tcPr>
          <w:p>
            <w:pPr>
              <w:pStyle w:val="TableParagraph"/>
              <w:rPr>
                <w:rFonts w:ascii="Times New Roman"/>
                <w:sz w:val="20"/>
              </w:rPr>
            </w:pPr>
          </w:p>
        </w:tc>
        <w:tc>
          <w:tcPr>
            <w:tcW w:w="1257" w:type="dxa"/>
          </w:tcPr>
          <w:p>
            <w:pPr>
              <w:pStyle w:val="TableParagraph"/>
              <w:rPr>
                <w:rFonts w:ascii="Times New Roman"/>
                <w:sz w:val="20"/>
              </w:rPr>
            </w:pPr>
          </w:p>
        </w:tc>
        <w:tc>
          <w:tcPr>
            <w:tcW w:w="1258" w:type="dxa"/>
          </w:tcPr>
          <w:p>
            <w:pPr>
              <w:pStyle w:val="TableParagraph"/>
              <w:rPr>
                <w:rFonts w:ascii="Times New Roman"/>
                <w:sz w:val="20"/>
              </w:rPr>
            </w:pPr>
          </w:p>
        </w:tc>
        <w:tc>
          <w:tcPr>
            <w:tcW w:w="1257" w:type="dxa"/>
          </w:tcPr>
          <w:p>
            <w:pPr>
              <w:pStyle w:val="TableParagraph"/>
              <w:rPr>
                <w:rFonts w:ascii="Times New Roman"/>
                <w:sz w:val="20"/>
              </w:rPr>
            </w:pPr>
          </w:p>
        </w:tc>
      </w:tr>
      <w:tr>
        <w:trPr>
          <w:trHeight w:val="362" w:hRule="atLeast"/>
        </w:trPr>
        <w:tc>
          <w:tcPr>
            <w:tcW w:w="854" w:type="dxa"/>
          </w:tcPr>
          <w:p>
            <w:pPr>
              <w:pStyle w:val="TableParagraph"/>
              <w:rPr>
                <w:rFonts w:ascii="Times New Roman"/>
                <w:sz w:val="20"/>
              </w:rPr>
            </w:pPr>
          </w:p>
        </w:tc>
        <w:tc>
          <w:tcPr>
            <w:tcW w:w="960" w:type="dxa"/>
          </w:tcPr>
          <w:p>
            <w:pPr>
              <w:pStyle w:val="TableParagraph"/>
              <w:rPr>
                <w:rFonts w:ascii="Times New Roman"/>
                <w:sz w:val="20"/>
              </w:rPr>
            </w:pPr>
          </w:p>
        </w:tc>
        <w:tc>
          <w:tcPr>
            <w:tcW w:w="1258" w:type="dxa"/>
          </w:tcPr>
          <w:p>
            <w:pPr>
              <w:pStyle w:val="TableParagraph"/>
              <w:rPr>
                <w:rFonts w:ascii="Times New Roman"/>
                <w:sz w:val="20"/>
              </w:rPr>
            </w:pPr>
          </w:p>
        </w:tc>
        <w:tc>
          <w:tcPr>
            <w:tcW w:w="1257" w:type="dxa"/>
          </w:tcPr>
          <w:p>
            <w:pPr>
              <w:pStyle w:val="TableParagraph"/>
              <w:rPr>
                <w:rFonts w:ascii="Times New Roman"/>
                <w:sz w:val="20"/>
              </w:rPr>
            </w:pPr>
          </w:p>
        </w:tc>
        <w:tc>
          <w:tcPr>
            <w:tcW w:w="1257" w:type="dxa"/>
          </w:tcPr>
          <w:p>
            <w:pPr>
              <w:pStyle w:val="TableParagraph"/>
              <w:rPr>
                <w:rFonts w:ascii="Times New Roman"/>
                <w:sz w:val="20"/>
              </w:rPr>
            </w:pPr>
          </w:p>
        </w:tc>
        <w:tc>
          <w:tcPr>
            <w:tcW w:w="1257" w:type="dxa"/>
          </w:tcPr>
          <w:p>
            <w:pPr>
              <w:pStyle w:val="TableParagraph"/>
              <w:rPr>
                <w:rFonts w:ascii="Times New Roman"/>
                <w:sz w:val="20"/>
              </w:rPr>
            </w:pPr>
          </w:p>
        </w:tc>
        <w:tc>
          <w:tcPr>
            <w:tcW w:w="1258" w:type="dxa"/>
          </w:tcPr>
          <w:p>
            <w:pPr>
              <w:pStyle w:val="TableParagraph"/>
              <w:rPr>
                <w:rFonts w:ascii="Times New Roman"/>
                <w:sz w:val="20"/>
              </w:rPr>
            </w:pPr>
          </w:p>
        </w:tc>
        <w:tc>
          <w:tcPr>
            <w:tcW w:w="1257" w:type="dxa"/>
          </w:tcPr>
          <w:p>
            <w:pPr>
              <w:pStyle w:val="TableParagraph"/>
              <w:rPr>
                <w:rFonts w:ascii="Times New Roman"/>
                <w:sz w:val="20"/>
              </w:rPr>
            </w:pPr>
          </w:p>
        </w:tc>
      </w:tr>
      <w:tr>
        <w:trPr>
          <w:trHeight w:val="362" w:hRule="atLeast"/>
        </w:trPr>
        <w:tc>
          <w:tcPr>
            <w:tcW w:w="854" w:type="dxa"/>
          </w:tcPr>
          <w:p>
            <w:pPr>
              <w:pStyle w:val="TableParagraph"/>
              <w:rPr>
                <w:rFonts w:ascii="Times New Roman"/>
                <w:sz w:val="20"/>
              </w:rPr>
            </w:pPr>
          </w:p>
        </w:tc>
        <w:tc>
          <w:tcPr>
            <w:tcW w:w="960" w:type="dxa"/>
          </w:tcPr>
          <w:p>
            <w:pPr>
              <w:pStyle w:val="TableParagraph"/>
              <w:rPr>
                <w:rFonts w:ascii="Times New Roman"/>
                <w:sz w:val="20"/>
              </w:rPr>
            </w:pPr>
          </w:p>
        </w:tc>
        <w:tc>
          <w:tcPr>
            <w:tcW w:w="1258" w:type="dxa"/>
          </w:tcPr>
          <w:p>
            <w:pPr>
              <w:pStyle w:val="TableParagraph"/>
              <w:rPr>
                <w:rFonts w:ascii="Times New Roman"/>
                <w:sz w:val="20"/>
              </w:rPr>
            </w:pPr>
          </w:p>
        </w:tc>
        <w:tc>
          <w:tcPr>
            <w:tcW w:w="1257" w:type="dxa"/>
          </w:tcPr>
          <w:p>
            <w:pPr>
              <w:pStyle w:val="TableParagraph"/>
              <w:rPr>
                <w:rFonts w:ascii="Times New Roman"/>
                <w:sz w:val="20"/>
              </w:rPr>
            </w:pPr>
          </w:p>
        </w:tc>
        <w:tc>
          <w:tcPr>
            <w:tcW w:w="1257" w:type="dxa"/>
          </w:tcPr>
          <w:p>
            <w:pPr>
              <w:pStyle w:val="TableParagraph"/>
              <w:rPr>
                <w:rFonts w:ascii="Times New Roman"/>
                <w:sz w:val="20"/>
              </w:rPr>
            </w:pPr>
          </w:p>
        </w:tc>
        <w:tc>
          <w:tcPr>
            <w:tcW w:w="1257" w:type="dxa"/>
          </w:tcPr>
          <w:p>
            <w:pPr>
              <w:pStyle w:val="TableParagraph"/>
              <w:rPr>
                <w:rFonts w:ascii="Times New Roman"/>
                <w:sz w:val="20"/>
              </w:rPr>
            </w:pPr>
          </w:p>
        </w:tc>
        <w:tc>
          <w:tcPr>
            <w:tcW w:w="1258" w:type="dxa"/>
          </w:tcPr>
          <w:p>
            <w:pPr>
              <w:pStyle w:val="TableParagraph"/>
              <w:rPr>
                <w:rFonts w:ascii="Times New Roman"/>
                <w:sz w:val="20"/>
              </w:rPr>
            </w:pPr>
          </w:p>
        </w:tc>
        <w:tc>
          <w:tcPr>
            <w:tcW w:w="1257" w:type="dxa"/>
          </w:tcPr>
          <w:p>
            <w:pPr>
              <w:pStyle w:val="TableParagraph"/>
              <w:rPr>
                <w:rFonts w:ascii="Times New Roman"/>
                <w:sz w:val="20"/>
              </w:rPr>
            </w:pPr>
          </w:p>
        </w:tc>
      </w:tr>
      <w:tr>
        <w:trPr>
          <w:trHeight w:val="361" w:hRule="atLeast"/>
        </w:trPr>
        <w:tc>
          <w:tcPr>
            <w:tcW w:w="854" w:type="dxa"/>
          </w:tcPr>
          <w:p>
            <w:pPr>
              <w:pStyle w:val="TableParagraph"/>
              <w:rPr>
                <w:rFonts w:ascii="Times New Roman"/>
                <w:sz w:val="20"/>
              </w:rPr>
            </w:pPr>
          </w:p>
        </w:tc>
        <w:tc>
          <w:tcPr>
            <w:tcW w:w="960" w:type="dxa"/>
          </w:tcPr>
          <w:p>
            <w:pPr>
              <w:pStyle w:val="TableParagraph"/>
              <w:rPr>
                <w:rFonts w:ascii="Times New Roman"/>
                <w:sz w:val="20"/>
              </w:rPr>
            </w:pPr>
          </w:p>
        </w:tc>
        <w:tc>
          <w:tcPr>
            <w:tcW w:w="1258" w:type="dxa"/>
          </w:tcPr>
          <w:p>
            <w:pPr>
              <w:pStyle w:val="TableParagraph"/>
              <w:rPr>
                <w:rFonts w:ascii="Times New Roman"/>
                <w:sz w:val="20"/>
              </w:rPr>
            </w:pPr>
          </w:p>
        </w:tc>
        <w:tc>
          <w:tcPr>
            <w:tcW w:w="1257" w:type="dxa"/>
          </w:tcPr>
          <w:p>
            <w:pPr>
              <w:pStyle w:val="TableParagraph"/>
              <w:rPr>
                <w:rFonts w:ascii="Times New Roman"/>
                <w:sz w:val="20"/>
              </w:rPr>
            </w:pPr>
          </w:p>
        </w:tc>
        <w:tc>
          <w:tcPr>
            <w:tcW w:w="1257" w:type="dxa"/>
          </w:tcPr>
          <w:p>
            <w:pPr>
              <w:pStyle w:val="TableParagraph"/>
              <w:rPr>
                <w:rFonts w:ascii="Times New Roman"/>
                <w:sz w:val="20"/>
              </w:rPr>
            </w:pPr>
          </w:p>
        </w:tc>
        <w:tc>
          <w:tcPr>
            <w:tcW w:w="1257" w:type="dxa"/>
          </w:tcPr>
          <w:p>
            <w:pPr>
              <w:pStyle w:val="TableParagraph"/>
              <w:rPr>
                <w:rFonts w:ascii="Times New Roman"/>
                <w:sz w:val="20"/>
              </w:rPr>
            </w:pPr>
          </w:p>
        </w:tc>
        <w:tc>
          <w:tcPr>
            <w:tcW w:w="1258" w:type="dxa"/>
          </w:tcPr>
          <w:p>
            <w:pPr>
              <w:pStyle w:val="TableParagraph"/>
              <w:rPr>
                <w:rFonts w:ascii="Times New Roman"/>
                <w:sz w:val="20"/>
              </w:rPr>
            </w:pPr>
          </w:p>
        </w:tc>
        <w:tc>
          <w:tcPr>
            <w:tcW w:w="1257" w:type="dxa"/>
          </w:tcPr>
          <w:p>
            <w:pPr>
              <w:pStyle w:val="TableParagraph"/>
              <w:rPr>
                <w:rFonts w:ascii="Times New Roman"/>
                <w:sz w:val="20"/>
              </w:rPr>
            </w:pPr>
          </w:p>
        </w:tc>
      </w:tr>
      <w:tr>
        <w:trPr>
          <w:trHeight w:val="361" w:hRule="atLeast"/>
        </w:trPr>
        <w:tc>
          <w:tcPr>
            <w:tcW w:w="854" w:type="dxa"/>
          </w:tcPr>
          <w:p>
            <w:pPr>
              <w:pStyle w:val="TableParagraph"/>
              <w:rPr>
                <w:rFonts w:ascii="Times New Roman"/>
                <w:sz w:val="20"/>
              </w:rPr>
            </w:pPr>
          </w:p>
        </w:tc>
        <w:tc>
          <w:tcPr>
            <w:tcW w:w="960" w:type="dxa"/>
          </w:tcPr>
          <w:p>
            <w:pPr>
              <w:pStyle w:val="TableParagraph"/>
              <w:rPr>
                <w:rFonts w:ascii="Times New Roman"/>
                <w:sz w:val="20"/>
              </w:rPr>
            </w:pPr>
          </w:p>
        </w:tc>
        <w:tc>
          <w:tcPr>
            <w:tcW w:w="1258" w:type="dxa"/>
          </w:tcPr>
          <w:p>
            <w:pPr>
              <w:pStyle w:val="TableParagraph"/>
              <w:rPr>
                <w:rFonts w:ascii="Times New Roman"/>
                <w:sz w:val="20"/>
              </w:rPr>
            </w:pPr>
          </w:p>
        </w:tc>
        <w:tc>
          <w:tcPr>
            <w:tcW w:w="1257" w:type="dxa"/>
          </w:tcPr>
          <w:p>
            <w:pPr>
              <w:pStyle w:val="TableParagraph"/>
              <w:rPr>
                <w:rFonts w:ascii="Times New Roman"/>
                <w:sz w:val="20"/>
              </w:rPr>
            </w:pPr>
          </w:p>
        </w:tc>
        <w:tc>
          <w:tcPr>
            <w:tcW w:w="1257" w:type="dxa"/>
          </w:tcPr>
          <w:p>
            <w:pPr>
              <w:pStyle w:val="TableParagraph"/>
              <w:rPr>
                <w:rFonts w:ascii="Times New Roman"/>
                <w:sz w:val="20"/>
              </w:rPr>
            </w:pPr>
          </w:p>
        </w:tc>
        <w:tc>
          <w:tcPr>
            <w:tcW w:w="1257" w:type="dxa"/>
          </w:tcPr>
          <w:p>
            <w:pPr>
              <w:pStyle w:val="TableParagraph"/>
              <w:rPr>
                <w:rFonts w:ascii="Times New Roman"/>
                <w:sz w:val="20"/>
              </w:rPr>
            </w:pPr>
          </w:p>
        </w:tc>
        <w:tc>
          <w:tcPr>
            <w:tcW w:w="1258" w:type="dxa"/>
          </w:tcPr>
          <w:p>
            <w:pPr>
              <w:pStyle w:val="TableParagraph"/>
              <w:rPr>
                <w:rFonts w:ascii="Times New Roman"/>
                <w:sz w:val="20"/>
              </w:rPr>
            </w:pPr>
          </w:p>
        </w:tc>
        <w:tc>
          <w:tcPr>
            <w:tcW w:w="1257" w:type="dxa"/>
          </w:tcPr>
          <w:p>
            <w:pPr>
              <w:pStyle w:val="TableParagraph"/>
              <w:rPr>
                <w:rFonts w:ascii="Times New Roman"/>
                <w:sz w:val="20"/>
              </w:rPr>
            </w:pPr>
          </w:p>
        </w:tc>
      </w:tr>
      <w:tr>
        <w:trPr>
          <w:trHeight w:val="364" w:hRule="atLeast"/>
        </w:trPr>
        <w:tc>
          <w:tcPr>
            <w:tcW w:w="854" w:type="dxa"/>
          </w:tcPr>
          <w:p>
            <w:pPr>
              <w:pStyle w:val="TableParagraph"/>
              <w:rPr>
                <w:rFonts w:ascii="Times New Roman"/>
                <w:sz w:val="20"/>
              </w:rPr>
            </w:pPr>
          </w:p>
        </w:tc>
        <w:tc>
          <w:tcPr>
            <w:tcW w:w="960" w:type="dxa"/>
          </w:tcPr>
          <w:p>
            <w:pPr>
              <w:pStyle w:val="TableParagraph"/>
              <w:rPr>
                <w:rFonts w:ascii="Times New Roman"/>
                <w:sz w:val="20"/>
              </w:rPr>
            </w:pPr>
          </w:p>
        </w:tc>
        <w:tc>
          <w:tcPr>
            <w:tcW w:w="1258" w:type="dxa"/>
          </w:tcPr>
          <w:p>
            <w:pPr>
              <w:pStyle w:val="TableParagraph"/>
              <w:rPr>
                <w:rFonts w:ascii="Times New Roman"/>
                <w:sz w:val="20"/>
              </w:rPr>
            </w:pPr>
          </w:p>
        </w:tc>
        <w:tc>
          <w:tcPr>
            <w:tcW w:w="1257" w:type="dxa"/>
          </w:tcPr>
          <w:p>
            <w:pPr>
              <w:pStyle w:val="TableParagraph"/>
              <w:rPr>
                <w:rFonts w:ascii="Times New Roman"/>
                <w:sz w:val="20"/>
              </w:rPr>
            </w:pPr>
          </w:p>
        </w:tc>
        <w:tc>
          <w:tcPr>
            <w:tcW w:w="1257" w:type="dxa"/>
          </w:tcPr>
          <w:p>
            <w:pPr>
              <w:pStyle w:val="TableParagraph"/>
              <w:rPr>
                <w:rFonts w:ascii="Times New Roman"/>
                <w:sz w:val="20"/>
              </w:rPr>
            </w:pPr>
          </w:p>
        </w:tc>
        <w:tc>
          <w:tcPr>
            <w:tcW w:w="1257" w:type="dxa"/>
          </w:tcPr>
          <w:p>
            <w:pPr>
              <w:pStyle w:val="TableParagraph"/>
              <w:rPr>
                <w:rFonts w:ascii="Times New Roman"/>
                <w:sz w:val="20"/>
              </w:rPr>
            </w:pPr>
          </w:p>
        </w:tc>
        <w:tc>
          <w:tcPr>
            <w:tcW w:w="1258" w:type="dxa"/>
          </w:tcPr>
          <w:p>
            <w:pPr>
              <w:pStyle w:val="TableParagraph"/>
              <w:rPr>
                <w:rFonts w:ascii="Times New Roman"/>
                <w:sz w:val="20"/>
              </w:rPr>
            </w:pPr>
          </w:p>
        </w:tc>
        <w:tc>
          <w:tcPr>
            <w:tcW w:w="1257" w:type="dxa"/>
          </w:tcPr>
          <w:p>
            <w:pPr>
              <w:pStyle w:val="TableParagraph"/>
              <w:rPr>
                <w:rFonts w:ascii="Times New Roman"/>
                <w:sz w:val="20"/>
              </w:rPr>
            </w:pPr>
          </w:p>
        </w:tc>
      </w:tr>
    </w:tbl>
    <w:p>
      <w:pPr>
        <w:pStyle w:val="BodyText"/>
        <w:ind w:left="0"/>
        <w:rPr>
          <w:sz w:val="20"/>
        </w:rPr>
      </w:pPr>
    </w:p>
    <w:p>
      <w:pPr>
        <w:pStyle w:val="BodyText"/>
        <w:spacing w:before="9"/>
        <w:ind w:left="0"/>
        <w:rPr>
          <w:sz w:val="17"/>
        </w:rPr>
      </w:pPr>
    </w:p>
    <w:p>
      <w:pPr>
        <w:pStyle w:val="BodyText"/>
      </w:pPr>
      <w:r>
        <w:rPr>
          <w:spacing w:val="-3"/>
        </w:rPr>
        <w:t>附表四：计划开、竣工日期和施工进度计划（网络图或横道图</w:t>
      </w:r>
      <w:r>
        <w:rPr/>
        <w:t>）</w:t>
      </w:r>
    </w:p>
    <w:p>
      <w:pPr>
        <w:pStyle w:val="ListParagraph"/>
        <w:numPr>
          <w:ilvl w:val="0"/>
          <w:numId w:val="142"/>
        </w:numPr>
        <w:tabs>
          <w:tab w:pos="1355" w:val="left" w:leader="none"/>
        </w:tabs>
        <w:spacing w:line="410" w:lineRule="auto" w:before="158" w:after="0"/>
        <w:ind w:left="670" w:right="1154" w:firstLine="419"/>
        <w:jc w:val="left"/>
        <w:rPr>
          <w:sz w:val="21"/>
        </w:rPr>
      </w:pPr>
      <w:r>
        <w:rPr>
          <w:spacing w:val="-3"/>
          <w:sz w:val="21"/>
        </w:rPr>
        <w:t>投标人应提交施工进度计划，说明按招标文件要求的工期进行施工的各个关键日期。中标的投标人还应按合同条件有关条款的要求提交详细的施工进度计划。</w:t>
      </w:r>
    </w:p>
    <w:p>
      <w:pPr>
        <w:pStyle w:val="ListParagraph"/>
        <w:numPr>
          <w:ilvl w:val="0"/>
          <w:numId w:val="142"/>
        </w:numPr>
        <w:tabs>
          <w:tab w:pos="1355" w:val="left" w:leader="none"/>
        </w:tabs>
        <w:spacing w:line="240" w:lineRule="auto" w:before="2" w:after="0"/>
        <w:ind w:left="1354" w:right="0" w:hanging="265"/>
        <w:jc w:val="left"/>
        <w:rPr>
          <w:sz w:val="21"/>
        </w:rPr>
      </w:pPr>
      <w:r>
        <w:rPr>
          <w:spacing w:val="-3"/>
          <w:sz w:val="21"/>
        </w:rPr>
        <w:t>施工进度计划可采用网络图</w:t>
      </w:r>
      <w:r>
        <w:rPr>
          <w:sz w:val="21"/>
        </w:rPr>
        <w:t>（</w:t>
      </w:r>
      <w:r>
        <w:rPr>
          <w:spacing w:val="-3"/>
          <w:sz w:val="21"/>
        </w:rPr>
        <w:t>或横道图</w:t>
      </w:r>
      <w:r>
        <w:rPr>
          <w:sz w:val="21"/>
        </w:rPr>
        <w:t>）</w:t>
      </w:r>
      <w:r>
        <w:rPr>
          <w:spacing w:val="-3"/>
          <w:sz w:val="21"/>
        </w:rPr>
        <w:t>表示，说明计划开工日期和各分项工程各阶段</w:t>
      </w:r>
    </w:p>
    <w:p>
      <w:pPr>
        <w:spacing w:after="0" w:line="240" w:lineRule="auto"/>
        <w:jc w:val="left"/>
        <w:rPr>
          <w:sz w:val="21"/>
        </w:rPr>
        <w:sectPr>
          <w:pgSz w:w="11910" w:h="16850"/>
          <w:pgMar w:header="0" w:footer="779" w:top="1600" w:bottom="1040" w:left="1120" w:right="280"/>
        </w:sectPr>
      </w:pPr>
    </w:p>
    <w:p>
      <w:pPr>
        <w:pStyle w:val="BodyText"/>
        <w:spacing w:before="57"/>
        <w:ind w:left="670"/>
      </w:pPr>
      <w:r>
        <w:rPr/>
        <w:t>的完工日期和分包合同签订的日期。</w:t>
      </w:r>
    </w:p>
    <w:p>
      <w:pPr>
        <w:pStyle w:val="BodyText"/>
        <w:spacing w:before="12"/>
        <w:ind w:left="0"/>
        <w:rPr>
          <w:sz w:val="14"/>
        </w:rPr>
      </w:pPr>
    </w:p>
    <w:p>
      <w:pPr>
        <w:pStyle w:val="ListParagraph"/>
        <w:numPr>
          <w:ilvl w:val="0"/>
          <w:numId w:val="142"/>
        </w:numPr>
        <w:tabs>
          <w:tab w:pos="1355" w:val="left" w:leader="none"/>
        </w:tabs>
        <w:spacing w:line="240" w:lineRule="auto" w:before="0" w:after="0"/>
        <w:ind w:left="1354" w:right="0" w:hanging="265"/>
        <w:jc w:val="left"/>
        <w:rPr>
          <w:sz w:val="21"/>
        </w:rPr>
      </w:pPr>
      <w:r>
        <w:rPr>
          <w:spacing w:val="-3"/>
          <w:sz w:val="21"/>
        </w:rPr>
        <w:t>施工进度计划应与施工组织设计相适应。</w:t>
      </w:r>
    </w:p>
    <w:p>
      <w:pPr>
        <w:pStyle w:val="BodyText"/>
        <w:ind w:left="0"/>
        <w:rPr>
          <w:sz w:val="22"/>
        </w:rPr>
      </w:pPr>
    </w:p>
    <w:p>
      <w:pPr>
        <w:pStyle w:val="BodyText"/>
        <w:spacing w:before="10"/>
        <w:ind w:left="0"/>
        <w:rPr>
          <w:sz w:val="27"/>
        </w:rPr>
      </w:pPr>
    </w:p>
    <w:p>
      <w:pPr>
        <w:pStyle w:val="BodyText"/>
      </w:pPr>
      <w:r>
        <w:rPr/>
        <w:t>附表五：施工总平面图</w:t>
      </w:r>
    </w:p>
    <w:p>
      <w:pPr>
        <w:pStyle w:val="BodyText"/>
        <w:spacing w:line="410" w:lineRule="auto" w:before="158"/>
        <w:ind w:right="1154" w:firstLine="419"/>
        <w:jc w:val="both"/>
      </w:pPr>
      <w:r>
        <w:rPr/>
        <w:t>投标人应递交一份施工总平面图，绘出现场临时设施布置图表并附文字说明，说明临时设施、加工车间、现场办公、设备及仓储、供电、供水、卫生、生活、道路、消防等设施的情况和布置。</w:t>
      </w:r>
    </w:p>
    <w:p>
      <w:pPr>
        <w:pStyle w:val="BodyText"/>
        <w:spacing w:before="9"/>
        <w:ind w:left="0"/>
        <w:rPr>
          <w:sz w:val="25"/>
        </w:rPr>
      </w:pPr>
    </w:p>
    <w:p>
      <w:pPr>
        <w:pStyle w:val="BodyText"/>
      </w:pPr>
      <w:r>
        <w:rPr/>
        <w:t>附表六：临时用地表</w:t>
      </w:r>
    </w:p>
    <w:tbl>
      <w:tblPr>
        <w:tblW w:w="0" w:type="auto"/>
        <w:jc w:val="left"/>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57"/>
        <w:gridCol w:w="2357"/>
        <w:gridCol w:w="2357"/>
        <w:gridCol w:w="2357"/>
      </w:tblGrid>
      <w:tr>
        <w:trPr>
          <w:trHeight w:val="614" w:hRule="atLeast"/>
        </w:trPr>
        <w:tc>
          <w:tcPr>
            <w:tcW w:w="2357" w:type="dxa"/>
            <w:tcBorders>
              <w:right w:val="single" w:sz="6" w:space="0" w:color="000000"/>
            </w:tcBorders>
          </w:tcPr>
          <w:p>
            <w:pPr>
              <w:pStyle w:val="TableParagraph"/>
              <w:spacing w:before="171"/>
              <w:ind w:left="947" w:right="936"/>
              <w:jc w:val="center"/>
              <w:rPr>
                <w:sz w:val="21"/>
              </w:rPr>
            </w:pPr>
            <w:r>
              <w:rPr>
                <w:sz w:val="21"/>
              </w:rPr>
              <w:t>用途</w:t>
            </w:r>
          </w:p>
        </w:tc>
        <w:tc>
          <w:tcPr>
            <w:tcW w:w="2357" w:type="dxa"/>
            <w:tcBorders>
              <w:left w:val="single" w:sz="6" w:space="0" w:color="000000"/>
            </w:tcBorders>
          </w:tcPr>
          <w:p>
            <w:pPr>
              <w:pStyle w:val="TableParagraph"/>
              <w:spacing w:before="171"/>
              <w:ind w:left="439"/>
              <w:rPr>
                <w:sz w:val="21"/>
              </w:rPr>
            </w:pPr>
            <w:r>
              <w:rPr>
                <w:sz w:val="21"/>
              </w:rPr>
              <w:t>面积（平方米）</w:t>
            </w:r>
          </w:p>
        </w:tc>
        <w:tc>
          <w:tcPr>
            <w:tcW w:w="2357" w:type="dxa"/>
          </w:tcPr>
          <w:p>
            <w:pPr>
              <w:pStyle w:val="TableParagraph"/>
              <w:spacing w:before="171"/>
              <w:ind w:left="948" w:right="938"/>
              <w:jc w:val="center"/>
              <w:rPr>
                <w:sz w:val="21"/>
              </w:rPr>
            </w:pPr>
            <w:r>
              <w:rPr>
                <w:sz w:val="21"/>
              </w:rPr>
              <w:t>位置</w:t>
            </w:r>
          </w:p>
        </w:tc>
        <w:tc>
          <w:tcPr>
            <w:tcW w:w="2357" w:type="dxa"/>
          </w:tcPr>
          <w:p>
            <w:pPr>
              <w:pStyle w:val="TableParagraph"/>
              <w:spacing w:before="171"/>
              <w:ind w:left="759"/>
              <w:rPr>
                <w:sz w:val="21"/>
              </w:rPr>
            </w:pPr>
            <w:r>
              <w:rPr>
                <w:sz w:val="21"/>
              </w:rPr>
              <w:t>需用时间</w:t>
            </w:r>
          </w:p>
        </w:tc>
      </w:tr>
      <w:tr>
        <w:trPr>
          <w:trHeight w:val="513" w:hRule="atLeast"/>
        </w:trPr>
        <w:tc>
          <w:tcPr>
            <w:tcW w:w="2357" w:type="dxa"/>
            <w:tcBorders>
              <w:right w:val="single" w:sz="6" w:space="0" w:color="000000"/>
            </w:tcBorders>
          </w:tcPr>
          <w:p>
            <w:pPr>
              <w:pStyle w:val="TableParagraph"/>
              <w:rPr>
                <w:rFonts w:ascii="Times New Roman"/>
                <w:sz w:val="20"/>
              </w:rPr>
            </w:pPr>
          </w:p>
        </w:tc>
        <w:tc>
          <w:tcPr>
            <w:tcW w:w="2357" w:type="dxa"/>
            <w:tcBorders>
              <w:left w:val="single" w:sz="6" w:space="0" w:color="000000"/>
            </w:tcBorders>
          </w:tcPr>
          <w:p>
            <w:pPr>
              <w:pStyle w:val="TableParagraph"/>
              <w:rPr>
                <w:rFonts w:ascii="Times New Roman"/>
                <w:sz w:val="20"/>
              </w:rPr>
            </w:pPr>
          </w:p>
        </w:tc>
        <w:tc>
          <w:tcPr>
            <w:tcW w:w="2357" w:type="dxa"/>
          </w:tcPr>
          <w:p>
            <w:pPr>
              <w:pStyle w:val="TableParagraph"/>
              <w:rPr>
                <w:rFonts w:ascii="Times New Roman"/>
                <w:sz w:val="20"/>
              </w:rPr>
            </w:pPr>
          </w:p>
        </w:tc>
        <w:tc>
          <w:tcPr>
            <w:tcW w:w="2357" w:type="dxa"/>
          </w:tcPr>
          <w:p>
            <w:pPr>
              <w:pStyle w:val="TableParagraph"/>
              <w:rPr>
                <w:rFonts w:ascii="Times New Roman"/>
                <w:sz w:val="20"/>
              </w:rPr>
            </w:pPr>
          </w:p>
        </w:tc>
      </w:tr>
      <w:tr>
        <w:trPr>
          <w:trHeight w:val="510" w:hRule="atLeast"/>
        </w:trPr>
        <w:tc>
          <w:tcPr>
            <w:tcW w:w="2357" w:type="dxa"/>
            <w:tcBorders>
              <w:right w:val="single" w:sz="6" w:space="0" w:color="000000"/>
            </w:tcBorders>
          </w:tcPr>
          <w:p>
            <w:pPr>
              <w:pStyle w:val="TableParagraph"/>
              <w:rPr>
                <w:rFonts w:ascii="Times New Roman"/>
                <w:sz w:val="20"/>
              </w:rPr>
            </w:pPr>
          </w:p>
        </w:tc>
        <w:tc>
          <w:tcPr>
            <w:tcW w:w="2357" w:type="dxa"/>
            <w:tcBorders>
              <w:left w:val="single" w:sz="6" w:space="0" w:color="000000"/>
            </w:tcBorders>
          </w:tcPr>
          <w:p>
            <w:pPr>
              <w:pStyle w:val="TableParagraph"/>
              <w:rPr>
                <w:rFonts w:ascii="Times New Roman"/>
                <w:sz w:val="20"/>
              </w:rPr>
            </w:pPr>
          </w:p>
        </w:tc>
        <w:tc>
          <w:tcPr>
            <w:tcW w:w="2357" w:type="dxa"/>
          </w:tcPr>
          <w:p>
            <w:pPr>
              <w:pStyle w:val="TableParagraph"/>
              <w:rPr>
                <w:rFonts w:ascii="Times New Roman"/>
                <w:sz w:val="20"/>
              </w:rPr>
            </w:pPr>
          </w:p>
        </w:tc>
        <w:tc>
          <w:tcPr>
            <w:tcW w:w="2357" w:type="dxa"/>
          </w:tcPr>
          <w:p>
            <w:pPr>
              <w:pStyle w:val="TableParagraph"/>
              <w:rPr>
                <w:rFonts w:ascii="Times New Roman"/>
                <w:sz w:val="20"/>
              </w:rPr>
            </w:pPr>
          </w:p>
        </w:tc>
      </w:tr>
      <w:tr>
        <w:trPr>
          <w:trHeight w:val="515" w:hRule="atLeast"/>
        </w:trPr>
        <w:tc>
          <w:tcPr>
            <w:tcW w:w="2357" w:type="dxa"/>
            <w:tcBorders>
              <w:right w:val="single" w:sz="6" w:space="0" w:color="000000"/>
            </w:tcBorders>
          </w:tcPr>
          <w:p>
            <w:pPr>
              <w:pStyle w:val="TableParagraph"/>
              <w:rPr>
                <w:rFonts w:ascii="Times New Roman"/>
                <w:sz w:val="20"/>
              </w:rPr>
            </w:pPr>
          </w:p>
        </w:tc>
        <w:tc>
          <w:tcPr>
            <w:tcW w:w="2357" w:type="dxa"/>
            <w:tcBorders>
              <w:left w:val="single" w:sz="6" w:space="0" w:color="000000"/>
            </w:tcBorders>
          </w:tcPr>
          <w:p>
            <w:pPr>
              <w:pStyle w:val="TableParagraph"/>
              <w:rPr>
                <w:rFonts w:ascii="Times New Roman"/>
                <w:sz w:val="20"/>
              </w:rPr>
            </w:pPr>
          </w:p>
        </w:tc>
        <w:tc>
          <w:tcPr>
            <w:tcW w:w="2357" w:type="dxa"/>
          </w:tcPr>
          <w:p>
            <w:pPr>
              <w:pStyle w:val="TableParagraph"/>
              <w:rPr>
                <w:rFonts w:ascii="Times New Roman"/>
                <w:sz w:val="20"/>
              </w:rPr>
            </w:pPr>
          </w:p>
        </w:tc>
        <w:tc>
          <w:tcPr>
            <w:tcW w:w="2357" w:type="dxa"/>
          </w:tcPr>
          <w:p>
            <w:pPr>
              <w:pStyle w:val="TableParagraph"/>
              <w:rPr>
                <w:rFonts w:ascii="Times New Roman"/>
                <w:sz w:val="20"/>
              </w:rPr>
            </w:pPr>
          </w:p>
        </w:tc>
      </w:tr>
      <w:tr>
        <w:trPr>
          <w:trHeight w:val="513" w:hRule="atLeast"/>
        </w:trPr>
        <w:tc>
          <w:tcPr>
            <w:tcW w:w="2357" w:type="dxa"/>
            <w:tcBorders>
              <w:right w:val="single" w:sz="6" w:space="0" w:color="000000"/>
            </w:tcBorders>
          </w:tcPr>
          <w:p>
            <w:pPr>
              <w:pStyle w:val="TableParagraph"/>
              <w:rPr>
                <w:rFonts w:ascii="Times New Roman"/>
                <w:sz w:val="20"/>
              </w:rPr>
            </w:pPr>
          </w:p>
        </w:tc>
        <w:tc>
          <w:tcPr>
            <w:tcW w:w="2357" w:type="dxa"/>
            <w:tcBorders>
              <w:left w:val="single" w:sz="6" w:space="0" w:color="000000"/>
            </w:tcBorders>
          </w:tcPr>
          <w:p>
            <w:pPr>
              <w:pStyle w:val="TableParagraph"/>
              <w:rPr>
                <w:rFonts w:ascii="Times New Roman"/>
                <w:sz w:val="20"/>
              </w:rPr>
            </w:pPr>
          </w:p>
        </w:tc>
        <w:tc>
          <w:tcPr>
            <w:tcW w:w="2357" w:type="dxa"/>
          </w:tcPr>
          <w:p>
            <w:pPr>
              <w:pStyle w:val="TableParagraph"/>
              <w:rPr>
                <w:rFonts w:ascii="Times New Roman"/>
                <w:sz w:val="20"/>
              </w:rPr>
            </w:pPr>
          </w:p>
        </w:tc>
        <w:tc>
          <w:tcPr>
            <w:tcW w:w="2357" w:type="dxa"/>
          </w:tcPr>
          <w:p>
            <w:pPr>
              <w:pStyle w:val="TableParagraph"/>
              <w:rPr>
                <w:rFonts w:ascii="Times New Roman"/>
                <w:sz w:val="20"/>
              </w:rPr>
            </w:pPr>
          </w:p>
        </w:tc>
      </w:tr>
    </w:tbl>
    <w:p>
      <w:pPr>
        <w:pStyle w:val="BodyText"/>
        <w:ind w:left="0"/>
        <w:rPr>
          <w:sz w:val="20"/>
        </w:rPr>
      </w:pPr>
    </w:p>
    <w:p>
      <w:pPr>
        <w:pStyle w:val="BodyText"/>
        <w:spacing w:before="6"/>
        <w:ind w:left="0"/>
        <w:rPr>
          <w:sz w:val="28"/>
        </w:rPr>
      </w:pPr>
    </w:p>
    <w:p>
      <w:pPr>
        <w:pStyle w:val="Heading2"/>
        <w:ind w:left="297" w:right="776"/>
        <w:jc w:val="center"/>
      </w:pPr>
      <w:bookmarkStart w:name="二、拟分包计划表" w:id="517"/>
      <w:bookmarkEnd w:id="517"/>
      <w:r>
        <w:rPr>
          <w:b w:val="0"/>
        </w:rPr>
      </w:r>
      <w:bookmarkStart w:name="_bookmark122" w:id="518"/>
      <w:bookmarkEnd w:id="518"/>
      <w:r>
        <w:rPr>
          <w:b w:val="0"/>
        </w:rPr>
      </w:r>
      <w:r>
        <w:rPr/>
        <w:t>二、拟分包计划表</w:t>
      </w:r>
    </w:p>
    <w:p>
      <w:pPr>
        <w:pStyle w:val="BodyText"/>
        <w:spacing w:before="17"/>
        <w:ind w:left="0"/>
        <w:rPr>
          <w:rFonts w:ascii="Microsoft JhengHei"/>
          <w:b/>
          <w:sz w:val="24"/>
        </w:rPr>
      </w:pPr>
    </w:p>
    <w:tbl>
      <w:tblPr>
        <w:tblW w:w="0" w:type="auto"/>
        <w:jc w:val="left"/>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1844"/>
        <w:gridCol w:w="751"/>
        <w:gridCol w:w="948"/>
        <w:gridCol w:w="1124"/>
        <w:gridCol w:w="1090"/>
        <w:gridCol w:w="1199"/>
        <w:gridCol w:w="1270"/>
      </w:tblGrid>
      <w:tr>
        <w:trPr>
          <w:trHeight w:val="455" w:hRule="atLeast"/>
        </w:trPr>
        <w:tc>
          <w:tcPr>
            <w:tcW w:w="569" w:type="dxa"/>
            <w:vMerge w:val="restart"/>
          </w:tcPr>
          <w:p>
            <w:pPr>
              <w:pStyle w:val="TableParagraph"/>
              <w:spacing w:before="4"/>
              <w:rPr>
                <w:rFonts w:ascii="Microsoft JhengHei"/>
                <w:b/>
                <w:sz w:val="10"/>
              </w:rPr>
            </w:pPr>
          </w:p>
          <w:p>
            <w:pPr>
              <w:pStyle w:val="TableParagraph"/>
              <w:spacing w:line="244" w:lineRule="auto"/>
              <w:ind w:left="177" w:right="168"/>
              <w:rPr>
                <w:sz w:val="21"/>
              </w:rPr>
            </w:pPr>
            <w:r>
              <w:rPr>
                <w:sz w:val="21"/>
              </w:rPr>
              <w:t>序号</w:t>
            </w:r>
          </w:p>
        </w:tc>
        <w:tc>
          <w:tcPr>
            <w:tcW w:w="1844" w:type="dxa"/>
            <w:vMerge w:val="restart"/>
          </w:tcPr>
          <w:p>
            <w:pPr>
              <w:pStyle w:val="TableParagraph"/>
              <w:spacing w:before="4"/>
              <w:rPr>
                <w:rFonts w:ascii="Microsoft JhengHei"/>
                <w:b/>
                <w:sz w:val="10"/>
              </w:rPr>
            </w:pPr>
          </w:p>
          <w:p>
            <w:pPr>
              <w:pStyle w:val="TableParagraph"/>
              <w:spacing w:line="244" w:lineRule="auto"/>
              <w:ind w:left="393" w:right="44" w:hanging="288"/>
              <w:rPr>
                <w:sz w:val="21"/>
              </w:rPr>
            </w:pPr>
            <w:r>
              <w:rPr>
                <w:sz w:val="21"/>
              </w:rPr>
              <w:t>拟分包项目名称、范围及理由</w:t>
            </w:r>
          </w:p>
        </w:tc>
        <w:tc>
          <w:tcPr>
            <w:tcW w:w="5112" w:type="dxa"/>
            <w:gridSpan w:val="5"/>
          </w:tcPr>
          <w:p>
            <w:pPr>
              <w:pStyle w:val="TableParagraph"/>
              <w:spacing w:before="92"/>
              <w:ind w:left="2009" w:right="2003"/>
              <w:jc w:val="center"/>
              <w:rPr>
                <w:sz w:val="21"/>
              </w:rPr>
            </w:pPr>
            <w:r>
              <w:rPr>
                <w:sz w:val="21"/>
              </w:rPr>
              <w:t>拟选分包人</w:t>
            </w:r>
          </w:p>
        </w:tc>
        <w:tc>
          <w:tcPr>
            <w:tcW w:w="1270" w:type="dxa"/>
            <w:vMerge w:val="restart"/>
          </w:tcPr>
          <w:p>
            <w:pPr>
              <w:pStyle w:val="TableParagraph"/>
              <w:spacing w:before="12"/>
              <w:rPr>
                <w:rFonts w:ascii="Microsoft JhengHei"/>
                <w:b/>
                <w:sz w:val="17"/>
              </w:rPr>
            </w:pPr>
          </w:p>
          <w:p>
            <w:pPr>
              <w:pStyle w:val="TableParagraph"/>
              <w:ind w:left="420"/>
              <w:rPr>
                <w:sz w:val="21"/>
              </w:rPr>
            </w:pPr>
            <w:r>
              <w:rPr>
                <w:sz w:val="21"/>
              </w:rPr>
              <w:t>备注</w:t>
            </w:r>
          </w:p>
        </w:tc>
      </w:tr>
      <w:tr>
        <w:trPr>
          <w:trHeight w:val="453" w:hRule="atLeast"/>
        </w:trPr>
        <w:tc>
          <w:tcPr>
            <w:tcW w:w="569" w:type="dxa"/>
            <w:vMerge/>
            <w:tcBorders>
              <w:top w:val="nil"/>
            </w:tcBorders>
          </w:tcPr>
          <w:p>
            <w:pPr>
              <w:rPr>
                <w:sz w:val="2"/>
                <w:szCs w:val="2"/>
              </w:rPr>
            </w:pPr>
          </w:p>
        </w:tc>
        <w:tc>
          <w:tcPr>
            <w:tcW w:w="1844" w:type="dxa"/>
            <w:vMerge/>
            <w:tcBorders>
              <w:top w:val="nil"/>
            </w:tcBorders>
          </w:tcPr>
          <w:p>
            <w:pPr>
              <w:rPr>
                <w:sz w:val="2"/>
                <w:szCs w:val="2"/>
              </w:rPr>
            </w:pPr>
          </w:p>
        </w:tc>
        <w:tc>
          <w:tcPr>
            <w:tcW w:w="1699" w:type="dxa"/>
            <w:gridSpan w:val="2"/>
          </w:tcPr>
          <w:p>
            <w:pPr>
              <w:pStyle w:val="TableParagraph"/>
              <w:spacing w:before="92"/>
              <w:ind w:left="112"/>
              <w:rPr>
                <w:sz w:val="21"/>
              </w:rPr>
            </w:pPr>
            <w:r>
              <w:rPr>
                <w:sz w:val="21"/>
              </w:rPr>
              <w:t>拟选分包人名称</w:t>
            </w:r>
          </w:p>
        </w:tc>
        <w:tc>
          <w:tcPr>
            <w:tcW w:w="1124" w:type="dxa"/>
          </w:tcPr>
          <w:p>
            <w:pPr>
              <w:pStyle w:val="TableParagraph"/>
              <w:spacing w:before="92"/>
              <w:ind w:left="141"/>
              <w:rPr>
                <w:sz w:val="21"/>
              </w:rPr>
            </w:pPr>
            <w:r>
              <w:rPr>
                <w:sz w:val="21"/>
              </w:rPr>
              <w:t>注册地点</w:t>
            </w:r>
          </w:p>
        </w:tc>
        <w:tc>
          <w:tcPr>
            <w:tcW w:w="1090" w:type="dxa"/>
          </w:tcPr>
          <w:p>
            <w:pPr>
              <w:pStyle w:val="TableParagraph"/>
              <w:spacing w:before="92"/>
              <w:ind w:left="123"/>
              <w:rPr>
                <w:sz w:val="21"/>
              </w:rPr>
            </w:pPr>
            <w:r>
              <w:rPr>
                <w:sz w:val="21"/>
              </w:rPr>
              <w:t>企业资质</w:t>
            </w:r>
          </w:p>
        </w:tc>
        <w:tc>
          <w:tcPr>
            <w:tcW w:w="1199" w:type="dxa"/>
          </w:tcPr>
          <w:p>
            <w:pPr>
              <w:pStyle w:val="TableParagraph"/>
              <w:spacing w:before="92"/>
              <w:ind w:left="176"/>
              <w:rPr>
                <w:sz w:val="21"/>
              </w:rPr>
            </w:pPr>
            <w:r>
              <w:rPr>
                <w:sz w:val="21"/>
              </w:rPr>
              <w:t>有关业绩</w:t>
            </w:r>
          </w:p>
        </w:tc>
        <w:tc>
          <w:tcPr>
            <w:tcW w:w="1270" w:type="dxa"/>
            <w:vMerge/>
            <w:tcBorders>
              <w:top w:val="nil"/>
            </w:tcBorders>
          </w:tcPr>
          <w:p>
            <w:pPr>
              <w:rPr>
                <w:sz w:val="2"/>
                <w:szCs w:val="2"/>
              </w:rPr>
            </w:pPr>
          </w:p>
        </w:tc>
      </w:tr>
      <w:tr>
        <w:trPr>
          <w:trHeight w:val="453" w:hRule="atLeast"/>
        </w:trPr>
        <w:tc>
          <w:tcPr>
            <w:tcW w:w="569" w:type="dxa"/>
            <w:vMerge w:val="restart"/>
          </w:tcPr>
          <w:p>
            <w:pPr>
              <w:pStyle w:val="TableParagraph"/>
              <w:rPr>
                <w:rFonts w:ascii="Times New Roman"/>
                <w:sz w:val="20"/>
              </w:rPr>
            </w:pPr>
          </w:p>
        </w:tc>
        <w:tc>
          <w:tcPr>
            <w:tcW w:w="1844" w:type="dxa"/>
            <w:vMerge w:val="restart"/>
          </w:tcPr>
          <w:p>
            <w:pPr>
              <w:pStyle w:val="TableParagraph"/>
              <w:rPr>
                <w:rFonts w:ascii="Times New Roman"/>
                <w:sz w:val="20"/>
              </w:rPr>
            </w:pPr>
          </w:p>
        </w:tc>
        <w:tc>
          <w:tcPr>
            <w:tcW w:w="751" w:type="dxa"/>
          </w:tcPr>
          <w:p>
            <w:pPr>
              <w:pStyle w:val="TableParagraph"/>
              <w:spacing w:before="99"/>
              <w:ind w:left="1"/>
              <w:jc w:val="center"/>
              <w:rPr>
                <w:rFonts w:ascii="Times New Roman"/>
                <w:sz w:val="21"/>
              </w:rPr>
            </w:pPr>
            <w:r>
              <w:rPr>
                <w:rFonts w:ascii="Times New Roman"/>
                <w:w w:val="100"/>
                <w:sz w:val="21"/>
              </w:rPr>
              <w:t>1</w:t>
            </w:r>
          </w:p>
        </w:tc>
        <w:tc>
          <w:tcPr>
            <w:tcW w:w="948" w:type="dxa"/>
          </w:tcPr>
          <w:p>
            <w:pPr>
              <w:pStyle w:val="TableParagraph"/>
              <w:rPr>
                <w:rFonts w:ascii="Times New Roman"/>
                <w:sz w:val="20"/>
              </w:rPr>
            </w:pPr>
          </w:p>
        </w:tc>
        <w:tc>
          <w:tcPr>
            <w:tcW w:w="1124" w:type="dxa"/>
          </w:tcPr>
          <w:p>
            <w:pPr>
              <w:pStyle w:val="TableParagraph"/>
              <w:rPr>
                <w:rFonts w:ascii="Times New Roman"/>
                <w:sz w:val="20"/>
              </w:rPr>
            </w:pPr>
          </w:p>
        </w:tc>
        <w:tc>
          <w:tcPr>
            <w:tcW w:w="1090" w:type="dxa"/>
          </w:tcPr>
          <w:p>
            <w:pPr>
              <w:pStyle w:val="TableParagraph"/>
              <w:rPr>
                <w:rFonts w:ascii="Times New Roman"/>
                <w:sz w:val="20"/>
              </w:rPr>
            </w:pPr>
          </w:p>
        </w:tc>
        <w:tc>
          <w:tcPr>
            <w:tcW w:w="1199" w:type="dxa"/>
          </w:tcPr>
          <w:p>
            <w:pPr>
              <w:pStyle w:val="TableParagraph"/>
              <w:rPr>
                <w:rFonts w:ascii="Times New Roman"/>
                <w:sz w:val="20"/>
              </w:rPr>
            </w:pPr>
          </w:p>
        </w:tc>
        <w:tc>
          <w:tcPr>
            <w:tcW w:w="1270" w:type="dxa"/>
          </w:tcPr>
          <w:p>
            <w:pPr>
              <w:pStyle w:val="TableParagraph"/>
              <w:rPr>
                <w:rFonts w:ascii="Times New Roman"/>
                <w:sz w:val="20"/>
              </w:rPr>
            </w:pPr>
          </w:p>
        </w:tc>
      </w:tr>
      <w:tr>
        <w:trPr>
          <w:trHeight w:val="455" w:hRule="atLeast"/>
        </w:trPr>
        <w:tc>
          <w:tcPr>
            <w:tcW w:w="569" w:type="dxa"/>
            <w:vMerge/>
            <w:tcBorders>
              <w:top w:val="nil"/>
            </w:tcBorders>
          </w:tcPr>
          <w:p>
            <w:pPr>
              <w:rPr>
                <w:sz w:val="2"/>
                <w:szCs w:val="2"/>
              </w:rPr>
            </w:pPr>
          </w:p>
        </w:tc>
        <w:tc>
          <w:tcPr>
            <w:tcW w:w="1844" w:type="dxa"/>
            <w:vMerge/>
            <w:tcBorders>
              <w:top w:val="nil"/>
            </w:tcBorders>
          </w:tcPr>
          <w:p>
            <w:pPr>
              <w:rPr>
                <w:sz w:val="2"/>
                <w:szCs w:val="2"/>
              </w:rPr>
            </w:pPr>
          </w:p>
        </w:tc>
        <w:tc>
          <w:tcPr>
            <w:tcW w:w="751" w:type="dxa"/>
          </w:tcPr>
          <w:p>
            <w:pPr>
              <w:pStyle w:val="TableParagraph"/>
              <w:spacing w:before="101"/>
              <w:ind w:left="1"/>
              <w:jc w:val="center"/>
              <w:rPr>
                <w:rFonts w:ascii="Times New Roman"/>
                <w:sz w:val="21"/>
              </w:rPr>
            </w:pPr>
            <w:r>
              <w:rPr>
                <w:rFonts w:ascii="Times New Roman"/>
                <w:w w:val="100"/>
                <w:sz w:val="21"/>
              </w:rPr>
              <w:t>2</w:t>
            </w:r>
          </w:p>
        </w:tc>
        <w:tc>
          <w:tcPr>
            <w:tcW w:w="948" w:type="dxa"/>
          </w:tcPr>
          <w:p>
            <w:pPr>
              <w:pStyle w:val="TableParagraph"/>
              <w:rPr>
                <w:rFonts w:ascii="Times New Roman"/>
                <w:sz w:val="20"/>
              </w:rPr>
            </w:pPr>
          </w:p>
        </w:tc>
        <w:tc>
          <w:tcPr>
            <w:tcW w:w="1124" w:type="dxa"/>
          </w:tcPr>
          <w:p>
            <w:pPr>
              <w:pStyle w:val="TableParagraph"/>
              <w:rPr>
                <w:rFonts w:ascii="Times New Roman"/>
                <w:sz w:val="20"/>
              </w:rPr>
            </w:pPr>
          </w:p>
        </w:tc>
        <w:tc>
          <w:tcPr>
            <w:tcW w:w="1090" w:type="dxa"/>
          </w:tcPr>
          <w:p>
            <w:pPr>
              <w:pStyle w:val="TableParagraph"/>
              <w:rPr>
                <w:rFonts w:ascii="Times New Roman"/>
                <w:sz w:val="20"/>
              </w:rPr>
            </w:pPr>
          </w:p>
        </w:tc>
        <w:tc>
          <w:tcPr>
            <w:tcW w:w="1199" w:type="dxa"/>
          </w:tcPr>
          <w:p>
            <w:pPr>
              <w:pStyle w:val="TableParagraph"/>
              <w:rPr>
                <w:rFonts w:ascii="Times New Roman"/>
                <w:sz w:val="20"/>
              </w:rPr>
            </w:pPr>
          </w:p>
        </w:tc>
        <w:tc>
          <w:tcPr>
            <w:tcW w:w="1270" w:type="dxa"/>
          </w:tcPr>
          <w:p>
            <w:pPr>
              <w:pStyle w:val="TableParagraph"/>
              <w:rPr>
                <w:rFonts w:ascii="Times New Roman"/>
                <w:sz w:val="20"/>
              </w:rPr>
            </w:pPr>
          </w:p>
        </w:tc>
      </w:tr>
      <w:tr>
        <w:trPr>
          <w:trHeight w:val="453" w:hRule="atLeast"/>
        </w:trPr>
        <w:tc>
          <w:tcPr>
            <w:tcW w:w="569" w:type="dxa"/>
            <w:vMerge/>
            <w:tcBorders>
              <w:top w:val="nil"/>
            </w:tcBorders>
          </w:tcPr>
          <w:p>
            <w:pPr>
              <w:rPr>
                <w:sz w:val="2"/>
                <w:szCs w:val="2"/>
              </w:rPr>
            </w:pPr>
          </w:p>
        </w:tc>
        <w:tc>
          <w:tcPr>
            <w:tcW w:w="1844" w:type="dxa"/>
            <w:vMerge/>
            <w:tcBorders>
              <w:top w:val="nil"/>
            </w:tcBorders>
          </w:tcPr>
          <w:p>
            <w:pPr>
              <w:rPr>
                <w:sz w:val="2"/>
                <w:szCs w:val="2"/>
              </w:rPr>
            </w:pPr>
          </w:p>
        </w:tc>
        <w:tc>
          <w:tcPr>
            <w:tcW w:w="751" w:type="dxa"/>
          </w:tcPr>
          <w:p>
            <w:pPr>
              <w:pStyle w:val="TableParagraph"/>
              <w:spacing w:before="99"/>
              <w:ind w:left="1"/>
              <w:jc w:val="center"/>
              <w:rPr>
                <w:rFonts w:ascii="Times New Roman"/>
                <w:sz w:val="21"/>
              </w:rPr>
            </w:pPr>
            <w:r>
              <w:rPr>
                <w:rFonts w:ascii="Times New Roman"/>
                <w:w w:val="100"/>
                <w:sz w:val="21"/>
              </w:rPr>
              <w:t>3</w:t>
            </w:r>
          </w:p>
        </w:tc>
        <w:tc>
          <w:tcPr>
            <w:tcW w:w="948" w:type="dxa"/>
          </w:tcPr>
          <w:p>
            <w:pPr>
              <w:pStyle w:val="TableParagraph"/>
              <w:rPr>
                <w:rFonts w:ascii="Times New Roman"/>
                <w:sz w:val="20"/>
              </w:rPr>
            </w:pPr>
          </w:p>
        </w:tc>
        <w:tc>
          <w:tcPr>
            <w:tcW w:w="1124" w:type="dxa"/>
          </w:tcPr>
          <w:p>
            <w:pPr>
              <w:pStyle w:val="TableParagraph"/>
              <w:rPr>
                <w:rFonts w:ascii="Times New Roman"/>
                <w:sz w:val="20"/>
              </w:rPr>
            </w:pPr>
          </w:p>
        </w:tc>
        <w:tc>
          <w:tcPr>
            <w:tcW w:w="1090" w:type="dxa"/>
          </w:tcPr>
          <w:p>
            <w:pPr>
              <w:pStyle w:val="TableParagraph"/>
              <w:rPr>
                <w:rFonts w:ascii="Times New Roman"/>
                <w:sz w:val="20"/>
              </w:rPr>
            </w:pPr>
          </w:p>
        </w:tc>
        <w:tc>
          <w:tcPr>
            <w:tcW w:w="1199" w:type="dxa"/>
          </w:tcPr>
          <w:p>
            <w:pPr>
              <w:pStyle w:val="TableParagraph"/>
              <w:rPr>
                <w:rFonts w:ascii="Times New Roman"/>
                <w:sz w:val="20"/>
              </w:rPr>
            </w:pPr>
          </w:p>
        </w:tc>
        <w:tc>
          <w:tcPr>
            <w:tcW w:w="1270" w:type="dxa"/>
          </w:tcPr>
          <w:p>
            <w:pPr>
              <w:pStyle w:val="TableParagraph"/>
              <w:rPr>
                <w:rFonts w:ascii="Times New Roman"/>
                <w:sz w:val="20"/>
              </w:rPr>
            </w:pPr>
          </w:p>
        </w:tc>
      </w:tr>
      <w:tr>
        <w:trPr>
          <w:trHeight w:val="453" w:hRule="atLeast"/>
        </w:trPr>
        <w:tc>
          <w:tcPr>
            <w:tcW w:w="569" w:type="dxa"/>
            <w:vMerge w:val="restart"/>
          </w:tcPr>
          <w:p>
            <w:pPr>
              <w:pStyle w:val="TableParagraph"/>
              <w:rPr>
                <w:rFonts w:ascii="Times New Roman"/>
                <w:sz w:val="20"/>
              </w:rPr>
            </w:pPr>
          </w:p>
        </w:tc>
        <w:tc>
          <w:tcPr>
            <w:tcW w:w="1844" w:type="dxa"/>
            <w:vMerge w:val="restart"/>
          </w:tcPr>
          <w:p>
            <w:pPr>
              <w:pStyle w:val="TableParagraph"/>
              <w:rPr>
                <w:rFonts w:ascii="Times New Roman"/>
                <w:sz w:val="20"/>
              </w:rPr>
            </w:pPr>
          </w:p>
        </w:tc>
        <w:tc>
          <w:tcPr>
            <w:tcW w:w="751" w:type="dxa"/>
          </w:tcPr>
          <w:p>
            <w:pPr>
              <w:pStyle w:val="TableParagraph"/>
              <w:spacing w:before="99"/>
              <w:ind w:left="1"/>
              <w:jc w:val="center"/>
              <w:rPr>
                <w:rFonts w:ascii="Times New Roman"/>
                <w:sz w:val="21"/>
              </w:rPr>
            </w:pPr>
            <w:r>
              <w:rPr>
                <w:rFonts w:ascii="Times New Roman"/>
                <w:w w:val="100"/>
                <w:sz w:val="21"/>
              </w:rPr>
              <w:t>1</w:t>
            </w:r>
          </w:p>
        </w:tc>
        <w:tc>
          <w:tcPr>
            <w:tcW w:w="948" w:type="dxa"/>
          </w:tcPr>
          <w:p>
            <w:pPr>
              <w:pStyle w:val="TableParagraph"/>
              <w:rPr>
                <w:rFonts w:ascii="Times New Roman"/>
                <w:sz w:val="20"/>
              </w:rPr>
            </w:pPr>
          </w:p>
        </w:tc>
        <w:tc>
          <w:tcPr>
            <w:tcW w:w="1124" w:type="dxa"/>
          </w:tcPr>
          <w:p>
            <w:pPr>
              <w:pStyle w:val="TableParagraph"/>
              <w:rPr>
                <w:rFonts w:ascii="Times New Roman"/>
                <w:sz w:val="20"/>
              </w:rPr>
            </w:pPr>
          </w:p>
        </w:tc>
        <w:tc>
          <w:tcPr>
            <w:tcW w:w="1090" w:type="dxa"/>
          </w:tcPr>
          <w:p>
            <w:pPr>
              <w:pStyle w:val="TableParagraph"/>
              <w:rPr>
                <w:rFonts w:ascii="Times New Roman"/>
                <w:sz w:val="20"/>
              </w:rPr>
            </w:pPr>
          </w:p>
        </w:tc>
        <w:tc>
          <w:tcPr>
            <w:tcW w:w="1199" w:type="dxa"/>
          </w:tcPr>
          <w:p>
            <w:pPr>
              <w:pStyle w:val="TableParagraph"/>
              <w:rPr>
                <w:rFonts w:ascii="Times New Roman"/>
                <w:sz w:val="20"/>
              </w:rPr>
            </w:pPr>
          </w:p>
        </w:tc>
        <w:tc>
          <w:tcPr>
            <w:tcW w:w="1270" w:type="dxa"/>
          </w:tcPr>
          <w:p>
            <w:pPr>
              <w:pStyle w:val="TableParagraph"/>
              <w:rPr>
                <w:rFonts w:ascii="Times New Roman"/>
                <w:sz w:val="20"/>
              </w:rPr>
            </w:pPr>
          </w:p>
        </w:tc>
      </w:tr>
      <w:tr>
        <w:trPr>
          <w:trHeight w:val="455" w:hRule="atLeast"/>
        </w:trPr>
        <w:tc>
          <w:tcPr>
            <w:tcW w:w="569" w:type="dxa"/>
            <w:vMerge/>
            <w:tcBorders>
              <w:top w:val="nil"/>
            </w:tcBorders>
          </w:tcPr>
          <w:p>
            <w:pPr>
              <w:rPr>
                <w:sz w:val="2"/>
                <w:szCs w:val="2"/>
              </w:rPr>
            </w:pPr>
          </w:p>
        </w:tc>
        <w:tc>
          <w:tcPr>
            <w:tcW w:w="1844" w:type="dxa"/>
            <w:vMerge/>
            <w:tcBorders>
              <w:top w:val="nil"/>
            </w:tcBorders>
          </w:tcPr>
          <w:p>
            <w:pPr>
              <w:rPr>
                <w:sz w:val="2"/>
                <w:szCs w:val="2"/>
              </w:rPr>
            </w:pPr>
          </w:p>
        </w:tc>
        <w:tc>
          <w:tcPr>
            <w:tcW w:w="751" w:type="dxa"/>
          </w:tcPr>
          <w:p>
            <w:pPr>
              <w:pStyle w:val="TableParagraph"/>
              <w:spacing w:before="101"/>
              <w:ind w:left="1"/>
              <w:jc w:val="center"/>
              <w:rPr>
                <w:rFonts w:ascii="Times New Roman"/>
                <w:sz w:val="21"/>
              </w:rPr>
            </w:pPr>
            <w:r>
              <w:rPr>
                <w:rFonts w:ascii="Times New Roman"/>
                <w:w w:val="100"/>
                <w:sz w:val="21"/>
              </w:rPr>
              <w:t>2</w:t>
            </w:r>
          </w:p>
        </w:tc>
        <w:tc>
          <w:tcPr>
            <w:tcW w:w="948" w:type="dxa"/>
          </w:tcPr>
          <w:p>
            <w:pPr>
              <w:pStyle w:val="TableParagraph"/>
              <w:rPr>
                <w:rFonts w:ascii="Times New Roman"/>
                <w:sz w:val="20"/>
              </w:rPr>
            </w:pPr>
          </w:p>
        </w:tc>
        <w:tc>
          <w:tcPr>
            <w:tcW w:w="1124" w:type="dxa"/>
          </w:tcPr>
          <w:p>
            <w:pPr>
              <w:pStyle w:val="TableParagraph"/>
              <w:rPr>
                <w:rFonts w:ascii="Times New Roman"/>
                <w:sz w:val="20"/>
              </w:rPr>
            </w:pPr>
          </w:p>
        </w:tc>
        <w:tc>
          <w:tcPr>
            <w:tcW w:w="1090" w:type="dxa"/>
          </w:tcPr>
          <w:p>
            <w:pPr>
              <w:pStyle w:val="TableParagraph"/>
              <w:rPr>
                <w:rFonts w:ascii="Times New Roman"/>
                <w:sz w:val="20"/>
              </w:rPr>
            </w:pPr>
          </w:p>
        </w:tc>
        <w:tc>
          <w:tcPr>
            <w:tcW w:w="1199" w:type="dxa"/>
          </w:tcPr>
          <w:p>
            <w:pPr>
              <w:pStyle w:val="TableParagraph"/>
              <w:rPr>
                <w:rFonts w:ascii="Times New Roman"/>
                <w:sz w:val="20"/>
              </w:rPr>
            </w:pPr>
          </w:p>
        </w:tc>
        <w:tc>
          <w:tcPr>
            <w:tcW w:w="1270" w:type="dxa"/>
          </w:tcPr>
          <w:p>
            <w:pPr>
              <w:pStyle w:val="TableParagraph"/>
              <w:rPr>
                <w:rFonts w:ascii="Times New Roman"/>
                <w:sz w:val="20"/>
              </w:rPr>
            </w:pPr>
          </w:p>
        </w:tc>
      </w:tr>
      <w:tr>
        <w:trPr>
          <w:trHeight w:val="453" w:hRule="atLeast"/>
        </w:trPr>
        <w:tc>
          <w:tcPr>
            <w:tcW w:w="569" w:type="dxa"/>
            <w:vMerge/>
            <w:tcBorders>
              <w:top w:val="nil"/>
            </w:tcBorders>
          </w:tcPr>
          <w:p>
            <w:pPr>
              <w:rPr>
                <w:sz w:val="2"/>
                <w:szCs w:val="2"/>
              </w:rPr>
            </w:pPr>
          </w:p>
        </w:tc>
        <w:tc>
          <w:tcPr>
            <w:tcW w:w="1844" w:type="dxa"/>
            <w:vMerge/>
            <w:tcBorders>
              <w:top w:val="nil"/>
            </w:tcBorders>
          </w:tcPr>
          <w:p>
            <w:pPr>
              <w:rPr>
                <w:sz w:val="2"/>
                <w:szCs w:val="2"/>
              </w:rPr>
            </w:pPr>
          </w:p>
        </w:tc>
        <w:tc>
          <w:tcPr>
            <w:tcW w:w="751" w:type="dxa"/>
          </w:tcPr>
          <w:p>
            <w:pPr>
              <w:pStyle w:val="TableParagraph"/>
              <w:spacing w:before="99"/>
              <w:ind w:left="1"/>
              <w:jc w:val="center"/>
              <w:rPr>
                <w:rFonts w:ascii="Times New Roman"/>
                <w:sz w:val="21"/>
              </w:rPr>
            </w:pPr>
            <w:r>
              <w:rPr>
                <w:rFonts w:ascii="Times New Roman"/>
                <w:w w:val="100"/>
                <w:sz w:val="21"/>
              </w:rPr>
              <w:t>3</w:t>
            </w:r>
          </w:p>
        </w:tc>
        <w:tc>
          <w:tcPr>
            <w:tcW w:w="948" w:type="dxa"/>
          </w:tcPr>
          <w:p>
            <w:pPr>
              <w:pStyle w:val="TableParagraph"/>
              <w:rPr>
                <w:rFonts w:ascii="Times New Roman"/>
                <w:sz w:val="20"/>
              </w:rPr>
            </w:pPr>
          </w:p>
        </w:tc>
        <w:tc>
          <w:tcPr>
            <w:tcW w:w="1124" w:type="dxa"/>
          </w:tcPr>
          <w:p>
            <w:pPr>
              <w:pStyle w:val="TableParagraph"/>
              <w:rPr>
                <w:rFonts w:ascii="Times New Roman"/>
                <w:sz w:val="20"/>
              </w:rPr>
            </w:pPr>
          </w:p>
        </w:tc>
        <w:tc>
          <w:tcPr>
            <w:tcW w:w="1090" w:type="dxa"/>
          </w:tcPr>
          <w:p>
            <w:pPr>
              <w:pStyle w:val="TableParagraph"/>
              <w:rPr>
                <w:rFonts w:ascii="Times New Roman"/>
                <w:sz w:val="20"/>
              </w:rPr>
            </w:pPr>
          </w:p>
        </w:tc>
        <w:tc>
          <w:tcPr>
            <w:tcW w:w="1199" w:type="dxa"/>
          </w:tcPr>
          <w:p>
            <w:pPr>
              <w:pStyle w:val="TableParagraph"/>
              <w:rPr>
                <w:rFonts w:ascii="Times New Roman"/>
                <w:sz w:val="20"/>
              </w:rPr>
            </w:pPr>
          </w:p>
        </w:tc>
        <w:tc>
          <w:tcPr>
            <w:tcW w:w="1270" w:type="dxa"/>
          </w:tcPr>
          <w:p>
            <w:pPr>
              <w:pStyle w:val="TableParagraph"/>
              <w:rPr>
                <w:rFonts w:ascii="Times New Roman"/>
                <w:sz w:val="20"/>
              </w:rPr>
            </w:pPr>
          </w:p>
        </w:tc>
      </w:tr>
    </w:tbl>
    <w:p>
      <w:pPr>
        <w:pStyle w:val="BodyText"/>
        <w:spacing w:before="16"/>
        <w:ind w:left="0"/>
        <w:rPr>
          <w:rFonts w:ascii="Microsoft JhengHei"/>
          <w:b/>
          <w:sz w:val="3"/>
        </w:rPr>
      </w:pPr>
    </w:p>
    <w:p>
      <w:pPr>
        <w:pStyle w:val="BodyText"/>
        <w:spacing w:before="71"/>
        <w:ind w:left="1098"/>
      </w:pPr>
      <w:r>
        <w:rPr/>
        <w:t>备注：本表所列分包仅限于承包人自行施工范围内的非主体、非关键工程。</w:t>
      </w:r>
    </w:p>
    <w:p>
      <w:pPr>
        <w:pStyle w:val="BodyText"/>
        <w:ind w:left="0"/>
        <w:rPr>
          <w:sz w:val="20"/>
        </w:rPr>
      </w:pPr>
    </w:p>
    <w:p>
      <w:pPr>
        <w:pStyle w:val="BodyText"/>
        <w:spacing w:before="10"/>
        <w:ind w:left="0"/>
        <w:rPr>
          <w:sz w:val="27"/>
        </w:rPr>
      </w:pPr>
    </w:p>
    <w:p>
      <w:pPr>
        <w:pStyle w:val="BodyText"/>
        <w:tabs>
          <w:tab w:pos="7250" w:val="left" w:leader="none"/>
          <w:tab w:pos="7987" w:val="left" w:leader="none"/>
          <w:tab w:pos="8721" w:val="left" w:leader="none"/>
        </w:tabs>
        <w:ind w:left="5884"/>
      </w:pPr>
      <w:r>
        <w:rPr/>
        <w:t>日期：</w:t>
        <w:tab/>
        <w:t>年</w:t>
        <w:tab/>
        <w:t>月</w:t>
        <w:tab/>
        <w:t>日</w:t>
      </w:r>
    </w:p>
    <w:p>
      <w:pPr>
        <w:spacing w:after="0"/>
        <w:sectPr>
          <w:pgSz w:w="11910" w:h="16850"/>
          <w:pgMar w:header="0" w:footer="779" w:top="1540" w:bottom="1040" w:left="1120" w:right="280"/>
        </w:sectPr>
      </w:pPr>
    </w:p>
    <w:p>
      <w:pPr>
        <w:pStyle w:val="BodyText"/>
        <w:ind w:left="0"/>
        <w:rPr>
          <w:sz w:val="20"/>
        </w:rPr>
      </w:pPr>
    </w:p>
    <w:p>
      <w:pPr>
        <w:pStyle w:val="BodyText"/>
        <w:spacing w:before="12"/>
        <w:ind w:left="0"/>
        <w:rPr>
          <w:sz w:val="19"/>
        </w:rPr>
      </w:pPr>
    </w:p>
    <w:p>
      <w:pPr>
        <w:pStyle w:val="Heading2"/>
        <w:spacing w:line="537" w:lineRule="exact"/>
        <w:ind w:left="297" w:right="776"/>
        <w:jc w:val="center"/>
      </w:pPr>
      <w:bookmarkStart w:name="三、项目管理机构" w:id="519"/>
      <w:bookmarkEnd w:id="519"/>
      <w:r>
        <w:rPr>
          <w:b w:val="0"/>
        </w:rPr>
      </w:r>
      <w:bookmarkStart w:name="_bookmark123" w:id="520"/>
      <w:bookmarkEnd w:id="520"/>
      <w:r>
        <w:rPr>
          <w:b w:val="0"/>
        </w:rPr>
      </w:r>
      <w:r>
        <w:rPr/>
        <w:t>三、项目管理机构</w:t>
      </w:r>
    </w:p>
    <w:p>
      <w:pPr>
        <w:spacing w:after="0" w:line="537" w:lineRule="exact"/>
        <w:jc w:val="center"/>
        <w:sectPr>
          <w:pgSz w:w="11910" w:h="16850"/>
          <w:pgMar w:header="0" w:footer="779" w:top="1600" w:bottom="1040" w:left="1120" w:right="280"/>
        </w:sectPr>
      </w:pPr>
    </w:p>
    <w:p>
      <w:pPr>
        <w:pStyle w:val="Heading6"/>
        <w:spacing w:line="421" w:lineRule="exact"/>
        <w:ind w:right="774"/>
      </w:pPr>
      <w:bookmarkStart w:name="1、项目管理机构配备情况表" w:id="521"/>
      <w:bookmarkEnd w:id="521"/>
      <w:r>
        <w:rPr>
          <w:b w:val="0"/>
        </w:rPr>
      </w:r>
      <w:r>
        <w:rPr>
          <w:rFonts w:ascii="Times New Roman" w:eastAsia="Times New Roman"/>
        </w:rPr>
        <w:t>1</w:t>
      </w:r>
      <w:r>
        <w:rPr/>
        <w:t>、项目管理机构配备情况表</w:t>
      </w:r>
    </w:p>
    <w:p>
      <w:pPr>
        <w:pStyle w:val="BodyText"/>
        <w:tabs>
          <w:tab w:pos="1940" w:val="left" w:leader="none"/>
          <w:tab w:pos="4880" w:val="left" w:leader="none"/>
        </w:tabs>
        <w:spacing w:before="191" w:after="4"/>
      </w:pPr>
      <w:r>
        <w:rPr>
          <w:rFonts w:ascii="Times New Roman" w:eastAsia="Times New Roman"/>
          <w:w w:val="100"/>
          <w:u w:val="single"/>
        </w:rPr>
        <w:t> </w:t>
      </w:r>
      <w:r>
        <w:rPr>
          <w:rFonts w:ascii="Times New Roman" w:eastAsia="Times New Roman"/>
          <w:u w:val="single"/>
        </w:rPr>
        <w:tab/>
      </w:r>
      <w:r>
        <w:rPr>
          <w:spacing w:val="-3"/>
          <w:u w:val="single"/>
        </w:rPr>
        <w:t>（</w:t>
      </w:r>
      <w:r>
        <w:rPr>
          <w:u w:val="single"/>
        </w:rPr>
        <w:t>招</w:t>
      </w:r>
      <w:r>
        <w:rPr>
          <w:spacing w:val="-3"/>
          <w:u w:val="single"/>
        </w:rPr>
        <w:t>标</w:t>
      </w:r>
      <w:r>
        <w:rPr>
          <w:u w:val="single"/>
        </w:rPr>
        <w:t>工</w:t>
      </w:r>
      <w:r>
        <w:rPr>
          <w:spacing w:val="-3"/>
          <w:u w:val="single"/>
        </w:rPr>
        <w:t>程</w:t>
      </w:r>
      <w:r>
        <w:rPr>
          <w:u w:val="single"/>
        </w:rPr>
        <w:t>项目</w:t>
      </w:r>
      <w:r>
        <w:rPr>
          <w:spacing w:val="-3"/>
          <w:u w:val="single"/>
        </w:rPr>
        <w:t>名</w:t>
      </w:r>
      <w:r>
        <w:rPr>
          <w:u w:val="single"/>
        </w:rPr>
        <w:t>称）</w:t>
        <w:tab/>
      </w:r>
      <w:r>
        <w:rPr>
          <w:spacing w:val="-3"/>
        </w:rPr>
        <w:t>工程</w:t>
      </w:r>
    </w:p>
    <w:tbl>
      <w:tblPr>
        <w:tblW w:w="0" w:type="auto"/>
        <w:jc w:val="left"/>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828"/>
        <w:gridCol w:w="817"/>
        <w:gridCol w:w="1150"/>
        <w:gridCol w:w="1148"/>
        <w:gridCol w:w="1148"/>
        <w:gridCol w:w="1150"/>
        <w:gridCol w:w="851"/>
        <w:gridCol w:w="1275"/>
      </w:tblGrid>
      <w:tr>
        <w:trPr>
          <w:trHeight w:val="467" w:hRule="atLeast"/>
        </w:trPr>
        <w:tc>
          <w:tcPr>
            <w:tcW w:w="994" w:type="dxa"/>
            <w:vMerge w:val="restart"/>
          </w:tcPr>
          <w:p>
            <w:pPr>
              <w:pStyle w:val="TableParagraph"/>
              <w:spacing w:before="3"/>
              <w:rPr>
                <w:sz w:val="29"/>
              </w:rPr>
            </w:pPr>
          </w:p>
          <w:p>
            <w:pPr>
              <w:pStyle w:val="TableParagraph"/>
              <w:spacing w:before="1"/>
              <w:ind w:left="285"/>
              <w:rPr>
                <w:sz w:val="21"/>
              </w:rPr>
            </w:pPr>
            <w:r>
              <w:rPr>
                <w:sz w:val="21"/>
              </w:rPr>
              <w:t>岗位</w:t>
            </w:r>
          </w:p>
        </w:tc>
        <w:tc>
          <w:tcPr>
            <w:tcW w:w="828" w:type="dxa"/>
            <w:vMerge w:val="restart"/>
          </w:tcPr>
          <w:p>
            <w:pPr>
              <w:pStyle w:val="TableParagraph"/>
              <w:spacing w:before="3"/>
              <w:rPr>
                <w:sz w:val="29"/>
              </w:rPr>
            </w:pPr>
          </w:p>
          <w:p>
            <w:pPr>
              <w:pStyle w:val="TableParagraph"/>
              <w:spacing w:before="1"/>
              <w:ind w:left="203"/>
              <w:rPr>
                <w:sz w:val="21"/>
              </w:rPr>
            </w:pPr>
            <w:r>
              <w:rPr>
                <w:sz w:val="21"/>
              </w:rPr>
              <w:t>姓名</w:t>
            </w:r>
          </w:p>
        </w:tc>
        <w:tc>
          <w:tcPr>
            <w:tcW w:w="817" w:type="dxa"/>
            <w:vMerge w:val="restart"/>
          </w:tcPr>
          <w:p>
            <w:pPr>
              <w:pStyle w:val="TableParagraph"/>
              <w:spacing w:before="3"/>
              <w:rPr>
                <w:sz w:val="29"/>
              </w:rPr>
            </w:pPr>
          </w:p>
          <w:p>
            <w:pPr>
              <w:pStyle w:val="TableParagraph"/>
              <w:spacing w:before="1"/>
              <w:ind w:left="196"/>
              <w:rPr>
                <w:sz w:val="21"/>
              </w:rPr>
            </w:pPr>
            <w:r>
              <w:rPr>
                <w:sz w:val="21"/>
              </w:rPr>
              <w:t>职称</w:t>
            </w:r>
          </w:p>
        </w:tc>
        <w:tc>
          <w:tcPr>
            <w:tcW w:w="4596" w:type="dxa"/>
            <w:gridSpan w:val="4"/>
          </w:tcPr>
          <w:p>
            <w:pPr>
              <w:pStyle w:val="TableParagraph"/>
              <w:spacing w:before="99"/>
              <w:ind w:left="1347"/>
              <w:rPr>
                <w:sz w:val="21"/>
              </w:rPr>
            </w:pPr>
            <w:r>
              <w:rPr>
                <w:sz w:val="21"/>
              </w:rPr>
              <w:t>执业或职业资格证明</w:t>
            </w:r>
          </w:p>
        </w:tc>
        <w:tc>
          <w:tcPr>
            <w:tcW w:w="2126" w:type="dxa"/>
            <w:gridSpan w:val="2"/>
          </w:tcPr>
          <w:p>
            <w:pPr>
              <w:pStyle w:val="TableParagraph"/>
              <w:spacing w:before="99"/>
              <w:ind w:left="218"/>
              <w:rPr>
                <w:sz w:val="21"/>
              </w:rPr>
            </w:pPr>
            <w:r>
              <w:rPr>
                <w:sz w:val="21"/>
              </w:rPr>
              <w:t>承担完工工程情况</w:t>
            </w:r>
          </w:p>
        </w:tc>
      </w:tr>
      <w:tr>
        <w:trPr>
          <w:trHeight w:val="544" w:hRule="atLeast"/>
        </w:trPr>
        <w:tc>
          <w:tcPr>
            <w:tcW w:w="994" w:type="dxa"/>
            <w:vMerge/>
            <w:tcBorders>
              <w:top w:val="nil"/>
            </w:tcBorders>
          </w:tcPr>
          <w:p>
            <w:pPr>
              <w:rPr>
                <w:sz w:val="2"/>
                <w:szCs w:val="2"/>
              </w:rPr>
            </w:pPr>
          </w:p>
        </w:tc>
        <w:tc>
          <w:tcPr>
            <w:tcW w:w="828" w:type="dxa"/>
            <w:vMerge/>
            <w:tcBorders>
              <w:top w:val="nil"/>
            </w:tcBorders>
          </w:tcPr>
          <w:p>
            <w:pPr>
              <w:rPr>
                <w:sz w:val="2"/>
                <w:szCs w:val="2"/>
              </w:rPr>
            </w:pPr>
          </w:p>
        </w:tc>
        <w:tc>
          <w:tcPr>
            <w:tcW w:w="817" w:type="dxa"/>
            <w:vMerge/>
            <w:tcBorders>
              <w:top w:val="nil"/>
            </w:tcBorders>
          </w:tcPr>
          <w:p>
            <w:pPr>
              <w:rPr>
                <w:sz w:val="2"/>
                <w:szCs w:val="2"/>
              </w:rPr>
            </w:pPr>
          </w:p>
        </w:tc>
        <w:tc>
          <w:tcPr>
            <w:tcW w:w="1150" w:type="dxa"/>
          </w:tcPr>
          <w:p>
            <w:pPr>
              <w:pStyle w:val="TableParagraph"/>
              <w:spacing w:before="135"/>
              <w:ind w:left="152"/>
              <w:rPr>
                <w:sz w:val="21"/>
              </w:rPr>
            </w:pPr>
            <w:r>
              <w:rPr>
                <w:sz w:val="21"/>
              </w:rPr>
              <w:t>证书名称</w:t>
            </w:r>
          </w:p>
        </w:tc>
        <w:tc>
          <w:tcPr>
            <w:tcW w:w="1148" w:type="dxa"/>
          </w:tcPr>
          <w:p>
            <w:pPr>
              <w:pStyle w:val="TableParagraph"/>
              <w:spacing w:before="135"/>
              <w:ind w:left="358"/>
              <w:rPr>
                <w:sz w:val="21"/>
              </w:rPr>
            </w:pPr>
            <w:r>
              <w:rPr>
                <w:sz w:val="21"/>
              </w:rPr>
              <w:t>级别</w:t>
            </w:r>
          </w:p>
        </w:tc>
        <w:tc>
          <w:tcPr>
            <w:tcW w:w="1148" w:type="dxa"/>
          </w:tcPr>
          <w:p>
            <w:pPr>
              <w:pStyle w:val="TableParagraph"/>
              <w:spacing w:before="135"/>
              <w:ind w:left="360"/>
              <w:rPr>
                <w:sz w:val="21"/>
              </w:rPr>
            </w:pPr>
            <w:r>
              <w:rPr>
                <w:sz w:val="21"/>
              </w:rPr>
              <w:t>证号</w:t>
            </w:r>
          </w:p>
        </w:tc>
        <w:tc>
          <w:tcPr>
            <w:tcW w:w="1150" w:type="dxa"/>
          </w:tcPr>
          <w:p>
            <w:pPr>
              <w:pStyle w:val="TableParagraph"/>
              <w:spacing w:before="135"/>
              <w:ind w:left="359"/>
              <w:rPr>
                <w:sz w:val="21"/>
              </w:rPr>
            </w:pPr>
            <w:r>
              <w:rPr>
                <w:sz w:val="21"/>
              </w:rPr>
              <w:t>专业</w:t>
            </w:r>
          </w:p>
        </w:tc>
        <w:tc>
          <w:tcPr>
            <w:tcW w:w="851" w:type="dxa"/>
          </w:tcPr>
          <w:p>
            <w:pPr>
              <w:pStyle w:val="TableParagraph"/>
              <w:spacing w:before="135"/>
              <w:ind w:left="102"/>
              <w:rPr>
                <w:sz w:val="21"/>
              </w:rPr>
            </w:pPr>
            <w:r>
              <w:rPr>
                <w:sz w:val="21"/>
              </w:rPr>
              <w:t>项目数</w:t>
            </w:r>
          </w:p>
        </w:tc>
        <w:tc>
          <w:tcPr>
            <w:tcW w:w="1275" w:type="dxa"/>
          </w:tcPr>
          <w:p>
            <w:pPr>
              <w:pStyle w:val="TableParagraph"/>
              <w:spacing w:before="1"/>
              <w:ind w:left="195" w:right="189"/>
              <w:jc w:val="center"/>
              <w:rPr>
                <w:sz w:val="21"/>
              </w:rPr>
            </w:pPr>
            <w:r>
              <w:rPr>
                <w:sz w:val="21"/>
              </w:rPr>
              <w:t>主要项目</w:t>
            </w:r>
          </w:p>
          <w:p>
            <w:pPr>
              <w:pStyle w:val="TableParagraph"/>
              <w:spacing w:line="252" w:lineRule="exact" w:before="2"/>
              <w:ind w:left="193" w:right="189"/>
              <w:jc w:val="center"/>
              <w:rPr>
                <w:sz w:val="21"/>
              </w:rPr>
            </w:pPr>
            <w:r>
              <w:rPr>
                <w:sz w:val="21"/>
              </w:rPr>
              <w:t>名称</w:t>
            </w:r>
          </w:p>
        </w:tc>
      </w:tr>
      <w:tr>
        <w:trPr>
          <w:trHeight w:val="659" w:hRule="atLeast"/>
        </w:trPr>
        <w:tc>
          <w:tcPr>
            <w:tcW w:w="994" w:type="dxa"/>
          </w:tcPr>
          <w:p>
            <w:pPr>
              <w:pStyle w:val="TableParagraph"/>
              <w:spacing w:before="3"/>
              <w:rPr>
                <w:sz w:val="15"/>
              </w:rPr>
            </w:pPr>
          </w:p>
          <w:p>
            <w:pPr>
              <w:pStyle w:val="TableParagraph"/>
              <w:ind w:left="161" w:right="152"/>
              <w:jc w:val="center"/>
              <w:rPr>
                <w:sz w:val="21"/>
              </w:rPr>
            </w:pPr>
            <w:r>
              <w:rPr>
                <w:sz w:val="21"/>
              </w:rPr>
              <w:t>施工员</w:t>
            </w:r>
          </w:p>
        </w:tc>
        <w:tc>
          <w:tcPr>
            <w:tcW w:w="828" w:type="dxa"/>
          </w:tcPr>
          <w:p>
            <w:pPr>
              <w:pStyle w:val="TableParagraph"/>
              <w:rPr>
                <w:rFonts w:ascii="Times New Roman"/>
                <w:sz w:val="20"/>
              </w:rPr>
            </w:pPr>
          </w:p>
        </w:tc>
        <w:tc>
          <w:tcPr>
            <w:tcW w:w="817" w:type="dxa"/>
          </w:tcPr>
          <w:p>
            <w:pPr>
              <w:pStyle w:val="TableParagraph"/>
              <w:rPr>
                <w:rFonts w:ascii="Times New Roman"/>
                <w:sz w:val="20"/>
              </w:rPr>
            </w:pPr>
          </w:p>
        </w:tc>
        <w:tc>
          <w:tcPr>
            <w:tcW w:w="1150" w:type="dxa"/>
          </w:tcPr>
          <w:p>
            <w:pPr>
              <w:pStyle w:val="TableParagraph"/>
              <w:rPr>
                <w:rFonts w:ascii="Times New Roman"/>
                <w:sz w:val="20"/>
              </w:rPr>
            </w:pPr>
          </w:p>
        </w:tc>
        <w:tc>
          <w:tcPr>
            <w:tcW w:w="1148" w:type="dxa"/>
          </w:tcPr>
          <w:p>
            <w:pPr>
              <w:pStyle w:val="TableParagraph"/>
              <w:rPr>
                <w:rFonts w:ascii="Times New Roman"/>
                <w:sz w:val="20"/>
              </w:rPr>
            </w:pPr>
          </w:p>
        </w:tc>
        <w:tc>
          <w:tcPr>
            <w:tcW w:w="1148" w:type="dxa"/>
          </w:tcPr>
          <w:p>
            <w:pPr>
              <w:pStyle w:val="TableParagraph"/>
              <w:rPr>
                <w:rFonts w:ascii="Times New Roman"/>
                <w:sz w:val="20"/>
              </w:rPr>
            </w:pPr>
          </w:p>
        </w:tc>
        <w:tc>
          <w:tcPr>
            <w:tcW w:w="1150" w:type="dxa"/>
          </w:tcPr>
          <w:p>
            <w:pPr>
              <w:pStyle w:val="TableParagraph"/>
              <w:rPr>
                <w:rFonts w:ascii="Times New Roman"/>
                <w:sz w:val="20"/>
              </w:rPr>
            </w:pPr>
          </w:p>
        </w:tc>
        <w:tc>
          <w:tcPr>
            <w:tcW w:w="851" w:type="dxa"/>
          </w:tcPr>
          <w:p>
            <w:pPr>
              <w:pStyle w:val="TableParagraph"/>
              <w:rPr>
                <w:rFonts w:ascii="Times New Roman"/>
                <w:sz w:val="20"/>
              </w:rPr>
            </w:pPr>
          </w:p>
        </w:tc>
        <w:tc>
          <w:tcPr>
            <w:tcW w:w="1275" w:type="dxa"/>
          </w:tcPr>
          <w:p>
            <w:pPr>
              <w:pStyle w:val="TableParagraph"/>
              <w:rPr>
                <w:rFonts w:ascii="Times New Roman"/>
                <w:sz w:val="20"/>
              </w:rPr>
            </w:pPr>
          </w:p>
        </w:tc>
      </w:tr>
      <w:tr>
        <w:trPr>
          <w:trHeight w:val="659" w:hRule="atLeast"/>
        </w:trPr>
        <w:tc>
          <w:tcPr>
            <w:tcW w:w="994" w:type="dxa"/>
          </w:tcPr>
          <w:p>
            <w:pPr>
              <w:pStyle w:val="TableParagraph"/>
              <w:spacing w:before="3"/>
              <w:rPr>
                <w:sz w:val="15"/>
              </w:rPr>
            </w:pPr>
          </w:p>
          <w:p>
            <w:pPr>
              <w:pStyle w:val="TableParagraph"/>
              <w:ind w:left="161" w:right="152"/>
              <w:jc w:val="center"/>
              <w:rPr>
                <w:sz w:val="21"/>
              </w:rPr>
            </w:pPr>
            <w:r>
              <w:rPr>
                <w:sz w:val="21"/>
              </w:rPr>
              <w:t>质量员</w:t>
            </w:r>
          </w:p>
        </w:tc>
        <w:tc>
          <w:tcPr>
            <w:tcW w:w="828" w:type="dxa"/>
          </w:tcPr>
          <w:p>
            <w:pPr>
              <w:pStyle w:val="TableParagraph"/>
              <w:rPr>
                <w:rFonts w:ascii="Times New Roman"/>
                <w:sz w:val="20"/>
              </w:rPr>
            </w:pPr>
          </w:p>
        </w:tc>
        <w:tc>
          <w:tcPr>
            <w:tcW w:w="817" w:type="dxa"/>
          </w:tcPr>
          <w:p>
            <w:pPr>
              <w:pStyle w:val="TableParagraph"/>
              <w:rPr>
                <w:rFonts w:ascii="Times New Roman"/>
                <w:sz w:val="20"/>
              </w:rPr>
            </w:pPr>
          </w:p>
        </w:tc>
        <w:tc>
          <w:tcPr>
            <w:tcW w:w="1150" w:type="dxa"/>
          </w:tcPr>
          <w:p>
            <w:pPr>
              <w:pStyle w:val="TableParagraph"/>
              <w:rPr>
                <w:rFonts w:ascii="Times New Roman"/>
                <w:sz w:val="20"/>
              </w:rPr>
            </w:pPr>
          </w:p>
        </w:tc>
        <w:tc>
          <w:tcPr>
            <w:tcW w:w="1148" w:type="dxa"/>
          </w:tcPr>
          <w:p>
            <w:pPr>
              <w:pStyle w:val="TableParagraph"/>
              <w:rPr>
                <w:rFonts w:ascii="Times New Roman"/>
                <w:sz w:val="20"/>
              </w:rPr>
            </w:pPr>
          </w:p>
        </w:tc>
        <w:tc>
          <w:tcPr>
            <w:tcW w:w="1148" w:type="dxa"/>
          </w:tcPr>
          <w:p>
            <w:pPr>
              <w:pStyle w:val="TableParagraph"/>
              <w:rPr>
                <w:rFonts w:ascii="Times New Roman"/>
                <w:sz w:val="20"/>
              </w:rPr>
            </w:pPr>
          </w:p>
        </w:tc>
        <w:tc>
          <w:tcPr>
            <w:tcW w:w="1150" w:type="dxa"/>
          </w:tcPr>
          <w:p>
            <w:pPr>
              <w:pStyle w:val="TableParagraph"/>
              <w:rPr>
                <w:rFonts w:ascii="Times New Roman"/>
                <w:sz w:val="20"/>
              </w:rPr>
            </w:pPr>
          </w:p>
        </w:tc>
        <w:tc>
          <w:tcPr>
            <w:tcW w:w="851" w:type="dxa"/>
          </w:tcPr>
          <w:p>
            <w:pPr>
              <w:pStyle w:val="TableParagraph"/>
              <w:rPr>
                <w:rFonts w:ascii="Times New Roman"/>
                <w:sz w:val="20"/>
              </w:rPr>
            </w:pPr>
          </w:p>
        </w:tc>
        <w:tc>
          <w:tcPr>
            <w:tcW w:w="1275" w:type="dxa"/>
          </w:tcPr>
          <w:p>
            <w:pPr>
              <w:pStyle w:val="TableParagraph"/>
              <w:rPr>
                <w:rFonts w:ascii="Times New Roman"/>
                <w:sz w:val="20"/>
              </w:rPr>
            </w:pPr>
          </w:p>
        </w:tc>
      </w:tr>
      <w:tr>
        <w:trPr>
          <w:trHeight w:val="660" w:hRule="atLeast"/>
        </w:trPr>
        <w:tc>
          <w:tcPr>
            <w:tcW w:w="994" w:type="dxa"/>
            <w:vMerge w:val="restart"/>
          </w:tcPr>
          <w:p>
            <w:pPr>
              <w:pStyle w:val="TableParagraph"/>
              <w:rPr>
                <w:sz w:val="20"/>
              </w:rPr>
            </w:pPr>
          </w:p>
          <w:p>
            <w:pPr>
              <w:pStyle w:val="TableParagraph"/>
              <w:rPr>
                <w:sz w:val="20"/>
              </w:rPr>
            </w:pPr>
          </w:p>
          <w:p>
            <w:pPr>
              <w:pStyle w:val="TableParagraph"/>
              <w:spacing w:before="7"/>
              <w:rPr>
                <w:sz w:val="27"/>
              </w:rPr>
            </w:pPr>
          </w:p>
          <w:p>
            <w:pPr>
              <w:pStyle w:val="TableParagraph"/>
              <w:ind w:left="179"/>
              <w:rPr>
                <w:sz w:val="21"/>
              </w:rPr>
            </w:pPr>
            <w:r>
              <w:rPr>
                <w:sz w:val="21"/>
              </w:rPr>
              <w:t>安全员</w:t>
            </w:r>
          </w:p>
        </w:tc>
        <w:tc>
          <w:tcPr>
            <w:tcW w:w="828" w:type="dxa"/>
          </w:tcPr>
          <w:p>
            <w:pPr>
              <w:pStyle w:val="TableParagraph"/>
              <w:rPr>
                <w:rFonts w:ascii="Times New Roman"/>
                <w:sz w:val="20"/>
              </w:rPr>
            </w:pPr>
          </w:p>
        </w:tc>
        <w:tc>
          <w:tcPr>
            <w:tcW w:w="817" w:type="dxa"/>
          </w:tcPr>
          <w:p>
            <w:pPr>
              <w:pStyle w:val="TableParagraph"/>
              <w:rPr>
                <w:rFonts w:ascii="Times New Roman"/>
                <w:sz w:val="20"/>
              </w:rPr>
            </w:pPr>
          </w:p>
        </w:tc>
        <w:tc>
          <w:tcPr>
            <w:tcW w:w="1150" w:type="dxa"/>
          </w:tcPr>
          <w:p>
            <w:pPr>
              <w:pStyle w:val="TableParagraph"/>
              <w:rPr>
                <w:rFonts w:ascii="Times New Roman"/>
                <w:sz w:val="20"/>
              </w:rPr>
            </w:pPr>
          </w:p>
        </w:tc>
        <w:tc>
          <w:tcPr>
            <w:tcW w:w="1148" w:type="dxa"/>
          </w:tcPr>
          <w:p>
            <w:pPr>
              <w:pStyle w:val="TableParagraph"/>
              <w:rPr>
                <w:rFonts w:ascii="Times New Roman"/>
                <w:sz w:val="20"/>
              </w:rPr>
            </w:pPr>
          </w:p>
        </w:tc>
        <w:tc>
          <w:tcPr>
            <w:tcW w:w="1148" w:type="dxa"/>
          </w:tcPr>
          <w:p>
            <w:pPr>
              <w:pStyle w:val="TableParagraph"/>
              <w:rPr>
                <w:rFonts w:ascii="Times New Roman"/>
                <w:sz w:val="20"/>
              </w:rPr>
            </w:pPr>
          </w:p>
        </w:tc>
        <w:tc>
          <w:tcPr>
            <w:tcW w:w="1150" w:type="dxa"/>
          </w:tcPr>
          <w:p>
            <w:pPr>
              <w:pStyle w:val="TableParagraph"/>
              <w:rPr>
                <w:rFonts w:ascii="Times New Roman"/>
                <w:sz w:val="20"/>
              </w:rPr>
            </w:pPr>
          </w:p>
        </w:tc>
        <w:tc>
          <w:tcPr>
            <w:tcW w:w="851" w:type="dxa"/>
          </w:tcPr>
          <w:p>
            <w:pPr>
              <w:pStyle w:val="TableParagraph"/>
              <w:rPr>
                <w:rFonts w:ascii="Times New Roman"/>
                <w:sz w:val="20"/>
              </w:rPr>
            </w:pPr>
          </w:p>
        </w:tc>
        <w:tc>
          <w:tcPr>
            <w:tcW w:w="1275" w:type="dxa"/>
          </w:tcPr>
          <w:p>
            <w:pPr>
              <w:pStyle w:val="TableParagraph"/>
              <w:rPr>
                <w:rFonts w:ascii="Times New Roman"/>
                <w:sz w:val="20"/>
              </w:rPr>
            </w:pPr>
          </w:p>
        </w:tc>
      </w:tr>
      <w:tr>
        <w:trPr>
          <w:trHeight w:val="659" w:hRule="atLeast"/>
        </w:trPr>
        <w:tc>
          <w:tcPr>
            <w:tcW w:w="994" w:type="dxa"/>
            <w:vMerge/>
            <w:tcBorders>
              <w:top w:val="nil"/>
            </w:tcBorders>
          </w:tcPr>
          <w:p>
            <w:pPr>
              <w:rPr>
                <w:sz w:val="2"/>
                <w:szCs w:val="2"/>
              </w:rPr>
            </w:pPr>
          </w:p>
        </w:tc>
        <w:tc>
          <w:tcPr>
            <w:tcW w:w="828" w:type="dxa"/>
          </w:tcPr>
          <w:p>
            <w:pPr>
              <w:pStyle w:val="TableParagraph"/>
              <w:rPr>
                <w:rFonts w:ascii="Times New Roman"/>
                <w:sz w:val="20"/>
              </w:rPr>
            </w:pPr>
          </w:p>
        </w:tc>
        <w:tc>
          <w:tcPr>
            <w:tcW w:w="817" w:type="dxa"/>
          </w:tcPr>
          <w:p>
            <w:pPr>
              <w:pStyle w:val="TableParagraph"/>
              <w:rPr>
                <w:rFonts w:ascii="Times New Roman"/>
                <w:sz w:val="20"/>
              </w:rPr>
            </w:pPr>
          </w:p>
        </w:tc>
        <w:tc>
          <w:tcPr>
            <w:tcW w:w="1150" w:type="dxa"/>
          </w:tcPr>
          <w:p>
            <w:pPr>
              <w:pStyle w:val="TableParagraph"/>
              <w:rPr>
                <w:rFonts w:ascii="Times New Roman"/>
                <w:sz w:val="20"/>
              </w:rPr>
            </w:pPr>
          </w:p>
        </w:tc>
        <w:tc>
          <w:tcPr>
            <w:tcW w:w="1148" w:type="dxa"/>
          </w:tcPr>
          <w:p>
            <w:pPr>
              <w:pStyle w:val="TableParagraph"/>
              <w:rPr>
                <w:rFonts w:ascii="Times New Roman"/>
                <w:sz w:val="20"/>
              </w:rPr>
            </w:pPr>
          </w:p>
        </w:tc>
        <w:tc>
          <w:tcPr>
            <w:tcW w:w="1148" w:type="dxa"/>
          </w:tcPr>
          <w:p>
            <w:pPr>
              <w:pStyle w:val="TableParagraph"/>
              <w:rPr>
                <w:rFonts w:ascii="Times New Roman"/>
                <w:sz w:val="20"/>
              </w:rPr>
            </w:pPr>
          </w:p>
        </w:tc>
        <w:tc>
          <w:tcPr>
            <w:tcW w:w="1150" w:type="dxa"/>
          </w:tcPr>
          <w:p>
            <w:pPr>
              <w:pStyle w:val="TableParagraph"/>
              <w:rPr>
                <w:rFonts w:ascii="Times New Roman"/>
                <w:sz w:val="20"/>
              </w:rPr>
            </w:pPr>
          </w:p>
        </w:tc>
        <w:tc>
          <w:tcPr>
            <w:tcW w:w="851" w:type="dxa"/>
          </w:tcPr>
          <w:p>
            <w:pPr>
              <w:pStyle w:val="TableParagraph"/>
              <w:rPr>
                <w:rFonts w:ascii="Times New Roman"/>
                <w:sz w:val="20"/>
              </w:rPr>
            </w:pPr>
          </w:p>
        </w:tc>
        <w:tc>
          <w:tcPr>
            <w:tcW w:w="1275" w:type="dxa"/>
          </w:tcPr>
          <w:p>
            <w:pPr>
              <w:pStyle w:val="TableParagraph"/>
              <w:rPr>
                <w:rFonts w:ascii="Times New Roman"/>
                <w:sz w:val="20"/>
              </w:rPr>
            </w:pPr>
          </w:p>
        </w:tc>
      </w:tr>
      <w:tr>
        <w:trPr>
          <w:trHeight w:val="659" w:hRule="atLeast"/>
        </w:trPr>
        <w:tc>
          <w:tcPr>
            <w:tcW w:w="994" w:type="dxa"/>
            <w:vMerge/>
            <w:tcBorders>
              <w:top w:val="nil"/>
            </w:tcBorders>
          </w:tcPr>
          <w:p>
            <w:pPr>
              <w:rPr>
                <w:sz w:val="2"/>
                <w:szCs w:val="2"/>
              </w:rPr>
            </w:pPr>
          </w:p>
        </w:tc>
        <w:tc>
          <w:tcPr>
            <w:tcW w:w="828" w:type="dxa"/>
          </w:tcPr>
          <w:p>
            <w:pPr>
              <w:pStyle w:val="TableParagraph"/>
              <w:rPr>
                <w:rFonts w:ascii="Times New Roman"/>
                <w:sz w:val="20"/>
              </w:rPr>
            </w:pPr>
          </w:p>
        </w:tc>
        <w:tc>
          <w:tcPr>
            <w:tcW w:w="817" w:type="dxa"/>
          </w:tcPr>
          <w:p>
            <w:pPr>
              <w:pStyle w:val="TableParagraph"/>
              <w:rPr>
                <w:rFonts w:ascii="Times New Roman"/>
                <w:sz w:val="20"/>
              </w:rPr>
            </w:pPr>
          </w:p>
        </w:tc>
        <w:tc>
          <w:tcPr>
            <w:tcW w:w="1150" w:type="dxa"/>
          </w:tcPr>
          <w:p>
            <w:pPr>
              <w:pStyle w:val="TableParagraph"/>
              <w:rPr>
                <w:rFonts w:ascii="Times New Roman"/>
                <w:sz w:val="20"/>
              </w:rPr>
            </w:pPr>
          </w:p>
        </w:tc>
        <w:tc>
          <w:tcPr>
            <w:tcW w:w="1148" w:type="dxa"/>
          </w:tcPr>
          <w:p>
            <w:pPr>
              <w:pStyle w:val="TableParagraph"/>
              <w:rPr>
                <w:rFonts w:ascii="Times New Roman"/>
                <w:sz w:val="20"/>
              </w:rPr>
            </w:pPr>
          </w:p>
        </w:tc>
        <w:tc>
          <w:tcPr>
            <w:tcW w:w="1148" w:type="dxa"/>
          </w:tcPr>
          <w:p>
            <w:pPr>
              <w:pStyle w:val="TableParagraph"/>
              <w:rPr>
                <w:rFonts w:ascii="Times New Roman"/>
                <w:sz w:val="20"/>
              </w:rPr>
            </w:pPr>
          </w:p>
        </w:tc>
        <w:tc>
          <w:tcPr>
            <w:tcW w:w="1150" w:type="dxa"/>
          </w:tcPr>
          <w:p>
            <w:pPr>
              <w:pStyle w:val="TableParagraph"/>
              <w:rPr>
                <w:rFonts w:ascii="Times New Roman"/>
                <w:sz w:val="20"/>
              </w:rPr>
            </w:pPr>
          </w:p>
        </w:tc>
        <w:tc>
          <w:tcPr>
            <w:tcW w:w="851" w:type="dxa"/>
          </w:tcPr>
          <w:p>
            <w:pPr>
              <w:pStyle w:val="TableParagraph"/>
              <w:rPr>
                <w:rFonts w:ascii="Times New Roman"/>
                <w:sz w:val="20"/>
              </w:rPr>
            </w:pPr>
          </w:p>
        </w:tc>
        <w:tc>
          <w:tcPr>
            <w:tcW w:w="1275" w:type="dxa"/>
          </w:tcPr>
          <w:p>
            <w:pPr>
              <w:pStyle w:val="TableParagraph"/>
              <w:rPr>
                <w:rFonts w:ascii="Times New Roman"/>
                <w:sz w:val="20"/>
              </w:rPr>
            </w:pPr>
          </w:p>
        </w:tc>
      </w:tr>
      <w:tr>
        <w:trPr>
          <w:trHeight w:val="662" w:hRule="atLeast"/>
        </w:trPr>
        <w:tc>
          <w:tcPr>
            <w:tcW w:w="994" w:type="dxa"/>
          </w:tcPr>
          <w:p>
            <w:pPr>
              <w:pStyle w:val="TableParagraph"/>
              <w:spacing w:before="3"/>
              <w:rPr>
                <w:sz w:val="15"/>
              </w:rPr>
            </w:pPr>
          </w:p>
          <w:p>
            <w:pPr>
              <w:pStyle w:val="TableParagraph"/>
              <w:ind w:left="161" w:right="152"/>
              <w:jc w:val="center"/>
              <w:rPr>
                <w:sz w:val="21"/>
              </w:rPr>
            </w:pPr>
            <w:r>
              <w:rPr>
                <w:sz w:val="21"/>
              </w:rPr>
              <w:t>材料员</w:t>
            </w:r>
          </w:p>
        </w:tc>
        <w:tc>
          <w:tcPr>
            <w:tcW w:w="828" w:type="dxa"/>
          </w:tcPr>
          <w:p>
            <w:pPr>
              <w:pStyle w:val="TableParagraph"/>
              <w:rPr>
                <w:rFonts w:ascii="Times New Roman"/>
                <w:sz w:val="20"/>
              </w:rPr>
            </w:pPr>
          </w:p>
        </w:tc>
        <w:tc>
          <w:tcPr>
            <w:tcW w:w="817" w:type="dxa"/>
          </w:tcPr>
          <w:p>
            <w:pPr>
              <w:pStyle w:val="TableParagraph"/>
              <w:rPr>
                <w:rFonts w:ascii="Times New Roman"/>
                <w:sz w:val="20"/>
              </w:rPr>
            </w:pPr>
          </w:p>
        </w:tc>
        <w:tc>
          <w:tcPr>
            <w:tcW w:w="1150" w:type="dxa"/>
          </w:tcPr>
          <w:p>
            <w:pPr>
              <w:pStyle w:val="TableParagraph"/>
              <w:rPr>
                <w:rFonts w:ascii="Times New Roman"/>
                <w:sz w:val="20"/>
              </w:rPr>
            </w:pPr>
          </w:p>
        </w:tc>
        <w:tc>
          <w:tcPr>
            <w:tcW w:w="1148" w:type="dxa"/>
          </w:tcPr>
          <w:p>
            <w:pPr>
              <w:pStyle w:val="TableParagraph"/>
              <w:rPr>
                <w:rFonts w:ascii="Times New Roman"/>
                <w:sz w:val="20"/>
              </w:rPr>
            </w:pPr>
          </w:p>
        </w:tc>
        <w:tc>
          <w:tcPr>
            <w:tcW w:w="1148" w:type="dxa"/>
          </w:tcPr>
          <w:p>
            <w:pPr>
              <w:pStyle w:val="TableParagraph"/>
              <w:rPr>
                <w:rFonts w:ascii="Times New Roman"/>
                <w:sz w:val="20"/>
              </w:rPr>
            </w:pPr>
          </w:p>
        </w:tc>
        <w:tc>
          <w:tcPr>
            <w:tcW w:w="1150" w:type="dxa"/>
          </w:tcPr>
          <w:p>
            <w:pPr>
              <w:pStyle w:val="TableParagraph"/>
              <w:rPr>
                <w:rFonts w:ascii="Times New Roman"/>
                <w:sz w:val="20"/>
              </w:rPr>
            </w:pPr>
          </w:p>
        </w:tc>
        <w:tc>
          <w:tcPr>
            <w:tcW w:w="851" w:type="dxa"/>
          </w:tcPr>
          <w:p>
            <w:pPr>
              <w:pStyle w:val="TableParagraph"/>
              <w:rPr>
                <w:rFonts w:ascii="Times New Roman"/>
                <w:sz w:val="20"/>
              </w:rPr>
            </w:pPr>
          </w:p>
        </w:tc>
        <w:tc>
          <w:tcPr>
            <w:tcW w:w="1275" w:type="dxa"/>
          </w:tcPr>
          <w:p>
            <w:pPr>
              <w:pStyle w:val="TableParagraph"/>
              <w:rPr>
                <w:rFonts w:ascii="Times New Roman"/>
                <w:sz w:val="20"/>
              </w:rPr>
            </w:pPr>
          </w:p>
        </w:tc>
      </w:tr>
      <w:tr>
        <w:trPr>
          <w:trHeight w:val="659" w:hRule="atLeast"/>
        </w:trPr>
        <w:tc>
          <w:tcPr>
            <w:tcW w:w="994" w:type="dxa"/>
          </w:tcPr>
          <w:p>
            <w:pPr>
              <w:pStyle w:val="TableParagraph"/>
              <w:rPr>
                <w:rFonts w:ascii="Times New Roman"/>
                <w:sz w:val="20"/>
              </w:rPr>
            </w:pPr>
          </w:p>
        </w:tc>
        <w:tc>
          <w:tcPr>
            <w:tcW w:w="828" w:type="dxa"/>
          </w:tcPr>
          <w:p>
            <w:pPr>
              <w:pStyle w:val="TableParagraph"/>
              <w:rPr>
                <w:rFonts w:ascii="Times New Roman"/>
                <w:sz w:val="20"/>
              </w:rPr>
            </w:pPr>
          </w:p>
        </w:tc>
        <w:tc>
          <w:tcPr>
            <w:tcW w:w="817" w:type="dxa"/>
          </w:tcPr>
          <w:p>
            <w:pPr>
              <w:pStyle w:val="TableParagraph"/>
              <w:rPr>
                <w:rFonts w:ascii="Times New Roman"/>
                <w:sz w:val="20"/>
              </w:rPr>
            </w:pPr>
          </w:p>
        </w:tc>
        <w:tc>
          <w:tcPr>
            <w:tcW w:w="1150" w:type="dxa"/>
          </w:tcPr>
          <w:p>
            <w:pPr>
              <w:pStyle w:val="TableParagraph"/>
              <w:rPr>
                <w:rFonts w:ascii="Times New Roman"/>
                <w:sz w:val="20"/>
              </w:rPr>
            </w:pPr>
          </w:p>
        </w:tc>
        <w:tc>
          <w:tcPr>
            <w:tcW w:w="1148" w:type="dxa"/>
          </w:tcPr>
          <w:p>
            <w:pPr>
              <w:pStyle w:val="TableParagraph"/>
              <w:rPr>
                <w:rFonts w:ascii="Times New Roman"/>
                <w:sz w:val="20"/>
              </w:rPr>
            </w:pPr>
          </w:p>
        </w:tc>
        <w:tc>
          <w:tcPr>
            <w:tcW w:w="1148" w:type="dxa"/>
          </w:tcPr>
          <w:p>
            <w:pPr>
              <w:pStyle w:val="TableParagraph"/>
              <w:rPr>
                <w:rFonts w:ascii="Times New Roman"/>
                <w:sz w:val="20"/>
              </w:rPr>
            </w:pPr>
          </w:p>
        </w:tc>
        <w:tc>
          <w:tcPr>
            <w:tcW w:w="1150" w:type="dxa"/>
          </w:tcPr>
          <w:p>
            <w:pPr>
              <w:pStyle w:val="TableParagraph"/>
              <w:rPr>
                <w:rFonts w:ascii="Times New Roman"/>
                <w:sz w:val="20"/>
              </w:rPr>
            </w:pPr>
          </w:p>
        </w:tc>
        <w:tc>
          <w:tcPr>
            <w:tcW w:w="851" w:type="dxa"/>
          </w:tcPr>
          <w:p>
            <w:pPr>
              <w:pStyle w:val="TableParagraph"/>
              <w:rPr>
                <w:rFonts w:ascii="Times New Roman"/>
                <w:sz w:val="20"/>
              </w:rPr>
            </w:pPr>
          </w:p>
        </w:tc>
        <w:tc>
          <w:tcPr>
            <w:tcW w:w="1275" w:type="dxa"/>
          </w:tcPr>
          <w:p>
            <w:pPr>
              <w:pStyle w:val="TableParagraph"/>
              <w:rPr>
                <w:rFonts w:ascii="Times New Roman"/>
                <w:sz w:val="20"/>
              </w:rPr>
            </w:pPr>
          </w:p>
        </w:tc>
      </w:tr>
      <w:tr>
        <w:trPr>
          <w:trHeight w:val="660" w:hRule="atLeast"/>
        </w:trPr>
        <w:tc>
          <w:tcPr>
            <w:tcW w:w="994" w:type="dxa"/>
          </w:tcPr>
          <w:p>
            <w:pPr>
              <w:pStyle w:val="TableParagraph"/>
              <w:spacing w:before="9"/>
              <w:rPr>
                <w:sz w:val="15"/>
              </w:rPr>
            </w:pPr>
          </w:p>
          <w:p>
            <w:pPr>
              <w:pStyle w:val="TableParagraph"/>
              <w:spacing w:before="1"/>
              <w:ind w:left="161" w:right="152"/>
              <w:jc w:val="center"/>
              <w:rPr>
                <w:rFonts w:ascii="Times New Roman" w:hAnsi="Times New Roman"/>
                <w:sz w:val="21"/>
              </w:rPr>
            </w:pPr>
            <w:r>
              <w:rPr>
                <w:rFonts w:ascii="Times New Roman" w:hAnsi="Times New Roman"/>
                <w:sz w:val="21"/>
              </w:rPr>
              <w:t>……</w:t>
            </w:r>
          </w:p>
        </w:tc>
        <w:tc>
          <w:tcPr>
            <w:tcW w:w="828" w:type="dxa"/>
          </w:tcPr>
          <w:p>
            <w:pPr>
              <w:pStyle w:val="TableParagraph"/>
              <w:rPr>
                <w:rFonts w:ascii="Times New Roman"/>
                <w:sz w:val="20"/>
              </w:rPr>
            </w:pPr>
          </w:p>
        </w:tc>
        <w:tc>
          <w:tcPr>
            <w:tcW w:w="817" w:type="dxa"/>
          </w:tcPr>
          <w:p>
            <w:pPr>
              <w:pStyle w:val="TableParagraph"/>
              <w:rPr>
                <w:rFonts w:ascii="Times New Roman"/>
                <w:sz w:val="20"/>
              </w:rPr>
            </w:pPr>
          </w:p>
        </w:tc>
        <w:tc>
          <w:tcPr>
            <w:tcW w:w="1150" w:type="dxa"/>
          </w:tcPr>
          <w:p>
            <w:pPr>
              <w:pStyle w:val="TableParagraph"/>
              <w:rPr>
                <w:rFonts w:ascii="Times New Roman"/>
                <w:sz w:val="20"/>
              </w:rPr>
            </w:pPr>
          </w:p>
        </w:tc>
        <w:tc>
          <w:tcPr>
            <w:tcW w:w="1148" w:type="dxa"/>
          </w:tcPr>
          <w:p>
            <w:pPr>
              <w:pStyle w:val="TableParagraph"/>
              <w:rPr>
                <w:rFonts w:ascii="Times New Roman"/>
                <w:sz w:val="20"/>
              </w:rPr>
            </w:pPr>
          </w:p>
        </w:tc>
        <w:tc>
          <w:tcPr>
            <w:tcW w:w="1148" w:type="dxa"/>
          </w:tcPr>
          <w:p>
            <w:pPr>
              <w:pStyle w:val="TableParagraph"/>
              <w:rPr>
                <w:rFonts w:ascii="Times New Roman"/>
                <w:sz w:val="20"/>
              </w:rPr>
            </w:pPr>
          </w:p>
        </w:tc>
        <w:tc>
          <w:tcPr>
            <w:tcW w:w="1150" w:type="dxa"/>
          </w:tcPr>
          <w:p>
            <w:pPr>
              <w:pStyle w:val="TableParagraph"/>
              <w:rPr>
                <w:rFonts w:ascii="Times New Roman"/>
                <w:sz w:val="20"/>
              </w:rPr>
            </w:pPr>
          </w:p>
        </w:tc>
        <w:tc>
          <w:tcPr>
            <w:tcW w:w="851" w:type="dxa"/>
          </w:tcPr>
          <w:p>
            <w:pPr>
              <w:pStyle w:val="TableParagraph"/>
              <w:rPr>
                <w:rFonts w:ascii="Times New Roman"/>
                <w:sz w:val="20"/>
              </w:rPr>
            </w:pPr>
          </w:p>
        </w:tc>
        <w:tc>
          <w:tcPr>
            <w:tcW w:w="1275" w:type="dxa"/>
          </w:tcPr>
          <w:p>
            <w:pPr>
              <w:pStyle w:val="TableParagraph"/>
              <w:rPr>
                <w:rFonts w:ascii="Times New Roman"/>
                <w:sz w:val="20"/>
              </w:rPr>
            </w:pPr>
          </w:p>
        </w:tc>
      </w:tr>
      <w:tr>
        <w:trPr>
          <w:trHeight w:val="1225" w:hRule="atLeast"/>
        </w:trPr>
        <w:tc>
          <w:tcPr>
            <w:tcW w:w="9361" w:type="dxa"/>
            <w:gridSpan w:val="9"/>
          </w:tcPr>
          <w:p>
            <w:pPr>
              <w:pStyle w:val="TableParagraph"/>
              <w:spacing w:line="364" w:lineRule="auto" w:before="1"/>
              <w:ind w:left="107" w:right="-15"/>
              <w:rPr>
                <w:sz w:val="21"/>
              </w:rPr>
            </w:pPr>
            <w:r>
              <w:rPr>
                <w:spacing w:val="-3"/>
                <w:sz w:val="21"/>
              </w:rPr>
              <w:t>一旦我单位中标，将实行项目经理负责制，我方保证并配备上述项目管理机构。上述填报内容真实， </w:t>
            </w:r>
            <w:r>
              <w:rPr>
                <w:spacing w:val="-11"/>
                <w:sz w:val="21"/>
              </w:rPr>
              <w:t>若不真实，愿按有关规定接受处理。项目管理班子机构设置、职责分工等情况另附资料说明。相关证</w:t>
            </w:r>
          </w:p>
          <w:p>
            <w:pPr>
              <w:pStyle w:val="TableParagraph"/>
              <w:ind w:left="107"/>
              <w:rPr>
                <w:sz w:val="21"/>
              </w:rPr>
            </w:pPr>
            <w:r>
              <w:rPr>
                <w:sz w:val="21"/>
              </w:rPr>
              <w:t>明材料未通过广西建筑业企业诚信信息库审核的，在评审时不予承认。</w:t>
            </w:r>
          </w:p>
        </w:tc>
      </w:tr>
    </w:tbl>
    <w:p>
      <w:pPr>
        <w:pStyle w:val="BodyText"/>
        <w:spacing w:before="4"/>
        <w:ind w:left="0"/>
        <w:rPr>
          <w:sz w:val="28"/>
        </w:rPr>
      </w:pPr>
    </w:p>
    <w:p>
      <w:pPr>
        <w:pStyle w:val="BodyText"/>
        <w:spacing w:line="364" w:lineRule="auto" w:before="1"/>
        <w:ind w:right="1156"/>
      </w:pPr>
      <w:r>
        <w:rPr/>
        <w:t>【备注：附已录入广西建筑业企业诚信信息库的各岗位人员资格证件（如有）扫描件。以上扫描件均为原件的扫描件。】</w:t>
      </w:r>
    </w:p>
    <w:p>
      <w:pPr>
        <w:pStyle w:val="BodyText"/>
        <w:spacing w:line="267" w:lineRule="exact"/>
      </w:pPr>
      <w:r>
        <w:rPr>
          <w:w w:val="100"/>
        </w:rPr>
        <w:t>。</w:t>
      </w:r>
    </w:p>
    <w:p>
      <w:pPr>
        <w:pStyle w:val="BodyText"/>
        <w:ind w:left="0"/>
        <w:rPr>
          <w:sz w:val="20"/>
        </w:rPr>
      </w:pPr>
    </w:p>
    <w:p>
      <w:pPr>
        <w:pStyle w:val="BodyText"/>
        <w:ind w:left="0"/>
        <w:rPr>
          <w:sz w:val="20"/>
        </w:rPr>
      </w:pPr>
    </w:p>
    <w:p>
      <w:pPr>
        <w:pStyle w:val="BodyText"/>
        <w:spacing w:before="2"/>
        <w:ind w:left="0"/>
      </w:pPr>
    </w:p>
    <w:p>
      <w:pPr>
        <w:pStyle w:val="Heading6"/>
        <w:ind w:right="776"/>
      </w:pPr>
      <w:bookmarkStart w:name="2、项目经理（注册建造师）简历表" w:id="522"/>
      <w:bookmarkEnd w:id="522"/>
      <w:r>
        <w:rPr>
          <w:b w:val="0"/>
        </w:rPr>
      </w:r>
      <w:r>
        <w:rPr>
          <w:rFonts w:ascii="Times New Roman" w:eastAsia="Times New Roman"/>
        </w:rPr>
        <w:t>2</w:t>
      </w:r>
      <w:r>
        <w:rPr/>
        <w:t>、项目经理（注册建造师）简历表</w:t>
      </w:r>
    </w:p>
    <w:p>
      <w:pPr>
        <w:pStyle w:val="BodyText"/>
        <w:tabs>
          <w:tab w:pos="1940" w:val="left" w:leader="none"/>
          <w:tab w:pos="4880" w:val="left" w:leader="none"/>
        </w:tabs>
        <w:spacing w:before="193"/>
      </w:pPr>
      <w:r>
        <w:rPr>
          <w:rFonts w:ascii="Times New Roman" w:eastAsia="Times New Roman"/>
          <w:w w:val="100"/>
          <w:u w:val="single"/>
        </w:rPr>
        <w:t> </w:t>
      </w:r>
      <w:r>
        <w:rPr>
          <w:rFonts w:ascii="Times New Roman" w:eastAsia="Times New Roman"/>
          <w:u w:val="single"/>
        </w:rPr>
        <w:tab/>
      </w:r>
      <w:r>
        <w:rPr>
          <w:spacing w:val="-3"/>
          <w:u w:val="single"/>
        </w:rPr>
        <w:t>（</w:t>
      </w:r>
      <w:r>
        <w:rPr>
          <w:u w:val="single"/>
        </w:rPr>
        <w:t>招</w:t>
      </w:r>
      <w:r>
        <w:rPr>
          <w:spacing w:val="-3"/>
          <w:u w:val="single"/>
        </w:rPr>
        <w:t>标</w:t>
      </w:r>
      <w:r>
        <w:rPr>
          <w:u w:val="single"/>
        </w:rPr>
        <w:t>工</w:t>
      </w:r>
      <w:r>
        <w:rPr>
          <w:spacing w:val="-3"/>
          <w:u w:val="single"/>
        </w:rPr>
        <w:t>程</w:t>
      </w:r>
      <w:r>
        <w:rPr>
          <w:u w:val="single"/>
        </w:rPr>
        <w:t>项目</w:t>
      </w:r>
      <w:r>
        <w:rPr>
          <w:spacing w:val="-3"/>
          <w:u w:val="single"/>
        </w:rPr>
        <w:t>名</w:t>
      </w:r>
      <w:r>
        <w:rPr>
          <w:u w:val="single"/>
        </w:rPr>
        <w:t>称）</w:t>
        <w:tab/>
      </w:r>
      <w:r>
        <w:rPr>
          <w:spacing w:val="-3"/>
        </w:rPr>
        <w:t>工程</w:t>
      </w:r>
    </w:p>
    <w:tbl>
      <w:tblPr>
        <w:tblW w:w="0" w:type="auto"/>
        <w:jc w:val="left"/>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2"/>
        <w:gridCol w:w="2340"/>
        <w:gridCol w:w="1893"/>
        <w:gridCol w:w="1583"/>
        <w:gridCol w:w="1108"/>
        <w:gridCol w:w="1273"/>
      </w:tblGrid>
      <w:tr>
        <w:trPr>
          <w:trHeight w:val="599" w:hRule="atLeast"/>
        </w:trPr>
        <w:tc>
          <w:tcPr>
            <w:tcW w:w="1082" w:type="dxa"/>
          </w:tcPr>
          <w:p>
            <w:pPr>
              <w:pStyle w:val="TableParagraph"/>
              <w:spacing w:before="166"/>
              <w:ind w:left="309" w:right="302"/>
              <w:jc w:val="center"/>
              <w:rPr>
                <w:sz w:val="21"/>
              </w:rPr>
            </w:pPr>
            <w:r>
              <w:rPr>
                <w:sz w:val="21"/>
              </w:rPr>
              <w:t>姓名</w:t>
            </w:r>
          </w:p>
        </w:tc>
        <w:tc>
          <w:tcPr>
            <w:tcW w:w="2340" w:type="dxa"/>
          </w:tcPr>
          <w:p>
            <w:pPr>
              <w:pStyle w:val="TableParagraph"/>
              <w:rPr>
                <w:rFonts w:ascii="Times New Roman"/>
                <w:sz w:val="20"/>
              </w:rPr>
            </w:pPr>
          </w:p>
        </w:tc>
        <w:tc>
          <w:tcPr>
            <w:tcW w:w="1893" w:type="dxa"/>
          </w:tcPr>
          <w:p>
            <w:pPr>
              <w:pStyle w:val="TableParagraph"/>
              <w:spacing w:before="166"/>
              <w:ind w:right="721"/>
              <w:jc w:val="right"/>
              <w:rPr>
                <w:sz w:val="21"/>
              </w:rPr>
            </w:pPr>
            <w:r>
              <w:rPr>
                <w:sz w:val="21"/>
              </w:rPr>
              <w:t>性别</w:t>
            </w:r>
          </w:p>
        </w:tc>
        <w:tc>
          <w:tcPr>
            <w:tcW w:w="1583" w:type="dxa"/>
          </w:tcPr>
          <w:p>
            <w:pPr>
              <w:pStyle w:val="TableParagraph"/>
              <w:rPr>
                <w:rFonts w:ascii="Times New Roman"/>
                <w:sz w:val="20"/>
              </w:rPr>
            </w:pPr>
          </w:p>
        </w:tc>
        <w:tc>
          <w:tcPr>
            <w:tcW w:w="1108" w:type="dxa"/>
          </w:tcPr>
          <w:p>
            <w:pPr>
              <w:pStyle w:val="TableParagraph"/>
              <w:spacing w:before="166"/>
              <w:ind w:left="345"/>
              <w:rPr>
                <w:sz w:val="21"/>
              </w:rPr>
            </w:pPr>
            <w:r>
              <w:rPr>
                <w:sz w:val="21"/>
              </w:rPr>
              <w:t>年龄</w:t>
            </w:r>
          </w:p>
        </w:tc>
        <w:tc>
          <w:tcPr>
            <w:tcW w:w="1273" w:type="dxa"/>
          </w:tcPr>
          <w:p>
            <w:pPr>
              <w:pStyle w:val="TableParagraph"/>
              <w:rPr>
                <w:rFonts w:ascii="Times New Roman"/>
                <w:sz w:val="20"/>
              </w:rPr>
            </w:pPr>
          </w:p>
        </w:tc>
      </w:tr>
      <w:tr>
        <w:trPr>
          <w:trHeight w:val="623" w:hRule="atLeast"/>
        </w:trPr>
        <w:tc>
          <w:tcPr>
            <w:tcW w:w="1082" w:type="dxa"/>
          </w:tcPr>
          <w:p>
            <w:pPr>
              <w:pStyle w:val="TableParagraph"/>
              <w:spacing w:before="178"/>
              <w:ind w:left="309" w:right="302"/>
              <w:jc w:val="center"/>
              <w:rPr>
                <w:sz w:val="21"/>
              </w:rPr>
            </w:pPr>
            <w:r>
              <w:rPr>
                <w:sz w:val="21"/>
              </w:rPr>
              <w:t>职务</w:t>
            </w:r>
          </w:p>
        </w:tc>
        <w:tc>
          <w:tcPr>
            <w:tcW w:w="2340" w:type="dxa"/>
          </w:tcPr>
          <w:p>
            <w:pPr>
              <w:pStyle w:val="TableParagraph"/>
              <w:rPr>
                <w:rFonts w:ascii="Times New Roman"/>
                <w:sz w:val="20"/>
              </w:rPr>
            </w:pPr>
          </w:p>
        </w:tc>
        <w:tc>
          <w:tcPr>
            <w:tcW w:w="1893" w:type="dxa"/>
          </w:tcPr>
          <w:p>
            <w:pPr>
              <w:pStyle w:val="TableParagraph"/>
              <w:spacing w:before="178"/>
              <w:ind w:right="721"/>
              <w:jc w:val="right"/>
              <w:rPr>
                <w:sz w:val="21"/>
              </w:rPr>
            </w:pPr>
            <w:r>
              <w:rPr>
                <w:sz w:val="21"/>
              </w:rPr>
              <w:t>职称</w:t>
            </w:r>
          </w:p>
        </w:tc>
        <w:tc>
          <w:tcPr>
            <w:tcW w:w="1583" w:type="dxa"/>
          </w:tcPr>
          <w:p>
            <w:pPr>
              <w:pStyle w:val="TableParagraph"/>
              <w:rPr>
                <w:rFonts w:ascii="Times New Roman"/>
                <w:sz w:val="20"/>
              </w:rPr>
            </w:pPr>
          </w:p>
        </w:tc>
        <w:tc>
          <w:tcPr>
            <w:tcW w:w="1108" w:type="dxa"/>
          </w:tcPr>
          <w:p>
            <w:pPr>
              <w:pStyle w:val="TableParagraph"/>
              <w:spacing w:before="178"/>
              <w:ind w:left="345"/>
              <w:rPr>
                <w:sz w:val="21"/>
              </w:rPr>
            </w:pPr>
            <w:r>
              <w:rPr>
                <w:sz w:val="21"/>
              </w:rPr>
              <w:t>学历</w:t>
            </w:r>
          </w:p>
        </w:tc>
        <w:tc>
          <w:tcPr>
            <w:tcW w:w="1273" w:type="dxa"/>
          </w:tcPr>
          <w:p>
            <w:pPr>
              <w:pStyle w:val="TableParagraph"/>
              <w:rPr>
                <w:rFonts w:ascii="Times New Roman"/>
                <w:sz w:val="20"/>
              </w:rPr>
            </w:pPr>
          </w:p>
        </w:tc>
      </w:tr>
      <w:tr>
        <w:trPr>
          <w:trHeight w:val="599" w:hRule="atLeast"/>
        </w:trPr>
        <w:tc>
          <w:tcPr>
            <w:tcW w:w="3422" w:type="dxa"/>
            <w:gridSpan w:val="2"/>
          </w:tcPr>
          <w:p>
            <w:pPr>
              <w:pStyle w:val="TableParagraph"/>
              <w:spacing w:before="166"/>
              <w:ind w:left="1077"/>
              <w:rPr>
                <w:sz w:val="21"/>
              </w:rPr>
            </w:pPr>
            <w:r>
              <w:rPr>
                <w:sz w:val="21"/>
              </w:rPr>
              <w:t>参加工作时间</w:t>
            </w:r>
          </w:p>
        </w:tc>
        <w:tc>
          <w:tcPr>
            <w:tcW w:w="1893" w:type="dxa"/>
          </w:tcPr>
          <w:p>
            <w:pPr>
              <w:pStyle w:val="TableParagraph"/>
              <w:rPr>
                <w:rFonts w:ascii="Times New Roman"/>
                <w:sz w:val="20"/>
              </w:rPr>
            </w:pPr>
          </w:p>
        </w:tc>
        <w:tc>
          <w:tcPr>
            <w:tcW w:w="2691" w:type="dxa"/>
            <w:gridSpan w:val="2"/>
          </w:tcPr>
          <w:p>
            <w:pPr>
              <w:pStyle w:val="TableParagraph"/>
              <w:spacing w:before="166"/>
              <w:ind w:left="505"/>
              <w:rPr>
                <w:sz w:val="21"/>
              </w:rPr>
            </w:pPr>
            <w:r>
              <w:rPr>
                <w:sz w:val="21"/>
              </w:rPr>
              <w:t>担任项目经理年限</w:t>
            </w:r>
          </w:p>
        </w:tc>
        <w:tc>
          <w:tcPr>
            <w:tcW w:w="1273" w:type="dxa"/>
          </w:tcPr>
          <w:p>
            <w:pPr>
              <w:pStyle w:val="TableParagraph"/>
              <w:rPr>
                <w:rFonts w:ascii="Times New Roman"/>
                <w:sz w:val="20"/>
              </w:rPr>
            </w:pPr>
          </w:p>
        </w:tc>
      </w:tr>
      <w:tr>
        <w:trPr>
          <w:trHeight w:val="470" w:hRule="atLeast"/>
        </w:trPr>
        <w:tc>
          <w:tcPr>
            <w:tcW w:w="3422" w:type="dxa"/>
            <w:gridSpan w:val="2"/>
          </w:tcPr>
          <w:p>
            <w:pPr>
              <w:pStyle w:val="TableParagraph"/>
              <w:spacing w:before="100"/>
              <w:ind w:left="762"/>
              <w:rPr>
                <w:sz w:val="21"/>
              </w:rPr>
            </w:pPr>
            <w:r>
              <w:rPr>
                <w:sz w:val="21"/>
              </w:rPr>
              <w:t>建造师注册证书编号</w:t>
            </w:r>
          </w:p>
        </w:tc>
        <w:tc>
          <w:tcPr>
            <w:tcW w:w="5857" w:type="dxa"/>
            <w:gridSpan w:val="4"/>
          </w:tcPr>
          <w:p>
            <w:pPr>
              <w:pStyle w:val="TableParagraph"/>
              <w:rPr>
                <w:rFonts w:ascii="Times New Roman"/>
                <w:sz w:val="20"/>
              </w:rPr>
            </w:pPr>
          </w:p>
        </w:tc>
      </w:tr>
    </w:tbl>
    <w:p>
      <w:pPr>
        <w:spacing w:after="0"/>
        <w:rPr>
          <w:rFonts w:ascii="Times New Roman"/>
          <w:sz w:val="20"/>
        </w:rPr>
        <w:sectPr>
          <w:pgSz w:w="11910" w:h="16850"/>
          <w:pgMar w:header="0" w:footer="779" w:top="1380" w:bottom="1040" w:left="1120" w:right="280"/>
        </w:sectPr>
      </w:pPr>
    </w:p>
    <w:tbl>
      <w:tblPr>
        <w:tblW w:w="0" w:type="auto"/>
        <w:jc w:val="left"/>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6"/>
        <w:gridCol w:w="1549"/>
        <w:gridCol w:w="1548"/>
        <w:gridCol w:w="1548"/>
        <w:gridCol w:w="1546"/>
        <w:gridCol w:w="1548"/>
      </w:tblGrid>
      <w:tr>
        <w:trPr>
          <w:trHeight w:val="621" w:hRule="atLeast"/>
        </w:trPr>
        <w:tc>
          <w:tcPr>
            <w:tcW w:w="9285" w:type="dxa"/>
            <w:gridSpan w:val="6"/>
          </w:tcPr>
          <w:p>
            <w:pPr>
              <w:pStyle w:val="TableParagraph"/>
              <w:spacing w:before="176"/>
              <w:ind w:left="3467" w:right="3458"/>
              <w:jc w:val="center"/>
              <w:rPr>
                <w:sz w:val="21"/>
              </w:rPr>
            </w:pPr>
            <w:r>
              <w:rPr>
                <w:sz w:val="21"/>
              </w:rPr>
              <w:t>在建和已完工程项目情况</w:t>
            </w:r>
          </w:p>
        </w:tc>
      </w:tr>
      <w:tr>
        <w:trPr>
          <w:trHeight w:val="599" w:hRule="atLeast"/>
        </w:trPr>
        <w:tc>
          <w:tcPr>
            <w:tcW w:w="1546" w:type="dxa"/>
          </w:tcPr>
          <w:p>
            <w:pPr>
              <w:pStyle w:val="TableParagraph"/>
              <w:spacing w:before="164"/>
              <w:ind w:left="350"/>
              <w:rPr>
                <w:sz w:val="21"/>
              </w:rPr>
            </w:pPr>
            <w:r>
              <w:rPr>
                <w:sz w:val="21"/>
              </w:rPr>
              <w:t>建设单位</w:t>
            </w:r>
          </w:p>
        </w:tc>
        <w:tc>
          <w:tcPr>
            <w:tcW w:w="1549" w:type="dxa"/>
          </w:tcPr>
          <w:p>
            <w:pPr>
              <w:pStyle w:val="TableParagraph"/>
              <w:spacing w:before="164"/>
              <w:ind w:left="352"/>
              <w:rPr>
                <w:sz w:val="21"/>
              </w:rPr>
            </w:pPr>
            <w:r>
              <w:rPr>
                <w:sz w:val="21"/>
              </w:rPr>
              <w:t>项目名称</w:t>
            </w:r>
          </w:p>
        </w:tc>
        <w:tc>
          <w:tcPr>
            <w:tcW w:w="1548" w:type="dxa"/>
          </w:tcPr>
          <w:p>
            <w:pPr>
              <w:pStyle w:val="TableParagraph"/>
              <w:spacing w:before="164"/>
              <w:ind w:left="351"/>
              <w:rPr>
                <w:sz w:val="21"/>
              </w:rPr>
            </w:pPr>
            <w:r>
              <w:rPr>
                <w:sz w:val="21"/>
              </w:rPr>
              <w:t>建设规模</w:t>
            </w:r>
          </w:p>
        </w:tc>
        <w:tc>
          <w:tcPr>
            <w:tcW w:w="1548" w:type="dxa"/>
          </w:tcPr>
          <w:p>
            <w:pPr>
              <w:pStyle w:val="TableParagraph"/>
              <w:spacing w:before="164"/>
              <w:ind w:left="142"/>
              <w:rPr>
                <w:sz w:val="21"/>
              </w:rPr>
            </w:pPr>
            <w:r>
              <w:rPr>
                <w:sz w:val="21"/>
              </w:rPr>
              <w:t>开、竣工日期</w:t>
            </w:r>
          </w:p>
        </w:tc>
        <w:tc>
          <w:tcPr>
            <w:tcW w:w="1546" w:type="dxa"/>
          </w:tcPr>
          <w:p>
            <w:pPr>
              <w:pStyle w:val="TableParagraph"/>
              <w:spacing w:before="164"/>
              <w:ind w:left="246"/>
              <w:rPr>
                <w:sz w:val="21"/>
              </w:rPr>
            </w:pPr>
            <w:r>
              <w:rPr>
                <w:sz w:val="21"/>
              </w:rPr>
              <w:t>在建或已完</w:t>
            </w:r>
          </w:p>
        </w:tc>
        <w:tc>
          <w:tcPr>
            <w:tcW w:w="1548" w:type="dxa"/>
          </w:tcPr>
          <w:p>
            <w:pPr>
              <w:pStyle w:val="TableParagraph"/>
              <w:spacing w:before="164"/>
              <w:ind w:left="352"/>
              <w:rPr>
                <w:sz w:val="21"/>
              </w:rPr>
            </w:pPr>
            <w:r>
              <w:rPr>
                <w:sz w:val="21"/>
              </w:rPr>
              <w:t>工程质量</w:t>
            </w:r>
          </w:p>
        </w:tc>
      </w:tr>
      <w:tr>
        <w:trPr>
          <w:trHeight w:val="539" w:hRule="atLeast"/>
        </w:trPr>
        <w:tc>
          <w:tcPr>
            <w:tcW w:w="1546" w:type="dxa"/>
          </w:tcPr>
          <w:p>
            <w:pPr>
              <w:pStyle w:val="TableParagraph"/>
              <w:rPr>
                <w:rFonts w:ascii="Times New Roman"/>
                <w:sz w:val="20"/>
              </w:rPr>
            </w:pPr>
          </w:p>
        </w:tc>
        <w:tc>
          <w:tcPr>
            <w:tcW w:w="1549" w:type="dxa"/>
          </w:tcPr>
          <w:p>
            <w:pPr>
              <w:pStyle w:val="TableParagraph"/>
              <w:rPr>
                <w:rFonts w:ascii="Times New Roman"/>
                <w:sz w:val="20"/>
              </w:rPr>
            </w:pPr>
          </w:p>
        </w:tc>
        <w:tc>
          <w:tcPr>
            <w:tcW w:w="1548" w:type="dxa"/>
          </w:tcPr>
          <w:p>
            <w:pPr>
              <w:pStyle w:val="TableParagraph"/>
              <w:rPr>
                <w:rFonts w:ascii="Times New Roman"/>
                <w:sz w:val="20"/>
              </w:rPr>
            </w:pPr>
          </w:p>
        </w:tc>
        <w:tc>
          <w:tcPr>
            <w:tcW w:w="1548" w:type="dxa"/>
          </w:tcPr>
          <w:p>
            <w:pPr>
              <w:pStyle w:val="TableParagraph"/>
              <w:rPr>
                <w:rFonts w:ascii="Times New Roman"/>
                <w:sz w:val="20"/>
              </w:rPr>
            </w:pPr>
          </w:p>
        </w:tc>
        <w:tc>
          <w:tcPr>
            <w:tcW w:w="1546" w:type="dxa"/>
          </w:tcPr>
          <w:p>
            <w:pPr>
              <w:pStyle w:val="TableParagraph"/>
              <w:rPr>
                <w:rFonts w:ascii="Times New Roman"/>
                <w:sz w:val="20"/>
              </w:rPr>
            </w:pPr>
          </w:p>
        </w:tc>
        <w:tc>
          <w:tcPr>
            <w:tcW w:w="1548" w:type="dxa"/>
          </w:tcPr>
          <w:p>
            <w:pPr>
              <w:pStyle w:val="TableParagraph"/>
              <w:rPr>
                <w:rFonts w:ascii="Times New Roman"/>
                <w:sz w:val="20"/>
              </w:rPr>
            </w:pPr>
          </w:p>
        </w:tc>
      </w:tr>
      <w:tr>
        <w:trPr>
          <w:trHeight w:val="541" w:hRule="atLeast"/>
        </w:trPr>
        <w:tc>
          <w:tcPr>
            <w:tcW w:w="1546" w:type="dxa"/>
          </w:tcPr>
          <w:p>
            <w:pPr>
              <w:pStyle w:val="TableParagraph"/>
              <w:rPr>
                <w:rFonts w:ascii="Times New Roman"/>
                <w:sz w:val="20"/>
              </w:rPr>
            </w:pPr>
          </w:p>
        </w:tc>
        <w:tc>
          <w:tcPr>
            <w:tcW w:w="1549" w:type="dxa"/>
          </w:tcPr>
          <w:p>
            <w:pPr>
              <w:pStyle w:val="TableParagraph"/>
              <w:rPr>
                <w:rFonts w:ascii="Times New Roman"/>
                <w:sz w:val="20"/>
              </w:rPr>
            </w:pPr>
          </w:p>
        </w:tc>
        <w:tc>
          <w:tcPr>
            <w:tcW w:w="1548" w:type="dxa"/>
          </w:tcPr>
          <w:p>
            <w:pPr>
              <w:pStyle w:val="TableParagraph"/>
              <w:rPr>
                <w:rFonts w:ascii="Times New Roman"/>
                <w:sz w:val="20"/>
              </w:rPr>
            </w:pPr>
          </w:p>
        </w:tc>
        <w:tc>
          <w:tcPr>
            <w:tcW w:w="1548" w:type="dxa"/>
          </w:tcPr>
          <w:p>
            <w:pPr>
              <w:pStyle w:val="TableParagraph"/>
              <w:rPr>
                <w:rFonts w:ascii="Times New Roman"/>
                <w:sz w:val="20"/>
              </w:rPr>
            </w:pPr>
          </w:p>
        </w:tc>
        <w:tc>
          <w:tcPr>
            <w:tcW w:w="1546" w:type="dxa"/>
          </w:tcPr>
          <w:p>
            <w:pPr>
              <w:pStyle w:val="TableParagraph"/>
              <w:rPr>
                <w:rFonts w:ascii="Times New Roman"/>
                <w:sz w:val="20"/>
              </w:rPr>
            </w:pPr>
          </w:p>
        </w:tc>
        <w:tc>
          <w:tcPr>
            <w:tcW w:w="1548" w:type="dxa"/>
          </w:tcPr>
          <w:p>
            <w:pPr>
              <w:pStyle w:val="TableParagraph"/>
              <w:rPr>
                <w:rFonts w:ascii="Times New Roman"/>
                <w:sz w:val="20"/>
              </w:rPr>
            </w:pPr>
          </w:p>
        </w:tc>
      </w:tr>
      <w:tr>
        <w:trPr>
          <w:trHeight w:val="539" w:hRule="atLeast"/>
        </w:trPr>
        <w:tc>
          <w:tcPr>
            <w:tcW w:w="1546" w:type="dxa"/>
          </w:tcPr>
          <w:p>
            <w:pPr>
              <w:pStyle w:val="TableParagraph"/>
              <w:rPr>
                <w:rFonts w:ascii="Times New Roman"/>
                <w:sz w:val="20"/>
              </w:rPr>
            </w:pPr>
          </w:p>
        </w:tc>
        <w:tc>
          <w:tcPr>
            <w:tcW w:w="1549" w:type="dxa"/>
          </w:tcPr>
          <w:p>
            <w:pPr>
              <w:pStyle w:val="TableParagraph"/>
              <w:rPr>
                <w:rFonts w:ascii="Times New Roman"/>
                <w:sz w:val="20"/>
              </w:rPr>
            </w:pPr>
          </w:p>
        </w:tc>
        <w:tc>
          <w:tcPr>
            <w:tcW w:w="1548" w:type="dxa"/>
          </w:tcPr>
          <w:p>
            <w:pPr>
              <w:pStyle w:val="TableParagraph"/>
              <w:rPr>
                <w:rFonts w:ascii="Times New Roman"/>
                <w:sz w:val="20"/>
              </w:rPr>
            </w:pPr>
          </w:p>
        </w:tc>
        <w:tc>
          <w:tcPr>
            <w:tcW w:w="1548" w:type="dxa"/>
          </w:tcPr>
          <w:p>
            <w:pPr>
              <w:pStyle w:val="TableParagraph"/>
              <w:rPr>
                <w:rFonts w:ascii="Times New Roman"/>
                <w:sz w:val="20"/>
              </w:rPr>
            </w:pPr>
          </w:p>
        </w:tc>
        <w:tc>
          <w:tcPr>
            <w:tcW w:w="1546" w:type="dxa"/>
          </w:tcPr>
          <w:p>
            <w:pPr>
              <w:pStyle w:val="TableParagraph"/>
              <w:rPr>
                <w:rFonts w:ascii="Times New Roman"/>
                <w:sz w:val="20"/>
              </w:rPr>
            </w:pPr>
          </w:p>
        </w:tc>
        <w:tc>
          <w:tcPr>
            <w:tcW w:w="1548" w:type="dxa"/>
          </w:tcPr>
          <w:p>
            <w:pPr>
              <w:pStyle w:val="TableParagraph"/>
              <w:rPr>
                <w:rFonts w:ascii="Times New Roman"/>
                <w:sz w:val="20"/>
              </w:rPr>
            </w:pPr>
          </w:p>
        </w:tc>
      </w:tr>
      <w:tr>
        <w:trPr>
          <w:trHeight w:val="551" w:hRule="atLeast"/>
        </w:trPr>
        <w:tc>
          <w:tcPr>
            <w:tcW w:w="1546" w:type="dxa"/>
          </w:tcPr>
          <w:p>
            <w:pPr>
              <w:pStyle w:val="TableParagraph"/>
              <w:rPr>
                <w:rFonts w:ascii="Times New Roman"/>
                <w:sz w:val="20"/>
              </w:rPr>
            </w:pPr>
          </w:p>
        </w:tc>
        <w:tc>
          <w:tcPr>
            <w:tcW w:w="1549" w:type="dxa"/>
          </w:tcPr>
          <w:p>
            <w:pPr>
              <w:pStyle w:val="TableParagraph"/>
              <w:rPr>
                <w:rFonts w:ascii="Times New Roman"/>
                <w:sz w:val="20"/>
              </w:rPr>
            </w:pPr>
          </w:p>
        </w:tc>
        <w:tc>
          <w:tcPr>
            <w:tcW w:w="1548" w:type="dxa"/>
          </w:tcPr>
          <w:p>
            <w:pPr>
              <w:pStyle w:val="TableParagraph"/>
              <w:rPr>
                <w:rFonts w:ascii="Times New Roman"/>
                <w:sz w:val="20"/>
              </w:rPr>
            </w:pPr>
          </w:p>
        </w:tc>
        <w:tc>
          <w:tcPr>
            <w:tcW w:w="1548" w:type="dxa"/>
          </w:tcPr>
          <w:p>
            <w:pPr>
              <w:pStyle w:val="TableParagraph"/>
              <w:rPr>
                <w:rFonts w:ascii="Times New Roman"/>
                <w:sz w:val="20"/>
              </w:rPr>
            </w:pPr>
          </w:p>
        </w:tc>
        <w:tc>
          <w:tcPr>
            <w:tcW w:w="1546" w:type="dxa"/>
          </w:tcPr>
          <w:p>
            <w:pPr>
              <w:pStyle w:val="TableParagraph"/>
              <w:rPr>
                <w:rFonts w:ascii="Times New Roman"/>
                <w:sz w:val="20"/>
              </w:rPr>
            </w:pPr>
          </w:p>
        </w:tc>
        <w:tc>
          <w:tcPr>
            <w:tcW w:w="1548" w:type="dxa"/>
          </w:tcPr>
          <w:p>
            <w:pPr>
              <w:pStyle w:val="TableParagraph"/>
              <w:rPr>
                <w:rFonts w:ascii="Times New Roman"/>
                <w:sz w:val="20"/>
              </w:rPr>
            </w:pPr>
          </w:p>
        </w:tc>
      </w:tr>
    </w:tbl>
    <w:p>
      <w:pPr>
        <w:pStyle w:val="BodyText"/>
        <w:spacing w:before="7"/>
        <w:ind w:left="0"/>
        <w:rPr>
          <w:sz w:val="22"/>
        </w:rPr>
      </w:pPr>
    </w:p>
    <w:p>
      <w:pPr>
        <w:pStyle w:val="BodyText"/>
        <w:spacing w:before="72"/>
      </w:pPr>
      <w:r>
        <w:rPr/>
        <w:t>备注：</w:t>
      </w:r>
    </w:p>
    <w:p>
      <w:pPr>
        <w:pStyle w:val="BodyText"/>
        <w:spacing w:line="364" w:lineRule="auto" w:before="141"/>
        <w:ind w:right="1151" w:firstLine="419"/>
        <w:jc w:val="both"/>
      </w:pPr>
      <w:r>
        <w:rPr>
          <w:rFonts w:ascii="Times New Roman" w:eastAsia="Times New Roman"/>
        </w:rPr>
        <w:t>1</w:t>
      </w:r>
      <w:r>
        <w:rPr/>
        <w:t>、已完成的类似工程应附中标通知书（如有</w:t>
      </w:r>
      <w:r>
        <w:rPr>
          <w:spacing w:val="-106"/>
        </w:rPr>
        <w:t>）</w:t>
      </w:r>
      <w:r>
        <w:rPr>
          <w:spacing w:val="-1"/>
        </w:rPr>
        <w:t>、合同协议书有关页面、工程竣工验收证明</w:t>
      </w:r>
      <w:r>
        <w:rPr>
          <w:spacing w:val="-5"/>
        </w:rPr>
        <w:t>材料的扫描件。在建类似工程应附中标通知书</w:t>
      </w:r>
      <w:r>
        <w:rPr/>
        <w:t>（</w:t>
      </w:r>
      <w:r>
        <w:rPr>
          <w:spacing w:val="-2"/>
        </w:rPr>
        <w:t>如有</w:t>
      </w:r>
      <w:r>
        <w:rPr>
          <w:spacing w:val="-106"/>
        </w:rPr>
        <w:t>）</w:t>
      </w:r>
      <w:r>
        <w:rPr>
          <w:spacing w:val="-6"/>
        </w:rPr>
        <w:t>、工程合同协议书有关页面扫描件。以上</w:t>
      </w:r>
      <w:r>
        <w:rPr>
          <w:spacing w:val="-4"/>
        </w:rPr>
        <w:t>扫描件均为原件的扫描件</w:t>
      </w:r>
    </w:p>
    <w:p>
      <w:pPr>
        <w:pStyle w:val="BodyText"/>
        <w:spacing w:line="266" w:lineRule="exact"/>
        <w:ind w:left="1098"/>
      </w:pPr>
      <w:r>
        <w:rPr>
          <w:rFonts w:ascii="Times New Roman" w:eastAsia="Times New Roman"/>
        </w:rPr>
        <w:t>2</w:t>
      </w:r>
      <w:r>
        <w:rPr/>
        <w:t>、相关证明材料未通过广西建筑业企业诚信信息库审核的，在评审时不予承认。</w:t>
      </w:r>
    </w:p>
    <w:p>
      <w:pPr>
        <w:pStyle w:val="BodyText"/>
        <w:spacing w:line="364" w:lineRule="auto" w:before="141"/>
        <w:ind w:right="1151" w:firstLine="419"/>
        <w:jc w:val="both"/>
      </w:pPr>
      <w:r>
        <w:rPr>
          <w:rFonts w:ascii="Times New Roman" w:eastAsia="Times New Roman"/>
        </w:rPr>
        <w:t>3</w:t>
      </w:r>
      <w:r>
        <w:rPr>
          <w:spacing w:val="-7"/>
        </w:rPr>
        <w:t>、在建工程和该项目经理在投标人以外的其他单位完成的工程项目，其相关证明材料无法</w:t>
      </w:r>
      <w:r>
        <w:rPr>
          <w:spacing w:val="-8"/>
        </w:rPr>
        <w:t>在广西建筑业企业诚信信息库中勾选的，投标人可将原件扫描件另外上传到电子招投标系统相</w:t>
      </w:r>
      <w:r>
        <w:rPr>
          <w:spacing w:val="-1"/>
        </w:rPr>
        <w:t>应位置。</w:t>
      </w:r>
    </w:p>
    <w:p>
      <w:pPr>
        <w:pStyle w:val="BodyText"/>
        <w:ind w:left="0"/>
        <w:rPr>
          <w:sz w:val="20"/>
        </w:rPr>
      </w:pPr>
    </w:p>
    <w:p>
      <w:pPr>
        <w:pStyle w:val="BodyText"/>
        <w:ind w:left="0"/>
        <w:rPr>
          <w:sz w:val="20"/>
        </w:rPr>
      </w:pPr>
    </w:p>
    <w:p>
      <w:pPr>
        <w:pStyle w:val="BodyText"/>
        <w:ind w:left="0"/>
        <w:rPr>
          <w:sz w:val="20"/>
        </w:rPr>
      </w:pPr>
    </w:p>
    <w:p>
      <w:pPr>
        <w:pStyle w:val="BodyText"/>
        <w:spacing w:before="5"/>
        <w:ind w:left="0"/>
        <w:rPr>
          <w:sz w:val="18"/>
        </w:rPr>
      </w:pPr>
    </w:p>
    <w:p>
      <w:pPr>
        <w:pStyle w:val="Heading6"/>
        <w:ind w:right="774"/>
      </w:pPr>
      <w:bookmarkStart w:name="3、项目技术负责人简历表" w:id="523"/>
      <w:bookmarkEnd w:id="523"/>
      <w:r>
        <w:rPr>
          <w:b w:val="0"/>
        </w:rPr>
      </w:r>
      <w:r>
        <w:rPr>
          <w:rFonts w:ascii="Times New Roman" w:eastAsia="Times New Roman"/>
        </w:rPr>
        <w:t>3</w:t>
      </w:r>
      <w:r>
        <w:rPr/>
        <w:t>、项目技术负责人简历表</w:t>
      </w:r>
    </w:p>
    <w:p>
      <w:pPr>
        <w:pStyle w:val="BodyText"/>
        <w:tabs>
          <w:tab w:pos="1940" w:val="left" w:leader="none"/>
          <w:tab w:pos="4880" w:val="left" w:leader="none"/>
        </w:tabs>
        <w:spacing w:before="191"/>
      </w:pPr>
      <w:r>
        <w:rPr>
          <w:rFonts w:ascii="Times New Roman" w:eastAsia="Times New Roman"/>
          <w:w w:val="100"/>
          <w:u w:val="single"/>
        </w:rPr>
        <w:t> </w:t>
      </w:r>
      <w:r>
        <w:rPr>
          <w:rFonts w:ascii="Times New Roman" w:eastAsia="Times New Roman"/>
          <w:u w:val="single"/>
        </w:rPr>
        <w:tab/>
      </w:r>
      <w:r>
        <w:rPr>
          <w:spacing w:val="-3"/>
          <w:u w:val="single"/>
        </w:rPr>
        <w:t>（</w:t>
      </w:r>
      <w:r>
        <w:rPr>
          <w:u w:val="single"/>
        </w:rPr>
        <w:t>招</w:t>
      </w:r>
      <w:r>
        <w:rPr>
          <w:spacing w:val="-3"/>
          <w:u w:val="single"/>
        </w:rPr>
        <w:t>标</w:t>
      </w:r>
      <w:r>
        <w:rPr>
          <w:u w:val="single"/>
        </w:rPr>
        <w:t>工</w:t>
      </w:r>
      <w:r>
        <w:rPr>
          <w:spacing w:val="-3"/>
          <w:u w:val="single"/>
        </w:rPr>
        <w:t>程</w:t>
      </w:r>
      <w:r>
        <w:rPr>
          <w:u w:val="single"/>
        </w:rPr>
        <w:t>项目</w:t>
      </w:r>
      <w:r>
        <w:rPr>
          <w:spacing w:val="-3"/>
          <w:u w:val="single"/>
        </w:rPr>
        <w:t>名</w:t>
      </w:r>
      <w:r>
        <w:rPr>
          <w:u w:val="single"/>
        </w:rPr>
        <w:t>称）</w:t>
        <w:tab/>
      </w:r>
      <w:r>
        <w:rPr>
          <w:spacing w:val="-3"/>
        </w:rPr>
        <w:t>工程</w:t>
      </w:r>
    </w:p>
    <w:tbl>
      <w:tblPr>
        <w:tblW w:w="0" w:type="auto"/>
        <w:jc w:val="left"/>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2"/>
        <w:gridCol w:w="463"/>
        <w:gridCol w:w="1548"/>
        <w:gridCol w:w="328"/>
        <w:gridCol w:w="1218"/>
        <w:gridCol w:w="674"/>
        <w:gridCol w:w="873"/>
        <w:gridCol w:w="710"/>
        <w:gridCol w:w="835"/>
        <w:gridCol w:w="273"/>
        <w:gridCol w:w="1274"/>
      </w:tblGrid>
      <w:tr>
        <w:trPr>
          <w:trHeight w:val="601" w:hRule="atLeast"/>
        </w:trPr>
        <w:tc>
          <w:tcPr>
            <w:tcW w:w="1082" w:type="dxa"/>
          </w:tcPr>
          <w:p>
            <w:pPr>
              <w:pStyle w:val="TableParagraph"/>
              <w:spacing w:before="166"/>
              <w:ind w:left="309" w:right="302"/>
              <w:jc w:val="center"/>
              <w:rPr>
                <w:sz w:val="21"/>
              </w:rPr>
            </w:pPr>
            <w:r>
              <w:rPr>
                <w:sz w:val="21"/>
              </w:rPr>
              <w:t>姓名</w:t>
            </w:r>
          </w:p>
        </w:tc>
        <w:tc>
          <w:tcPr>
            <w:tcW w:w="2339" w:type="dxa"/>
            <w:gridSpan w:val="3"/>
          </w:tcPr>
          <w:p>
            <w:pPr>
              <w:pStyle w:val="TableParagraph"/>
              <w:rPr>
                <w:rFonts w:ascii="Times New Roman"/>
                <w:sz w:val="20"/>
              </w:rPr>
            </w:pPr>
          </w:p>
        </w:tc>
        <w:tc>
          <w:tcPr>
            <w:tcW w:w="1892" w:type="dxa"/>
            <w:gridSpan w:val="2"/>
          </w:tcPr>
          <w:p>
            <w:pPr>
              <w:pStyle w:val="TableParagraph"/>
              <w:spacing w:before="166"/>
              <w:ind w:left="719" w:right="702"/>
              <w:jc w:val="center"/>
              <w:rPr>
                <w:sz w:val="21"/>
              </w:rPr>
            </w:pPr>
            <w:r>
              <w:rPr>
                <w:sz w:val="21"/>
              </w:rPr>
              <w:t>性别</w:t>
            </w:r>
          </w:p>
        </w:tc>
        <w:tc>
          <w:tcPr>
            <w:tcW w:w="1583" w:type="dxa"/>
            <w:gridSpan w:val="2"/>
          </w:tcPr>
          <w:p>
            <w:pPr>
              <w:pStyle w:val="TableParagraph"/>
              <w:rPr>
                <w:rFonts w:ascii="Times New Roman"/>
                <w:sz w:val="20"/>
              </w:rPr>
            </w:pPr>
          </w:p>
        </w:tc>
        <w:tc>
          <w:tcPr>
            <w:tcW w:w="1108" w:type="dxa"/>
            <w:gridSpan w:val="2"/>
          </w:tcPr>
          <w:p>
            <w:pPr>
              <w:pStyle w:val="TableParagraph"/>
              <w:spacing w:before="166"/>
              <w:ind w:left="347"/>
              <w:rPr>
                <w:sz w:val="21"/>
              </w:rPr>
            </w:pPr>
            <w:r>
              <w:rPr>
                <w:sz w:val="21"/>
              </w:rPr>
              <w:t>年龄</w:t>
            </w:r>
          </w:p>
        </w:tc>
        <w:tc>
          <w:tcPr>
            <w:tcW w:w="1274" w:type="dxa"/>
          </w:tcPr>
          <w:p>
            <w:pPr>
              <w:pStyle w:val="TableParagraph"/>
              <w:rPr>
                <w:rFonts w:ascii="Times New Roman"/>
                <w:sz w:val="20"/>
              </w:rPr>
            </w:pPr>
          </w:p>
        </w:tc>
      </w:tr>
      <w:tr>
        <w:trPr>
          <w:trHeight w:val="621" w:hRule="atLeast"/>
        </w:trPr>
        <w:tc>
          <w:tcPr>
            <w:tcW w:w="1082" w:type="dxa"/>
          </w:tcPr>
          <w:p>
            <w:pPr>
              <w:pStyle w:val="TableParagraph"/>
              <w:spacing w:before="176"/>
              <w:ind w:left="309" w:right="302"/>
              <w:jc w:val="center"/>
              <w:rPr>
                <w:sz w:val="21"/>
              </w:rPr>
            </w:pPr>
            <w:r>
              <w:rPr>
                <w:sz w:val="21"/>
              </w:rPr>
              <w:t>职务</w:t>
            </w:r>
          </w:p>
        </w:tc>
        <w:tc>
          <w:tcPr>
            <w:tcW w:w="2339" w:type="dxa"/>
            <w:gridSpan w:val="3"/>
          </w:tcPr>
          <w:p>
            <w:pPr>
              <w:pStyle w:val="TableParagraph"/>
              <w:rPr>
                <w:rFonts w:ascii="Times New Roman"/>
                <w:sz w:val="20"/>
              </w:rPr>
            </w:pPr>
          </w:p>
        </w:tc>
        <w:tc>
          <w:tcPr>
            <w:tcW w:w="1892" w:type="dxa"/>
            <w:gridSpan w:val="2"/>
          </w:tcPr>
          <w:p>
            <w:pPr>
              <w:pStyle w:val="TableParagraph"/>
              <w:spacing w:before="176"/>
              <w:ind w:left="719" w:right="702"/>
              <w:jc w:val="center"/>
              <w:rPr>
                <w:sz w:val="21"/>
              </w:rPr>
            </w:pPr>
            <w:r>
              <w:rPr>
                <w:sz w:val="21"/>
              </w:rPr>
              <w:t>职称</w:t>
            </w:r>
          </w:p>
        </w:tc>
        <w:tc>
          <w:tcPr>
            <w:tcW w:w="1583" w:type="dxa"/>
            <w:gridSpan w:val="2"/>
          </w:tcPr>
          <w:p>
            <w:pPr>
              <w:pStyle w:val="TableParagraph"/>
              <w:rPr>
                <w:rFonts w:ascii="Times New Roman"/>
                <w:sz w:val="20"/>
              </w:rPr>
            </w:pPr>
          </w:p>
        </w:tc>
        <w:tc>
          <w:tcPr>
            <w:tcW w:w="1108" w:type="dxa"/>
            <w:gridSpan w:val="2"/>
          </w:tcPr>
          <w:p>
            <w:pPr>
              <w:pStyle w:val="TableParagraph"/>
              <w:spacing w:before="176"/>
              <w:ind w:left="347"/>
              <w:rPr>
                <w:sz w:val="21"/>
              </w:rPr>
            </w:pPr>
            <w:r>
              <w:rPr>
                <w:sz w:val="21"/>
              </w:rPr>
              <w:t>学历</w:t>
            </w:r>
          </w:p>
        </w:tc>
        <w:tc>
          <w:tcPr>
            <w:tcW w:w="1274" w:type="dxa"/>
          </w:tcPr>
          <w:p>
            <w:pPr>
              <w:pStyle w:val="TableParagraph"/>
              <w:rPr>
                <w:rFonts w:ascii="Times New Roman"/>
                <w:sz w:val="20"/>
              </w:rPr>
            </w:pPr>
          </w:p>
        </w:tc>
      </w:tr>
      <w:tr>
        <w:trPr>
          <w:trHeight w:val="600" w:hRule="atLeast"/>
        </w:trPr>
        <w:tc>
          <w:tcPr>
            <w:tcW w:w="3421" w:type="dxa"/>
            <w:gridSpan w:val="4"/>
          </w:tcPr>
          <w:p>
            <w:pPr>
              <w:pStyle w:val="TableParagraph"/>
              <w:spacing w:before="167"/>
              <w:ind w:left="1077"/>
              <w:rPr>
                <w:sz w:val="21"/>
              </w:rPr>
            </w:pPr>
            <w:r>
              <w:rPr>
                <w:sz w:val="21"/>
              </w:rPr>
              <w:t>参加工作时间</w:t>
            </w:r>
          </w:p>
        </w:tc>
        <w:tc>
          <w:tcPr>
            <w:tcW w:w="1892" w:type="dxa"/>
            <w:gridSpan w:val="2"/>
          </w:tcPr>
          <w:p>
            <w:pPr>
              <w:pStyle w:val="TableParagraph"/>
              <w:rPr>
                <w:rFonts w:ascii="Times New Roman"/>
                <w:sz w:val="20"/>
              </w:rPr>
            </w:pPr>
          </w:p>
        </w:tc>
        <w:tc>
          <w:tcPr>
            <w:tcW w:w="2691" w:type="dxa"/>
            <w:gridSpan w:val="4"/>
          </w:tcPr>
          <w:p>
            <w:pPr>
              <w:pStyle w:val="TableParagraph"/>
              <w:spacing w:before="167"/>
              <w:ind w:left="402"/>
              <w:rPr>
                <w:sz w:val="21"/>
              </w:rPr>
            </w:pPr>
            <w:r>
              <w:rPr>
                <w:sz w:val="21"/>
              </w:rPr>
              <w:t>担任技术负责人年限</w:t>
            </w:r>
          </w:p>
        </w:tc>
        <w:tc>
          <w:tcPr>
            <w:tcW w:w="1274" w:type="dxa"/>
          </w:tcPr>
          <w:p>
            <w:pPr>
              <w:pStyle w:val="TableParagraph"/>
              <w:rPr>
                <w:rFonts w:ascii="Times New Roman"/>
                <w:sz w:val="20"/>
              </w:rPr>
            </w:pPr>
          </w:p>
        </w:tc>
      </w:tr>
      <w:tr>
        <w:trPr>
          <w:trHeight w:val="621" w:hRule="atLeast"/>
        </w:trPr>
        <w:tc>
          <w:tcPr>
            <w:tcW w:w="9278" w:type="dxa"/>
            <w:gridSpan w:val="11"/>
          </w:tcPr>
          <w:p>
            <w:pPr>
              <w:pStyle w:val="TableParagraph"/>
              <w:spacing w:before="176"/>
              <w:ind w:left="3467" w:right="3451"/>
              <w:jc w:val="center"/>
              <w:rPr>
                <w:sz w:val="21"/>
              </w:rPr>
            </w:pPr>
            <w:r>
              <w:rPr>
                <w:sz w:val="21"/>
              </w:rPr>
              <w:t>在建和已完工程项目情况</w:t>
            </w:r>
          </w:p>
        </w:tc>
      </w:tr>
      <w:tr>
        <w:trPr>
          <w:trHeight w:val="599" w:hRule="atLeast"/>
        </w:trPr>
        <w:tc>
          <w:tcPr>
            <w:tcW w:w="1545" w:type="dxa"/>
            <w:gridSpan w:val="2"/>
          </w:tcPr>
          <w:p>
            <w:pPr>
              <w:pStyle w:val="TableParagraph"/>
              <w:spacing w:before="164"/>
              <w:ind w:left="350"/>
              <w:rPr>
                <w:sz w:val="21"/>
              </w:rPr>
            </w:pPr>
            <w:r>
              <w:rPr>
                <w:sz w:val="21"/>
              </w:rPr>
              <w:t>建设单位</w:t>
            </w:r>
          </w:p>
        </w:tc>
        <w:tc>
          <w:tcPr>
            <w:tcW w:w="1548" w:type="dxa"/>
          </w:tcPr>
          <w:p>
            <w:pPr>
              <w:pStyle w:val="TableParagraph"/>
              <w:spacing w:before="164"/>
              <w:ind w:left="353"/>
              <w:rPr>
                <w:sz w:val="21"/>
              </w:rPr>
            </w:pPr>
            <w:r>
              <w:rPr>
                <w:sz w:val="21"/>
              </w:rPr>
              <w:t>项目名称</w:t>
            </w:r>
          </w:p>
        </w:tc>
        <w:tc>
          <w:tcPr>
            <w:tcW w:w="1546" w:type="dxa"/>
            <w:gridSpan w:val="2"/>
          </w:tcPr>
          <w:p>
            <w:pPr>
              <w:pStyle w:val="TableParagraph"/>
              <w:spacing w:before="164"/>
              <w:ind w:left="353"/>
              <w:rPr>
                <w:sz w:val="21"/>
              </w:rPr>
            </w:pPr>
            <w:r>
              <w:rPr>
                <w:sz w:val="21"/>
              </w:rPr>
              <w:t>建设规模</w:t>
            </w:r>
          </w:p>
        </w:tc>
        <w:tc>
          <w:tcPr>
            <w:tcW w:w="1547" w:type="dxa"/>
            <w:gridSpan w:val="2"/>
          </w:tcPr>
          <w:p>
            <w:pPr>
              <w:pStyle w:val="TableParagraph"/>
              <w:spacing w:before="164"/>
              <w:ind w:left="146"/>
              <w:rPr>
                <w:sz w:val="21"/>
              </w:rPr>
            </w:pPr>
            <w:r>
              <w:rPr>
                <w:sz w:val="21"/>
              </w:rPr>
              <w:t>开、竣工日期</w:t>
            </w:r>
          </w:p>
        </w:tc>
        <w:tc>
          <w:tcPr>
            <w:tcW w:w="1545" w:type="dxa"/>
            <w:gridSpan w:val="2"/>
          </w:tcPr>
          <w:p>
            <w:pPr>
              <w:pStyle w:val="TableParagraph"/>
              <w:spacing w:before="164"/>
              <w:ind w:left="251"/>
              <w:rPr>
                <w:sz w:val="21"/>
              </w:rPr>
            </w:pPr>
            <w:r>
              <w:rPr>
                <w:sz w:val="21"/>
              </w:rPr>
              <w:t>在建或已完</w:t>
            </w:r>
          </w:p>
        </w:tc>
        <w:tc>
          <w:tcPr>
            <w:tcW w:w="1547" w:type="dxa"/>
            <w:gridSpan w:val="2"/>
          </w:tcPr>
          <w:p>
            <w:pPr>
              <w:pStyle w:val="TableParagraph"/>
              <w:spacing w:before="164"/>
              <w:ind w:left="358"/>
              <w:rPr>
                <w:sz w:val="21"/>
              </w:rPr>
            </w:pPr>
            <w:r>
              <w:rPr>
                <w:sz w:val="21"/>
              </w:rPr>
              <w:t>工程质量</w:t>
            </w:r>
          </w:p>
        </w:tc>
      </w:tr>
      <w:tr>
        <w:trPr>
          <w:trHeight w:val="541" w:hRule="atLeast"/>
        </w:trPr>
        <w:tc>
          <w:tcPr>
            <w:tcW w:w="1545" w:type="dxa"/>
            <w:gridSpan w:val="2"/>
          </w:tcPr>
          <w:p>
            <w:pPr>
              <w:pStyle w:val="TableParagraph"/>
              <w:rPr>
                <w:rFonts w:ascii="Times New Roman"/>
                <w:sz w:val="20"/>
              </w:rPr>
            </w:pPr>
          </w:p>
        </w:tc>
        <w:tc>
          <w:tcPr>
            <w:tcW w:w="1548" w:type="dxa"/>
          </w:tcPr>
          <w:p>
            <w:pPr>
              <w:pStyle w:val="TableParagraph"/>
              <w:rPr>
                <w:rFonts w:ascii="Times New Roman"/>
                <w:sz w:val="20"/>
              </w:rPr>
            </w:pPr>
          </w:p>
        </w:tc>
        <w:tc>
          <w:tcPr>
            <w:tcW w:w="1546" w:type="dxa"/>
            <w:gridSpan w:val="2"/>
          </w:tcPr>
          <w:p>
            <w:pPr>
              <w:pStyle w:val="TableParagraph"/>
              <w:rPr>
                <w:rFonts w:ascii="Times New Roman"/>
                <w:sz w:val="20"/>
              </w:rPr>
            </w:pPr>
          </w:p>
        </w:tc>
        <w:tc>
          <w:tcPr>
            <w:tcW w:w="1547" w:type="dxa"/>
            <w:gridSpan w:val="2"/>
          </w:tcPr>
          <w:p>
            <w:pPr>
              <w:pStyle w:val="TableParagraph"/>
              <w:rPr>
                <w:rFonts w:ascii="Times New Roman"/>
                <w:sz w:val="20"/>
              </w:rPr>
            </w:pPr>
          </w:p>
        </w:tc>
        <w:tc>
          <w:tcPr>
            <w:tcW w:w="1545" w:type="dxa"/>
            <w:gridSpan w:val="2"/>
          </w:tcPr>
          <w:p>
            <w:pPr>
              <w:pStyle w:val="TableParagraph"/>
              <w:rPr>
                <w:rFonts w:ascii="Times New Roman"/>
                <w:sz w:val="20"/>
              </w:rPr>
            </w:pPr>
          </w:p>
        </w:tc>
        <w:tc>
          <w:tcPr>
            <w:tcW w:w="1547" w:type="dxa"/>
            <w:gridSpan w:val="2"/>
          </w:tcPr>
          <w:p>
            <w:pPr>
              <w:pStyle w:val="TableParagraph"/>
              <w:rPr>
                <w:rFonts w:ascii="Times New Roman"/>
                <w:sz w:val="20"/>
              </w:rPr>
            </w:pPr>
          </w:p>
        </w:tc>
      </w:tr>
      <w:tr>
        <w:trPr>
          <w:trHeight w:val="539" w:hRule="atLeast"/>
        </w:trPr>
        <w:tc>
          <w:tcPr>
            <w:tcW w:w="1545" w:type="dxa"/>
            <w:gridSpan w:val="2"/>
          </w:tcPr>
          <w:p>
            <w:pPr>
              <w:pStyle w:val="TableParagraph"/>
              <w:rPr>
                <w:rFonts w:ascii="Times New Roman"/>
                <w:sz w:val="20"/>
              </w:rPr>
            </w:pPr>
          </w:p>
        </w:tc>
        <w:tc>
          <w:tcPr>
            <w:tcW w:w="1548" w:type="dxa"/>
          </w:tcPr>
          <w:p>
            <w:pPr>
              <w:pStyle w:val="TableParagraph"/>
              <w:rPr>
                <w:rFonts w:ascii="Times New Roman"/>
                <w:sz w:val="20"/>
              </w:rPr>
            </w:pPr>
          </w:p>
        </w:tc>
        <w:tc>
          <w:tcPr>
            <w:tcW w:w="1546" w:type="dxa"/>
            <w:gridSpan w:val="2"/>
          </w:tcPr>
          <w:p>
            <w:pPr>
              <w:pStyle w:val="TableParagraph"/>
              <w:rPr>
                <w:rFonts w:ascii="Times New Roman"/>
                <w:sz w:val="20"/>
              </w:rPr>
            </w:pPr>
          </w:p>
        </w:tc>
        <w:tc>
          <w:tcPr>
            <w:tcW w:w="1547" w:type="dxa"/>
            <w:gridSpan w:val="2"/>
          </w:tcPr>
          <w:p>
            <w:pPr>
              <w:pStyle w:val="TableParagraph"/>
              <w:rPr>
                <w:rFonts w:ascii="Times New Roman"/>
                <w:sz w:val="20"/>
              </w:rPr>
            </w:pPr>
          </w:p>
        </w:tc>
        <w:tc>
          <w:tcPr>
            <w:tcW w:w="1545" w:type="dxa"/>
            <w:gridSpan w:val="2"/>
          </w:tcPr>
          <w:p>
            <w:pPr>
              <w:pStyle w:val="TableParagraph"/>
              <w:rPr>
                <w:rFonts w:ascii="Times New Roman"/>
                <w:sz w:val="20"/>
              </w:rPr>
            </w:pPr>
          </w:p>
        </w:tc>
        <w:tc>
          <w:tcPr>
            <w:tcW w:w="1547" w:type="dxa"/>
            <w:gridSpan w:val="2"/>
          </w:tcPr>
          <w:p>
            <w:pPr>
              <w:pStyle w:val="TableParagraph"/>
              <w:rPr>
                <w:rFonts w:ascii="Times New Roman"/>
                <w:sz w:val="20"/>
              </w:rPr>
            </w:pPr>
          </w:p>
        </w:tc>
      </w:tr>
      <w:tr>
        <w:trPr>
          <w:trHeight w:val="542" w:hRule="atLeast"/>
        </w:trPr>
        <w:tc>
          <w:tcPr>
            <w:tcW w:w="1545" w:type="dxa"/>
            <w:gridSpan w:val="2"/>
          </w:tcPr>
          <w:p>
            <w:pPr>
              <w:pStyle w:val="TableParagraph"/>
              <w:rPr>
                <w:rFonts w:ascii="Times New Roman"/>
                <w:sz w:val="20"/>
              </w:rPr>
            </w:pPr>
          </w:p>
        </w:tc>
        <w:tc>
          <w:tcPr>
            <w:tcW w:w="1548" w:type="dxa"/>
          </w:tcPr>
          <w:p>
            <w:pPr>
              <w:pStyle w:val="TableParagraph"/>
              <w:rPr>
                <w:rFonts w:ascii="Times New Roman"/>
                <w:sz w:val="20"/>
              </w:rPr>
            </w:pPr>
          </w:p>
        </w:tc>
        <w:tc>
          <w:tcPr>
            <w:tcW w:w="1546" w:type="dxa"/>
            <w:gridSpan w:val="2"/>
          </w:tcPr>
          <w:p>
            <w:pPr>
              <w:pStyle w:val="TableParagraph"/>
              <w:rPr>
                <w:rFonts w:ascii="Times New Roman"/>
                <w:sz w:val="20"/>
              </w:rPr>
            </w:pPr>
          </w:p>
        </w:tc>
        <w:tc>
          <w:tcPr>
            <w:tcW w:w="1547" w:type="dxa"/>
            <w:gridSpan w:val="2"/>
          </w:tcPr>
          <w:p>
            <w:pPr>
              <w:pStyle w:val="TableParagraph"/>
              <w:rPr>
                <w:rFonts w:ascii="Times New Roman"/>
                <w:sz w:val="20"/>
              </w:rPr>
            </w:pPr>
          </w:p>
        </w:tc>
        <w:tc>
          <w:tcPr>
            <w:tcW w:w="1545" w:type="dxa"/>
            <w:gridSpan w:val="2"/>
          </w:tcPr>
          <w:p>
            <w:pPr>
              <w:pStyle w:val="TableParagraph"/>
              <w:rPr>
                <w:rFonts w:ascii="Times New Roman"/>
                <w:sz w:val="20"/>
              </w:rPr>
            </w:pPr>
          </w:p>
        </w:tc>
        <w:tc>
          <w:tcPr>
            <w:tcW w:w="1547" w:type="dxa"/>
            <w:gridSpan w:val="2"/>
          </w:tcPr>
          <w:p>
            <w:pPr>
              <w:pStyle w:val="TableParagraph"/>
              <w:rPr>
                <w:rFonts w:ascii="Times New Roman"/>
                <w:sz w:val="20"/>
              </w:rPr>
            </w:pPr>
          </w:p>
        </w:tc>
      </w:tr>
    </w:tbl>
    <w:p>
      <w:pPr>
        <w:spacing w:after="0"/>
        <w:rPr>
          <w:rFonts w:ascii="Times New Roman"/>
          <w:sz w:val="20"/>
        </w:rPr>
        <w:sectPr>
          <w:pgSz w:w="11910" w:h="16850"/>
          <w:pgMar w:header="0" w:footer="779" w:top="1440" w:bottom="1040" w:left="1120" w:right="280"/>
        </w:sectPr>
      </w:pPr>
    </w:p>
    <w:tbl>
      <w:tblPr>
        <w:tblW w:w="0" w:type="auto"/>
        <w:jc w:val="left"/>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6"/>
        <w:gridCol w:w="1549"/>
        <w:gridCol w:w="1548"/>
        <w:gridCol w:w="1548"/>
        <w:gridCol w:w="1546"/>
        <w:gridCol w:w="1548"/>
      </w:tblGrid>
      <w:tr>
        <w:trPr>
          <w:trHeight w:val="549" w:hRule="atLeast"/>
        </w:trPr>
        <w:tc>
          <w:tcPr>
            <w:tcW w:w="1546" w:type="dxa"/>
          </w:tcPr>
          <w:p>
            <w:pPr>
              <w:pStyle w:val="TableParagraph"/>
              <w:rPr>
                <w:rFonts w:ascii="Times New Roman"/>
                <w:sz w:val="20"/>
              </w:rPr>
            </w:pPr>
          </w:p>
        </w:tc>
        <w:tc>
          <w:tcPr>
            <w:tcW w:w="1549" w:type="dxa"/>
          </w:tcPr>
          <w:p>
            <w:pPr>
              <w:pStyle w:val="TableParagraph"/>
              <w:rPr>
                <w:rFonts w:ascii="Times New Roman"/>
                <w:sz w:val="20"/>
              </w:rPr>
            </w:pPr>
          </w:p>
        </w:tc>
        <w:tc>
          <w:tcPr>
            <w:tcW w:w="1548" w:type="dxa"/>
          </w:tcPr>
          <w:p>
            <w:pPr>
              <w:pStyle w:val="TableParagraph"/>
              <w:rPr>
                <w:rFonts w:ascii="Times New Roman"/>
                <w:sz w:val="20"/>
              </w:rPr>
            </w:pPr>
          </w:p>
        </w:tc>
        <w:tc>
          <w:tcPr>
            <w:tcW w:w="1548" w:type="dxa"/>
          </w:tcPr>
          <w:p>
            <w:pPr>
              <w:pStyle w:val="TableParagraph"/>
              <w:rPr>
                <w:rFonts w:ascii="Times New Roman"/>
                <w:sz w:val="20"/>
              </w:rPr>
            </w:pPr>
          </w:p>
        </w:tc>
        <w:tc>
          <w:tcPr>
            <w:tcW w:w="1546" w:type="dxa"/>
          </w:tcPr>
          <w:p>
            <w:pPr>
              <w:pStyle w:val="TableParagraph"/>
              <w:rPr>
                <w:rFonts w:ascii="Times New Roman"/>
                <w:sz w:val="20"/>
              </w:rPr>
            </w:pPr>
          </w:p>
        </w:tc>
        <w:tc>
          <w:tcPr>
            <w:tcW w:w="1548" w:type="dxa"/>
          </w:tcPr>
          <w:p>
            <w:pPr>
              <w:pStyle w:val="TableParagraph"/>
              <w:rPr>
                <w:rFonts w:ascii="Times New Roman"/>
                <w:sz w:val="20"/>
              </w:rPr>
            </w:pPr>
          </w:p>
        </w:tc>
      </w:tr>
    </w:tbl>
    <w:p>
      <w:pPr>
        <w:pStyle w:val="BodyText"/>
        <w:spacing w:before="9"/>
        <w:ind w:left="0"/>
        <w:rPr>
          <w:sz w:val="22"/>
        </w:rPr>
      </w:pPr>
    </w:p>
    <w:p>
      <w:pPr>
        <w:pStyle w:val="BodyText"/>
        <w:spacing w:before="72"/>
      </w:pPr>
      <w:r>
        <w:rPr/>
        <w:t>备注：</w:t>
      </w:r>
    </w:p>
    <w:p>
      <w:pPr>
        <w:pStyle w:val="BodyText"/>
        <w:spacing w:line="364" w:lineRule="auto" w:before="139"/>
        <w:ind w:right="1151" w:firstLine="419"/>
        <w:jc w:val="both"/>
      </w:pPr>
      <w:r>
        <w:rPr>
          <w:rFonts w:ascii="Times New Roman" w:eastAsia="Times New Roman"/>
        </w:rPr>
        <w:t>1</w:t>
      </w:r>
      <w:r>
        <w:rPr/>
        <w:t>、职称证、已完成的类似工程应附中标通知书（如有</w:t>
      </w:r>
      <w:r>
        <w:rPr>
          <w:spacing w:val="-106"/>
        </w:rPr>
        <w:t>）</w:t>
      </w:r>
      <w:r>
        <w:rPr>
          <w:spacing w:val="-1"/>
        </w:rPr>
        <w:t>、合同协议书有关页面、工程竣工</w:t>
      </w:r>
      <w:r>
        <w:rPr>
          <w:spacing w:val="-6"/>
        </w:rPr>
        <w:t>验收证明材料的扫描件。在建类似工程应附中标通知书</w:t>
      </w:r>
      <w:r>
        <w:rPr/>
        <w:t>（</w:t>
      </w:r>
      <w:r>
        <w:rPr>
          <w:spacing w:val="-2"/>
        </w:rPr>
        <w:t>如有</w:t>
      </w:r>
      <w:r>
        <w:rPr>
          <w:spacing w:val="-108"/>
        </w:rPr>
        <w:t>）</w:t>
      </w:r>
      <w:r>
        <w:rPr>
          <w:spacing w:val="-5"/>
        </w:rPr>
        <w:t>、工程合同协议书有关页面扫描</w:t>
      </w:r>
      <w:r>
        <w:rPr>
          <w:spacing w:val="-4"/>
        </w:rPr>
        <w:t>件。以上扫描件均为原件的扫描件。</w:t>
      </w:r>
    </w:p>
    <w:p>
      <w:pPr>
        <w:pStyle w:val="BodyText"/>
        <w:spacing w:line="269" w:lineRule="exact"/>
        <w:ind w:left="1098"/>
      </w:pPr>
      <w:r>
        <w:rPr>
          <w:rFonts w:ascii="Times New Roman" w:eastAsia="Times New Roman"/>
        </w:rPr>
        <w:t>2</w:t>
      </w:r>
      <w:r>
        <w:rPr/>
        <w:t>、相关证明材料未通过广西建筑业企业诚信信息库审核的，在评审时不予承认。</w:t>
      </w:r>
    </w:p>
    <w:p>
      <w:pPr>
        <w:pStyle w:val="BodyText"/>
        <w:spacing w:line="364" w:lineRule="auto" w:before="138"/>
        <w:ind w:right="1151" w:firstLine="419"/>
        <w:jc w:val="both"/>
      </w:pPr>
      <w:r>
        <w:rPr>
          <w:rFonts w:ascii="Times New Roman" w:eastAsia="Times New Roman"/>
        </w:rPr>
        <w:t>3</w:t>
      </w:r>
      <w:r>
        <w:rPr>
          <w:spacing w:val="-7"/>
        </w:rPr>
        <w:t>、在建工程和该项目技术负责人在投标人以外的其他单位完成的工程项目，其相关证明材</w:t>
      </w:r>
      <w:r>
        <w:rPr>
          <w:spacing w:val="-8"/>
        </w:rPr>
        <w:t>料无法在广西建筑业企业诚信信息库中勾选的，投标人可将原件扫描件另外上传到电子招投标</w:t>
      </w:r>
      <w:r>
        <w:rPr>
          <w:spacing w:val="-2"/>
        </w:rPr>
        <w:t>系统相应位置。</w:t>
      </w:r>
    </w:p>
    <w:p>
      <w:pPr>
        <w:spacing w:before="1"/>
        <w:ind w:left="678" w:right="0" w:firstLine="0"/>
        <w:jc w:val="left"/>
        <w:rPr>
          <w:sz w:val="20"/>
        </w:rPr>
      </w:pPr>
      <w:r>
        <w:rPr>
          <w:color w:val="000080"/>
          <w:spacing w:val="1"/>
          <w:w w:val="99"/>
          <w:sz w:val="20"/>
        </w:rPr>
        <w:t> </w:t>
      </w:r>
      <w:r>
        <w:rPr>
          <w:color w:val="000080"/>
          <w:w w:val="99"/>
          <w:sz w:val="20"/>
        </w:rPr>
        <w:t> </w:t>
      </w:r>
    </w:p>
    <w:sectPr>
      <w:pgSz w:w="11910" w:h="16850"/>
      <w:pgMar w:header="0" w:footer="779" w:top="1440" w:bottom="1040" w:left="1120" w:right="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icrosoft JhengHei">
    <w:altName w:val="Microsoft JhengHei"/>
    <w:charset w:val="0"/>
    <w:family w:val="swiss"/>
    <w:pitch w:val="variable"/>
  </w:font>
  <w:font w:name="宋体">
    <w:altName w:val="宋体"/>
    <w:charset w:val="86"/>
    <w:family w:val="auto"/>
    <w:pitch w:val="variable"/>
  </w:font>
  <w:font w:name="Calibri">
    <w:altName w:val="Calibri"/>
    <w:charset w:val="0"/>
    <w:family w:val="swiss"/>
    <w:pitch w:val="variable"/>
  </w:font>
  <w:font w:name="Segoe UI Symbol">
    <w:altName w:val="Segoe UI Symbol"/>
    <w:charset w:val="0"/>
    <w:family w:val="swiss"/>
    <w:pitch w:val="variable"/>
  </w:font>
  <w:font w:name="Wingdings 2">
    <w:altName w:val="Wingdings 2"/>
    <w:charset w:val="2"/>
    <w:family w:val="roman"/>
    <w:pitch w:val="variable"/>
  </w:font>
  <w:font w:name="微软雅黑">
    <w:altName w:val="微软雅黑"/>
    <w:charset w:val="86"/>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88.903999pt;margin-top:788.041626pt;width:6.5pt;height:11pt;mso-position-horizontal-relative:page;mso-position-vertical-relative:page;z-index:-266755072" type="#_x0000_t202" filled="false" stroked="false">
          <v:textbox inset="0,0,0,0">
            <w:txbxContent>
              <w:p>
                <w:pPr>
                  <w:spacing w:line="220" w:lineRule="exact" w:before="0"/>
                  <w:ind w:left="20" w:right="0" w:firstLine="0"/>
                  <w:jc w:val="left"/>
                  <w:rPr>
                    <w:sz w:val="18"/>
                  </w:rPr>
                </w:pPr>
                <w:r>
                  <w:rPr>
                    <w:sz w:val="18"/>
                  </w:rPr>
                  <w:t> </w:t>
                </w:r>
              </w:p>
            </w:txbxContent>
          </v:textbox>
          <w10:wrap type="none"/>
        </v:shape>
      </w:pict>
    </w:r>
    <w:r>
      <w:rPr/>
      <w:pict>
        <v:shape style="position:absolute;margin-left:300.089996pt;margin-top:787.921631pt;width:13.15pt;height:11pt;mso-position-horizontal-relative:page;mso-position-vertical-relative:page;z-index:-266754048" type="#_x0000_t202" filled="false" stroked="false">
          <v:textbox inset="0,0,0,0">
            <w:txbxContent>
              <w:p>
                <w:pPr>
                  <w:spacing w:line="220" w:lineRule="exact" w:before="0"/>
                  <w:ind w:left="40" w:right="0" w:firstLine="0"/>
                  <w:jc w:val="left"/>
                  <w:rPr>
                    <w:sz w:val="18"/>
                  </w:rPr>
                </w:pPr>
                <w:r>
                  <w:rPr/>
                  <w:fldChar w:fldCharType="begin"/>
                </w:r>
                <w:r>
                  <w:rPr>
                    <w:sz w:val="18"/>
                  </w:rPr>
                  <w:instrText> PAGE  \* ROMAN </w:instrText>
                </w:r>
                <w:r>
                  <w:rPr/>
                  <w:fldChar w:fldCharType="separate"/>
                </w:r>
                <w:r>
                  <w:rPr/>
                  <w:t>II</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88.903999pt;margin-top:788.041626pt;width:6.5pt;height:11pt;mso-position-horizontal-relative:page;mso-position-vertical-relative:page;z-index:-266753024" type="#_x0000_t202" filled="false" stroked="false">
          <v:textbox inset="0,0,0,0">
            <w:txbxContent>
              <w:p>
                <w:pPr>
                  <w:spacing w:line="220" w:lineRule="exact" w:before="0"/>
                  <w:ind w:left="20" w:right="0" w:firstLine="0"/>
                  <w:jc w:val="left"/>
                  <w:rPr>
                    <w:sz w:val="18"/>
                  </w:rPr>
                </w:pPr>
                <w:r>
                  <w:rPr>
                    <w:sz w:val="18"/>
                  </w:rPr>
                  <w:t> </w:t>
                </w:r>
              </w:p>
            </w:txbxContent>
          </v:textbox>
          <w10:wrap type="none"/>
        </v:shape>
      </w:pict>
    </w:r>
    <w:r>
      <w:rPr/>
      <w:pict>
        <v:shape style="position:absolute;margin-left:295.649994pt;margin-top:787.921631pt;width:22.05pt;height:11pt;mso-position-horizontal-relative:page;mso-position-vertical-relative:page;z-index:-266752000" type="#_x0000_t202" filled="false" stroked="false">
          <v:textbox inset="0,0,0,0">
            <w:txbxContent>
              <w:p>
                <w:pPr>
                  <w:spacing w:line="220" w:lineRule="exact" w:before="0"/>
                  <w:ind w:left="40" w:right="0" w:firstLine="0"/>
                  <w:jc w:val="left"/>
                  <w:rPr>
                    <w:sz w:val="18"/>
                  </w:rPr>
                </w:pPr>
                <w:r>
                  <w:rPr/>
                  <w:fldChar w:fldCharType="begin"/>
                </w:r>
                <w:r>
                  <w:rPr>
                    <w:sz w:val="18"/>
                  </w:rPr>
                  <w:instrText> PAGE  \* ROMAN </w:instrText>
                </w:r>
                <w:r>
                  <w:rPr/>
                  <w:fldChar w:fldCharType="separate"/>
                </w:r>
                <w:r>
                  <w:rPr/>
                  <w:t>VIII</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88.903999pt;margin-top:788.041626pt;width:6.5pt;height:11pt;mso-position-horizontal-relative:page;mso-position-vertical-relative:page;z-index:-266750976" type="#_x0000_t202" filled="false" stroked="false">
          <v:textbox inset="0,0,0,0">
            <w:txbxContent>
              <w:p>
                <w:pPr>
                  <w:spacing w:line="220" w:lineRule="exact" w:before="0"/>
                  <w:ind w:left="20" w:right="0" w:firstLine="0"/>
                  <w:jc w:val="left"/>
                  <w:rPr>
                    <w:sz w:val="18"/>
                  </w:rPr>
                </w:pPr>
                <w:r>
                  <w:rPr>
                    <w:sz w:val="18"/>
                  </w:rPr>
                  <w:t> </w:t>
                </w:r>
              </w:p>
            </w:txbxContent>
          </v:textbox>
          <w10:wrap type="none"/>
        </v:shape>
      </w:pict>
    </w:r>
    <w:r>
      <w:rPr/>
      <w:pict>
        <v:shape style="position:absolute;margin-left:300.089996pt;margin-top:787.921631pt;width:13.15pt;height:11pt;mso-position-horizontal-relative:page;mso-position-vertical-relative:page;z-index:-266749952" type="#_x0000_t202" filled="false" stroked="false">
          <v:textbox inset="0,0,0,0">
            <w:txbxContent>
              <w:p>
                <w:pPr>
                  <w:spacing w:line="220" w:lineRule="exact" w:before="0"/>
                  <w:ind w:left="40" w:right="0" w:firstLine="0"/>
                  <w:jc w:val="left"/>
                  <w:rPr>
                    <w:sz w:val="18"/>
                  </w:rPr>
                </w:pPr>
                <w:r>
                  <w:rPr/>
                  <w:fldChar w:fldCharType="begin"/>
                </w:r>
                <w:r>
                  <w:rPr>
                    <w:sz w:val="18"/>
                  </w:rPr>
                  <w:instrText> PAGE  \* ROMAN </w:instrText>
                </w:r>
                <w:r>
                  <w:rPr/>
                  <w:fldChar w:fldCharType="separate"/>
                </w:r>
                <w:r>
                  <w:rPr/>
                  <w:t>IX</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12"/>
      </w:rPr>
    </w:pPr>
    <w:r>
      <w:rPr/>
      <w:pict>
        <v:shape style="position:absolute;margin-left:88.903999pt;margin-top:788.065613pt;width:6.5pt;height:11pt;mso-position-horizontal-relative:page;mso-position-vertical-relative:page;z-index:-266748928" type="#_x0000_t202" filled="false" stroked="false">
          <v:textbox inset="0,0,0,0">
            <w:txbxContent>
              <w:p>
                <w:pPr>
                  <w:spacing w:line="220" w:lineRule="exact" w:before="0"/>
                  <w:ind w:left="20" w:right="0" w:firstLine="0"/>
                  <w:jc w:val="left"/>
                  <w:rPr>
                    <w:sz w:val="18"/>
                  </w:rPr>
                </w:pPr>
                <w:r>
                  <w:rPr>
                    <w:sz w:val="18"/>
                  </w:rPr>
                  <w:t> </w:t>
                </w:r>
              </w:p>
            </w:txbxContent>
          </v:textbox>
          <w10:wrap type="none"/>
        </v:shape>
      </w:pict>
    </w:r>
    <w:r>
      <w:rPr/>
      <w:pict>
        <v:shape style="position:absolute;margin-left:297.929993pt;margin-top:787.921631pt;width:17.7pt;height:11.05pt;mso-position-horizontal-relative:page;mso-position-vertical-relative:page;z-index:-266747904" type="#_x0000_t202" filled="false" stroked="false">
          <v:textbox inset="0,0,0,0">
            <w:txbxContent>
              <w:p>
                <w:pPr>
                  <w:spacing w:line="220" w:lineRule="exact" w:before="0"/>
                  <w:ind w:left="40" w:right="0" w:firstLine="0"/>
                  <w:jc w:val="left"/>
                  <w:rPr>
                    <w:sz w:val="18"/>
                  </w:rPr>
                </w:pPr>
                <w:r>
                  <w:rPr/>
                  <w:fldChar w:fldCharType="begin"/>
                </w:r>
                <w:r>
                  <w:rPr>
                    <w:sz w:val="18"/>
                  </w:rPr>
                  <w:instrText> PAGE </w:instrText>
                </w:r>
                <w:r>
                  <w:rPr/>
                  <w:fldChar w:fldCharType="separate"/>
                </w:r>
                <w:r>
                  <w:rPr/>
                  <w:t>100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9">
    <w:multiLevelType w:val="hybridMultilevel"/>
    <w:lvl w:ilvl="0">
      <w:start w:val="1"/>
      <w:numFmt w:val="decimal"/>
      <w:lvlText w:val="%1."/>
      <w:lvlJc w:val="left"/>
      <w:pPr>
        <w:ind w:left="1403" w:hanging="160"/>
        <w:jc w:val="left"/>
      </w:pPr>
      <w:rPr>
        <w:rFonts w:hint="default" w:ascii="Times New Roman" w:hAnsi="Times New Roman" w:eastAsia="Times New Roman" w:cs="Times New Roman"/>
        <w:w w:val="100"/>
        <w:sz w:val="19"/>
        <w:szCs w:val="19"/>
        <w:lang w:val="zh-CN" w:eastAsia="zh-CN" w:bidi="zh-CN"/>
      </w:rPr>
    </w:lvl>
    <w:lvl w:ilvl="1">
      <w:start w:val="0"/>
      <w:numFmt w:val="bullet"/>
      <w:lvlText w:val="•"/>
      <w:lvlJc w:val="left"/>
      <w:pPr>
        <w:ind w:left="2310" w:hanging="160"/>
      </w:pPr>
      <w:rPr>
        <w:rFonts w:hint="default"/>
        <w:lang w:val="zh-CN" w:eastAsia="zh-CN" w:bidi="zh-CN"/>
      </w:rPr>
    </w:lvl>
    <w:lvl w:ilvl="2">
      <w:start w:val="0"/>
      <w:numFmt w:val="bullet"/>
      <w:lvlText w:val="•"/>
      <w:lvlJc w:val="left"/>
      <w:pPr>
        <w:ind w:left="3221" w:hanging="160"/>
      </w:pPr>
      <w:rPr>
        <w:rFonts w:hint="default"/>
        <w:lang w:val="zh-CN" w:eastAsia="zh-CN" w:bidi="zh-CN"/>
      </w:rPr>
    </w:lvl>
    <w:lvl w:ilvl="3">
      <w:start w:val="0"/>
      <w:numFmt w:val="bullet"/>
      <w:lvlText w:val="•"/>
      <w:lvlJc w:val="left"/>
      <w:pPr>
        <w:ind w:left="4131" w:hanging="160"/>
      </w:pPr>
      <w:rPr>
        <w:rFonts w:hint="default"/>
        <w:lang w:val="zh-CN" w:eastAsia="zh-CN" w:bidi="zh-CN"/>
      </w:rPr>
    </w:lvl>
    <w:lvl w:ilvl="4">
      <w:start w:val="0"/>
      <w:numFmt w:val="bullet"/>
      <w:lvlText w:val="•"/>
      <w:lvlJc w:val="left"/>
      <w:pPr>
        <w:ind w:left="5042" w:hanging="160"/>
      </w:pPr>
      <w:rPr>
        <w:rFonts w:hint="default"/>
        <w:lang w:val="zh-CN" w:eastAsia="zh-CN" w:bidi="zh-CN"/>
      </w:rPr>
    </w:lvl>
    <w:lvl w:ilvl="5">
      <w:start w:val="0"/>
      <w:numFmt w:val="bullet"/>
      <w:lvlText w:val="•"/>
      <w:lvlJc w:val="left"/>
      <w:pPr>
        <w:ind w:left="5953" w:hanging="160"/>
      </w:pPr>
      <w:rPr>
        <w:rFonts w:hint="default"/>
        <w:lang w:val="zh-CN" w:eastAsia="zh-CN" w:bidi="zh-CN"/>
      </w:rPr>
    </w:lvl>
    <w:lvl w:ilvl="6">
      <w:start w:val="0"/>
      <w:numFmt w:val="bullet"/>
      <w:lvlText w:val="•"/>
      <w:lvlJc w:val="left"/>
      <w:pPr>
        <w:ind w:left="6863" w:hanging="160"/>
      </w:pPr>
      <w:rPr>
        <w:rFonts w:hint="default"/>
        <w:lang w:val="zh-CN" w:eastAsia="zh-CN" w:bidi="zh-CN"/>
      </w:rPr>
    </w:lvl>
    <w:lvl w:ilvl="7">
      <w:start w:val="0"/>
      <w:numFmt w:val="bullet"/>
      <w:lvlText w:val="•"/>
      <w:lvlJc w:val="left"/>
      <w:pPr>
        <w:ind w:left="7774" w:hanging="160"/>
      </w:pPr>
      <w:rPr>
        <w:rFonts w:hint="default"/>
        <w:lang w:val="zh-CN" w:eastAsia="zh-CN" w:bidi="zh-CN"/>
      </w:rPr>
    </w:lvl>
    <w:lvl w:ilvl="8">
      <w:start w:val="0"/>
      <w:numFmt w:val="bullet"/>
      <w:lvlText w:val="•"/>
      <w:lvlJc w:val="left"/>
      <w:pPr>
        <w:ind w:left="8685" w:hanging="160"/>
      </w:pPr>
      <w:rPr>
        <w:rFonts w:hint="default"/>
        <w:lang w:val="zh-CN" w:eastAsia="zh-CN" w:bidi="zh-CN"/>
      </w:rPr>
    </w:lvl>
  </w:abstractNum>
  <w:abstractNum w:abstractNumId="141">
    <w:multiLevelType w:val="hybridMultilevel"/>
    <w:lvl w:ilvl="0">
      <w:start w:val="1"/>
      <w:numFmt w:val="decimal"/>
      <w:lvlText w:val="%1."/>
      <w:lvlJc w:val="left"/>
      <w:pPr>
        <w:ind w:left="670" w:hanging="264"/>
        <w:jc w:val="left"/>
      </w:pPr>
      <w:rPr>
        <w:rFonts w:hint="default" w:ascii="Times New Roman" w:hAnsi="Times New Roman" w:eastAsia="Times New Roman" w:cs="Times New Roman"/>
        <w:w w:val="100"/>
        <w:sz w:val="21"/>
        <w:szCs w:val="21"/>
        <w:lang w:val="zh-CN" w:eastAsia="zh-CN" w:bidi="zh-CN"/>
      </w:rPr>
    </w:lvl>
    <w:lvl w:ilvl="1">
      <w:start w:val="0"/>
      <w:numFmt w:val="bullet"/>
      <w:lvlText w:val="•"/>
      <w:lvlJc w:val="left"/>
      <w:pPr>
        <w:ind w:left="1662" w:hanging="264"/>
      </w:pPr>
      <w:rPr>
        <w:rFonts w:hint="default"/>
        <w:lang w:val="zh-CN" w:eastAsia="zh-CN" w:bidi="zh-CN"/>
      </w:rPr>
    </w:lvl>
    <w:lvl w:ilvl="2">
      <w:start w:val="0"/>
      <w:numFmt w:val="bullet"/>
      <w:lvlText w:val="•"/>
      <w:lvlJc w:val="left"/>
      <w:pPr>
        <w:ind w:left="2645" w:hanging="264"/>
      </w:pPr>
      <w:rPr>
        <w:rFonts w:hint="default"/>
        <w:lang w:val="zh-CN" w:eastAsia="zh-CN" w:bidi="zh-CN"/>
      </w:rPr>
    </w:lvl>
    <w:lvl w:ilvl="3">
      <w:start w:val="0"/>
      <w:numFmt w:val="bullet"/>
      <w:lvlText w:val="•"/>
      <w:lvlJc w:val="left"/>
      <w:pPr>
        <w:ind w:left="3627" w:hanging="264"/>
      </w:pPr>
      <w:rPr>
        <w:rFonts w:hint="default"/>
        <w:lang w:val="zh-CN" w:eastAsia="zh-CN" w:bidi="zh-CN"/>
      </w:rPr>
    </w:lvl>
    <w:lvl w:ilvl="4">
      <w:start w:val="0"/>
      <w:numFmt w:val="bullet"/>
      <w:lvlText w:val="•"/>
      <w:lvlJc w:val="left"/>
      <w:pPr>
        <w:ind w:left="4610" w:hanging="264"/>
      </w:pPr>
      <w:rPr>
        <w:rFonts w:hint="default"/>
        <w:lang w:val="zh-CN" w:eastAsia="zh-CN" w:bidi="zh-CN"/>
      </w:rPr>
    </w:lvl>
    <w:lvl w:ilvl="5">
      <w:start w:val="0"/>
      <w:numFmt w:val="bullet"/>
      <w:lvlText w:val="•"/>
      <w:lvlJc w:val="left"/>
      <w:pPr>
        <w:ind w:left="5593" w:hanging="264"/>
      </w:pPr>
      <w:rPr>
        <w:rFonts w:hint="default"/>
        <w:lang w:val="zh-CN" w:eastAsia="zh-CN" w:bidi="zh-CN"/>
      </w:rPr>
    </w:lvl>
    <w:lvl w:ilvl="6">
      <w:start w:val="0"/>
      <w:numFmt w:val="bullet"/>
      <w:lvlText w:val="•"/>
      <w:lvlJc w:val="left"/>
      <w:pPr>
        <w:ind w:left="6575" w:hanging="264"/>
      </w:pPr>
      <w:rPr>
        <w:rFonts w:hint="default"/>
        <w:lang w:val="zh-CN" w:eastAsia="zh-CN" w:bidi="zh-CN"/>
      </w:rPr>
    </w:lvl>
    <w:lvl w:ilvl="7">
      <w:start w:val="0"/>
      <w:numFmt w:val="bullet"/>
      <w:lvlText w:val="•"/>
      <w:lvlJc w:val="left"/>
      <w:pPr>
        <w:ind w:left="7558" w:hanging="264"/>
      </w:pPr>
      <w:rPr>
        <w:rFonts w:hint="default"/>
        <w:lang w:val="zh-CN" w:eastAsia="zh-CN" w:bidi="zh-CN"/>
      </w:rPr>
    </w:lvl>
    <w:lvl w:ilvl="8">
      <w:start w:val="0"/>
      <w:numFmt w:val="bullet"/>
      <w:lvlText w:val="•"/>
      <w:lvlJc w:val="left"/>
      <w:pPr>
        <w:ind w:left="8541" w:hanging="264"/>
      </w:pPr>
      <w:rPr>
        <w:rFonts w:hint="default"/>
        <w:lang w:val="zh-CN" w:eastAsia="zh-CN" w:bidi="zh-CN"/>
      </w:rPr>
    </w:lvl>
  </w:abstractNum>
  <w:abstractNum w:abstractNumId="140">
    <w:multiLevelType w:val="hybridMultilevel"/>
    <w:lvl w:ilvl="0">
      <w:start w:val="1"/>
      <w:numFmt w:val="decimal"/>
      <w:lvlText w:val="%1）"/>
      <w:lvlJc w:val="left"/>
      <w:pPr>
        <w:ind w:left="1415" w:hanging="318"/>
        <w:jc w:val="left"/>
      </w:pPr>
      <w:rPr>
        <w:rFonts w:hint="default" w:ascii="Times New Roman" w:hAnsi="Times New Roman" w:eastAsia="Times New Roman" w:cs="Times New Roman"/>
        <w:w w:val="100"/>
        <w:sz w:val="19"/>
        <w:szCs w:val="19"/>
        <w:lang w:val="zh-CN" w:eastAsia="zh-CN" w:bidi="zh-CN"/>
      </w:rPr>
    </w:lvl>
    <w:lvl w:ilvl="1">
      <w:start w:val="0"/>
      <w:numFmt w:val="bullet"/>
      <w:lvlText w:val="•"/>
      <w:lvlJc w:val="left"/>
      <w:pPr>
        <w:ind w:left="2328" w:hanging="318"/>
      </w:pPr>
      <w:rPr>
        <w:rFonts w:hint="default"/>
        <w:lang w:val="zh-CN" w:eastAsia="zh-CN" w:bidi="zh-CN"/>
      </w:rPr>
    </w:lvl>
    <w:lvl w:ilvl="2">
      <w:start w:val="0"/>
      <w:numFmt w:val="bullet"/>
      <w:lvlText w:val="•"/>
      <w:lvlJc w:val="left"/>
      <w:pPr>
        <w:ind w:left="3237" w:hanging="318"/>
      </w:pPr>
      <w:rPr>
        <w:rFonts w:hint="default"/>
        <w:lang w:val="zh-CN" w:eastAsia="zh-CN" w:bidi="zh-CN"/>
      </w:rPr>
    </w:lvl>
    <w:lvl w:ilvl="3">
      <w:start w:val="0"/>
      <w:numFmt w:val="bullet"/>
      <w:lvlText w:val="•"/>
      <w:lvlJc w:val="left"/>
      <w:pPr>
        <w:ind w:left="4145" w:hanging="318"/>
      </w:pPr>
      <w:rPr>
        <w:rFonts w:hint="default"/>
        <w:lang w:val="zh-CN" w:eastAsia="zh-CN" w:bidi="zh-CN"/>
      </w:rPr>
    </w:lvl>
    <w:lvl w:ilvl="4">
      <w:start w:val="0"/>
      <w:numFmt w:val="bullet"/>
      <w:lvlText w:val="•"/>
      <w:lvlJc w:val="left"/>
      <w:pPr>
        <w:ind w:left="5054" w:hanging="318"/>
      </w:pPr>
      <w:rPr>
        <w:rFonts w:hint="default"/>
        <w:lang w:val="zh-CN" w:eastAsia="zh-CN" w:bidi="zh-CN"/>
      </w:rPr>
    </w:lvl>
    <w:lvl w:ilvl="5">
      <w:start w:val="0"/>
      <w:numFmt w:val="bullet"/>
      <w:lvlText w:val="•"/>
      <w:lvlJc w:val="left"/>
      <w:pPr>
        <w:ind w:left="5963" w:hanging="318"/>
      </w:pPr>
      <w:rPr>
        <w:rFonts w:hint="default"/>
        <w:lang w:val="zh-CN" w:eastAsia="zh-CN" w:bidi="zh-CN"/>
      </w:rPr>
    </w:lvl>
    <w:lvl w:ilvl="6">
      <w:start w:val="0"/>
      <w:numFmt w:val="bullet"/>
      <w:lvlText w:val="•"/>
      <w:lvlJc w:val="left"/>
      <w:pPr>
        <w:ind w:left="6871" w:hanging="318"/>
      </w:pPr>
      <w:rPr>
        <w:rFonts w:hint="default"/>
        <w:lang w:val="zh-CN" w:eastAsia="zh-CN" w:bidi="zh-CN"/>
      </w:rPr>
    </w:lvl>
    <w:lvl w:ilvl="7">
      <w:start w:val="0"/>
      <w:numFmt w:val="bullet"/>
      <w:lvlText w:val="•"/>
      <w:lvlJc w:val="left"/>
      <w:pPr>
        <w:ind w:left="7780" w:hanging="318"/>
      </w:pPr>
      <w:rPr>
        <w:rFonts w:hint="default"/>
        <w:lang w:val="zh-CN" w:eastAsia="zh-CN" w:bidi="zh-CN"/>
      </w:rPr>
    </w:lvl>
    <w:lvl w:ilvl="8">
      <w:start w:val="0"/>
      <w:numFmt w:val="bullet"/>
      <w:lvlText w:val="•"/>
      <w:lvlJc w:val="left"/>
      <w:pPr>
        <w:ind w:left="8689" w:hanging="318"/>
      </w:pPr>
      <w:rPr>
        <w:rFonts w:hint="default"/>
        <w:lang w:val="zh-CN" w:eastAsia="zh-CN" w:bidi="zh-CN"/>
      </w:rPr>
    </w:lvl>
  </w:abstractNum>
  <w:abstractNum w:abstractNumId="138">
    <w:multiLevelType w:val="hybridMultilevel"/>
    <w:lvl w:ilvl="0">
      <w:start w:val="1"/>
      <w:numFmt w:val="decimal"/>
      <w:lvlText w:val="%1"/>
      <w:lvlJc w:val="left"/>
      <w:pPr>
        <w:ind w:left="1782" w:hanging="473"/>
        <w:jc w:val="left"/>
      </w:pPr>
      <w:rPr>
        <w:rFonts w:hint="default"/>
        <w:lang w:val="zh-CN" w:eastAsia="zh-CN" w:bidi="zh-CN"/>
      </w:rPr>
    </w:lvl>
    <w:lvl w:ilvl="1">
      <w:start w:val="16"/>
      <w:numFmt w:val="decimal"/>
      <w:lvlText w:val="%1.%2"/>
      <w:lvlJc w:val="left"/>
      <w:pPr>
        <w:ind w:left="1782" w:hanging="473"/>
        <w:jc w:val="left"/>
      </w:pPr>
      <w:rPr>
        <w:rFonts w:hint="default" w:ascii="Times New Roman" w:hAnsi="Times New Roman" w:eastAsia="Times New Roman" w:cs="Times New Roman"/>
        <w:w w:val="100"/>
        <w:sz w:val="21"/>
        <w:szCs w:val="21"/>
        <w:lang w:val="zh-CN" w:eastAsia="zh-CN" w:bidi="zh-CN"/>
      </w:rPr>
    </w:lvl>
    <w:lvl w:ilvl="2">
      <w:start w:val="0"/>
      <w:numFmt w:val="bullet"/>
      <w:lvlText w:val="•"/>
      <w:lvlJc w:val="left"/>
      <w:pPr>
        <w:ind w:left="3525" w:hanging="473"/>
      </w:pPr>
      <w:rPr>
        <w:rFonts w:hint="default"/>
        <w:lang w:val="zh-CN" w:eastAsia="zh-CN" w:bidi="zh-CN"/>
      </w:rPr>
    </w:lvl>
    <w:lvl w:ilvl="3">
      <w:start w:val="0"/>
      <w:numFmt w:val="bullet"/>
      <w:lvlText w:val="•"/>
      <w:lvlJc w:val="left"/>
      <w:pPr>
        <w:ind w:left="4397" w:hanging="473"/>
      </w:pPr>
      <w:rPr>
        <w:rFonts w:hint="default"/>
        <w:lang w:val="zh-CN" w:eastAsia="zh-CN" w:bidi="zh-CN"/>
      </w:rPr>
    </w:lvl>
    <w:lvl w:ilvl="4">
      <w:start w:val="0"/>
      <w:numFmt w:val="bullet"/>
      <w:lvlText w:val="•"/>
      <w:lvlJc w:val="left"/>
      <w:pPr>
        <w:ind w:left="5270" w:hanging="473"/>
      </w:pPr>
      <w:rPr>
        <w:rFonts w:hint="default"/>
        <w:lang w:val="zh-CN" w:eastAsia="zh-CN" w:bidi="zh-CN"/>
      </w:rPr>
    </w:lvl>
    <w:lvl w:ilvl="5">
      <w:start w:val="0"/>
      <w:numFmt w:val="bullet"/>
      <w:lvlText w:val="•"/>
      <w:lvlJc w:val="left"/>
      <w:pPr>
        <w:ind w:left="6143" w:hanging="473"/>
      </w:pPr>
      <w:rPr>
        <w:rFonts w:hint="default"/>
        <w:lang w:val="zh-CN" w:eastAsia="zh-CN" w:bidi="zh-CN"/>
      </w:rPr>
    </w:lvl>
    <w:lvl w:ilvl="6">
      <w:start w:val="0"/>
      <w:numFmt w:val="bullet"/>
      <w:lvlText w:val="•"/>
      <w:lvlJc w:val="left"/>
      <w:pPr>
        <w:ind w:left="7015" w:hanging="473"/>
      </w:pPr>
      <w:rPr>
        <w:rFonts w:hint="default"/>
        <w:lang w:val="zh-CN" w:eastAsia="zh-CN" w:bidi="zh-CN"/>
      </w:rPr>
    </w:lvl>
    <w:lvl w:ilvl="7">
      <w:start w:val="0"/>
      <w:numFmt w:val="bullet"/>
      <w:lvlText w:val="•"/>
      <w:lvlJc w:val="left"/>
      <w:pPr>
        <w:ind w:left="7888" w:hanging="473"/>
      </w:pPr>
      <w:rPr>
        <w:rFonts w:hint="default"/>
        <w:lang w:val="zh-CN" w:eastAsia="zh-CN" w:bidi="zh-CN"/>
      </w:rPr>
    </w:lvl>
    <w:lvl w:ilvl="8">
      <w:start w:val="0"/>
      <w:numFmt w:val="bullet"/>
      <w:lvlText w:val="•"/>
      <w:lvlJc w:val="left"/>
      <w:pPr>
        <w:ind w:left="8761" w:hanging="473"/>
      </w:pPr>
      <w:rPr>
        <w:rFonts w:hint="default"/>
        <w:lang w:val="zh-CN" w:eastAsia="zh-CN" w:bidi="zh-CN"/>
      </w:rPr>
    </w:lvl>
  </w:abstractNum>
  <w:abstractNum w:abstractNumId="137">
    <w:multiLevelType w:val="hybridMultilevel"/>
    <w:lvl w:ilvl="0">
      <w:start w:val="1"/>
      <w:numFmt w:val="decimal"/>
      <w:lvlText w:val="%1"/>
      <w:lvlJc w:val="left"/>
      <w:pPr>
        <w:ind w:left="1678" w:hanging="370"/>
        <w:jc w:val="left"/>
      </w:pPr>
      <w:rPr>
        <w:rFonts w:hint="default"/>
        <w:lang w:val="zh-CN" w:eastAsia="zh-CN" w:bidi="zh-CN"/>
      </w:rPr>
    </w:lvl>
    <w:lvl w:ilvl="1">
      <w:start w:val="4"/>
      <w:numFmt w:val="decimal"/>
      <w:lvlText w:val="%1.%2"/>
      <w:lvlJc w:val="left"/>
      <w:pPr>
        <w:ind w:left="1678" w:hanging="370"/>
        <w:jc w:val="left"/>
      </w:pPr>
      <w:rPr>
        <w:rFonts w:hint="default" w:ascii="Times New Roman" w:hAnsi="Times New Roman" w:eastAsia="Times New Roman" w:cs="Times New Roman"/>
        <w:w w:val="100"/>
        <w:sz w:val="21"/>
        <w:szCs w:val="21"/>
        <w:lang w:val="zh-CN" w:eastAsia="zh-CN" w:bidi="zh-CN"/>
      </w:rPr>
    </w:lvl>
    <w:lvl w:ilvl="2">
      <w:start w:val="0"/>
      <w:numFmt w:val="bullet"/>
      <w:lvlText w:val="•"/>
      <w:lvlJc w:val="left"/>
      <w:pPr>
        <w:ind w:left="3445" w:hanging="370"/>
      </w:pPr>
      <w:rPr>
        <w:rFonts w:hint="default"/>
        <w:lang w:val="zh-CN" w:eastAsia="zh-CN" w:bidi="zh-CN"/>
      </w:rPr>
    </w:lvl>
    <w:lvl w:ilvl="3">
      <w:start w:val="0"/>
      <w:numFmt w:val="bullet"/>
      <w:lvlText w:val="•"/>
      <w:lvlJc w:val="left"/>
      <w:pPr>
        <w:ind w:left="4327" w:hanging="370"/>
      </w:pPr>
      <w:rPr>
        <w:rFonts w:hint="default"/>
        <w:lang w:val="zh-CN" w:eastAsia="zh-CN" w:bidi="zh-CN"/>
      </w:rPr>
    </w:lvl>
    <w:lvl w:ilvl="4">
      <w:start w:val="0"/>
      <w:numFmt w:val="bullet"/>
      <w:lvlText w:val="•"/>
      <w:lvlJc w:val="left"/>
      <w:pPr>
        <w:ind w:left="5210" w:hanging="370"/>
      </w:pPr>
      <w:rPr>
        <w:rFonts w:hint="default"/>
        <w:lang w:val="zh-CN" w:eastAsia="zh-CN" w:bidi="zh-CN"/>
      </w:rPr>
    </w:lvl>
    <w:lvl w:ilvl="5">
      <w:start w:val="0"/>
      <w:numFmt w:val="bullet"/>
      <w:lvlText w:val="•"/>
      <w:lvlJc w:val="left"/>
      <w:pPr>
        <w:ind w:left="6093" w:hanging="370"/>
      </w:pPr>
      <w:rPr>
        <w:rFonts w:hint="default"/>
        <w:lang w:val="zh-CN" w:eastAsia="zh-CN" w:bidi="zh-CN"/>
      </w:rPr>
    </w:lvl>
    <w:lvl w:ilvl="6">
      <w:start w:val="0"/>
      <w:numFmt w:val="bullet"/>
      <w:lvlText w:val="•"/>
      <w:lvlJc w:val="left"/>
      <w:pPr>
        <w:ind w:left="6975" w:hanging="370"/>
      </w:pPr>
      <w:rPr>
        <w:rFonts w:hint="default"/>
        <w:lang w:val="zh-CN" w:eastAsia="zh-CN" w:bidi="zh-CN"/>
      </w:rPr>
    </w:lvl>
    <w:lvl w:ilvl="7">
      <w:start w:val="0"/>
      <w:numFmt w:val="bullet"/>
      <w:lvlText w:val="•"/>
      <w:lvlJc w:val="left"/>
      <w:pPr>
        <w:ind w:left="7858" w:hanging="370"/>
      </w:pPr>
      <w:rPr>
        <w:rFonts w:hint="default"/>
        <w:lang w:val="zh-CN" w:eastAsia="zh-CN" w:bidi="zh-CN"/>
      </w:rPr>
    </w:lvl>
    <w:lvl w:ilvl="8">
      <w:start w:val="0"/>
      <w:numFmt w:val="bullet"/>
      <w:lvlText w:val="•"/>
      <w:lvlJc w:val="left"/>
      <w:pPr>
        <w:ind w:left="8741" w:hanging="370"/>
      </w:pPr>
      <w:rPr>
        <w:rFonts w:hint="default"/>
        <w:lang w:val="zh-CN" w:eastAsia="zh-CN" w:bidi="zh-CN"/>
      </w:rPr>
    </w:lvl>
  </w:abstractNum>
  <w:abstractNum w:abstractNumId="136">
    <w:multiLevelType w:val="hybridMultilevel"/>
    <w:lvl w:ilvl="0">
      <w:start w:val="1"/>
      <w:numFmt w:val="decimal"/>
      <w:lvlText w:val="%1"/>
      <w:lvlJc w:val="left"/>
      <w:pPr>
        <w:ind w:left="1678" w:hanging="370"/>
        <w:jc w:val="left"/>
      </w:pPr>
      <w:rPr>
        <w:rFonts w:hint="default"/>
        <w:lang w:val="zh-CN" w:eastAsia="zh-CN" w:bidi="zh-CN"/>
      </w:rPr>
    </w:lvl>
    <w:lvl w:ilvl="1">
      <w:start w:val="1"/>
      <w:numFmt w:val="decimal"/>
      <w:lvlText w:val="%1.%2"/>
      <w:lvlJc w:val="left"/>
      <w:pPr>
        <w:ind w:left="1678" w:hanging="370"/>
        <w:jc w:val="left"/>
      </w:pPr>
      <w:rPr>
        <w:rFonts w:hint="default" w:ascii="Times New Roman" w:hAnsi="Times New Roman" w:eastAsia="Times New Roman" w:cs="Times New Roman"/>
        <w:w w:val="100"/>
        <w:sz w:val="21"/>
        <w:szCs w:val="21"/>
        <w:lang w:val="zh-CN" w:eastAsia="zh-CN" w:bidi="zh-CN"/>
      </w:rPr>
    </w:lvl>
    <w:lvl w:ilvl="2">
      <w:start w:val="0"/>
      <w:numFmt w:val="bullet"/>
      <w:lvlText w:val="•"/>
      <w:lvlJc w:val="left"/>
      <w:pPr>
        <w:ind w:left="3445" w:hanging="370"/>
      </w:pPr>
      <w:rPr>
        <w:rFonts w:hint="default"/>
        <w:lang w:val="zh-CN" w:eastAsia="zh-CN" w:bidi="zh-CN"/>
      </w:rPr>
    </w:lvl>
    <w:lvl w:ilvl="3">
      <w:start w:val="0"/>
      <w:numFmt w:val="bullet"/>
      <w:lvlText w:val="•"/>
      <w:lvlJc w:val="left"/>
      <w:pPr>
        <w:ind w:left="4327" w:hanging="370"/>
      </w:pPr>
      <w:rPr>
        <w:rFonts w:hint="default"/>
        <w:lang w:val="zh-CN" w:eastAsia="zh-CN" w:bidi="zh-CN"/>
      </w:rPr>
    </w:lvl>
    <w:lvl w:ilvl="4">
      <w:start w:val="0"/>
      <w:numFmt w:val="bullet"/>
      <w:lvlText w:val="•"/>
      <w:lvlJc w:val="left"/>
      <w:pPr>
        <w:ind w:left="5210" w:hanging="370"/>
      </w:pPr>
      <w:rPr>
        <w:rFonts w:hint="default"/>
        <w:lang w:val="zh-CN" w:eastAsia="zh-CN" w:bidi="zh-CN"/>
      </w:rPr>
    </w:lvl>
    <w:lvl w:ilvl="5">
      <w:start w:val="0"/>
      <w:numFmt w:val="bullet"/>
      <w:lvlText w:val="•"/>
      <w:lvlJc w:val="left"/>
      <w:pPr>
        <w:ind w:left="6093" w:hanging="370"/>
      </w:pPr>
      <w:rPr>
        <w:rFonts w:hint="default"/>
        <w:lang w:val="zh-CN" w:eastAsia="zh-CN" w:bidi="zh-CN"/>
      </w:rPr>
    </w:lvl>
    <w:lvl w:ilvl="6">
      <w:start w:val="0"/>
      <w:numFmt w:val="bullet"/>
      <w:lvlText w:val="•"/>
      <w:lvlJc w:val="left"/>
      <w:pPr>
        <w:ind w:left="6975" w:hanging="370"/>
      </w:pPr>
      <w:rPr>
        <w:rFonts w:hint="default"/>
        <w:lang w:val="zh-CN" w:eastAsia="zh-CN" w:bidi="zh-CN"/>
      </w:rPr>
    </w:lvl>
    <w:lvl w:ilvl="7">
      <w:start w:val="0"/>
      <w:numFmt w:val="bullet"/>
      <w:lvlText w:val="•"/>
      <w:lvlJc w:val="left"/>
      <w:pPr>
        <w:ind w:left="7858" w:hanging="370"/>
      </w:pPr>
      <w:rPr>
        <w:rFonts w:hint="default"/>
        <w:lang w:val="zh-CN" w:eastAsia="zh-CN" w:bidi="zh-CN"/>
      </w:rPr>
    </w:lvl>
    <w:lvl w:ilvl="8">
      <w:start w:val="0"/>
      <w:numFmt w:val="bullet"/>
      <w:lvlText w:val="•"/>
      <w:lvlJc w:val="left"/>
      <w:pPr>
        <w:ind w:left="8741" w:hanging="370"/>
      </w:pPr>
      <w:rPr>
        <w:rFonts w:hint="default"/>
        <w:lang w:val="zh-CN" w:eastAsia="zh-CN" w:bidi="zh-CN"/>
      </w:rPr>
    </w:lvl>
  </w:abstractNum>
  <w:abstractNum w:abstractNumId="135">
    <w:multiLevelType w:val="hybridMultilevel"/>
    <w:lvl w:ilvl="0">
      <w:start w:val="1"/>
      <w:numFmt w:val="decimal"/>
      <w:lvlText w:val="（%1）"/>
      <w:lvlJc w:val="left"/>
      <w:pPr>
        <w:ind w:left="1763" w:hanging="604"/>
        <w:jc w:val="right"/>
      </w:pPr>
      <w:rPr>
        <w:rFonts w:hint="default"/>
        <w:b/>
        <w:bCs/>
        <w:spacing w:val="0"/>
        <w:w w:val="100"/>
        <w:lang w:val="zh-CN" w:eastAsia="zh-CN" w:bidi="zh-CN"/>
      </w:rPr>
    </w:lvl>
    <w:lvl w:ilvl="1">
      <w:start w:val="1"/>
      <w:numFmt w:val="decimal"/>
      <w:lvlText w:val="%2."/>
      <w:lvlJc w:val="left"/>
      <w:pPr>
        <w:ind w:left="678" w:hanging="264"/>
        <w:jc w:val="left"/>
      </w:pPr>
      <w:rPr>
        <w:rFonts w:hint="default" w:ascii="Times New Roman" w:hAnsi="Times New Roman" w:eastAsia="Times New Roman" w:cs="Times New Roman"/>
        <w:w w:val="100"/>
        <w:sz w:val="21"/>
        <w:szCs w:val="21"/>
        <w:lang w:val="zh-CN" w:eastAsia="zh-CN" w:bidi="zh-CN"/>
      </w:rPr>
    </w:lvl>
    <w:lvl w:ilvl="2">
      <w:start w:val="0"/>
      <w:numFmt w:val="bullet"/>
      <w:lvlText w:val="•"/>
      <w:lvlJc w:val="left"/>
      <w:pPr>
        <w:ind w:left="2731" w:hanging="264"/>
      </w:pPr>
      <w:rPr>
        <w:rFonts w:hint="default"/>
        <w:lang w:val="zh-CN" w:eastAsia="zh-CN" w:bidi="zh-CN"/>
      </w:rPr>
    </w:lvl>
    <w:lvl w:ilvl="3">
      <w:start w:val="0"/>
      <w:numFmt w:val="bullet"/>
      <w:lvlText w:val="•"/>
      <w:lvlJc w:val="left"/>
      <w:pPr>
        <w:ind w:left="3703" w:hanging="264"/>
      </w:pPr>
      <w:rPr>
        <w:rFonts w:hint="default"/>
        <w:lang w:val="zh-CN" w:eastAsia="zh-CN" w:bidi="zh-CN"/>
      </w:rPr>
    </w:lvl>
    <w:lvl w:ilvl="4">
      <w:start w:val="0"/>
      <w:numFmt w:val="bullet"/>
      <w:lvlText w:val="•"/>
      <w:lvlJc w:val="left"/>
      <w:pPr>
        <w:ind w:left="4675" w:hanging="264"/>
      </w:pPr>
      <w:rPr>
        <w:rFonts w:hint="default"/>
        <w:lang w:val="zh-CN" w:eastAsia="zh-CN" w:bidi="zh-CN"/>
      </w:rPr>
    </w:lvl>
    <w:lvl w:ilvl="5">
      <w:start w:val="0"/>
      <w:numFmt w:val="bullet"/>
      <w:lvlText w:val="•"/>
      <w:lvlJc w:val="left"/>
      <w:pPr>
        <w:ind w:left="5647" w:hanging="264"/>
      </w:pPr>
      <w:rPr>
        <w:rFonts w:hint="default"/>
        <w:lang w:val="zh-CN" w:eastAsia="zh-CN" w:bidi="zh-CN"/>
      </w:rPr>
    </w:lvl>
    <w:lvl w:ilvl="6">
      <w:start w:val="0"/>
      <w:numFmt w:val="bullet"/>
      <w:lvlText w:val="•"/>
      <w:lvlJc w:val="left"/>
      <w:pPr>
        <w:ind w:left="6619" w:hanging="264"/>
      </w:pPr>
      <w:rPr>
        <w:rFonts w:hint="default"/>
        <w:lang w:val="zh-CN" w:eastAsia="zh-CN" w:bidi="zh-CN"/>
      </w:rPr>
    </w:lvl>
    <w:lvl w:ilvl="7">
      <w:start w:val="0"/>
      <w:numFmt w:val="bullet"/>
      <w:lvlText w:val="•"/>
      <w:lvlJc w:val="left"/>
      <w:pPr>
        <w:ind w:left="7590" w:hanging="264"/>
      </w:pPr>
      <w:rPr>
        <w:rFonts w:hint="default"/>
        <w:lang w:val="zh-CN" w:eastAsia="zh-CN" w:bidi="zh-CN"/>
      </w:rPr>
    </w:lvl>
    <w:lvl w:ilvl="8">
      <w:start w:val="0"/>
      <w:numFmt w:val="bullet"/>
      <w:lvlText w:val="•"/>
      <w:lvlJc w:val="left"/>
      <w:pPr>
        <w:ind w:left="8562" w:hanging="264"/>
      </w:pPr>
      <w:rPr>
        <w:rFonts w:hint="default"/>
        <w:lang w:val="zh-CN" w:eastAsia="zh-CN" w:bidi="zh-CN"/>
      </w:rPr>
    </w:lvl>
  </w:abstractNum>
  <w:abstractNum w:abstractNumId="134">
    <w:multiLevelType w:val="hybridMultilevel"/>
    <w:lvl w:ilvl="0">
      <w:start w:val="1"/>
      <w:numFmt w:val="decimal"/>
      <w:lvlText w:val="%1."/>
      <w:lvlJc w:val="left"/>
      <w:pPr>
        <w:ind w:left="398" w:hanging="281"/>
        <w:jc w:val="left"/>
      </w:pPr>
      <w:rPr>
        <w:rFonts w:hint="default" w:ascii="微软雅黑" w:hAnsi="微软雅黑" w:eastAsia="微软雅黑" w:cs="微软雅黑"/>
        <w:w w:val="100"/>
        <w:sz w:val="21"/>
        <w:szCs w:val="21"/>
        <w:lang w:val="zh-CN" w:eastAsia="zh-CN" w:bidi="zh-CN"/>
      </w:rPr>
    </w:lvl>
    <w:lvl w:ilvl="1">
      <w:start w:val="0"/>
      <w:numFmt w:val="bullet"/>
      <w:lvlText w:val="•"/>
      <w:lvlJc w:val="left"/>
      <w:pPr>
        <w:ind w:left="1022" w:hanging="281"/>
      </w:pPr>
      <w:rPr>
        <w:rFonts w:hint="default"/>
        <w:lang w:val="zh-CN" w:eastAsia="zh-CN" w:bidi="zh-CN"/>
      </w:rPr>
    </w:lvl>
    <w:lvl w:ilvl="2">
      <w:start w:val="0"/>
      <w:numFmt w:val="bullet"/>
      <w:lvlText w:val="•"/>
      <w:lvlJc w:val="left"/>
      <w:pPr>
        <w:ind w:left="1645" w:hanging="281"/>
      </w:pPr>
      <w:rPr>
        <w:rFonts w:hint="default"/>
        <w:lang w:val="zh-CN" w:eastAsia="zh-CN" w:bidi="zh-CN"/>
      </w:rPr>
    </w:lvl>
    <w:lvl w:ilvl="3">
      <w:start w:val="0"/>
      <w:numFmt w:val="bullet"/>
      <w:lvlText w:val="•"/>
      <w:lvlJc w:val="left"/>
      <w:pPr>
        <w:ind w:left="2267" w:hanging="281"/>
      </w:pPr>
      <w:rPr>
        <w:rFonts w:hint="default"/>
        <w:lang w:val="zh-CN" w:eastAsia="zh-CN" w:bidi="zh-CN"/>
      </w:rPr>
    </w:lvl>
    <w:lvl w:ilvl="4">
      <w:start w:val="0"/>
      <w:numFmt w:val="bullet"/>
      <w:lvlText w:val="•"/>
      <w:lvlJc w:val="left"/>
      <w:pPr>
        <w:ind w:left="2890" w:hanging="281"/>
      </w:pPr>
      <w:rPr>
        <w:rFonts w:hint="default"/>
        <w:lang w:val="zh-CN" w:eastAsia="zh-CN" w:bidi="zh-CN"/>
      </w:rPr>
    </w:lvl>
    <w:lvl w:ilvl="5">
      <w:start w:val="0"/>
      <w:numFmt w:val="bullet"/>
      <w:lvlText w:val="•"/>
      <w:lvlJc w:val="left"/>
      <w:pPr>
        <w:ind w:left="3513" w:hanging="281"/>
      </w:pPr>
      <w:rPr>
        <w:rFonts w:hint="default"/>
        <w:lang w:val="zh-CN" w:eastAsia="zh-CN" w:bidi="zh-CN"/>
      </w:rPr>
    </w:lvl>
    <w:lvl w:ilvl="6">
      <w:start w:val="0"/>
      <w:numFmt w:val="bullet"/>
      <w:lvlText w:val="•"/>
      <w:lvlJc w:val="left"/>
      <w:pPr>
        <w:ind w:left="4135" w:hanging="281"/>
      </w:pPr>
      <w:rPr>
        <w:rFonts w:hint="default"/>
        <w:lang w:val="zh-CN" w:eastAsia="zh-CN" w:bidi="zh-CN"/>
      </w:rPr>
    </w:lvl>
    <w:lvl w:ilvl="7">
      <w:start w:val="0"/>
      <w:numFmt w:val="bullet"/>
      <w:lvlText w:val="•"/>
      <w:lvlJc w:val="left"/>
      <w:pPr>
        <w:ind w:left="4758" w:hanging="281"/>
      </w:pPr>
      <w:rPr>
        <w:rFonts w:hint="default"/>
        <w:lang w:val="zh-CN" w:eastAsia="zh-CN" w:bidi="zh-CN"/>
      </w:rPr>
    </w:lvl>
    <w:lvl w:ilvl="8">
      <w:start w:val="0"/>
      <w:numFmt w:val="bullet"/>
      <w:lvlText w:val="•"/>
      <w:lvlJc w:val="left"/>
      <w:pPr>
        <w:ind w:left="5380" w:hanging="281"/>
      </w:pPr>
      <w:rPr>
        <w:rFonts w:hint="default"/>
        <w:lang w:val="zh-CN" w:eastAsia="zh-CN" w:bidi="zh-CN"/>
      </w:rPr>
    </w:lvl>
  </w:abstractNum>
  <w:abstractNum w:abstractNumId="133">
    <w:multiLevelType w:val="hybridMultilevel"/>
    <w:lvl w:ilvl="0">
      <w:start w:val="1"/>
      <w:numFmt w:val="decimal"/>
      <w:lvlText w:val="%1."/>
      <w:lvlJc w:val="left"/>
      <w:pPr>
        <w:ind w:left="117" w:hanging="281"/>
        <w:jc w:val="left"/>
      </w:pPr>
      <w:rPr>
        <w:rFonts w:hint="default" w:ascii="微软雅黑" w:hAnsi="微软雅黑" w:eastAsia="微软雅黑" w:cs="微软雅黑"/>
        <w:w w:val="100"/>
        <w:sz w:val="21"/>
        <w:szCs w:val="21"/>
        <w:lang w:val="zh-CN" w:eastAsia="zh-CN" w:bidi="zh-CN"/>
      </w:rPr>
    </w:lvl>
    <w:lvl w:ilvl="1">
      <w:start w:val="0"/>
      <w:numFmt w:val="bullet"/>
      <w:lvlText w:val="•"/>
      <w:lvlJc w:val="left"/>
      <w:pPr>
        <w:ind w:left="770" w:hanging="281"/>
      </w:pPr>
      <w:rPr>
        <w:rFonts w:hint="default"/>
        <w:lang w:val="zh-CN" w:eastAsia="zh-CN" w:bidi="zh-CN"/>
      </w:rPr>
    </w:lvl>
    <w:lvl w:ilvl="2">
      <w:start w:val="0"/>
      <w:numFmt w:val="bullet"/>
      <w:lvlText w:val="•"/>
      <w:lvlJc w:val="left"/>
      <w:pPr>
        <w:ind w:left="1421" w:hanging="281"/>
      </w:pPr>
      <w:rPr>
        <w:rFonts w:hint="default"/>
        <w:lang w:val="zh-CN" w:eastAsia="zh-CN" w:bidi="zh-CN"/>
      </w:rPr>
    </w:lvl>
    <w:lvl w:ilvl="3">
      <w:start w:val="0"/>
      <w:numFmt w:val="bullet"/>
      <w:lvlText w:val="•"/>
      <w:lvlJc w:val="left"/>
      <w:pPr>
        <w:ind w:left="2071" w:hanging="281"/>
      </w:pPr>
      <w:rPr>
        <w:rFonts w:hint="default"/>
        <w:lang w:val="zh-CN" w:eastAsia="zh-CN" w:bidi="zh-CN"/>
      </w:rPr>
    </w:lvl>
    <w:lvl w:ilvl="4">
      <w:start w:val="0"/>
      <w:numFmt w:val="bullet"/>
      <w:lvlText w:val="•"/>
      <w:lvlJc w:val="left"/>
      <w:pPr>
        <w:ind w:left="2722" w:hanging="281"/>
      </w:pPr>
      <w:rPr>
        <w:rFonts w:hint="default"/>
        <w:lang w:val="zh-CN" w:eastAsia="zh-CN" w:bidi="zh-CN"/>
      </w:rPr>
    </w:lvl>
    <w:lvl w:ilvl="5">
      <w:start w:val="0"/>
      <w:numFmt w:val="bullet"/>
      <w:lvlText w:val="•"/>
      <w:lvlJc w:val="left"/>
      <w:pPr>
        <w:ind w:left="3373" w:hanging="281"/>
      </w:pPr>
      <w:rPr>
        <w:rFonts w:hint="default"/>
        <w:lang w:val="zh-CN" w:eastAsia="zh-CN" w:bidi="zh-CN"/>
      </w:rPr>
    </w:lvl>
    <w:lvl w:ilvl="6">
      <w:start w:val="0"/>
      <w:numFmt w:val="bullet"/>
      <w:lvlText w:val="•"/>
      <w:lvlJc w:val="left"/>
      <w:pPr>
        <w:ind w:left="4023" w:hanging="281"/>
      </w:pPr>
      <w:rPr>
        <w:rFonts w:hint="default"/>
        <w:lang w:val="zh-CN" w:eastAsia="zh-CN" w:bidi="zh-CN"/>
      </w:rPr>
    </w:lvl>
    <w:lvl w:ilvl="7">
      <w:start w:val="0"/>
      <w:numFmt w:val="bullet"/>
      <w:lvlText w:val="•"/>
      <w:lvlJc w:val="left"/>
      <w:pPr>
        <w:ind w:left="4674" w:hanging="281"/>
      </w:pPr>
      <w:rPr>
        <w:rFonts w:hint="default"/>
        <w:lang w:val="zh-CN" w:eastAsia="zh-CN" w:bidi="zh-CN"/>
      </w:rPr>
    </w:lvl>
    <w:lvl w:ilvl="8">
      <w:start w:val="0"/>
      <w:numFmt w:val="bullet"/>
      <w:lvlText w:val="•"/>
      <w:lvlJc w:val="left"/>
      <w:pPr>
        <w:ind w:left="5324" w:hanging="281"/>
      </w:pPr>
      <w:rPr>
        <w:rFonts w:hint="default"/>
        <w:lang w:val="zh-CN" w:eastAsia="zh-CN" w:bidi="zh-CN"/>
      </w:rPr>
    </w:lvl>
  </w:abstractNum>
  <w:abstractNum w:abstractNumId="132">
    <w:multiLevelType w:val="hybridMultilevel"/>
    <w:lvl w:ilvl="0">
      <w:start w:val="1"/>
      <w:numFmt w:val="decimal"/>
      <w:lvlText w:val="%1."/>
      <w:lvlJc w:val="left"/>
      <w:pPr>
        <w:ind w:left="398" w:hanging="281"/>
        <w:jc w:val="left"/>
      </w:pPr>
      <w:rPr>
        <w:rFonts w:hint="default" w:ascii="微软雅黑" w:hAnsi="微软雅黑" w:eastAsia="微软雅黑" w:cs="微软雅黑"/>
        <w:w w:val="100"/>
        <w:sz w:val="21"/>
        <w:szCs w:val="21"/>
        <w:lang w:val="zh-CN" w:eastAsia="zh-CN" w:bidi="zh-CN"/>
      </w:rPr>
    </w:lvl>
    <w:lvl w:ilvl="1">
      <w:start w:val="0"/>
      <w:numFmt w:val="bullet"/>
      <w:lvlText w:val="•"/>
      <w:lvlJc w:val="left"/>
      <w:pPr>
        <w:ind w:left="1022" w:hanging="281"/>
      </w:pPr>
      <w:rPr>
        <w:rFonts w:hint="default"/>
        <w:lang w:val="zh-CN" w:eastAsia="zh-CN" w:bidi="zh-CN"/>
      </w:rPr>
    </w:lvl>
    <w:lvl w:ilvl="2">
      <w:start w:val="0"/>
      <w:numFmt w:val="bullet"/>
      <w:lvlText w:val="•"/>
      <w:lvlJc w:val="left"/>
      <w:pPr>
        <w:ind w:left="1645" w:hanging="281"/>
      </w:pPr>
      <w:rPr>
        <w:rFonts w:hint="default"/>
        <w:lang w:val="zh-CN" w:eastAsia="zh-CN" w:bidi="zh-CN"/>
      </w:rPr>
    </w:lvl>
    <w:lvl w:ilvl="3">
      <w:start w:val="0"/>
      <w:numFmt w:val="bullet"/>
      <w:lvlText w:val="•"/>
      <w:lvlJc w:val="left"/>
      <w:pPr>
        <w:ind w:left="2267" w:hanging="281"/>
      </w:pPr>
      <w:rPr>
        <w:rFonts w:hint="default"/>
        <w:lang w:val="zh-CN" w:eastAsia="zh-CN" w:bidi="zh-CN"/>
      </w:rPr>
    </w:lvl>
    <w:lvl w:ilvl="4">
      <w:start w:val="0"/>
      <w:numFmt w:val="bullet"/>
      <w:lvlText w:val="•"/>
      <w:lvlJc w:val="left"/>
      <w:pPr>
        <w:ind w:left="2890" w:hanging="281"/>
      </w:pPr>
      <w:rPr>
        <w:rFonts w:hint="default"/>
        <w:lang w:val="zh-CN" w:eastAsia="zh-CN" w:bidi="zh-CN"/>
      </w:rPr>
    </w:lvl>
    <w:lvl w:ilvl="5">
      <w:start w:val="0"/>
      <w:numFmt w:val="bullet"/>
      <w:lvlText w:val="•"/>
      <w:lvlJc w:val="left"/>
      <w:pPr>
        <w:ind w:left="3513" w:hanging="281"/>
      </w:pPr>
      <w:rPr>
        <w:rFonts w:hint="default"/>
        <w:lang w:val="zh-CN" w:eastAsia="zh-CN" w:bidi="zh-CN"/>
      </w:rPr>
    </w:lvl>
    <w:lvl w:ilvl="6">
      <w:start w:val="0"/>
      <w:numFmt w:val="bullet"/>
      <w:lvlText w:val="•"/>
      <w:lvlJc w:val="left"/>
      <w:pPr>
        <w:ind w:left="4135" w:hanging="281"/>
      </w:pPr>
      <w:rPr>
        <w:rFonts w:hint="default"/>
        <w:lang w:val="zh-CN" w:eastAsia="zh-CN" w:bidi="zh-CN"/>
      </w:rPr>
    </w:lvl>
    <w:lvl w:ilvl="7">
      <w:start w:val="0"/>
      <w:numFmt w:val="bullet"/>
      <w:lvlText w:val="•"/>
      <w:lvlJc w:val="left"/>
      <w:pPr>
        <w:ind w:left="4758" w:hanging="281"/>
      </w:pPr>
      <w:rPr>
        <w:rFonts w:hint="default"/>
        <w:lang w:val="zh-CN" w:eastAsia="zh-CN" w:bidi="zh-CN"/>
      </w:rPr>
    </w:lvl>
    <w:lvl w:ilvl="8">
      <w:start w:val="0"/>
      <w:numFmt w:val="bullet"/>
      <w:lvlText w:val="•"/>
      <w:lvlJc w:val="left"/>
      <w:pPr>
        <w:ind w:left="5380" w:hanging="281"/>
      </w:pPr>
      <w:rPr>
        <w:rFonts w:hint="default"/>
        <w:lang w:val="zh-CN" w:eastAsia="zh-CN" w:bidi="zh-CN"/>
      </w:rPr>
    </w:lvl>
  </w:abstractNum>
  <w:abstractNum w:abstractNumId="131">
    <w:multiLevelType w:val="hybridMultilevel"/>
    <w:lvl w:ilvl="0">
      <w:start w:val="1"/>
      <w:numFmt w:val="decimal"/>
      <w:lvlText w:val="%1."/>
      <w:lvlJc w:val="left"/>
      <w:pPr>
        <w:ind w:left="398" w:hanging="281"/>
        <w:jc w:val="left"/>
      </w:pPr>
      <w:rPr>
        <w:rFonts w:hint="default" w:ascii="微软雅黑" w:hAnsi="微软雅黑" w:eastAsia="微软雅黑" w:cs="微软雅黑"/>
        <w:w w:val="100"/>
        <w:sz w:val="21"/>
        <w:szCs w:val="21"/>
        <w:lang w:val="zh-CN" w:eastAsia="zh-CN" w:bidi="zh-CN"/>
      </w:rPr>
    </w:lvl>
    <w:lvl w:ilvl="1">
      <w:start w:val="0"/>
      <w:numFmt w:val="bullet"/>
      <w:lvlText w:val="•"/>
      <w:lvlJc w:val="left"/>
      <w:pPr>
        <w:ind w:left="1022" w:hanging="281"/>
      </w:pPr>
      <w:rPr>
        <w:rFonts w:hint="default"/>
        <w:lang w:val="zh-CN" w:eastAsia="zh-CN" w:bidi="zh-CN"/>
      </w:rPr>
    </w:lvl>
    <w:lvl w:ilvl="2">
      <w:start w:val="0"/>
      <w:numFmt w:val="bullet"/>
      <w:lvlText w:val="•"/>
      <w:lvlJc w:val="left"/>
      <w:pPr>
        <w:ind w:left="1645" w:hanging="281"/>
      </w:pPr>
      <w:rPr>
        <w:rFonts w:hint="default"/>
        <w:lang w:val="zh-CN" w:eastAsia="zh-CN" w:bidi="zh-CN"/>
      </w:rPr>
    </w:lvl>
    <w:lvl w:ilvl="3">
      <w:start w:val="0"/>
      <w:numFmt w:val="bullet"/>
      <w:lvlText w:val="•"/>
      <w:lvlJc w:val="left"/>
      <w:pPr>
        <w:ind w:left="2267" w:hanging="281"/>
      </w:pPr>
      <w:rPr>
        <w:rFonts w:hint="default"/>
        <w:lang w:val="zh-CN" w:eastAsia="zh-CN" w:bidi="zh-CN"/>
      </w:rPr>
    </w:lvl>
    <w:lvl w:ilvl="4">
      <w:start w:val="0"/>
      <w:numFmt w:val="bullet"/>
      <w:lvlText w:val="•"/>
      <w:lvlJc w:val="left"/>
      <w:pPr>
        <w:ind w:left="2890" w:hanging="281"/>
      </w:pPr>
      <w:rPr>
        <w:rFonts w:hint="default"/>
        <w:lang w:val="zh-CN" w:eastAsia="zh-CN" w:bidi="zh-CN"/>
      </w:rPr>
    </w:lvl>
    <w:lvl w:ilvl="5">
      <w:start w:val="0"/>
      <w:numFmt w:val="bullet"/>
      <w:lvlText w:val="•"/>
      <w:lvlJc w:val="left"/>
      <w:pPr>
        <w:ind w:left="3513" w:hanging="281"/>
      </w:pPr>
      <w:rPr>
        <w:rFonts w:hint="default"/>
        <w:lang w:val="zh-CN" w:eastAsia="zh-CN" w:bidi="zh-CN"/>
      </w:rPr>
    </w:lvl>
    <w:lvl w:ilvl="6">
      <w:start w:val="0"/>
      <w:numFmt w:val="bullet"/>
      <w:lvlText w:val="•"/>
      <w:lvlJc w:val="left"/>
      <w:pPr>
        <w:ind w:left="4135" w:hanging="281"/>
      </w:pPr>
      <w:rPr>
        <w:rFonts w:hint="default"/>
        <w:lang w:val="zh-CN" w:eastAsia="zh-CN" w:bidi="zh-CN"/>
      </w:rPr>
    </w:lvl>
    <w:lvl w:ilvl="7">
      <w:start w:val="0"/>
      <w:numFmt w:val="bullet"/>
      <w:lvlText w:val="•"/>
      <w:lvlJc w:val="left"/>
      <w:pPr>
        <w:ind w:left="4758" w:hanging="281"/>
      </w:pPr>
      <w:rPr>
        <w:rFonts w:hint="default"/>
        <w:lang w:val="zh-CN" w:eastAsia="zh-CN" w:bidi="zh-CN"/>
      </w:rPr>
    </w:lvl>
    <w:lvl w:ilvl="8">
      <w:start w:val="0"/>
      <w:numFmt w:val="bullet"/>
      <w:lvlText w:val="•"/>
      <w:lvlJc w:val="left"/>
      <w:pPr>
        <w:ind w:left="5380" w:hanging="281"/>
      </w:pPr>
      <w:rPr>
        <w:rFonts w:hint="default"/>
        <w:lang w:val="zh-CN" w:eastAsia="zh-CN" w:bidi="zh-CN"/>
      </w:rPr>
    </w:lvl>
  </w:abstractNum>
  <w:abstractNum w:abstractNumId="130">
    <w:multiLevelType w:val="hybridMultilevel"/>
    <w:lvl w:ilvl="0">
      <w:start w:val="1"/>
      <w:numFmt w:val="decimal"/>
      <w:lvlText w:val="%1."/>
      <w:lvlJc w:val="left"/>
      <w:pPr>
        <w:ind w:left="398" w:hanging="281"/>
        <w:jc w:val="left"/>
      </w:pPr>
      <w:rPr>
        <w:rFonts w:hint="default" w:ascii="微软雅黑" w:hAnsi="微软雅黑" w:eastAsia="微软雅黑" w:cs="微软雅黑"/>
        <w:w w:val="100"/>
        <w:sz w:val="21"/>
        <w:szCs w:val="21"/>
        <w:lang w:val="zh-CN" w:eastAsia="zh-CN" w:bidi="zh-CN"/>
      </w:rPr>
    </w:lvl>
    <w:lvl w:ilvl="1">
      <w:start w:val="0"/>
      <w:numFmt w:val="bullet"/>
      <w:lvlText w:val="•"/>
      <w:lvlJc w:val="left"/>
      <w:pPr>
        <w:ind w:left="1022" w:hanging="281"/>
      </w:pPr>
      <w:rPr>
        <w:rFonts w:hint="default"/>
        <w:lang w:val="zh-CN" w:eastAsia="zh-CN" w:bidi="zh-CN"/>
      </w:rPr>
    </w:lvl>
    <w:lvl w:ilvl="2">
      <w:start w:val="0"/>
      <w:numFmt w:val="bullet"/>
      <w:lvlText w:val="•"/>
      <w:lvlJc w:val="left"/>
      <w:pPr>
        <w:ind w:left="1645" w:hanging="281"/>
      </w:pPr>
      <w:rPr>
        <w:rFonts w:hint="default"/>
        <w:lang w:val="zh-CN" w:eastAsia="zh-CN" w:bidi="zh-CN"/>
      </w:rPr>
    </w:lvl>
    <w:lvl w:ilvl="3">
      <w:start w:val="0"/>
      <w:numFmt w:val="bullet"/>
      <w:lvlText w:val="•"/>
      <w:lvlJc w:val="left"/>
      <w:pPr>
        <w:ind w:left="2267" w:hanging="281"/>
      </w:pPr>
      <w:rPr>
        <w:rFonts w:hint="default"/>
        <w:lang w:val="zh-CN" w:eastAsia="zh-CN" w:bidi="zh-CN"/>
      </w:rPr>
    </w:lvl>
    <w:lvl w:ilvl="4">
      <w:start w:val="0"/>
      <w:numFmt w:val="bullet"/>
      <w:lvlText w:val="•"/>
      <w:lvlJc w:val="left"/>
      <w:pPr>
        <w:ind w:left="2890" w:hanging="281"/>
      </w:pPr>
      <w:rPr>
        <w:rFonts w:hint="default"/>
        <w:lang w:val="zh-CN" w:eastAsia="zh-CN" w:bidi="zh-CN"/>
      </w:rPr>
    </w:lvl>
    <w:lvl w:ilvl="5">
      <w:start w:val="0"/>
      <w:numFmt w:val="bullet"/>
      <w:lvlText w:val="•"/>
      <w:lvlJc w:val="left"/>
      <w:pPr>
        <w:ind w:left="3513" w:hanging="281"/>
      </w:pPr>
      <w:rPr>
        <w:rFonts w:hint="default"/>
        <w:lang w:val="zh-CN" w:eastAsia="zh-CN" w:bidi="zh-CN"/>
      </w:rPr>
    </w:lvl>
    <w:lvl w:ilvl="6">
      <w:start w:val="0"/>
      <w:numFmt w:val="bullet"/>
      <w:lvlText w:val="•"/>
      <w:lvlJc w:val="left"/>
      <w:pPr>
        <w:ind w:left="4135" w:hanging="281"/>
      </w:pPr>
      <w:rPr>
        <w:rFonts w:hint="default"/>
        <w:lang w:val="zh-CN" w:eastAsia="zh-CN" w:bidi="zh-CN"/>
      </w:rPr>
    </w:lvl>
    <w:lvl w:ilvl="7">
      <w:start w:val="0"/>
      <w:numFmt w:val="bullet"/>
      <w:lvlText w:val="•"/>
      <w:lvlJc w:val="left"/>
      <w:pPr>
        <w:ind w:left="4758" w:hanging="281"/>
      </w:pPr>
      <w:rPr>
        <w:rFonts w:hint="default"/>
        <w:lang w:val="zh-CN" w:eastAsia="zh-CN" w:bidi="zh-CN"/>
      </w:rPr>
    </w:lvl>
    <w:lvl w:ilvl="8">
      <w:start w:val="0"/>
      <w:numFmt w:val="bullet"/>
      <w:lvlText w:val="•"/>
      <w:lvlJc w:val="left"/>
      <w:pPr>
        <w:ind w:left="5380" w:hanging="281"/>
      </w:pPr>
      <w:rPr>
        <w:rFonts w:hint="default"/>
        <w:lang w:val="zh-CN" w:eastAsia="zh-CN" w:bidi="zh-CN"/>
      </w:rPr>
    </w:lvl>
  </w:abstractNum>
  <w:abstractNum w:abstractNumId="129">
    <w:multiLevelType w:val="hybridMultilevel"/>
    <w:lvl w:ilvl="0">
      <w:start w:val="1"/>
      <w:numFmt w:val="decimal"/>
      <w:lvlText w:val="%1."/>
      <w:lvlJc w:val="left"/>
      <w:pPr>
        <w:ind w:left="350" w:hanging="233"/>
        <w:jc w:val="left"/>
      </w:pPr>
      <w:rPr>
        <w:rFonts w:hint="default" w:ascii="微软雅黑" w:hAnsi="微软雅黑" w:eastAsia="微软雅黑" w:cs="微软雅黑"/>
        <w:w w:val="100"/>
        <w:sz w:val="21"/>
        <w:szCs w:val="21"/>
        <w:lang w:val="zh-CN" w:eastAsia="zh-CN" w:bidi="zh-CN"/>
      </w:rPr>
    </w:lvl>
    <w:lvl w:ilvl="1">
      <w:start w:val="0"/>
      <w:numFmt w:val="bullet"/>
      <w:lvlText w:val="•"/>
      <w:lvlJc w:val="left"/>
      <w:pPr>
        <w:ind w:left="986" w:hanging="233"/>
      </w:pPr>
      <w:rPr>
        <w:rFonts w:hint="default"/>
        <w:lang w:val="zh-CN" w:eastAsia="zh-CN" w:bidi="zh-CN"/>
      </w:rPr>
    </w:lvl>
    <w:lvl w:ilvl="2">
      <w:start w:val="0"/>
      <w:numFmt w:val="bullet"/>
      <w:lvlText w:val="•"/>
      <w:lvlJc w:val="left"/>
      <w:pPr>
        <w:ind w:left="1613" w:hanging="233"/>
      </w:pPr>
      <w:rPr>
        <w:rFonts w:hint="default"/>
        <w:lang w:val="zh-CN" w:eastAsia="zh-CN" w:bidi="zh-CN"/>
      </w:rPr>
    </w:lvl>
    <w:lvl w:ilvl="3">
      <w:start w:val="0"/>
      <w:numFmt w:val="bullet"/>
      <w:lvlText w:val="•"/>
      <w:lvlJc w:val="left"/>
      <w:pPr>
        <w:ind w:left="2239" w:hanging="233"/>
      </w:pPr>
      <w:rPr>
        <w:rFonts w:hint="default"/>
        <w:lang w:val="zh-CN" w:eastAsia="zh-CN" w:bidi="zh-CN"/>
      </w:rPr>
    </w:lvl>
    <w:lvl w:ilvl="4">
      <w:start w:val="0"/>
      <w:numFmt w:val="bullet"/>
      <w:lvlText w:val="•"/>
      <w:lvlJc w:val="left"/>
      <w:pPr>
        <w:ind w:left="2866" w:hanging="233"/>
      </w:pPr>
      <w:rPr>
        <w:rFonts w:hint="default"/>
        <w:lang w:val="zh-CN" w:eastAsia="zh-CN" w:bidi="zh-CN"/>
      </w:rPr>
    </w:lvl>
    <w:lvl w:ilvl="5">
      <w:start w:val="0"/>
      <w:numFmt w:val="bullet"/>
      <w:lvlText w:val="•"/>
      <w:lvlJc w:val="left"/>
      <w:pPr>
        <w:ind w:left="3493" w:hanging="233"/>
      </w:pPr>
      <w:rPr>
        <w:rFonts w:hint="default"/>
        <w:lang w:val="zh-CN" w:eastAsia="zh-CN" w:bidi="zh-CN"/>
      </w:rPr>
    </w:lvl>
    <w:lvl w:ilvl="6">
      <w:start w:val="0"/>
      <w:numFmt w:val="bullet"/>
      <w:lvlText w:val="•"/>
      <w:lvlJc w:val="left"/>
      <w:pPr>
        <w:ind w:left="4119" w:hanging="233"/>
      </w:pPr>
      <w:rPr>
        <w:rFonts w:hint="default"/>
        <w:lang w:val="zh-CN" w:eastAsia="zh-CN" w:bidi="zh-CN"/>
      </w:rPr>
    </w:lvl>
    <w:lvl w:ilvl="7">
      <w:start w:val="0"/>
      <w:numFmt w:val="bullet"/>
      <w:lvlText w:val="•"/>
      <w:lvlJc w:val="left"/>
      <w:pPr>
        <w:ind w:left="4746" w:hanging="233"/>
      </w:pPr>
      <w:rPr>
        <w:rFonts w:hint="default"/>
        <w:lang w:val="zh-CN" w:eastAsia="zh-CN" w:bidi="zh-CN"/>
      </w:rPr>
    </w:lvl>
    <w:lvl w:ilvl="8">
      <w:start w:val="0"/>
      <w:numFmt w:val="bullet"/>
      <w:lvlText w:val="•"/>
      <w:lvlJc w:val="left"/>
      <w:pPr>
        <w:ind w:left="5372" w:hanging="233"/>
      </w:pPr>
      <w:rPr>
        <w:rFonts w:hint="default"/>
        <w:lang w:val="zh-CN" w:eastAsia="zh-CN" w:bidi="zh-CN"/>
      </w:rPr>
    </w:lvl>
  </w:abstractNum>
  <w:abstractNum w:abstractNumId="128">
    <w:multiLevelType w:val="hybridMultilevel"/>
    <w:lvl w:ilvl="0">
      <w:start w:val="1"/>
      <w:numFmt w:val="decimal"/>
      <w:lvlText w:val="%1."/>
      <w:lvlJc w:val="left"/>
      <w:pPr>
        <w:ind w:left="398" w:hanging="281"/>
        <w:jc w:val="left"/>
      </w:pPr>
      <w:rPr>
        <w:rFonts w:hint="default" w:ascii="微软雅黑" w:hAnsi="微软雅黑" w:eastAsia="微软雅黑" w:cs="微软雅黑"/>
        <w:w w:val="100"/>
        <w:sz w:val="21"/>
        <w:szCs w:val="21"/>
        <w:lang w:val="zh-CN" w:eastAsia="zh-CN" w:bidi="zh-CN"/>
      </w:rPr>
    </w:lvl>
    <w:lvl w:ilvl="1">
      <w:start w:val="0"/>
      <w:numFmt w:val="bullet"/>
      <w:lvlText w:val="•"/>
      <w:lvlJc w:val="left"/>
      <w:pPr>
        <w:ind w:left="1022" w:hanging="281"/>
      </w:pPr>
      <w:rPr>
        <w:rFonts w:hint="default"/>
        <w:lang w:val="zh-CN" w:eastAsia="zh-CN" w:bidi="zh-CN"/>
      </w:rPr>
    </w:lvl>
    <w:lvl w:ilvl="2">
      <w:start w:val="0"/>
      <w:numFmt w:val="bullet"/>
      <w:lvlText w:val="•"/>
      <w:lvlJc w:val="left"/>
      <w:pPr>
        <w:ind w:left="1645" w:hanging="281"/>
      </w:pPr>
      <w:rPr>
        <w:rFonts w:hint="default"/>
        <w:lang w:val="zh-CN" w:eastAsia="zh-CN" w:bidi="zh-CN"/>
      </w:rPr>
    </w:lvl>
    <w:lvl w:ilvl="3">
      <w:start w:val="0"/>
      <w:numFmt w:val="bullet"/>
      <w:lvlText w:val="•"/>
      <w:lvlJc w:val="left"/>
      <w:pPr>
        <w:ind w:left="2267" w:hanging="281"/>
      </w:pPr>
      <w:rPr>
        <w:rFonts w:hint="default"/>
        <w:lang w:val="zh-CN" w:eastAsia="zh-CN" w:bidi="zh-CN"/>
      </w:rPr>
    </w:lvl>
    <w:lvl w:ilvl="4">
      <w:start w:val="0"/>
      <w:numFmt w:val="bullet"/>
      <w:lvlText w:val="•"/>
      <w:lvlJc w:val="left"/>
      <w:pPr>
        <w:ind w:left="2890" w:hanging="281"/>
      </w:pPr>
      <w:rPr>
        <w:rFonts w:hint="default"/>
        <w:lang w:val="zh-CN" w:eastAsia="zh-CN" w:bidi="zh-CN"/>
      </w:rPr>
    </w:lvl>
    <w:lvl w:ilvl="5">
      <w:start w:val="0"/>
      <w:numFmt w:val="bullet"/>
      <w:lvlText w:val="•"/>
      <w:lvlJc w:val="left"/>
      <w:pPr>
        <w:ind w:left="3513" w:hanging="281"/>
      </w:pPr>
      <w:rPr>
        <w:rFonts w:hint="default"/>
        <w:lang w:val="zh-CN" w:eastAsia="zh-CN" w:bidi="zh-CN"/>
      </w:rPr>
    </w:lvl>
    <w:lvl w:ilvl="6">
      <w:start w:val="0"/>
      <w:numFmt w:val="bullet"/>
      <w:lvlText w:val="•"/>
      <w:lvlJc w:val="left"/>
      <w:pPr>
        <w:ind w:left="4135" w:hanging="281"/>
      </w:pPr>
      <w:rPr>
        <w:rFonts w:hint="default"/>
        <w:lang w:val="zh-CN" w:eastAsia="zh-CN" w:bidi="zh-CN"/>
      </w:rPr>
    </w:lvl>
    <w:lvl w:ilvl="7">
      <w:start w:val="0"/>
      <w:numFmt w:val="bullet"/>
      <w:lvlText w:val="•"/>
      <w:lvlJc w:val="left"/>
      <w:pPr>
        <w:ind w:left="4758" w:hanging="281"/>
      </w:pPr>
      <w:rPr>
        <w:rFonts w:hint="default"/>
        <w:lang w:val="zh-CN" w:eastAsia="zh-CN" w:bidi="zh-CN"/>
      </w:rPr>
    </w:lvl>
    <w:lvl w:ilvl="8">
      <w:start w:val="0"/>
      <w:numFmt w:val="bullet"/>
      <w:lvlText w:val="•"/>
      <w:lvlJc w:val="left"/>
      <w:pPr>
        <w:ind w:left="5380" w:hanging="281"/>
      </w:pPr>
      <w:rPr>
        <w:rFonts w:hint="default"/>
        <w:lang w:val="zh-CN" w:eastAsia="zh-CN" w:bidi="zh-CN"/>
      </w:rPr>
    </w:lvl>
  </w:abstractNum>
  <w:abstractNum w:abstractNumId="127">
    <w:multiLevelType w:val="hybridMultilevel"/>
    <w:lvl w:ilvl="0">
      <w:start w:val="1"/>
      <w:numFmt w:val="decimal"/>
      <w:lvlText w:val="%1."/>
      <w:lvlJc w:val="left"/>
      <w:pPr>
        <w:ind w:left="398" w:hanging="281"/>
        <w:jc w:val="left"/>
      </w:pPr>
      <w:rPr>
        <w:rFonts w:hint="default" w:ascii="微软雅黑" w:hAnsi="微软雅黑" w:eastAsia="微软雅黑" w:cs="微软雅黑"/>
        <w:w w:val="100"/>
        <w:sz w:val="21"/>
        <w:szCs w:val="21"/>
        <w:lang w:val="zh-CN" w:eastAsia="zh-CN" w:bidi="zh-CN"/>
      </w:rPr>
    </w:lvl>
    <w:lvl w:ilvl="1">
      <w:start w:val="0"/>
      <w:numFmt w:val="bullet"/>
      <w:lvlText w:val="•"/>
      <w:lvlJc w:val="left"/>
      <w:pPr>
        <w:ind w:left="1022" w:hanging="281"/>
      </w:pPr>
      <w:rPr>
        <w:rFonts w:hint="default"/>
        <w:lang w:val="zh-CN" w:eastAsia="zh-CN" w:bidi="zh-CN"/>
      </w:rPr>
    </w:lvl>
    <w:lvl w:ilvl="2">
      <w:start w:val="0"/>
      <w:numFmt w:val="bullet"/>
      <w:lvlText w:val="•"/>
      <w:lvlJc w:val="left"/>
      <w:pPr>
        <w:ind w:left="1645" w:hanging="281"/>
      </w:pPr>
      <w:rPr>
        <w:rFonts w:hint="default"/>
        <w:lang w:val="zh-CN" w:eastAsia="zh-CN" w:bidi="zh-CN"/>
      </w:rPr>
    </w:lvl>
    <w:lvl w:ilvl="3">
      <w:start w:val="0"/>
      <w:numFmt w:val="bullet"/>
      <w:lvlText w:val="•"/>
      <w:lvlJc w:val="left"/>
      <w:pPr>
        <w:ind w:left="2267" w:hanging="281"/>
      </w:pPr>
      <w:rPr>
        <w:rFonts w:hint="default"/>
        <w:lang w:val="zh-CN" w:eastAsia="zh-CN" w:bidi="zh-CN"/>
      </w:rPr>
    </w:lvl>
    <w:lvl w:ilvl="4">
      <w:start w:val="0"/>
      <w:numFmt w:val="bullet"/>
      <w:lvlText w:val="•"/>
      <w:lvlJc w:val="left"/>
      <w:pPr>
        <w:ind w:left="2890" w:hanging="281"/>
      </w:pPr>
      <w:rPr>
        <w:rFonts w:hint="default"/>
        <w:lang w:val="zh-CN" w:eastAsia="zh-CN" w:bidi="zh-CN"/>
      </w:rPr>
    </w:lvl>
    <w:lvl w:ilvl="5">
      <w:start w:val="0"/>
      <w:numFmt w:val="bullet"/>
      <w:lvlText w:val="•"/>
      <w:lvlJc w:val="left"/>
      <w:pPr>
        <w:ind w:left="3513" w:hanging="281"/>
      </w:pPr>
      <w:rPr>
        <w:rFonts w:hint="default"/>
        <w:lang w:val="zh-CN" w:eastAsia="zh-CN" w:bidi="zh-CN"/>
      </w:rPr>
    </w:lvl>
    <w:lvl w:ilvl="6">
      <w:start w:val="0"/>
      <w:numFmt w:val="bullet"/>
      <w:lvlText w:val="•"/>
      <w:lvlJc w:val="left"/>
      <w:pPr>
        <w:ind w:left="4135" w:hanging="281"/>
      </w:pPr>
      <w:rPr>
        <w:rFonts w:hint="default"/>
        <w:lang w:val="zh-CN" w:eastAsia="zh-CN" w:bidi="zh-CN"/>
      </w:rPr>
    </w:lvl>
    <w:lvl w:ilvl="7">
      <w:start w:val="0"/>
      <w:numFmt w:val="bullet"/>
      <w:lvlText w:val="•"/>
      <w:lvlJc w:val="left"/>
      <w:pPr>
        <w:ind w:left="4758" w:hanging="281"/>
      </w:pPr>
      <w:rPr>
        <w:rFonts w:hint="default"/>
        <w:lang w:val="zh-CN" w:eastAsia="zh-CN" w:bidi="zh-CN"/>
      </w:rPr>
    </w:lvl>
    <w:lvl w:ilvl="8">
      <w:start w:val="0"/>
      <w:numFmt w:val="bullet"/>
      <w:lvlText w:val="•"/>
      <w:lvlJc w:val="left"/>
      <w:pPr>
        <w:ind w:left="5380" w:hanging="281"/>
      </w:pPr>
      <w:rPr>
        <w:rFonts w:hint="default"/>
        <w:lang w:val="zh-CN" w:eastAsia="zh-CN" w:bidi="zh-CN"/>
      </w:rPr>
    </w:lvl>
  </w:abstractNum>
  <w:abstractNum w:abstractNumId="126">
    <w:multiLevelType w:val="hybridMultilevel"/>
    <w:lvl w:ilvl="0">
      <w:start w:val="1"/>
      <w:numFmt w:val="decimal"/>
      <w:lvlText w:val="%1."/>
      <w:lvlJc w:val="left"/>
      <w:pPr>
        <w:ind w:left="1415" w:hanging="318"/>
        <w:jc w:val="left"/>
      </w:pPr>
      <w:rPr>
        <w:rFonts w:hint="default" w:ascii="Times New Roman" w:hAnsi="Times New Roman" w:eastAsia="Times New Roman" w:cs="Times New Roman"/>
        <w:w w:val="100"/>
        <w:sz w:val="19"/>
        <w:szCs w:val="19"/>
        <w:lang w:val="zh-CN" w:eastAsia="zh-CN" w:bidi="zh-CN"/>
      </w:rPr>
    </w:lvl>
    <w:lvl w:ilvl="1">
      <w:start w:val="0"/>
      <w:numFmt w:val="bullet"/>
      <w:lvlText w:val="•"/>
      <w:lvlJc w:val="left"/>
      <w:pPr>
        <w:ind w:left="2328" w:hanging="318"/>
      </w:pPr>
      <w:rPr>
        <w:rFonts w:hint="default"/>
        <w:lang w:val="zh-CN" w:eastAsia="zh-CN" w:bidi="zh-CN"/>
      </w:rPr>
    </w:lvl>
    <w:lvl w:ilvl="2">
      <w:start w:val="0"/>
      <w:numFmt w:val="bullet"/>
      <w:lvlText w:val="•"/>
      <w:lvlJc w:val="left"/>
      <w:pPr>
        <w:ind w:left="3237" w:hanging="318"/>
      </w:pPr>
      <w:rPr>
        <w:rFonts w:hint="default"/>
        <w:lang w:val="zh-CN" w:eastAsia="zh-CN" w:bidi="zh-CN"/>
      </w:rPr>
    </w:lvl>
    <w:lvl w:ilvl="3">
      <w:start w:val="0"/>
      <w:numFmt w:val="bullet"/>
      <w:lvlText w:val="•"/>
      <w:lvlJc w:val="left"/>
      <w:pPr>
        <w:ind w:left="4145" w:hanging="318"/>
      </w:pPr>
      <w:rPr>
        <w:rFonts w:hint="default"/>
        <w:lang w:val="zh-CN" w:eastAsia="zh-CN" w:bidi="zh-CN"/>
      </w:rPr>
    </w:lvl>
    <w:lvl w:ilvl="4">
      <w:start w:val="0"/>
      <w:numFmt w:val="bullet"/>
      <w:lvlText w:val="•"/>
      <w:lvlJc w:val="left"/>
      <w:pPr>
        <w:ind w:left="5054" w:hanging="318"/>
      </w:pPr>
      <w:rPr>
        <w:rFonts w:hint="default"/>
        <w:lang w:val="zh-CN" w:eastAsia="zh-CN" w:bidi="zh-CN"/>
      </w:rPr>
    </w:lvl>
    <w:lvl w:ilvl="5">
      <w:start w:val="0"/>
      <w:numFmt w:val="bullet"/>
      <w:lvlText w:val="•"/>
      <w:lvlJc w:val="left"/>
      <w:pPr>
        <w:ind w:left="5963" w:hanging="318"/>
      </w:pPr>
      <w:rPr>
        <w:rFonts w:hint="default"/>
        <w:lang w:val="zh-CN" w:eastAsia="zh-CN" w:bidi="zh-CN"/>
      </w:rPr>
    </w:lvl>
    <w:lvl w:ilvl="6">
      <w:start w:val="0"/>
      <w:numFmt w:val="bullet"/>
      <w:lvlText w:val="•"/>
      <w:lvlJc w:val="left"/>
      <w:pPr>
        <w:ind w:left="6871" w:hanging="318"/>
      </w:pPr>
      <w:rPr>
        <w:rFonts w:hint="default"/>
        <w:lang w:val="zh-CN" w:eastAsia="zh-CN" w:bidi="zh-CN"/>
      </w:rPr>
    </w:lvl>
    <w:lvl w:ilvl="7">
      <w:start w:val="0"/>
      <w:numFmt w:val="bullet"/>
      <w:lvlText w:val="•"/>
      <w:lvlJc w:val="left"/>
      <w:pPr>
        <w:ind w:left="7780" w:hanging="318"/>
      </w:pPr>
      <w:rPr>
        <w:rFonts w:hint="default"/>
        <w:lang w:val="zh-CN" w:eastAsia="zh-CN" w:bidi="zh-CN"/>
      </w:rPr>
    </w:lvl>
    <w:lvl w:ilvl="8">
      <w:start w:val="0"/>
      <w:numFmt w:val="bullet"/>
      <w:lvlText w:val="•"/>
      <w:lvlJc w:val="left"/>
      <w:pPr>
        <w:ind w:left="8689" w:hanging="318"/>
      </w:pPr>
      <w:rPr>
        <w:rFonts w:hint="default"/>
        <w:lang w:val="zh-CN" w:eastAsia="zh-CN" w:bidi="zh-CN"/>
      </w:rPr>
    </w:lvl>
  </w:abstractNum>
  <w:abstractNum w:abstractNumId="125">
    <w:multiLevelType w:val="hybridMultilevel"/>
    <w:lvl w:ilvl="0">
      <w:start w:val="1"/>
      <w:numFmt w:val="decimal"/>
      <w:lvlText w:val="（%1）"/>
      <w:lvlJc w:val="left"/>
      <w:pPr>
        <w:ind w:left="16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08" w:hanging="529"/>
      </w:pPr>
      <w:rPr>
        <w:rFonts w:hint="default"/>
        <w:lang w:val="zh-CN" w:eastAsia="zh-CN" w:bidi="zh-CN"/>
      </w:rPr>
    </w:lvl>
    <w:lvl w:ilvl="2">
      <w:start w:val="0"/>
      <w:numFmt w:val="bullet"/>
      <w:lvlText w:val="•"/>
      <w:lvlJc w:val="left"/>
      <w:pPr>
        <w:ind w:left="3397" w:hanging="529"/>
      </w:pPr>
      <w:rPr>
        <w:rFonts w:hint="default"/>
        <w:lang w:val="zh-CN" w:eastAsia="zh-CN" w:bidi="zh-CN"/>
      </w:rPr>
    </w:lvl>
    <w:lvl w:ilvl="3">
      <w:start w:val="0"/>
      <w:numFmt w:val="bullet"/>
      <w:lvlText w:val="•"/>
      <w:lvlJc w:val="left"/>
      <w:pPr>
        <w:ind w:left="4285" w:hanging="529"/>
      </w:pPr>
      <w:rPr>
        <w:rFonts w:hint="default"/>
        <w:lang w:val="zh-CN" w:eastAsia="zh-CN" w:bidi="zh-CN"/>
      </w:rPr>
    </w:lvl>
    <w:lvl w:ilvl="4">
      <w:start w:val="0"/>
      <w:numFmt w:val="bullet"/>
      <w:lvlText w:val="•"/>
      <w:lvlJc w:val="left"/>
      <w:pPr>
        <w:ind w:left="5174" w:hanging="529"/>
      </w:pPr>
      <w:rPr>
        <w:rFonts w:hint="default"/>
        <w:lang w:val="zh-CN" w:eastAsia="zh-CN" w:bidi="zh-CN"/>
      </w:rPr>
    </w:lvl>
    <w:lvl w:ilvl="5">
      <w:start w:val="0"/>
      <w:numFmt w:val="bullet"/>
      <w:lvlText w:val="•"/>
      <w:lvlJc w:val="left"/>
      <w:pPr>
        <w:ind w:left="6063" w:hanging="529"/>
      </w:pPr>
      <w:rPr>
        <w:rFonts w:hint="default"/>
        <w:lang w:val="zh-CN" w:eastAsia="zh-CN" w:bidi="zh-CN"/>
      </w:rPr>
    </w:lvl>
    <w:lvl w:ilvl="6">
      <w:start w:val="0"/>
      <w:numFmt w:val="bullet"/>
      <w:lvlText w:val="•"/>
      <w:lvlJc w:val="left"/>
      <w:pPr>
        <w:ind w:left="6951" w:hanging="529"/>
      </w:pPr>
      <w:rPr>
        <w:rFonts w:hint="default"/>
        <w:lang w:val="zh-CN" w:eastAsia="zh-CN" w:bidi="zh-CN"/>
      </w:rPr>
    </w:lvl>
    <w:lvl w:ilvl="7">
      <w:start w:val="0"/>
      <w:numFmt w:val="bullet"/>
      <w:lvlText w:val="•"/>
      <w:lvlJc w:val="left"/>
      <w:pPr>
        <w:ind w:left="7840" w:hanging="529"/>
      </w:pPr>
      <w:rPr>
        <w:rFonts w:hint="default"/>
        <w:lang w:val="zh-CN" w:eastAsia="zh-CN" w:bidi="zh-CN"/>
      </w:rPr>
    </w:lvl>
    <w:lvl w:ilvl="8">
      <w:start w:val="0"/>
      <w:numFmt w:val="bullet"/>
      <w:lvlText w:val="•"/>
      <w:lvlJc w:val="left"/>
      <w:pPr>
        <w:ind w:left="8729" w:hanging="529"/>
      </w:pPr>
      <w:rPr>
        <w:rFonts w:hint="default"/>
        <w:lang w:val="zh-CN" w:eastAsia="zh-CN" w:bidi="zh-CN"/>
      </w:rPr>
    </w:lvl>
  </w:abstractNum>
  <w:abstractNum w:abstractNumId="124">
    <w:multiLevelType w:val="hybridMultilevel"/>
    <w:lvl w:ilvl="0">
      <w:start w:val="3"/>
      <w:numFmt w:val="decimal"/>
      <w:lvlText w:val="%1"/>
      <w:lvlJc w:val="left"/>
      <w:pPr>
        <w:ind w:left="678" w:hanging="318"/>
        <w:jc w:val="left"/>
      </w:pPr>
      <w:rPr>
        <w:rFonts w:hint="default"/>
        <w:lang w:val="zh-CN" w:eastAsia="zh-CN" w:bidi="zh-CN"/>
      </w:rPr>
    </w:lvl>
    <w:lvl w:ilvl="1">
      <w:start w:val="1"/>
      <w:numFmt w:val="decimal"/>
      <w:lvlText w:val="%1.%2"/>
      <w:lvlJc w:val="left"/>
      <w:pPr>
        <w:ind w:left="678" w:hanging="318"/>
        <w:jc w:val="left"/>
      </w:pPr>
      <w:rPr>
        <w:rFonts w:hint="default" w:ascii="宋体" w:hAnsi="宋体" w:eastAsia="宋体" w:cs="宋体"/>
        <w:spacing w:val="-111"/>
        <w:w w:val="100"/>
        <w:sz w:val="19"/>
        <w:szCs w:val="19"/>
        <w:lang w:val="zh-CN" w:eastAsia="zh-CN" w:bidi="zh-CN"/>
      </w:rPr>
    </w:lvl>
    <w:lvl w:ilvl="2">
      <w:start w:val="0"/>
      <w:numFmt w:val="bullet"/>
      <w:lvlText w:val="•"/>
      <w:lvlJc w:val="left"/>
      <w:pPr>
        <w:ind w:left="2645" w:hanging="318"/>
      </w:pPr>
      <w:rPr>
        <w:rFonts w:hint="default"/>
        <w:lang w:val="zh-CN" w:eastAsia="zh-CN" w:bidi="zh-CN"/>
      </w:rPr>
    </w:lvl>
    <w:lvl w:ilvl="3">
      <w:start w:val="0"/>
      <w:numFmt w:val="bullet"/>
      <w:lvlText w:val="•"/>
      <w:lvlJc w:val="left"/>
      <w:pPr>
        <w:ind w:left="3627" w:hanging="318"/>
      </w:pPr>
      <w:rPr>
        <w:rFonts w:hint="default"/>
        <w:lang w:val="zh-CN" w:eastAsia="zh-CN" w:bidi="zh-CN"/>
      </w:rPr>
    </w:lvl>
    <w:lvl w:ilvl="4">
      <w:start w:val="0"/>
      <w:numFmt w:val="bullet"/>
      <w:lvlText w:val="•"/>
      <w:lvlJc w:val="left"/>
      <w:pPr>
        <w:ind w:left="4610" w:hanging="318"/>
      </w:pPr>
      <w:rPr>
        <w:rFonts w:hint="default"/>
        <w:lang w:val="zh-CN" w:eastAsia="zh-CN" w:bidi="zh-CN"/>
      </w:rPr>
    </w:lvl>
    <w:lvl w:ilvl="5">
      <w:start w:val="0"/>
      <w:numFmt w:val="bullet"/>
      <w:lvlText w:val="•"/>
      <w:lvlJc w:val="left"/>
      <w:pPr>
        <w:ind w:left="5593" w:hanging="318"/>
      </w:pPr>
      <w:rPr>
        <w:rFonts w:hint="default"/>
        <w:lang w:val="zh-CN" w:eastAsia="zh-CN" w:bidi="zh-CN"/>
      </w:rPr>
    </w:lvl>
    <w:lvl w:ilvl="6">
      <w:start w:val="0"/>
      <w:numFmt w:val="bullet"/>
      <w:lvlText w:val="•"/>
      <w:lvlJc w:val="left"/>
      <w:pPr>
        <w:ind w:left="6575" w:hanging="318"/>
      </w:pPr>
      <w:rPr>
        <w:rFonts w:hint="default"/>
        <w:lang w:val="zh-CN" w:eastAsia="zh-CN" w:bidi="zh-CN"/>
      </w:rPr>
    </w:lvl>
    <w:lvl w:ilvl="7">
      <w:start w:val="0"/>
      <w:numFmt w:val="bullet"/>
      <w:lvlText w:val="•"/>
      <w:lvlJc w:val="left"/>
      <w:pPr>
        <w:ind w:left="7558" w:hanging="318"/>
      </w:pPr>
      <w:rPr>
        <w:rFonts w:hint="default"/>
        <w:lang w:val="zh-CN" w:eastAsia="zh-CN" w:bidi="zh-CN"/>
      </w:rPr>
    </w:lvl>
    <w:lvl w:ilvl="8">
      <w:start w:val="0"/>
      <w:numFmt w:val="bullet"/>
      <w:lvlText w:val="•"/>
      <w:lvlJc w:val="left"/>
      <w:pPr>
        <w:ind w:left="8541" w:hanging="318"/>
      </w:pPr>
      <w:rPr>
        <w:rFonts w:hint="default"/>
        <w:lang w:val="zh-CN" w:eastAsia="zh-CN" w:bidi="zh-CN"/>
      </w:rPr>
    </w:lvl>
  </w:abstractNum>
  <w:abstractNum w:abstractNumId="123">
    <w:multiLevelType w:val="hybridMultilevel"/>
    <w:lvl w:ilvl="0">
      <w:start w:val="1"/>
      <w:numFmt w:val="decimal"/>
      <w:lvlText w:val="（%1）"/>
      <w:lvlJc w:val="left"/>
      <w:pPr>
        <w:ind w:left="16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08" w:hanging="529"/>
      </w:pPr>
      <w:rPr>
        <w:rFonts w:hint="default"/>
        <w:lang w:val="zh-CN" w:eastAsia="zh-CN" w:bidi="zh-CN"/>
      </w:rPr>
    </w:lvl>
    <w:lvl w:ilvl="2">
      <w:start w:val="0"/>
      <w:numFmt w:val="bullet"/>
      <w:lvlText w:val="•"/>
      <w:lvlJc w:val="left"/>
      <w:pPr>
        <w:ind w:left="3397" w:hanging="529"/>
      </w:pPr>
      <w:rPr>
        <w:rFonts w:hint="default"/>
        <w:lang w:val="zh-CN" w:eastAsia="zh-CN" w:bidi="zh-CN"/>
      </w:rPr>
    </w:lvl>
    <w:lvl w:ilvl="3">
      <w:start w:val="0"/>
      <w:numFmt w:val="bullet"/>
      <w:lvlText w:val="•"/>
      <w:lvlJc w:val="left"/>
      <w:pPr>
        <w:ind w:left="4285" w:hanging="529"/>
      </w:pPr>
      <w:rPr>
        <w:rFonts w:hint="default"/>
        <w:lang w:val="zh-CN" w:eastAsia="zh-CN" w:bidi="zh-CN"/>
      </w:rPr>
    </w:lvl>
    <w:lvl w:ilvl="4">
      <w:start w:val="0"/>
      <w:numFmt w:val="bullet"/>
      <w:lvlText w:val="•"/>
      <w:lvlJc w:val="left"/>
      <w:pPr>
        <w:ind w:left="5174" w:hanging="529"/>
      </w:pPr>
      <w:rPr>
        <w:rFonts w:hint="default"/>
        <w:lang w:val="zh-CN" w:eastAsia="zh-CN" w:bidi="zh-CN"/>
      </w:rPr>
    </w:lvl>
    <w:lvl w:ilvl="5">
      <w:start w:val="0"/>
      <w:numFmt w:val="bullet"/>
      <w:lvlText w:val="•"/>
      <w:lvlJc w:val="left"/>
      <w:pPr>
        <w:ind w:left="6063" w:hanging="529"/>
      </w:pPr>
      <w:rPr>
        <w:rFonts w:hint="default"/>
        <w:lang w:val="zh-CN" w:eastAsia="zh-CN" w:bidi="zh-CN"/>
      </w:rPr>
    </w:lvl>
    <w:lvl w:ilvl="6">
      <w:start w:val="0"/>
      <w:numFmt w:val="bullet"/>
      <w:lvlText w:val="•"/>
      <w:lvlJc w:val="left"/>
      <w:pPr>
        <w:ind w:left="6951" w:hanging="529"/>
      </w:pPr>
      <w:rPr>
        <w:rFonts w:hint="default"/>
        <w:lang w:val="zh-CN" w:eastAsia="zh-CN" w:bidi="zh-CN"/>
      </w:rPr>
    </w:lvl>
    <w:lvl w:ilvl="7">
      <w:start w:val="0"/>
      <w:numFmt w:val="bullet"/>
      <w:lvlText w:val="•"/>
      <w:lvlJc w:val="left"/>
      <w:pPr>
        <w:ind w:left="7840" w:hanging="529"/>
      </w:pPr>
      <w:rPr>
        <w:rFonts w:hint="default"/>
        <w:lang w:val="zh-CN" w:eastAsia="zh-CN" w:bidi="zh-CN"/>
      </w:rPr>
    </w:lvl>
    <w:lvl w:ilvl="8">
      <w:start w:val="0"/>
      <w:numFmt w:val="bullet"/>
      <w:lvlText w:val="•"/>
      <w:lvlJc w:val="left"/>
      <w:pPr>
        <w:ind w:left="8729" w:hanging="529"/>
      </w:pPr>
      <w:rPr>
        <w:rFonts w:hint="default"/>
        <w:lang w:val="zh-CN" w:eastAsia="zh-CN" w:bidi="zh-CN"/>
      </w:rPr>
    </w:lvl>
  </w:abstractNum>
  <w:abstractNum w:abstractNumId="122">
    <w:multiLevelType w:val="hybridMultilevel"/>
    <w:lvl w:ilvl="0">
      <w:start w:val="1"/>
      <w:numFmt w:val="decimal"/>
      <w:lvlText w:val="（%1）"/>
      <w:lvlJc w:val="left"/>
      <w:pPr>
        <w:ind w:left="678" w:hanging="529"/>
        <w:jc w:val="left"/>
      </w:pPr>
      <w:rPr>
        <w:rFonts w:hint="default" w:ascii="宋体" w:hAnsi="宋体" w:eastAsia="宋体" w:cs="宋体"/>
        <w:spacing w:val="-116"/>
        <w:w w:val="100"/>
        <w:sz w:val="19"/>
        <w:szCs w:val="19"/>
        <w:lang w:val="zh-CN" w:eastAsia="zh-CN" w:bidi="zh-CN"/>
      </w:rPr>
    </w:lvl>
    <w:lvl w:ilvl="1">
      <w:start w:val="0"/>
      <w:numFmt w:val="bullet"/>
      <w:lvlText w:val="•"/>
      <w:lvlJc w:val="left"/>
      <w:pPr>
        <w:ind w:left="1662" w:hanging="529"/>
      </w:pPr>
      <w:rPr>
        <w:rFonts w:hint="default"/>
        <w:lang w:val="zh-CN" w:eastAsia="zh-CN" w:bidi="zh-CN"/>
      </w:rPr>
    </w:lvl>
    <w:lvl w:ilvl="2">
      <w:start w:val="0"/>
      <w:numFmt w:val="bullet"/>
      <w:lvlText w:val="•"/>
      <w:lvlJc w:val="left"/>
      <w:pPr>
        <w:ind w:left="2645" w:hanging="529"/>
      </w:pPr>
      <w:rPr>
        <w:rFonts w:hint="default"/>
        <w:lang w:val="zh-CN" w:eastAsia="zh-CN" w:bidi="zh-CN"/>
      </w:rPr>
    </w:lvl>
    <w:lvl w:ilvl="3">
      <w:start w:val="0"/>
      <w:numFmt w:val="bullet"/>
      <w:lvlText w:val="•"/>
      <w:lvlJc w:val="left"/>
      <w:pPr>
        <w:ind w:left="3627" w:hanging="529"/>
      </w:pPr>
      <w:rPr>
        <w:rFonts w:hint="default"/>
        <w:lang w:val="zh-CN" w:eastAsia="zh-CN" w:bidi="zh-CN"/>
      </w:rPr>
    </w:lvl>
    <w:lvl w:ilvl="4">
      <w:start w:val="0"/>
      <w:numFmt w:val="bullet"/>
      <w:lvlText w:val="•"/>
      <w:lvlJc w:val="left"/>
      <w:pPr>
        <w:ind w:left="4610" w:hanging="529"/>
      </w:pPr>
      <w:rPr>
        <w:rFonts w:hint="default"/>
        <w:lang w:val="zh-CN" w:eastAsia="zh-CN" w:bidi="zh-CN"/>
      </w:rPr>
    </w:lvl>
    <w:lvl w:ilvl="5">
      <w:start w:val="0"/>
      <w:numFmt w:val="bullet"/>
      <w:lvlText w:val="•"/>
      <w:lvlJc w:val="left"/>
      <w:pPr>
        <w:ind w:left="5593" w:hanging="529"/>
      </w:pPr>
      <w:rPr>
        <w:rFonts w:hint="default"/>
        <w:lang w:val="zh-CN" w:eastAsia="zh-CN" w:bidi="zh-CN"/>
      </w:rPr>
    </w:lvl>
    <w:lvl w:ilvl="6">
      <w:start w:val="0"/>
      <w:numFmt w:val="bullet"/>
      <w:lvlText w:val="•"/>
      <w:lvlJc w:val="left"/>
      <w:pPr>
        <w:ind w:left="6575" w:hanging="529"/>
      </w:pPr>
      <w:rPr>
        <w:rFonts w:hint="default"/>
        <w:lang w:val="zh-CN" w:eastAsia="zh-CN" w:bidi="zh-CN"/>
      </w:rPr>
    </w:lvl>
    <w:lvl w:ilvl="7">
      <w:start w:val="0"/>
      <w:numFmt w:val="bullet"/>
      <w:lvlText w:val="•"/>
      <w:lvlJc w:val="left"/>
      <w:pPr>
        <w:ind w:left="7558" w:hanging="529"/>
      </w:pPr>
      <w:rPr>
        <w:rFonts w:hint="default"/>
        <w:lang w:val="zh-CN" w:eastAsia="zh-CN" w:bidi="zh-CN"/>
      </w:rPr>
    </w:lvl>
    <w:lvl w:ilvl="8">
      <w:start w:val="0"/>
      <w:numFmt w:val="bullet"/>
      <w:lvlText w:val="•"/>
      <w:lvlJc w:val="left"/>
      <w:pPr>
        <w:ind w:left="8541" w:hanging="529"/>
      </w:pPr>
      <w:rPr>
        <w:rFonts w:hint="default"/>
        <w:lang w:val="zh-CN" w:eastAsia="zh-CN" w:bidi="zh-CN"/>
      </w:rPr>
    </w:lvl>
  </w:abstractNum>
  <w:abstractNum w:abstractNumId="121">
    <w:multiLevelType w:val="hybridMultilevel"/>
    <w:lvl w:ilvl="0">
      <w:start w:val="2"/>
      <w:numFmt w:val="decimal"/>
      <w:lvlText w:val="%1"/>
      <w:lvlJc w:val="left"/>
      <w:pPr>
        <w:ind w:left="1415" w:hanging="318"/>
        <w:jc w:val="left"/>
      </w:pPr>
      <w:rPr>
        <w:rFonts w:hint="default"/>
        <w:lang w:val="zh-CN" w:eastAsia="zh-CN" w:bidi="zh-CN"/>
      </w:rPr>
    </w:lvl>
    <w:lvl w:ilvl="1">
      <w:start w:val="1"/>
      <w:numFmt w:val="decimal"/>
      <w:lvlText w:val="%1.%2"/>
      <w:lvlJc w:val="left"/>
      <w:pPr>
        <w:ind w:left="1415" w:hanging="318"/>
        <w:jc w:val="left"/>
      </w:pPr>
      <w:rPr>
        <w:rFonts w:hint="default" w:ascii="宋体" w:hAnsi="宋体" w:eastAsia="宋体" w:cs="宋体"/>
        <w:spacing w:val="-3"/>
        <w:w w:val="100"/>
        <w:sz w:val="19"/>
        <w:szCs w:val="19"/>
        <w:lang w:val="zh-CN" w:eastAsia="zh-CN" w:bidi="zh-CN"/>
      </w:rPr>
    </w:lvl>
    <w:lvl w:ilvl="2">
      <w:start w:val="0"/>
      <w:numFmt w:val="bullet"/>
      <w:lvlText w:val="•"/>
      <w:lvlJc w:val="left"/>
      <w:pPr>
        <w:ind w:left="3237" w:hanging="318"/>
      </w:pPr>
      <w:rPr>
        <w:rFonts w:hint="default"/>
        <w:lang w:val="zh-CN" w:eastAsia="zh-CN" w:bidi="zh-CN"/>
      </w:rPr>
    </w:lvl>
    <w:lvl w:ilvl="3">
      <w:start w:val="0"/>
      <w:numFmt w:val="bullet"/>
      <w:lvlText w:val="•"/>
      <w:lvlJc w:val="left"/>
      <w:pPr>
        <w:ind w:left="4145" w:hanging="318"/>
      </w:pPr>
      <w:rPr>
        <w:rFonts w:hint="default"/>
        <w:lang w:val="zh-CN" w:eastAsia="zh-CN" w:bidi="zh-CN"/>
      </w:rPr>
    </w:lvl>
    <w:lvl w:ilvl="4">
      <w:start w:val="0"/>
      <w:numFmt w:val="bullet"/>
      <w:lvlText w:val="•"/>
      <w:lvlJc w:val="left"/>
      <w:pPr>
        <w:ind w:left="5054" w:hanging="318"/>
      </w:pPr>
      <w:rPr>
        <w:rFonts w:hint="default"/>
        <w:lang w:val="zh-CN" w:eastAsia="zh-CN" w:bidi="zh-CN"/>
      </w:rPr>
    </w:lvl>
    <w:lvl w:ilvl="5">
      <w:start w:val="0"/>
      <w:numFmt w:val="bullet"/>
      <w:lvlText w:val="•"/>
      <w:lvlJc w:val="left"/>
      <w:pPr>
        <w:ind w:left="5963" w:hanging="318"/>
      </w:pPr>
      <w:rPr>
        <w:rFonts w:hint="default"/>
        <w:lang w:val="zh-CN" w:eastAsia="zh-CN" w:bidi="zh-CN"/>
      </w:rPr>
    </w:lvl>
    <w:lvl w:ilvl="6">
      <w:start w:val="0"/>
      <w:numFmt w:val="bullet"/>
      <w:lvlText w:val="•"/>
      <w:lvlJc w:val="left"/>
      <w:pPr>
        <w:ind w:left="6871" w:hanging="318"/>
      </w:pPr>
      <w:rPr>
        <w:rFonts w:hint="default"/>
        <w:lang w:val="zh-CN" w:eastAsia="zh-CN" w:bidi="zh-CN"/>
      </w:rPr>
    </w:lvl>
    <w:lvl w:ilvl="7">
      <w:start w:val="0"/>
      <w:numFmt w:val="bullet"/>
      <w:lvlText w:val="•"/>
      <w:lvlJc w:val="left"/>
      <w:pPr>
        <w:ind w:left="7780" w:hanging="318"/>
      </w:pPr>
      <w:rPr>
        <w:rFonts w:hint="default"/>
        <w:lang w:val="zh-CN" w:eastAsia="zh-CN" w:bidi="zh-CN"/>
      </w:rPr>
    </w:lvl>
    <w:lvl w:ilvl="8">
      <w:start w:val="0"/>
      <w:numFmt w:val="bullet"/>
      <w:lvlText w:val="•"/>
      <w:lvlJc w:val="left"/>
      <w:pPr>
        <w:ind w:left="8689" w:hanging="318"/>
      </w:pPr>
      <w:rPr>
        <w:rFonts w:hint="default"/>
        <w:lang w:val="zh-CN" w:eastAsia="zh-CN" w:bidi="zh-CN"/>
      </w:rPr>
    </w:lvl>
  </w:abstractNum>
  <w:abstractNum w:abstractNumId="120">
    <w:multiLevelType w:val="hybridMultilevel"/>
    <w:lvl w:ilvl="0">
      <w:start w:val="1"/>
      <w:numFmt w:val="decimal"/>
      <w:lvlText w:val="%1"/>
      <w:lvlJc w:val="left"/>
      <w:pPr>
        <w:ind w:left="1101" w:hanging="424"/>
        <w:jc w:val="left"/>
      </w:pPr>
      <w:rPr>
        <w:rFonts w:hint="default"/>
        <w:lang w:val="zh-CN" w:eastAsia="zh-CN" w:bidi="zh-CN"/>
      </w:rPr>
    </w:lvl>
    <w:lvl w:ilvl="1">
      <w:start w:val="14"/>
      <w:numFmt w:val="decimal"/>
      <w:lvlText w:val="%1.%2"/>
      <w:lvlJc w:val="left"/>
      <w:pPr>
        <w:ind w:left="1101" w:hanging="424"/>
        <w:jc w:val="left"/>
      </w:pPr>
      <w:rPr>
        <w:rFonts w:hint="default" w:ascii="宋体" w:hAnsi="宋体" w:eastAsia="宋体" w:cs="宋体"/>
        <w:color w:val="0000FF"/>
        <w:w w:val="100"/>
        <w:sz w:val="19"/>
        <w:szCs w:val="19"/>
        <w:lang w:val="zh-CN" w:eastAsia="zh-CN" w:bidi="zh-CN"/>
      </w:rPr>
    </w:lvl>
    <w:lvl w:ilvl="2">
      <w:start w:val="0"/>
      <w:numFmt w:val="bullet"/>
      <w:lvlText w:val="•"/>
      <w:lvlJc w:val="left"/>
      <w:pPr>
        <w:ind w:left="2981" w:hanging="424"/>
      </w:pPr>
      <w:rPr>
        <w:rFonts w:hint="default"/>
        <w:lang w:val="zh-CN" w:eastAsia="zh-CN" w:bidi="zh-CN"/>
      </w:rPr>
    </w:lvl>
    <w:lvl w:ilvl="3">
      <w:start w:val="0"/>
      <w:numFmt w:val="bullet"/>
      <w:lvlText w:val="•"/>
      <w:lvlJc w:val="left"/>
      <w:pPr>
        <w:ind w:left="3921" w:hanging="424"/>
      </w:pPr>
      <w:rPr>
        <w:rFonts w:hint="default"/>
        <w:lang w:val="zh-CN" w:eastAsia="zh-CN" w:bidi="zh-CN"/>
      </w:rPr>
    </w:lvl>
    <w:lvl w:ilvl="4">
      <w:start w:val="0"/>
      <w:numFmt w:val="bullet"/>
      <w:lvlText w:val="•"/>
      <w:lvlJc w:val="left"/>
      <w:pPr>
        <w:ind w:left="4862" w:hanging="424"/>
      </w:pPr>
      <w:rPr>
        <w:rFonts w:hint="default"/>
        <w:lang w:val="zh-CN" w:eastAsia="zh-CN" w:bidi="zh-CN"/>
      </w:rPr>
    </w:lvl>
    <w:lvl w:ilvl="5">
      <w:start w:val="0"/>
      <w:numFmt w:val="bullet"/>
      <w:lvlText w:val="•"/>
      <w:lvlJc w:val="left"/>
      <w:pPr>
        <w:ind w:left="5803" w:hanging="424"/>
      </w:pPr>
      <w:rPr>
        <w:rFonts w:hint="default"/>
        <w:lang w:val="zh-CN" w:eastAsia="zh-CN" w:bidi="zh-CN"/>
      </w:rPr>
    </w:lvl>
    <w:lvl w:ilvl="6">
      <w:start w:val="0"/>
      <w:numFmt w:val="bullet"/>
      <w:lvlText w:val="•"/>
      <w:lvlJc w:val="left"/>
      <w:pPr>
        <w:ind w:left="6743" w:hanging="424"/>
      </w:pPr>
      <w:rPr>
        <w:rFonts w:hint="default"/>
        <w:lang w:val="zh-CN" w:eastAsia="zh-CN" w:bidi="zh-CN"/>
      </w:rPr>
    </w:lvl>
    <w:lvl w:ilvl="7">
      <w:start w:val="0"/>
      <w:numFmt w:val="bullet"/>
      <w:lvlText w:val="•"/>
      <w:lvlJc w:val="left"/>
      <w:pPr>
        <w:ind w:left="7684" w:hanging="424"/>
      </w:pPr>
      <w:rPr>
        <w:rFonts w:hint="default"/>
        <w:lang w:val="zh-CN" w:eastAsia="zh-CN" w:bidi="zh-CN"/>
      </w:rPr>
    </w:lvl>
    <w:lvl w:ilvl="8">
      <w:start w:val="0"/>
      <w:numFmt w:val="bullet"/>
      <w:lvlText w:val="•"/>
      <w:lvlJc w:val="left"/>
      <w:pPr>
        <w:ind w:left="8625" w:hanging="424"/>
      </w:pPr>
      <w:rPr>
        <w:rFonts w:hint="default"/>
        <w:lang w:val="zh-CN" w:eastAsia="zh-CN" w:bidi="zh-CN"/>
      </w:rPr>
    </w:lvl>
  </w:abstractNum>
  <w:abstractNum w:abstractNumId="119">
    <w:multiLevelType w:val="hybridMultilevel"/>
    <w:lvl w:ilvl="0">
      <w:start w:val="1"/>
      <w:numFmt w:val="decimal"/>
      <w:lvlText w:val="%1"/>
      <w:lvlJc w:val="left"/>
      <w:pPr>
        <w:ind w:left="995" w:hanging="318"/>
        <w:jc w:val="left"/>
      </w:pPr>
      <w:rPr>
        <w:rFonts w:hint="default"/>
        <w:lang w:val="zh-CN" w:eastAsia="zh-CN" w:bidi="zh-CN"/>
      </w:rPr>
    </w:lvl>
    <w:lvl w:ilvl="1">
      <w:start w:val="4"/>
      <w:numFmt w:val="decimal"/>
      <w:lvlText w:val="%1.%2"/>
      <w:lvlJc w:val="left"/>
      <w:pPr>
        <w:ind w:left="995" w:hanging="318"/>
        <w:jc w:val="left"/>
      </w:pPr>
      <w:rPr>
        <w:rFonts w:hint="default" w:ascii="宋体" w:hAnsi="宋体" w:eastAsia="宋体" w:cs="宋体"/>
        <w:color w:val="0000FF"/>
        <w:w w:val="100"/>
        <w:sz w:val="19"/>
        <w:szCs w:val="19"/>
        <w:lang w:val="zh-CN" w:eastAsia="zh-CN" w:bidi="zh-CN"/>
      </w:rPr>
    </w:lvl>
    <w:lvl w:ilvl="2">
      <w:start w:val="0"/>
      <w:numFmt w:val="bullet"/>
      <w:lvlText w:val="•"/>
      <w:lvlJc w:val="left"/>
      <w:pPr>
        <w:ind w:left="2901" w:hanging="318"/>
      </w:pPr>
      <w:rPr>
        <w:rFonts w:hint="default"/>
        <w:lang w:val="zh-CN" w:eastAsia="zh-CN" w:bidi="zh-CN"/>
      </w:rPr>
    </w:lvl>
    <w:lvl w:ilvl="3">
      <w:start w:val="0"/>
      <w:numFmt w:val="bullet"/>
      <w:lvlText w:val="•"/>
      <w:lvlJc w:val="left"/>
      <w:pPr>
        <w:ind w:left="3851" w:hanging="318"/>
      </w:pPr>
      <w:rPr>
        <w:rFonts w:hint="default"/>
        <w:lang w:val="zh-CN" w:eastAsia="zh-CN" w:bidi="zh-CN"/>
      </w:rPr>
    </w:lvl>
    <w:lvl w:ilvl="4">
      <w:start w:val="0"/>
      <w:numFmt w:val="bullet"/>
      <w:lvlText w:val="•"/>
      <w:lvlJc w:val="left"/>
      <w:pPr>
        <w:ind w:left="4802" w:hanging="318"/>
      </w:pPr>
      <w:rPr>
        <w:rFonts w:hint="default"/>
        <w:lang w:val="zh-CN" w:eastAsia="zh-CN" w:bidi="zh-CN"/>
      </w:rPr>
    </w:lvl>
    <w:lvl w:ilvl="5">
      <w:start w:val="0"/>
      <w:numFmt w:val="bullet"/>
      <w:lvlText w:val="•"/>
      <w:lvlJc w:val="left"/>
      <w:pPr>
        <w:ind w:left="5753" w:hanging="318"/>
      </w:pPr>
      <w:rPr>
        <w:rFonts w:hint="default"/>
        <w:lang w:val="zh-CN" w:eastAsia="zh-CN" w:bidi="zh-CN"/>
      </w:rPr>
    </w:lvl>
    <w:lvl w:ilvl="6">
      <w:start w:val="0"/>
      <w:numFmt w:val="bullet"/>
      <w:lvlText w:val="•"/>
      <w:lvlJc w:val="left"/>
      <w:pPr>
        <w:ind w:left="6703" w:hanging="318"/>
      </w:pPr>
      <w:rPr>
        <w:rFonts w:hint="default"/>
        <w:lang w:val="zh-CN" w:eastAsia="zh-CN" w:bidi="zh-CN"/>
      </w:rPr>
    </w:lvl>
    <w:lvl w:ilvl="7">
      <w:start w:val="0"/>
      <w:numFmt w:val="bullet"/>
      <w:lvlText w:val="•"/>
      <w:lvlJc w:val="left"/>
      <w:pPr>
        <w:ind w:left="7654" w:hanging="318"/>
      </w:pPr>
      <w:rPr>
        <w:rFonts w:hint="default"/>
        <w:lang w:val="zh-CN" w:eastAsia="zh-CN" w:bidi="zh-CN"/>
      </w:rPr>
    </w:lvl>
    <w:lvl w:ilvl="8">
      <w:start w:val="0"/>
      <w:numFmt w:val="bullet"/>
      <w:lvlText w:val="•"/>
      <w:lvlJc w:val="left"/>
      <w:pPr>
        <w:ind w:left="8605" w:hanging="318"/>
      </w:pPr>
      <w:rPr>
        <w:rFonts w:hint="default"/>
        <w:lang w:val="zh-CN" w:eastAsia="zh-CN" w:bidi="zh-CN"/>
      </w:rPr>
    </w:lvl>
  </w:abstractNum>
  <w:abstractNum w:abstractNumId="118">
    <w:multiLevelType w:val="hybridMultilevel"/>
    <w:lvl w:ilvl="0">
      <w:start w:val="1"/>
      <w:numFmt w:val="decimal"/>
      <w:lvlText w:val="%1"/>
      <w:lvlJc w:val="left"/>
      <w:pPr>
        <w:ind w:left="995" w:hanging="318"/>
        <w:jc w:val="left"/>
      </w:pPr>
      <w:rPr>
        <w:rFonts w:hint="default"/>
        <w:lang w:val="zh-CN" w:eastAsia="zh-CN" w:bidi="zh-CN"/>
      </w:rPr>
    </w:lvl>
    <w:lvl w:ilvl="1">
      <w:start w:val="1"/>
      <w:numFmt w:val="decimal"/>
      <w:lvlText w:val="%1.%2"/>
      <w:lvlJc w:val="left"/>
      <w:pPr>
        <w:ind w:left="995" w:hanging="318"/>
        <w:jc w:val="left"/>
      </w:pPr>
      <w:rPr>
        <w:rFonts w:hint="default" w:ascii="宋体" w:hAnsi="宋体" w:eastAsia="宋体" w:cs="宋体"/>
        <w:color w:val="0000FF"/>
        <w:w w:val="100"/>
        <w:sz w:val="19"/>
        <w:szCs w:val="19"/>
        <w:lang w:val="zh-CN" w:eastAsia="zh-CN" w:bidi="zh-CN"/>
      </w:rPr>
    </w:lvl>
    <w:lvl w:ilvl="2">
      <w:start w:val="0"/>
      <w:numFmt w:val="bullet"/>
      <w:lvlText w:val="•"/>
      <w:lvlJc w:val="left"/>
      <w:pPr>
        <w:ind w:left="2901" w:hanging="318"/>
      </w:pPr>
      <w:rPr>
        <w:rFonts w:hint="default"/>
        <w:lang w:val="zh-CN" w:eastAsia="zh-CN" w:bidi="zh-CN"/>
      </w:rPr>
    </w:lvl>
    <w:lvl w:ilvl="3">
      <w:start w:val="0"/>
      <w:numFmt w:val="bullet"/>
      <w:lvlText w:val="•"/>
      <w:lvlJc w:val="left"/>
      <w:pPr>
        <w:ind w:left="3851" w:hanging="318"/>
      </w:pPr>
      <w:rPr>
        <w:rFonts w:hint="default"/>
        <w:lang w:val="zh-CN" w:eastAsia="zh-CN" w:bidi="zh-CN"/>
      </w:rPr>
    </w:lvl>
    <w:lvl w:ilvl="4">
      <w:start w:val="0"/>
      <w:numFmt w:val="bullet"/>
      <w:lvlText w:val="•"/>
      <w:lvlJc w:val="left"/>
      <w:pPr>
        <w:ind w:left="4802" w:hanging="318"/>
      </w:pPr>
      <w:rPr>
        <w:rFonts w:hint="default"/>
        <w:lang w:val="zh-CN" w:eastAsia="zh-CN" w:bidi="zh-CN"/>
      </w:rPr>
    </w:lvl>
    <w:lvl w:ilvl="5">
      <w:start w:val="0"/>
      <w:numFmt w:val="bullet"/>
      <w:lvlText w:val="•"/>
      <w:lvlJc w:val="left"/>
      <w:pPr>
        <w:ind w:left="5753" w:hanging="318"/>
      </w:pPr>
      <w:rPr>
        <w:rFonts w:hint="default"/>
        <w:lang w:val="zh-CN" w:eastAsia="zh-CN" w:bidi="zh-CN"/>
      </w:rPr>
    </w:lvl>
    <w:lvl w:ilvl="6">
      <w:start w:val="0"/>
      <w:numFmt w:val="bullet"/>
      <w:lvlText w:val="•"/>
      <w:lvlJc w:val="left"/>
      <w:pPr>
        <w:ind w:left="6703" w:hanging="318"/>
      </w:pPr>
      <w:rPr>
        <w:rFonts w:hint="default"/>
        <w:lang w:val="zh-CN" w:eastAsia="zh-CN" w:bidi="zh-CN"/>
      </w:rPr>
    </w:lvl>
    <w:lvl w:ilvl="7">
      <w:start w:val="0"/>
      <w:numFmt w:val="bullet"/>
      <w:lvlText w:val="•"/>
      <w:lvlJc w:val="left"/>
      <w:pPr>
        <w:ind w:left="7654" w:hanging="318"/>
      </w:pPr>
      <w:rPr>
        <w:rFonts w:hint="default"/>
        <w:lang w:val="zh-CN" w:eastAsia="zh-CN" w:bidi="zh-CN"/>
      </w:rPr>
    </w:lvl>
    <w:lvl w:ilvl="8">
      <w:start w:val="0"/>
      <w:numFmt w:val="bullet"/>
      <w:lvlText w:val="•"/>
      <w:lvlJc w:val="left"/>
      <w:pPr>
        <w:ind w:left="8605" w:hanging="318"/>
      </w:pPr>
      <w:rPr>
        <w:rFonts w:hint="default"/>
        <w:lang w:val="zh-CN" w:eastAsia="zh-CN" w:bidi="zh-CN"/>
      </w:rPr>
    </w:lvl>
  </w:abstractNum>
  <w:abstractNum w:abstractNumId="117">
    <w:multiLevelType w:val="hybridMultilevel"/>
    <w:lvl w:ilvl="0">
      <w:start w:val="1"/>
      <w:numFmt w:val="decimal"/>
      <w:lvlText w:val="%1"/>
      <w:lvlJc w:val="left"/>
      <w:pPr>
        <w:ind w:left="678" w:hanging="370"/>
        <w:jc w:val="left"/>
      </w:pPr>
      <w:rPr>
        <w:rFonts w:hint="default"/>
        <w:lang w:val="zh-CN" w:eastAsia="zh-CN" w:bidi="zh-CN"/>
      </w:rPr>
    </w:lvl>
    <w:lvl w:ilvl="1">
      <w:start w:val="1"/>
      <w:numFmt w:val="decimal"/>
      <w:lvlText w:val="%1.%2"/>
      <w:lvlJc w:val="left"/>
      <w:pPr>
        <w:ind w:left="678" w:hanging="370"/>
        <w:jc w:val="left"/>
      </w:pPr>
      <w:rPr>
        <w:rFonts w:hint="default" w:ascii="宋体" w:hAnsi="宋体" w:eastAsia="宋体" w:cs="宋体"/>
        <w:w w:val="100"/>
        <w:sz w:val="21"/>
        <w:szCs w:val="21"/>
        <w:lang w:val="zh-CN" w:eastAsia="zh-CN" w:bidi="zh-CN"/>
      </w:rPr>
    </w:lvl>
    <w:lvl w:ilvl="2">
      <w:start w:val="0"/>
      <w:numFmt w:val="bullet"/>
      <w:lvlText w:val="•"/>
      <w:lvlJc w:val="left"/>
      <w:pPr>
        <w:ind w:left="2645" w:hanging="370"/>
      </w:pPr>
      <w:rPr>
        <w:rFonts w:hint="default"/>
        <w:lang w:val="zh-CN" w:eastAsia="zh-CN" w:bidi="zh-CN"/>
      </w:rPr>
    </w:lvl>
    <w:lvl w:ilvl="3">
      <w:start w:val="0"/>
      <w:numFmt w:val="bullet"/>
      <w:lvlText w:val="•"/>
      <w:lvlJc w:val="left"/>
      <w:pPr>
        <w:ind w:left="3627" w:hanging="370"/>
      </w:pPr>
      <w:rPr>
        <w:rFonts w:hint="default"/>
        <w:lang w:val="zh-CN" w:eastAsia="zh-CN" w:bidi="zh-CN"/>
      </w:rPr>
    </w:lvl>
    <w:lvl w:ilvl="4">
      <w:start w:val="0"/>
      <w:numFmt w:val="bullet"/>
      <w:lvlText w:val="•"/>
      <w:lvlJc w:val="left"/>
      <w:pPr>
        <w:ind w:left="4610" w:hanging="370"/>
      </w:pPr>
      <w:rPr>
        <w:rFonts w:hint="default"/>
        <w:lang w:val="zh-CN" w:eastAsia="zh-CN" w:bidi="zh-CN"/>
      </w:rPr>
    </w:lvl>
    <w:lvl w:ilvl="5">
      <w:start w:val="0"/>
      <w:numFmt w:val="bullet"/>
      <w:lvlText w:val="•"/>
      <w:lvlJc w:val="left"/>
      <w:pPr>
        <w:ind w:left="5593" w:hanging="370"/>
      </w:pPr>
      <w:rPr>
        <w:rFonts w:hint="default"/>
        <w:lang w:val="zh-CN" w:eastAsia="zh-CN" w:bidi="zh-CN"/>
      </w:rPr>
    </w:lvl>
    <w:lvl w:ilvl="6">
      <w:start w:val="0"/>
      <w:numFmt w:val="bullet"/>
      <w:lvlText w:val="•"/>
      <w:lvlJc w:val="left"/>
      <w:pPr>
        <w:ind w:left="6575" w:hanging="370"/>
      </w:pPr>
      <w:rPr>
        <w:rFonts w:hint="default"/>
        <w:lang w:val="zh-CN" w:eastAsia="zh-CN" w:bidi="zh-CN"/>
      </w:rPr>
    </w:lvl>
    <w:lvl w:ilvl="7">
      <w:start w:val="0"/>
      <w:numFmt w:val="bullet"/>
      <w:lvlText w:val="•"/>
      <w:lvlJc w:val="left"/>
      <w:pPr>
        <w:ind w:left="7558" w:hanging="370"/>
      </w:pPr>
      <w:rPr>
        <w:rFonts w:hint="default"/>
        <w:lang w:val="zh-CN" w:eastAsia="zh-CN" w:bidi="zh-CN"/>
      </w:rPr>
    </w:lvl>
    <w:lvl w:ilvl="8">
      <w:start w:val="0"/>
      <w:numFmt w:val="bullet"/>
      <w:lvlText w:val="•"/>
      <w:lvlJc w:val="left"/>
      <w:pPr>
        <w:ind w:left="8541" w:hanging="370"/>
      </w:pPr>
      <w:rPr>
        <w:rFonts w:hint="default"/>
        <w:lang w:val="zh-CN" w:eastAsia="zh-CN" w:bidi="zh-CN"/>
      </w:rPr>
    </w:lvl>
  </w:abstractNum>
  <w:abstractNum w:abstractNumId="116">
    <w:multiLevelType w:val="hybridMultilevel"/>
    <w:lvl w:ilvl="0">
      <w:start w:val="1"/>
      <w:numFmt w:val="decimal"/>
      <w:lvlText w:val="（%1）"/>
      <w:lvlJc w:val="left"/>
      <w:pPr>
        <w:ind w:left="16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08" w:hanging="529"/>
      </w:pPr>
      <w:rPr>
        <w:rFonts w:hint="default"/>
        <w:lang w:val="zh-CN" w:eastAsia="zh-CN" w:bidi="zh-CN"/>
      </w:rPr>
    </w:lvl>
    <w:lvl w:ilvl="2">
      <w:start w:val="0"/>
      <w:numFmt w:val="bullet"/>
      <w:lvlText w:val="•"/>
      <w:lvlJc w:val="left"/>
      <w:pPr>
        <w:ind w:left="3397" w:hanging="529"/>
      </w:pPr>
      <w:rPr>
        <w:rFonts w:hint="default"/>
        <w:lang w:val="zh-CN" w:eastAsia="zh-CN" w:bidi="zh-CN"/>
      </w:rPr>
    </w:lvl>
    <w:lvl w:ilvl="3">
      <w:start w:val="0"/>
      <w:numFmt w:val="bullet"/>
      <w:lvlText w:val="•"/>
      <w:lvlJc w:val="left"/>
      <w:pPr>
        <w:ind w:left="4285" w:hanging="529"/>
      </w:pPr>
      <w:rPr>
        <w:rFonts w:hint="default"/>
        <w:lang w:val="zh-CN" w:eastAsia="zh-CN" w:bidi="zh-CN"/>
      </w:rPr>
    </w:lvl>
    <w:lvl w:ilvl="4">
      <w:start w:val="0"/>
      <w:numFmt w:val="bullet"/>
      <w:lvlText w:val="•"/>
      <w:lvlJc w:val="left"/>
      <w:pPr>
        <w:ind w:left="5174" w:hanging="529"/>
      </w:pPr>
      <w:rPr>
        <w:rFonts w:hint="default"/>
        <w:lang w:val="zh-CN" w:eastAsia="zh-CN" w:bidi="zh-CN"/>
      </w:rPr>
    </w:lvl>
    <w:lvl w:ilvl="5">
      <w:start w:val="0"/>
      <w:numFmt w:val="bullet"/>
      <w:lvlText w:val="•"/>
      <w:lvlJc w:val="left"/>
      <w:pPr>
        <w:ind w:left="6063" w:hanging="529"/>
      </w:pPr>
      <w:rPr>
        <w:rFonts w:hint="default"/>
        <w:lang w:val="zh-CN" w:eastAsia="zh-CN" w:bidi="zh-CN"/>
      </w:rPr>
    </w:lvl>
    <w:lvl w:ilvl="6">
      <w:start w:val="0"/>
      <w:numFmt w:val="bullet"/>
      <w:lvlText w:val="•"/>
      <w:lvlJc w:val="left"/>
      <w:pPr>
        <w:ind w:left="6951" w:hanging="529"/>
      </w:pPr>
      <w:rPr>
        <w:rFonts w:hint="default"/>
        <w:lang w:val="zh-CN" w:eastAsia="zh-CN" w:bidi="zh-CN"/>
      </w:rPr>
    </w:lvl>
    <w:lvl w:ilvl="7">
      <w:start w:val="0"/>
      <w:numFmt w:val="bullet"/>
      <w:lvlText w:val="•"/>
      <w:lvlJc w:val="left"/>
      <w:pPr>
        <w:ind w:left="7840" w:hanging="529"/>
      </w:pPr>
      <w:rPr>
        <w:rFonts w:hint="default"/>
        <w:lang w:val="zh-CN" w:eastAsia="zh-CN" w:bidi="zh-CN"/>
      </w:rPr>
    </w:lvl>
    <w:lvl w:ilvl="8">
      <w:start w:val="0"/>
      <w:numFmt w:val="bullet"/>
      <w:lvlText w:val="•"/>
      <w:lvlJc w:val="left"/>
      <w:pPr>
        <w:ind w:left="8729" w:hanging="529"/>
      </w:pPr>
      <w:rPr>
        <w:rFonts w:hint="default"/>
        <w:lang w:val="zh-CN" w:eastAsia="zh-CN" w:bidi="zh-CN"/>
      </w:rPr>
    </w:lvl>
  </w:abstractNum>
  <w:abstractNum w:abstractNumId="115">
    <w:multiLevelType w:val="hybridMultilevel"/>
    <w:lvl w:ilvl="0">
      <w:start w:val="1"/>
      <w:numFmt w:val="decimal"/>
      <w:lvlText w:val="%1."/>
      <w:lvlJc w:val="left"/>
      <w:pPr>
        <w:ind w:left="1362" w:hanging="264"/>
        <w:jc w:val="left"/>
      </w:pPr>
      <w:rPr>
        <w:rFonts w:hint="default" w:ascii="Times New Roman" w:hAnsi="Times New Roman" w:eastAsia="Times New Roman" w:cs="Times New Roman"/>
        <w:w w:val="100"/>
        <w:sz w:val="21"/>
        <w:szCs w:val="21"/>
        <w:lang w:val="zh-CN" w:eastAsia="zh-CN" w:bidi="zh-CN"/>
      </w:rPr>
    </w:lvl>
    <w:lvl w:ilvl="1">
      <w:start w:val="0"/>
      <w:numFmt w:val="bullet"/>
      <w:lvlText w:val="•"/>
      <w:lvlJc w:val="left"/>
      <w:pPr>
        <w:ind w:left="1540" w:hanging="264"/>
      </w:pPr>
      <w:rPr>
        <w:rFonts w:hint="default"/>
        <w:lang w:val="zh-CN" w:eastAsia="zh-CN" w:bidi="zh-CN"/>
      </w:rPr>
    </w:lvl>
    <w:lvl w:ilvl="2">
      <w:start w:val="0"/>
      <w:numFmt w:val="bullet"/>
      <w:lvlText w:val="•"/>
      <w:lvlJc w:val="left"/>
      <w:pPr>
        <w:ind w:left="2536" w:hanging="264"/>
      </w:pPr>
      <w:rPr>
        <w:rFonts w:hint="default"/>
        <w:lang w:val="zh-CN" w:eastAsia="zh-CN" w:bidi="zh-CN"/>
      </w:rPr>
    </w:lvl>
    <w:lvl w:ilvl="3">
      <w:start w:val="0"/>
      <w:numFmt w:val="bullet"/>
      <w:lvlText w:val="•"/>
      <w:lvlJc w:val="left"/>
      <w:pPr>
        <w:ind w:left="3532" w:hanging="264"/>
      </w:pPr>
      <w:rPr>
        <w:rFonts w:hint="default"/>
        <w:lang w:val="zh-CN" w:eastAsia="zh-CN" w:bidi="zh-CN"/>
      </w:rPr>
    </w:lvl>
    <w:lvl w:ilvl="4">
      <w:start w:val="0"/>
      <w:numFmt w:val="bullet"/>
      <w:lvlText w:val="•"/>
      <w:lvlJc w:val="left"/>
      <w:pPr>
        <w:ind w:left="4528" w:hanging="264"/>
      </w:pPr>
      <w:rPr>
        <w:rFonts w:hint="default"/>
        <w:lang w:val="zh-CN" w:eastAsia="zh-CN" w:bidi="zh-CN"/>
      </w:rPr>
    </w:lvl>
    <w:lvl w:ilvl="5">
      <w:start w:val="0"/>
      <w:numFmt w:val="bullet"/>
      <w:lvlText w:val="•"/>
      <w:lvlJc w:val="left"/>
      <w:pPr>
        <w:ind w:left="5525" w:hanging="264"/>
      </w:pPr>
      <w:rPr>
        <w:rFonts w:hint="default"/>
        <w:lang w:val="zh-CN" w:eastAsia="zh-CN" w:bidi="zh-CN"/>
      </w:rPr>
    </w:lvl>
    <w:lvl w:ilvl="6">
      <w:start w:val="0"/>
      <w:numFmt w:val="bullet"/>
      <w:lvlText w:val="•"/>
      <w:lvlJc w:val="left"/>
      <w:pPr>
        <w:ind w:left="6521" w:hanging="264"/>
      </w:pPr>
      <w:rPr>
        <w:rFonts w:hint="default"/>
        <w:lang w:val="zh-CN" w:eastAsia="zh-CN" w:bidi="zh-CN"/>
      </w:rPr>
    </w:lvl>
    <w:lvl w:ilvl="7">
      <w:start w:val="0"/>
      <w:numFmt w:val="bullet"/>
      <w:lvlText w:val="•"/>
      <w:lvlJc w:val="left"/>
      <w:pPr>
        <w:ind w:left="7517" w:hanging="264"/>
      </w:pPr>
      <w:rPr>
        <w:rFonts w:hint="default"/>
        <w:lang w:val="zh-CN" w:eastAsia="zh-CN" w:bidi="zh-CN"/>
      </w:rPr>
    </w:lvl>
    <w:lvl w:ilvl="8">
      <w:start w:val="0"/>
      <w:numFmt w:val="bullet"/>
      <w:lvlText w:val="•"/>
      <w:lvlJc w:val="left"/>
      <w:pPr>
        <w:ind w:left="8513" w:hanging="264"/>
      </w:pPr>
      <w:rPr>
        <w:rFonts w:hint="default"/>
        <w:lang w:val="zh-CN" w:eastAsia="zh-CN" w:bidi="zh-CN"/>
      </w:rPr>
    </w:lvl>
  </w:abstractNum>
  <w:abstractNum w:abstractNumId="114">
    <w:multiLevelType w:val="hybridMultilevel"/>
    <w:lvl w:ilvl="0">
      <w:start w:val="1"/>
      <w:numFmt w:val="decimal"/>
      <w:lvlText w:val="%1."/>
      <w:lvlJc w:val="left"/>
      <w:pPr>
        <w:ind w:left="678" w:hanging="264"/>
        <w:jc w:val="left"/>
      </w:pPr>
      <w:rPr>
        <w:rFonts w:hint="default" w:ascii="Times New Roman" w:hAnsi="Times New Roman" w:eastAsia="Times New Roman" w:cs="Times New Roman"/>
        <w:w w:val="100"/>
        <w:sz w:val="21"/>
        <w:szCs w:val="21"/>
        <w:lang w:val="zh-CN" w:eastAsia="zh-CN" w:bidi="zh-CN"/>
      </w:rPr>
    </w:lvl>
    <w:lvl w:ilvl="1">
      <w:start w:val="0"/>
      <w:numFmt w:val="bullet"/>
      <w:lvlText w:val="•"/>
      <w:lvlJc w:val="left"/>
      <w:pPr>
        <w:ind w:left="1662" w:hanging="264"/>
      </w:pPr>
      <w:rPr>
        <w:rFonts w:hint="default"/>
        <w:lang w:val="zh-CN" w:eastAsia="zh-CN" w:bidi="zh-CN"/>
      </w:rPr>
    </w:lvl>
    <w:lvl w:ilvl="2">
      <w:start w:val="0"/>
      <w:numFmt w:val="bullet"/>
      <w:lvlText w:val="•"/>
      <w:lvlJc w:val="left"/>
      <w:pPr>
        <w:ind w:left="2645" w:hanging="264"/>
      </w:pPr>
      <w:rPr>
        <w:rFonts w:hint="default"/>
        <w:lang w:val="zh-CN" w:eastAsia="zh-CN" w:bidi="zh-CN"/>
      </w:rPr>
    </w:lvl>
    <w:lvl w:ilvl="3">
      <w:start w:val="0"/>
      <w:numFmt w:val="bullet"/>
      <w:lvlText w:val="•"/>
      <w:lvlJc w:val="left"/>
      <w:pPr>
        <w:ind w:left="3627" w:hanging="264"/>
      </w:pPr>
      <w:rPr>
        <w:rFonts w:hint="default"/>
        <w:lang w:val="zh-CN" w:eastAsia="zh-CN" w:bidi="zh-CN"/>
      </w:rPr>
    </w:lvl>
    <w:lvl w:ilvl="4">
      <w:start w:val="0"/>
      <w:numFmt w:val="bullet"/>
      <w:lvlText w:val="•"/>
      <w:lvlJc w:val="left"/>
      <w:pPr>
        <w:ind w:left="4610" w:hanging="264"/>
      </w:pPr>
      <w:rPr>
        <w:rFonts w:hint="default"/>
        <w:lang w:val="zh-CN" w:eastAsia="zh-CN" w:bidi="zh-CN"/>
      </w:rPr>
    </w:lvl>
    <w:lvl w:ilvl="5">
      <w:start w:val="0"/>
      <w:numFmt w:val="bullet"/>
      <w:lvlText w:val="•"/>
      <w:lvlJc w:val="left"/>
      <w:pPr>
        <w:ind w:left="5593" w:hanging="264"/>
      </w:pPr>
      <w:rPr>
        <w:rFonts w:hint="default"/>
        <w:lang w:val="zh-CN" w:eastAsia="zh-CN" w:bidi="zh-CN"/>
      </w:rPr>
    </w:lvl>
    <w:lvl w:ilvl="6">
      <w:start w:val="0"/>
      <w:numFmt w:val="bullet"/>
      <w:lvlText w:val="•"/>
      <w:lvlJc w:val="left"/>
      <w:pPr>
        <w:ind w:left="6575" w:hanging="264"/>
      </w:pPr>
      <w:rPr>
        <w:rFonts w:hint="default"/>
        <w:lang w:val="zh-CN" w:eastAsia="zh-CN" w:bidi="zh-CN"/>
      </w:rPr>
    </w:lvl>
    <w:lvl w:ilvl="7">
      <w:start w:val="0"/>
      <w:numFmt w:val="bullet"/>
      <w:lvlText w:val="•"/>
      <w:lvlJc w:val="left"/>
      <w:pPr>
        <w:ind w:left="7558" w:hanging="264"/>
      </w:pPr>
      <w:rPr>
        <w:rFonts w:hint="default"/>
        <w:lang w:val="zh-CN" w:eastAsia="zh-CN" w:bidi="zh-CN"/>
      </w:rPr>
    </w:lvl>
    <w:lvl w:ilvl="8">
      <w:start w:val="0"/>
      <w:numFmt w:val="bullet"/>
      <w:lvlText w:val="•"/>
      <w:lvlJc w:val="left"/>
      <w:pPr>
        <w:ind w:left="8541" w:hanging="264"/>
      </w:pPr>
      <w:rPr>
        <w:rFonts w:hint="default"/>
        <w:lang w:val="zh-CN" w:eastAsia="zh-CN" w:bidi="zh-CN"/>
      </w:rPr>
    </w:lvl>
  </w:abstractNum>
  <w:abstractNum w:abstractNumId="113">
    <w:multiLevelType w:val="hybridMultilevel"/>
    <w:lvl w:ilvl="0">
      <w:start w:val="1"/>
      <w:numFmt w:val="decimal"/>
      <w:lvlText w:val="%1."/>
      <w:lvlJc w:val="left"/>
      <w:pPr>
        <w:ind w:left="678" w:hanging="264"/>
        <w:jc w:val="left"/>
      </w:pPr>
      <w:rPr>
        <w:rFonts w:hint="default" w:ascii="Times New Roman" w:hAnsi="Times New Roman" w:eastAsia="Times New Roman" w:cs="Times New Roman"/>
        <w:w w:val="100"/>
        <w:sz w:val="21"/>
        <w:szCs w:val="21"/>
        <w:lang w:val="zh-CN" w:eastAsia="zh-CN" w:bidi="zh-CN"/>
      </w:rPr>
    </w:lvl>
    <w:lvl w:ilvl="1">
      <w:start w:val="0"/>
      <w:numFmt w:val="bullet"/>
      <w:lvlText w:val="•"/>
      <w:lvlJc w:val="left"/>
      <w:pPr>
        <w:ind w:left="1662" w:hanging="264"/>
      </w:pPr>
      <w:rPr>
        <w:rFonts w:hint="default"/>
        <w:lang w:val="zh-CN" w:eastAsia="zh-CN" w:bidi="zh-CN"/>
      </w:rPr>
    </w:lvl>
    <w:lvl w:ilvl="2">
      <w:start w:val="0"/>
      <w:numFmt w:val="bullet"/>
      <w:lvlText w:val="•"/>
      <w:lvlJc w:val="left"/>
      <w:pPr>
        <w:ind w:left="2645" w:hanging="264"/>
      </w:pPr>
      <w:rPr>
        <w:rFonts w:hint="default"/>
        <w:lang w:val="zh-CN" w:eastAsia="zh-CN" w:bidi="zh-CN"/>
      </w:rPr>
    </w:lvl>
    <w:lvl w:ilvl="3">
      <w:start w:val="0"/>
      <w:numFmt w:val="bullet"/>
      <w:lvlText w:val="•"/>
      <w:lvlJc w:val="left"/>
      <w:pPr>
        <w:ind w:left="3627" w:hanging="264"/>
      </w:pPr>
      <w:rPr>
        <w:rFonts w:hint="default"/>
        <w:lang w:val="zh-CN" w:eastAsia="zh-CN" w:bidi="zh-CN"/>
      </w:rPr>
    </w:lvl>
    <w:lvl w:ilvl="4">
      <w:start w:val="0"/>
      <w:numFmt w:val="bullet"/>
      <w:lvlText w:val="•"/>
      <w:lvlJc w:val="left"/>
      <w:pPr>
        <w:ind w:left="4610" w:hanging="264"/>
      </w:pPr>
      <w:rPr>
        <w:rFonts w:hint="default"/>
        <w:lang w:val="zh-CN" w:eastAsia="zh-CN" w:bidi="zh-CN"/>
      </w:rPr>
    </w:lvl>
    <w:lvl w:ilvl="5">
      <w:start w:val="0"/>
      <w:numFmt w:val="bullet"/>
      <w:lvlText w:val="•"/>
      <w:lvlJc w:val="left"/>
      <w:pPr>
        <w:ind w:left="5593" w:hanging="264"/>
      </w:pPr>
      <w:rPr>
        <w:rFonts w:hint="default"/>
        <w:lang w:val="zh-CN" w:eastAsia="zh-CN" w:bidi="zh-CN"/>
      </w:rPr>
    </w:lvl>
    <w:lvl w:ilvl="6">
      <w:start w:val="0"/>
      <w:numFmt w:val="bullet"/>
      <w:lvlText w:val="•"/>
      <w:lvlJc w:val="left"/>
      <w:pPr>
        <w:ind w:left="6575" w:hanging="264"/>
      </w:pPr>
      <w:rPr>
        <w:rFonts w:hint="default"/>
        <w:lang w:val="zh-CN" w:eastAsia="zh-CN" w:bidi="zh-CN"/>
      </w:rPr>
    </w:lvl>
    <w:lvl w:ilvl="7">
      <w:start w:val="0"/>
      <w:numFmt w:val="bullet"/>
      <w:lvlText w:val="•"/>
      <w:lvlJc w:val="left"/>
      <w:pPr>
        <w:ind w:left="7558" w:hanging="264"/>
      </w:pPr>
      <w:rPr>
        <w:rFonts w:hint="default"/>
        <w:lang w:val="zh-CN" w:eastAsia="zh-CN" w:bidi="zh-CN"/>
      </w:rPr>
    </w:lvl>
    <w:lvl w:ilvl="8">
      <w:start w:val="0"/>
      <w:numFmt w:val="bullet"/>
      <w:lvlText w:val="•"/>
      <w:lvlJc w:val="left"/>
      <w:pPr>
        <w:ind w:left="8541" w:hanging="264"/>
      </w:pPr>
      <w:rPr>
        <w:rFonts w:hint="default"/>
        <w:lang w:val="zh-CN" w:eastAsia="zh-CN" w:bidi="zh-CN"/>
      </w:rPr>
    </w:lvl>
  </w:abstractNum>
  <w:abstractNum w:abstractNumId="112">
    <w:multiLevelType w:val="hybridMultilevel"/>
    <w:lvl w:ilvl="0">
      <w:start w:val="1"/>
      <w:numFmt w:val="decimal"/>
      <w:lvlText w:val="%1."/>
      <w:lvlJc w:val="left"/>
      <w:pPr>
        <w:ind w:left="1362" w:hanging="264"/>
        <w:jc w:val="left"/>
      </w:pPr>
      <w:rPr>
        <w:rFonts w:hint="default" w:ascii="Times New Roman" w:hAnsi="Times New Roman" w:eastAsia="Times New Roman" w:cs="Times New Roman"/>
        <w:w w:val="100"/>
        <w:sz w:val="21"/>
        <w:szCs w:val="21"/>
        <w:lang w:val="zh-CN" w:eastAsia="zh-CN" w:bidi="zh-CN"/>
      </w:rPr>
    </w:lvl>
    <w:lvl w:ilvl="1">
      <w:start w:val="0"/>
      <w:numFmt w:val="bullet"/>
      <w:lvlText w:val="•"/>
      <w:lvlJc w:val="left"/>
      <w:pPr>
        <w:ind w:left="2274" w:hanging="264"/>
      </w:pPr>
      <w:rPr>
        <w:rFonts w:hint="default"/>
        <w:lang w:val="zh-CN" w:eastAsia="zh-CN" w:bidi="zh-CN"/>
      </w:rPr>
    </w:lvl>
    <w:lvl w:ilvl="2">
      <w:start w:val="0"/>
      <w:numFmt w:val="bullet"/>
      <w:lvlText w:val="•"/>
      <w:lvlJc w:val="left"/>
      <w:pPr>
        <w:ind w:left="3189" w:hanging="264"/>
      </w:pPr>
      <w:rPr>
        <w:rFonts w:hint="default"/>
        <w:lang w:val="zh-CN" w:eastAsia="zh-CN" w:bidi="zh-CN"/>
      </w:rPr>
    </w:lvl>
    <w:lvl w:ilvl="3">
      <w:start w:val="0"/>
      <w:numFmt w:val="bullet"/>
      <w:lvlText w:val="•"/>
      <w:lvlJc w:val="left"/>
      <w:pPr>
        <w:ind w:left="4103" w:hanging="264"/>
      </w:pPr>
      <w:rPr>
        <w:rFonts w:hint="default"/>
        <w:lang w:val="zh-CN" w:eastAsia="zh-CN" w:bidi="zh-CN"/>
      </w:rPr>
    </w:lvl>
    <w:lvl w:ilvl="4">
      <w:start w:val="0"/>
      <w:numFmt w:val="bullet"/>
      <w:lvlText w:val="•"/>
      <w:lvlJc w:val="left"/>
      <w:pPr>
        <w:ind w:left="5018" w:hanging="264"/>
      </w:pPr>
      <w:rPr>
        <w:rFonts w:hint="default"/>
        <w:lang w:val="zh-CN" w:eastAsia="zh-CN" w:bidi="zh-CN"/>
      </w:rPr>
    </w:lvl>
    <w:lvl w:ilvl="5">
      <w:start w:val="0"/>
      <w:numFmt w:val="bullet"/>
      <w:lvlText w:val="•"/>
      <w:lvlJc w:val="left"/>
      <w:pPr>
        <w:ind w:left="5933" w:hanging="264"/>
      </w:pPr>
      <w:rPr>
        <w:rFonts w:hint="default"/>
        <w:lang w:val="zh-CN" w:eastAsia="zh-CN" w:bidi="zh-CN"/>
      </w:rPr>
    </w:lvl>
    <w:lvl w:ilvl="6">
      <w:start w:val="0"/>
      <w:numFmt w:val="bullet"/>
      <w:lvlText w:val="•"/>
      <w:lvlJc w:val="left"/>
      <w:pPr>
        <w:ind w:left="6847" w:hanging="264"/>
      </w:pPr>
      <w:rPr>
        <w:rFonts w:hint="default"/>
        <w:lang w:val="zh-CN" w:eastAsia="zh-CN" w:bidi="zh-CN"/>
      </w:rPr>
    </w:lvl>
    <w:lvl w:ilvl="7">
      <w:start w:val="0"/>
      <w:numFmt w:val="bullet"/>
      <w:lvlText w:val="•"/>
      <w:lvlJc w:val="left"/>
      <w:pPr>
        <w:ind w:left="7762" w:hanging="264"/>
      </w:pPr>
      <w:rPr>
        <w:rFonts w:hint="default"/>
        <w:lang w:val="zh-CN" w:eastAsia="zh-CN" w:bidi="zh-CN"/>
      </w:rPr>
    </w:lvl>
    <w:lvl w:ilvl="8">
      <w:start w:val="0"/>
      <w:numFmt w:val="bullet"/>
      <w:lvlText w:val="•"/>
      <w:lvlJc w:val="left"/>
      <w:pPr>
        <w:ind w:left="8677" w:hanging="264"/>
      </w:pPr>
      <w:rPr>
        <w:rFonts w:hint="default"/>
        <w:lang w:val="zh-CN" w:eastAsia="zh-CN" w:bidi="zh-CN"/>
      </w:rPr>
    </w:lvl>
  </w:abstractNum>
  <w:abstractNum w:abstractNumId="111">
    <w:multiLevelType w:val="hybridMultilevel"/>
    <w:lvl w:ilvl="0">
      <w:start w:val="1"/>
      <w:numFmt w:val="decimal"/>
      <w:lvlText w:val="%1."/>
      <w:lvlJc w:val="left"/>
      <w:pPr>
        <w:ind w:left="1362" w:hanging="264"/>
        <w:jc w:val="left"/>
      </w:pPr>
      <w:rPr>
        <w:rFonts w:hint="default" w:ascii="Times New Roman" w:hAnsi="Times New Roman" w:eastAsia="Times New Roman" w:cs="Times New Roman"/>
        <w:w w:val="100"/>
        <w:sz w:val="21"/>
        <w:szCs w:val="21"/>
        <w:lang w:val="zh-CN" w:eastAsia="zh-CN" w:bidi="zh-CN"/>
      </w:rPr>
    </w:lvl>
    <w:lvl w:ilvl="1">
      <w:start w:val="0"/>
      <w:numFmt w:val="bullet"/>
      <w:lvlText w:val="•"/>
      <w:lvlJc w:val="left"/>
      <w:pPr>
        <w:ind w:left="2274" w:hanging="264"/>
      </w:pPr>
      <w:rPr>
        <w:rFonts w:hint="default"/>
        <w:lang w:val="zh-CN" w:eastAsia="zh-CN" w:bidi="zh-CN"/>
      </w:rPr>
    </w:lvl>
    <w:lvl w:ilvl="2">
      <w:start w:val="0"/>
      <w:numFmt w:val="bullet"/>
      <w:lvlText w:val="•"/>
      <w:lvlJc w:val="left"/>
      <w:pPr>
        <w:ind w:left="3189" w:hanging="264"/>
      </w:pPr>
      <w:rPr>
        <w:rFonts w:hint="default"/>
        <w:lang w:val="zh-CN" w:eastAsia="zh-CN" w:bidi="zh-CN"/>
      </w:rPr>
    </w:lvl>
    <w:lvl w:ilvl="3">
      <w:start w:val="0"/>
      <w:numFmt w:val="bullet"/>
      <w:lvlText w:val="•"/>
      <w:lvlJc w:val="left"/>
      <w:pPr>
        <w:ind w:left="4103" w:hanging="264"/>
      </w:pPr>
      <w:rPr>
        <w:rFonts w:hint="default"/>
        <w:lang w:val="zh-CN" w:eastAsia="zh-CN" w:bidi="zh-CN"/>
      </w:rPr>
    </w:lvl>
    <w:lvl w:ilvl="4">
      <w:start w:val="0"/>
      <w:numFmt w:val="bullet"/>
      <w:lvlText w:val="•"/>
      <w:lvlJc w:val="left"/>
      <w:pPr>
        <w:ind w:left="5018" w:hanging="264"/>
      </w:pPr>
      <w:rPr>
        <w:rFonts w:hint="default"/>
        <w:lang w:val="zh-CN" w:eastAsia="zh-CN" w:bidi="zh-CN"/>
      </w:rPr>
    </w:lvl>
    <w:lvl w:ilvl="5">
      <w:start w:val="0"/>
      <w:numFmt w:val="bullet"/>
      <w:lvlText w:val="•"/>
      <w:lvlJc w:val="left"/>
      <w:pPr>
        <w:ind w:left="5933" w:hanging="264"/>
      </w:pPr>
      <w:rPr>
        <w:rFonts w:hint="default"/>
        <w:lang w:val="zh-CN" w:eastAsia="zh-CN" w:bidi="zh-CN"/>
      </w:rPr>
    </w:lvl>
    <w:lvl w:ilvl="6">
      <w:start w:val="0"/>
      <w:numFmt w:val="bullet"/>
      <w:lvlText w:val="•"/>
      <w:lvlJc w:val="left"/>
      <w:pPr>
        <w:ind w:left="6847" w:hanging="264"/>
      </w:pPr>
      <w:rPr>
        <w:rFonts w:hint="default"/>
        <w:lang w:val="zh-CN" w:eastAsia="zh-CN" w:bidi="zh-CN"/>
      </w:rPr>
    </w:lvl>
    <w:lvl w:ilvl="7">
      <w:start w:val="0"/>
      <w:numFmt w:val="bullet"/>
      <w:lvlText w:val="•"/>
      <w:lvlJc w:val="left"/>
      <w:pPr>
        <w:ind w:left="7762" w:hanging="264"/>
      </w:pPr>
      <w:rPr>
        <w:rFonts w:hint="default"/>
        <w:lang w:val="zh-CN" w:eastAsia="zh-CN" w:bidi="zh-CN"/>
      </w:rPr>
    </w:lvl>
    <w:lvl w:ilvl="8">
      <w:start w:val="0"/>
      <w:numFmt w:val="bullet"/>
      <w:lvlText w:val="•"/>
      <w:lvlJc w:val="left"/>
      <w:pPr>
        <w:ind w:left="8677" w:hanging="264"/>
      </w:pPr>
      <w:rPr>
        <w:rFonts w:hint="default"/>
        <w:lang w:val="zh-CN" w:eastAsia="zh-CN" w:bidi="zh-CN"/>
      </w:rPr>
    </w:lvl>
  </w:abstractNum>
  <w:abstractNum w:abstractNumId="110">
    <w:multiLevelType w:val="hybridMultilevel"/>
    <w:lvl w:ilvl="0">
      <w:start w:val="1"/>
      <w:numFmt w:val="decimal"/>
      <w:lvlText w:val="%1."/>
      <w:lvlJc w:val="left"/>
      <w:pPr>
        <w:ind w:left="1362" w:hanging="264"/>
        <w:jc w:val="left"/>
      </w:pPr>
      <w:rPr>
        <w:rFonts w:hint="default" w:ascii="Times New Roman" w:hAnsi="Times New Roman" w:eastAsia="Times New Roman" w:cs="Times New Roman"/>
        <w:w w:val="100"/>
        <w:sz w:val="21"/>
        <w:szCs w:val="21"/>
        <w:lang w:val="zh-CN" w:eastAsia="zh-CN" w:bidi="zh-CN"/>
      </w:rPr>
    </w:lvl>
    <w:lvl w:ilvl="1">
      <w:start w:val="0"/>
      <w:numFmt w:val="bullet"/>
      <w:lvlText w:val="•"/>
      <w:lvlJc w:val="left"/>
      <w:pPr>
        <w:ind w:left="2274" w:hanging="264"/>
      </w:pPr>
      <w:rPr>
        <w:rFonts w:hint="default"/>
        <w:lang w:val="zh-CN" w:eastAsia="zh-CN" w:bidi="zh-CN"/>
      </w:rPr>
    </w:lvl>
    <w:lvl w:ilvl="2">
      <w:start w:val="0"/>
      <w:numFmt w:val="bullet"/>
      <w:lvlText w:val="•"/>
      <w:lvlJc w:val="left"/>
      <w:pPr>
        <w:ind w:left="3189" w:hanging="264"/>
      </w:pPr>
      <w:rPr>
        <w:rFonts w:hint="default"/>
        <w:lang w:val="zh-CN" w:eastAsia="zh-CN" w:bidi="zh-CN"/>
      </w:rPr>
    </w:lvl>
    <w:lvl w:ilvl="3">
      <w:start w:val="0"/>
      <w:numFmt w:val="bullet"/>
      <w:lvlText w:val="•"/>
      <w:lvlJc w:val="left"/>
      <w:pPr>
        <w:ind w:left="4103" w:hanging="264"/>
      </w:pPr>
      <w:rPr>
        <w:rFonts w:hint="default"/>
        <w:lang w:val="zh-CN" w:eastAsia="zh-CN" w:bidi="zh-CN"/>
      </w:rPr>
    </w:lvl>
    <w:lvl w:ilvl="4">
      <w:start w:val="0"/>
      <w:numFmt w:val="bullet"/>
      <w:lvlText w:val="•"/>
      <w:lvlJc w:val="left"/>
      <w:pPr>
        <w:ind w:left="5018" w:hanging="264"/>
      </w:pPr>
      <w:rPr>
        <w:rFonts w:hint="default"/>
        <w:lang w:val="zh-CN" w:eastAsia="zh-CN" w:bidi="zh-CN"/>
      </w:rPr>
    </w:lvl>
    <w:lvl w:ilvl="5">
      <w:start w:val="0"/>
      <w:numFmt w:val="bullet"/>
      <w:lvlText w:val="•"/>
      <w:lvlJc w:val="left"/>
      <w:pPr>
        <w:ind w:left="5933" w:hanging="264"/>
      </w:pPr>
      <w:rPr>
        <w:rFonts w:hint="default"/>
        <w:lang w:val="zh-CN" w:eastAsia="zh-CN" w:bidi="zh-CN"/>
      </w:rPr>
    </w:lvl>
    <w:lvl w:ilvl="6">
      <w:start w:val="0"/>
      <w:numFmt w:val="bullet"/>
      <w:lvlText w:val="•"/>
      <w:lvlJc w:val="left"/>
      <w:pPr>
        <w:ind w:left="6847" w:hanging="264"/>
      </w:pPr>
      <w:rPr>
        <w:rFonts w:hint="default"/>
        <w:lang w:val="zh-CN" w:eastAsia="zh-CN" w:bidi="zh-CN"/>
      </w:rPr>
    </w:lvl>
    <w:lvl w:ilvl="7">
      <w:start w:val="0"/>
      <w:numFmt w:val="bullet"/>
      <w:lvlText w:val="•"/>
      <w:lvlJc w:val="left"/>
      <w:pPr>
        <w:ind w:left="7762" w:hanging="264"/>
      </w:pPr>
      <w:rPr>
        <w:rFonts w:hint="default"/>
        <w:lang w:val="zh-CN" w:eastAsia="zh-CN" w:bidi="zh-CN"/>
      </w:rPr>
    </w:lvl>
    <w:lvl w:ilvl="8">
      <w:start w:val="0"/>
      <w:numFmt w:val="bullet"/>
      <w:lvlText w:val="•"/>
      <w:lvlJc w:val="left"/>
      <w:pPr>
        <w:ind w:left="8677" w:hanging="264"/>
      </w:pPr>
      <w:rPr>
        <w:rFonts w:hint="default"/>
        <w:lang w:val="zh-CN" w:eastAsia="zh-CN" w:bidi="zh-CN"/>
      </w:rPr>
    </w:lvl>
  </w:abstractNum>
  <w:abstractNum w:abstractNumId="109">
    <w:multiLevelType w:val="hybridMultilevel"/>
    <w:lvl w:ilvl="0">
      <w:start w:val="1"/>
      <w:numFmt w:val="decimal"/>
      <w:lvlText w:val="%1."/>
      <w:lvlJc w:val="left"/>
      <w:pPr>
        <w:ind w:left="1362" w:hanging="264"/>
        <w:jc w:val="left"/>
      </w:pPr>
      <w:rPr>
        <w:rFonts w:hint="default" w:ascii="Times New Roman" w:hAnsi="Times New Roman" w:eastAsia="Times New Roman" w:cs="Times New Roman"/>
        <w:w w:val="100"/>
        <w:sz w:val="21"/>
        <w:szCs w:val="21"/>
        <w:lang w:val="zh-CN" w:eastAsia="zh-CN" w:bidi="zh-CN"/>
      </w:rPr>
    </w:lvl>
    <w:lvl w:ilvl="1">
      <w:start w:val="0"/>
      <w:numFmt w:val="bullet"/>
      <w:lvlText w:val="•"/>
      <w:lvlJc w:val="left"/>
      <w:pPr>
        <w:ind w:left="2274" w:hanging="264"/>
      </w:pPr>
      <w:rPr>
        <w:rFonts w:hint="default"/>
        <w:lang w:val="zh-CN" w:eastAsia="zh-CN" w:bidi="zh-CN"/>
      </w:rPr>
    </w:lvl>
    <w:lvl w:ilvl="2">
      <w:start w:val="0"/>
      <w:numFmt w:val="bullet"/>
      <w:lvlText w:val="•"/>
      <w:lvlJc w:val="left"/>
      <w:pPr>
        <w:ind w:left="3189" w:hanging="264"/>
      </w:pPr>
      <w:rPr>
        <w:rFonts w:hint="default"/>
        <w:lang w:val="zh-CN" w:eastAsia="zh-CN" w:bidi="zh-CN"/>
      </w:rPr>
    </w:lvl>
    <w:lvl w:ilvl="3">
      <w:start w:val="0"/>
      <w:numFmt w:val="bullet"/>
      <w:lvlText w:val="•"/>
      <w:lvlJc w:val="left"/>
      <w:pPr>
        <w:ind w:left="4103" w:hanging="264"/>
      </w:pPr>
      <w:rPr>
        <w:rFonts w:hint="default"/>
        <w:lang w:val="zh-CN" w:eastAsia="zh-CN" w:bidi="zh-CN"/>
      </w:rPr>
    </w:lvl>
    <w:lvl w:ilvl="4">
      <w:start w:val="0"/>
      <w:numFmt w:val="bullet"/>
      <w:lvlText w:val="•"/>
      <w:lvlJc w:val="left"/>
      <w:pPr>
        <w:ind w:left="5018" w:hanging="264"/>
      </w:pPr>
      <w:rPr>
        <w:rFonts w:hint="default"/>
        <w:lang w:val="zh-CN" w:eastAsia="zh-CN" w:bidi="zh-CN"/>
      </w:rPr>
    </w:lvl>
    <w:lvl w:ilvl="5">
      <w:start w:val="0"/>
      <w:numFmt w:val="bullet"/>
      <w:lvlText w:val="•"/>
      <w:lvlJc w:val="left"/>
      <w:pPr>
        <w:ind w:left="5933" w:hanging="264"/>
      </w:pPr>
      <w:rPr>
        <w:rFonts w:hint="default"/>
        <w:lang w:val="zh-CN" w:eastAsia="zh-CN" w:bidi="zh-CN"/>
      </w:rPr>
    </w:lvl>
    <w:lvl w:ilvl="6">
      <w:start w:val="0"/>
      <w:numFmt w:val="bullet"/>
      <w:lvlText w:val="•"/>
      <w:lvlJc w:val="left"/>
      <w:pPr>
        <w:ind w:left="6847" w:hanging="264"/>
      </w:pPr>
      <w:rPr>
        <w:rFonts w:hint="default"/>
        <w:lang w:val="zh-CN" w:eastAsia="zh-CN" w:bidi="zh-CN"/>
      </w:rPr>
    </w:lvl>
    <w:lvl w:ilvl="7">
      <w:start w:val="0"/>
      <w:numFmt w:val="bullet"/>
      <w:lvlText w:val="•"/>
      <w:lvlJc w:val="left"/>
      <w:pPr>
        <w:ind w:left="7762" w:hanging="264"/>
      </w:pPr>
      <w:rPr>
        <w:rFonts w:hint="default"/>
        <w:lang w:val="zh-CN" w:eastAsia="zh-CN" w:bidi="zh-CN"/>
      </w:rPr>
    </w:lvl>
    <w:lvl w:ilvl="8">
      <w:start w:val="0"/>
      <w:numFmt w:val="bullet"/>
      <w:lvlText w:val="•"/>
      <w:lvlJc w:val="left"/>
      <w:pPr>
        <w:ind w:left="8677" w:hanging="264"/>
      </w:pPr>
      <w:rPr>
        <w:rFonts w:hint="default"/>
        <w:lang w:val="zh-CN" w:eastAsia="zh-CN" w:bidi="zh-CN"/>
      </w:rPr>
    </w:lvl>
  </w:abstractNum>
  <w:abstractNum w:abstractNumId="108">
    <w:multiLevelType w:val="hybridMultilevel"/>
    <w:lvl w:ilvl="0">
      <w:start w:val="1"/>
      <w:numFmt w:val="decimal"/>
      <w:lvlText w:val="%1."/>
      <w:lvlJc w:val="left"/>
      <w:pPr>
        <w:ind w:left="1415" w:hanging="318"/>
        <w:jc w:val="left"/>
      </w:pPr>
      <w:rPr>
        <w:rFonts w:hint="default" w:ascii="Times New Roman" w:hAnsi="Times New Roman" w:eastAsia="Times New Roman" w:cs="Times New Roman"/>
        <w:w w:val="100"/>
        <w:sz w:val="19"/>
        <w:szCs w:val="19"/>
        <w:lang w:val="zh-CN" w:eastAsia="zh-CN" w:bidi="zh-CN"/>
      </w:rPr>
    </w:lvl>
    <w:lvl w:ilvl="1">
      <w:start w:val="1"/>
      <w:numFmt w:val="decimal"/>
      <w:lvlText w:val="%2."/>
      <w:lvlJc w:val="left"/>
      <w:pPr>
        <w:ind w:left="783" w:hanging="318"/>
        <w:jc w:val="right"/>
      </w:pPr>
      <w:rPr>
        <w:rFonts w:hint="default" w:ascii="Times New Roman" w:hAnsi="Times New Roman" w:eastAsia="Times New Roman" w:cs="Times New Roman"/>
        <w:spacing w:val="-20"/>
        <w:w w:val="100"/>
        <w:sz w:val="19"/>
        <w:szCs w:val="19"/>
        <w:lang w:val="zh-CN" w:eastAsia="zh-CN" w:bidi="zh-CN"/>
      </w:rPr>
    </w:lvl>
    <w:lvl w:ilvl="2">
      <w:start w:val="0"/>
      <w:numFmt w:val="bullet"/>
      <w:lvlText w:val="•"/>
      <w:lvlJc w:val="left"/>
      <w:pPr>
        <w:ind w:left="2429" w:hanging="318"/>
      </w:pPr>
      <w:rPr>
        <w:rFonts w:hint="default"/>
        <w:lang w:val="zh-CN" w:eastAsia="zh-CN" w:bidi="zh-CN"/>
      </w:rPr>
    </w:lvl>
    <w:lvl w:ilvl="3">
      <w:start w:val="0"/>
      <w:numFmt w:val="bullet"/>
      <w:lvlText w:val="•"/>
      <w:lvlJc w:val="left"/>
      <w:pPr>
        <w:ind w:left="3439" w:hanging="318"/>
      </w:pPr>
      <w:rPr>
        <w:rFonts w:hint="default"/>
        <w:lang w:val="zh-CN" w:eastAsia="zh-CN" w:bidi="zh-CN"/>
      </w:rPr>
    </w:lvl>
    <w:lvl w:ilvl="4">
      <w:start w:val="0"/>
      <w:numFmt w:val="bullet"/>
      <w:lvlText w:val="•"/>
      <w:lvlJc w:val="left"/>
      <w:pPr>
        <w:ind w:left="4448" w:hanging="318"/>
      </w:pPr>
      <w:rPr>
        <w:rFonts w:hint="default"/>
        <w:lang w:val="zh-CN" w:eastAsia="zh-CN" w:bidi="zh-CN"/>
      </w:rPr>
    </w:lvl>
    <w:lvl w:ilvl="5">
      <w:start w:val="0"/>
      <w:numFmt w:val="bullet"/>
      <w:lvlText w:val="•"/>
      <w:lvlJc w:val="left"/>
      <w:pPr>
        <w:ind w:left="5458" w:hanging="318"/>
      </w:pPr>
      <w:rPr>
        <w:rFonts w:hint="default"/>
        <w:lang w:val="zh-CN" w:eastAsia="zh-CN" w:bidi="zh-CN"/>
      </w:rPr>
    </w:lvl>
    <w:lvl w:ilvl="6">
      <w:start w:val="0"/>
      <w:numFmt w:val="bullet"/>
      <w:lvlText w:val="•"/>
      <w:lvlJc w:val="left"/>
      <w:pPr>
        <w:ind w:left="6468" w:hanging="318"/>
      </w:pPr>
      <w:rPr>
        <w:rFonts w:hint="default"/>
        <w:lang w:val="zh-CN" w:eastAsia="zh-CN" w:bidi="zh-CN"/>
      </w:rPr>
    </w:lvl>
    <w:lvl w:ilvl="7">
      <w:start w:val="0"/>
      <w:numFmt w:val="bullet"/>
      <w:lvlText w:val="•"/>
      <w:lvlJc w:val="left"/>
      <w:pPr>
        <w:ind w:left="7477" w:hanging="318"/>
      </w:pPr>
      <w:rPr>
        <w:rFonts w:hint="default"/>
        <w:lang w:val="zh-CN" w:eastAsia="zh-CN" w:bidi="zh-CN"/>
      </w:rPr>
    </w:lvl>
    <w:lvl w:ilvl="8">
      <w:start w:val="0"/>
      <w:numFmt w:val="bullet"/>
      <w:lvlText w:val="•"/>
      <w:lvlJc w:val="left"/>
      <w:pPr>
        <w:ind w:left="8487" w:hanging="318"/>
      </w:pPr>
      <w:rPr>
        <w:rFonts w:hint="default"/>
        <w:lang w:val="zh-CN" w:eastAsia="zh-CN" w:bidi="zh-CN"/>
      </w:rPr>
    </w:lvl>
  </w:abstractNum>
  <w:abstractNum w:abstractNumId="107">
    <w:multiLevelType w:val="hybridMultilevel"/>
    <w:lvl w:ilvl="0">
      <w:start w:val="1"/>
      <w:numFmt w:val="decimal"/>
      <w:lvlText w:val="（%1）"/>
      <w:lvlJc w:val="left"/>
      <w:pPr>
        <w:ind w:left="678"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662" w:hanging="529"/>
      </w:pPr>
      <w:rPr>
        <w:rFonts w:hint="default"/>
        <w:lang w:val="zh-CN" w:eastAsia="zh-CN" w:bidi="zh-CN"/>
      </w:rPr>
    </w:lvl>
    <w:lvl w:ilvl="2">
      <w:start w:val="0"/>
      <w:numFmt w:val="bullet"/>
      <w:lvlText w:val="•"/>
      <w:lvlJc w:val="left"/>
      <w:pPr>
        <w:ind w:left="2645" w:hanging="529"/>
      </w:pPr>
      <w:rPr>
        <w:rFonts w:hint="default"/>
        <w:lang w:val="zh-CN" w:eastAsia="zh-CN" w:bidi="zh-CN"/>
      </w:rPr>
    </w:lvl>
    <w:lvl w:ilvl="3">
      <w:start w:val="0"/>
      <w:numFmt w:val="bullet"/>
      <w:lvlText w:val="•"/>
      <w:lvlJc w:val="left"/>
      <w:pPr>
        <w:ind w:left="3627" w:hanging="529"/>
      </w:pPr>
      <w:rPr>
        <w:rFonts w:hint="default"/>
        <w:lang w:val="zh-CN" w:eastAsia="zh-CN" w:bidi="zh-CN"/>
      </w:rPr>
    </w:lvl>
    <w:lvl w:ilvl="4">
      <w:start w:val="0"/>
      <w:numFmt w:val="bullet"/>
      <w:lvlText w:val="•"/>
      <w:lvlJc w:val="left"/>
      <w:pPr>
        <w:ind w:left="4610" w:hanging="529"/>
      </w:pPr>
      <w:rPr>
        <w:rFonts w:hint="default"/>
        <w:lang w:val="zh-CN" w:eastAsia="zh-CN" w:bidi="zh-CN"/>
      </w:rPr>
    </w:lvl>
    <w:lvl w:ilvl="5">
      <w:start w:val="0"/>
      <w:numFmt w:val="bullet"/>
      <w:lvlText w:val="•"/>
      <w:lvlJc w:val="left"/>
      <w:pPr>
        <w:ind w:left="5593" w:hanging="529"/>
      </w:pPr>
      <w:rPr>
        <w:rFonts w:hint="default"/>
        <w:lang w:val="zh-CN" w:eastAsia="zh-CN" w:bidi="zh-CN"/>
      </w:rPr>
    </w:lvl>
    <w:lvl w:ilvl="6">
      <w:start w:val="0"/>
      <w:numFmt w:val="bullet"/>
      <w:lvlText w:val="•"/>
      <w:lvlJc w:val="left"/>
      <w:pPr>
        <w:ind w:left="6575" w:hanging="529"/>
      </w:pPr>
      <w:rPr>
        <w:rFonts w:hint="default"/>
        <w:lang w:val="zh-CN" w:eastAsia="zh-CN" w:bidi="zh-CN"/>
      </w:rPr>
    </w:lvl>
    <w:lvl w:ilvl="7">
      <w:start w:val="0"/>
      <w:numFmt w:val="bullet"/>
      <w:lvlText w:val="•"/>
      <w:lvlJc w:val="left"/>
      <w:pPr>
        <w:ind w:left="7558" w:hanging="529"/>
      </w:pPr>
      <w:rPr>
        <w:rFonts w:hint="default"/>
        <w:lang w:val="zh-CN" w:eastAsia="zh-CN" w:bidi="zh-CN"/>
      </w:rPr>
    </w:lvl>
    <w:lvl w:ilvl="8">
      <w:start w:val="0"/>
      <w:numFmt w:val="bullet"/>
      <w:lvlText w:val="•"/>
      <w:lvlJc w:val="left"/>
      <w:pPr>
        <w:ind w:left="8541" w:hanging="529"/>
      </w:pPr>
      <w:rPr>
        <w:rFonts w:hint="default"/>
        <w:lang w:val="zh-CN" w:eastAsia="zh-CN" w:bidi="zh-CN"/>
      </w:rPr>
    </w:lvl>
  </w:abstractNum>
  <w:abstractNum w:abstractNumId="106">
    <w:multiLevelType w:val="hybridMultilevel"/>
    <w:lvl w:ilvl="0">
      <w:start w:val="20"/>
      <w:numFmt w:val="decimal"/>
      <w:lvlText w:val="%1"/>
      <w:lvlJc w:val="left"/>
      <w:pPr>
        <w:ind w:left="1150" w:hanging="473"/>
        <w:jc w:val="left"/>
      </w:pPr>
      <w:rPr>
        <w:rFonts w:hint="default"/>
        <w:lang w:val="zh-CN" w:eastAsia="zh-CN" w:bidi="zh-CN"/>
      </w:rPr>
    </w:lvl>
    <w:lvl w:ilvl="1">
      <w:start w:val="3"/>
      <w:numFmt w:val="decimal"/>
      <w:lvlText w:val="%1.%2"/>
      <w:lvlJc w:val="left"/>
      <w:pPr>
        <w:ind w:left="1150" w:hanging="473"/>
        <w:jc w:val="left"/>
      </w:pPr>
      <w:rPr>
        <w:rFonts w:hint="default" w:ascii="Times New Roman" w:hAnsi="Times New Roman" w:eastAsia="Times New Roman" w:cs="Times New Roman"/>
        <w:b/>
        <w:bCs/>
        <w:w w:val="100"/>
        <w:sz w:val="21"/>
        <w:szCs w:val="21"/>
        <w:lang w:val="zh-CN" w:eastAsia="zh-CN" w:bidi="zh-CN"/>
      </w:rPr>
    </w:lvl>
    <w:lvl w:ilvl="2">
      <w:start w:val="1"/>
      <w:numFmt w:val="decimal"/>
      <w:lvlText w:val="%1.%2.%3"/>
      <w:lvlJc w:val="left"/>
      <w:pPr>
        <w:ind w:left="1729" w:hanging="632"/>
        <w:jc w:val="left"/>
      </w:pPr>
      <w:rPr>
        <w:rFonts w:hint="default" w:ascii="Times New Roman" w:hAnsi="Times New Roman" w:eastAsia="Times New Roman" w:cs="Times New Roman"/>
        <w:w w:val="100"/>
        <w:sz w:val="21"/>
        <w:szCs w:val="21"/>
        <w:lang w:val="zh-CN" w:eastAsia="zh-CN" w:bidi="zh-CN"/>
      </w:rPr>
    </w:lvl>
    <w:lvl w:ilvl="3">
      <w:start w:val="0"/>
      <w:numFmt w:val="bullet"/>
      <w:lvlText w:val="•"/>
      <w:lvlJc w:val="left"/>
      <w:pPr>
        <w:ind w:left="3672" w:hanging="632"/>
      </w:pPr>
      <w:rPr>
        <w:rFonts w:hint="default"/>
        <w:lang w:val="zh-CN" w:eastAsia="zh-CN" w:bidi="zh-CN"/>
      </w:rPr>
    </w:lvl>
    <w:lvl w:ilvl="4">
      <w:start w:val="0"/>
      <w:numFmt w:val="bullet"/>
      <w:lvlText w:val="•"/>
      <w:lvlJc w:val="left"/>
      <w:pPr>
        <w:ind w:left="4648" w:hanging="632"/>
      </w:pPr>
      <w:rPr>
        <w:rFonts w:hint="default"/>
        <w:lang w:val="zh-CN" w:eastAsia="zh-CN" w:bidi="zh-CN"/>
      </w:rPr>
    </w:lvl>
    <w:lvl w:ilvl="5">
      <w:start w:val="0"/>
      <w:numFmt w:val="bullet"/>
      <w:lvlText w:val="•"/>
      <w:lvlJc w:val="left"/>
      <w:pPr>
        <w:ind w:left="5625" w:hanging="632"/>
      </w:pPr>
      <w:rPr>
        <w:rFonts w:hint="default"/>
        <w:lang w:val="zh-CN" w:eastAsia="zh-CN" w:bidi="zh-CN"/>
      </w:rPr>
    </w:lvl>
    <w:lvl w:ilvl="6">
      <w:start w:val="0"/>
      <w:numFmt w:val="bullet"/>
      <w:lvlText w:val="•"/>
      <w:lvlJc w:val="left"/>
      <w:pPr>
        <w:ind w:left="6601" w:hanging="632"/>
      </w:pPr>
      <w:rPr>
        <w:rFonts w:hint="default"/>
        <w:lang w:val="zh-CN" w:eastAsia="zh-CN" w:bidi="zh-CN"/>
      </w:rPr>
    </w:lvl>
    <w:lvl w:ilvl="7">
      <w:start w:val="0"/>
      <w:numFmt w:val="bullet"/>
      <w:lvlText w:val="•"/>
      <w:lvlJc w:val="left"/>
      <w:pPr>
        <w:ind w:left="7577" w:hanging="632"/>
      </w:pPr>
      <w:rPr>
        <w:rFonts w:hint="default"/>
        <w:lang w:val="zh-CN" w:eastAsia="zh-CN" w:bidi="zh-CN"/>
      </w:rPr>
    </w:lvl>
    <w:lvl w:ilvl="8">
      <w:start w:val="0"/>
      <w:numFmt w:val="bullet"/>
      <w:lvlText w:val="•"/>
      <w:lvlJc w:val="left"/>
      <w:pPr>
        <w:ind w:left="8553" w:hanging="632"/>
      </w:pPr>
      <w:rPr>
        <w:rFonts w:hint="default"/>
        <w:lang w:val="zh-CN" w:eastAsia="zh-CN" w:bidi="zh-CN"/>
      </w:rPr>
    </w:lvl>
  </w:abstractNum>
  <w:abstractNum w:abstractNumId="105">
    <w:multiLevelType w:val="hybridMultilevel"/>
    <w:lvl w:ilvl="0">
      <w:start w:val="1"/>
      <w:numFmt w:val="decimal"/>
      <w:lvlText w:val="（%1）"/>
      <w:lvlJc w:val="left"/>
      <w:pPr>
        <w:ind w:left="1627"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2508" w:hanging="529"/>
      </w:pPr>
      <w:rPr>
        <w:rFonts w:hint="default"/>
        <w:lang w:val="zh-CN" w:eastAsia="zh-CN" w:bidi="zh-CN"/>
      </w:rPr>
    </w:lvl>
    <w:lvl w:ilvl="2">
      <w:start w:val="0"/>
      <w:numFmt w:val="bullet"/>
      <w:lvlText w:val="•"/>
      <w:lvlJc w:val="left"/>
      <w:pPr>
        <w:ind w:left="3397" w:hanging="529"/>
      </w:pPr>
      <w:rPr>
        <w:rFonts w:hint="default"/>
        <w:lang w:val="zh-CN" w:eastAsia="zh-CN" w:bidi="zh-CN"/>
      </w:rPr>
    </w:lvl>
    <w:lvl w:ilvl="3">
      <w:start w:val="0"/>
      <w:numFmt w:val="bullet"/>
      <w:lvlText w:val="•"/>
      <w:lvlJc w:val="left"/>
      <w:pPr>
        <w:ind w:left="4285" w:hanging="529"/>
      </w:pPr>
      <w:rPr>
        <w:rFonts w:hint="default"/>
        <w:lang w:val="zh-CN" w:eastAsia="zh-CN" w:bidi="zh-CN"/>
      </w:rPr>
    </w:lvl>
    <w:lvl w:ilvl="4">
      <w:start w:val="0"/>
      <w:numFmt w:val="bullet"/>
      <w:lvlText w:val="•"/>
      <w:lvlJc w:val="left"/>
      <w:pPr>
        <w:ind w:left="5174" w:hanging="529"/>
      </w:pPr>
      <w:rPr>
        <w:rFonts w:hint="default"/>
        <w:lang w:val="zh-CN" w:eastAsia="zh-CN" w:bidi="zh-CN"/>
      </w:rPr>
    </w:lvl>
    <w:lvl w:ilvl="5">
      <w:start w:val="0"/>
      <w:numFmt w:val="bullet"/>
      <w:lvlText w:val="•"/>
      <w:lvlJc w:val="left"/>
      <w:pPr>
        <w:ind w:left="6063" w:hanging="529"/>
      </w:pPr>
      <w:rPr>
        <w:rFonts w:hint="default"/>
        <w:lang w:val="zh-CN" w:eastAsia="zh-CN" w:bidi="zh-CN"/>
      </w:rPr>
    </w:lvl>
    <w:lvl w:ilvl="6">
      <w:start w:val="0"/>
      <w:numFmt w:val="bullet"/>
      <w:lvlText w:val="•"/>
      <w:lvlJc w:val="left"/>
      <w:pPr>
        <w:ind w:left="6951" w:hanging="529"/>
      </w:pPr>
      <w:rPr>
        <w:rFonts w:hint="default"/>
        <w:lang w:val="zh-CN" w:eastAsia="zh-CN" w:bidi="zh-CN"/>
      </w:rPr>
    </w:lvl>
    <w:lvl w:ilvl="7">
      <w:start w:val="0"/>
      <w:numFmt w:val="bullet"/>
      <w:lvlText w:val="•"/>
      <w:lvlJc w:val="left"/>
      <w:pPr>
        <w:ind w:left="7840" w:hanging="529"/>
      </w:pPr>
      <w:rPr>
        <w:rFonts w:hint="default"/>
        <w:lang w:val="zh-CN" w:eastAsia="zh-CN" w:bidi="zh-CN"/>
      </w:rPr>
    </w:lvl>
    <w:lvl w:ilvl="8">
      <w:start w:val="0"/>
      <w:numFmt w:val="bullet"/>
      <w:lvlText w:val="•"/>
      <w:lvlJc w:val="left"/>
      <w:pPr>
        <w:ind w:left="8729" w:hanging="529"/>
      </w:pPr>
      <w:rPr>
        <w:rFonts w:hint="default"/>
        <w:lang w:val="zh-CN" w:eastAsia="zh-CN" w:bidi="zh-CN"/>
      </w:rPr>
    </w:lvl>
  </w:abstractNum>
  <w:abstractNum w:abstractNumId="104">
    <w:multiLevelType w:val="hybridMultilevel"/>
    <w:lvl w:ilvl="0">
      <w:start w:val="1"/>
      <w:numFmt w:val="decimal"/>
      <w:lvlText w:val="(%1)"/>
      <w:lvlJc w:val="left"/>
      <w:pPr>
        <w:ind w:left="1344" w:hanging="247"/>
        <w:jc w:val="left"/>
      </w:pPr>
      <w:rPr>
        <w:rFonts w:hint="default" w:ascii="Times New Roman" w:hAnsi="Times New Roman" w:eastAsia="Times New Roman" w:cs="Times New Roman"/>
        <w:spacing w:val="-1"/>
        <w:w w:val="100"/>
        <w:sz w:val="19"/>
        <w:szCs w:val="19"/>
        <w:lang w:val="zh-CN" w:eastAsia="zh-CN" w:bidi="zh-CN"/>
      </w:rPr>
    </w:lvl>
    <w:lvl w:ilvl="1">
      <w:start w:val="0"/>
      <w:numFmt w:val="bullet"/>
      <w:lvlText w:val="•"/>
      <w:lvlJc w:val="left"/>
      <w:pPr>
        <w:ind w:left="2256" w:hanging="247"/>
      </w:pPr>
      <w:rPr>
        <w:rFonts w:hint="default"/>
        <w:lang w:val="zh-CN" w:eastAsia="zh-CN" w:bidi="zh-CN"/>
      </w:rPr>
    </w:lvl>
    <w:lvl w:ilvl="2">
      <w:start w:val="0"/>
      <w:numFmt w:val="bullet"/>
      <w:lvlText w:val="•"/>
      <w:lvlJc w:val="left"/>
      <w:pPr>
        <w:ind w:left="3173" w:hanging="247"/>
      </w:pPr>
      <w:rPr>
        <w:rFonts w:hint="default"/>
        <w:lang w:val="zh-CN" w:eastAsia="zh-CN" w:bidi="zh-CN"/>
      </w:rPr>
    </w:lvl>
    <w:lvl w:ilvl="3">
      <w:start w:val="0"/>
      <w:numFmt w:val="bullet"/>
      <w:lvlText w:val="•"/>
      <w:lvlJc w:val="left"/>
      <w:pPr>
        <w:ind w:left="4089" w:hanging="247"/>
      </w:pPr>
      <w:rPr>
        <w:rFonts w:hint="default"/>
        <w:lang w:val="zh-CN" w:eastAsia="zh-CN" w:bidi="zh-CN"/>
      </w:rPr>
    </w:lvl>
    <w:lvl w:ilvl="4">
      <w:start w:val="0"/>
      <w:numFmt w:val="bullet"/>
      <w:lvlText w:val="•"/>
      <w:lvlJc w:val="left"/>
      <w:pPr>
        <w:ind w:left="5006" w:hanging="247"/>
      </w:pPr>
      <w:rPr>
        <w:rFonts w:hint="default"/>
        <w:lang w:val="zh-CN" w:eastAsia="zh-CN" w:bidi="zh-CN"/>
      </w:rPr>
    </w:lvl>
    <w:lvl w:ilvl="5">
      <w:start w:val="0"/>
      <w:numFmt w:val="bullet"/>
      <w:lvlText w:val="•"/>
      <w:lvlJc w:val="left"/>
      <w:pPr>
        <w:ind w:left="5923" w:hanging="247"/>
      </w:pPr>
      <w:rPr>
        <w:rFonts w:hint="default"/>
        <w:lang w:val="zh-CN" w:eastAsia="zh-CN" w:bidi="zh-CN"/>
      </w:rPr>
    </w:lvl>
    <w:lvl w:ilvl="6">
      <w:start w:val="0"/>
      <w:numFmt w:val="bullet"/>
      <w:lvlText w:val="•"/>
      <w:lvlJc w:val="left"/>
      <w:pPr>
        <w:ind w:left="6839" w:hanging="247"/>
      </w:pPr>
      <w:rPr>
        <w:rFonts w:hint="default"/>
        <w:lang w:val="zh-CN" w:eastAsia="zh-CN" w:bidi="zh-CN"/>
      </w:rPr>
    </w:lvl>
    <w:lvl w:ilvl="7">
      <w:start w:val="0"/>
      <w:numFmt w:val="bullet"/>
      <w:lvlText w:val="•"/>
      <w:lvlJc w:val="left"/>
      <w:pPr>
        <w:ind w:left="7756" w:hanging="247"/>
      </w:pPr>
      <w:rPr>
        <w:rFonts w:hint="default"/>
        <w:lang w:val="zh-CN" w:eastAsia="zh-CN" w:bidi="zh-CN"/>
      </w:rPr>
    </w:lvl>
    <w:lvl w:ilvl="8">
      <w:start w:val="0"/>
      <w:numFmt w:val="bullet"/>
      <w:lvlText w:val="•"/>
      <w:lvlJc w:val="left"/>
      <w:pPr>
        <w:ind w:left="8673" w:hanging="247"/>
      </w:pPr>
      <w:rPr>
        <w:rFonts w:hint="default"/>
        <w:lang w:val="zh-CN" w:eastAsia="zh-CN" w:bidi="zh-CN"/>
      </w:rPr>
    </w:lvl>
  </w:abstractNum>
  <w:abstractNum w:abstractNumId="103">
    <w:multiLevelType w:val="hybridMultilevel"/>
    <w:lvl w:ilvl="0">
      <w:start w:val="1"/>
      <w:numFmt w:val="decimal"/>
      <w:lvlText w:val="（%1）"/>
      <w:lvlJc w:val="left"/>
      <w:pPr>
        <w:ind w:left="678"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662" w:hanging="529"/>
      </w:pPr>
      <w:rPr>
        <w:rFonts w:hint="default"/>
        <w:lang w:val="zh-CN" w:eastAsia="zh-CN" w:bidi="zh-CN"/>
      </w:rPr>
    </w:lvl>
    <w:lvl w:ilvl="2">
      <w:start w:val="0"/>
      <w:numFmt w:val="bullet"/>
      <w:lvlText w:val="•"/>
      <w:lvlJc w:val="left"/>
      <w:pPr>
        <w:ind w:left="2645" w:hanging="529"/>
      </w:pPr>
      <w:rPr>
        <w:rFonts w:hint="default"/>
        <w:lang w:val="zh-CN" w:eastAsia="zh-CN" w:bidi="zh-CN"/>
      </w:rPr>
    </w:lvl>
    <w:lvl w:ilvl="3">
      <w:start w:val="0"/>
      <w:numFmt w:val="bullet"/>
      <w:lvlText w:val="•"/>
      <w:lvlJc w:val="left"/>
      <w:pPr>
        <w:ind w:left="3627" w:hanging="529"/>
      </w:pPr>
      <w:rPr>
        <w:rFonts w:hint="default"/>
        <w:lang w:val="zh-CN" w:eastAsia="zh-CN" w:bidi="zh-CN"/>
      </w:rPr>
    </w:lvl>
    <w:lvl w:ilvl="4">
      <w:start w:val="0"/>
      <w:numFmt w:val="bullet"/>
      <w:lvlText w:val="•"/>
      <w:lvlJc w:val="left"/>
      <w:pPr>
        <w:ind w:left="4610" w:hanging="529"/>
      </w:pPr>
      <w:rPr>
        <w:rFonts w:hint="default"/>
        <w:lang w:val="zh-CN" w:eastAsia="zh-CN" w:bidi="zh-CN"/>
      </w:rPr>
    </w:lvl>
    <w:lvl w:ilvl="5">
      <w:start w:val="0"/>
      <w:numFmt w:val="bullet"/>
      <w:lvlText w:val="•"/>
      <w:lvlJc w:val="left"/>
      <w:pPr>
        <w:ind w:left="5593" w:hanging="529"/>
      </w:pPr>
      <w:rPr>
        <w:rFonts w:hint="default"/>
        <w:lang w:val="zh-CN" w:eastAsia="zh-CN" w:bidi="zh-CN"/>
      </w:rPr>
    </w:lvl>
    <w:lvl w:ilvl="6">
      <w:start w:val="0"/>
      <w:numFmt w:val="bullet"/>
      <w:lvlText w:val="•"/>
      <w:lvlJc w:val="left"/>
      <w:pPr>
        <w:ind w:left="6575" w:hanging="529"/>
      </w:pPr>
      <w:rPr>
        <w:rFonts w:hint="default"/>
        <w:lang w:val="zh-CN" w:eastAsia="zh-CN" w:bidi="zh-CN"/>
      </w:rPr>
    </w:lvl>
    <w:lvl w:ilvl="7">
      <w:start w:val="0"/>
      <w:numFmt w:val="bullet"/>
      <w:lvlText w:val="•"/>
      <w:lvlJc w:val="left"/>
      <w:pPr>
        <w:ind w:left="7558" w:hanging="529"/>
      </w:pPr>
      <w:rPr>
        <w:rFonts w:hint="default"/>
        <w:lang w:val="zh-CN" w:eastAsia="zh-CN" w:bidi="zh-CN"/>
      </w:rPr>
    </w:lvl>
    <w:lvl w:ilvl="8">
      <w:start w:val="0"/>
      <w:numFmt w:val="bullet"/>
      <w:lvlText w:val="•"/>
      <w:lvlJc w:val="left"/>
      <w:pPr>
        <w:ind w:left="8541" w:hanging="529"/>
      </w:pPr>
      <w:rPr>
        <w:rFonts w:hint="default"/>
        <w:lang w:val="zh-CN" w:eastAsia="zh-CN" w:bidi="zh-CN"/>
      </w:rPr>
    </w:lvl>
  </w:abstractNum>
  <w:abstractNum w:abstractNumId="102">
    <w:multiLevelType w:val="hybridMultilevel"/>
    <w:lvl w:ilvl="0">
      <w:start w:val="1"/>
      <w:numFmt w:val="decimal"/>
      <w:lvlText w:val="（%1）"/>
      <w:lvlJc w:val="left"/>
      <w:pPr>
        <w:ind w:left="1627" w:hanging="529"/>
        <w:jc w:val="left"/>
      </w:pPr>
      <w:rPr>
        <w:rFonts w:hint="default" w:ascii="宋体" w:hAnsi="宋体" w:eastAsia="宋体" w:cs="宋体"/>
        <w:spacing w:val="-106"/>
        <w:w w:val="100"/>
        <w:sz w:val="19"/>
        <w:szCs w:val="19"/>
        <w:lang w:val="zh-CN" w:eastAsia="zh-CN" w:bidi="zh-CN"/>
      </w:rPr>
    </w:lvl>
    <w:lvl w:ilvl="1">
      <w:start w:val="0"/>
      <w:numFmt w:val="bullet"/>
      <w:lvlText w:val="•"/>
      <w:lvlJc w:val="left"/>
      <w:pPr>
        <w:ind w:left="2508" w:hanging="529"/>
      </w:pPr>
      <w:rPr>
        <w:rFonts w:hint="default"/>
        <w:lang w:val="zh-CN" w:eastAsia="zh-CN" w:bidi="zh-CN"/>
      </w:rPr>
    </w:lvl>
    <w:lvl w:ilvl="2">
      <w:start w:val="0"/>
      <w:numFmt w:val="bullet"/>
      <w:lvlText w:val="•"/>
      <w:lvlJc w:val="left"/>
      <w:pPr>
        <w:ind w:left="3397" w:hanging="529"/>
      </w:pPr>
      <w:rPr>
        <w:rFonts w:hint="default"/>
        <w:lang w:val="zh-CN" w:eastAsia="zh-CN" w:bidi="zh-CN"/>
      </w:rPr>
    </w:lvl>
    <w:lvl w:ilvl="3">
      <w:start w:val="0"/>
      <w:numFmt w:val="bullet"/>
      <w:lvlText w:val="•"/>
      <w:lvlJc w:val="left"/>
      <w:pPr>
        <w:ind w:left="4285" w:hanging="529"/>
      </w:pPr>
      <w:rPr>
        <w:rFonts w:hint="default"/>
        <w:lang w:val="zh-CN" w:eastAsia="zh-CN" w:bidi="zh-CN"/>
      </w:rPr>
    </w:lvl>
    <w:lvl w:ilvl="4">
      <w:start w:val="0"/>
      <w:numFmt w:val="bullet"/>
      <w:lvlText w:val="•"/>
      <w:lvlJc w:val="left"/>
      <w:pPr>
        <w:ind w:left="5174" w:hanging="529"/>
      </w:pPr>
      <w:rPr>
        <w:rFonts w:hint="default"/>
        <w:lang w:val="zh-CN" w:eastAsia="zh-CN" w:bidi="zh-CN"/>
      </w:rPr>
    </w:lvl>
    <w:lvl w:ilvl="5">
      <w:start w:val="0"/>
      <w:numFmt w:val="bullet"/>
      <w:lvlText w:val="•"/>
      <w:lvlJc w:val="left"/>
      <w:pPr>
        <w:ind w:left="6063" w:hanging="529"/>
      </w:pPr>
      <w:rPr>
        <w:rFonts w:hint="default"/>
        <w:lang w:val="zh-CN" w:eastAsia="zh-CN" w:bidi="zh-CN"/>
      </w:rPr>
    </w:lvl>
    <w:lvl w:ilvl="6">
      <w:start w:val="0"/>
      <w:numFmt w:val="bullet"/>
      <w:lvlText w:val="•"/>
      <w:lvlJc w:val="left"/>
      <w:pPr>
        <w:ind w:left="6951" w:hanging="529"/>
      </w:pPr>
      <w:rPr>
        <w:rFonts w:hint="default"/>
        <w:lang w:val="zh-CN" w:eastAsia="zh-CN" w:bidi="zh-CN"/>
      </w:rPr>
    </w:lvl>
    <w:lvl w:ilvl="7">
      <w:start w:val="0"/>
      <w:numFmt w:val="bullet"/>
      <w:lvlText w:val="•"/>
      <w:lvlJc w:val="left"/>
      <w:pPr>
        <w:ind w:left="7840" w:hanging="529"/>
      </w:pPr>
      <w:rPr>
        <w:rFonts w:hint="default"/>
        <w:lang w:val="zh-CN" w:eastAsia="zh-CN" w:bidi="zh-CN"/>
      </w:rPr>
    </w:lvl>
    <w:lvl w:ilvl="8">
      <w:start w:val="0"/>
      <w:numFmt w:val="bullet"/>
      <w:lvlText w:val="•"/>
      <w:lvlJc w:val="left"/>
      <w:pPr>
        <w:ind w:left="8729" w:hanging="529"/>
      </w:pPr>
      <w:rPr>
        <w:rFonts w:hint="default"/>
        <w:lang w:val="zh-CN" w:eastAsia="zh-CN" w:bidi="zh-CN"/>
      </w:rPr>
    </w:lvl>
  </w:abstractNum>
  <w:abstractNum w:abstractNumId="101">
    <w:multiLevelType w:val="hybridMultilevel"/>
    <w:lvl w:ilvl="0">
      <w:start w:val="1"/>
      <w:numFmt w:val="decimal"/>
      <w:lvlText w:val="（%1）"/>
      <w:lvlJc w:val="left"/>
      <w:pPr>
        <w:ind w:left="678" w:hanging="529"/>
        <w:jc w:val="left"/>
      </w:pPr>
      <w:rPr>
        <w:rFonts w:hint="default" w:ascii="宋体" w:hAnsi="宋体" w:eastAsia="宋体" w:cs="宋体"/>
        <w:spacing w:val="-17"/>
        <w:w w:val="100"/>
        <w:sz w:val="19"/>
        <w:szCs w:val="19"/>
        <w:lang w:val="zh-CN" w:eastAsia="zh-CN" w:bidi="zh-CN"/>
      </w:rPr>
    </w:lvl>
    <w:lvl w:ilvl="1">
      <w:start w:val="0"/>
      <w:numFmt w:val="bullet"/>
      <w:lvlText w:val="•"/>
      <w:lvlJc w:val="left"/>
      <w:pPr>
        <w:ind w:left="1662" w:hanging="529"/>
      </w:pPr>
      <w:rPr>
        <w:rFonts w:hint="default"/>
        <w:lang w:val="zh-CN" w:eastAsia="zh-CN" w:bidi="zh-CN"/>
      </w:rPr>
    </w:lvl>
    <w:lvl w:ilvl="2">
      <w:start w:val="0"/>
      <w:numFmt w:val="bullet"/>
      <w:lvlText w:val="•"/>
      <w:lvlJc w:val="left"/>
      <w:pPr>
        <w:ind w:left="2645" w:hanging="529"/>
      </w:pPr>
      <w:rPr>
        <w:rFonts w:hint="default"/>
        <w:lang w:val="zh-CN" w:eastAsia="zh-CN" w:bidi="zh-CN"/>
      </w:rPr>
    </w:lvl>
    <w:lvl w:ilvl="3">
      <w:start w:val="0"/>
      <w:numFmt w:val="bullet"/>
      <w:lvlText w:val="•"/>
      <w:lvlJc w:val="left"/>
      <w:pPr>
        <w:ind w:left="3627" w:hanging="529"/>
      </w:pPr>
      <w:rPr>
        <w:rFonts w:hint="default"/>
        <w:lang w:val="zh-CN" w:eastAsia="zh-CN" w:bidi="zh-CN"/>
      </w:rPr>
    </w:lvl>
    <w:lvl w:ilvl="4">
      <w:start w:val="0"/>
      <w:numFmt w:val="bullet"/>
      <w:lvlText w:val="•"/>
      <w:lvlJc w:val="left"/>
      <w:pPr>
        <w:ind w:left="4610" w:hanging="529"/>
      </w:pPr>
      <w:rPr>
        <w:rFonts w:hint="default"/>
        <w:lang w:val="zh-CN" w:eastAsia="zh-CN" w:bidi="zh-CN"/>
      </w:rPr>
    </w:lvl>
    <w:lvl w:ilvl="5">
      <w:start w:val="0"/>
      <w:numFmt w:val="bullet"/>
      <w:lvlText w:val="•"/>
      <w:lvlJc w:val="left"/>
      <w:pPr>
        <w:ind w:left="5593" w:hanging="529"/>
      </w:pPr>
      <w:rPr>
        <w:rFonts w:hint="default"/>
        <w:lang w:val="zh-CN" w:eastAsia="zh-CN" w:bidi="zh-CN"/>
      </w:rPr>
    </w:lvl>
    <w:lvl w:ilvl="6">
      <w:start w:val="0"/>
      <w:numFmt w:val="bullet"/>
      <w:lvlText w:val="•"/>
      <w:lvlJc w:val="left"/>
      <w:pPr>
        <w:ind w:left="6575" w:hanging="529"/>
      </w:pPr>
      <w:rPr>
        <w:rFonts w:hint="default"/>
        <w:lang w:val="zh-CN" w:eastAsia="zh-CN" w:bidi="zh-CN"/>
      </w:rPr>
    </w:lvl>
    <w:lvl w:ilvl="7">
      <w:start w:val="0"/>
      <w:numFmt w:val="bullet"/>
      <w:lvlText w:val="•"/>
      <w:lvlJc w:val="left"/>
      <w:pPr>
        <w:ind w:left="7558" w:hanging="529"/>
      </w:pPr>
      <w:rPr>
        <w:rFonts w:hint="default"/>
        <w:lang w:val="zh-CN" w:eastAsia="zh-CN" w:bidi="zh-CN"/>
      </w:rPr>
    </w:lvl>
    <w:lvl w:ilvl="8">
      <w:start w:val="0"/>
      <w:numFmt w:val="bullet"/>
      <w:lvlText w:val="•"/>
      <w:lvlJc w:val="left"/>
      <w:pPr>
        <w:ind w:left="8541" w:hanging="529"/>
      </w:pPr>
      <w:rPr>
        <w:rFonts w:hint="default"/>
        <w:lang w:val="zh-CN" w:eastAsia="zh-CN" w:bidi="zh-CN"/>
      </w:rPr>
    </w:lvl>
  </w:abstractNum>
  <w:abstractNum w:abstractNumId="100">
    <w:multiLevelType w:val="hybridMultilevel"/>
    <w:lvl w:ilvl="0">
      <w:start w:val="1"/>
      <w:numFmt w:val="decimal"/>
      <w:lvlText w:val="（%1）"/>
      <w:lvlJc w:val="left"/>
      <w:pPr>
        <w:ind w:left="16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08" w:hanging="529"/>
      </w:pPr>
      <w:rPr>
        <w:rFonts w:hint="default"/>
        <w:lang w:val="zh-CN" w:eastAsia="zh-CN" w:bidi="zh-CN"/>
      </w:rPr>
    </w:lvl>
    <w:lvl w:ilvl="2">
      <w:start w:val="0"/>
      <w:numFmt w:val="bullet"/>
      <w:lvlText w:val="•"/>
      <w:lvlJc w:val="left"/>
      <w:pPr>
        <w:ind w:left="3397" w:hanging="529"/>
      </w:pPr>
      <w:rPr>
        <w:rFonts w:hint="default"/>
        <w:lang w:val="zh-CN" w:eastAsia="zh-CN" w:bidi="zh-CN"/>
      </w:rPr>
    </w:lvl>
    <w:lvl w:ilvl="3">
      <w:start w:val="0"/>
      <w:numFmt w:val="bullet"/>
      <w:lvlText w:val="•"/>
      <w:lvlJc w:val="left"/>
      <w:pPr>
        <w:ind w:left="4285" w:hanging="529"/>
      </w:pPr>
      <w:rPr>
        <w:rFonts w:hint="default"/>
        <w:lang w:val="zh-CN" w:eastAsia="zh-CN" w:bidi="zh-CN"/>
      </w:rPr>
    </w:lvl>
    <w:lvl w:ilvl="4">
      <w:start w:val="0"/>
      <w:numFmt w:val="bullet"/>
      <w:lvlText w:val="•"/>
      <w:lvlJc w:val="left"/>
      <w:pPr>
        <w:ind w:left="5174" w:hanging="529"/>
      </w:pPr>
      <w:rPr>
        <w:rFonts w:hint="default"/>
        <w:lang w:val="zh-CN" w:eastAsia="zh-CN" w:bidi="zh-CN"/>
      </w:rPr>
    </w:lvl>
    <w:lvl w:ilvl="5">
      <w:start w:val="0"/>
      <w:numFmt w:val="bullet"/>
      <w:lvlText w:val="•"/>
      <w:lvlJc w:val="left"/>
      <w:pPr>
        <w:ind w:left="6063" w:hanging="529"/>
      </w:pPr>
      <w:rPr>
        <w:rFonts w:hint="default"/>
        <w:lang w:val="zh-CN" w:eastAsia="zh-CN" w:bidi="zh-CN"/>
      </w:rPr>
    </w:lvl>
    <w:lvl w:ilvl="6">
      <w:start w:val="0"/>
      <w:numFmt w:val="bullet"/>
      <w:lvlText w:val="•"/>
      <w:lvlJc w:val="left"/>
      <w:pPr>
        <w:ind w:left="6951" w:hanging="529"/>
      </w:pPr>
      <w:rPr>
        <w:rFonts w:hint="default"/>
        <w:lang w:val="zh-CN" w:eastAsia="zh-CN" w:bidi="zh-CN"/>
      </w:rPr>
    </w:lvl>
    <w:lvl w:ilvl="7">
      <w:start w:val="0"/>
      <w:numFmt w:val="bullet"/>
      <w:lvlText w:val="•"/>
      <w:lvlJc w:val="left"/>
      <w:pPr>
        <w:ind w:left="7840" w:hanging="529"/>
      </w:pPr>
      <w:rPr>
        <w:rFonts w:hint="default"/>
        <w:lang w:val="zh-CN" w:eastAsia="zh-CN" w:bidi="zh-CN"/>
      </w:rPr>
    </w:lvl>
    <w:lvl w:ilvl="8">
      <w:start w:val="0"/>
      <w:numFmt w:val="bullet"/>
      <w:lvlText w:val="•"/>
      <w:lvlJc w:val="left"/>
      <w:pPr>
        <w:ind w:left="8729" w:hanging="529"/>
      </w:pPr>
      <w:rPr>
        <w:rFonts w:hint="default"/>
        <w:lang w:val="zh-CN" w:eastAsia="zh-CN" w:bidi="zh-CN"/>
      </w:rPr>
    </w:lvl>
  </w:abstractNum>
  <w:abstractNum w:abstractNumId="99">
    <w:multiLevelType w:val="hybridMultilevel"/>
    <w:lvl w:ilvl="0">
      <w:start w:val="15"/>
      <w:numFmt w:val="decimal"/>
      <w:lvlText w:val="%1"/>
      <w:lvlJc w:val="left"/>
      <w:pPr>
        <w:ind w:left="1150" w:hanging="473"/>
        <w:jc w:val="left"/>
      </w:pPr>
      <w:rPr>
        <w:rFonts w:hint="default"/>
        <w:lang w:val="zh-CN" w:eastAsia="zh-CN" w:bidi="zh-CN"/>
      </w:rPr>
    </w:lvl>
    <w:lvl w:ilvl="1">
      <w:start w:val="2"/>
      <w:numFmt w:val="decimal"/>
      <w:lvlText w:val="%1.%2"/>
      <w:lvlJc w:val="left"/>
      <w:pPr>
        <w:ind w:left="1150" w:hanging="473"/>
        <w:jc w:val="left"/>
      </w:pPr>
      <w:rPr>
        <w:rFonts w:hint="default" w:ascii="Times New Roman" w:hAnsi="Times New Roman" w:eastAsia="Times New Roman" w:cs="Times New Roman"/>
        <w:b/>
        <w:bCs/>
        <w:w w:val="100"/>
        <w:sz w:val="21"/>
        <w:szCs w:val="21"/>
        <w:lang w:val="zh-CN" w:eastAsia="zh-CN" w:bidi="zh-CN"/>
      </w:rPr>
    </w:lvl>
    <w:lvl w:ilvl="2">
      <w:start w:val="1"/>
      <w:numFmt w:val="decimal"/>
      <w:lvlText w:val="%1.%2.%3"/>
      <w:lvlJc w:val="left"/>
      <w:pPr>
        <w:ind w:left="1098" w:hanging="632"/>
        <w:jc w:val="left"/>
      </w:pPr>
      <w:rPr>
        <w:rFonts w:hint="default" w:ascii="Times New Roman" w:hAnsi="Times New Roman" w:eastAsia="Times New Roman" w:cs="Times New Roman"/>
        <w:w w:val="100"/>
        <w:sz w:val="21"/>
        <w:szCs w:val="21"/>
        <w:lang w:val="zh-CN" w:eastAsia="zh-CN" w:bidi="zh-CN"/>
      </w:rPr>
    </w:lvl>
    <w:lvl w:ilvl="3">
      <w:start w:val="0"/>
      <w:numFmt w:val="bullet"/>
      <w:lvlText w:val="•"/>
      <w:lvlJc w:val="left"/>
      <w:pPr>
        <w:ind w:left="2818" w:hanging="632"/>
      </w:pPr>
      <w:rPr>
        <w:rFonts w:hint="default"/>
        <w:lang w:val="zh-CN" w:eastAsia="zh-CN" w:bidi="zh-CN"/>
      </w:rPr>
    </w:lvl>
    <w:lvl w:ilvl="4">
      <w:start w:val="0"/>
      <w:numFmt w:val="bullet"/>
      <w:lvlText w:val="•"/>
      <w:lvlJc w:val="left"/>
      <w:pPr>
        <w:ind w:left="3916" w:hanging="632"/>
      </w:pPr>
      <w:rPr>
        <w:rFonts w:hint="default"/>
        <w:lang w:val="zh-CN" w:eastAsia="zh-CN" w:bidi="zh-CN"/>
      </w:rPr>
    </w:lvl>
    <w:lvl w:ilvl="5">
      <w:start w:val="0"/>
      <w:numFmt w:val="bullet"/>
      <w:lvlText w:val="•"/>
      <w:lvlJc w:val="left"/>
      <w:pPr>
        <w:ind w:left="5014" w:hanging="632"/>
      </w:pPr>
      <w:rPr>
        <w:rFonts w:hint="default"/>
        <w:lang w:val="zh-CN" w:eastAsia="zh-CN" w:bidi="zh-CN"/>
      </w:rPr>
    </w:lvl>
    <w:lvl w:ilvl="6">
      <w:start w:val="0"/>
      <w:numFmt w:val="bullet"/>
      <w:lvlText w:val="•"/>
      <w:lvlJc w:val="left"/>
      <w:pPr>
        <w:ind w:left="6113" w:hanging="632"/>
      </w:pPr>
      <w:rPr>
        <w:rFonts w:hint="default"/>
        <w:lang w:val="zh-CN" w:eastAsia="zh-CN" w:bidi="zh-CN"/>
      </w:rPr>
    </w:lvl>
    <w:lvl w:ilvl="7">
      <w:start w:val="0"/>
      <w:numFmt w:val="bullet"/>
      <w:lvlText w:val="•"/>
      <w:lvlJc w:val="left"/>
      <w:pPr>
        <w:ind w:left="7211" w:hanging="632"/>
      </w:pPr>
      <w:rPr>
        <w:rFonts w:hint="default"/>
        <w:lang w:val="zh-CN" w:eastAsia="zh-CN" w:bidi="zh-CN"/>
      </w:rPr>
    </w:lvl>
    <w:lvl w:ilvl="8">
      <w:start w:val="0"/>
      <w:numFmt w:val="bullet"/>
      <w:lvlText w:val="•"/>
      <w:lvlJc w:val="left"/>
      <w:pPr>
        <w:ind w:left="8309" w:hanging="632"/>
      </w:pPr>
      <w:rPr>
        <w:rFonts w:hint="default"/>
        <w:lang w:val="zh-CN" w:eastAsia="zh-CN" w:bidi="zh-CN"/>
      </w:rPr>
    </w:lvl>
  </w:abstractNum>
  <w:abstractNum w:abstractNumId="98">
    <w:multiLevelType w:val="hybridMultilevel"/>
    <w:lvl w:ilvl="0">
      <w:start w:val="1"/>
      <w:numFmt w:val="decimal"/>
      <w:lvlText w:val="（%1）"/>
      <w:lvlJc w:val="left"/>
      <w:pPr>
        <w:ind w:left="678" w:hanging="527"/>
        <w:jc w:val="left"/>
      </w:pPr>
      <w:rPr>
        <w:rFonts w:hint="default" w:ascii="宋体" w:hAnsi="宋体" w:eastAsia="宋体" w:cs="宋体"/>
        <w:spacing w:val="-22"/>
        <w:w w:val="100"/>
        <w:sz w:val="19"/>
        <w:szCs w:val="19"/>
        <w:lang w:val="zh-CN" w:eastAsia="zh-CN" w:bidi="zh-CN"/>
      </w:rPr>
    </w:lvl>
    <w:lvl w:ilvl="1">
      <w:start w:val="0"/>
      <w:numFmt w:val="bullet"/>
      <w:lvlText w:val="•"/>
      <w:lvlJc w:val="left"/>
      <w:pPr>
        <w:ind w:left="1662" w:hanging="527"/>
      </w:pPr>
      <w:rPr>
        <w:rFonts w:hint="default"/>
        <w:lang w:val="zh-CN" w:eastAsia="zh-CN" w:bidi="zh-CN"/>
      </w:rPr>
    </w:lvl>
    <w:lvl w:ilvl="2">
      <w:start w:val="0"/>
      <w:numFmt w:val="bullet"/>
      <w:lvlText w:val="•"/>
      <w:lvlJc w:val="left"/>
      <w:pPr>
        <w:ind w:left="2645" w:hanging="527"/>
      </w:pPr>
      <w:rPr>
        <w:rFonts w:hint="default"/>
        <w:lang w:val="zh-CN" w:eastAsia="zh-CN" w:bidi="zh-CN"/>
      </w:rPr>
    </w:lvl>
    <w:lvl w:ilvl="3">
      <w:start w:val="0"/>
      <w:numFmt w:val="bullet"/>
      <w:lvlText w:val="•"/>
      <w:lvlJc w:val="left"/>
      <w:pPr>
        <w:ind w:left="3627" w:hanging="527"/>
      </w:pPr>
      <w:rPr>
        <w:rFonts w:hint="default"/>
        <w:lang w:val="zh-CN" w:eastAsia="zh-CN" w:bidi="zh-CN"/>
      </w:rPr>
    </w:lvl>
    <w:lvl w:ilvl="4">
      <w:start w:val="0"/>
      <w:numFmt w:val="bullet"/>
      <w:lvlText w:val="•"/>
      <w:lvlJc w:val="left"/>
      <w:pPr>
        <w:ind w:left="4610" w:hanging="527"/>
      </w:pPr>
      <w:rPr>
        <w:rFonts w:hint="default"/>
        <w:lang w:val="zh-CN" w:eastAsia="zh-CN" w:bidi="zh-CN"/>
      </w:rPr>
    </w:lvl>
    <w:lvl w:ilvl="5">
      <w:start w:val="0"/>
      <w:numFmt w:val="bullet"/>
      <w:lvlText w:val="•"/>
      <w:lvlJc w:val="left"/>
      <w:pPr>
        <w:ind w:left="5593" w:hanging="527"/>
      </w:pPr>
      <w:rPr>
        <w:rFonts w:hint="default"/>
        <w:lang w:val="zh-CN" w:eastAsia="zh-CN" w:bidi="zh-CN"/>
      </w:rPr>
    </w:lvl>
    <w:lvl w:ilvl="6">
      <w:start w:val="0"/>
      <w:numFmt w:val="bullet"/>
      <w:lvlText w:val="•"/>
      <w:lvlJc w:val="left"/>
      <w:pPr>
        <w:ind w:left="6575" w:hanging="527"/>
      </w:pPr>
      <w:rPr>
        <w:rFonts w:hint="default"/>
        <w:lang w:val="zh-CN" w:eastAsia="zh-CN" w:bidi="zh-CN"/>
      </w:rPr>
    </w:lvl>
    <w:lvl w:ilvl="7">
      <w:start w:val="0"/>
      <w:numFmt w:val="bullet"/>
      <w:lvlText w:val="•"/>
      <w:lvlJc w:val="left"/>
      <w:pPr>
        <w:ind w:left="7558" w:hanging="527"/>
      </w:pPr>
      <w:rPr>
        <w:rFonts w:hint="default"/>
        <w:lang w:val="zh-CN" w:eastAsia="zh-CN" w:bidi="zh-CN"/>
      </w:rPr>
    </w:lvl>
    <w:lvl w:ilvl="8">
      <w:start w:val="0"/>
      <w:numFmt w:val="bullet"/>
      <w:lvlText w:val="•"/>
      <w:lvlJc w:val="left"/>
      <w:pPr>
        <w:ind w:left="8541" w:hanging="527"/>
      </w:pPr>
      <w:rPr>
        <w:rFonts w:hint="default"/>
        <w:lang w:val="zh-CN" w:eastAsia="zh-CN" w:bidi="zh-CN"/>
      </w:rPr>
    </w:lvl>
  </w:abstractNum>
  <w:abstractNum w:abstractNumId="97">
    <w:multiLevelType w:val="hybridMultilevel"/>
    <w:lvl w:ilvl="0">
      <w:start w:val="14"/>
      <w:numFmt w:val="decimal"/>
      <w:lvlText w:val="%1"/>
      <w:lvlJc w:val="left"/>
      <w:pPr>
        <w:ind w:left="1150" w:hanging="473"/>
        <w:jc w:val="left"/>
      </w:pPr>
      <w:rPr>
        <w:rFonts w:hint="default"/>
        <w:lang w:val="zh-CN" w:eastAsia="zh-CN" w:bidi="zh-CN"/>
      </w:rPr>
    </w:lvl>
    <w:lvl w:ilvl="1">
      <w:start w:val="4"/>
      <w:numFmt w:val="decimal"/>
      <w:lvlText w:val="%1.%2"/>
      <w:lvlJc w:val="left"/>
      <w:pPr>
        <w:ind w:left="1150" w:hanging="473"/>
        <w:jc w:val="left"/>
      </w:pPr>
      <w:rPr>
        <w:rFonts w:hint="default" w:ascii="Times New Roman" w:hAnsi="Times New Roman" w:eastAsia="Times New Roman" w:cs="Times New Roman"/>
        <w:b/>
        <w:bCs/>
        <w:w w:val="100"/>
        <w:sz w:val="21"/>
        <w:szCs w:val="21"/>
        <w:lang w:val="zh-CN" w:eastAsia="zh-CN" w:bidi="zh-CN"/>
      </w:rPr>
    </w:lvl>
    <w:lvl w:ilvl="2">
      <w:start w:val="1"/>
      <w:numFmt w:val="decimal"/>
      <w:lvlText w:val="%1.%2.%3"/>
      <w:lvlJc w:val="left"/>
      <w:pPr>
        <w:ind w:left="1729" w:hanging="632"/>
        <w:jc w:val="left"/>
      </w:pPr>
      <w:rPr>
        <w:rFonts w:hint="default" w:ascii="Times New Roman" w:hAnsi="Times New Roman" w:eastAsia="Times New Roman" w:cs="Times New Roman"/>
        <w:w w:val="100"/>
        <w:sz w:val="21"/>
        <w:szCs w:val="21"/>
        <w:lang w:val="zh-CN" w:eastAsia="zh-CN" w:bidi="zh-CN"/>
      </w:rPr>
    </w:lvl>
    <w:lvl w:ilvl="3">
      <w:start w:val="0"/>
      <w:numFmt w:val="bullet"/>
      <w:lvlText w:val="•"/>
      <w:lvlJc w:val="left"/>
      <w:pPr>
        <w:ind w:left="3672" w:hanging="632"/>
      </w:pPr>
      <w:rPr>
        <w:rFonts w:hint="default"/>
        <w:lang w:val="zh-CN" w:eastAsia="zh-CN" w:bidi="zh-CN"/>
      </w:rPr>
    </w:lvl>
    <w:lvl w:ilvl="4">
      <w:start w:val="0"/>
      <w:numFmt w:val="bullet"/>
      <w:lvlText w:val="•"/>
      <w:lvlJc w:val="left"/>
      <w:pPr>
        <w:ind w:left="4648" w:hanging="632"/>
      </w:pPr>
      <w:rPr>
        <w:rFonts w:hint="default"/>
        <w:lang w:val="zh-CN" w:eastAsia="zh-CN" w:bidi="zh-CN"/>
      </w:rPr>
    </w:lvl>
    <w:lvl w:ilvl="5">
      <w:start w:val="0"/>
      <w:numFmt w:val="bullet"/>
      <w:lvlText w:val="•"/>
      <w:lvlJc w:val="left"/>
      <w:pPr>
        <w:ind w:left="5625" w:hanging="632"/>
      </w:pPr>
      <w:rPr>
        <w:rFonts w:hint="default"/>
        <w:lang w:val="zh-CN" w:eastAsia="zh-CN" w:bidi="zh-CN"/>
      </w:rPr>
    </w:lvl>
    <w:lvl w:ilvl="6">
      <w:start w:val="0"/>
      <w:numFmt w:val="bullet"/>
      <w:lvlText w:val="•"/>
      <w:lvlJc w:val="left"/>
      <w:pPr>
        <w:ind w:left="6601" w:hanging="632"/>
      </w:pPr>
      <w:rPr>
        <w:rFonts w:hint="default"/>
        <w:lang w:val="zh-CN" w:eastAsia="zh-CN" w:bidi="zh-CN"/>
      </w:rPr>
    </w:lvl>
    <w:lvl w:ilvl="7">
      <w:start w:val="0"/>
      <w:numFmt w:val="bullet"/>
      <w:lvlText w:val="•"/>
      <w:lvlJc w:val="left"/>
      <w:pPr>
        <w:ind w:left="7577" w:hanging="632"/>
      </w:pPr>
      <w:rPr>
        <w:rFonts w:hint="default"/>
        <w:lang w:val="zh-CN" w:eastAsia="zh-CN" w:bidi="zh-CN"/>
      </w:rPr>
    </w:lvl>
    <w:lvl w:ilvl="8">
      <w:start w:val="0"/>
      <w:numFmt w:val="bullet"/>
      <w:lvlText w:val="•"/>
      <w:lvlJc w:val="left"/>
      <w:pPr>
        <w:ind w:left="8553" w:hanging="632"/>
      </w:pPr>
      <w:rPr>
        <w:rFonts w:hint="default"/>
        <w:lang w:val="zh-CN" w:eastAsia="zh-CN" w:bidi="zh-CN"/>
      </w:rPr>
    </w:lvl>
  </w:abstractNum>
  <w:abstractNum w:abstractNumId="96">
    <w:multiLevelType w:val="hybridMultilevel"/>
    <w:lvl w:ilvl="0">
      <w:start w:val="13"/>
      <w:numFmt w:val="decimal"/>
      <w:lvlText w:val="%1"/>
      <w:lvlJc w:val="left"/>
      <w:pPr>
        <w:ind w:left="1150" w:hanging="473"/>
        <w:jc w:val="left"/>
      </w:pPr>
      <w:rPr>
        <w:rFonts w:hint="default"/>
        <w:lang w:val="zh-CN" w:eastAsia="zh-CN" w:bidi="zh-CN"/>
      </w:rPr>
    </w:lvl>
    <w:lvl w:ilvl="1">
      <w:start w:val="6"/>
      <w:numFmt w:val="decimal"/>
      <w:lvlText w:val="%1.%2"/>
      <w:lvlJc w:val="left"/>
      <w:pPr>
        <w:ind w:left="1150" w:hanging="473"/>
        <w:jc w:val="left"/>
      </w:pPr>
      <w:rPr>
        <w:rFonts w:hint="default" w:ascii="Times New Roman" w:hAnsi="Times New Roman" w:eastAsia="Times New Roman" w:cs="Times New Roman"/>
        <w:b/>
        <w:bCs/>
        <w:w w:val="100"/>
        <w:sz w:val="21"/>
        <w:szCs w:val="21"/>
        <w:lang w:val="zh-CN" w:eastAsia="zh-CN" w:bidi="zh-CN"/>
      </w:rPr>
    </w:lvl>
    <w:lvl w:ilvl="2">
      <w:start w:val="1"/>
      <w:numFmt w:val="decimal"/>
      <w:lvlText w:val="%1.%2.%3"/>
      <w:lvlJc w:val="left"/>
      <w:pPr>
        <w:ind w:left="1729" w:hanging="632"/>
        <w:jc w:val="left"/>
      </w:pPr>
      <w:rPr>
        <w:rFonts w:hint="default" w:ascii="Times New Roman" w:hAnsi="Times New Roman" w:eastAsia="Times New Roman" w:cs="Times New Roman"/>
        <w:w w:val="100"/>
        <w:sz w:val="21"/>
        <w:szCs w:val="21"/>
        <w:lang w:val="zh-CN" w:eastAsia="zh-CN" w:bidi="zh-CN"/>
      </w:rPr>
    </w:lvl>
    <w:lvl w:ilvl="3">
      <w:start w:val="0"/>
      <w:numFmt w:val="bullet"/>
      <w:lvlText w:val="•"/>
      <w:lvlJc w:val="left"/>
      <w:pPr>
        <w:ind w:left="3672" w:hanging="632"/>
      </w:pPr>
      <w:rPr>
        <w:rFonts w:hint="default"/>
        <w:lang w:val="zh-CN" w:eastAsia="zh-CN" w:bidi="zh-CN"/>
      </w:rPr>
    </w:lvl>
    <w:lvl w:ilvl="4">
      <w:start w:val="0"/>
      <w:numFmt w:val="bullet"/>
      <w:lvlText w:val="•"/>
      <w:lvlJc w:val="left"/>
      <w:pPr>
        <w:ind w:left="4648" w:hanging="632"/>
      </w:pPr>
      <w:rPr>
        <w:rFonts w:hint="default"/>
        <w:lang w:val="zh-CN" w:eastAsia="zh-CN" w:bidi="zh-CN"/>
      </w:rPr>
    </w:lvl>
    <w:lvl w:ilvl="5">
      <w:start w:val="0"/>
      <w:numFmt w:val="bullet"/>
      <w:lvlText w:val="•"/>
      <w:lvlJc w:val="left"/>
      <w:pPr>
        <w:ind w:left="5625" w:hanging="632"/>
      </w:pPr>
      <w:rPr>
        <w:rFonts w:hint="default"/>
        <w:lang w:val="zh-CN" w:eastAsia="zh-CN" w:bidi="zh-CN"/>
      </w:rPr>
    </w:lvl>
    <w:lvl w:ilvl="6">
      <w:start w:val="0"/>
      <w:numFmt w:val="bullet"/>
      <w:lvlText w:val="•"/>
      <w:lvlJc w:val="left"/>
      <w:pPr>
        <w:ind w:left="6601" w:hanging="632"/>
      </w:pPr>
      <w:rPr>
        <w:rFonts w:hint="default"/>
        <w:lang w:val="zh-CN" w:eastAsia="zh-CN" w:bidi="zh-CN"/>
      </w:rPr>
    </w:lvl>
    <w:lvl w:ilvl="7">
      <w:start w:val="0"/>
      <w:numFmt w:val="bullet"/>
      <w:lvlText w:val="•"/>
      <w:lvlJc w:val="left"/>
      <w:pPr>
        <w:ind w:left="7577" w:hanging="632"/>
      </w:pPr>
      <w:rPr>
        <w:rFonts w:hint="default"/>
        <w:lang w:val="zh-CN" w:eastAsia="zh-CN" w:bidi="zh-CN"/>
      </w:rPr>
    </w:lvl>
    <w:lvl w:ilvl="8">
      <w:start w:val="0"/>
      <w:numFmt w:val="bullet"/>
      <w:lvlText w:val="•"/>
      <w:lvlJc w:val="left"/>
      <w:pPr>
        <w:ind w:left="8553" w:hanging="632"/>
      </w:pPr>
      <w:rPr>
        <w:rFonts w:hint="default"/>
        <w:lang w:val="zh-CN" w:eastAsia="zh-CN" w:bidi="zh-CN"/>
      </w:rPr>
    </w:lvl>
  </w:abstractNum>
  <w:abstractNum w:abstractNumId="95">
    <w:multiLevelType w:val="hybridMultilevel"/>
    <w:lvl w:ilvl="0">
      <w:start w:val="1"/>
      <w:numFmt w:val="decimal"/>
      <w:lvlText w:val="（%1）"/>
      <w:lvlJc w:val="left"/>
      <w:pPr>
        <w:ind w:left="16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08" w:hanging="529"/>
      </w:pPr>
      <w:rPr>
        <w:rFonts w:hint="default"/>
        <w:lang w:val="zh-CN" w:eastAsia="zh-CN" w:bidi="zh-CN"/>
      </w:rPr>
    </w:lvl>
    <w:lvl w:ilvl="2">
      <w:start w:val="0"/>
      <w:numFmt w:val="bullet"/>
      <w:lvlText w:val="•"/>
      <w:lvlJc w:val="left"/>
      <w:pPr>
        <w:ind w:left="3397" w:hanging="529"/>
      </w:pPr>
      <w:rPr>
        <w:rFonts w:hint="default"/>
        <w:lang w:val="zh-CN" w:eastAsia="zh-CN" w:bidi="zh-CN"/>
      </w:rPr>
    </w:lvl>
    <w:lvl w:ilvl="3">
      <w:start w:val="0"/>
      <w:numFmt w:val="bullet"/>
      <w:lvlText w:val="•"/>
      <w:lvlJc w:val="left"/>
      <w:pPr>
        <w:ind w:left="4285" w:hanging="529"/>
      </w:pPr>
      <w:rPr>
        <w:rFonts w:hint="default"/>
        <w:lang w:val="zh-CN" w:eastAsia="zh-CN" w:bidi="zh-CN"/>
      </w:rPr>
    </w:lvl>
    <w:lvl w:ilvl="4">
      <w:start w:val="0"/>
      <w:numFmt w:val="bullet"/>
      <w:lvlText w:val="•"/>
      <w:lvlJc w:val="left"/>
      <w:pPr>
        <w:ind w:left="5174" w:hanging="529"/>
      </w:pPr>
      <w:rPr>
        <w:rFonts w:hint="default"/>
        <w:lang w:val="zh-CN" w:eastAsia="zh-CN" w:bidi="zh-CN"/>
      </w:rPr>
    </w:lvl>
    <w:lvl w:ilvl="5">
      <w:start w:val="0"/>
      <w:numFmt w:val="bullet"/>
      <w:lvlText w:val="•"/>
      <w:lvlJc w:val="left"/>
      <w:pPr>
        <w:ind w:left="6063" w:hanging="529"/>
      </w:pPr>
      <w:rPr>
        <w:rFonts w:hint="default"/>
        <w:lang w:val="zh-CN" w:eastAsia="zh-CN" w:bidi="zh-CN"/>
      </w:rPr>
    </w:lvl>
    <w:lvl w:ilvl="6">
      <w:start w:val="0"/>
      <w:numFmt w:val="bullet"/>
      <w:lvlText w:val="•"/>
      <w:lvlJc w:val="left"/>
      <w:pPr>
        <w:ind w:left="6951" w:hanging="529"/>
      </w:pPr>
      <w:rPr>
        <w:rFonts w:hint="default"/>
        <w:lang w:val="zh-CN" w:eastAsia="zh-CN" w:bidi="zh-CN"/>
      </w:rPr>
    </w:lvl>
    <w:lvl w:ilvl="7">
      <w:start w:val="0"/>
      <w:numFmt w:val="bullet"/>
      <w:lvlText w:val="•"/>
      <w:lvlJc w:val="left"/>
      <w:pPr>
        <w:ind w:left="7840" w:hanging="529"/>
      </w:pPr>
      <w:rPr>
        <w:rFonts w:hint="default"/>
        <w:lang w:val="zh-CN" w:eastAsia="zh-CN" w:bidi="zh-CN"/>
      </w:rPr>
    </w:lvl>
    <w:lvl w:ilvl="8">
      <w:start w:val="0"/>
      <w:numFmt w:val="bullet"/>
      <w:lvlText w:val="•"/>
      <w:lvlJc w:val="left"/>
      <w:pPr>
        <w:ind w:left="8729" w:hanging="529"/>
      </w:pPr>
      <w:rPr>
        <w:rFonts w:hint="default"/>
        <w:lang w:val="zh-CN" w:eastAsia="zh-CN" w:bidi="zh-CN"/>
      </w:rPr>
    </w:lvl>
  </w:abstractNum>
  <w:abstractNum w:abstractNumId="94">
    <w:multiLevelType w:val="hybridMultilevel"/>
    <w:lvl w:ilvl="0">
      <w:start w:val="1"/>
      <w:numFmt w:val="decimal"/>
      <w:lvlText w:val="（%1）"/>
      <w:lvlJc w:val="left"/>
      <w:pPr>
        <w:ind w:left="1834" w:hanging="632"/>
        <w:jc w:val="right"/>
      </w:pPr>
      <w:rPr>
        <w:rFonts w:hint="default" w:ascii="宋体" w:hAnsi="宋体" w:eastAsia="宋体" w:cs="宋体"/>
        <w:w w:val="100"/>
        <w:sz w:val="21"/>
        <w:szCs w:val="21"/>
        <w:lang w:val="zh-CN" w:eastAsia="zh-CN" w:bidi="zh-CN"/>
      </w:rPr>
    </w:lvl>
    <w:lvl w:ilvl="1">
      <w:start w:val="0"/>
      <w:numFmt w:val="bullet"/>
      <w:lvlText w:val="•"/>
      <w:lvlJc w:val="left"/>
      <w:pPr>
        <w:ind w:left="2706" w:hanging="632"/>
      </w:pPr>
      <w:rPr>
        <w:rFonts w:hint="default"/>
        <w:lang w:val="zh-CN" w:eastAsia="zh-CN" w:bidi="zh-CN"/>
      </w:rPr>
    </w:lvl>
    <w:lvl w:ilvl="2">
      <w:start w:val="0"/>
      <w:numFmt w:val="bullet"/>
      <w:lvlText w:val="•"/>
      <w:lvlJc w:val="left"/>
      <w:pPr>
        <w:ind w:left="3573" w:hanging="632"/>
      </w:pPr>
      <w:rPr>
        <w:rFonts w:hint="default"/>
        <w:lang w:val="zh-CN" w:eastAsia="zh-CN" w:bidi="zh-CN"/>
      </w:rPr>
    </w:lvl>
    <w:lvl w:ilvl="3">
      <w:start w:val="0"/>
      <w:numFmt w:val="bullet"/>
      <w:lvlText w:val="•"/>
      <w:lvlJc w:val="left"/>
      <w:pPr>
        <w:ind w:left="4439" w:hanging="632"/>
      </w:pPr>
      <w:rPr>
        <w:rFonts w:hint="default"/>
        <w:lang w:val="zh-CN" w:eastAsia="zh-CN" w:bidi="zh-CN"/>
      </w:rPr>
    </w:lvl>
    <w:lvl w:ilvl="4">
      <w:start w:val="0"/>
      <w:numFmt w:val="bullet"/>
      <w:lvlText w:val="•"/>
      <w:lvlJc w:val="left"/>
      <w:pPr>
        <w:ind w:left="5306" w:hanging="632"/>
      </w:pPr>
      <w:rPr>
        <w:rFonts w:hint="default"/>
        <w:lang w:val="zh-CN" w:eastAsia="zh-CN" w:bidi="zh-CN"/>
      </w:rPr>
    </w:lvl>
    <w:lvl w:ilvl="5">
      <w:start w:val="0"/>
      <w:numFmt w:val="bullet"/>
      <w:lvlText w:val="•"/>
      <w:lvlJc w:val="left"/>
      <w:pPr>
        <w:ind w:left="6173" w:hanging="632"/>
      </w:pPr>
      <w:rPr>
        <w:rFonts w:hint="default"/>
        <w:lang w:val="zh-CN" w:eastAsia="zh-CN" w:bidi="zh-CN"/>
      </w:rPr>
    </w:lvl>
    <w:lvl w:ilvl="6">
      <w:start w:val="0"/>
      <w:numFmt w:val="bullet"/>
      <w:lvlText w:val="•"/>
      <w:lvlJc w:val="left"/>
      <w:pPr>
        <w:ind w:left="7039" w:hanging="632"/>
      </w:pPr>
      <w:rPr>
        <w:rFonts w:hint="default"/>
        <w:lang w:val="zh-CN" w:eastAsia="zh-CN" w:bidi="zh-CN"/>
      </w:rPr>
    </w:lvl>
    <w:lvl w:ilvl="7">
      <w:start w:val="0"/>
      <w:numFmt w:val="bullet"/>
      <w:lvlText w:val="•"/>
      <w:lvlJc w:val="left"/>
      <w:pPr>
        <w:ind w:left="7906" w:hanging="632"/>
      </w:pPr>
      <w:rPr>
        <w:rFonts w:hint="default"/>
        <w:lang w:val="zh-CN" w:eastAsia="zh-CN" w:bidi="zh-CN"/>
      </w:rPr>
    </w:lvl>
    <w:lvl w:ilvl="8">
      <w:start w:val="0"/>
      <w:numFmt w:val="bullet"/>
      <w:lvlText w:val="•"/>
      <w:lvlJc w:val="left"/>
      <w:pPr>
        <w:ind w:left="8773" w:hanging="632"/>
      </w:pPr>
      <w:rPr>
        <w:rFonts w:hint="default"/>
        <w:lang w:val="zh-CN" w:eastAsia="zh-CN" w:bidi="zh-CN"/>
      </w:rPr>
    </w:lvl>
  </w:abstractNum>
  <w:abstractNum w:abstractNumId="93">
    <w:multiLevelType w:val="hybridMultilevel"/>
    <w:lvl w:ilvl="0">
      <w:start w:val="1"/>
      <w:numFmt w:val="decimal"/>
      <w:lvlText w:val="%1）"/>
      <w:lvlJc w:val="left"/>
      <w:pPr>
        <w:ind w:left="678" w:hanging="318"/>
        <w:jc w:val="left"/>
      </w:pPr>
      <w:rPr>
        <w:rFonts w:hint="default" w:ascii="Times New Roman" w:hAnsi="Times New Roman" w:eastAsia="Times New Roman" w:cs="Times New Roman"/>
        <w:spacing w:val="-25"/>
        <w:w w:val="100"/>
        <w:sz w:val="19"/>
        <w:szCs w:val="19"/>
        <w:lang w:val="zh-CN" w:eastAsia="zh-CN" w:bidi="zh-CN"/>
      </w:rPr>
    </w:lvl>
    <w:lvl w:ilvl="1">
      <w:start w:val="2"/>
      <w:numFmt w:val="decimal"/>
      <w:lvlText w:val="%2）"/>
      <w:lvlJc w:val="left"/>
      <w:pPr>
        <w:ind w:left="678" w:hanging="318"/>
        <w:jc w:val="right"/>
      </w:pPr>
      <w:rPr>
        <w:rFonts w:hint="default" w:ascii="Times New Roman" w:hAnsi="Times New Roman" w:eastAsia="Times New Roman" w:cs="Times New Roman"/>
        <w:w w:val="100"/>
        <w:sz w:val="19"/>
        <w:szCs w:val="19"/>
        <w:lang w:val="zh-CN" w:eastAsia="zh-CN" w:bidi="zh-CN"/>
      </w:rPr>
    </w:lvl>
    <w:lvl w:ilvl="2">
      <w:start w:val="0"/>
      <w:numFmt w:val="bullet"/>
      <w:lvlText w:val="•"/>
      <w:lvlJc w:val="left"/>
      <w:pPr>
        <w:ind w:left="2645" w:hanging="318"/>
      </w:pPr>
      <w:rPr>
        <w:rFonts w:hint="default"/>
        <w:lang w:val="zh-CN" w:eastAsia="zh-CN" w:bidi="zh-CN"/>
      </w:rPr>
    </w:lvl>
    <w:lvl w:ilvl="3">
      <w:start w:val="0"/>
      <w:numFmt w:val="bullet"/>
      <w:lvlText w:val="•"/>
      <w:lvlJc w:val="left"/>
      <w:pPr>
        <w:ind w:left="3627" w:hanging="318"/>
      </w:pPr>
      <w:rPr>
        <w:rFonts w:hint="default"/>
        <w:lang w:val="zh-CN" w:eastAsia="zh-CN" w:bidi="zh-CN"/>
      </w:rPr>
    </w:lvl>
    <w:lvl w:ilvl="4">
      <w:start w:val="0"/>
      <w:numFmt w:val="bullet"/>
      <w:lvlText w:val="•"/>
      <w:lvlJc w:val="left"/>
      <w:pPr>
        <w:ind w:left="4610" w:hanging="318"/>
      </w:pPr>
      <w:rPr>
        <w:rFonts w:hint="default"/>
        <w:lang w:val="zh-CN" w:eastAsia="zh-CN" w:bidi="zh-CN"/>
      </w:rPr>
    </w:lvl>
    <w:lvl w:ilvl="5">
      <w:start w:val="0"/>
      <w:numFmt w:val="bullet"/>
      <w:lvlText w:val="•"/>
      <w:lvlJc w:val="left"/>
      <w:pPr>
        <w:ind w:left="5593" w:hanging="318"/>
      </w:pPr>
      <w:rPr>
        <w:rFonts w:hint="default"/>
        <w:lang w:val="zh-CN" w:eastAsia="zh-CN" w:bidi="zh-CN"/>
      </w:rPr>
    </w:lvl>
    <w:lvl w:ilvl="6">
      <w:start w:val="0"/>
      <w:numFmt w:val="bullet"/>
      <w:lvlText w:val="•"/>
      <w:lvlJc w:val="left"/>
      <w:pPr>
        <w:ind w:left="6575" w:hanging="318"/>
      </w:pPr>
      <w:rPr>
        <w:rFonts w:hint="default"/>
        <w:lang w:val="zh-CN" w:eastAsia="zh-CN" w:bidi="zh-CN"/>
      </w:rPr>
    </w:lvl>
    <w:lvl w:ilvl="7">
      <w:start w:val="0"/>
      <w:numFmt w:val="bullet"/>
      <w:lvlText w:val="•"/>
      <w:lvlJc w:val="left"/>
      <w:pPr>
        <w:ind w:left="7558" w:hanging="318"/>
      </w:pPr>
      <w:rPr>
        <w:rFonts w:hint="default"/>
        <w:lang w:val="zh-CN" w:eastAsia="zh-CN" w:bidi="zh-CN"/>
      </w:rPr>
    </w:lvl>
    <w:lvl w:ilvl="8">
      <w:start w:val="0"/>
      <w:numFmt w:val="bullet"/>
      <w:lvlText w:val="•"/>
      <w:lvlJc w:val="left"/>
      <w:pPr>
        <w:ind w:left="8541" w:hanging="318"/>
      </w:pPr>
      <w:rPr>
        <w:rFonts w:hint="default"/>
        <w:lang w:val="zh-CN" w:eastAsia="zh-CN" w:bidi="zh-CN"/>
      </w:rPr>
    </w:lvl>
  </w:abstractNum>
  <w:abstractNum w:abstractNumId="92">
    <w:multiLevelType w:val="hybridMultilevel"/>
    <w:lvl w:ilvl="0">
      <w:start w:val="1"/>
      <w:numFmt w:val="decimal"/>
      <w:lvlText w:val="（%1）"/>
      <w:lvlJc w:val="left"/>
      <w:pPr>
        <w:ind w:left="1098" w:hanging="529"/>
        <w:jc w:val="right"/>
      </w:pPr>
      <w:rPr>
        <w:rFonts w:hint="default" w:ascii="宋体" w:hAnsi="宋体" w:eastAsia="宋体" w:cs="宋体"/>
        <w:spacing w:val="-77"/>
        <w:w w:val="100"/>
        <w:sz w:val="19"/>
        <w:szCs w:val="19"/>
        <w:lang w:val="zh-CN" w:eastAsia="zh-CN" w:bidi="zh-CN"/>
      </w:rPr>
    </w:lvl>
    <w:lvl w:ilvl="1">
      <w:start w:val="0"/>
      <w:numFmt w:val="bullet"/>
      <w:lvlText w:val="•"/>
      <w:lvlJc w:val="left"/>
      <w:pPr>
        <w:ind w:left="2040" w:hanging="529"/>
      </w:pPr>
      <w:rPr>
        <w:rFonts w:hint="default"/>
        <w:lang w:val="zh-CN" w:eastAsia="zh-CN" w:bidi="zh-CN"/>
      </w:rPr>
    </w:lvl>
    <w:lvl w:ilvl="2">
      <w:start w:val="0"/>
      <w:numFmt w:val="bullet"/>
      <w:lvlText w:val="•"/>
      <w:lvlJc w:val="left"/>
      <w:pPr>
        <w:ind w:left="2981" w:hanging="529"/>
      </w:pPr>
      <w:rPr>
        <w:rFonts w:hint="default"/>
        <w:lang w:val="zh-CN" w:eastAsia="zh-CN" w:bidi="zh-CN"/>
      </w:rPr>
    </w:lvl>
    <w:lvl w:ilvl="3">
      <w:start w:val="0"/>
      <w:numFmt w:val="bullet"/>
      <w:lvlText w:val="•"/>
      <w:lvlJc w:val="left"/>
      <w:pPr>
        <w:ind w:left="3921" w:hanging="529"/>
      </w:pPr>
      <w:rPr>
        <w:rFonts w:hint="default"/>
        <w:lang w:val="zh-CN" w:eastAsia="zh-CN" w:bidi="zh-CN"/>
      </w:rPr>
    </w:lvl>
    <w:lvl w:ilvl="4">
      <w:start w:val="0"/>
      <w:numFmt w:val="bullet"/>
      <w:lvlText w:val="•"/>
      <w:lvlJc w:val="left"/>
      <w:pPr>
        <w:ind w:left="4862" w:hanging="529"/>
      </w:pPr>
      <w:rPr>
        <w:rFonts w:hint="default"/>
        <w:lang w:val="zh-CN" w:eastAsia="zh-CN" w:bidi="zh-CN"/>
      </w:rPr>
    </w:lvl>
    <w:lvl w:ilvl="5">
      <w:start w:val="0"/>
      <w:numFmt w:val="bullet"/>
      <w:lvlText w:val="•"/>
      <w:lvlJc w:val="left"/>
      <w:pPr>
        <w:ind w:left="5803" w:hanging="529"/>
      </w:pPr>
      <w:rPr>
        <w:rFonts w:hint="default"/>
        <w:lang w:val="zh-CN" w:eastAsia="zh-CN" w:bidi="zh-CN"/>
      </w:rPr>
    </w:lvl>
    <w:lvl w:ilvl="6">
      <w:start w:val="0"/>
      <w:numFmt w:val="bullet"/>
      <w:lvlText w:val="•"/>
      <w:lvlJc w:val="left"/>
      <w:pPr>
        <w:ind w:left="6743" w:hanging="529"/>
      </w:pPr>
      <w:rPr>
        <w:rFonts w:hint="default"/>
        <w:lang w:val="zh-CN" w:eastAsia="zh-CN" w:bidi="zh-CN"/>
      </w:rPr>
    </w:lvl>
    <w:lvl w:ilvl="7">
      <w:start w:val="0"/>
      <w:numFmt w:val="bullet"/>
      <w:lvlText w:val="•"/>
      <w:lvlJc w:val="left"/>
      <w:pPr>
        <w:ind w:left="7684" w:hanging="529"/>
      </w:pPr>
      <w:rPr>
        <w:rFonts w:hint="default"/>
        <w:lang w:val="zh-CN" w:eastAsia="zh-CN" w:bidi="zh-CN"/>
      </w:rPr>
    </w:lvl>
    <w:lvl w:ilvl="8">
      <w:start w:val="0"/>
      <w:numFmt w:val="bullet"/>
      <w:lvlText w:val="•"/>
      <w:lvlJc w:val="left"/>
      <w:pPr>
        <w:ind w:left="8625" w:hanging="529"/>
      </w:pPr>
      <w:rPr>
        <w:rFonts w:hint="default"/>
        <w:lang w:val="zh-CN" w:eastAsia="zh-CN" w:bidi="zh-CN"/>
      </w:rPr>
    </w:lvl>
  </w:abstractNum>
  <w:abstractNum w:abstractNumId="91">
    <w:multiLevelType w:val="hybridMultilevel"/>
    <w:lvl w:ilvl="0">
      <w:start w:val="1"/>
      <w:numFmt w:val="decimal"/>
      <w:lvlText w:val="（%1）"/>
      <w:lvlJc w:val="left"/>
      <w:pPr>
        <w:ind w:left="678" w:hanging="529"/>
        <w:jc w:val="left"/>
      </w:pPr>
      <w:rPr>
        <w:rFonts w:hint="default" w:ascii="宋体" w:hAnsi="宋体" w:eastAsia="宋体" w:cs="宋体"/>
        <w:spacing w:val="-17"/>
        <w:w w:val="100"/>
        <w:sz w:val="19"/>
        <w:szCs w:val="19"/>
        <w:lang w:val="zh-CN" w:eastAsia="zh-CN" w:bidi="zh-CN"/>
      </w:rPr>
    </w:lvl>
    <w:lvl w:ilvl="1">
      <w:start w:val="0"/>
      <w:numFmt w:val="bullet"/>
      <w:lvlText w:val="•"/>
      <w:lvlJc w:val="left"/>
      <w:pPr>
        <w:ind w:left="1662" w:hanging="529"/>
      </w:pPr>
      <w:rPr>
        <w:rFonts w:hint="default"/>
        <w:lang w:val="zh-CN" w:eastAsia="zh-CN" w:bidi="zh-CN"/>
      </w:rPr>
    </w:lvl>
    <w:lvl w:ilvl="2">
      <w:start w:val="0"/>
      <w:numFmt w:val="bullet"/>
      <w:lvlText w:val="•"/>
      <w:lvlJc w:val="left"/>
      <w:pPr>
        <w:ind w:left="2645" w:hanging="529"/>
      </w:pPr>
      <w:rPr>
        <w:rFonts w:hint="default"/>
        <w:lang w:val="zh-CN" w:eastAsia="zh-CN" w:bidi="zh-CN"/>
      </w:rPr>
    </w:lvl>
    <w:lvl w:ilvl="3">
      <w:start w:val="0"/>
      <w:numFmt w:val="bullet"/>
      <w:lvlText w:val="•"/>
      <w:lvlJc w:val="left"/>
      <w:pPr>
        <w:ind w:left="3627" w:hanging="529"/>
      </w:pPr>
      <w:rPr>
        <w:rFonts w:hint="default"/>
        <w:lang w:val="zh-CN" w:eastAsia="zh-CN" w:bidi="zh-CN"/>
      </w:rPr>
    </w:lvl>
    <w:lvl w:ilvl="4">
      <w:start w:val="0"/>
      <w:numFmt w:val="bullet"/>
      <w:lvlText w:val="•"/>
      <w:lvlJc w:val="left"/>
      <w:pPr>
        <w:ind w:left="4610" w:hanging="529"/>
      </w:pPr>
      <w:rPr>
        <w:rFonts w:hint="default"/>
        <w:lang w:val="zh-CN" w:eastAsia="zh-CN" w:bidi="zh-CN"/>
      </w:rPr>
    </w:lvl>
    <w:lvl w:ilvl="5">
      <w:start w:val="0"/>
      <w:numFmt w:val="bullet"/>
      <w:lvlText w:val="•"/>
      <w:lvlJc w:val="left"/>
      <w:pPr>
        <w:ind w:left="5593" w:hanging="529"/>
      </w:pPr>
      <w:rPr>
        <w:rFonts w:hint="default"/>
        <w:lang w:val="zh-CN" w:eastAsia="zh-CN" w:bidi="zh-CN"/>
      </w:rPr>
    </w:lvl>
    <w:lvl w:ilvl="6">
      <w:start w:val="0"/>
      <w:numFmt w:val="bullet"/>
      <w:lvlText w:val="•"/>
      <w:lvlJc w:val="left"/>
      <w:pPr>
        <w:ind w:left="6575" w:hanging="529"/>
      </w:pPr>
      <w:rPr>
        <w:rFonts w:hint="default"/>
        <w:lang w:val="zh-CN" w:eastAsia="zh-CN" w:bidi="zh-CN"/>
      </w:rPr>
    </w:lvl>
    <w:lvl w:ilvl="7">
      <w:start w:val="0"/>
      <w:numFmt w:val="bullet"/>
      <w:lvlText w:val="•"/>
      <w:lvlJc w:val="left"/>
      <w:pPr>
        <w:ind w:left="7558" w:hanging="529"/>
      </w:pPr>
      <w:rPr>
        <w:rFonts w:hint="default"/>
        <w:lang w:val="zh-CN" w:eastAsia="zh-CN" w:bidi="zh-CN"/>
      </w:rPr>
    </w:lvl>
    <w:lvl w:ilvl="8">
      <w:start w:val="0"/>
      <w:numFmt w:val="bullet"/>
      <w:lvlText w:val="•"/>
      <w:lvlJc w:val="left"/>
      <w:pPr>
        <w:ind w:left="8541" w:hanging="529"/>
      </w:pPr>
      <w:rPr>
        <w:rFonts w:hint="default"/>
        <w:lang w:val="zh-CN" w:eastAsia="zh-CN" w:bidi="zh-CN"/>
      </w:rPr>
    </w:lvl>
  </w:abstractNum>
  <w:abstractNum w:abstractNumId="90">
    <w:multiLevelType w:val="hybridMultilevel"/>
    <w:lvl w:ilvl="0">
      <w:start w:val="1"/>
      <w:numFmt w:val="decimal"/>
      <w:lvlText w:val="(%1)"/>
      <w:lvlJc w:val="left"/>
      <w:pPr>
        <w:ind w:left="678" w:hanging="351"/>
        <w:jc w:val="left"/>
      </w:pPr>
      <w:rPr>
        <w:rFonts w:hint="default" w:ascii="Times New Roman" w:hAnsi="Times New Roman" w:eastAsia="Times New Roman" w:cs="Times New Roman"/>
        <w:spacing w:val="-1"/>
        <w:w w:val="100"/>
        <w:sz w:val="21"/>
        <w:szCs w:val="21"/>
        <w:lang w:val="zh-CN" w:eastAsia="zh-CN" w:bidi="zh-CN"/>
      </w:rPr>
    </w:lvl>
    <w:lvl w:ilvl="1">
      <w:start w:val="0"/>
      <w:numFmt w:val="bullet"/>
      <w:lvlText w:val="•"/>
      <w:lvlJc w:val="left"/>
      <w:pPr>
        <w:ind w:left="1662" w:hanging="351"/>
      </w:pPr>
      <w:rPr>
        <w:rFonts w:hint="default"/>
        <w:lang w:val="zh-CN" w:eastAsia="zh-CN" w:bidi="zh-CN"/>
      </w:rPr>
    </w:lvl>
    <w:lvl w:ilvl="2">
      <w:start w:val="0"/>
      <w:numFmt w:val="bullet"/>
      <w:lvlText w:val="•"/>
      <w:lvlJc w:val="left"/>
      <w:pPr>
        <w:ind w:left="2645" w:hanging="351"/>
      </w:pPr>
      <w:rPr>
        <w:rFonts w:hint="default"/>
        <w:lang w:val="zh-CN" w:eastAsia="zh-CN" w:bidi="zh-CN"/>
      </w:rPr>
    </w:lvl>
    <w:lvl w:ilvl="3">
      <w:start w:val="0"/>
      <w:numFmt w:val="bullet"/>
      <w:lvlText w:val="•"/>
      <w:lvlJc w:val="left"/>
      <w:pPr>
        <w:ind w:left="3627" w:hanging="351"/>
      </w:pPr>
      <w:rPr>
        <w:rFonts w:hint="default"/>
        <w:lang w:val="zh-CN" w:eastAsia="zh-CN" w:bidi="zh-CN"/>
      </w:rPr>
    </w:lvl>
    <w:lvl w:ilvl="4">
      <w:start w:val="0"/>
      <w:numFmt w:val="bullet"/>
      <w:lvlText w:val="•"/>
      <w:lvlJc w:val="left"/>
      <w:pPr>
        <w:ind w:left="4610" w:hanging="351"/>
      </w:pPr>
      <w:rPr>
        <w:rFonts w:hint="default"/>
        <w:lang w:val="zh-CN" w:eastAsia="zh-CN" w:bidi="zh-CN"/>
      </w:rPr>
    </w:lvl>
    <w:lvl w:ilvl="5">
      <w:start w:val="0"/>
      <w:numFmt w:val="bullet"/>
      <w:lvlText w:val="•"/>
      <w:lvlJc w:val="left"/>
      <w:pPr>
        <w:ind w:left="5593" w:hanging="351"/>
      </w:pPr>
      <w:rPr>
        <w:rFonts w:hint="default"/>
        <w:lang w:val="zh-CN" w:eastAsia="zh-CN" w:bidi="zh-CN"/>
      </w:rPr>
    </w:lvl>
    <w:lvl w:ilvl="6">
      <w:start w:val="0"/>
      <w:numFmt w:val="bullet"/>
      <w:lvlText w:val="•"/>
      <w:lvlJc w:val="left"/>
      <w:pPr>
        <w:ind w:left="6575" w:hanging="351"/>
      </w:pPr>
      <w:rPr>
        <w:rFonts w:hint="default"/>
        <w:lang w:val="zh-CN" w:eastAsia="zh-CN" w:bidi="zh-CN"/>
      </w:rPr>
    </w:lvl>
    <w:lvl w:ilvl="7">
      <w:start w:val="0"/>
      <w:numFmt w:val="bullet"/>
      <w:lvlText w:val="•"/>
      <w:lvlJc w:val="left"/>
      <w:pPr>
        <w:ind w:left="7558" w:hanging="351"/>
      </w:pPr>
      <w:rPr>
        <w:rFonts w:hint="default"/>
        <w:lang w:val="zh-CN" w:eastAsia="zh-CN" w:bidi="zh-CN"/>
      </w:rPr>
    </w:lvl>
    <w:lvl w:ilvl="8">
      <w:start w:val="0"/>
      <w:numFmt w:val="bullet"/>
      <w:lvlText w:val="•"/>
      <w:lvlJc w:val="left"/>
      <w:pPr>
        <w:ind w:left="8541" w:hanging="351"/>
      </w:pPr>
      <w:rPr>
        <w:rFonts w:hint="default"/>
        <w:lang w:val="zh-CN" w:eastAsia="zh-CN" w:bidi="zh-CN"/>
      </w:rPr>
    </w:lvl>
  </w:abstractNum>
  <w:abstractNum w:abstractNumId="89">
    <w:multiLevelType w:val="hybridMultilevel"/>
    <w:lvl w:ilvl="0">
      <w:start w:val="10"/>
      <w:numFmt w:val="decimal"/>
      <w:lvlText w:val="%1"/>
      <w:lvlJc w:val="left"/>
      <w:pPr>
        <w:ind w:left="1150" w:hanging="473"/>
        <w:jc w:val="left"/>
      </w:pPr>
      <w:rPr>
        <w:rFonts w:hint="default"/>
        <w:lang w:val="zh-CN" w:eastAsia="zh-CN" w:bidi="zh-CN"/>
      </w:rPr>
    </w:lvl>
    <w:lvl w:ilvl="1">
      <w:start w:val="7"/>
      <w:numFmt w:val="decimal"/>
      <w:lvlText w:val="%1.%2"/>
      <w:lvlJc w:val="left"/>
      <w:pPr>
        <w:ind w:left="1150" w:hanging="473"/>
        <w:jc w:val="left"/>
      </w:pPr>
      <w:rPr>
        <w:rFonts w:hint="default" w:ascii="Times New Roman" w:hAnsi="Times New Roman" w:eastAsia="Times New Roman" w:cs="Times New Roman"/>
        <w:b/>
        <w:bCs/>
        <w:w w:val="100"/>
        <w:sz w:val="21"/>
        <w:szCs w:val="21"/>
        <w:lang w:val="zh-CN" w:eastAsia="zh-CN" w:bidi="zh-CN"/>
      </w:rPr>
    </w:lvl>
    <w:lvl w:ilvl="2">
      <w:start w:val="1"/>
      <w:numFmt w:val="decimal"/>
      <w:lvlText w:val="%1.%2.%3"/>
      <w:lvlJc w:val="left"/>
      <w:pPr>
        <w:ind w:left="1729" w:hanging="632"/>
        <w:jc w:val="left"/>
      </w:pPr>
      <w:rPr>
        <w:rFonts w:hint="default" w:ascii="Times New Roman" w:hAnsi="Times New Roman" w:eastAsia="Times New Roman" w:cs="Times New Roman"/>
        <w:w w:val="100"/>
        <w:sz w:val="21"/>
        <w:szCs w:val="21"/>
        <w:lang w:val="zh-CN" w:eastAsia="zh-CN" w:bidi="zh-CN"/>
      </w:rPr>
    </w:lvl>
    <w:lvl w:ilvl="3">
      <w:start w:val="0"/>
      <w:numFmt w:val="bullet"/>
      <w:lvlText w:val="•"/>
      <w:lvlJc w:val="left"/>
      <w:pPr>
        <w:ind w:left="3672" w:hanging="632"/>
      </w:pPr>
      <w:rPr>
        <w:rFonts w:hint="default"/>
        <w:lang w:val="zh-CN" w:eastAsia="zh-CN" w:bidi="zh-CN"/>
      </w:rPr>
    </w:lvl>
    <w:lvl w:ilvl="4">
      <w:start w:val="0"/>
      <w:numFmt w:val="bullet"/>
      <w:lvlText w:val="•"/>
      <w:lvlJc w:val="left"/>
      <w:pPr>
        <w:ind w:left="4648" w:hanging="632"/>
      </w:pPr>
      <w:rPr>
        <w:rFonts w:hint="default"/>
        <w:lang w:val="zh-CN" w:eastAsia="zh-CN" w:bidi="zh-CN"/>
      </w:rPr>
    </w:lvl>
    <w:lvl w:ilvl="5">
      <w:start w:val="0"/>
      <w:numFmt w:val="bullet"/>
      <w:lvlText w:val="•"/>
      <w:lvlJc w:val="left"/>
      <w:pPr>
        <w:ind w:left="5625" w:hanging="632"/>
      </w:pPr>
      <w:rPr>
        <w:rFonts w:hint="default"/>
        <w:lang w:val="zh-CN" w:eastAsia="zh-CN" w:bidi="zh-CN"/>
      </w:rPr>
    </w:lvl>
    <w:lvl w:ilvl="6">
      <w:start w:val="0"/>
      <w:numFmt w:val="bullet"/>
      <w:lvlText w:val="•"/>
      <w:lvlJc w:val="left"/>
      <w:pPr>
        <w:ind w:left="6601" w:hanging="632"/>
      </w:pPr>
      <w:rPr>
        <w:rFonts w:hint="default"/>
        <w:lang w:val="zh-CN" w:eastAsia="zh-CN" w:bidi="zh-CN"/>
      </w:rPr>
    </w:lvl>
    <w:lvl w:ilvl="7">
      <w:start w:val="0"/>
      <w:numFmt w:val="bullet"/>
      <w:lvlText w:val="•"/>
      <w:lvlJc w:val="left"/>
      <w:pPr>
        <w:ind w:left="7577" w:hanging="632"/>
      </w:pPr>
      <w:rPr>
        <w:rFonts w:hint="default"/>
        <w:lang w:val="zh-CN" w:eastAsia="zh-CN" w:bidi="zh-CN"/>
      </w:rPr>
    </w:lvl>
    <w:lvl w:ilvl="8">
      <w:start w:val="0"/>
      <w:numFmt w:val="bullet"/>
      <w:lvlText w:val="•"/>
      <w:lvlJc w:val="left"/>
      <w:pPr>
        <w:ind w:left="8553" w:hanging="632"/>
      </w:pPr>
      <w:rPr>
        <w:rFonts w:hint="default"/>
        <w:lang w:val="zh-CN" w:eastAsia="zh-CN" w:bidi="zh-CN"/>
      </w:rPr>
    </w:lvl>
  </w:abstractNum>
  <w:abstractNum w:abstractNumId="88">
    <w:multiLevelType w:val="hybridMultilevel"/>
    <w:lvl w:ilvl="0">
      <w:start w:val="10"/>
      <w:numFmt w:val="decimal"/>
      <w:lvlText w:val="%1"/>
      <w:lvlJc w:val="left"/>
      <w:pPr>
        <w:ind w:left="1150" w:hanging="473"/>
        <w:jc w:val="left"/>
      </w:pPr>
      <w:rPr>
        <w:rFonts w:hint="default"/>
        <w:lang w:val="zh-CN" w:eastAsia="zh-CN" w:bidi="zh-CN"/>
      </w:rPr>
    </w:lvl>
    <w:lvl w:ilvl="1">
      <w:start w:val="3"/>
      <w:numFmt w:val="decimal"/>
      <w:lvlText w:val="%1.%2"/>
      <w:lvlJc w:val="left"/>
      <w:pPr>
        <w:ind w:left="1150" w:hanging="473"/>
        <w:jc w:val="left"/>
      </w:pPr>
      <w:rPr>
        <w:rFonts w:hint="default" w:ascii="Times New Roman" w:hAnsi="Times New Roman" w:eastAsia="Times New Roman" w:cs="Times New Roman"/>
        <w:b/>
        <w:bCs/>
        <w:w w:val="100"/>
        <w:sz w:val="21"/>
        <w:szCs w:val="21"/>
        <w:lang w:val="zh-CN" w:eastAsia="zh-CN" w:bidi="zh-CN"/>
      </w:rPr>
    </w:lvl>
    <w:lvl w:ilvl="2">
      <w:start w:val="1"/>
      <w:numFmt w:val="decimal"/>
      <w:lvlText w:val="%1.%2.%3"/>
      <w:lvlJc w:val="left"/>
      <w:pPr>
        <w:ind w:left="1698" w:hanging="579"/>
        <w:jc w:val="left"/>
      </w:pPr>
      <w:rPr>
        <w:rFonts w:hint="default" w:ascii="Times New Roman" w:hAnsi="Times New Roman" w:eastAsia="Times New Roman" w:cs="Times New Roman"/>
        <w:w w:val="100"/>
        <w:sz w:val="21"/>
        <w:szCs w:val="21"/>
        <w:lang w:val="zh-CN" w:eastAsia="zh-CN" w:bidi="zh-CN"/>
      </w:rPr>
    </w:lvl>
    <w:lvl w:ilvl="3">
      <w:start w:val="0"/>
      <w:numFmt w:val="bullet"/>
      <w:lvlText w:val="•"/>
      <w:lvlJc w:val="left"/>
      <w:pPr>
        <w:ind w:left="2818" w:hanging="579"/>
      </w:pPr>
      <w:rPr>
        <w:rFonts w:hint="default"/>
        <w:lang w:val="zh-CN" w:eastAsia="zh-CN" w:bidi="zh-CN"/>
      </w:rPr>
    </w:lvl>
    <w:lvl w:ilvl="4">
      <w:start w:val="0"/>
      <w:numFmt w:val="bullet"/>
      <w:lvlText w:val="•"/>
      <w:lvlJc w:val="left"/>
      <w:pPr>
        <w:ind w:left="3916" w:hanging="579"/>
      </w:pPr>
      <w:rPr>
        <w:rFonts w:hint="default"/>
        <w:lang w:val="zh-CN" w:eastAsia="zh-CN" w:bidi="zh-CN"/>
      </w:rPr>
    </w:lvl>
    <w:lvl w:ilvl="5">
      <w:start w:val="0"/>
      <w:numFmt w:val="bullet"/>
      <w:lvlText w:val="•"/>
      <w:lvlJc w:val="left"/>
      <w:pPr>
        <w:ind w:left="5014" w:hanging="579"/>
      </w:pPr>
      <w:rPr>
        <w:rFonts w:hint="default"/>
        <w:lang w:val="zh-CN" w:eastAsia="zh-CN" w:bidi="zh-CN"/>
      </w:rPr>
    </w:lvl>
    <w:lvl w:ilvl="6">
      <w:start w:val="0"/>
      <w:numFmt w:val="bullet"/>
      <w:lvlText w:val="•"/>
      <w:lvlJc w:val="left"/>
      <w:pPr>
        <w:ind w:left="6113" w:hanging="579"/>
      </w:pPr>
      <w:rPr>
        <w:rFonts w:hint="default"/>
        <w:lang w:val="zh-CN" w:eastAsia="zh-CN" w:bidi="zh-CN"/>
      </w:rPr>
    </w:lvl>
    <w:lvl w:ilvl="7">
      <w:start w:val="0"/>
      <w:numFmt w:val="bullet"/>
      <w:lvlText w:val="•"/>
      <w:lvlJc w:val="left"/>
      <w:pPr>
        <w:ind w:left="7211" w:hanging="579"/>
      </w:pPr>
      <w:rPr>
        <w:rFonts w:hint="default"/>
        <w:lang w:val="zh-CN" w:eastAsia="zh-CN" w:bidi="zh-CN"/>
      </w:rPr>
    </w:lvl>
    <w:lvl w:ilvl="8">
      <w:start w:val="0"/>
      <w:numFmt w:val="bullet"/>
      <w:lvlText w:val="•"/>
      <w:lvlJc w:val="left"/>
      <w:pPr>
        <w:ind w:left="8309" w:hanging="579"/>
      </w:pPr>
      <w:rPr>
        <w:rFonts w:hint="default"/>
        <w:lang w:val="zh-CN" w:eastAsia="zh-CN" w:bidi="zh-CN"/>
      </w:rPr>
    </w:lvl>
  </w:abstractNum>
  <w:abstractNum w:abstractNumId="87">
    <w:multiLevelType w:val="hybridMultilevel"/>
    <w:lvl w:ilvl="0">
      <w:start w:val="9"/>
      <w:numFmt w:val="decimal"/>
      <w:lvlText w:val="%1"/>
      <w:lvlJc w:val="left"/>
      <w:pPr>
        <w:ind w:left="1045" w:hanging="368"/>
        <w:jc w:val="left"/>
      </w:pPr>
      <w:rPr>
        <w:rFonts w:hint="default"/>
        <w:lang w:val="zh-CN" w:eastAsia="zh-CN" w:bidi="zh-CN"/>
      </w:rPr>
    </w:lvl>
    <w:lvl w:ilvl="1">
      <w:start w:val="4"/>
      <w:numFmt w:val="decimal"/>
      <w:lvlText w:val="%1.%2"/>
      <w:lvlJc w:val="left"/>
      <w:pPr>
        <w:ind w:left="1045" w:hanging="368"/>
        <w:jc w:val="left"/>
      </w:pPr>
      <w:rPr>
        <w:rFonts w:hint="default" w:ascii="Times New Roman" w:hAnsi="Times New Roman" w:eastAsia="Times New Roman" w:cs="Times New Roman"/>
        <w:b/>
        <w:bCs/>
        <w:w w:val="100"/>
        <w:sz w:val="21"/>
        <w:szCs w:val="21"/>
        <w:lang w:val="zh-CN" w:eastAsia="zh-CN" w:bidi="zh-CN"/>
      </w:rPr>
    </w:lvl>
    <w:lvl w:ilvl="2">
      <w:start w:val="0"/>
      <w:numFmt w:val="bullet"/>
      <w:lvlText w:val="•"/>
      <w:lvlJc w:val="left"/>
      <w:pPr>
        <w:ind w:left="2933" w:hanging="368"/>
      </w:pPr>
      <w:rPr>
        <w:rFonts w:hint="default"/>
        <w:lang w:val="zh-CN" w:eastAsia="zh-CN" w:bidi="zh-CN"/>
      </w:rPr>
    </w:lvl>
    <w:lvl w:ilvl="3">
      <w:start w:val="0"/>
      <w:numFmt w:val="bullet"/>
      <w:lvlText w:val="•"/>
      <w:lvlJc w:val="left"/>
      <w:pPr>
        <w:ind w:left="3879" w:hanging="368"/>
      </w:pPr>
      <w:rPr>
        <w:rFonts w:hint="default"/>
        <w:lang w:val="zh-CN" w:eastAsia="zh-CN" w:bidi="zh-CN"/>
      </w:rPr>
    </w:lvl>
    <w:lvl w:ilvl="4">
      <w:start w:val="0"/>
      <w:numFmt w:val="bullet"/>
      <w:lvlText w:val="•"/>
      <w:lvlJc w:val="left"/>
      <w:pPr>
        <w:ind w:left="4826" w:hanging="368"/>
      </w:pPr>
      <w:rPr>
        <w:rFonts w:hint="default"/>
        <w:lang w:val="zh-CN" w:eastAsia="zh-CN" w:bidi="zh-CN"/>
      </w:rPr>
    </w:lvl>
    <w:lvl w:ilvl="5">
      <w:start w:val="0"/>
      <w:numFmt w:val="bullet"/>
      <w:lvlText w:val="•"/>
      <w:lvlJc w:val="left"/>
      <w:pPr>
        <w:ind w:left="5773" w:hanging="368"/>
      </w:pPr>
      <w:rPr>
        <w:rFonts w:hint="default"/>
        <w:lang w:val="zh-CN" w:eastAsia="zh-CN" w:bidi="zh-CN"/>
      </w:rPr>
    </w:lvl>
    <w:lvl w:ilvl="6">
      <w:start w:val="0"/>
      <w:numFmt w:val="bullet"/>
      <w:lvlText w:val="•"/>
      <w:lvlJc w:val="left"/>
      <w:pPr>
        <w:ind w:left="6719" w:hanging="368"/>
      </w:pPr>
      <w:rPr>
        <w:rFonts w:hint="default"/>
        <w:lang w:val="zh-CN" w:eastAsia="zh-CN" w:bidi="zh-CN"/>
      </w:rPr>
    </w:lvl>
    <w:lvl w:ilvl="7">
      <w:start w:val="0"/>
      <w:numFmt w:val="bullet"/>
      <w:lvlText w:val="•"/>
      <w:lvlJc w:val="left"/>
      <w:pPr>
        <w:ind w:left="7666" w:hanging="368"/>
      </w:pPr>
      <w:rPr>
        <w:rFonts w:hint="default"/>
        <w:lang w:val="zh-CN" w:eastAsia="zh-CN" w:bidi="zh-CN"/>
      </w:rPr>
    </w:lvl>
    <w:lvl w:ilvl="8">
      <w:start w:val="0"/>
      <w:numFmt w:val="bullet"/>
      <w:lvlText w:val="•"/>
      <w:lvlJc w:val="left"/>
      <w:pPr>
        <w:ind w:left="8613" w:hanging="368"/>
      </w:pPr>
      <w:rPr>
        <w:rFonts w:hint="default"/>
        <w:lang w:val="zh-CN" w:eastAsia="zh-CN" w:bidi="zh-CN"/>
      </w:rPr>
    </w:lvl>
  </w:abstractNum>
  <w:abstractNum w:abstractNumId="86">
    <w:multiLevelType w:val="hybridMultilevel"/>
    <w:lvl w:ilvl="0">
      <w:start w:val="8"/>
      <w:numFmt w:val="decimal"/>
      <w:lvlText w:val="%1"/>
      <w:lvlJc w:val="left"/>
      <w:pPr>
        <w:ind w:left="1045" w:hanging="368"/>
        <w:jc w:val="left"/>
      </w:pPr>
      <w:rPr>
        <w:rFonts w:hint="default"/>
        <w:lang w:val="zh-CN" w:eastAsia="zh-CN" w:bidi="zh-CN"/>
      </w:rPr>
    </w:lvl>
    <w:lvl w:ilvl="1">
      <w:start w:val="8"/>
      <w:numFmt w:val="decimal"/>
      <w:lvlText w:val="%1.%2"/>
      <w:lvlJc w:val="left"/>
      <w:pPr>
        <w:ind w:left="1045" w:hanging="368"/>
        <w:jc w:val="left"/>
      </w:pPr>
      <w:rPr>
        <w:rFonts w:hint="default" w:ascii="Times New Roman" w:hAnsi="Times New Roman" w:eastAsia="Times New Roman" w:cs="Times New Roman"/>
        <w:b/>
        <w:bCs/>
        <w:w w:val="100"/>
        <w:sz w:val="21"/>
        <w:szCs w:val="21"/>
        <w:lang w:val="zh-CN" w:eastAsia="zh-CN" w:bidi="zh-CN"/>
      </w:rPr>
    </w:lvl>
    <w:lvl w:ilvl="2">
      <w:start w:val="1"/>
      <w:numFmt w:val="decimal"/>
      <w:lvlText w:val="%1.%2.%3"/>
      <w:lvlJc w:val="left"/>
      <w:pPr>
        <w:ind w:left="1623" w:hanging="526"/>
        <w:jc w:val="left"/>
      </w:pPr>
      <w:rPr>
        <w:rFonts w:hint="default" w:ascii="Times New Roman" w:hAnsi="Times New Roman" w:eastAsia="Times New Roman" w:cs="Times New Roman"/>
        <w:w w:val="100"/>
        <w:sz w:val="21"/>
        <w:szCs w:val="21"/>
        <w:lang w:val="zh-CN" w:eastAsia="zh-CN" w:bidi="zh-CN"/>
      </w:rPr>
    </w:lvl>
    <w:lvl w:ilvl="3">
      <w:start w:val="0"/>
      <w:numFmt w:val="bullet"/>
      <w:lvlText w:val="•"/>
      <w:lvlJc w:val="left"/>
      <w:pPr>
        <w:ind w:left="3594" w:hanging="526"/>
      </w:pPr>
      <w:rPr>
        <w:rFonts w:hint="default"/>
        <w:lang w:val="zh-CN" w:eastAsia="zh-CN" w:bidi="zh-CN"/>
      </w:rPr>
    </w:lvl>
    <w:lvl w:ilvl="4">
      <w:start w:val="0"/>
      <w:numFmt w:val="bullet"/>
      <w:lvlText w:val="•"/>
      <w:lvlJc w:val="left"/>
      <w:pPr>
        <w:ind w:left="4582" w:hanging="526"/>
      </w:pPr>
      <w:rPr>
        <w:rFonts w:hint="default"/>
        <w:lang w:val="zh-CN" w:eastAsia="zh-CN" w:bidi="zh-CN"/>
      </w:rPr>
    </w:lvl>
    <w:lvl w:ilvl="5">
      <w:start w:val="0"/>
      <w:numFmt w:val="bullet"/>
      <w:lvlText w:val="•"/>
      <w:lvlJc w:val="left"/>
      <w:pPr>
        <w:ind w:left="5569" w:hanging="526"/>
      </w:pPr>
      <w:rPr>
        <w:rFonts w:hint="default"/>
        <w:lang w:val="zh-CN" w:eastAsia="zh-CN" w:bidi="zh-CN"/>
      </w:rPr>
    </w:lvl>
    <w:lvl w:ilvl="6">
      <w:start w:val="0"/>
      <w:numFmt w:val="bullet"/>
      <w:lvlText w:val="•"/>
      <w:lvlJc w:val="left"/>
      <w:pPr>
        <w:ind w:left="6556" w:hanging="526"/>
      </w:pPr>
      <w:rPr>
        <w:rFonts w:hint="default"/>
        <w:lang w:val="zh-CN" w:eastAsia="zh-CN" w:bidi="zh-CN"/>
      </w:rPr>
    </w:lvl>
    <w:lvl w:ilvl="7">
      <w:start w:val="0"/>
      <w:numFmt w:val="bullet"/>
      <w:lvlText w:val="•"/>
      <w:lvlJc w:val="left"/>
      <w:pPr>
        <w:ind w:left="7544" w:hanging="526"/>
      </w:pPr>
      <w:rPr>
        <w:rFonts w:hint="default"/>
        <w:lang w:val="zh-CN" w:eastAsia="zh-CN" w:bidi="zh-CN"/>
      </w:rPr>
    </w:lvl>
    <w:lvl w:ilvl="8">
      <w:start w:val="0"/>
      <w:numFmt w:val="bullet"/>
      <w:lvlText w:val="•"/>
      <w:lvlJc w:val="left"/>
      <w:pPr>
        <w:ind w:left="8531" w:hanging="526"/>
      </w:pPr>
      <w:rPr>
        <w:rFonts w:hint="default"/>
        <w:lang w:val="zh-CN" w:eastAsia="zh-CN" w:bidi="zh-CN"/>
      </w:rPr>
    </w:lvl>
  </w:abstractNum>
  <w:abstractNum w:abstractNumId="85">
    <w:multiLevelType w:val="hybridMultilevel"/>
    <w:lvl w:ilvl="0">
      <w:start w:val="8"/>
      <w:numFmt w:val="decimal"/>
      <w:lvlText w:val="%1"/>
      <w:lvlJc w:val="left"/>
      <w:pPr>
        <w:ind w:left="1045" w:hanging="368"/>
        <w:jc w:val="left"/>
      </w:pPr>
      <w:rPr>
        <w:rFonts w:hint="default"/>
        <w:lang w:val="zh-CN" w:eastAsia="zh-CN" w:bidi="zh-CN"/>
      </w:rPr>
    </w:lvl>
    <w:lvl w:ilvl="1">
      <w:start w:val="6"/>
      <w:numFmt w:val="decimal"/>
      <w:lvlText w:val="%1.%2"/>
      <w:lvlJc w:val="left"/>
      <w:pPr>
        <w:ind w:left="1045" w:hanging="368"/>
        <w:jc w:val="left"/>
      </w:pPr>
      <w:rPr>
        <w:rFonts w:hint="default" w:ascii="Times New Roman" w:hAnsi="Times New Roman" w:eastAsia="Times New Roman" w:cs="Times New Roman"/>
        <w:b/>
        <w:bCs/>
        <w:w w:val="100"/>
        <w:sz w:val="21"/>
        <w:szCs w:val="21"/>
        <w:lang w:val="zh-CN" w:eastAsia="zh-CN" w:bidi="zh-CN"/>
      </w:rPr>
    </w:lvl>
    <w:lvl w:ilvl="2">
      <w:start w:val="1"/>
      <w:numFmt w:val="decimal"/>
      <w:lvlText w:val="%1.%2.%3"/>
      <w:lvlJc w:val="left"/>
      <w:pPr>
        <w:ind w:left="1623" w:hanging="526"/>
        <w:jc w:val="left"/>
      </w:pPr>
      <w:rPr>
        <w:rFonts w:hint="default" w:ascii="Times New Roman" w:hAnsi="Times New Roman" w:eastAsia="Times New Roman" w:cs="Times New Roman"/>
        <w:w w:val="100"/>
        <w:sz w:val="21"/>
        <w:szCs w:val="21"/>
        <w:lang w:val="zh-CN" w:eastAsia="zh-CN" w:bidi="zh-CN"/>
      </w:rPr>
    </w:lvl>
    <w:lvl w:ilvl="3">
      <w:start w:val="0"/>
      <w:numFmt w:val="bullet"/>
      <w:lvlText w:val="•"/>
      <w:lvlJc w:val="left"/>
      <w:pPr>
        <w:ind w:left="3594" w:hanging="526"/>
      </w:pPr>
      <w:rPr>
        <w:rFonts w:hint="default"/>
        <w:lang w:val="zh-CN" w:eastAsia="zh-CN" w:bidi="zh-CN"/>
      </w:rPr>
    </w:lvl>
    <w:lvl w:ilvl="4">
      <w:start w:val="0"/>
      <w:numFmt w:val="bullet"/>
      <w:lvlText w:val="•"/>
      <w:lvlJc w:val="left"/>
      <w:pPr>
        <w:ind w:left="4582" w:hanging="526"/>
      </w:pPr>
      <w:rPr>
        <w:rFonts w:hint="default"/>
        <w:lang w:val="zh-CN" w:eastAsia="zh-CN" w:bidi="zh-CN"/>
      </w:rPr>
    </w:lvl>
    <w:lvl w:ilvl="5">
      <w:start w:val="0"/>
      <w:numFmt w:val="bullet"/>
      <w:lvlText w:val="•"/>
      <w:lvlJc w:val="left"/>
      <w:pPr>
        <w:ind w:left="5569" w:hanging="526"/>
      </w:pPr>
      <w:rPr>
        <w:rFonts w:hint="default"/>
        <w:lang w:val="zh-CN" w:eastAsia="zh-CN" w:bidi="zh-CN"/>
      </w:rPr>
    </w:lvl>
    <w:lvl w:ilvl="6">
      <w:start w:val="0"/>
      <w:numFmt w:val="bullet"/>
      <w:lvlText w:val="•"/>
      <w:lvlJc w:val="left"/>
      <w:pPr>
        <w:ind w:left="6556" w:hanging="526"/>
      </w:pPr>
      <w:rPr>
        <w:rFonts w:hint="default"/>
        <w:lang w:val="zh-CN" w:eastAsia="zh-CN" w:bidi="zh-CN"/>
      </w:rPr>
    </w:lvl>
    <w:lvl w:ilvl="7">
      <w:start w:val="0"/>
      <w:numFmt w:val="bullet"/>
      <w:lvlText w:val="•"/>
      <w:lvlJc w:val="left"/>
      <w:pPr>
        <w:ind w:left="7544" w:hanging="526"/>
      </w:pPr>
      <w:rPr>
        <w:rFonts w:hint="default"/>
        <w:lang w:val="zh-CN" w:eastAsia="zh-CN" w:bidi="zh-CN"/>
      </w:rPr>
    </w:lvl>
    <w:lvl w:ilvl="8">
      <w:start w:val="0"/>
      <w:numFmt w:val="bullet"/>
      <w:lvlText w:val="•"/>
      <w:lvlJc w:val="left"/>
      <w:pPr>
        <w:ind w:left="8531" w:hanging="526"/>
      </w:pPr>
      <w:rPr>
        <w:rFonts w:hint="default"/>
        <w:lang w:val="zh-CN" w:eastAsia="zh-CN" w:bidi="zh-CN"/>
      </w:rPr>
    </w:lvl>
  </w:abstractNum>
  <w:abstractNum w:abstractNumId="84">
    <w:multiLevelType w:val="hybridMultilevel"/>
    <w:lvl w:ilvl="0">
      <w:start w:val="8"/>
      <w:numFmt w:val="decimal"/>
      <w:lvlText w:val="%1"/>
      <w:lvlJc w:val="left"/>
      <w:pPr>
        <w:ind w:left="1045" w:hanging="368"/>
        <w:jc w:val="left"/>
      </w:pPr>
      <w:rPr>
        <w:rFonts w:hint="default"/>
        <w:lang w:val="zh-CN" w:eastAsia="zh-CN" w:bidi="zh-CN"/>
      </w:rPr>
    </w:lvl>
    <w:lvl w:ilvl="1">
      <w:start w:val="4"/>
      <w:numFmt w:val="decimal"/>
      <w:lvlText w:val="%1.%2"/>
      <w:lvlJc w:val="left"/>
      <w:pPr>
        <w:ind w:left="1045" w:hanging="368"/>
        <w:jc w:val="left"/>
      </w:pPr>
      <w:rPr>
        <w:rFonts w:hint="default" w:ascii="Times New Roman" w:hAnsi="Times New Roman" w:eastAsia="Times New Roman" w:cs="Times New Roman"/>
        <w:b/>
        <w:bCs/>
        <w:w w:val="100"/>
        <w:sz w:val="21"/>
        <w:szCs w:val="21"/>
        <w:lang w:val="zh-CN" w:eastAsia="zh-CN" w:bidi="zh-CN"/>
      </w:rPr>
    </w:lvl>
    <w:lvl w:ilvl="2">
      <w:start w:val="1"/>
      <w:numFmt w:val="decimal"/>
      <w:lvlText w:val="%1.%2.%3"/>
      <w:lvlJc w:val="left"/>
      <w:pPr>
        <w:ind w:left="1570" w:hanging="473"/>
        <w:jc w:val="left"/>
      </w:pPr>
      <w:rPr>
        <w:rFonts w:hint="default" w:ascii="Times New Roman" w:hAnsi="Times New Roman" w:eastAsia="Times New Roman" w:cs="Times New Roman"/>
        <w:w w:val="100"/>
        <w:sz w:val="21"/>
        <w:szCs w:val="21"/>
        <w:lang w:val="zh-CN" w:eastAsia="zh-CN" w:bidi="zh-CN"/>
      </w:rPr>
    </w:lvl>
    <w:lvl w:ilvl="3">
      <w:start w:val="0"/>
      <w:numFmt w:val="bullet"/>
      <w:lvlText w:val="•"/>
      <w:lvlJc w:val="left"/>
      <w:pPr>
        <w:ind w:left="3563" w:hanging="473"/>
      </w:pPr>
      <w:rPr>
        <w:rFonts w:hint="default"/>
        <w:lang w:val="zh-CN" w:eastAsia="zh-CN" w:bidi="zh-CN"/>
      </w:rPr>
    </w:lvl>
    <w:lvl w:ilvl="4">
      <w:start w:val="0"/>
      <w:numFmt w:val="bullet"/>
      <w:lvlText w:val="•"/>
      <w:lvlJc w:val="left"/>
      <w:pPr>
        <w:ind w:left="4555" w:hanging="473"/>
      </w:pPr>
      <w:rPr>
        <w:rFonts w:hint="default"/>
        <w:lang w:val="zh-CN" w:eastAsia="zh-CN" w:bidi="zh-CN"/>
      </w:rPr>
    </w:lvl>
    <w:lvl w:ilvl="5">
      <w:start w:val="0"/>
      <w:numFmt w:val="bullet"/>
      <w:lvlText w:val="•"/>
      <w:lvlJc w:val="left"/>
      <w:pPr>
        <w:ind w:left="5547" w:hanging="473"/>
      </w:pPr>
      <w:rPr>
        <w:rFonts w:hint="default"/>
        <w:lang w:val="zh-CN" w:eastAsia="zh-CN" w:bidi="zh-CN"/>
      </w:rPr>
    </w:lvl>
    <w:lvl w:ilvl="6">
      <w:start w:val="0"/>
      <w:numFmt w:val="bullet"/>
      <w:lvlText w:val="•"/>
      <w:lvlJc w:val="left"/>
      <w:pPr>
        <w:ind w:left="6539" w:hanging="473"/>
      </w:pPr>
      <w:rPr>
        <w:rFonts w:hint="default"/>
        <w:lang w:val="zh-CN" w:eastAsia="zh-CN" w:bidi="zh-CN"/>
      </w:rPr>
    </w:lvl>
    <w:lvl w:ilvl="7">
      <w:start w:val="0"/>
      <w:numFmt w:val="bullet"/>
      <w:lvlText w:val="•"/>
      <w:lvlJc w:val="left"/>
      <w:pPr>
        <w:ind w:left="7530" w:hanging="473"/>
      </w:pPr>
      <w:rPr>
        <w:rFonts w:hint="default"/>
        <w:lang w:val="zh-CN" w:eastAsia="zh-CN" w:bidi="zh-CN"/>
      </w:rPr>
    </w:lvl>
    <w:lvl w:ilvl="8">
      <w:start w:val="0"/>
      <w:numFmt w:val="bullet"/>
      <w:lvlText w:val="•"/>
      <w:lvlJc w:val="left"/>
      <w:pPr>
        <w:ind w:left="8522" w:hanging="473"/>
      </w:pPr>
      <w:rPr>
        <w:rFonts w:hint="default"/>
        <w:lang w:val="zh-CN" w:eastAsia="zh-CN" w:bidi="zh-CN"/>
      </w:rPr>
    </w:lvl>
  </w:abstractNum>
  <w:abstractNum w:abstractNumId="83">
    <w:multiLevelType w:val="hybridMultilevel"/>
    <w:lvl w:ilvl="0">
      <w:start w:val="1"/>
      <w:numFmt w:val="decimal"/>
      <w:lvlText w:val="（%1）"/>
      <w:lvlJc w:val="left"/>
      <w:pPr>
        <w:ind w:left="16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08" w:hanging="529"/>
      </w:pPr>
      <w:rPr>
        <w:rFonts w:hint="default"/>
        <w:lang w:val="zh-CN" w:eastAsia="zh-CN" w:bidi="zh-CN"/>
      </w:rPr>
    </w:lvl>
    <w:lvl w:ilvl="2">
      <w:start w:val="0"/>
      <w:numFmt w:val="bullet"/>
      <w:lvlText w:val="•"/>
      <w:lvlJc w:val="left"/>
      <w:pPr>
        <w:ind w:left="3397" w:hanging="529"/>
      </w:pPr>
      <w:rPr>
        <w:rFonts w:hint="default"/>
        <w:lang w:val="zh-CN" w:eastAsia="zh-CN" w:bidi="zh-CN"/>
      </w:rPr>
    </w:lvl>
    <w:lvl w:ilvl="3">
      <w:start w:val="0"/>
      <w:numFmt w:val="bullet"/>
      <w:lvlText w:val="•"/>
      <w:lvlJc w:val="left"/>
      <w:pPr>
        <w:ind w:left="4285" w:hanging="529"/>
      </w:pPr>
      <w:rPr>
        <w:rFonts w:hint="default"/>
        <w:lang w:val="zh-CN" w:eastAsia="zh-CN" w:bidi="zh-CN"/>
      </w:rPr>
    </w:lvl>
    <w:lvl w:ilvl="4">
      <w:start w:val="0"/>
      <w:numFmt w:val="bullet"/>
      <w:lvlText w:val="•"/>
      <w:lvlJc w:val="left"/>
      <w:pPr>
        <w:ind w:left="5174" w:hanging="529"/>
      </w:pPr>
      <w:rPr>
        <w:rFonts w:hint="default"/>
        <w:lang w:val="zh-CN" w:eastAsia="zh-CN" w:bidi="zh-CN"/>
      </w:rPr>
    </w:lvl>
    <w:lvl w:ilvl="5">
      <w:start w:val="0"/>
      <w:numFmt w:val="bullet"/>
      <w:lvlText w:val="•"/>
      <w:lvlJc w:val="left"/>
      <w:pPr>
        <w:ind w:left="6063" w:hanging="529"/>
      </w:pPr>
      <w:rPr>
        <w:rFonts w:hint="default"/>
        <w:lang w:val="zh-CN" w:eastAsia="zh-CN" w:bidi="zh-CN"/>
      </w:rPr>
    </w:lvl>
    <w:lvl w:ilvl="6">
      <w:start w:val="0"/>
      <w:numFmt w:val="bullet"/>
      <w:lvlText w:val="•"/>
      <w:lvlJc w:val="left"/>
      <w:pPr>
        <w:ind w:left="6951" w:hanging="529"/>
      </w:pPr>
      <w:rPr>
        <w:rFonts w:hint="default"/>
        <w:lang w:val="zh-CN" w:eastAsia="zh-CN" w:bidi="zh-CN"/>
      </w:rPr>
    </w:lvl>
    <w:lvl w:ilvl="7">
      <w:start w:val="0"/>
      <w:numFmt w:val="bullet"/>
      <w:lvlText w:val="•"/>
      <w:lvlJc w:val="left"/>
      <w:pPr>
        <w:ind w:left="7840" w:hanging="529"/>
      </w:pPr>
      <w:rPr>
        <w:rFonts w:hint="default"/>
        <w:lang w:val="zh-CN" w:eastAsia="zh-CN" w:bidi="zh-CN"/>
      </w:rPr>
    </w:lvl>
    <w:lvl w:ilvl="8">
      <w:start w:val="0"/>
      <w:numFmt w:val="bullet"/>
      <w:lvlText w:val="•"/>
      <w:lvlJc w:val="left"/>
      <w:pPr>
        <w:ind w:left="8729" w:hanging="529"/>
      </w:pPr>
      <w:rPr>
        <w:rFonts w:hint="default"/>
        <w:lang w:val="zh-CN" w:eastAsia="zh-CN" w:bidi="zh-CN"/>
      </w:rPr>
    </w:lvl>
  </w:abstractNum>
  <w:abstractNum w:abstractNumId="82">
    <w:multiLevelType w:val="hybridMultilevel"/>
    <w:lvl w:ilvl="0">
      <w:start w:val="6"/>
      <w:numFmt w:val="decimal"/>
      <w:lvlText w:val="%1"/>
      <w:lvlJc w:val="left"/>
      <w:pPr>
        <w:ind w:left="678" w:hanging="526"/>
        <w:jc w:val="left"/>
      </w:pPr>
      <w:rPr>
        <w:rFonts w:hint="default"/>
        <w:lang w:val="zh-CN" w:eastAsia="zh-CN" w:bidi="zh-CN"/>
      </w:rPr>
    </w:lvl>
    <w:lvl w:ilvl="1">
      <w:start w:val="1"/>
      <w:numFmt w:val="decimal"/>
      <w:lvlText w:val="%1.%2"/>
      <w:lvlJc w:val="left"/>
      <w:pPr>
        <w:ind w:left="678" w:hanging="526"/>
        <w:jc w:val="left"/>
      </w:pPr>
      <w:rPr>
        <w:rFonts w:hint="default"/>
        <w:lang w:val="zh-CN" w:eastAsia="zh-CN" w:bidi="zh-CN"/>
      </w:rPr>
    </w:lvl>
    <w:lvl w:ilvl="2">
      <w:start w:val="4"/>
      <w:numFmt w:val="decimal"/>
      <w:lvlText w:val="%1.%2.%3"/>
      <w:lvlJc w:val="left"/>
      <w:pPr>
        <w:ind w:left="678" w:hanging="526"/>
        <w:jc w:val="left"/>
      </w:pPr>
      <w:rPr>
        <w:rFonts w:hint="default" w:ascii="Times New Roman" w:hAnsi="Times New Roman" w:eastAsia="Times New Roman" w:cs="Times New Roman"/>
        <w:w w:val="100"/>
        <w:sz w:val="21"/>
        <w:szCs w:val="21"/>
        <w:lang w:val="zh-CN" w:eastAsia="zh-CN" w:bidi="zh-CN"/>
      </w:rPr>
    </w:lvl>
    <w:lvl w:ilvl="3">
      <w:start w:val="0"/>
      <w:numFmt w:val="bullet"/>
      <w:lvlText w:val="•"/>
      <w:lvlJc w:val="left"/>
      <w:pPr>
        <w:ind w:left="3627" w:hanging="526"/>
      </w:pPr>
      <w:rPr>
        <w:rFonts w:hint="default"/>
        <w:lang w:val="zh-CN" w:eastAsia="zh-CN" w:bidi="zh-CN"/>
      </w:rPr>
    </w:lvl>
    <w:lvl w:ilvl="4">
      <w:start w:val="0"/>
      <w:numFmt w:val="bullet"/>
      <w:lvlText w:val="•"/>
      <w:lvlJc w:val="left"/>
      <w:pPr>
        <w:ind w:left="4610" w:hanging="526"/>
      </w:pPr>
      <w:rPr>
        <w:rFonts w:hint="default"/>
        <w:lang w:val="zh-CN" w:eastAsia="zh-CN" w:bidi="zh-CN"/>
      </w:rPr>
    </w:lvl>
    <w:lvl w:ilvl="5">
      <w:start w:val="0"/>
      <w:numFmt w:val="bullet"/>
      <w:lvlText w:val="•"/>
      <w:lvlJc w:val="left"/>
      <w:pPr>
        <w:ind w:left="5593" w:hanging="526"/>
      </w:pPr>
      <w:rPr>
        <w:rFonts w:hint="default"/>
        <w:lang w:val="zh-CN" w:eastAsia="zh-CN" w:bidi="zh-CN"/>
      </w:rPr>
    </w:lvl>
    <w:lvl w:ilvl="6">
      <w:start w:val="0"/>
      <w:numFmt w:val="bullet"/>
      <w:lvlText w:val="•"/>
      <w:lvlJc w:val="left"/>
      <w:pPr>
        <w:ind w:left="6575" w:hanging="526"/>
      </w:pPr>
      <w:rPr>
        <w:rFonts w:hint="default"/>
        <w:lang w:val="zh-CN" w:eastAsia="zh-CN" w:bidi="zh-CN"/>
      </w:rPr>
    </w:lvl>
    <w:lvl w:ilvl="7">
      <w:start w:val="0"/>
      <w:numFmt w:val="bullet"/>
      <w:lvlText w:val="•"/>
      <w:lvlJc w:val="left"/>
      <w:pPr>
        <w:ind w:left="7558" w:hanging="526"/>
      </w:pPr>
      <w:rPr>
        <w:rFonts w:hint="default"/>
        <w:lang w:val="zh-CN" w:eastAsia="zh-CN" w:bidi="zh-CN"/>
      </w:rPr>
    </w:lvl>
    <w:lvl w:ilvl="8">
      <w:start w:val="0"/>
      <w:numFmt w:val="bullet"/>
      <w:lvlText w:val="•"/>
      <w:lvlJc w:val="left"/>
      <w:pPr>
        <w:ind w:left="8541" w:hanging="526"/>
      </w:pPr>
      <w:rPr>
        <w:rFonts w:hint="default"/>
        <w:lang w:val="zh-CN" w:eastAsia="zh-CN" w:bidi="zh-CN"/>
      </w:rPr>
    </w:lvl>
  </w:abstractNum>
  <w:abstractNum w:abstractNumId="81">
    <w:multiLevelType w:val="hybridMultilevel"/>
    <w:lvl w:ilvl="0">
      <w:start w:val="1"/>
      <w:numFmt w:val="decimal"/>
      <w:lvlText w:val="（%1）"/>
      <w:lvlJc w:val="left"/>
      <w:pPr>
        <w:ind w:left="678" w:hanging="529"/>
        <w:jc w:val="left"/>
      </w:pPr>
      <w:rPr>
        <w:rFonts w:hint="default" w:ascii="宋体" w:hAnsi="宋体" w:eastAsia="宋体" w:cs="宋体"/>
        <w:spacing w:val="-12"/>
        <w:w w:val="100"/>
        <w:sz w:val="19"/>
        <w:szCs w:val="19"/>
        <w:lang w:val="zh-CN" w:eastAsia="zh-CN" w:bidi="zh-CN"/>
      </w:rPr>
    </w:lvl>
    <w:lvl w:ilvl="1">
      <w:start w:val="0"/>
      <w:numFmt w:val="bullet"/>
      <w:lvlText w:val="•"/>
      <w:lvlJc w:val="left"/>
      <w:pPr>
        <w:ind w:left="1662" w:hanging="529"/>
      </w:pPr>
      <w:rPr>
        <w:rFonts w:hint="default"/>
        <w:lang w:val="zh-CN" w:eastAsia="zh-CN" w:bidi="zh-CN"/>
      </w:rPr>
    </w:lvl>
    <w:lvl w:ilvl="2">
      <w:start w:val="0"/>
      <w:numFmt w:val="bullet"/>
      <w:lvlText w:val="•"/>
      <w:lvlJc w:val="left"/>
      <w:pPr>
        <w:ind w:left="2645" w:hanging="529"/>
      </w:pPr>
      <w:rPr>
        <w:rFonts w:hint="default"/>
        <w:lang w:val="zh-CN" w:eastAsia="zh-CN" w:bidi="zh-CN"/>
      </w:rPr>
    </w:lvl>
    <w:lvl w:ilvl="3">
      <w:start w:val="0"/>
      <w:numFmt w:val="bullet"/>
      <w:lvlText w:val="•"/>
      <w:lvlJc w:val="left"/>
      <w:pPr>
        <w:ind w:left="3627" w:hanging="529"/>
      </w:pPr>
      <w:rPr>
        <w:rFonts w:hint="default"/>
        <w:lang w:val="zh-CN" w:eastAsia="zh-CN" w:bidi="zh-CN"/>
      </w:rPr>
    </w:lvl>
    <w:lvl w:ilvl="4">
      <w:start w:val="0"/>
      <w:numFmt w:val="bullet"/>
      <w:lvlText w:val="•"/>
      <w:lvlJc w:val="left"/>
      <w:pPr>
        <w:ind w:left="4610" w:hanging="529"/>
      </w:pPr>
      <w:rPr>
        <w:rFonts w:hint="default"/>
        <w:lang w:val="zh-CN" w:eastAsia="zh-CN" w:bidi="zh-CN"/>
      </w:rPr>
    </w:lvl>
    <w:lvl w:ilvl="5">
      <w:start w:val="0"/>
      <w:numFmt w:val="bullet"/>
      <w:lvlText w:val="•"/>
      <w:lvlJc w:val="left"/>
      <w:pPr>
        <w:ind w:left="5593" w:hanging="529"/>
      </w:pPr>
      <w:rPr>
        <w:rFonts w:hint="default"/>
        <w:lang w:val="zh-CN" w:eastAsia="zh-CN" w:bidi="zh-CN"/>
      </w:rPr>
    </w:lvl>
    <w:lvl w:ilvl="6">
      <w:start w:val="0"/>
      <w:numFmt w:val="bullet"/>
      <w:lvlText w:val="•"/>
      <w:lvlJc w:val="left"/>
      <w:pPr>
        <w:ind w:left="6575" w:hanging="529"/>
      </w:pPr>
      <w:rPr>
        <w:rFonts w:hint="default"/>
        <w:lang w:val="zh-CN" w:eastAsia="zh-CN" w:bidi="zh-CN"/>
      </w:rPr>
    </w:lvl>
    <w:lvl w:ilvl="7">
      <w:start w:val="0"/>
      <w:numFmt w:val="bullet"/>
      <w:lvlText w:val="•"/>
      <w:lvlJc w:val="left"/>
      <w:pPr>
        <w:ind w:left="7558" w:hanging="529"/>
      </w:pPr>
      <w:rPr>
        <w:rFonts w:hint="default"/>
        <w:lang w:val="zh-CN" w:eastAsia="zh-CN" w:bidi="zh-CN"/>
      </w:rPr>
    </w:lvl>
    <w:lvl w:ilvl="8">
      <w:start w:val="0"/>
      <w:numFmt w:val="bullet"/>
      <w:lvlText w:val="•"/>
      <w:lvlJc w:val="left"/>
      <w:pPr>
        <w:ind w:left="8541" w:hanging="529"/>
      </w:pPr>
      <w:rPr>
        <w:rFonts w:hint="default"/>
        <w:lang w:val="zh-CN" w:eastAsia="zh-CN" w:bidi="zh-CN"/>
      </w:rPr>
    </w:lvl>
  </w:abstractNum>
  <w:abstractNum w:abstractNumId="80">
    <w:multiLevelType w:val="hybridMultilevel"/>
    <w:lvl w:ilvl="0">
      <w:start w:val="3"/>
      <w:numFmt w:val="decimal"/>
      <w:lvlText w:val="%1"/>
      <w:lvlJc w:val="left"/>
      <w:pPr>
        <w:ind w:left="1045" w:hanging="368"/>
        <w:jc w:val="left"/>
      </w:pPr>
      <w:rPr>
        <w:rFonts w:hint="default"/>
        <w:lang w:val="zh-CN" w:eastAsia="zh-CN" w:bidi="zh-CN"/>
      </w:rPr>
    </w:lvl>
    <w:lvl w:ilvl="1">
      <w:start w:val="5"/>
      <w:numFmt w:val="decimal"/>
      <w:lvlText w:val="%1.%2"/>
      <w:lvlJc w:val="left"/>
      <w:pPr>
        <w:ind w:left="1045" w:hanging="368"/>
        <w:jc w:val="left"/>
      </w:pPr>
      <w:rPr>
        <w:rFonts w:hint="default" w:ascii="Times New Roman" w:hAnsi="Times New Roman" w:eastAsia="Times New Roman" w:cs="Times New Roman"/>
        <w:b/>
        <w:bCs/>
        <w:w w:val="100"/>
        <w:sz w:val="21"/>
        <w:szCs w:val="21"/>
        <w:lang w:val="zh-CN" w:eastAsia="zh-CN" w:bidi="zh-CN"/>
      </w:rPr>
    </w:lvl>
    <w:lvl w:ilvl="2">
      <w:start w:val="1"/>
      <w:numFmt w:val="decimal"/>
      <w:lvlText w:val="%1.%2.%3"/>
      <w:lvlJc w:val="left"/>
      <w:pPr>
        <w:ind w:left="1623" w:hanging="526"/>
        <w:jc w:val="left"/>
      </w:pPr>
      <w:rPr>
        <w:rFonts w:hint="default" w:ascii="Times New Roman" w:hAnsi="Times New Roman" w:eastAsia="Times New Roman" w:cs="Times New Roman"/>
        <w:w w:val="100"/>
        <w:sz w:val="21"/>
        <w:szCs w:val="21"/>
        <w:lang w:val="zh-CN" w:eastAsia="zh-CN" w:bidi="zh-CN"/>
      </w:rPr>
    </w:lvl>
    <w:lvl w:ilvl="3">
      <w:start w:val="0"/>
      <w:numFmt w:val="bullet"/>
      <w:lvlText w:val="•"/>
      <w:lvlJc w:val="left"/>
      <w:pPr>
        <w:ind w:left="3594" w:hanging="526"/>
      </w:pPr>
      <w:rPr>
        <w:rFonts w:hint="default"/>
        <w:lang w:val="zh-CN" w:eastAsia="zh-CN" w:bidi="zh-CN"/>
      </w:rPr>
    </w:lvl>
    <w:lvl w:ilvl="4">
      <w:start w:val="0"/>
      <w:numFmt w:val="bullet"/>
      <w:lvlText w:val="•"/>
      <w:lvlJc w:val="left"/>
      <w:pPr>
        <w:ind w:left="4582" w:hanging="526"/>
      </w:pPr>
      <w:rPr>
        <w:rFonts w:hint="default"/>
        <w:lang w:val="zh-CN" w:eastAsia="zh-CN" w:bidi="zh-CN"/>
      </w:rPr>
    </w:lvl>
    <w:lvl w:ilvl="5">
      <w:start w:val="0"/>
      <w:numFmt w:val="bullet"/>
      <w:lvlText w:val="•"/>
      <w:lvlJc w:val="left"/>
      <w:pPr>
        <w:ind w:left="5569" w:hanging="526"/>
      </w:pPr>
      <w:rPr>
        <w:rFonts w:hint="default"/>
        <w:lang w:val="zh-CN" w:eastAsia="zh-CN" w:bidi="zh-CN"/>
      </w:rPr>
    </w:lvl>
    <w:lvl w:ilvl="6">
      <w:start w:val="0"/>
      <w:numFmt w:val="bullet"/>
      <w:lvlText w:val="•"/>
      <w:lvlJc w:val="left"/>
      <w:pPr>
        <w:ind w:left="6556" w:hanging="526"/>
      </w:pPr>
      <w:rPr>
        <w:rFonts w:hint="default"/>
        <w:lang w:val="zh-CN" w:eastAsia="zh-CN" w:bidi="zh-CN"/>
      </w:rPr>
    </w:lvl>
    <w:lvl w:ilvl="7">
      <w:start w:val="0"/>
      <w:numFmt w:val="bullet"/>
      <w:lvlText w:val="•"/>
      <w:lvlJc w:val="left"/>
      <w:pPr>
        <w:ind w:left="7544" w:hanging="526"/>
      </w:pPr>
      <w:rPr>
        <w:rFonts w:hint="default"/>
        <w:lang w:val="zh-CN" w:eastAsia="zh-CN" w:bidi="zh-CN"/>
      </w:rPr>
    </w:lvl>
    <w:lvl w:ilvl="8">
      <w:start w:val="0"/>
      <w:numFmt w:val="bullet"/>
      <w:lvlText w:val="•"/>
      <w:lvlJc w:val="left"/>
      <w:pPr>
        <w:ind w:left="8531" w:hanging="526"/>
      </w:pPr>
      <w:rPr>
        <w:rFonts w:hint="default"/>
        <w:lang w:val="zh-CN" w:eastAsia="zh-CN" w:bidi="zh-CN"/>
      </w:rPr>
    </w:lvl>
  </w:abstractNum>
  <w:abstractNum w:abstractNumId="79">
    <w:multiLevelType w:val="hybridMultilevel"/>
    <w:lvl w:ilvl="0">
      <w:start w:val="3"/>
      <w:numFmt w:val="decimal"/>
      <w:lvlText w:val="%1"/>
      <w:lvlJc w:val="left"/>
      <w:pPr>
        <w:ind w:left="678" w:hanging="526"/>
        <w:jc w:val="left"/>
      </w:pPr>
      <w:rPr>
        <w:rFonts w:hint="default"/>
        <w:lang w:val="zh-CN" w:eastAsia="zh-CN" w:bidi="zh-CN"/>
      </w:rPr>
    </w:lvl>
    <w:lvl w:ilvl="1">
      <w:start w:val="3"/>
      <w:numFmt w:val="decimal"/>
      <w:lvlText w:val="%1.%2"/>
      <w:lvlJc w:val="left"/>
      <w:pPr>
        <w:ind w:left="678" w:hanging="526"/>
        <w:jc w:val="left"/>
      </w:pPr>
      <w:rPr>
        <w:rFonts w:hint="default"/>
        <w:lang w:val="zh-CN" w:eastAsia="zh-CN" w:bidi="zh-CN"/>
      </w:rPr>
    </w:lvl>
    <w:lvl w:ilvl="2">
      <w:start w:val="3"/>
      <w:numFmt w:val="decimal"/>
      <w:lvlText w:val="%1.%2.%3"/>
      <w:lvlJc w:val="left"/>
      <w:pPr>
        <w:ind w:left="678" w:hanging="526"/>
        <w:jc w:val="left"/>
      </w:pPr>
      <w:rPr>
        <w:rFonts w:hint="default" w:ascii="Times New Roman" w:hAnsi="Times New Roman" w:eastAsia="Times New Roman" w:cs="Times New Roman"/>
        <w:w w:val="100"/>
        <w:sz w:val="21"/>
        <w:szCs w:val="21"/>
        <w:lang w:val="zh-CN" w:eastAsia="zh-CN" w:bidi="zh-CN"/>
      </w:rPr>
    </w:lvl>
    <w:lvl w:ilvl="3">
      <w:start w:val="0"/>
      <w:numFmt w:val="bullet"/>
      <w:lvlText w:val="•"/>
      <w:lvlJc w:val="left"/>
      <w:pPr>
        <w:ind w:left="3627" w:hanging="526"/>
      </w:pPr>
      <w:rPr>
        <w:rFonts w:hint="default"/>
        <w:lang w:val="zh-CN" w:eastAsia="zh-CN" w:bidi="zh-CN"/>
      </w:rPr>
    </w:lvl>
    <w:lvl w:ilvl="4">
      <w:start w:val="0"/>
      <w:numFmt w:val="bullet"/>
      <w:lvlText w:val="•"/>
      <w:lvlJc w:val="left"/>
      <w:pPr>
        <w:ind w:left="4610" w:hanging="526"/>
      </w:pPr>
      <w:rPr>
        <w:rFonts w:hint="default"/>
        <w:lang w:val="zh-CN" w:eastAsia="zh-CN" w:bidi="zh-CN"/>
      </w:rPr>
    </w:lvl>
    <w:lvl w:ilvl="5">
      <w:start w:val="0"/>
      <w:numFmt w:val="bullet"/>
      <w:lvlText w:val="•"/>
      <w:lvlJc w:val="left"/>
      <w:pPr>
        <w:ind w:left="5593" w:hanging="526"/>
      </w:pPr>
      <w:rPr>
        <w:rFonts w:hint="default"/>
        <w:lang w:val="zh-CN" w:eastAsia="zh-CN" w:bidi="zh-CN"/>
      </w:rPr>
    </w:lvl>
    <w:lvl w:ilvl="6">
      <w:start w:val="0"/>
      <w:numFmt w:val="bullet"/>
      <w:lvlText w:val="•"/>
      <w:lvlJc w:val="left"/>
      <w:pPr>
        <w:ind w:left="6575" w:hanging="526"/>
      </w:pPr>
      <w:rPr>
        <w:rFonts w:hint="default"/>
        <w:lang w:val="zh-CN" w:eastAsia="zh-CN" w:bidi="zh-CN"/>
      </w:rPr>
    </w:lvl>
    <w:lvl w:ilvl="7">
      <w:start w:val="0"/>
      <w:numFmt w:val="bullet"/>
      <w:lvlText w:val="•"/>
      <w:lvlJc w:val="left"/>
      <w:pPr>
        <w:ind w:left="7558" w:hanging="526"/>
      </w:pPr>
      <w:rPr>
        <w:rFonts w:hint="default"/>
        <w:lang w:val="zh-CN" w:eastAsia="zh-CN" w:bidi="zh-CN"/>
      </w:rPr>
    </w:lvl>
    <w:lvl w:ilvl="8">
      <w:start w:val="0"/>
      <w:numFmt w:val="bullet"/>
      <w:lvlText w:val="•"/>
      <w:lvlJc w:val="left"/>
      <w:pPr>
        <w:ind w:left="8541" w:hanging="526"/>
      </w:pPr>
      <w:rPr>
        <w:rFonts w:hint="default"/>
        <w:lang w:val="zh-CN" w:eastAsia="zh-CN" w:bidi="zh-CN"/>
      </w:rPr>
    </w:lvl>
  </w:abstractNum>
  <w:abstractNum w:abstractNumId="78">
    <w:multiLevelType w:val="hybridMultilevel"/>
    <w:lvl w:ilvl="0">
      <w:start w:val="3"/>
      <w:numFmt w:val="decimal"/>
      <w:lvlText w:val="%1"/>
      <w:lvlJc w:val="left"/>
      <w:pPr>
        <w:ind w:left="678" w:hanging="526"/>
        <w:jc w:val="left"/>
      </w:pPr>
      <w:rPr>
        <w:rFonts w:hint="default"/>
        <w:lang w:val="zh-CN" w:eastAsia="zh-CN" w:bidi="zh-CN"/>
      </w:rPr>
    </w:lvl>
    <w:lvl w:ilvl="1">
      <w:start w:val="2"/>
      <w:numFmt w:val="decimal"/>
      <w:lvlText w:val="%1.%2"/>
      <w:lvlJc w:val="left"/>
      <w:pPr>
        <w:ind w:left="678" w:hanging="526"/>
        <w:jc w:val="left"/>
      </w:pPr>
      <w:rPr>
        <w:rFonts w:hint="default"/>
        <w:lang w:val="zh-CN" w:eastAsia="zh-CN" w:bidi="zh-CN"/>
      </w:rPr>
    </w:lvl>
    <w:lvl w:ilvl="2">
      <w:start w:val="3"/>
      <w:numFmt w:val="decimal"/>
      <w:lvlText w:val="%1.%2.%3"/>
      <w:lvlJc w:val="left"/>
      <w:pPr>
        <w:ind w:left="678" w:hanging="526"/>
        <w:jc w:val="left"/>
      </w:pPr>
      <w:rPr>
        <w:rFonts w:hint="default" w:ascii="Times New Roman" w:hAnsi="Times New Roman" w:eastAsia="Times New Roman" w:cs="Times New Roman"/>
        <w:w w:val="100"/>
        <w:sz w:val="21"/>
        <w:szCs w:val="21"/>
        <w:lang w:val="zh-CN" w:eastAsia="zh-CN" w:bidi="zh-CN"/>
      </w:rPr>
    </w:lvl>
    <w:lvl w:ilvl="3">
      <w:start w:val="0"/>
      <w:numFmt w:val="bullet"/>
      <w:lvlText w:val="•"/>
      <w:lvlJc w:val="left"/>
      <w:pPr>
        <w:ind w:left="3627" w:hanging="526"/>
      </w:pPr>
      <w:rPr>
        <w:rFonts w:hint="default"/>
        <w:lang w:val="zh-CN" w:eastAsia="zh-CN" w:bidi="zh-CN"/>
      </w:rPr>
    </w:lvl>
    <w:lvl w:ilvl="4">
      <w:start w:val="0"/>
      <w:numFmt w:val="bullet"/>
      <w:lvlText w:val="•"/>
      <w:lvlJc w:val="left"/>
      <w:pPr>
        <w:ind w:left="4610" w:hanging="526"/>
      </w:pPr>
      <w:rPr>
        <w:rFonts w:hint="default"/>
        <w:lang w:val="zh-CN" w:eastAsia="zh-CN" w:bidi="zh-CN"/>
      </w:rPr>
    </w:lvl>
    <w:lvl w:ilvl="5">
      <w:start w:val="0"/>
      <w:numFmt w:val="bullet"/>
      <w:lvlText w:val="•"/>
      <w:lvlJc w:val="left"/>
      <w:pPr>
        <w:ind w:left="5593" w:hanging="526"/>
      </w:pPr>
      <w:rPr>
        <w:rFonts w:hint="default"/>
        <w:lang w:val="zh-CN" w:eastAsia="zh-CN" w:bidi="zh-CN"/>
      </w:rPr>
    </w:lvl>
    <w:lvl w:ilvl="6">
      <w:start w:val="0"/>
      <w:numFmt w:val="bullet"/>
      <w:lvlText w:val="•"/>
      <w:lvlJc w:val="left"/>
      <w:pPr>
        <w:ind w:left="6575" w:hanging="526"/>
      </w:pPr>
      <w:rPr>
        <w:rFonts w:hint="default"/>
        <w:lang w:val="zh-CN" w:eastAsia="zh-CN" w:bidi="zh-CN"/>
      </w:rPr>
    </w:lvl>
    <w:lvl w:ilvl="7">
      <w:start w:val="0"/>
      <w:numFmt w:val="bullet"/>
      <w:lvlText w:val="•"/>
      <w:lvlJc w:val="left"/>
      <w:pPr>
        <w:ind w:left="7558" w:hanging="526"/>
      </w:pPr>
      <w:rPr>
        <w:rFonts w:hint="default"/>
        <w:lang w:val="zh-CN" w:eastAsia="zh-CN" w:bidi="zh-CN"/>
      </w:rPr>
    </w:lvl>
    <w:lvl w:ilvl="8">
      <w:start w:val="0"/>
      <w:numFmt w:val="bullet"/>
      <w:lvlText w:val="•"/>
      <w:lvlJc w:val="left"/>
      <w:pPr>
        <w:ind w:left="8541" w:hanging="526"/>
      </w:pPr>
      <w:rPr>
        <w:rFonts w:hint="default"/>
        <w:lang w:val="zh-CN" w:eastAsia="zh-CN" w:bidi="zh-CN"/>
      </w:rPr>
    </w:lvl>
  </w:abstractNum>
  <w:abstractNum w:abstractNumId="77">
    <w:multiLevelType w:val="hybridMultilevel"/>
    <w:lvl w:ilvl="0">
      <w:start w:val="9"/>
      <w:numFmt w:val="decimal"/>
      <w:lvlText w:val="（%1）"/>
      <w:lvlJc w:val="left"/>
      <w:pPr>
        <w:ind w:left="678"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662" w:hanging="529"/>
      </w:pPr>
      <w:rPr>
        <w:rFonts w:hint="default"/>
        <w:lang w:val="zh-CN" w:eastAsia="zh-CN" w:bidi="zh-CN"/>
      </w:rPr>
    </w:lvl>
    <w:lvl w:ilvl="2">
      <w:start w:val="0"/>
      <w:numFmt w:val="bullet"/>
      <w:lvlText w:val="•"/>
      <w:lvlJc w:val="left"/>
      <w:pPr>
        <w:ind w:left="2645" w:hanging="529"/>
      </w:pPr>
      <w:rPr>
        <w:rFonts w:hint="default"/>
        <w:lang w:val="zh-CN" w:eastAsia="zh-CN" w:bidi="zh-CN"/>
      </w:rPr>
    </w:lvl>
    <w:lvl w:ilvl="3">
      <w:start w:val="0"/>
      <w:numFmt w:val="bullet"/>
      <w:lvlText w:val="•"/>
      <w:lvlJc w:val="left"/>
      <w:pPr>
        <w:ind w:left="3627" w:hanging="529"/>
      </w:pPr>
      <w:rPr>
        <w:rFonts w:hint="default"/>
        <w:lang w:val="zh-CN" w:eastAsia="zh-CN" w:bidi="zh-CN"/>
      </w:rPr>
    </w:lvl>
    <w:lvl w:ilvl="4">
      <w:start w:val="0"/>
      <w:numFmt w:val="bullet"/>
      <w:lvlText w:val="•"/>
      <w:lvlJc w:val="left"/>
      <w:pPr>
        <w:ind w:left="4610" w:hanging="529"/>
      </w:pPr>
      <w:rPr>
        <w:rFonts w:hint="default"/>
        <w:lang w:val="zh-CN" w:eastAsia="zh-CN" w:bidi="zh-CN"/>
      </w:rPr>
    </w:lvl>
    <w:lvl w:ilvl="5">
      <w:start w:val="0"/>
      <w:numFmt w:val="bullet"/>
      <w:lvlText w:val="•"/>
      <w:lvlJc w:val="left"/>
      <w:pPr>
        <w:ind w:left="5593" w:hanging="529"/>
      </w:pPr>
      <w:rPr>
        <w:rFonts w:hint="default"/>
        <w:lang w:val="zh-CN" w:eastAsia="zh-CN" w:bidi="zh-CN"/>
      </w:rPr>
    </w:lvl>
    <w:lvl w:ilvl="6">
      <w:start w:val="0"/>
      <w:numFmt w:val="bullet"/>
      <w:lvlText w:val="•"/>
      <w:lvlJc w:val="left"/>
      <w:pPr>
        <w:ind w:left="6575" w:hanging="529"/>
      </w:pPr>
      <w:rPr>
        <w:rFonts w:hint="default"/>
        <w:lang w:val="zh-CN" w:eastAsia="zh-CN" w:bidi="zh-CN"/>
      </w:rPr>
    </w:lvl>
    <w:lvl w:ilvl="7">
      <w:start w:val="0"/>
      <w:numFmt w:val="bullet"/>
      <w:lvlText w:val="•"/>
      <w:lvlJc w:val="left"/>
      <w:pPr>
        <w:ind w:left="7558" w:hanging="529"/>
      </w:pPr>
      <w:rPr>
        <w:rFonts w:hint="default"/>
        <w:lang w:val="zh-CN" w:eastAsia="zh-CN" w:bidi="zh-CN"/>
      </w:rPr>
    </w:lvl>
    <w:lvl w:ilvl="8">
      <w:start w:val="0"/>
      <w:numFmt w:val="bullet"/>
      <w:lvlText w:val="•"/>
      <w:lvlJc w:val="left"/>
      <w:pPr>
        <w:ind w:left="8541" w:hanging="529"/>
      </w:pPr>
      <w:rPr>
        <w:rFonts w:hint="default"/>
        <w:lang w:val="zh-CN" w:eastAsia="zh-CN" w:bidi="zh-CN"/>
      </w:rPr>
    </w:lvl>
  </w:abstractNum>
  <w:abstractNum w:abstractNumId="76">
    <w:multiLevelType w:val="hybridMultilevel"/>
    <w:lvl w:ilvl="0">
      <w:start w:val="2"/>
      <w:numFmt w:val="decimal"/>
      <w:lvlText w:val="%1"/>
      <w:lvlJc w:val="left"/>
      <w:pPr>
        <w:ind w:left="1045" w:hanging="368"/>
        <w:jc w:val="left"/>
      </w:pPr>
      <w:rPr>
        <w:rFonts w:hint="default"/>
        <w:lang w:val="zh-CN" w:eastAsia="zh-CN" w:bidi="zh-CN"/>
      </w:rPr>
    </w:lvl>
    <w:lvl w:ilvl="1">
      <w:start w:val="4"/>
      <w:numFmt w:val="decimal"/>
      <w:lvlText w:val="%1.%2"/>
      <w:lvlJc w:val="left"/>
      <w:pPr>
        <w:ind w:left="1045" w:hanging="368"/>
        <w:jc w:val="left"/>
      </w:pPr>
      <w:rPr>
        <w:rFonts w:hint="default" w:ascii="Times New Roman" w:hAnsi="Times New Roman" w:eastAsia="Times New Roman" w:cs="Times New Roman"/>
        <w:b/>
        <w:bCs/>
        <w:w w:val="100"/>
        <w:sz w:val="21"/>
        <w:szCs w:val="21"/>
        <w:lang w:val="zh-CN" w:eastAsia="zh-CN" w:bidi="zh-CN"/>
      </w:rPr>
    </w:lvl>
    <w:lvl w:ilvl="2">
      <w:start w:val="1"/>
      <w:numFmt w:val="decimal"/>
      <w:lvlText w:val="%1.%2.%3"/>
      <w:lvlJc w:val="left"/>
      <w:pPr>
        <w:ind w:left="1623" w:hanging="526"/>
        <w:jc w:val="left"/>
      </w:pPr>
      <w:rPr>
        <w:rFonts w:hint="default" w:ascii="Times New Roman" w:hAnsi="Times New Roman" w:eastAsia="Times New Roman" w:cs="Times New Roman"/>
        <w:w w:val="100"/>
        <w:sz w:val="21"/>
        <w:szCs w:val="21"/>
        <w:lang w:val="zh-CN" w:eastAsia="zh-CN" w:bidi="zh-CN"/>
      </w:rPr>
    </w:lvl>
    <w:lvl w:ilvl="3">
      <w:start w:val="0"/>
      <w:numFmt w:val="bullet"/>
      <w:lvlText w:val="•"/>
      <w:lvlJc w:val="left"/>
      <w:pPr>
        <w:ind w:left="3594" w:hanging="526"/>
      </w:pPr>
      <w:rPr>
        <w:rFonts w:hint="default"/>
        <w:lang w:val="zh-CN" w:eastAsia="zh-CN" w:bidi="zh-CN"/>
      </w:rPr>
    </w:lvl>
    <w:lvl w:ilvl="4">
      <w:start w:val="0"/>
      <w:numFmt w:val="bullet"/>
      <w:lvlText w:val="•"/>
      <w:lvlJc w:val="left"/>
      <w:pPr>
        <w:ind w:left="4582" w:hanging="526"/>
      </w:pPr>
      <w:rPr>
        <w:rFonts w:hint="default"/>
        <w:lang w:val="zh-CN" w:eastAsia="zh-CN" w:bidi="zh-CN"/>
      </w:rPr>
    </w:lvl>
    <w:lvl w:ilvl="5">
      <w:start w:val="0"/>
      <w:numFmt w:val="bullet"/>
      <w:lvlText w:val="•"/>
      <w:lvlJc w:val="left"/>
      <w:pPr>
        <w:ind w:left="5569" w:hanging="526"/>
      </w:pPr>
      <w:rPr>
        <w:rFonts w:hint="default"/>
        <w:lang w:val="zh-CN" w:eastAsia="zh-CN" w:bidi="zh-CN"/>
      </w:rPr>
    </w:lvl>
    <w:lvl w:ilvl="6">
      <w:start w:val="0"/>
      <w:numFmt w:val="bullet"/>
      <w:lvlText w:val="•"/>
      <w:lvlJc w:val="left"/>
      <w:pPr>
        <w:ind w:left="6556" w:hanging="526"/>
      </w:pPr>
      <w:rPr>
        <w:rFonts w:hint="default"/>
        <w:lang w:val="zh-CN" w:eastAsia="zh-CN" w:bidi="zh-CN"/>
      </w:rPr>
    </w:lvl>
    <w:lvl w:ilvl="7">
      <w:start w:val="0"/>
      <w:numFmt w:val="bullet"/>
      <w:lvlText w:val="•"/>
      <w:lvlJc w:val="left"/>
      <w:pPr>
        <w:ind w:left="7544" w:hanging="526"/>
      </w:pPr>
      <w:rPr>
        <w:rFonts w:hint="default"/>
        <w:lang w:val="zh-CN" w:eastAsia="zh-CN" w:bidi="zh-CN"/>
      </w:rPr>
    </w:lvl>
    <w:lvl w:ilvl="8">
      <w:start w:val="0"/>
      <w:numFmt w:val="bullet"/>
      <w:lvlText w:val="•"/>
      <w:lvlJc w:val="left"/>
      <w:pPr>
        <w:ind w:left="8531" w:hanging="526"/>
      </w:pPr>
      <w:rPr>
        <w:rFonts w:hint="default"/>
        <w:lang w:val="zh-CN" w:eastAsia="zh-CN" w:bidi="zh-CN"/>
      </w:rPr>
    </w:lvl>
  </w:abstractNum>
  <w:abstractNum w:abstractNumId="75">
    <w:multiLevelType w:val="hybridMultilevel"/>
    <w:lvl w:ilvl="0">
      <w:start w:val="1"/>
      <w:numFmt w:val="decimal"/>
      <w:lvlText w:val="%1"/>
      <w:lvlJc w:val="left"/>
      <w:pPr>
        <w:ind w:left="1729" w:hanging="632"/>
        <w:jc w:val="left"/>
      </w:pPr>
      <w:rPr>
        <w:rFonts w:hint="default"/>
        <w:lang w:val="zh-CN" w:eastAsia="zh-CN" w:bidi="zh-CN"/>
      </w:rPr>
    </w:lvl>
    <w:lvl w:ilvl="1">
      <w:start w:val="10"/>
      <w:numFmt w:val="decimal"/>
      <w:lvlText w:val="%1.%2"/>
      <w:lvlJc w:val="left"/>
      <w:pPr>
        <w:ind w:left="1729" w:hanging="632"/>
        <w:jc w:val="left"/>
      </w:pPr>
      <w:rPr>
        <w:rFonts w:hint="default"/>
        <w:lang w:val="zh-CN" w:eastAsia="zh-CN" w:bidi="zh-CN"/>
      </w:rPr>
    </w:lvl>
    <w:lvl w:ilvl="2">
      <w:start w:val="3"/>
      <w:numFmt w:val="decimal"/>
      <w:lvlText w:val="%1.%2.%3"/>
      <w:lvlJc w:val="left"/>
      <w:pPr>
        <w:ind w:left="1729" w:hanging="632"/>
        <w:jc w:val="left"/>
      </w:pPr>
      <w:rPr>
        <w:rFonts w:hint="default" w:ascii="Times New Roman" w:hAnsi="Times New Roman" w:eastAsia="Times New Roman" w:cs="Times New Roman"/>
        <w:w w:val="100"/>
        <w:sz w:val="21"/>
        <w:szCs w:val="21"/>
        <w:lang w:val="zh-CN" w:eastAsia="zh-CN" w:bidi="zh-CN"/>
      </w:rPr>
    </w:lvl>
    <w:lvl w:ilvl="3">
      <w:start w:val="0"/>
      <w:numFmt w:val="bullet"/>
      <w:lvlText w:val="•"/>
      <w:lvlJc w:val="left"/>
      <w:pPr>
        <w:ind w:left="4355" w:hanging="632"/>
      </w:pPr>
      <w:rPr>
        <w:rFonts w:hint="default"/>
        <w:lang w:val="zh-CN" w:eastAsia="zh-CN" w:bidi="zh-CN"/>
      </w:rPr>
    </w:lvl>
    <w:lvl w:ilvl="4">
      <w:start w:val="0"/>
      <w:numFmt w:val="bullet"/>
      <w:lvlText w:val="•"/>
      <w:lvlJc w:val="left"/>
      <w:pPr>
        <w:ind w:left="5234" w:hanging="632"/>
      </w:pPr>
      <w:rPr>
        <w:rFonts w:hint="default"/>
        <w:lang w:val="zh-CN" w:eastAsia="zh-CN" w:bidi="zh-CN"/>
      </w:rPr>
    </w:lvl>
    <w:lvl w:ilvl="5">
      <w:start w:val="0"/>
      <w:numFmt w:val="bullet"/>
      <w:lvlText w:val="•"/>
      <w:lvlJc w:val="left"/>
      <w:pPr>
        <w:ind w:left="6113" w:hanging="632"/>
      </w:pPr>
      <w:rPr>
        <w:rFonts w:hint="default"/>
        <w:lang w:val="zh-CN" w:eastAsia="zh-CN" w:bidi="zh-CN"/>
      </w:rPr>
    </w:lvl>
    <w:lvl w:ilvl="6">
      <w:start w:val="0"/>
      <w:numFmt w:val="bullet"/>
      <w:lvlText w:val="•"/>
      <w:lvlJc w:val="left"/>
      <w:pPr>
        <w:ind w:left="6991" w:hanging="632"/>
      </w:pPr>
      <w:rPr>
        <w:rFonts w:hint="default"/>
        <w:lang w:val="zh-CN" w:eastAsia="zh-CN" w:bidi="zh-CN"/>
      </w:rPr>
    </w:lvl>
    <w:lvl w:ilvl="7">
      <w:start w:val="0"/>
      <w:numFmt w:val="bullet"/>
      <w:lvlText w:val="•"/>
      <w:lvlJc w:val="left"/>
      <w:pPr>
        <w:ind w:left="7870" w:hanging="632"/>
      </w:pPr>
      <w:rPr>
        <w:rFonts w:hint="default"/>
        <w:lang w:val="zh-CN" w:eastAsia="zh-CN" w:bidi="zh-CN"/>
      </w:rPr>
    </w:lvl>
    <w:lvl w:ilvl="8">
      <w:start w:val="0"/>
      <w:numFmt w:val="bullet"/>
      <w:lvlText w:val="•"/>
      <w:lvlJc w:val="left"/>
      <w:pPr>
        <w:ind w:left="8749" w:hanging="632"/>
      </w:pPr>
      <w:rPr>
        <w:rFonts w:hint="default"/>
        <w:lang w:val="zh-CN" w:eastAsia="zh-CN" w:bidi="zh-CN"/>
      </w:rPr>
    </w:lvl>
  </w:abstractNum>
  <w:abstractNum w:abstractNumId="74">
    <w:multiLevelType w:val="hybridMultilevel"/>
    <w:lvl w:ilvl="0">
      <w:start w:val="1"/>
      <w:numFmt w:val="decimal"/>
      <w:lvlText w:val="%1"/>
      <w:lvlJc w:val="left"/>
      <w:pPr>
        <w:ind w:left="1150" w:hanging="473"/>
        <w:jc w:val="left"/>
      </w:pPr>
      <w:rPr>
        <w:rFonts w:hint="default"/>
        <w:lang w:val="zh-CN" w:eastAsia="zh-CN" w:bidi="zh-CN"/>
      </w:rPr>
    </w:lvl>
    <w:lvl w:ilvl="1">
      <w:start w:val="10"/>
      <w:numFmt w:val="decimal"/>
      <w:lvlText w:val="%1.%2"/>
      <w:lvlJc w:val="left"/>
      <w:pPr>
        <w:ind w:left="1150" w:hanging="473"/>
        <w:jc w:val="left"/>
      </w:pPr>
      <w:rPr>
        <w:rFonts w:hint="default" w:ascii="Times New Roman" w:hAnsi="Times New Roman" w:eastAsia="Times New Roman" w:cs="Times New Roman"/>
        <w:b/>
        <w:bCs/>
        <w:w w:val="100"/>
        <w:sz w:val="21"/>
        <w:szCs w:val="21"/>
        <w:lang w:val="zh-CN" w:eastAsia="zh-CN" w:bidi="zh-CN"/>
      </w:rPr>
    </w:lvl>
    <w:lvl w:ilvl="2">
      <w:start w:val="1"/>
      <w:numFmt w:val="decimal"/>
      <w:lvlText w:val="%1.%2.%3"/>
      <w:lvlJc w:val="left"/>
      <w:pPr>
        <w:ind w:left="1729" w:hanging="632"/>
        <w:jc w:val="left"/>
      </w:pPr>
      <w:rPr>
        <w:rFonts w:hint="default" w:ascii="Times New Roman" w:hAnsi="Times New Roman" w:eastAsia="Times New Roman" w:cs="Times New Roman"/>
        <w:w w:val="100"/>
        <w:sz w:val="21"/>
        <w:szCs w:val="21"/>
        <w:lang w:val="zh-CN" w:eastAsia="zh-CN" w:bidi="zh-CN"/>
      </w:rPr>
    </w:lvl>
    <w:lvl w:ilvl="3">
      <w:start w:val="0"/>
      <w:numFmt w:val="bullet"/>
      <w:lvlText w:val="•"/>
      <w:lvlJc w:val="left"/>
      <w:pPr>
        <w:ind w:left="2818" w:hanging="632"/>
      </w:pPr>
      <w:rPr>
        <w:rFonts w:hint="default"/>
        <w:lang w:val="zh-CN" w:eastAsia="zh-CN" w:bidi="zh-CN"/>
      </w:rPr>
    </w:lvl>
    <w:lvl w:ilvl="4">
      <w:start w:val="0"/>
      <w:numFmt w:val="bullet"/>
      <w:lvlText w:val="•"/>
      <w:lvlJc w:val="left"/>
      <w:pPr>
        <w:ind w:left="3916" w:hanging="632"/>
      </w:pPr>
      <w:rPr>
        <w:rFonts w:hint="default"/>
        <w:lang w:val="zh-CN" w:eastAsia="zh-CN" w:bidi="zh-CN"/>
      </w:rPr>
    </w:lvl>
    <w:lvl w:ilvl="5">
      <w:start w:val="0"/>
      <w:numFmt w:val="bullet"/>
      <w:lvlText w:val="•"/>
      <w:lvlJc w:val="left"/>
      <w:pPr>
        <w:ind w:left="5014" w:hanging="632"/>
      </w:pPr>
      <w:rPr>
        <w:rFonts w:hint="default"/>
        <w:lang w:val="zh-CN" w:eastAsia="zh-CN" w:bidi="zh-CN"/>
      </w:rPr>
    </w:lvl>
    <w:lvl w:ilvl="6">
      <w:start w:val="0"/>
      <w:numFmt w:val="bullet"/>
      <w:lvlText w:val="•"/>
      <w:lvlJc w:val="left"/>
      <w:pPr>
        <w:ind w:left="6113" w:hanging="632"/>
      </w:pPr>
      <w:rPr>
        <w:rFonts w:hint="default"/>
        <w:lang w:val="zh-CN" w:eastAsia="zh-CN" w:bidi="zh-CN"/>
      </w:rPr>
    </w:lvl>
    <w:lvl w:ilvl="7">
      <w:start w:val="0"/>
      <w:numFmt w:val="bullet"/>
      <w:lvlText w:val="•"/>
      <w:lvlJc w:val="left"/>
      <w:pPr>
        <w:ind w:left="7211" w:hanging="632"/>
      </w:pPr>
      <w:rPr>
        <w:rFonts w:hint="default"/>
        <w:lang w:val="zh-CN" w:eastAsia="zh-CN" w:bidi="zh-CN"/>
      </w:rPr>
    </w:lvl>
    <w:lvl w:ilvl="8">
      <w:start w:val="0"/>
      <w:numFmt w:val="bullet"/>
      <w:lvlText w:val="•"/>
      <w:lvlJc w:val="left"/>
      <w:pPr>
        <w:ind w:left="8309" w:hanging="632"/>
      </w:pPr>
      <w:rPr>
        <w:rFonts w:hint="default"/>
        <w:lang w:val="zh-CN" w:eastAsia="zh-CN" w:bidi="zh-CN"/>
      </w:rPr>
    </w:lvl>
  </w:abstractNum>
  <w:abstractNum w:abstractNumId="73">
    <w:multiLevelType w:val="hybridMultilevel"/>
    <w:lvl w:ilvl="0">
      <w:start w:val="1"/>
      <w:numFmt w:val="decimal"/>
      <w:lvlText w:val="%1"/>
      <w:lvlJc w:val="left"/>
      <w:pPr>
        <w:ind w:left="1623" w:hanging="526"/>
        <w:jc w:val="left"/>
      </w:pPr>
      <w:rPr>
        <w:rFonts w:hint="default"/>
        <w:lang w:val="zh-CN" w:eastAsia="zh-CN" w:bidi="zh-CN"/>
      </w:rPr>
    </w:lvl>
    <w:lvl w:ilvl="1">
      <w:start w:val="6"/>
      <w:numFmt w:val="decimal"/>
      <w:lvlText w:val="%1.%2"/>
      <w:lvlJc w:val="left"/>
      <w:pPr>
        <w:ind w:left="1623" w:hanging="526"/>
        <w:jc w:val="left"/>
      </w:pPr>
      <w:rPr>
        <w:rFonts w:hint="default"/>
        <w:lang w:val="zh-CN" w:eastAsia="zh-CN" w:bidi="zh-CN"/>
      </w:rPr>
    </w:lvl>
    <w:lvl w:ilvl="2">
      <w:start w:val="4"/>
      <w:numFmt w:val="decimal"/>
      <w:lvlText w:val="%1.%2.%3"/>
      <w:lvlJc w:val="left"/>
      <w:pPr>
        <w:ind w:left="1623" w:hanging="526"/>
        <w:jc w:val="left"/>
      </w:pPr>
      <w:rPr>
        <w:rFonts w:hint="default" w:ascii="Times New Roman" w:hAnsi="Times New Roman" w:eastAsia="Times New Roman" w:cs="Times New Roman"/>
        <w:w w:val="100"/>
        <w:sz w:val="21"/>
        <w:szCs w:val="21"/>
        <w:lang w:val="zh-CN" w:eastAsia="zh-CN" w:bidi="zh-CN"/>
      </w:rPr>
    </w:lvl>
    <w:lvl w:ilvl="3">
      <w:start w:val="0"/>
      <w:numFmt w:val="bullet"/>
      <w:lvlText w:val="•"/>
      <w:lvlJc w:val="left"/>
      <w:pPr>
        <w:ind w:left="4285" w:hanging="526"/>
      </w:pPr>
      <w:rPr>
        <w:rFonts w:hint="default"/>
        <w:lang w:val="zh-CN" w:eastAsia="zh-CN" w:bidi="zh-CN"/>
      </w:rPr>
    </w:lvl>
    <w:lvl w:ilvl="4">
      <w:start w:val="0"/>
      <w:numFmt w:val="bullet"/>
      <w:lvlText w:val="•"/>
      <w:lvlJc w:val="left"/>
      <w:pPr>
        <w:ind w:left="5174" w:hanging="526"/>
      </w:pPr>
      <w:rPr>
        <w:rFonts w:hint="default"/>
        <w:lang w:val="zh-CN" w:eastAsia="zh-CN" w:bidi="zh-CN"/>
      </w:rPr>
    </w:lvl>
    <w:lvl w:ilvl="5">
      <w:start w:val="0"/>
      <w:numFmt w:val="bullet"/>
      <w:lvlText w:val="•"/>
      <w:lvlJc w:val="left"/>
      <w:pPr>
        <w:ind w:left="6063" w:hanging="526"/>
      </w:pPr>
      <w:rPr>
        <w:rFonts w:hint="default"/>
        <w:lang w:val="zh-CN" w:eastAsia="zh-CN" w:bidi="zh-CN"/>
      </w:rPr>
    </w:lvl>
    <w:lvl w:ilvl="6">
      <w:start w:val="0"/>
      <w:numFmt w:val="bullet"/>
      <w:lvlText w:val="•"/>
      <w:lvlJc w:val="left"/>
      <w:pPr>
        <w:ind w:left="6951" w:hanging="526"/>
      </w:pPr>
      <w:rPr>
        <w:rFonts w:hint="default"/>
        <w:lang w:val="zh-CN" w:eastAsia="zh-CN" w:bidi="zh-CN"/>
      </w:rPr>
    </w:lvl>
    <w:lvl w:ilvl="7">
      <w:start w:val="0"/>
      <w:numFmt w:val="bullet"/>
      <w:lvlText w:val="•"/>
      <w:lvlJc w:val="left"/>
      <w:pPr>
        <w:ind w:left="7840" w:hanging="526"/>
      </w:pPr>
      <w:rPr>
        <w:rFonts w:hint="default"/>
        <w:lang w:val="zh-CN" w:eastAsia="zh-CN" w:bidi="zh-CN"/>
      </w:rPr>
    </w:lvl>
    <w:lvl w:ilvl="8">
      <w:start w:val="0"/>
      <w:numFmt w:val="bullet"/>
      <w:lvlText w:val="•"/>
      <w:lvlJc w:val="left"/>
      <w:pPr>
        <w:ind w:left="8729" w:hanging="526"/>
      </w:pPr>
      <w:rPr>
        <w:rFonts w:hint="default"/>
        <w:lang w:val="zh-CN" w:eastAsia="zh-CN" w:bidi="zh-CN"/>
      </w:rPr>
    </w:lvl>
  </w:abstractNum>
  <w:abstractNum w:abstractNumId="72">
    <w:multiLevelType w:val="hybridMultilevel"/>
    <w:lvl w:ilvl="0">
      <w:start w:val="1"/>
      <w:numFmt w:val="decimal"/>
      <w:lvlText w:val="（%1）"/>
      <w:lvlJc w:val="left"/>
      <w:pPr>
        <w:ind w:left="16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620" w:hanging="529"/>
      </w:pPr>
      <w:rPr>
        <w:rFonts w:hint="default"/>
        <w:lang w:val="zh-CN" w:eastAsia="zh-CN" w:bidi="zh-CN"/>
      </w:rPr>
    </w:lvl>
    <w:lvl w:ilvl="2">
      <w:start w:val="0"/>
      <w:numFmt w:val="bullet"/>
      <w:lvlText w:val="•"/>
      <w:lvlJc w:val="left"/>
      <w:pPr>
        <w:ind w:left="2607" w:hanging="529"/>
      </w:pPr>
      <w:rPr>
        <w:rFonts w:hint="default"/>
        <w:lang w:val="zh-CN" w:eastAsia="zh-CN" w:bidi="zh-CN"/>
      </w:rPr>
    </w:lvl>
    <w:lvl w:ilvl="3">
      <w:start w:val="0"/>
      <w:numFmt w:val="bullet"/>
      <w:lvlText w:val="•"/>
      <w:lvlJc w:val="left"/>
      <w:pPr>
        <w:ind w:left="3594" w:hanging="529"/>
      </w:pPr>
      <w:rPr>
        <w:rFonts w:hint="default"/>
        <w:lang w:val="zh-CN" w:eastAsia="zh-CN" w:bidi="zh-CN"/>
      </w:rPr>
    </w:lvl>
    <w:lvl w:ilvl="4">
      <w:start w:val="0"/>
      <w:numFmt w:val="bullet"/>
      <w:lvlText w:val="•"/>
      <w:lvlJc w:val="left"/>
      <w:pPr>
        <w:ind w:left="4582" w:hanging="529"/>
      </w:pPr>
      <w:rPr>
        <w:rFonts w:hint="default"/>
        <w:lang w:val="zh-CN" w:eastAsia="zh-CN" w:bidi="zh-CN"/>
      </w:rPr>
    </w:lvl>
    <w:lvl w:ilvl="5">
      <w:start w:val="0"/>
      <w:numFmt w:val="bullet"/>
      <w:lvlText w:val="•"/>
      <w:lvlJc w:val="left"/>
      <w:pPr>
        <w:ind w:left="5569" w:hanging="529"/>
      </w:pPr>
      <w:rPr>
        <w:rFonts w:hint="default"/>
        <w:lang w:val="zh-CN" w:eastAsia="zh-CN" w:bidi="zh-CN"/>
      </w:rPr>
    </w:lvl>
    <w:lvl w:ilvl="6">
      <w:start w:val="0"/>
      <w:numFmt w:val="bullet"/>
      <w:lvlText w:val="•"/>
      <w:lvlJc w:val="left"/>
      <w:pPr>
        <w:ind w:left="6556" w:hanging="529"/>
      </w:pPr>
      <w:rPr>
        <w:rFonts w:hint="default"/>
        <w:lang w:val="zh-CN" w:eastAsia="zh-CN" w:bidi="zh-CN"/>
      </w:rPr>
    </w:lvl>
    <w:lvl w:ilvl="7">
      <w:start w:val="0"/>
      <w:numFmt w:val="bullet"/>
      <w:lvlText w:val="•"/>
      <w:lvlJc w:val="left"/>
      <w:pPr>
        <w:ind w:left="7544" w:hanging="529"/>
      </w:pPr>
      <w:rPr>
        <w:rFonts w:hint="default"/>
        <w:lang w:val="zh-CN" w:eastAsia="zh-CN" w:bidi="zh-CN"/>
      </w:rPr>
    </w:lvl>
    <w:lvl w:ilvl="8">
      <w:start w:val="0"/>
      <w:numFmt w:val="bullet"/>
      <w:lvlText w:val="•"/>
      <w:lvlJc w:val="left"/>
      <w:pPr>
        <w:ind w:left="8531" w:hanging="529"/>
      </w:pPr>
      <w:rPr>
        <w:rFonts w:hint="default"/>
        <w:lang w:val="zh-CN" w:eastAsia="zh-CN" w:bidi="zh-CN"/>
      </w:rPr>
    </w:lvl>
  </w:abstractNum>
  <w:abstractNum w:abstractNumId="71">
    <w:multiLevelType w:val="hybridMultilevel"/>
    <w:lvl w:ilvl="0">
      <w:start w:val="1"/>
      <w:numFmt w:val="decimal"/>
      <w:lvlText w:val="%1"/>
      <w:lvlJc w:val="left"/>
      <w:pPr>
        <w:ind w:left="1045" w:hanging="368"/>
        <w:jc w:val="left"/>
      </w:pPr>
      <w:rPr>
        <w:rFonts w:hint="default"/>
        <w:lang w:val="zh-CN" w:eastAsia="zh-CN" w:bidi="zh-CN"/>
      </w:rPr>
    </w:lvl>
    <w:lvl w:ilvl="1">
      <w:start w:val="3"/>
      <w:numFmt w:val="decimal"/>
      <w:lvlText w:val="%1.%2"/>
      <w:lvlJc w:val="left"/>
      <w:pPr>
        <w:ind w:left="1045" w:hanging="368"/>
        <w:jc w:val="left"/>
      </w:pPr>
      <w:rPr>
        <w:rFonts w:hint="default" w:ascii="Times New Roman" w:hAnsi="Times New Roman" w:eastAsia="Times New Roman" w:cs="Times New Roman"/>
        <w:b/>
        <w:bCs/>
        <w:w w:val="100"/>
        <w:sz w:val="21"/>
        <w:szCs w:val="21"/>
        <w:lang w:val="zh-CN" w:eastAsia="zh-CN" w:bidi="zh-CN"/>
      </w:rPr>
    </w:lvl>
    <w:lvl w:ilvl="2">
      <w:start w:val="1"/>
      <w:numFmt w:val="decimal"/>
      <w:lvlText w:val="%1.%2.%3"/>
      <w:lvlJc w:val="left"/>
      <w:pPr>
        <w:ind w:left="1203" w:hanging="526"/>
        <w:jc w:val="right"/>
      </w:pPr>
      <w:rPr>
        <w:rFonts w:hint="default" w:ascii="Times New Roman" w:hAnsi="Times New Roman" w:eastAsia="Times New Roman" w:cs="Times New Roman"/>
        <w:w w:val="100"/>
        <w:sz w:val="21"/>
        <w:szCs w:val="21"/>
        <w:lang w:val="zh-CN" w:eastAsia="zh-CN" w:bidi="zh-CN"/>
      </w:rPr>
    </w:lvl>
    <w:lvl w:ilvl="3">
      <w:start w:val="0"/>
      <w:numFmt w:val="bullet"/>
      <w:lvlText w:val="•"/>
      <w:lvlJc w:val="left"/>
      <w:pPr>
        <w:ind w:left="1620" w:hanging="526"/>
      </w:pPr>
      <w:rPr>
        <w:rFonts w:hint="default"/>
        <w:lang w:val="zh-CN" w:eastAsia="zh-CN" w:bidi="zh-CN"/>
      </w:rPr>
    </w:lvl>
    <w:lvl w:ilvl="4">
      <w:start w:val="0"/>
      <w:numFmt w:val="bullet"/>
      <w:lvlText w:val="•"/>
      <w:lvlJc w:val="left"/>
      <w:pPr>
        <w:ind w:left="2889" w:hanging="526"/>
      </w:pPr>
      <w:rPr>
        <w:rFonts w:hint="default"/>
        <w:lang w:val="zh-CN" w:eastAsia="zh-CN" w:bidi="zh-CN"/>
      </w:rPr>
    </w:lvl>
    <w:lvl w:ilvl="5">
      <w:start w:val="0"/>
      <w:numFmt w:val="bullet"/>
      <w:lvlText w:val="•"/>
      <w:lvlJc w:val="left"/>
      <w:pPr>
        <w:ind w:left="4158" w:hanging="526"/>
      </w:pPr>
      <w:rPr>
        <w:rFonts w:hint="default"/>
        <w:lang w:val="zh-CN" w:eastAsia="zh-CN" w:bidi="zh-CN"/>
      </w:rPr>
    </w:lvl>
    <w:lvl w:ilvl="6">
      <w:start w:val="0"/>
      <w:numFmt w:val="bullet"/>
      <w:lvlText w:val="•"/>
      <w:lvlJc w:val="left"/>
      <w:pPr>
        <w:ind w:left="5428" w:hanging="526"/>
      </w:pPr>
      <w:rPr>
        <w:rFonts w:hint="default"/>
        <w:lang w:val="zh-CN" w:eastAsia="zh-CN" w:bidi="zh-CN"/>
      </w:rPr>
    </w:lvl>
    <w:lvl w:ilvl="7">
      <w:start w:val="0"/>
      <w:numFmt w:val="bullet"/>
      <w:lvlText w:val="•"/>
      <w:lvlJc w:val="left"/>
      <w:pPr>
        <w:ind w:left="6697" w:hanging="526"/>
      </w:pPr>
      <w:rPr>
        <w:rFonts w:hint="default"/>
        <w:lang w:val="zh-CN" w:eastAsia="zh-CN" w:bidi="zh-CN"/>
      </w:rPr>
    </w:lvl>
    <w:lvl w:ilvl="8">
      <w:start w:val="0"/>
      <w:numFmt w:val="bullet"/>
      <w:lvlText w:val="•"/>
      <w:lvlJc w:val="left"/>
      <w:pPr>
        <w:ind w:left="7967" w:hanging="526"/>
      </w:pPr>
      <w:rPr>
        <w:rFonts w:hint="default"/>
        <w:lang w:val="zh-CN" w:eastAsia="zh-CN" w:bidi="zh-CN"/>
      </w:rPr>
    </w:lvl>
  </w:abstractNum>
  <w:abstractNum w:abstractNumId="70">
    <w:multiLevelType w:val="hybridMultilevel"/>
    <w:lvl w:ilvl="0">
      <w:start w:val="1"/>
      <w:numFmt w:val="decimal"/>
      <w:lvlText w:val="%1"/>
      <w:lvlJc w:val="left"/>
      <w:pPr>
        <w:ind w:left="1782" w:hanging="684"/>
        <w:jc w:val="left"/>
      </w:pPr>
      <w:rPr>
        <w:rFonts w:hint="default"/>
        <w:lang w:val="zh-CN" w:eastAsia="zh-CN" w:bidi="zh-CN"/>
      </w:rPr>
    </w:lvl>
    <w:lvl w:ilvl="1">
      <w:start w:val="1"/>
      <w:numFmt w:val="decimal"/>
      <w:lvlText w:val="%1.%2"/>
      <w:lvlJc w:val="left"/>
      <w:pPr>
        <w:ind w:left="1782" w:hanging="684"/>
        <w:jc w:val="left"/>
      </w:pPr>
      <w:rPr>
        <w:rFonts w:hint="default"/>
        <w:lang w:val="zh-CN" w:eastAsia="zh-CN" w:bidi="zh-CN"/>
      </w:rPr>
    </w:lvl>
    <w:lvl w:ilvl="2">
      <w:start w:val="3"/>
      <w:numFmt w:val="decimal"/>
      <w:lvlText w:val="%1.%2.%3"/>
      <w:lvlJc w:val="left"/>
      <w:pPr>
        <w:ind w:left="1782" w:hanging="684"/>
        <w:jc w:val="left"/>
      </w:pPr>
      <w:rPr>
        <w:rFonts w:hint="default"/>
        <w:lang w:val="zh-CN" w:eastAsia="zh-CN" w:bidi="zh-CN"/>
      </w:rPr>
    </w:lvl>
    <w:lvl w:ilvl="3">
      <w:start w:val="9"/>
      <w:numFmt w:val="decimal"/>
      <w:lvlText w:val="%1.%2.%3.%4"/>
      <w:lvlJc w:val="left"/>
      <w:pPr>
        <w:ind w:left="1782" w:hanging="684"/>
        <w:jc w:val="left"/>
      </w:pPr>
      <w:rPr>
        <w:rFonts w:hint="default" w:ascii="Times New Roman" w:hAnsi="Times New Roman" w:eastAsia="Times New Roman" w:cs="Times New Roman"/>
        <w:w w:val="100"/>
        <w:sz w:val="21"/>
        <w:szCs w:val="21"/>
        <w:lang w:val="zh-CN" w:eastAsia="zh-CN" w:bidi="zh-CN"/>
      </w:rPr>
    </w:lvl>
    <w:lvl w:ilvl="4">
      <w:start w:val="0"/>
      <w:numFmt w:val="bullet"/>
      <w:lvlText w:val="•"/>
      <w:lvlJc w:val="left"/>
      <w:pPr>
        <w:ind w:left="5270" w:hanging="684"/>
      </w:pPr>
      <w:rPr>
        <w:rFonts w:hint="default"/>
        <w:lang w:val="zh-CN" w:eastAsia="zh-CN" w:bidi="zh-CN"/>
      </w:rPr>
    </w:lvl>
    <w:lvl w:ilvl="5">
      <w:start w:val="0"/>
      <w:numFmt w:val="bullet"/>
      <w:lvlText w:val="•"/>
      <w:lvlJc w:val="left"/>
      <w:pPr>
        <w:ind w:left="6143" w:hanging="684"/>
      </w:pPr>
      <w:rPr>
        <w:rFonts w:hint="default"/>
        <w:lang w:val="zh-CN" w:eastAsia="zh-CN" w:bidi="zh-CN"/>
      </w:rPr>
    </w:lvl>
    <w:lvl w:ilvl="6">
      <w:start w:val="0"/>
      <w:numFmt w:val="bullet"/>
      <w:lvlText w:val="•"/>
      <w:lvlJc w:val="left"/>
      <w:pPr>
        <w:ind w:left="7015" w:hanging="684"/>
      </w:pPr>
      <w:rPr>
        <w:rFonts w:hint="default"/>
        <w:lang w:val="zh-CN" w:eastAsia="zh-CN" w:bidi="zh-CN"/>
      </w:rPr>
    </w:lvl>
    <w:lvl w:ilvl="7">
      <w:start w:val="0"/>
      <w:numFmt w:val="bullet"/>
      <w:lvlText w:val="•"/>
      <w:lvlJc w:val="left"/>
      <w:pPr>
        <w:ind w:left="7888" w:hanging="684"/>
      </w:pPr>
      <w:rPr>
        <w:rFonts w:hint="default"/>
        <w:lang w:val="zh-CN" w:eastAsia="zh-CN" w:bidi="zh-CN"/>
      </w:rPr>
    </w:lvl>
    <w:lvl w:ilvl="8">
      <w:start w:val="0"/>
      <w:numFmt w:val="bullet"/>
      <w:lvlText w:val="•"/>
      <w:lvlJc w:val="left"/>
      <w:pPr>
        <w:ind w:left="8761" w:hanging="684"/>
      </w:pPr>
      <w:rPr>
        <w:rFonts w:hint="default"/>
        <w:lang w:val="zh-CN" w:eastAsia="zh-CN" w:bidi="zh-CN"/>
      </w:rPr>
    </w:lvl>
  </w:abstractNum>
  <w:abstractNum w:abstractNumId="69">
    <w:multiLevelType w:val="hybridMultilevel"/>
    <w:lvl w:ilvl="0">
      <w:start w:val="1"/>
      <w:numFmt w:val="decimal"/>
      <w:lvlText w:val="%1."/>
      <w:lvlJc w:val="left"/>
      <w:pPr>
        <w:ind w:left="958" w:hanging="281"/>
        <w:jc w:val="left"/>
      </w:pPr>
      <w:rPr>
        <w:rFonts w:hint="default" w:ascii="Arial" w:hAnsi="Arial" w:eastAsia="Arial" w:cs="Arial"/>
        <w:b/>
        <w:bCs/>
        <w:w w:val="100"/>
        <w:sz w:val="21"/>
        <w:szCs w:val="21"/>
        <w:lang w:val="zh-CN" w:eastAsia="zh-CN" w:bidi="zh-CN"/>
      </w:rPr>
    </w:lvl>
    <w:lvl w:ilvl="1">
      <w:start w:val="1"/>
      <w:numFmt w:val="decimal"/>
      <w:lvlText w:val="%1.%2"/>
      <w:lvlJc w:val="left"/>
      <w:pPr>
        <w:ind w:left="1045" w:hanging="368"/>
        <w:jc w:val="left"/>
      </w:pPr>
      <w:rPr>
        <w:rFonts w:hint="default" w:ascii="Times New Roman" w:hAnsi="Times New Roman" w:eastAsia="Times New Roman" w:cs="Times New Roman"/>
        <w:b/>
        <w:bCs/>
        <w:w w:val="100"/>
        <w:sz w:val="21"/>
        <w:szCs w:val="21"/>
        <w:lang w:val="zh-CN" w:eastAsia="zh-CN" w:bidi="zh-CN"/>
      </w:rPr>
    </w:lvl>
    <w:lvl w:ilvl="2">
      <w:start w:val="1"/>
      <w:numFmt w:val="decimal"/>
      <w:lvlText w:val="%1.%2.%3"/>
      <w:lvlJc w:val="left"/>
      <w:pPr>
        <w:ind w:left="1623" w:hanging="526"/>
        <w:jc w:val="left"/>
      </w:pPr>
      <w:rPr>
        <w:rFonts w:hint="default" w:ascii="Times New Roman" w:hAnsi="Times New Roman" w:eastAsia="Times New Roman" w:cs="Times New Roman"/>
        <w:w w:val="100"/>
        <w:sz w:val="21"/>
        <w:szCs w:val="21"/>
        <w:lang w:val="zh-CN" w:eastAsia="zh-CN" w:bidi="zh-CN"/>
      </w:rPr>
    </w:lvl>
    <w:lvl w:ilvl="3">
      <w:start w:val="4"/>
      <w:numFmt w:val="decimal"/>
      <w:lvlText w:val="%1.%2.%3.%4"/>
      <w:lvlJc w:val="left"/>
      <w:pPr>
        <w:ind w:left="1782" w:hanging="684"/>
        <w:jc w:val="left"/>
      </w:pPr>
      <w:rPr>
        <w:rFonts w:hint="default" w:ascii="Times New Roman" w:hAnsi="Times New Roman" w:eastAsia="Times New Roman" w:cs="Times New Roman"/>
        <w:w w:val="100"/>
        <w:sz w:val="21"/>
        <w:szCs w:val="21"/>
        <w:lang w:val="zh-CN" w:eastAsia="zh-CN" w:bidi="zh-CN"/>
      </w:rPr>
    </w:lvl>
    <w:lvl w:ilvl="4">
      <w:start w:val="0"/>
      <w:numFmt w:val="bullet"/>
      <w:lvlText w:val="•"/>
      <w:lvlJc w:val="left"/>
      <w:pPr>
        <w:ind w:left="1140" w:hanging="684"/>
      </w:pPr>
      <w:rPr>
        <w:rFonts w:hint="default"/>
        <w:lang w:val="zh-CN" w:eastAsia="zh-CN" w:bidi="zh-CN"/>
      </w:rPr>
    </w:lvl>
    <w:lvl w:ilvl="5">
      <w:start w:val="0"/>
      <w:numFmt w:val="bullet"/>
      <w:lvlText w:val="•"/>
      <w:lvlJc w:val="left"/>
      <w:pPr>
        <w:ind w:left="1160" w:hanging="684"/>
      </w:pPr>
      <w:rPr>
        <w:rFonts w:hint="default"/>
        <w:lang w:val="zh-CN" w:eastAsia="zh-CN" w:bidi="zh-CN"/>
      </w:rPr>
    </w:lvl>
    <w:lvl w:ilvl="6">
      <w:start w:val="0"/>
      <w:numFmt w:val="bullet"/>
      <w:lvlText w:val="•"/>
      <w:lvlJc w:val="left"/>
      <w:pPr>
        <w:ind w:left="1620" w:hanging="684"/>
      </w:pPr>
      <w:rPr>
        <w:rFonts w:hint="default"/>
        <w:lang w:val="zh-CN" w:eastAsia="zh-CN" w:bidi="zh-CN"/>
      </w:rPr>
    </w:lvl>
    <w:lvl w:ilvl="7">
      <w:start w:val="0"/>
      <w:numFmt w:val="bullet"/>
      <w:lvlText w:val="•"/>
      <w:lvlJc w:val="left"/>
      <w:pPr>
        <w:ind w:left="1680" w:hanging="684"/>
      </w:pPr>
      <w:rPr>
        <w:rFonts w:hint="default"/>
        <w:lang w:val="zh-CN" w:eastAsia="zh-CN" w:bidi="zh-CN"/>
      </w:rPr>
    </w:lvl>
    <w:lvl w:ilvl="8">
      <w:start w:val="0"/>
      <w:numFmt w:val="bullet"/>
      <w:lvlText w:val="•"/>
      <w:lvlJc w:val="left"/>
      <w:pPr>
        <w:ind w:left="1720" w:hanging="684"/>
      </w:pPr>
      <w:rPr>
        <w:rFonts w:hint="default"/>
        <w:lang w:val="zh-CN" w:eastAsia="zh-CN" w:bidi="zh-CN"/>
      </w:rPr>
    </w:lvl>
  </w:abstractNum>
  <w:abstractNum w:abstractNumId="68">
    <w:multiLevelType w:val="hybridMultilevel"/>
    <w:lvl w:ilvl="0">
      <w:start w:val="1"/>
      <w:numFmt w:val="decimal"/>
      <w:lvlText w:val="%1."/>
      <w:lvlJc w:val="left"/>
      <w:pPr>
        <w:ind w:left="678" w:hanging="264"/>
        <w:jc w:val="left"/>
      </w:pPr>
      <w:rPr>
        <w:rFonts w:hint="default" w:ascii="Times New Roman" w:hAnsi="Times New Roman" w:eastAsia="Times New Roman" w:cs="Times New Roman"/>
        <w:w w:val="100"/>
        <w:sz w:val="21"/>
        <w:szCs w:val="21"/>
        <w:lang w:val="zh-CN" w:eastAsia="zh-CN" w:bidi="zh-CN"/>
      </w:rPr>
    </w:lvl>
    <w:lvl w:ilvl="1">
      <w:start w:val="0"/>
      <w:numFmt w:val="bullet"/>
      <w:lvlText w:val="•"/>
      <w:lvlJc w:val="left"/>
      <w:pPr>
        <w:ind w:left="1662" w:hanging="264"/>
      </w:pPr>
      <w:rPr>
        <w:rFonts w:hint="default"/>
        <w:lang w:val="zh-CN" w:eastAsia="zh-CN" w:bidi="zh-CN"/>
      </w:rPr>
    </w:lvl>
    <w:lvl w:ilvl="2">
      <w:start w:val="0"/>
      <w:numFmt w:val="bullet"/>
      <w:lvlText w:val="•"/>
      <w:lvlJc w:val="left"/>
      <w:pPr>
        <w:ind w:left="2645" w:hanging="264"/>
      </w:pPr>
      <w:rPr>
        <w:rFonts w:hint="default"/>
        <w:lang w:val="zh-CN" w:eastAsia="zh-CN" w:bidi="zh-CN"/>
      </w:rPr>
    </w:lvl>
    <w:lvl w:ilvl="3">
      <w:start w:val="0"/>
      <w:numFmt w:val="bullet"/>
      <w:lvlText w:val="•"/>
      <w:lvlJc w:val="left"/>
      <w:pPr>
        <w:ind w:left="3627" w:hanging="264"/>
      </w:pPr>
      <w:rPr>
        <w:rFonts w:hint="default"/>
        <w:lang w:val="zh-CN" w:eastAsia="zh-CN" w:bidi="zh-CN"/>
      </w:rPr>
    </w:lvl>
    <w:lvl w:ilvl="4">
      <w:start w:val="0"/>
      <w:numFmt w:val="bullet"/>
      <w:lvlText w:val="•"/>
      <w:lvlJc w:val="left"/>
      <w:pPr>
        <w:ind w:left="4610" w:hanging="264"/>
      </w:pPr>
      <w:rPr>
        <w:rFonts w:hint="default"/>
        <w:lang w:val="zh-CN" w:eastAsia="zh-CN" w:bidi="zh-CN"/>
      </w:rPr>
    </w:lvl>
    <w:lvl w:ilvl="5">
      <w:start w:val="0"/>
      <w:numFmt w:val="bullet"/>
      <w:lvlText w:val="•"/>
      <w:lvlJc w:val="left"/>
      <w:pPr>
        <w:ind w:left="5593" w:hanging="264"/>
      </w:pPr>
      <w:rPr>
        <w:rFonts w:hint="default"/>
        <w:lang w:val="zh-CN" w:eastAsia="zh-CN" w:bidi="zh-CN"/>
      </w:rPr>
    </w:lvl>
    <w:lvl w:ilvl="6">
      <w:start w:val="0"/>
      <w:numFmt w:val="bullet"/>
      <w:lvlText w:val="•"/>
      <w:lvlJc w:val="left"/>
      <w:pPr>
        <w:ind w:left="6575" w:hanging="264"/>
      </w:pPr>
      <w:rPr>
        <w:rFonts w:hint="default"/>
        <w:lang w:val="zh-CN" w:eastAsia="zh-CN" w:bidi="zh-CN"/>
      </w:rPr>
    </w:lvl>
    <w:lvl w:ilvl="7">
      <w:start w:val="0"/>
      <w:numFmt w:val="bullet"/>
      <w:lvlText w:val="•"/>
      <w:lvlJc w:val="left"/>
      <w:pPr>
        <w:ind w:left="7558" w:hanging="264"/>
      </w:pPr>
      <w:rPr>
        <w:rFonts w:hint="default"/>
        <w:lang w:val="zh-CN" w:eastAsia="zh-CN" w:bidi="zh-CN"/>
      </w:rPr>
    </w:lvl>
    <w:lvl w:ilvl="8">
      <w:start w:val="0"/>
      <w:numFmt w:val="bullet"/>
      <w:lvlText w:val="•"/>
      <w:lvlJc w:val="left"/>
      <w:pPr>
        <w:ind w:left="8541" w:hanging="264"/>
      </w:pPr>
      <w:rPr>
        <w:rFonts w:hint="default"/>
        <w:lang w:val="zh-CN" w:eastAsia="zh-CN" w:bidi="zh-CN"/>
      </w:rPr>
    </w:lvl>
  </w:abstractNum>
  <w:abstractNum w:abstractNumId="67">
    <w:multiLevelType w:val="hybridMultilevel"/>
    <w:lvl w:ilvl="0">
      <w:start w:val="1"/>
      <w:numFmt w:val="decimal"/>
      <w:lvlText w:val="（%1）"/>
      <w:lvlJc w:val="left"/>
      <w:pPr>
        <w:ind w:left="16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08" w:hanging="529"/>
      </w:pPr>
      <w:rPr>
        <w:rFonts w:hint="default"/>
        <w:lang w:val="zh-CN" w:eastAsia="zh-CN" w:bidi="zh-CN"/>
      </w:rPr>
    </w:lvl>
    <w:lvl w:ilvl="2">
      <w:start w:val="0"/>
      <w:numFmt w:val="bullet"/>
      <w:lvlText w:val="•"/>
      <w:lvlJc w:val="left"/>
      <w:pPr>
        <w:ind w:left="3397" w:hanging="529"/>
      </w:pPr>
      <w:rPr>
        <w:rFonts w:hint="default"/>
        <w:lang w:val="zh-CN" w:eastAsia="zh-CN" w:bidi="zh-CN"/>
      </w:rPr>
    </w:lvl>
    <w:lvl w:ilvl="3">
      <w:start w:val="0"/>
      <w:numFmt w:val="bullet"/>
      <w:lvlText w:val="•"/>
      <w:lvlJc w:val="left"/>
      <w:pPr>
        <w:ind w:left="4285" w:hanging="529"/>
      </w:pPr>
      <w:rPr>
        <w:rFonts w:hint="default"/>
        <w:lang w:val="zh-CN" w:eastAsia="zh-CN" w:bidi="zh-CN"/>
      </w:rPr>
    </w:lvl>
    <w:lvl w:ilvl="4">
      <w:start w:val="0"/>
      <w:numFmt w:val="bullet"/>
      <w:lvlText w:val="•"/>
      <w:lvlJc w:val="left"/>
      <w:pPr>
        <w:ind w:left="5174" w:hanging="529"/>
      </w:pPr>
      <w:rPr>
        <w:rFonts w:hint="default"/>
        <w:lang w:val="zh-CN" w:eastAsia="zh-CN" w:bidi="zh-CN"/>
      </w:rPr>
    </w:lvl>
    <w:lvl w:ilvl="5">
      <w:start w:val="0"/>
      <w:numFmt w:val="bullet"/>
      <w:lvlText w:val="•"/>
      <w:lvlJc w:val="left"/>
      <w:pPr>
        <w:ind w:left="6063" w:hanging="529"/>
      </w:pPr>
      <w:rPr>
        <w:rFonts w:hint="default"/>
        <w:lang w:val="zh-CN" w:eastAsia="zh-CN" w:bidi="zh-CN"/>
      </w:rPr>
    </w:lvl>
    <w:lvl w:ilvl="6">
      <w:start w:val="0"/>
      <w:numFmt w:val="bullet"/>
      <w:lvlText w:val="•"/>
      <w:lvlJc w:val="left"/>
      <w:pPr>
        <w:ind w:left="6951" w:hanging="529"/>
      </w:pPr>
      <w:rPr>
        <w:rFonts w:hint="default"/>
        <w:lang w:val="zh-CN" w:eastAsia="zh-CN" w:bidi="zh-CN"/>
      </w:rPr>
    </w:lvl>
    <w:lvl w:ilvl="7">
      <w:start w:val="0"/>
      <w:numFmt w:val="bullet"/>
      <w:lvlText w:val="•"/>
      <w:lvlJc w:val="left"/>
      <w:pPr>
        <w:ind w:left="7840" w:hanging="529"/>
      </w:pPr>
      <w:rPr>
        <w:rFonts w:hint="default"/>
        <w:lang w:val="zh-CN" w:eastAsia="zh-CN" w:bidi="zh-CN"/>
      </w:rPr>
    </w:lvl>
    <w:lvl w:ilvl="8">
      <w:start w:val="0"/>
      <w:numFmt w:val="bullet"/>
      <w:lvlText w:val="•"/>
      <w:lvlJc w:val="left"/>
      <w:pPr>
        <w:ind w:left="8729" w:hanging="529"/>
      </w:pPr>
      <w:rPr>
        <w:rFonts w:hint="default"/>
        <w:lang w:val="zh-CN" w:eastAsia="zh-CN" w:bidi="zh-CN"/>
      </w:rPr>
    </w:lvl>
  </w:abstractNum>
  <w:abstractNum w:abstractNumId="66">
    <w:multiLevelType w:val="hybridMultilevel"/>
    <w:lvl w:ilvl="0">
      <w:start w:val="1"/>
      <w:numFmt w:val="decimal"/>
      <w:lvlText w:val="（%1）"/>
      <w:lvlJc w:val="left"/>
      <w:pPr>
        <w:ind w:left="16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08" w:hanging="529"/>
      </w:pPr>
      <w:rPr>
        <w:rFonts w:hint="default"/>
        <w:lang w:val="zh-CN" w:eastAsia="zh-CN" w:bidi="zh-CN"/>
      </w:rPr>
    </w:lvl>
    <w:lvl w:ilvl="2">
      <w:start w:val="0"/>
      <w:numFmt w:val="bullet"/>
      <w:lvlText w:val="•"/>
      <w:lvlJc w:val="left"/>
      <w:pPr>
        <w:ind w:left="3397" w:hanging="529"/>
      </w:pPr>
      <w:rPr>
        <w:rFonts w:hint="default"/>
        <w:lang w:val="zh-CN" w:eastAsia="zh-CN" w:bidi="zh-CN"/>
      </w:rPr>
    </w:lvl>
    <w:lvl w:ilvl="3">
      <w:start w:val="0"/>
      <w:numFmt w:val="bullet"/>
      <w:lvlText w:val="•"/>
      <w:lvlJc w:val="left"/>
      <w:pPr>
        <w:ind w:left="4285" w:hanging="529"/>
      </w:pPr>
      <w:rPr>
        <w:rFonts w:hint="default"/>
        <w:lang w:val="zh-CN" w:eastAsia="zh-CN" w:bidi="zh-CN"/>
      </w:rPr>
    </w:lvl>
    <w:lvl w:ilvl="4">
      <w:start w:val="0"/>
      <w:numFmt w:val="bullet"/>
      <w:lvlText w:val="•"/>
      <w:lvlJc w:val="left"/>
      <w:pPr>
        <w:ind w:left="5174" w:hanging="529"/>
      </w:pPr>
      <w:rPr>
        <w:rFonts w:hint="default"/>
        <w:lang w:val="zh-CN" w:eastAsia="zh-CN" w:bidi="zh-CN"/>
      </w:rPr>
    </w:lvl>
    <w:lvl w:ilvl="5">
      <w:start w:val="0"/>
      <w:numFmt w:val="bullet"/>
      <w:lvlText w:val="•"/>
      <w:lvlJc w:val="left"/>
      <w:pPr>
        <w:ind w:left="6063" w:hanging="529"/>
      </w:pPr>
      <w:rPr>
        <w:rFonts w:hint="default"/>
        <w:lang w:val="zh-CN" w:eastAsia="zh-CN" w:bidi="zh-CN"/>
      </w:rPr>
    </w:lvl>
    <w:lvl w:ilvl="6">
      <w:start w:val="0"/>
      <w:numFmt w:val="bullet"/>
      <w:lvlText w:val="•"/>
      <w:lvlJc w:val="left"/>
      <w:pPr>
        <w:ind w:left="6951" w:hanging="529"/>
      </w:pPr>
      <w:rPr>
        <w:rFonts w:hint="default"/>
        <w:lang w:val="zh-CN" w:eastAsia="zh-CN" w:bidi="zh-CN"/>
      </w:rPr>
    </w:lvl>
    <w:lvl w:ilvl="7">
      <w:start w:val="0"/>
      <w:numFmt w:val="bullet"/>
      <w:lvlText w:val="•"/>
      <w:lvlJc w:val="left"/>
      <w:pPr>
        <w:ind w:left="7840" w:hanging="529"/>
      </w:pPr>
      <w:rPr>
        <w:rFonts w:hint="default"/>
        <w:lang w:val="zh-CN" w:eastAsia="zh-CN" w:bidi="zh-CN"/>
      </w:rPr>
    </w:lvl>
    <w:lvl w:ilvl="8">
      <w:start w:val="0"/>
      <w:numFmt w:val="bullet"/>
      <w:lvlText w:val="•"/>
      <w:lvlJc w:val="left"/>
      <w:pPr>
        <w:ind w:left="8729" w:hanging="529"/>
      </w:pPr>
      <w:rPr>
        <w:rFonts w:hint="default"/>
        <w:lang w:val="zh-CN" w:eastAsia="zh-CN" w:bidi="zh-CN"/>
      </w:rPr>
    </w:lvl>
  </w:abstractNum>
  <w:abstractNum w:abstractNumId="65">
    <w:multiLevelType w:val="hybridMultilevel"/>
    <w:lvl w:ilvl="0">
      <w:start w:val="1"/>
      <w:numFmt w:val="decimal"/>
      <w:lvlText w:val="%1."/>
      <w:lvlJc w:val="left"/>
      <w:pPr>
        <w:ind w:left="1400" w:hanging="264"/>
        <w:jc w:val="left"/>
      </w:pPr>
      <w:rPr>
        <w:rFonts w:hint="default" w:ascii="Times New Roman" w:hAnsi="Times New Roman" w:eastAsia="Times New Roman" w:cs="Times New Roman"/>
        <w:w w:val="100"/>
        <w:sz w:val="21"/>
        <w:szCs w:val="21"/>
        <w:lang w:val="zh-CN" w:eastAsia="zh-CN" w:bidi="zh-CN"/>
      </w:rPr>
    </w:lvl>
    <w:lvl w:ilvl="1">
      <w:start w:val="0"/>
      <w:numFmt w:val="bullet"/>
      <w:lvlText w:val="•"/>
      <w:lvlJc w:val="left"/>
      <w:pPr>
        <w:ind w:left="2310" w:hanging="264"/>
      </w:pPr>
      <w:rPr>
        <w:rFonts w:hint="default"/>
        <w:lang w:val="zh-CN" w:eastAsia="zh-CN" w:bidi="zh-CN"/>
      </w:rPr>
    </w:lvl>
    <w:lvl w:ilvl="2">
      <w:start w:val="0"/>
      <w:numFmt w:val="bullet"/>
      <w:lvlText w:val="•"/>
      <w:lvlJc w:val="left"/>
      <w:pPr>
        <w:ind w:left="3221" w:hanging="264"/>
      </w:pPr>
      <w:rPr>
        <w:rFonts w:hint="default"/>
        <w:lang w:val="zh-CN" w:eastAsia="zh-CN" w:bidi="zh-CN"/>
      </w:rPr>
    </w:lvl>
    <w:lvl w:ilvl="3">
      <w:start w:val="0"/>
      <w:numFmt w:val="bullet"/>
      <w:lvlText w:val="•"/>
      <w:lvlJc w:val="left"/>
      <w:pPr>
        <w:ind w:left="4131" w:hanging="264"/>
      </w:pPr>
      <w:rPr>
        <w:rFonts w:hint="default"/>
        <w:lang w:val="zh-CN" w:eastAsia="zh-CN" w:bidi="zh-CN"/>
      </w:rPr>
    </w:lvl>
    <w:lvl w:ilvl="4">
      <w:start w:val="0"/>
      <w:numFmt w:val="bullet"/>
      <w:lvlText w:val="•"/>
      <w:lvlJc w:val="left"/>
      <w:pPr>
        <w:ind w:left="5042" w:hanging="264"/>
      </w:pPr>
      <w:rPr>
        <w:rFonts w:hint="default"/>
        <w:lang w:val="zh-CN" w:eastAsia="zh-CN" w:bidi="zh-CN"/>
      </w:rPr>
    </w:lvl>
    <w:lvl w:ilvl="5">
      <w:start w:val="0"/>
      <w:numFmt w:val="bullet"/>
      <w:lvlText w:val="•"/>
      <w:lvlJc w:val="left"/>
      <w:pPr>
        <w:ind w:left="5953" w:hanging="264"/>
      </w:pPr>
      <w:rPr>
        <w:rFonts w:hint="default"/>
        <w:lang w:val="zh-CN" w:eastAsia="zh-CN" w:bidi="zh-CN"/>
      </w:rPr>
    </w:lvl>
    <w:lvl w:ilvl="6">
      <w:start w:val="0"/>
      <w:numFmt w:val="bullet"/>
      <w:lvlText w:val="•"/>
      <w:lvlJc w:val="left"/>
      <w:pPr>
        <w:ind w:left="6863" w:hanging="264"/>
      </w:pPr>
      <w:rPr>
        <w:rFonts w:hint="default"/>
        <w:lang w:val="zh-CN" w:eastAsia="zh-CN" w:bidi="zh-CN"/>
      </w:rPr>
    </w:lvl>
    <w:lvl w:ilvl="7">
      <w:start w:val="0"/>
      <w:numFmt w:val="bullet"/>
      <w:lvlText w:val="•"/>
      <w:lvlJc w:val="left"/>
      <w:pPr>
        <w:ind w:left="7774" w:hanging="264"/>
      </w:pPr>
      <w:rPr>
        <w:rFonts w:hint="default"/>
        <w:lang w:val="zh-CN" w:eastAsia="zh-CN" w:bidi="zh-CN"/>
      </w:rPr>
    </w:lvl>
    <w:lvl w:ilvl="8">
      <w:start w:val="0"/>
      <w:numFmt w:val="bullet"/>
      <w:lvlText w:val="•"/>
      <w:lvlJc w:val="left"/>
      <w:pPr>
        <w:ind w:left="8685" w:hanging="264"/>
      </w:pPr>
      <w:rPr>
        <w:rFonts w:hint="default"/>
        <w:lang w:val="zh-CN" w:eastAsia="zh-CN" w:bidi="zh-CN"/>
      </w:rPr>
    </w:lvl>
  </w:abstractNum>
  <w:abstractNum w:abstractNumId="64">
    <w:multiLevelType w:val="hybridMultilevel"/>
    <w:lvl w:ilvl="0">
      <w:start w:val="1"/>
      <w:numFmt w:val="decimal"/>
      <w:lvlText w:val="%1."/>
      <w:lvlJc w:val="left"/>
      <w:pPr>
        <w:ind w:left="1354" w:hanging="264"/>
        <w:jc w:val="left"/>
      </w:pPr>
      <w:rPr>
        <w:rFonts w:hint="default" w:ascii="Times New Roman" w:hAnsi="Times New Roman" w:eastAsia="Times New Roman" w:cs="Times New Roman"/>
        <w:w w:val="100"/>
        <w:sz w:val="21"/>
        <w:szCs w:val="21"/>
        <w:lang w:val="zh-CN" w:eastAsia="zh-CN" w:bidi="zh-CN"/>
      </w:rPr>
    </w:lvl>
    <w:lvl w:ilvl="1">
      <w:start w:val="0"/>
      <w:numFmt w:val="bullet"/>
      <w:lvlText w:val="•"/>
      <w:lvlJc w:val="left"/>
      <w:pPr>
        <w:ind w:left="2274" w:hanging="264"/>
      </w:pPr>
      <w:rPr>
        <w:rFonts w:hint="default"/>
        <w:lang w:val="zh-CN" w:eastAsia="zh-CN" w:bidi="zh-CN"/>
      </w:rPr>
    </w:lvl>
    <w:lvl w:ilvl="2">
      <w:start w:val="0"/>
      <w:numFmt w:val="bullet"/>
      <w:lvlText w:val="•"/>
      <w:lvlJc w:val="left"/>
      <w:pPr>
        <w:ind w:left="3189" w:hanging="264"/>
      </w:pPr>
      <w:rPr>
        <w:rFonts w:hint="default"/>
        <w:lang w:val="zh-CN" w:eastAsia="zh-CN" w:bidi="zh-CN"/>
      </w:rPr>
    </w:lvl>
    <w:lvl w:ilvl="3">
      <w:start w:val="0"/>
      <w:numFmt w:val="bullet"/>
      <w:lvlText w:val="•"/>
      <w:lvlJc w:val="left"/>
      <w:pPr>
        <w:ind w:left="4103" w:hanging="264"/>
      </w:pPr>
      <w:rPr>
        <w:rFonts w:hint="default"/>
        <w:lang w:val="zh-CN" w:eastAsia="zh-CN" w:bidi="zh-CN"/>
      </w:rPr>
    </w:lvl>
    <w:lvl w:ilvl="4">
      <w:start w:val="0"/>
      <w:numFmt w:val="bullet"/>
      <w:lvlText w:val="•"/>
      <w:lvlJc w:val="left"/>
      <w:pPr>
        <w:ind w:left="5018" w:hanging="264"/>
      </w:pPr>
      <w:rPr>
        <w:rFonts w:hint="default"/>
        <w:lang w:val="zh-CN" w:eastAsia="zh-CN" w:bidi="zh-CN"/>
      </w:rPr>
    </w:lvl>
    <w:lvl w:ilvl="5">
      <w:start w:val="0"/>
      <w:numFmt w:val="bullet"/>
      <w:lvlText w:val="•"/>
      <w:lvlJc w:val="left"/>
      <w:pPr>
        <w:ind w:left="5933" w:hanging="264"/>
      </w:pPr>
      <w:rPr>
        <w:rFonts w:hint="default"/>
        <w:lang w:val="zh-CN" w:eastAsia="zh-CN" w:bidi="zh-CN"/>
      </w:rPr>
    </w:lvl>
    <w:lvl w:ilvl="6">
      <w:start w:val="0"/>
      <w:numFmt w:val="bullet"/>
      <w:lvlText w:val="•"/>
      <w:lvlJc w:val="left"/>
      <w:pPr>
        <w:ind w:left="6847" w:hanging="264"/>
      </w:pPr>
      <w:rPr>
        <w:rFonts w:hint="default"/>
        <w:lang w:val="zh-CN" w:eastAsia="zh-CN" w:bidi="zh-CN"/>
      </w:rPr>
    </w:lvl>
    <w:lvl w:ilvl="7">
      <w:start w:val="0"/>
      <w:numFmt w:val="bullet"/>
      <w:lvlText w:val="•"/>
      <w:lvlJc w:val="left"/>
      <w:pPr>
        <w:ind w:left="7762" w:hanging="264"/>
      </w:pPr>
      <w:rPr>
        <w:rFonts w:hint="default"/>
        <w:lang w:val="zh-CN" w:eastAsia="zh-CN" w:bidi="zh-CN"/>
      </w:rPr>
    </w:lvl>
    <w:lvl w:ilvl="8">
      <w:start w:val="0"/>
      <w:numFmt w:val="bullet"/>
      <w:lvlText w:val="•"/>
      <w:lvlJc w:val="left"/>
      <w:pPr>
        <w:ind w:left="8677" w:hanging="264"/>
      </w:pPr>
      <w:rPr>
        <w:rFonts w:hint="default"/>
        <w:lang w:val="zh-CN" w:eastAsia="zh-CN" w:bidi="zh-CN"/>
      </w:rPr>
    </w:lvl>
  </w:abstractNum>
  <w:abstractNum w:abstractNumId="63">
    <w:multiLevelType w:val="hybridMultilevel"/>
    <w:lvl w:ilvl="0">
      <w:start w:val="1"/>
      <w:numFmt w:val="decimal"/>
      <w:lvlText w:val="（%1）"/>
      <w:lvlJc w:val="left"/>
      <w:pPr>
        <w:ind w:left="16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08" w:hanging="529"/>
      </w:pPr>
      <w:rPr>
        <w:rFonts w:hint="default"/>
        <w:lang w:val="zh-CN" w:eastAsia="zh-CN" w:bidi="zh-CN"/>
      </w:rPr>
    </w:lvl>
    <w:lvl w:ilvl="2">
      <w:start w:val="0"/>
      <w:numFmt w:val="bullet"/>
      <w:lvlText w:val="•"/>
      <w:lvlJc w:val="left"/>
      <w:pPr>
        <w:ind w:left="3397" w:hanging="529"/>
      </w:pPr>
      <w:rPr>
        <w:rFonts w:hint="default"/>
        <w:lang w:val="zh-CN" w:eastAsia="zh-CN" w:bidi="zh-CN"/>
      </w:rPr>
    </w:lvl>
    <w:lvl w:ilvl="3">
      <w:start w:val="0"/>
      <w:numFmt w:val="bullet"/>
      <w:lvlText w:val="•"/>
      <w:lvlJc w:val="left"/>
      <w:pPr>
        <w:ind w:left="4285" w:hanging="529"/>
      </w:pPr>
      <w:rPr>
        <w:rFonts w:hint="default"/>
        <w:lang w:val="zh-CN" w:eastAsia="zh-CN" w:bidi="zh-CN"/>
      </w:rPr>
    </w:lvl>
    <w:lvl w:ilvl="4">
      <w:start w:val="0"/>
      <w:numFmt w:val="bullet"/>
      <w:lvlText w:val="•"/>
      <w:lvlJc w:val="left"/>
      <w:pPr>
        <w:ind w:left="5174" w:hanging="529"/>
      </w:pPr>
      <w:rPr>
        <w:rFonts w:hint="default"/>
        <w:lang w:val="zh-CN" w:eastAsia="zh-CN" w:bidi="zh-CN"/>
      </w:rPr>
    </w:lvl>
    <w:lvl w:ilvl="5">
      <w:start w:val="0"/>
      <w:numFmt w:val="bullet"/>
      <w:lvlText w:val="•"/>
      <w:lvlJc w:val="left"/>
      <w:pPr>
        <w:ind w:left="6063" w:hanging="529"/>
      </w:pPr>
      <w:rPr>
        <w:rFonts w:hint="default"/>
        <w:lang w:val="zh-CN" w:eastAsia="zh-CN" w:bidi="zh-CN"/>
      </w:rPr>
    </w:lvl>
    <w:lvl w:ilvl="6">
      <w:start w:val="0"/>
      <w:numFmt w:val="bullet"/>
      <w:lvlText w:val="•"/>
      <w:lvlJc w:val="left"/>
      <w:pPr>
        <w:ind w:left="6951" w:hanging="529"/>
      </w:pPr>
      <w:rPr>
        <w:rFonts w:hint="default"/>
        <w:lang w:val="zh-CN" w:eastAsia="zh-CN" w:bidi="zh-CN"/>
      </w:rPr>
    </w:lvl>
    <w:lvl w:ilvl="7">
      <w:start w:val="0"/>
      <w:numFmt w:val="bullet"/>
      <w:lvlText w:val="•"/>
      <w:lvlJc w:val="left"/>
      <w:pPr>
        <w:ind w:left="7840" w:hanging="529"/>
      </w:pPr>
      <w:rPr>
        <w:rFonts w:hint="default"/>
        <w:lang w:val="zh-CN" w:eastAsia="zh-CN" w:bidi="zh-CN"/>
      </w:rPr>
    </w:lvl>
    <w:lvl w:ilvl="8">
      <w:start w:val="0"/>
      <w:numFmt w:val="bullet"/>
      <w:lvlText w:val="•"/>
      <w:lvlJc w:val="left"/>
      <w:pPr>
        <w:ind w:left="8729" w:hanging="529"/>
      </w:pPr>
      <w:rPr>
        <w:rFonts w:hint="default"/>
        <w:lang w:val="zh-CN" w:eastAsia="zh-CN" w:bidi="zh-CN"/>
      </w:rPr>
    </w:lvl>
  </w:abstractNum>
  <w:abstractNum w:abstractNumId="62">
    <w:multiLevelType w:val="hybridMultilevel"/>
    <w:lvl w:ilvl="0">
      <w:start w:val="1"/>
      <w:numFmt w:val="decimal"/>
      <w:lvlText w:val="（%1）"/>
      <w:lvlJc w:val="left"/>
      <w:pPr>
        <w:ind w:left="1624"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08" w:hanging="529"/>
      </w:pPr>
      <w:rPr>
        <w:rFonts w:hint="default"/>
        <w:lang w:val="zh-CN" w:eastAsia="zh-CN" w:bidi="zh-CN"/>
      </w:rPr>
    </w:lvl>
    <w:lvl w:ilvl="2">
      <w:start w:val="0"/>
      <w:numFmt w:val="bullet"/>
      <w:lvlText w:val="•"/>
      <w:lvlJc w:val="left"/>
      <w:pPr>
        <w:ind w:left="3397" w:hanging="529"/>
      </w:pPr>
      <w:rPr>
        <w:rFonts w:hint="default"/>
        <w:lang w:val="zh-CN" w:eastAsia="zh-CN" w:bidi="zh-CN"/>
      </w:rPr>
    </w:lvl>
    <w:lvl w:ilvl="3">
      <w:start w:val="0"/>
      <w:numFmt w:val="bullet"/>
      <w:lvlText w:val="•"/>
      <w:lvlJc w:val="left"/>
      <w:pPr>
        <w:ind w:left="4285" w:hanging="529"/>
      </w:pPr>
      <w:rPr>
        <w:rFonts w:hint="default"/>
        <w:lang w:val="zh-CN" w:eastAsia="zh-CN" w:bidi="zh-CN"/>
      </w:rPr>
    </w:lvl>
    <w:lvl w:ilvl="4">
      <w:start w:val="0"/>
      <w:numFmt w:val="bullet"/>
      <w:lvlText w:val="•"/>
      <w:lvlJc w:val="left"/>
      <w:pPr>
        <w:ind w:left="5174" w:hanging="529"/>
      </w:pPr>
      <w:rPr>
        <w:rFonts w:hint="default"/>
        <w:lang w:val="zh-CN" w:eastAsia="zh-CN" w:bidi="zh-CN"/>
      </w:rPr>
    </w:lvl>
    <w:lvl w:ilvl="5">
      <w:start w:val="0"/>
      <w:numFmt w:val="bullet"/>
      <w:lvlText w:val="•"/>
      <w:lvlJc w:val="left"/>
      <w:pPr>
        <w:ind w:left="6063" w:hanging="529"/>
      </w:pPr>
      <w:rPr>
        <w:rFonts w:hint="default"/>
        <w:lang w:val="zh-CN" w:eastAsia="zh-CN" w:bidi="zh-CN"/>
      </w:rPr>
    </w:lvl>
    <w:lvl w:ilvl="6">
      <w:start w:val="0"/>
      <w:numFmt w:val="bullet"/>
      <w:lvlText w:val="•"/>
      <w:lvlJc w:val="left"/>
      <w:pPr>
        <w:ind w:left="6951" w:hanging="529"/>
      </w:pPr>
      <w:rPr>
        <w:rFonts w:hint="default"/>
        <w:lang w:val="zh-CN" w:eastAsia="zh-CN" w:bidi="zh-CN"/>
      </w:rPr>
    </w:lvl>
    <w:lvl w:ilvl="7">
      <w:start w:val="0"/>
      <w:numFmt w:val="bullet"/>
      <w:lvlText w:val="•"/>
      <w:lvlJc w:val="left"/>
      <w:pPr>
        <w:ind w:left="7840" w:hanging="529"/>
      </w:pPr>
      <w:rPr>
        <w:rFonts w:hint="default"/>
        <w:lang w:val="zh-CN" w:eastAsia="zh-CN" w:bidi="zh-CN"/>
      </w:rPr>
    </w:lvl>
    <w:lvl w:ilvl="8">
      <w:start w:val="0"/>
      <w:numFmt w:val="bullet"/>
      <w:lvlText w:val="•"/>
      <w:lvlJc w:val="left"/>
      <w:pPr>
        <w:ind w:left="8729" w:hanging="529"/>
      </w:pPr>
      <w:rPr>
        <w:rFonts w:hint="default"/>
        <w:lang w:val="zh-CN" w:eastAsia="zh-CN" w:bidi="zh-CN"/>
      </w:rPr>
    </w:lvl>
  </w:abstractNum>
  <w:abstractNum w:abstractNumId="61">
    <w:multiLevelType w:val="hybridMultilevel"/>
    <w:lvl w:ilvl="0">
      <w:start w:val="1"/>
      <w:numFmt w:val="decimal"/>
      <w:lvlText w:val="（%1）"/>
      <w:lvlJc w:val="left"/>
      <w:pPr>
        <w:ind w:left="675" w:hanging="529"/>
        <w:jc w:val="left"/>
      </w:pPr>
      <w:rPr>
        <w:rFonts w:hint="default" w:ascii="宋体" w:hAnsi="宋体" w:eastAsia="宋体" w:cs="宋体"/>
        <w:spacing w:val="-25"/>
        <w:w w:val="100"/>
        <w:sz w:val="19"/>
        <w:szCs w:val="19"/>
        <w:lang w:val="zh-CN" w:eastAsia="zh-CN" w:bidi="zh-CN"/>
      </w:rPr>
    </w:lvl>
    <w:lvl w:ilvl="1">
      <w:start w:val="0"/>
      <w:numFmt w:val="bullet"/>
      <w:lvlText w:val="•"/>
      <w:lvlJc w:val="left"/>
      <w:pPr>
        <w:ind w:left="1662" w:hanging="529"/>
      </w:pPr>
      <w:rPr>
        <w:rFonts w:hint="default"/>
        <w:lang w:val="zh-CN" w:eastAsia="zh-CN" w:bidi="zh-CN"/>
      </w:rPr>
    </w:lvl>
    <w:lvl w:ilvl="2">
      <w:start w:val="0"/>
      <w:numFmt w:val="bullet"/>
      <w:lvlText w:val="•"/>
      <w:lvlJc w:val="left"/>
      <w:pPr>
        <w:ind w:left="2645" w:hanging="529"/>
      </w:pPr>
      <w:rPr>
        <w:rFonts w:hint="default"/>
        <w:lang w:val="zh-CN" w:eastAsia="zh-CN" w:bidi="zh-CN"/>
      </w:rPr>
    </w:lvl>
    <w:lvl w:ilvl="3">
      <w:start w:val="0"/>
      <w:numFmt w:val="bullet"/>
      <w:lvlText w:val="•"/>
      <w:lvlJc w:val="left"/>
      <w:pPr>
        <w:ind w:left="3627" w:hanging="529"/>
      </w:pPr>
      <w:rPr>
        <w:rFonts w:hint="default"/>
        <w:lang w:val="zh-CN" w:eastAsia="zh-CN" w:bidi="zh-CN"/>
      </w:rPr>
    </w:lvl>
    <w:lvl w:ilvl="4">
      <w:start w:val="0"/>
      <w:numFmt w:val="bullet"/>
      <w:lvlText w:val="•"/>
      <w:lvlJc w:val="left"/>
      <w:pPr>
        <w:ind w:left="4610" w:hanging="529"/>
      </w:pPr>
      <w:rPr>
        <w:rFonts w:hint="default"/>
        <w:lang w:val="zh-CN" w:eastAsia="zh-CN" w:bidi="zh-CN"/>
      </w:rPr>
    </w:lvl>
    <w:lvl w:ilvl="5">
      <w:start w:val="0"/>
      <w:numFmt w:val="bullet"/>
      <w:lvlText w:val="•"/>
      <w:lvlJc w:val="left"/>
      <w:pPr>
        <w:ind w:left="5593" w:hanging="529"/>
      </w:pPr>
      <w:rPr>
        <w:rFonts w:hint="default"/>
        <w:lang w:val="zh-CN" w:eastAsia="zh-CN" w:bidi="zh-CN"/>
      </w:rPr>
    </w:lvl>
    <w:lvl w:ilvl="6">
      <w:start w:val="0"/>
      <w:numFmt w:val="bullet"/>
      <w:lvlText w:val="•"/>
      <w:lvlJc w:val="left"/>
      <w:pPr>
        <w:ind w:left="6575" w:hanging="529"/>
      </w:pPr>
      <w:rPr>
        <w:rFonts w:hint="default"/>
        <w:lang w:val="zh-CN" w:eastAsia="zh-CN" w:bidi="zh-CN"/>
      </w:rPr>
    </w:lvl>
    <w:lvl w:ilvl="7">
      <w:start w:val="0"/>
      <w:numFmt w:val="bullet"/>
      <w:lvlText w:val="•"/>
      <w:lvlJc w:val="left"/>
      <w:pPr>
        <w:ind w:left="7558" w:hanging="529"/>
      </w:pPr>
      <w:rPr>
        <w:rFonts w:hint="default"/>
        <w:lang w:val="zh-CN" w:eastAsia="zh-CN" w:bidi="zh-CN"/>
      </w:rPr>
    </w:lvl>
    <w:lvl w:ilvl="8">
      <w:start w:val="0"/>
      <w:numFmt w:val="bullet"/>
      <w:lvlText w:val="•"/>
      <w:lvlJc w:val="left"/>
      <w:pPr>
        <w:ind w:left="8541" w:hanging="529"/>
      </w:pPr>
      <w:rPr>
        <w:rFonts w:hint="default"/>
        <w:lang w:val="zh-CN" w:eastAsia="zh-CN" w:bidi="zh-CN"/>
      </w:rPr>
    </w:lvl>
  </w:abstractNum>
  <w:abstractNum w:abstractNumId="60">
    <w:multiLevelType w:val="hybridMultilevel"/>
    <w:lvl w:ilvl="0">
      <w:start w:val="1"/>
      <w:numFmt w:val="decimal"/>
      <w:lvlText w:val="（%1）"/>
      <w:lvlJc w:val="left"/>
      <w:pPr>
        <w:ind w:left="16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08" w:hanging="529"/>
      </w:pPr>
      <w:rPr>
        <w:rFonts w:hint="default"/>
        <w:lang w:val="zh-CN" w:eastAsia="zh-CN" w:bidi="zh-CN"/>
      </w:rPr>
    </w:lvl>
    <w:lvl w:ilvl="2">
      <w:start w:val="0"/>
      <w:numFmt w:val="bullet"/>
      <w:lvlText w:val="•"/>
      <w:lvlJc w:val="left"/>
      <w:pPr>
        <w:ind w:left="3397" w:hanging="529"/>
      </w:pPr>
      <w:rPr>
        <w:rFonts w:hint="default"/>
        <w:lang w:val="zh-CN" w:eastAsia="zh-CN" w:bidi="zh-CN"/>
      </w:rPr>
    </w:lvl>
    <w:lvl w:ilvl="3">
      <w:start w:val="0"/>
      <w:numFmt w:val="bullet"/>
      <w:lvlText w:val="•"/>
      <w:lvlJc w:val="left"/>
      <w:pPr>
        <w:ind w:left="4285" w:hanging="529"/>
      </w:pPr>
      <w:rPr>
        <w:rFonts w:hint="default"/>
        <w:lang w:val="zh-CN" w:eastAsia="zh-CN" w:bidi="zh-CN"/>
      </w:rPr>
    </w:lvl>
    <w:lvl w:ilvl="4">
      <w:start w:val="0"/>
      <w:numFmt w:val="bullet"/>
      <w:lvlText w:val="•"/>
      <w:lvlJc w:val="left"/>
      <w:pPr>
        <w:ind w:left="5174" w:hanging="529"/>
      </w:pPr>
      <w:rPr>
        <w:rFonts w:hint="default"/>
        <w:lang w:val="zh-CN" w:eastAsia="zh-CN" w:bidi="zh-CN"/>
      </w:rPr>
    </w:lvl>
    <w:lvl w:ilvl="5">
      <w:start w:val="0"/>
      <w:numFmt w:val="bullet"/>
      <w:lvlText w:val="•"/>
      <w:lvlJc w:val="left"/>
      <w:pPr>
        <w:ind w:left="6063" w:hanging="529"/>
      </w:pPr>
      <w:rPr>
        <w:rFonts w:hint="default"/>
        <w:lang w:val="zh-CN" w:eastAsia="zh-CN" w:bidi="zh-CN"/>
      </w:rPr>
    </w:lvl>
    <w:lvl w:ilvl="6">
      <w:start w:val="0"/>
      <w:numFmt w:val="bullet"/>
      <w:lvlText w:val="•"/>
      <w:lvlJc w:val="left"/>
      <w:pPr>
        <w:ind w:left="6951" w:hanging="529"/>
      </w:pPr>
      <w:rPr>
        <w:rFonts w:hint="default"/>
        <w:lang w:val="zh-CN" w:eastAsia="zh-CN" w:bidi="zh-CN"/>
      </w:rPr>
    </w:lvl>
    <w:lvl w:ilvl="7">
      <w:start w:val="0"/>
      <w:numFmt w:val="bullet"/>
      <w:lvlText w:val="•"/>
      <w:lvlJc w:val="left"/>
      <w:pPr>
        <w:ind w:left="7840" w:hanging="529"/>
      </w:pPr>
      <w:rPr>
        <w:rFonts w:hint="default"/>
        <w:lang w:val="zh-CN" w:eastAsia="zh-CN" w:bidi="zh-CN"/>
      </w:rPr>
    </w:lvl>
    <w:lvl w:ilvl="8">
      <w:start w:val="0"/>
      <w:numFmt w:val="bullet"/>
      <w:lvlText w:val="•"/>
      <w:lvlJc w:val="left"/>
      <w:pPr>
        <w:ind w:left="8729" w:hanging="529"/>
      </w:pPr>
      <w:rPr>
        <w:rFonts w:hint="default"/>
        <w:lang w:val="zh-CN" w:eastAsia="zh-CN" w:bidi="zh-CN"/>
      </w:rPr>
    </w:lvl>
  </w:abstractNum>
  <w:abstractNum w:abstractNumId="59">
    <w:multiLevelType w:val="hybridMultilevel"/>
    <w:lvl w:ilvl="0">
      <w:start w:val="1"/>
      <w:numFmt w:val="decimal"/>
      <w:lvlText w:val="（%1）"/>
      <w:lvlJc w:val="left"/>
      <w:pPr>
        <w:ind w:left="16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08" w:hanging="529"/>
      </w:pPr>
      <w:rPr>
        <w:rFonts w:hint="default"/>
        <w:lang w:val="zh-CN" w:eastAsia="zh-CN" w:bidi="zh-CN"/>
      </w:rPr>
    </w:lvl>
    <w:lvl w:ilvl="2">
      <w:start w:val="0"/>
      <w:numFmt w:val="bullet"/>
      <w:lvlText w:val="•"/>
      <w:lvlJc w:val="left"/>
      <w:pPr>
        <w:ind w:left="3397" w:hanging="529"/>
      </w:pPr>
      <w:rPr>
        <w:rFonts w:hint="default"/>
        <w:lang w:val="zh-CN" w:eastAsia="zh-CN" w:bidi="zh-CN"/>
      </w:rPr>
    </w:lvl>
    <w:lvl w:ilvl="3">
      <w:start w:val="0"/>
      <w:numFmt w:val="bullet"/>
      <w:lvlText w:val="•"/>
      <w:lvlJc w:val="left"/>
      <w:pPr>
        <w:ind w:left="4285" w:hanging="529"/>
      </w:pPr>
      <w:rPr>
        <w:rFonts w:hint="default"/>
        <w:lang w:val="zh-CN" w:eastAsia="zh-CN" w:bidi="zh-CN"/>
      </w:rPr>
    </w:lvl>
    <w:lvl w:ilvl="4">
      <w:start w:val="0"/>
      <w:numFmt w:val="bullet"/>
      <w:lvlText w:val="•"/>
      <w:lvlJc w:val="left"/>
      <w:pPr>
        <w:ind w:left="5174" w:hanging="529"/>
      </w:pPr>
      <w:rPr>
        <w:rFonts w:hint="default"/>
        <w:lang w:val="zh-CN" w:eastAsia="zh-CN" w:bidi="zh-CN"/>
      </w:rPr>
    </w:lvl>
    <w:lvl w:ilvl="5">
      <w:start w:val="0"/>
      <w:numFmt w:val="bullet"/>
      <w:lvlText w:val="•"/>
      <w:lvlJc w:val="left"/>
      <w:pPr>
        <w:ind w:left="6063" w:hanging="529"/>
      </w:pPr>
      <w:rPr>
        <w:rFonts w:hint="default"/>
        <w:lang w:val="zh-CN" w:eastAsia="zh-CN" w:bidi="zh-CN"/>
      </w:rPr>
    </w:lvl>
    <w:lvl w:ilvl="6">
      <w:start w:val="0"/>
      <w:numFmt w:val="bullet"/>
      <w:lvlText w:val="•"/>
      <w:lvlJc w:val="left"/>
      <w:pPr>
        <w:ind w:left="6951" w:hanging="529"/>
      </w:pPr>
      <w:rPr>
        <w:rFonts w:hint="default"/>
        <w:lang w:val="zh-CN" w:eastAsia="zh-CN" w:bidi="zh-CN"/>
      </w:rPr>
    </w:lvl>
    <w:lvl w:ilvl="7">
      <w:start w:val="0"/>
      <w:numFmt w:val="bullet"/>
      <w:lvlText w:val="•"/>
      <w:lvlJc w:val="left"/>
      <w:pPr>
        <w:ind w:left="7840" w:hanging="529"/>
      </w:pPr>
      <w:rPr>
        <w:rFonts w:hint="default"/>
        <w:lang w:val="zh-CN" w:eastAsia="zh-CN" w:bidi="zh-CN"/>
      </w:rPr>
    </w:lvl>
    <w:lvl w:ilvl="8">
      <w:start w:val="0"/>
      <w:numFmt w:val="bullet"/>
      <w:lvlText w:val="•"/>
      <w:lvlJc w:val="left"/>
      <w:pPr>
        <w:ind w:left="8729" w:hanging="529"/>
      </w:pPr>
      <w:rPr>
        <w:rFonts w:hint="default"/>
        <w:lang w:val="zh-CN" w:eastAsia="zh-CN" w:bidi="zh-CN"/>
      </w:rPr>
    </w:lvl>
  </w:abstractNum>
  <w:abstractNum w:abstractNumId="58">
    <w:multiLevelType w:val="hybridMultilevel"/>
    <w:lvl w:ilvl="0">
      <w:start w:val="1"/>
      <w:numFmt w:val="decimal"/>
      <w:lvlText w:val="（%1）"/>
      <w:lvlJc w:val="left"/>
      <w:pPr>
        <w:ind w:left="16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08" w:hanging="529"/>
      </w:pPr>
      <w:rPr>
        <w:rFonts w:hint="default"/>
        <w:lang w:val="zh-CN" w:eastAsia="zh-CN" w:bidi="zh-CN"/>
      </w:rPr>
    </w:lvl>
    <w:lvl w:ilvl="2">
      <w:start w:val="0"/>
      <w:numFmt w:val="bullet"/>
      <w:lvlText w:val="•"/>
      <w:lvlJc w:val="left"/>
      <w:pPr>
        <w:ind w:left="3397" w:hanging="529"/>
      </w:pPr>
      <w:rPr>
        <w:rFonts w:hint="default"/>
        <w:lang w:val="zh-CN" w:eastAsia="zh-CN" w:bidi="zh-CN"/>
      </w:rPr>
    </w:lvl>
    <w:lvl w:ilvl="3">
      <w:start w:val="0"/>
      <w:numFmt w:val="bullet"/>
      <w:lvlText w:val="•"/>
      <w:lvlJc w:val="left"/>
      <w:pPr>
        <w:ind w:left="4285" w:hanging="529"/>
      </w:pPr>
      <w:rPr>
        <w:rFonts w:hint="default"/>
        <w:lang w:val="zh-CN" w:eastAsia="zh-CN" w:bidi="zh-CN"/>
      </w:rPr>
    </w:lvl>
    <w:lvl w:ilvl="4">
      <w:start w:val="0"/>
      <w:numFmt w:val="bullet"/>
      <w:lvlText w:val="•"/>
      <w:lvlJc w:val="left"/>
      <w:pPr>
        <w:ind w:left="5174" w:hanging="529"/>
      </w:pPr>
      <w:rPr>
        <w:rFonts w:hint="default"/>
        <w:lang w:val="zh-CN" w:eastAsia="zh-CN" w:bidi="zh-CN"/>
      </w:rPr>
    </w:lvl>
    <w:lvl w:ilvl="5">
      <w:start w:val="0"/>
      <w:numFmt w:val="bullet"/>
      <w:lvlText w:val="•"/>
      <w:lvlJc w:val="left"/>
      <w:pPr>
        <w:ind w:left="6063" w:hanging="529"/>
      </w:pPr>
      <w:rPr>
        <w:rFonts w:hint="default"/>
        <w:lang w:val="zh-CN" w:eastAsia="zh-CN" w:bidi="zh-CN"/>
      </w:rPr>
    </w:lvl>
    <w:lvl w:ilvl="6">
      <w:start w:val="0"/>
      <w:numFmt w:val="bullet"/>
      <w:lvlText w:val="•"/>
      <w:lvlJc w:val="left"/>
      <w:pPr>
        <w:ind w:left="6951" w:hanging="529"/>
      </w:pPr>
      <w:rPr>
        <w:rFonts w:hint="default"/>
        <w:lang w:val="zh-CN" w:eastAsia="zh-CN" w:bidi="zh-CN"/>
      </w:rPr>
    </w:lvl>
    <w:lvl w:ilvl="7">
      <w:start w:val="0"/>
      <w:numFmt w:val="bullet"/>
      <w:lvlText w:val="•"/>
      <w:lvlJc w:val="left"/>
      <w:pPr>
        <w:ind w:left="7840" w:hanging="529"/>
      </w:pPr>
      <w:rPr>
        <w:rFonts w:hint="default"/>
        <w:lang w:val="zh-CN" w:eastAsia="zh-CN" w:bidi="zh-CN"/>
      </w:rPr>
    </w:lvl>
    <w:lvl w:ilvl="8">
      <w:start w:val="0"/>
      <w:numFmt w:val="bullet"/>
      <w:lvlText w:val="•"/>
      <w:lvlJc w:val="left"/>
      <w:pPr>
        <w:ind w:left="8729" w:hanging="529"/>
      </w:pPr>
      <w:rPr>
        <w:rFonts w:hint="default"/>
        <w:lang w:val="zh-CN" w:eastAsia="zh-CN" w:bidi="zh-CN"/>
      </w:rPr>
    </w:lvl>
  </w:abstractNum>
  <w:abstractNum w:abstractNumId="57">
    <w:multiLevelType w:val="hybridMultilevel"/>
    <w:lvl w:ilvl="0">
      <w:start w:val="1"/>
      <w:numFmt w:val="decimal"/>
      <w:lvlText w:val="（%1）"/>
      <w:lvlJc w:val="left"/>
      <w:pPr>
        <w:ind w:left="16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08" w:hanging="529"/>
      </w:pPr>
      <w:rPr>
        <w:rFonts w:hint="default"/>
        <w:lang w:val="zh-CN" w:eastAsia="zh-CN" w:bidi="zh-CN"/>
      </w:rPr>
    </w:lvl>
    <w:lvl w:ilvl="2">
      <w:start w:val="0"/>
      <w:numFmt w:val="bullet"/>
      <w:lvlText w:val="•"/>
      <w:lvlJc w:val="left"/>
      <w:pPr>
        <w:ind w:left="3397" w:hanging="529"/>
      </w:pPr>
      <w:rPr>
        <w:rFonts w:hint="default"/>
        <w:lang w:val="zh-CN" w:eastAsia="zh-CN" w:bidi="zh-CN"/>
      </w:rPr>
    </w:lvl>
    <w:lvl w:ilvl="3">
      <w:start w:val="0"/>
      <w:numFmt w:val="bullet"/>
      <w:lvlText w:val="•"/>
      <w:lvlJc w:val="left"/>
      <w:pPr>
        <w:ind w:left="4285" w:hanging="529"/>
      </w:pPr>
      <w:rPr>
        <w:rFonts w:hint="default"/>
        <w:lang w:val="zh-CN" w:eastAsia="zh-CN" w:bidi="zh-CN"/>
      </w:rPr>
    </w:lvl>
    <w:lvl w:ilvl="4">
      <w:start w:val="0"/>
      <w:numFmt w:val="bullet"/>
      <w:lvlText w:val="•"/>
      <w:lvlJc w:val="left"/>
      <w:pPr>
        <w:ind w:left="5174" w:hanging="529"/>
      </w:pPr>
      <w:rPr>
        <w:rFonts w:hint="default"/>
        <w:lang w:val="zh-CN" w:eastAsia="zh-CN" w:bidi="zh-CN"/>
      </w:rPr>
    </w:lvl>
    <w:lvl w:ilvl="5">
      <w:start w:val="0"/>
      <w:numFmt w:val="bullet"/>
      <w:lvlText w:val="•"/>
      <w:lvlJc w:val="left"/>
      <w:pPr>
        <w:ind w:left="6063" w:hanging="529"/>
      </w:pPr>
      <w:rPr>
        <w:rFonts w:hint="default"/>
        <w:lang w:val="zh-CN" w:eastAsia="zh-CN" w:bidi="zh-CN"/>
      </w:rPr>
    </w:lvl>
    <w:lvl w:ilvl="6">
      <w:start w:val="0"/>
      <w:numFmt w:val="bullet"/>
      <w:lvlText w:val="•"/>
      <w:lvlJc w:val="left"/>
      <w:pPr>
        <w:ind w:left="6951" w:hanging="529"/>
      </w:pPr>
      <w:rPr>
        <w:rFonts w:hint="default"/>
        <w:lang w:val="zh-CN" w:eastAsia="zh-CN" w:bidi="zh-CN"/>
      </w:rPr>
    </w:lvl>
    <w:lvl w:ilvl="7">
      <w:start w:val="0"/>
      <w:numFmt w:val="bullet"/>
      <w:lvlText w:val="•"/>
      <w:lvlJc w:val="left"/>
      <w:pPr>
        <w:ind w:left="7840" w:hanging="529"/>
      </w:pPr>
      <w:rPr>
        <w:rFonts w:hint="default"/>
        <w:lang w:val="zh-CN" w:eastAsia="zh-CN" w:bidi="zh-CN"/>
      </w:rPr>
    </w:lvl>
    <w:lvl w:ilvl="8">
      <w:start w:val="0"/>
      <w:numFmt w:val="bullet"/>
      <w:lvlText w:val="•"/>
      <w:lvlJc w:val="left"/>
      <w:pPr>
        <w:ind w:left="8729" w:hanging="529"/>
      </w:pPr>
      <w:rPr>
        <w:rFonts w:hint="default"/>
        <w:lang w:val="zh-CN" w:eastAsia="zh-CN" w:bidi="zh-CN"/>
      </w:rPr>
    </w:lvl>
  </w:abstractNum>
  <w:abstractNum w:abstractNumId="56">
    <w:multiLevelType w:val="hybridMultilevel"/>
    <w:lvl w:ilvl="0">
      <w:start w:val="1"/>
      <w:numFmt w:val="decimal"/>
      <w:lvlText w:val="（%1）"/>
      <w:lvlJc w:val="left"/>
      <w:pPr>
        <w:ind w:left="16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08" w:hanging="529"/>
      </w:pPr>
      <w:rPr>
        <w:rFonts w:hint="default"/>
        <w:lang w:val="zh-CN" w:eastAsia="zh-CN" w:bidi="zh-CN"/>
      </w:rPr>
    </w:lvl>
    <w:lvl w:ilvl="2">
      <w:start w:val="0"/>
      <w:numFmt w:val="bullet"/>
      <w:lvlText w:val="•"/>
      <w:lvlJc w:val="left"/>
      <w:pPr>
        <w:ind w:left="3397" w:hanging="529"/>
      </w:pPr>
      <w:rPr>
        <w:rFonts w:hint="default"/>
        <w:lang w:val="zh-CN" w:eastAsia="zh-CN" w:bidi="zh-CN"/>
      </w:rPr>
    </w:lvl>
    <w:lvl w:ilvl="3">
      <w:start w:val="0"/>
      <w:numFmt w:val="bullet"/>
      <w:lvlText w:val="•"/>
      <w:lvlJc w:val="left"/>
      <w:pPr>
        <w:ind w:left="4285" w:hanging="529"/>
      </w:pPr>
      <w:rPr>
        <w:rFonts w:hint="default"/>
        <w:lang w:val="zh-CN" w:eastAsia="zh-CN" w:bidi="zh-CN"/>
      </w:rPr>
    </w:lvl>
    <w:lvl w:ilvl="4">
      <w:start w:val="0"/>
      <w:numFmt w:val="bullet"/>
      <w:lvlText w:val="•"/>
      <w:lvlJc w:val="left"/>
      <w:pPr>
        <w:ind w:left="5174" w:hanging="529"/>
      </w:pPr>
      <w:rPr>
        <w:rFonts w:hint="default"/>
        <w:lang w:val="zh-CN" w:eastAsia="zh-CN" w:bidi="zh-CN"/>
      </w:rPr>
    </w:lvl>
    <w:lvl w:ilvl="5">
      <w:start w:val="0"/>
      <w:numFmt w:val="bullet"/>
      <w:lvlText w:val="•"/>
      <w:lvlJc w:val="left"/>
      <w:pPr>
        <w:ind w:left="6063" w:hanging="529"/>
      </w:pPr>
      <w:rPr>
        <w:rFonts w:hint="default"/>
        <w:lang w:val="zh-CN" w:eastAsia="zh-CN" w:bidi="zh-CN"/>
      </w:rPr>
    </w:lvl>
    <w:lvl w:ilvl="6">
      <w:start w:val="0"/>
      <w:numFmt w:val="bullet"/>
      <w:lvlText w:val="•"/>
      <w:lvlJc w:val="left"/>
      <w:pPr>
        <w:ind w:left="6951" w:hanging="529"/>
      </w:pPr>
      <w:rPr>
        <w:rFonts w:hint="default"/>
        <w:lang w:val="zh-CN" w:eastAsia="zh-CN" w:bidi="zh-CN"/>
      </w:rPr>
    </w:lvl>
    <w:lvl w:ilvl="7">
      <w:start w:val="0"/>
      <w:numFmt w:val="bullet"/>
      <w:lvlText w:val="•"/>
      <w:lvlJc w:val="left"/>
      <w:pPr>
        <w:ind w:left="7840" w:hanging="529"/>
      </w:pPr>
      <w:rPr>
        <w:rFonts w:hint="default"/>
        <w:lang w:val="zh-CN" w:eastAsia="zh-CN" w:bidi="zh-CN"/>
      </w:rPr>
    </w:lvl>
    <w:lvl w:ilvl="8">
      <w:start w:val="0"/>
      <w:numFmt w:val="bullet"/>
      <w:lvlText w:val="•"/>
      <w:lvlJc w:val="left"/>
      <w:pPr>
        <w:ind w:left="8729" w:hanging="529"/>
      </w:pPr>
      <w:rPr>
        <w:rFonts w:hint="default"/>
        <w:lang w:val="zh-CN" w:eastAsia="zh-CN" w:bidi="zh-CN"/>
      </w:rPr>
    </w:lvl>
  </w:abstractNum>
  <w:abstractNum w:abstractNumId="55">
    <w:multiLevelType w:val="hybridMultilevel"/>
    <w:lvl w:ilvl="0">
      <w:start w:val="3"/>
      <w:numFmt w:val="decimal"/>
      <w:lvlText w:val="%1"/>
      <w:lvlJc w:val="left"/>
      <w:pPr>
        <w:ind w:left="1581" w:hanging="484"/>
        <w:jc w:val="left"/>
      </w:pPr>
      <w:rPr>
        <w:rFonts w:hint="default"/>
        <w:lang w:val="zh-CN" w:eastAsia="zh-CN" w:bidi="zh-CN"/>
      </w:rPr>
    </w:lvl>
    <w:lvl w:ilvl="1">
      <w:start w:val="1"/>
      <w:numFmt w:val="decimal"/>
      <w:lvlText w:val="%1.%2"/>
      <w:lvlJc w:val="left"/>
      <w:pPr>
        <w:ind w:left="1581" w:hanging="484"/>
        <w:jc w:val="left"/>
      </w:pPr>
      <w:rPr>
        <w:rFonts w:hint="default" w:ascii="Microsoft JhengHei" w:hAnsi="Microsoft JhengHei" w:eastAsia="Microsoft JhengHei" w:cs="Microsoft JhengHei"/>
        <w:b/>
        <w:bCs/>
        <w:w w:val="83"/>
        <w:sz w:val="30"/>
        <w:szCs w:val="30"/>
        <w:lang w:val="zh-CN" w:eastAsia="zh-CN" w:bidi="zh-CN"/>
      </w:rPr>
    </w:lvl>
    <w:lvl w:ilvl="2">
      <w:start w:val="1"/>
      <w:numFmt w:val="decimal"/>
      <w:lvlText w:val="%1.%2.%3"/>
      <w:lvlJc w:val="left"/>
      <w:pPr>
        <w:ind w:left="678" w:hanging="529"/>
        <w:jc w:val="left"/>
      </w:pPr>
      <w:rPr>
        <w:rFonts w:hint="default" w:ascii="宋体" w:hAnsi="宋体" w:eastAsia="宋体" w:cs="宋体"/>
        <w:w w:val="100"/>
        <w:sz w:val="19"/>
        <w:szCs w:val="19"/>
        <w:lang w:val="zh-CN" w:eastAsia="zh-CN" w:bidi="zh-CN"/>
      </w:rPr>
    </w:lvl>
    <w:lvl w:ilvl="3">
      <w:start w:val="0"/>
      <w:numFmt w:val="bullet"/>
      <w:lvlText w:val="•"/>
      <w:lvlJc w:val="left"/>
      <w:pPr>
        <w:ind w:left="3563" w:hanging="529"/>
      </w:pPr>
      <w:rPr>
        <w:rFonts w:hint="default"/>
        <w:lang w:val="zh-CN" w:eastAsia="zh-CN" w:bidi="zh-CN"/>
      </w:rPr>
    </w:lvl>
    <w:lvl w:ilvl="4">
      <w:start w:val="0"/>
      <w:numFmt w:val="bullet"/>
      <w:lvlText w:val="•"/>
      <w:lvlJc w:val="left"/>
      <w:pPr>
        <w:ind w:left="4555" w:hanging="529"/>
      </w:pPr>
      <w:rPr>
        <w:rFonts w:hint="default"/>
        <w:lang w:val="zh-CN" w:eastAsia="zh-CN" w:bidi="zh-CN"/>
      </w:rPr>
    </w:lvl>
    <w:lvl w:ilvl="5">
      <w:start w:val="0"/>
      <w:numFmt w:val="bullet"/>
      <w:lvlText w:val="•"/>
      <w:lvlJc w:val="left"/>
      <w:pPr>
        <w:ind w:left="5547" w:hanging="529"/>
      </w:pPr>
      <w:rPr>
        <w:rFonts w:hint="default"/>
        <w:lang w:val="zh-CN" w:eastAsia="zh-CN" w:bidi="zh-CN"/>
      </w:rPr>
    </w:lvl>
    <w:lvl w:ilvl="6">
      <w:start w:val="0"/>
      <w:numFmt w:val="bullet"/>
      <w:lvlText w:val="•"/>
      <w:lvlJc w:val="left"/>
      <w:pPr>
        <w:ind w:left="6539" w:hanging="529"/>
      </w:pPr>
      <w:rPr>
        <w:rFonts w:hint="default"/>
        <w:lang w:val="zh-CN" w:eastAsia="zh-CN" w:bidi="zh-CN"/>
      </w:rPr>
    </w:lvl>
    <w:lvl w:ilvl="7">
      <w:start w:val="0"/>
      <w:numFmt w:val="bullet"/>
      <w:lvlText w:val="•"/>
      <w:lvlJc w:val="left"/>
      <w:pPr>
        <w:ind w:left="7530" w:hanging="529"/>
      </w:pPr>
      <w:rPr>
        <w:rFonts w:hint="default"/>
        <w:lang w:val="zh-CN" w:eastAsia="zh-CN" w:bidi="zh-CN"/>
      </w:rPr>
    </w:lvl>
    <w:lvl w:ilvl="8">
      <w:start w:val="0"/>
      <w:numFmt w:val="bullet"/>
      <w:lvlText w:val="•"/>
      <w:lvlJc w:val="left"/>
      <w:pPr>
        <w:ind w:left="8522" w:hanging="529"/>
      </w:pPr>
      <w:rPr>
        <w:rFonts w:hint="default"/>
        <w:lang w:val="zh-CN" w:eastAsia="zh-CN" w:bidi="zh-CN"/>
      </w:rPr>
    </w:lvl>
  </w:abstractNum>
  <w:abstractNum w:abstractNumId="54">
    <w:multiLevelType w:val="hybridMultilevel"/>
    <w:lvl w:ilvl="0">
      <w:start w:val="1"/>
      <w:numFmt w:val="decimal"/>
      <w:lvlText w:val="（%1）"/>
      <w:lvlJc w:val="left"/>
      <w:pPr>
        <w:ind w:left="16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08" w:hanging="529"/>
      </w:pPr>
      <w:rPr>
        <w:rFonts w:hint="default"/>
        <w:lang w:val="zh-CN" w:eastAsia="zh-CN" w:bidi="zh-CN"/>
      </w:rPr>
    </w:lvl>
    <w:lvl w:ilvl="2">
      <w:start w:val="0"/>
      <w:numFmt w:val="bullet"/>
      <w:lvlText w:val="•"/>
      <w:lvlJc w:val="left"/>
      <w:pPr>
        <w:ind w:left="3397" w:hanging="529"/>
      </w:pPr>
      <w:rPr>
        <w:rFonts w:hint="default"/>
        <w:lang w:val="zh-CN" w:eastAsia="zh-CN" w:bidi="zh-CN"/>
      </w:rPr>
    </w:lvl>
    <w:lvl w:ilvl="3">
      <w:start w:val="0"/>
      <w:numFmt w:val="bullet"/>
      <w:lvlText w:val="•"/>
      <w:lvlJc w:val="left"/>
      <w:pPr>
        <w:ind w:left="4285" w:hanging="529"/>
      </w:pPr>
      <w:rPr>
        <w:rFonts w:hint="default"/>
        <w:lang w:val="zh-CN" w:eastAsia="zh-CN" w:bidi="zh-CN"/>
      </w:rPr>
    </w:lvl>
    <w:lvl w:ilvl="4">
      <w:start w:val="0"/>
      <w:numFmt w:val="bullet"/>
      <w:lvlText w:val="•"/>
      <w:lvlJc w:val="left"/>
      <w:pPr>
        <w:ind w:left="5174" w:hanging="529"/>
      </w:pPr>
      <w:rPr>
        <w:rFonts w:hint="default"/>
        <w:lang w:val="zh-CN" w:eastAsia="zh-CN" w:bidi="zh-CN"/>
      </w:rPr>
    </w:lvl>
    <w:lvl w:ilvl="5">
      <w:start w:val="0"/>
      <w:numFmt w:val="bullet"/>
      <w:lvlText w:val="•"/>
      <w:lvlJc w:val="left"/>
      <w:pPr>
        <w:ind w:left="6063" w:hanging="529"/>
      </w:pPr>
      <w:rPr>
        <w:rFonts w:hint="default"/>
        <w:lang w:val="zh-CN" w:eastAsia="zh-CN" w:bidi="zh-CN"/>
      </w:rPr>
    </w:lvl>
    <w:lvl w:ilvl="6">
      <w:start w:val="0"/>
      <w:numFmt w:val="bullet"/>
      <w:lvlText w:val="•"/>
      <w:lvlJc w:val="left"/>
      <w:pPr>
        <w:ind w:left="6951" w:hanging="529"/>
      </w:pPr>
      <w:rPr>
        <w:rFonts w:hint="default"/>
        <w:lang w:val="zh-CN" w:eastAsia="zh-CN" w:bidi="zh-CN"/>
      </w:rPr>
    </w:lvl>
    <w:lvl w:ilvl="7">
      <w:start w:val="0"/>
      <w:numFmt w:val="bullet"/>
      <w:lvlText w:val="•"/>
      <w:lvlJc w:val="left"/>
      <w:pPr>
        <w:ind w:left="7840" w:hanging="529"/>
      </w:pPr>
      <w:rPr>
        <w:rFonts w:hint="default"/>
        <w:lang w:val="zh-CN" w:eastAsia="zh-CN" w:bidi="zh-CN"/>
      </w:rPr>
    </w:lvl>
    <w:lvl w:ilvl="8">
      <w:start w:val="0"/>
      <w:numFmt w:val="bullet"/>
      <w:lvlText w:val="•"/>
      <w:lvlJc w:val="left"/>
      <w:pPr>
        <w:ind w:left="8729" w:hanging="529"/>
      </w:pPr>
      <w:rPr>
        <w:rFonts w:hint="default"/>
        <w:lang w:val="zh-CN" w:eastAsia="zh-CN" w:bidi="zh-CN"/>
      </w:rPr>
    </w:lvl>
  </w:abstractNum>
  <w:abstractNum w:abstractNumId="53">
    <w:multiLevelType w:val="hybridMultilevel"/>
    <w:lvl w:ilvl="0">
      <w:start w:val="2"/>
      <w:numFmt w:val="decimal"/>
      <w:lvlText w:val="%1"/>
      <w:lvlJc w:val="left"/>
      <w:pPr>
        <w:ind w:left="1581" w:hanging="484"/>
        <w:jc w:val="left"/>
      </w:pPr>
      <w:rPr>
        <w:rFonts w:hint="default"/>
        <w:lang w:val="zh-CN" w:eastAsia="zh-CN" w:bidi="zh-CN"/>
      </w:rPr>
    </w:lvl>
    <w:lvl w:ilvl="1">
      <w:start w:val="1"/>
      <w:numFmt w:val="decimal"/>
      <w:lvlText w:val="%1.%2"/>
      <w:lvlJc w:val="left"/>
      <w:pPr>
        <w:ind w:left="1581" w:hanging="484"/>
        <w:jc w:val="left"/>
      </w:pPr>
      <w:rPr>
        <w:rFonts w:hint="default" w:ascii="Microsoft JhengHei" w:hAnsi="Microsoft JhengHei" w:eastAsia="Microsoft JhengHei" w:cs="Microsoft JhengHei"/>
        <w:b/>
        <w:bCs/>
        <w:w w:val="83"/>
        <w:sz w:val="30"/>
        <w:szCs w:val="30"/>
        <w:lang w:val="zh-CN" w:eastAsia="zh-CN" w:bidi="zh-CN"/>
      </w:rPr>
    </w:lvl>
    <w:lvl w:ilvl="2">
      <w:start w:val="1"/>
      <w:numFmt w:val="decimal"/>
      <w:lvlText w:val="%1.%2.%3"/>
      <w:lvlJc w:val="left"/>
      <w:pPr>
        <w:ind w:left="678" w:hanging="529"/>
        <w:jc w:val="left"/>
      </w:pPr>
      <w:rPr>
        <w:rFonts w:hint="default" w:ascii="宋体" w:hAnsi="宋体" w:eastAsia="宋体" w:cs="宋体"/>
        <w:spacing w:val="-3"/>
        <w:w w:val="100"/>
        <w:sz w:val="19"/>
        <w:szCs w:val="19"/>
        <w:lang w:val="zh-CN" w:eastAsia="zh-CN" w:bidi="zh-CN"/>
      </w:rPr>
    </w:lvl>
    <w:lvl w:ilvl="3">
      <w:start w:val="0"/>
      <w:numFmt w:val="bullet"/>
      <w:lvlText w:val="•"/>
      <w:lvlJc w:val="left"/>
      <w:pPr>
        <w:ind w:left="2730" w:hanging="529"/>
      </w:pPr>
      <w:rPr>
        <w:rFonts w:hint="default"/>
        <w:lang w:val="zh-CN" w:eastAsia="zh-CN" w:bidi="zh-CN"/>
      </w:rPr>
    </w:lvl>
    <w:lvl w:ilvl="4">
      <w:start w:val="0"/>
      <w:numFmt w:val="bullet"/>
      <w:lvlText w:val="•"/>
      <w:lvlJc w:val="left"/>
      <w:pPr>
        <w:ind w:left="3841" w:hanging="529"/>
      </w:pPr>
      <w:rPr>
        <w:rFonts w:hint="default"/>
        <w:lang w:val="zh-CN" w:eastAsia="zh-CN" w:bidi="zh-CN"/>
      </w:rPr>
    </w:lvl>
    <w:lvl w:ilvl="5">
      <w:start w:val="0"/>
      <w:numFmt w:val="bullet"/>
      <w:lvlText w:val="•"/>
      <w:lvlJc w:val="left"/>
      <w:pPr>
        <w:ind w:left="4952" w:hanging="529"/>
      </w:pPr>
      <w:rPr>
        <w:rFonts w:hint="default"/>
        <w:lang w:val="zh-CN" w:eastAsia="zh-CN" w:bidi="zh-CN"/>
      </w:rPr>
    </w:lvl>
    <w:lvl w:ilvl="6">
      <w:start w:val="0"/>
      <w:numFmt w:val="bullet"/>
      <w:lvlText w:val="•"/>
      <w:lvlJc w:val="left"/>
      <w:pPr>
        <w:ind w:left="6063" w:hanging="529"/>
      </w:pPr>
      <w:rPr>
        <w:rFonts w:hint="default"/>
        <w:lang w:val="zh-CN" w:eastAsia="zh-CN" w:bidi="zh-CN"/>
      </w:rPr>
    </w:lvl>
    <w:lvl w:ilvl="7">
      <w:start w:val="0"/>
      <w:numFmt w:val="bullet"/>
      <w:lvlText w:val="•"/>
      <w:lvlJc w:val="left"/>
      <w:pPr>
        <w:ind w:left="7174" w:hanging="529"/>
      </w:pPr>
      <w:rPr>
        <w:rFonts w:hint="default"/>
        <w:lang w:val="zh-CN" w:eastAsia="zh-CN" w:bidi="zh-CN"/>
      </w:rPr>
    </w:lvl>
    <w:lvl w:ilvl="8">
      <w:start w:val="0"/>
      <w:numFmt w:val="bullet"/>
      <w:lvlText w:val="•"/>
      <w:lvlJc w:val="left"/>
      <w:pPr>
        <w:ind w:left="8284" w:hanging="529"/>
      </w:pPr>
      <w:rPr>
        <w:rFonts w:hint="default"/>
        <w:lang w:val="zh-CN" w:eastAsia="zh-CN" w:bidi="zh-CN"/>
      </w:rPr>
    </w:lvl>
  </w:abstractNum>
  <w:abstractNum w:abstractNumId="52">
    <w:multiLevelType w:val="hybridMultilevel"/>
    <w:lvl w:ilvl="0">
      <w:start w:val="1"/>
      <w:numFmt w:val="decimal"/>
      <w:lvlText w:val="（%1）"/>
      <w:lvlJc w:val="left"/>
      <w:pPr>
        <w:ind w:left="1643" w:hanging="529"/>
        <w:jc w:val="left"/>
      </w:pPr>
      <w:rPr>
        <w:rFonts w:hint="default" w:ascii="宋体" w:hAnsi="宋体" w:eastAsia="宋体" w:cs="宋体"/>
        <w:spacing w:val="-106"/>
        <w:w w:val="100"/>
        <w:sz w:val="19"/>
        <w:szCs w:val="19"/>
        <w:lang w:val="zh-CN" w:eastAsia="zh-CN" w:bidi="zh-CN"/>
      </w:rPr>
    </w:lvl>
    <w:lvl w:ilvl="1">
      <w:start w:val="0"/>
      <w:numFmt w:val="bullet"/>
      <w:lvlText w:val="•"/>
      <w:lvlJc w:val="left"/>
      <w:pPr>
        <w:ind w:left="2526" w:hanging="529"/>
      </w:pPr>
      <w:rPr>
        <w:rFonts w:hint="default"/>
        <w:lang w:val="zh-CN" w:eastAsia="zh-CN" w:bidi="zh-CN"/>
      </w:rPr>
    </w:lvl>
    <w:lvl w:ilvl="2">
      <w:start w:val="0"/>
      <w:numFmt w:val="bullet"/>
      <w:lvlText w:val="•"/>
      <w:lvlJc w:val="left"/>
      <w:pPr>
        <w:ind w:left="3413" w:hanging="529"/>
      </w:pPr>
      <w:rPr>
        <w:rFonts w:hint="default"/>
        <w:lang w:val="zh-CN" w:eastAsia="zh-CN" w:bidi="zh-CN"/>
      </w:rPr>
    </w:lvl>
    <w:lvl w:ilvl="3">
      <w:start w:val="0"/>
      <w:numFmt w:val="bullet"/>
      <w:lvlText w:val="•"/>
      <w:lvlJc w:val="left"/>
      <w:pPr>
        <w:ind w:left="4299" w:hanging="529"/>
      </w:pPr>
      <w:rPr>
        <w:rFonts w:hint="default"/>
        <w:lang w:val="zh-CN" w:eastAsia="zh-CN" w:bidi="zh-CN"/>
      </w:rPr>
    </w:lvl>
    <w:lvl w:ilvl="4">
      <w:start w:val="0"/>
      <w:numFmt w:val="bullet"/>
      <w:lvlText w:val="•"/>
      <w:lvlJc w:val="left"/>
      <w:pPr>
        <w:ind w:left="5186" w:hanging="529"/>
      </w:pPr>
      <w:rPr>
        <w:rFonts w:hint="default"/>
        <w:lang w:val="zh-CN" w:eastAsia="zh-CN" w:bidi="zh-CN"/>
      </w:rPr>
    </w:lvl>
    <w:lvl w:ilvl="5">
      <w:start w:val="0"/>
      <w:numFmt w:val="bullet"/>
      <w:lvlText w:val="•"/>
      <w:lvlJc w:val="left"/>
      <w:pPr>
        <w:ind w:left="6073" w:hanging="529"/>
      </w:pPr>
      <w:rPr>
        <w:rFonts w:hint="default"/>
        <w:lang w:val="zh-CN" w:eastAsia="zh-CN" w:bidi="zh-CN"/>
      </w:rPr>
    </w:lvl>
    <w:lvl w:ilvl="6">
      <w:start w:val="0"/>
      <w:numFmt w:val="bullet"/>
      <w:lvlText w:val="•"/>
      <w:lvlJc w:val="left"/>
      <w:pPr>
        <w:ind w:left="6959" w:hanging="529"/>
      </w:pPr>
      <w:rPr>
        <w:rFonts w:hint="default"/>
        <w:lang w:val="zh-CN" w:eastAsia="zh-CN" w:bidi="zh-CN"/>
      </w:rPr>
    </w:lvl>
    <w:lvl w:ilvl="7">
      <w:start w:val="0"/>
      <w:numFmt w:val="bullet"/>
      <w:lvlText w:val="•"/>
      <w:lvlJc w:val="left"/>
      <w:pPr>
        <w:ind w:left="7846" w:hanging="529"/>
      </w:pPr>
      <w:rPr>
        <w:rFonts w:hint="default"/>
        <w:lang w:val="zh-CN" w:eastAsia="zh-CN" w:bidi="zh-CN"/>
      </w:rPr>
    </w:lvl>
    <w:lvl w:ilvl="8">
      <w:start w:val="0"/>
      <w:numFmt w:val="bullet"/>
      <w:lvlText w:val="•"/>
      <w:lvlJc w:val="left"/>
      <w:pPr>
        <w:ind w:left="8733" w:hanging="529"/>
      </w:pPr>
      <w:rPr>
        <w:rFonts w:hint="default"/>
        <w:lang w:val="zh-CN" w:eastAsia="zh-CN" w:bidi="zh-CN"/>
      </w:rPr>
    </w:lvl>
  </w:abstractNum>
  <w:abstractNum w:abstractNumId="51">
    <w:multiLevelType w:val="hybridMultilevel"/>
    <w:lvl w:ilvl="0">
      <w:start w:val="2"/>
      <w:numFmt w:val="decimal"/>
      <w:lvlText w:val="（%1）"/>
      <w:lvlJc w:val="left"/>
      <w:pPr>
        <w:ind w:left="147"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742" w:hanging="529"/>
      </w:pPr>
      <w:rPr>
        <w:rFonts w:hint="default"/>
        <w:lang w:val="zh-CN" w:eastAsia="zh-CN" w:bidi="zh-CN"/>
      </w:rPr>
    </w:lvl>
    <w:lvl w:ilvl="2">
      <w:start w:val="0"/>
      <w:numFmt w:val="bullet"/>
      <w:lvlText w:val="•"/>
      <w:lvlJc w:val="left"/>
      <w:pPr>
        <w:ind w:left="1344" w:hanging="529"/>
      </w:pPr>
      <w:rPr>
        <w:rFonts w:hint="default"/>
        <w:lang w:val="zh-CN" w:eastAsia="zh-CN" w:bidi="zh-CN"/>
      </w:rPr>
    </w:lvl>
    <w:lvl w:ilvl="3">
      <w:start w:val="0"/>
      <w:numFmt w:val="bullet"/>
      <w:lvlText w:val="•"/>
      <w:lvlJc w:val="left"/>
      <w:pPr>
        <w:ind w:left="1946" w:hanging="529"/>
      </w:pPr>
      <w:rPr>
        <w:rFonts w:hint="default"/>
        <w:lang w:val="zh-CN" w:eastAsia="zh-CN" w:bidi="zh-CN"/>
      </w:rPr>
    </w:lvl>
    <w:lvl w:ilvl="4">
      <w:start w:val="0"/>
      <w:numFmt w:val="bullet"/>
      <w:lvlText w:val="•"/>
      <w:lvlJc w:val="left"/>
      <w:pPr>
        <w:ind w:left="2548" w:hanging="529"/>
      </w:pPr>
      <w:rPr>
        <w:rFonts w:hint="default"/>
        <w:lang w:val="zh-CN" w:eastAsia="zh-CN" w:bidi="zh-CN"/>
      </w:rPr>
    </w:lvl>
    <w:lvl w:ilvl="5">
      <w:start w:val="0"/>
      <w:numFmt w:val="bullet"/>
      <w:lvlText w:val="•"/>
      <w:lvlJc w:val="left"/>
      <w:pPr>
        <w:ind w:left="3150" w:hanging="529"/>
      </w:pPr>
      <w:rPr>
        <w:rFonts w:hint="default"/>
        <w:lang w:val="zh-CN" w:eastAsia="zh-CN" w:bidi="zh-CN"/>
      </w:rPr>
    </w:lvl>
    <w:lvl w:ilvl="6">
      <w:start w:val="0"/>
      <w:numFmt w:val="bullet"/>
      <w:lvlText w:val="•"/>
      <w:lvlJc w:val="left"/>
      <w:pPr>
        <w:ind w:left="3752" w:hanging="529"/>
      </w:pPr>
      <w:rPr>
        <w:rFonts w:hint="default"/>
        <w:lang w:val="zh-CN" w:eastAsia="zh-CN" w:bidi="zh-CN"/>
      </w:rPr>
    </w:lvl>
    <w:lvl w:ilvl="7">
      <w:start w:val="0"/>
      <w:numFmt w:val="bullet"/>
      <w:lvlText w:val="•"/>
      <w:lvlJc w:val="left"/>
      <w:pPr>
        <w:ind w:left="4354" w:hanging="529"/>
      </w:pPr>
      <w:rPr>
        <w:rFonts w:hint="default"/>
        <w:lang w:val="zh-CN" w:eastAsia="zh-CN" w:bidi="zh-CN"/>
      </w:rPr>
    </w:lvl>
    <w:lvl w:ilvl="8">
      <w:start w:val="0"/>
      <w:numFmt w:val="bullet"/>
      <w:lvlText w:val="•"/>
      <w:lvlJc w:val="left"/>
      <w:pPr>
        <w:ind w:left="4956" w:hanging="529"/>
      </w:pPr>
      <w:rPr>
        <w:rFonts w:hint="default"/>
        <w:lang w:val="zh-CN" w:eastAsia="zh-CN" w:bidi="zh-CN"/>
      </w:rPr>
    </w:lvl>
  </w:abstractNum>
  <w:abstractNum w:abstractNumId="50">
    <w:multiLevelType w:val="hybridMultilevel"/>
    <w:lvl w:ilvl="0">
      <w:start w:val="1"/>
      <w:numFmt w:val="decimal"/>
      <w:lvlText w:val="（%1）"/>
      <w:lvlJc w:val="left"/>
      <w:pPr>
        <w:ind w:left="677"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1044" w:hanging="529"/>
      </w:pPr>
      <w:rPr>
        <w:rFonts w:hint="default"/>
        <w:lang w:val="zh-CN" w:eastAsia="zh-CN" w:bidi="zh-CN"/>
      </w:rPr>
    </w:lvl>
    <w:lvl w:ilvl="2">
      <w:start w:val="0"/>
      <w:numFmt w:val="bullet"/>
      <w:lvlText w:val="•"/>
      <w:lvlJc w:val="left"/>
      <w:pPr>
        <w:ind w:left="1408" w:hanging="529"/>
      </w:pPr>
      <w:rPr>
        <w:rFonts w:hint="default"/>
        <w:lang w:val="zh-CN" w:eastAsia="zh-CN" w:bidi="zh-CN"/>
      </w:rPr>
    </w:lvl>
    <w:lvl w:ilvl="3">
      <w:start w:val="0"/>
      <w:numFmt w:val="bullet"/>
      <w:lvlText w:val="•"/>
      <w:lvlJc w:val="left"/>
      <w:pPr>
        <w:ind w:left="1772" w:hanging="529"/>
      </w:pPr>
      <w:rPr>
        <w:rFonts w:hint="default"/>
        <w:lang w:val="zh-CN" w:eastAsia="zh-CN" w:bidi="zh-CN"/>
      </w:rPr>
    </w:lvl>
    <w:lvl w:ilvl="4">
      <w:start w:val="0"/>
      <w:numFmt w:val="bullet"/>
      <w:lvlText w:val="•"/>
      <w:lvlJc w:val="left"/>
      <w:pPr>
        <w:ind w:left="2137" w:hanging="529"/>
      </w:pPr>
      <w:rPr>
        <w:rFonts w:hint="default"/>
        <w:lang w:val="zh-CN" w:eastAsia="zh-CN" w:bidi="zh-CN"/>
      </w:rPr>
    </w:lvl>
    <w:lvl w:ilvl="5">
      <w:start w:val="0"/>
      <w:numFmt w:val="bullet"/>
      <w:lvlText w:val="•"/>
      <w:lvlJc w:val="left"/>
      <w:pPr>
        <w:ind w:left="2501" w:hanging="529"/>
      </w:pPr>
      <w:rPr>
        <w:rFonts w:hint="default"/>
        <w:lang w:val="zh-CN" w:eastAsia="zh-CN" w:bidi="zh-CN"/>
      </w:rPr>
    </w:lvl>
    <w:lvl w:ilvl="6">
      <w:start w:val="0"/>
      <w:numFmt w:val="bullet"/>
      <w:lvlText w:val="•"/>
      <w:lvlJc w:val="left"/>
      <w:pPr>
        <w:ind w:left="2865" w:hanging="529"/>
      </w:pPr>
      <w:rPr>
        <w:rFonts w:hint="default"/>
        <w:lang w:val="zh-CN" w:eastAsia="zh-CN" w:bidi="zh-CN"/>
      </w:rPr>
    </w:lvl>
    <w:lvl w:ilvl="7">
      <w:start w:val="0"/>
      <w:numFmt w:val="bullet"/>
      <w:lvlText w:val="•"/>
      <w:lvlJc w:val="left"/>
      <w:pPr>
        <w:ind w:left="3230" w:hanging="529"/>
      </w:pPr>
      <w:rPr>
        <w:rFonts w:hint="default"/>
        <w:lang w:val="zh-CN" w:eastAsia="zh-CN" w:bidi="zh-CN"/>
      </w:rPr>
    </w:lvl>
    <w:lvl w:ilvl="8">
      <w:start w:val="0"/>
      <w:numFmt w:val="bullet"/>
      <w:lvlText w:val="•"/>
      <w:lvlJc w:val="left"/>
      <w:pPr>
        <w:ind w:left="3594" w:hanging="529"/>
      </w:pPr>
      <w:rPr>
        <w:rFonts w:hint="default"/>
        <w:lang w:val="zh-CN" w:eastAsia="zh-CN" w:bidi="zh-CN"/>
      </w:rPr>
    </w:lvl>
  </w:abstractNum>
  <w:abstractNum w:abstractNumId="49">
    <w:multiLevelType w:val="hybridMultilevel"/>
    <w:lvl w:ilvl="0">
      <w:start w:val="1"/>
      <w:numFmt w:val="decimal"/>
      <w:lvlText w:val="（%1）"/>
      <w:lvlJc w:val="left"/>
      <w:pPr>
        <w:ind w:left="147" w:hanging="529"/>
        <w:jc w:val="left"/>
      </w:pPr>
      <w:rPr>
        <w:rFonts w:hint="default" w:ascii="宋体" w:hAnsi="宋体" w:eastAsia="宋体" w:cs="宋体"/>
        <w:spacing w:val="-32"/>
        <w:w w:val="100"/>
        <w:sz w:val="19"/>
        <w:szCs w:val="19"/>
        <w:lang w:val="zh-CN" w:eastAsia="zh-CN" w:bidi="zh-CN"/>
      </w:rPr>
    </w:lvl>
    <w:lvl w:ilvl="1">
      <w:start w:val="0"/>
      <w:numFmt w:val="bullet"/>
      <w:lvlText w:val="•"/>
      <w:lvlJc w:val="left"/>
      <w:pPr>
        <w:ind w:left="558" w:hanging="529"/>
      </w:pPr>
      <w:rPr>
        <w:rFonts w:hint="default"/>
        <w:lang w:val="zh-CN" w:eastAsia="zh-CN" w:bidi="zh-CN"/>
      </w:rPr>
    </w:lvl>
    <w:lvl w:ilvl="2">
      <w:start w:val="0"/>
      <w:numFmt w:val="bullet"/>
      <w:lvlText w:val="•"/>
      <w:lvlJc w:val="left"/>
      <w:pPr>
        <w:ind w:left="976" w:hanging="529"/>
      </w:pPr>
      <w:rPr>
        <w:rFonts w:hint="default"/>
        <w:lang w:val="zh-CN" w:eastAsia="zh-CN" w:bidi="zh-CN"/>
      </w:rPr>
    </w:lvl>
    <w:lvl w:ilvl="3">
      <w:start w:val="0"/>
      <w:numFmt w:val="bullet"/>
      <w:lvlText w:val="•"/>
      <w:lvlJc w:val="left"/>
      <w:pPr>
        <w:ind w:left="1394" w:hanging="529"/>
      </w:pPr>
      <w:rPr>
        <w:rFonts w:hint="default"/>
        <w:lang w:val="zh-CN" w:eastAsia="zh-CN" w:bidi="zh-CN"/>
      </w:rPr>
    </w:lvl>
    <w:lvl w:ilvl="4">
      <w:start w:val="0"/>
      <w:numFmt w:val="bullet"/>
      <w:lvlText w:val="•"/>
      <w:lvlJc w:val="left"/>
      <w:pPr>
        <w:ind w:left="1813" w:hanging="529"/>
      </w:pPr>
      <w:rPr>
        <w:rFonts w:hint="default"/>
        <w:lang w:val="zh-CN" w:eastAsia="zh-CN" w:bidi="zh-CN"/>
      </w:rPr>
    </w:lvl>
    <w:lvl w:ilvl="5">
      <w:start w:val="0"/>
      <w:numFmt w:val="bullet"/>
      <w:lvlText w:val="•"/>
      <w:lvlJc w:val="left"/>
      <w:pPr>
        <w:ind w:left="2231" w:hanging="529"/>
      </w:pPr>
      <w:rPr>
        <w:rFonts w:hint="default"/>
        <w:lang w:val="zh-CN" w:eastAsia="zh-CN" w:bidi="zh-CN"/>
      </w:rPr>
    </w:lvl>
    <w:lvl w:ilvl="6">
      <w:start w:val="0"/>
      <w:numFmt w:val="bullet"/>
      <w:lvlText w:val="•"/>
      <w:lvlJc w:val="left"/>
      <w:pPr>
        <w:ind w:left="2649" w:hanging="529"/>
      </w:pPr>
      <w:rPr>
        <w:rFonts w:hint="default"/>
        <w:lang w:val="zh-CN" w:eastAsia="zh-CN" w:bidi="zh-CN"/>
      </w:rPr>
    </w:lvl>
    <w:lvl w:ilvl="7">
      <w:start w:val="0"/>
      <w:numFmt w:val="bullet"/>
      <w:lvlText w:val="•"/>
      <w:lvlJc w:val="left"/>
      <w:pPr>
        <w:ind w:left="3068" w:hanging="529"/>
      </w:pPr>
      <w:rPr>
        <w:rFonts w:hint="default"/>
        <w:lang w:val="zh-CN" w:eastAsia="zh-CN" w:bidi="zh-CN"/>
      </w:rPr>
    </w:lvl>
    <w:lvl w:ilvl="8">
      <w:start w:val="0"/>
      <w:numFmt w:val="bullet"/>
      <w:lvlText w:val="•"/>
      <w:lvlJc w:val="left"/>
      <w:pPr>
        <w:ind w:left="3486" w:hanging="529"/>
      </w:pPr>
      <w:rPr>
        <w:rFonts w:hint="default"/>
        <w:lang w:val="zh-CN" w:eastAsia="zh-CN" w:bidi="zh-CN"/>
      </w:rPr>
    </w:lvl>
  </w:abstractNum>
  <w:abstractNum w:abstractNumId="48">
    <w:multiLevelType w:val="hybridMultilevel"/>
    <w:lvl w:ilvl="0">
      <w:start w:val="10"/>
      <w:numFmt w:val="decimal"/>
      <w:lvlText w:val="%1"/>
      <w:lvlJc w:val="left"/>
      <w:pPr>
        <w:ind w:left="1322" w:hanging="645"/>
        <w:jc w:val="left"/>
      </w:pPr>
      <w:rPr>
        <w:rFonts w:hint="default"/>
        <w:lang w:val="zh-CN" w:eastAsia="zh-CN" w:bidi="zh-CN"/>
      </w:rPr>
    </w:lvl>
    <w:lvl w:ilvl="1">
      <w:start w:val="1"/>
      <w:numFmt w:val="decimal"/>
      <w:lvlText w:val="%1.%2"/>
      <w:lvlJc w:val="left"/>
      <w:pPr>
        <w:ind w:left="1322" w:hanging="645"/>
        <w:jc w:val="left"/>
      </w:pPr>
      <w:rPr>
        <w:rFonts w:hint="default" w:ascii="Microsoft JhengHei" w:hAnsi="Microsoft JhengHei" w:eastAsia="Microsoft JhengHei" w:cs="Microsoft JhengHei"/>
        <w:b/>
        <w:bCs/>
        <w:w w:val="83"/>
        <w:sz w:val="30"/>
        <w:szCs w:val="30"/>
        <w:lang w:val="zh-CN" w:eastAsia="zh-CN" w:bidi="zh-CN"/>
      </w:rPr>
    </w:lvl>
    <w:lvl w:ilvl="2">
      <w:start w:val="1"/>
      <w:numFmt w:val="decimal"/>
      <w:lvlText w:val="%3."/>
      <w:lvlJc w:val="left"/>
      <w:pPr>
        <w:ind w:left="678" w:hanging="213"/>
        <w:jc w:val="left"/>
      </w:pPr>
      <w:rPr>
        <w:rFonts w:hint="default" w:ascii="宋体" w:hAnsi="宋体" w:eastAsia="宋体" w:cs="宋体"/>
        <w:spacing w:val="-32"/>
        <w:w w:val="100"/>
        <w:sz w:val="19"/>
        <w:szCs w:val="19"/>
        <w:lang w:val="zh-CN" w:eastAsia="zh-CN" w:bidi="zh-CN"/>
      </w:rPr>
    </w:lvl>
    <w:lvl w:ilvl="3">
      <w:start w:val="0"/>
      <w:numFmt w:val="bullet"/>
      <w:lvlText w:val="•"/>
      <w:lvlJc w:val="left"/>
      <w:pPr>
        <w:ind w:left="3361" w:hanging="213"/>
      </w:pPr>
      <w:rPr>
        <w:rFonts w:hint="default"/>
        <w:lang w:val="zh-CN" w:eastAsia="zh-CN" w:bidi="zh-CN"/>
      </w:rPr>
    </w:lvl>
    <w:lvl w:ilvl="4">
      <w:start w:val="0"/>
      <w:numFmt w:val="bullet"/>
      <w:lvlText w:val="•"/>
      <w:lvlJc w:val="left"/>
      <w:pPr>
        <w:ind w:left="4382" w:hanging="213"/>
      </w:pPr>
      <w:rPr>
        <w:rFonts w:hint="default"/>
        <w:lang w:val="zh-CN" w:eastAsia="zh-CN" w:bidi="zh-CN"/>
      </w:rPr>
    </w:lvl>
    <w:lvl w:ilvl="5">
      <w:start w:val="0"/>
      <w:numFmt w:val="bullet"/>
      <w:lvlText w:val="•"/>
      <w:lvlJc w:val="left"/>
      <w:pPr>
        <w:ind w:left="5402" w:hanging="213"/>
      </w:pPr>
      <w:rPr>
        <w:rFonts w:hint="default"/>
        <w:lang w:val="zh-CN" w:eastAsia="zh-CN" w:bidi="zh-CN"/>
      </w:rPr>
    </w:lvl>
    <w:lvl w:ilvl="6">
      <w:start w:val="0"/>
      <w:numFmt w:val="bullet"/>
      <w:lvlText w:val="•"/>
      <w:lvlJc w:val="left"/>
      <w:pPr>
        <w:ind w:left="6423" w:hanging="213"/>
      </w:pPr>
      <w:rPr>
        <w:rFonts w:hint="default"/>
        <w:lang w:val="zh-CN" w:eastAsia="zh-CN" w:bidi="zh-CN"/>
      </w:rPr>
    </w:lvl>
    <w:lvl w:ilvl="7">
      <w:start w:val="0"/>
      <w:numFmt w:val="bullet"/>
      <w:lvlText w:val="•"/>
      <w:lvlJc w:val="left"/>
      <w:pPr>
        <w:ind w:left="7444" w:hanging="213"/>
      </w:pPr>
      <w:rPr>
        <w:rFonts w:hint="default"/>
        <w:lang w:val="zh-CN" w:eastAsia="zh-CN" w:bidi="zh-CN"/>
      </w:rPr>
    </w:lvl>
    <w:lvl w:ilvl="8">
      <w:start w:val="0"/>
      <w:numFmt w:val="bullet"/>
      <w:lvlText w:val="•"/>
      <w:lvlJc w:val="left"/>
      <w:pPr>
        <w:ind w:left="8464" w:hanging="213"/>
      </w:pPr>
      <w:rPr>
        <w:rFonts w:hint="default"/>
        <w:lang w:val="zh-CN" w:eastAsia="zh-CN" w:bidi="zh-CN"/>
      </w:rPr>
    </w:lvl>
  </w:abstractNum>
  <w:abstractNum w:abstractNumId="47">
    <w:multiLevelType w:val="hybridMultilevel"/>
    <w:lvl w:ilvl="0">
      <w:start w:val="1"/>
      <w:numFmt w:val="decimal"/>
      <w:lvlText w:val="（%1）"/>
      <w:lvlJc w:val="left"/>
      <w:pPr>
        <w:ind w:left="16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08" w:hanging="529"/>
      </w:pPr>
      <w:rPr>
        <w:rFonts w:hint="default"/>
        <w:lang w:val="zh-CN" w:eastAsia="zh-CN" w:bidi="zh-CN"/>
      </w:rPr>
    </w:lvl>
    <w:lvl w:ilvl="2">
      <w:start w:val="0"/>
      <w:numFmt w:val="bullet"/>
      <w:lvlText w:val="•"/>
      <w:lvlJc w:val="left"/>
      <w:pPr>
        <w:ind w:left="3397" w:hanging="529"/>
      </w:pPr>
      <w:rPr>
        <w:rFonts w:hint="default"/>
        <w:lang w:val="zh-CN" w:eastAsia="zh-CN" w:bidi="zh-CN"/>
      </w:rPr>
    </w:lvl>
    <w:lvl w:ilvl="3">
      <w:start w:val="0"/>
      <w:numFmt w:val="bullet"/>
      <w:lvlText w:val="•"/>
      <w:lvlJc w:val="left"/>
      <w:pPr>
        <w:ind w:left="4285" w:hanging="529"/>
      </w:pPr>
      <w:rPr>
        <w:rFonts w:hint="default"/>
        <w:lang w:val="zh-CN" w:eastAsia="zh-CN" w:bidi="zh-CN"/>
      </w:rPr>
    </w:lvl>
    <w:lvl w:ilvl="4">
      <w:start w:val="0"/>
      <w:numFmt w:val="bullet"/>
      <w:lvlText w:val="•"/>
      <w:lvlJc w:val="left"/>
      <w:pPr>
        <w:ind w:left="5174" w:hanging="529"/>
      </w:pPr>
      <w:rPr>
        <w:rFonts w:hint="default"/>
        <w:lang w:val="zh-CN" w:eastAsia="zh-CN" w:bidi="zh-CN"/>
      </w:rPr>
    </w:lvl>
    <w:lvl w:ilvl="5">
      <w:start w:val="0"/>
      <w:numFmt w:val="bullet"/>
      <w:lvlText w:val="•"/>
      <w:lvlJc w:val="left"/>
      <w:pPr>
        <w:ind w:left="6063" w:hanging="529"/>
      </w:pPr>
      <w:rPr>
        <w:rFonts w:hint="default"/>
        <w:lang w:val="zh-CN" w:eastAsia="zh-CN" w:bidi="zh-CN"/>
      </w:rPr>
    </w:lvl>
    <w:lvl w:ilvl="6">
      <w:start w:val="0"/>
      <w:numFmt w:val="bullet"/>
      <w:lvlText w:val="•"/>
      <w:lvlJc w:val="left"/>
      <w:pPr>
        <w:ind w:left="6951" w:hanging="529"/>
      </w:pPr>
      <w:rPr>
        <w:rFonts w:hint="default"/>
        <w:lang w:val="zh-CN" w:eastAsia="zh-CN" w:bidi="zh-CN"/>
      </w:rPr>
    </w:lvl>
    <w:lvl w:ilvl="7">
      <w:start w:val="0"/>
      <w:numFmt w:val="bullet"/>
      <w:lvlText w:val="•"/>
      <w:lvlJc w:val="left"/>
      <w:pPr>
        <w:ind w:left="7840" w:hanging="529"/>
      </w:pPr>
      <w:rPr>
        <w:rFonts w:hint="default"/>
        <w:lang w:val="zh-CN" w:eastAsia="zh-CN" w:bidi="zh-CN"/>
      </w:rPr>
    </w:lvl>
    <w:lvl w:ilvl="8">
      <w:start w:val="0"/>
      <w:numFmt w:val="bullet"/>
      <w:lvlText w:val="•"/>
      <w:lvlJc w:val="left"/>
      <w:pPr>
        <w:ind w:left="8729" w:hanging="529"/>
      </w:pPr>
      <w:rPr>
        <w:rFonts w:hint="default"/>
        <w:lang w:val="zh-CN" w:eastAsia="zh-CN" w:bidi="zh-CN"/>
      </w:rPr>
    </w:lvl>
  </w:abstractNum>
  <w:abstractNum w:abstractNumId="46">
    <w:multiLevelType w:val="hybridMultilevel"/>
    <w:lvl w:ilvl="0">
      <w:start w:val="1"/>
      <w:numFmt w:val="decimal"/>
      <w:lvlText w:val="（%1）"/>
      <w:lvlJc w:val="left"/>
      <w:pPr>
        <w:ind w:left="16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08" w:hanging="529"/>
      </w:pPr>
      <w:rPr>
        <w:rFonts w:hint="default"/>
        <w:lang w:val="zh-CN" w:eastAsia="zh-CN" w:bidi="zh-CN"/>
      </w:rPr>
    </w:lvl>
    <w:lvl w:ilvl="2">
      <w:start w:val="0"/>
      <w:numFmt w:val="bullet"/>
      <w:lvlText w:val="•"/>
      <w:lvlJc w:val="left"/>
      <w:pPr>
        <w:ind w:left="3397" w:hanging="529"/>
      </w:pPr>
      <w:rPr>
        <w:rFonts w:hint="default"/>
        <w:lang w:val="zh-CN" w:eastAsia="zh-CN" w:bidi="zh-CN"/>
      </w:rPr>
    </w:lvl>
    <w:lvl w:ilvl="3">
      <w:start w:val="0"/>
      <w:numFmt w:val="bullet"/>
      <w:lvlText w:val="•"/>
      <w:lvlJc w:val="left"/>
      <w:pPr>
        <w:ind w:left="4285" w:hanging="529"/>
      </w:pPr>
      <w:rPr>
        <w:rFonts w:hint="default"/>
        <w:lang w:val="zh-CN" w:eastAsia="zh-CN" w:bidi="zh-CN"/>
      </w:rPr>
    </w:lvl>
    <w:lvl w:ilvl="4">
      <w:start w:val="0"/>
      <w:numFmt w:val="bullet"/>
      <w:lvlText w:val="•"/>
      <w:lvlJc w:val="left"/>
      <w:pPr>
        <w:ind w:left="5174" w:hanging="529"/>
      </w:pPr>
      <w:rPr>
        <w:rFonts w:hint="default"/>
        <w:lang w:val="zh-CN" w:eastAsia="zh-CN" w:bidi="zh-CN"/>
      </w:rPr>
    </w:lvl>
    <w:lvl w:ilvl="5">
      <w:start w:val="0"/>
      <w:numFmt w:val="bullet"/>
      <w:lvlText w:val="•"/>
      <w:lvlJc w:val="left"/>
      <w:pPr>
        <w:ind w:left="6063" w:hanging="529"/>
      </w:pPr>
      <w:rPr>
        <w:rFonts w:hint="default"/>
        <w:lang w:val="zh-CN" w:eastAsia="zh-CN" w:bidi="zh-CN"/>
      </w:rPr>
    </w:lvl>
    <w:lvl w:ilvl="6">
      <w:start w:val="0"/>
      <w:numFmt w:val="bullet"/>
      <w:lvlText w:val="•"/>
      <w:lvlJc w:val="left"/>
      <w:pPr>
        <w:ind w:left="6951" w:hanging="529"/>
      </w:pPr>
      <w:rPr>
        <w:rFonts w:hint="default"/>
        <w:lang w:val="zh-CN" w:eastAsia="zh-CN" w:bidi="zh-CN"/>
      </w:rPr>
    </w:lvl>
    <w:lvl w:ilvl="7">
      <w:start w:val="0"/>
      <w:numFmt w:val="bullet"/>
      <w:lvlText w:val="•"/>
      <w:lvlJc w:val="left"/>
      <w:pPr>
        <w:ind w:left="7840" w:hanging="529"/>
      </w:pPr>
      <w:rPr>
        <w:rFonts w:hint="default"/>
        <w:lang w:val="zh-CN" w:eastAsia="zh-CN" w:bidi="zh-CN"/>
      </w:rPr>
    </w:lvl>
    <w:lvl w:ilvl="8">
      <w:start w:val="0"/>
      <w:numFmt w:val="bullet"/>
      <w:lvlText w:val="•"/>
      <w:lvlJc w:val="left"/>
      <w:pPr>
        <w:ind w:left="8729" w:hanging="529"/>
      </w:pPr>
      <w:rPr>
        <w:rFonts w:hint="default"/>
        <w:lang w:val="zh-CN" w:eastAsia="zh-CN" w:bidi="zh-CN"/>
      </w:rPr>
    </w:lvl>
  </w:abstractNum>
  <w:abstractNum w:abstractNumId="45">
    <w:multiLevelType w:val="hybridMultilevel"/>
    <w:lvl w:ilvl="0">
      <w:start w:val="9"/>
      <w:numFmt w:val="decimal"/>
      <w:lvlText w:val="%1"/>
      <w:lvlJc w:val="left"/>
      <w:pPr>
        <w:ind w:left="678" w:hanging="579"/>
        <w:jc w:val="left"/>
      </w:pPr>
      <w:rPr>
        <w:rFonts w:hint="default"/>
        <w:lang w:val="zh-CN" w:eastAsia="zh-CN" w:bidi="zh-CN"/>
      </w:rPr>
    </w:lvl>
    <w:lvl w:ilvl="1">
      <w:start w:val="2"/>
      <w:numFmt w:val="decimal"/>
      <w:lvlText w:val="%1.%2"/>
      <w:lvlJc w:val="left"/>
      <w:pPr>
        <w:ind w:left="678" w:hanging="579"/>
        <w:jc w:val="left"/>
      </w:pPr>
      <w:rPr>
        <w:rFonts w:hint="default"/>
        <w:lang w:val="zh-CN" w:eastAsia="zh-CN" w:bidi="zh-CN"/>
      </w:rPr>
    </w:lvl>
    <w:lvl w:ilvl="2">
      <w:start w:val="1"/>
      <w:numFmt w:val="decimal"/>
      <w:lvlText w:val="%1.%2.%3"/>
      <w:lvlJc w:val="left"/>
      <w:pPr>
        <w:ind w:left="678" w:hanging="579"/>
        <w:jc w:val="left"/>
      </w:pPr>
      <w:rPr>
        <w:rFonts w:hint="default" w:ascii="宋体" w:hAnsi="宋体" w:eastAsia="宋体" w:cs="宋体"/>
        <w:w w:val="100"/>
        <w:sz w:val="21"/>
        <w:szCs w:val="21"/>
        <w:lang w:val="zh-CN" w:eastAsia="zh-CN" w:bidi="zh-CN"/>
      </w:rPr>
    </w:lvl>
    <w:lvl w:ilvl="3">
      <w:start w:val="0"/>
      <w:numFmt w:val="bullet"/>
      <w:lvlText w:val="•"/>
      <w:lvlJc w:val="left"/>
      <w:pPr>
        <w:ind w:left="3627" w:hanging="579"/>
      </w:pPr>
      <w:rPr>
        <w:rFonts w:hint="default"/>
        <w:lang w:val="zh-CN" w:eastAsia="zh-CN" w:bidi="zh-CN"/>
      </w:rPr>
    </w:lvl>
    <w:lvl w:ilvl="4">
      <w:start w:val="0"/>
      <w:numFmt w:val="bullet"/>
      <w:lvlText w:val="•"/>
      <w:lvlJc w:val="left"/>
      <w:pPr>
        <w:ind w:left="4610" w:hanging="579"/>
      </w:pPr>
      <w:rPr>
        <w:rFonts w:hint="default"/>
        <w:lang w:val="zh-CN" w:eastAsia="zh-CN" w:bidi="zh-CN"/>
      </w:rPr>
    </w:lvl>
    <w:lvl w:ilvl="5">
      <w:start w:val="0"/>
      <w:numFmt w:val="bullet"/>
      <w:lvlText w:val="•"/>
      <w:lvlJc w:val="left"/>
      <w:pPr>
        <w:ind w:left="5593" w:hanging="579"/>
      </w:pPr>
      <w:rPr>
        <w:rFonts w:hint="default"/>
        <w:lang w:val="zh-CN" w:eastAsia="zh-CN" w:bidi="zh-CN"/>
      </w:rPr>
    </w:lvl>
    <w:lvl w:ilvl="6">
      <w:start w:val="0"/>
      <w:numFmt w:val="bullet"/>
      <w:lvlText w:val="•"/>
      <w:lvlJc w:val="left"/>
      <w:pPr>
        <w:ind w:left="6575" w:hanging="579"/>
      </w:pPr>
      <w:rPr>
        <w:rFonts w:hint="default"/>
        <w:lang w:val="zh-CN" w:eastAsia="zh-CN" w:bidi="zh-CN"/>
      </w:rPr>
    </w:lvl>
    <w:lvl w:ilvl="7">
      <w:start w:val="0"/>
      <w:numFmt w:val="bullet"/>
      <w:lvlText w:val="•"/>
      <w:lvlJc w:val="left"/>
      <w:pPr>
        <w:ind w:left="7558" w:hanging="579"/>
      </w:pPr>
      <w:rPr>
        <w:rFonts w:hint="default"/>
        <w:lang w:val="zh-CN" w:eastAsia="zh-CN" w:bidi="zh-CN"/>
      </w:rPr>
    </w:lvl>
    <w:lvl w:ilvl="8">
      <w:start w:val="0"/>
      <w:numFmt w:val="bullet"/>
      <w:lvlText w:val="•"/>
      <w:lvlJc w:val="left"/>
      <w:pPr>
        <w:ind w:left="8541" w:hanging="579"/>
      </w:pPr>
      <w:rPr>
        <w:rFonts w:hint="default"/>
        <w:lang w:val="zh-CN" w:eastAsia="zh-CN" w:bidi="zh-CN"/>
      </w:rPr>
    </w:lvl>
  </w:abstractNum>
  <w:abstractNum w:abstractNumId="44">
    <w:multiLevelType w:val="hybridMultilevel"/>
    <w:lvl w:ilvl="0">
      <w:start w:val="9"/>
      <w:numFmt w:val="decimal"/>
      <w:lvlText w:val="%1"/>
      <w:lvlJc w:val="left"/>
      <w:pPr>
        <w:ind w:left="1162" w:hanging="484"/>
        <w:jc w:val="left"/>
      </w:pPr>
      <w:rPr>
        <w:rFonts w:hint="default"/>
        <w:lang w:val="zh-CN" w:eastAsia="zh-CN" w:bidi="zh-CN"/>
      </w:rPr>
    </w:lvl>
    <w:lvl w:ilvl="1">
      <w:start w:val="1"/>
      <w:numFmt w:val="decimal"/>
      <w:lvlText w:val="%1.%2"/>
      <w:lvlJc w:val="left"/>
      <w:pPr>
        <w:ind w:left="1162" w:hanging="484"/>
        <w:jc w:val="left"/>
      </w:pPr>
      <w:rPr>
        <w:rFonts w:hint="default" w:ascii="Microsoft JhengHei" w:hAnsi="Microsoft JhengHei" w:eastAsia="Microsoft JhengHei" w:cs="Microsoft JhengHei"/>
        <w:b/>
        <w:bCs/>
        <w:w w:val="83"/>
        <w:sz w:val="30"/>
        <w:szCs w:val="30"/>
        <w:lang w:val="zh-CN" w:eastAsia="zh-CN" w:bidi="zh-CN"/>
      </w:rPr>
    </w:lvl>
    <w:lvl w:ilvl="2">
      <w:start w:val="1"/>
      <w:numFmt w:val="decimal"/>
      <w:lvlText w:val="（%3）"/>
      <w:lvlJc w:val="left"/>
      <w:pPr>
        <w:ind w:left="1627" w:hanging="529"/>
        <w:jc w:val="left"/>
      </w:pPr>
      <w:rPr>
        <w:rFonts w:hint="default" w:ascii="宋体" w:hAnsi="宋体" w:eastAsia="宋体" w:cs="宋体"/>
        <w:spacing w:val="-3"/>
        <w:w w:val="100"/>
        <w:sz w:val="19"/>
        <w:szCs w:val="19"/>
        <w:lang w:val="zh-CN" w:eastAsia="zh-CN" w:bidi="zh-CN"/>
      </w:rPr>
    </w:lvl>
    <w:lvl w:ilvl="3">
      <w:start w:val="0"/>
      <w:numFmt w:val="bullet"/>
      <w:lvlText w:val="•"/>
      <w:lvlJc w:val="left"/>
      <w:pPr>
        <w:ind w:left="3594" w:hanging="529"/>
      </w:pPr>
      <w:rPr>
        <w:rFonts w:hint="default"/>
        <w:lang w:val="zh-CN" w:eastAsia="zh-CN" w:bidi="zh-CN"/>
      </w:rPr>
    </w:lvl>
    <w:lvl w:ilvl="4">
      <w:start w:val="0"/>
      <w:numFmt w:val="bullet"/>
      <w:lvlText w:val="•"/>
      <w:lvlJc w:val="left"/>
      <w:pPr>
        <w:ind w:left="4582" w:hanging="529"/>
      </w:pPr>
      <w:rPr>
        <w:rFonts w:hint="default"/>
        <w:lang w:val="zh-CN" w:eastAsia="zh-CN" w:bidi="zh-CN"/>
      </w:rPr>
    </w:lvl>
    <w:lvl w:ilvl="5">
      <w:start w:val="0"/>
      <w:numFmt w:val="bullet"/>
      <w:lvlText w:val="•"/>
      <w:lvlJc w:val="left"/>
      <w:pPr>
        <w:ind w:left="5569" w:hanging="529"/>
      </w:pPr>
      <w:rPr>
        <w:rFonts w:hint="default"/>
        <w:lang w:val="zh-CN" w:eastAsia="zh-CN" w:bidi="zh-CN"/>
      </w:rPr>
    </w:lvl>
    <w:lvl w:ilvl="6">
      <w:start w:val="0"/>
      <w:numFmt w:val="bullet"/>
      <w:lvlText w:val="•"/>
      <w:lvlJc w:val="left"/>
      <w:pPr>
        <w:ind w:left="6556" w:hanging="529"/>
      </w:pPr>
      <w:rPr>
        <w:rFonts w:hint="default"/>
        <w:lang w:val="zh-CN" w:eastAsia="zh-CN" w:bidi="zh-CN"/>
      </w:rPr>
    </w:lvl>
    <w:lvl w:ilvl="7">
      <w:start w:val="0"/>
      <w:numFmt w:val="bullet"/>
      <w:lvlText w:val="•"/>
      <w:lvlJc w:val="left"/>
      <w:pPr>
        <w:ind w:left="7544" w:hanging="529"/>
      </w:pPr>
      <w:rPr>
        <w:rFonts w:hint="default"/>
        <w:lang w:val="zh-CN" w:eastAsia="zh-CN" w:bidi="zh-CN"/>
      </w:rPr>
    </w:lvl>
    <w:lvl w:ilvl="8">
      <w:start w:val="0"/>
      <w:numFmt w:val="bullet"/>
      <w:lvlText w:val="•"/>
      <w:lvlJc w:val="left"/>
      <w:pPr>
        <w:ind w:left="8531" w:hanging="529"/>
      </w:pPr>
      <w:rPr>
        <w:rFonts w:hint="default"/>
        <w:lang w:val="zh-CN" w:eastAsia="zh-CN" w:bidi="zh-CN"/>
      </w:rPr>
    </w:lvl>
  </w:abstractNum>
  <w:abstractNum w:abstractNumId="43">
    <w:multiLevelType w:val="hybridMultilevel"/>
    <w:lvl w:ilvl="0">
      <w:start w:val="8"/>
      <w:numFmt w:val="decimal"/>
      <w:lvlText w:val="%1"/>
      <w:lvlJc w:val="left"/>
      <w:pPr>
        <w:ind w:left="1162" w:hanging="484"/>
        <w:jc w:val="left"/>
      </w:pPr>
      <w:rPr>
        <w:rFonts w:hint="default"/>
        <w:lang w:val="zh-CN" w:eastAsia="zh-CN" w:bidi="zh-CN"/>
      </w:rPr>
    </w:lvl>
    <w:lvl w:ilvl="1">
      <w:start w:val="1"/>
      <w:numFmt w:val="decimal"/>
      <w:lvlText w:val="%1.%2"/>
      <w:lvlJc w:val="left"/>
      <w:pPr>
        <w:ind w:left="1162" w:hanging="484"/>
        <w:jc w:val="left"/>
      </w:pPr>
      <w:rPr>
        <w:rFonts w:hint="default" w:ascii="Microsoft JhengHei" w:hAnsi="Microsoft JhengHei" w:eastAsia="Microsoft JhengHei" w:cs="Microsoft JhengHei"/>
        <w:b/>
        <w:bCs/>
        <w:w w:val="83"/>
        <w:sz w:val="30"/>
        <w:szCs w:val="30"/>
        <w:lang w:val="zh-CN" w:eastAsia="zh-CN" w:bidi="zh-CN"/>
      </w:rPr>
    </w:lvl>
    <w:lvl w:ilvl="2">
      <w:start w:val="1"/>
      <w:numFmt w:val="decimal"/>
      <w:lvlText w:val="（%3）"/>
      <w:lvlJc w:val="left"/>
      <w:pPr>
        <w:ind w:left="1627" w:hanging="529"/>
        <w:jc w:val="left"/>
      </w:pPr>
      <w:rPr>
        <w:rFonts w:hint="default" w:ascii="宋体" w:hAnsi="宋体" w:eastAsia="宋体" w:cs="宋体"/>
        <w:spacing w:val="-3"/>
        <w:w w:val="100"/>
        <w:sz w:val="19"/>
        <w:szCs w:val="19"/>
        <w:lang w:val="zh-CN" w:eastAsia="zh-CN" w:bidi="zh-CN"/>
      </w:rPr>
    </w:lvl>
    <w:lvl w:ilvl="3">
      <w:start w:val="0"/>
      <w:numFmt w:val="bullet"/>
      <w:lvlText w:val="•"/>
      <w:lvlJc w:val="left"/>
      <w:pPr>
        <w:ind w:left="3594" w:hanging="529"/>
      </w:pPr>
      <w:rPr>
        <w:rFonts w:hint="default"/>
        <w:lang w:val="zh-CN" w:eastAsia="zh-CN" w:bidi="zh-CN"/>
      </w:rPr>
    </w:lvl>
    <w:lvl w:ilvl="4">
      <w:start w:val="0"/>
      <w:numFmt w:val="bullet"/>
      <w:lvlText w:val="•"/>
      <w:lvlJc w:val="left"/>
      <w:pPr>
        <w:ind w:left="4582" w:hanging="529"/>
      </w:pPr>
      <w:rPr>
        <w:rFonts w:hint="default"/>
        <w:lang w:val="zh-CN" w:eastAsia="zh-CN" w:bidi="zh-CN"/>
      </w:rPr>
    </w:lvl>
    <w:lvl w:ilvl="5">
      <w:start w:val="0"/>
      <w:numFmt w:val="bullet"/>
      <w:lvlText w:val="•"/>
      <w:lvlJc w:val="left"/>
      <w:pPr>
        <w:ind w:left="5569" w:hanging="529"/>
      </w:pPr>
      <w:rPr>
        <w:rFonts w:hint="default"/>
        <w:lang w:val="zh-CN" w:eastAsia="zh-CN" w:bidi="zh-CN"/>
      </w:rPr>
    </w:lvl>
    <w:lvl w:ilvl="6">
      <w:start w:val="0"/>
      <w:numFmt w:val="bullet"/>
      <w:lvlText w:val="•"/>
      <w:lvlJc w:val="left"/>
      <w:pPr>
        <w:ind w:left="6556" w:hanging="529"/>
      </w:pPr>
      <w:rPr>
        <w:rFonts w:hint="default"/>
        <w:lang w:val="zh-CN" w:eastAsia="zh-CN" w:bidi="zh-CN"/>
      </w:rPr>
    </w:lvl>
    <w:lvl w:ilvl="7">
      <w:start w:val="0"/>
      <w:numFmt w:val="bullet"/>
      <w:lvlText w:val="•"/>
      <w:lvlJc w:val="left"/>
      <w:pPr>
        <w:ind w:left="7544" w:hanging="529"/>
      </w:pPr>
      <w:rPr>
        <w:rFonts w:hint="default"/>
        <w:lang w:val="zh-CN" w:eastAsia="zh-CN" w:bidi="zh-CN"/>
      </w:rPr>
    </w:lvl>
    <w:lvl w:ilvl="8">
      <w:start w:val="0"/>
      <w:numFmt w:val="bullet"/>
      <w:lvlText w:val="•"/>
      <w:lvlJc w:val="left"/>
      <w:pPr>
        <w:ind w:left="8531" w:hanging="529"/>
      </w:pPr>
      <w:rPr>
        <w:rFonts w:hint="default"/>
        <w:lang w:val="zh-CN" w:eastAsia="zh-CN" w:bidi="zh-CN"/>
      </w:rPr>
    </w:lvl>
  </w:abstractNum>
  <w:abstractNum w:abstractNumId="42">
    <w:multiLevelType w:val="hybridMultilevel"/>
    <w:lvl w:ilvl="0">
      <w:start w:val="7"/>
      <w:numFmt w:val="decimal"/>
      <w:lvlText w:val="%1"/>
      <w:lvlJc w:val="left"/>
      <w:pPr>
        <w:ind w:left="1162" w:hanging="484"/>
        <w:jc w:val="left"/>
      </w:pPr>
      <w:rPr>
        <w:rFonts w:hint="default"/>
        <w:lang w:val="zh-CN" w:eastAsia="zh-CN" w:bidi="zh-CN"/>
      </w:rPr>
    </w:lvl>
    <w:lvl w:ilvl="1">
      <w:start w:val="1"/>
      <w:numFmt w:val="decimal"/>
      <w:lvlText w:val="%1.%2"/>
      <w:lvlJc w:val="left"/>
      <w:pPr>
        <w:ind w:left="1162" w:hanging="484"/>
        <w:jc w:val="left"/>
      </w:pPr>
      <w:rPr>
        <w:rFonts w:hint="default" w:ascii="Microsoft JhengHei" w:hAnsi="Microsoft JhengHei" w:eastAsia="Microsoft JhengHei" w:cs="Microsoft JhengHei"/>
        <w:b/>
        <w:bCs/>
        <w:w w:val="83"/>
        <w:sz w:val="30"/>
        <w:szCs w:val="30"/>
        <w:lang w:val="zh-CN" w:eastAsia="zh-CN" w:bidi="zh-CN"/>
      </w:rPr>
    </w:lvl>
    <w:lvl w:ilvl="2">
      <w:start w:val="1"/>
      <w:numFmt w:val="decimal"/>
      <w:lvlText w:val="%1.%2.%3"/>
      <w:lvlJc w:val="left"/>
      <w:pPr>
        <w:ind w:left="678" w:hanging="529"/>
        <w:jc w:val="left"/>
      </w:pPr>
      <w:rPr>
        <w:rFonts w:hint="default" w:ascii="宋体" w:hAnsi="宋体" w:eastAsia="宋体" w:cs="宋体"/>
        <w:spacing w:val="-3"/>
        <w:w w:val="100"/>
        <w:sz w:val="19"/>
        <w:szCs w:val="19"/>
        <w:lang w:val="zh-CN" w:eastAsia="zh-CN" w:bidi="zh-CN"/>
      </w:rPr>
    </w:lvl>
    <w:lvl w:ilvl="3">
      <w:start w:val="0"/>
      <w:numFmt w:val="bullet"/>
      <w:lvlText w:val="•"/>
      <w:lvlJc w:val="left"/>
      <w:pPr>
        <w:ind w:left="3236" w:hanging="529"/>
      </w:pPr>
      <w:rPr>
        <w:rFonts w:hint="default"/>
        <w:lang w:val="zh-CN" w:eastAsia="zh-CN" w:bidi="zh-CN"/>
      </w:rPr>
    </w:lvl>
    <w:lvl w:ilvl="4">
      <w:start w:val="0"/>
      <w:numFmt w:val="bullet"/>
      <w:lvlText w:val="•"/>
      <w:lvlJc w:val="left"/>
      <w:pPr>
        <w:ind w:left="4275" w:hanging="529"/>
      </w:pPr>
      <w:rPr>
        <w:rFonts w:hint="default"/>
        <w:lang w:val="zh-CN" w:eastAsia="zh-CN" w:bidi="zh-CN"/>
      </w:rPr>
    </w:lvl>
    <w:lvl w:ilvl="5">
      <w:start w:val="0"/>
      <w:numFmt w:val="bullet"/>
      <w:lvlText w:val="•"/>
      <w:lvlJc w:val="left"/>
      <w:pPr>
        <w:ind w:left="5313" w:hanging="529"/>
      </w:pPr>
      <w:rPr>
        <w:rFonts w:hint="default"/>
        <w:lang w:val="zh-CN" w:eastAsia="zh-CN" w:bidi="zh-CN"/>
      </w:rPr>
    </w:lvl>
    <w:lvl w:ilvl="6">
      <w:start w:val="0"/>
      <w:numFmt w:val="bullet"/>
      <w:lvlText w:val="•"/>
      <w:lvlJc w:val="left"/>
      <w:pPr>
        <w:ind w:left="6352" w:hanging="529"/>
      </w:pPr>
      <w:rPr>
        <w:rFonts w:hint="default"/>
        <w:lang w:val="zh-CN" w:eastAsia="zh-CN" w:bidi="zh-CN"/>
      </w:rPr>
    </w:lvl>
    <w:lvl w:ilvl="7">
      <w:start w:val="0"/>
      <w:numFmt w:val="bullet"/>
      <w:lvlText w:val="•"/>
      <w:lvlJc w:val="left"/>
      <w:pPr>
        <w:ind w:left="7390" w:hanging="529"/>
      </w:pPr>
      <w:rPr>
        <w:rFonts w:hint="default"/>
        <w:lang w:val="zh-CN" w:eastAsia="zh-CN" w:bidi="zh-CN"/>
      </w:rPr>
    </w:lvl>
    <w:lvl w:ilvl="8">
      <w:start w:val="0"/>
      <w:numFmt w:val="bullet"/>
      <w:lvlText w:val="•"/>
      <w:lvlJc w:val="left"/>
      <w:pPr>
        <w:ind w:left="8429" w:hanging="529"/>
      </w:pPr>
      <w:rPr>
        <w:rFonts w:hint="default"/>
        <w:lang w:val="zh-CN" w:eastAsia="zh-CN" w:bidi="zh-CN"/>
      </w:rPr>
    </w:lvl>
  </w:abstractNum>
  <w:abstractNum w:abstractNumId="41">
    <w:multiLevelType w:val="hybridMultilevel"/>
    <w:lvl w:ilvl="0">
      <w:start w:val="1"/>
      <w:numFmt w:val="decimal"/>
      <w:lvlText w:val="（%1）"/>
      <w:lvlJc w:val="left"/>
      <w:pPr>
        <w:ind w:left="16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08" w:hanging="529"/>
      </w:pPr>
      <w:rPr>
        <w:rFonts w:hint="default"/>
        <w:lang w:val="zh-CN" w:eastAsia="zh-CN" w:bidi="zh-CN"/>
      </w:rPr>
    </w:lvl>
    <w:lvl w:ilvl="2">
      <w:start w:val="0"/>
      <w:numFmt w:val="bullet"/>
      <w:lvlText w:val="•"/>
      <w:lvlJc w:val="left"/>
      <w:pPr>
        <w:ind w:left="3397" w:hanging="529"/>
      </w:pPr>
      <w:rPr>
        <w:rFonts w:hint="default"/>
        <w:lang w:val="zh-CN" w:eastAsia="zh-CN" w:bidi="zh-CN"/>
      </w:rPr>
    </w:lvl>
    <w:lvl w:ilvl="3">
      <w:start w:val="0"/>
      <w:numFmt w:val="bullet"/>
      <w:lvlText w:val="•"/>
      <w:lvlJc w:val="left"/>
      <w:pPr>
        <w:ind w:left="4285" w:hanging="529"/>
      </w:pPr>
      <w:rPr>
        <w:rFonts w:hint="default"/>
        <w:lang w:val="zh-CN" w:eastAsia="zh-CN" w:bidi="zh-CN"/>
      </w:rPr>
    </w:lvl>
    <w:lvl w:ilvl="4">
      <w:start w:val="0"/>
      <w:numFmt w:val="bullet"/>
      <w:lvlText w:val="•"/>
      <w:lvlJc w:val="left"/>
      <w:pPr>
        <w:ind w:left="5174" w:hanging="529"/>
      </w:pPr>
      <w:rPr>
        <w:rFonts w:hint="default"/>
        <w:lang w:val="zh-CN" w:eastAsia="zh-CN" w:bidi="zh-CN"/>
      </w:rPr>
    </w:lvl>
    <w:lvl w:ilvl="5">
      <w:start w:val="0"/>
      <w:numFmt w:val="bullet"/>
      <w:lvlText w:val="•"/>
      <w:lvlJc w:val="left"/>
      <w:pPr>
        <w:ind w:left="6063" w:hanging="529"/>
      </w:pPr>
      <w:rPr>
        <w:rFonts w:hint="default"/>
        <w:lang w:val="zh-CN" w:eastAsia="zh-CN" w:bidi="zh-CN"/>
      </w:rPr>
    </w:lvl>
    <w:lvl w:ilvl="6">
      <w:start w:val="0"/>
      <w:numFmt w:val="bullet"/>
      <w:lvlText w:val="•"/>
      <w:lvlJc w:val="left"/>
      <w:pPr>
        <w:ind w:left="6951" w:hanging="529"/>
      </w:pPr>
      <w:rPr>
        <w:rFonts w:hint="default"/>
        <w:lang w:val="zh-CN" w:eastAsia="zh-CN" w:bidi="zh-CN"/>
      </w:rPr>
    </w:lvl>
    <w:lvl w:ilvl="7">
      <w:start w:val="0"/>
      <w:numFmt w:val="bullet"/>
      <w:lvlText w:val="•"/>
      <w:lvlJc w:val="left"/>
      <w:pPr>
        <w:ind w:left="7840" w:hanging="529"/>
      </w:pPr>
      <w:rPr>
        <w:rFonts w:hint="default"/>
        <w:lang w:val="zh-CN" w:eastAsia="zh-CN" w:bidi="zh-CN"/>
      </w:rPr>
    </w:lvl>
    <w:lvl w:ilvl="8">
      <w:start w:val="0"/>
      <w:numFmt w:val="bullet"/>
      <w:lvlText w:val="•"/>
      <w:lvlJc w:val="left"/>
      <w:pPr>
        <w:ind w:left="8729" w:hanging="529"/>
      </w:pPr>
      <w:rPr>
        <w:rFonts w:hint="default"/>
        <w:lang w:val="zh-CN" w:eastAsia="zh-CN" w:bidi="zh-CN"/>
      </w:rPr>
    </w:lvl>
  </w:abstractNum>
  <w:abstractNum w:abstractNumId="40">
    <w:multiLevelType w:val="hybridMultilevel"/>
    <w:lvl w:ilvl="0">
      <w:start w:val="1"/>
      <w:numFmt w:val="decimal"/>
      <w:lvlText w:val="（%1）"/>
      <w:lvlJc w:val="left"/>
      <w:pPr>
        <w:ind w:left="16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08" w:hanging="529"/>
      </w:pPr>
      <w:rPr>
        <w:rFonts w:hint="default"/>
        <w:lang w:val="zh-CN" w:eastAsia="zh-CN" w:bidi="zh-CN"/>
      </w:rPr>
    </w:lvl>
    <w:lvl w:ilvl="2">
      <w:start w:val="0"/>
      <w:numFmt w:val="bullet"/>
      <w:lvlText w:val="•"/>
      <w:lvlJc w:val="left"/>
      <w:pPr>
        <w:ind w:left="3397" w:hanging="529"/>
      </w:pPr>
      <w:rPr>
        <w:rFonts w:hint="default"/>
        <w:lang w:val="zh-CN" w:eastAsia="zh-CN" w:bidi="zh-CN"/>
      </w:rPr>
    </w:lvl>
    <w:lvl w:ilvl="3">
      <w:start w:val="0"/>
      <w:numFmt w:val="bullet"/>
      <w:lvlText w:val="•"/>
      <w:lvlJc w:val="left"/>
      <w:pPr>
        <w:ind w:left="4285" w:hanging="529"/>
      </w:pPr>
      <w:rPr>
        <w:rFonts w:hint="default"/>
        <w:lang w:val="zh-CN" w:eastAsia="zh-CN" w:bidi="zh-CN"/>
      </w:rPr>
    </w:lvl>
    <w:lvl w:ilvl="4">
      <w:start w:val="0"/>
      <w:numFmt w:val="bullet"/>
      <w:lvlText w:val="•"/>
      <w:lvlJc w:val="left"/>
      <w:pPr>
        <w:ind w:left="5174" w:hanging="529"/>
      </w:pPr>
      <w:rPr>
        <w:rFonts w:hint="default"/>
        <w:lang w:val="zh-CN" w:eastAsia="zh-CN" w:bidi="zh-CN"/>
      </w:rPr>
    </w:lvl>
    <w:lvl w:ilvl="5">
      <w:start w:val="0"/>
      <w:numFmt w:val="bullet"/>
      <w:lvlText w:val="•"/>
      <w:lvlJc w:val="left"/>
      <w:pPr>
        <w:ind w:left="6063" w:hanging="529"/>
      </w:pPr>
      <w:rPr>
        <w:rFonts w:hint="default"/>
        <w:lang w:val="zh-CN" w:eastAsia="zh-CN" w:bidi="zh-CN"/>
      </w:rPr>
    </w:lvl>
    <w:lvl w:ilvl="6">
      <w:start w:val="0"/>
      <w:numFmt w:val="bullet"/>
      <w:lvlText w:val="•"/>
      <w:lvlJc w:val="left"/>
      <w:pPr>
        <w:ind w:left="6951" w:hanging="529"/>
      </w:pPr>
      <w:rPr>
        <w:rFonts w:hint="default"/>
        <w:lang w:val="zh-CN" w:eastAsia="zh-CN" w:bidi="zh-CN"/>
      </w:rPr>
    </w:lvl>
    <w:lvl w:ilvl="7">
      <w:start w:val="0"/>
      <w:numFmt w:val="bullet"/>
      <w:lvlText w:val="•"/>
      <w:lvlJc w:val="left"/>
      <w:pPr>
        <w:ind w:left="7840" w:hanging="529"/>
      </w:pPr>
      <w:rPr>
        <w:rFonts w:hint="default"/>
        <w:lang w:val="zh-CN" w:eastAsia="zh-CN" w:bidi="zh-CN"/>
      </w:rPr>
    </w:lvl>
    <w:lvl w:ilvl="8">
      <w:start w:val="0"/>
      <w:numFmt w:val="bullet"/>
      <w:lvlText w:val="•"/>
      <w:lvlJc w:val="left"/>
      <w:pPr>
        <w:ind w:left="8729" w:hanging="529"/>
      </w:pPr>
      <w:rPr>
        <w:rFonts w:hint="default"/>
        <w:lang w:val="zh-CN" w:eastAsia="zh-CN" w:bidi="zh-CN"/>
      </w:rPr>
    </w:lvl>
  </w:abstractNum>
  <w:abstractNum w:abstractNumId="39">
    <w:multiLevelType w:val="hybridMultilevel"/>
    <w:lvl w:ilvl="0">
      <w:start w:val="6"/>
      <w:numFmt w:val="decimal"/>
      <w:lvlText w:val="%1"/>
      <w:lvlJc w:val="left"/>
      <w:pPr>
        <w:ind w:left="1162" w:hanging="484"/>
        <w:jc w:val="left"/>
      </w:pPr>
      <w:rPr>
        <w:rFonts w:hint="default"/>
        <w:lang w:val="zh-CN" w:eastAsia="zh-CN" w:bidi="zh-CN"/>
      </w:rPr>
    </w:lvl>
    <w:lvl w:ilvl="1">
      <w:start w:val="1"/>
      <w:numFmt w:val="decimal"/>
      <w:lvlText w:val="%1.%2"/>
      <w:lvlJc w:val="left"/>
      <w:pPr>
        <w:ind w:left="1162" w:hanging="484"/>
        <w:jc w:val="left"/>
      </w:pPr>
      <w:rPr>
        <w:rFonts w:hint="default" w:ascii="Microsoft JhengHei" w:hAnsi="Microsoft JhengHei" w:eastAsia="Microsoft JhengHei" w:cs="Microsoft JhengHei"/>
        <w:b/>
        <w:bCs/>
        <w:w w:val="83"/>
        <w:sz w:val="30"/>
        <w:szCs w:val="30"/>
        <w:lang w:val="zh-CN" w:eastAsia="zh-CN" w:bidi="zh-CN"/>
      </w:rPr>
    </w:lvl>
    <w:lvl w:ilvl="2">
      <w:start w:val="1"/>
      <w:numFmt w:val="decimal"/>
      <w:lvlText w:val="%1.%2.%3"/>
      <w:lvlJc w:val="left"/>
      <w:pPr>
        <w:ind w:left="678" w:hanging="529"/>
        <w:jc w:val="left"/>
      </w:pPr>
      <w:rPr>
        <w:rFonts w:hint="default" w:ascii="宋体" w:hAnsi="宋体" w:eastAsia="宋体" w:cs="宋体"/>
        <w:spacing w:val="-3"/>
        <w:w w:val="100"/>
        <w:sz w:val="19"/>
        <w:szCs w:val="19"/>
        <w:lang w:val="zh-CN" w:eastAsia="zh-CN" w:bidi="zh-CN"/>
      </w:rPr>
    </w:lvl>
    <w:lvl w:ilvl="3">
      <w:start w:val="0"/>
      <w:numFmt w:val="bullet"/>
      <w:lvlText w:val="•"/>
      <w:lvlJc w:val="left"/>
      <w:pPr>
        <w:ind w:left="1680" w:hanging="529"/>
      </w:pPr>
      <w:rPr>
        <w:rFonts w:hint="default"/>
        <w:lang w:val="zh-CN" w:eastAsia="zh-CN" w:bidi="zh-CN"/>
      </w:rPr>
    </w:lvl>
    <w:lvl w:ilvl="4">
      <w:start w:val="0"/>
      <w:numFmt w:val="bullet"/>
      <w:lvlText w:val="•"/>
      <w:lvlJc w:val="left"/>
      <w:pPr>
        <w:ind w:left="2940" w:hanging="529"/>
      </w:pPr>
      <w:rPr>
        <w:rFonts w:hint="default"/>
        <w:lang w:val="zh-CN" w:eastAsia="zh-CN" w:bidi="zh-CN"/>
      </w:rPr>
    </w:lvl>
    <w:lvl w:ilvl="5">
      <w:start w:val="0"/>
      <w:numFmt w:val="bullet"/>
      <w:lvlText w:val="•"/>
      <w:lvlJc w:val="left"/>
      <w:pPr>
        <w:ind w:left="4201" w:hanging="529"/>
      </w:pPr>
      <w:rPr>
        <w:rFonts w:hint="default"/>
        <w:lang w:val="zh-CN" w:eastAsia="zh-CN" w:bidi="zh-CN"/>
      </w:rPr>
    </w:lvl>
    <w:lvl w:ilvl="6">
      <w:start w:val="0"/>
      <w:numFmt w:val="bullet"/>
      <w:lvlText w:val="•"/>
      <w:lvlJc w:val="left"/>
      <w:pPr>
        <w:ind w:left="5462" w:hanging="529"/>
      </w:pPr>
      <w:rPr>
        <w:rFonts w:hint="default"/>
        <w:lang w:val="zh-CN" w:eastAsia="zh-CN" w:bidi="zh-CN"/>
      </w:rPr>
    </w:lvl>
    <w:lvl w:ilvl="7">
      <w:start w:val="0"/>
      <w:numFmt w:val="bullet"/>
      <w:lvlText w:val="•"/>
      <w:lvlJc w:val="left"/>
      <w:pPr>
        <w:ind w:left="6723" w:hanging="529"/>
      </w:pPr>
      <w:rPr>
        <w:rFonts w:hint="default"/>
        <w:lang w:val="zh-CN" w:eastAsia="zh-CN" w:bidi="zh-CN"/>
      </w:rPr>
    </w:lvl>
    <w:lvl w:ilvl="8">
      <w:start w:val="0"/>
      <w:numFmt w:val="bullet"/>
      <w:lvlText w:val="•"/>
      <w:lvlJc w:val="left"/>
      <w:pPr>
        <w:ind w:left="7984" w:hanging="529"/>
      </w:pPr>
      <w:rPr>
        <w:rFonts w:hint="default"/>
        <w:lang w:val="zh-CN" w:eastAsia="zh-CN" w:bidi="zh-CN"/>
      </w:rPr>
    </w:lvl>
  </w:abstractNum>
  <w:abstractNum w:abstractNumId="38">
    <w:multiLevelType w:val="hybridMultilevel"/>
    <w:lvl w:ilvl="0">
      <w:start w:val="1"/>
      <w:numFmt w:val="decimal"/>
      <w:lvlText w:val="（%1）"/>
      <w:lvlJc w:val="left"/>
      <w:pPr>
        <w:ind w:left="16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08" w:hanging="529"/>
      </w:pPr>
      <w:rPr>
        <w:rFonts w:hint="default"/>
        <w:lang w:val="zh-CN" w:eastAsia="zh-CN" w:bidi="zh-CN"/>
      </w:rPr>
    </w:lvl>
    <w:lvl w:ilvl="2">
      <w:start w:val="0"/>
      <w:numFmt w:val="bullet"/>
      <w:lvlText w:val="•"/>
      <w:lvlJc w:val="left"/>
      <w:pPr>
        <w:ind w:left="3397" w:hanging="529"/>
      </w:pPr>
      <w:rPr>
        <w:rFonts w:hint="default"/>
        <w:lang w:val="zh-CN" w:eastAsia="zh-CN" w:bidi="zh-CN"/>
      </w:rPr>
    </w:lvl>
    <w:lvl w:ilvl="3">
      <w:start w:val="0"/>
      <w:numFmt w:val="bullet"/>
      <w:lvlText w:val="•"/>
      <w:lvlJc w:val="left"/>
      <w:pPr>
        <w:ind w:left="4285" w:hanging="529"/>
      </w:pPr>
      <w:rPr>
        <w:rFonts w:hint="default"/>
        <w:lang w:val="zh-CN" w:eastAsia="zh-CN" w:bidi="zh-CN"/>
      </w:rPr>
    </w:lvl>
    <w:lvl w:ilvl="4">
      <w:start w:val="0"/>
      <w:numFmt w:val="bullet"/>
      <w:lvlText w:val="•"/>
      <w:lvlJc w:val="left"/>
      <w:pPr>
        <w:ind w:left="5174" w:hanging="529"/>
      </w:pPr>
      <w:rPr>
        <w:rFonts w:hint="default"/>
        <w:lang w:val="zh-CN" w:eastAsia="zh-CN" w:bidi="zh-CN"/>
      </w:rPr>
    </w:lvl>
    <w:lvl w:ilvl="5">
      <w:start w:val="0"/>
      <w:numFmt w:val="bullet"/>
      <w:lvlText w:val="•"/>
      <w:lvlJc w:val="left"/>
      <w:pPr>
        <w:ind w:left="6063" w:hanging="529"/>
      </w:pPr>
      <w:rPr>
        <w:rFonts w:hint="default"/>
        <w:lang w:val="zh-CN" w:eastAsia="zh-CN" w:bidi="zh-CN"/>
      </w:rPr>
    </w:lvl>
    <w:lvl w:ilvl="6">
      <w:start w:val="0"/>
      <w:numFmt w:val="bullet"/>
      <w:lvlText w:val="•"/>
      <w:lvlJc w:val="left"/>
      <w:pPr>
        <w:ind w:left="6951" w:hanging="529"/>
      </w:pPr>
      <w:rPr>
        <w:rFonts w:hint="default"/>
        <w:lang w:val="zh-CN" w:eastAsia="zh-CN" w:bidi="zh-CN"/>
      </w:rPr>
    </w:lvl>
    <w:lvl w:ilvl="7">
      <w:start w:val="0"/>
      <w:numFmt w:val="bullet"/>
      <w:lvlText w:val="•"/>
      <w:lvlJc w:val="left"/>
      <w:pPr>
        <w:ind w:left="7840" w:hanging="529"/>
      </w:pPr>
      <w:rPr>
        <w:rFonts w:hint="default"/>
        <w:lang w:val="zh-CN" w:eastAsia="zh-CN" w:bidi="zh-CN"/>
      </w:rPr>
    </w:lvl>
    <w:lvl w:ilvl="8">
      <w:start w:val="0"/>
      <w:numFmt w:val="bullet"/>
      <w:lvlText w:val="•"/>
      <w:lvlJc w:val="left"/>
      <w:pPr>
        <w:ind w:left="8729" w:hanging="529"/>
      </w:pPr>
      <w:rPr>
        <w:rFonts w:hint="default"/>
        <w:lang w:val="zh-CN" w:eastAsia="zh-CN" w:bidi="zh-CN"/>
      </w:rPr>
    </w:lvl>
  </w:abstractNum>
  <w:abstractNum w:abstractNumId="37">
    <w:multiLevelType w:val="hybridMultilevel"/>
    <w:lvl w:ilvl="0">
      <w:start w:val="1"/>
      <w:numFmt w:val="decimal"/>
      <w:lvlText w:val="（%1）"/>
      <w:lvlJc w:val="left"/>
      <w:pPr>
        <w:ind w:left="1732"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616" w:hanging="529"/>
      </w:pPr>
      <w:rPr>
        <w:rFonts w:hint="default"/>
        <w:lang w:val="zh-CN" w:eastAsia="zh-CN" w:bidi="zh-CN"/>
      </w:rPr>
    </w:lvl>
    <w:lvl w:ilvl="2">
      <w:start w:val="0"/>
      <w:numFmt w:val="bullet"/>
      <w:lvlText w:val="•"/>
      <w:lvlJc w:val="left"/>
      <w:pPr>
        <w:ind w:left="3493" w:hanging="529"/>
      </w:pPr>
      <w:rPr>
        <w:rFonts w:hint="default"/>
        <w:lang w:val="zh-CN" w:eastAsia="zh-CN" w:bidi="zh-CN"/>
      </w:rPr>
    </w:lvl>
    <w:lvl w:ilvl="3">
      <w:start w:val="0"/>
      <w:numFmt w:val="bullet"/>
      <w:lvlText w:val="•"/>
      <w:lvlJc w:val="left"/>
      <w:pPr>
        <w:ind w:left="4369" w:hanging="529"/>
      </w:pPr>
      <w:rPr>
        <w:rFonts w:hint="default"/>
        <w:lang w:val="zh-CN" w:eastAsia="zh-CN" w:bidi="zh-CN"/>
      </w:rPr>
    </w:lvl>
    <w:lvl w:ilvl="4">
      <w:start w:val="0"/>
      <w:numFmt w:val="bullet"/>
      <w:lvlText w:val="•"/>
      <w:lvlJc w:val="left"/>
      <w:pPr>
        <w:ind w:left="5246" w:hanging="529"/>
      </w:pPr>
      <w:rPr>
        <w:rFonts w:hint="default"/>
        <w:lang w:val="zh-CN" w:eastAsia="zh-CN" w:bidi="zh-CN"/>
      </w:rPr>
    </w:lvl>
    <w:lvl w:ilvl="5">
      <w:start w:val="0"/>
      <w:numFmt w:val="bullet"/>
      <w:lvlText w:val="•"/>
      <w:lvlJc w:val="left"/>
      <w:pPr>
        <w:ind w:left="6123" w:hanging="529"/>
      </w:pPr>
      <w:rPr>
        <w:rFonts w:hint="default"/>
        <w:lang w:val="zh-CN" w:eastAsia="zh-CN" w:bidi="zh-CN"/>
      </w:rPr>
    </w:lvl>
    <w:lvl w:ilvl="6">
      <w:start w:val="0"/>
      <w:numFmt w:val="bullet"/>
      <w:lvlText w:val="•"/>
      <w:lvlJc w:val="left"/>
      <w:pPr>
        <w:ind w:left="6999" w:hanging="529"/>
      </w:pPr>
      <w:rPr>
        <w:rFonts w:hint="default"/>
        <w:lang w:val="zh-CN" w:eastAsia="zh-CN" w:bidi="zh-CN"/>
      </w:rPr>
    </w:lvl>
    <w:lvl w:ilvl="7">
      <w:start w:val="0"/>
      <w:numFmt w:val="bullet"/>
      <w:lvlText w:val="•"/>
      <w:lvlJc w:val="left"/>
      <w:pPr>
        <w:ind w:left="7876" w:hanging="529"/>
      </w:pPr>
      <w:rPr>
        <w:rFonts w:hint="default"/>
        <w:lang w:val="zh-CN" w:eastAsia="zh-CN" w:bidi="zh-CN"/>
      </w:rPr>
    </w:lvl>
    <w:lvl w:ilvl="8">
      <w:start w:val="0"/>
      <w:numFmt w:val="bullet"/>
      <w:lvlText w:val="•"/>
      <w:lvlJc w:val="left"/>
      <w:pPr>
        <w:ind w:left="8753" w:hanging="529"/>
      </w:pPr>
      <w:rPr>
        <w:rFonts w:hint="default"/>
        <w:lang w:val="zh-CN" w:eastAsia="zh-CN" w:bidi="zh-CN"/>
      </w:rPr>
    </w:lvl>
  </w:abstractNum>
  <w:abstractNum w:abstractNumId="36">
    <w:multiLevelType w:val="hybridMultilevel"/>
    <w:lvl w:ilvl="0">
      <w:start w:val="5"/>
      <w:numFmt w:val="decimal"/>
      <w:lvlText w:val="%1"/>
      <w:lvlJc w:val="left"/>
      <w:pPr>
        <w:ind w:left="678" w:hanging="586"/>
        <w:jc w:val="left"/>
      </w:pPr>
      <w:rPr>
        <w:rFonts w:hint="default"/>
        <w:lang w:val="zh-CN" w:eastAsia="zh-CN" w:bidi="zh-CN"/>
      </w:rPr>
    </w:lvl>
    <w:lvl w:ilvl="1">
      <w:start w:val="3"/>
      <w:numFmt w:val="decimal"/>
      <w:lvlText w:val="%1.%2"/>
      <w:lvlJc w:val="left"/>
      <w:pPr>
        <w:ind w:left="678" w:hanging="586"/>
        <w:jc w:val="left"/>
      </w:pPr>
      <w:rPr>
        <w:rFonts w:hint="default"/>
        <w:lang w:val="zh-CN" w:eastAsia="zh-CN" w:bidi="zh-CN"/>
      </w:rPr>
    </w:lvl>
    <w:lvl w:ilvl="2">
      <w:start w:val="1"/>
      <w:numFmt w:val="decimal"/>
      <w:lvlText w:val="%1.%2.%3"/>
      <w:lvlJc w:val="left"/>
      <w:pPr>
        <w:ind w:left="678" w:hanging="586"/>
        <w:jc w:val="left"/>
      </w:pPr>
      <w:rPr>
        <w:rFonts w:hint="default" w:ascii="宋体" w:hAnsi="宋体" w:eastAsia="宋体" w:cs="宋体"/>
        <w:w w:val="100"/>
        <w:sz w:val="21"/>
        <w:szCs w:val="21"/>
        <w:lang w:val="zh-CN" w:eastAsia="zh-CN" w:bidi="zh-CN"/>
      </w:rPr>
    </w:lvl>
    <w:lvl w:ilvl="3">
      <w:start w:val="0"/>
      <w:numFmt w:val="bullet"/>
      <w:lvlText w:val="•"/>
      <w:lvlJc w:val="left"/>
      <w:pPr>
        <w:ind w:left="3627" w:hanging="586"/>
      </w:pPr>
      <w:rPr>
        <w:rFonts w:hint="default"/>
        <w:lang w:val="zh-CN" w:eastAsia="zh-CN" w:bidi="zh-CN"/>
      </w:rPr>
    </w:lvl>
    <w:lvl w:ilvl="4">
      <w:start w:val="0"/>
      <w:numFmt w:val="bullet"/>
      <w:lvlText w:val="•"/>
      <w:lvlJc w:val="left"/>
      <w:pPr>
        <w:ind w:left="4610" w:hanging="586"/>
      </w:pPr>
      <w:rPr>
        <w:rFonts w:hint="default"/>
        <w:lang w:val="zh-CN" w:eastAsia="zh-CN" w:bidi="zh-CN"/>
      </w:rPr>
    </w:lvl>
    <w:lvl w:ilvl="5">
      <w:start w:val="0"/>
      <w:numFmt w:val="bullet"/>
      <w:lvlText w:val="•"/>
      <w:lvlJc w:val="left"/>
      <w:pPr>
        <w:ind w:left="5593" w:hanging="586"/>
      </w:pPr>
      <w:rPr>
        <w:rFonts w:hint="default"/>
        <w:lang w:val="zh-CN" w:eastAsia="zh-CN" w:bidi="zh-CN"/>
      </w:rPr>
    </w:lvl>
    <w:lvl w:ilvl="6">
      <w:start w:val="0"/>
      <w:numFmt w:val="bullet"/>
      <w:lvlText w:val="•"/>
      <w:lvlJc w:val="left"/>
      <w:pPr>
        <w:ind w:left="6575" w:hanging="586"/>
      </w:pPr>
      <w:rPr>
        <w:rFonts w:hint="default"/>
        <w:lang w:val="zh-CN" w:eastAsia="zh-CN" w:bidi="zh-CN"/>
      </w:rPr>
    </w:lvl>
    <w:lvl w:ilvl="7">
      <w:start w:val="0"/>
      <w:numFmt w:val="bullet"/>
      <w:lvlText w:val="•"/>
      <w:lvlJc w:val="left"/>
      <w:pPr>
        <w:ind w:left="7558" w:hanging="586"/>
      </w:pPr>
      <w:rPr>
        <w:rFonts w:hint="default"/>
        <w:lang w:val="zh-CN" w:eastAsia="zh-CN" w:bidi="zh-CN"/>
      </w:rPr>
    </w:lvl>
    <w:lvl w:ilvl="8">
      <w:start w:val="0"/>
      <w:numFmt w:val="bullet"/>
      <w:lvlText w:val="•"/>
      <w:lvlJc w:val="left"/>
      <w:pPr>
        <w:ind w:left="8541" w:hanging="586"/>
      </w:pPr>
      <w:rPr>
        <w:rFonts w:hint="default"/>
        <w:lang w:val="zh-CN" w:eastAsia="zh-CN" w:bidi="zh-CN"/>
      </w:rPr>
    </w:lvl>
  </w:abstractNum>
  <w:abstractNum w:abstractNumId="35">
    <w:multiLevelType w:val="hybridMultilevel"/>
    <w:lvl w:ilvl="0">
      <w:start w:val="5"/>
      <w:numFmt w:val="decimal"/>
      <w:lvlText w:val="%1"/>
      <w:lvlJc w:val="left"/>
      <w:pPr>
        <w:ind w:left="1162" w:hanging="484"/>
        <w:jc w:val="left"/>
      </w:pPr>
      <w:rPr>
        <w:rFonts w:hint="default"/>
        <w:lang w:val="zh-CN" w:eastAsia="zh-CN" w:bidi="zh-CN"/>
      </w:rPr>
    </w:lvl>
    <w:lvl w:ilvl="1">
      <w:start w:val="1"/>
      <w:numFmt w:val="decimal"/>
      <w:lvlText w:val="%1.%2"/>
      <w:lvlJc w:val="left"/>
      <w:pPr>
        <w:ind w:left="1162" w:hanging="484"/>
        <w:jc w:val="left"/>
      </w:pPr>
      <w:rPr>
        <w:rFonts w:hint="default" w:ascii="Microsoft JhengHei" w:hAnsi="Microsoft JhengHei" w:eastAsia="Microsoft JhengHei" w:cs="Microsoft JhengHei"/>
        <w:b/>
        <w:bCs/>
        <w:w w:val="83"/>
        <w:sz w:val="30"/>
        <w:szCs w:val="30"/>
        <w:lang w:val="zh-CN" w:eastAsia="zh-CN" w:bidi="zh-CN"/>
      </w:rPr>
    </w:lvl>
    <w:lvl w:ilvl="2">
      <w:start w:val="1"/>
      <w:numFmt w:val="decimal"/>
      <w:lvlText w:val="（%3）"/>
      <w:lvlJc w:val="left"/>
      <w:pPr>
        <w:ind w:left="1627" w:hanging="529"/>
        <w:jc w:val="left"/>
      </w:pPr>
      <w:rPr>
        <w:rFonts w:hint="default" w:ascii="宋体" w:hAnsi="宋体" w:eastAsia="宋体" w:cs="宋体"/>
        <w:spacing w:val="-3"/>
        <w:w w:val="100"/>
        <w:sz w:val="19"/>
        <w:szCs w:val="19"/>
        <w:lang w:val="zh-CN" w:eastAsia="zh-CN" w:bidi="zh-CN"/>
      </w:rPr>
    </w:lvl>
    <w:lvl w:ilvl="3">
      <w:start w:val="0"/>
      <w:numFmt w:val="bullet"/>
      <w:lvlText w:val="•"/>
      <w:lvlJc w:val="left"/>
      <w:pPr>
        <w:ind w:left="3594" w:hanging="529"/>
      </w:pPr>
      <w:rPr>
        <w:rFonts w:hint="default"/>
        <w:lang w:val="zh-CN" w:eastAsia="zh-CN" w:bidi="zh-CN"/>
      </w:rPr>
    </w:lvl>
    <w:lvl w:ilvl="4">
      <w:start w:val="0"/>
      <w:numFmt w:val="bullet"/>
      <w:lvlText w:val="•"/>
      <w:lvlJc w:val="left"/>
      <w:pPr>
        <w:ind w:left="4582" w:hanging="529"/>
      </w:pPr>
      <w:rPr>
        <w:rFonts w:hint="default"/>
        <w:lang w:val="zh-CN" w:eastAsia="zh-CN" w:bidi="zh-CN"/>
      </w:rPr>
    </w:lvl>
    <w:lvl w:ilvl="5">
      <w:start w:val="0"/>
      <w:numFmt w:val="bullet"/>
      <w:lvlText w:val="•"/>
      <w:lvlJc w:val="left"/>
      <w:pPr>
        <w:ind w:left="5569" w:hanging="529"/>
      </w:pPr>
      <w:rPr>
        <w:rFonts w:hint="default"/>
        <w:lang w:val="zh-CN" w:eastAsia="zh-CN" w:bidi="zh-CN"/>
      </w:rPr>
    </w:lvl>
    <w:lvl w:ilvl="6">
      <w:start w:val="0"/>
      <w:numFmt w:val="bullet"/>
      <w:lvlText w:val="•"/>
      <w:lvlJc w:val="left"/>
      <w:pPr>
        <w:ind w:left="6556" w:hanging="529"/>
      </w:pPr>
      <w:rPr>
        <w:rFonts w:hint="default"/>
        <w:lang w:val="zh-CN" w:eastAsia="zh-CN" w:bidi="zh-CN"/>
      </w:rPr>
    </w:lvl>
    <w:lvl w:ilvl="7">
      <w:start w:val="0"/>
      <w:numFmt w:val="bullet"/>
      <w:lvlText w:val="•"/>
      <w:lvlJc w:val="left"/>
      <w:pPr>
        <w:ind w:left="7544" w:hanging="529"/>
      </w:pPr>
      <w:rPr>
        <w:rFonts w:hint="default"/>
        <w:lang w:val="zh-CN" w:eastAsia="zh-CN" w:bidi="zh-CN"/>
      </w:rPr>
    </w:lvl>
    <w:lvl w:ilvl="8">
      <w:start w:val="0"/>
      <w:numFmt w:val="bullet"/>
      <w:lvlText w:val="•"/>
      <w:lvlJc w:val="left"/>
      <w:pPr>
        <w:ind w:left="8531" w:hanging="529"/>
      </w:pPr>
      <w:rPr>
        <w:rFonts w:hint="default"/>
        <w:lang w:val="zh-CN" w:eastAsia="zh-CN" w:bidi="zh-CN"/>
      </w:rPr>
    </w:lvl>
  </w:abstractNum>
  <w:abstractNum w:abstractNumId="34">
    <w:multiLevelType w:val="hybridMultilevel"/>
    <w:lvl w:ilvl="0">
      <w:start w:val="4"/>
      <w:numFmt w:val="decimal"/>
      <w:lvlText w:val="%1"/>
      <w:lvlJc w:val="left"/>
      <w:pPr>
        <w:ind w:left="1244" w:hanging="567"/>
        <w:jc w:val="left"/>
      </w:pPr>
      <w:rPr>
        <w:rFonts w:hint="default"/>
        <w:lang w:val="zh-CN" w:eastAsia="zh-CN" w:bidi="zh-CN"/>
      </w:rPr>
    </w:lvl>
    <w:lvl w:ilvl="1">
      <w:start w:val="1"/>
      <w:numFmt w:val="decimal"/>
      <w:lvlText w:val="%1.%2"/>
      <w:lvlJc w:val="left"/>
      <w:pPr>
        <w:ind w:left="1244" w:hanging="567"/>
        <w:jc w:val="left"/>
      </w:pPr>
      <w:rPr>
        <w:rFonts w:hint="default" w:ascii="Microsoft JhengHei" w:hAnsi="Microsoft JhengHei" w:eastAsia="Microsoft JhengHei" w:cs="Microsoft JhengHei"/>
        <w:b/>
        <w:bCs/>
        <w:w w:val="83"/>
        <w:sz w:val="32"/>
        <w:szCs w:val="32"/>
        <w:lang w:val="zh-CN" w:eastAsia="zh-CN" w:bidi="zh-CN"/>
      </w:rPr>
    </w:lvl>
    <w:lvl w:ilvl="2">
      <w:start w:val="1"/>
      <w:numFmt w:val="decimal"/>
      <w:lvlText w:val="%1.%2.%3"/>
      <w:lvlJc w:val="left"/>
      <w:pPr>
        <w:ind w:left="678" w:hanging="529"/>
        <w:jc w:val="left"/>
      </w:pPr>
      <w:rPr>
        <w:rFonts w:hint="default" w:ascii="宋体" w:hAnsi="宋体" w:eastAsia="宋体" w:cs="宋体"/>
        <w:spacing w:val="-3"/>
        <w:w w:val="100"/>
        <w:sz w:val="19"/>
        <w:szCs w:val="19"/>
        <w:lang w:val="zh-CN" w:eastAsia="zh-CN" w:bidi="zh-CN"/>
      </w:rPr>
    </w:lvl>
    <w:lvl w:ilvl="3">
      <w:start w:val="0"/>
      <w:numFmt w:val="bullet"/>
      <w:lvlText w:val="•"/>
      <w:lvlJc w:val="left"/>
      <w:pPr>
        <w:ind w:left="3299" w:hanging="529"/>
      </w:pPr>
      <w:rPr>
        <w:rFonts w:hint="default"/>
        <w:lang w:val="zh-CN" w:eastAsia="zh-CN" w:bidi="zh-CN"/>
      </w:rPr>
    </w:lvl>
    <w:lvl w:ilvl="4">
      <w:start w:val="0"/>
      <w:numFmt w:val="bullet"/>
      <w:lvlText w:val="•"/>
      <w:lvlJc w:val="left"/>
      <w:pPr>
        <w:ind w:left="4328" w:hanging="529"/>
      </w:pPr>
      <w:rPr>
        <w:rFonts w:hint="default"/>
        <w:lang w:val="zh-CN" w:eastAsia="zh-CN" w:bidi="zh-CN"/>
      </w:rPr>
    </w:lvl>
    <w:lvl w:ilvl="5">
      <w:start w:val="0"/>
      <w:numFmt w:val="bullet"/>
      <w:lvlText w:val="•"/>
      <w:lvlJc w:val="left"/>
      <w:pPr>
        <w:ind w:left="5358" w:hanging="529"/>
      </w:pPr>
      <w:rPr>
        <w:rFonts w:hint="default"/>
        <w:lang w:val="zh-CN" w:eastAsia="zh-CN" w:bidi="zh-CN"/>
      </w:rPr>
    </w:lvl>
    <w:lvl w:ilvl="6">
      <w:start w:val="0"/>
      <w:numFmt w:val="bullet"/>
      <w:lvlText w:val="•"/>
      <w:lvlJc w:val="left"/>
      <w:pPr>
        <w:ind w:left="6388" w:hanging="529"/>
      </w:pPr>
      <w:rPr>
        <w:rFonts w:hint="default"/>
        <w:lang w:val="zh-CN" w:eastAsia="zh-CN" w:bidi="zh-CN"/>
      </w:rPr>
    </w:lvl>
    <w:lvl w:ilvl="7">
      <w:start w:val="0"/>
      <w:numFmt w:val="bullet"/>
      <w:lvlText w:val="•"/>
      <w:lvlJc w:val="left"/>
      <w:pPr>
        <w:ind w:left="7417" w:hanging="529"/>
      </w:pPr>
      <w:rPr>
        <w:rFonts w:hint="default"/>
        <w:lang w:val="zh-CN" w:eastAsia="zh-CN" w:bidi="zh-CN"/>
      </w:rPr>
    </w:lvl>
    <w:lvl w:ilvl="8">
      <w:start w:val="0"/>
      <w:numFmt w:val="bullet"/>
      <w:lvlText w:val="•"/>
      <w:lvlJc w:val="left"/>
      <w:pPr>
        <w:ind w:left="8447" w:hanging="529"/>
      </w:pPr>
      <w:rPr>
        <w:rFonts w:hint="default"/>
        <w:lang w:val="zh-CN" w:eastAsia="zh-CN" w:bidi="zh-CN"/>
      </w:rPr>
    </w:lvl>
  </w:abstractNum>
  <w:abstractNum w:abstractNumId="33">
    <w:multiLevelType w:val="hybridMultilevel"/>
    <w:lvl w:ilvl="0">
      <w:start w:val="1"/>
      <w:numFmt w:val="decimal"/>
      <w:lvlText w:val="%1）"/>
      <w:lvlJc w:val="left"/>
      <w:pPr>
        <w:ind w:left="678" w:hanging="318"/>
        <w:jc w:val="left"/>
      </w:pPr>
      <w:rPr>
        <w:rFonts w:hint="default" w:ascii="宋体" w:hAnsi="宋体" w:eastAsia="宋体" w:cs="宋体"/>
        <w:spacing w:val="-10"/>
        <w:w w:val="100"/>
        <w:sz w:val="19"/>
        <w:szCs w:val="19"/>
        <w:lang w:val="zh-CN" w:eastAsia="zh-CN" w:bidi="zh-CN"/>
      </w:rPr>
    </w:lvl>
    <w:lvl w:ilvl="1">
      <w:start w:val="0"/>
      <w:numFmt w:val="bullet"/>
      <w:lvlText w:val="•"/>
      <w:lvlJc w:val="left"/>
      <w:pPr>
        <w:ind w:left="1662" w:hanging="318"/>
      </w:pPr>
      <w:rPr>
        <w:rFonts w:hint="default"/>
        <w:lang w:val="zh-CN" w:eastAsia="zh-CN" w:bidi="zh-CN"/>
      </w:rPr>
    </w:lvl>
    <w:lvl w:ilvl="2">
      <w:start w:val="0"/>
      <w:numFmt w:val="bullet"/>
      <w:lvlText w:val="•"/>
      <w:lvlJc w:val="left"/>
      <w:pPr>
        <w:ind w:left="2645" w:hanging="318"/>
      </w:pPr>
      <w:rPr>
        <w:rFonts w:hint="default"/>
        <w:lang w:val="zh-CN" w:eastAsia="zh-CN" w:bidi="zh-CN"/>
      </w:rPr>
    </w:lvl>
    <w:lvl w:ilvl="3">
      <w:start w:val="0"/>
      <w:numFmt w:val="bullet"/>
      <w:lvlText w:val="•"/>
      <w:lvlJc w:val="left"/>
      <w:pPr>
        <w:ind w:left="3627" w:hanging="318"/>
      </w:pPr>
      <w:rPr>
        <w:rFonts w:hint="default"/>
        <w:lang w:val="zh-CN" w:eastAsia="zh-CN" w:bidi="zh-CN"/>
      </w:rPr>
    </w:lvl>
    <w:lvl w:ilvl="4">
      <w:start w:val="0"/>
      <w:numFmt w:val="bullet"/>
      <w:lvlText w:val="•"/>
      <w:lvlJc w:val="left"/>
      <w:pPr>
        <w:ind w:left="4610" w:hanging="318"/>
      </w:pPr>
      <w:rPr>
        <w:rFonts w:hint="default"/>
        <w:lang w:val="zh-CN" w:eastAsia="zh-CN" w:bidi="zh-CN"/>
      </w:rPr>
    </w:lvl>
    <w:lvl w:ilvl="5">
      <w:start w:val="0"/>
      <w:numFmt w:val="bullet"/>
      <w:lvlText w:val="•"/>
      <w:lvlJc w:val="left"/>
      <w:pPr>
        <w:ind w:left="5593" w:hanging="318"/>
      </w:pPr>
      <w:rPr>
        <w:rFonts w:hint="default"/>
        <w:lang w:val="zh-CN" w:eastAsia="zh-CN" w:bidi="zh-CN"/>
      </w:rPr>
    </w:lvl>
    <w:lvl w:ilvl="6">
      <w:start w:val="0"/>
      <w:numFmt w:val="bullet"/>
      <w:lvlText w:val="•"/>
      <w:lvlJc w:val="left"/>
      <w:pPr>
        <w:ind w:left="6575" w:hanging="318"/>
      </w:pPr>
      <w:rPr>
        <w:rFonts w:hint="default"/>
        <w:lang w:val="zh-CN" w:eastAsia="zh-CN" w:bidi="zh-CN"/>
      </w:rPr>
    </w:lvl>
    <w:lvl w:ilvl="7">
      <w:start w:val="0"/>
      <w:numFmt w:val="bullet"/>
      <w:lvlText w:val="•"/>
      <w:lvlJc w:val="left"/>
      <w:pPr>
        <w:ind w:left="7558" w:hanging="318"/>
      </w:pPr>
      <w:rPr>
        <w:rFonts w:hint="default"/>
        <w:lang w:val="zh-CN" w:eastAsia="zh-CN" w:bidi="zh-CN"/>
      </w:rPr>
    </w:lvl>
    <w:lvl w:ilvl="8">
      <w:start w:val="0"/>
      <w:numFmt w:val="bullet"/>
      <w:lvlText w:val="•"/>
      <w:lvlJc w:val="left"/>
      <w:pPr>
        <w:ind w:left="8541" w:hanging="318"/>
      </w:pPr>
      <w:rPr>
        <w:rFonts w:hint="default"/>
        <w:lang w:val="zh-CN" w:eastAsia="zh-CN" w:bidi="zh-CN"/>
      </w:rPr>
    </w:lvl>
  </w:abstractNum>
  <w:abstractNum w:abstractNumId="32">
    <w:multiLevelType w:val="hybridMultilevel"/>
    <w:lvl w:ilvl="0">
      <w:start w:val="1"/>
      <w:numFmt w:val="decimal"/>
      <w:lvlText w:val="（%1）"/>
      <w:lvlJc w:val="left"/>
      <w:pPr>
        <w:ind w:left="678" w:hanging="527"/>
        <w:jc w:val="left"/>
      </w:pPr>
      <w:rPr>
        <w:rFonts w:hint="default" w:ascii="宋体" w:hAnsi="宋体" w:eastAsia="宋体" w:cs="宋体"/>
        <w:spacing w:val="-22"/>
        <w:w w:val="100"/>
        <w:sz w:val="19"/>
        <w:szCs w:val="19"/>
        <w:lang w:val="zh-CN" w:eastAsia="zh-CN" w:bidi="zh-CN"/>
      </w:rPr>
    </w:lvl>
    <w:lvl w:ilvl="1">
      <w:start w:val="0"/>
      <w:numFmt w:val="bullet"/>
      <w:lvlText w:val="•"/>
      <w:lvlJc w:val="left"/>
      <w:pPr>
        <w:ind w:left="1662" w:hanging="527"/>
      </w:pPr>
      <w:rPr>
        <w:rFonts w:hint="default"/>
        <w:lang w:val="zh-CN" w:eastAsia="zh-CN" w:bidi="zh-CN"/>
      </w:rPr>
    </w:lvl>
    <w:lvl w:ilvl="2">
      <w:start w:val="0"/>
      <w:numFmt w:val="bullet"/>
      <w:lvlText w:val="•"/>
      <w:lvlJc w:val="left"/>
      <w:pPr>
        <w:ind w:left="2645" w:hanging="527"/>
      </w:pPr>
      <w:rPr>
        <w:rFonts w:hint="default"/>
        <w:lang w:val="zh-CN" w:eastAsia="zh-CN" w:bidi="zh-CN"/>
      </w:rPr>
    </w:lvl>
    <w:lvl w:ilvl="3">
      <w:start w:val="0"/>
      <w:numFmt w:val="bullet"/>
      <w:lvlText w:val="•"/>
      <w:lvlJc w:val="left"/>
      <w:pPr>
        <w:ind w:left="3627" w:hanging="527"/>
      </w:pPr>
      <w:rPr>
        <w:rFonts w:hint="default"/>
        <w:lang w:val="zh-CN" w:eastAsia="zh-CN" w:bidi="zh-CN"/>
      </w:rPr>
    </w:lvl>
    <w:lvl w:ilvl="4">
      <w:start w:val="0"/>
      <w:numFmt w:val="bullet"/>
      <w:lvlText w:val="•"/>
      <w:lvlJc w:val="left"/>
      <w:pPr>
        <w:ind w:left="4610" w:hanging="527"/>
      </w:pPr>
      <w:rPr>
        <w:rFonts w:hint="default"/>
        <w:lang w:val="zh-CN" w:eastAsia="zh-CN" w:bidi="zh-CN"/>
      </w:rPr>
    </w:lvl>
    <w:lvl w:ilvl="5">
      <w:start w:val="0"/>
      <w:numFmt w:val="bullet"/>
      <w:lvlText w:val="•"/>
      <w:lvlJc w:val="left"/>
      <w:pPr>
        <w:ind w:left="5593" w:hanging="527"/>
      </w:pPr>
      <w:rPr>
        <w:rFonts w:hint="default"/>
        <w:lang w:val="zh-CN" w:eastAsia="zh-CN" w:bidi="zh-CN"/>
      </w:rPr>
    </w:lvl>
    <w:lvl w:ilvl="6">
      <w:start w:val="0"/>
      <w:numFmt w:val="bullet"/>
      <w:lvlText w:val="•"/>
      <w:lvlJc w:val="left"/>
      <w:pPr>
        <w:ind w:left="6575" w:hanging="527"/>
      </w:pPr>
      <w:rPr>
        <w:rFonts w:hint="default"/>
        <w:lang w:val="zh-CN" w:eastAsia="zh-CN" w:bidi="zh-CN"/>
      </w:rPr>
    </w:lvl>
    <w:lvl w:ilvl="7">
      <w:start w:val="0"/>
      <w:numFmt w:val="bullet"/>
      <w:lvlText w:val="•"/>
      <w:lvlJc w:val="left"/>
      <w:pPr>
        <w:ind w:left="7558" w:hanging="527"/>
      </w:pPr>
      <w:rPr>
        <w:rFonts w:hint="default"/>
        <w:lang w:val="zh-CN" w:eastAsia="zh-CN" w:bidi="zh-CN"/>
      </w:rPr>
    </w:lvl>
    <w:lvl w:ilvl="8">
      <w:start w:val="0"/>
      <w:numFmt w:val="bullet"/>
      <w:lvlText w:val="•"/>
      <w:lvlJc w:val="left"/>
      <w:pPr>
        <w:ind w:left="8541" w:hanging="527"/>
      </w:pPr>
      <w:rPr>
        <w:rFonts w:hint="default"/>
        <w:lang w:val="zh-CN" w:eastAsia="zh-CN" w:bidi="zh-CN"/>
      </w:rPr>
    </w:lvl>
  </w:abstractNum>
  <w:abstractNum w:abstractNumId="31">
    <w:multiLevelType w:val="hybridMultilevel"/>
    <w:lvl w:ilvl="0">
      <w:start w:val="1"/>
      <w:numFmt w:val="decimal"/>
      <w:lvlText w:val="（%1）"/>
      <w:lvlJc w:val="left"/>
      <w:pPr>
        <w:ind w:left="16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08" w:hanging="529"/>
      </w:pPr>
      <w:rPr>
        <w:rFonts w:hint="default"/>
        <w:lang w:val="zh-CN" w:eastAsia="zh-CN" w:bidi="zh-CN"/>
      </w:rPr>
    </w:lvl>
    <w:lvl w:ilvl="2">
      <w:start w:val="0"/>
      <w:numFmt w:val="bullet"/>
      <w:lvlText w:val="•"/>
      <w:lvlJc w:val="left"/>
      <w:pPr>
        <w:ind w:left="3397" w:hanging="529"/>
      </w:pPr>
      <w:rPr>
        <w:rFonts w:hint="default"/>
        <w:lang w:val="zh-CN" w:eastAsia="zh-CN" w:bidi="zh-CN"/>
      </w:rPr>
    </w:lvl>
    <w:lvl w:ilvl="3">
      <w:start w:val="0"/>
      <w:numFmt w:val="bullet"/>
      <w:lvlText w:val="•"/>
      <w:lvlJc w:val="left"/>
      <w:pPr>
        <w:ind w:left="4285" w:hanging="529"/>
      </w:pPr>
      <w:rPr>
        <w:rFonts w:hint="default"/>
        <w:lang w:val="zh-CN" w:eastAsia="zh-CN" w:bidi="zh-CN"/>
      </w:rPr>
    </w:lvl>
    <w:lvl w:ilvl="4">
      <w:start w:val="0"/>
      <w:numFmt w:val="bullet"/>
      <w:lvlText w:val="•"/>
      <w:lvlJc w:val="left"/>
      <w:pPr>
        <w:ind w:left="5174" w:hanging="529"/>
      </w:pPr>
      <w:rPr>
        <w:rFonts w:hint="default"/>
        <w:lang w:val="zh-CN" w:eastAsia="zh-CN" w:bidi="zh-CN"/>
      </w:rPr>
    </w:lvl>
    <w:lvl w:ilvl="5">
      <w:start w:val="0"/>
      <w:numFmt w:val="bullet"/>
      <w:lvlText w:val="•"/>
      <w:lvlJc w:val="left"/>
      <w:pPr>
        <w:ind w:left="6063" w:hanging="529"/>
      </w:pPr>
      <w:rPr>
        <w:rFonts w:hint="default"/>
        <w:lang w:val="zh-CN" w:eastAsia="zh-CN" w:bidi="zh-CN"/>
      </w:rPr>
    </w:lvl>
    <w:lvl w:ilvl="6">
      <w:start w:val="0"/>
      <w:numFmt w:val="bullet"/>
      <w:lvlText w:val="•"/>
      <w:lvlJc w:val="left"/>
      <w:pPr>
        <w:ind w:left="6951" w:hanging="529"/>
      </w:pPr>
      <w:rPr>
        <w:rFonts w:hint="default"/>
        <w:lang w:val="zh-CN" w:eastAsia="zh-CN" w:bidi="zh-CN"/>
      </w:rPr>
    </w:lvl>
    <w:lvl w:ilvl="7">
      <w:start w:val="0"/>
      <w:numFmt w:val="bullet"/>
      <w:lvlText w:val="•"/>
      <w:lvlJc w:val="left"/>
      <w:pPr>
        <w:ind w:left="7840" w:hanging="529"/>
      </w:pPr>
      <w:rPr>
        <w:rFonts w:hint="default"/>
        <w:lang w:val="zh-CN" w:eastAsia="zh-CN" w:bidi="zh-CN"/>
      </w:rPr>
    </w:lvl>
    <w:lvl w:ilvl="8">
      <w:start w:val="0"/>
      <w:numFmt w:val="bullet"/>
      <w:lvlText w:val="•"/>
      <w:lvlJc w:val="left"/>
      <w:pPr>
        <w:ind w:left="8729" w:hanging="529"/>
      </w:pPr>
      <w:rPr>
        <w:rFonts w:hint="default"/>
        <w:lang w:val="zh-CN" w:eastAsia="zh-CN" w:bidi="zh-CN"/>
      </w:rPr>
    </w:lvl>
  </w:abstractNum>
  <w:abstractNum w:abstractNumId="30">
    <w:multiLevelType w:val="hybridMultilevel"/>
    <w:lvl w:ilvl="0">
      <w:start w:val="1"/>
      <w:numFmt w:val="decimal"/>
      <w:lvlText w:val="（%1）"/>
      <w:lvlJc w:val="left"/>
      <w:pPr>
        <w:ind w:left="16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08" w:hanging="529"/>
      </w:pPr>
      <w:rPr>
        <w:rFonts w:hint="default"/>
        <w:lang w:val="zh-CN" w:eastAsia="zh-CN" w:bidi="zh-CN"/>
      </w:rPr>
    </w:lvl>
    <w:lvl w:ilvl="2">
      <w:start w:val="0"/>
      <w:numFmt w:val="bullet"/>
      <w:lvlText w:val="•"/>
      <w:lvlJc w:val="left"/>
      <w:pPr>
        <w:ind w:left="3397" w:hanging="529"/>
      </w:pPr>
      <w:rPr>
        <w:rFonts w:hint="default"/>
        <w:lang w:val="zh-CN" w:eastAsia="zh-CN" w:bidi="zh-CN"/>
      </w:rPr>
    </w:lvl>
    <w:lvl w:ilvl="3">
      <w:start w:val="0"/>
      <w:numFmt w:val="bullet"/>
      <w:lvlText w:val="•"/>
      <w:lvlJc w:val="left"/>
      <w:pPr>
        <w:ind w:left="4285" w:hanging="529"/>
      </w:pPr>
      <w:rPr>
        <w:rFonts w:hint="default"/>
        <w:lang w:val="zh-CN" w:eastAsia="zh-CN" w:bidi="zh-CN"/>
      </w:rPr>
    </w:lvl>
    <w:lvl w:ilvl="4">
      <w:start w:val="0"/>
      <w:numFmt w:val="bullet"/>
      <w:lvlText w:val="•"/>
      <w:lvlJc w:val="left"/>
      <w:pPr>
        <w:ind w:left="5174" w:hanging="529"/>
      </w:pPr>
      <w:rPr>
        <w:rFonts w:hint="default"/>
        <w:lang w:val="zh-CN" w:eastAsia="zh-CN" w:bidi="zh-CN"/>
      </w:rPr>
    </w:lvl>
    <w:lvl w:ilvl="5">
      <w:start w:val="0"/>
      <w:numFmt w:val="bullet"/>
      <w:lvlText w:val="•"/>
      <w:lvlJc w:val="left"/>
      <w:pPr>
        <w:ind w:left="6063" w:hanging="529"/>
      </w:pPr>
      <w:rPr>
        <w:rFonts w:hint="default"/>
        <w:lang w:val="zh-CN" w:eastAsia="zh-CN" w:bidi="zh-CN"/>
      </w:rPr>
    </w:lvl>
    <w:lvl w:ilvl="6">
      <w:start w:val="0"/>
      <w:numFmt w:val="bullet"/>
      <w:lvlText w:val="•"/>
      <w:lvlJc w:val="left"/>
      <w:pPr>
        <w:ind w:left="6951" w:hanging="529"/>
      </w:pPr>
      <w:rPr>
        <w:rFonts w:hint="default"/>
        <w:lang w:val="zh-CN" w:eastAsia="zh-CN" w:bidi="zh-CN"/>
      </w:rPr>
    </w:lvl>
    <w:lvl w:ilvl="7">
      <w:start w:val="0"/>
      <w:numFmt w:val="bullet"/>
      <w:lvlText w:val="•"/>
      <w:lvlJc w:val="left"/>
      <w:pPr>
        <w:ind w:left="7840" w:hanging="529"/>
      </w:pPr>
      <w:rPr>
        <w:rFonts w:hint="default"/>
        <w:lang w:val="zh-CN" w:eastAsia="zh-CN" w:bidi="zh-CN"/>
      </w:rPr>
    </w:lvl>
    <w:lvl w:ilvl="8">
      <w:start w:val="0"/>
      <w:numFmt w:val="bullet"/>
      <w:lvlText w:val="•"/>
      <w:lvlJc w:val="left"/>
      <w:pPr>
        <w:ind w:left="8729" w:hanging="529"/>
      </w:pPr>
      <w:rPr>
        <w:rFonts w:hint="default"/>
        <w:lang w:val="zh-CN" w:eastAsia="zh-CN" w:bidi="zh-CN"/>
      </w:rPr>
    </w:lvl>
  </w:abstractNum>
  <w:abstractNum w:abstractNumId="29">
    <w:multiLevelType w:val="hybridMultilevel"/>
    <w:lvl w:ilvl="0">
      <w:start w:val="3"/>
      <w:numFmt w:val="decimal"/>
      <w:lvlText w:val="%1"/>
      <w:lvlJc w:val="left"/>
      <w:pPr>
        <w:ind w:left="1162" w:hanging="484"/>
        <w:jc w:val="left"/>
      </w:pPr>
      <w:rPr>
        <w:rFonts w:hint="default"/>
        <w:lang w:val="zh-CN" w:eastAsia="zh-CN" w:bidi="zh-CN"/>
      </w:rPr>
    </w:lvl>
    <w:lvl w:ilvl="1">
      <w:start w:val="1"/>
      <w:numFmt w:val="decimal"/>
      <w:lvlText w:val="%1.%2"/>
      <w:lvlJc w:val="left"/>
      <w:pPr>
        <w:ind w:left="1162" w:hanging="484"/>
        <w:jc w:val="left"/>
      </w:pPr>
      <w:rPr>
        <w:rFonts w:hint="default" w:ascii="Microsoft JhengHei" w:hAnsi="Microsoft JhengHei" w:eastAsia="Microsoft JhengHei" w:cs="Microsoft JhengHei"/>
        <w:b/>
        <w:bCs/>
        <w:w w:val="83"/>
        <w:sz w:val="30"/>
        <w:szCs w:val="30"/>
        <w:lang w:val="zh-CN" w:eastAsia="zh-CN" w:bidi="zh-CN"/>
      </w:rPr>
    </w:lvl>
    <w:lvl w:ilvl="2">
      <w:start w:val="1"/>
      <w:numFmt w:val="decimal"/>
      <w:lvlText w:val="%1.%2.%3"/>
      <w:lvlJc w:val="left"/>
      <w:pPr>
        <w:ind w:left="1627" w:hanging="529"/>
        <w:jc w:val="left"/>
      </w:pPr>
      <w:rPr>
        <w:rFonts w:hint="default" w:ascii="宋体" w:hAnsi="宋体" w:eastAsia="宋体" w:cs="宋体"/>
        <w:w w:val="100"/>
        <w:sz w:val="19"/>
        <w:szCs w:val="19"/>
        <w:lang w:val="zh-CN" w:eastAsia="zh-CN" w:bidi="zh-CN"/>
      </w:rPr>
    </w:lvl>
    <w:lvl w:ilvl="3">
      <w:start w:val="1"/>
      <w:numFmt w:val="decimal"/>
      <w:lvlText w:val="%1.%2.%3.%4"/>
      <w:lvlJc w:val="left"/>
      <w:pPr>
        <w:ind w:left="1887" w:hanging="790"/>
        <w:jc w:val="left"/>
      </w:pPr>
      <w:rPr>
        <w:rFonts w:hint="default" w:ascii="宋体" w:hAnsi="宋体" w:eastAsia="宋体" w:cs="宋体"/>
        <w:spacing w:val="-3"/>
        <w:w w:val="100"/>
        <w:sz w:val="21"/>
        <w:szCs w:val="21"/>
        <w:lang w:val="zh-CN" w:eastAsia="zh-CN" w:bidi="zh-CN"/>
      </w:rPr>
    </w:lvl>
    <w:lvl w:ilvl="4">
      <w:start w:val="0"/>
      <w:numFmt w:val="bullet"/>
      <w:lvlText w:val="•"/>
      <w:lvlJc w:val="left"/>
      <w:pPr>
        <w:ind w:left="3112" w:hanging="790"/>
      </w:pPr>
      <w:rPr>
        <w:rFonts w:hint="default"/>
        <w:lang w:val="zh-CN" w:eastAsia="zh-CN" w:bidi="zh-CN"/>
      </w:rPr>
    </w:lvl>
    <w:lvl w:ilvl="5">
      <w:start w:val="0"/>
      <w:numFmt w:val="bullet"/>
      <w:lvlText w:val="•"/>
      <w:lvlJc w:val="left"/>
      <w:pPr>
        <w:ind w:left="4344" w:hanging="790"/>
      </w:pPr>
      <w:rPr>
        <w:rFonts w:hint="default"/>
        <w:lang w:val="zh-CN" w:eastAsia="zh-CN" w:bidi="zh-CN"/>
      </w:rPr>
    </w:lvl>
    <w:lvl w:ilvl="6">
      <w:start w:val="0"/>
      <w:numFmt w:val="bullet"/>
      <w:lvlText w:val="•"/>
      <w:lvlJc w:val="left"/>
      <w:pPr>
        <w:ind w:left="5577" w:hanging="790"/>
      </w:pPr>
      <w:rPr>
        <w:rFonts w:hint="default"/>
        <w:lang w:val="zh-CN" w:eastAsia="zh-CN" w:bidi="zh-CN"/>
      </w:rPr>
    </w:lvl>
    <w:lvl w:ilvl="7">
      <w:start w:val="0"/>
      <w:numFmt w:val="bullet"/>
      <w:lvlText w:val="•"/>
      <w:lvlJc w:val="left"/>
      <w:pPr>
        <w:ind w:left="6809" w:hanging="790"/>
      </w:pPr>
      <w:rPr>
        <w:rFonts w:hint="default"/>
        <w:lang w:val="zh-CN" w:eastAsia="zh-CN" w:bidi="zh-CN"/>
      </w:rPr>
    </w:lvl>
    <w:lvl w:ilvl="8">
      <w:start w:val="0"/>
      <w:numFmt w:val="bullet"/>
      <w:lvlText w:val="•"/>
      <w:lvlJc w:val="left"/>
      <w:pPr>
        <w:ind w:left="8041" w:hanging="790"/>
      </w:pPr>
      <w:rPr>
        <w:rFonts w:hint="default"/>
        <w:lang w:val="zh-CN" w:eastAsia="zh-CN" w:bidi="zh-CN"/>
      </w:rPr>
    </w:lvl>
  </w:abstractNum>
  <w:abstractNum w:abstractNumId="28">
    <w:multiLevelType w:val="hybridMultilevel"/>
    <w:lvl w:ilvl="0">
      <w:start w:val="1"/>
      <w:numFmt w:val="decimal"/>
      <w:lvlText w:val="（%1）"/>
      <w:lvlJc w:val="left"/>
      <w:pPr>
        <w:ind w:left="16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08" w:hanging="529"/>
      </w:pPr>
      <w:rPr>
        <w:rFonts w:hint="default"/>
        <w:lang w:val="zh-CN" w:eastAsia="zh-CN" w:bidi="zh-CN"/>
      </w:rPr>
    </w:lvl>
    <w:lvl w:ilvl="2">
      <w:start w:val="0"/>
      <w:numFmt w:val="bullet"/>
      <w:lvlText w:val="•"/>
      <w:lvlJc w:val="left"/>
      <w:pPr>
        <w:ind w:left="3397" w:hanging="529"/>
      </w:pPr>
      <w:rPr>
        <w:rFonts w:hint="default"/>
        <w:lang w:val="zh-CN" w:eastAsia="zh-CN" w:bidi="zh-CN"/>
      </w:rPr>
    </w:lvl>
    <w:lvl w:ilvl="3">
      <w:start w:val="0"/>
      <w:numFmt w:val="bullet"/>
      <w:lvlText w:val="•"/>
      <w:lvlJc w:val="left"/>
      <w:pPr>
        <w:ind w:left="4285" w:hanging="529"/>
      </w:pPr>
      <w:rPr>
        <w:rFonts w:hint="default"/>
        <w:lang w:val="zh-CN" w:eastAsia="zh-CN" w:bidi="zh-CN"/>
      </w:rPr>
    </w:lvl>
    <w:lvl w:ilvl="4">
      <w:start w:val="0"/>
      <w:numFmt w:val="bullet"/>
      <w:lvlText w:val="•"/>
      <w:lvlJc w:val="left"/>
      <w:pPr>
        <w:ind w:left="5174" w:hanging="529"/>
      </w:pPr>
      <w:rPr>
        <w:rFonts w:hint="default"/>
        <w:lang w:val="zh-CN" w:eastAsia="zh-CN" w:bidi="zh-CN"/>
      </w:rPr>
    </w:lvl>
    <w:lvl w:ilvl="5">
      <w:start w:val="0"/>
      <w:numFmt w:val="bullet"/>
      <w:lvlText w:val="•"/>
      <w:lvlJc w:val="left"/>
      <w:pPr>
        <w:ind w:left="6063" w:hanging="529"/>
      </w:pPr>
      <w:rPr>
        <w:rFonts w:hint="default"/>
        <w:lang w:val="zh-CN" w:eastAsia="zh-CN" w:bidi="zh-CN"/>
      </w:rPr>
    </w:lvl>
    <w:lvl w:ilvl="6">
      <w:start w:val="0"/>
      <w:numFmt w:val="bullet"/>
      <w:lvlText w:val="•"/>
      <w:lvlJc w:val="left"/>
      <w:pPr>
        <w:ind w:left="6951" w:hanging="529"/>
      </w:pPr>
      <w:rPr>
        <w:rFonts w:hint="default"/>
        <w:lang w:val="zh-CN" w:eastAsia="zh-CN" w:bidi="zh-CN"/>
      </w:rPr>
    </w:lvl>
    <w:lvl w:ilvl="7">
      <w:start w:val="0"/>
      <w:numFmt w:val="bullet"/>
      <w:lvlText w:val="•"/>
      <w:lvlJc w:val="left"/>
      <w:pPr>
        <w:ind w:left="7840" w:hanging="529"/>
      </w:pPr>
      <w:rPr>
        <w:rFonts w:hint="default"/>
        <w:lang w:val="zh-CN" w:eastAsia="zh-CN" w:bidi="zh-CN"/>
      </w:rPr>
    </w:lvl>
    <w:lvl w:ilvl="8">
      <w:start w:val="0"/>
      <w:numFmt w:val="bullet"/>
      <w:lvlText w:val="•"/>
      <w:lvlJc w:val="left"/>
      <w:pPr>
        <w:ind w:left="8729" w:hanging="529"/>
      </w:pPr>
      <w:rPr>
        <w:rFonts w:hint="default"/>
        <w:lang w:val="zh-CN" w:eastAsia="zh-CN" w:bidi="zh-CN"/>
      </w:rPr>
    </w:lvl>
  </w:abstractNum>
  <w:abstractNum w:abstractNumId="27">
    <w:multiLevelType w:val="hybridMultilevel"/>
    <w:lvl w:ilvl="0">
      <w:start w:val="2"/>
      <w:numFmt w:val="decimal"/>
      <w:lvlText w:val="%1"/>
      <w:lvlJc w:val="left"/>
      <w:pPr>
        <w:ind w:left="1162" w:hanging="484"/>
        <w:jc w:val="left"/>
      </w:pPr>
      <w:rPr>
        <w:rFonts w:hint="default"/>
        <w:lang w:val="zh-CN" w:eastAsia="zh-CN" w:bidi="zh-CN"/>
      </w:rPr>
    </w:lvl>
    <w:lvl w:ilvl="1">
      <w:start w:val="1"/>
      <w:numFmt w:val="decimal"/>
      <w:lvlText w:val="%1.%2"/>
      <w:lvlJc w:val="left"/>
      <w:pPr>
        <w:ind w:left="1162" w:hanging="484"/>
        <w:jc w:val="left"/>
      </w:pPr>
      <w:rPr>
        <w:rFonts w:hint="default" w:ascii="Microsoft JhengHei" w:hAnsi="Microsoft JhengHei" w:eastAsia="Microsoft JhengHei" w:cs="Microsoft JhengHei"/>
        <w:b/>
        <w:bCs/>
        <w:w w:val="83"/>
        <w:sz w:val="30"/>
        <w:szCs w:val="30"/>
        <w:lang w:val="zh-CN" w:eastAsia="zh-CN" w:bidi="zh-CN"/>
      </w:rPr>
    </w:lvl>
    <w:lvl w:ilvl="2">
      <w:start w:val="1"/>
      <w:numFmt w:val="decimal"/>
      <w:lvlText w:val="%1.%2.%3"/>
      <w:lvlJc w:val="left"/>
      <w:pPr>
        <w:ind w:left="1627" w:hanging="529"/>
        <w:jc w:val="left"/>
      </w:pPr>
      <w:rPr>
        <w:rFonts w:hint="default" w:ascii="宋体" w:hAnsi="宋体" w:eastAsia="宋体" w:cs="宋体"/>
        <w:w w:val="100"/>
        <w:sz w:val="19"/>
        <w:szCs w:val="19"/>
        <w:lang w:val="zh-CN" w:eastAsia="zh-CN" w:bidi="zh-CN"/>
      </w:rPr>
    </w:lvl>
    <w:lvl w:ilvl="3">
      <w:start w:val="0"/>
      <w:numFmt w:val="bullet"/>
      <w:lvlText w:val="•"/>
      <w:lvlJc w:val="left"/>
      <w:pPr>
        <w:ind w:left="2730" w:hanging="529"/>
      </w:pPr>
      <w:rPr>
        <w:rFonts w:hint="default"/>
        <w:lang w:val="zh-CN" w:eastAsia="zh-CN" w:bidi="zh-CN"/>
      </w:rPr>
    </w:lvl>
    <w:lvl w:ilvl="4">
      <w:start w:val="0"/>
      <w:numFmt w:val="bullet"/>
      <w:lvlText w:val="•"/>
      <w:lvlJc w:val="left"/>
      <w:pPr>
        <w:ind w:left="3841" w:hanging="529"/>
      </w:pPr>
      <w:rPr>
        <w:rFonts w:hint="default"/>
        <w:lang w:val="zh-CN" w:eastAsia="zh-CN" w:bidi="zh-CN"/>
      </w:rPr>
    </w:lvl>
    <w:lvl w:ilvl="5">
      <w:start w:val="0"/>
      <w:numFmt w:val="bullet"/>
      <w:lvlText w:val="•"/>
      <w:lvlJc w:val="left"/>
      <w:pPr>
        <w:ind w:left="4952" w:hanging="529"/>
      </w:pPr>
      <w:rPr>
        <w:rFonts w:hint="default"/>
        <w:lang w:val="zh-CN" w:eastAsia="zh-CN" w:bidi="zh-CN"/>
      </w:rPr>
    </w:lvl>
    <w:lvl w:ilvl="6">
      <w:start w:val="0"/>
      <w:numFmt w:val="bullet"/>
      <w:lvlText w:val="•"/>
      <w:lvlJc w:val="left"/>
      <w:pPr>
        <w:ind w:left="6063" w:hanging="529"/>
      </w:pPr>
      <w:rPr>
        <w:rFonts w:hint="default"/>
        <w:lang w:val="zh-CN" w:eastAsia="zh-CN" w:bidi="zh-CN"/>
      </w:rPr>
    </w:lvl>
    <w:lvl w:ilvl="7">
      <w:start w:val="0"/>
      <w:numFmt w:val="bullet"/>
      <w:lvlText w:val="•"/>
      <w:lvlJc w:val="left"/>
      <w:pPr>
        <w:ind w:left="7174" w:hanging="529"/>
      </w:pPr>
      <w:rPr>
        <w:rFonts w:hint="default"/>
        <w:lang w:val="zh-CN" w:eastAsia="zh-CN" w:bidi="zh-CN"/>
      </w:rPr>
    </w:lvl>
    <w:lvl w:ilvl="8">
      <w:start w:val="0"/>
      <w:numFmt w:val="bullet"/>
      <w:lvlText w:val="•"/>
      <w:lvlJc w:val="left"/>
      <w:pPr>
        <w:ind w:left="8284" w:hanging="529"/>
      </w:pPr>
      <w:rPr>
        <w:rFonts w:hint="default"/>
        <w:lang w:val="zh-CN" w:eastAsia="zh-CN" w:bidi="zh-CN"/>
      </w:rPr>
    </w:lvl>
  </w:abstractNum>
  <w:abstractNum w:abstractNumId="26">
    <w:multiLevelType w:val="hybridMultilevel"/>
    <w:lvl w:ilvl="0">
      <w:start w:val="1"/>
      <w:numFmt w:val="decimal"/>
      <w:lvlText w:val="（%1）"/>
      <w:lvlJc w:val="left"/>
      <w:pPr>
        <w:ind w:left="16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08" w:hanging="529"/>
      </w:pPr>
      <w:rPr>
        <w:rFonts w:hint="default"/>
        <w:lang w:val="zh-CN" w:eastAsia="zh-CN" w:bidi="zh-CN"/>
      </w:rPr>
    </w:lvl>
    <w:lvl w:ilvl="2">
      <w:start w:val="0"/>
      <w:numFmt w:val="bullet"/>
      <w:lvlText w:val="•"/>
      <w:lvlJc w:val="left"/>
      <w:pPr>
        <w:ind w:left="3397" w:hanging="529"/>
      </w:pPr>
      <w:rPr>
        <w:rFonts w:hint="default"/>
        <w:lang w:val="zh-CN" w:eastAsia="zh-CN" w:bidi="zh-CN"/>
      </w:rPr>
    </w:lvl>
    <w:lvl w:ilvl="3">
      <w:start w:val="0"/>
      <w:numFmt w:val="bullet"/>
      <w:lvlText w:val="•"/>
      <w:lvlJc w:val="left"/>
      <w:pPr>
        <w:ind w:left="4285" w:hanging="529"/>
      </w:pPr>
      <w:rPr>
        <w:rFonts w:hint="default"/>
        <w:lang w:val="zh-CN" w:eastAsia="zh-CN" w:bidi="zh-CN"/>
      </w:rPr>
    </w:lvl>
    <w:lvl w:ilvl="4">
      <w:start w:val="0"/>
      <w:numFmt w:val="bullet"/>
      <w:lvlText w:val="•"/>
      <w:lvlJc w:val="left"/>
      <w:pPr>
        <w:ind w:left="5174" w:hanging="529"/>
      </w:pPr>
      <w:rPr>
        <w:rFonts w:hint="default"/>
        <w:lang w:val="zh-CN" w:eastAsia="zh-CN" w:bidi="zh-CN"/>
      </w:rPr>
    </w:lvl>
    <w:lvl w:ilvl="5">
      <w:start w:val="0"/>
      <w:numFmt w:val="bullet"/>
      <w:lvlText w:val="•"/>
      <w:lvlJc w:val="left"/>
      <w:pPr>
        <w:ind w:left="6063" w:hanging="529"/>
      </w:pPr>
      <w:rPr>
        <w:rFonts w:hint="default"/>
        <w:lang w:val="zh-CN" w:eastAsia="zh-CN" w:bidi="zh-CN"/>
      </w:rPr>
    </w:lvl>
    <w:lvl w:ilvl="6">
      <w:start w:val="0"/>
      <w:numFmt w:val="bullet"/>
      <w:lvlText w:val="•"/>
      <w:lvlJc w:val="left"/>
      <w:pPr>
        <w:ind w:left="6951" w:hanging="529"/>
      </w:pPr>
      <w:rPr>
        <w:rFonts w:hint="default"/>
        <w:lang w:val="zh-CN" w:eastAsia="zh-CN" w:bidi="zh-CN"/>
      </w:rPr>
    </w:lvl>
    <w:lvl w:ilvl="7">
      <w:start w:val="0"/>
      <w:numFmt w:val="bullet"/>
      <w:lvlText w:val="•"/>
      <w:lvlJc w:val="left"/>
      <w:pPr>
        <w:ind w:left="7840" w:hanging="529"/>
      </w:pPr>
      <w:rPr>
        <w:rFonts w:hint="default"/>
        <w:lang w:val="zh-CN" w:eastAsia="zh-CN" w:bidi="zh-CN"/>
      </w:rPr>
    </w:lvl>
    <w:lvl w:ilvl="8">
      <w:start w:val="0"/>
      <w:numFmt w:val="bullet"/>
      <w:lvlText w:val="•"/>
      <w:lvlJc w:val="left"/>
      <w:pPr>
        <w:ind w:left="8729" w:hanging="529"/>
      </w:pPr>
      <w:rPr>
        <w:rFonts w:hint="default"/>
        <w:lang w:val="zh-CN" w:eastAsia="zh-CN" w:bidi="zh-CN"/>
      </w:rPr>
    </w:lvl>
  </w:abstractNum>
  <w:abstractNum w:abstractNumId="25">
    <w:multiLevelType w:val="hybridMultilevel"/>
    <w:lvl w:ilvl="0">
      <w:start w:val="1"/>
      <w:numFmt w:val="decimal"/>
      <w:lvlText w:val="（%1）"/>
      <w:lvlJc w:val="left"/>
      <w:pPr>
        <w:ind w:left="678" w:hanging="527"/>
        <w:jc w:val="left"/>
      </w:pPr>
      <w:rPr>
        <w:rFonts w:hint="default" w:ascii="宋体" w:hAnsi="宋体" w:eastAsia="宋体" w:cs="宋体"/>
        <w:spacing w:val="-22"/>
        <w:w w:val="100"/>
        <w:sz w:val="19"/>
        <w:szCs w:val="19"/>
        <w:lang w:val="zh-CN" w:eastAsia="zh-CN" w:bidi="zh-CN"/>
      </w:rPr>
    </w:lvl>
    <w:lvl w:ilvl="1">
      <w:start w:val="0"/>
      <w:numFmt w:val="bullet"/>
      <w:lvlText w:val="•"/>
      <w:lvlJc w:val="left"/>
      <w:pPr>
        <w:ind w:left="1662" w:hanging="527"/>
      </w:pPr>
      <w:rPr>
        <w:rFonts w:hint="default"/>
        <w:lang w:val="zh-CN" w:eastAsia="zh-CN" w:bidi="zh-CN"/>
      </w:rPr>
    </w:lvl>
    <w:lvl w:ilvl="2">
      <w:start w:val="0"/>
      <w:numFmt w:val="bullet"/>
      <w:lvlText w:val="•"/>
      <w:lvlJc w:val="left"/>
      <w:pPr>
        <w:ind w:left="2645" w:hanging="527"/>
      </w:pPr>
      <w:rPr>
        <w:rFonts w:hint="default"/>
        <w:lang w:val="zh-CN" w:eastAsia="zh-CN" w:bidi="zh-CN"/>
      </w:rPr>
    </w:lvl>
    <w:lvl w:ilvl="3">
      <w:start w:val="0"/>
      <w:numFmt w:val="bullet"/>
      <w:lvlText w:val="•"/>
      <w:lvlJc w:val="left"/>
      <w:pPr>
        <w:ind w:left="3627" w:hanging="527"/>
      </w:pPr>
      <w:rPr>
        <w:rFonts w:hint="default"/>
        <w:lang w:val="zh-CN" w:eastAsia="zh-CN" w:bidi="zh-CN"/>
      </w:rPr>
    </w:lvl>
    <w:lvl w:ilvl="4">
      <w:start w:val="0"/>
      <w:numFmt w:val="bullet"/>
      <w:lvlText w:val="•"/>
      <w:lvlJc w:val="left"/>
      <w:pPr>
        <w:ind w:left="4610" w:hanging="527"/>
      </w:pPr>
      <w:rPr>
        <w:rFonts w:hint="default"/>
        <w:lang w:val="zh-CN" w:eastAsia="zh-CN" w:bidi="zh-CN"/>
      </w:rPr>
    </w:lvl>
    <w:lvl w:ilvl="5">
      <w:start w:val="0"/>
      <w:numFmt w:val="bullet"/>
      <w:lvlText w:val="•"/>
      <w:lvlJc w:val="left"/>
      <w:pPr>
        <w:ind w:left="5593" w:hanging="527"/>
      </w:pPr>
      <w:rPr>
        <w:rFonts w:hint="default"/>
        <w:lang w:val="zh-CN" w:eastAsia="zh-CN" w:bidi="zh-CN"/>
      </w:rPr>
    </w:lvl>
    <w:lvl w:ilvl="6">
      <w:start w:val="0"/>
      <w:numFmt w:val="bullet"/>
      <w:lvlText w:val="•"/>
      <w:lvlJc w:val="left"/>
      <w:pPr>
        <w:ind w:left="6575" w:hanging="527"/>
      </w:pPr>
      <w:rPr>
        <w:rFonts w:hint="default"/>
        <w:lang w:val="zh-CN" w:eastAsia="zh-CN" w:bidi="zh-CN"/>
      </w:rPr>
    </w:lvl>
    <w:lvl w:ilvl="7">
      <w:start w:val="0"/>
      <w:numFmt w:val="bullet"/>
      <w:lvlText w:val="•"/>
      <w:lvlJc w:val="left"/>
      <w:pPr>
        <w:ind w:left="7558" w:hanging="527"/>
      </w:pPr>
      <w:rPr>
        <w:rFonts w:hint="default"/>
        <w:lang w:val="zh-CN" w:eastAsia="zh-CN" w:bidi="zh-CN"/>
      </w:rPr>
    </w:lvl>
    <w:lvl w:ilvl="8">
      <w:start w:val="0"/>
      <w:numFmt w:val="bullet"/>
      <w:lvlText w:val="•"/>
      <w:lvlJc w:val="left"/>
      <w:pPr>
        <w:ind w:left="8541" w:hanging="527"/>
      </w:pPr>
      <w:rPr>
        <w:rFonts w:hint="default"/>
        <w:lang w:val="zh-CN" w:eastAsia="zh-CN" w:bidi="zh-CN"/>
      </w:rPr>
    </w:lvl>
  </w:abstractNum>
  <w:abstractNum w:abstractNumId="24">
    <w:multiLevelType w:val="hybridMultilevel"/>
    <w:lvl w:ilvl="0">
      <w:start w:val="1"/>
      <w:numFmt w:val="decimal"/>
      <w:lvlText w:val="（%1）"/>
      <w:lvlJc w:val="left"/>
      <w:pPr>
        <w:ind w:left="16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508" w:hanging="529"/>
      </w:pPr>
      <w:rPr>
        <w:rFonts w:hint="default"/>
        <w:lang w:val="zh-CN" w:eastAsia="zh-CN" w:bidi="zh-CN"/>
      </w:rPr>
    </w:lvl>
    <w:lvl w:ilvl="2">
      <w:start w:val="0"/>
      <w:numFmt w:val="bullet"/>
      <w:lvlText w:val="•"/>
      <w:lvlJc w:val="left"/>
      <w:pPr>
        <w:ind w:left="3397" w:hanging="529"/>
      </w:pPr>
      <w:rPr>
        <w:rFonts w:hint="default"/>
        <w:lang w:val="zh-CN" w:eastAsia="zh-CN" w:bidi="zh-CN"/>
      </w:rPr>
    </w:lvl>
    <w:lvl w:ilvl="3">
      <w:start w:val="0"/>
      <w:numFmt w:val="bullet"/>
      <w:lvlText w:val="•"/>
      <w:lvlJc w:val="left"/>
      <w:pPr>
        <w:ind w:left="4285" w:hanging="529"/>
      </w:pPr>
      <w:rPr>
        <w:rFonts w:hint="default"/>
        <w:lang w:val="zh-CN" w:eastAsia="zh-CN" w:bidi="zh-CN"/>
      </w:rPr>
    </w:lvl>
    <w:lvl w:ilvl="4">
      <w:start w:val="0"/>
      <w:numFmt w:val="bullet"/>
      <w:lvlText w:val="•"/>
      <w:lvlJc w:val="left"/>
      <w:pPr>
        <w:ind w:left="5174" w:hanging="529"/>
      </w:pPr>
      <w:rPr>
        <w:rFonts w:hint="default"/>
        <w:lang w:val="zh-CN" w:eastAsia="zh-CN" w:bidi="zh-CN"/>
      </w:rPr>
    </w:lvl>
    <w:lvl w:ilvl="5">
      <w:start w:val="0"/>
      <w:numFmt w:val="bullet"/>
      <w:lvlText w:val="•"/>
      <w:lvlJc w:val="left"/>
      <w:pPr>
        <w:ind w:left="6063" w:hanging="529"/>
      </w:pPr>
      <w:rPr>
        <w:rFonts w:hint="default"/>
        <w:lang w:val="zh-CN" w:eastAsia="zh-CN" w:bidi="zh-CN"/>
      </w:rPr>
    </w:lvl>
    <w:lvl w:ilvl="6">
      <w:start w:val="0"/>
      <w:numFmt w:val="bullet"/>
      <w:lvlText w:val="•"/>
      <w:lvlJc w:val="left"/>
      <w:pPr>
        <w:ind w:left="6951" w:hanging="529"/>
      </w:pPr>
      <w:rPr>
        <w:rFonts w:hint="default"/>
        <w:lang w:val="zh-CN" w:eastAsia="zh-CN" w:bidi="zh-CN"/>
      </w:rPr>
    </w:lvl>
    <w:lvl w:ilvl="7">
      <w:start w:val="0"/>
      <w:numFmt w:val="bullet"/>
      <w:lvlText w:val="•"/>
      <w:lvlJc w:val="left"/>
      <w:pPr>
        <w:ind w:left="7840" w:hanging="529"/>
      </w:pPr>
      <w:rPr>
        <w:rFonts w:hint="default"/>
        <w:lang w:val="zh-CN" w:eastAsia="zh-CN" w:bidi="zh-CN"/>
      </w:rPr>
    </w:lvl>
    <w:lvl w:ilvl="8">
      <w:start w:val="0"/>
      <w:numFmt w:val="bullet"/>
      <w:lvlText w:val="•"/>
      <w:lvlJc w:val="left"/>
      <w:pPr>
        <w:ind w:left="8729" w:hanging="529"/>
      </w:pPr>
      <w:rPr>
        <w:rFonts w:hint="default"/>
        <w:lang w:val="zh-CN" w:eastAsia="zh-CN" w:bidi="zh-CN"/>
      </w:rPr>
    </w:lvl>
  </w:abstractNum>
  <w:abstractNum w:abstractNumId="23">
    <w:multiLevelType w:val="hybridMultilevel"/>
    <w:lvl w:ilvl="0">
      <w:start w:val="1"/>
      <w:numFmt w:val="decimal"/>
      <w:lvlText w:val="%1"/>
      <w:lvlJc w:val="left"/>
      <w:pPr>
        <w:ind w:left="1162" w:hanging="484"/>
        <w:jc w:val="left"/>
      </w:pPr>
      <w:rPr>
        <w:rFonts w:hint="default"/>
        <w:lang w:val="zh-CN" w:eastAsia="zh-CN" w:bidi="zh-CN"/>
      </w:rPr>
    </w:lvl>
    <w:lvl w:ilvl="1">
      <w:start w:val="1"/>
      <w:numFmt w:val="decimal"/>
      <w:lvlText w:val="%1.%2"/>
      <w:lvlJc w:val="left"/>
      <w:pPr>
        <w:ind w:left="1162" w:hanging="484"/>
        <w:jc w:val="left"/>
      </w:pPr>
      <w:rPr>
        <w:rFonts w:hint="default" w:ascii="Microsoft JhengHei" w:hAnsi="Microsoft JhengHei" w:eastAsia="Microsoft JhengHei" w:cs="Microsoft JhengHei"/>
        <w:b/>
        <w:bCs/>
        <w:w w:val="83"/>
        <w:sz w:val="30"/>
        <w:szCs w:val="30"/>
        <w:lang w:val="zh-CN" w:eastAsia="zh-CN" w:bidi="zh-CN"/>
      </w:rPr>
    </w:lvl>
    <w:lvl w:ilvl="2">
      <w:start w:val="1"/>
      <w:numFmt w:val="decimal"/>
      <w:lvlText w:val="%1.%2.%3"/>
      <w:lvlJc w:val="left"/>
      <w:pPr>
        <w:ind w:left="678" w:hanging="529"/>
        <w:jc w:val="left"/>
      </w:pPr>
      <w:rPr>
        <w:rFonts w:hint="default" w:ascii="宋体" w:hAnsi="宋体" w:eastAsia="宋体" w:cs="宋体"/>
        <w:spacing w:val="-3"/>
        <w:w w:val="100"/>
        <w:sz w:val="19"/>
        <w:szCs w:val="19"/>
        <w:lang w:val="zh-CN" w:eastAsia="zh-CN" w:bidi="zh-CN"/>
      </w:rPr>
    </w:lvl>
    <w:lvl w:ilvl="3">
      <w:start w:val="0"/>
      <w:numFmt w:val="bullet"/>
      <w:lvlText w:val="•"/>
      <w:lvlJc w:val="left"/>
      <w:pPr>
        <w:ind w:left="2730" w:hanging="529"/>
      </w:pPr>
      <w:rPr>
        <w:rFonts w:hint="default"/>
        <w:lang w:val="zh-CN" w:eastAsia="zh-CN" w:bidi="zh-CN"/>
      </w:rPr>
    </w:lvl>
    <w:lvl w:ilvl="4">
      <w:start w:val="0"/>
      <w:numFmt w:val="bullet"/>
      <w:lvlText w:val="•"/>
      <w:lvlJc w:val="left"/>
      <w:pPr>
        <w:ind w:left="3841" w:hanging="529"/>
      </w:pPr>
      <w:rPr>
        <w:rFonts w:hint="default"/>
        <w:lang w:val="zh-CN" w:eastAsia="zh-CN" w:bidi="zh-CN"/>
      </w:rPr>
    </w:lvl>
    <w:lvl w:ilvl="5">
      <w:start w:val="0"/>
      <w:numFmt w:val="bullet"/>
      <w:lvlText w:val="•"/>
      <w:lvlJc w:val="left"/>
      <w:pPr>
        <w:ind w:left="4952" w:hanging="529"/>
      </w:pPr>
      <w:rPr>
        <w:rFonts w:hint="default"/>
        <w:lang w:val="zh-CN" w:eastAsia="zh-CN" w:bidi="zh-CN"/>
      </w:rPr>
    </w:lvl>
    <w:lvl w:ilvl="6">
      <w:start w:val="0"/>
      <w:numFmt w:val="bullet"/>
      <w:lvlText w:val="•"/>
      <w:lvlJc w:val="left"/>
      <w:pPr>
        <w:ind w:left="6063" w:hanging="529"/>
      </w:pPr>
      <w:rPr>
        <w:rFonts w:hint="default"/>
        <w:lang w:val="zh-CN" w:eastAsia="zh-CN" w:bidi="zh-CN"/>
      </w:rPr>
    </w:lvl>
    <w:lvl w:ilvl="7">
      <w:start w:val="0"/>
      <w:numFmt w:val="bullet"/>
      <w:lvlText w:val="•"/>
      <w:lvlJc w:val="left"/>
      <w:pPr>
        <w:ind w:left="7174" w:hanging="529"/>
      </w:pPr>
      <w:rPr>
        <w:rFonts w:hint="default"/>
        <w:lang w:val="zh-CN" w:eastAsia="zh-CN" w:bidi="zh-CN"/>
      </w:rPr>
    </w:lvl>
    <w:lvl w:ilvl="8">
      <w:start w:val="0"/>
      <w:numFmt w:val="bullet"/>
      <w:lvlText w:val="•"/>
      <w:lvlJc w:val="left"/>
      <w:pPr>
        <w:ind w:left="8284" w:hanging="529"/>
      </w:pPr>
      <w:rPr>
        <w:rFonts w:hint="default"/>
        <w:lang w:val="zh-CN" w:eastAsia="zh-CN" w:bidi="zh-CN"/>
      </w:rPr>
    </w:lvl>
  </w:abstractNum>
  <w:abstractNum w:abstractNumId="22">
    <w:multiLevelType w:val="hybridMultilevel"/>
    <w:lvl w:ilvl="0">
      <w:start w:val="1"/>
      <w:numFmt w:val="decimal"/>
      <w:lvlText w:val="%1."/>
      <w:lvlJc w:val="left"/>
      <w:pPr>
        <w:ind w:left="678" w:hanging="213"/>
        <w:jc w:val="left"/>
      </w:pPr>
      <w:rPr>
        <w:rFonts w:hint="default" w:ascii="宋体" w:hAnsi="宋体" w:eastAsia="宋体" w:cs="宋体"/>
        <w:w w:val="100"/>
        <w:sz w:val="19"/>
        <w:szCs w:val="19"/>
        <w:lang w:val="zh-CN" w:eastAsia="zh-CN" w:bidi="zh-CN"/>
      </w:rPr>
    </w:lvl>
    <w:lvl w:ilvl="1">
      <w:start w:val="0"/>
      <w:numFmt w:val="bullet"/>
      <w:lvlText w:val="•"/>
      <w:lvlJc w:val="left"/>
      <w:pPr>
        <w:ind w:left="1662" w:hanging="213"/>
      </w:pPr>
      <w:rPr>
        <w:rFonts w:hint="default"/>
        <w:lang w:val="zh-CN" w:eastAsia="zh-CN" w:bidi="zh-CN"/>
      </w:rPr>
    </w:lvl>
    <w:lvl w:ilvl="2">
      <w:start w:val="0"/>
      <w:numFmt w:val="bullet"/>
      <w:lvlText w:val="•"/>
      <w:lvlJc w:val="left"/>
      <w:pPr>
        <w:ind w:left="2645" w:hanging="213"/>
      </w:pPr>
      <w:rPr>
        <w:rFonts w:hint="default"/>
        <w:lang w:val="zh-CN" w:eastAsia="zh-CN" w:bidi="zh-CN"/>
      </w:rPr>
    </w:lvl>
    <w:lvl w:ilvl="3">
      <w:start w:val="0"/>
      <w:numFmt w:val="bullet"/>
      <w:lvlText w:val="•"/>
      <w:lvlJc w:val="left"/>
      <w:pPr>
        <w:ind w:left="3627" w:hanging="213"/>
      </w:pPr>
      <w:rPr>
        <w:rFonts w:hint="default"/>
        <w:lang w:val="zh-CN" w:eastAsia="zh-CN" w:bidi="zh-CN"/>
      </w:rPr>
    </w:lvl>
    <w:lvl w:ilvl="4">
      <w:start w:val="0"/>
      <w:numFmt w:val="bullet"/>
      <w:lvlText w:val="•"/>
      <w:lvlJc w:val="left"/>
      <w:pPr>
        <w:ind w:left="4610" w:hanging="213"/>
      </w:pPr>
      <w:rPr>
        <w:rFonts w:hint="default"/>
        <w:lang w:val="zh-CN" w:eastAsia="zh-CN" w:bidi="zh-CN"/>
      </w:rPr>
    </w:lvl>
    <w:lvl w:ilvl="5">
      <w:start w:val="0"/>
      <w:numFmt w:val="bullet"/>
      <w:lvlText w:val="•"/>
      <w:lvlJc w:val="left"/>
      <w:pPr>
        <w:ind w:left="5593" w:hanging="213"/>
      </w:pPr>
      <w:rPr>
        <w:rFonts w:hint="default"/>
        <w:lang w:val="zh-CN" w:eastAsia="zh-CN" w:bidi="zh-CN"/>
      </w:rPr>
    </w:lvl>
    <w:lvl w:ilvl="6">
      <w:start w:val="0"/>
      <w:numFmt w:val="bullet"/>
      <w:lvlText w:val="•"/>
      <w:lvlJc w:val="left"/>
      <w:pPr>
        <w:ind w:left="6575" w:hanging="213"/>
      </w:pPr>
      <w:rPr>
        <w:rFonts w:hint="default"/>
        <w:lang w:val="zh-CN" w:eastAsia="zh-CN" w:bidi="zh-CN"/>
      </w:rPr>
    </w:lvl>
    <w:lvl w:ilvl="7">
      <w:start w:val="0"/>
      <w:numFmt w:val="bullet"/>
      <w:lvlText w:val="•"/>
      <w:lvlJc w:val="left"/>
      <w:pPr>
        <w:ind w:left="7558" w:hanging="213"/>
      </w:pPr>
      <w:rPr>
        <w:rFonts w:hint="default"/>
        <w:lang w:val="zh-CN" w:eastAsia="zh-CN" w:bidi="zh-CN"/>
      </w:rPr>
    </w:lvl>
    <w:lvl w:ilvl="8">
      <w:start w:val="0"/>
      <w:numFmt w:val="bullet"/>
      <w:lvlText w:val="•"/>
      <w:lvlJc w:val="left"/>
      <w:pPr>
        <w:ind w:left="8541" w:hanging="213"/>
      </w:pPr>
      <w:rPr>
        <w:rFonts w:hint="default"/>
        <w:lang w:val="zh-CN" w:eastAsia="zh-CN" w:bidi="zh-CN"/>
      </w:rPr>
    </w:lvl>
  </w:abstractNum>
  <w:abstractNum w:abstractNumId="21">
    <w:multiLevelType w:val="hybridMultilevel"/>
    <w:lvl w:ilvl="0">
      <w:start w:val="1"/>
      <w:numFmt w:val="decimal"/>
      <w:lvlText w:val="（%1）"/>
      <w:lvlJc w:val="left"/>
      <w:pPr>
        <w:ind w:left="635" w:hanging="529"/>
        <w:jc w:val="left"/>
      </w:pPr>
      <w:rPr>
        <w:rFonts w:hint="default" w:ascii="宋体" w:hAnsi="宋体" w:eastAsia="宋体" w:cs="宋体"/>
        <w:color w:val="0000FF"/>
        <w:spacing w:val="-3"/>
        <w:w w:val="100"/>
        <w:sz w:val="19"/>
        <w:szCs w:val="19"/>
        <w:lang w:val="zh-CN" w:eastAsia="zh-CN" w:bidi="zh-CN"/>
      </w:rPr>
    </w:lvl>
    <w:lvl w:ilvl="1">
      <w:start w:val="0"/>
      <w:numFmt w:val="bullet"/>
      <w:lvlText w:val="•"/>
      <w:lvlJc w:val="left"/>
      <w:pPr>
        <w:ind w:left="1049" w:hanging="529"/>
      </w:pPr>
      <w:rPr>
        <w:rFonts w:hint="default"/>
        <w:lang w:val="zh-CN" w:eastAsia="zh-CN" w:bidi="zh-CN"/>
      </w:rPr>
    </w:lvl>
    <w:lvl w:ilvl="2">
      <w:start w:val="0"/>
      <w:numFmt w:val="bullet"/>
      <w:lvlText w:val="•"/>
      <w:lvlJc w:val="left"/>
      <w:pPr>
        <w:ind w:left="1459" w:hanging="529"/>
      </w:pPr>
      <w:rPr>
        <w:rFonts w:hint="default"/>
        <w:lang w:val="zh-CN" w:eastAsia="zh-CN" w:bidi="zh-CN"/>
      </w:rPr>
    </w:lvl>
    <w:lvl w:ilvl="3">
      <w:start w:val="0"/>
      <w:numFmt w:val="bullet"/>
      <w:lvlText w:val="•"/>
      <w:lvlJc w:val="left"/>
      <w:pPr>
        <w:ind w:left="1869" w:hanging="529"/>
      </w:pPr>
      <w:rPr>
        <w:rFonts w:hint="default"/>
        <w:lang w:val="zh-CN" w:eastAsia="zh-CN" w:bidi="zh-CN"/>
      </w:rPr>
    </w:lvl>
    <w:lvl w:ilvl="4">
      <w:start w:val="0"/>
      <w:numFmt w:val="bullet"/>
      <w:lvlText w:val="•"/>
      <w:lvlJc w:val="left"/>
      <w:pPr>
        <w:ind w:left="2279" w:hanging="529"/>
      </w:pPr>
      <w:rPr>
        <w:rFonts w:hint="default"/>
        <w:lang w:val="zh-CN" w:eastAsia="zh-CN" w:bidi="zh-CN"/>
      </w:rPr>
    </w:lvl>
    <w:lvl w:ilvl="5">
      <w:start w:val="0"/>
      <w:numFmt w:val="bullet"/>
      <w:lvlText w:val="•"/>
      <w:lvlJc w:val="left"/>
      <w:pPr>
        <w:ind w:left="2689" w:hanging="529"/>
      </w:pPr>
      <w:rPr>
        <w:rFonts w:hint="default"/>
        <w:lang w:val="zh-CN" w:eastAsia="zh-CN" w:bidi="zh-CN"/>
      </w:rPr>
    </w:lvl>
    <w:lvl w:ilvl="6">
      <w:start w:val="0"/>
      <w:numFmt w:val="bullet"/>
      <w:lvlText w:val="•"/>
      <w:lvlJc w:val="left"/>
      <w:pPr>
        <w:ind w:left="3099" w:hanging="529"/>
      </w:pPr>
      <w:rPr>
        <w:rFonts w:hint="default"/>
        <w:lang w:val="zh-CN" w:eastAsia="zh-CN" w:bidi="zh-CN"/>
      </w:rPr>
    </w:lvl>
    <w:lvl w:ilvl="7">
      <w:start w:val="0"/>
      <w:numFmt w:val="bullet"/>
      <w:lvlText w:val="•"/>
      <w:lvlJc w:val="left"/>
      <w:pPr>
        <w:ind w:left="3509" w:hanging="529"/>
      </w:pPr>
      <w:rPr>
        <w:rFonts w:hint="default"/>
        <w:lang w:val="zh-CN" w:eastAsia="zh-CN" w:bidi="zh-CN"/>
      </w:rPr>
    </w:lvl>
    <w:lvl w:ilvl="8">
      <w:start w:val="0"/>
      <w:numFmt w:val="bullet"/>
      <w:lvlText w:val="•"/>
      <w:lvlJc w:val="left"/>
      <w:pPr>
        <w:ind w:left="3919" w:hanging="529"/>
      </w:pPr>
      <w:rPr>
        <w:rFonts w:hint="default"/>
        <w:lang w:val="zh-CN" w:eastAsia="zh-CN" w:bidi="zh-CN"/>
      </w:rPr>
    </w:lvl>
  </w:abstractNum>
  <w:abstractNum w:abstractNumId="20">
    <w:multiLevelType w:val="hybridMultilevel"/>
    <w:lvl w:ilvl="0">
      <w:start w:val="1"/>
      <w:numFmt w:val="decimal"/>
      <w:lvlText w:val="（%1）"/>
      <w:lvlJc w:val="left"/>
      <w:pPr>
        <w:ind w:left="635" w:hanging="529"/>
        <w:jc w:val="left"/>
      </w:pPr>
      <w:rPr>
        <w:rFonts w:hint="default" w:ascii="宋体" w:hAnsi="宋体" w:eastAsia="宋体" w:cs="宋体"/>
        <w:color w:val="0000FF"/>
        <w:spacing w:val="-3"/>
        <w:w w:val="100"/>
        <w:sz w:val="19"/>
        <w:szCs w:val="19"/>
        <w:lang w:val="zh-CN" w:eastAsia="zh-CN" w:bidi="zh-CN"/>
      </w:rPr>
    </w:lvl>
    <w:lvl w:ilvl="1">
      <w:start w:val="0"/>
      <w:numFmt w:val="bullet"/>
      <w:lvlText w:val="•"/>
      <w:lvlJc w:val="left"/>
      <w:pPr>
        <w:ind w:left="1049" w:hanging="529"/>
      </w:pPr>
      <w:rPr>
        <w:rFonts w:hint="default"/>
        <w:lang w:val="zh-CN" w:eastAsia="zh-CN" w:bidi="zh-CN"/>
      </w:rPr>
    </w:lvl>
    <w:lvl w:ilvl="2">
      <w:start w:val="0"/>
      <w:numFmt w:val="bullet"/>
      <w:lvlText w:val="•"/>
      <w:lvlJc w:val="left"/>
      <w:pPr>
        <w:ind w:left="1459" w:hanging="529"/>
      </w:pPr>
      <w:rPr>
        <w:rFonts w:hint="default"/>
        <w:lang w:val="zh-CN" w:eastAsia="zh-CN" w:bidi="zh-CN"/>
      </w:rPr>
    </w:lvl>
    <w:lvl w:ilvl="3">
      <w:start w:val="0"/>
      <w:numFmt w:val="bullet"/>
      <w:lvlText w:val="•"/>
      <w:lvlJc w:val="left"/>
      <w:pPr>
        <w:ind w:left="1869" w:hanging="529"/>
      </w:pPr>
      <w:rPr>
        <w:rFonts w:hint="default"/>
        <w:lang w:val="zh-CN" w:eastAsia="zh-CN" w:bidi="zh-CN"/>
      </w:rPr>
    </w:lvl>
    <w:lvl w:ilvl="4">
      <w:start w:val="0"/>
      <w:numFmt w:val="bullet"/>
      <w:lvlText w:val="•"/>
      <w:lvlJc w:val="left"/>
      <w:pPr>
        <w:ind w:left="2279" w:hanging="529"/>
      </w:pPr>
      <w:rPr>
        <w:rFonts w:hint="default"/>
        <w:lang w:val="zh-CN" w:eastAsia="zh-CN" w:bidi="zh-CN"/>
      </w:rPr>
    </w:lvl>
    <w:lvl w:ilvl="5">
      <w:start w:val="0"/>
      <w:numFmt w:val="bullet"/>
      <w:lvlText w:val="•"/>
      <w:lvlJc w:val="left"/>
      <w:pPr>
        <w:ind w:left="2689" w:hanging="529"/>
      </w:pPr>
      <w:rPr>
        <w:rFonts w:hint="default"/>
        <w:lang w:val="zh-CN" w:eastAsia="zh-CN" w:bidi="zh-CN"/>
      </w:rPr>
    </w:lvl>
    <w:lvl w:ilvl="6">
      <w:start w:val="0"/>
      <w:numFmt w:val="bullet"/>
      <w:lvlText w:val="•"/>
      <w:lvlJc w:val="left"/>
      <w:pPr>
        <w:ind w:left="3099" w:hanging="529"/>
      </w:pPr>
      <w:rPr>
        <w:rFonts w:hint="default"/>
        <w:lang w:val="zh-CN" w:eastAsia="zh-CN" w:bidi="zh-CN"/>
      </w:rPr>
    </w:lvl>
    <w:lvl w:ilvl="7">
      <w:start w:val="0"/>
      <w:numFmt w:val="bullet"/>
      <w:lvlText w:val="•"/>
      <w:lvlJc w:val="left"/>
      <w:pPr>
        <w:ind w:left="3509" w:hanging="529"/>
      </w:pPr>
      <w:rPr>
        <w:rFonts w:hint="default"/>
        <w:lang w:val="zh-CN" w:eastAsia="zh-CN" w:bidi="zh-CN"/>
      </w:rPr>
    </w:lvl>
    <w:lvl w:ilvl="8">
      <w:start w:val="0"/>
      <w:numFmt w:val="bullet"/>
      <w:lvlText w:val="•"/>
      <w:lvlJc w:val="left"/>
      <w:pPr>
        <w:ind w:left="3919" w:hanging="529"/>
      </w:pPr>
      <w:rPr>
        <w:rFonts w:hint="default"/>
        <w:lang w:val="zh-CN" w:eastAsia="zh-CN" w:bidi="zh-CN"/>
      </w:rPr>
    </w:lvl>
  </w:abstractNum>
  <w:abstractNum w:abstractNumId="19">
    <w:multiLevelType w:val="hybridMultilevel"/>
    <w:lvl w:ilvl="0">
      <w:start w:val="4"/>
      <w:numFmt w:val="decimal"/>
      <w:lvlText w:val="（%1）"/>
      <w:lvlJc w:val="left"/>
      <w:pPr>
        <w:ind w:left="635" w:hanging="529"/>
        <w:jc w:val="left"/>
      </w:pPr>
      <w:rPr>
        <w:rFonts w:hint="default" w:ascii="宋体" w:hAnsi="宋体" w:eastAsia="宋体" w:cs="宋体"/>
        <w:color w:val="0000FF"/>
        <w:spacing w:val="-3"/>
        <w:w w:val="100"/>
        <w:sz w:val="19"/>
        <w:szCs w:val="19"/>
        <w:lang w:val="zh-CN" w:eastAsia="zh-CN" w:bidi="zh-CN"/>
      </w:rPr>
    </w:lvl>
    <w:lvl w:ilvl="1">
      <w:start w:val="0"/>
      <w:numFmt w:val="bullet"/>
      <w:lvlText w:val="•"/>
      <w:lvlJc w:val="left"/>
      <w:pPr>
        <w:ind w:left="1049" w:hanging="529"/>
      </w:pPr>
      <w:rPr>
        <w:rFonts w:hint="default"/>
        <w:lang w:val="zh-CN" w:eastAsia="zh-CN" w:bidi="zh-CN"/>
      </w:rPr>
    </w:lvl>
    <w:lvl w:ilvl="2">
      <w:start w:val="0"/>
      <w:numFmt w:val="bullet"/>
      <w:lvlText w:val="•"/>
      <w:lvlJc w:val="left"/>
      <w:pPr>
        <w:ind w:left="1459" w:hanging="529"/>
      </w:pPr>
      <w:rPr>
        <w:rFonts w:hint="default"/>
        <w:lang w:val="zh-CN" w:eastAsia="zh-CN" w:bidi="zh-CN"/>
      </w:rPr>
    </w:lvl>
    <w:lvl w:ilvl="3">
      <w:start w:val="0"/>
      <w:numFmt w:val="bullet"/>
      <w:lvlText w:val="•"/>
      <w:lvlJc w:val="left"/>
      <w:pPr>
        <w:ind w:left="1869" w:hanging="529"/>
      </w:pPr>
      <w:rPr>
        <w:rFonts w:hint="default"/>
        <w:lang w:val="zh-CN" w:eastAsia="zh-CN" w:bidi="zh-CN"/>
      </w:rPr>
    </w:lvl>
    <w:lvl w:ilvl="4">
      <w:start w:val="0"/>
      <w:numFmt w:val="bullet"/>
      <w:lvlText w:val="•"/>
      <w:lvlJc w:val="left"/>
      <w:pPr>
        <w:ind w:left="2279" w:hanging="529"/>
      </w:pPr>
      <w:rPr>
        <w:rFonts w:hint="default"/>
        <w:lang w:val="zh-CN" w:eastAsia="zh-CN" w:bidi="zh-CN"/>
      </w:rPr>
    </w:lvl>
    <w:lvl w:ilvl="5">
      <w:start w:val="0"/>
      <w:numFmt w:val="bullet"/>
      <w:lvlText w:val="•"/>
      <w:lvlJc w:val="left"/>
      <w:pPr>
        <w:ind w:left="2689" w:hanging="529"/>
      </w:pPr>
      <w:rPr>
        <w:rFonts w:hint="default"/>
        <w:lang w:val="zh-CN" w:eastAsia="zh-CN" w:bidi="zh-CN"/>
      </w:rPr>
    </w:lvl>
    <w:lvl w:ilvl="6">
      <w:start w:val="0"/>
      <w:numFmt w:val="bullet"/>
      <w:lvlText w:val="•"/>
      <w:lvlJc w:val="left"/>
      <w:pPr>
        <w:ind w:left="3099" w:hanging="529"/>
      </w:pPr>
      <w:rPr>
        <w:rFonts w:hint="default"/>
        <w:lang w:val="zh-CN" w:eastAsia="zh-CN" w:bidi="zh-CN"/>
      </w:rPr>
    </w:lvl>
    <w:lvl w:ilvl="7">
      <w:start w:val="0"/>
      <w:numFmt w:val="bullet"/>
      <w:lvlText w:val="•"/>
      <w:lvlJc w:val="left"/>
      <w:pPr>
        <w:ind w:left="3509" w:hanging="529"/>
      </w:pPr>
      <w:rPr>
        <w:rFonts w:hint="default"/>
        <w:lang w:val="zh-CN" w:eastAsia="zh-CN" w:bidi="zh-CN"/>
      </w:rPr>
    </w:lvl>
    <w:lvl w:ilvl="8">
      <w:start w:val="0"/>
      <w:numFmt w:val="bullet"/>
      <w:lvlText w:val="•"/>
      <w:lvlJc w:val="left"/>
      <w:pPr>
        <w:ind w:left="3919" w:hanging="529"/>
      </w:pPr>
      <w:rPr>
        <w:rFonts w:hint="default"/>
        <w:lang w:val="zh-CN" w:eastAsia="zh-CN" w:bidi="zh-CN"/>
      </w:rPr>
    </w:lvl>
  </w:abstractNum>
  <w:abstractNum w:abstractNumId="18">
    <w:multiLevelType w:val="hybridMultilevel"/>
    <w:lvl w:ilvl="0">
      <w:start w:val="1"/>
      <w:numFmt w:val="decimal"/>
      <w:lvlText w:val="（%1）"/>
      <w:lvlJc w:val="left"/>
      <w:pPr>
        <w:ind w:left="106" w:hanging="529"/>
        <w:jc w:val="left"/>
      </w:pPr>
      <w:rPr>
        <w:rFonts w:hint="default" w:ascii="宋体" w:hAnsi="宋体" w:eastAsia="宋体" w:cs="宋体"/>
        <w:color w:val="0000FF"/>
        <w:spacing w:val="-106"/>
        <w:w w:val="100"/>
        <w:sz w:val="19"/>
        <w:szCs w:val="19"/>
        <w:lang w:val="zh-CN" w:eastAsia="zh-CN" w:bidi="zh-CN"/>
      </w:rPr>
    </w:lvl>
    <w:lvl w:ilvl="1">
      <w:start w:val="0"/>
      <w:numFmt w:val="bullet"/>
      <w:lvlText w:val="•"/>
      <w:lvlJc w:val="left"/>
      <w:pPr>
        <w:ind w:left="563" w:hanging="529"/>
      </w:pPr>
      <w:rPr>
        <w:rFonts w:hint="default"/>
        <w:lang w:val="zh-CN" w:eastAsia="zh-CN" w:bidi="zh-CN"/>
      </w:rPr>
    </w:lvl>
    <w:lvl w:ilvl="2">
      <w:start w:val="0"/>
      <w:numFmt w:val="bullet"/>
      <w:lvlText w:val="•"/>
      <w:lvlJc w:val="left"/>
      <w:pPr>
        <w:ind w:left="1027" w:hanging="529"/>
      </w:pPr>
      <w:rPr>
        <w:rFonts w:hint="default"/>
        <w:lang w:val="zh-CN" w:eastAsia="zh-CN" w:bidi="zh-CN"/>
      </w:rPr>
    </w:lvl>
    <w:lvl w:ilvl="3">
      <w:start w:val="0"/>
      <w:numFmt w:val="bullet"/>
      <w:lvlText w:val="•"/>
      <w:lvlJc w:val="left"/>
      <w:pPr>
        <w:ind w:left="1491" w:hanging="529"/>
      </w:pPr>
      <w:rPr>
        <w:rFonts w:hint="default"/>
        <w:lang w:val="zh-CN" w:eastAsia="zh-CN" w:bidi="zh-CN"/>
      </w:rPr>
    </w:lvl>
    <w:lvl w:ilvl="4">
      <w:start w:val="0"/>
      <w:numFmt w:val="bullet"/>
      <w:lvlText w:val="•"/>
      <w:lvlJc w:val="left"/>
      <w:pPr>
        <w:ind w:left="1955" w:hanging="529"/>
      </w:pPr>
      <w:rPr>
        <w:rFonts w:hint="default"/>
        <w:lang w:val="zh-CN" w:eastAsia="zh-CN" w:bidi="zh-CN"/>
      </w:rPr>
    </w:lvl>
    <w:lvl w:ilvl="5">
      <w:start w:val="0"/>
      <w:numFmt w:val="bullet"/>
      <w:lvlText w:val="•"/>
      <w:lvlJc w:val="left"/>
      <w:pPr>
        <w:ind w:left="2419" w:hanging="529"/>
      </w:pPr>
      <w:rPr>
        <w:rFonts w:hint="default"/>
        <w:lang w:val="zh-CN" w:eastAsia="zh-CN" w:bidi="zh-CN"/>
      </w:rPr>
    </w:lvl>
    <w:lvl w:ilvl="6">
      <w:start w:val="0"/>
      <w:numFmt w:val="bullet"/>
      <w:lvlText w:val="•"/>
      <w:lvlJc w:val="left"/>
      <w:pPr>
        <w:ind w:left="2883" w:hanging="529"/>
      </w:pPr>
      <w:rPr>
        <w:rFonts w:hint="default"/>
        <w:lang w:val="zh-CN" w:eastAsia="zh-CN" w:bidi="zh-CN"/>
      </w:rPr>
    </w:lvl>
    <w:lvl w:ilvl="7">
      <w:start w:val="0"/>
      <w:numFmt w:val="bullet"/>
      <w:lvlText w:val="•"/>
      <w:lvlJc w:val="left"/>
      <w:pPr>
        <w:ind w:left="3347" w:hanging="529"/>
      </w:pPr>
      <w:rPr>
        <w:rFonts w:hint="default"/>
        <w:lang w:val="zh-CN" w:eastAsia="zh-CN" w:bidi="zh-CN"/>
      </w:rPr>
    </w:lvl>
    <w:lvl w:ilvl="8">
      <w:start w:val="0"/>
      <w:numFmt w:val="bullet"/>
      <w:lvlText w:val="•"/>
      <w:lvlJc w:val="left"/>
      <w:pPr>
        <w:ind w:left="3811" w:hanging="529"/>
      </w:pPr>
      <w:rPr>
        <w:rFonts w:hint="default"/>
        <w:lang w:val="zh-CN" w:eastAsia="zh-CN" w:bidi="zh-CN"/>
      </w:rPr>
    </w:lvl>
  </w:abstractNum>
  <w:abstractNum w:abstractNumId="17">
    <w:multiLevelType w:val="hybridMultilevel"/>
    <w:lvl w:ilvl="0">
      <w:start w:val="6"/>
      <w:numFmt w:val="decimal"/>
      <w:lvlText w:val="（%1）"/>
      <w:lvlJc w:val="left"/>
      <w:pPr>
        <w:ind w:left="106" w:hanging="529"/>
        <w:jc w:val="left"/>
      </w:pPr>
      <w:rPr>
        <w:rFonts w:hint="default" w:ascii="宋体" w:hAnsi="宋体" w:eastAsia="宋体" w:cs="宋体"/>
        <w:spacing w:val="-106"/>
        <w:w w:val="100"/>
        <w:sz w:val="19"/>
        <w:szCs w:val="19"/>
        <w:lang w:val="zh-CN" w:eastAsia="zh-CN" w:bidi="zh-CN"/>
      </w:rPr>
    </w:lvl>
    <w:lvl w:ilvl="1">
      <w:start w:val="0"/>
      <w:numFmt w:val="bullet"/>
      <w:lvlText w:val="•"/>
      <w:lvlJc w:val="left"/>
      <w:pPr>
        <w:ind w:left="563" w:hanging="529"/>
      </w:pPr>
      <w:rPr>
        <w:rFonts w:hint="default"/>
        <w:lang w:val="zh-CN" w:eastAsia="zh-CN" w:bidi="zh-CN"/>
      </w:rPr>
    </w:lvl>
    <w:lvl w:ilvl="2">
      <w:start w:val="0"/>
      <w:numFmt w:val="bullet"/>
      <w:lvlText w:val="•"/>
      <w:lvlJc w:val="left"/>
      <w:pPr>
        <w:ind w:left="1027" w:hanging="529"/>
      </w:pPr>
      <w:rPr>
        <w:rFonts w:hint="default"/>
        <w:lang w:val="zh-CN" w:eastAsia="zh-CN" w:bidi="zh-CN"/>
      </w:rPr>
    </w:lvl>
    <w:lvl w:ilvl="3">
      <w:start w:val="0"/>
      <w:numFmt w:val="bullet"/>
      <w:lvlText w:val="•"/>
      <w:lvlJc w:val="left"/>
      <w:pPr>
        <w:ind w:left="1491" w:hanging="529"/>
      </w:pPr>
      <w:rPr>
        <w:rFonts w:hint="default"/>
        <w:lang w:val="zh-CN" w:eastAsia="zh-CN" w:bidi="zh-CN"/>
      </w:rPr>
    </w:lvl>
    <w:lvl w:ilvl="4">
      <w:start w:val="0"/>
      <w:numFmt w:val="bullet"/>
      <w:lvlText w:val="•"/>
      <w:lvlJc w:val="left"/>
      <w:pPr>
        <w:ind w:left="1955" w:hanging="529"/>
      </w:pPr>
      <w:rPr>
        <w:rFonts w:hint="default"/>
        <w:lang w:val="zh-CN" w:eastAsia="zh-CN" w:bidi="zh-CN"/>
      </w:rPr>
    </w:lvl>
    <w:lvl w:ilvl="5">
      <w:start w:val="0"/>
      <w:numFmt w:val="bullet"/>
      <w:lvlText w:val="•"/>
      <w:lvlJc w:val="left"/>
      <w:pPr>
        <w:ind w:left="2419" w:hanging="529"/>
      </w:pPr>
      <w:rPr>
        <w:rFonts w:hint="default"/>
        <w:lang w:val="zh-CN" w:eastAsia="zh-CN" w:bidi="zh-CN"/>
      </w:rPr>
    </w:lvl>
    <w:lvl w:ilvl="6">
      <w:start w:val="0"/>
      <w:numFmt w:val="bullet"/>
      <w:lvlText w:val="•"/>
      <w:lvlJc w:val="left"/>
      <w:pPr>
        <w:ind w:left="2883" w:hanging="529"/>
      </w:pPr>
      <w:rPr>
        <w:rFonts w:hint="default"/>
        <w:lang w:val="zh-CN" w:eastAsia="zh-CN" w:bidi="zh-CN"/>
      </w:rPr>
    </w:lvl>
    <w:lvl w:ilvl="7">
      <w:start w:val="0"/>
      <w:numFmt w:val="bullet"/>
      <w:lvlText w:val="•"/>
      <w:lvlJc w:val="left"/>
      <w:pPr>
        <w:ind w:left="3347" w:hanging="529"/>
      </w:pPr>
      <w:rPr>
        <w:rFonts w:hint="default"/>
        <w:lang w:val="zh-CN" w:eastAsia="zh-CN" w:bidi="zh-CN"/>
      </w:rPr>
    </w:lvl>
    <w:lvl w:ilvl="8">
      <w:start w:val="0"/>
      <w:numFmt w:val="bullet"/>
      <w:lvlText w:val="•"/>
      <w:lvlJc w:val="left"/>
      <w:pPr>
        <w:ind w:left="3811" w:hanging="529"/>
      </w:pPr>
      <w:rPr>
        <w:rFonts w:hint="default"/>
        <w:lang w:val="zh-CN" w:eastAsia="zh-CN" w:bidi="zh-CN"/>
      </w:rPr>
    </w:lvl>
  </w:abstractNum>
  <w:abstractNum w:abstractNumId="16">
    <w:multiLevelType w:val="hybridMultilevel"/>
    <w:lvl w:ilvl="0">
      <w:start w:val="2"/>
      <w:numFmt w:val="decimal"/>
      <w:lvlText w:val="（%1）"/>
      <w:lvlJc w:val="left"/>
      <w:pPr>
        <w:ind w:left="106"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563" w:hanging="529"/>
      </w:pPr>
      <w:rPr>
        <w:rFonts w:hint="default"/>
        <w:lang w:val="zh-CN" w:eastAsia="zh-CN" w:bidi="zh-CN"/>
      </w:rPr>
    </w:lvl>
    <w:lvl w:ilvl="2">
      <w:start w:val="0"/>
      <w:numFmt w:val="bullet"/>
      <w:lvlText w:val="•"/>
      <w:lvlJc w:val="left"/>
      <w:pPr>
        <w:ind w:left="1027" w:hanging="529"/>
      </w:pPr>
      <w:rPr>
        <w:rFonts w:hint="default"/>
        <w:lang w:val="zh-CN" w:eastAsia="zh-CN" w:bidi="zh-CN"/>
      </w:rPr>
    </w:lvl>
    <w:lvl w:ilvl="3">
      <w:start w:val="0"/>
      <w:numFmt w:val="bullet"/>
      <w:lvlText w:val="•"/>
      <w:lvlJc w:val="left"/>
      <w:pPr>
        <w:ind w:left="1491" w:hanging="529"/>
      </w:pPr>
      <w:rPr>
        <w:rFonts w:hint="default"/>
        <w:lang w:val="zh-CN" w:eastAsia="zh-CN" w:bidi="zh-CN"/>
      </w:rPr>
    </w:lvl>
    <w:lvl w:ilvl="4">
      <w:start w:val="0"/>
      <w:numFmt w:val="bullet"/>
      <w:lvlText w:val="•"/>
      <w:lvlJc w:val="left"/>
      <w:pPr>
        <w:ind w:left="1955" w:hanging="529"/>
      </w:pPr>
      <w:rPr>
        <w:rFonts w:hint="default"/>
        <w:lang w:val="zh-CN" w:eastAsia="zh-CN" w:bidi="zh-CN"/>
      </w:rPr>
    </w:lvl>
    <w:lvl w:ilvl="5">
      <w:start w:val="0"/>
      <w:numFmt w:val="bullet"/>
      <w:lvlText w:val="•"/>
      <w:lvlJc w:val="left"/>
      <w:pPr>
        <w:ind w:left="2419" w:hanging="529"/>
      </w:pPr>
      <w:rPr>
        <w:rFonts w:hint="default"/>
        <w:lang w:val="zh-CN" w:eastAsia="zh-CN" w:bidi="zh-CN"/>
      </w:rPr>
    </w:lvl>
    <w:lvl w:ilvl="6">
      <w:start w:val="0"/>
      <w:numFmt w:val="bullet"/>
      <w:lvlText w:val="•"/>
      <w:lvlJc w:val="left"/>
      <w:pPr>
        <w:ind w:left="2883" w:hanging="529"/>
      </w:pPr>
      <w:rPr>
        <w:rFonts w:hint="default"/>
        <w:lang w:val="zh-CN" w:eastAsia="zh-CN" w:bidi="zh-CN"/>
      </w:rPr>
    </w:lvl>
    <w:lvl w:ilvl="7">
      <w:start w:val="0"/>
      <w:numFmt w:val="bullet"/>
      <w:lvlText w:val="•"/>
      <w:lvlJc w:val="left"/>
      <w:pPr>
        <w:ind w:left="3347" w:hanging="529"/>
      </w:pPr>
      <w:rPr>
        <w:rFonts w:hint="default"/>
        <w:lang w:val="zh-CN" w:eastAsia="zh-CN" w:bidi="zh-CN"/>
      </w:rPr>
    </w:lvl>
    <w:lvl w:ilvl="8">
      <w:start w:val="0"/>
      <w:numFmt w:val="bullet"/>
      <w:lvlText w:val="•"/>
      <w:lvlJc w:val="left"/>
      <w:pPr>
        <w:ind w:left="3811" w:hanging="529"/>
      </w:pPr>
      <w:rPr>
        <w:rFonts w:hint="default"/>
        <w:lang w:val="zh-CN" w:eastAsia="zh-CN" w:bidi="zh-CN"/>
      </w:rPr>
    </w:lvl>
  </w:abstractNum>
  <w:abstractNum w:abstractNumId="15">
    <w:multiLevelType w:val="hybridMultilevel"/>
    <w:lvl w:ilvl="0">
      <w:start w:val="1"/>
      <w:numFmt w:val="decimal"/>
      <w:lvlText w:val="%1."/>
      <w:lvlJc w:val="left"/>
      <w:pPr>
        <w:ind w:left="890" w:hanging="213"/>
        <w:jc w:val="left"/>
      </w:pPr>
      <w:rPr>
        <w:rFonts w:hint="default" w:ascii="Microsoft JhengHei" w:hAnsi="Microsoft JhengHei" w:eastAsia="Microsoft JhengHei" w:cs="Microsoft JhengHei"/>
        <w:b/>
        <w:bCs/>
        <w:spacing w:val="-1"/>
        <w:w w:val="118"/>
        <w:sz w:val="19"/>
        <w:szCs w:val="19"/>
        <w:lang w:val="zh-CN" w:eastAsia="zh-CN" w:bidi="zh-CN"/>
      </w:rPr>
    </w:lvl>
    <w:lvl w:ilvl="1">
      <w:start w:val="1"/>
      <w:numFmt w:val="decimal"/>
      <w:lvlText w:val="%1.%2"/>
      <w:lvlJc w:val="left"/>
      <w:pPr>
        <w:ind w:left="678" w:hanging="318"/>
        <w:jc w:val="left"/>
      </w:pPr>
      <w:rPr>
        <w:rFonts w:hint="default" w:ascii="宋体" w:hAnsi="宋体" w:eastAsia="宋体" w:cs="宋体"/>
        <w:w w:val="100"/>
        <w:sz w:val="19"/>
        <w:szCs w:val="19"/>
        <w:lang w:val="zh-CN" w:eastAsia="zh-CN" w:bidi="zh-CN"/>
      </w:rPr>
    </w:lvl>
    <w:lvl w:ilvl="2">
      <w:start w:val="0"/>
      <w:numFmt w:val="bullet"/>
      <w:lvlText w:val="•"/>
      <w:lvlJc w:val="left"/>
      <w:pPr>
        <w:ind w:left="1000" w:hanging="318"/>
      </w:pPr>
      <w:rPr>
        <w:rFonts w:hint="default"/>
        <w:lang w:val="zh-CN" w:eastAsia="zh-CN" w:bidi="zh-CN"/>
      </w:rPr>
    </w:lvl>
    <w:lvl w:ilvl="3">
      <w:start w:val="0"/>
      <w:numFmt w:val="bullet"/>
      <w:lvlText w:val="•"/>
      <w:lvlJc w:val="left"/>
      <w:pPr>
        <w:ind w:left="2188" w:hanging="318"/>
      </w:pPr>
      <w:rPr>
        <w:rFonts w:hint="default"/>
        <w:lang w:val="zh-CN" w:eastAsia="zh-CN" w:bidi="zh-CN"/>
      </w:rPr>
    </w:lvl>
    <w:lvl w:ilvl="4">
      <w:start w:val="0"/>
      <w:numFmt w:val="bullet"/>
      <w:lvlText w:val="•"/>
      <w:lvlJc w:val="left"/>
      <w:pPr>
        <w:ind w:left="3376" w:hanging="318"/>
      </w:pPr>
      <w:rPr>
        <w:rFonts w:hint="default"/>
        <w:lang w:val="zh-CN" w:eastAsia="zh-CN" w:bidi="zh-CN"/>
      </w:rPr>
    </w:lvl>
    <w:lvl w:ilvl="5">
      <w:start w:val="0"/>
      <w:numFmt w:val="bullet"/>
      <w:lvlText w:val="•"/>
      <w:lvlJc w:val="left"/>
      <w:pPr>
        <w:ind w:left="4564" w:hanging="318"/>
      </w:pPr>
      <w:rPr>
        <w:rFonts w:hint="default"/>
        <w:lang w:val="zh-CN" w:eastAsia="zh-CN" w:bidi="zh-CN"/>
      </w:rPr>
    </w:lvl>
    <w:lvl w:ilvl="6">
      <w:start w:val="0"/>
      <w:numFmt w:val="bullet"/>
      <w:lvlText w:val="•"/>
      <w:lvlJc w:val="left"/>
      <w:pPr>
        <w:ind w:left="5753" w:hanging="318"/>
      </w:pPr>
      <w:rPr>
        <w:rFonts w:hint="default"/>
        <w:lang w:val="zh-CN" w:eastAsia="zh-CN" w:bidi="zh-CN"/>
      </w:rPr>
    </w:lvl>
    <w:lvl w:ilvl="7">
      <w:start w:val="0"/>
      <w:numFmt w:val="bullet"/>
      <w:lvlText w:val="•"/>
      <w:lvlJc w:val="left"/>
      <w:pPr>
        <w:ind w:left="6941" w:hanging="318"/>
      </w:pPr>
      <w:rPr>
        <w:rFonts w:hint="default"/>
        <w:lang w:val="zh-CN" w:eastAsia="zh-CN" w:bidi="zh-CN"/>
      </w:rPr>
    </w:lvl>
    <w:lvl w:ilvl="8">
      <w:start w:val="0"/>
      <w:numFmt w:val="bullet"/>
      <w:lvlText w:val="•"/>
      <w:lvlJc w:val="left"/>
      <w:pPr>
        <w:ind w:left="8129" w:hanging="318"/>
      </w:pPr>
      <w:rPr>
        <w:rFonts w:hint="default"/>
        <w:lang w:val="zh-CN" w:eastAsia="zh-CN" w:bidi="zh-CN"/>
      </w:rPr>
    </w:lvl>
  </w:abstractNum>
  <w:abstractNum w:abstractNumId="14">
    <w:multiLevelType w:val="hybridMultilevel"/>
    <w:lvl w:ilvl="0">
      <w:start w:val="3"/>
      <w:numFmt w:val="decimal"/>
      <w:lvlText w:val="%1"/>
      <w:lvlJc w:val="left"/>
      <w:pPr>
        <w:ind w:left="1835" w:hanging="318"/>
        <w:jc w:val="left"/>
      </w:pPr>
      <w:rPr>
        <w:rFonts w:hint="default"/>
        <w:lang w:val="zh-CN" w:eastAsia="zh-CN" w:bidi="zh-CN"/>
      </w:rPr>
    </w:lvl>
    <w:lvl w:ilvl="1">
      <w:start w:val="1"/>
      <w:numFmt w:val="decimal"/>
      <w:lvlText w:val="%1.%2"/>
      <w:lvlJc w:val="left"/>
      <w:pPr>
        <w:ind w:left="1835" w:hanging="318"/>
        <w:jc w:val="left"/>
      </w:pPr>
      <w:rPr>
        <w:rFonts w:hint="default" w:ascii="宋体" w:hAnsi="宋体" w:eastAsia="宋体" w:cs="宋体"/>
        <w:spacing w:val="-3"/>
        <w:w w:val="100"/>
        <w:sz w:val="19"/>
        <w:szCs w:val="19"/>
        <w:lang w:val="zh-CN" w:eastAsia="zh-CN" w:bidi="zh-CN"/>
      </w:rPr>
    </w:lvl>
    <w:lvl w:ilvl="2">
      <w:start w:val="0"/>
      <w:numFmt w:val="bullet"/>
      <w:lvlText w:val="•"/>
      <w:lvlJc w:val="left"/>
      <w:pPr>
        <w:ind w:left="3573" w:hanging="318"/>
      </w:pPr>
      <w:rPr>
        <w:rFonts w:hint="default"/>
        <w:lang w:val="zh-CN" w:eastAsia="zh-CN" w:bidi="zh-CN"/>
      </w:rPr>
    </w:lvl>
    <w:lvl w:ilvl="3">
      <w:start w:val="0"/>
      <w:numFmt w:val="bullet"/>
      <w:lvlText w:val="•"/>
      <w:lvlJc w:val="left"/>
      <w:pPr>
        <w:ind w:left="4439" w:hanging="318"/>
      </w:pPr>
      <w:rPr>
        <w:rFonts w:hint="default"/>
        <w:lang w:val="zh-CN" w:eastAsia="zh-CN" w:bidi="zh-CN"/>
      </w:rPr>
    </w:lvl>
    <w:lvl w:ilvl="4">
      <w:start w:val="0"/>
      <w:numFmt w:val="bullet"/>
      <w:lvlText w:val="•"/>
      <w:lvlJc w:val="left"/>
      <w:pPr>
        <w:ind w:left="5306" w:hanging="318"/>
      </w:pPr>
      <w:rPr>
        <w:rFonts w:hint="default"/>
        <w:lang w:val="zh-CN" w:eastAsia="zh-CN" w:bidi="zh-CN"/>
      </w:rPr>
    </w:lvl>
    <w:lvl w:ilvl="5">
      <w:start w:val="0"/>
      <w:numFmt w:val="bullet"/>
      <w:lvlText w:val="•"/>
      <w:lvlJc w:val="left"/>
      <w:pPr>
        <w:ind w:left="6173" w:hanging="318"/>
      </w:pPr>
      <w:rPr>
        <w:rFonts w:hint="default"/>
        <w:lang w:val="zh-CN" w:eastAsia="zh-CN" w:bidi="zh-CN"/>
      </w:rPr>
    </w:lvl>
    <w:lvl w:ilvl="6">
      <w:start w:val="0"/>
      <w:numFmt w:val="bullet"/>
      <w:lvlText w:val="•"/>
      <w:lvlJc w:val="left"/>
      <w:pPr>
        <w:ind w:left="7039" w:hanging="318"/>
      </w:pPr>
      <w:rPr>
        <w:rFonts w:hint="default"/>
        <w:lang w:val="zh-CN" w:eastAsia="zh-CN" w:bidi="zh-CN"/>
      </w:rPr>
    </w:lvl>
    <w:lvl w:ilvl="7">
      <w:start w:val="0"/>
      <w:numFmt w:val="bullet"/>
      <w:lvlText w:val="•"/>
      <w:lvlJc w:val="left"/>
      <w:pPr>
        <w:ind w:left="7906" w:hanging="318"/>
      </w:pPr>
      <w:rPr>
        <w:rFonts w:hint="default"/>
        <w:lang w:val="zh-CN" w:eastAsia="zh-CN" w:bidi="zh-CN"/>
      </w:rPr>
    </w:lvl>
    <w:lvl w:ilvl="8">
      <w:start w:val="0"/>
      <w:numFmt w:val="bullet"/>
      <w:lvlText w:val="•"/>
      <w:lvlJc w:val="left"/>
      <w:pPr>
        <w:ind w:left="8773" w:hanging="318"/>
      </w:pPr>
      <w:rPr>
        <w:rFonts w:hint="default"/>
        <w:lang w:val="zh-CN" w:eastAsia="zh-CN" w:bidi="zh-CN"/>
      </w:rPr>
    </w:lvl>
  </w:abstractNum>
  <w:abstractNum w:abstractNumId="13">
    <w:multiLevelType w:val="hybridMultilevel"/>
    <w:lvl w:ilvl="0">
      <w:start w:val="2"/>
      <w:numFmt w:val="decimal"/>
      <w:lvlText w:val="%1"/>
      <w:lvlJc w:val="left"/>
      <w:pPr>
        <w:ind w:left="1835" w:hanging="318"/>
        <w:jc w:val="left"/>
      </w:pPr>
      <w:rPr>
        <w:rFonts w:hint="default"/>
        <w:lang w:val="zh-CN" w:eastAsia="zh-CN" w:bidi="zh-CN"/>
      </w:rPr>
    </w:lvl>
    <w:lvl w:ilvl="1">
      <w:start w:val="1"/>
      <w:numFmt w:val="decimal"/>
      <w:lvlText w:val="%1.%2"/>
      <w:lvlJc w:val="left"/>
      <w:pPr>
        <w:ind w:left="1835" w:hanging="318"/>
        <w:jc w:val="left"/>
      </w:pPr>
      <w:rPr>
        <w:rFonts w:hint="default" w:ascii="宋体" w:hAnsi="宋体" w:eastAsia="宋体" w:cs="宋体"/>
        <w:spacing w:val="-3"/>
        <w:w w:val="100"/>
        <w:sz w:val="19"/>
        <w:szCs w:val="19"/>
        <w:lang w:val="zh-CN" w:eastAsia="zh-CN" w:bidi="zh-CN"/>
      </w:rPr>
    </w:lvl>
    <w:lvl w:ilvl="2">
      <w:start w:val="0"/>
      <w:numFmt w:val="bullet"/>
      <w:lvlText w:val="•"/>
      <w:lvlJc w:val="left"/>
      <w:pPr>
        <w:ind w:left="3573" w:hanging="318"/>
      </w:pPr>
      <w:rPr>
        <w:rFonts w:hint="default"/>
        <w:lang w:val="zh-CN" w:eastAsia="zh-CN" w:bidi="zh-CN"/>
      </w:rPr>
    </w:lvl>
    <w:lvl w:ilvl="3">
      <w:start w:val="0"/>
      <w:numFmt w:val="bullet"/>
      <w:lvlText w:val="•"/>
      <w:lvlJc w:val="left"/>
      <w:pPr>
        <w:ind w:left="4439" w:hanging="318"/>
      </w:pPr>
      <w:rPr>
        <w:rFonts w:hint="default"/>
        <w:lang w:val="zh-CN" w:eastAsia="zh-CN" w:bidi="zh-CN"/>
      </w:rPr>
    </w:lvl>
    <w:lvl w:ilvl="4">
      <w:start w:val="0"/>
      <w:numFmt w:val="bullet"/>
      <w:lvlText w:val="•"/>
      <w:lvlJc w:val="left"/>
      <w:pPr>
        <w:ind w:left="5306" w:hanging="318"/>
      </w:pPr>
      <w:rPr>
        <w:rFonts w:hint="default"/>
        <w:lang w:val="zh-CN" w:eastAsia="zh-CN" w:bidi="zh-CN"/>
      </w:rPr>
    </w:lvl>
    <w:lvl w:ilvl="5">
      <w:start w:val="0"/>
      <w:numFmt w:val="bullet"/>
      <w:lvlText w:val="•"/>
      <w:lvlJc w:val="left"/>
      <w:pPr>
        <w:ind w:left="6173" w:hanging="318"/>
      </w:pPr>
      <w:rPr>
        <w:rFonts w:hint="default"/>
        <w:lang w:val="zh-CN" w:eastAsia="zh-CN" w:bidi="zh-CN"/>
      </w:rPr>
    </w:lvl>
    <w:lvl w:ilvl="6">
      <w:start w:val="0"/>
      <w:numFmt w:val="bullet"/>
      <w:lvlText w:val="•"/>
      <w:lvlJc w:val="left"/>
      <w:pPr>
        <w:ind w:left="7039" w:hanging="318"/>
      </w:pPr>
      <w:rPr>
        <w:rFonts w:hint="default"/>
        <w:lang w:val="zh-CN" w:eastAsia="zh-CN" w:bidi="zh-CN"/>
      </w:rPr>
    </w:lvl>
    <w:lvl w:ilvl="7">
      <w:start w:val="0"/>
      <w:numFmt w:val="bullet"/>
      <w:lvlText w:val="•"/>
      <w:lvlJc w:val="left"/>
      <w:pPr>
        <w:ind w:left="7906" w:hanging="318"/>
      </w:pPr>
      <w:rPr>
        <w:rFonts w:hint="default"/>
        <w:lang w:val="zh-CN" w:eastAsia="zh-CN" w:bidi="zh-CN"/>
      </w:rPr>
    </w:lvl>
    <w:lvl w:ilvl="8">
      <w:start w:val="0"/>
      <w:numFmt w:val="bullet"/>
      <w:lvlText w:val="•"/>
      <w:lvlJc w:val="left"/>
      <w:pPr>
        <w:ind w:left="8773" w:hanging="318"/>
      </w:pPr>
      <w:rPr>
        <w:rFonts w:hint="default"/>
        <w:lang w:val="zh-CN" w:eastAsia="zh-CN" w:bidi="zh-CN"/>
      </w:rPr>
    </w:lvl>
  </w:abstractNum>
  <w:abstractNum w:abstractNumId="12">
    <w:multiLevelType w:val="hybridMultilevel"/>
    <w:lvl w:ilvl="0">
      <w:start w:val="10"/>
      <w:numFmt w:val="decimal"/>
      <w:lvlText w:val="%1"/>
      <w:lvlJc w:val="left"/>
      <w:pPr>
        <w:ind w:left="2047" w:hanging="529"/>
        <w:jc w:val="left"/>
      </w:pPr>
      <w:rPr>
        <w:rFonts w:hint="default"/>
        <w:lang w:val="zh-CN" w:eastAsia="zh-CN" w:bidi="zh-CN"/>
      </w:rPr>
    </w:lvl>
    <w:lvl w:ilvl="1">
      <w:start w:val="10"/>
      <w:numFmt w:val="decimal"/>
      <w:lvlText w:val="%1.%2"/>
      <w:lvlJc w:val="left"/>
      <w:pPr>
        <w:ind w:left="2047" w:hanging="529"/>
        <w:jc w:val="left"/>
      </w:pPr>
      <w:rPr>
        <w:rFonts w:hint="default" w:ascii="宋体" w:hAnsi="宋体" w:eastAsia="宋体" w:cs="宋体"/>
        <w:w w:val="100"/>
        <w:sz w:val="19"/>
        <w:szCs w:val="19"/>
        <w:lang w:val="zh-CN" w:eastAsia="zh-CN" w:bidi="zh-CN"/>
      </w:rPr>
    </w:lvl>
    <w:lvl w:ilvl="2">
      <w:start w:val="0"/>
      <w:numFmt w:val="bullet"/>
      <w:lvlText w:val="•"/>
      <w:lvlJc w:val="left"/>
      <w:pPr>
        <w:ind w:left="3733" w:hanging="529"/>
      </w:pPr>
      <w:rPr>
        <w:rFonts w:hint="default"/>
        <w:lang w:val="zh-CN" w:eastAsia="zh-CN" w:bidi="zh-CN"/>
      </w:rPr>
    </w:lvl>
    <w:lvl w:ilvl="3">
      <w:start w:val="0"/>
      <w:numFmt w:val="bullet"/>
      <w:lvlText w:val="•"/>
      <w:lvlJc w:val="left"/>
      <w:pPr>
        <w:ind w:left="4579" w:hanging="529"/>
      </w:pPr>
      <w:rPr>
        <w:rFonts w:hint="default"/>
        <w:lang w:val="zh-CN" w:eastAsia="zh-CN" w:bidi="zh-CN"/>
      </w:rPr>
    </w:lvl>
    <w:lvl w:ilvl="4">
      <w:start w:val="0"/>
      <w:numFmt w:val="bullet"/>
      <w:lvlText w:val="•"/>
      <w:lvlJc w:val="left"/>
      <w:pPr>
        <w:ind w:left="5426" w:hanging="529"/>
      </w:pPr>
      <w:rPr>
        <w:rFonts w:hint="default"/>
        <w:lang w:val="zh-CN" w:eastAsia="zh-CN" w:bidi="zh-CN"/>
      </w:rPr>
    </w:lvl>
    <w:lvl w:ilvl="5">
      <w:start w:val="0"/>
      <w:numFmt w:val="bullet"/>
      <w:lvlText w:val="•"/>
      <w:lvlJc w:val="left"/>
      <w:pPr>
        <w:ind w:left="6273" w:hanging="529"/>
      </w:pPr>
      <w:rPr>
        <w:rFonts w:hint="default"/>
        <w:lang w:val="zh-CN" w:eastAsia="zh-CN" w:bidi="zh-CN"/>
      </w:rPr>
    </w:lvl>
    <w:lvl w:ilvl="6">
      <w:start w:val="0"/>
      <w:numFmt w:val="bullet"/>
      <w:lvlText w:val="•"/>
      <w:lvlJc w:val="left"/>
      <w:pPr>
        <w:ind w:left="7119" w:hanging="529"/>
      </w:pPr>
      <w:rPr>
        <w:rFonts w:hint="default"/>
        <w:lang w:val="zh-CN" w:eastAsia="zh-CN" w:bidi="zh-CN"/>
      </w:rPr>
    </w:lvl>
    <w:lvl w:ilvl="7">
      <w:start w:val="0"/>
      <w:numFmt w:val="bullet"/>
      <w:lvlText w:val="•"/>
      <w:lvlJc w:val="left"/>
      <w:pPr>
        <w:ind w:left="7966" w:hanging="529"/>
      </w:pPr>
      <w:rPr>
        <w:rFonts w:hint="default"/>
        <w:lang w:val="zh-CN" w:eastAsia="zh-CN" w:bidi="zh-CN"/>
      </w:rPr>
    </w:lvl>
    <w:lvl w:ilvl="8">
      <w:start w:val="0"/>
      <w:numFmt w:val="bullet"/>
      <w:lvlText w:val="•"/>
      <w:lvlJc w:val="left"/>
      <w:pPr>
        <w:ind w:left="8813" w:hanging="529"/>
      </w:pPr>
      <w:rPr>
        <w:rFonts w:hint="default"/>
        <w:lang w:val="zh-CN" w:eastAsia="zh-CN" w:bidi="zh-CN"/>
      </w:rPr>
    </w:lvl>
  </w:abstractNum>
  <w:abstractNum w:abstractNumId="11">
    <w:multiLevelType w:val="hybridMultilevel"/>
    <w:lvl w:ilvl="0">
      <w:start w:val="10"/>
      <w:numFmt w:val="decimal"/>
      <w:lvlText w:val="%1"/>
      <w:lvlJc w:val="left"/>
      <w:pPr>
        <w:ind w:left="1941" w:hanging="424"/>
        <w:jc w:val="left"/>
      </w:pPr>
      <w:rPr>
        <w:rFonts w:hint="default"/>
        <w:lang w:val="zh-CN" w:eastAsia="zh-CN" w:bidi="zh-CN"/>
      </w:rPr>
    </w:lvl>
    <w:lvl w:ilvl="1">
      <w:start w:val="1"/>
      <w:numFmt w:val="decimal"/>
      <w:lvlText w:val="%1.%2"/>
      <w:lvlJc w:val="left"/>
      <w:pPr>
        <w:ind w:left="1941" w:hanging="424"/>
        <w:jc w:val="left"/>
      </w:pPr>
      <w:rPr>
        <w:rFonts w:hint="default" w:ascii="宋体" w:hAnsi="宋体" w:eastAsia="宋体" w:cs="宋体"/>
        <w:w w:val="100"/>
        <w:sz w:val="19"/>
        <w:szCs w:val="19"/>
        <w:lang w:val="zh-CN" w:eastAsia="zh-CN" w:bidi="zh-CN"/>
      </w:rPr>
    </w:lvl>
    <w:lvl w:ilvl="2">
      <w:start w:val="0"/>
      <w:numFmt w:val="bullet"/>
      <w:lvlText w:val="•"/>
      <w:lvlJc w:val="left"/>
      <w:pPr>
        <w:ind w:left="3653" w:hanging="424"/>
      </w:pPr>
      <w:rPr>
        <w:rFonts w:hint="default"/>
        <w:lang w:val="zh-CN" w:eastAsia="zh-CN" w:bidi="zh-CN"/>
      </w:rPr>
    </w:lvl>
    <w:lvl w:ilvl="3">
      <w:start w:val="0"/>
      <w:numFmt w:val="bullet"/>
      <w:lvlText w:val="•"/>
      <w:lvlJc w:val="left"/>
      <w:pPr>
        <w:ind w:left="4509" w:hanging="424"/>
      </w:pPr>
      <w:rPr>
        <w:rFonts w:hint="default"/>
        <w:lang w:val="zh-CN" w:eastAsia="zh-CN" w:bidi="zh-CN"/>
      </w:rPr>
    </w:lvl>
    <w:lvl w:ilvl="4">
      <w:start w:val="0"/>
      <w:numFmt w:val="bullet"/>
      <w:lvlText w:val="•"/>
      <w:lvlJc w:val="left"/>
      <w:pPr>
        <w:ind w:left="5366" w:hanging="424"/>
      </w:pPr>
      <w:rPr>
        <w:rFonts w:hint="default"/>
        <w:lang w:val="zh-CN" w:eastAsia="zh-CN" w:bidi="zh-CN"/>
      </w:rPr>
    </w:lvl>
    <w:lvl w:ilvl="5">
      <w:start w:val="0"/>
      <w:numFmt w:val="bullet"/>
      <w:lvlText w:val="•"/>
      <w:lvlJc w:val="left"/>
      <w:pPr>
        <w:ind w:left="6223" w:hanging="424"/>
      </w:pPr>
      <w:rPr>
        <w:rFonts w:hint="default"/>
        <w:lang w:val="zh-CN" w:eastAsia="zh-CN" w:bidi="zh-CN"/>
      </w:rPr>
    </w:lvl>
    <w:lvl w:ilvl="6">
      <w:start w:val="0"/>
      <w:numFmt w:val="bullet"/>
      <w:lvlText w:val="•"/>
      <w:lvlJc w:val="left"/>
      <w:pPr>
        <w:ind w:left="7079" w:hanging="424"/>
      </w:pPr>
      <w:rPr>
        <w:rFonts w:hint="default"/>
        <w:lang w:val="zh-CN" w:eastAsia="zh-CN" w:bidi="zh-CN"/>
      </w:rPr>
    </w:lvl>
    <w:lvl w:ilvl="7">
      <w:start w:val="0"/>
      <w:numFmt w:val="bullet"/>
      <w:lvlText w:val="•"/>
      <w:lvlJc w:val="left"/>
      <w:pPr>
        <w:ind w:left="7936" w:hanging="424"/>
      </w:pPr>
      <w:rPr>
        <w:rFonts w:hint="default"/>
        <w:lang w:val="zh-CN" w:eastAsia="zh-CN" w:bidi="zh-CN"/>
      </w:rPr>
    </w:lvl>
    <w:lvl w:ilvl="8">
      <w:start w:val="0"/>
      <w:numFmt w:val="bullet"/>
      <w:lvlText w:val="•"/>
      <w:lvlJc w:val="left"/>
      <w:pPr>
        <w:ind w:left="8793" w:hanging="424"/>
      </w:pPr>
      <w:rPr>
        <w:rFonts w:hint="default"/>
        <w:lang w:val="zh-CN" w:eastAsia="zh-CN" w:bidi="zh-CN"/>
      </w:rPr>
    </w:lvl>
  </w:abstractNum>
  <w:abstractNum w:abstractNumId="10">
    <w:multiLevelType w:val="hybridMultilevel"/>
    <w:lvl w:ilvl="0">
      <w:start w:val="9"/>
      <w:numFmt w:val="decimal"/>
      <w:lvlText w:val="%1"/>
      <w:lvlJc w:val="left"/>
      <w:pPr>
        <w:ind w:left="1835" w:hanging="318"/>
        <w:jc w:val="left"/>
      </w:pPr>
      <w:rPr>
        <w:rFonts w:hint="default"/>
        <w:lang w:val="zh-CN" w:eastAsia="zh-CN" w:bidi="zh-CN"/>
      </w:rPr>
    </w:lvl>
    <w:lvl w:ilvl="1">
      <w:start w:val="1"/>
      <w:numFmt w:val="decimal"/>
      <w:lvlText w:val="%1.%2"/>
      <w:lvlJc w:val="left"/>
      <w:pPr>
        <w:ind w:left="1835" w:hanging="318"/>
        <w:jc w:val="left"/>
      </w:pPr>
      <w:rPr>
        <w:rFonts w:hint="default" w:ascii="宋体" w:hAnsi="宋体" w:eastAsia="宋体" w:cs="宋体"/>
        <w:spacing w:val="-3"/>
        <w:w w:val="100"/>
        <w:sz w:val="19"/>
        <w:szCs w:val="19"/>
        <w:lang w:val="zh-CN" w:eastAsia="zh-CN" w:bidi="zh-CN"/>
      </w:rPr>
    </w:lvl>
    <w:lvl w:ilvl="2">
      <w:start w:val="0"/>
      <w:numFmt w:val="bullet"/>
      <w:lvlText w:val="•"/>
      <w:lvlJc w:val="left"/>
      <w:pPr>
        <w:ind w:left="3573" w:hanging="318"/>
      </w:pPr>
      <w:rPr>
        <w:rFonts w:hint="default"/>
        <w:lang w:val="zh-CN" w:eastAsia="zh-CN" w:bidi="zh-CN"/>
      </w:rPr>
    </w:lvl>
    <w:lvl w:ilvl="3">
      <w:start w:val="0"/>
      <w:numFmt w:val="bullet"/>
      <w:lvlText w:val="•"/>
      <w:lvlJc w:val="left"/>
      <w:pPr>
        <w:ind w:left="4439" w:hanging="318"/>
      </w:pPr>
      <w:rPr>
        <w:rFonts w:hint="default"/>
        <w:lang w:val="zh-CN" w:eastAsia="zh-CN" w:bidi="zh-CN"/>
      </w:rPr>
    </w:lvl>
    <w:lvl w:ilvl="4">
      <w:start w:val="0"/>
      <w:numFmt w:val="bullet"/>
      <w:lvlText w:val="•"/>
      <w:lvlJc w:val="left"/>
      <w:pPr>
        <w:ind w:left="5306" w:hanging="318"/>
      </w:pPr>
      <w:rPr>
        <w:rFonts w:hint="default"/>
        <w:lang w:val="zh-CN" w:eastAsia="zh-CN" w:bidi="zh-CN"/>
      </w:rPr>
    </w:lvl>
    <w:lvl w:ilvl="5">
      <w:start w:val="0"/>
      <w:numFmt w:val="bullet"/>
      <w:lvlText w:val="•"/>
      <w:lvlJc w:val="left"/>
      <w:pPr>
        <w:ind w:left="6173" w:hanging="318"/>
      </w:pPr>
      <w:rPr>
        <w:rFonts w:hint="default"/>
        <w:lang w:val="zh-CN" w:eastAsia="zh-CN" w:bidi="zh-CN"/>
      </w:rPr>
    </w:lvl>
    <w:lvl w:ilvl="6">
      <w:start w:val="0"/>
      <w:numFmt w:val="bullet"/>
      <w:lvlText w:val="•"/>
      <w:lvlJc w:val="left"/>
      <w:pPr>
        <w:ind w:left="7039" w:hanging="318"/>
      </w:pPr>
      <w:rPr>
        <w:rFonts w:hint="default"/>
        <w:lang w:val="zh-CN" w:eastAsia="zh-CN" w:bidi="zh-CN"/>
      </w:rPr>
    </w:lvl>
    <w:lvl w:ilvl="7">
      <w:start w:val="0"/>
      <w:numFmt w:val="bullet"/>
      <w:lvlText w:val="•"/>
      <w:lvlJc w:val="left"/>
      <w:pPr>
        <w:ind w:left="7906" w:hanging="318"/>
      </w:pPr>
      <w:rPr>
        <w:rFonts w:hint="default"/>
        <w:lang w:val="zh-CN" w:eastAsia="zh-CN" w:bidi="zh-CN"/>
      </w:rPr>
    </w:lvl>
    <w:lvl w:ilvl="8">
      <w:start w:val="0"/>
      <w:numFmt w:val="bullet"/>
      <w:lvlText w:val="•"/>
      <w:lvlJc w:val="left"/>
      <w:pPr>
        <w:ind w:left="8773" w:hanging="318"/>
      </w:pPr>
      <w:rPr>
        <w:rFonts w:hint="default"/>
        <w:lang w:val="zh-CN" w:eastAsia="zh-CN" w:bidi="zh-CN"/>
      </w:rPr>
    </w:lvl>
  </w:abstractNum>
  <w:abstractNum w:abstractNumId="9">
    <w:multiLevelType w:val="hybridMultilevel"/>
    <w:lvl w:ilvl="0">
      <w:start w:val="8"/>
      <w:numFmt w:val="decimal"/>
      <w:lvlText w:val="%1"/>
      <w:lvlJc w:val="left"/>
      <w:pPr>
        <w:ind w:left="1835" w:hanging="318"/>
        <w:jc w:val="left"/>
      </w:pPr>
      <w:rPr>
        <w:rFonts w:hint="default"/>
        <w:lang w:val="zh-CN" w:eastAsia="zh-CN" w:bidi="zh-CN"/>
      </w:rPr>
    </w:lvl>
    <w:lvl w:ilvl="1">
      <w:start w:val="1"/>
      <w:numFmt w:val="decimal"/>
      <w:lvlText w:val="%1.%2"/>
      <w:lvlJc w:val="left"/>
      <w:pPr>
        <w:ind w:left="1835" w:hanging="318"/>
        <w:jc w:val="left"/>
      </w:pPr>
      <w:rPr>
        <w:rFonts w:hint="default" w:ascii="宋体" w:hAnsi="宋体" w:eastAsia="宋体" w:cs="宋体"/>
        <w:spacing w:val="-3"/>
        <w:w w:val="100"/>
        <w:sz w:val="19"/>
        <w:szCs w:val="19"/>
        <w:lang w:val="zh-CN" w:eastAsia="zh-CN" w:bidi="zh-CN"/>
      </w:rPr>
    </w:lvl>
    <w:lvl w:ilvl="2">
      <w:start w:val="0"/>
      <w:numFmt w:val="bullet"/>
      <w:lvlText w:val="•"/>
      <w:lvlJc w:val="left"/>
      <w:pPr>
        <w:ind w:left="3573" w:hanging="318"/>
      </w:pPr>
      <w:rPr>
        <w:rFonts w:hint="default"/>
        <w:lang w:val="zh-CN" w:eastAsia="zh-CN" w:bidi="zh-CN"/>
      </w:rPr>
    </w:lvl>
    <w:lvl w:ilvl="3">
      <w:start w:val="0"/>
      <w:numFmt w:val="bullet"/>
      <w:lvlText w:val="•"/>
      <w:lvlJc w:val="left"/>
      <w:pPr>
        <w:ind w:left="4439" w:hanging="318"/>
      </w:pPr>
      <w:rPr>
        <w:rFonts w:hint="default"/>
        <w:lang w:val="zh-CN" w:eastAsia="zh-CN" w:bidi="zh-CN"/>
      </w:rPr>
    </w:lvl>
    <w:lvl w:ilvl="4">
      <w:start w:val="0"/>
      <w:numFmt w:val="bullet"/>
      <w:lvlText w:val="•"/>
      <w:lvlJc w:val="left"/>
      <w:pPr>
        <w:ind w:left="5306" w:hanging="318"/>
      </w:pPr>
      <w:rPr>
        <w:rFonts w:hint="default"/>
        <w:lang w:val="zh-CN" w:eastAsia="zh-CN" w:bidi="zh-CN"/>
      </w:rPr>
    </w:lvl>
    <w:lvl w:ilvl="5">
      <w:start w:val="0"/>
      <w:numFmt w:val="bullet"/>
      <w:lvlText w:val="•"/>
      <w:lvlJc w:val="left"/>
      <w:pPr>
        <w:ind w:left="6173" w:hanging="318"/>
      </w:pPr>
      <w:rPr>
        <w:rFonts w:hint="default"/>
        <w:lang w:val="zh-CN" w:eastAsia="zh-CN" w:bidi="zh-CN"/>
      </w:rPr>
    </w:lvl>
    <w:lvl w:ilvl="6">
      <w:start w:val="0"/>
      <w:numFmt w:val="bullet"/>
      <w:lvlText w:val="•"/>
      <w:lvlJc w:val="left"/>
      <w:pPr>
        <w:ind w:left="7039" w:hanging="318"/>
      </w:pPr>
      <w:rPr>
        <w:rFonts w:hint="default"/>
        <w:lang w:val="zh-CN" w:eastAsia="zh-CN" w:bidi="zh-CN"/>
      </w:rPr>
    </w:lvl>
    <w:lvl w:ilvl="7">
      <w:start w:val="0"/>
      <w:numFmt w:val="bullet"/>
      <w:lvlText w:val="•"/>
      <w:lvlJc w:val="left"/>
      <w:pPr>
        <w:ind w:left="7906" w:hanging="318"/>
      </w:pPr>
      <w:rPr>
        <w:rFonts w:hint="default"/>
        <w:lang w:val="zh-CN" w:eastAsia="zh-CN" w:bidi="zh-CN"/>
      </w:rPr>
    </w:lvl>
    <w:lvl w:ilvl="8">
      <w:start w:val="0"/>
      <w:numFmt w:val="bullet"/>
      <w:lvlText w:val="•"/>
      <w:lvlJc w:val="left"/>
      <w:pPr>
        <w:ind w:left="8773" w:hanging="318"/>
      </w:pPr>
      <w:rPr>
        <w:rFonts w:hint="default"/>
        <w:lang w:val="zh-CN" w:eastAsia="zh-CN" w:bidi="zh-CN"/>
      </w:rPr>
    </w:lvl>
  </w:abstractNum>
  <w:abstractNum w:abstractNumId="8">
    <w:multiLevelType w:val="hybridMultilevel"/>
    <w:lvl w:ilvl="0">
      <w:start w:val="7"/>
      <w:numFmt w:val="decimal"/>
      <w:lvlText w:val="%1"/>
      <w:lvlJc w:val="left"/>
      <w:pPr>
        <w:ind w:left="1835" w:hanging="318"/>
        <w:jc w:val="left"/>
      </w:pPr>
      <w:rPr>
        <w:rFonts w:hint="default"/>
        <w:lang w:val="zh-CN" w:eastAsia="zh-CN" w:bidi="zh-CN"/>
      </w:rPr>
    </w:lvl>
    <w:lvl w:ilvl="1">
      <w:start w:val="1"/>
      <w:numFmt w:val="decimal"/>
      <w:lvlText w:val="%1.%2"/>
      <w:lvlJc w:val="left"/>
      <w:pPr>
        <w:ind w:left="1835" w:hanging="318"/>
        <w:jc w:val="left"/>
      </w:pPr>
      <w:rPr>
        <w:rFonts w:hint="default" w:ascii="宋体" w:hAnsi="宋体" w:eastAsia="宋体" w:cs="宋体"/>
        <w:spacing w:val="-3"/>
        <w:w w:val="100"/>
        <w:sz w:val="19"/>
        <w:szCs w:val="19"/>
        <w:lang w:val="zh-CN" w:eastAsia="zh-CN" w:bidi="zh-CN"/>
      </w:rPr>
    </w:lvl>
    <w:lvl w:ilvl="2">
      <w:start w:val="0"/>
      <w:numFmt w:val="bullet"/>
      <w:lvlText w:val="•"/>
      <w:lvlJc w:val="left"/>
      <w:pPr>
        <w:ind w:left="3573" w:hanging="318"/>
      </w:pPr>
      <w:rPr>
        <w:rFonts w:hint="default"/>
        <w:lang w:val="zh-CN" w:eastAsia="zh-CN" w:bidi="zh-CN"/>
      </w:rPr>
    </w:lvl>
    <w:lvl w:ilvl="3">
      <w:start w:val="0"/>
      <w:numFmt w:val="bullet"/>
      <w:lvlText w:val="•"/>
      <w:lvlJc w:val="left"/>
      <w:pPr>
        <w:ind w:left="4439" w:hanging="318"/>
      </w:pPr>
      <w:rPr>
        <w:rFonts w:hint="default"/>
        <w:lang w:val="zh-CN" w:eastAsia="zh-CN" w:bidi="zh-CN"/>
      </w:rPr>
    </w:lvl>
    <w:lvl w:ilvl="4">
      <w:start w:val="0"/>
      <w:numFmt w:val="bullet"/>
      <w:lvlText w:val="•"/>
      <w:lvlJc w:val="left"/>
      <w:pPr>
        <w:ind w:left="5306" w:hanging="318"/>
      </w:pPr>
      <w:rPr>
        <w:rFonts w:hint="default"/>
        <w:lang w:val="zh-CN" w:eastAsia="zh-CN" w:bidi="zh-CN"/>
      </w:rPr>
    </w:lvl>
    <w:lvl w:ilvl="5">
      <w:start w:val="0"/>
      <w:numFmt w:val="bullet"/>
      <w:lvlText w:val="•"/>
      <w:lvlJc w:val="left"/>
      <w:pPr>
        <w:ind w:left="6173" w:hanging="318"/>
      </w:pPr>
      <w:rPr>
        <w:rFonts w:hint="default"/>
        <w:lang w:val="zh-CN" w:eastAsia="zh-CN" w:bidi="zh-CN"/>
      </w:rPr>
    </w:lvl>
    <w:lvl w:ilvl="6">
      <w:start w:val="0"/>
      <w:numFmt w:val="bullet"/>
      <w:lvlText w:val="•"/>
      <w:lvlJc w:val="left"/>
      <w:pPr>
        <w:ind w:left="7039" w:hanging="318"/>
      </w:pPr>
      <w:rPr>
        <w:rFonts w:hint="default"/>
        <w:lang w:val="zh-CN" w:eastAsia="zh-CN" w:bidi="zh-CN"/>
      </w:rPr>
    </w:lvl>
    <w:lvl w:ilvl="7">
      <w:start w:val="0"/>
      <w:numFmt w:val="bullet"/>
      <w:lvlText w:val="•"/>
      <w:lvlJc w:val="left"/>
      <w:pPr>
        <w:ind w:left="7906" w:hanging="318"/>
      </w:pPr>
      <w:rPr>
        <w:rFonts w:hint="default"/>
        <w:lang w:val="zh-CN" w:eastAsia="zh-CN" w:bidi="zh-CN"/>
      </w:rPr>
    </w:lvl>
    <w:lvl w:ilvl="8">
      <w:start w:val="0"/>
      <w:numFmt w:val="bullet"/>
      <w:lvlText w:val="•"/>
      <w:lvlJc w:val="left"/>
      <w:pPr>
        <w:ind w:left="8773" w:hanging="318"/>
      </w:pPr>
      <w:rPr>
        <w:rFonts w:hint="default"/>
        <w:lang w:val="zh-CN" w:eastAsia="zh-CN" w:bidi="zh-CN"/>
      </w:rPr>
    </w:lvl>
  </w:abstractNum>
  <w:abstractNum w:abstractNumId="7">
    <w:multiLevelType w:val="hybridMultilevel"/>
    <w:lvl w:ilvl="0">
      <w:start w:val="6"/>
      <w:numFmt w:val="decimal"/>
      <w:lvlText w:val="%1"/>
      <w:lvlJc w:val="left"/>
      <w:pPr>
        <w:ind w:left="1835" w:hanging="318"/>
        <w:jc w:val="left"/>
      </w:pPr>
      <w:rPr>
        <w:rFonts w:hint="default"/>
        <w:lang w:val="zh-CN" w:eastAsia="zh-CN" w:bidi="zh-CN"/>
      </w:rPr>
    </w:lvl>
    <w:lvl w:ilvl="1">
      <w:start w:val="1"/>
      <w:numFmt w:val="decimal"/>
      <w:lvlText w:val="%1.%2"/>
      <w:lvlJc w:val="left"/>
      <w:pPr>
        <w:ind w:left="1835" w:hanging="318"/>
        <w:jc w:val="left"/>
      </w:pPr>
      <w:rPr>
        <w:rFonts w:hint="default" w:ascii="宋体" w:hAnsi="宋体" w:eastAsia="宋体" w:cs="宋体"/>
        <w:spacing w:val="-3"/>
        <w:w w:val="100"/>
        <w:sz w:val="19"/>
        <w:szCs w:val="19"/>
        <w:lang w:val="zh-CN" w:eastAsia="zh-CN" w:bidi="zh-CN"/>
      </w:rPr>
    </w:lvl>
    <w:lvl w:ilvl="2">
      <w:start w:val="0"/>
      <w:numFmt w:val="bullet"/>
      <w:lvlText w:val="•"/>
      <w:lvlJc w:val="left"/>
      <w:pPr>
        <w:ind w:left="3573" w:hanging="318"/>
      </w:pPr>
      <w:rPr>
        <w:rFonts w:hint="default"/>
        <w:lang w:val="zh-CN" w:eastAsia="zh-CN" w:bidi="zh-CN"/>
      </w:rPr>
    </w:lvl>
    <w:lvl w:ilvl="3">
      <w:start w:val="0"/>
      <w:numFmt w:val="bullet"/>
      <w:lvlText w:val="•"/>
      <w:lvlJc w:val="left"/>
      <w:pPr>
        <w:ind w:left="4439" w:hanging="318"/>
      </w:pPr>
      <w:rPr>
        <w:rFonts w:hint="default"/>
        <w:lang w:val="zh-CN" w:eastAsia="zh-CN" w:bidi="zh-CN"/>
      </w:rPr>
    </w:lvl>
    <w:lvl w:ilvl="4">
      <w:start w:val="0"/>
      <w:numFmt w:val="bullet"/>
      <w:lvlText w:val="•"/>
      <w:lvlJc w:val="left"/>
      <w:pPr>
        <w:ind w:left="5306" w:hanging="318"/>
      </w:pPr>
      <w:rPr>
        <w:rFonts w:hint="default"/>
        <w:lang w:val="zh-CN" w:eastAsia="zh-CN" w:bidi="zh-CN"/>
      </w:rPr>
    </w:lvl>
    <w:lvl w:ilvl="5">
      <w:start w:val="0"/>
      <w:numFmt w:val="bullet"/>
      <w:lvlText w:val="•"/>
      <w:lvlJc w:val="left"/>
      <w:pPr>
        <w:ind w:left="6173" w:hanging="318"/>
      </w:pPr>
      <w:rPr>
        <w:rFonts w:hint="default"/>
        <w:lang w:val="zh-CN" w:eastAsia="zh-CN" w:bidi="zh-CN"/>
      </w:rPr>
    </w:lvl>
    <w:lvl w:ilvl="6">
      <w:start w:val="0"/>
      <w:numFmt w:val="bullet"/>
      <w:lvlText w:val="•"/>
      <w:lvlJc w:val="left"/>
      <w:pPr>
        <w:ind w:left="7039" w:hanging="318"/>
      </w:pPr>
      <w:rPr>
        <w:rFonts w:hint="default"/>
        <w:lang w:val="zh-CN" w:eastAsia="zh-CN" w:bidi="zh-CN"/>
      </w:rPr>
    </w:lvl>
    <w:lvl w:ilvl="7">
      <w:start w:val="0"/>
      <w:numFmt w:val="bullet"/>
      <w:lvlText w:val="•"/>
      <w:lvlJc w:val="left"/>
      <w:pPr>
        <w:ind w:left="7906" w:hanging="318"/>
      </w:pPr>
      <w:rPr>
        <w:rFonts w:hint="default"/>
        <w:lang w:val="zh-CN" w:eastAsia="zh-CN" w:bidi="zh-CN"/>
      </w:rPr>
    </w:lvl>
    <w:lvl w:ilvl="8">
      <w:start w:val="0"/>
      <w:numFmt w:val="bullet"/>
      <w:lvlText w:val="•"/>
      <w:lvlJc w:val="left"/>
      <w:pPr>
        <w:ind w:left="8773" w:hanging="318"/>
      </w:pPr>
      <w:rPr>
        <w:rFonts w:hint="default"/>
        <w:lang w:val="zh-CN" w:eastAsia="zh-CN" w:bidi="zh-CN"/>
      </w:rPr>
    </w:lvl>
  </w:abstractNum>
  <w:abstractNum w:abstractNumId="6">
    <w:multiLevelType w:val="hybridMultilevel"/>
    <w:lvl w:ilvl="0">
      <w:start w:val="5"/>
      <w:numFmt w:val="decimal"/>
      <w:lvlText w:val="%1"/>
      <w:lvlJc w:val="left"/>
      <w:pPr>
        <w:ind w:left="1835" w:hanging="318"/>
        <w:jc w:val="left"/>
      </w:pPr>
      <w:rPr>
        <w:rFonts w:hint="default"/>
        <w:lang w:val="zh-CN" w:eastAsia="zh-CN" w:bidi="zh-CN"/>
      </w:rPr>
    </w:lvl>
    <w:lvl w:ilvl="1">
      <w:start w:val="1"/>
      <w:numFmt w:val="decimal"/>
      <w:lvlText w:val="%1.%2"/>
      <w:lvlJc w:val="left"/>
      <w:pPr>
        <w:ind w:left="1835" w:hanging="318"/>
        <w:jc w:val="left"/>
      </w:pPr>
      <w:rPr>
        <w:rFonts w:hint="default" w:ascii="宋体" w:hAnsi="宋体" w:eastAsia="宋体" w:cs="宋体"/>
        <w:spacing w:val="-3"/>
        <w:w w:val="100"/>
        <w:sz w:val="19"/>
        <w:szCs w:val="19"/>
        <w:lang w:val="zh-CN" w:eastAsia="zh-CN" w:bidi="zh-CN"/>
      </w:rPr>
    </w:lvl>
    <w:lvl w:ilvl="2">
      <w:start w:val="0"/>
      <w:numFmt w:val="bullet"/>
      <w:lvlText w:val="•"/>
      <w:lvlJc w:val="left"/>
      <w:pPr>
        <w:ind w:left="3573" w:hanging="318"/>
      </w:pPr>
      <w:rPr>
        <w:rFonts w:hint="default"/>
        <w:lang w:val="zh-CN" w:eastAsia="zh-CN" w:bidi="zh-CN"/>
      </w:rPr>
    </w:lvl>
    <w:lvl w:ilvl="3">
      <w:start w:val="0"/>
      <w:numFmt w:val="bullet"/>
      <w:lvlText w:val="•"/>
      <w:lvlJc w:val="left"/>
      <w:pPr>
        <w:ind w:left="4439" w:hanging="318"/>
      </w:pPr>
      <w:rPr>
        <w:rFonts w:hint="default"/>
        <w:lang w:val="zh-CN" w:eastAsia="zh-CN" w:bidi="zh-CN"/>
      </w:rPr>
    </w:lvl>
    <w:lvl w:ilvl="4">
      <w:start w:val="0"/>
      <w:numFmt w:val="bullet"/>
      <w:lvlText w:val="•"/>
      <w:lvlJc w:val="left"/>
      <w:pPr>
        <w:ind w:left="5306" w:hanging="318"/>
      </w:pPr>
      <w:rPr>
        <w:rFonts w:hint="default"/>
        <w:lang w:val="zh-CN" w:eastAsia="zh-CN" w:bidi="zh-CN"/>
      </w:rPr>
    </w:lvl>
    <w:lvl w:ilvl="5">
      <w:start w:val="0"/>
      <w:numFmt w:val="bullet"/>
      <w:lvlText w:val="•"/>
      <w:lvlJc w:val="left"/>
      <w:pPr>
        <w:ind w:left="6173" w:hanging="318"/>
      </w:pPr>
      <w:rPr>
        <w:rFonts w:hint="default"/>
        <w:lang w:val="zh-CN" w:eastAsia="zh-CN" w:bidi="zh-CN"/>
      </w:rPr>
    </w:lvl>
    <w:lvl w:ilvl="6">
      <w:start w:val="0"/>
      <w:numFmt w:val="bullet"/>
      <w:lvlText w:val="•"/>
      <w:lvlJc w:val="left"/>
      <w:pPr>
        <w:ind w:left="7039" w:hanging="318"/>
      </w:pPr>
      <w:rPr>
        <w:rFonts w:hint="default"/>
        <w:lang w:val="zh-CN" w:eastAsia="zh-CN" w:bidi="zh-CN"/>
      </w:rPr>
    </w:lvl>
    <w:lvl w:ilvl="7">
      <w:start w:val="0"/>
      <w:numFmt w:val="bullet"/>
      <w:lvlText w:val="•"/>
      <w:lvlJc w:val="left"/>
      <w:pPr>
        <w:ind w:left="7906" w:hanging="318"/>
      </w:pPr>
      <w:rPr>
        <w:rFonts w:hint="default"/>
        <w:lang w:val="zh-CN" w:eastAsia="zh-CN" w:bidi="zh-CN"/>
      </w:rPr>
    </w:lvl>
    <w:lvl w:ilvl="8">
      <w:start w:val="0"/>
      <w:numFmt w:val="bullet"/>
      <w:lvlText w:val="•"/>
      <w:lvlJc w:val="left"/>
      <w:pPr>
        <w:ind w:left="8773" w:hanging="318"/>
      </w:pPr>
      <w:rPr>
        <w:rFonts w:hint="default"/>
        <w:lang w:val="zh-CN" w:eastAsia="zh-CN" w:bidi="zh-CN"/>
      </w:rPr>
    </w:lvl>
  </w:abstractNum>
  <w:abstractNum w:abstractNumId="5">
    <w:multiLevelType w:val="hybridMultilevel"/>
    <w:lvl w:ilvl="0">
      <w:start w:val="4"/>
      <w:numFmt w:val="decimal"/>
      <w:lvlText w:val="%1"/>
      <w:lvlJc w:val="left"/>
      <w:pPr>
        <w:ind w:left="1887" w:hanging="370"/>
        <w:jc w:val="left"/>
      </w:pPr>
      <w:rPr>
        <w:rFonts w:hint="default"/>
        <w:lang w:val="zh-CN" w:eastAsia="zh-CN" w:bidi="zh-CN"/>
      </w:rPr>
    </w:lvl>
    <w:lvl w:ilvl="1">
      <w:start w:val="1"/>
      <w:numFmt w:val="decimal"/>
      <w:lvlText w:val="%1.%2"/>
      <w:lvlJc w:val="left"/>
      <w:pPr>
        <w:ind w:left="1887" w:hanging="370"/>
        <w:jc w:val="left"/>
      </w:pPr>
      <w:rPr>
        <w:rFonts w:hint="default" w:ascii="宋体" w:hAnsi="宋体" w:eastAsia="宋体" w:cs="宋体"/>
        <w:w w:val="100"/>
        <w:sz w:val="21"/>
        <w:szCs w:val="21"/>
        <w:lang w:val="zh-CN" w:eastAsia="zh-CN" w:bidi="zh-CN"/>
      </w:rPr>
    </w:lvl>
    <w:lvl w:ilvl="2">
      <w:start w:val="0"/>
      <w:numFmt w:val="bullet"/>
      <w:lvlText w:val="•"/>
      <w:lvlJc w:val="left"/>
      <w:pPr>
        <w:ind w:left="3605" w:hanging="370"/>
      </w:pPr>
      <w:rPr>
        <w:rFonts w:hint="default"/>
        <w:lang w:val="zh-CN" w:eastAsia="zh-CN" w:bidi="zh-CN"/>
      </w:rPr>
    </w:lvl>
    <w:lvl w:ilvl="3">
      <w:start w:val="0"/>
      <w:numFmt w:val="bullet"/>
      <w:lvlText w:val="•"/>
      <w:lvlJc w:val="left"/>
      <w:pPr>
        <w:ind w:left="4467" w:hanging="370"/>
      </w:pPr>
      <w:rPr>
        <w:rFonts w:hint="default"/>
        <w:lang w:val="zh-CN" w:eastAsia="zh-CN" w:bidi="zh-CN"/>
      </w:rPr>
    </w:lvl>
    <w:lvl w:ilvl="4">
      <w:start w:val="0"/>
      <w:numFmt w:val="bullet"/>
      <w:lvlText w:val="•"/>
      <w:lvlJc w:val="left"/>
      <w:pPr>
        <w:ind w:left="5330" w:hanging="370"/>
      </w:pPr>
      <w:rPr>
        <w:rFonts w:hint="default"/>
        <w:lang w:val="zh-CN" w:eastAsia="zh-CN" w:bidi="zh-CN"/>
      </w:rPr>
    </w:lvl>
    <w:lvl w:ilvl="5">
      <w:start w:val="0"/>
      <w:numFmt w:val="bullet"/>
      <w:lvlText w:val="•"/>
      <w:lvlJc w:val="left"/>
      <w:pPr>
        <w:ind w:left="6193" w:hanging="370"/>
      </w:pPr>
      <w:rPr>
        <w:rFonts w:hint="default"/>
        <w:lang w:val="zh-CN" w:eastAsia="zh-CN" w:bidi="zh-CN"/>
      </w:rPr>
    </w:lvl>
    <w:lvl w:ilvl="6">
      <w:start w:val="0"/>
      <w:numFmt w:val="bullet"/>
      <w:lvlText w:val="•"/>
      <w:lvlJc w:val="left"/>
      <w:pPr>
        <w:ind w:left="7055" w:hanging="370"/>
      </w:pPr>
      <w:rPr>
        <w:rFonts w:hint="default"/>
        <w:lang w:val="zh-CN" w:eastAsia="zh-CN" w:bidi="zh-CN"/>
      </w:rPr>
    </w:lvl>
    <w:lvl w:ilvl="7">
      <w:start w:val="0"/>
      <w:numFmt w:val="bullet"/>
      <w:lvlText w:val="•"/>
      <w:lvlJc w:val="left"/>
      <w:pPr>
        <w:ind w:left="7918" w:hanging="370"/>
      </w:pPr>
      <w:rPr>
        <w:rFonts w:hint="default"/>
        <w:lang w:val="zh-CN" w:eastAsia="zh-CN" w:bidi="zh-CN"/>
      </w:rPr>
    </w:lvl>
    <w:lvl w:ilvl="8">
      <w:start w:val="0"/>
      <w:numFmt w:val="bullet"/>
      <w:lvlText w:val="•"/>
      <w:lvlJc w:val="left"/>
      <w:pPr>
        <w:ind w:left="8781" w:hanging="370"/>
      </w:pPr>
      <w:rPr>
        <w:rFonts w:hint="default"/>
        <w:lang w:val="zh-CN" w:eastAsia="zh-CN" w:bidi="zh-CN"/>
      </w:rPr>
    </w:lvl>
  </w:abstractNum>
  <w:abstractNum w:abstractNumId="4">
    <w:multiLevelType w:val="hybridMultilevel"/>
    <w:lvl w:ilvl="0">
      <w:start w:val="3"/>
      <w:numFmt w:val="decimal"/>
      <w:lvlText w:val="%1"/>
      <w:lvlJc w:val="left"/>
      <w:pPr>
        <w:ind w:left="1835" w:hanging="318"/>
        <w:jc w:val="left"/>
      </w:pPr>
      <w:rPr>
        <w:rFonts w:hint="default"/>
        <w:lang w:val="zh-CN" w:eastAsia="zh-CN" w:bidi="zh-CN"/>
      </w:rPr>
    </w:lvl>
    <w:lvl w:ilvl="1">
      <w:start w:val="1"/>
      <w:numFmt w:val="decimal"/>
      <w:lvlText w:val="%1.%2"/>
      <w:lvlJc w:val="left"/>
      <w:pPr>
        <w:ind w:left="1835" w:hanging="318"/>
        <w:jc w:val="left"/>
      </w:pPr>
      <w:rPr>
        <w:rFonts w:hint="default" w:ascii="宋体" w:hAnsi="宋体" w:eastAsia="宋体" w:cs="宋体"/>
        <w:spacing w:val="-3"/>
        <w:w w:val="100"/>
        <w:sz w:val="19"/>
        <w:szCs w:val="19"/>
        <w:lang w:val="zh-CN" w:eastAsia="zh-CN" w:bidi="zh-CN"/>
      </w:rPr>
    </w:lvl>
    <w:lvl w:ilvl="2">
      <w:start w:val="0"/>
      <w:numFmt w:val="bullet"/>
      <w:lvlText w:val="•"/>
      <w:lvlJc w:val="left"/>
      <w:pPr>
        <w:ind w:left="3573" w:hanging="318"/>
      </w:pPr>
      <w:rPr>
        <w:rFonts w:hint="default"/>
        <w:lang w:val="zh-CN" w:eastAsia="zh-CN" w:bidi="zh-CN"/>
      </w:rPr>
    </w:lvl>
    <w:lvl w:ilvl="3">
      <w:start w:val="0"/>
      <w:numFmt w:val="bullet"/>
      <w:lvlText w:val="•"/>
      <w:lvlJc w:val="left"/>
      <w:pPr>
        <w:ind w:left="4439" w:hanging="318"/>
      </w:pPr>
      <w:rPr>
        <w:rFonts w:hint="default"/>
        <w:lang w:val="zh-CN" w:eastAsia="zh-CN" w:bidi="zh-CN"/>
      </w:rPr>
    </w:lvl>
    <w:lvl w:ilvl="4">
      <w:start w:val="0"/>
      <w:numFmt w:val="bullet"/>
      <w:lvlText w:val="•"/>
      <w:lvlJc w:val="left"/>
      <w:pPr>
        <w:ind w:left="5306" w:hanging="318"/>
      </w:pPr>
      <w:rPr>
        <w:rFonts w:hint="default"/>
        <w:lang w:val="zh-CN" w:eastAsia="zh-CN" w:bidi="zh-CN"/>
      </w:rPr>
    </w:lvl>
    <w:lvl w:ilvl="5">
      <w:start w:val="0"/>
      <w:numFmt w:val="bullet"/>
      <w:lvlText w:val="•"/>
      <w:lvlJc w:val="left"/>
      <w:pPr>
        <w:ind w:left="6173" w:hanging="318"/>
      </w:pPr>
      <w:rPr>
        <w:rFonts w:hint="default"/>
        <w:lang w:val="zh-CN" w:eastAsia="zh-CN" w:bidi="zh-CN"/>
      </w:rPr>
    </w:lvl>
    <w:lvl w:ilvl="6">
      <w:start w:val="0"/>
      <w:numFmt w:val="bullet"/>
      <w:lvlText w:val="•"/>
      <w:lvlJc w:val="left"/>
      <w:pPr>
        <w:ind w:left="7039" w:hanging="318"/>
      </w:pPr>
      <w:rPr>
        <w:rFonts w:hint="default"/>
        <w:lang w:val="zh-CN" w:eastAsia="zh-CN" w:bidi="zh-CN"/>
      </w:rPr>
    </w:lvl>
    <w:lvl w:ilvl="7">
      <w:start w:val="0"/>
      <w:numFmt w:val="bullet"/>
      <w:lvlText w:val="•"/>
      <w:lvlJc w:val="left"/>
      <w:pPr>
        <w:ind w:left="7906" w:hanging="318"/>
      </w:pPr>
      <w:rPr>
        <w:rFonts w:hint="default"/>
        <w:lang w:val="zh-CN" w:eastAsia="zh-CN" w:bidi="zh-CN"/>
      </w:rPr>
    </w:lvl>
    <w:lvl w:ilvl="8">
      <w:start w:val="0"/>
      <w:numFmt w:val="bullet"/>
      <w:lvlText w:val="•"/>
      <w:lvlJc w:val="left"/>
      <w:pPr>
        <w:ind w:left="8773" w:hanging="318"/>
      </w:pPr>
      <w:rPr>
        <w:rFonts w:hint="default"/>
        <w:lang w:val="zh-CN" w:eastAsia="zh-CN" w:bidi="zh-CN"/>
      </w:rPr>
    </w:lvl>
  </w:abstractNum>
  <w:abstractNum w:abstractNumId="3">
    <w:multiLevelType w:val="hybridMultilevel"/>
    <w:lvl w:ilvl="0">
      <w:start w:val="2"/>
      <w:numFmt w:val="decimal"/>
      <w:lvlText w:val="%1"/>
      <w:lvlJc w:val="left"/>
      <w:pPr>
        <w:ind w:left="1835" w:hanging="318"/>
        <w:jc w:val="left"/>
      </w:pPr>
      <w:rPr>
        <w:rFonts w:hint="default"/>
        <w:lang w:val="zh-CN" w:eastAsia="zh-CN" w:bidi="zh-CN"/>
      </w:rPr>
    </w:lvl>
    <w:lvl w:ilvl="1">
      <w:start w:val="1"/>
      <w:numFmt w:val="decimal"/>
      <w:lvlText w:val="%1.%2"/>
      <w:lvlJc w:val="left"/>
      <w:pPr>
        <w:ind w:left="1835" w:hanging="318"/>
        <w:jc w:val="left"/>
      </w:pPr>
      <w:rPr>
        <w:rFonts w:hint="default" w:ascii="宋体" w:hAnsi="宋体" w:eastAsia="宋体" w:cs="宋体"/>
        <w:spacing w:val="-3"/>
        <w:w w:val="100"/>
        <w:sz w:val="19"/>
        <w:szCs w:val="19"/>
        <w:lang w:val="zh-CN" w:eastAsia="zh-CN" w:bidi="zh-CN"/>
      </w:rPr>
    </w:lvl>
    <w:lvl w:ilvl="2">
      <w:start w:val="0"/>
      <w:numFmt w:val="bullet"/>
      <w:lvlText w:val="•"/>
      <w:lvlJc w:val="left"/>
      <w:pPr>
        <w:ind w:left="3573" w:hanging="318"/>
      </w:pPr>
      <w:rPr>
        <w:rFonts w:hint="default"/>
        <w:lang w:val="zh-CN" w:eastAsia="zh-CN" w:bidi="zh-CN"/>
      </w:rPr>
    </w:lvl>
    <w:lvl w:ilvl="3">
      <w:start w:val="0"/>
      <w:numFmt w:val="bullet"/>
      <w:lvlText w:val="•"/>
      <w:lvlJc w:val="left"/>
      <w:pPr>
        <w:ind w:left="4439" w:hanging="318"/>
      </w:pPr>
      <w:rPr>
        <w:rFonts w:hint="default"/>
        <w:lang w:val="zh-CN" w:eastAsia="zh-CN" w:bidi="zh-CN"/>
      </w:rPr>
    </w:lvl>
    <w:lvl w:ilvl="4">
      <w:start w:val="0"/>
      <w:numFmt w:val="bullet"/>
      <w:lvlText w:val="•"/>
      <w:lvlJc w:val="left"/>
      <w:pPr>
        <w:ind w:left="5306" w:hanging="318"/>
      </w:pPr>
      <w:rPr>
        <w:rFonts w:hint="default"/>
        <w:lang w:val="zh-CN" w:eastAsia="zh-CN" w:bidi="zh-CN"/>
      </w:rPr>
    </w:lvl>
    <w:lvl w:ilvl="5">
      <w:start w:val="0"/>
      <w:numFmt w:val="bullet"/>
      <w:lvlText w:val="•"/>
      <w:lvlJc w:val="left"/>
      <w:pPr>
        <w:ind w:left="6173" w:hanging="318"/>
      </w:pPr>
      <w:rPr>
        <w:rFonts w:hint="default"/>
        <w:lang w:val="zh-CN" w:eastAsia="zh-CN" w:bidi="zh-CN"/>
      </w:rPr>
    </w:lvl>
    <w:lvl w:ilvl="6">
      <w:start w:val="0"/>
      <w:numFmt w:val="bullet"/>
      <w:lvlText w:val="•"/>
      <w:lvlJc w:val="left"/>
      <w:pPr>
        <w:ind w:left="7039" w:hanging="318"/>
      </w:pPr>
      <w:rPr>
        <w:rFonts w:hint="default"/>
        <w:lang w:val="zh-CN" w:eastAsia="zh-CN" w:bidi="zh-CN"/>
      </w:rPr>
    </w:lvl>
    <w:lvl w:ilvl="7">
      <w:start w:val="0"/>
      <w:numFmt w:val="bullet"/>
      <w:lvlText w:val="•"/>
      <w:lvlJc w:val="left"/>
      <w:pPr>
        <w:ind w:left="7906" w:hanging="318"/>
      </w:pPr>
      <w:rPr>
        <w:rFonts w:hint="default"/>
        <w:lang w:val="zh-CN" w:eastAsia="zh-CN" w:bidi="zh-CN"/>
      </w:rPr>
    </w:lvl>
    <w:lvl w:ilvl="8">
      <w:start w:val="0"/>
      <w:numFmt w:val="bullet"/>
      <w:lvlText w:val="•"/>
      <w:lvlJc w:val="left"/>
      <w:pPr>
        <w:ind w:left="8773" w:hanging="318"/>
      </w:pPr>
      <w:rPr>
        <w:rFonts w:hint="default"/>
        <w:lang w:val="zh-CN" w:eastAsia="zh-CN" w:bidi="zh-CN"/>
      </w:rPr>
    </w:lvl>
  </w:abstractNum>
  <w:abstractNum w:abstractNumId="2">
    <w:multiLevelType w:val="hybridMultilevel"/>
    <w:lvl w:ilvl="0">
      <w:start w:val="1"/>
      <w:numFmt w:val="decimal"/>
      <w:lvlText w:val="%1"/>
      <w:lvlJc w:val="left"/>
      <w:pPr>
        <w:ind w:left="1835" w:hanging="318"/>
        <w:jc w:val="left"/>
      </w:pPr>
      <w:rPr>
        <w:rFonts w:hint="default"/>
        <w:lang w:val="zh-CN" w:eastAsia="zh-CN" w:bidi="zh-CN"/>
      </w:rPr>
    </w:lvl>
    <w:lvl w:ilvl="1">
      <w:start w:val="7"/>
      <w:numFmt w:val="decimal"/>
      <w:lvlText w:val="%1.%2"/>
      <w:lvlJc w:val="left"/>
      <w:pPr>
        <w:ind w:left="1835" w:hanging="318"/>
        <w:jc w:val="left"/>
      </w:pPr>
      <w:rPr>
        <w:rFonts w:hint="default" w:ascii="宋体" w:hAnsi="宋体" w:eastAsia="宋体" w:cs="宋体"/>
        <w:spacing w:val="-3"/>
        <w:w w:val="100"/>
        <w:sz w:val="19"/>
        <w:szCs w:val="19"/>
        <w:lang w:val="zh-CN" w:eastAsia="zh-CN" w:bidi="zh-CN"/>
      </w:rPr>
    </w:lvl>
    <w:lvl w:ilvl="2">
      <w:start w:val="0"/>
      <w:numFmt w:val="bullet"/>
      <w:lvlText w:val="•"/>
      <w:lvlJc w:val="left"/>
      <w:pPr>
        <w:ind w:left="3573" w:hanging="318"/>
      </w:pPr>
      <w:rPr>
        <w:rFonts w:hint="default"/>
        <w:lang w:val="zh-CN" w:eastAsia="zh-CN" w:bidi="zh-CN"/>
      </w:rPr>
    </w:lvl>
    <w:lvl w:ilvl="3">
      <w:start w:val="0"/>
      <w:numFmt w:val="bullet"/>
      <w:lvlText w:val="•"/>
      <w:lvlJc w:val="left"/>
      <w:pPr>
        <w:ind w:left="4439" w:hanging="318"/>
      </w:pPr>
      <w:rPr>
        <w:rFonts w:hint="default"/>
        <w:lang w:val="zh-CN" w:eastAsia="zh-CN" w:bidi="zh-CN"/>
      </w:rPr>
    </w:lvl>
    <w:lvl w:ilvl="4">
      <w:start w:val="0"/>
      <w:numFmt w:val="bullet"/>
      <w:lvlText w:val="•"/>
      <w:lvlJc w:val="left"/>
      <w:pPr>
        <w:ind w:left="5306" w:hanging="318"/>
      </w:pPr>
      <w:rPr>
        <w:rFonts w:hint="default"/>
        <w:lang w:val="zh-CN" w:eastAsia="zh-CN" w:bidi="zh-CN"/>
      </w:rPr>
    </w:lvl>
    <w:lvl w:ilvl="5">
      <w:start w:val="0"/>
      <w:numFmt w:val="bullet"/>
      <w:lvlText w:val="•"/>
      <w:lvlJc w:val="left"/>
      <w:pPr>
        <w:ind w:left="6173" w:hanging="318"/>
      </w:pPr>
      <w:rPr>
        <w:rFonts w:hint="default"/>
        <w:lang w:val="zh-CN" w:eastAsia="zh-CN" w:bidi="zh-CN"/>
      </w:rPr>
    </w:lvl>
    <w:lvl w:ilvl="6">
      <w:start w:val="0"/>
      <w:numFmt w:val="bullet"/>
      <w:lvlText w:val="•"/>
      <w:lvlJc w:val="left"/>
      <w:pPr>
        <w:ind w:left="7039" w:hanging="318"/>
      </w:pPr>
      <w:rPr>
        <w:rFonts w:hint="default"/>
        <w:lang w:val="zh-CN" w:eastAsia="zh-CN" w:bidi="zh-CN"/>
      </w:rPr>
    </w:lvl>
    <w:lvl w:ilvl="7">
      <w:start w:val="0"/>
      <w:numFmt w:val="bullet"/>
      <w:lvlText w:val="•"/>
      <w:lvlJc w:val="left"/>
      <w:pPr>
        <w:ind w:left="7906" w:hanging="318"/>
      </w:pPr>
      <w:rPr>
        <w:rFonts w:hint="default"/>
        <w:lang w:val="zh-CN" w:eastAsia="zh-CN" w:bidi="zh-CN"/>
      </w:rPr>
    </w:lvl>
    <w:lvl w:ilvl="8">
      <w:start w:val="0"/>
      <w:numFmt w:val="bullet"/>
      <w:lvlText w:val="•"/>
      <w:lvlJc w:val="left"/>
      <w:pPr>
        <w:ind w:left="8773" w:hanging="318"/>
      </w:pPr>
      <w:rPr>
        <w:rFonts w:hint="default"/>
        <w:lang w:val="zh-CN" w:eastAsia="zh-CN" w:bidi="zh-CN"/>
      </w:rPr>
    </w:lvl>
  </w:abstractNum>
  <w:abstractNum w:abstractNumId="1">
    <w:multiLevelType w:val="hybridMultilevel"/>
    <w:lvl w:ilvl="0">
      <w:start w:val="1"/>
      <w:numFmt w:val="decimal"/>
      <w:lvlText w:val="%1"/>
      <w:lvlJc w:val="left"/>
      <w:pPr>
        <w:ind w:left="1835" w:hanging="318"/>
        <w:jc w:val="left"/>
      </w:pPr>
      <w:rPr>
        <w:rFonts w:hint="default"/>
        <w:lang w:val="zh-CN" w:eastAsia="zh-CN" w:bidi="zh-CN"/>
      </w:rPr>
    </w:lvl>
    <w:lvl w:ilvl="1">
      <w:start w:val="2"/>
      <w:numFmt w:val="decimal"/>
      <w:lvlText w:val="%1.%2"/>
      <w:lvlJc w:val="left"/>
      <w:pPr>
        <w:ind w:left="1835" w:hanging="318"/>
        <w:jc w:val="left"/>
      </w:pPr>
      <w:rPr>
        <w:rFonts w:hint="default" w:ascii="宋体" w:hAnsi="宋体" w:eastAsia="宋体" w:cs="宋体"/>
        <w:spacing w:val="-3"/>
        <w:w w:val="100"/>
        <w:sz w:val="19"/>
        <w:szCs w:val="19"/>
        <w:lang w:val="zh-CN" w:eastAsia="zh-CN" w:bidi="zh-CN"/>
      </w:rPr>
    </w:lvl>
    <w:lvl w:ilvl="2">
      <w:start w:val="0"/>
      <w:numFmt w:val="bullet"/>
      <w:lvlText w:val="•"/>
      <w:lvlJc w:val="left"/>
      <w:pPr>
        <w:ind w:left="3573" w:hanging="318"/>
      </w:pPr>
      <w:rPr>
        <w:rFonts w:hint="default"/>
        <w:lang w:val="zh-CN" w:eastAsia="zh-CN" w:bidi="zh-CN"/>
      </w:rPr>
    </w:lvl>
    <w:lvl w:ilvl="3">
      <w:start w:val="0"/>
      <w:numFmt w:val="bullet"/>
      <w:lvlText w:val="•"/>
      <w:lvlJc w:val="left"/>
      <w:pPr>
        <w:ind w:left="4439" w:hanging="318"/>
      </w:pPr>
      <w:rPr>
        <w:rFonts w:hint="default"/>
        <w:lang w:val="zh-CN" w:eastAsia="zh-CN" w:bidi="zh-CN"/>
      </w:rPr>
    </w:lvl>
    <w:lvl w:ilvl="4">
      <w:start w:val="0"/>
      <w:numFmt w:val="bullet"/>
      <w:lvlText w:val="•"/>
      <w:lvlJc w:val="left"/>
      <w:pPr>
        <w:ind w:left="5306" w:hanging="318"/>
      </w:pPr>
      <w:rPr>
        <w:rFonts w:hint="default"/>
        <w:lang w:val="zh-CN" w:eastAsia="zh-CN" w:bidi="zh-CN"/>
      </w:rPr>
    </w:lvl>
    <w:lvl w:ilvl="5">
      <w:start w:val="0"/>
      <w:numFmt w:val="bullet"/>
      <w:lvlText w:val="•"/>
      <w:lvlJc w:val="left"/>
      <w:pPr>
        <w:ind w:left="6173" w:hanging="318"/>
      </w:pPr>
      <w:rPr>
        <w:rFonts w:hint="default"/>
        <w:lang w:val="zh-CN" w:eastAsia="zh-CN" w:bidi="zh-CN"/>
      </w:rPr>
    </w:lvl>
    <w:lvl w:ilvl="6">
      <w:start w:val="0"/>
      <w:numFmt w:val="bullet"/>
      <w:lvlText w:val="•"/>
      <w:lvlJc w:val="left"/>
      <w:pPr>
        <w:ind w:left="7039" w:hanging="318"/>
      </w:pPr>
      <w:rPr>
        <w:rFonts w:hint="default"/>
        <w:lang w:val="zh-CN" w:eastAsia="zh-CN" w:bidi="zh-CN"/>
      </w:rPr>
    </w:lvl>
    <w:lvl w:ilvl="7">
      <w:start w:val="0"/>
      <w:numFmt w:val="bullet"/>
      <w:lvlText w:val="•"/>
      <w:lvlJc w:val="left"/>
      <w:pPr>
        <w:ind w:left="7906" w:hanging="318"/>
      </w:pPr>
      <w:rPr>
        <w:rFonts w:hint="default"/>
        <w:lang w:val="zh-CN" w:eastAsia="zh-CN" w:bidi="zh-CN"/>
      </w:rPr>
    </w:lvl>
    <w:lvl w:ilvl="8">
      <w:start w:val="0"/>
      <w:numFmt w:val="bullet"/>
      <w:lvlText w:val="•"/>
      <w:lvlJc w:val="left"/>
      <w:pPr>
        <w:ind w:left="8773" w:hanging="318"/>
      </w:pPr>
      <w:rPr>
        <w:rFonts w:hint="default"/>
        <w:lang w:val="zh-CN" w:eastAsia="zh-CN" w:bidi="zh-CN"/>
      </w:rPr>
    </w:lvl>
  </w:abstractNum>
  <w:abstractNum w:abstractNumId="0">
    <w:multiLevelType w:val="hybridMultilevel"/>
    <w:lvl w:ilvl="0">
      <w:start w:val="1"/>
      <w:numFmt w:val="decimal"/>
      <w:lvlText w:val="%1."/>
      <w:lvlJc w:val="left"/>
      <w:pPr>
        <w:ind w:left="1310" w:hanging="213"/>
        <w:jc w:val="left"/>
      </w:pPr>
      <w:rPr>
        <w:rFonts w:hint="default" w:ascii="宋体" w:hAnsi="宋体" w:eastAsia="宋体" w:cs="宋体"/>
        <w:spacing w:val="-106"/>
        <w:w w:val="100"/>
        <w:sz w:val="19"/>
        <w:szCs w:val="19"/>
        <w:lang w:val="zh-CN" w:eastAsia="zh-CN" w:bidi="zh-CN"/>
      </w:rPr>
    </w:lvl>
    <w:lvl w:ilvl="1">
      <w:start w:val="0"/>
      <w:numFmt w:val="bullet"/>
      <w:lvlText w:val="•"/>
      <w:lvlJc w:val="left"/>
      <w:pPr>
        <w:ind w:left="2238" w:hanging="213"/>
      </w:pPr>
      <w:rPr>
        <w:rFonts w:hint="default"/>
        <w:lang w:val="zh-CN" w:eastAsia="zh-CN" w:bidi="zh-CN"/>
      </w:rPr>
    </w:lvl>
    <w:lvl w:ilvl="2">
      <w:start w:val="0"/>
      <w:numFmt w:val="bullet"/>
      <w:lvlText w:val="•"/>
      <w:lvlJc w:val="left"/>
      <w:pPr>
        <w:ind w:left="3157" w:hanging="213"/>
      </w:pPr>
      <w:rPr>
        <w:rFonts w:hint="default"/>
        <w:lang w:val="zh-CN" w:eastAsia="zh-CN" w:bidi="zh-CN"/>
      </w:rPr>
    </w:lvl>
    <w:lvl w:ilvl="3">
      <w:start w:val="0"/>
      <w:numFmt w:val="bullet"/>
      <w:lvlText w:val="•"/>
      <w:lvlJc w:val="left"/>
      <w:pPr>
        <w:ind w:left="4075" w:hanging="213"/>
      </w:pPr>
      <w:rPr>
        <w:rFonts w:hint="default"/>
        <w:lang w:val="zh-CN" w:eastAsia="zh-CN" w:bidi="zh-CN"/>
      </w:rPr>
    </w:lvl>
    <w:lvl w:ilvl="4">
      <w:start w:val="0"/>
      <w:numFmt w:val="bullet"/>
      <w:lvlText w:val="•"/>
      <w:lvlJc w:val="left"/>
      <w:pPr>
        <w:ind w:left="4994" w:hanging="213"/>
      </w:pPr>
      <w:rPr>
        <w:rFonts w:hint="default"/>
        <w:lang w:val="zh-CN" w:eastAsia="zh-CN" w:bidi="zh-CN"/>
      </w:rPr>
    </w:lvl>
    <w:lvl w:ilvl="5">
      <w:start w:val="0"/>
      <w:numFmt w:val="bullet"/>
      <w:lvlText w:val="•"/>
      <w:lvlJc w:val="left"/>
      <w:pPr>
        <w:ind w:left="5913" w:hanging="213"/>
      </w:pPr>
      <w:rPr>
        <w:rFonts w:hint="default"/>
        <w:lang w:val="zh-CN" w:eastAsia="zh-CN" w:bidi="zh-CN"/>
      </w:rPr>
    </w:lvl>
    <w:lvl w:ilvl="6">
      <w:start w:val="0"/>
      <w:numFmt w:val="bullet"/>
      <w:lvlText w:val="•"/>
      <w:lvlJc w:val="left"/>
      <w:pPr>
        <w:ind w:left="6831" w:hanging="213"/>
      </w:pPr>
      <w:rPr>
        <w:rFonts w:hint="default"/>
        <w:lang w:val="zh-CN" w:eastAsia="zh-CN" w:bidi="zh-CN"/>
      </w:rPr>
    </w:lvl>
    <w:lvl w:ilvl="7">
      <w:start w:val="0"/>
      <w:numFmt w:val="bullet"/>
      <w:lvlText w:val="•"/>
      <w:lvlJc w:val="left"/>
      <w:pPr>
        <w:ind w:left="7750" w:hanging="213"/>
      </w:pPr>
      <w:rPr>
        <w:rFonts w:hint="default"/>
        <w:lang w:val="zh-CN" w:eastAsia="zh-CN" w:bidi="zh-CN"/>
      </w:rPr>
    </w:lvl>
    <w:lvl w:ilvl="8">
      <w:start w:val="0"/>
      <w:numFmt w:val="bullet"/>
      <w:lvlText w:val="•"/>
      <w:lvlJc w:val="left"/>
      <w:pPr>
        <w:ind w:left="8669" w:hanging="213"/>
      </w:pPr>
      <w:rPr>
        <w:rFonts w:hint="default"/>
        <w:lang w:val="zh-CN" w:eastAsia="zh-CN" w:bidi="zh-CN"/>
      </w:rPr>
    </w:lvl>
  </w:abstractNum>
  <w:num w:numId="140">
    <w:abstractNumId w:val="139"/>
  </w:num>
  <w:num w:numId="142">
    <w:abstractNumId w:val="141"/>
  </w:num>
  <w:num w:numId="141">
    <w:abstractNumId w:val="140"/>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2"/>
      <w:ind w:right="1163"/>
      <w:jc w:val="right"/>
    </w:pPr>
    <w:rPr>
      <w:rFonts w:ascii="宋体" w:hAnsi="宋体" w:eastAsia="宋体" w:cs="宋体"/>
      <w:sz w:val="21"/>
      <w:szCs w:val="21"/>
      <w:lang w:val="zh-CN" w:eastAsia="zh-CN" w:bidi="zh-CN"/>
    </w:rPr>
  </w:style>
  <w:style w:styleId="TOC2" w:type="paragraph">
    <w:name w:val="TOC 2"/>
    <w:basedOn w:val="Normal"/>
    <w:uiPriority w:val="1"/>
    <w:qFormat/>
    <w:pPr>
      <w:spacing w:before="192"/>
      <w:ind w:left="678"/>
    </w:pPr>
    <w:rPr>
      <w:rFonts w:ascii="宋体" w:hAnsi="宋体" w:eastAsia="宋体" w:cs="宋体"/>
      <w:sz w:val="21"/>
      <w:szCs w:val="21"/>
      <w:lang w:val="zh-CN" w:eastAsia="zh-CN" w:bidi="zh-CN"/>
    </w:rPr>
  </w:style>
  <w:style w:styleId="TOC3" w:type="paragraph">
    <w:name w:val="TOC 3"/>
    <w:basedOn w:val="Normal"/>
    <w:uiPriority w:val="1"/>
    <w:qFormat/>
    <w:pPr>
      <w:spacing w:before="2"/>
      <w:ind w:left="1835" w:hanging="318"/>
    </w:pPr>
    <w:rPr>
      <w:rFonts w:ascii="宋体" w:hAnsi="宋体" w:eastAsia="宋体" w:cs="宋体"/>
      <w:sz w:val="21"/>
      <w:szCs w:val="21"/>
      <w:lang w:val="zh-CN" w:eastAsia="zh-CN" w:bidi="zh-CN"/>
    </w:rPr>
  </w:style>
  <w:style w:styleId="BodyText" w:type="paragraph">
    <w:name w:val="Body Text"/>
    <w:basedOn w:val="Normal"/>
    <w:uiPriority w:val="1"/>
    <w:qFormat/>
    <w:pPr>
      <w:ind w:left="678"/>
    </w:pPr>
    <w:rPr>
      <w:rFonts w:ascii="宋体" w:hAnsi="宋体" w:eastAsia="宋体" w:cs="宋体"/>
      <w:sz w:val="21"/>
      <w:szCs w:val="21"/>
      <w:lang w:val="zh-CN" w:eastAsia="zh-CN" w:bidi="zh-CN"/>
    </w:rPr>
  </w:style>
  <w:style w:styleId="Heading1" w:type="paragraph">
    <w:name w:val="Heading 1"/>
    <w:basedOn w:val="Normal"/>
    <w:uiPriority w:val="1"/>
    <w:qFormat/>
    <w:pPr>
      <w:ind w:left="297" w:right="555"/>
      <w:jc w:val="center"/>
      <w:outlineLvl w:val="1"/>
    </w:pPr>
    <w:rPr>
      <w:rFonts w:ascii="Microsoft JhengHei" w:hAnsi="Microsoft JhengHei" w:eastAsia="Microsoft JhengHei" w:cs="Microsoft JhengHei"/>
      <w:b/>
      <w:bCs/>
      <w:sz w:val="44"/>
      <w:szCs w:val="44"/>
      <w:lang w:val="zh-CN" w:eastAsia="zh-CN" w:bidi="zh-CN"/>
    </w:rPr>
  </w:style>
  <w:style w:styleId="Heading2" w:type="paragraph">
    <w:name w:val="Heading 2"/>
    <w:basedOn w:val="Normal"/>
    <w:uiPriority w:val="1"/>
    <w:qFormat/>
    <w:pPr>
      <w:ind w:left="1162"/>
      <w:outlineLvl w:val="2"/>
    </w:pPr>
    <w:rPr>
      <w:rFonts w:ascii="Microsoft JhengHei" w:hAnsi="Microsoft JhengHei" w:eastAsia="Microsoft JhengHei" w:cs="Microsoft JhengHei"/>
      <w:b/>
      <w:bCs/>
      <w:sz w:val="32"/>
      <w:szCs w:val="32"/>
      <w:lang w:val="zh-CN" w:eastAsia="zh-CN" w:bidi="zh-CN"/>
    </w:rPr>
  </w:style>
  <w:style w:styleId="Heading3" w:type="paragraph">
    <w:name w:val="Heading 3"/>
    <w:basedOn w:val="Normal"/>
    <w:uiPriority w:val="1"/>
    <w:qFormat/>
    <w:pPr>
      <w:spacing w:before="130"/>
      <w:ind w:left="1114"/>
      <w:outlineLvl w:val="3"/>
    </w:pPr>
    <w:rPr>
      <w:rFonts w:ascii="宋体" w:hAnsi="宋体" w:eastAsia="宋体" w:cs="宋体"/>
      <w:sz w:val="32"/>
      <w:szCs w:val="32"/>
      <w:lang w:val="zh-CN" w:eastAsia="zh-CN" w:bidi="zh-CN"/>
    </w:rPr>
  </w:style>
  <w:style w:styleId="Heading4" w:type="paragraph">
    <w:name w:val="Heading 4"/>
    <w:basedOn w:val="Normal"/>
    <w:uiPriority w:val="1"/>
    <w:qFormat/>
    <w:pPr>
      <w:spacing w:before="39"/>
      <w:ind w:left="678"/>
      <w:outlineLvl w:val="4"/>
    </w:pPr>
    <w:rPr>
      <w:rFonts w:ascii="宋体" w:hAnsi="宋体" w:eastAsia="宋体" w:cs="宋体"/>
      <w:sz w:val="30"/>
      <w:szCs w:val="30"/>
      <w:lang w:val="zh-CN" w:eastAsia="zh-CN" w:bidi="zh-CN"/>
    </w:rPr>
  </w:style>
  <w:style w:styleId="Heading5" w:type="paragraph">
    <w:name w:val="Heading 5"/>
    <w:basedOn w:val="Normal"/>
    <w:uiPriority w:val="1"/>
    <w:qFormat/>
    <w:pPr>
      <w:spacing w:line="480" w:lineRule="exact"/>
      <w:ind w:left="297"/>
      <w:jc w:val="center"/>
      <w:outlineLvl w:val="5"/>
    </w:pPr>
    <w:rPr>
      <w:rFonts w:ascii="Microsoft JhengHei" w:hAnsi="Microsoft JhengHei" w:eastAsia="Microsoft JhengHei" w:cs="Microsoft JhengHei"/>
      <w:b/>
      <w:bCs/>
      <w:sz w:val="28"/>
      <w:szCs w:val="28"/>
      <w:lang w:val="zh-CN" w:eastAsia="zh-CN" w:bidi="zh-CN"/>
    </w:rPr>
  </w:style>
  <w:style w:styleId="Heading6" w:type="paragraph">
    <w:name w:val="Heading 6"/>
    <w:basedOn w:val="Normal"/>
    <w:uiPriority w:val="1"/>
    <w:qFormat/>
    <w:pPr>
      <w:ind w:left="297"/>
      <w:jc w:val="center"/>
      <w:outlineLvl w:val="6"/>
    </w:pPr>
    <w:rPr>
      <w:rFonts w:ascii="Microsoft JhengHei" w:hAnsi="Microsoft JhengHei" w:eastAsia="Microsoft JhengHei" w:cs="Microsoft JhengHei"/>
      <w:b/>
      <w:bCs/>
      <w:sz w:val="24"/>
      <w:szCs w:val="24"/>
      <w:lang w:val="zh-CN" w:eastAsia="zh-CN" w:bidi="zh-CN"/>
    </w:rPr>
  </w:style>
  <w:style w:styleId="Heading7" w:type="paragraph">
    <w:name w:val="Heading 7"/>
    <w:basedOn w:val="Normal"/>
    <w:uiPriority w:val="1"/>
    <w:qFormat/>
    <w:pPr>
      <w:spacing w:before="2" w:line="274" w:lineRule="exact"/>
      <w:ind w:left="678"/>
      <w:outlineLvl w:val="7"/>
    </w:pPr>
    <w:rPr>
      <w:rFonts w:ascii="宋体" w:hAnsi="宋体" w:eastAsia="宋体" w:cs="宋体"/>
      <w:sz w:val="24"/>
      <w:szCs w:val="24"/>
      <w:lang w:val="zh-CN" w:eastAsia="zh-CN" w:bidi="zh-CN"/>
    </w:rPr>
  </w:style>
  <w:style w:styleId="Heading8" w:type="paragraph">
    <w:name w:val="Heading 8"/>
    <w:basedOn w:val="Normal"/>
    <w:uiPriority w:val="1"/>
    <w:qFormat/>
    <w:pPr>
      <w:ind w:left="1045" w:hanging="368"/>
      <w:outlineLvl w:val="8"/>
    </w:pPr>
    <w:rPr>
      <w:rFonts w:ascii="Microsoft JhengHei" w:hAnsi="Microsoft JhengHei" w:eastAsia="Microsoft JhengHei" w:cs="Microsoft JhengHei"/>
      <w:b/>
      <w:bCs/>
      <w:sz w:val="21"/>
      <w:szCs w:val="21"/>
      <w:lang w:val="zh-CN" w:eastAsia="zh-CN" w:bidi="zh-CN"/>
    </w:rPr>
  </w:style>
  <w:style w:styleId="ListParagraph" w:type="paragraph">
    <w:name w:val="List Paragraph"/>
    <w:basedOn w:val="Normal"/>
    <w:uiPriority w:val="1"/>
    <w:qFormat/>
    <w:pPr>
      <w:ind w:left="678" w:hanging="529"/>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footer" Target="footer2.xml"/><Relationship Id="rId8" Type="http://schemas.openxmlformats.org/officeDocument/2006/relationships/hyperlink" Target="http://edu.zhulong.com/exam-yijian1/" TargetMode="External"/><Relationship Id="rId9" Type="http://schemas.openxmlformats.org/officeDocument/2006/relationships/hyperlink" Target="http://www.creditchina.gov.cn/" TargetMode="External"/><Relationship Id="rId10" Type="http://schemas.openxmlformats.org/officeDocument/2006/relationships/footer" Target="footer3.xml"/><Relationship Id="rId11" Type="http://schemas.openxmlformats.org/officeDocument/2006/relationships/footer" Target="footer4.xml"/><Relationship Id="rId12" Type="http://schemas.openxmlformats.org/officeDocument/2006/relationships/hyperlink" Target="http://www.nnggzy.org.cn/gxnnhy)%E5%85%8D%E8%B4%B9%E4%B8%8B%E8%BD%BD%E6%8B%9B%E6%A0%87%E6%96%87%E4%BB%B6" TargetMode="External"/><Relationship Id="rId13" Type="http://schemas.openxmlformats.org/officeDocument/2006/relationships/hyperlink" Target="http://www.chinabidding.com.cn/" TargetMode="External"/><Relationship Id="rId14" Type="http://schemas.openxmlformats.org/officeDocument/2006/relationships/hyperlink" Target="http://www.cebpubservice.com/" TargetMode="External"/><Relationship Id="rId15" Type="http://schemas.openxmlformats.org/officeDocument/2006/relationships/hyperlink" Target="http://www.nnggzy.org.cn/" TargetMode="External"/><Relationship Id="rId16" Type="http://schemas.openxmlformats.org/officeDocument/2006/relationships/hyperlink" Target="http://www.ccgp.gov.cn/" TargetMode="External"/><Relationship Id="rId17" Type="http://schemas.openxmlformats.org/officeDocument/2006/relationships/hyperlink" Target="http://zfcg.nanning.gov.cn/" TargetMode="External"/><Relationship Id="rId18" Type="http://schemas.openxmlformats.org/officeDocument/2006/relationships/hyperlink" Target="http://www.nnggzy.org.cn/gxnnzbw/" TargetMode="External"/><Relationship Id="rId19" Type="http://schemas.openxmlformats.org/officeDocument/2006/relationships/hyperlink" Target="http://jzsc.mohurd.gov.cn/asite/jsbpp/index" TargetMode="External"/><Relationship Id="rId20" Type="http://schemas.openxmlformats.org/officeDocument/2006/relationships/image" Target="media/image2.png"/><Relationship Id="rId21" Type="http://schemas.openxmlformats.org/officeDocument/2006/relationships/image" Target="media/image3.png"/><Relationship Id="rId22" Type="http://schemas.openxmlformats.org/officeDocument/2006/relationships/image" Target="media/image4.png"/><Relationship Id="rId23" Type="http://schemas.openxmlformats.org/officeDocument/2006/relationships/image" Target="media/image5.png"/><Relationship Id="rId24" Type="http://schemas.openxmlformats.org/officeDocument/2006/relationships/image" Target="media/image6.png"/><Relationship Id="rId25" Type="http://schemas.openxmlformats.org/officeDocument/2006/relationships/image" Target="media/image7.png"/><Relationship Id="rId26" Type="http://schemas.openxmlformats.org/officeDocument/2006/relationships/image" Target="media/image8.png"/><Relationship Id="rId27" Type="http://schemas.openxmlformats.org/officeDocument/2006/relationships/image" Target="media/image9.png"/><Relationship Id="rId2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dc:title>广西壮族自治区房屋建筑和市政工程施工电子招标文件范本（2015年版）</dc:title>
  <dcterms:created xsi:type="dcterms:W3CDTF">2020-11-16T07:43:55Z</dcterms:created>
  <dcterms:modified xsi:type="dcterms:W3CDTF">2020-11-16T07:43:55Z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2020-11-16T00:00:00Z</vt:filetime>
  </property>
  <property fmtid="{D5CDD505-2E9C-101B-9397-08002B2CF9AE}" pid="3" name="Creator">
    <vt:lpwstr>Microsoft® Word 2016</vt:lpwstr>
  </property>
  <property fmtid="{D5CDD505-2E9C-101B-9397-08002B2CF9AE}" pid="4" name="LastSaved">
    <vt:filetime>2020-11-16T00:00:00Z</vt:filetime>
  </property>
</Properties>
</file>