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eastAsia="宋体" w:cs="宋体"/>
          <w:b w:val="0"/>
          <w:bCs/>
          <w:color w:val="auto"/>
          <w:spacing w:val="-8"/>
          <w:sz w:val="36"/>
          <w:szCs w:val="36"/>
          <w:lang w:eastAsia="zh-CN"/>
        </w:rPr>
      </w:pPr>
      <w:r>
        <w:rPr>
          <w:rFonts w:hint="eastAsia" w:ascii="宋体" w:hAnsi="宋体" w:cs="宋体"/>
          <w:b w:val="0"/>
          <w:bCs/>
          <w:color w:val="auto"/>
          <w:kern w:val="0"/>
          <w:sz w:val="48"/>
          <w:szCs w:val="48"/>
          <w:lang w:eastAsia="zh-CN"/>
        </w:rPr>
        <w:t>宁明县海渊镇北岩、驮邓片区高标准农田建设项目施工</w:t>
      </w:r>
    </w:p>
    <w:p>
      <w:pPr>
        <w:spacing w:line="300" w:lineRule="auto"/>
        <w:jc w:val="center"/>
        <w:rPr>
          <w:rFonts w:ascii="宋体" w:hAnsi="宋体" w:cs="宋体"/>
          <w:color w:val="auto"/>
          <w:sz w:val="72"/>
        </w:rPr>
      </w:pPr>
    </w:p>
    <w:p>
      <w:pPr>
        <w:spacing w:line="300" w:lineRule="auto"/>
        <w:jc w:val="center"/>
        <w:rPr>
          <w:rFonts w:ascii="宋体" w:hAnsi="宋体" w:cs="宋体"/>
          <w:color w:val="auto"/>
          <w:sz w:val="72"/>
        </w:rPr>
      </w:pPr>
    </w:p>
    <w:p>
      <w:pPr>
        <w:spacing w:line="300" w:lineRule="auto"/>
        <w:jc w:val="center"/>
        <w:rPr>
          <w:rFonts w:ascii="宋体" w:hAnsi="宋体" w:cs="宋体"/>
          <w:b/>
          <w:bCs/>
          <w:color w:val="auto"/>
          <w:spacing w:val="10"/>
          <w:sz w:val="28"/>
        </w:rPr>
      </w:pPr>
      <w:r>
        <w:rPr>
          <w:rFonts w:hint="eastAsia" w:ascii="宋体" w:hAnsi="宋体" w:cs="宋体"/>
          <w:color w:val="auto"/>
          <w:sz w:val="72"/>
        </w:rPr>
        <w:cr/>
      </w:r>
      <w:r>
        <w:rPr>
          <w:rFonts w:hint="eastAsia" w:ascii="宋体" w:hAnsi="宋体" w:cs="宋体"/>
          <w:bCs/>
          <w:color w:val="auto"/>
          <w:sz w:val="96"/>
          <w:szCs w:val="84"/>
        </w:rPr>
        <w:t>竞争性磋商文件</w:t>
      </w:r>
    </w:p>
    <w:p>
      <w:pPr>
        <w:spacing w:line="300" w:lineRule="auto"/>
        <w:ind w:right="-141" w:rightChars="-67"/>
        <w:jc w:val="center"/>
        <w:rPr>
          <w:rFonts w:ascii="宋体" w:hAnsi="宋体" w:cs="宋体"/>
          <w:b/>
          <w:bCs/>
          <w:color w:val="auto"/>
          <w:spacing w:val="10"/>
          <w:sz w:val="28"/>
        </w:rPr>
      </w:pPr>
    </w:p>
    <w:p>
      <w:pPr>
        <w:pStyle w:val="14"/>
        <w:rPr>
          <w:rFonts w:ascii="宋体" w:hAnsi="宋体" w:cs="宋体"/>
          <w:b w:val="0"/>
          <w:bCs w:val="0"/>
          <w:color w:val="auto"/>
          <w:spacing w:val="10"/>
          <w:sz w:val="28"/>
        </w:rPr>
      </w:pPr>
    </w:p>
    <w:p>
      <w:pPr>
        <w:spacing w:line="300" w:lineRule="auto"/>
        <w:jc w:val="center"/>
        <w:rPr>
          <w:rFonts w:hint="eastAsia" w:ascii="宋体" w:hAnsi="宋体" w:eastAsia="宋体" w:cs="宋体"/>
          <w:color w:val="auto"/>
          <w:lang w:eastAsia="zh-CN"/>
        </w:rPr>
      </w:pPr>
      <w:r>
        <w:rPr>
          <w:rFonts w:hint="eastAsia" w:ascii="宋体" w:hAnsi="宋体" w:cs="宋体"/>
          <w:b w:val="0"/>
          <w:bCs w:val="0"/>
          <w:color w:val="auto"/>
          <w:spacing w:val="10"/>
          <w:sz w:val="28"/>
        </w:rPr>
        <w:t>项目编号：</w:t>
      </w:r>
      <w:r>
        <w:rPr>
          <w:rFonts w:hint="eastAsia" w:ascii="宋体" w:hAnsi="宋体" w:cs="宋体"/>
          <w:b w:val="0"/>
          <w:bCs w:val="0"/>
          <w:color w:val="auto"/>
          <w:spacing w:val="10"/>
          <w:sz w:val="28"/>
          <w:lang w:eastAsia="zh-CN"/>
        </w:rPr>
        <w:t>CZZC2020-C2-50007-GXDT</w:t>
      </w:r>
    </w:p>
    <w:p>
      <w:pPr>
        <w:spacing w:line="300" w:lineRule="auto"/>
        <w:ind w:firstLine="1050" w:firstLineChars="500"/>
        <w:jc w:val="center"/>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ind w:firstLine="0"/>
        <w:rPr>
          <w:rFonts w:ascii="宋体" w:hAnsi="宋体" w:cs="宋体"/>
          <w:color w:val="auto"/>
        </w:rPr>
      </w:pPr>
    </w:p>
    <w:p>
      <w:pPr>
        <w:pStyle w:val="8"/>
        <w:spacing w:line="300" w:lineRule="auto"/>
        <w:ind w:firstLine="0"/>
        <w:rPr>
          <w:rFonts w:ascii="宋体" w:hAnsi="宋体" w:cs="宋体"/>
          <w:color w:val="auto"/>
        </w:rPr>
      </w:pPr>
    </w:p>
    <w:p>
      <w:pPr>
        <w:pStyle w:val="8"/>
        <w:spacing w:line="300" w:lineRule="auto"/>
        <w:ind w:firstLine="0"/>
        <w:rPr>
          <w:rFonts w:ascii="宋体" w:hAnsi="宋体" w:cs="宋体"/>
          <w:color w:val="auto"/>
        </w:rPr>
      </w:pPr>
    </w:p>
    <w:p>
      <w:pPr>
        <w:pStyle w:val="8"/>
        <w:spacing w:line="300" w:lineRule="auto"/>
        <w:ind w:firstLine="0"/>
        <w:rPr>
          <w:rFonts w:ascii="宋体" w:hAnsi="宋体" w:cs="宋体"/>
          <w:color w:val="auto"/>
        </w:rPr>
      </w:pPr>
    </w:p>
    <w:p>
      <w:pPr>
        <w:pStyle w:val="8"/>
        <w:spacing w:line="300" w:lineRule="auto"/>
        <w:ind w:firstLine="0"/>
        <w:rPr>
          <w:rFonts w:ascii="宋体" w:hAnsi="宋体" w:cs="宋体"/>
          <w:color w:val="auto"/>
        </w:rPr>
      </w:pPr>
    </w:p>
    <w:p>
      <w:pPr>
        <w:spacing w:line="300" w:lineRule="auto"/>
        <w:rPr>
          <w:rFonts w:ascii="宋体" w:hAnsi="宋体" w:cs="宋体"/>
          <w:color w:val="auto"/>
        </w:rPr>
      </w:pPr>
    </w:p>
    <w:p>
      <w:pPr>
        <w:spacing w:line="360" w:lineRule="auto"/>
        <w:rPr>
          <w:rFonts w:ascii="宋体" w:hAnsi="宋体" w:cs="宋体"/>
          <w:b w:val="0"/>
          <w:bCs w:val="0"/>
          <w:color w:val="auto"/>
          <w:sz w:val="32"/>
          <w:szCs w:val="32"/>
        </w:rPr>
      </w:pPr>
      <w:r>
        <w:rPr>
          <w:rFonts w:hint="eastAsia" w:ascii="宋体" w:hAnsi="宋体" w:cs="宋体"/>
          <w:b w:val="0"/>
          <w:bCs w:val="0"/>
          <w:color w:val="auto"/>
          <w:spacing w:val="107"/>
          <w:kern w:val="0"/>
          <w:sz w:val="32"/>
          <w:szCs w:val="32"/>
          <w:fitText w:val="1929" w:id="0"/>
        </w:rPr>
        <w:t>采购单</w:t>
      </w:r>
      <w:r>
        <w:rPr>
          <w:rFonts w:hint="eastAsia" w:ascii="宋体" w:hAnsi="宋体" w:cs="宋体"/>
          <w:b w:val="0"/>
          <w:bCs w:val="0"/>
          <w:color w:val="auto"/>
          <w:spacing w:val="1"/>
          <w:kern w:val="0"/>
          <w:sz w:val="32"/>
          <w:szCs w:val="32"/>
          <w:fitText w:val="1929" w:id="0"/>
        </w:rPr>
        <w:t>位</w:t>
      </w:r>
      <w:r>
        <w:rPr>
          <w:rFonts w:hint="eastAsia" w:ascii="宋体" w:hAnsi="宋体" w:cs="宋体"/>
          <w:b w:val="0"/>
          <w:bCs w:val="0"/>
          <w:color w:val="auto"/>
          <w:sz w:val="32"/>
          <w:szCs w:val="32"/>
        </w:rPr>
        <w:t>：宁明县农业农村局（盖章）</w:t>
      </w:r>
    </w:p>
    <w:p>
      <w:pPr>
        <w:spacing w:line="360" w:lineRule="auto"/>
        <w:rPr>
          <w:rFonts w:ascii="宋体" w:hAnsi="宋体" w:cs="宋体"/>
          <w:b w:val="0"/>
          <w:bCs w:val="0"/>
          <w:color w:val="auto"/>
          <w:sz w:val="32"/>
          <w:szCs w:val="32"/>
        </w:rPr>
      </w:pPr>
      <w:r>
        <w:rPr>
          <w:rFonts w:hint="eastAsia" w:ascii="宋体" w:hAnsi="宋体" w:cs="宋体"/>
          <w:b w:val="0"/>
          <w:bCs w:val="0"/>
          <w:color w:val="auto"/>
          <w:kern w:val="0"/>
          <w:sz w:val="32"/>
          <w:szCs w:val="32"/>
          <w:fitText w:val="1929" w:id="1"/>
        </w:rPr>
        <w:t>采购代理机构</w:t>
      </w:r>
      <w:r>
        <w:rPr>
          <w:rFonts w:hint="eastAsia" w:ascii="宋体" w:hAnsi="宋体" w:cs="宋体"/>
          <w:b w:val="0"/>
          <w:bCs w:val="0"/>
          <w:color w:val="auto"/>
          <w:sz w:val="32"/>
          <w:szCs w:val="32"/>
        </w:rPr>
        <w:t>：广西大通建设监理咨询管理有限公司（盖章）</w:t>
      </w:r>
    </w:p>
    <w:p>
      <w:pPr>
        <w:spacing w:line="360" w:lineRule="auto"/>
        <w:rPr>
          <w:rFonts w:ascii="宋体" w:hAnsi="宋体" w:cs="宋体"/>
          <w:color w:val="auto"/>
          <w:sz w:val="44"/>
          <w:szCs w:val="44"/>
          <w:lang w:val="zh-CN"/>
        </w:rPr>
      </w:pPr>
      <w:r>
        <w:rPr>
          <w:rFonts w:hint="eastAsia" w:ascii="宋体" w:hAnsi="宋体" w:cs="宋体"/>
          <w:b w:val="0"/>
          <w:bCs w:val="0"/>
          <w:color w:val="auto"/>
          <w:spacing w:val="643"/>
          <w:kern w:val="0"/>
          <w:sz w:val="32"/>
          <w:szCs w:val="32"/>
          <w:fitText w:val="1929" w:id="2"/>
        </w:rPr>
        <w:t>日</w:t>
      </w:r>
      <w:r>
        <w:rPr>
          <w:rFonts w:hint="eastAsia" w:ascii="宋体" w:hAnsi="宋体" w:cs="宋体"/>
          <w:b w:val="0"/>
          <w:bCs w:val="0"/>
          <w:color w:val="auto"/>
          <w:kern w:val="0"/>
          <w:sz w:val="32"/>
          <w:szCs w:val="32"/>
          <w:fitText w:val="1929" w:id="2"/>
        </w:rPr>
        <w:t>期</w:t>
      </w:r>
      <w:r>
        <w:rPr>
          <w:rFonts w:hint="eastAsia" w:ascii="宋体" w:hAnsi="宋体" w:cs="宋体"/>
          <w:b w:val="0"/>
          <w:bCs w:val="0"/>
          <w:color w:val="auto"/>
          <w:sz w:val="32"/>
          <w:szCs w:val="32"/>
        </w:rPr>
        <w:t>：</w:t>
      </w:r>
      <w:r>
        <w:rPr>
          <w:rFonts w:hint="eastAsia" w:ascii="宋体" w:hAnsi="宋体" w:cs="宋体"/>
          <w:b w:val="0"/>
          <w:bCs w:val="0"/>
          <w:color w:val="auto"/>
          <w:sz w:val="32"/>
          <w:szCs w:val="32"/>
        </w:rPr>
        <w:fldChar w:fldCharType="begin"/>
      </w:r>
      <w:r>
        <w:rPr>
          <w:rFonts w:hint="eastAsia" w:ascii="宋体" w:hAnsi="宋体" w:cs="宋体"/>
          <w:b w:val="0"/>
          <w:bCs w:val="0"/>
          <w:color w:val="auto"/>
          <w:sz w:val="32"/>
          <w:szCs w:val="32"/>
        </w:rPr>
        <w:instrText xml:space="preserve"> = 2016 \* CHINESENUM3 \* MERGEFORMAT </w:instrText>
      </w:r>
      <w:r>
        <w:rPr>
          <w:rFonts w:hint="eastAsia" w:ascii="宋体" w:hAnsi="宋体" w:cs="宋体"/>
          <w:b w:val="0"/>
          <w:bCs w:val="0"/>
          <w:color w:val="auto"/>
          <w:sz w:val="32"/>
          <w:szCs w:val="32"/>
        </w:rPr>
        <w:fldChar w:fldCharType="separate"/>
      </w:r>
      <w:r>
        <w:rPr>
          <w:rFonts w:hint="eastAsia" w:ascii="宋体" w:hAnsi="宋体" w:cs="宋体"/>
          <w:b w:val="0"/>
          <w:bCs w:val="0"/>
          <w:color w:val="auto"/>
          <w:sz w:val="32"/>
          <w:szCs w:val="32"/>
        </w:rPr>
        <w:t>二〇二〇</w:t>
      </w:r>
      <w:r>
        <w:rPr>
          <w:rFonts w:hint="eastAsia" w:ascii="宋体" w:hAnsi="宋体" w:cs="宋体"/>
          <w:b w:val="0"/>
          <w:bCs w:val="0"/>
          <w:color w:val="auto"/>
          <w:sz w:val="32"/>
          <w:szCs w:val="32"/>
        </w:rPr>
        <w:fldChar w:fldCharType="end"/>
      </w:r>
      <w:r>
        <w:rPr>
          <w:rFonts w:hint="eastAsia" w:ascii="宋体" w:hAnsi="宋体" w:cs="宋体"/>
          <w:b w:val="0"/>
          <w:bCs w:val="0"/>
          <w:color w:val="auto"/>
          <w:sz w:val="32"/>
          <w:szCs w:val="32"/>
        </w:rPr>
        <w:t xml:space="preserve">年十二月 </w:t>
      </w:r>
    </w:p>
    <w:p>
      <w:pPr>
        <w:pStyle w:val="25"/>
        <w:spacing w:line="300" w:lineRule="auto"/>
        <w:jc w:val="center"/>
        <w:rPr>
          <w:rFonts w:ascii="宋体" w:hAnsi="宋体" w:cs="宋体"/>
          <w:color w:val="auto"/>
          <w:sz w:val="44"/>
          <w:szCs w:val="44"/>
          <w:lang w:val="zh-CN"/>
        </w:rPr>
        <w:sectPr>
          <w:headerReference r:id="rId4" w:type="default"/>
          <w:footerReference r:id="rId5" w:type="default"/>
          <w:pgSz w:w="11910" w:h="16840"/>
          <w:pgMar w:top="1542" w:right="1009" w:bottom="1040" w:left="1241" w:header="876" w:footer="858" w:gutter="0"/>
          <w:pgNumType w:fmt="decimal" w:start="1"/>
          <w:cols w:space="720" w:num="1"/>
        </w:sectPr>
      </w:pPr>
    </w:p>
    <w:p>
      <w:pPr>
        <w:rPr>
          <w:color w:val="auto"/>
          <w:lang w:val="zh-CN"/>
        </w:rPr>
      </w:pPr>
    </w:p>
    <w:p>
      <w:pPr>
        <w:pStyle w:val="25"/>
        <w:spacing w:line="300" w:lineRule="auto"/>
        <w:jc w:val="center"/>
        <w:rPr>
          <w:rFonts w:ascii="宋体" w:hAnsi="宋体" w:cs="宋体"/>
          <w:color w:val="auto"/>
          <w:sz w:val="44"/>
          <w:szCs w:val="44"/>
          <w:lang w:val="zh-CN"/>
        </w:rPr>
      </w:pPr>
      <w:r>
        <w:rPr>
          <w:rFonts w:hint="eastAsia" w:ascii="宋体" w:hAnsi="宋体" w:cs="宋体"/>
          <w:color w:val="auto"/>
          <w:sz w:val="44"/>
          <w:szCs w:val="44"/>
          <w:lang w:val="zh-CN"/>
        </w:rPr>
        <w:t>目   录</w:t>
      </w:r>
    </w:p>
    <w:p>
      <w:pPr>
        <w:jc w:val="center"/>
        <w:rPr>
          <w:rFonts w:ascii="宋体" w:hAnsi="宋体" w:cs="宋体"/>
          <w:color w:val="auto"/>
        </w:rPr>
      </w:pPr>
    </w:p>
    <w:p>
      <w:pPr>
        <w:pStyle w:val="14"/>
        <w:rPr>
          <w:rFonts w:ascii="宋体" w:hAnsi="宋体" w:cs="宋体"/>
          <w:b/>
          <w:bCs/>
          <w:color w:val="auto"/>
          <w:sz w:val="32"/>
          <w:szCs w:val="32"/>
        </w:rPr>
      </w:pPr>
      <w:bookmarkStart w:id="0" w:name="_Toc464982673"/>
    </w:p>
    <w:sdt>
      <w:sdtPr>
        <w:rPr>
          <w:rFonts w:ascii="宋体" w:hAnsi="宋体" w:eastAsia="宋体" w:cs="Times New Roman"/>
          <w:color w:val="auto"/>
          <w:kern w:val="2"/>
          <w:sz w:val="21"/>
          <w:szCs w:val="24"/>
          <w:lang w:val="en-US" w:eastAsia="zh-CN" w:bidi="ar-SA"/>
        </w:rPr>
        <w:id w:val="147459401"/>
        <w15:color w:val="DBDBDB"/>
        <w:docPartObj>
          <w:docPartGallery w:val="Table of Contents"/>
          <w:docPartUnique/>
        </w:docPartObj>
      </w:sdtPr>
      <w:sdtEndPr>
        <w:rPr>
          <w:rFonts w:ascii="宋体" w:hAnsi="宋体" w:eastAsia="宋体" w:cs="宋体"/>
          <w:bCs/>
          <w:color w:val="auto"/>
          <w:kern w:val="2"/>
          <w:sz w:val="18"/>
          <w:szCs w:val="32"/>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26"/>
            <w:tabs>
              <w:tab w:val="right" w:leader="dot" w:pos="9660"/>
            </w:tabs>
            <w:spacing w:line="480" w:lineRule="auto"/>
            <w:rPr>
              <w:rFonts w:hint="eastAsia" w:ascii="宋体" w:hAnsi="宋体" w:cs="宋体"/>
              <w:color w:val="auto"/>
              <w:sz w:val="24"/>
              <w:szCs w:val="24"/>
            </w:rPr>
          </w:pPr>
          <w:r>
            <w:rPr>
              <w:rFonts w:ascii="宋体" w:hAnsi="宋体" w:cs="宋体"/>
              <w:b/>
              <w:bCs/>
              <w:color w:val="auto"/>
              <w:sz w:val="24"/>
              <w:szCs w:val="24"/>
            </w:rPr>
            <w:fldChar w:fldCharType="begin"/>
          </w:r>
          <w:r>
            <w:rPr>
              <w:rFonts w:ascii="宋体" w:hAnsi="宋体" w:cs="宋体"/>
              <w:b/>
              <w:bCs/>
              <w:color w:val="auto"/>
              <w:sz w:val="24"/>
              <w:szCs w:val="24"/>
            </w:rPr>
            <w:instrText xml:space="preserve">TOC \o "1-1" \h \u </w:instrText>
          </w:r>
          <w:r>
            <w:rPr>
              <w:rFonts w:ascii="宋体" w:hAnsi="宋体" w:cs="宋体"/>
              <w:b/>
              <w:bCs/>
              <w:color w:val="auto"/>
              <w:sz w:val="24"/>
              <w:szCs w:val="24"/>
            </w:rPr>
            <w:fldChar w:fldCharType="separate"/>
          </w:r>
          <w:r>
            <w:rPr>
              <w:rFonts w:ascii="宋体" w:hAnsi="宋体" w:cs="宋体"/>
              <w:bCs/>
              <w:color w:val="auto"/>
              <w:sz w:val="24"/>
              <w:szCs w:val="24"/>
            </w:rPr>
            <w:fldChar w:fldCharType="begin"/>
          </w:r>
          <w:r>
            <w:rPr>
              <w:rFonts w:ascii="宋体" w:hAnsi="宋体" w:cs="宋体"/>
              <w:bCs/>
              <w:color w:val="auto"/>
              <w:sz w:val="24"/>
              <w:szCs w:val="24"/>
            </w:rPr>
            <w:instrText xml:space="preserve"> HYPERLINK \l _Toc1034 </w:instrText>
          </w:r>
          <w:r>
            <w:rPr>
              <w:rFonts w:ascii="宋体" w:hAnsi="宋体" w:cs="宋体"/>
              <w:bCs/>
              <w:color w:val="auto"/>
              <w:sz w:val="24"/>
              <w:szCs w:val="24"/>
            </w:rPr>
            <w:fldChar w:fldCharType="separate"/>
          </w:r>
          <w:r>
            <w:rPr>
              <w:rFonts w:hint="eastAsia" w:ascii="宋体" w:hAnsi="宋体" w:cs="宋体"/>
              <w:bCs/>
              <w:color w:val="auto"/>
              <w:sz w:val="24"/>
              <w:szCs w:val="24"/>
              <w:lang w:val="en-US" w:eastAsia="zh-CN"/>
            </w:rPr>
            <w:t xml:space="preserve">第一章 </w:t>
          </w:r>
          <w:r>
            <w:rPr>
              <w:rFonts w:hint="eastAsia" w:ascii="宋体" w:hAnsi="宋体" w:cs="宋体"/>
              <w:bCs/>
              <w:color w:val="auto"/>
              <w:sz w:val="24"/>
              <w:szCs w:val="24"/>
            </w:rPr>
            <w:t>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_Toc1034 </w:instrText>
          </w:r>
          <w:r>
            <w:rPr>
              <w:rFonts w:hint="eastAsia" w:ascii="宋体" w:hAnsi="宋体" w:cs="宋体"/>
              <w:color w:val="auto"/>
              <w:sz w:val="24"/>
              <w:szCs w:val="24"/>
            </w:rPr>
            <w:fldChar w:fldCharType="separate"/>
          </w:r>
          <w:r>
            <w:rPr>
              <w:rFonts w:hint="eastAsia" w:ascii="宋体" w:hAnsi="宋体" w:cs="宋体"/>
              <w:color w:val="auto"/>
              <w:sz w:val="24"/>
              <w:szCs w:val="24"/>
            </w:rPr>
            <w:t>1</w:t>
          </w:r>
          <w:r>
            <w:rPr>
              <w:rFonts w:hint="eastAsia" w:ascii="宋体" w:hAnsi="宋体" w:cs="宋体"/>
              <w:color w:val="auto"/>
              <w:sz w:val="24"/>
              <w:szCs w:val="24"/>
            </w:rPr>
            <w:fldChar w:fldCharType="end"/>
          </w:r>
          <w:r>
            <w:rPr>
              <w:rFonts w:ascii="宋体" w:hAnsi="宋体" w:cs="宋体"/>
              <w:bCs/>
              <w:color w:val="auto"/>
              <w:sz w:val="24"/>
              <w:szCs w:val="24"/>
            </w:rPr>
            <w:fldChar w:fldCharType="end"/>
          </w:r>
        </w:p>
        <w:p>
          <w:pPr>
            <w:pStyle w:val="26"/>
            <w:tabs>
              <w:tab w:val="right" w:leader="dot" w:pos="9660"/>
            </w:tabs>
            <w:spacing w:line="480" w:lineRule="auto"/>
            <w:rPr>
              <w:rFonts w:hint="eastAsia" w:ascii="宋体" w:hAnsi="宋体" w:cs="宋体"/>
              <w:color w:val="auto"/>
              <w:sz w:val="24"/>
              <w:szCs w:val="24"/>
            </w:rPr>
          </w:pPr>
          <w:r>
            <w:rPr>
              <w:rFonts w:ascii="宋体" w:hAnsi="宋体" w:cs="宋体"/>
              <w:bCs/>
              <w:color w:val="auto"/>
              <w:sz w:val="24"/>
              <w:szCs w:val="24"/>
            </w:rPr>
            <w:fldChar w:fldCharType="begin"/>
          </w:r>
          <w:r>
            <w:rPr>
              <w:rFonts w:ascii="宋体" w:hAnsi="宋体" w:cs="宋体"/>
              <w:bCs/>
              <w:color w:val="auto"/>
              <w:sz w:val="24"/>
              <w:szCs w:val="24"/>
            </w:rPr>
            <w:instrText xml:space="preserve"> HYPERLINK \l _Toc9559 </w:instrText>
          </w:r>
          <w:r>
            <w:rPr>
              <w:rFonts w:ascii="宋体" w:hAnsi="宋体" w:cs="宋体"/>
              <w:bCs/>
              <w:color w:val="auto"/>
              <w:sz w:val="24"/>
              <w:szCs w:val="24"/>
            </w:rPr>
            <w:fldChar w:fldCharType="separate"/>
          </w:r>
          <w:r>
            <w:rPr>
              <w:rFonts w:hint="eastAsia" w:ascii="宋体" w:hAnsi="宋体" w:cs="宋体"/>
              <w:bCs/>
              <w:color w:val="auto"/>
              <w:sz w:val="24"/>
              <w:szCs w:val="24"/>
            </w:rPr>
            <w:t>第二章 供应商须知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_Toc9559 </w:instrText>
          </w:r>
          <w:r>
            <w:rPr>
              <w:rFonts w:hint="eastAsia" w:ascii="宋体" w:hAnsi="宋体" w:cs="宋体"/>
              <w:color w:val="auto"/>
              <w:sz w:val="24"/>
              <w:szCs w:val="24"/>
            </w:rPr>
            <w:fldChar w:fldCharType="separate"/>
          </w:r>
          <w:r>
            <w:rPr>
              <w:rFonts w:hint="eastAsia" w:ascii="宋体" w:hAnsi="宋体" w:cs="宋体"/>
              <w:color w:val="auto"/>
              <w:sz w:val="24"/>
              <w:szCs w:val="24"/>
            </w:rPr>
            <w:t>4</w:t>
          </w:r>
          <w:r>
            <w:rPr>
              <w:rFonts w:hint="eastAsia" w:ascii="宋体" w:hAnsi="宋体" w:cs="宋体"/>
              <w:color w:val="auto"/>
              <w:sz w:val="24"/>
              <w:szCs w:val="24"/>
            </w:rPr>
            <w:fldChar w:fldCharType="end"/>
          </w:r>
          <w:r>
            <w:rPr>
              <w:rFonts w:ascii="宋体" w:hAnsi="宋体" w:cs="宋体"/>
              <w:bCs/>
              <w:color w:val="auto"/>
              <w:sz w:val="24"/>
              <w:szCs w:val="24"/>
            </w:rPr>
            <w:fldChar w:fldCharType="end"/>
          </w:r>
        </w:p>
        <w:p>
          <w:pPr>
            <w:pStyle w:val="26"/>
            <w:tabs>
              <w:tab w:val="right" w:leader="dot" w:pos="9660"/>
            </w:tabs>
            <w:spacing w:line="480" w:lineRule="auto"/>
            <w:rPr>
              <w:rFonts w:hint="eastAsia" w:ascii="宋体" w:hAnsi="宋体" w:cs="宋体"/>
              <w:color w:val="auto"/>
              <w:sz w:val="24"/>
              <w:szCs w:val="24"/>
            </w:rPr>
          </w:pPr>
          <w:r>
            <w:rPr>
              <w:rFonts w:ascii="宋体" w:hAnsi="宋体" w:cs="宋体"/>
              <w:bCs/>
              <w:color w:val="auto"/>
              <w:sz w:val="24"/>
              <w:szCs w:val="24"/>
            </w:rPr>
            <w:fldChar w:fldCharType="begin"/>
          </w:r>
          <w:r>
            <w:rPr>
              <w:rFonts w:ascii="宋体" w:hAnsi="宋体" w:cs="宋体"/>
              <w:bCs/>
              <w:color w:val="auto"/>
              <w:sz w:val="24"/>
              <w:szCs w:val="24"/>
            </w:rPr>
            <w:instrText xml:space="preserve"> HYPERLINK \l _Toc13159 </w:instrText>
          </w:r>
          <w:r>
            <w:rPr>
              <w:rFonts w:ascii="宋体" w:hAnsi="宋体" w:cs="宋体"/>
              <w:bCs/>
              <w:color w:val="auto"/>
              <w:sz w:val="24"/>
              <w:szCs w:val="24"/>
            </w:rPr>
            <w:fldChar w:fldCharType="separate"/>
          </w:r>
          <w:r>
            <w:rPr>
              <w:rFonts w:hint="eastAsia" w:ascii="宋体" w:hAnsi="宋体" w:cs="宋体"/>
              <w:bCs/>
              <w:color w:val="auto"/>
              <w:kern w:val="44"/>
              <w:sz w:val="24"/>
              <w:szCs w:val="24"/>
            </w:rPr>
            <w:t>第三章 项目基本情况及要求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_Toc13159 </w:instrText>
          </w:r>
          <w:r>
            <w:rPr>
              <w:rFonts w:hint="eastAsia" w:ascii="宋体" w:hAnsi="宋体" w:cs="宋体"/>
              <w:color w:val="auto"/>
              <w:sz w:val="24"/>
              <w:szCs w:val="24"/>
            </w:rPr>
            <w:fldChar w:fldCharType="separate"/>
          </w:r>
          <w:r>
            <w:rPr>
              <w:rFonts w:hint="eastAsia" w:ascii="宋体" w:hAnsi="宋体" w:cs="宋体"/>
              <w:color w:val="auto"/>
              <w:sz w:val="24"/>
              <w:szCs w:val="24"/>
            </w:rPr>
            <w:t>20</w:t>
          </w:r>
          <w:r>
            <w:rPr>
              <w:rFonts w:hint="eastAsia" w:ascii="宋体" w:hAnsi="宋体" w:cs="宋体"/>
              <w:color w:val="auto"/>
              <w:sz w:val="24"/>
              <w:szCs w:val="24"/>
            </w:rPr>
            <w:fldChar w:fldCharType="end"/>
          </w:r>
          <w:r>
            <w:rPr>
              <w:rFonts w:ascii="宋体" w:hAnsi="宋体" w:cs="宋体"/>
              <w:bCs/>
              <w:color w:val="auto"/>
              <w:sz w:val="24"/>
              <w:szCs w:val="24"/>
            </w:rPr>
            <w:fldChar w:fldCharType="end"/>
          </w:r>
        </w:p>
        <w:p>
          <w:pPr>
            <w:pStyle w:val="26"/>
            <w:tabs>
              <w:tab w:val="right" w:leader="dot" w:pos="9660"/>
            </w:tabs>
            <w:spacing w:line="480" w:lineRule="auto"/>
            <w:rPr>
              <w:rFonts w:hint="eastAsia" w:ascii="宋体" w:hAnsi="宋体" w:cs="宋体"/>
              <w:color w:val="auto"/>
              <w:sz w:val="24"/>
              <w:szCs w:val="24"/>
            </w:rPr>
          </w:pPr>
          <w:r>
            <w:rPr>
              <w:rFonts w:ascii="宋体" w:hAnsi="宋体" w:cs="宋体"/>
              <w:bCs/>
              <w:color w:val="auto"/>
              <w:sz w:val="24"/>
              <w:szCs w:val="24"/>
            </w:rPr>
            <w:fldChar w:fldCharType="begin"/>
          </w:r>
          <w:r>
            <w:rPr>
              <w:rFonts w:ascii="宋体" w:hAnsi="宋体" w:cs="宋体"/>
              <w:bCs/>
              <w:color w:val="auto"/>
              <w:sz w:val="24"/>
              <w:szCs w:val="24"/>
            </w:rPr>
            <w:instrText xml:space="preserve"> HYPERLINK \l _Toc14973 </w:instrText>
          </w:r>
          <w:r>
            <w:rPr>
              <w:rFonts w:ascii="宋体" w:hAnsi="宋体" w:cs="宋体"/>
              <w:bCs/>
              <w:color w:val="auto"/>
              <w:sz w:val="24"/>
              <w:szCs w:val="24"/>
            </w:rPr>
            <w:fldChar w:fldCharType="separate"/>
          </w:r>
          <w:r>
            <w:rPr>
              <w:rFonts w:hint="eastAsia" w:ascii="宋体" w:hAnsi="宋体" w:cs="宋体"/>
              <w:color w:val="auto"/>
              <w:sz w:val="24"/>
              <w:szCs w:val="24"/>
            </w:rPr>
            <w:t>第四章 采购合同（合同主要条款及格式）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_Toc14973 </w:instrText>
          </w:r>
          <w:r>
            <w:rPr>
              <w:rFonts w:hint="eastAsia" w:ascii="宋体" w:hAnsi="宋体" w:cs="宋体"/>
              <w:color w:val="auto"/>
              <w:sz w:val="24"/>
              <w:szCs w:val="24"/>
            </w:rPr>
            <w:fldChar w:fldCharType="separate"/>
          </w:r>
          <w:r>
            <w:rPr>
              <w:rFonts w:hint="eastAsia" w:ascii="宋体" w:hAnsi="宋体" w:cs="宋体"/>
              <w:color w:val="auto"/>
              <w:sz w:val="24"/>
              <w:szCs w:val="24"/>
            </w:rPr>
            <w:t>21</w:t>
          </w:r>
          <w:r>
            <w:rPr>
              <w:rFonts w:hint="eastAsia" w:ascii="宋体" w:hAnsi="宋体" w:cs="宋体"/>
              <w:color w:val="auto"/>
              <w:sz w:val="24"/>
              <w:szCs w:val="24"/>
            </w:rPr>
            <w:fldChar w:fldCharType="end"/>
          </w:r>
          <w:r>
            <w:rPr>
              <w:rFonts w:ascii="宋体" w:hAnsi="宋体" w:cs="宋体"/>
              <w:bCs/>
              <w:color w:val="auto"/>
              <w:sz w:val="24"/>
              <w:szCs w:val="24"/>
            </w:rPr>
            <w:fldChar w:fldCharType="end"/>
          </w:r>
        </w:p>
        <w:p>
          <w:pPr>
            <w:pStyle w:val="26"/>
            <w:tabs>
              <w:tab w:val="right" w:leader="dot" w:pos="9660"/>
            </w:tabs>
            <w:spacing w:line="480" w:lineRule="auto"/>
            <w:rPr>
              <w:rFonts w:hint="eastAsia" w:ascii="宋体" w:hAnsi="宋体" w:cs="宋体"/>
              <w:color w:val="auto"/>
              <w:sz w:val="24"/>
              <w:szCs w:val="24"/>
            </w:rPr>
          </w:pPr>
          <w:r>
            <w:rPr>
              <w:rFonts w:ascii="宋体" w:hAnsi="宋体" w:cs="宋体"/>
              <w:bCs/>
              <w:color w:val="auto"/>
              <w:sz w:val="24"/>
              <w:szCs w:val="24"/>
            </w:rPr>
            <w:fldChar w:fldCharType="begin"/>
          </w:r>
          <w:r>
            <w:rPr>
              <w:rFonts w:ascii="宋体" w:hAnsi="宋体" w:cs="宋体"/>
              <w:bCs/>
              <w:color w:val="auto"/>
              <w:sz w:val="24"/>
              <w:szCs w:val="24"/>
            </w:rPr>
            <w:instrText xml:space="preserve"> HYPERLINK \l _Toc13496 </w:instrText>
          </w:r>
          <w:r>
            <w:rPr>
              <w:rFonts w:ascii="宋体" w:hAnsi="宋体" w:cs="宋体"/>
              <w:bCs/>
              <w:color w:val="auto"/>
              <w:sz w:val="24"/>
              <w:szCs w:val="24"/>
            </w:rPr>
            <w:fldChar w:fldCharType="separate"/>
          </w:r>
          <w:r>
            <w:rPr>
              <w:rFonts w:hint="eastAsia" w:ascii="宋体" w:hAnsi="宋体" w:cs="宋体"/>
              <w:bCs/>
              <w:color w:val="auto"/>
              <w:sz w:val="24"/>
              <w:szCs w:val="24"/>
            </w:rPr>
            <w:t>第五章 技术标准和要求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_Toc13496 </w:instrText>
          </w:r>
          <w:r>
            <w:rPr>
              <w:rFonts w:hint="eastAsia" w:ascii="宋体" w:hAnsi="宋体" w:cs="宋体"/>
              <w:color w:val="auto"/>
              <w:sz w:val="24"/>
              <w:szCs w:val="24"/>
            </w:rPr>
            <w:fldChar w:fldCharType="separate"/>
          </w:r>
          <w:r>
            <w:rPr>
              <w:rFonts w:hint="eastAsia" w:ascii="宋体" w:hAnsi="宋体" w:cs="宋体"/>
              <w:color w:val="auto"/>
              <w:sz w:val="24"/>
              <w:szCs w:val="24"/>
            </w:rPr>
            <w:t>59</w:t>
          </w:r>
          <w:r>
            <w:rPr>
              <w:rFonts w:hint="eastAsia" w:ascii="宋体" w:hAnsi="宋体" w:cs="宋体"/>
              <w:color w:val="auto"/>
              <w:sz w:val="24"/>
              <w:szCs w:val="24"/>
            </w:rPr>
            <w:fldChar w:fldCharType="end"/>
          </w:r>
          <w:r>
            <w:rPr>
              <w:rFonts w:ascii="宋体" w:hAnsi="宋体" w:cs="宋体"/>
              <w:bCs/>
              <w:color w:val="auto"/>
              <w:sz w:val="24"/>
              <w:szCs w:val="24"/>
            </w:rPr>
            <w:fldChar w:fldCharType="end"/>
          </w:r>
        </w:p>
        <w:p>
          <w:pPr>
            <w:pStyle w:val="26"/>
            <w:tabs>
              <w:tab w:val="right" w:leader="dot" w:pos="9660"/>
            </w:tabs>
            <w:spacing w:line="480" w:lineRule="auto"/>
            <w:rPr>
              <w:rFonts w:hint="eastAsia" w:ascii="宋体" w:hAnsi="宋体" w:cs="宋体"/>
              <w:color w:val="auto"/>
              <w:sz w:val="24"/>
              <w:szCs w:val="24"/>
            </w:rPr>
          </w:pPr>
          <w:r>
            <w:rPr>
              <w:rFonts w:ascii="宋体" w:hAnsi="宋体" w:cs="宋体"/>
              <w:bCs/>
              <w:color w:val="auto"/>
              <w:sz w:val="24"/>
              <w:szCs w:val="24"/>
            </w:rPr>
            <w:fldChar w:fldCharType="begin"/>
          </w:r>
          <w:r>
            <w:rPr>
              <w:rFonts w:ascii="宋体" w:hAnsi="宋体" w:cs="宋体"/>
              <w:bCs/>
              <w:color w:val="auto"/>
              <w:sz w:val="24"/>
              <w:szCs w:val="24"/>
            </w:rPr>
            <w:instrText xml:space="preserve"> HYPERLINK \l _Toc20807 </w:instrText>
          </w:r>
          <w:r>
            <w:rPr>
              <w:rFonts w:ascii="宋体" w:hAnsi="宋体" w:cs="宋体"/>
              <w:bCs/>
              <w:color w:val="auto"/>
              <w:sz w:val="24"/>
              <w:szCs w:val="24"/>
            </w:rPr>
            <w:fldChar w:fldCharType="separate"/>
          </w:r>
          <w:r>
            <w:rPr>
              <w:rFonts w:hint="eastAsia" w:ascii="宋体" w:hAnsi="宋体" w:cs="宋体"/>
              <w:bCs/>
              <w:color w:val="auto"/>
              <w:sz w:val="24"/>
              <w:szCs w:val="24"/>
            </w:rPr>
            <w:t>第六章</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图纸和工程量清单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_Toc20807 </w:instrText>
          </w:r>
          <w:r>
            <w:rPr>
              <w:rFonts w:hint="eastAsia" w:ascii="宋体" w:hAnsi="宋体" w:cs="宋体"/>
              <w:color w:val="auto"/>
              <w:sz w:val="24"/>
              <w:szCs w:val="24"/>
            </w:rPr>
            <w:fldChar w:fldCharType="separate"/>
          </w:r>
          <w:r>
            <w:rPr>
              <w:rFonts w:hint="eastAsia" w:ascii="宋体" w:hAnsi="宋体" w:cs="宋体"/>
              <w:color w:val="auto"/>
              <w:sz w:val="24"/>
              <w:szCs w:val="24"/>
            </w:rPr>
            <w:t>60</w:t>
          </w:r>
          <w:r>
            <w:rPr>
              <w:rFonts w:hint="eastAsia" w:ascii="宋体" w:hAnsi="宋体" w:cs="宋体"/>
              <w:color w:val="auto"/>
              <w:sz w:val="24"/>
              <w:szCs w:val="24"/>
            </w:rPr>
            <w:fldChar w:fldCharType="end"/>
          </w:r>
          <w:r>
            <w:rPr>
              <w:rFonts w:ascii="宋体" w:hAnsi="宋体" w:cs="宋体"/>
              <w:bCs/>
              <w:color w:val="auto"/>
              <w:sz w:val="24"/>
              <w:szCs w:val="24"/>
            </w:rPr>
            <w:fldChar w:fldCharType="end"/>
          </w:r>
        </w:p>
        <w:p>
          <w:pPr>
            <w:pStyle w:val="26"/>
            <w:tabs>
              <w:tab w:val="right" w:leader="dot" w:pos="9660"/>
            </w:tabs>
            <w:spacing w:line="480" w:lineRule="auto"/>
            <w:rPr>
              <w:rFonts w:hint="eastAsia" w:ascii="宋体" w:hAnsi="宋体" w:cs="宋体"/>
              <w:color w:val="auto"/>
              <w:sz w:val="24"/>
              <w:szCs w:val="24"/>
            </w:rPr>
          </w:pPr>
          <w:r>
            <w:rPr>
              <w:rFonts w:ascii="宋体" w:hAnsi="宋体" w:cs="宋体"/>
              <w:bCs/>
              <w:color w:val="auto"/>
              <w:sz w:val="24"/>
              <w:szCs w:val="24"/>
            </w:rPr>
            <w:fldChar w:fldCharType="begin"/>
          </w:r>
          <w:r>
            <w:rPr>
              <w:rFonts w:ascii="宋体" w:hAnsi="宋体" w:cs="宋体"/>
              <w:bCs/>
              <w:color w:val="auto"/>
              <w:sz w:val="24"/>
              <w:szCs w:val="24"/>
            </w:rPr>
            <w:instrText xml:space="preserve"> HYPERLINK \l _Toc11286 </w:instrText>
          </w:r>
          <w:r>
            <w:rPr>
              <w:rFonts w:ascii="宋体" w:hAnsi="宋体" w:cs="宋体"/>
              <w:bCs/>
              <w:color w:val="auto"/>
              <w:sz w:val="24"/>
              <w:szCs w:val="24"/>
            </w:rPr>
            <w:fldChar w:fldCharType="separate"/>
          </w:r>
          <w:r>
            <w:rPr>
              <w:rFonts w:hint="eastAsia" w:ascii="宋体" w:hAnsi="宋体" w:cs="宋体"/>
              <w:color w:val="auto"/>
              <w:sz w:val="24"/>
              <w:szCs w:val="24"/>
            </w:rPr>
            <w:t>第七章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响应文件格式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_Toc11286 </w:instrText>
          </w:r>
          <w:r>
            <w:rPr>
              <w:rFonts w:hint="eastAsia" w:ascii="宋体" w:hAnsi="宋体" w:cs="宋体"/>
              <w:color w:val="auto"/>
              <w:sz w:val="24"/>
              <w:szCs w:val="24"/>
            </w:rPr>
            <w:fldChar w:fldCharType="separate"/>
          </w:r>
          <w:r>
            <w:rPr>
              <w:rFonts w:hint="eastAsia" w:ascii="宋体" w:hAnsi="宋体" w:cs="宋体"/>
              <w:color w:val="auto"/>
              <w:sz w:val="24"/>
              <w:szCs w:val="24"/>
            </w:rPr>
            <w:t>61</w:t>
          </w:r>
          <w:r>
            <w:rPr>
              <w:rFonts w:hint="eastAsia" w:ascii="宋体" w:hAnsi="宋体" w:cs="宋体"/>
              <w:color w:val="auto"/>
              <w:sz w:val="24"/>
              <w:szCs w:val="24"/>
            </w:rPr>
            <w:fldChar w:fldCharType="end"/>
          </w:r>
          <w:r>
            <w:rPr>
              <w:rFonts w:ascii="宋体" w:hAnsi="宋体" w:cs="宋体"/>
              <w:bCs/>
              <w:color w:val="auto"/>
              <w:sz w:val="24"/>
              <w:szCs w:val="24"/>
            </w:rPr>
            <w:fldChar w:fldCharType="end"/>
          </w:r>
        </w:p>
        <w:p>
          <w:pPr>
            <w:pStyle w:val="26"/>
            <w:tabs>
              <w:tab w:val="right" w:leader="dot" w:pos="9660"/>
            </w:tabs>
            <w:spacing w:line="480" w:lineRule="auto"/>
            <w:rPr>
              <w:rFonts w:hint="eastAsia" w:ascii="宋体" w:hAnsi="宋体" w:cs="宋体"/>
              <w:color w:val="auto"/>
              <w:sz w:val="24"/>
              <w:szCs w:val="24"/>
            </w:rPr>
          </w:pPr>
          <w:r>
            <w:rPr>
              <w:rFonts w:ascii="宋体" w:hAnsi="宋体" w:cs="宋体"/>
              <w:bCs/>
              <w:color w:val="auto"/>
              <w:sz w:val="24"/>
              <w:szCs w:val="24"/>
            </w:rPr>
            <w:fldChar w:fldCharType="begin"/>
          </w:r>
          <w:r>
            <w:rPr>
              <w:rFonts w:ascii="宋体" w:hAnsi="宋体" w:cs="宋体"/>
              <w:bCs/>
              <w:color w:val="auto"/>
              <w:sz w:val="24"/>
              <w:szCs w:val="24"/>
            </w:rPr>
            <w:instrText xml:space="preserve"> HYPERLINK \l _Toc30628 </w:instrText>
          </w:r>
          <w:r>
            <w:rPr>
              <w:rFonts w:ascii="宋体" w:hAnsi="宋体" w:cs="宋体"/>
              <w:bCs/>
              <w:color w:val="auto"/>
              <w:sz w:val="24"/>
              <w:szCs w:val="24"/>
            </w:rPr>
            <w:fldChar w:fldCharType="separate"/>
          </w:r>
          <w:r>
            <w:rPr>
              <w:rFonts w:hint="eastAsia" w:ascii="宋体" w:hAnsi="宋体" w:cs="宋体"/>
              <w:color w:val="auto"/>
              <w:sz w:val="24"/>
              <w:szCs w:val="24"/>
            </w:rPr>
            <w:t>第八章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评审办法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_Toc30628 </w:instrText>
          </w:r>
          <w:r>
            <w:rPr>
              <w:rFonts w:hint="eastAsia" w:ascii="宋体" w:hAnsi="宋体" w:cs="宋体"/>
              <w:color w:val="auto"/>
              <w:sz w:val="24"/>
              <w:szCs w:val="24"/>
            </w:rPr>
            <w:fldChar w:fldCharType="separate"/>
          </w:r>
          <w:r>
            <w:rPr>
              <w:rFonts w:hint="eastAsia" w:ascii="宋体" w:hAnsi="宋体" w:cs="宋体"/>
              <w:color w:val="auto"/>
              <w:sz w:val="24"/>
              <w:szCs w:val="24"/>
            </w:rPr>
            <w:t>93</w:t>
          </w:r>
          <w:r>
            <w:rPr>
              <w:rFonts w:hint="eastAsia" w:ascii="宋体" w:hAnsi="宋体" w:cs="宋体"/>
              <w:color w:val="auto"/>
              <w:sz w:val="24"/>
              <w:szCs w:val="24"/>
            </w:rPr>
            <w:fldChar w:fldCharType="end"/>
          </w:r>
          <w:r>
            <w:rPr>
              <w:rFonts w:ascii="宋体" w:hAnsi="宋体" w:cs="宋体"/>
              <w:bCs/>
              <w:color w:val="auto"/>
              <w:sz w:val="24"/>
              <w:szCs w:val="24"/>
            </w:rPr>
            <w:fldChar w:fldCharType="end"/>
          </w:r>
        </w:p>
        <w:p>
          <w:pPr>
            <w:pStyle w:val="14"/>
            <w:spacing w:line="480" w:lineRule="auto"/>
            <w:rPr>
              <w:rFonts w:ascii="宋体" w:hAnsi="宋体" w:cs="宋体"/>
              <w:b/>
              <w:bCs/>
              <w:color w:val="auto"/>
              <w:sz w:val="32"/>
              <w:szCs w:val="32"/>
            </w:rPr>
          </w:pPr>
          <w:r>
            <w:rPr>
              <w:rFonts w:ascii="宋体" w:hAnsi="宋体" w:cs="宋体"/>
              <w:bCs/>
              <w:color w:val="auto"/>
              <w:sz w:val="24"/>
              <w:szCs w:val="24"/>
            </w:rPr>
            <w:fldChar w:fldCharType="end"/>
          </w:r>
        </w:p>
      </w:sdtContent>
    </w:sdt>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p>
      <w:pPr>
        <w:pStyle w:val="14"/>
        <w:rPr>
          <w:rFonts w:ascii="宋体" w:hAnsi="宋体" w:cs="宋体"/>
          <w:b/>
          <w:bCs/>
          <w:color w:val="auto"/>
          <w:sz w:val="32"/>
          <w:szCs w:val="32"/>
        </w:rPr>
      </w:pPr>
    </w:p>
    <w:bookmarkEnd w:id="0"/>
    <w:p>
      <w:pPr>
        <w:pStyle w:val="3"/>
        <w:spacing w:line="240" w:lineRule="auto"/>
        <w:jc w:val="center"/>
        <w:outlineLvl w:val="9"/>
        <w:rPr>
          <w:rFonts w:hint="eastAsia" w:cs="Times New Roman"/>
          <w:b/>
          <w:bCs/>
          <w:color w:val="auto"/>
          <w:sz w:val="44"/>
          <w:szCs w:val="44"/>
          <w:lang w:val="en-US" w:eastAsia="zh-CN"/>
        </w:rPr>
        <w:sectPr>
          <w:footerReference r:id="rId6" w:type="default"/>
          <w:pgSz w:w="11910" w:h="16840"/>
          <w:pgMar w:top="1542" w:right="1009" w:bottom="1040" w:left="1241" w:header="876" w:footer="858" w:gutter="0"/>
          <w:pgNumType w:fmt="decimal" w:start="1"/>
          <w:cols w:space="720" w:num="1"/>
        </w:sectPr>
      </w:pPr>
      <w:bookmarkStart w:id="1" w:name="_Toc14365"/>
      <w:bookmarkStart w:id="2" w:name="_Toc20354"/>
    </w:p>
    <w:p>
      <w:pPr>
        <w:pStyle w:val="3"/>
        <w:spacing w:line="240" w:lineRule="auto"/>
        <w:jc w:val="center"/>
        <w:rPr>
          <w:rFonts w:hint="eastAsia" w:ascii="Times New Roman" w:hAnsi="Times New Roman" w:cs="Times New Roman"/>
          <w:b/>
          <w:bCs/>
          <w:color w:val="auto"/>
          <w:sz w:val="44"/>
          <w:szCs w:val="44"/>
        </w:rPr>
      </w:pPr>
      <w:bookmarkStart w:id="3" w:name="_Toc1034"/>
      <w:r>
        <w:rPr>
          <w:rFonts w:hint="eastAsia" w:cs="Times New Roman"/>
          <w:b/>
          <w:bCs/>
          <w:color w:val="auto"/>
          <w:sz w:val="44"/>
          <w:szCs w:val="44"/>
          <w:lang w:val="en-US" w:eastAsia="zh-CN"/>
        </w:rPr>
        <w:t xml:space="preserve">第一章 </w:t>
      </w:r>
      <w:r>
        <w:rPr>
          <w:rFonts w:hint="eastAsia" w:ascii="Times New Roman" w:hAnsi="Times New Roman" w:cs="Times New Roman"/>
          <w:b/>
          <w:bCs/>
          <w:color w:val="auto"/>
          <w:sz w:val="44"/>
          <w:szCs w:val="44"/>
        </w:rPr>
        <w:t>竞争性磋商公告</w:t>
      </w:r>
      <w:bookmarkEnd w:id="1"/>
      <w:bookmarkEnd w:id="2"/>
      <w:bookmarkEnd w:id="3"/>
    </w:p>
    <w:p>
      <w:pPr>
        <w:pBdr>
          <w:top w:val="single" w:color="auto" w:sz="4" w:space="1"/>
          <w:left w:val="single" w:color="auto" w:sz="4" w:space="4"/>
          <w:bottom w:val="single" w:color="auto" w:sz="4" w:space="1"/>
          <w:right w:val="single" w:color="auto" w:sz="4" w:space="4"/>
        </w:pBdr>
        <w:spacing w:line="360" w:lineRule="auto"/>
        <w:ind w:firstLine="0" w:firstLineChars="0"/>
        <w:jc w:val="left"/>
        <w:rPr>
          <w:rFonts w:ascii="宋体" w:hAnsi="宋体" w:cs="宋体"/>
          <w:b/>
          <w:bCs/>
          <w:color w:val="auto"/>
          <w:sz w:val="24"/>
          <w:szCs w:val="24"/>
        </w:rPr>
      </w:pPr>
      <w:bookmarkStart w:id="4" w:name="_Toc35393798"/>
      <w:bookmarkStart w:id="5" w:name="_Toc28359012"/>
      <w:bookmarkStart w:id="6" w:name="_Toc28359089"/>
      <w:bookmarkStart w:id="7" w:name="_Toc35393629"/>
      <w:r>
        <w:rPr>
          <w:rFonts w:hint="eastAsia" w:ascii="宋体" w:hAnsi="宋体" w:cs="宋体"/>
          <w:b/>
          <w:bCs/>
          <w:color w:val="auto"/>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eastAsia="zh-CN"/>
        </w:rPr>
        <w:t>宁明县海渊镇北岩、驮邓片区高标准农田建设项目施工</w:t>
      </w:r>
      <w:r>
        <w:rPr>
          <w:rFonts w:hint="eastAsia" w:ascii="宋体" w:hAnsi="宋体" w:cs="宋体"/>
          <w:color w:val="auto"/>
          <w:sz w:val="24"/>
          <w:szCs w:val="24"/>
        </w:rPr>
        <w:t>采购项目的潜在供应商应在政采云平台（网址：</w:t>
      </w:r>
      <w:r>
        <w:rPr>
          <w:rFonts w:hint="eastAsia" w:ascii="宋体" w:hAnsi="宋体" w:cs="宋体"/>
          <w:color w:val="auto"/>
          <w:sz w:val="24"/>
        </w:rPr>
        <w:fldChar w:fldCharType="begin"/>
      </w:r>
      <w:r>
        <w:rPr>
          <w:rFonts w:hint="eastAsia" w:ascii="宋体" w:hAnsi="宋体" w:cs="宋体"/>
          <w:color w:val="auto"/>
          <w:sz w:val="24"/>
        </w:rPr>
        <w:instrText xml:space="preserve"> HYPERLINK "http://www.zcygov.cn）在线办理报名并自行下载采购文件）获取采购文件，并于2020年" </w:instrText>
      </w:r>
      <w:r>
        <w:rPr>
          <w:rFonts w:hint="eastAsia" w:ascii="宋体" w:hAnsi="宋体" w:cs="宋体"/>
          <w:color w:val="auto"/>
          <w:sz w:val="24"/>
        </w:rPr>
        <w:fldChar w:fldCharType="separate"/>
      </w:r>
      <w:r>
        <w:rPr>
          <w:rStyle w:val="23"/>
          <w:rFonts w:hint="eastAsia" w:ascii="宋体" w:hAnsi="宋体" w:cs="宋体"/>
          <w:color w:val="auto"/>
          <w:sz w:val="24"/>
          <w:szCs w:val="24"/>
          <w:u w:val="none"/>
        </w:rPr>
        <w:t>http://www.zcygov.cn）在线办理报名并自行下载采购文件）获取采购文件，并于2020年</w:t>
      </w:r>
      <w:r>
        <w:rPr>
          <w:rStyle w:val="23"/>
          <w:rFonts w:hint="eastAsia" w:ascii="宋体" w:hAnsi="宋体" w:cs="宋体"/>
          <w:color w:val="auto"/>
          <w:sz w:val="24"/>
          <w:szCs w:val="24"/>
          <w:u w:val="none"/>
        </w:rPr>
        <w:fldChar w:fldCharType="end"/>
      </w:r>
      <w:r>
        <w:rPr>
          <w:rStyle w:val="23"/>
          <w:rFonts w:hint="eastAsia" w:ascii="宋体" w:hAnsi="宋体" w:cs="宋体"/>
          <w:color w:val="auto"/>
          <w:sz w:val="24"/>
          <w:szCs w:val="24"/>
          <w:u w:val="none"/>
          <w:lang w:val="en-US" w:eastAsia="zh-CN"/>
        </w:rPr>
        <w:t>12</w:t>
      </w:r>
      <w:r>
        <w:rPr>
          <w:rFonts w:hint="eastAsia" w:ascii="宋体" w:hAnsi="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w:t>
      </w:r>
      <w:r>
        <w:rPr>
          <w:rFonts w:hint="eastAsia" w:ascii="宋体" w:hAnsi="宋体" w:cs="宋体"/>
          <w:bCs/>
          <w:color w:val="auto"/>
          <w:sz w:val="24"/>
          <w:szCs w:val="24"/>
        </w:rPr>
        <w:t>（北京时间）前提交响应文件</w:t>
      </w:r>
      <w:r>
        <w:rPr>
          <w:rFonts w:hint="eastAsia" w:ascii="宋体" w:hAnsi="宋体" w:cs="宋体"/>
          <w:color w:val="auto"/>
          <w:sz w:val="24"/>
          <w:szCs w:val="24"/>
        </w:rPr>
        <w:t>。</w:t>
      </w:r>
    </w:p>
    <w:p>
      <w:pPr>
        <w:pStyle w:val="4"/>
        <w:adjustRightInd w:val="0"/>
        <w:snapToGrid w:val="0"/>
        <w:spacing w:before="0" w:after="0" w:line="360" w:lineRule="auto"/>
        <w:ind w:firstLine="0" w:firstLineChars="0"/>
        <w:rPr>
          <w:rFonts w:ascii="宋体" w:hAnsi="宋体" w:eastAsia="宋体" w:cs="宋体"/>
          <w:color w:val="auto"/>
          <w:sz w:val="24"/>
          <w:szCs w:val="24"/>
        </w:rPr>
      </w:pPr>
      <w:bookmarkStart w:id="8" w:name="_Toc9894"/>
      <w:bookmarkStart w:id="9" w:name="_Toc31172"/>
      <w:r>
        <w:rPr>
          <w:rFonts w:hint="eastAsia" w:ascii="宋体" w:hAnsi="宋体" w:eastAsia="宋体" w:cs="宋体"/>
          <w:bCs w:val="0"/>
          <w:color w:val="auto"/>
          <w:sz w:val="24"/>
          <w:szCs w:val="24"/>
        </w:rPr>
        <w:t>一、项目基本情况</w:t>
      </w:r>
      <w:bookmarkEnd w:id="4"/>
      <w:bookmarkEnd w:id="5"/>
      <w:bookmarkEnd w:id="6"/>
      <w:bookmarkEnd w:id="7"/>
      <w:bookmarkEnd w:id="8"/>
      <w:bookmarkEnd w:id="9"/>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CZZC2020-C2-50007-GXDT</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lang w:eastAsia="zh-CN"/>
        </w:rPr>
        <w:t>宁明县海渊镇北岩、驮邓片区高标准农田建设项目施工</w:t>
      </w:r>
      <w:r>
        <w:rPr>
          <w:rFonts w:hint="eastAsia" w:ascii="宋体" w:hAnsi="宋体" w:cs="宋体"/>
          <w:color w:val="auto"/>
          <w:sz w:val="24"/>
          <w:szCs w:val="24"/>
        </w:rPr>
        <w:t>  </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采购方式：竞争性磋商</w:t>
      </w:r>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预算金额：</w:t>
      </w:r>
      <w:r>
        <w:rPr>
          <w:rFonts w:hint="eastAsia" w:ascii="宋体" w:hAnsi="宋体" w:cs="宋体"/>
          <w:color w:val="auto"/>
          <w:sz w:val="24"/>
          <w:szCs w:val="24"/>
          <w:lang w:eastAsia="zh-CN"/>
        </w:rPr>
        <w:t>人民币捌拾柒万叁仟贰佰壹拾陆元整（￥873216.00元）</w:t>
      </w:r>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最高限价：</w:t>
      </w:r>
      <w:r>
        <w:rPr>
          <w:rFonts w:hint="eastAsia" w:ascii="宋体" w:hAnsi="宋体" w:cs="宋体"/>
          <w:color w:val="auto"/>
          <w:sz w:val="24"/>
          <w:szCs w:val="24"/>
          <w:lang w:eastAsia="zh-CN"/>
        </w:rPr>
        <w:t>人民币捌拾柒万叁仟贰佰壹拾陆元整（￥873216.00元）</w:t>
      </w: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采购需求：</w:t>
      </w:r>
      <w:r>
        <w:rPr>
          <w:rFonts w:hint="eastAsia" w:ascii="宋体" w:hAnsi="宋体" w:cs="宋体"/>
          <w:color w:val="auto"/>
          <w:sz w:val="24"/>
          <w:szCs w:val="24"/>
          <w:lang w:eastAsia="zh-CN"/>
        </w:rPr>
        <w:t>宁明县海渊镇北岩、驮邓片区高标准农田建设项目施工</w:t>
      </w:r>
      <w:r>
        <w:rPr>
          <w:rFonts w:hint="eastAsia" w:ascii="宋体" w:hAnsi="宋体" w:cs="宋体"/>
          <w:color w:val="auto"/>
          <w:sz w:val="24"/>
          <w:szCs w:val="24"/>
        </w:rPr>
        <w:t>，</w:t>
      </w:r>
      <w:r>
        <w:rPr>
          <w:rFonts w:hint="eastAsia" w:ascii="宋体" w:hAnsi="宋体" w:cs="宋体"/>
          <w:bCs/>
          <w:color w:val="auto"/>
          <w:sz w:val="24"/>
          <w:szCs w:val="24"/>
        </w:rPr>
        <w:t>具体详见设计图纸及工程量清单中所包含的内容。</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工期：120日历天</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本项目不接受联合体。</w:t>
      </w:r>
    </w:p>
    <w:p>
      <w:pPr>
        <w:pStyle w:val="4"/>
        <w:adjustRightInd w:val="0"/>
        <w:snapToGrid w:val="0"/>
        <w:spacing w:before="0" w:after="0" w:line="360" w:lineRule="auto"/>
        <w:ind w:firstLine="0" w:firstLineChars="0"/>
        <w:rPr>
          <w:rFonts w:ascii="宋体" w:hAnsi="宋体" w:eastAsia="宋体" w:cs="宋体"/>
          <w:bCs w:val="0"/>
          <w:color w:val="auto"/>
          <w:sz w:val="24"/>
          <w:szCs w:val="24"/>
        </w:rPr>
      </w:pPr>
      <w:bookmarkStart w:id="10" w:name="_Toc7723"/>
      <w:bookmarkStart w:id="11" w:name="_Toc19665"/>
      <w:bookmarkStart w:id="12" w:name="_Toc28359013"/>
      <w:bookmarkStart w:id="13" w:name="_Toc35393630"/>
      <w:bookmarkStart w:id="14" w:name="_Toc28359090"/>
      <w:bookmarkStart w:id="15" w:name="_Toc35393799"/>
      <w:r>
        <w:rPr>
          <w:rFonts w:hint="eastAsia" w:ascii="宋体" w:hAnsi="宋体" w:eastAsia="宋体" w:cs="宋体"/>
          <w:bCs w:val="0"/>
          <w:color w:val="auto"/>
          <w:sz w:val="24"/>
          <w:szCs w:val="24"/>
        </w:rPr>
        <w:t>二、申请人的资格要求：</w:t>
      </w:r>
      <w:bookmarkEnd w:id="10"/>
      <w:bookmarkEnd w:id="11"/>
      <w:bookmarkEnd w:id="12"/>
      <w:bookmarkEnd w:id="13"/>
      <w:bookmarkEnd w:id="14"/>
      <w:bookmarkEnd w:id="15"/>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1.满足《中华人民共和国政府采购法》第二十二条规定；</w:t>
      </w:r>
    </w:p>
    <w:p>
      <w:pPr>
        <w:adjustRightInd w:val="0"/>
        <w:snapToGrid w:val="0"/>
        <w:spacing w:line="360" w:lineRule="auto"/>
        <w:ind w:firstLine="480" w:firstLineChars="200"/>
        <w:rPr>
          <w:rFonts w:ascii="宋体" w:hAnsi="宋体" w:cs="宋体"/>
          <w:color w:val="auto"/>
          <w:sz w:val="24"/>
          <w:szCs w:val="24"/>
        </w:rPr>
      </w:pPr>
      <w:bookmarkStart w:id="16" w:name="_Toc28359091"/>
      <w:bookmarkStart w:id="17" w:name="_Toc28359014"/>
      <w:r>
        <w:rPr>
          <w:rFonts w:hint="eastAsia" w:ascii="宋体" w:hAnsi="宋体" w:cs="宋体"/>
          <w:color w:val="auto"/>
          <w:sz w:val="24"/>
          <w:szCs w:val="24"/>
        </w:rPr>
        <w:t>2.落实政府采购政策需满足的资格要求：无</w:t>
      </w:r>
      <w:r>
        <w:rPr>
          <w:rFonts w:hint="eastAsia" w:ascii="宋体" w:hAnsi="宋体" w:cs="宋体"/>
          <w:bCs/>
          <w:color w:val="auto"/>
          <w:sz w:val="24"/>
          <w:szCs w:val="24"/>
        </w:rPr>
        <w:t>。</w:t>
      </w:r>
    </w:p>
    <w:p>
      <w:pPr>
        <w:pStyle w:val="19"/>
        <w:adjustRightInd w:val="0"/>
        <w:snapToGrid w:val="0"/>
        <w:spacing w:before="0" w:beforeAutospacing="0" w:after="0" w:afterAutospacing="0"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3.本项目的特定资格要求：</w:t>
      </w:r>
      <w:bookmarkStart w:id="18" w:name="_Toc35393631"/>
      <w:bookmarkStart w:id="19" w:name="_Toc35393800"/>
      <w:r>
        <w:rPr>
          <w:rFonts w:hint="eastAsia" w:ascii="宋体" w:hAnsi="宋体" w:cs="宋体"/>
          <w:color w:val="auto"/>
          <w:sz w:val="24"/>
          <w:szCs w:val="24"/>
        </w:rPr>
        <w:t>（1）供应商须具备水利水电工程施工总承包叁级以上（含叁级）或市政公用工程施工总承包叁级以上（含叁级）资质或公路工程施工总承包叁级以上（含叁级）资质；拟派项目经理具备水利水电工程专业贰级以上(含贰级)或市政公用工程专业贰级以上(含贰级)</w:t>
      </w:r>
      <w:r>
        <w:rPr>
          <w:rFonts w:hint="eastAsia" w:ascii="宋体" w:hAnsi="宋体" w:cs="宋体"/>
          <w:color w:val="auto"/>
          <w:sz w:val="24"/>
          <w:szCs w:val="24"/>
          <w:lang w:val="en-US" w:eastAsia="zh-CN"/>
        </w:rPr>
        <w:t>或</w:t>
      </w:r>
      <w:r>
        <w:rPr>
          <w:rFonts w:hint="eastAsia" w:ascii="宋体" w:hAnsi="宋体" w:cs="宋体"/>
          <w:color w:val="auto"/>
          <w:sz w:val="24"/>
          <w:szCs w:val="24"/>
        </w:rPr>
        <w:t>公路工程专业贰级以上（含贰级</w:t>
      </w:r>
      <w:r>
        <w:rPr>
          <w:rFonts w:hint="eastAsia" w:ascii="宋体" w:hAnsi="宋体" w:cs="宋体"/>
          <w:color w:val="auto"/>
          <w:sz w:val="24"/>
          <w:szCs w:val="24"/>
          <w:lang w:eastAsia="zh-CN"/>
        </w:rPr>
        <w:t>）</w:t>
      </w:r>
      <w:r>
        <w:rPr>
          <w:rFonts w:hint="eastAsia" w:ascii="宋体" w:hAnsi="宋体" w:cs="宋体"/>
          <w:color w:val="auto"/>
          <w:sz w:val="24"/>
          <w:szCs w:val="24"/>
        </w:rPr>
        <w:t>的注册建造师执业资格，具备有效的安全生产考核合格证书（B类）。</w:t>
      </w:r>
    </w:p>
    <w:p>
      <w:pPr>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bCs/>
          <w:color w:val="auto"/>
          <w:sz w:val="24"/>
          <w:szCs w:val="24"/>
        </w:rPr>
        <w:t>⑵</w:t>
      </w:r>
      <w:r>
        <w:rPr>
          <w:rFonts w:hint="eastAsia" w:ascii="宋体" w:hAnsi="宋体" w:cs="宋体"/>
          <w:color w:val="auto"/>
          <w:kern w:val="0"/>
          <w:sz w:val="24"/>
          <w:szCs w:val="24"/>
        </w:rPr>
        <w:t>对在“信用中国”网站(www.creditchina.gov.cn)、中国政府采购网(www.ccgp.gov.cn)等渠道被列入失信被执行人、重大税收违法案件当事人名单，不得参与本项目采购活动；</w:t>
      </w:r>
    </w:p>
    <w:p>
      <w:pPr>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⑶</w:t>
      </w:r>
      <w:r>
        <w:rPr>
          <w:rFonts w:hint="eastAsia" w:ascii="宋体" w:hAnsi="宋体" w:cs="宋体"/>
          <w:bCs/>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kern w:val="0"/>
          <w:sz w:val="24"/>
          <w:szCs w:val="24"/>
          <w:lang w:val="en-US" w:eastAsia="zh-CN"/>
        </w:rPr>
        <w:t>。</w:t>
      </w:r>
    </w:p>
    <w:p>
      <w:pPr>
        <w:adjustRightInd w:val="0"/>
        <w:snapToGrid w:val="0"/>
        <w:spacing w:line="360" w:lineRule="auto"/>
        <w:ind w:firstLine="0" w:firstLineChars="0"/>
        <w:outlineLvl w:val="1"/>
        <w:rPr>
          <w:rFonts w:ascii="宋体" w:hAnsi="宋体" w:cs="宋体"/>
          <w:b/>
          <w:bCs/>
          <w:color w:val="auto"/>
          <w:sz w:val="24"/>
          <w:szCs w:val="24"/>
        </w:rPr>
      </w:pPr>
      <w:bookmarkStart w:id="20" w:name="_Toc15544"/>
      <w:bookmarkStart w:id="21" w:name="_Toc5133"/>
      <w:r>
        <w:rPr>
          <w:rFonts w:hint="eastAsia" w:ascii="宋体" w:hAnsi="宋体" w:cs="宋体"/>
          <w:b/>
          <w:bCs/>
          <w:color w:val="auto"/>
          <w:sz w:val="24"/>
          <w:szCs w:val="24"/>
        </w:rPr>
        <w:t>三、获取采购文件</w:t>
      </w:r>
      <w:bookmarkEnd w:id="16"/>
      <w:bookmarkEnd w:id="17"/>
      <w:bookmarkEnd w:id="18"/>
      <w:bookmarkEnd w:id="19"/>
      <w:bookmarkEnd w:id="20"/>
      <w:bookmarkEnd w:id="21"/>
    </w:p>
    <w:p>
      <w:pPr>
        <w:pStyle w:val="19"/>
        <w:adjustRightInd w:val="0"/>
        <w:snapToGrid w:val="0"/>
        <w:spacing w:before="0" w:beforeAutospacing="0" w:after="0" w:afterAutospacing="0" w:line="360" w:lineRule="auto"/>
        <w:ind w:firstLine="480" w:firstLineChars="200"/>
        <w:jc w:val="both"/>
        <w:rPr>
          <w:rFonts w:ascii="宋体" w:hAnsi="宋体" w:cs="宋体"/>
          <w:color w:val="auto"/>
          <w:sz w:val="24"/>
          <w:szCs w:val="24"/>
          <w:u w:val="none"/>
        </w:rPr>
      </w:pPr>
      <w:bookmarkStart w:id="22" w:name="_Toc35393801"/>
      <w:bookmarkStart w:id="23" w:name="_Toc35393632"/>
      <w:bookmarkStart w:id="24" w:name="_Toc28359015"/>
      <w:bookmarkStart w:id="25" w:name="_Toc28359092"/>
      <w:bookmarkStart w:id="26" w:name="_Toc35393804"/>
      <w:bookmarkStart w:id="27" w:name="_Toc35393635"/>
      <w:r>
        <w:rPr>
          <w:rFonts w:hint="eastAsia" w:ascii="宋体" w:hAnsi="宋体" w:cs="宋体"/>
          <w:color w:val="auto"/>
          <w:sz w:val="24"/>
          <w:szCs w:val="24"/>
          <w:u w:val="none"/>
        </w:rPr>
        <w:t>时间：2020年</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rPr>
        <w:t>月</w:t>
      </w:r>
      <w:r>
        <w:rPr>
          <w:rFonts w:hint="eastAsia" w:ascii="宋体" w:hAnsi="宋体" w:cs="宋体"/>
          <w:color w:val="auto"/>
          <w:sz w:val="24"/>
          <w:szCs w:val="24"/>
          <w:u w:val="none"/>
          <w:lang w:val="en-US" w:eastAsia="zh-CN"/>
        </w:rPr>
        <w:t>09</w:t>
      </w:r>
      <w:r>
        <w:rPr>
          <w:rFonts w:hint="eastAsia" w:ascii="宋体" w:hAnsi="宋体" w:cs="宋体"/>
          <w:color w:val="auto"/>
          <w:sz w:val="24"/>
          <w:szCs w:val="24"/>
          <w:u w:val="none"/>
        </w:rPr>
        <w:t>日至2020年</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rPr>
        <w:t>月</w:t>
      </w:r>
      <w:r>
        <w:rPr>
          <w:rFonts w:hint="eastAsia" w:ascii="宋体" w:hAnsi="宋体" w:cs="宋体"/>
          <w:color w:val="auto"/>
          <w:sz w:val="24"/>
          <w:szCs w:val="24"/>
          <w:u w:val="none"/>
          <w:lang w:val="en-US" w:eastAsia="zh-CN"/>
        </w:rPr>
        <w:t>16</w:t>
      </w:r>
      <w:r>
        <w:rPr>
          <w:rFonts w:hint="eastAsia" w:ascii="宋体" w:hAnsi="宋体" w:cs="宋体"/>
          <w:color w:val="auto"/>
          <w:sz w:val="24"/>
          <w:szCs w:val="24"/>
          <w:u w:val="none"/>
        </w:rPr>
        <w:t>日，每天上午9:00至12:00，下午15:00至17:30（北京时间，法定节假日除外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地点：广西政府采购网（http://www.ccgp-guangxi.gov.cn/）政采云平台；</w:t>
      </w:r>
    </w:p>
    <w:p>
      <w:pPr>
        <w:pStyle w:val="19"/>
        <w:adjustRightInd w:val="0"/>
        <w:snapToGrid w:val="0"/>
        <w:spacing w:before="0" w:beforeAutospacing="0" w:after="0" w:afterAutospacing="0"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方式：实名制在线免费获取，供应商须登录广西政府采购网（http://www.ccgp-guangxi.gov.cn/）政采云平台在“供应商入驻”完成账号注册后，登录</w:t>
      </w:r>
      <w:bookmarkStart w:id="1393" w:name="_GoBack"/>
      <w:bookmarkEnd w:id="1393"/>
      <w:r>
        <w:rPr>
          <w:rFonts w:hint="eastAsia" w:ascii="宋体" w:hAnsi="宋体" w:cs="宋体"/>
          <w:color w:val="auto"/>
          <w:sz w:val="24"/>
          <w:szCs w:val="24"/>
        </w:rPr>
        <w:t>政采云平台“项目采购-获取采购文件”模块自行下载采购文件。如在政云平台操作过程中遇到问题或者需要技术支持，请致电政采云客服热线400-881-7190。</w:t>
      </w:r>
    </w:p>
    <w:p>
      <w:pPr>
        <w:pStyle w:val="19"/>
        <w:adjustRightInd w:val="0"/>
        <w:snapToGrid w:val="0"/>
        <w:spacing w:before="0" w:beforeAutospacing="0" w:after="0" w:afterAutospacing="0"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售价：￥0.00元。</w:t>
      </w:r>
    </w:p>
    <w:p>
      <w:pPr>
        <w:pStyle w:val="4"/>
        <w:keepNext w:val="0"/>
        <w:keepLines w:val="0"/>
        <w:adjustRightInd w:val="0"/>
        <w:snapToGrid w:val="0"/>
        <w:spacing w:before="0" w:after="0" w:line="360" w:lineRule="auto"/>
        <w:ind w:firstLine="0" w:firstLineChars="0"/>
        <w:rPr>
          <w:rFonts w:ascii="宋体" w:hAnsi="宋体" w:eastAsia="宋体" w:cs="宋体"/>
          <w:color w:val="auto"/>
          <w:sz w:val="24"/>
          <w:szCs w:val="24"/>
        </w:rPr>
      </w:pPr>
      <w:bookmarkStart w:id="28" w:name="_Toc22071"/>
      <w:bookmarkStart w:id="29" w:name="_Toc27542"/>
      <w:r>
        <w:rPr>
          <w:rFonts w:hint="eastAsia" w:ascii="宋体" w:hAnsi="宋体" w:eastAsia="宋体" w:cs="宋体"/>
          <w:color w:val="auto"/>
          <w:sz w:val="24"/>
          <w:szCs w:val="24"/>
        </w:rPr>
        <w:t>四、响应文件提交</w:t>
      </w:r>
      <w:bookmarkEnd w:id="22"/>
      <w:bookmarkEnd w:id="23"/>
      <w:bookmarkEnd w:id="24"/>
      <w:bookmarkEnd w:id="25"/>
      <w:bookmarkEnd w:id="28"/>
      <w:bookmarkEnd w:id="29"/>
    </w:p>
    <w:p>
      <w:pPr>
        <w:adjustRightInd w:val="0"/>
        <w:snapToGrid w:val="0"/>
        <w:spacing w:line="360" w:lineRule="auto"/>
        <w:ind w:firstLine="480" w:firstLineChars="200"/>
        <w:rPr>
          <w:rFonts w:ascii="宋体" w:hAnsi="宋体" w:cs="宋体"/>
          <w:color w:val="auto"/>
          <w:sz w:val="24"/>
          <w:szCs w:val="24"/>
          <w:u w:val="none"/>
        </w:rPr>
      </w:pPr>
      <w:r>
        <w:rPr>
          <w:rFonts w:hint="eastAsia" w:ascii="宋体" w:hAnsi="宋体" w:cs="宋体"/>
          <w:color w:val="auto"/>
          <w:sz w:val="24"/>
          <w:szCs w:val="24"/>
          <w:u w:val="none"/>
        </w:rPr>
        <w:t>截止时间：2020年</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rPr>
        <w:t>月</w:t>
      </w:r>
      <w:r>
        <w:rPr>
          <w:rFonts w:hint="eastAsia" w:ascii="宋体" w:hAnsi="宋体" w:cs="宋体"/>
          <w:color w:val="auto"/>
          <w:sz w:val="24"/>
          <w:szCs w:val="24"/>
          <w:u w:val="none"/>
          <w:lang w:val="en-US" w:eastAsia="zh-CN"/>
        </w:rPr>
        <w:t>21</w:t>
      </w:r>
      <w:r>
        <w:rPr>
          <w:rFonts w:hint="eastAsia" w:ascii="宋体" w:hAnsi="宋体" w:cs="宋体"/>
          <w:color w:val="auto"/>
          <w:sz w:val="24"/>
          <w:szCs w:val="24"/>
          <w:u w:val="none"/>
        </w:rPr>
        <w:t>日</w:t>
      </w:r>
      <w:r>
        <w:rPr>
          <w:rFonts w:hint="eastAsia" w:ascii="宋体" w:hAnsi="宋体" w:cs="宋体"/>
          <w:color w:val="auto"/>
          <w:sz w:val="24"/>
          <w:szCs w:val="24"/>
          <w:u w:val="none"/>
          <w:lang w:val="en-US" w:eastAsia="zh-CN"/>
        </w:rPr>
        <w:t>9</w:t>
      </w:r>
      <w:r>
        <w:rPr>
          <w:rFonts w:hint="eastAsia" w:ascii="宋体" w:hAnsi="宋体" w:cs="宋体"/>
          <w:color w:val="auto"/>
          <w:sz w:val="24"/>
          <w:szCs w:val="24"/>
          <w:u w:val="none"/>
        </w:rPr>
        <w:t>时</w:t>
      </w:r>
      <w:r>
        <w:rPr>
          <w:rFonts w:hint="eastAsia" w:ascii="宋体" w:hAnsi="宋体" w:cs="宋体"/>
          <w:color w:val="auto"/>
          <w:sz w:val="24"/>
          <w:szCs w:val="24"/>
          <w:u w:val="none"/>
          <w:lang w:val="en-US" w:eastAsia="zh-CN"/>
        </w:rPr>
        <w:t>30</w:t>
      </w:r>
      <w:r>
        <w:rPr>
          <w:rFonts w:hint="eastAsia" w:ascii="宋体" w:hAnsi="宋体" w:cs="宋体"/>
          <w:color w:val="auto"/>
          <w:sz w:val="24"/>
          <w:szCs w:val="24"/>
          <w:u w:val="none"/>
        </w:rPr>
        <w:t>分</w:t>
      </w:r>
      <w:r>
        <w:rPr>
          <w:rFonts w:hint="eastAsia" w:ascii="宋体" w:hAnsi="宋体" w:cs="宋体"/>
          <w:bCs/>
          <w:color w:val="auto"/>
          <w:sz w:val="24"/>
          <w:szCs w:val="24"/>
          <w:u w:val="none"/>
        </w:rPr>
        <w:t>（北京时间）</w:t>
      </w:r>
    </w:p>
    <w:p>
      <w:pPr>
        <w:adjustRightInd w:val="0"/>
        <w:snapToGrid w:val="0"/>
        <w:spacing w:line="360" w:lineRule="auto"/>
        <w:ind w:firstLine="480" w:firstLineChars="200"/>
        <w:rPr>
          <w:rFonts w:ascii="宋体" w:hAnsi="宋体" w:cs="宋体"/>
          <w:bCs/>
          <w:color w:val="auto"/>
          <w:sz w:val="24"/>
          <w:szCs w:val="24"/>
          <w:u w:val="none"/>
        </w:rPr>
      </w:pPr>
      <w:r>
        <w:rPr>
          <w:rFonts w:hint="eastAsia" w:ascii="宋体" w:hAnsi="宋体" w:cs="宋体"/>
          <w:color w:val="auto"/>
          <w:sz w:val="24"/>
          <w:szCs w:val="24"/>
          <w:u w:val="none"/>
        </w:rPr>
        <w:t>地点：广西大通建设监理咨询管理有限公司（崇左市花山路嘉苑小区R-08号</w:t>
      </w:r>
      <w:r>
        <w:rPr>
          <w:rFonts w:hint="eastAsia" w:ascii="宋体" w:hAnsi="宋体" w:cs="宋体"/>
          <w:color w:val="auto"/>
          <w:sz w:val="24"/>
          <w:szCs w:val="24"/>
          <w:u w:val="none"/>
          <w:lang w:val="en-US" w:eastAsia="zh-CN"/>
        </w:rPr>
        <w:t>崇左分公司</w:t>
      </w:r>
      <w:r>
        <w:rPr>
          <w:rFonts w:hint="eastAsia" w:ascii="宋体" w:hAnsi="宋体" w:cs="宋体"/>
          <w:color w:val="auto"/>
          <w:sz w:val="24"/>
          <w:szCs w:val="24"/>
          <w:u w:val="none"/>
        </w:rPr>
        <w:t>）</w:t>
      </w:r>
    </w:p>
    <w:p>
      <w:pPr>
        <w:pStyle w:val="4"/>
        <w:keepNext w:val="0"/>
        <w:keepLines w:val="0"/>
        <w:adjustRightInd w:val="0"/>
        <w:snapToGrid w:val="0"/>
        <w:spacing w:before="0" w:after="0" w:line="360" w:lineRule="auto"/>
        <w:ind w:firstLine="0" w:firstLineChars="0"/>
        <w:rPr>
          <w:rFonts w:ascii="宋体" w:hAnsi="宋体" w:eastAsia="宋体" w:cs="宋体"/>
          <w:color w:val="auto"/>
          <w:sz w:val="24"/>
          <w:szCs w:val="24"/>
          <w:u w:val="none"/>
        </w:rPr>
      </w:pPr>
      <w:bookmarkStart w:id="30" w:name="_Toc28359016"/>
      <w:bookmarkStart w:id="31" w:name="_Toc35393633"/>
      <w:bookmarkStart w:id="32" w:name="_Toc28359093"/>
      <w:bookmarkStart w:id="33" w:name="_Toc21023"/>
      <w:bookmarkStart w:id="34" w:name="_Toc35393802"/>
      <w:bookmarkStart w:id="35" w:name="_Toc23759"/>
      <w:r>
        <w:rPr>
          <w:rFonts w:hint="eastAsia" w:ascii="宋体" w:hAnsi="宋体" w:eastAsia="宋体" w:cs="宋体"/>
          <w:color w:val="auto"/>
          <w:sz w:val="24"/>
          <w:szCs w:val="24"/>
          <w:u w:val="none"/>
        </w:rPr>
        <w:t>五、开启</w:t>
      </w:r>
      <w:bookmarkEnd w:id="30"/>
      <w:bookmarkEnd w:id="31"/>
      <w:bookmarkEnd w:id="32"/>
      <w:bookmarkEnd w:id="33"/>
      <w:bookmarkEnd w:id="34"/>
      <w:bookmarkEnd w:id="35"/>
    </w:p>
    <w:p>
      <w:pPr>
        <w:adjustRightInd w:val="0"/>
        <w:snapToGrid w:val="0"/>
        <w:spacing w:line="360" w:lineRule="auto"/>
        <w:ind w:firstLine="480" w:firstLineChars="200"/>
        <w:rPr>
          <w:rFonts w:ascii="宋体" w:hAnsi="宋体" w:cs="宋体"/>
          <w:bCs/>
          <w:color w:val="auto"/>
          <w:sz w:val="24"/>
          <w:szCs w:val="24"/>
          <w:u w:val="none"/>
        </w:rPr>
      </w:pPr>
      <w:r>
        <w:rPr>
          <w:rFonts w:hint="eastAsia" w:ascii="宋体" w:hAnsi="宋体" w:cs="宋体"/>
          <w:color w:val="auto"/>
          <w:sz w:val="24"/>
          <w:szCs w:val="24"/>
          <w:u w:val="none"/>
        </w:rPr>
        <w:t>时间：2020年</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rPr>
        <w:t>月</w:t>
      </w:r>
      <w:r>
        <w:rPr>
          <w:rFonts w:hint="eastAsia" w:ascii="宋体" w:hAnsi="宋体" w:cs="宋体"/>
          <w:color w:val="auto"/>
          <w:sz w:val="24"/>
          <w:szCs w:val="24"/>
          <w:u w:val="none"/>
          <w:lang w:val="en-US" w:eastAsia="zh-CN"/>
        </w:rPr>
        <w:t>21</w:t>
      </w:r>
      <w:r>
        <w:rPr>
          <w:rFonts w:hint="eastAsia" w:ascii="宋体" w:hAnsi="宋体" w:cs="宋体"/>
          <w:color w:val="auto"/>
          <w:sz w:val="24"/>
          <w:szCs w:val="24"/>
          <w:u w:val="none"/>
        </w:rPr>
        <w:t>日</w:t>
      </w:r>
      <w:r>
        <w:rPr>
          <w:rFonts w:hint="eastAsia" w:ascii="宋体" w:hAnsi="宋体" w:cs="宋体"/>
          <w:color w:val="auto"/>
          <w:sz w:val="24"/>
          <w:szCs w:val="24"/>
          <w:u w:val="none"/>
          <w:lang w:val="en-US" w:eastAsia="zh-CN"/>
        </w:rPr>
        <w:t>9</w:t>
      </w:r>
      <w:r>
        <w:rPr>
          <w:rFonts w:hint="eastAsia" w:ascii="宋体" w:hAnsi="宋体" w:cs="宋体"/>
          <w:color w:val="auto"/>
          <w:sz w:val="24"/>
          <w:szCs w:val="24"/>
          <w:u w:val="none"/>
        </w:rPr>
        <w:t>时</w:t>
      </w:r>
      <w:r>
        <w:rPr>
          <w:rFonts w:hint="eastAsia" w:ascii="宋体" w:hAnsi="宋体" w:cs="宋体"/>
          <w:color w:val="auto"/>
          <w:sz w:val="24"/>
          <w:szCs w:val="24"/>
          <w:u w:val="none"/>
          <w:lang w:val="en-US" w:eastAsia="zh-CN"/>
        </w:rPr>
        <w:t>30</w:t>
      </w:r>
      <w:r>
        <w:rPr>
          <w:rFonts w:hint="eastAsia" w:ascii="宋体" w:hAnsi="宋体" w:cs="宋体"/>
          <w:color w:val="auto"/>
          <w:sz w:val="24"/>
          <w:szCs w:val="24"/>
          <w:u w:val="none"/>
        </w:rPr>
        <w:t>分</w:t>
      </w:r>
      <w:r>
        <w:rPr>
          <w:rFonts w:hint="eastAsia" w:ascii="宋体" w:hAnsi="宋体" w:cs="宋体"/>
          <w:bCs/>
          <w:color w:val="auto"/>
          <w:sz w:val="24"/>
          <w:szCs w:val="24"/>
          <w:u w:val="none"/>
        </w:rPr>
        <w:t>（北京时间）</w:t>
      </w:r>
    </w:p>
    <w:p>
      <w:pPr>
        <w:adjustRightInd w:val="0"/>
        <w:snapToGrid w:val="0"/>
        <w:spacing w:line="360" w:lineRule="auto"/>
        <w:ind w:firstLine="480" w:firstLineChars="200"/>
        <w:rPr>
          <w:rFonts w:ascii="宋体" w:hAnsi="宋体" w:cs="宋体"/>
          <w:bCs/>
          <w:color w:val="auto"/>
          <w:sz w:val="24"/>
          <w:szCs w:val="24"/>
          <w:u w:val="none"/>
        </w:rPr>
      </w:pPr>
      <w:r>
        <w:rPr>
          <w:rFonts w:hint="eastAsia" w:ascii="宋体" w:hAnsi="宋体" w:cs="宋体"/>
          <w:color w:val="auto"/>
          <w:sz w:val="24"/>
          <w:szCs w:val="24"/>
          <w:u w:val="none"/>
        </w:rPr>
        <w:t>地点：广西大通建设监理咨询管理有限公司（崇左市花山路嘉苑小区R-08号</w:t>
      </w:r>
      <w:r>
        <w:rPr>
          <w:rFonts w:hint="eastAsia" w:ascii="宋体" w:hAnsi="宋体" w:cs="宋体"/>
          <w:color w:val="auto"/>
          <w:sz w:val="24"/>
          <w:szCs w:val="24"/>
          <w:u w:val="none"/>
          <w:lang w:val="en-US" w:eastAsia="zh-CN"/>
        </w:rPr>
        <w:t>崇左分公司</w:t>
      </w:r>
      <w:r>
        <w:rPr>
          <w:rFonts w:hint="eastAsia" w:ascii="宋体" w:hAnsi="宋体" w:cs="宋体"/>
          <w:color w:val="auto"/>
          <w:sz w:val="24"/>
          <w:szCs w:val="24"/>
          <w:u w:val="none"/>
        </w:rPr>
        <w:t>）</w:t>
      </w:r>
    </w:p>
    <w:p>
      <w:pPr>
        <w:pStyle w:val="4"/>
        <w:keepNext w:val="0"/>
        <w:keepLines w:val="0"/>
        <w:adjustRightInd w:val="0"/>
        <w:snapToGrid w:val="0"/>
        <w:spacing w:before="0" w:after="0" w:line="360" w:lineRule="auto"/>
        <w:ind w:firstLine="0" w:firstLineChars="0"/>
        <w:rPr>
          <w:rFonts w:ascii="宋体" w:hAnsi="宋体" w:eastAsia="宋体" w:cs="宋体"/>
          <w:color w:val="auto"/>
          <w:sz w:val="24"/>
          <w:szCs w:val="24"/>
        </w:rPr>
      </w:pPr>
      <w:bookmarkStart w:id="36" w:name="_Toc35393803"/>
      <w:bookmarkStart w:id="37" w:name="_Toc35393634"/>
      <w:bookmarkStart w:id="38" w:name="_Toc28359094"/>
      <w:bookmarkStart w:id="39" w:name="_Toc19717"/>
      <w:bookmarkStart w:id="40" w:name="_Toc25531"/>
      <w:bookmarkStart w:id="41" w:name="_Toc28359017"/>
      <w:r>
        <w:rPr>
          <w:rFonts w:hint="eastAsia" w:ascii="宋体" w:hAnsi="宋体" w:eastAsia="宋体" w:cs="宋体"/>
          <w:color w:val="auto"/>
          <w:sz w:val="24"/>
          <w:szCs w:val="24"/>
        </w:rPr>
        <w:t>六、公告期限</w:t>
      </w:r>
      <w:bookmarkEnd w:id="36"/>
      <w:bookmarkEnd w:id="37"/>
      <w:bookmarkEnd w:id="38"/>
      <w:bookmarkEnd w:id="39"/>
      <w:bookmarkEnd w:id="40"/>
      <w:bookmarkEnd w:id="41"/>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自本公告发布之日起5个工作日。</w:t>
      </w:r>
    </w:p>
    <w:p>
      <w:pPr>
        <w:pStyle w:val="4"/>
        <w:adjustRightInd w:val="0"/>
        <w:snapToGrid w:val="0"/>
        <w:spacing w:before="0" w:after="0" w:line="360" w:lineRule="auto"/>
        <w:ind w:firstLine="0" w:firstLineChars="0"/>
        <w:rPr>
          <w:rFonts w:ascii="宋体" w:hAnsi="宋体" w:eastAsia="宋体" w:cs="宋体"/>
          <w:bCs w:val="0"/>
          <w:color w:val="auto"/>
          <w:sz w:val="24"/>
          <w:szCs w:val="24"/>
        </w:rPr>
      </w:pPr>
      <w:bookmarkStart w:id="42" w:name="_Toc12030"/>
      <w:bookmarkStart w:id="43" w:name="_Toc780"/>
      <w:r>
        <w:rPr>
          <w:rFonts w:hint="eastAsia" w:ascii="宋体" w:hAnsi="宋体" w:eastAsia="宋体" w:cs="宋体"/>
          <w:bCs w:val="0"/>
          <w:color w:val="auto"/>
          <w:sz w:val="24"/>
          <w:szCs w:val="24"/>
        </w:rPr>
        <w:t>七、其他补充事宜</w:t>
      </w:r>
      <w:bookmarkEnd w:id="26"/>
      <w:bookmarkEnd w:id="27"/>
      <w:bookmarkEnd w:id="42"/>
      <w:bookmarkEnd w:id="43"/>
    </w:p>
    <w:p>
      <w:pPr>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bCs/>
          <w:color w:val="auto"/>
          <w:sz w:val="24"/>
          <w:szCs w:val="24"/>
        </w:rPr>
        <w:t>1.本项目需要落实的政策</w:t>
      </w:r>
      <w:r>
        <w:rPr>
          <w:rFonts w:hint="eastAsia" w:ascii="宋体" w:hAnsi="宋体" w:cs="宋体"/>
          <w:color w:val="auto"/>
          <w:sz w:val="24"/>
          <w:szCs w:val="24"/>
        </w:rPr>
        <w:t>：</w:t>
      </w:r>
      <w:r>
        <w:rPr>
          <w:rFonts w:hint="eastAsia" w:ascii="宋体" w:hAnsi="宋体" w:cs="宋体"/>
          <w:color w:val="auto"/>
          <w:kern w:val="0"/>
          <w:sz w:val="24"/>
          <w:szCs w:val="24"/>
        </w:rPr>
        <w:t>《政府采购促进中小企业发展暂行办法》（财库[2011]181号）、《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招标采购促进广西工业产品产销对接实施细则》（桂政发【2015】78号）；</w:t>
      </w: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2.参加磋商的法定代表人或委托代理人必须持证件（法定代表人凭资格证书和身份证，委托代理人凭法人授权委托书原件和身份证）依时到达指定地点等候当面磋商；</w:t>
      </w: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3.网上查询</w:t>
      </w:r>
      <w:r>
        <w:rPr>
          <w:rFonts w:hint="eastAsia" w:ascii="宋体" w:hAnsi="宋体" w:cs="宋体"/>
          <w:b/>
          <w:color w:val="auto"/>
          <w:sz w:val="24"/>
          <w:szCs w:val="24"/>
        </w:rPr>
        <w:t>：</w:t>
      </w:r>
      <w:r>
        <w:rPr>
          <w:rFonts w:hint="eastAsia" w:ascii="宋体" w:hAnsi="宋体" w:cs="宋体"/>
          <w:bCs/>
          <w:color w:val="auto"/>
          <w:sz w:val="24"/>
          <w:szCs w:val="24"/>
        </w:rPr>
        <w:t>中国政府采购网http://www.ccgp.gov.cn/、广西壮族自治区政府采购网http://zfcg.gxzf.gov.cn/；</w:t>
      </w:r>
    </w:p>
    <w:p>
      <w:pPr>
        <w:pStyle w:val="2"/>
        <w:spacing w:line="360" w:lineRule="auto"/>
        <w:rPr>
          <w:rFonts w:ascii="宋体" w:eastAsia="宋体" w:cs="宋体"/>
          <w:bCs w:val="0"/>
          <w:color w:val="auto"/>
          <w:sz w:val="24"/>
          <w:szCs w:val="24"/>
        </w:rPr>
      </w:pPr>
      <w:r>
        <w:rPr>
          <w:rFonts w:hint="eastAsia" w:ascii="宋体" w:eastAsia="宋体" w:cs="宋体"/>
          <w:bCs w:val="0"/>
          <w:color w:val="auto"/>
          <w:sz w:val="24"/>
          <w:szCs w:val="24"/>
        </w:rPr>
        <w:t>4.磋商保证金：本项目免收磋商保证金；</w:t>
      </w:r>
    </w:p>
    <w:p>
      <w:pPr>
        <w:pStyle w:val="14"/>
        <w:adjustRightInd w:val="0"/>
        <w:spacing w:line="360" w:lineRule="auto"/>
        <w:ind w:firstLine="480" w:firstLineChars="200"/>
        <w:outlineLvl w:val="2"/>
        <w:rPr>
          <w:rFonts w:hint="eastAsia" w:ascii="宋体" w:hAnsi="宋体" w:cs="宋体"/>
          <w:color w:val="auto"/>
          <w:sz w:val="24"/>
          <w:szCs w:val="24"/>
        </w:rPr>
      </w:pPr>
      <w:bookmarkStart w:id="44" w:name="_Toc13957"/>
      <w:r>
        <w:rPr>
          <w:rFonts w:hint="eastAsia" w:ascii="宋体" w:hAnsi="宋体" w:cs="宋体"/>
          <w:bCs/>
          <w:color w:val="auto"/>
          <w:sz w:val="24"/>
          <w:szCs w:val="24"/>
        </w:rPr>
        <w:t>5.</w:t>
      </w:r>
      <w:r>
        <w:rPr>
          <w:rFonts w:hint="eastAsia" w:ascii="宋体" w:hAnsi="宋体" w:cs="宋体"/>
          <w:color w:val="auto"/>
          <w:sz w:val="24"/>
          <w:szCs w:val="24"/>
        </w:rPr>
        <w:t>监督部门：宁明县财政局政府采购监督管理股； 联系电话：0771-8636488。</w:t>
      </w:r>
      <w:bookmarkEnd w:id="44"/>
    </w:p>
    <w:p>
      <w:pPr>
        <w:pStyle w:val="4"/>
        <w:adjustRightInd w:val="0"/>
        <w:snapToGrid w:val="0"/>
        <w:spacing w:before="0" w:after="0" w:line="360" w:lineRule="auto"/>
        <w:ind w:firstLine="0" w:firstLineChars="0"/>
        <w:rPr>
          <w:rFonts w:ascii="宋体" w:hAnsi="宋体" w:eastAsia="宋体" w:cs="宋体"/>
          <w:bCs w:val="0"/>
          <w:color w:val="auto"/>
          <w:sz w:val="24"/>
          <w:szCs w:val="24"/>
        </w:rPr>
      </w:pPr>
      <w:bookmarkStart w:id="45" w:name="_Toc28359095"/>
      <w:bookmarkStart w:id="46" w:name="_Toc35393636"/>
      <w:bookmarkStart w:id="47" w:name="_Toc28359018"/>
      <w:bookmarkStart w:id="48" w:name="_Toc15432"/>
      <w:bookmarkStart w:id="49" w:name="_Toc35393805"/>
      <w:bookmarkStart w:id="50" w:name="_Toc26447"/>
      <w:r>
        <w:rPr>
          <w:rFonts w:hint="eastAsia" w:ascii="宋体" w:hAnsi="宋体" w:eastAsia="宋体" w:cs="宋体"/>
          <w:bCs w:val="0"/>
          <w:color w:val="auto"/>
          <w:sz w:val="24"/>
          <w:szCs w:val="24"/>
        </w:rPr>
        <w:t>八、凡对本次采购提出询问，请按以下方式联系。</w:t>
      </w:r>
      <w:bookmarkEnd w:id="45"/>
      <w:bookmarkEnd w:id="46"/>
      <w:bookmarkEnd w:id="47"/>
      <w:bookmarkEnd w:id="48"/>
      <w:bookmarkEnd w:id="49"/>
      <w:bookmarkEnd w:id="50"/>
    </w:p>
    <w:p>
      <w:pPr>
        <w:pStyle w:val="4"/>
        <w:adjustRightInd w:val="0"/>
        <w:snapToGrid w:val="0"/>
        <w:spacing w:before="0" w:after="0" w:line="360" w:lineRule="auto"/>
        <w:ind w:firstLine="480" w:firstLineChars="200"/>
        <w:rPr>
          <w:rFonts w:ascii="宋体" w:hAnsi="宋体" w:eastAsia="宋体" w:cs="宋体"/>
          <w:b w:val="0"/>
          <w:color w:val="auto"/>
          <w:sz w:val="24"/>
          <w:szCs w:val="24"/>
        </w:rPr>
      </w:pPr>
      <w:bookmarkStart w:id="51" w:name="_Toc28359096"/>
      <w:bookmarkStart w:id="52" w:name="_Toc35393637"/>
      <w:bookmarkStart w:id="53" w:name="_Toc28860"/>
      <w:bookmarkStart w:id="54" w:name="_Toc20417"/>
      <w:bookmarkStart w:id="55" w:name="_Toc35393806"/>
      <w:bookmarkStart w:id="56" w:name="_Toc28359019"/>
      <w:r>
        <w:rPr>
          <w:rFonts w:hint="eastAsia" w:ascii="宋体" w:hAnsi="宋体" w:eastAsia="宋体" w:cs="宋体"/>
          <w:b w:val="0"/>
          <w:color w:val="auto"/>
          <w:sz w:val="24"/>
          <w:szCs w:val="24"/>
        </w:rPr>
        <w:t>1.采购人信息</w:t>
      </w:r>
      <w:bookmarkEnd w:id="51"/>
      <w:bookmarkEnd w:id="52"/>
      <w:bookmarkEnd w:id="53"/>
      <w:bookmarkEnd w:id="54"/>
      <w:bookmarkEnd w:id="55"/>
      <w:bookmarkEnd w:id="56"/>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bCs/>
          <w:color w:val="auto"/>
          <w:sz w:val="24"/>
          <w:szCs w:val="24"/>
        </w:rPr>
        <w:t>宁明县农业农村局</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bCs/>
          <w:color w:val="auto"/>
          <w:sz w:val="24"/>
          <w:szCs w:val="24"/>
        </w:rPr>
        <w:t>宁明县城中镇南华街138号</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联系方式：</w:t>
      </w:r>
      <w:r>
        <w:rPr>
          <w:rFonts w:hint="eastAsia" w:ascii="宋体" w:hAnsi="宋体" w:cs="宋体"/>
          <w:bCs/>
          <w:color w:val="auto"/>
          <w:sz w:val="24"/>
          <w:szCs w:val="24"/>
        </w:rPr>
        <w:t>0771-8621090</w:t>
      </w:r>
      <w:r>
        <w:rPr>
          <w:rFonts w:hint="eastAsia" w:ascii="宋体" w:hAnsi="宋体" w:cs="宋体"/>
          <w:color w:val="auto"/>
          <w:sz w:val="24"/>
          <w:szCs w:val="24"/>
        </w:rPr>
        <w:t xml:space="preserve">　　　 </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联系人：何工</w:t>
      </w:r>
    </w:p>
    <w:p>
      <w:pPr>
        <w:pStyle w:val="4"/>
        <w:adjustRightInd w:val="0"/>
        <w:snapToGrid w:val="0"/>
        <w:spacing w:before="0" w:after="0" w:line="360" w:lineRule="auto"/>
        <w:ind w:firstLine="480" w:firstLineChars="200"/>
        <w:rPr>
          <w:rFonts w:ascii="宋体" w:hAnsi="宋体" w:eastAsia="宋体" w:cs="宋体"/>
          <w:b w:val="0"/>
          <w:color w:val="auto"/>
          <w:sz w:val="24"/>
          <w:szCs w:val="24"/>
        </w:rPr>
      </w:pPr>
      <w:bookmarkStart w:id="57" w:name="_Toc28359097"/>
      <w:bookmarkStart w:id="58" w:name="_Toc28359020"/>
      <w:bookmarkStart w:id="59" w:name="_Toc35393638"/>
      <w:bookmarkStart w:id="60" w:name="_Toc29479"/>
      <w:bookmarkStart w:id="61" w:name="_Toc474"/>
      <w:bookmarkStart w:id="62" w:name="_Toc35393807"/>
      <w:r>
        <w:rPr>
          <w:rFonts w:hint="eastAsia" w:ascii="宋体" w:hAnsi="宋体" w:eastAsia="宋体" w:cs="宋体"/>
          <w:b w:val="0"/>
          <w:color w:val="auto"/>
          <w:sz w:val="24"/>
          <w:szCs w:val="24"/>
        </w:rPr>
        <w:t>2.采购代理机构信息</w:t>
      </w:r>
      <w:bookmarkEnd w:id="57"/>
      <w:bookmarkEnd w:id="58"/>
      <w:bookmarkEnd w:id="59"/>
      <w:bookmarkEnd w:id="60"/>
      <w:bookmarkEnd w:id="61"/>
      <w:bookmarkEnd w:id="62"/>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名    称：广西大通建设监理咨询管理有限公司　　</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　　址：崇左市花山路嘉苑小区R-08号崇左分公司　　</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联系方式：0771-7910586　　</w:t>
      </w:r>
    </w:p>
    <w:p>
      <w:pPr>
        <w:pStyle w:val="4"/>
        <w:adjustRightInd w:val="0"/>
        <w:snapToGrid w:val="0"/>
        <w:spacing w:before="0" w:after="0" w:line="360" w:lineRule="auto"/>
        <w:ind w:firstLine="480" w:firstLineChars="200"/>
        <w:rPr>
          <w:rFonts w:ascii="宋体" w:hAnsi="宋体" w:eastAsia="宋体" w:cs="宋体"/>
          <w:b w:val="0"/>
          <w:color w:val="auto"/>
          <w:sz w:val="24"/>
          <w:szCs w:val="24"/>
        </w:rPr>
      </w:pPr>
      <w:bookmarkStart w:id="63" w:name="_Toc28359098"/>
      <w:bookmarkStart w:id="64" w:name="_Toc19252"/>
      <w:bookmarkStart w:id="65" w:name="_Toc28359021"/>
      <w:bookmarkStart w:id="66" w:name="_Toc35393808"/>
      <w:bookmarkStart w:id="67" w:name="_Toc35393639"/>
      <w:bookmarkStart w:id="68" w:name="_Toc5695"/>
      <w:r>
        <w:rPr>
          <w:rFonts w:hint="eastAsia" w:ascii="宋体" w:hAnsi="宋体" w:eastAsia="宋体" w:cs="宋体"/>
          <w:b w:val="0"/>
          <w:color w:val="auto"/>
          <w:sz w:val="24"/>
          <w:szCs w:val="24"/>
        </w:rPr>
        <w:t>3.项目联系方式</w:t>
      </w:r>
      <w:bookmarkEnd w:id="63"/>
      <w:bookmarkEnd w:id="64"/>
      <w:bookmarkEnd w:id="65"/>
      <w:bookmarkEnd w:id="66"/>
      <w:bookmarkEnd w:id="67"/>
      <w:bookmarkEnd w:id="68"/>
    </w:p>
    <w:p>
      <w:pPr>
        <w:pStyle w:val="12"/>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项目联系人：黄工</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　　 话：0771-7910586　　　　</w:t>
      </w:r>
    </w:p>
    <w:p>
      <w:pPr>
        <w:adjustRightInd w:val="0"/>
        <w:snapToGrid w:val="0"/>
        <w:spacing w:line="360" w:lineRule="auto"/>
        <w:rPr>
          <w:rFonts w:ascii="宋体" w:hAnsi="宋体" w:cs="宋体"/>
          <w:color w:val="auto"/>
          <w:sz w:val="24"/>
          <w:szCs w:val="24"/>
        </w:rPr>
      </w:pPr>
    </w:p>
    <w:p>
      <w:pPr>
        <w:adjustRightInd w:val="0"/>
        <w:snapToGrid w:val="0"/>
        <w:spacing w:line="360" w:lineRule="auto"/>
        <w:rPr>
          <w:rFonts w:ascii="宋体" w:hAnsi="宋体" w:cs="宋体"/>
          <w:color w:val="auto"/>
          <w:sz w:val="24"/>
          <w:szCs w:val="24"/>
        </w:rPr>
      </w:pPr>
    </w:p>
    <w:p>
      <w:pPr>
        <w:adjustRightInd w:val="0"/>
        <w:snapToGrid w:val="0"/>
        <w:spacing w:line="360" w:lineRule="auto"/>
        <w:ind w:left="3990" w:leftChars="1900"/>
        <w:jc w:val="left"/>
        <w:rPr>
          <w:rFonts w:ascii="宋体" w:hAnsi="宋体" w:cs="宋体"/>
          <w:color w:val="auto"/>
          <w:sz w:val="24"/>
          <w:szCs w:val="24"/>
        </w:rPr>
      </w:pPr>
      <w:r>
        <w:rPr>
          <w:rFonts w:hint="eastAsia" w:ascii="宋体" w:hAnsi="宋体" w:cs="宋体"/>
          <w:bCs/>
          <w:color w:val="auto"/>
          <w:sz w:val="24"/>
          <w:szCs w:val="24"/>
        </w:rPr>
        <w:t>采　购　人：宁明县农业农村局</w:t>
      </w:r>
    </w:p>
    <w:p>
      <w:pPr>
        <w:adjustRightInd w:val="0"/>
        <w:snapToGrid w:val="0"/>
        <w:spacing w:line="360" w:lineRule="auto"/>
        <w:ind w:left="3990" w:leftChars="1900"/>
        <w:rPr>
          <w:rFonts w:ascii="宋体" w:hAnsi="宋体" w:cs="宋体"/>
          <w:color w:val="auto"/>
          <w:sz w:val="24"/>
          <w:szCs w:val="24"/>
        </w:rPr>
      </w:pPr>
      <w:r>
        <w:rPr>
          <w:rFonts w:hint="eastAsia" w:ascii="宋体" w:hAnsi="宋体" w:cs="宋体"/>
          <w:bCs/>
          <w:color w:val="auto"/>
          <w:sz w:val="24"/>
          <w:szCs w:val="24"/>
        </w:rPr>
        <w:t>采购代理机构：广西大通建设监理咨询管理有限公司</w:t>
      </w:r>
    </w:p>
    <w:p>
      <w:pPr>
        <w:adjustRightInd w:val="0"/>
        <w:snapToGrid w:val="0"/>
        <w:spacing w:line="360" w:lineRule="auto"/>
        <w:rPr>
          <w:rFonts w:ascii="宋体" w:hAnsi="宋体" w:cs="宋体"/>
          <w:color w:val="auto"/>
          <w:sz w:val="24"/>
          <w:szCs w:val="24"/>
        </w:rPr>
      </w:pPr>
      <w:r>
        <w:rPr>
          <w:rFonts w:hint="eastAsia" w:ascii="宋体" w:hAnsi="宋体" w:cs="宋体"/>
          <w:bCs/>
          <w:color w:val="auto"/>
          <w:sz w:val="24"/>
          <w:szCs w:val="24"/>
        </w:rPr>
        <w:t xml:space="preserve">                                                 2020年 12 月</w:t>
      </w:r>
      <w:r>
        <w:rPr>
          <w:rFonts w:hint="eastAsia" w:ascii="宋体" w:hAnsi="宋体" w:cs="宋体"/>
          <w:bCs/>
          <w:color w:val="auto"/>
          <w:sz w:val="24"/>
          <w:szCs w:val="24"/>
          <w:lang w:val="en-US" w:eastAsia="zh-CN"/>
        </w:rPr>
        <w:t>9</w:t>
      </w:r>
      <w:r>
        <w:rPr>
          <w:rFonts w:hint="eastAsia" w:ascii="宋体" w:hAnsi="宋体" w:cs="宋体"/>
          <w:bCs/>
          <w:color w:val="auto"/>
          <w:sz w:val="24"/>
          <w:szCs w:val="24"/>
        </w:rPr>
        <w:t>日</w:t>
      </w:r>
    </w:p>
    <w:p>
      <w:pPr>
        <w:rPr>
          <w:rFonts w:ascii="宋体" w:hAnsi="宋体" w:cs="宋体"/>
          <w:color w:val="auto"/>
        </w:rPr>
      </w:pPr>
      <w:bookmarkStart w:id="69" w:name="_Toc464982674"/>
    </w:p>
    <w:p>
      <w:pPr>
        <w:pStyle w:val="14"/>
        <w:rPr>
          <w:rFonts w:ascii="宋体" w:hAnsi="宋体" w:cs="宋体"/>
          <w:color w:val="auto"/>
        </w:rPr>
      </w:pPr>
    </w:p>
    <w:p>
      <w:pPr>
        <w:pStyle w:val="14"/>
        <w:rPr>
          <w:rFonts w:ascii="宋体" w:hAnsi="宋体" w:cs="宋体"/>
          <w:color w:val="auto"/>
        </w:rPr>
      </w:pPr>
    </w:p>
    <w:p>
      <w:pPr>
        <w:pStyle w:val="14"/>
        <w:rPr>
          <w:rFonts w:ascii="宋体" w:hAnsi="宋体" w:cs="宋体"/>
          <w:color w:val="auto"/>
        </w:rPr>
      </w:pPr>
    </w:p>
    <w:p>
      <w:pPr>
        <w:spacing w:line="300" w:lineRule="auto"/>
        <w:jc w:val="center"/>
        <w:rPr>
          <w:rFonts w:ascii="宋体" w:hAnsi="宋体" w:cs="宋体"/>
          <w:b/>
          <w:bCs/>
          <w:color w:val="auto"/>
          <w:sz w:val="32"/>
          <w:szCs w:val="32"/>
        </w:rPr>
      </w:pPr>
    </w:p>
    <w:p>
      <w:pPr>
        <w:pStyle w:val="14"/>
        <w:rPr>
          <w:rFonts w:ascii="宋体" w:hAnsi="宋体" w:cs="宋体"/>
          <w:color w:val="auto"/>
        </w:rPr>
      </w:pPr>
    </w:p>
    <w:p>
      <w:pPr>
        <w:spacing w:line="300" w:lineRule="auto"/>
        <w:jc w:val="center"/>
        <w:outlineLvl w:val="9"/>
        <w:rPr>
          <w:rFonts w:ascii="宋体" w:hAnsi="宋体" w:cs="宋体"/>
          <w:b/>
          <w:bCs/>
          <w:color w:val="auto"/>
          <w:sz w:val="32"/>
          <w:szCs w:val="32"/>
        </w:rPr>
        <w:sectPr>
          <w:footerReference r:id="rId7" w:type="default"/>
          <w:pgSz w:w="11910" w:h="16840"/>
          <w:pgMar w:top="1542" w:right="1009" w:bottom="1040" w:left="1241" w:header="876" w:footer="858" w:gutter="0"/>
          <w:pgNumType w:fmt="decimal" w:start="1"/>
          <w:cols w:space="720" w:num="1"/>
        </w:sectPr>
      </w:pPr>
      <w:bookmarkStart w:id="70" w:name="_Toc20815"/>
    </w:p>
    <w:p>
      <w:pPr>
        <w:pStyle w:val="3"/>
        <w:spacing w:line="240" w:lineRule="auto"/>
        <w:jc w:val="center"/>
        <w:rPr>
          <w:rFonts w:hint="eastAsia" w:ascii="Times New Roman" w:hAnsi="Times New Roman" w:cs="Times New Roman"/>
          <w:b/>
          <w:bCs/>
          <w:color w:val="auto"/>
          <w:sz w:val="44"/>
          <w:szCs w:val="44"/>
        </w:rPr>
      </w:pPr>
      <w:bookmarkStart w:id="71" w:name="_Toc13060"/>
      <w:bookmarkStart w:id="72" w:name="_Toc9559"/>
      <w:r>
        <w:rPr>
          <w:rFonts w:hint="eastAsia" w:ascii="Times New Roman" w:hAnsi="Times New Roman" w:cs="Times New Roman"/>
          <w:b/>
          <w:bCs/>
          <w:color w:val="auto"/>
          <w:sz w:val="44"/>
          <w:szCs w:val="44"/>
        </w:rPr>
        <w:t>第二章 供应商须知</w:t>
      </w:r>
      <w:bookmarkEnd w:id="69"/>
      <w:bookmarkEnd w:id="70"/>
      <w:bookmarkEnd w:id="71"/>
      <w:bookmarkEnd w:id="72"/>
    </w:p>
    <w:p>
      <w:pPr>
        <w:tabs>
          <w:tab w:val="left" w:pos="1065"/>
          <w:tab w:val="center" w:pos="4411"/>
        </w:tabs>
        <w:spacing w:line="300" w:lineRule="auto"/>
        <w:jc w:val="center"/>
        <w:outlineLvl w:val="1"/>
        <w:rPr>
          <w:rFonts w:ascii="宋体" w:hAnsi="宋体" w:cs="宋体"/>
          <w:b/>
          <w:bCs/>
          <w:color w:val="auto"/>
          <w:sz w:val="32"/>
          <w:szCs w:val="32"/>
        </w:rPr>
      </w:pPr>
      <w:bookmarkStart w:id="73" w:name="_Toc8515_WPSOffice_Level2"/>
      <w:bookmarkStart w:id="74" w:name="_Toc21207"/>
      <w:bookmarkStart w:id="75" w:name="_Toc18337"/>
      <w:r>
        <w:rPr>
          <w:rFonts w:hint="eastAsia" w:ascii="宋体" w:hAnsi="宋体" w:cs="宋体"/>
          <w:b/>
          <w:bCs/>
          <w:color w:val="auto"/>
          <w:sz w:val="32"/>
          <w:szCs w:val="32"/>
        </w:rPr>
        <w:t>供应商须知前附表</w:t>
      </w:r>
      <w:bookmarkEnd w:id="73"/>
      <w:bookmarkEnd w:id="74"/>
      <w:bookmarkEnd w:id="75"/>
    </w:p>
    <w:tbl>
      <w:tblPr>
        <w:tblStyle w:val="20"/>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367"/>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744" w:type="dxa"/>
            <w:shd w:val="clear" w:color="auto" w:fill="BDD6EE" w:themeFill="accent1" w:themeFillTint="66"/>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2367" w:type="dxa"/>
            <w:shd w:val="clear" w:color="auto" w:fill="BDD6EE" w:themeFill="accent1" w:themeFillTint="66"/>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条款名称</w:t>
            </w:r>
          </w:p>
        </w:tc>
        <w:tc>
          <w:tcPr>
            <w:tcW w:w="6972" w:type="dxa"/>
            <w:shd w:val="clear" w:color="auto" w:fill="BDD6EE" w:themeFill="accent1" w:themeFillTint="66"/>
            <w:vAlign w:val="center"/>
          </w:tcPr>
          <w:p>
            <w:pPr>
              <w:spacing w:line="360" w:lineRule="auto"/>
              <w:jc w:val="center"/>
              <w:rPr>
                <w:rFonts w:ascii="宋体" w:hAnsi="宋体" w:cs="宋体"/>
                <w:b/>
                <w:color w:val="auto"/>
                <w:sz w:val="24"/>
              </w:rPr>
            </w:pPr>
            <w:r>
              <w:rPr>
                <w:rFonts w:hint="eastAsia" w:ascii="宋体" w:hAnsi="宋体" w:cs="宋体"/>
                <w:b/>
                <w:color w:val="auto"/>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6972" w:type="dxa"/>
            <w:vAlign w:val="center"/>
          </w:tcPr>
          <w:p>
            <w:pPr>
              <w:spacing w:line="360" w:lineRule="auto"/>
              <w:rPr>
                <w:rFonts w:ascii="宋体" w:hAnsi="宋体" w:cs="宋体"/>
                <w:bCs/>
                <w:color w:val="auto"/>
                <w:sz w:val="24"/>
                <w:szCs w:val="24"/>
              </w:rPr>
            </w:pPr>
            <w:r>
              <w:rPr>
                <w:rFonts w:hint="eastAsia" w:ascii="宋体" w:hAnsi="宋体" w:cs="宋体"/>
                <w:color w:val="auto"/>
                <w:sz w:val="24"/>
                <w:szCs w:val="24"/>
              </w:rPr>
              <w:t>采购人名称：</w:t>
            </w:r>
            <w:r>
              <w:rPr>
                <w:rFonts w:hint="eastAsia" w:ascii="宋体" w:hAnsi="宋体" w:cs="宋体"/>
                <w:bCs/>
                <w:color w:val="auto"/>
                <w:sz w:val="24"/>
                <w:szCs w:val="24"/>
              </w:rPr>
              <w:t>宁明县农业农村局</w:t>
            </w:r>
          </w:p>
          <w:p>
            <w:pPr>
              <w:spacing w:line="360" w:lineRule="auto"/>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bCs/>
                <w:color w:val="auto"/>
                <w:sz w:val="24"/>
                <w:szCs w:val="24"/>
              </w:rPr>
              <w:t>宁明县城中镇南华街138号</w:t>
            </w:r>
          </w:p>
          <w:p>
            <w:pPr>
              <w:spacing w:line="360" w:lineRule="auto"/>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rPr>
              <w:t>何工</w:t>
            </w:r>
          </w:p>
          <w:p>
            <w:pPr>
              <w:spacing w:line="360" w:lineRule="auto"/>
              <w:rPr>
                <w:rFonts w:ascii="宋体" w:hAnsi="宋体" w:cs="宋体"/>
                <w:color w:val="auto"/>
                <w:sz w:val="24"/>
                <w:szCs w:val="24"/>
              </w:rPr>
            </w:pPr>
            <w:r>
              <w:rPr>
                <w:rFonts w:hint="eastAsia" w:ascii="宋体" w:hAnsi="宋体" w:cs="宋体"/>
                <w:color w:val="auto"/>
                <w:sz w:val="24"/>
                <w:szCs w:val="24"/>
              </w:rPr>
              <w:t>联系电话：</w:t>
            </w:r>
            <w:r>
              <w:rPr>
                <w:rFonts w:hint="eastAsia" w:ascii="宋体" w:hAnsi="宋体" w:cs="宋体"/>
                <w:bCs/>
                <w:color w:val="auto"/>
                <w:sz w:val="24"/>
                <w:szCs w:val="24"/>
              </w:rPr>
              <w:t>0771-8621090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采购代理机构</w:t>
            </w:r>
          </w:p>
        </w:tc>
        <w:tc>
          <w:tcPr>
            <w:tcW w:w="6972"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名称：广西大通建设监理咨询管理有限公司</w:t>
            </w:r>
          </w:p>
          <w:p>
            <w:pPr>
              <w:spacing w:line="360" w:lineRule="auto"/>
              <w:rPr>
                <w:rFonts w:ascii="宋体" w:hAnsi="宋体" w:cs="宋体"/>
                <w:bCs/>
                <w:color w:val="auto"/>
                <w:sz w:val="24"/>
                <w:szCs w:val="24"/>
              </w:rPr>
            </w:pPr>
            <w:r>
              <w:rPr>
                <w:rFonts w:hint="eastAsia" w:ascii="宋体" w:hAnsi="宋体" w:cs="宋体"/>
                <w:bCs/>
                <w:color w:val="auto"/>
                <w:sz w:val="24"/>
                <w:szCs w:val="24"/>
              </w:rPr>
              <w:t>地址：崇左市花山路嘉苑小区R-08号崇左分公司</w:t>
            </w:r>
          </w:p>
          <w:p>
            <w:pPr>
              <w:spacing w:line="360" w:lineRule="auto"/>
              <w:rPr>
                <w:rFonts w:ascii="宋体" w:hAnsi="宋体" w:cs="宋体"/>
                <w:bCs/>
                <w:color w:val="auto"/>
                <w:sz w:val="24"/>
                <w:szCs w:val="24"/>
              </w:rPr>
            </w:pPr>
            <w:r>
              <w:rPr>
                <w:rFonts w:hint="eastAsia" w:ascii="宋体" w:hAnsi="宋体" w:cs="宋体"/>
                <w:bCs/>
                <w:color w:val="auto"/>
                <w:sz w:val="24"/>
                <w:szCs w:val="24"/>
              </w:rPr>
              <w:t>项目联系人：黄工       </w:t>
            </w:r>
          </w:p>
          <w:p>
            <w:pPr>
              <w:spacing w:line="360" w:lineRule="auto"/>
              <w:rPr>
                <w:rFonts w:ascii="宋体" w:hAnsi="宋体" w:cs="宋体"/>
                <w:b/>
                <w:color w:val="auto"/>
                <w:sz w:val="24"/>
                <w:szCs w:val="24"/>
              </w:rPr>
            </w:pPr>
            <w:r>
              <w:rPr>
                <w:rFonts w:hint="eastAsia" w:ascii="宋体" w:hAnsi="宋体" w:cs="宋体"/>
                <w:bCs/>
                <w:color w:val="auto"/>
                <w:sz w:val="24"/>
                <w:szCs w:val="24"/>
              </w:rPr>
              <w:t>联系电话：0771-7910586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项目名称及项目编号</w:t>
            </w:r>
          </w:p>
        </w:tc>
        <w:tc>
          <w:tcPr>
            <w:tcW w:w="6972" w:type="dxa"/>
            <w:vAlign w:val="center"/>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项</w:t>
            </w:r>
            <w:r>
              <w:rPr>
                <w:rFonts w:hint="eastAsia" w:ascii="宋体" w:hAnsi="宋体" w:cs="宋体"/>
                <w:bCs/>
                <w:color w:val="auto"/>
                <w:sz w:val="24"/>
                <w:szCs w:val="24"/>
              </w:rPr>
              <w:t>目名称：</w:t>
            </w:r>
            <w:r>
              <w:rPr>
                <w:rFonts w:hint="eastAsia" w:ascii="宋体" w:hAnsi="宋体" w:cs="宋体"/>
                <w:color w:val="auto"/>
                <w:sz w:val="24"/>
                <w:szCs w:val="24"/>
                <w:lang w:eastAsia="zh-CN"/>
              </w:rPr>
              <w:t>宁明县海渊镇北岩、驮邓片区高标准农田建设项目施工</w:t>
            </w:r>
          </w:p>
          <w:p>
            <w:pPr>
              <w:spacing w:line="360" w:lineRule="auto"/>
              <w:rPr>
                <w:rFonts w:hint="eastAsia" w:ascii="宋体" w:hAnsi="宋体" w:eastAsia="宋体" w:cs="宋体"/>
                <w:bCs/>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CZZC2020-C2-50007-GXDT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44"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4</w:t>
            </w:r>
          </w:p>
        </w:tc>
        <w:tc>
          <w:tcPr>
            <w:tcW w:w="2367"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建设地点</w:t>
            </w:r>
          </w:p>
        </w:tc>
        <w:tc>
          <w:tcPr>
            <w:tcW w:w="6972" w:type="dxa"/>
            <w:vAlign w:val="center"/>
          </w:tcPr>
          <w:p>
            <w:pPr>
              <w:spacing w:line="24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宁明县海渊镇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bCs/>
                <w:color w:val="auto"/>
                <w:sz w:val="24"/>
                <w:szCs w:val="24"/>
              </w:rPr>
              <w:t>磋商内容</w:t>
            </w:r>
          </w:p>
        </w:tc>
        <w:tc>
          <w:tcPr>
            <w:tcW w:w="6972" w:type="dxa"/>
            <w:vAlign w:val="center"/>
          </w:tcPr>
          <w:p>
            <w:pPr>
              <w:tabs>
                <w:tab w:val="left" w:pos="2295"/>
              </w:tabs>
              <w:spacing w:line="360" w:lineRule="auto"/>
              <w:rPr>
                <w:rFonts w:ascii="宋体" w:hAnsi="宋体" w:cs="宋体"/>
                <w:color w:val="auto"/>
                <w:sz w:val="24"/>
                <w:szCs w:val="24"/>
              </w:rPr>
            </w:pPr>
            <w:r>
              <w:rPr>
                <w:rFonts w:hint="eastAsia" w:ascii="宋体" w:hAnsi="宋体" w:cs="宋体"/>
                <w:color w:val="auto"/>
                <w:sz w:val="24"/>
                <w:szCs w:val="24"/>
                <w:lang w:eastAsia="zh-CN"/>
              </w:rPr>
              <w:t>宁明县海渊镇北岩、驮邓片区高标准农田建设项目施工</w:t>
            </w:r>
            <w:r>
              <w:rPr>
                <w:rFonts w:hint="eastAsia" w:ascii="宋体" w:hAnsi="宋体" w:cs="宋体"/>
                <w:color w:val="auto"/>
                <w:sz w:val="24"/>
                <w:szCs w:val="24"/>
              </w:rPr>
              <w:t>，具体详见设计图纸及工程量清单中所包含的内容。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4"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6</w:t>
            </w:r>
          </w:p>
        </w:tc>
        <w:tc>
          <w:tcPr>
            <w:tcW w:w="2367"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要求工期</w:t>
            </w:r>
          </w:p>
        </w:tc>
        <w:tc>
          <w:tcPr>
            <w:tcW w:w="6972" w:type="dxa"/>
            <w:vAlign w:val="center"/>
          </w:tcPr>
          <w:p>
            <w:pPr>
              <w:spacing w:line="240" w:lineRule="auto"/>
              <w:rPr>
                <w:rFonts w:ascii="宋体" w:hAnsi="宋体" w:cs="宋体"/>
                <w:color w:val="auto"/>
                <w:sz w:val="24"/>
                <w:szCs w:val="24"/>
              </w:rPr>
            </w:pPr>
            <w:r>
              <w:rPr>
                <w:rFonts w:hint="eastAsia" w:ascii="宋体" w:hAnsi="宋体" w:cs="宋体"/>
                <w:color w:val="auto"/>
                <w:sz w:val="24"/>
                <w:szCs w:val="24"/>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44"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7</w:t>
            </w:r>
          </w:p>
        </w:tc>
        <w:tc>
          <w:tcPr>
            <w:tcW w:w="2367"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质量要求</w:t>
            </w:r>
          </w:p>
        </w:tc>
        <w:tc>
          <w:tcPr>
            <w:tcW w:w="6972" w:type="dxa"/>
            <w:vAlign w:val="center"/>
          </w:tcPr>
          <w:p>
            <w:pPr>
              <w:spacing w:line="240" w:lineRule="auto"/>
              <w:rPr>
                <w:rFonts w:ascii="宋体" w:hAnsi="宋体" w:cs="宋体"/>
                <w:color w:val="auto"/>
                <w:sz w:val="24"/>
                <w:szCs w:val="24"/>
              </w:rPr>
            </w:pPr>
            <w:r>
              <w:rPr>
                <w:rFonts w:hint="eastAsia" w:ascii="宋体" w:hAnsi="宋体" w:cs="宋体"/>
                <w:color w:val="auto"/>
                <w:sz w:val="24"/>
                <w:szCs w:val="24"/>
              </w:rPr>
              <w:t>质量标准：达到国家竣工验收合格标准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供应商资格</w:t>
            </w:r>
          </w:p>
        </w:tc>
        <w:tc>
          <w:tcPr>
            <w:tcW w:w="6972" w:type="dxa"/>
            <w:vAlign w:val="center"/>
          </w:tcPr>
          <w:p>
            <w:pPr>
              <w:adjustRightInd w:val="0"/>
              <w:snapToGrid w:val="0"/>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1.满足《中华人民共和国政府采购法》第二十二条规定；</w:t>
            </w:r>
          </w:p>
          <w:p>
            <w:pPr>
              <w:adjustRightInd w:val="0"/>
              <w:snapToGrid w:val="0"/>
              <w:spacing w:line="360" w:lineRule="auto"/>
              <w:ind w:firstLine="0" w:firstLineChars="0"/>
              <w:rPr>
                <w:rFonts w:ascii="宋体" w:hAnsi="宋体" w:cs="宋体"/>
                <w:color w:val="auto"/>
                <w:sz w:val="24"/>
                <w:szCs w:val="24"/>
              </w:rPr>
            </w:pPr>
            <w:r>
              <w:rPr>
                <w:rFonts w:hint="eastAsia" w:ascii="宋体" w:hAnsi="宋体" w:cs="宋体"/>
                <w:color w:val="auto"/>
                <w:sz w:val="24"/>
                <w:szCs w:val="24"/>
              </w:rPr>
              <w:t>2.落实政府采购政策需满足的资格要求：无</w:t>
            </w:r>
            <w:r>
              <w:rPr>
                <w:rFonts w:hint="eastAsia" w:ascii="宋体" w:hAnsi="宋体" w:cs="宋体"/>
                <w:bCs/>
                <w:color w:val="auto"/>
                <w:sz w:val="24"/>
                <w:szCs w:val="24"/>
              </w:rPr>
              <w:t>。</w:t>
            </w:r>
          </w:p>
          <w:p>
            <w:pPr>
              <w:spacing w:line="360" w:lineRule="auto"/>
              <w:rPr>
                <w:rFonts w:hint="eastAsia" w:ascii="宋体" w:hAnsi="宋体" w:cs="宋体"/>
                <w:color w:val="auto"/>
                <w:sz w:val="24"/>
                <w:szCs w:val="24"/>
              </w:rPr>
            </w:pPr>
            <w:r>
              <w:rPr>
                <w:rFonts w:hint="eastAsia" w:ascii="宋体" w:hAnsi="宋体" w:cs="宋体"/>
                <w:color w:val="auto"/>
                <w:sz w:val="24"/>
                <w:szCs w:val="24"/>
              </w:rPr>
              <w:t>3.本项目的特定资格要求：</w:t>
            </w:r>
          </w:p>
          <w:p>
            <w:pPr>
              <w:pStyle w:val="19"/>
              <w:adjustRightInd w:val="0"/>
              <w:snapToGrid w:val="0"/>
              <w:spacing w:before="0" w:beforeAutospacing="0" w:after="0" w:afterAutospacing="0" w:line="360" w:lineRule="auto"/>
              <w:ind w:firstLine="0" w:firstLineChars="0"/>
              <w:jc w:val="both"/>
              <w:rPr>
                <w:rFonts w:ascii="宋体" w:hAnsi="宋体" w:cs="宋体"/>
                <w:color w:val="auto"/>
                <w:sz w:val="24"/>
                <w:szCs w:val="24"/>
              </w:rPr>
            </w:pPr>
            <w:r>
              <w:rPr>
                <w:rFonts w:hint="eastAsia" w:ascii="宋体" w:hAnsi="宋体" w:cs="宋体"/>
                <w:color w:val="auto"/>
                <w:sz w:val="24"/>
                <w:szCs w:val="24"/>
              </w:rPr>
              <w:t>（1）供应商须具备水利水电工程施工总承包叁级以上（含叁级）或市政公用工程施工总承包叁级以上（含叁级）资质或公路工程施工总承包叁级以上（含叁级）资质；拟派项目经理具备水利水电工程专业贰级以上(含贰级)或市政公用工程专业贰级以上(含贰级)</w:t>
            </w:r>
            <w:r>
              <w:rPr>
                <w:rFonts w:hint="eastAsia" w:ascii="宋体" w:hAnsi="宋体" w:cs="宋体"/>
                <w:color w:val="auto"/>
                <w:sz w:val="24"/>
                <w:szCs w:val="24"/>
                <w:lang w:val="en-US" w:eastAsia="zh-CN"/>
              </w:rPr>
              <w:t>或</w:t>
            </w:r>
            <w:r>
              <w:rPr>
                <w:rFonts w:hint="eastAsia" w:ascii="宋体" w:hAnsi="宋体" w:cs="宋体"/>
                <w:color w:val="auto"/>
                <w:sz w:val="24"/>
                <w:szCs w:val="24"/>
              </w:rPr>
              <w:t>公路工程专业贰级以上（含贰级</w:t>
            </w:r>
            <w:r>
              <w:rPr>
                <w:rFonts w:hint="eastAsia" w:ascii="宋体" w:hAnsi="宋体" w:cs="宋体"/>
                <w:color w:val="auto"/>
                <w:sz w:val="24"/>
                <w:szCs w:val="24"/>
                <w:lang w:eastAsia="zh-CN"/>
              </w:rPr>
              <w:t>）</w:t>
            </w:r>
            <w:r>
              <w:rPr>
                <w:rFonts w:hint="eastAsia" w:ascii="宋体" w:hAnsi="宋体" w:cs="宋体"/>
                <w:color w:val="auto"/>
                <w:sz w:val="24"/>
                <w:szCs w:val="24"/>
              </w:rPr>
              <w:t>的注册建造师执业资格，具备有效的安全生产考核合格证书（B类）。</w:t>
            </w:r>
          </w:p>
          <w:p>
            <w:pPr>
              <w:adjustRightInd w:val="0"/>
              <w:snapToGrid w:val="0"/>
              <w:spacing w:line="360" w:lineRule="auto"/>
              <w:ind w:firstLine="0" w:firstLineChars="0"/>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kern w:val="0"/>
                <w:sz w:val="24"/>
                <w:szCs w:val="24"/>
              </w:rPr>
              <w:t>对在“信用中国”网站(www.creditchina.gov.cn)、中国政府采购网(www.ccgp.gov.cn)等渠道被列入失信被执行人、重大税收违法案件当事人名单，不得参与本项目采购活动；</w:t>
            </w:r>
          </w:p>
          <w:p>
            <w:pPr>
              <w:adjustRightInd w:val="0"/>
              <w:snapToGrid w:val="0"/>
              <w:spacing w:line="360" w:lineRule="auto"/>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bCs/>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是否接受联合体投标</w:t>
            </w:r>
          </w:p>
        </w:tc>
        <w:tc>
          <w:tcPr>
            <w:tcW w:w="6972" w:type="dxa"/>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eq \o\ac(□,√)</w:instrText>
            </w:r>
            <w:r>
              <w:rPr>
                <w:rFonts w:hint="eastAsia" w:ascii="宋体" w:hAnsi="宋体" w:cs="宋体"/>
                <w:color w:val="auto"/>
                <w:sz w:val="24"/>
                <w:szCs w:val="24"/>
              </w:rPr>
              <w:fldChar w:fldCharType="end"/>
            </w:r>
            <w:r>
              <w:rPr>
                <w:rFonts w:hint="eastAsia" w:ascii="宋体" w:hAnsi="宋体" w:cs="宋体"/>
                <w:color w:val="auto"/>
                <w:sz w:val="24"/>
                <w:szCs w:val="24"/>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4"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10</w:t>
            </w:r>
          </w:p>
        </w:tc>
        <w:tc>
          <w:tcPr>
            <w:tcW w:w="2367"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踏勘现场</w:t>
            </w:r>
          </w:p>
        </w:tc>
        <w:tc>
          <w:tcPr>
            <w:tcW w:w="6972" w:type="dxa"/>
            <w:vAlign w:val="center"/>
          </w:tcPr>
          <w:p>
            <w:pPr>
              <w:spacing w:line="240" w:lineRule="auto"/>
              <w:rPr>
                <w:rFonts w:ascii="宋体" w:hAnsi="宋体" w:cs="宋体"/>
                <w:color w:val="auto"/>
                <w:kern w:val="0"/>
                <w:sz w:val="24"/>
                <w:szCs w:val="24"/>
              </w:rPr>
            </w:pPr>
            <w:r>
              <w:rPr>
                <w:rFonts w:hint="eastAsia" w:ascii="宋体" w:hAnsi="宋体" w:cs="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供应商要求澄清竞争性磋商文件的截止时间</w:t>
            </w:r>
          </w:p>
        </w:tc>
        <w:tc>
          <w:tcPr>
            <w:tcW w:w="697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投标截止时间前5日。供应商不在规定期限内提出，采购人有权不予答复，或答复后投标截止时间由采购人确定是否顺延。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供应商确认收到澄清的方式</w:t>
            </w:r>
          </w:p>
        </w:tc>
        <w:tc>
          <w:tcPr>
            <w:tcW w:w="697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eq \o\ac(□,</w:instrText>
            </w:r>
            <w:r>
              <w:rPr>
                <w:rFonts w:hint="eastAsia" w:ascii="宋体" w:hAnsi="宋体" w:cs="宋体"/>
                <w:color w:val="auto"/>
                <w:position w:val="2"/>
                <w:sz w:val="24"/>
                <w:szCs w:val="24"/>
              </w:rPr>
              <w:instrText xml:space="preserve">√</w:instrText>
            </w:r>
            <w:r>
              <w:rPr>
                <w:rFonts w:hint="eastAsia" w:ascii="宋体" w:hAnsi="宋体" w:cs="宋体"/>
                <w:color w:val="auto"/>
                <w:sz w:val="24"/>
                <w:szCs w:val="24"/>
              </w:rPr>
              <w:instrText xml:space="preserve">)</w:instrText>
            </w:r>
            <w:r>
              <w:rPr>
                <w:rFonts w:hint="eastAsia" w:ascii="宋体" w:hAnsi="宋体" w:cs="宋体"/>
                <w:color w:val="auto"/>
                <w:sz w:val="24"/>
                <w:szCs w:val="24"/>
              </w:rPr>
              <w:fldChar w:fldCharType="end"/>
            </w:r>
            <w:r>
              <w:rPr>
                <w:rFonts w:hint="eastAsia" w:ascii="宋体" w:hAnsi="宋体" w:cs="宋体"/>
                <w:color w:val="auto"/>
                <w:sz w:val="24"/>
                <w:szCs w:val="24"/>
              </w:rPr>
              <w:t xml:space="preserve">不需要确认。澄清文件在磋商公告发布的网站上发布之日起，视为供应商已收到该澄清。供应商未及时关注网站上发布的澄清文件造成的损失，由供应商自行负责。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投标有效期</w:t>
            </w:r>
          </w:p>
        </w:tc>
        <w:tc>
          <w:tcPr>
            <w:tcW w:w="697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 xml:space="preserve">60天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14</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签字和（或）盖章要求</w:t>
            </w:r>
          </w:p>
        </w:tc>
        <w:tc>
          <w:tcPr>
            <w:tcW w:w="697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投标文件正本与副本均应由供应商在竞争性磋商文件规定的相关位置加盖供应商法人单位公章，且经法定代表人签字（或盖章）或其委托代理人本人签字，否则作否决投标处理。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15</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响应文件份数</w:t>
            </w:r>
          </w:p>
        </w:tc>
        <w:tc>
          <w:tcPr>
            <w:tcW w:w="6972" w:type="dxa"/>
            <w:vAlign w:val="center"/>
          </w:tcPr>
          <w:p>
            <w:pPr>
              <w:tabs>
                <w:tab w:val="left" w:pos="5564"/>
              </w:tabs>
              <w:spacing w:line="360" w:lineRule="auto"/>
              <w:rPr>
                <w:rFonts w:ascii="宋体" w:hAnsi="宋体" w:cs="宋体"/>
                <w:color w:val="auto"/>
                <w:sz w:val="24"/>
                <w:szCs w:val="24"/>
              </w:rPr>
            </w:pPr>
            <w:r>
              <w:rPr>
                <w:rFonts w:hint="eastAsia" w:ascii="宋体" w:hAnsi="宋体" w:cs="宋体"/>
                <w:color w:val="auto"/>
                <w:sz w:val="24"/>
                <w:szCs w:val="24"/>
              </w:rPr>
              <w:t>正本壹册，副本叁册，须完整提交。</w:t>
            </w:r>
            <w:r>
              <w:rPr>
                <w:rFonts w:hint="eastAsia" w:ascii="宋体" w:hAnsi="宋体" w:cs="宋体"/>
                <w:color w:val="auto"/>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16</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响应文件装订要求</w:t>
            </w:r>
          </w:p>
        </w:tc>
        <w:tc>
          <w:tcPr>
            <w:tcW w:w="6972" w:type="dxa"/>
            <w:vAlign w:val="center"/>
          </w:tcPr>
          <w:p>
            <w:pPr>
              <w:spacing w:line="360" w:lineRule="auto"/>
              <w:rPr>
                <w:rFonts w:ascii="宋体" w:hAnsi="宋体" w:cs="宋体"/>
                <w:color w:val="auto"/>
                <w:sz w:val="24"/>
                <w:szCs w:val="24"/>
                <w:u w:val="single"/>
              </w:rPr>
            </w:pPr>
            <w:r>
              <w:rPr>
                <w:rFonts w:hint="eastAsia" w:ascii="宋体" w:hAnsi="宋体" w:cs="宋体"/>
                <w:color w:val="auto"/>
                <w:sz w:val="24"/>
                <w:szCs w:val="24"/>
              </w:rPr>
              <w:t>按照供应商须知规定的响应文件组成内容，响应文件应按以下要求装订：</w:t>
            </w:r>
          </w:p>
          <w:p>
            <w:pPr>
              <w:spacing w:line="360" w:lineRule="auto"/>
              <w:rPr>
                <w:rFonts w:ascii="宋体" w:hAnsi="宋体" w:cs="宋体"/>
                <w:color w:val="auto"/>
                <w:sz w:val="24"/>
                <w:szCs w:val="24"/>
              </w:rPr>
            </w:pPr>
            <w:r>
              <w:rPr>
                <w:rFonts w:hint="eastAsia" w:ascii="宋体" w:hAnsi="宋体" w:cs="宋体"/>
                <w:color w:val="auto"/>
                <w:sz w:val="24"/>
                <w:szCs w:val="24"/>
              </w:rPr>
              <w:t>□不分册装订</w:t>
            </w:r>
          </w:p>
          <w:p>
            <w:pPr>
              <w:spacing w:line="36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eq \o\ac(□,√)</w:instrText>
            </w:r>
            <w:r>
              <w:rPr>
                <w:rFonts w:hint="eastAsia" w:ascii="宋体" w:hAnsi="宋体" w:cs="宋体"/>
                <w:color w:val="auto"/>
                <w:sz w:val="24"/>
                <w:szCs w:val="24"/>
              </w:rPr>
              <w:fldChar w:fldCharType="end"/>
            </w:r>
            <w:r>
              <w:rPr>
                <w:rFonts w:hint="eastAsia" w:ascii="宋体" w:hAnsi="宋体" w:cs="宋体"/>
                <w:color w:val="auto"/>
                <w:sz w:val="24"/>
                <w:szCs w:val="24"/>
              </w:rPr>
              <w:t>分册装订，共分三册，分别为：</w:t>
            </w:r>
            <w:r>
              <w:rPr>
                <w:rFonts w:hint="eastAsia" w:ascii="宋体" w:hAnsi="宋体" w:cs="宋体"/>
                <w:color w:val="auto"/>
                <w:sz w:val="24"/>
                <w:szCs w:val="24"/>
                <w:u w:val="single"/>
              </w:rPr>
              <w:t>资格审查部分、商务标部分、技术标部分</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响应文件每册装订应牢固、不易拆散和换页，不得采用活页装订。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18</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响应文件包装、密封</w:t>
            </w:r>
          </w:p>
        </w:tc>
        <w:tc>
          <w:tcPr>
            <w:tcW w:w="6972" w:type="dxa"/>
          </w:tcPr>
          <w:p>
            <w:pPr>
              <w:spacing w:line="360" w:lineRule="auto"/>
              <w:rPr>
                <w:rFonts w:ascii="宋体" w:hAnsi="宋体" w:cs="宋体"/>
                <w:color w:val="auto"/>
                <w:sz w:val="24"/>
                <w:szCs w:val="24"/>
              </w:rPr>
            </w:pPr>
            <w:r>
              <w:rPr>
                <w:rFonts w:hint="eastAsia" w:ascii="宋体" w:hAnsi="宋体" w:cs="宋体"/>
                <w:color w:val="auto"/>
                <w:sz w:val="24"/>
                <w:szCs w:val="24"/>
              </w:rPr>
              <w:t>供应商应将所有响应文件的资格审查部分、商务标部分、技术标部分分别密封在</w:t>
            </w:r>
            <w:r>
              <w:rPr>
                <w:rFonts w:hint="eastAsia" w:ascii="宋体" w:hAnsi="宋体" w:cs="宋体"/>
                <w:color w:val="auto"/>
                <w:sz w:val="24"/>
                <w:szCs w:val="24"/>
                <w:u w:val="single"/>
              </w:rPr>
              <w:t>三</w:t>
            </w:r>
            <w:r>
              <w:rPr>
                <w:rFonts w:hint="eastAsia" w:ascii="宋体" w:hAnsi="宋体" w:cs="宋体"/>
                <w:color w:val="auto"/>
                <w:sz w:val="24"/>
                <w:szCs w:val="24"/>
              </w:rPr>
              <w:t>个密封袋内，密封袋上清楚地标明“资格审查部分”或“商务标部分”或“技术标部分”，再合封在一个外层密封袋里，提交响应文件时应为</w:t>
            </w:r>
            <w:r>
              <w:rPr>
                <w:rFonts w:hint="eastAsia" w:ascii="宋体" w:hAnsi="宋体" w:cs="宋体"/>
                <w:color w:val="auto"/>
                <w:sz w:val="24"/>
                <w:szCs w:val="24"/>
                <w:u w:val="single"/>
              </w:rPr>
              <w:t>一</w:t>
            </w:r>
            <w:r>
              <w:rPr>
                <w:rFonts w:hint="eastAsia" w:ascii="宋体" w:hAnsi="宋体" w:cs="宋体"/>
                <w:color w:val="auto"/>
                <w:sz w:val="24"/>
                <w:szCs w:val="24"/>
              </w:rPr>
              <w:t>个密封袋。</w:t>
            </w:r>
          </w:p>
          <w:p>
            <w:pPr>
              <w:spacing w:line="360" w:lineRule="auto"/>
              <w:rPr>
                <w:rFonts w:ascii="宋体" w:hAnsi="宋体" w:cs="宋体"/>
                <w:color w:val="auto"/>
                <w:sz w:val="24"/>
                <w:szCs w:val="24"/>
              </w:rPr>
            </w:pPr>
            <w:r>
              <w:rPr>
                <w:rFonts w:hint="eastAsia" w:ascii="宋体" w:hAnsi="宋体" w:cs="宋体"/>
                <w:color w:val="auto"/>
                <w:sz w:val="24"/>
                <w:szCs w:val="24"/>
              </w:rPr>
              <w:t>响应文件密封袋的封口处应加盖供应商法人单位公章以示密封。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19</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rPr>
              <w:t>封套上写明</w:t>
            </w:r>
          </w:p>
        </w:tc>
        <w:tc>
          <w:tcPr>
            <w:tcW w:w="6972" w:type="dxa"/>
            <w:vAlign w:val="center"/>
          </w:tcPr>
          <w:p>
            <w:pPr>
              <w:tabs>
                <w:tab w:val="left" w:pos="1012"/>
              </w:tabs>
              <w:spacing w:line="360" w:lineRule="auto"/>
              <w:ind w:left="479" w:hanging="547" w:hangingChars="228"/>
              <w:jc w:val="left"/>
              <w:rPr>
                <w:rFonts w:ascii="宋体" w:hAnsi="宋体" w:cs="宋体"/>
                <w:color w:val="auto"/>
                <w:sz w:val="24"/>
              </w:rPr>
            </w:pPr>
            <w:r>
              <w:rPr>
                <w:rFonts w:hint="eastAsia" w:ascii="宋体" w:hAnsi="宋体" w:cs="宋体"/>
                <w:color w:val="auto"/>
                <w:sz w:val="24"/>
              </w:rPr>
              <w:t>项目编号：</w:t>
            </w:r>
          </w:p>
          <w:p>
            <w:pPr>
              <w:tabs>
                <w:tab w:val="left" w:pos="1012"/>
              </w:tabs>
              <w:spacing w:line="360" w:lineRule="auto"/>
              <w:ind w:left="479" w:hanging="547" w:hangingChars="228"/>
              <w:jc w:val="left"/>
              <w:rPr>
                <w:rFonts w:ascii="宋体" w:hAnsi="宋体" w:cs="宋体"/>
                <w:color w:val="auto"/>
                <w:sz w:val="24"/>
              </w:rPr>
            </w:pPr>
            <w:r>
              <w:rPr>
                <w:rFonts w:hint="eastAsia" w:ascii="宋体" w:hAnsi="宋体" w:cs="宋体"/>
                <w:color w:val="auto"/>
                <w:sz w:val="24"/>
              </w:rPr>
              <w:t>采购人的地址：</w:t>
            </w:r>
          </w:p>
          <w:p>
            <w:pPr>
              <w:tabs>
                <w:tab w:val="left" w:pos="1012"/>
              </w:tabs>
              <w:spacing w:line="360" w:lineRule="auto"/>
              <w:ind w:left="479" w:hanging="547" w:hangingChars="228"/>
              <w:jc w:val="left"/>
              <w:rPr>
                <w:rFonts w:ascii="宋体" w:hAnsi="宋体" w:cs="宋体"/>
                <w:color w:val="auto"/>
                <w:sz w:val="24"/>
              </w:rPr>
            </w:pPr>
            <w:r>
              <w:rPr>
                <w:rFonts w:hint="eastAsia" w:ascii="宋体" w:hAnsi="宋体" w:cs="宋体"/>
                <w:color w:val="auto"/>
                <w:sz w:val="24"/>
              </w:rPr>
              <w:t>采购人名称：</w:t>
            </w:r>
          </w:p>
          <w:p>
            <w:pPr>
              <w:tabs>
                <w:tab w:val="left" w:pos="1012"/>
              </w:tabs>
              <w:spacing w:line="360" w:lineRule="auto"/>
              <w:ind w:left="479" w:hanging="547" w:hangingChars="228"/>
              <w:jc w:val="left"/>
              <w:rPr>
                <w:rFonts w:ascii="宋体" w:hAnsi="宋体" w:cs="宋体"/>
                <w:color w:val="auto"/>
                <w:sz w:val="24"/>
              </w:rPr>
            </w:pPr>
            <w:r>
              <w:rPr>
                <w:rFonts w:hint="eastAsia" w:ascii="宋体" w:hAnsi="宋体" w:cs="宋体"/>
                <w:color w:val="auto"/>
                <w:sz w:val="24"/>
              </w:rPr>
              <w:t>分标（如有多个分标时）：</w:t>
            </w:r>
          </w:p>
          <w:p>
            <w:pPr>
              <w:spacing w:line="360" w:lineRule="auto"/>
              <w:rPr>
                <w:rFonts w:ascii="宋体" w:hAnsi="宋体" w:cs="宋体"/>
                <w:color w:val="auto"/>
                <w:sz w:val="24"/>
              </w:rPr>
            </w:pPr>
            <w:r>
              <w:rPr>
                <w:rFonts w:hint="eastAsia" w:ascii="宋体" w:hAnsi="宋体" w:cs="宋体"/>
                <w:color w:val="auto"/>
                <w:sz w:val="24"/>
              </w:rPr>
              <w:t>（项目名称）响应文件</w:t>
            </w:r>
          </w:p>
          <w:p>
            <w:pPr>
              <w:spacing w:line="360" w:lineRule="auto"/>
              <w:rPr>
                <w:rFonts w:ascii="宋体" w:hAnsi="宋体" w:cs="宋体"/>
                <w:color w:val="auto"/>
                <w:sz w:val="24"/>
              </w:rPr>
            </w:pPr>
            <w:r>
              <w:rPr>
                <w:rFonts w:hint="eastAsia" w:ascii="宋体" w:hAnsi="宋体" w:cs="宋体"/>
                <w:color w:val="auto"/>
                <w:sz w:val="24"/>
                <w:szCs w:val="24"/>
              </w:rPr>
              <w:t>供应商</w:t>
            </w:r>
            <w:r>
              <w:rPr>
                <w:rFonts w:hint="eastAsia" w:ascii="宋体" w:hAnsi="宋体" w:cs="宋体"/>
                <w:color w:val="auto"/>
                <w:sz w:val="24"/>
              </w:rPr>
              <w:t>地址：</w:t>
            </w:r>
          </w:p>
          <w:p>
            <w:pPr>
              <w:spacing w:line="360" w:lineRule="auto"/>
              <w:rPr>
                <w:rFonts w:ascii="宋体" w:hAnsi="宋体" w:cs="宋体"/>
                <w:color w:val="auto"/>
                <w:sz w:val="24"/>
              </w:rPr>
            </w:pPr>
            <w:r>
              <w:rPr>
                <w:rFonts w:hint="eastAsia" w:ascii="宋体" w:hAnsi="宋体" w:cs="宋体"/>
                <w:color w:val="auto"/>
                <w:sz w:val="24"/>
                <w:szCs w:val="24"/>
              </w:rPr>
              <w:t>供应商</w:t>
            </w:r>
            <w:r>
              <w:rPr>
                <w:rFonts w:hint="eastAsia" w:ascii="宋体" w:hAnsi="宋体" w:cs="宋体"/>
                <w:color w:val="auto"/>
                <w:sz w:val="24"/>
              </w:rPr>
              <w:t>名称：</w:t>
            </w:r>
          </w:p>
          <w:p>
            <w:pPr>
              <w:spacing w:line="360" w:lineRule="auto"/>
              <w:rPr>
                <w:rFonts w:ascii="宋体" w:hAnsi="宋体" w:cs="宋体"/>
                <w:color w:val="auto"/>
                <w:sz w:val="24"/>
                <w:szCs w:val="24"/>
              </w:rPr>
            </w:pPr>
            <w:r>
              <w:rPr>
                <w:rFonts w:hint="eastAsia" w:ascii="宋体" w:hAnsi="宋体" w:cs="宋体"/>
                <w:color w:val="auto"/>
                <w:sz w:val="24"/>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20</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响应文件递交时间及</w:t>
            </w:r>
            <w:r>
              <w:rPr>
                <w:rFonts w:hint="eastAsia" w:ascii="宋体" w:hAnsi="宋体" w:cs="宋体"/>
                <w:color w:val="auto"/>
                <w:position w:val="-2"/>
                <w:sz w:val="24"/>
                <w:szCs w:val="24"/>
              </w:rPr>
              <w:t>地点</w:t>
            </w:r>
          </w:p>
        </w:tc>
        <w:tc>
          <w:tcPr>
            <w:tcW w:w="6972" w:type="dxa"/>
            <w:vAlign w:val="center"/>
          </w:tcPr>
          <w:p>
            <w:pPr>
              <w:spacing w:line="360" w:lineRule="auto"/>
              <w:rPr>
                <w:rFonts w:ascii="宋体" w:hAnsi="宋体" w:cs="宋体"/>
                <w:color w:val="auto"/>
                <w:sz w:val="24"/>
                <w:szCs w:val="24"/>
              </w:rPr>
            </w:pPr>
            <w:r>
              <w:rPr>
                <w:rFonts w:hint="eastAsia" w:ascii="宋体" w:hAnsi="宋体" w:cs="宋体"/>
                <w:b/>
                <w:color w:val="auto"/>
                <w:sz w:val="24"/>
                <w:szCs w:val="24"/>
              </w:rPr>
              <w:t>响应文件递交时间：</w:t>
            </w:r>
            <w:r>
              <w:rPr>
                <w:rFonts w:hint="eastAsia" w:ascii="宋体" w:hAnsi="宋体" w:cs="宋体"/>
                <w:color w:val="auto"/>
                <w:sz w:val="24"/>
                <w:szCs w:val="24"/>
              </w:rPr>
              <w:t>2020年12月</w:t>
            </w:r>
            <w:r>
              <w:rPr>
                <w:rFonts w:hint="eastAsia" w:ascii="宋体" w:hAnsi="宋体" w:cs="宋体"/>
                <w:color w:val="auto"/>
                <w:sz w:val="24"/>
                <w:szCs w:val="24"/>
                <w:lang w:val="en-US" w:eastAsia="zh-CN"/>
              </w:rPr>
              <w:t>21</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分前。</w:t>
            </w:r>
          </w:p>
          <w:p>
            <w:pPr>
              <w:spacing w:line="360" w:lineRule="auto"/>
              <w:rPr>
                <w:rFonts w:ascii="宋体" w:hAnsi="宋体" w:cs="宋体"/>
                <w:color w:val="auto"/>
                <w:sz w:val="24"/>
                <w:szCs w:val="24"/>
              </w:rPr>
            </w:pPr>
            <w:r>
              <w:rPr>
                <w:rFonts w:hint="eastAsia" w:ascii="宋体" w:hAnsi="宋体" w:cs="宋体"/>
                <w:b/>
                <w:color w:val="auto"/>
                <w:sz w:val="24"/>
                <w:szCs w:val="24"/>
              </w:rPr>
              <w:t>响应文件递交地点：</w:t>
            </w:r>
            <w:r>
              <w:rPr>
                <w:rFonts w:hint="eastAsia" w:ascii="宋体" w:hAnsi="宋体" w:cs="宋体"/>
                <w:color w:val="auto"/>
                <w:sz w:val="24"/>
                <w:szCs w:val="24"/>
              </w:rPr>
              <w:t>广西大通建设监理咨询管理有限公司（崇左市花山路嘉苑小区R-08号崇左分公司）。</w:t>
            </w:r>
          </w:p>
          <w:p>
            <w:pPr>
              <w:spacing w:line="360" w:lineRule="auto"/>
              <w:rPr>
                <w:rFonts w:ascii="宋体" w:hAnsi="宋体" w:cs="宋体"/>
                <w:color w:val="auto"/>
                <w:sz w:val="24"/>
                <w:szCs w:val="24"/>
              </w:rPr>
            </w:pPr>
            <w:r>
              <w:rPr>
                <w:rFonts w:hint="eastAsia" w:ascii="宋体" w:hAnsi="宋体" w:cs="宋体"/>
                <w:color w:val="auto"/>
                <w:sz w:val="24"/>
                <w:szCs w:val="24"/>
              </w:rPr>
              <w:t>供应商应按竞争性磋商文件规定的响应截止时间前递交响应文件。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21</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磋商小组组成</w:t>
            </w:r>
          </w:p>
        </w:tc>
        <w:tc>
          <w:tcPr>
            <w:tcW w:w="6972" w:type="dxa"/>
            <w:vAlign w:val="center"/>
          </w:tcPr>
          <w:p>
            <w:pPr>
              <w:spacing w:line="360" w:lineRule="auto"/>
              <w:ind w:firstLine="2"/>
              <w:rPr>
                <w:rFonts w:ascii="宋体" w:hAnsi="宋体" w:cs="宋体"/>
                <w:color w:val="auto"/>
                <w:sz w:val="24"/>
                <w:szCs w:val="24"/>
              </w:rPr>
            </w:pPr>
            <w:r>
              <w:rPr>
                <w:rFonts w:hint="eastAsia" w:ascii="宋体" w:hAnsi="宋体" w:cs="宋体"/>
                <w:color w:val="auto"/>
                <w:sz w:val="24"/>
                <w:szCs w:val="24"/>
              </w:rPr>
              <w:t>磋商及评审工作由采购代理机构负责组织，具体磋商、评审工作由依法组建的磋商小组负责，磋商小组构成：分别由依法组成的评审专家、采购人代表等三人以上单数组成，其中，技术、经济等方面的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22</w:t>
            </w:r>
          </w:p>
        </w:tc>
        <w:tc>
          <w:tcPr>
            <w:tcW w:w="2367" w:type="dxa"/>
            <w:vAlign w:val="center"/>
          </w:tcPr>
          <w:p>
            <w:pPr>
              <w:pStyle w:val="12"/>
              <w:spacing w:line="240" w:lineRule="auto"/>
              <w:jc w:val="both"/>
              <w:rPr>
                <w:rFonts w:hAnsi="宋体" w:cs="宋体"/>
                <w:color w:val="auto"/>
                <w:sz w:val="24"/>
                <w:szCs w:val="24"/>
              </w:rPr>
            </w:pPr>
            <w:r>
              <w:rPr>
                <w:rFonts w:hint="eastAsia" w:hAnsi="宋体" w:cs="宋体"/>
                <w:color w:val="auto"/>
                <w:kern w:val="0"/>
                <w:sz w:val="24"/>
                <w:szCs w:val="24"/>
              </w:rPr>
              <w:t>评标办法</w:t>
            </w:r>
          </w:p>
        </w:tc>
        <w:tc>
          <w:tcPr>
            <w:tcW w:w="6972" w:type="dxa"/>
            <w:vAlign w:val="center"/>
          </w:tcPr>
          <w:p>
            <w:pPr>
              <w:tabs>
                <w:tab w:val="left" w:pos="1140"/>
              </w:tabs>
              <w:spacing w:line="240" w:lineRule="auto"/>
              <w:rPr>
                <w:rFonts w:ascii="宋体" w:hAnsi="宋体" w:cs="宋体"/>
                <w:color w:val="auto"/>
                <w:sz w:val="24"/>
                <w:szCs w:val="24"/>
              </w:rPr>
            </w:pPr>
            <w:r>
              <w:rPr>
                <w:rFonts w:hint="eastAsia" w:ascii="宋体" w:hAnsi="宋体" w:cs="宋体"/>
                <w:color w:val="auto"/>
                <w:sz w:val="24"/>
                <w:szCs w:val="24"/>
              </w:rPr>
              <w:t>综合评分法，具体详见评标办法。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23</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磋商报价及采购预算总金额</w:t>
            </w:r>
          </w:p>
        </w:tc>
        <w:tc>
          <w:tcPr>
            <w:tcW w:w="6972" w:type="dxa"/>
            <w:vAlign w:val="center"/>
          </w:tcPr>
          <w:p>
            <w:pPr>
              <w:adjustRightInd w:val="0"/>
              <w:spacing w:line="360" w:lineRule="auto"/>
              <w:rPr>
                <w:rFonts w:ascii="宋体" w:hAnsi="宋体" w:cs="宋体"/>
                <w:bCs/>
                <w:color w:val="auto"/>
                <w:sz w:val="24"/>
                <w:szCs w:val="24"/>
              </w:rPr>
            </w:pPr>
            <w:r>
              <w:rPr>
                <w:rFonts w:hint="eastAsia" w:ascii="宋体" w:hAnsi="宋体" w:cs="宋体"/>
                <w:color w:val="auto"/>
                <w:sz w:val="24"/>
              </w:rPr>
              <w:t>⑴预算金额：</w:t>
            </w:r>
            <w:r>
              <w:rPr>
                <w:rFonts w:hint="eastAsia" w:ascii="宋体" w:hAnsi="宋体" w:cs="宋体"/>
                <w:color w:val="auto"/>
                <w:sz w:val="24"/>
                <w:szCs w:val="24"/>
                <w:lang w:eastAsia="zh-CN"/>
              </w:rPr>
              <w:t>人民币捌拾柒万叁仟贰佰壹拾陆元整（￥873216.00元）</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rPr>
              <w:t>⑵供应商应结合自身因素进行竞争性报价，但不得超出最高限价，否则报价无效，做否决投标处理；超过该项目的采购预算价的最终报价将视为无效磋商；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24</w:t>
            </w:r>
          </w:p>
        </w:tc>
        <w:tc>
          <w:tcPr>
            <w:tcW w:w="2367" w:type="dxa"/>
            <w:vAlign w:val="center"/>
          </w:tcPr>
          <w:p>
            <w:pPr>
              <w:spacing w:line="360" w:lineRule="auto"/>
              <w:jc w:val="center"/>
              <w:rPr>
                <w:rFonts w:ascii="宋体" w:hAnsi="宋体" w:cs="宋体"/>
                <w:color w:val="auto"/>
                <w:position w:val="-2"/>
                <w:sz w:val="24"/>
                <w:szCs w:val="24"/>
              </w:rPr>
            </w:pPr>
            <w:r>
              <w:rPr>
                <w:rFonts w:hint="eastAsia" w:ascii="宋体" w:hAnsi="宋体" w:cs="宋体"/>
                <w:color w:val="auto"/>
                <w:sz w:val="24"/>
                <w:szCs w:val="24"/>
              </w:rPr>
              <w:t>采购代理服务费及相关费用</w:t>
            </w:r>
          </w:p>
        </w:tc>
        <w:tc>
          <w:tcPr>
            <w:tcW w:w="6972" w:type="dxa"/>
          </w:tcPr>
          <w:p>
            <w:pPr>
              <w:snapToGrid/>
              <w:spacing w:line="360" w:lineRule="auto"/>
              <w:ind w:left="0" w:firstLine="0" w:firstLineChars="0"/>
              <w:rPr>
                <w:rFonts w:hint="eastAsia" w:ascii="宋体" w:hAnsi="宋体" w:cs="宋体"/>
                <w:color w:val="auto"/>
                <w:sz w:val="24"/>
                <w:szCs w:val="24"/>
              </w:rPr>
            </w:pPr>
            <w:r>
              <w:rPr>
                <w:rFonts w:hint="eastAsia" w:ascii="宋体" w:hAnsi="宋体" w:cs="宋体"/>
                <w:color w:val="auto"/>
                <w:sz w:val="24"/>
                <w:szCs w:val="24"/>
              </w:rPr>
              <w:t>1、不论磋商结果如何，供应商均应自行承担所有与磋商有关的全部费用；</w:t>
            </w:r>
          </w:p>
          <w:p>
            <w:pPr>
              <w:snapToGrid/>
              <w:spacing w:line="360" w:lineRule="auto"/>
              <w:ind w:left="0" w:firstLine="0" w:firstLineChars="0"/>
              <w:rPr>
                <w:rFonts w:ascii="宋体" w:hAnsi="宋体" w:cs="宋体"/>
                <w:color w:val="auto"/>
                <w:sz w:val="24"/>
              </w:rPr>
            </w:pPr>
            <w:r>
              <w:rPr>
                <w:rFonts w:hint="eastAsia" w:ascii="宋体" w:hAnsi="宋体" w:cs="宋体"/>
                <w:color w:val="auto"/>
                <w:sz w:val="24"/>
                <w:szCs w:val="24"/>
              </w:rPr>
              <w:t>2、本项目代理服务费：成交供应商</w:t>
            </w:r>
            <w:r>
              <w:rPr>
                <w:rFonts w:hint="eastAsia" w:ascii="宋体" w:hAnsi="宋体" w:cs="宋体"/>
                <w:color w:val="auto"/>
                <w:sz w:val="24"/>
              </w:rPr>
              <w:t>向采购代理机构一次性付清招标代理服务费，</w:t>
            </w:r>
            <w:r>
              <w:rPr>
                <w:rFonts w:hint="eastAsia" w:ascii="宋体" w:hAnsi="宋体" w:cs="宋体"/>
                <w:color w:val="auto"/>
                <w:sz w:val="24"/>
                <w:szCs w:val="24"/>
              </w:rPr>
              <w:t>招标</w:t>
            </w:r>
            <w:r>
              <w:rPr>
                <w:rFonts w:hint="eastAsia" w:ascii="宋体" w:hAnsi="宋体" w:cs="宋体"/>
                <w:color w:val="auto"/>
                <w:spacing w:val="0"/>
                <w:sz w:val="24"/>
                <w:szCs w:val="24"/>
              </w:rPr>
              <w:t>代理</w:t>
            </w:r>
            <w:r>
              <w:rPr>
                <w:rFonts w:hint="eastAsia" w:ascii="宋体" w:hAnsi="宋体" w:cs="宋体"/>
                <w:b w:val="0"/>
                <w:bCs w:val="0"/>
                <w:color w:val="auto"/>
                <w:spacing w:val="0"/>
                <w:sz w:val="24"/>
                <w:szCs w:val="24"/>
                <w:u w:val="none"/>
              </w:rPr>
              <w:t>服务费按国家发改委计价格[2002]1980号、桂价费字[2003]7号规定和发改办价格[2003]857号文的“工程类”标准执行，由成交</w:t>
            </w:r>
            <w:r>
              <w:rPr>
                <w:rFonts w:hint="eastAsia" w:ascii="宋体" w:hAnsi="宋体" w:cs="宋体"/>
                <w:b w:val="0"/>
                <w:bCs w:val="0"/>
                <w:color w:val="auto"/>
                <w:sz w:val="24"/>
                <w:u w:val="none"/>
              </w:rPr>
              <w:t>人</w:t>
            </w:r>
            <w:r>
              <w:rPr>
                <w:rFonts w:hint="eastAsia" w:ascii="宋体" w:hAnsi="宋体" w:cs="宋体"/>
                <w:b w:val="0"/>
                <w:bCs w:val="0"/>
                <w:color w:val="auto"/>
                <w:spacing w:val="0"/>
                <w:sz w:val="24"/>
                <w:szCs w:val="24"/>
                <w:u w:val="none"/>
              </w:rPr>
              <w:t>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25</w:t>
            </w:r>
          </w:p>
        </w:tc>
        <w:tc>
          <w:tcPr>
            <w:tcW w:w="2367" w:type="dxa"/>
            <w:vAlign w:val="center"/>
          </w:tcPr>
          <w:p>
            <w:pPr>
              <w:spacing w:line="360" w:lineRule="auto"/>
              <w:jc w:val="center"/>
              <w:rPr>
                <w:rFonts w:ascii="宋体" w:hAnsi="宋体" w:cs="宋体"/>
                <w:color w:val="auto"/>
                <w:position w:val="-2"/>
                <w:sz w:val="24"/>
                <w:szCs w:val="24"/>
              </w:rPr>
            </w:pPr>
            <w:r>
              <w:rPr>
                <w:rFonts w:hint="eastAsia" w:ascii="宋体" w:hAnsi="宋体" w:cs="宋体"/>
                <w:color w:val="auto"/>
                <w:sz w:val="24"/>
                <w:szCs w:val="24"/>
              </w:rPr>
              <w:t>解释权</w:t>
            </w:r>
          </w:p>
        </w:tc>
        <w:tc>
          <w:tcPr>
            <w:tcW w:w="6972" w:type="dxa"/>
          </w:tcPr>
          <w:p>
            <w:pPr>
              <w:spacing w:line="360" w:lineRule="auto"/>
              <w:rPr>
                <w:rFonts w:ascii="宋体" w:hAnsi="宋体" w:cs="宋体"/>
                <w:color w:val="auto"/>
                <w:sz w:val="24"/>
                <w:szCs w:val="24"/>
              </w:rPr>
            </w:pPr>
            <w:r>
              <w:rPr>
                <w:rFonts w:hint="eastAsia" w:ascii="宋体" w:hAnsi="宋体" w:cs="宋体"/>
                <w:color w:val="auto"/>
                <w:sz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r>
              <w:rPr>
                <w:rStyle w:val="24"/>
                <w:rFonts w:hint="eastAsia" w:ascii="宋体" w:hAnsi="宋体" w:cs="宋体"/>
                <w:color w:val="auto"/>
                <w:sz w:val="24"/>
              </w:rPr>
              <w:footnoteReference w:id="0"/>
            </w:r>
          </w:p>
        </w:tc>
      </w:tr>
    </w:tbl>
    <w:p>
      <w:pPr>
        <w:spacing w:line="360" w:lineRule="auto"/>
        <w:jc w:val="center"/>
        <w:outlineLvl w:val="1"/>
        <w:rPr>
          <w:rFonts w:ascii="宋体" w:hAnsi="宋体" w:cs="宋体"/>
          <w:b/>
          <w:color w:val="auto"/>
          <w:sz w:val="32"/>
          <w:szCs w:val="32"/>
        </w:rPr>
      </w:pPr>
      <w:r>
        <w:rPr>
          <w:rFonts w:hint="eastAsia" w:ascii="宋体" w:hAnsi="宋体" w:cs="宋体"/>
          <w:b/>
          <w:color w:val="auto"/>
          <w:sz w:val="24"/>
          <w:szCs w:val="24"/>
        </w:rPr>
        <w:br w:type="page"/>
      </w:r>
      <w:bookmarkStart w:id="76" w:name="_Toc2678_WPSOffice_Level2"/>
      <w:bookmarkStart w:id="77" w:name="_Toc4562"/>
      <w:bookmarkStart w:id="78" w:name="_Toc19043"/>
      <w:r>
        <w:rPr>
          <w:rFonts w:hint="eastAsia" w:ascii="宋体" w:hAnsi="宋体" w:cs="宋体"/>
          <w:b/>
          <w:color w:val="auto"/>
          <w:sz w:val="32"/>
          <w:szCs w:val="32"/>
        </w:rPr>
        <w:t>须知正文部分</w:t>
      </w:r>
      <w:bookmarkEnd w:id="76"/>
      <w:bookmarkEnd w:id="77"/>
      <w:bookmarkEnd w:id="78"/>
    </w:p>
    <w:p>
      <w:pPr>
        <w:adjustRightInd w:val="0"/>
        <w:snapToGrid w:val="0"/>
        <w:spacing w:line="460" w:lineRule="exact"/>
        <w:outlineLvl w:val="1"/>
        <w:rPr>
          <w:rFonts w:ascii="宋体" w:hAnsi="宋体" w:cs="宋体"/>
          <w:b/>
          <w:color w:val="auto"/>
          <w:sz w:val="24"/>
          <w:szCs w:val="24"/>
        </w:rPr>
      </w:pPr>
      <w:bookmarkStart w:id="79" w:name="_Toc14534"/>
      <w:bookmarkStart w:id="80" w:name="_Toc1386_WPSOffice_Level2"/>
      <w:bookmarkStart w:id="81" w:name="_Toc5781"/>
      <w:r>
        <w:rPr>
          <w:rFonts w:hint="eastAsia" w:ascii="宋体" w:hAnsi="宋体" w:cs="宋体"/>
          <w:b/>
          <w:color w:val="auto"/>
          <w:sz w:val="24"/>
          <w:szCs w:val="24"/>
        </w:rPr>
        <w:t>一、总则</w:t>
      </w:r>
      <w:bookmarkEnd w:id="79"/>
      <w:bookmarkEnd w:id="80"/>
      <w:bookmarkEnd w:id="81"/>
    </w:p>
    <w:p>
      <w:pPr>
        <w:adjustRightInd w:val="0"/>
        <w:snapToGrid w:val="0"/>
        <w:spacing w:line="460" w:lineRule="exact"/>
        <w:ind w:firstLine="426"/>
        <w:rPr>
          <w:rFonts w:ascii="宋体" w:hAnsi="宋体" w:cs="宋体"/>
          <w:b/>
          <w:color w:val="auto"/>
          <w:sz w:val="24"/>
          <w:szCs w:val="24"/>
        </w:rPr>
      </w:pPr>
      <w:bookmarkStart w:id="82" w:name="_Toc9706_WPSOffice_Level3"/>
      <w:r>
        <w:rPr>
          <w:rFonts w:hint="eastAsia" w:ascii="宋体" w:hAnsi="宋体" w:cs="宋体"/>
          <w:b/>
          <w:color w:val="auto"/>
          <w:sz w:val="24"/>
          <w:szCs w:val="24"/>
        </w:rPr>
        <w:t>1、适应范围</w:t>
      </w:r>
      <w:bookmarkEnd w:id="82"/>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1.1、项目名称及项目编号：详见供应商须知前附表。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1.2、本竞争性磋商文件（以下简称磋商文件）适用于本磋商项目的磋商、评审、合同履约、验收、付款等行为（法律、法规另有规定的，从其规定）。</w:t>
      </w:r>
    </w:p>
    <w:p>
      <w:pPr>
        <w:adjustRightInd w:val="0"/>
        <w:snapToGrid w:val="0"/>
        <w:spacing w:line="460" w:lineRule="exact"/>
        <w:ind w:firstLine="426"/>
        <w:rPr>
          <w:rFonts w:ascii="宋体" w:hAnsi="宋体" w:cs="宋体"/>
          <w:b/>
          <w:color w:val="auto"/>
          <w:sz w:val="24"/>
          <w:szCs w:val="24"/>
        </w:rPr>
      </w:pPr>
      <w:bookmarkStart w:id="83" w:name="_Toc13196_WPSOffice_Level3"/>
      <w:r>
        <w:rPr>
          <w:rFonts w:hint="eastAsia" w:ascii="宋体" w:hAnsi="宋体" w:cs="宋体"/>
          <w:b/>
          <w:color w:val="auto"/>
          <w:sz w:val="24"/>
          <w:szCs w:val="24"/>
        </w:rPr>
        <w:t>2、定义</w:t>
      </w:r>
      <w:bookmarkEnd w:id="83"/>
    </w:p>
    <w:p>
      <w:pPr>
        <w:pStyle w:val="28"/>
        <w:tabs>
          <w:tab w:val="left" w:pos="1090"/>
        </w:tabs>
        <w:adjustRightInd w:val="0"/>
        <w:snapToGrid w:val="0"/>
        <w:spacing w:line="460" w:lineRule="exact"/>
        <w:ind w:left="0" w:firstLine="476" w:firstLineChars="200"/>
        <w:rPr>
          <w:rFonts w:ascii="宋体" w:hAnsi="宋体" w:cs="宋体"/>
          <w:color w:val="auto"/>
          <w:spacing w:val="-1"/>
          <w:sz w:val="24"/>
        </w:rPr>
      </w:pPr>
      <w:r>
        <w:rPr>
          <w:rFonts w:hint="eastAsia" w:ascii="宋体" w:hAnsi="宋体" w:cs="宋体"/>
          <w:color w:val="auto"/>
          <w:spacing w:val="-1"/>
          <w:sz w:val="24"/>
        </w:rPr>
        <w:t>2.1 “采购人”是指：</w:t>
      </w:r>
      <w:r>
        <w:rPr>
          <w:rFonts w:hint="eastAsia" w:ascii="宋体" w:hAnsi="宋体" w:cs="宋体"/>
          <w:color w:val="auto"/>
          <w:sz w:val="24"/>
          <w:szCs w:val="24"/>
        </w:rPr>
        <w:t>详见供应商须知前附表</w:t>
      </w:r>
      <w:r>
        <w:rPr>
          <w:rFonts w:hint="eastAsia" w:ascii="宋体" w:hAnsi="宋体" w:cs="宋体"/>
          <w:color w:val="auto"/>
          <w:spacing w:val="-1"/>
          <w:sz w:val="24"/>
        </w:rPr>
        <w:t>。</w:t>
      </w:r>
    </w:p>
    <w:p>
      <w:pPr>
        <w:pStyle w:val="28"/>
        <w:tabs>
          <w:tab w:val="left" w:pos="1090"/>
        </w:tabs>
        <w:adjustRightInd w:val="0"/>
        <w:snapToGrid w:val="0"/>
        <w:spacing w:line="460" w:lineRule="exact"/>
        <w:ind w:left="0" w:firstLine="476" w:firstLineChars="200"/>
        <w:rPr>
          <w:rFonts w:ascii="宋体" w:hAnsi="宋体" w:cs="宋体"/>
          <w:color w:val="auto"/>
          <w:sz w:val="24"/>
        </w:rPr>
      </w:pPr>
      <w:r>
        <w:rPr>
          <w:rFonts w:hint="eastAsia" w:ascii="宋体" w:hAnsi="宋体" w:cs="宋体"/>
          <w:color w:val="auto"/>
          <w:spacing w:val="-1"/>
          <w:sz w:val="24"/>
        </w:rPr>
        <w:t xml:space="preserve">2.2 </w:t>
      </w:r>
      <w:r>
        <w:rPr>
          <w:rFonts w:hint="eastAsia" w:ascii="宋体" w:hAnsi="宋体" w:cs="宋体"/>
          <w:color w:val="auto"/>
          <w:sz w:val="24"/>
        </w:rPr>
        <w:t>“采购代理机构”是指：</w:t>
      </w:r>
      <w:r>
        <w:rPr>
          <w:rFonts w:hint="eastAsia" w:ascii="宋体" w:hAnsi="宋体" w:cs="宋体"/>
          <w:color w:val="auto"/>
          <w:sz w:val="24"/>
          <w:szCs w:val="24"/>
        </w:rPr>
        <w:t>详见供应商须知前附表</w:t>
      </w:r>
      <w:r>
        <w:rPr>
          <w:rFonts w:hint="eastAsia" w:ascii="宋体" w:hAnsi="宋体" w:cs="宋体"/>
          <w:color w:val="auto"/>
          <w:sz w:val="24"/>
        </w:rPr>
        <w:t>。</w:t>
      </w:r>
    </w:p>
    <w:p>
      <w:pPr>
        <w:pStyle w:val="28"/>
        <w:tabs>
          <w:tab w:val="left" w:pos="1090"/>
        </w:tabs>
        <w:adjustRightInd w:val="0"/>
        <w:snapToGrid w:val="0"/>
        <w:spacing w:line="460" w:lineRule="exact"/>
        <w:ind w:left="0" w:firstLineChars="200"/>
        <w:rPr>
          <w:rFonts w:ascii="宋体" w:hAnsi="宋体" w:cs="宋体"/>
          <w:color w:val="auto"/>
          <w:sz w:val="24"/>
        </w:rPr>
      </w:pPr>
      <w:r>
        <w:rPr>
          <w:rFonts w:hint="eastAsia" w:ascii="宋体" w:hAnsi="宋体" w:cs="宋体"/>
          <w:color w:val="auto"/>
          <w:sz w:val="24"/>
        </w:rPr>
        <w:t>2.3 “供应商”是指响应本文件要求，参加磋商的法人或者其他组织。如果该供应商在本次磋商中成交，即成为“成交人”。</w:t>
      </w:r>
    </w:p>
    <w:p>
      <w:pPr>
        <w:pStyle w:val="28"/>
        <w:tabs>
          <w:tab w:val="left" w:pos="1090"/>
        </w:tabs>
        <w:adjustRightInd w:val="0"/>
        <w:snapToGrid w:val="0"/>
        <w:spacing w:line="460" w:lineRule="exact"/>
        <w:ind w:left="0" w:firstLineChars="200"/>
        <w:rPr>
          <w:rFonts w:ascii="宋体" w:hAnsi="宋体" w:cs="宋体"/>
          <w:color w:val="auto"/>
          <w:sz w:val="24"/>
        </w:rPr>
      </w:pPr>
      <w:r>
        <w:rPr>
          <w:rFonts w:hint="eastAsia" w:ascii="宋体" w:hAnsi="宋体" w:cs="宋体"/>
          <w:color w:val="auto"/>
          <w:sz w:val="24"/>
        </w:rPr>
        <w:t>2.4 “货物”是指各种形态和种类的物品，包括原材料、燃料、设备、产品等。</w:t>
      </w:r>
    </w:p>
    <w:p>
      <w:pPr>
        <w:pStyle w:val="28"/>
        <w:tabs>
          <w:tab w:val="left" w:pos="1090"/>
        </w:tabs>
        <w:adjustRightInd w:val="0"/>
        <w:snapToGrid w:val="0"/>
        <w:spacing w:line="460" w:lineRule="exact"/>
        <w:ind w:left="0" w:firstLineChars="200"/>
        <w:rPr>
          <w:rFonts w:ascii="宋体" w:hAnsi="宋体" w:cs="宋体"/>
          <w:color w:val="auto"/>
          <w:sz w:val="24"/>
        </w:rPr>
      </w:pPr>
      <w:r>
        <w:rPr>
          <w:rFonts w:hint="eastAsia" w:ascii="宋体" w:hAnsi="宋体" w:cs="宋体"/>
          <w:color w:val="auto"/>
          <w:sz w:val="24"/>
        </w:rPr>
        <w:t>2.5 “工程”按照采购法及其实施条例必须进行招标的工程建设项目以外的工程建设项目。</w:t>
      </w:r>
    </w:p>
    <w:p>
      <w:pPr>
        <w:pStyle w:val="28"/>
        <w:tabs>
          <w:tab w:val="left" w:pos="1090"/>
        </w:tabs>
        <w:adjustRightInd w:val="0"/>
        <w:snapToGrid w:val="0"/>
        <w:spacing w:line="460" w:lineRule="exact"/>
        <w:ind w:left="0" w:firstLineChars="200"/>
        <w:rPr>
          <w:rFonts w:ascii="宋体" w:hAnsi="宋体" w:cs="宋体"/>
          <w:color w:val="auto"/>
          <w:sz w:val="24"/>
        </w:rPr>
      </w:pPr>
      <w:r>
        <w:rPr>
          <w:rFonts w:hint="eastAsia" w:ascii="宋体" w:hAnsi="宋体" w:cs="宋体"/>
          <w:color w:val="auto"/>
          <w:sz w:val="24"/>
        </w:rPr>
        <w:t>2.6 “服务”是指除货物和工程以外的其他政府采购对象。</w:t>
      </w:r>
    </w:p>
    <w:p>
      <w:pPr>
        <w:pStyle w:val="28"/>
        <w:tabs>
          <w:tab w:val="left" w:pos="1090"/>
        </w:tabs>
        <w:adjustRightInd w:val="0"/>
        <w:snapToGrid w:val="0"/>
        <w:spacing w:line="460" w:lineRule="exact"/>
        <w:ind w:left="0" w:firstLineChars="200"/>
        <w:rPr>
          <w:rFonts w:ascii="宋体" w:hAnsi="宋体" w:cs="宋体"/>
          <w:color w:val="auto"/>
          <w:spacing w:val="-3"/>
          <w:sz w:val="24"/>
        </w:rPr>
      </w:pPr>
      <w:r>
        <w:rPr>
          <w:rFonts w:hint="eastAsia" w:ascii="宋体" w:hAnsi="宋体" w:cs="宋体"/>
          <w:color w:val="auto"/>
          <w:sz w:val="24"/>
        </w:rPr>
        <w:t xml:space="preserve">2.7 </w:t>
      </w:r>
      <w:r>
        <w:rPr>
          <w:rFonts w:hint="eastAsia" w:ascii="宋体" w:hAnsi="宋体" w:cs="宋体"/>
          <w:color w:val="auto"/>
          <w:spacing w:val="-3"/>
          <w:sz w:val="24"/>
        </w:rPr>
        <w:t>“竞争性磋商响应文件” 简称“响应文件”，是指：供应商根据本文件要求，编制包含资格、商务、技术和服务等所有内容的文件。</w:t>
      </w:r>
    </w:p>
    <w:p>
      <w:pPr>
        <w:pStyle w:val="28"/>
        <w:tabs>
          <w:tab w:val="left" w:pos="1090"/>
        </w:tabs>
        <w:adjustRightInd w:val="0"/>
        <w:snapToGrid w:val="0"/>
        <w:spacing w:line="460" w:lineRule="exact"/>
        <w:ind w:left="0" w:firstLine="468" w:firstLineChars="200"/>
        <w:rPr>
          <w:rFonts w:ascii="宋体" w:hAnsi="宋体" w:cs="宋体"/>
          <w:color w:val="auto"/>
          <w:sz w:val="24"/>
          <w:szCs w:val="24"/>
        </w:rPr>
      </w:pPr>
      <w:r>
        <w:rPr>
          <w:rFonts w:hint="eastAsia" w:ascii="宋体" w:hAnsi="宋体" w:cs="宋体"/>
          <w:color w:val="auto"/>
          <w:spacing w:val="-3"/>
          <w:sz w:val="24"/>
        </w:rPr>
        <w:t xml:space="preserve">2.8 </w:t>
      </w:r>
      <w:r>
        <w:rPr>
          <w:rFonts w:hint="eastAsia" w:ascii="宋体" w:hAnsi="宋体" w:cs="宋体"/>
          <w:color w:val="auto"/>
          <w:sz w:val="24"/>
          <w:szCs w:val="24"/>
        </w:rPr>
        <w:t>“书面形式”包括信函、传真、电报等。</w:t>
      </w:r>
    </w:p>
    <w:p>
      <w:pPr>
        <w:adjustRightInd w:val="0"/>
        <w:snapToGrid w:val="0"/>
        <w:spacing w:line="460" w:lineRule="exact"/>
        <w:ind w:firstLine="426"/>
        <w:rPr>
          <w:rFonts w:ascii="宋体" w:hAnsi="宋体" w:cs="宋体"/>
          <w:b/>
          <w:color w:val="auto"/>
          <w:sz w:val="24"/>
          <w:szCs w:val="24"/>
        </w:rPr>
      </w:pPr>
      <w:bookmarkStart w:id="84" w:name="_Toc26100_WPSOffice_Level3"/>
      <w:r>
        <w:rPr>
          <w:rFonts w:hint="eastAsia" w:ascii="宋体" w:hAnsi="宋体" w:cs="宋体"/>
          <w:b/>
          <w:color w:val="auto"/>
          <w:sz w:val="24"/>
          <w:szCs w:val="24"/>
        </w:rPr>
        <w:t>3、供应商资格</w:t>
      </w:r>
      <w:bookmarkEnd w:id="84"/>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详见供应商须知前附表。</w:t>
      </w:r>
    </w:p>
    <w:p>
      <w:pPr>
        <w:adjustRightInd w:val="0"/>
        <w:snapToGrid w:val="0"/>
        <w:spacing w:line="460" w:lineRule="exact"/>
        <w:ind w:firstLine="426"/>
        <w:rPr>
          <w:rFonts w:ascii="宋体" w:hAnsi="宋体" w:cs="宋体"/>
          <w:b/>
          <w:color w:val="auto"/>
          <w:sz w:val="24"/>
          <w:szCs w:val="24"/>
        </w:rPr>
      </w:pPr>
      <w:bookmarkStart w:id="85" w:name="_Toc8515_WPSOffice_Level3"/>
      <w:r>
        <w:rPr>
          <w:rFonts w:hint="eastAsia" w:ascii="宋体" w:hAnsi="宋体" w:cs="宋体"/>
          <w:b/>
          <w:color w:val="auto"/>
          <w:sz w:val="24"/>
          <w:szCs w:val="24"/>
        </w:rPr>
        <w:t>4、磋商费用</w:t>
      </w:r>
      <w:bookmarkEnd w:id="85"/>
    </w:p>
    <w:p>
      <w:pPr>
        <w:tabs>
          <w:tab w:val="left" w:pos="163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不论磋商结果如何，供应商均应自行承担所有与磋商有关的全部费用。</w:t>
      </w:r>
    </w:p>
    <w:p>
      <w:pPr>
        <w:numPr>
          <w:ilvl w:val="0"/>
          <w:numId w:val="1"/>
        </w:numPr>
        <w:tabs>
          <w:tab w:val="left" w:pos="1635"/>
        </w:tabs>
        <w:adjustRightInd w:val="0"/>
        <w:snapToGrid w:val="0"/>
        <w:spacing w:line="460" w:lineRule="exact"/>
        <w:ind w:firstLine="426"/>
        <w:rPr>
          <w:rFonts w:ascii="宋体" w:hAnsi="宋体" w:cs="宋体"/>
          <w:b/>
          <w:color w:val="auto"/>
          <w:sz w:val="24"/>
          <w:szCs w:val="24"/>
        </w:rPr>
      </w:pPr>
      <w:bookmarkStart w:id="86" w:name="_Toc2678_WPSOffice_Level3"/>
      <w:r>
        <w:rPr>
          <w:rFonts w:hint="eastAsia" w:ascii="宋体" w:hAnsi="宋体" w:cs="宋体"/>
          <w:b/>
          <w:color w:val="auto"/>
          <w:sz w:val="24"/>
          <w:szCs w:val="24"/>
        </w:rPr>
        <w:t>联合体磋商要求</w:t>
      </w:r>
      <w:bookmarkEnd w:id="86"/>
    </w:p>
    <w:p>
      <w:pPr>
        <w:tabs>
          <w:tab w:val="left" w:pos="1635"/>
        </w:tabs>
        <w:adjustRightInd w:val="0"/>
        <w:snapToGrid w:val="0"/>
        <w:spacing w:line="460" w:lineRule="exact"/>
        <w:ind w:firstLine="480" w:firstLineChars="200"/>
        <w:rPr>
          <w:rFonts w:ascii="宋体" w:hAnsi="宋体" w:cs="宋体"/>
          <w:b/>
          <w:color w:val="auto"/>
          <w:sz w:val="24"/>
          <w:szCs w:val="24"/>
        </w:rPr>
      </w:pPr>
      <w:r>
        <w:rPr>
          <w:rFonts w:hint="eastAsia" w:ascii="宋体" w:hAnsi="宋体" w:cs="宋体"/>
          <w:color w:val="auto"/>
          <w:sz w:val="24"/>
          <w:szCs w:val="24"/>
        </w:rPr>
        <w:t>本项目不接受联合体参与</w:t>
      </w:r>
      <w:r>
        <w:rPr>
          <w:rFonts w:hint="eastAsia" w:ascii="宋体" w:hAnsi="宋体" w:cs="宋体"/>
          <w:color w:val="auto"/>
          <w:sz w:val="24"/>
        </w:rPr>
        <w:t>磋商。</w:t>
      </w:r>
    </w:p>
    <w:p>
      <w:pPr>
        <w:tabs>
          <w:tab w:val="left" w:pos="2190"/>
        </w:tabs>
        <w:adjustRightInd w:val="0"/>
        <w:snapToGrid w:val="0"/>
        <w:spacing w:line="460" w:lineRule="exact"/>
        <w:ind w:firstLine="426"/>
        <w:rPr>
          <w:rFonts w:ascii="宋体" w:hAnsi="宋体" w:cs="宋体"/>
          <w:b/>
          <w:color w:val="auto"/>
          <w:sz w:val="24"/>
          <w:szCs w:val="24"/>
        </w:rPr>
      </w:pPr>
      <w:bookmarkStart w:id="87" w:name="_Toc1386_WPSOffice_Level3"/>
      <w:r>
        <w:rPr>
          <w:rFonts w:hint="eastAsia" w:ascii="宋体" w:hAnsi="宋体" w:cs="宋体"/>
          <w:b/>
          <w:color w:val="auto"/>
          <w:sz w:val="24"/>
          <w:szCs w:val="24"/>
        </w:rPr>
        <w:t>6、质疑和投诉</w:t>
      </w:r>
      <w:bookmarkEnd w:id="87"/>
      <w:r>
        <w:rPr>
          <w:rFonts w:hint="eastAsia" w:ascii="宋体" w:hAnsi="宋体" w:cs="宋体"/>
          <w:b/>
          <w:color w:val="auto"/>
          <w:sz w:val="24"/>
          <w:szCs w:val="24"/>
        </w:rPr>
        <w:tab/>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6.1、供应商认为磋商文件使自己的合法权益受到损害的，应当在磋商文件发售截止时间内，以书面形式向采购代理机构提出质疑。供应商认为采购过程或成交结果使自己的合法权益受到损害的，应当在成交公告期限届满之日起三个工作日内，以书面形式采购代理机构提出质疑。采购代理机构应认真做好质疑处理工作。</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6.2、供应商对采购代理机构的质疑答复不满意或者采购代理机构未在规定的时间内作出答复的，可以在答复期满后十五个工作日内向监督管理部门投诉。</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6.3、质疑、投诉应当采用书面形式，质疑书、投诉书实行实名制，均应明确阐述磋商文件、响应过程或成交结果中使自己合法权益受到损害的实质性内容，并提供必要的证明材料。</w:t>
      </w:r>
    </w:p>
    <w:p>
      <w:pPr>
        <w:tabs>
          <w:tab w:val="left" w:pos="2190"/>
        </w:tabs>
        <w:adjustRightInd w:val="0"/>
        <w:snapToGrid w:val="0"/>
        <w:spacing w:line="460" w:lineRule="exact"/>
        <w:ind w:firstLine="426"/>
        <w:rPr>
          <w:rFonts w:ascii="宋体" w:hAnsi="宋体" w:cs="宋体"/>
          <w:b/>
          <w:color w:val="auto"/>
          <w:sz w:val="24"/>
          <w:szCs w:val="24"/>
        </w:rPr>
      </w:pPr>
      <w:bookmarkStart w:id="88" w:name="_Toc6425_WPSOffice_Level3"/>
      <w:r>
        <w:rPr>
          <w:rFonts w:hint="eastAsia" w:ascii="宋体" w:hAnsi="宋体" w:cs="宋体"/>
          <w:b/>
          <w:color w:val="auto"/>
          <w:sz w:val="24"/>
          <w:szCs w:val="24"/>
        </w:rPr>
        <w:t>7、转包与分包</w:t>
      </w:r>
      <w:bookmarkEnd w:id="88"/>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7.1、本项目不允许转包。</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7.2、本项目不允许分包。</w:t>
      </w:r>
    </w:p>
    <w:p>
      <w:pPr>
        <w:tabs>
          <w:tab w:val="left" w:pos="2190"/>
        </w:tabs>
        <w:adjustRightInd w:val="0"/>
        <w:snapToGrid w:val="0"/>
        <w:spacing w:line="460" w:lineRule="exact"/>
        <w:ind w:firstLine="426"/>
        <w:rPr>
          <w:rFonts w:ascii="宋体" w:hAnsi="宋体" w:cs="宋体"/>
          <w:b/>
          <w:color w:val="auto"/>
          <w:sz w:val="24"/>
          <w:szCs w:val="24"/>
        </w:rPr>
      </w:pPr>
      <w:bookmarkStart w:id="89" w:name="_Toc6107_WPSOffice_Level3"/>
      <w:r>
        <w:rPr>
          <w:rFonts w:hint="eastAsia" w:ascii="宋体" w:hAnsi="宋体" w:cs="宋体"/>
          <w:b/>
          <w:color w:val="auto"/>
          <w:sz w:val="24"/>
          <w:szCs w:val="24"/>
        </w:rPr>
        <w:t>8、现场考察或答疑会</w:t>
      </w:r>
      <w:bookmarkEnd w:id="89"/>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8.1采购人、采购代理机构可以视采购项目的具体情况，按须知前附表的规定组织供应商进行现场考察或召开磋商前答疑会，但不得单独或分别组织只有一个供应商参加的现场考察和答疑会。</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8.2供应商考察现场或参加答疑会发生的费用自理。</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8.3供应商自行负责在考察现场或参加答疑会中所发生的人员伤亡和财产损失。</w:t>
      </w:r>
    </w:p>
    <w:p>
      <w:pPr>
        <w:tabs>
          <w:tab w:val="left" w:pos="2190"/>
        </w:tabs>
        <w:adjustRightInd w:val="0"/>
        <w:snapToGrid w:val="0"/>
        <w:spacing w:line="460" w:lineRule="exact"/>
        <w:outlineLvl w:val="1"/>
        <w:rPr>
          <w:rFonts w:ascii="宋体" w:hAnsi="宋体" w:cs="宋体"/>
          <w:b/>
          <w:color w:val="auto"/>
          <w:sz w:val="24"/>
          <w:szCs w:val="24"/>
        </w:rPr>
      </w:pPr>
      <w:bookmarkStart w:id="90" w:name="_Toc11254"/>
      <w:bookmarkStart w:id="91" w:name="_Toc21052"/>
      <w:bookmarkStart w:id="92" w:name="_Toc6425_WPSOffice_Level2"/>
      <w:r>
        <w:rPr>
          <w:rFonts w:hint="eastAsia" w:ascii="宋体" w:hAnsi="宋体" w:cs="宋体"/>
          <w:b/>
          <w:color w:val="auto"/>
          <w:sz w:val="24"/>
          <w:szCs w:val="24"/>
        </w:rPr>
        <w:t>二、磋商文件</w:t>
      </w:r>
      <w:bookmarkEnd w:id="90"/>
      <w:bookmarkEnd w:id="91"/>
      <w:bookmarkEnd w:id="92"/>
    </w:p>
    <w:p>
      <w:pPr>
        <w:tabs>
          <w:tab w:val="left" w:pos="2190"/>
        </w:tabs>
        <w:adjustRightInd w:val="0"/>
        <w:snapToGrid w:val="0"/>
        <w:spacing w:line="460" w:lineRule="exact"/>
        <w:ind w:firstLine="426"/>
        <w:rPr>
          <w:rFonts w:ascii="宋体" w:hAnsi="宋体" w:cs="宋体"/>
          <w:b/>
          <w:color w:val="auto"/>
          <w:sz w:val="24"/>
          <w:szCs w:val="24"/>
        </w:rPr>
      </w:pPr>
      <w:bookmarkStart w:id="93" w:name="_Toc22489_WPSOffice_Level3"/>
      <w:r>
        <w:rPr>
          <w:rFonts w:hint="eastAsia" w:ascii="宋体" w:hAnsi="宋体" w:cs="宋体"/>
          <w:b/>
          <w:color w:val="auto"/>
          <w:sz w:val="24"/>
          <w:szCs w:val="24"/>
        </w:rPr>
        <w:t>9、磋商文件的构成</w:t>
      </w:r>
      <w:bookmarkEnd w:id="93"/>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（1）竞争性磋商公告；</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（2）供应商须知；</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（3）项目基本情况及要求；</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（4）采购合同（合同主要条款及格式）；</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（5）技术标准和要求；</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（6）图纸和工程量清单；</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（7）响应文件格式；</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（8）评标办法。</w:t>
      </w:r>
    </w:p>
    <w:p>
      <w:pPr>
        <w:tabs>
          <w:tab w:val="left" w:pos="2190"/>
        </w:tabs>
        <w:adjustRightInd w:val="0"/>
        <w:snapToGrid w:val="0"/>
        <w:spacing w:line="460" w:lineRule="exact"/>
        <w:ind w:firstLine="426"/>
        <w:rPr>
          <w:rFonts w:ascii="宋体" w:hAnsi="宋体" w:cs="宋体"/>
          <w:b/>
          <w:color w:val="auto"/>
          <w:sz w:val="24"/>
          <w:szCs w:val="24"/>
        </w:rPr>
      </w:pPr>
      <w:bookmarkStart w:id="94" w:name="_Toc26114_WPSOffice_Level3"/>
      <w:r>
        <w:rPr>
          <w:rFonts w:hint="eastAsia" w:ascii="宋体" w:hAnsi="宋体" w:cs="宋体"/>
          <w:b/>
          <w:color w:val="auto"/>
          <w:sz w:val="24"/>
          <w:szCs w:val="24"/>
        </w:rPr>
        <w:t>10、磋商文件的澄清与修改</w:t>
      </w:r>
      <w:bookmarkEnd w:id="94"/>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10.1、采购代理机构对已发出的磋商文件进行必要澄清、答复、修改或补充的，应当在响应文件递交截止时间5日前在本项目竞争性磋商公告发布的同一媒体上发布更正公告，并以书面形式通知所有的磋商文件收受人，不足5日的，应当顺延提交首次响应文件截止时间。</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10.2、澄清、答复、修改、补充的内容为磋商文件的组成部分。当澄清、答复、修改、补充通知就同一内容的表述不一致时，以最后发出的书面文件为准。</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10.3、磋商文件的澄清、答复、修改或补充都应该通过本项目采购代理机构以法定形式发布，采购人非通过本机构，不得擅自澄清、答复、修改或补充磋商文件。</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10.4、采购代理机构可以视采购具体情况，延长响应文件递交截止时间和磋商时间，并将变更时间书面通知所有购买磋商文件收受人，在本项目竞争性磋商公告发布的同一媒体上发布变更公告。</w:t>
      </w:r>
    </w:p>
    <w:p>
      <w:pPr>
        <w:tabs>
          <w:tab w:val="left" w:pos="2190"/>
        </w:tabs>
        <w:adjustRightInd w:val="0"/>
        <w:snapToGrid w:val="0"/>
        <w:spacing w:line="460" w:lineRule="exact"/>
        <w:outlineLvl w:val="1"/>
        <w:rPr>
          <w:rFonts w:ascii="宋体" w:hAnsi="宋体" w:cs="宋体"/>
          <w:b/>
          <w:color w:val="auto"/>
          <w:sz w:val="24"/>
          <w:szCs w:val="24"/>
        </w:rPr>
      </w:pPr>
      <w:bookmarkStart w:id="95" w:name="_Toc6107_WPSOffice_Level2"/>
      <w:bookmarkStart w:id="96" w:name="_Toc22471"/>
      <w:bookmarkStart w:id="97" w:name="_Toc27880"/>
      <w:r>
        <w:rPr>
          <w:rFonts w:hint="eastAsia" w:ascii="宋体" w:hAnsi="宋体" w:cs="宋体"/>
          <w:b/>
          <w:color w:val="auto"/>
          <w:sz w:val="24"/>
          <w:szCs w:val="24"/>
        </w:rPr>
        <w:t>三、竞争性磋商响应文件的编制</w:t>
      </w:r>
      <w:bookmarkEnd w:id="95"/>
      <w:bookmarkEnd w:id="96"/>
      <w:bookmarkEnd w:id="97"/>
    </w:p>
    <w:p>
      <w:pPr>
        <w:tabs>
          <w:tab w:val="left" w:pos="2190"/>
        </w:tabs>
        <w:adjustRightInd w:val="0"/>
        <w:snapToGrid w:val="0"/>
        <w:spacing w:line="460" w:lineRule="exact"/>
        <w:ind w:firstLine="426"/>
        <w:rPr>
          <w:rFonts w:ascii="宋体" w:hAnsi="宋体" w:cs="宋体"/>
          <w:b/>
          <w:color w:val="auto"/>
          <w:sz w:val="24"/>
          <w:szCs w:val="24"/>
        </w:rPr>
      </w:pPr>
      <w:bookmarkStart w:id="98" w:name="_Toc2122_WPSOffice_Level3"/>
      <w:r>
        <w:rPr>
          <w:rFonts w:hint="eastAsia" w:ascii="宋体" w:hAnsi="宋体" w:cs="宋体"/>
          <w:b/>
          <w:color w:val="auto"/>
          <w:sz w:val="24"/>
          <w:szCs w:val="24"/>
        </w:rPr>
        <w:t>11、竞争性磋商响应文件（以下简称响应文件）的组成及要求</w:t>
      </w:r>
      <w:bookmarkEnd w:id="98"/>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b/>
          <w:color w:val="auto"/>
          <w:sz w:val="24"/>
          <w:szCs w:val="24"/>
        </w:rPr>
        <w:t>11.1、</w:t>
      </w:r>
      <w:r>
        <w:rPr>
          <w:rFonts w:hint="eastAsia" w:ascii="宋体" w:hAnsi="宋体" w:cs="宋体"/>
          <w:color w:val="auto"/>
          <w:sz w:val="24"/>
        </w:rPr>
        <w:t>资格审查部分</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（1）诚信声明</w:t>
      </w:r>
      <w:r>
        <w:rPr>
          <w:rFonts w:hint="eastAsia" w:ascii="宋体" w:hAnsi="宋体" w:cs="宋体"/>
          <w:color w:val="auto"/>
          <w:sz w:val="24"/>
          <w:szCs w:val="24"/>
        </w:rPr>
        <w:t>；</w:t>
      </w:r>
    </w:p>
    <w:p>
      <w:pPr>
        <w:tabs>
          <w:tab w:val="left" w:pos="1305"/>
        </w:tabs>
        <w:adjustRightInd w:val="0"/>
        <w:snapToGrid w:val="0"/>
        <w:spacing w:line="460" w:lineRule="exact"/>
        <w:ind w:firstLine="426"/>
        <w:rPr>
          <w:rFonts w:ascii="宋体" w:hAnsi="宋体" w:cs="宋体"/>
          <w:color w:val="auto"/>
          <w:sz w:val="24"/>
        </w:rPr>
      </w:pPr>
      <w:r>
        <w:rPr>
          <w:rFonts w:hint="eastAsia" w:ascii="宋体" w:hAnsi="宋体" w:cs="宋体"/>
          <w:color w:val="auto"/>
          <w:sz w:val="24"/>
          <w:szCs w:val="24"/>
        </w:rPr>
        <w:t>（2）法定代表人资格证明书或授权委托书（委托代理时）；</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（3）供应商基本情况表（附有效的企业营业执照、企业资质证书副本和安全生产许可证副本等的复印件）</w:t>
      </w:r>
      <w:r>
        <w:rPr>
          <w:rFonts w:hint="eastAsia" w:ascii="宋体" w:hAnsi="宋体" w:cs="宋体"/>
          <w:color w:val="auto"/>
          <w:sz w:val="24"/>
          <w:szCs w:val="24"/>
        </w:rPr>
        <w:t>；</w:t>
      </w:r>
    </w:p>
    <w:p>
      <w:pPr>
        <w:tabs>
          <w:tab w:val="left" w:pos="1305"/>
        </w:tabs>
        <w:adjustRightInd w:val="0"/>
        <w:snapToGrid w:val="0"/>
        <w:spacing w:line="460" w:lineRule="exact"/>
        <w:ind w:firstLine="426"/>
        <w:rPr>
          <w:rFonts w:ascii="宋体" w:hAnsi="宋体" w:cs="宋体"/>
          <w:color w:val="auto"/>
          <w:sz w:val="24"/>
          <w:szCs w:val="24"/>
          <w:lang w:val="zh-CN"/>
        </w:rPr>
      </w:pPr>
      <w:r>
        <w:rPr>
          <w:rFonts w:hint="eastAsia" w:ascii="宋体" w:hAnsi="宋体" w:cs="宋体"/>
          <w:color w:val="auto"/>
          <w:sz w:val="24"/>
          <w:szCs w:val="24"/>
        </w:rPr>
        <w:t>（4）</w:t>
      </w:r>
      <w:r>
        <w:rPr>
          <w:rFonts w:ascii="宋体" w:hAnsi="宋体" w:eastAsia="宋体" w:cs="宋体"/>
          <w:color w:val="auto"/>
          <w:sz w:val="24"/>
          <w:szCs w:val="24"/>
        </w:rPr>
        <w:t>项目经理具备水利水电工程专业贰级以上(含贰级)或市政公用工程专业贰级以上(含贰级)或公路工程专业贰级以上(含贰级)注册建造师执业资格，具备有效的安全生产考核合格证书（B类）</w:t>
      </w:r>
      <w:r>
        <w:rPr>
          <w:rFonts w:hint="eastAsia" w:ascii="宋体" w:hAnsi="宋体" w:cs="宋体"/>
          <w:color w:val="auto"/>
          <w:sz w:val="24"/>
          <w:szCs w:val="24"/>
        </w:rPr>
        <w:t>；</w:t>
      </w:r>
    </w:p>
    <w:p>
      <w:pPr>
        <w:pStyle w:val="8"/>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（5）农民工工资保障金的交纳与使用的承诺（按桂劳社发【2009】50号文执行）</w:t>
      </w:r>
      <w:r>
        <w:rPr>
          <w:rFonts w:hint="eastAsia" w:ascii="宋体" w:hAnsi="宋体" w:cs="宋体"/>
          <w:b/>
          <w:color w:val="auto"/>
          <w:sz w:val="24"/>
          <w:szCs w:val="24"/>
        </w:rPr>
        <w:t>；</w:t>
      </w:r>
    </w:p>
    <w:p>
      <w:pPr>
        <w:pStyle w:val="8"/>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（6）建设工程项目管理承诺书</w:t>
      </w:r>
      <w:r>
        <w:rPr>
          <w:rFonts w:hint="eastAsia" w:ascii="宋体" w:hAnsi="宋体" w:cs="宋体"/>
          <w:b/>
          <w:color w:val="auto"/>
          <w:sz w:val="24"/>
          <w:szCs w:val="24"/>
        </w:rPr>
        <w:t>；</w:t>
      </w:r>
    </w:p>
    <w:p>
      <w:pPr>
        <w:pStyle w:val="8"/>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（7）安全防护、文明施工措施方案的承诺书</w:t>
      </w:r>
      <w:r>
        <w:rPr>
          <w:rFonts w:hint="eastAsia" w:ascii="宋体" w:hAnsi="宋体" w:cs="宋体"/>
          <w:b/>
          <w:color w:val="auto"/>
          <w:sz w:val="24"/>
          <w:szCs w:val="24"/>
        </w:rPr>
        <w:t>；</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bCs/>
          <w:color w:val="auto"/>
          <w:sz w:val="24"/>
          <w:szCs w:val="24"/>
        </w:rPr>
        <w:t>（8）</w:t>
      </w:r>
      <w:r>
        <w:rPr>
          <w:rFonts w:hint="eastAsia" w:ascii="宋体" w:hAnsi="宋体" w:cs="宋体"/>
          <w:color w:val="auto"/>
          <w:sz w:val="24"/>
          <w:szCs w:val="24"/>
        </w:rPr>
        <w:t>供应商参与政府采购活动前三年在经营活动中没有重大违法记录的书面声明（格式自拟）。</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（9）按本竞争性磋商文件规定提交的其它资料。</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11.2、</w:t>
      </w:r>
      <w:r>
        <w:rPr>
          <w:rFonts w:hint="eastAsia" w:hAnsi="宋体" w:cs="宋体"/>
          <w:b/>
          <w:color w:val="auto"/>
          <w:sz w:val="24"/>
          <w:szCs w:val="24"/>
        </w:rPr>
        <w:t>商务部分</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（1）磋商函；</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（2）磋商函附录；</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（3）工程量清单报价有关资料；</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（4）按本竞争性磋商文件规定提交的其它资料。</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11.3、</w:t>
      </w:r>
      <w:r>
        <w:rPr>
          <w:rFonts w:hint="eastAsia" w:hAnsi="宋体" w:cs="宋体"/>
          <w:b/>
          <w:color w:val="auto"/>
          <w:sz w:val="24"/>
          <w:szCs w:val="24"/>
        </w:rPr>
        <w:t>技</w:t>
      </w:r>
      <w:r>
        <w:rPr>
          <w:rFonts w:hint="eastAsia" w:hAnsi="宋体" w:cs="宋体"/>
          <w:b/>
          <w:bCs/>
          <w:color w:val="auto"/>
          <w:sz w:val="24"/>
          <w:szCs w:val="24"/>
        </w:rPr>
        <w:t>术部分</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（1）施工组织设计；</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（2）按本竞争性磋商文件规定提交的其它资料。</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11.4、以上涉及第11.1条的相关材料应真实有效，属于“必须提供”的文件必须提供，所以内容应加盖供应商公章（扫描公章无效），并于本项目截标前与响应文件同时提交，否则响应无效。</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11.5、供应商应按竞争性磋商文件中响应文件格式编制响应文件。</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11.6、响应文件电子版：无。</w:t>
      </w:r>
    </w:p>
    <w:p>
      <w:pPr>
        <w:tabs>
          <w:tab w:val="left" w:pos="1305"/>
        </w:tabs>
        <w:adjustRightInd w:val="0"/>
        <w:snapToGrid w:val="0"/>
        <w:spacing w:line="460" w:lineRule="exact"/>
        <w:ind w:firstLine="426"/>
        <w:rPr>
          <w:rFonts w:ascii="宋体" w:hAnsi="宋体" w:cs="宋体"/>
          <w:b/>
          <w:color w:val="auto"/>
          <w:sz w:val="24"/>
          <w:szCs w:val="24"/>
        </w:rPr>
      </w:pPr>
      <w:bookmarkStart w:id="99" w:name="_Toc21911_WPSOffice_Level3"/>
      <w:r>
        <w:rPr>
          <w:rFonts w:hint="eastAsia" w:ascii="宋体" w:hAnsi="宋体" w:cs="宋体"/>
          <w:b/>
          <w:color w:val="auto"/>
          <w:sz w:val="24"/>
          <w:szCs w:val="24"/>
        </w:rPr>
        <w:t>12、响应文件的语言及计量</w:t>
      </w:r>
      <w:bookmarkEnd w:id="99"/>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12.1、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12.2、响应计量单位，磋商文件已有明确规定的，使用磋商文件规定的计量单位；磋商文件没有规定的，应采用中华人民共和国法定计量单位（货币单位：人民币元），否则视同未响应。</w:t>
      </w:r>
    </w:p>
    <w:p>
      <w:pPr>
        <w:tabs>
          <w:tab w:val="left" w:pos="1305"/>
        </w:tabs>
        <w:adjustRightInd w:val="0"/>
        <w:snapToGrid w:val="0"/>
        <w:spacing w:line="460" w:lineRule="exact"/>
        <w:ind w:firstLine="426"/>
        <w:rPr>
          <w:rFonts w:ascii="宋体" w:hAnsi="宋体" w:cs="宋体"/>
          <w:b/>
          <w:color w:val="auto"/>
          <w:sz w:val="24"/>
          <w:szCs w:val="24"/>
        </w:rPr>
      </w:pPr>
      <w:bookmarkStart w:id="100" w:name="_Toc16884_WPSOffice_Level3"/>
      <w:r>
        <w:rPr>
          <w:rFonts w:hint="eastAsia" w:ascii="宋体" w:hAnsi="宋体" w:cs="宋体"/>
          <w:b/>
          <w:color w:val="auto"/>
          <w:sz w:val="24"/>
          <w:szCs w:val="24"/>
        </w:rPr>
        <w:t>13、磋商报价</w:t>
      </w:r>
      <w:bookmarkEnd w:id="100"/>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13.1、磋商报价应按磋商文件中相关附表格式填写。</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13.2、</w:t>
      </w:r>
      <w:r>
        <w:rPr>
          <w:rFonts w:hint="eastAsia" w:ascii="宋体" w:hAnsi="宋体" w:cs="宋体"/>
          <w:color w:val="auto"/>
          <w:sz w:val="24"/>
        </w:rPr>
        <w:t>本项目采用工程量清单报价，供应商根据采购人提供的工程量清单、图纸进行自主报价，不得超过招标上限控制价</w:t>
      </w:r>
      <w:r>
        <w:rPr>
          <w:rFonts w:hint="eastAsia" w:ascii="宋体" w:hAnsi="宋体" w:cs="宋体"/>
          <w:color w:val="auto"/>
          <w:sz w:val="24"/>
          <w:szCs w:val="24"/>
        </w:rPr>
        <w:t>。</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13.3、</w:t>
      </w:r>
      <w:r>
        <w:rPr>
          <w:rFonts w:hint="eastAsia" w:ascii="宋体" w:hAnsi="宋体" w:cs="宋体"/>
          <w:color w:val="auto"/>
          <w:sz w:val="24"/>
        </w:rPr>
        <w:t>供应商的磋商报价均包括完成该工程项目的成本、利润、增值税、技术措施费、大型机械进出场费、风险费、政策性文件规定费用等所有费用</w:t>
      </w:r>
      <w:r>
        <w:rPr>
          <w:rFonts w:hint="eastAsia" w:ascii="宋体" w:hAnsi="宋体" w:cs="宋体"/>
          <w:color w:val="auto"/>
          <w:kern w:val="0"/>
          <w:sz w:val="24"/>
          <w:szCs w:val="24"/>
        </w:rPr>
        <w:t>。</w:t>
      </w:r>
    </w:p>
    <w:p>
      <w:pPr>
        <w:tabs>
          <w:tab w:val="left" w:pos="1305"/>
        </w:tabs>
        <w:adjustRightInd w:val="0"/>
        <w:snapToGrid w:val="0"/>
        <w:spacing w:line="460" w:lineRule="exact"/>
        <w:ind w:firstLine="426"/>
        <w:rPr>
          <w:rFonts w:ascii="宋体" w:hAnsi="宋体" w:cs="宋体"/>
          <w:color w:val="auto"/>
          <w:sz w:val="24"/>
        </w:rPr>
      </w:pPr>
      <w:r>
        <w:rPr>
          <w:rFonts w:hint="eastAsia" w:ascii="宋体" w:hAnsi="宋体" w:cs="宋体"/>
          <w:color w:val="auto"/>
          <w:spacing w:val="-6"/>
          <w:sz w:val="24"/>
          <w:szCs w:val="24"/>
        </w:rPr>
        <w:t>13.4、</w:t>
      </w:r>
      <w:r>
        <w:rPr>
          <w:rFonts w:hint="eastAsia" w:ascii="宋体" w:hAnsi="宋体" w:cs="宋体"/>
          <w:color w:val="auto"/>
          <w:spacing w:val="-12"/>
          <w:sz w:val="24"/>
        </w:rPr>
        <w:t>报价依据：</w:t>
      </w:r>
      <w:r>
        <w:rPr>
          <w:rFonts w:hint="eastAsia" w:ascii="宋体" w:hAnsi="宋体" w:cs="宋体"/>
          <w:color w:val="auto"/>
          <w:spacing w:val="-10"/>
          <w:sz w:val="24"/>
        </w:rPr>
        <w:t>按本工程所在地建筑材料市场价格</w:t>
      </w:r>
      <w:r>
        <w:rPr>
          <w:rFonts w:hint="eastAsia" w:ascii="宋体" w:hAnsi="宋体" w:cs="宋体"/>
          <w:color w:val="auto"/>
          <w:sz w:val="24"/>
        </w:rPr>
        <w:t>。</w:t>
      </w:r>
    </w:p>
    <w:p>
      <w:pPr>
        <w:tabs>
          <w:tab w:val="left" w:pos="1305"/>
        </w:tabs>
        <w:adjustRightInd w:val="0"/>
        <w:snapToGrid w:val="0"/>
        <w:spacing w:line="460" w:lineRule="exact"/>
        <w:ind w:firstLine="426"/>
        <w:rPr>
          <w:rFonts w:ascii="宋体" w:hAnsi="宋体" w:cs="宋体"/>
          <w:color w:val="auto"/>
          <w:sz w:val="24"/>
        </w:rPr>
      </w:pPr>
      <w:r>
        <w:rPr>
          <w:rFonts w:hint="eastAsia" w:ascii="宋体" w:hAnsi="宋体" w:cs="宋体"/>
          <w:color w:val="auto"/>
          <w:sz w:val="24"/>
        </w:rPr>
        <w:t>13.5、对于本文件中未列明，而供应商认为必需的费用也需列入总报价。在合同实施时，采购人将不予支付成交供应商没有列入的项目费用，并认为此项目的费用已包括在总报价中。</w:t>
      </w:r>
    </w:p>
    <w:p>
      <w:pPr>
        <w:tabs>
          <w:tab w:val="left" w:pos="1305"/>
        </w:tabs>
        <w:adjustRightInd w:val="0"/>
        <w:snapToGrid w:val="0"/>
        <w:spacing w:line="460" w:lineRule="exact"/>
        <w:ind w:firstLine="426"/>
        <w:rPr>
          <w:rFonts w:ascii="宋体" w:hAnsi="宋体" w:cs="宋体"/>
          <w:color w:val="auto"/>
          <w:sz w:val="24"/>
        </w:rPr>
      </w:pPr>
      <w:r>
        <w:rPr>
          <w:rFonts w:hint="eastAsia" w:ascii="宋体" w:hAnsi="宋体" w:cs="宋体"/>
          <w:color w:val="auto"/>
          <w:spacing w:val="-1"/>
          <w:sz w:val="24"/>
        </w:rPr>
        <w:t>13.6、成交供应商负责本项目所采购的货物、工程、服务的全部工作</w:t>
      </w:r>
      <w:r>
        <w:rPr>
          <w:rFonts w:hint="eastAsia" w:ascii="宋体" w:hAnsi="宋体" w:cs="宋体"/>
          <w:color w:val="auto"/>
          <w:sz w:val="24"/>
        </w:rPr>
        <w:t>。</w:t>
      </w:r>
    </w:p>
    <w:p>
      <w:pPr>
        <w:tabs>
          <w:tab w:val="left" w:pos="1305"/>
        </w:tabs>
        <w:adjustRightInd w:val="0"/>
        <w:snapToGrid w:val="0"/>
        <w:spacing w:line="460" w:lineRule="exact"/>
        <w:ind w:firstLine="426"/>
        <w:rPr>
          <w:rFonts w:ascii="宋体" w:hAnsi="宋体" w:cs="宋体"/>
          <w:b/>
          <w:color w:val="auto"/>
          <w:sz w:val="24"/>
          <w:szCs w:val="24"/>
        </w:rPr>
      </w:pPr>
      <w:bookmarkStart w:id="101" w:name="_Toc28163_WPSOffice_Level3"/>
      <w:r>
        <w:rPr>
          <w:rFonts w:hint="eastAsia" w:ascii="宋体" w:hAnsi="宋体" w:cs="宋体"/>
          <w:b/>
          <w:color w:val="auto"/>
          <w:sz w:val="24"/>
          <w:szCs w:val="24"/>
        </w:rPr>
        <w:t>14、响应文件有效期</w:t>
      </w:r>
      <w:bookmarkEnd w:id="101"/>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14.1、响应文件有效期：详见供应商须知前附表。</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14.2、出现特殊情况下，需要延长响应文件有效期的，采购代理机构以书面形式通知所有供应商延长响应文件有效期。供应商同意延长的，应相应延长其磋商保证金的有效期，但不能修改响应文件。供应商拒绝延长的，其响应无效，但供应商有权收回其磋商保证金。</w:t>
      </w:r>
    </w:p>
    <w:p>
      <w:pPr>
        <w:tabs>
          <w:tab w:val="left" w:pos="1305"/>
        </w:tabs>
        <w:adjustRightInd w:val="0"/>
        <w:snapToGrid w:val="0"/>
        <w:spacing w:line="460" w:lineRule="exact"/>
        <w:ind w:firstLine="426"/>
        <w:rPr>
          <w:rFonts w:ascii="宋体" w:hAnsi="宋体" w:cs="宋体"/>
          <w:b/>
          <w:color w:val="auto"/>
          <w:sz w:val="24"/>
          <w:szCs w:val="24"/>
        </w:rPr>
      </w:pPr>
      <w:bookmarkStart w:id="102" w:name="_Toc9776_WPSOffice_Level3"/>
      <w:r>
        <w:rPr>
          <w:rFonts w:hint="eastAsia" w:ascii="宋体" w:hAnsi="宋体" w:cs="宋体"/>
          <w:b/>
          <w:color w:val="auto"/>
          <w:sz w:val="24"/>
          <w:szCs w:val="24"/>
        </w:rPr>
        <w:t>15、响应文件的份数、装订、签署和包装、密封</w:t>
      </w:r>
      <w:bookmarkEnd w:id="102"/>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15.1、响应文件份数：详见供应商须知前附表。</w:t>
      </w:r>
    </w:p>
    <w:p>
      <w:pPr>
        <w:tabs>
          <w:tab w:val="left" w:pos="1305"/>
        </w:tabs>
        <w:adjustRightInd w:val="0"/>
        <w:snapToGrid w:val="0"/>
        <w:spacing w:line="460" w:lineRule="exact"/>
        <w:ind w:firstLine="426"/>
        <w:rPr>
          <w:rFonts w:ascii="宋体" w:hAnsi="宋体" w:cs="宋体"/>
          <w:b/>
          <w:color w:val="auto"/>
          <w:sz w:val="24"/>
          <w:szCs w:val="24"/>
        </w:rPr>
      </w:pPr>
      <w:r>
        <w:rPr>
          <w:rFonts w:hint="eastAsia" w:ascii="宋体" w:hAnsi="宋体" w:cs="宋体"/>
          <w:color w:val="auto"/>
          <w:sz w:val="24"/>
          <w:szCs w:val="24"/>
        </w:rPr>
        <w:t>15.2、响应文件装订要求：详见供应商须知前附表。</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15.3、响应文件的正本需打印或用不褪色的墨水填写，响应文件正本除本磋商文件中规定的可提供复印件外均须提供原件。</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15.4、响应文件须由供应商在规定位置加盖供应商公章</w:t>
      </w:r>
      <w:r>
        <w:rPr>
          <w:rFonts w:hint="eastAsia" w:ascii="宋体" w:hAnsi="宋体" w:cs="宋体"/>
          <w:bCs/>
          <w:color w:val="auto"/>
          <w:sz w:val="24"/>
          <w:szCs w:val="24"/>
        </w:rPr>
        <w:t>（扫描公章无效）</w:t>
      </w:r>
      <w:r>
        <w:rPr>
          <w:rFonts w:hint="eastAsia" w:ascii="宋体" w:hAnsi="宋体" w:cs="宋体"/>
          <w:color w:val="auto"/>
          <w:sz w:val="24"/>
          <w:szCs w:val="24"/>
        </w:rPr>
        <w:t>并由法定代表人或授权委托代理人签字，供应商应写全称，响应文件副本可以是加盖公章的正本的复印件，当正本与副本不一致时，以正本为准。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15.5、响应文件不得涂改，若有修改错漏处，须加盖供应商公章及法定代表人或授权委托代理人签字或盖法定代表人印章。响应文件因字迹潦草或表达不清所引起的后果由供应商负责。</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15.6、响应文件包装、密封、标记：</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15.6.1、响应文件包装、密封：详见供应商须知前附表。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15.6.2、响应文件袋应标记：详见供应商须知前附表。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15.7、供应商公章：本竞争性磋商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tabs>
          <w:tab w:val="left" w:pos="1305"/>
        </w:tabs>
        <w:adjustRightInd w:val="0"/>
        <w:snapToGrid w:val="0"/>
        <w:spacing w:line="460" w:lineRule="exact"/>
        <w:ind w:firstLine="426"/>
        <w:rPr>
          <w:rFonts w:ascii="宋体" w:hAnsi="宋体" w:cs="宋体"/>
          <w:b/>
          <w:color w:val="auto"/>
          <w:sz w:val="24"/>
          <w:szCs w:val="24"/>
        </w:rPr>
      </w:pPr>
      <w:bookmarkStart w:id="103" w:name="_Toc8491_WPSOffice_Level3"/>
      <w:r>
        <w:rPr>
          <w:rFonts w:hint="eastAsia" w:ascii="宋体" w:hAnsi="宋体" w:cs="宋体"/>
          <w:b/>
          <w:color w:val="auto"/>
          <w:sz w:val="24"/>
          <w:szCs w:val="24"/>
        </w:rPr>
        <w:t>16、响应文件的修改和撤回</w:t>
      </w:r>
      <w:bookmarkEnd w:id="103"/>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16.1、供应商在响应文件递交截止时间之前，可以对已递交的响应文件进行修改或撤回，并书面通知采购代理机构。</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16.2、在响应文件递交截止时间后的响应有效期内，供应商不得撤回其响应文件。</w:t>
      </w:r>
    </w:p>
    <w:p>
      <w:pPr>
        <w:tabs>
          <w:tab w:val="center" w:pos="4411"/>
          <w:tab w:val="left" w:pos="5475"/>
        </w:tabs>
        <w:adjustRightInd w:val="0"/>
        <w:snapToGrid w:val="0"/>
        <w:spacing w:line="460" w:lineRule="exact"/>
        <w:outlineLvl w:val="1"/>
        <w:rPr>
          <w:rFonts w:ascii="宋体" w:hAnsi="宋体" w:cs="宋体"/>
          <w:b/>
          <w:color w:val="auto"/>
          <w:sz w:val="24"/>
          <w:szCs w:val="24"/>
        </w:rPr>
      </w:pPr>
      <w:bookmarkStart w:id="104" w:name="_Toc19366"/>
      <w:bookmarkStart w:id="105" w:name="_Toc22489_WPSOffice_Level2"/>
      <w:bookmarkStart w:id="106" w:name="_Toc26859"/>
      <w:r>
        <w:rPr>
          <w:rFonts w:hint="eastAsia" w:ascii="宋体" w:hAnsi="宋体" w:cs="宋体"/>
          <w:b/>
          <w:color w:val="auto"/>
          <w:sz w:val="24"/>
          <w:szCs w:val="24"/>
        </w:rPr>
        <w:t>四、竞争性磋商（简称磋商）与评审</w:t>
      </w:r>
      <w:bookmarkEnd w:id="104"/>
      <w:bookmarkEnd w:id="105"/>
      <w:bookmarkEnd w:id="106"/>
    </w:p>
    <w:p>
      <w:pPr>
        <w:tabs>
          <w:tab w:val="center" w:pos="4411"/>
          <w:tab w:val="left" w:pos="5475"/>
        </w:tabs>
        <w:adjustRightInd w:val="0"/>
        <w:snapToGrid w:val="0"/>
        <w:spacing w:line="460" w:lineRule="exact"/>
        <w:ind w:firstLine="426"/>
        <w:rPr>
          <w:rFonts w:ascii="宋体" w:hAnsi="宋体" w:cs="宋体"/>
          <w:b/>
          <w:color w:val="auto"/>
          <w:sz w:val="24"/>
          <w:szCs w:val="24"/>
        </w:rPr>
      </w:pPr>
      <w:r>
        <w:rPr>
          <w:rFonts w:hint="eastAsia" w:ascii="宋体" w:hAnsi="宋体" w:cs="宋体"/>
          <w:b/>
          <w:color w:val="auto"/>
          <w:sz w:val="24"/>
          <w:szCs w:val="24"/>
        </w:rPr>
        <w:t>17、磋商小组组成及磋商时间、地点、人员</w:t>
      </w:r>
    </w:p>
    <w:p>
      <w:pPr>
        <w:adjustRightInd w:val="0"/>
        <w:snapToGrid w:val="0"/>
        <w:spacing w:line="460" w:lineRule="exact"/>
        <w:ind w:firstLine="426"/>
        <w:outlineLvl w:val="2"/>
        <w:rPr>
          <w:rFonts w:ascii="宋体" w:hAnsi="宋体" w:cs="宋体"/>
          <w:b/>
          <w:color w:val="auto"/>
          <w:sz w:val="24"/>
          <w:szCs w:val="24"/>
        </w:rPr>
      </w:pPr>
      <w:bookmarkStart w:id="107" w:name="_Toc19780"/>
      <w:bookmarkStart w:id="108" w:name="_Toc6278"/>
      <w:bookmarkStart w:id="109" w:name="_Toc8595_WPSOffice_Level3"/>
      <w:r>
        <w:rPr>
          <w:rFonts w:hint="eastAsia" w:ascii="宋体" w:hAnsi="宋体" w:cs="宋体"/>
          <w:b/>
          <w:color w:val="auto"/>
          <w:sz w:val="24"/>
          <w:szCs w:val="24"/>
        </w:rPr>
        <w:t>17.1、磋商小组组成：</w:t>
      </w:r>
      <w:bookmarkEnd w:id="107"/>
      <w:bookmarkEnd w:id="108"/>
      <w:bookmarkEnd w:id="109"/>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磋商及评审工作由采购代理机构负责组织，具体磋商、评审工作由依法组建的磋商小组负责，磋商小组构成：分别由依法组成的评审专家、采购人代表等三人以上单数组成，其中，技术、经济等方面的专家不得少于成员总数的三分之二。</w:t>
      </w:r>
    </w:p>
    <w:p>
      <w:pPr>
        <w:tabs>
          <w:tab w:val="left" w:pos="1140"/>
        </w:tabs>
        <w:adjustRightInd w:val="0"/>
        <w:snapToGrid w:val="0"/>
        <w:spacing w:line="460" w:lineRule="exact"/>
        <w:ind w:firstLine="426"/>
        <w:outlineLvl w:val="2"/>
        <w:rPr>
          <w:rFonts w:ascii="宋体" w:hAnsi="宋体" w:cs="宋体"/>
          <w:b/>
          <w:color w:val="auto"/>
          <w:sz w:val="24"/>
          <w:szCs w:val="24"/>
        </w:rPr>
      </w:pPr>
      <w:bookmarkStart w:id="110" w:name="_Toc19743"/>
      <w:bookmarkStart w:id="111" w:name="_Toc8638"/>
      <w:bookmarkStart w:id="112" w:name="_Toc12676_WPSOffice_Level3"/>
      <w:r>
        <w:rPr>
          <w:rFonts w:hint="eastAsia" w:ascii="宋体" w:hAnsi="宋体" w:cs="宋体"/>
          <w:b/>
          <w:color w:val="auto"/>
          <w:sz w:val="24"/>
          <w:szCs w:val="24"/>
        </w:rPr>
        <w:t>17.2、磋商时间、地点、人员：</w:t>
      </w:r>
      <w:bookmarkEnd w:id="110"/>
      <w:bookmarkEnd w:id="111"/>
      <w:bookmarkEnd w:id="112"/>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17.2.1、磋商时间：详见供应商须知前附表。</w:t>
      </w:r>
    </w:p>
    <w:p>
      <w:pPr>
        <w:adjustRightInd w:val="0"/>
        <w:snapToGrid w:val="0"/>
        <w:spacing w:line="460" w:lineRule="exact"/>
        <w:ind w:firstLine="426"/>
        <w:rPr>
          <w:rFonts w:ascii="宋体" w:hAnsi="宋体" w:cs="宋体"/>
          <w:color w:val="auto"/>
          <w:sz w:val="24"/>
        </w:rPr>
      </w:pPr>
      <w:r>
        <w:rPr>
          <w:rFonts w:hint="eastAsia" w:ascii="宋体" w:hAnsi="宋体" w:cs="宋体"/>
          <w:color w:val="auto"/>
          <w:sz w:val="24"/>
          <w:szCs w:val="24"/>
        </w:rPr>
        <w:t>17.2.2、磋商地点：详见供应商须知前附表。</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17.2.3、磋商参加人员：供应商法定代表人或委托代理人持证明材料【企业营业执照副本复印件、法人证明书原件、授权委托书原件（委托时）、本人身份证原件】参加磋商。请供应商按时到达指定地点等候当面磋商。</w:t>
      </w:r>
    </w:p>
    <w:p>
      <w:pPr>
        <w:tabs>
          <w:tab w:val="left" w:pos="1140"/>
        </w:tabs>
        <w:adjustRightInd w:val="0"/>
        <w:snapToGrid w:val="0"/>
        <w:spacing w:line="460" w:lineRule="exact"/>
        <w:ind w:firstLine="426"/>
        <w:rPr>
          <w:rFonts w:ascii="宋体" w:hAnsi="宋体" w:cs="宋体"/>
          <w:b/>
          <w:color w:val="auto"/>
          <w:sz w:val="24"/>
          <w:szCs w:val="24"/>
        </w:rPr>
      </w:pPr>
      <w:r>
        <w:rPr>
          <w:rFonts w:hint="eastAsia" w:ascii="宋体" w:hAnsi="宋体" w:cs="宋体"/>
          <w:b/>
          <w:color w:val="auto"/>
          <w:sz w:val="24"/>
          <w:szCs w:val="24"/>
        </w:rPr>
        <w:t>18、评标原则和评标办法</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18.1、磋商小组必须坚持公平、公正、科学和择优的原则。</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18.2、评标办法：综合评分法，具体详见评标办法。</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18.3、磋商小组应按磋商文件进行评标，不得擅自更改评审办法。</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18.4、在评审过程中，磋商小组任何人不得对某个供应商发表任何倾向性意见，不得向其他磋商小组成员明示或者暗示自己的评审意见。</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18.5、磋商小组成员对需要共同认定的事项存在争议的，按照少数服从多数的原则作出结论。持不同意见的磋商小组成员应当在评审报告上签署不同意见并说明理由，否则视为同意。</w:t>
      </w:r>
    </w:p>
    <w:p>
      <w:pPr>
        <w:tabs>
          <w:tab w:val="left" w:pos="1140"/>
        </w:tabs>
        <w:adjustRightInd w:val="0"/>
        <w:snapToGrid w:val="0"/>
        <w:spacing w:line="460" w:lineRule="exact"/>
        <w:ind w:firstLine="426"/>
        <w:rPr>
          <w:rFonts w:ascii="宋体" w:hAnsi="宋体" w:cs="宋体"/>
          <w:b/>
          <w:color w:val="auto"/>
          <w:sz w:val="24"/>
          <w:szCs w:val="24"/>
        </w:rPr>
      </w:pPr>
      <w:r>
        <w:rPr>
          <w:rFonts w:hint="eastAsia" w:ascii="宋体" w:hAnsi="宋体" w:cs="宋体"/>
          <w:b/>
          <w:color w:val="auto"/>
          <w:sz w:val="24"/>
          <w:szCs w:val="24"/>
        </w:rPr>
        <w:t>19、评审程序及磋商要求</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19.1、采购代理机构核实磋商小组成员身份，告知回避要求，宣布评审工作纪律和程序。</w:t>
      </w:r>
    </w:p>
    <w:p>
      <w:pPr>
        <w:adjustRightInd w:val="0"/>
        <w:snapToGrid w:val="0"/>
        <w:spacing w:line="460" w:lineRule="exact"/>
        <w:ind w:firstLine="426"/>
        <w:rPr>
          <w:rFonts w:ascii="宋体" w:hAnsi="宋体" w:cs="宋体"/>
          <w:color w:val="auto"/>
          <w:kern w:val="0"/>
          <w:sz w:val="24"/>
          <w:szCs w:val="24"/>
        </w:rPr>
      </w:pPr>
      <w:r>
        <w:rPr>
          <w:rFonts w:hint="eastAsia" w:ascii="宋体" w:hAnsi="宋体" w:cs="宋体"/>
          <w:color w:val="auto"/>
          <w:sz w:val="24"/>
          <w:szCs w:val="24"/>
        </w:rPr>
        <w:t>19.2、磋商小组应当对发布公告的竞争性磋商文件（简称磋商文件）进行确认，</w:t>
      </w:r>
      <w:r>
        <w:rPr>
          <w:rFonts w:hint="eastAsia" w:ascii="宋体" w:hAnsi="宋体" w:cs="宋体"/>
          <w:color w:val="auto"/>
          <w:kern w:val="0"/>
          <w:sz w:val="24"/>
          <w:szCs w:val="24"/>
        </w:rPr>
        <w:t>审查供应商的响应文件并作出评价；要求供应商解释或者澄清其响应文件；编写评审报告；告知采购人、采购代理机构在评审过程中发现的供应商的违法违规行为。</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19.3、</w:t>
      </w:r>
      <w:r>
        <w:rPr>
          <w:rFonts w:hint="eastAsia" w:ascii="宋体" w:hAnsi="宋体" w:cs="宋体"/>
          <w:color w:val="auto"/>
          <w:kern w:val="0"/>
          <w:sz w:val="24"/>
          <w:szCs w:val="24"/>
        </w:rPr>
        <w:t>磋商小组</w:t>
      </w:r>
      <w:r>
        <w:rPr>
          <w:rFonts w:hint="eastAsia" w:ascii="宋体" w:hAnsi="宋体" w:cs="宋体"/>
          <w:color w:val="auto"/>
          <w:sz w:val="24"/>
          <w:szCs w:val="24"/>
        </w:rPr>
        <w:t>依据法律法规和竞争性磋商文件的规定，首先对响应文件中的资格证明、磋商保证金等进行资格性审查，以确定供应商是否具备响应资格；再对通过资格性审查的供应商响应文件的有效性、完整性和对磋商文件的响应程度进行符合性审查，以确定是否对磋商文件的实质性要求做出响应。</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kern w:val="0"/>
          <w:sz w:val="24"/>
          <w:szCs w:val="24"/>
        </w:rPr>
        <w:t>在对响应文件的有效性、完整性和响应程度进行审查时，可以要求供应商对</w:t>
      </w:r>
      <w:r>
        <w:rPr>
          <w:rFonts w:hint="eastAsia" w:ascii="宋体" w:hAnsi="宋体" w:cs="宋体"/>
          <w:color w:val="auto"/>
          <w:sz w:val="24"/>
          <w:szCs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授权委托代表签字或者加盖供应商公章。由授权委托代表签字的，应当附法人授权委托书。</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根据磋商文件规定的程序、评定成交的标准等事项与实质性响应竞争性磋商文件要求的供应商进行磋商。未实质性响应磋商文件的响应文件按无效处理，磋商小组应当告知有关供应商。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kern w:val="0"/>
          <w:sz w:val="24"/>
          <w:szCs w:val="24"/>
        </w:rPr>
        <w:t>磋商小组</w:t>
      </w:r>
      <w:r>
        <w:rPr>
          <w:rFonts w:hint="eastAsia" w:ascii="宋体" w:hAnsi="宋体" w:cs="宋体"/>
          <w:color w:val="auto"/>
          <w:sz w:val="24"/>
          <w:szCs w:val="24"/>
        </w:rPr>
        <w:t>所有成员应当</w:t>
      </w:r>
      <w:r>
        <w:rPr>
          <w:rFonts w:hint="eastAsia" w:ascii="宋体" w:hAnsi="宋体" w:cs="宋体"/>
          <w:color w:val="auto"/>
          <w:kern w:val="0"/>
          <w:sz w:val="24"/>
          <w:szCs w:val="24"/>
        </w:rPr>
        <w:t>按已确定的</w:t>
      </w:r>
      <w:r>
        <w:rPr>
          <w:rFonts w:hint="eastAsia" w:ascii="宋体" w:hAnsi="宋体" w:cs="宋体"/>
          <w:color w:val="auto"/>
          <w:sz w:val="24"/>
          <w:szCs w:val="24"/>
        </w:rPr>
        <w:t>磋商顺序集中与单一供应商分别进行磋商，并给予所有实质性响应竞争性磋商文件要求的供应商平等的磋商机会。</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磋商中，磋商小组不得透露与磋商有关的其他供应商的技术资料、价格和其他信息。</w:t>
      </w:r>
    </w:p>
    <w:p>
      <w:pPr>
        <w:widowControl/>
        <w:tabs>
          <w:tab w:val="left" w:pos="5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采购代理机构对磋商过程和重要磋商内容进行记录，磋商双方在记录上签字确认。</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19.4、在磋商过程中，磋商小组可以根据磋商文件和磋商情况实质性变动项目要求中的技术、服务要求以及合同草案条款，但不得变动磋商文件中的其他内容。实质性变动的内容，须经采购人代表确认。</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对磋商文件作出的实质性变动是磋商文件的有效组成部分，磋商小组应当及时以书面形式同时通知所有参加磋商的供应商。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供应商应当按照磋商文件的变动情况和磋商小组的要求重新提交响应文件，并由其法定代表人或授权委托代表签字或者加盖供应商公章。逾时不交的，视同放弃响应。</w:t>
      </w:r>
    </w:p>
    <w:p>
      <w:pPr>
        <w:widowControl/>
        <w:adjustRightInd w:val="0"/>
        <w:snapToGrid w:val="0"/>
        <w:spacing w:line="460" w:lineRule="exact"/>
        <w:ind w:firstLine="426"/>
        <w:rPr>
          <w:rFonts w:ascii="宋体" w:hAnsi="宋体" w:cs="宋体"/>
          <w:color w:val="auto"/>
          <w:sz w:val="24"/>
          <w:szCs w:val="24"/>
        </w:rPr>
      </w:pPr>
      <w:r>
        <w:rPr>
          <w:rFonts w:hint="eastAsia" w:ascii="宋体" w:hAnsi="宋体" w:cs="宋体"/>
          <w:color w:val="auto"/>
          <w:kern w:val="0"/>
          <w:sz w:val="24"/>
          <w:szCs w:val="24"/>
        </w:rPr>
        <w:t>19.5、</w:t>
      </w:r>
      <w:r>
        <w:rPr>
          <w:rFonts w:hint="eastAsia" w:ascii="宋体" w:hAnsi="宋体" w:cs="宋体"/>
          <w:color w:val="auto"/>
          <w:sz w:val="24"/>
          <w:szCs w:val="24"/>
        </w:rPr>
        <w:t>最后报价</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19.5.1</w:t>
      </w:r>
      <w:r>
        <w:rPr>
          <w:rFonts w:hint="eastAsia" w:ascii="宋体" w:hAnsi="宋体" w:cs="宋体"/>
          <w:color w:val="auto"/>
          <w:spacing w:val="-12"/>
          <w:sz w:val="24"/>
        </w:rPr>
        <w:t xml:space="preserve">磋商结束后，磋商小组应当要求所有实质性响应的供应商在规定时间内提交最后报价，提交最后   报价的供应商不得少于 </w:t>
      </w:r>
      <w:r>
        <w:rPr>
          <w:rFonts w:hint="eastAsia" w:ascii="宋体" w:hAnsi="宋体" w:cs="宋体"/>
          <w:color w:val="auto"/>
          <w:sz w:val="24"/>
        </w:rPr>
        <w:t>3</w:t>
      </w:r>
      <w:r>
        <w:rPr>
          <w:rFonts w:hint="eastAsia" w:ascii="宋体" w:hAnsi="宋体" w:cs="宋体"/>
          <w:color w:val="auto"/>
          <w:spacing w:val="-9"/>
          <w:sz w:val="24"/>
        </w:rPr>
        <w:t xml:space="preserve"> 家。符合《政府采购竞争性磋商采</w:t>
      </w:r>
      <w:r>
        <w:rPr>
          <w:rFonts w:hint="eastAsia" w:ascii="宋体" w:hAnsi="宋体" w:cs="宋体"/>
          <w:color w:val="auto"/>
          <w:spacing w:val="-11"/>
          <w:sz w:val="24"/>
        </w:rPr>
        <w:t xml:space="preserve">购方式管理暂行办法》第三条第一、四项情形的，提交最后报价的供应商可以为 </w:t>
      </w:r>
      <w:r>
        <w:rPr>
          <w:rFonts w:hint="eastAsia" w:ascii="宋体" w:hAnsi="宋体" w:cs="宋体"/>
          <w:color w:val="auto"/>
          <w:sz w:val="24"/>
        </w:rPr>
        <w:t>2</w:t>
      </w:r>
      <w:r>
        <w:rPr>
          <w:rFonts w:hint="eastAsia" w:ascii="宋体" w:hAnsi="宋体" w:cs="宋体"/>
          <w:color w:val="auto"/>
          <w:spacing w:val="-19"/>
          <w:sz w:val="24"/>
        </w:rPr>
        <w:t xml:space="preserve"> 家</w:t>
      </w:r>
      <w:r>
        <w:rPr>
          <w:rFonts w:hint="eastAsia" w:ascii="宋体" w:hAnsi="宋体" w:cs="宋体"/>
          <w:color w:val="auto"/>
          <w:sz w:val="24"/>
          <w:szCs w:val="24"/>
        </w:rPr>
        <w:t>。</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19.5.2磋商文件不能详细列明采购标的技术、服务要求的，需由磋商供应商提供最终监测方案或解决方案的，磋商结束后，磋商小组应当按照少数服从多数的原则投票推荐3家以上供应商的监测方案或者解决方案，并要求其在规定时间内密封提交最后报价。</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19.5.3</w:t>
      </w:r>
      <w:r>
        <w:rPr>
          <w:rFonts w:hint="eastAsia" w:ascii="宋体" w:hAnsi="宋体" w:cs="宋体"/>
          <w:color w:val="auto"/>
          <w:kern w:val="0"/>
          <w:sz w:val="24"/>
          <w:szCs w:val="24"/>
        </w:rPr>
        <w:t>已提交响应文件的供应商，在提交最后报价之前，可以根据磋商情况书面退出磋商；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19.5.4最后报价是供应商响应文件的有效组成部分。</w:t>
      </w:r>
    </w:p>
    <w:p>
      <w:pPr>
        <w:widowControl/>
        <w:tabs>
          <w:tab w:val="left" w:pos="540"/>
        </w:tabs>
        <w:adjustRightInd w:val="0"/>
        <w:snapToGrid w:val="0"/>
        <w:spacing w:line="460" w:lineRule="exact"/>
        <w:ind w:firstLine="426"/>
        <w:rPr>
          <w:rFonts w:ascii="宋体" w:hAnsi="宋体" w:cs="宋体"/>
          <w:color w:val="auto"/>
          <w:kern w:val="0"/>
          <w:sz w:val="24"/>
          <w:szCs w:val="24"/>
        </w:rPr>
      </w:pPr>
      <w:r>
        <w:rPr>
          <w:rFonts w:hint="eastAsia" w:ascii="宋体" w:hAnsi="宋体" w:cs="宋体"/>
          <w:color w:val="auto"/>
          <w:sz w:val="24"/>
          <w:szCs w:val="24"/>
        </w:rPr>
        <w:t>19.6、综合比较与评价：</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19.6.1、磋商小组按竞争性磋商文件中规定的评审办法，对资格性审查和符合性审查合格的响应文件进行商务和技术评估，综合比较与评价。</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19.6.2采购代理机构对评审数据进行校对、核对，对畸高、畸低的重大差异评分提示磋商小组复核或书面说明理由。</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19.7、在评审过程中出现法律法规和磋商文件均没有明确规定的情形时，由磋商小组现场协商解决，协商不一致的，由全体磋商小组投票表决，以得票率二分之一以上专家的意见为准。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19.8、采购代理机构发现磋商小组有明显的违规倾向或歧视现象，或不按评标办法进行，或其他不正常行为的，应当及时制止。如制止无效，应及时向当地政府采购监督管理部门报告。</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19.9、本项目是以项目要求中要求的预算为最高限价或最低限价，超出或未达到采购预算总金额的最后报价，磋商小组可以不予以评审。当全部最后报价均超出采购预算总金额时，磋商小组有权决定全部废标或以书面形式要求所有供应商在规定时间内以书面密封形式重新报价。</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19.10特别说明</w:t>
      </w:r>
    </w:p>
    <w:p>
      <w:pPr>
        <w:pStyle w:val="12"/>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19.10.1出现下列情形之一的，在评审过程中，取其中通过资格审查、符合性审查且报价最低的参加评审；当报价相同时，则由采购人自主选择确定一个参加评审的供应商，其他投标无效：</w:t>
      </w:r>
    </w:p>
    <w:p>
      <w:pPr>
        <w:pStyle w:val="12"/>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（1）提供相同品牌产品的不同供应商参加单一产品的同一合同项下的政府采购活动的。</w:t>
      </w:r>
    </w:p>
    <w:p>
      <w:pPr>
        <w:pStyle w:val="12"/>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（2）非单一产品采购项目中，多家供应商提供的核心产品品牌相同的。核心产品的名称应当在采购文件中载明。</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19.10.2供应商磋商所使用的资格、信誉、荣誉、业绩与企业认证必须为本法人所拥有。供应商磋商所使用的采购项目实施人员必须为本法人员工（或必须为本法人或控股公司正式员工）。</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19.10.3供应商应仔细阅读竞争性磋商文件的所有内容，按照竞争性磋商文件的要求提交响应文件，并对所提供的全部资料的真实性承担法律责任。</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19.10.4供应商在磋商活动中提供任何虚假材料,其磋商无效，并报监管部门查处；成交后发现的,成交供应商须依照《中华人民共和国消费者权益保护法》第49条之规定双倍赔偿采购人，且民事赔偿并不免除违法供应商的行政与刑事责任。</w:t>
      </w:r>
    </w:p>
    <w:p>
      <w:pPr>
        <w:pStyle w:val="12"/>
        <w:adjustRightInd w:val="0"/>
        <w:snapToGrid w:val="0"/>
        <w:spacing w:line="460" w:lineRule="exact"/>
        <w:ind w:firstLine="420"/>
        <w:rPr>
          <w:rFonts w:hAnsi="宋体" w:cs="宋体"/>
          <w:color w:val="auto"/>
          <w:sz w:val="24"/>
          <w:szCs w:val="24"/>
        </w:rPr>
      </w:pPr>
      <w:r>
        <w:rPr>
          <w:rFonts w:hint="eastAsia" w:hAnsi="宋体" w:cs="宋体"/>
          <w:color w:val="auto"/>
          <w:sz w:val="24"/>
          <w:szCs w:val="24"/>
        </w:rPr>
        <w:t>19.10.5在政府采购活动中，采购人员及相关人员与供应商有下列利害关系之一的，应当回避：</w:t>
      </w:r>
    </w:p>
    <w:p>
      <w:pPr>
        <w:pStyle w:val="12"/>
        <w:adjustRightInd w:val="0"/>
        <w:snapToGrid w:val="0"/>
        <w:spacing w:line="460" w:lineRule="exact"/>
        <w:ind w:firstLine="420"/>
        <w:rPr>
          <w:rFonts w:hAnsi="宋体" w:cs="宋体"/>
          <w:color w:val="auto"/>
          <w:sz w:val="24"/>
          <w:szCs w:val="24"/>
        </w:rPr>
      </w:pPr>
      <w:r>
        <w:rPr>
          <w:rFonts w:hint="eastAsia" w:hAnsi="宋体" w:cs="宋体"/>
          <w:color w:val="auto"/>
          <w:sz w:val="24"/>
          <w:szCs w:val="24"/>
        </w:rPr>
        <w:t>（1）参加采购活动前3年内与供应商存在劳动关系；</w:t>
      </w:r>
    </w:p>
    <w:p>
      <w:pPr>
        <w:pStyle w:val="12"/>
        <w:adjustRightInd w:val="0"/>
        <w:snapToGrid w:val="0"/>
        <w:spacing w:line="460" w:lineRule="exact"/>
        <w:ind w:firstLine="420"/>
        <w:rPr>
          <w:rFonts w:hAnsi="宋体" w:cs="宋体"/>
          <w:color w:val="auto"/>
          <w:sz w:val="24"/>
          <w:szCs w:val="24"/>
        </w:rPr>
      </w:pPr>
      <w:r>
        <w:rPr>
          <w:rFonts w:hint="eastAsia" w:hAnsi="宋体" w:cs="宋体"/>
          <w:color w:val="auto"/>
          <w:sz w:val="24"/>
          <w:szCs w:val="24"/>
        </w:rPr>
        <w:t>（2）参加采购活动前3年内担任供应商的董事、监事；</w:t>
      </w:r>
    </w:p>
    <w:p>
      <w:pPr>
        <w:pStyle w:val="12"/>
        <w:adjustRightInd w:val="0"/>
        <w:snapToGrid w:val="0"/>
        <w:spacing w:line="460" w:lineRule="exact"/>
        <w:ind w:firstLine="420"/>
        <w:rPr>
          <w:rFonts w:hAnsi="宋体" w:cs="宋体"/>
          <w:color w:val="auto"/>
          <w:sz w:val="24"/>
          <w:szCs w:val="24"/>
        </w:rPr>
      </w:pPr>
      <w:r>
        <w:rPr>
          <w:rFonts w:hint="eastAsia" w:hAnsi="宋体" w:cs="宋体"/>
          <w:color w:val="auto"/>
          <w:sz w:val="24"/>
          <w:szCs w:val="24"/>
        </w:rPr>
        <w:t>（3）参加采购活动前3年内是供应商的控股股东或者实际控制人；</w:t>
      </w:r>
    </w:p>
    <w:p>
      <w:pPr>
        <w:pStyle w:val="12"/>
        <w:adjustRightInd w:val="0"/>
        <w:snapToGrid w:val="0"/>
        <w:spacing w:line="460" w:lineRule="exact"/>
        <w:ind w:firstLine="420"/>
        <w:rPr>
          <w:rFonts w:hAnsi="宋体" w:cs="宋体"/>
          <w:color w:val="auto"/>
          <w:sz w:val="24"/>
          <w:szCs w:val="24"/>
        </w:rPr>
      </w:pPr>
      <w:r>
        <w:rPr>
          <w:rFonts w:hint="eastAsia" w:hAnsi="宋体" w:cs="宋体"/>
          <w:color w:val="auto"/>
          <w:sz w:val="24"/>
          <w:szCs w:val="24"/>
        </w:rPr>
        <w:t>（4）与供应商的法定代表人或者负责人有夫妻、直系血亲、三代以内旁系血亲或者近姻亲关系；</w:t>
      </w:r>
    </w:p>
    <w:p>
      <w:pPr>
        <w:pStyle w:val="12"/>
        <w:adjustRightInd w:val="0"/>
        <w:snapToGrid w:val="0"/>
        <w:spacing w:line="460" w:lineRule="exact"/>
        <w:ind w:firstLine="420"/>
        <w:rPr>
          <w:rFonts w:hAnsi="宋体" w:cs="宋体"/>
          <w:color w:val="auto"/>
          <w:sz w:val="24"/>
          <w:szCs w:val="24"/>
        </w:rPr>
      </w:pPr>
      <w:r>
        <w:rPr>
          <w:rFonts w:hint="eastAsia" w:hAnsi="宋体" w:cs="宋体"/>
          <w:color w:val="auto"/>
          <w:sz w:val="24"/>
          <w:szCs w:val="24"/>
        </w:rPr>
        <w:t>（5）与供应商有其他可能影响政府采购活动公平、公正进行的关系。</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19.10.6有下列情形之一的视为供应商相互串通磋商，响应文件将被视为无效：</w:t>
      </w:r>
    </w:p>
    <w:p>
      <w:pPr>
        <w:pStyle w:val="12"/>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（1）不同供应商的响应文件由同一单位或者个人编制；或不同供应商报名的IP地址一致的；</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（2）不同供应商委托同一单位或者个人办理投标事宜；</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（3）不同的供应商的响应文件载明。</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（4）不同供应商的响应文件异常一致或磋商报价呈规律性差异；</w:t>
      </w:r>
    </w:p>
    <w:p>
      <w:pPr>
        <w:pStyle w:val="12"/>
        <w:adjustRightInd w:val="0"/>
        <w:snapToGrid w:val="0"/>
        <w:spacing w:line="460" w:lineRule="exact"/>
        <w:ind w:firstLine="420"/>
        <w:rPr>
          <w:rFonts w:hAnsi="宋体" w:cs="宋体"/>
          <w:color w:val="auto"/>
          <w:sz w:val="24"/>
          <w:szCs w:val="24"/>
        </w:rPr>
      </w:pPr>
      <w:r>
        <w:rPr>
          <w:rFonts w:hint="eastAsia" w:hAnsi="宋体" w:cs="宋体"/>
          <w:color w:val="auto"/>
          <w:sz w:val="24"/>
          <w:szCs w:val="24"/>
        </w:rPr>
        <w:t>（5）不同供应商的响应文件相互混装；</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19.10.7供应商有下列情形之一的，属于恶意串通行为：</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（1）供应商直接或者间接从采购人或者采购代理机构处获得其他供应商的相关信息并修改其投标文件或者响应文件：</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（2）供应商按照采购人或者采购代理机构的授意撤换、修改投标文件或者响应文件；</w:t>
      </w:r>
    </w:p>
    <w:p>
      <w:pPr>
        <w:pStyle w:val="12"/>
        <w:adjustRightInd w:val="0"/>
        <w:snapToGrid w:val="0"/>
        <w:spacing w:line="460" w:lineRule="exact"/>
        <w:ind w:firstLine="420"/>
        <w:rPr>
          <w:rFonts w:hAnsi="宋体" w:cs="宋体"/>
          <w:color w:val="auto"/>
          <w:sz w:val="24"/>
          <w:szCs w:val="24"/>
        </w:rPr>
      </w:pPr>
      <w:r>
        <w:rPr>
          <w:rFonts w:hint="eastAsia" w:hAnsi="宋体" w:cs="宋体"/>
          <w:color w:val="auto"/>
          <w:sz w:val="24"/>
          <w:szCs w:val="24"/>
        </w:rPr>
        <w:t>（3）供应商之间协商报价、技术方案等投标文件或者响应文件的实质性内容；</w:t>
      </w:r>
    </w:p>
    <w:p>
      <w:pPr>
        <w:pStyle w:val="12"/>
        <w:adjustRightInd w:val="0"/>
        <w:snapToGrid w:val="0"/>
        <w:spacing w:line="460" w:lineRule="exact"/>
        <w:ind w:firstLine="420"/>
        <w:rPr>
          <w:rFonts w:hAnsi="宋体" w:cs="宋体"/>
          <w:color w:val="auto"/>
          <w:sz w:val="24"/>
          <w:szCs w:val="24"/>
        </w:rPr>
      </w:pPr>
      <w:r>
        <w:rPr>
          <w:rFonts w:hint="eastAsia" w:hAnsi="宋体" w:cs="宋体"/>
          <w:color w:val="auto"/>
          <w:sz w:val="24"/>
          <w:szCs w:val="24"/>
        </w:rPr>
        <w:t>（4）属于同一集团、协会、商会等组织成员的供应商按照该组织要求协同参加政府采购活动；</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（5）供应商之间事先约定一致抬高或者压低磋商报价,或者在招标项目中事先约定轮流以高价位或者低价位成交,或者事先约定由某一特定供应商成交,然后再参加磋商；</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（6）供应商之间商定部分供应商放弃参加政府采购活动或者放弃成交；</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（7）供应商与采购人或者采购代理机构之间、供应商相互之间，为谋求特定供应商成交或者排斥其他供应商的其他串通行为。</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19.10.8关联供应商不得参加同一合同项下政府采购活动，否则响应文件将被视为无效：</w:t>
      </w:r>
    </w:p>
    <w:p>
      <w:pPr>
        <w:pStyle w:val="12"/>
        <w:adjustRightInd w:val="0"/>
        <w:snapToGrid w:val="0"/>
        <w:spacing w:line="460" w:lineRule="exact"/>
        <w:rPr>
          <w:rFonts w:hAnsi="宋体" w:cs="宋体"/>
          <w:color w:val="auto"/>
          <w:sz w:val="24"/>
          <w:szCs w:val="24"/>
        </w:rPr>
      </w:pPr>
      <w:r>
        <w:rPr>
          <w:rFonts w:hint="eastAsia" w:hAnsi="宋体" w:cs="宋体"/>
          <w:color w:val="auto"/>
          <w:sz w:val="24"/>
          <w:szCs w:val="24"/>
        </w:rPr>
        <w:t>（1）单位负责人为同一人或者存在直接控股、管理关系的不同的供应商，不得参加同一合同项下的政府采购活动；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（2）生产厂商授权给供应商后自己不得参加同一合同项下的政府采购活动；生产厂商对同一品牌同一型号的货物，仅能委托一个代理商参加磋商。</w:t>
      </w:r>
    </w:p>
    <w:p>
      <w:pPr>
        <w:pStyle w:val="12"/>
        <w:adjustRightInd w:val="0"/>
        <w:snapToGrid w:val="0"/>
        <w:spacing w:line="460" w:lineRule="exact"/>
        <w:ind w:firstLine="426"/>
        <w:rPr>
          <w:rFonts w:hAnsi="宋体" w:cs="宋体"/>
          <w:b/>
          <w:bCs/>
          <w:color w:val="auto"/>
          <w:sz w:val="24"/>
          <w:szCs w:val="24"/>
        </w:rPr>
      </w:pPr>
      <w:r>
        <w:rPr>
          <w:rFonts w:hint="eastAsia" w:hAnsi="宋体" w:cs="宋体"/>
          <w:b/>
          <w:bCs/>
          <w:color w:val="auto"/>
          <w:sz w:val="24"/>
          <w:szCs w:val="24"/>
        </w:rPr>
        <w:t>20、确定成交供应商</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20.1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20.2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排名第二的成交候选人因前款规定的同样原因被取消成交资格的，采购人可以确定排名第三的成交候选人为成交人。</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以上信息查询记录及相关证据与采购文件一并保存。</w:t>
      </w:r>
    </w:p>
    <w:p>
      <w:pPr>
        <w:adjustRightInd w:val="0"/>
        <w:snapToGrid w:val="0"/>
        <w:spacing w:line="460" w:lineRule="exact"/>
        <w:ind w:firstLine="426"/>
        <w:outlineLvl w:val="4"/>
        <w:rPr>
          <w:rFonts w:ascii="宋体" w:hAnsi="宋体" w:cs="宋体"/>
          <w:b/>
          <w:color w:val="auto"/>
          <w:sz w:val="24"/>
          <w:szCs w:val="24"/>
        </w:rPr>
      </w:pPr>
      <w:r>
        <w:rPr>
          <w:rFonts w:hint="eastAsia" w:ascii="宋体" w:hAnsi="宋体" w:cs="宋体"/>
          <w:b/>
          <w:color w:val="auto"/>
          <w:sz w:val="24"/>
          <w:szCs w:val="24"/>
        </w:rPr>
        <w:t>21、属于下列情况之一者，响应无效：</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未按磋商文件规定完整提交响应文件或未按规定要求密封、签字、盖章的，或未提供法人授权委托书（委托代理的）；</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（2）</w:t>
      </w:r>
      <w:r>
        <w:rPr>
          <w:rFonts w:hint="eastAsia" w:ascii="宋体" w:hAnsi="宋体" w:cs="宋体"/>
          <w:color w:val="auto"/>
          <w:sz w:val="24"/>
          <w:szCs w:val="24"/>
        </w:rPr>
        <w:t>超越了按照法律法规规定必须获得行政许可或者行政审批的经营范围的；</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（3）</w:t>
      </w:r>
      <w:r>
        <w:rPr>
          <w:rFonts w:hint="eastAsia" w:ascii="宋体" w:hAnsi="宋体" w:cs="宋体"/>
          <w:color w:val="auto"/>
          <w:sz w:val="24"/>
          <w:szCs w:val="24"/>
        </w:rPr>
        <w:t>不具备磋商文件规定的资格要求的</w:t>
      </w:r>
      <w:r>
        <w:rPr>
          <w:rFonts w:hint="eastAsia" w:ascii="宋体" w:hAnsi="宋体" w:cs="宋体"/>
          <w:color w:val="auto"/>
          <w:sz w:val="24"/>
        </w:rPr>
        <w:t>；</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（4）</w:t>
      </w:r>
      <w:r>
        <w:rPr>
          <w:rFonts w:hint="eastAsia" w:ascii="宋体" w:hAnsi="宋体" w:cs="宋体"/>
          <w:color w:val="auto"/>
          <w:sz w:val="24"/>
          <w:szCs w:val="24"/>
        </w:rPr>
        <w:t>响应文件未按磋商文件的内容和要求编制，或提供虚假材料的；</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（5）</w:t>
      </w:r>
      <w:r>
        <w:rPr>
          <w:rFonts w:hint="eastAsia" w:ascii="宋体" w:hAnsi="宋体" w:cs="宋体"/>
          <w:color w:val="auto"/>
          <w:sz w:val="24"/>
          <w:szCs w:val="24"/>
        </w:rPr>
        <w:t>响应文件有效期、</w:t>
      </w:r>
      <w:r>
        <w:rPr>
          <w:rFonts w:hint="eastAsia" w:ascii="宋体" w:hAnsi="宋体" w:cs="宋体"/>
          <w:color w:val="auto"/>
          <w:kern w:val="0"/>
          <w:sz w:val="24"/>
          <w:szCs w:val="24"/>
        </w:rPr>
        <w:t>服务期限、交付监测报告时间</w:t>
      </w:r>
      <w:r>
        <w:rPr>
          <w:rFonts w:hint="eastAsia" w:ascii="宋体" w:hAnsi="宋体" w:cs="宋体"/>
          <w:color w:val="auto"/>
          <w:sz w:val="24"/>
          <w:szCs w:val="24"/>
        </w:rPr>
        <w:t>不能满足磋商文件要求的；</w:t>
      </w:r>
    </w:p>
    <w:p>
      <w:pPr>
        <w:adjustRightInd w:val="0"/>
        <w:snapToGrid w:val="0"/>
        <w:spacing w:line="460" w:lineRule="exact"/>
        <w:ind w:firstLine="426"/>
        <w:outlineLvl w:val="4"/>
        <w:rPr>
          <w:rFonts w:ascii="宋体" w:hAnsi="宋体" w:cs="宋体"/>
          <w:color w:val="auto"/>
          <w:sz w:val="24"/>
        </w:rPr>
      </w:pPr>
      <w:r>
        <w:rPr>
          <w:rFonts w:hint="eastAsia" w:ascii="宋体" w:hAnsi="宋体" w:cs="宋体"/>
          <w:color w:val="auto"/>
          <w:sz w:val="24"/>
        </w:rPr>
        <w:t>（6）供应商</w:t>
      </w:r>
      <w:r>
        <w:rPr>
          <w:rFonts w:hint="eastAsia" w:ascii="宋体" w:hAnsi="宋体" w:cs="宋体"/>
          <w:color w:val="auto"/>
          <w:sz w:val="24"/>
          <w:szCs w:val="24"/>
        </w:rPr>
        <w:t>未就“项目要求”中所竞的所有内容作完整唯一报价的</w:t>
      </w:r>
      <w:r>
        <w:rPr>
          <w:rFonts w:hint="eastAsia" w:ascii="宋体" w:hAnsi="宋体" w:cs="宋体"/>
          <w:color w:val="auto"/>
          <w:sz w:val="24"/>
        </w:rPr>
        <w:t>；</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（7）未在磋商小组规定的时间内递交响应文件的；</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（8）未满足磋商文件全部实质性要求的；或者响应文件有采购人不能接受的附加条件的；</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（9）未按规定向采购代理机构购买本项目磋商文件的（有文件规定除外）；</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（10）供应商为联合体的；</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（11）不符合法律、法规和磋商文件规定的其他实质性要求和条件的。</w:t>
      </w:r>
    </w:p>
    <w:p>
      <w:pPr>
        <w:adjustRightInd w:val="0"/>
        <w:snapToGrid w:val="0"/>
        <w:spacing w:line="460" w:lineRule="exact"/>
        <w:ind w:firstLine="426"/>
        <w:outlineLvl w:val="4"/>
        <w:rPr>
          <w:rFonts w:ascii="宋体" w:hAnsi="宋体" w:cs="宋体"/>
          <w:b/>
          <w:color w:val="auto"/>
          <w:sz w:val="24"/>
          <w:szCs w:val="24"/>
        </w:rPr>
      </w:pPr>
      <w:r>
        <w:rPr>
          <w:rFonts w:hint="eastAsia" w:ascii="宋体" w:hAnsi="宋体" w:cs="宋体"/>
          <w:b/>
          <w:color w:val="auto"/>
          <w:sz w:val="24"/>
          <w:szCs w:val="24"/>
        </w:rPr>
        <w:t>22、出现下列情形之一的，采购人或者采购代理机构应当终止竞争性磋商采购活动，发布项目终止公告并说明原因，重新开展采购活动：</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因情况变化，不再符合规定的竞争性磋商采购方式适用情形的；</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（2）</w:t>
      </w:r>
      <w:r>
        <w:rPr>
          <w:rFonts w:hint="eastAsia" w:ascii="宋体" w:hAnsi="宋体" w:cs="宋体"/>
          <w:color w:val="auto"/>
          <w:sz w:val="24"/>
          <w:szCs w:val="24"/>
        </w:rPr>
        <w:t xml:space="preserve">出现影响采购公正的违法、违规行为的； </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（3）</w:t>
      </w:r>
      <w:r>
        <w:rPr>
          <w:rFonts w:hint="eastAsia" w:ascii="宋体" w:hAnsi="宋体" w:cs="宋体"/>
          <w:color w:val="auto"/>
          <w:sz w:val="24"/>
          <w:szCs w:val="24"/>
        </w:rPr>
        <w:t xml:space="preserve">在采购过程中符合竞争要求的供应商或者报价未超过采购预算的供应商不足3家的。 </w:t>
      </w:r>
    </w:p>
    <w:p>
      <w:pPr>
        <w:adjustRightInd w:val="0"/>
        <w:snapToGrid w:val="0"/>
        <w:spacing w:line="460" w:lineRule="exact"/>
        <w:ind w:firstLine="426"/>
        <w:outlineLvl w:val="4"/>
        <w:rPr>
          <w:rFonts w:ascii="宋体" w:hAnsi="宋体" w:cs="宋体"/>
          <w:b/>
          <w:color w:val="auto"/>
          <w:sz w:val="24"/>
        </w:rPr>
      </w:pPr>
      <w:r>
        <w:rPr>
          <w:rFonts w:hint="eastAsia" w:ascii="宋体" w:hAnsi="宋体" w:cs="宋体"/>
          <w:b/>
          <w:color w:val="auto"/>
          <w:sz w:val="24"/>
        </w:rPr>
        <w:t>23、磋商过程的监控</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本项目磋商过程实行全程录音、录像监控，供应商在磋商过程中所进行的试图影响磋商结果的不公正活动，可能导致其响应被拒绝。</w:t>
      </w:r>
    </w:p>
    <w:p>
      <w:pPr>
        <w:pStyle w:val="12"/>
        <w:adjustRightInd w:val="0"/>
        <w:snapToGrid w:val="0"/>
        <w:spacing w:line="460" w:lineRule="exact"/>
        <w:ind w:firstLine="426"/>
        <w:rPr>
          <w:rFonts w:hAnsi="宋体" w:cs="宋体"/>
          <w:b/>
          <w:color w:val="auto"/>
          <w:sz w:val="24"/>
          <w:szCs w:val="24"/>
        </w:rPr>
      </w:pPr>
      <w:r>
        <w:rPr>
          <w:rFonts w:hint="eastAsia" w:hAnsi="宋体" w:cs="宋体"/>
          <w:b/>
          <w:color w:val="auto"/>
          <w:sz w:val="24"/>
          <w:szCs w:val="24"/>
        </w:rPr>
        <w:t>24、成交公告及成交通知书</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24.1、</w:t>
      </w:r>
      <w:r>
        <w:rPr>
          <w:rFonts w:hint="eastAsia" w:ascii="宋体" w:hAnsi="宋体" w:cs="宋体"/>
          <w:color w:val="auto"/>
          <w:sz w:val="24"/>
          <w:szCs w:val="24"/>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adjustRightInd w:val="0"/>
        <w:snapToGrid w:val="0"/>
        <w:spacing w:line="460" w:lineRule="exact"/>
        <w:ind w:firstLine="480" w:firstLineChars="200"/>
        <w:rPr>
          <w:rFonts w:ascii="宋体" w:hAnsi="宋体" w:cs="宋体"/>
          <w:color w:val="auto"/>
          <w:kern w:val="0"/>
          <w:sz w:val="24"/>
          <w:szCs w:val="24"/>
        </w:rPr>
      </w:pPr>
      <w:r>
        <w:rPr>
          <w:rFonts w:hint="eastAsia" w:ascii="宋体" w:hAnsi="宋体" w:cs="宋体"/>
          <w:color w:val="auto"/>
          <w:sz w:val="24"/>
          <w:szCs w:val="24"/>
        </w:rPr>
        <w:t>24.2、</w:t>
      </w:r>
      <w:r>
        <w:rPr>
          <w:rFonts w:hint="eastAsia" w:ascii="宋体" w:hAnsi="宋体" w:cs="宋体"/>
          <w:color w:val="auto"/>
          <w:sz w:val="24"/>
        </w:rPr>
        <w:t>在发布成交公告的同时，采购代理机构向成交供应商发出成交通知书。如成交供应商自接到通知之日起七个工作日内，不办理成交通知书领取手续的，按违约处理。采购单位将取消其成交资格，成交供应商的全部</w:t>
      </w:r>
      <w:r>
        <w:rPr>
          <w:rFonts w:hint="eastAsia" w:ascii="宋体" w:hAnsi="宋体" w:cs="宋体"/>
          <w:color w:val="auto"/>
          <w:sz w:val="24"/>
          <w:szCs w:val="24"/>
        </w:rPr>
        <w:t>磋商保证金</w:t>
      </w:r>
      <w:r>
        <w:rPr>
          <w:rFonts w:hint="eastAsia" w:ascii="宋体" w:hAnsi="宋体" w:cs="宋体"/>
          <w:color w:val="auto"/>
          <w:sz w:val="24"/>
        </w:rPr>
        <w:t>不予退还，从</w:t>
      </w:r>
      <w:r>
        <w:rPr>
          <w:rFonts w:hint="eastAsia" w:ascii="宋体" w:hAnsi="宋体" w:cs="宋体"/>
          <w:color w:val="auto"/>
          <w:sz w:val="24"/>
          <w:szCs w:val="24"/>
        </w:rPr>
        <w:t>磋商</w:t>
      </w:r>
      <w:r>
        <w:rPr>
          <w:rFonts w:hint="eastAsia" w:ascii="宋体" w:hAnsi="宋体" w:cs="宋体"/>
          <w:color w:val="auto"/>
          <w:sz w:val="24"/>
        </w:rPr>
        <w:t>小组推荐的成交候选供应商中按顺序重新确定成交供应商</w:t>
      </w:r>
      <w:r>
        <w:rPr>
          <w:rFonts w:hint="eastAsia" w:ascii="宋体" w:hAnsi="宋体" w:cs="宋体"/>
          <w:color w:val="auto"/>
          <w:sz w:val="24"/>
          <w:szCs w:val="24"/>
        </w:rPr>
        <w:t>。</w:t>
      </w:r>
      <w:r>
        <w:rPr>
          <w:rFonts w:hint="eastAsia" w:ascii="宋体" w:hAnsi="宋体" w:cs="宋体"/>
          <w:color w:val="auto"/>
          <w:kern w:val="0"/>
          <w:sz w:val="24"/>
          <w:szCs w:val="24"/>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adjustRightInd w:val="0"/>
        <w:snapToGrid w:val="0"/>
        <w:spacing w:line="460" w:lineRule="exact"/>
        <w:ind w:firstLine="426"/>
        <w:rPr>
          <w:rFonts w:ascii="宋体" w:hAnsi="宋体" w:cs="宋体"/>
          <w:color w:val="auto"/>
          <w:kern w:val="0"/>
          <w:sz w:val="24"/>
          <w:szCs w:val="24"/>
        </w:rPr>
      </w:pPr>
      <w:r>
        <w:rPr>
          <w:rFonts w:hint="eastAsia" w:ascii="宋体" w:hAnsi="宋体" w:cs="宋体"/>
          <w:color w:val="auto"/>
          <w:kern w:val="0"/>
          <w:sz w:val="24"/>
          <w:szCs w:val="24"/>
        </w:rPr>
        <w:t>排名第二的成交候选人因前款规定的同样原因被取消成交资格的，采购人可以确定排名第三的成交候选人为成交人。</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kern w:val="0"/>
          <w:sz w:val="24"/>
          <w:szCs w:val="24"/>
        </w:rPr>
        <w:t>以上信息查询记录及相关证据与采购文件一并保存</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24.3、采购代理机构无义务向未成交的供应商解释未成交原因和退还响应文件。</w:t>
      </w:r>
    </w:p>
    <w:p>
      <w:pPr>
        <w:adjustRightInd w:val="0"/>
        <w:snapToGrid w:val="0"/>
        <w:spacing w:line="460" w:lineRule="exact"/>
        <w:outlineLvl w:val="1"/>
        <w:rPr>
          <w:rFonts w:ascii="宋体" w:hAnsi="宋体" w:cs="宋体"/>
          <w:b/>
          <w:color w:val="auto"/>
          <w:sz w:val="24"/>
        </w:rPr>
      </w:pPr>
      <w:bookmarkStart w:id="113" w:name="_Toc24476"/>
      <w:bookmarkStart w:id="114" w:name="_Toc16300"/>
      <w:bookmarkStart w:id="115" w:name="_Toc26114_WPSOffice_Level2"/>
      <w:r>
        <w:rPr>
          <w:rFonts w:hint="eastAsia" w:ascii="宋体" w:hAnsi="宋体" w:cs="宋体"/>
          <w:b/>
          <w:color w:val="auto"/>
          <w:sz w:val="24"/>
        </w:rPr>
        <w:t>五、签订合同</w:t>
      </w:r>
      <w:bookmarkEnd w:id="113"/>
      <w:bookmarkEnd w:id="114"/>
      <w:bookmarkEnd w:id="115"/>
    </w:p>
    <w:p>
      <w:pPr>
        <w:adjustRightInd w:val="0"/>
        <w:snapToGrid w:val="0"/>
        <w:spacing w:line="460" w:lineRule="exact"/>
        <w:ind w:firstLine="426"/>
        <w:rPr>
          <w:rFonts w:ascii="宋体" w:hAnsi="宋体" w:cs="宋体"/>
          <w:b/>
          <w:color w:val="auto"/>
          <w:sz w:val="24"/>
        </w:rPr>
      </w:pPr>
      <w:r>
        <w:rPr>
          <w:rFonts w:hint="eastAsia" w:ascii="宋体" w:hAnsi="宋体" w:cs="宋体"/>
          <w:b/>
          <w:color w:val="auto"/>
          <w:sz w:val="24"/>
        </w:rPr>
        <w:t>25</w:t>
      </w:r>
      <w:r>
        <w:rPr>
          <w:rFonts w:hint="eastAsia" w:ascii="宋体" w:hAnsi="宋体" w:cs="宋体"/>
          <w:b/>
          <w:color w:val="auto"/>
          <w:sz w:val="24"/>
          <w:szCs w:val="24"/>
        </w:rPr>
        <w:t>、</w:t>
      </w:r>
      <w:r>
        <w:rPr>
          <w:rFonts w:hint="eastAsia" w:ascii="宋体" w:hAnsi="宋体" w:cs="宋体"/>
          <w:b/>
          <w:color w:val="auto"/>
          <w:sz w:val="24"/>
        </w:rPr>
        <w:t>履约保证金</w:t>
      </w:r>
    </w:p>
    <w:p>
      <w:pPr>
        <w:pStyle w:val="12"/>
        <w:adjustRightInd w:val="0"/>
        <w:snapToGrid w:val="0"/>
        <w:spacing w:line="460" w:lineRule="exact"/>
        <w:ind w:firstLine="426"/>
        <w:rPr>
          <w:rFonts w:hAnsi="宋体" w:cs="宋体"/>
          <w:color w:val="auto"/>
          <w:sz w:val="24"/>
          <w:szCs w:val="24"/>
        </w:rPr>
      </w:pPr>
      <w:r>
        <w:rPr>
          <w:rFonts w:hint="eastAsia" w:hAnsi="宋体" w:cs="宋体"/>
          <w:color w:val="auto"/>
          <w:sz w:val="24"/>
          <w:szCs w:val="24"/>
        </w:rPr>
        <w:t>本项目无履约保证金</w:t>
      </w:r>
    </w:p>
    <w:p>
      <w:pPr>
        <w:tabs>
          <w:tab w:val="left" w:pos="1140"/>
        </w:tabs>
        <w:adjustRightInd w:val="0"/>
        <w:snapToGrid w:val="0"/>
        <w:spacing w:line="460" w:lineRule="exact"/>
        <w:ind w:firstLine="426"/>
        <w:rPr>
          <w:rFonts w:ascii="宋体" w:hAnsi="宋体" w:cs="宋体"/>
          <w:b/>
          <w:color w:val="auto"/>
          <w:sz w:val="24"/>
          <w:szCs w:val="24"/>
        </w:rPr>
      </w:pPr>
      <w:r>
        <w:rPr>
          <w:rFonts w:hint="eastAsia" w:ascii="宋体" w:hAnsi="宋体" w:cs="宋体"/>
          <w:b/>
          <w:color w:val="auto"/>
          <w:sz w:val="24"/>
          <w:szCs w:val="24"/>
        </w:rPr>
        <w:t>26、签订合同</w:t>
      </w:r>
    </w:p>
    <w:p>
      <w:pPr>
        <w:tabs>
          <w:tab w:val="left" w:pos="1140"/>
        </w:tabs>
        <w:adjustRightInd w:val="0"/>
        <w:snapToGrid w:val="0"/>
        <w:spacing w:line="460" w:lineRule="exact"/>
        <w:ind w:firstLine="426"/>
        <w:rPr>
          <w:rFonts w:ascii="宋体" w:hAnsi="宋体" w:cs="宋体"/>
          <w:color w:val="auto"/>
          <w:sz w:val="24"/>
        </w:rPr>
      </w:pPr>
      <w:r>
        <w:rPr>
          <w:rFonts w:hint="eastAsia" w:ascii="宋体" w:hAnsi="宋体" w:cs="宋体"/>
          <w:color w:val="auto"/>
          <w:sz w:val="24"/>
        </w:rPr>
        <w:t>26.1、签订合同时间：成交通知书发出之日起十五日内。</w:t>
      </w:r>
      <w:r>
        <w:rPr>
          <w:rFonts w:hint="eastAsia" w:ascii="宋体" w:hAnsi="宋体" w:cs="宋体"/>
          <w:color w:val="auto"/>
          <w:sz w:val="24"/>
          <w:szCs w:val="24"/>
        </w:rPr>
        <w:t>成交供应商领取成交通知书后，应按规定与采购人签订合同。</w:t>
      </w:r>
    </w:p>
    <w:p>
      <w:pPr>
        <w:adjustRightInd w:val="0"/>
        <w:snapToGrid w:val="0"/>
        <w:spacing w:line="460" w:lineRule="exact"/>
        <w:ind w:firstLine="426"/>
        <w:rPr>
          <w:rFonts w:ascii="宋体" w:hAnsi="宋体" w:cs="宋体"/>
          <w:color w:val="auto"/>
          <w:sz w:val="24"/>
        </w:rPr>
      </w:pPr>
      <w:r>
        <w:rPr>
          <w:rFonts w:hint="eastAsia" w:ascii="宋体" w:hAnsi="宋体" w:cs="宋体"/>
          <w:color w:val="auto"/>
          <w:sz w:val="24"/>
        </w:rPr>
        <w:t>26.2、如成交供应商有下列情形之一的，成交供应商全部磋商保证金不予退还，并上缴同级财政国库，情节严重的，由财政部门将其列入不良行为记录名单，在一至三年内禁止参加政府采购活动，并予以通报。采购代理机构可从磋商小组推荐的成交候选供应商中按顺序重新确定成交供应商或重新组织采购。</w:t>
      </w:r>
      <w:r>
        <w:rPr>
          <w:rFonts w:hint="eastAsia" w:ascii="宋体" w:hAnsi="宋体" w:cs="宋体"/>
          <w:color w:val="auto"/>
          <w:sz w:val="24"/>
          <w:szCs w:val="24"/>
        </w:rPr>
        <w:t>拒绝签订政府采购合同的成交供应商不得参加对该项目重新开展的采购活动。</w:t>
      </w:r>
    </w:p>
    <w:p>
      <w:pPr>
        <w:widowControl/>
        <w:adjustRightInd w:val="0"/>
        <w:snapToGrid w:val="0"/>
        <w:spacing w:line="460" w:lineRule="exact"/>
        <w:ind w:firstLine="480" w:firstLineChars="200"/>
        <w:rPr>
          <w:rFonts w:ascii="宋体" w:hAnsi="宋体" w:cs="宋体"/>
          <w:color w:val="auto"/>
          <w:sz w:val="24"/>
        </w:rPr>
      </w:pPr>
      <w:r>
        <w:rPr>
          <w:rFonts w:hint="eastAsia" w:ascii="宋体" w:hAnsi="宋体" w:cs="宋体"/>
          <w:color w:val="auto"/>
          <w:sz w:val="24"/>
        </w:rPr>
        <w:t>（1）成交后不与采购人签订合同的（不可抗力除外）；</w:t>
      </w:r>
    </w:p>
    <w:p>
      <w:pPr>
        <w:widowControl/>
        <w:adjustRightInd w:val="0"/>
        <w:snapToGrid w:val="0"/>
        <w:spacing w:line="460" w:lineRule="exact"/>
        <w:ind w:firstLine="426"/>
        <w:rPr>
          <w:rFonts w:ascii="宋体" w:hAnsi="宋体" w:cs="宋体"/>
          <w:color w:val="auto"/>
          <w:sz w:val="24"/>
        </w:rPr>
      </w:pPr>
      <w:r>
        <w:rPr>
          <w:rFonts w:hint="eastAsia" w:ascii="宋体" w:hAnsi="宋体" w:cs="宋体"/>
          <w:color w:val="auto"/>
          <w:sz w:val="24"/>
        </w:rPr>
        <w:t>（2）将成交项目转让给他人，或者在响应文件中未说明，且未经采购人同意，将成交项目分包给他人的；</w:t>
      </w:r>
    </w:p>
    <w:p>
      <w:pPr>
        <w:widowControl/>
        <w:adjustRightInd w:val="0"/>
        <w:snapToGrid w:val="0"/>
        <w:spacing w:line="460" w:lineRule="exact"/>
        <w:ind w:firstLine="426"/>
        <w:rPr>
          <w:rFonts w:ascii="宋体" w:hAnsi="宋体" w:cs="宋体"/>
          <w:color w:val="auto"/>
          <w:sz w:val="24"/>
        </w:rPr>
      </w:pPr>
      <w:r>
        <w:rPr>
          <w:rFonts w:hint="eastAsia" w:ascii="宋体" w:hAnsi="宋体" w:cs="宋体"/>
          <w:color w:val="auto"/>
          <w:sz w:val="24"/>
        </w:rPr>
        <w:t>（3）拒绝履行合同义务的。</w:t>
      </w:r>
    </w:p>
    <w:p>
      <w:pPr>
        <w:adjustRightInd w:val="0"/>
        <w:snapToGrid w:val="0"/>
        <w:spacing w:line="460" w:lineRule="exact"/>
        <w:ind w:firstLine="426"/>
        <w:rPr>
          <w:rFonts w:ascii="宋体" w:hAnsi="宋体" w:cs="宋体"/>
          <w:color w:val="auto"/>
          <w:sz w:val="24"/>
        </w:rPr>
      </w:pPr>
      <w:r>
        <w:rPr>
          <w:rFonts w:hint="eastAsia" w:ascii="宋体" w:hAnsi="宋体" w:cs="宋体"/>
          <w:color w:val="auto"/>
          <w:sz w:val="24"/>
        </w:rPr>
        <w:t>26.3、合同及验收证明存档：政府采购合同双方自签订之日起七个工作日内将合同原件一份及验收合格后将验收证明副本一份送交采购代理机构存档。</w:t>
      </w:r>
    </w:p>
    <w:p>
      <w:pPr>
        <w:pStyle w:val="12"/>
        <w:adjustRightInd w:val="0"/>
        <w:snapToGrid w:val="0"/>
        <w:spacing w:line="460" w:lineRule="exact"/>
        <w:outlineLvl w:val="1"/>
        <w:rPr>
          <w:rFonts w:hAnsi="宋体" w:cs="宋体"/>
          <w:b/>
          <w:color w:val="auto"/>
          <w:sz w:val="24"/>
          <w:szCs w:val="24"/>
        </w:rPr>
      </w:pPr>
      <w:bookmarkStart w:id="116" w:name="_Toc2122_WPSOffice_Level2"/>
      <w:bookmarkStart w:id="117" w:name="_Toc20857"/>
      <w:bookmarkStart w:id="118" w:name="_Toc29700"/>
      <w:r>
        <w:rPr>
          <w:rFonts w:hint="eastAsia" w:hAnsi="宋体" w:cs="宋体"/>
          <w:b/>
          <w:color w:val="auto"/>
          <w:sz w:val="24"/>
          <w:szCs w:val="24"/>
        </w:rPr>
        <w:t>六、其他事项</w:t>
      </w:r>
      <w:bookmarkEnd w:id="116"/>
      <w:bookmarkEnd w:id="117"/>
      <w:bookmarkEnd w:id="118"/>
    </w:p>
    <w:p>
      <w:pPr>
        <w:adjustRightInd w:val="0"/>
        <w:snapToGrid w:val="0"/>
        <w:spacing w:line="460" w:lineRule="exact"/>
        <w:ind w:firstLine="426"/>
        <w:rPr>
          <w:rFonts w:ascii="宋体" w:hAnsi="宋体" w:cs="宋体"/>
          <w:b/>
          <w:color w:val="auto"/>
          <w:sz w:val="24"/>
        </w:rPr>
      </w:pPr>
      <w:r>
        <w:rPr>
          <w:rFonts w:hint="eastAsia" w:ascii="宋体" w:hAnsi="宋体" w:cs="宋体"/>
          <w:b/>
          <w:color w:val="auto"/>
          <w:sz w:val="24"/>
        </w:rPr>
        <w:t>27</w:t>
      </w:r>
      <w:r>
        <w:rPr>
          <w:rFonts w:hint="eastAsia" w:ascii="宋体" w:hAnsi="宋体" w:cs="宋体"/>
          <w:b/>
          <w:color w:val="auto"/>
          <w:sz w:val="24"/>
          <w:szCs w:val="24"/>
        </w:rPr>
        <w:t>、</w:t>
      </w:r>
      <w:r>
        <w:rPr>
          <w:rFonts w:hint="eastAsia" w:ascii="宋体" w:hAnsi="宋体" w:cs="宋体"/>
          <w:b/>
          <w:color w:val="auto"/>
          <w:sz w:val="24"/>
        </w:rPr>
        <w:t>采购代理服务费</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不论磋商结果如何，供应商均应自行承担所有与磋商有关的全部费用；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（2）</w:t>
      </w:r>
      <w:r>
        <w:rPr>
          <w:rFonts w:hint="eastAsia" w:ascii="宋体" w:hAnsi="宋体" w:cs="宋体"/>
          <w:color w:val="auto"/>
          <w:sz w:val="24"/>
          <w:szCs w:val="24"/>
        </w:rPr>
        <w:t>本项目代理服务费：</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成交供应商向采购代理机构一次性付清招标代理服务费。否则，取消该成交决定并不予退还成交供应商已提交的全部磋商保证金。</w:t>
      </w:r>
    </w:p>
    <w:p>
      <w:pPr>
        <w:pStyle w:val="12"/>
        <w:adjustRightInd w:val="0"/>
        <w:snapToGrid w:val="0"/>
        <w:spacing w:line="460" w:lineRule="exact"/>
        <w:ind w:firstLine="480" w:firstLineChars="200"/>
        <w:rPr>
          <w:rFonts w:hAnsi="宋体" w:cs="宋体"/>
          <w:bCs/>
          <w:color w:val="auto"/>
          <w:sz w:val="24"/>
          <w:szCs w:val="24"/>
        </w:rPr>
      </w:pPr>
      <w:r>
        <w:rPr>
          <w:rFonts w:hint="eastAsia" w:hAnsi="宋体" w:cs="宋体"/>
          <w:bCs/>
          <w:color w:val="auto"/>
          <w:sz w:val="24"/>
          <w:szCs w:val="24"/>
        </w:rPr>
        <w:t>招标代理服务费的收取：成交供应商在领取成交通知书时应向采购代理机构一次付清代理服务费，不足6000.00元的按照6000.00元收取。</w:t>
      </w:r>
    </w:p>
    <w:p>
      <w:pPr>
        <w:pStyle w:val="12"/>
        <w:adjustRightInd w:val="0"/>
        <w:snapToGrid w:val="0"/>
        <w:spacing w:line="460" w:lineRule="exact"/>
        <w:ind w:firstLine="482" w:firstLineChars="200"/>
        <w:rPr>
          <w:rFonts w:hAnsi="宋体" w:cs="宋体"/>
          <w:color w:val="auto"/>
          <w:sz w:val="24"/>
          <w:szCs w:val="24"/>
        </w:rPr>
      </w:pPr>
      <w:r>
        <w:rPr>
          <w:rFonts w:hint="eastAsia" w:hAnsi="宋体" w:cs="宋体"/>
          <w:b/>
          <w:color w:val="auto"/>
          <w:sz w:val="24"/>
          <w:szCs w:val="24"/>
        </w:rPr>
        <w:t>2</w:t>
      </w:r>
      <w:r>
        <w:rPr>
          <w:rFonts w:hint="eastAsia" w:hAnsi="宋体" w:cs="宋体"/>
          <w:b/>
          <w:color w:val="auto"/>
          <w:sz w:val="24"/>
          <w:szCs w:val="24"/>
          <w:lang w:val="en-US" w:eastAsia="zh-CN"/>
        </w:rPr>
        <w:t>8</w:t>
      </w:r>
      <w:r>
        <w:rPr>
          <w:rFonts w:hint="eastAsia" w:hAnsi="宋体" w:cs="宋体"/>
          <w:b/>
          <w:color w:val="auto"/>
          <w:sz w:val="24"/>
          <w:szCs w:val="24"/>
        </w:rPr>
        <w:t>、解释权：</w:t>
      </w:r>
      <w:r>
        <w:rPr>
          <w:rFonts w:hint="eastAsia" w:hAnsi="宋体" w:cs="宋体"/>
          <w:color w:val="auto"/>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pStyle w:val="3"/>
        <w:spacing w:line="300" w:lineRule="auto"/>
        <w:ind w:left="420"/>
        <w:jc w:val="center"/>
        <w:rPr>
          <w:rFonts w:ascii="宋体" w:hAnsi="宋体" w:cs="宋体"/>
          <w:bCs w:val="0"/>
          <w:color w:val="auto"/>
          <w:kern w:val="2"/>
          <w:sz w:val="32"/>
          <w:szCs w:val="32"/>
        </w:rPr>
      </w:pPr>
      <w:r>
        <w:rPr>
          <w:rFonts w:hint="eastAsia" w:ascii="宋体" w:hAnsi="宋体" w:cs="宋体"/>
          <w:b w:val="0"/>
          <w:color w:val="auto"/>
          <w:sz w:val="32"/>
          <w:szCs w:val="32"/>
        </w:rPr>
        <w:br w:type="page"/>
      </w:r>
      <w:bookmarkStart w:id="119" w:name="_Toc19463"/>
      <w:bookmarkStart w:id="120" w:name="_Toc13159"/>
      <w:bookmarkStart w:id="121" w:name="_Toc464982675"/>
      <w:bookmarkStart w:id="122" w:name="_Toc4435"/>
      <w:r>
        <w:rPr>
          <w:rFonts w:hint="eastAsia" w:ascii="Times New Roman" w:hAnsi="Times New Roman" w:cs="Times New Roman"/>
          <w:bCs/>
          <w:color w:val="auto"/>
          <w:kern w:val="44"/>
          <w:sz w:val="44"/>
          <w:szCs w:val="44"/>
        </w:rPr>
        <w:t>第三章 项目基本情况及要求</w:t>
      </w:r>
      <w:bookmarkEnd w:id="119"/>
      <w:bookmarkEnd w:id="120"/>
      <w:bookmarkEnd w:id="121"/>
      <w:bookmarkEnd w:id="122"/>
    </w:p>
    <w:p>
      <w:pPr>
        <w:adjustRightInd w:val="0"/>
        <w:snapToGrid w:val="0"/>
        <w:spacing w:line="360" w:lineRule="auto"/>
        <w:ind w:right="-512" w:rightChars="-244"/>
        <w:outlineLvl w:val="1"/>
        <w:rPr>
          <w:rFonts w:ascii="宋体" w:hAnsi="宋体" w:cs="宋体"/>
          <w:b/>
          <w:bCs/>
          <w:color w:val="auto"/>
          <w:sz w:val="24"/>
        </w:rPr>
      </w:pPr>
      <w:bookmarkStart w:id="123" w:name="_Toc18057"/>
      <w:bookmarkStart w:id="124" w:name="_Toc21911_WPSOffice_Level2"/>
      <w:bookmarkStart w:id="125" w:name="_Toc7463"/>
      <w:r>
        <w:rPr>
          <w:rFonts w:hint="eastAsia" w:ascii="宋体" w:hAnsi="宋体" w:cs="宋体"/>
          <w:b/>
          <w:bCs/>
          <w:color w:val="auto"/>
          <w:sz w:val="24"/>
        </w:rPr>
        <w:t>一、工程概况</w:t>
      </w:r>
      <w:bookmarkEnd w:id="123"/>
      <w:bookmarkEnd w:id="124"/>
      <w:bookmarkEnd w:id="125"/>
    </w:p>
    <w:p>
      <w:pPr>
        <w:autoSpaceDE w:val="0"/>
        <w:autoSpaceDN w:val="0"/>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bCs/>
          <w:color w:val="auto"/>
          <w:sz w:val="24"/>
        </w:rPr>
        <w:t>项目名称：</w:t>
      </w:r>
      <w:r>
        <w:rPr>
          <w:rFonts w:hint="eastAsia" w:ascii="宋体" w:hAnsi="宋体" w:cs="宋体"/>
          <w:color w:val="auto"/>
          <w:sz w:val="24"/>
          <w:lang w:eastAsia="zh-CN"/>
        </w:rPr>
        <w:t>宁明县海渊镇北岩、驮邓片区高标准农田建设项目施工</w:t>
      </w:r>
    </w:p>
    <w:p>
      <w:pPr>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项目地点：</w:t>
      </w:r>
      <w:r>
        <w:rPr>
          <w:rFonts w:hint="eastAsia" w:ascii="宋体" w:hAnsi="宋体" w:cs="宋体"/>
          <w:color w:val="auto"/>
          <w:kern w:val="0"/>
          <w:sz w:val="24"/>
          <w:lang w:eastAsia="zh-CN"/>
        </w:rPr>
        <w:t>宁明县海渊镇</w:t>
      </w:r>
      <w:r>
        <w:rPr>
          <w:rFonts w:hint="eastAsia" w:ascii="宋体" w:hAnsi="宋体" w:cs="宋体"/>
          <w:color w:val="auto"/>
          <w:sz w:val="24"/>
        </w:rPr>
        <w:t xml:space="preserve">。 </w:t>
      </w:r>
    </w:p>
    <w:p>
      <w:pPr>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项目规模：</w:t>
      </w:r>
      <w:r>
        <w:rPr>
          <w:rFonts w:hint="eastAsia" w:ascii="宋体" w:hAnsi="宋体" w:cs="宋体"/>
          <w:color w:val="auto"/>
          <w:sz w:val="24"/>
          <w:lang w:val="zh-CN"/>
        </w:rPr>
        <w:t>经评审的施工图范围内包含的施工内容，详见工程量清单。</w:t>
      </w:r>
    </w:p>
    <w:p>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sz w:val="24"/>
        </w:rPr>
        <w:t>工程质量：达到国家建设工程施工质量验收规范合格标准。</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color w:val="auto"/>
          <w:kern w:val="0"/>
          <w:sz w:val="24"/>
        </w:rPr>
        <w:t>工期： 120</w:t>
      </w:r>
      <w:r>
        <w:rPr>
          <w:rFonts w:hint="eastAsia" w:ascii="宋体" w:hAnsi="宋体" w:cs="宋体"/>
          <w:color w:val="auto"/>
          <w:sz w:val="24"/>
        </w:rPr>
        <w:t>日历天</w:t>
      </w:r>
      <w:r>
        <w:rPr>
          <w:rFonts w:hint="eastAsia" w:ascii="宋体" w:hAnsi="宋体" w:cs="宋体"/>
          <w:bCs/>
          <w:color w:val="auto"/>
          <w:sz w:val="24"/>
        </w:rPr>
        <w:t>。</w:t>
      </w:r>
    </w:p>
    <w:p>
      <w:pPr>
        <w:adjustRightInd w:val="0"/>
        <w:snapToGrid w:val="0"/>
        <w:spacing w:line="360" w:lineRule="auto"/>
        <w:outlineLvl w:val="1"/>
        <w:rPr>
          <w:rFonts w:ascii="宋体" w:hAnsi="宋体" w:cs="宋体"/>
          <w:b/>
          <w:bCs/>
          <w:color w:val="auto"/>
          <w:sz w:val="24"/>
        </w:rPr>
      </w:pPr>
      <w:bookmarkStart w:id="126" w:name="_Toc183783703"/>
      <w:bookmarkStart w:id="127" w:name="_Toc6715913"/>
      <w:bookmarkStart w:id="128" w:name="_Toc27222"/>
      <w:bookmarkStart w:id="129" w:name="_Toc16884_WPSOffice_Level2"/>
      <w:bookmarkStart w:id="130" w:name="_Toc13427"/>
      <w:r>
        <w:rPr>
          <w:rFonts w:hint="eastAsia" w:ascii="宋体" w:hAnsi="宋体" w:cs="宋体"/>
          <w:b/>
          <w:bCs/>
          <w:color w:val="auto"/>
          <w:sz w:val="24"/>
        </w:rPr>
        <w:t>二、</w:t>
      </w:r>
      <w:bookmarkEnd w:id="126"/>
      <w:bookmarkEnd w:id="127"/>
      <w:r>
        <w:rPr>
          <w:rFonts w:hint="eastAsia" w:ascii="宋体" w:hAnsi="宋体" w:cs="宋体"/>
          <w:b/>
          <w:bCs/>
          <w:color w:val="auto"/>
          <w:sz w:val="24"/>
        </w:rPr>
        <w:t>采购项目需求一览表</w:t>
      </w:r>
      <w:bookmarkEnd w:id="128"/>
      <w:bookmarkEnd w:id="129"/>
      <w:bookmarkEnd w:id="130"/>
    </w:p>
    <w:tbl>
      <w:tblPr>
        <w:tblStyle w:val="20"/>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585"/>
        <w:gridCol w:w="900"/>
        <w:gridCol w:w="750"/>
        <w:gridCol w:w="1470"/>
        <w:gridCol w:w="2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652" w:type="dxa"/>
            <w:gridSpan w:val="6"/>
          </w:tcPr>
          <w:p>
            <w:pPr>
              <w:pStyle w:val="29"/>
              <w:adjustRightInd w:val="0"/>
              <w:snapToGrid w:val="0"/>
              <w:spacing w:before="111" w:line="360" w:lineRule="auto"/>
              <w:ind w:left="106"/>
              <w:rPr>
                <w:rFonts w:ascii="宋体" w:hAnsi="宋体" w:cs="宋体"/>
                <w:b/>
                <w:color w:val="auto"/>
                <w:sz w:val="24"/>
              </w:rPr>
            </w:pPr>
            <w:bookmarkStart w:id="131" w:name="_Toc464982676"/>
            <w:r>
              <w:rPr>
                <w:rFonts w:hint="eastAsia" w:ascii="宋体" w:hAnsi="宋体" w:cs="宋体"/>
                <w:b/>
                <w:color w:val="auto"/>
                <w:sz w:val="24"/>
              </w:rPr>
              <w:t>一、采购内容及要求表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4" w:type="dxa"/>
            <w:vAlign w:val="center"/>
          </w:tcPr>
          <w:p>
            <w:pPr>
              <w:pStyle w:val="29"/>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序号</w:t>
            </w:r>
          </w:p>
        </w:tc>
        <w:tc>
          <w:tcPr>
            <w:tcW w:w="3585" w:type="dxa"/>
            <w:vAlign w:val="center"/>
          </w:tcPr>
          <w:p>
            <w:pPr>
              <w:pStyle w:val="29"/>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采购内容</w:t>
            </w:r>
          </w:p>
        </w:tc>
        <w:tc>
          <w:tcPr>
            <w:tcW w:w="900" w:type="dxa"/>
            <w:vAlign w:val="center"/>
          </w:tcPr>
          <w:p>
            <w:pPr>
              <w:pStyle w:val="29"/>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数量</w:t>
            </w:r>
          </w:p>
        </w:tc>
        <w:tc>
          <w:tcPr>
            <w:tcW w:w="750" w:type="dxa"/>
            <w:vAlign w:val="center"/>
          </w:tcPr>
          <w:p>
            <w:pPr>
              <w:pStyle w:val="29"/>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单位</w:t>
            </w:r>
          </w:p>
        </w:tc>
        <w:tc>
          <w:tcPr>
            <w:tcW w:w="1470" w:type="dxa"/>
            <w:vAlign w:val="center"/>
          </w:tcPr>
          <w:p>
            <w:pPr>
              <w:pStyle w:val="29"/>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质量要求</w:t>
            </w:r>
          </w:p>
        </w:tc>
        <w:tc>
          <w:tcPr>
            <w:tcW w:w="2203" w:type="dxa"/>
            <w:vAlign w:val="center"/>
          </w:tcPr>
          <w:p>
            <w:pPr>
              <w:pStyle w:val="29"/>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采购预算金额（元）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44" w:type="dxa"/>
            <w:vAlign w:val="center"/>
          </w:tcPr>
          <w:p>
            <w:pPr>
              <w:pStyle w:val="29"/>
              <w:adjustRightInd w:val="0"/>
              <w:snapToGrid w:val="0"/>
              <w:spacing w:line="360" w:lineRule="auto"/>
              <w:jc w:val="center"/>
              <w:rPr>
                <w:rFonts w:ascii="宋体" w:hAnsi="宋体" w:cs="宋体"/>
                <w:bCs/>
                <w:color w:val="auto"/>
                <w:sz w:val="24"/>
              </w:rPr>
            </w:pPr>
            <w:r>
              <w:rPr>
                <w:rFonts w:hint="eastAsia" w:ascii="宋体" w:hAnsi="宋体" w:cs="宋体"/>
                <w:bCs/>
                <w:color w:val="auto"/>
                <w:sz w:val="24"/>
              </w:rPr>
              <w:t>1</w:t>
            </w:r>
          </w:p>
        </w:tc>
        <w:tc>
          <w:tcPr>
            <w:tcW w:w="3585" w:type="dxa"/>
            <w:vAlign w:val="center"/>
          </w:tcPr>
          <w:p>
            <w:pPr>
              <w:widowControl/>
              <w:adjustRightInd w:val="0"/>
              <w:snapToGrid w:val="0"/>
              <w:spacing w:line="360" w:lineRule="auto"/>
              <w:jc w:val="center"/>
              <w:textAlignment w:val="center"/>
              <w:rPr>
                <w:rFonts w:hint="eastAsia" w:ascii="宋体" w:hAnsi="宋体" w:eastAsia="宋体" w:cs="宋体"/>
                <w:bCs/>
                <w:color w:val="auto"/>
                <w:sz w:val="24"/>
                <w:lang w:eastAsia="zh-CN"/>
              </w:rPr>
            </w:pPr>
            <w:r>
              <w:rPr>
                <w:rFonts w:hint="eastAsia" w:ascii="宋体" w:hAnsi="宋体" w:cs="宋体"/>
                <w:color w:val="auto"/>
                <w:sz w:val="24"/>
                <w:lang w:eastAsia="zh-CN"/>
              </w:rPr>
              <w:t>宁明县海渊镇北岩、驮邓片区高标准农田建设项目施工</w:t>
            </w:r>
          </w:p>
        </w:tc>
        <w:tc>
          <w:tcPr>
            <w:tcW w:w="900" w:type="dxa"/>
            <w:vAlign w:val="center"/>
          </w:tcPr>
          <w:p>
            <w:pPr>
              <w:adjustRightInd w:val="0"/>
              <w:snapToGrid w:val="0"/>
              <w:spacing w:line="360" w:lineRule="auto"/>
              <w:jc w:val="center"/>
              <w:textAlignment w:val="center"/>
              <w:rPr>
                <w:rFonts w:ascii="宋体" w:hAnsi="宋体" w:cs="宋体"/>
                <w:bCs/>
                <w:color w:val="auto"/>
                <w:sz w:val="24"/>
              </w:rPr>
            </w:pPr>
            <w:r>
              <w:rPr>
                <w:rFonts w:hint="eastAsia" w:ascii="宋体" w:hAnsi="宋体" w:cs="宋体"/>
                <w:bCs/>
                <w:color w:val="auto"/>
                <w:kern w:val="0"/>
                <w:sz w:val="24"/>
              </w:rPr>
              <w:t>1</w:t>
            </w:r>
          </w:p>
        </w:tc>
        <w:tc>
          <w:tcPr>
            <w:tcW w:w="750" w:type="dxa"/>
            <w:vAlign w:val="center"/>
          </w:tcPr>
          <w:p>
            <w:pPr>
              <w:pStyle w:val="29"/>
              <w:adjustRightInd w:val="0"/>
              <w:snapToGrid w:val="0"/>
              <w:spacing w:line="360" w:lineRule="auto"/>
              <w:jc w:val="center"/>
              <w:rPr>
                <w:rFonts w:ascii="宋体" w:hAnsi="宋体" w:cs="宋体"/>
                <w:bCs/>
                <w:color w:val="auto"/>
                <w:sz w:val="24"/>
              </w:rPr>
            </w:pPr>
            <w:r>
              <w:rPr>
                <w:rFonts w:hint="eastAsia" w:ascii="宋体" w:hAnsi="宋体" w:cs="宋体"/>
                <w:bCs/>
                <w:color w:val="auto"/>
                <w:sz w:val="24"/>
              </w:rPr>
              <w:t>项</w:t>
            </w:r>
          </w:p>
        </w:tc>
        <w:tc>
          <w:tcPr>
            <w:tcW w:w="1470" w:type="dxa"/>
            <w:vAlign w:val="center"/>
          </w:tcPr>
          <w:p>
            <w:pPr>
              <w:pStyle w:val="29"/>
              <w:adjustRightInd w:val="0"/>
              <w:snapToGrid w:val="0"/>
              <w:spacing w:line="360" w:lineRule="auto"/>
              <w:jc w:val="center"/>
              <w:rPr>
                <w:rFonts w:ascii="宋体" w:hAnsi="宋体" w:cs="宋体"/>
                <w:bCs/>
                <w:color w:val="auto"/>
                <w:sz w:val="24"/>
              </w:rPr>
            </w:pPr>
            <w:r>
              <w:rPr>
                <w:rFonts w:hint="eastAsia" w:ascii="宋体" w:hAnsi="宋体" w:cs="宋体"/>
                <w:bCs/>
                <w:color w:val="auto"/>
                <w:sz w:val="24"/>
              </w:rPr>
              <w:t>合格</w:t>
            </w:r>
          </w:p>
        </w:tc>
        <w:tc>
          <w:tcPr>
            <w:tcW w:w="2203" w:type="dxa"/>
            <w:vAlign w:val="center"/>
          </w:tcPr>
          <w:p>
            <w:pPr>
              <w:widowControl/>
              <w:adjustRightInd w:val="0"/>
              <w:snapToGrid w:val="0"/>
              <w:spacing w:line="360" w:lineRule="auto"/>
              <w:jc w:val="center"/>
              <w:textAlignment w:val="center"/>
              <w:rPr>
                <w:rFonts w:hint="eastAsia" w:ascii="宋体" w:hAnsi="宋体" w:eastAsia="宋体" w:cs="宋体"/>
                <w:bCs/>
                <w:color w:val="auto"/>
                <w:sz w:val="24"/>
                <w:lang w:eastAsia="zh-CN"/>
              </w:rPr>
            </w:pPr>
            <w:r>
              <w:rPr>
                <w:rFonts w:hint="eastAsia" w:ascii="宋体" w:hAnsi="宋体" w:cs="宋体"/>
                <w:bCs/>
                <w:color w:val="auto"/>
                <w:sz w:val="24"/>
                <w:lang w:eastAsia="zh-CN"/>
              </w:rPr>
              <w:t>873216.00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9652" w:type="dxa"/>
            <w:gridSpan w:val="6"/>
          </w:tcPr>
          <w:p>
            <w:pPr>
              <w:pStyle w:val="29"/>
              <w:adjustRightInd w:val="0"/>
              <w:snapToGrid w:val="0"/>
              <w:spacing w:before="77" w:line="360" w:lineRule="auto"/>
              <w:ind w:left="106"/>
              <w:rPr>
                <w:rFonts w:ascii="宋体" w:hAnsi="宋体" w:cs="宋体"/>
                <w:b/>
                <w:color w:val="auto"/>
                <w:sz w:val="24"/>
              </w:rPr>
            </w:pPr>
            <w:r>
              <w:rPr>
                <w:rFonts w:hint="eastAsia" w:ascii="宋体" w:hAnsi="宋体" w:cs="宋体"/>
                <w:b/>
                <w:color w:val="auto"/>
                <w:sz w:val="24"/>
              </w:rPr>
              <w:t>二、其他要求：</w:t>
            </w:r>
          </w:p>
          <w:p>
            <w:pPr>
              <w:pStyle w:val="29"/>
              <w:adjustRightInd w:val="0"/>
              <w:snapToGrid w:val="0"/>
              <w:spacing w:before="139" w:line="360" w:lineRule="auto"/>
              <w:ind w:left="106"/>
              <w:rPr>
                <w:rFonts w:ascii="宋体" w:hAnsi="宋体" w:cs="宋体"/>
                <w:color w:val="auto"/>
                <w:sz w:val="24"/>
              </w:rPr>
            </w:pPr>
            <w:r>
              <w:rPr>
                <w:rFonts w:hint="eastAsia" w:ascii="宋体" w:hAnsi="宋体" w:cs="宋体"/>
                <w:color w:val="auto"/>
                <w:sz w:val="24"/>
              </w:rPr>
              <w:t>1、履约保证金：无。</w:t>
            </w:r>
          </w:p>
          <w:p>
            <w:pPr>
              <w:pStyle w:val="29"/>
              <w:adjustRightInd w:val="0"/>
              <w:snapToGrid w:val="0"/>
              <w:spacing w:line="360" w:lineRule="auto"/>
              <w:ind w:left="106"/>
              <w:rPr>
                <w:rFonts w:ascii="宋体" w:hAnsi="宋体" w:cs="宋体"/>
                <w:color w:val="auto"/>
                <w:sz w:val="24"/>
              </w:rPr>
            </w:pPr>
            <w:r>
              <w:rPr>
                <w:rFonts w:hint="eastAsia" w:ascii="宋体" w:hAnsi="宋体" w:cs="宋体"/>
                <w:color w:val="auto"/>
                <w:sz w:val="24"/>
              </w:rPr>
              <w:t>2、工程缺陷保修期：自工程实际竣工日期起计算，本工程缺陷责任期限为壹年。</w:t>
            </w:r>
          </w:p>
        </w:tc>
      </w:tr>
    </w:tbl>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bookmarkEnd w:id="131"/>
    <w:p>
      <w:pPr>
        <w:pStyle w:val="3"/>
        <w:spacing w:line="240" w:lineRule="auto"/>
        <w:ind w:firstLine="0" w:firstLineChars="0"/>
        <w:jc w:val="center"/>
        <w:rPr>
          <w:rFonts w:hint="eastAsia" w:ascii="Times New Roman" w:hAnsi="Times New Roman" w:cs="Times New Roman"/>
          <w:b/>
          <w:color w:val="auto"/>
          <w:sz w:val="44"/>
          <w:szCs w:val="44"/>
        </w:rPr>
      </w:pPr>
      <w:bookmarkStart w:id="132" w:name="_Toc10085"/>
      <w:bookmarkStart w:id="133" w:name="_Toc464982677"/>
      <w:bookmarkStart w:id="134" w:name="_Toc14973"/>
      <w:bookmarkStart w:id="135" w:name="_Toc13353"/>
      <w:r>
        <w:rPr>
          <w:rFonts w:hint="eastAsia" w:ascii="Times New Roman" w:hAnsi="Times New Roman" w:cs="Times New Roman"/>
          <w:color w:val="auto"/>
          <w:sz w:val="44"/>
          <w:szCs w:val="44"/>
        </w:rPr>
        <w:t>第四章 采购合同（合同主要条款及格式）</w:t>
      </w:r>
      <w:bookmarkEnd w:id="132"/>
      <w:bookmarkEnd w:id="133"/>
      <w:bookmarkEnd w:id="134"/>
      <w:bookmarkEnd w:id="135"/>
    </w:p>
    <w:p>
      <w:pPr>
        <w:pStyle w:val="36"/>
        <w:keepNext/>
        <w:keepLines/>
        <w:spacing w:before="260" w:after="260" w:line="416" w:lineRule="auto"/>
        <w:jc w:val="center"/>
        <w:outlineLvl w:val="1"/>
        <w:rPr>
          <w:rFonts w:ascii="宋体" w:hAnsi="宋体" w:cs="宋体"/>
          <w:b/>
          <w:bCs/>
          <w:color w:val="auto"/>
          <w:sz w:val="32"/>
          <w:szCs w:val="32"/>
        </w:rPr>
      </w:pPr>
      <w:bookmarkStart w:id="136" w:name="_Toc10364"/>
      <w:bookmarkStart w:id="137" w:name="_Toc491937847"/>
      <w:bookmarkStart w:id="138" w:name="_Toc464982678"/>
      <w:r>
        <w:rPr>
          <w:rFonts w:hint="eastAsia" w:ascii="宋体" w:hAnsi="宋体" w:cs="宋体"/>
          <w:b/>
          <w:bCs/>
          <w:color w:val="auto"/>
          <w:sz w:val="32"/>
          <w:szCs w:val="32"/>
        </w:rPr>
        <w:t>第一部分 合同协议书</w:t>
      </w:r>
      <w:bookmarkEnd w:id="136"/>
      <w:bookmarkEnd w:id="137"/>
    </w:p>
    <w:p>
      <w:pPr>
        <w:adjustRightInd w:val="0"/>
        <w:snapToGrid w:val="0"/>
        <w:spacing w:line="460" w:lineRule="exact"/>
        <w:rPr>
          <w:rFonts w:ascii="宋体" w:hAnsi="宋体" w:cs="宋体"/>
          <w:color w:val="auto"/>
          <w:sz w:val="24"/>
          <w:szCs w:val="24"/>
          <w:u w:val="single"/>
        </w:rPr>
      </w:pPr>
      <w:bookmarkStart w:id="139" w:name="_Toc351203486"/>
      <w:r>
        <w:rPr>
          <w:rFonts w:hint="eastAsia" w:ascii="宋体" w:hAnsi="宋体" w:cs="宋体"/>
          <w:color w:val="auto"/>
          <w:sz w:val="24"/>
          <w:szCs w:val="24"/>
        </w:rPr>
        <w:t>发包人（全称）：</w:t>
      </w:r>
      <w:r>
        <w:rPr>
          <w:rFonts w:hint="eastAsia" w:ascii="宋体" w:hAnsi="宋体" w:cs="宋体"/>
          <w:color w:val="auto"/>
          <w:sz w:val="24"/>
          <w:szCs w:val="24"/>
          <w:u w:val="single"/>
        </w:rPr>
        <w:t>                                    </w:t>
      </w:r>
    </w:p>
    <w:p>
      <w:pPr>
        <w:adjustRightInd w:val="0"/>
        <w:snapToGrid w:val="0"/>
        <w:spacing w:line="460" w:lineRule="exact"/>
        <w:rPr>
          <w:rFonts w:ascii="宋体" w:hAnsi="宋体" w:cs="宋体"/>
          <w:color w:val="auto"/>
          <w:sz w:val="24"/>
          <w:szCs w:val="24"/>
          <w:u w:val="single"/>
        </w:rPr>
      </w:pPr>
      <w:r>
        <w:rPr>
          <w:rFonts w:hint="eastAsia" w:ascii="宋体" w:hAnsi="宋体" w:cs="宋体"/>
          <w:color w:val="auto"/>
          <w:sz w:val="24"/>
          <w:szCs w:val="24"/>
        </w:rPr>
        <w:t>承包人（全称）：</w:t>
      </w:r>
      <w:r>
        <w:rPr>
          <w:rFonts w:hint="eastAsia" w:ascii="宋体" w:hAnsi="宋体" w:cs="宋体"/>
          <w:color w:val="auto"/>
          <w:sz w:val="24"/>
          <w:szCs w:val="24"/>
          <w:u w:val="single"/>
        </w:rPr>
        <w:t>                              </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根据《中华人民共和国合同法》、《中华人民共和国建筑法》及有关法律规定，遵循平等、自愿、公平和诚实信用的原则，双方就及有关事项协商一致，共同达成如下协议：</w:t>
      </w:r>
      <w:bookmarkStart w:id="140" w:name="_Toc351203481"/>
    </w:p>
    <w:p>
      <w:pPr>
        <w:adjustRightInd w:val="0"/>
        <w:snapToGrid w:val="0"/>
        <w:spacing w:line="46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一、工程概况</w:t>
      </w:r>
      <w:bookmarkEnd w:id="140"/>
    </w:p>
    <w:p>
      <w:pPr>
        <w:adjustRightInd w:val="0"/>
        <w:snapToGrid w:val="0"/>
        <w:spacing w:line="460" w:lineRule="exact"/>
        <w:ind w:firstLine="470" w:firstLineChars="196"/>
        <w:rPr>
          <w:rFonts w:ascii="宋体" w:hAnsi="宋体" w:cs="宋体"/>
          <w:color w:val="auto"/>
          <w:sz w:val="24"/>
          <w:szCs w:val="24"/>
          <w:u w:val="single"/>
        </w:rPr>
      </w:pPr>
      <w:r>
        <w:rPr>
          <w:rFonts w:hint="eastAsia" w:ascii="宋体" w:hAnsi="宋体" w:cs="宋体"/>
          <w:bCs/>
          <w:color w:val="auto"/>
          <w:sz w:val="24"/>
          <w:szCs w:val="24"/>
        </w:rPr>
        <w:t>1. 工程名称</w:t>
      </w:r>
      <w:r>
        <w:rPr>
          <w:rFonts w:hint="eastAsia" w:ascii="宋体" w:hAnsi="宋体" w:cs="宋体"/>
          <w:color w:val="auto"/>
          <w:sz w:val="24"/>
          <w:szCs w:val="24"/>
        </w:rPr>
        <w:t>：</w:t>
      </w:r>
      <w:r>
        <w:rPr>
          <w:rFonts w:hint="eastAsia" w:ascii="宋体" w:hAnsi="宋体" w:cs="宋体"/>
          <w:color w:val="auto"/>
          <w:sz w:val="24"/>
          <w:szCs w:val="24"/>
          <w:lang w:val="en-US" w:eastAsia="zh-CN"/>
        </w:rPr>
        <w:t>_________________________________</w:t>
      </w:r>
      <w:r>
        <w:rPr>
          <w:rFonts w:hint="eastAsia" w:ascii="宋体" w:hAnsi="宋体" w:cs="宋体"/>
          <w:color w:val="auto"/>
          <w:sz w:val="24"/>
          <w:szCs w:val="24"/>
        </w:rPr>
        <w:t>。</w:t>
      </w:r>
    </w:p>
    <w:p>
      <w:pPr>
        <w:adjustRightInd w:val="0"/>
        <w:snapToGrid w:val="0"/>
        <w:spacing w:line="460" w:lineRule="exact"/>
        <w:ind w:firstLine="470" w:firstLineChars="196"/>
        <w:rPr>
          <w:rFonts w:ascii="宋体" w:hAnsi="宋体" w:cs="宋体"/>
          <w:bCs/>
          <w:color w:val="auto"/>
          <w:sz w:val="24"/>
          <w:szCs w:val="24"/>
        </w:rPr>
      </w:pPr>
      <w:r>
        <w:rPr>
          <w:rFonts w:hint="eastAsia" w:ascii="宋体" w:hAnsi="宋体" w:cs="宋体"/>
          <w:bCs/>
          <w:color w:val="auto"/>
          <w:sz w:val="24"/>
          <w:szCs w:val="24"/>
        </w:rPr>
        <w:t>2. 工程地点：</w:t>
      </w:r>
      <w:r>
        <w:rPr>
          <w:rFonts w:hint="eastAsia" w:ascii="宋体" w:hAnsi="宋体" w:cs="宋体"/>
          <w:bCs/>
          <w:color w:val="auto"/>
          <w:sz w:val="24"/>
          <w:szCs w:val="24"/>
          <w:lang w:val="en-US" w:eastAsia="zh-CN"/>
        </w:rPr>
        <w:t>_________________________________</w:t>
      </w:r>
      <w:r>
        <w:rPr>
          <w:rFonts w:hint="eastAsia" w:ascii="宋体" w:hAnsi="宋体" w:cs="宋体"/>
          <w:color w:val="auto"/>
          <w:sz w:val="24"/>
          <w:szCs w:val="24"/>
        </w:rPr>
        <w:t>。</w:t>
      </w:r>
    </w:p>
    <w:p>
      <w:pPr>
        <w:adjustRightInd w:val="0"/>
        <w:snapToGrid w:val="0"/>
        <w:spacing w:line="460" w:lineRule="exact"/>
        <w:ind w:firstLine="470" w:firstLineChars="196"/>
        <w:rPr>
          <w:rFonts w:ascii="宋体" w:hAnsi="宋体" w:cs="宋体"/>
          <w:bCs/>
          <w:color w:val="auto"/>
          <w:sz w:val="24"/>
          <w:szCs w:val="24"/>
        </w:rPr>
      </w:pPr>
      <w:r>
        <w:rPr>
          <w:rFonts w:hint="eastAsia" w:ascii="宋体" w:hAnsi="宋体" w:cs="宋体"/>
          <w:bCs/>
          <w:color w:val="auto"/>
          <w:sz w:val="24"/>
          <w:szCs w:val="24"/>
        </w:rPr>
        <w:t>3. 工程立项批准文号：</w:t>
      </w:r>
      <w:r>
        <w:rPr>
          <w:rFonts w:hint="eastAsia" w:ascii="宋体" w:hAnsi="宋体" w:cs="宋体"/>
          <w:color w:val="auto"/>
          <w:sz w:val="24"/>
          <w:szCs w:val="24"/>
          <w:u w:val="single"/>
        </w:rPr>
        <w:t xml:space="preserve">                     </w:t>
      </w:r>
      <w:r>
        <w:rPr>
          <w:rFonts w:hint="eastAsia" w:ascii="宋体" w:hAnsi="宋体" w:cs="宋体"/>
          <w:bCs/>
          <w:color w:val="auto"/>
          <w:sz w:val="24"/>
          <w:szCs w:val="24"/>
        </w:rPr>
        <w:t>。</w:t>
      </w:r>
    </w:p>
    <w:p>
      <w:pPr>
        <w:adjustRightInd w:val="0"/>
        <w:snapToGrid w:val="0"/>
        <w:spacing w:line="460" w:lineRule="exact"/>
        <w:ind w:firstLine="412"/>
        <w:rPr>
          <w:rFonts w:ascii="宋体" w:hAnsi="宋体" w:cs="宋体"/>
          <w:color w:val="auto"/>
          <w:sz w:val="24"/>
        </w:rPr>
      </w:pPr>
      <w:bookmarkStart w:id="141" w:name="_Toc351203483"/>
      <w:r>
        <w:rPr>
          <w:rFonts w:hint="eastAsia" w:ascii="宋体" w:hAnsi="宋体" w:cs="宋体"/>
          <w:color w:val="auto"/>
          <w:sz w:val="24"/>
        </w:rPr>
        <w:t>4. 资金来源：</w:t>
      </w:r>
      <w:r>
        <w:rPr>
          <w:rFonts w:hint="eastAsia" w:ascii="宋体" w:hAnsi="宋体" w:cs="宋体"/>
          <w:color w:val="auto"/>
          <w:sz w:val="24"/>
          <w:u w:val="single"/>
        </w:rPr>
        <w:t>财政资金</w:t>
      </w:r>
      <w:r>
        <w:rPr>
          <w:rFonts w:hint="eastAsia" w:ascii="宋体" w:hAnsi="宋体" w:cs="宋体"/>
          <w:color w:val="auto"/>
          <w:sz w:val="24"/>
        </w:rPr>
        <w:t>。</w:t>
      </w:r>
    </w:p>
    <w:p>
      <w:pPr>
        <w:adjustRightInd w:val="0"/>
        <w:snapToGrid w:val="0"/>
        <w:spacing w:line="460" w:lineRule="exact"/>
        <w:ind w:firstLine="412"/>
        <w:rPr>
          <w:rFonts w:ascii="宋体" w:hAnsi="宋体" w:cs="宋体"/>
          <w:color w:val="auto"/>
          <w:sz w:val="24"/>
        </w:rPr>
      </w:pPr>
      <w:r>
        <w:rPr>
          <w:rFonts w:hint="eastAsia" w:ascii="宋体" w:hAnsi="宋体" w:cs="宋体"/>
          <w:color w:val="auto"/>
          <w:sz w:val="24"/>
        </w:rPr>
        <w:t>5. 工程内容：</w:t>
      </w:r>
      <w:r>
        <w:rPr>
          <w:rFonts w:hint="eastAsia" w:ascii="宋体" w:hAnsi="宋体" w:cs="宋体"/>
          <w:color w:val="auto"/>
          <w:sz w:val="24"/>
          <w:u w:val="single"/>
        </w:rPr>
        <w:t>    。</w:t>
      </w:r>
    </w:p>
    <w:p>
      <w:pPr>
        <w:adjustRightInd w:val="0"/>
        <w:snapToGrid w:val="0"/>
        <w:spacing w:line="460" w:lineRule="exact"/>
        <w:ind w:firstLine="412"/>
        <w:rPr>
          <w:rFonts w:ascii="宋体" w:hAnsi="宋体" w:cs="宋体"/>
          <w:color w:val="auto"/>
          <w:sz w:val="24"/>
        </w:rPr>
      </w:pPr>
      <w:r>
        <w:rPr>
          <w:rFonts w:hint="eastAsia" w:ascii="宋体" w:hAnsi="宋体" w:cs="宋体"/>
          <w:color w:val="auto"/>
          <w:sz w:val="24"/>
        </w:rPr>
        <w:t>群体工程应附《承包人承揽工程项目一览表》（附件1）。</w:t>
      </w:r>
    </w:p>
    <w:p>
      <w:pPr>
        <w:adjustRightInd w:val="0"/>
        <w:snapToGrid w:val="0"/>
        <w:spacing w:line="460" w:lineRule="exact"/>
        <w:ind w:firstLine="420"/>
        <w:rPr>
          <w:rFonts w:ascii="宋体" w:hAnsi="宋体" w:cs="宋体"/>
          <w:color w:val="auto"/>
          <w:sz w:val="24"/>
          <w:u w:val="single"/>
        </w:rPr>
      </w:pPr>
      <w:r>
        <w:rPr>
          <w:rFonts w:hint="eastAsia" w:ascii="宋体" w:hAnsi="宋体" w:cs="宋体"/>
          <w:color w:val="auto"/>
          <w:sz w:val="24"/>
        </w:rPr>
        <w:t>6. 工程承包范围：</w:t>
      </w:r>
    </w:p>
    <w:p>
      <w:pPr>
        <w:adjustRightInd w:val="0"/>
        <w:snapToGrid w:val="0"/>
        <w:spacing w:line="460" w:lineRule="exact"/>
        <w:ind w:firstLine="407"/>
        <w:rPr>
          <w:rFonts w:ascii="宋体" w:hAnsi="宋体" w:cs="宋体"/>
          <w:b/>
          <w:color w:val="auto"/>
          <w:sz w:val="24"/>
        </w:rPr>
      </w:pPr>
      <w:r>
        <w:rPr>
          <w:rFonts w:hint="eastAsia" w:ascii="宋体" w:hAnsi="宋体" w:cs="宋体"/>
          <w:b/>
          <w:color w:val="auto"/>
          <w:sz w:val="24"/>
        </w:rPr>
        <w:t>二、合同工期</w:t>
      </w:r>
    </w:p>
    <w:p>
      <w:pPr>
        <w:adjustRightInd w:val="0"/>
        <w:snapToGrid w:val="0"/>
        <w:spacing w:line="460" w:lineRule="exact"/>
        <w:ind w:firstLine="459"/>
        <w:rPr>
          <w:rFonts w:ascii="宋体" w:hAnsi="宋体" w:cs="宋体"/>
          <w:color w:val="auto"/>
          <w:sz w:val="24"/>
        </w:rPr>
      </w:pPr>
      <w:r>
        <w:rPr>
          <w:rFonts w:hint="eastAsia" w:ascii="宋体" w:hAnsi="宋体" w:cs="宋体"/>
          <w:color w:val="auto"/>
          <w:sz w:val="24"/>
        </w:rPr>
        <w:t>计划开工日期：</w:t>
      </w:r>
      <w:r>
        <w:rPr>
          <w:rFonts w:hint="eastAsia" w:ascii="宋体" w:hAnsi="宋体" w:cs="宋体"/>
          <w:color w:val="auto"/>
          <w:sz w:val="24"/>
          <w:u w:val="single"/>
        </w:rPr>
        <w:t></w:t>
      </w:r>
      <w:r>
        <w:rPr>
          <w:rFonts w:hint="eastAsia" w:ascii="宋体" w:hAnsi="宋体" w:cs="宋体"/>
          <w:color w:val="auto"/>
          <w:sz w:val="24"/>
        </w:rPr>
        <w:t>年</w:t>
      </w:r>
      <w:r>
        <w:rPr>
          <w:rFonts w:hint="eastAsia" w:ascii="宋体" w:hAnsi="宋体" w:cs="宋体"/>
          <w:color w:val="auto"/>
          <w:sz w:val="24"/>
          <w:u w:val="single"/>
        </w:rPr>
        <w:t></w:t>
      </w:r>
      <w:r>
        <w:rPr>
          <w:rFonts w:hint="eastAsia" w:ascii="宋体" w:hAnsi="宋体" w:cs="宋体"/>
          <w:color w:val="auto"/>
          <w:sz w:val="24"/>
        </w:rPr>
        <w:t>月</w:t>
      </w:r>
      <w:r>
        <w:rPr>
          <w:rFonts w:hint="eastAsia" w:ascii="宋体" w:hAnsi="宋体" w:cs="宋体"/>
          <w:color w:val="auto"/>
          <w:sz w:val="24"/>
          <w:u w:val="single"/>
        </w:rPr>
        <w:t></w:t>
      </w:r>
      <w:r>
        <w:rPr>
          <w:rFonts w:hint="eastAsia" w:ascii="宋体" w:hAnsi="宋体" w:cs="宋体"/>
          <w:color w:val="auto"/>
          <w:sz w:val="24"/>
        </w:rPr>
        <w:t>日。（具体以发包人书面通知为准）</w:t>
      </w:r>
    </w:p>
    <w:p>
      <w:pPr>
        <w:adjustRightInd w:val="0"/>
        <w:snapToGrid w:val="0"/>
        <w:spacing w:line="460" w:lineRule="exact"/>
        <w:ind w:firstLine="459"/>
        <w:rPr>
          <w:rFonts w:ascii="宋体" w:hAnsi="宋体" w:cs="宋体"/>
          <w:color w:val="auto"/>
          <w:sz w:val="24"/>
        </w:rPr>
      </w:pPr>
      <w:r>
        <w:rPr>
          <w:rFonts w:hint="eastAsia" w:ascii="宋体" w:hAnsi="宋体" w:cs="宋体"/>
          <w:color w:val="auto"/>
          <w:sz w:val="24"/>
        </w:rPr>
        <w:t>计划竣工日期：</w:t>
      </w:r>
      <w:r>
        <w:rPr>
          <w:rFonts w:hint="eastAsia" w:ascii="宋体" w:hAnsi="宋体" w:cs="宋体"/>
          <w:color w:val="auto"/>
          <w:sz w:val="24"/>
          <w:u w:val="single"/>
        </w:rPr>
        <w:t></w:t>
      </w:r>
      <w:r>
        <w:rPr>
          <w:rFonts w:hint="eastAsia" w:ascii="宋体" w:hAnsi="宋体" w:cs="宋体"/>
          <w:color w:val="auto"/>
          <w:sz w:val="24"/>
        </w:rPr>
        <w:t>年</w:t>
      </w:r>
      <w:r>
        <w:rPr>
          <w:rFonts w:hint="eastAsia" w:ascii="宋体" w:hAnsi="宋体" w:cs="宋体"/>
          <w:color w:val="auto"/>
          <w:sz w:val="24"/>
          <w:u w:val="single"/>
        </w:rPr>
        <w:t></w:t>
      </w:r>
      <w:r>
        <w:rPr>
          <w:rFonts w:hint="eastAsia" w:ascii="宋体" w:hAnsi="宋体" w:cs="宋体"/>
          <w:color w:val="auto"/>
          <w:sz w:val="24"/>
        </w:rPr>
        <w:t>月</w:t>
      </w:r>
      <w:r>
        <w:rPr>
          <w:rFonts w:hint="eastAsia" w:ascii="宋体" w:hAnsi="宋体" w:cs="宋体"/>
          <w:color w:val="auto"/>
          <w:sz w:val="24"/>
          <w:u w:val="single"/>
        </w:rPr>
        <w:t></w:t>
      </w:r>
      <w:r>
        <w:rPr>
          <w:rFonts w:hint="eastAsia" w:ascii="宋体" w:hAnsi="宋体" w:cs="宋体"/>
          <w:color w:val="auto"/>
          <w:sz w:val="24"/>
        </w:rPr>
        <w:t>日。</w:t>
      </w:r>
    </w:p>
    <w:p>
      <w:pPr>
        <w:adjustRightInd w:val="0"/>
        <w:snapToGrid w:val="0"/>
        <w:spacing w:line="460" w:lineRule="exact"/>
        <w:ind w:firstLine="459"/>
        <w:rPr>
          <w:rFonts w:ascii="宋体" w:hAnsi="宋体" w:cs="宋体"/>
          <w:color w:val="auto"/>
          <w:sz w:val="24"/>
        </w:rPr>
      </w:pPr>
      <w:r>
        <w:rPr>
          <w:rFonts w:hint="eastAsia" w:ascii="宋体" w:hAnsi="宋体" w:cs="宋体"/>
          <w:color w:val="auto"/>
          <w:sz w:val="24"/>
        </w:rPr>
        <w:t>工期总日历天数：</w:t>
      </w:r>
      <w:r>
        <w:rPr>
          <w:rFonts w:hint="eastAsia" w:ascii="宋体" w:hAnsi="宋体" w:cs="宋体"/>
          <w:color w:val="auto"/>
          <w:sz w:val="24"/>
          <w:u w:val="single"/>
        </w:rPr>
        <w:t>  </w:t>
      </w:r>
      <w:r>
        <w:rPr>
          <w:rFonts w:hint="eastAsia" w:ascii="宋体" w:hAnsi="宋体" w:cs="宋体"/>
          <w:color w:val="auto"/>
          <w:sz w:val="24"/>
        </w:rPr>
        <w:t>天。工期总日历天数与根据前述计划开竣工日期计算的工期天数不一致的，以工期总日历天数为准。</w:t>
      </w:r>
    </w:p>
    <w:p>
      <w:pPr>
        <w:adjustRightInd w:val="0"/>
        <w:snapToGrid w:val="0"/>
        <w:spacing w:line="460" w:lineRule="exact"/>
        <w:ind w:firstLine="459"/>
        <w:rPr>
          <w:rFonts w:ascii="宋体" w:hAnsi="宋体" w:cs="宋体"/>
          <w:b/>
          <w:bCs/>
          <w:color w:val="auto"/>
          <w:sz w:val="24"/>
          <w:szCs w:val="24"/>
        </w:rPr>
      </w:pPr>
      <w:r>
        <w:rPr>
          <w:rFonts w:hint="eastAsia" w:ascii="宋体" w:hAnsi="宋体" w:cs="宋体"/>
          <w:b/>
          <w:bCs/>
          <w:color w:val="auto"/>
          <w:sz w:val="24"/>
          <w:szCs w:val="24"/>
        </w:rPr>
        <w:t>三、质量标准</w:t>
      </w:r>
      <w:bookmarkEnd w:id="141"/>
    </w:p>
    <w:p>
      <w:pPr>
        <w:adjustRightInd w:val="0"/>
        <w:snapToGrid w:val="0"/>
        <w:spacing w:line="460" w:lineRule="exact"/>
        <w:ind w:firstLine="459"/>
        <w:rPr>
          <w:rFonts w:ascii="宋体" w:hAnsi="宋体" w:cs="宋体"/>
          <w:color w:val="auto"/>
          <w:sz w:val="24"/>
          <w:szCs w:val="24"/>
        </w:rPr>
      </w:pPr>
      <w:r>
        <w:rPr>
          <w:rFonts w:hint="eastAsia" w:ascii="宋体" w:hAnsi="宋体" w:cs="宋体"/>
          <w:color w:val="auto"/>
          <w:sz w:val="24"/>
          <w:szCs w:val="24"/>
        </w:rPr>
        <w:t>工程质量符合</w:t>
      </w:r>
      <w:r>
        <w:rPr>
          <w:rFonts w:hint="eastAsia" w:ascii="宋体" w:hAnsi="宋体" w:cs="宋体"/>
          <w:color w:val="auto"/>
          <w:kern w:val="0"/>
          <w:sz w:val="24"/>
          <w:szCs w:val="24"/>
          <w:u w:val="single"/>
        </w:rPr>
        <w:t>国家工程施工验收规范合格</w:t>
      </w:r>
      <w:r>
        <w:rPr>
          <w:rFonts w:hint="eastAsia" w:ascii="宋体" w:hAnsi="宋体" w:cs="宋体"/>
          <w:color w:val="auto"/>
          <w:sz w:val="24"/>
          <w:szCs w:val="24"/>
        </w:rPr>
        <w:t>标准。</w:t>
      </w:r>
    </w:p>
    <w:p>
      <w:pPr>
        <w:adjustRightInd w:val="0"/>
        <w:snapToGrid w:val="0"/>
        <w:spacing w:line="460" w:lineRule="exact"/>
        <w:ind w:firstLine="459"/>
        <w:rPr>
          <w:rFonts w:ascii="宋体" w:hAnsi="宋体" w:cs="宋体"/>
          <w:b/>
          <w:bCs/>
          <w:color w:val="auto"/>
          <w:sz w:val="24"/>
          <w:szCs w:val="24"/>
        </w:rPr>
      </w:pPr>
      <w:bookmarkStart w:id="142" w:name="_Toc351203484"/>
      <w:r>
        <w:rPr>
          <w:rFonts w:hint="eastAsia" w:ascii="宋体" w:hAnsi="宋体" w:cs="宋体"/>
          <w:b/>
          <w:bCs/>
          <w:color w:val="auto"/>
          <w:sz w:val="24"/>
          <w:szCs w:val="24"/>
        </w:rPr>
        <w:t>四、签约合同价与合同价格形式</w:t>
      </w:r>
      <w:bookmarkEnd w:id="142"/>
    </w:p>
    <w:p>
      <w:pPr>
        <w:adjustRightInd w:val="0"/>
        <w:snapToGrid w:val="0"/>
        <w:spacing w:line="460" w:lineRule="exact"/>
        <w:ind w:firstLine="459"/>
        <w:rPr>
          <w:rFonts w:hint="default" w:ascii="宋体" w:hAnsi="宋体" w:eastAsia="宋体" w:cs="宋体"/>
          <w:color w:val="auto"/>
          <w:sz w:val="24"/>
          <w:szCs w:val="24"/>
          <w:lang w:val="en-US" w:eastAsia="zh-CN"/>
        </w:rPr>
      </w:pPr>
      <w:r>
        <w:rPr>
          <w:rFonts w:hint="eastAsia" w:ascii="宋体" w:hAnsi="宋体" w:cs="宋体"/>
          <w:color w:val="auto"/>
          <w:sz w:val="24"/>
          <w:szCs w:val="24"/>
        </w:rPr>
        <w:t>1. 签约合同价为：</w:t>
      </w:r>
      <w:r>
        <w:rPr>
          <w:rFonts w:hint="eastAsia" w:ascii="宋体" w:hAnsi="宋体" w:cs="宋体"/>
          <w:color w:val="auto"/>
          <w:sz w:val="24"/>
          <w:szCs w:val="24"/>
          <w:lang w:val="en-US" w:eastAsia="zh-CN"/>
        </w:rPr>
        <w:t>_______________________</w:t>
      </w:r>
    </w:p>
    <w:p>
      <w:pPr>
        <w:adjustRightInd w:val="0"/>
        <w:snapToGrid w:val="0"/>
        <w:spacing w:line="460" w:lineRule="exact"/>
        <w:ind w:firstLine="600" w:firstLineChars="250"/>
        <w:rPr>
          <w:rFonts w:ascii="宋体" w:hAnsi="宋体" w:cs="宋体"/>
          <w:color w:val="auto"/>
          <w:sz w:val="24"/>
          <w:szCs w:val="24"/>
        </w:rPr>
      </w:pPr>
      <w:r>
        <w:rPr>
          <w:rFonts w:hint="eastAsia" w:ascii="宋体" w:hAnsi="宋体" w:cs="宋体"/>
          <w:color w:val="auto"/>
          <w:sz w:val="24"/>
          <w:szCs w:val="24"/>
        </w:rPr>
        <w:t>人民币（大写）</w:t>
      </w:r>
      <w:r>
        <w:rPr>
          <w:rFonts w:hint="eastAsia" w:ascii="宋体" w:hAnsi="宋体" w:cs="宋体"/>
          <w:color w:val="auto"/>
          <w:sz w:val="24"/>
          <w:szCs w:val="24"/>
          <w:lang w:val="en-US" w:eastAsia="zh-CN"/>
        </w:rPr>
        <w:t>____________________________</w:t>
      </w:r>
      <w:r>
        <w:rPr>
          <w:rFonts w:hint="eastAsia" w:ascii="宋体" w:hAnsi="宋体" w:cs="宋体"/>
          <w:color w:val="auto"/>
          <w:sz w:val="24"/>
          <w:szCs w:val="24"/>
        </w:rPr>
        <w:t>（¥</w:t>
      </w:r>
      <w:r>
        <w:rPr>
          <w:rFonts w:hint="eastAsia" w:ascii="宋体" w:hAnsi="宋体" w:cs="宋体"/>
          <w:color w:val="auto"/>
          <w:sz w:val="24"/>
          <w:szCs w:val="24"/>
          <w:lang w:val="en-US" w:eastAsia="zh-CN"/>
        </w:rPr>
        <w:t>______________</w:t>
      </w:r>
      <w:r>
        <w:rPr>
          <w:rFonts w:hint="eastAsia" w:ascii="宋体" w:hAnsi="宋体" w:cs="宋体"/>
          <w:color w:val="auto"/>
          <w:sz w:val="24"/>
          <w:szCs w:val="24"/>
        </w:rPr>
        <w:t>元）；</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 合同价格形式：</w:t>
      </w:r>
      <w:r>
        <w:rPr>
          <w:rFonts w:hint="eastAsia" w:ascii="宋体" w:hAnsi="宋体" w:cs="宋体"/>
          <w:color w:val="auto"/>
          <w:sz w:val="24"/>
          <w:szCs w:val="24"/>
          <w:lang w:val="en-US" w:eastAsia="zh-CN"/>
        </w:rPr>
        <w:t>_______________________</w:t>
      </w:r>
      <w:r>
        <w:rPr>
          <w:rFonts w:hint="eastAsia" w:ascii="宋体" w:hAnsi="宋体" w:cs="宋体"/>
          <w:color w:val="auto"/>
          <w:sz w:val="24"/>
          <w:szCs w:val="24"/>
        </w:rPr>
        <w:t>。</w:t>
      </w:r>
    </w:p>
    <w:p>
      <w:pPr>
        <w:adjustRightInd w:val="0"/>
        <w:snapToGrid w:val="0"/>
        <w:spacing w:line="460" w:lineRule="exact"/>
        <w:ind w:firstLine="482" w:firstLineChars="200"/>
        <w:rPr>
          <w:rFonts w:ascii="宋体" w:hAnsi="宋体" w:cs="宋体"/>
          <w:b/>
          <w:bCs/>
          <w:color w:val="auto"/>
          <w:sz w:val="24"/>
          <w:szCs w:val="24"/>
        </w:rPr>
      </w:pPr>
      <w:bookmarkStart w:id="143" w:name="_Toc351203485"/>
      <w:r>
        <w:rPr>
          <w:rFonts w:hint="eastAsia" w:ascii="宋体" w:hAnsi="宋体" w:cs="宋体"/>
          <w:b/>
          <w:bCs/>
          <w:color w:val="auto"/>
          <w:sz w:val="24"/>
          <w:szCs w:val="24"/>
        </w:rPr>
        <w:t>五、</w:t>
      </w:r>
      <w:bookmarkEnd w:id="143"/>
      <w:r>
        <w:rPr>
          <w:rFonts w:hint="eastAsia" w:ascii="宋体" w:hAnsi="宋体" w:cs="宋体"/>
          <w:b/>
          <w:bCs/>
          <w:color w:val="auto"/>
          <w:sz w:val="24"/>
          <w:szCs w:val="24"/>
        </w:rPr>
        <w:t>项目经理</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承包人项目经理：</w:t>
      </w:r>
      <w:r>
        <w:rPr>
          <w:rFonts w:hint="eastAsia" w:ascii="宋体" w:hAnsi="宋体" w:cs="宋体"/>
          <w:color w:val="auto"/>
          <w:sz w:val="24"/>
          <w:szCs w:val="24"/>
          <w:u w:val="single"/>
        </w:rPr>
        <w:t>                     </w:t>
      </w:r>
      <w:r>
        <w:rPr>
          <w:rFonts w:hint="eastAsia" w:ascii="宋体" w:hAnsi="宋体" w:cs="宋体"/>
          <w:color w:val="auto"/>
          <w:sz w:val="24"/>
          <w:szCs w:val="24"/>
        </w:rPr>
        <w:t>。</w:t>
      </w:r>
    </w:p>
    <w:p>
      <w:pPr>
        <w:pStyle w:val="36"/>
        <w:adjustRightInd w:val="0"/>
        <w:snapToGrid w:val="0"/>
        <w:spacing w:line="46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六、合同文件构成</w:t>
      </w:r>
      <w:bookmarkEnd w:id="139"/>
    </w:p>
    <w:p>
      <w:pPr>
        <w:pStyle w:val="36"/>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本协议书与下列文件一起构成合同文件：</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（1）成交通知书（如果有）；</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（2）投标函及其附录（如果有）； </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（3）专用合同条款及其附件；</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（4）通用合同条款；</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（5）技术标准和要求；</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（6）已标价工程量清单或预算书； </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（7）图纸；</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（8）其他合同文件。</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在合同订立及履行过程中形成的与合同有关的文件均构成合同文件组成部分。</w:t>
      </w:r>
    </w:p>
    <w:p>
      <w:pPr>
        <w:pStyle w:val="36"/>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pStyle w:val="36"/>
        <w:autoSpaceDE w:val="0"/>
        <w:autoSpaceDN w:val="0"/>
        <w:adjustRightInd w:val="0"/>
        <w:snapToGrid w:val="0"/>
        <w:spacing w:line="460" w:lineRule="exact"/>
        <w:ind w:firstLine="482" w:firstLineChars="200"/>
        <w:rPr>
          <w:rFonts w:ascii="宋体" w:hAnsi="宋体" w:cs="宋体"/>
          <w:b/>
          <w:bCs/>
          <w:color w:val="auto"/>
          <w:sz w:val="24"/>
          <w:szCs w:val="24"/>
        </w:rPr>
      </w:pPr>
      <w:bookmarkStart w:id="144" w:name="_Toc351203487"/>
      <w:r>
        <w:rPr>
          <w:rFonts w:hint="eastAsia" w:ascii="宋体" w:hAnsi="宋体" w:cs="宋体"/>
          <w:b/>
          <w:bCs/>
          <w:color w:val="auto"/>
          <w:sz w:val="24"/>
          <w:szCs w:val="24"/>
        </w:rPr>
        <w:t>七、承诺</w:t>
      </w:r>
      <w:bookmarkEnd w:id="144"/>
    </w:p>
    <w:p>
      <w:pPr>
        <w:pStyle w:val="36"/>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1. 发包人承诺按照法律规定履行项目审批手续、筹集工程建设资金并按照合同约定的期限和方式支付合同价款。</w:t>
      </w:r>
    </w:p>
    <w:p>
      <w:pPr>
        <w:pStyle w:val="36"/>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2. 承包人承诺按照法律规定及合同约定组织完成工程施工，确保工程质量和安全，不进行转包及违法分包，并在缺陷责任期及保修期内承担相应的工程维修责任。</w:t>
      </w:r>
    </w:p>
    <w:p>
      <w:pPr>
        <w:pStyle w:val="36"/>
        <w:adjustRightInd w:val="0"/>
        <w:snapToGrid w:val="0"/>
        <w:spacing w:line="460" w:lineRule="exact"/>
        <w:ind w:firstLine="480" w:firstLineChars="200"/>
        <w:rPr>
          <w:rFonts w:ascii="宋体" w:hAnsi="宋体" w:cs="宋体"/>
          <w:b/>
          <w:bCs/>
          <w:color w:val="auto"/>
          <w:sz w:val="24"/>
          <w:szCs w:val="24"/>
        </w:rPr>
      </w:pPr>
      <w:r>
        <w:rPr>
          <w:rFonts w:hint="eastAsia" w:ascii="宋体" w:hAnsi="宋体" w:cs="宋体"/>
          <w:bCs/>
          <w:color w:val="auto"/>
          <w:sz w:val="24"/>
          <w:szCs w:val="24"/>
        </w:rPr>
        <w:t>3. 发包人和承包人通过招投标形式签订合同的，双方理解并承诺不再就同一工程另行签订与合同实质性内容相背离的协议。</w:t>
      </w:r>
      <w:bookmarkStart w:id="145" w:name="_Toc351203488"/>
    </w:p>
    <w:p>
      <w:pPr>
        <w:pStyle w:val="36"/>
        <w:adjustRightInd w:val="0"/>
        <w:snapToGrid w:val="0"/>
        <w:spacing w:line="46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八、词语含义</w:t>
      </w:r>
      <w:bookmarkEnd w:id="145"/>
    </w:p>
    <w:p>
      <w:pPr>
        <w:pStyle w:val="36"/>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本协议书中词语含义与第二部分通用合同条款中赋予的含义相同。</w:t>
      </w:r>
    </w:p>
    <w:p>
      <w:pPr>
        <w:pStyle w:val="36"/>
        <w:adjustRightInd w:val="0"/>
        <w:snapToGrid w:val="0"/>
        <w:spacing w:line="460" w:lineRule="exact"/>
        <w:ind w:firstLine="482" w:firstLineChars="200"/>
        <w:rPr>
          <w:rFonts w:ascii="宋体" w:hAnsi="宋体" w:cs="宋体"/>
          <w:b/>
          <w:bCs/>
          <w:color w:val="auto"/>
          <w:sz w:val="24"/>
          <w:szCs w:val="24"/>
        </w:rPr>
      </w:pPr>
      <w:bookmarkStart w:id="146" w:name="_Toc351203489"/>
      <w:r>
        <w:rPr>
          <w:rFonts w:hint="eastAsia" w:ascii="宋体" w:hAnsi="宋体" w:cs="宋体"/>
          <w:b/>
          <w:bCs/>
          <w:color w:val="auto"/>
          <w:sz w:val="24"/>
          <w:szCs w:val="24"/>
        </w:rPr>
        <w:t>九、签订时间</w:t>
      </w:r>
      <w:bookmarkEnd w:id="146"/>
    </w:p>
    <w:p>
      <w:pPr>
        <w:pStyle w:val="36"/>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本合同于年月日签订。</w:t>
      </w:r>
    </w:p>
    <w:p>
      <w:pPr>
        <w:pStyle w:val="36"/>
        <w:adjustRightInd w:val="0"/>
        <w:snapToGrid w:val="0"/>
        <w:spacing w:line="460" w:lineRule="exact"/>
        <w:ind w:firstLine="482" w:firstLineChars="200"/>
        <w:rPr>
          <w:rFonts w:ascii="宋体" w:hAnsi="宋体" w:cs="宋体"/>
          <w:b/>
          <w:bCs/>
          <w:color w:val="auto"/>
          <w:sz w:val="24"/>
          <w:szCs w:val="24"/>
        </w:rPr>
      </w:pPr>
      <w:bookmarkStart w:id="147" w:name="_Toc351203490"/>
      <w:r>
        <w:rPr>
          <w:rFonts w:hint="eastAsia" w:ascii="宋体" w:hAnsi="宋体" w:cs="宋体"/>
          <w:b/>
          <w:bCs/>
          <w:color w:val="auto"/>
          <w:sz w:val="24"/>
          <w:szCs w:val="24"/>
        </w:rPr>
        <w:t>十、签订地点</w:t>
      </w:r>
      <w:bookmarkEnd w:id="147"/>
    </w:p>
    <w:p>
      <w:pPr>
        <w:pStyle w:val="36"/>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本合同在</w:t>
      </w:r>
      <w:r>
        <w:rPr>
          <w:rFonts w:hint="eastAsia" w:ascii="宋体" w:hAnsi="宋体" w:cs="宋体"/>
          <w:bCs/>
          <w:color w:val="auto"/>
          <w:sz w:val="24"/>
          <w:szCs w:val="24"/>
          <w:u w:val="single"/>
        </w:rPr>
        <w:t xml:space="preserve">  宁明县城中镇南华街138号 </w:t>
      </w:r>
      <w:r>
        <w:rPr>
          <w:rFonts w:hint="eastAsia" w:ascii="宋体" w:hAnsi="宋体" w:cs="宋体"/>
          <w:bCs/>
          <w:color w:val="auto"/>
          <w:sz w:val="24"/>
          <w:szCs w:val="24"/>
        </w:rPr>
        <w:t>签订。</w:t>
      </w:r>
    </w:p>
    <w:p>
      <w:pPr>
        <w:pStyle w:val="36"/>
        <w:adjustRightInd w:val="0"/>
        <w:snapToGrid w:val="0"/>
        <w:spacing w:line="460" w:lineRule="exact"/>
        <w:ind w:firstLine="482" w:firstLineChars="200"/>
        <w:rPr>
          <w:rFonts w:ascii="宋体" w:hAnsi="宋体" w:cs="宋体"/>
          <w:b/>
          <w:bCs/>
          <w:color w:val="auto"/>
          <w:sz w:val="24"/>
          <w:szCs w:val="24"/>
        </w:rPr>
      </w:pPr>
      <w:bookmarkStart w:id="148" w:name="_Toc351203491"/>
      <w:r>
        <w:rPr>
          <w:rFonts w:hint="eastAsia" w:ascii="宋体" w:hAnsi="宋体" w:cs="宋体"/>
          <w:b/>
          <w:bCs/>
          <w:color w:val="auto"/>
          <w:sz w:val="24"/>
          <w:szCs w:val="24"/>
        </w:rPr>
        <w:t>十一、补充协议</w:t>
      </w:r>
      <w:bookmarkEnd w:id="148"/>
    </w:p>
    <w:p>
      <w:pPr>
        <w:pStyle w:val="36"/>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合同未尽事宜，合同当事人另行签订补充协议，补充协议是合同的组成部分。</w:t>
      </w:r>
    </w:p>
    <w:p>
      <w:pPr>
        <w:pStyle w:val="36"/>
        <w:adjustRightInd w:val="0"/>
        <w:snapToGrid w:val="0"/>
        <w:spacing w:line="460" w:lineRule="exact"/>
        <w:ind w:firstLine="482" w:firstLineChars="200"/>
        <w:rPr>
          <w:rFonts w:ascii="宋体" w:hAnsi="宋体" w:cs="宋体"/>
          <w:b/>
          <w:bCs/>
          <w:color w:val="auto"/>
          <w:sz w:val="24"/>
          <w:szCs w:val="24"/>
        </w:rPr>
      </w:pPr>
      <w:bookmarkStart w:id="149" w:name="_Toc351203492"/>
      <w:r>
        <w:rPr>
          <w:rFonts w:hint="eastAsia" w:ascii="宋体" w:hAnsi="宋体" w:cs="宋体"/>
          <w:b/>
          <w:bCs/>
          <w:color w:val="auto"/>
          <w:sz w:val="24"/>
          <w:szCs w:val="24"/>
        </w:rPr>
        <w:t>十二、合同生效</w:t>
      </w:r>
      <w:bookmarkEnd w:id="149"/>
    </w:p>
    <w:p>
      <w:pPr>
        <w:pStyle w:val="36"/>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本合同自</w:t>
      </w:r>
      <w:r>
        <w:rPr>
          <w:rFonts w:hint="eastAsia" w:ascii="宋体" w:hAnsi="宋体" w:cs="宋体"/>
          <w:bCs/>
          <w:color w:val="auto"/>
          <w:sz w:val="24"/>
          <w:szCs w:val="24"/>
          <w:u w:val="single"/>
        </w:rPr>
        <w:t>双方签字盖章后</w:t>
      </w:r>
      <w:r>
        <w:rPr>
          <w:rFonts w:hint="eastAsia" w:ascii="宋体" w:hAnsi="宋体" w:cs="宋体"/>
          <w:bCs/>
          <w:color w:val="auto"/>
          <w:sz w:val="24"/>
          <w:szCs w:val="24"/>
        </w:rPr>
        <w:t>生效。</w:t>
      </w:r>
    </w:p>
    <w:p>
      <w:pPr>
        <w:pStyle w:val="36"/>
        <w:adjustRightInd w:val="0"/>
        <w:snapToGrid w:val="0"/>
        <w:spacing w:line="460" w:lineRule="exact"/>
        <w:ind w:firstLine="482" w:firstLineChars="200"/>
        <w:rPr>
          <w:rFonts w:ascii="宋体" w:hAnsi="宋体" w:cs="宋体"/>
          <w:b/>
          <w:bCs/>
          <w:color w:val="auto"/>
          <w:sz w:val="24"/>
          <w:szCs w:val="24"/>
        </w:rPr>
      </w:pPr>
      <w:bookmarkStart w:id="150" w:name="_Toc351203493"/>
      <w:r>
        <w:rPr>
          <w:rFonts w:hint="eastAsia" w:ascii="宋体" w:hAnsi="宋体" w:cs="宋体"/>
          <w:b/>
          <w:bCs/>
          <w:color w:val="auto"/>
          <w:sz w:val="24"/>
          <w:szCs w:val="24"/>
        </w:rPr>
        <w:t>十三、合同份数</w:t>
      </w:r>
      <w:bookmarkEnd w:id="150"/>
    </w:p>
    <w:p>
      <w:pPr>
        <w:pStyle w:val="36"/>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本合同一式份，均具有同等法律效力，发包人执份，承包人执份。</w:t>
      </w:r>
    </w:p>
    <w:p>
      <w:pPr>
        <w:pStyle w:val="36"/>
        <w:adjustRightInd w:val="0"/>
        <w:snapToGrid w:val="0"/>
        <w:spacing w:line="460" w:lineRule="exact"/>
        <w:rPr>
          <w:rFonts w:ascii="宋体" w:hAnsi="宋体" w:cs="宋体"/>
          <w:bCs/>
          <w:color w:val="auto"/>
          <w:sz w:val="24"/>
          <w:szCs w:val="24"/>
        </w:rPr>
      </w:pPr>
    </w:p>
    <w:p>
      <w:pPr>
        <w:pStyle w:val="36"/>
        <w:adjustRightInd w:val="0"/>
        <w:snapToGrid w:val="0"/>
        <w:spacing w:line="460" w:lineRule="exact"/>
        <w:rPr>
          <w:rFonts w:ascii="宋体" w:hAnsi="宋体" w:cs="宋体"/>
          <w:color w:val="auto"/>
          <w:sz w:val="24"/>
          <w:szCs w:val="24"/>
        </w:rPr>
      </w:pP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发包人：  （公章）                              承包人：  （公章）</w:t>
      </w:r>
    </w:p>
    <w:p>
      <w:pPr>
        <w:pStyle w:val="36"/>
        <w:adjustRightInd w:val="0"/>
        <w:snapToGrid w:val="0"/>
        <w:spacing w:line="460" w:lineRule="exact"/>
        <w:rPr>
          <w:rFonts w:ascii="宋体" w:hAnsi="宋体" w:cs="宋体"/>
          <w:color w:val="auto"/>
          <w:sz w:val="24"/>
          <w:szCs w:val="24"/>
          <w:u w:val="single"/>
        </w:rPr>
      </w:pP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法定代表人或其委托代理人：                    法定代表人或其委托代理人：</w:t>
      </w: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（签字）                                     （签字）</w:t>
      </w:r>
    </w:p>
    <w:p>
      <w:pPr>
        <w:pStyle w:val="36"/>
        <w:adjustRightInd w:val="0"/>
        <w:snapToGrid w:val="0"/>
        <w:spacing w:line="460" w:lineRule="exact"/>
        <w:rPr>
          <w:rFonts w:ascii="宋体" w:hAnsi="宋体" w:cs="宋体"/>
          <w:color w:val="auto"/>
          <w:sz w:val="24"/>
          <w:szCs w:val="24"/>
          <w:u w:val="single"/>
        </w:rPr>
      </w:pPr>
    </w:p>
    <w:p>
      <w:pPr>
        <w:pStyle w:val="36"/>
        <w:tabs>
          <w:tab w:val="left" w:pos="4410"/>
        </w:tabs>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组织机构代码：</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组织机构代码：</w:t>
      </w:r>
      <w:r>
        <w:rPr>
          <w:rFonts w:hint="eastAsia" w:ascii="宋体" w:hAnsi="宋体" w:cs="宋体"/>
          <w:color w:val="auto"/>
          <w:sz w:val="24"/>
          <w:szCs w:val="24"/>
          <w:u w:val="single"/>
        </w:rPr>
        <w:t xml:space="preserve">          </w:t>
      </w: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地  址：</w:t>
      </w:r>
      <w:r>
        <w:rPr>
          <w:rFonts w:hint="eastAsia" w:ascii="宋体" w:hAnsi="宋体" w:cs="宋体"/>
          <w:color w:val="auto"/>
          <w:sz w:val="24"/>
          <w:szCs w:val="24"/>
          <w:u w:val="single"/>
        </w:rPr>
        <w:t xml:space="preserve">        </w:t>
      </w: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邮政编码：</w:t>
      </w:r>
      <w:r>
        <w:rPr>
          <w:rFonts w:hint="eastAsia" w:ascii="宋体" w:hAnsi="宋体" w:cs="宋体"/>
          <w:color w:val="auto"/>
          <w:sz w:val="24"/>
          <w:szCs w:val="24"/>
          <w:u w:val="single"/>
        </w:rPr>
        <w:t xml:space="preserve">      </w:t>
      </w:r>
      <w:r>
        <w:rPr>
          <w:rFonts w:hint="eastAsia" w:ascii="宋体" w:hAnsi="宋体" w:cs="宋体"/>
          <w:color w:val="auto"/>
          <w:sz w:val="24"/>
          <w:szCs w:val="24"/>
        </w:rPr>
        <w:t xml:space="preserve">                 邮政编码：</w:t>
      </w:r>
      <w:r>
        <w:rPr>
          <w:rFonts w:hint="eastAsia" w:ascii="宋体" w:hAnsi="宋体" w:cs="宋体"/>
          <w:color w:val="auto"/>
          <w:sz w:val="24"/>
          <w:szCs w:val="24"/>
          <w:u w:val="single"/>
        </w:rPr>
        <w:t xml:space="preserve">   </w:t>
      </w: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法定代表人：</w:t>
      </w:r>
      <w:r>
        <w:rPr>
          <w:rFonts w:hint="eastAsia" w:ascii="宋体" w:hAnsi="宋体" w:cs="宋体"/>
          <w:color w:val="auto"/>
          <w:sz w:val="24"/>
          <w:szCs w:val="24"/>
          <w:u w:val="single"/>
        </w:rPr>
        <w:t xml:space="preserve">             </w:t>
      </w: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委托代理人：</w:t>
      </w:r>
      <w:r>
        <w:rPr>
          <w:rFonts w:hint="eastAsia" w:ascii="宋体" w:hAnsi="宋体" w:cs="宋体"/>
          <w:color w:val="auto"/>
          <w:sz w:val="24"/>
          <w:szCs w:val="24"/>
          <w:u w:val="single"/>
        </w:rPr>
        <w:t xml:space="preserve">             </w:t>
      </w: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  话：</w:t>
      </w:r>
      <w:r>
        <w:rPr>
          <w:rFonts w:hint="eastAsia" w:ascii="宋体" w:hAnsi="宋体" w:cs="宋体"/>
          <w:color w:val="auto"/>
          <w:sz w:val="24"/>
          <w:szCs w:val="24"/>
          <w:u w:val="single"/>
        </w:rPr>
        <w:t xml:space="preserve">     </w:t>
      </w: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传  真：</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传  真：</w:t>
      </w:r>
      <w:r>
        <w:rPr>
          <w:rFonts w:hint="eastAsia" w:ascii="宋体" w:hAnsi="宋体" w:cs="宋体"/>
          <w:color w:val="auto"/>
          <w:sz w:val="24"/>
          <w:szCs w:val="24"/>
          <w:u w:val="single"/>
        </w:rPr>
        <w:t xml:space="preserve">     </w:t>
      </w: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电子信箱：                  电子信箱：</w:t>
      </w:r>
      <w:r>
        <w:rPr>
          <w:rFonts w:hint="eastAsia" w:ascii="宋体" w:hAnsi="宋体" w:cs="宋体"/>
          <w:color w:val="auto"/>
          <w:sz w:val="24"/>
          <w:szCs w:val="24"/>
          <w:u w:val="single"/>
        </w:rPr>
        <w:t xml:space="preserve">   </w:t>
      </w:r>
    </w:p>
    <w:p>
      <w:pPr>
        <w:pStyle w:val="36"/>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开户银行：</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开户银行：</w:t>
      </w:r>
      <w:r>
        <w:rPr>
          <w:rFonts w:hint="eastAsia" w:ascii="宋体" w:hAnsi="宋体" w:cs="宋体"/>
          <w:color w:val="auto"/>
          <w:sz w:val="24"/>
          <w:szCs w:val="24"/>
          <w:u w:val="single"/>
        </w:rPr>
        <w:t xml:space="preserve">   </w:t>
      </w:r>
    </w:p>
    <w:p>
      <w:pPr>
        <w:pStyle w:val="36"/>
        <w:adjustRightInd w:val="0"/>
        <w:snapToGrid w:val="0"/>
        <w:spacing w:line="460" w:lineRule="exact"/>
        <w:rPr>
          <w:rFonts w:ascii="宋体" w:hAnsi="宋体" w:cs="宋体"/>
          <w:color w:val="auto"/>
          <w:sz w:val="24"/>
          <w:szCs w:val="24"/>
          <w:u w:val="single"/>
        </w:rPr>
      </w:pPr>
      <w:r>
        <w:rPr>
          <w:rFonts w:hint="eastAsia" w:ascii="宋体" w:hAnsi="宋体" w:cs="宋体"/>
          <w:color w:val="auto"/>
          <w:sz w:val="24"/>
          <w:szCs w:val="24"/>
        </w:rPr>
        <w:t>账  号：</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账  号：</w:t>
      </w:r>
      <w:r>
        <w:rPr>
          <w:rFonts w:hint="eastAsia" w:ascii="宋体" w:hAnsi="宋体" w:cs="宋体"/>
          <w:color w:val="auto"/>
          <w:sz w:val="24"/>
          <w:szCs w:val="24"/>
          <w:u w:val="single"/>
        </w:rPr>
        <w:t xml:space="preserve">     </w:t>
      </w: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36"/>
        <w:rPr>
          <w:rFonts w:ascii="宋体" w:hAnsi="宋体" w:cs="宋体"/>
          <w:color w:val="auto"/>
          <w:szCs w:val="21"/>
          <w:u w:val="single"/>
        </w:rPr>
      </w:pPr>
    </w:p>
    <w:p>
      <w:pPr>
        <w:pStyle w:val="4"/>
        <w:numPr>
          <w:ilvl w:val="0"/>
          <w:numId w:val="2"/>
        </w:numPr>
        <w:jc w:val="center"/>
        <w:rPr>
          <w:rFonts w:ascii="宋体" w:hAnsi="宋体" w:eastAsia="宋体" w:cs="宋体"/>
          <w:color w:val="auto"/>
          <w:kern w:val="44"/>
          <w:sz w:val="30"/>
          <w:szCs w:val="30"/>
        </w:rPr>
      </w:pPr>
      <w:bookmarkStart w:id="151" w:name="_Toc491937848"/>
      <w:bookmarkStart w:id="152" w:name="_Toc351203494"/>
      <w:bookmarkStart w:id="153" w:name="_Toc12538"/>
      <w:bookmarkStart w:id="154" w:name="_Toc10110"/>
      <w:bookmarkStart w:id="155" w:name="_Toc18976"/>
      <w:r>
        <w:rPr>
          <w:rFonts w:hint="eastAsia" w:ascii="宋体" w:hAnsi="宋体" w:eastAsia="宋体" w:cs="宋体"/>
          <w:color w:val="auto"/>
          <w:kern w:val="44"/>
          <w:sz w:val="30"/>
          <w:szCs w:val="30"/>
        </w:rPr>
        <w:t>通用合同条款</w:t>
      </w:r>
      <w:bookmarkEnd w:id="151"/>
      <w:bookmarkEnd w:id="152"/>
      <w:bookmarkEnd w:id="153"/>
      <w:bookmarkEnd w:id="154"/>
      <w:bookmarkEnd w:id="155"/>
      <w:bookmarkStart w:id="156" w:name="_Toc337558727"/>
    </w:p>
    <w:bookmarkEnd w:id="156"/>
    <w:p>
      <w:pPr>
        <w:spacing w:line="360" w:lineRule="auto"/>
        <w:rPr>
          <w:rFonts w:ascii="宋体" w:hAnsi="宋体" w:cs="宋体"/>
          <w:color w:val="auto"/>
          <w:sz w:val="24"/>
        </w:rPr>
      </w:pPr>
      <w:r>
        <w:rPr>
          <w:rFonts w:hint="eastAsia" w:ascii="宋体" w:hAnsi="宋体" w:cs="宋体"/>
          <w:color w:val="auto"/>
          <w:sz w:val="24"/>
          <w:szCs w:val="24"/>
        </w:rPr>
        <w:t>“合同通用条款”，采用国家工商行政管理局和建设部颁发的《建设工程施工合同（示范文本）》（GF-2017-0201）的“合同通用条款”。</w:t>
      </w:r>
    </w:p>
    <w:p>
      <w:pPr>
        <w:rPr>
          <w:rFonts w:ascii="宋体" w:hAnsi="宋体" w:cs="宋体"/>
          <w:color w:val="auto"/>
          <w:highlight w:val="red"/>
        </w:rPr>
      </w:pPr>
    </w:p>
    <w:p>
      <w:pPr>
        <w:pStyle w:val="37"/>
        <w:spacing w:line="360" w:lineRule="auto"/>
        <w:jc w:val="center"/>
        <w:outlineLvl w:val="0"/>
        <w:rPr>
          <w:rFonts w:ascii="宋体" w:hAnsi="宋体" w:eastAsia="宋体" w:cs="宋体"/>
          <w:b/>
          <w:bCs/>
          <w:color w:val="auto"/>
          <w:kern w:val="44"/>
          <w:sz w:val="30"/>
          <w:szCs w:val="30"/>
        </w:rPr>
      </w:pPr>
      <w:bookmarkStart w:id="157" w:name="_Toc15316"/>
      <w:bookmarkStart w:id="158" w:name="_Toc407135193"/>
      <w:bookmarkStart w:id="159" w:name="_Toc7786"/>
      <w:bookmarkStart w:id="160" w:name="_Toc491937869"/>
      <w:bookmarkStart w:id="161" w:name="_Toc389065257"/>
      <w:r>
        <w:rPr>
          <w:rFonts w:hint="eastAsia" w:ascii="宋体" w:hAnsi="宋体" w:eastAsia="宋体" w:cs="宋体"/>
          <w:b/>
          <w:bCs/>
          <w:color w:val="auto"/>
          <w:kern w:val="44"/>
          <w:sz w:val="30"/>
          <w:szCs w:val="30"/>
        </w:rPr>
        <w:t>第三部分 专用合同条款</w:t>
      </w:r>
      <w:bookmarkEnd w:id="157"/>
      <w:bookmarkEnd w:id="158"/>
      <w:bookmarkEnd w:id="159"/>
      <w:bookmarkEnd w:id="160"/>
      <w:bookmarkEnd w:id="161"/>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62" w:name="_Toc389065258"/>
      <w:bookmarkStart w:id="163" w:name="_Toc407135194"/>
      <w:bookmarkStart w:id="164" w:name="_Toc15902"/>
      <w:bookmarkStart w:id="165" w:name="_Toc373478339"/>
      <w:bookmarkStart w:id="166" w:name="_Toc373227692"/>
      <w:bookmarkStart w:id="167" w:name="_Toc351203633"/>
      <w:bookmarkStart w:id="168" w:name="_Toc491937870"/>
      <w:r>
        <w:rPr>
          <w:rFonts w:hint="eastAsia" w:ascii="宋体" w:hAnsi="宋体" w:eastAsia="宋体" w:cs="宋体"/>
          <w:b/>
          <w:bCs/>
          <w:color w:val="auto"/>
          <w:kern w:val="2"/>
          <w:sz w:val="24"/>
          <w:szCs w:val="24"/>
        </w:rPr>
        <w:t>1</w:t>
      </w:r>
      <w:bookmarkStart w:id="169" w:name="_Toc296347155"/>
      <w:bookmarkStart w:id="170" w:name="_Toc296891196"/>
      <w:bookmarkStart w:id="171" w:name="_Toc296503156"/>
      <w:bookmarkStart w:id="172" w:name="_Toc297120456"/>
      <w:bookmarkStart w:id="173" w:name="_Toc292559866"/>
      <w:bookmarkStart w:id="174" w:name="_Toc292559361"/>
      <w:bookmarkStart w:id="175" w:name="_Toc296944495"/>
      <w:bookmarkStart w:id="176" w:name="_Toc296346657"/>
      <w:bookmarkStart w:id="177" w:name="_Toc296890984"/>
      <w:bookmarkStart w:id="178" w:name="_Toc297048342"/>
      <w:r>
        <w:rPr>
          <w:rFonts w:hint="eastAsia" w:ascii="宋体" w:hAnsi="宋体" w:eastAsia="宋体" w:cs="宋体"/>
          <w:b/>
          <w:bCs/>
          <w:color w:val="auto"/>
          <w:kern w:val="2"/>
          <w:sz w:val="24"/>
          <w:szCs w:val="24"/>
        </w:rPr>
        <w:t>. 一般约定</w:t>
      </w:r>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79" w:name="_Toc373227693"/>
      <w:bookmarkStart w:id="180" w:name="_Toc28857"/>
      <w:bookmarkStart w:id="181" w:name="_Toc389065259"/>
      <w:bookmarkStart w:id="182" w:name="_Toc407135195"/>
      <w:bookmarkStart w:id="183" w:name="_Toc373478340"/>
      <w:bookmarkStart w:id="184" w:name="_Toc491937871"/>
      <w:r>
        <w:rPr>
          <w:rFonts w:hint="eastAsia" w:ascii="宋体" w:hAnsi="宋体" w:eastAsia="宋体" w:cs="宋体"/>
          <w:b/>
          <w:bCs/>
          <w:color w:val="auto"/>
          <w:kern w:val="2"/>
          <w:sz w:val="24"/>
          <w:szCs w:val="24"/>
        </w:rPr>
        <w:t>1.1 词语定义</w:t>
      </w:r>
      <w:bookmarkEnd w:id="179"/>
      <w:bookmarkEnd w:id="180"/>
      <w:bookmarkEnd w:id="181"/>
      <w:bookmarkEnd w:id="182"/>
      <w:bookmarkEnd w:id="183"/>
      <w:bookmarkEnd w:id="184"/>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 合同</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sz w:val="24"/>
          <w:szCs w:val="24"/>
        </w:rPr>
        <w:t>1.1.1.10 其他合同文件包括：</w:t>
      </w:r>
      <w:r>
        <w:rPr>
          <w:rFonts w:hint="eastAsia" w:ascii="宋体" w:hAnsi="宋体" w:eastAsia="宋体" w:cs="宋体"/>
          <w:color w:val="auto"/>
          <w:kern w:val="2"/>
          <w:sz w:val="24"/>
          <w:szCs w:val="24"/>
          <w:u w:val="single"/>
        </w:rPr>
        <w:t xml:space="preserve">                                                   </w:t>
      </w:r>
    </w:p>
    <w:p>
      <w:pPr>
        <w:pStyle w:val="37"/>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1.1.2 合同当事人及其他相关方</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1.1.2.4 监理人：</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资质类别和等级：</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1.1.2.5 设计人：</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资质类别和等级：</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1.1.3 工程和设备</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1.1.3.7 作为施工现场组成部分的其他场所包括：</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kern w:val="2"/>
          <w:sz w:val="24"/>
          <w:szCs w:val="24"/>
          <w:u w:val="single"/>
        </w:rPr>
        <w:t xml:space="preserve">                       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1.1.3.10 临时占地包括：</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85" w:name="_Toc373227694"/>
      <w:bookmarkStart w:id="186" w:name="_Toc491937872"/>
      <w:bookmarkStart w:id="187" w:name="_Toc373478341"/>
      <w:bookmarkStart w:id="188" w:name="_Toc407135196"/>
      <w:bookmarkStart w:id="189" w:name="_Toc389065260"/>
      <w:bookmarkStart w:id="190" w:name="_Toc11635"/>
      <w:r>
        <w:rPr>
          <w:rFonts w:hint="eastAsia" w:ascii="宋体" w:hAnsi="宋体" w:eastAsia="宋体" w:cs="宋体"/>
          <w:b/>
          <w:bCs/>
          <w:color w:val="auto"/>
          <w:kern w:val="2"/>
          <w:sz w:val="24"/>
          <w:szCs w:val="24"/>
        </w:rPr>
        <w:t>1.3 法律</w:t>
      </w:r>
      <w:bookmarkEnd w:id="185"/>
      <w:bookmarkEnd w:id="186"/>
      <w:bookmarkEnd w:id="187"/>
      <w:bookmarkEnd w:id="188"/>
      <w:bookmarkEnd w:id="189"/>
      <w:bookmarkEnd w:id="190"/>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适用于合同的其他规范性文件：</w:t>
      </w:r>
      <w:r>
        <w:rPr>
          <w:rFonts w:hint="eastAsia" w:ascii="宋体" w:hAnsi="宋体" w:eastAsia="宋体" w:cs="宋体"/>
          <w:color w:val="auto"/>
          <w:kern w:val="2"/>
          <w:sz w:val="24"/>
          <w:szCs w:val="24"/>
          <w:u w:val="single"/>
        </w:rPr>
        <w:t xml:space="preserve">                                   </w:t>
      </w:r>
    </w:p>
    <w:p>
      <w:pPr>
        <w:pStyle w:val="37"/>
        <w:autoSpaceDE w:val="0"/>
        <w:autoSpaceDN w:val="0"/>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91" w:name="_Toc7313"/>
      <w:bookmarkStart w:id="192" w:name="_Toc373478342"/>
      <w:bookmarkStart w:id="193" w:name="_Toc389065261"/>
      <w:bookmarkStart w:id="194" w:name="_Toc407135197"/>
      <w:bookmarkStart w:id="195" w:name="_Toc373227695"/>
      <w:bookmarkStart w:id="196" w:name="_Toc491937873"/>
      <w:r>
        <w:rPr>
          <w:rFonts w:hint="eastAsia" w:ascii="宋体" w:hAnsi="宋体" w:eastAsia="宋体" w:cs="宋体"/>
          <w:b/>
          <w:bCs/>
          <w:color w:val="auto"/>
          <w:kern w:val="2"/>
          <w:sz w:val="24"/>
          <w:szCs w:val="24"/>
        </w:rPr>
        <w:t>1.4 标准和规范</w:t>
      </w:r>
      <w:bookmarkEnd w:id="191"/>
      <w:bookmarkEnd w:id="192"/>
      <w:bookmarkEnd w:id="193"/>
      <w:bookmarkEnd w:id="194"/>
      <w:bookmarkEnd w:id="195"/>
      <w:bookmarkEnd w:id="196"/>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1.4.1 适用于工程的标准规范包括：</w:t>
      </w:r>
      <w:r>
        <w:rPr>
          <w:rFonts w:hint="eastAsia" w:ascii="宋体" w:hAnsi="宋体" w:eastAsia="宋体" w:cs="宋体"/>
          <w:color w:val="auto"/>
          <w:kern w:val="2"/>
          <w:sz w:val="24"/>
          <w:szCs w:val="24"/>
          <w:u w:val="single"/>
        </w:rPr>
        <w:t xml:space="preserve">                                   </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kern w:val="2"/>
          <w:sz w:val="24"/>
          <w:szCs w:val="24"/>
          <w:u w:val="single"/>
        </w:rPr>
        <w:t xml:space="preserve">                             </w:t>
      </w:r>
    </w:p>
    <w:p>
      <w:pPr>
        <w:pStyle w:val="37"/>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1.4.3 发包人对工程的技术标准和功能要求的特殊要求：</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97" w:name="_Toc373478343"/>
      <w:bookmarkStart w:id="198" w:name="_Toc407135198"/>
      <w:bookmarkStart w:id="199" w:name="_Toc373227696"/>
      <w:bookmarkStart w:id="200" w:name="_Toc389065262"/>
      <w:bookmarkStart w:id="201" w:name="_Toc13954"/>
      <w:bookmarkStart w:id="202" w:name="_Toc491937874"/>
      <w:r>
        <w:rPr>
          <w:rFonts w:hint="eastAsia" w:ascii="宋体" w:hAnsi="宋体" w:eastAsia="宋体" w:cs="宋体"/>
          <w:b/>
          <w:bCs/>
          <w:color w:val="auto"/>
          <w:kern w:val="2"/>
          <w:sz w:val="24"/>
          <w:szCs w:val="24"/>
        </w:rPr>
        <w:t>1.5 合同文件的优先顺序</w:t>
      </w:r>
      <w:bookmarkEnd w:id="197"/>
      <w:bookmarkEnd w:id="198"/>
      <w:bookmarkEnd w:id="199"/>
      <w:bookmarkEnd w:id="200"/>
      <w:bookmarkEnd w:id="201"/>
      <w:bookmarkEnd w:id="202"/>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合同文件组成及优先顺序为：</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（1）合同协议书</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（2）成交通知书（如果有）</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（3）投标函及其附录（如果有）</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（4）专用合同条款及其附件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（5）通用合同条款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sz w:val="24"/>
          <w:szCs w:val="24"/>
        </w:rPr>
        <w:t>说明：（6）、（7）、（8）、（9）填空内容分别限于技术标准和要求、图纸、已标价工程量清单或预算书、其他合同文件四者之一，其优先顺序可根据采取的不同合同方式由双方约定。</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03" w:name="_Toc491937875"/>
      <w:bookmarkStart w:id="204" w:name="_Toc407135199"/>
      <w:bookmarkStart w:id="205" w:name="_Toc389065263"/>
      <w:bookmarkStart w:id="206" w:name="_Toc373478344"/>
      <w:bookmarkStart w:id="207" w:name="_Toc373227697"/>
      <w:bookmarkStart w:id="208" w:name="_Toc27964"/>
      <w:r>
        <w:rPr>
          <w:rFonts w:hint="eastAsia" w:ascii="宋体" w:hAnsi="宋体" w:eastAsia="宋体" w:cs="宋体"/>
          <w:b/>
          <w:bCs/>
          <w:color w:val="auto"/>
          <w:kern w:val="2"/>
          <w:sz w:val="24"/>
          <w:szCs w:val="24"/>
        </w:rPr>
        <w:t>1.6 图纸和承包人文件</w:t>
      </w:r>
      <w:bookmarkEnd w:id="203"/>
      <w:bookmarkEnd w:id="204"/>
      <w:bookmarkEnd w:id="205"/>
      <w:bookmarkEnd w:id="206"/>
      <w:bookmarkEnd w:id="207"/>
      <w:bookmarkEnd w:id="208"/>
      <w:r>
        <w:rPr>
          <w:rFonts w:hint="eastAsia" w:ascii="宋体" w:hAnsi="宋体" w:eastAsia="宋体" w:cs="宋体"/>
          <w:b/>
          <w:bCs/>
          <w:color w:val="auto"/>
          <w:kern w:val="2"/>
          <w:sz w:val="24"/>
          <w:szCs w:val="24"/>
        </w:rPr>
        <w:tab/>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1.6.1 图纸的提供</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发包人向承包人提供图纸的期限：</w:t>
      </w:r>
      <w:r>
        <w:rPr>
          <w:rFonts w:hint="eastAsia" w:ascii="宋体" w:hAnsi="宋体" w:eastAsia="宋体" w:cs="宋体"/>
          <w:color w:val="auto"/>
          <w:kern w:val="2"/>
          <w:sz w:val="24"/>
          <w:szCs w:val="24"/>
          <w:u w:val="single"/>
        </w:rPr>
        <w:t>自签订合同之日起10个工作日内</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发包人向承包人提供图纸的数量：</w:t>
      </w:r>
      <w:r>
        <w:rPr>
          <w:rFonts w:hint="eastAsia" w:ascii="宋体" w:hAnsi="宋体" w:eastAsia="宋体" w:cs="宋体"/>
          <w:color w:val="auto"/>
          <w:kern w:val="2"/>
          <w:sz w:val="24"/>
          <w:szCs w:val="24"/>
          <w:u w:val="single"/>
        </w:rPr>
        <w:t>1套，承包人需要增加图纸套数的，发包人应代为复制，复制费用由承包人承担</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发包人向承包人提供图纸的内容：</w:t>
      </w:r>
      <w:r>
        <w:rPr>
          <w:rFonts w:hint="eastAsia" w:ascii="宋体" w:hAnsi="宋体" w:eastAsia="宋体" w:cs="宋体"/>
          <w:color w:val="auto"/>
          <w:kern w:val="2"/>
          <w:sz w:val="24"/>
          <w:szCs w:val="24"/>
          <w:u w:val="single"/>
        </w:rPr>
        <w:t xml:space="preserve">经图审合格后的所有图纸资料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1.6.4 承包人文件</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需要由承包人提供的文件，包括：</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承包人提供的文件的期限为：</w:t>
      </w:r>
      <w:r>
        <w:rPr>
          <w:rFonts w:hint="eastAsia" w:ascii="宋体" w:hAnsi="宋体" w:eastAsia="宋体" w:cs="宋体"/>
          <w:color w:val="auto"/>
          <w:kern w:val="2"/>
          <w:sz w:val="24"/>
          <w:szCs w:val="24"/>
          <w:u w:val="single"/>
        </w:rPr>
        <w:t>     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承包人提供的文件的数量为：</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承包人提供的文件的形式为：</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发包人审批承包人文件的期限：</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1.6.5 现场图纸准备</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关于现场图纸准备的约定：</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09" w:name="_Toc389065264"/>
      <w:bookmarkStart w:id="210" w:name="_Toc491937876"/>
      <w:bookmarkStart w:id="211" w:name="_Toc407135200"/>
      <w:bookmarkStart w:id="212" w:name="_Toc373478345"/>
      <w:bookmarkStart w:id="213" w:name="_Toc19482"/>
      <w:bookmarkStart w:id="214" w:name="_Toc373227698"/>
      <w:r>
        <w:rPr>
          <w:rFonts w:hint="eastAsia" w:ascii="宋体" w:hAnsi="宋体" w:eastAsia="宋体" w:cs="宋体"/>
          <w:b/>
          <w:bCs/>
          <w:color w:val="auto"/>
          <w:kern w:val="2"/>
          <w:sz w:val="24"/>
          <w:szCs w:val="24"/>
        </w:rPr>
        <w:t>1.7 联络</w:t>
      </w:r>
      <w:bookmarkEnd w:id="209"/>
      <w:bookmarkEnd w:id="210"/>
      <w:bookmarkEnd w:id="211"/>
      <w:bookmarkEnd w:id="212"/>
      <w:bookmarkEnd w:id="213"/>
      <w:bookmarkEnd w:id="214"/>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1.7.1发包人和承包人应当在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kern w:val="2"/>
          <w:sz w:val="24"/>
          <w:szCs w:val="24"/>
          <w:u w:val="single"/>
        </w:rPr>
        <w:t>     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kern w:val="2"/>
          <w:sz w:val="24"/>
          <w:szCs w:val="24"/>
          <w:u w:val="single"/>
        </w:rPr>
        <w:t>          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承包人接收文件的地点：</w:t>
      </w:r>
      <w:r>
        <w:rPr>
          <w:rFonts w:hint="eastAsia" w:ascii="宋体" w:hAnsi="宋体" w:eastAsia="宋体" w:cs="宋体"/>
          <w:color w:val="auto"/>
          <w:kern w:val="2"/>
          <w:sz w:val="24"/>
          <w:szCs w:val="24"/>
          <w:u w:val="single"/>
        </w:rPr>
        <w:t> 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承包人指定的接收人为：</w:t>
      </w:r>
      <w:r>
        <w:rPr>
          <w:rFonts w:hint="eastAsia" w:ascii="宋体" w:hAnsi="宋体" w:eastAsia="宋体" w:cs="宋体"/>
          <w:color w:val="auto"/>
          <w:kern w:val="2"/>
          <w:sz w:val="24"/>
          <w:szCs w:val="24"/>
          <w:u w:val="single"/>
        </w:rPr>
        <w:t> 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kern w:val="2"/>
          <w:sz w:val="24"/>
          <w:szCs w:val="24"/>
          <w:u w:val="single"/>
        </w:rPr>
        <w:t>         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kern w:val="2"/>
          <w:sz w:val="24"/>
          <w:szCs w:val="24"/>
          <w:u w:val="single"/>
        </w:rPr>
        <w:t>            </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15" w:name="_Toc373478346"/>
      <w:bookmarkStart w:id="216" w:name="_Toc389065265"/>
      <w:bookmarkStart w:id="217" w:name="_Toc373227699"/>
      <w:bookmarkStart w:id="218" w:name="_Toc13391"/>
      <w:bookmarkStart w:id="219" w:name="_Toc491937877"/>
      <w:bookmarkStart w:id="220" w:name="_Toc407135201"/>
      <w:r>
        <w:rPr>
          <w:rFonts w:hint="eastAsia" w:ascii="宋体" w:hAnsi="宋体" w:eastAsia="宋体" w:cs="宋体"/>
          <w:b/>
          <w:bCs/>
          <w:color w:val="auto"/>
          <w:kern w:val="2"/>
          <w:sz w:val="24"/>
          <w:szCs w:val="24"/>
        </w:rPr>
        <w:t>1.10 交通运输</w:t>
      </w:r>
      <w:bookmarkEnd w:id="215"/>
      <w:bookmarkEnd w:id="216"/>
      <w:bookmarkEnd w:id="217"/>
      <w:bookmarkEnd w:id="218"/>
      <w:bookmarkEnd w:id="219"/>
      <w:bookmarkEnd w:id="220"/>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w:t>
      </w:r>
      <w:bookmarkStart w:id="221" w:name="_Toc300934943"/>
      <w:bookmarkStart w:id="222" w:name="_Toc303539100"/>
      <w:bookmarkStart w:id="223" w:name="_Toc312677986"/>
      <w:bookmarkStart w:id="224" w:name="_Toc318581155"/>
      <w:bookmarkStart w:id="225" w:name="_Toc304295521"/>
      <w:r>
        <w:rPr>
          <w:rFonts w:hint="eastAsia" w:ascii="宋体" w:hAnsi="宋体" w:eastAsia="宋体" w:cs="宋体"/>
          <w:color w:val="auto"/>
          <w:kern w:val="2"/>
          <w:sz w:val="24"/>
          <w:szCs w:val="24"/>
        </w:rPr>
        <w:t>.10.1 出入现场的权利</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关于出入现场的权利的约定：</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bookmarkEnd w:id="221"/>
    <w:bookmarkEnd w:id="222"/>
    <w:bookmarkEnd w:id="223"/>
    <w:bookmarkEnd w:id="224"/>
    <w:bookmarkEnd w:id="225"/>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w:t>
      </w:r>
      <w:bookmarkStart w:id="226" w:name="_Toc318581156"/>
      <w:bookmarkStart w:id="227" w:name="_Toc312677987"/>
      <w:bookmarkStart w:id="228" w:name="_Toc303539101"/>
      <w:bookmarkStart w:id="229" w:name="_Toc304295522"/>
      <w:bookmarkStart w:id="230" w:name="_Toc300934944"/>
      <w:r>
        <w:rPr>
          <w:rFonts w:hint="eastAsia" w:ascii="宋体" w:hAnsi="宋体" w:eastAsia="宋体" w:cs="宋体"/>
          <w:color w:val="auto"/>
          <w:kern w:val="2"/>
          <w:sz w:val="24"/>
          <w:szCs w:val="24"/>
        </w:rPr>
        <w:t>.10.3 场内交通</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关于发包人向承包人免费提供满足工程施工需要的场内道路和交通设施的约定：</w:t>
      </w:r>
      <w:r>
        <w:rPr>
          <w:rFonts w:hint="eastAsia" w:ascii="宋体" w:hAnsi="宋体" w:eastAsia="宋体" w:cs="宋体"/>
          <w:color w:val="auto"/>
          <w:kern w:val="2"/>
          <w:sz w:val="24"/>
          <w:szCs w:val="24"/>
          <w:u w:val="single"/>
        </w:rPr>
        <w:t xml:space="preserve">                                    </w:t>
      </w:r>
      <w:r>
        <w:rPr>
          <w:rFonts w:hint="eastAsia" w:ascii="宋体" w:hAnsi="宋体" w:eastAsia="宋体" w:cs="宋体"/>
          <w:color w:val="auto"/>
          <w:kern w:val="2"/>
          <w:sz w:val="24"/>
          <w:szCs w:val="24"/>
        </w:rPr>
        <w:t>。</w:t>
      </w:r>
      <w:bookmarkEnd w:id="226"/>
      <w:bookmarkEnd w:id="227"/>
      <w:bookmarkEnd w:id="228"/>
      <w:bookmarkEnd w:id="229"/>
      <w:bookmarkEnd w:id="230"/>
      <w:bookmarkStart w:id="231" w:name="_Toc318581157"/>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1.10.4 超大件和超重件的运输</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运输超大件或超重件所需的道路和桥梁临时加固改造费用和其他有关费用由承担。</w:t>
      </w:r>
    </w:p>
    <w:bookmarkEnd w:id="231"/>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32" w:name="_Toc373478347"/>
      <w:bookmarkStart w:id="233" w:name="_Toc373227700"/>
      <w:bookmarkStart w:id="234" w:name="_Toc882"/>
      <w:bookmarkStart w:id="235" w:name="_Toc407135202"/>
      <w:bookmarkStart w:id="236" w:name="_Toc491937878"/>
      <w:bookmarkStart w:id="237" w:name="_Toc389065266"/>
      <w:r>
        <w:rPr>
          <w:rFonts w:hint="eastAsia" w:ascii="宋体" w:hAnsi="宋体" w:eastAsia="宋体" w:cs="宋体"/>
          <w:b/>
          <w:bCs/>
          <w:color w:val="auto"/>
          <w:kern w:val="2"/>
          <w:sz w:val="24"/>
          <w:szCs w:val="24"/>
        </w:rPr>
        <w:t>1.11 知识产权</w:t>
      </w:r>
      <w:bookmarkEnd w:id="232"/>
      <w:bookmarkEnd w:id="233"/>
      <w:bookmarkEnd w:id="234"/>
      <w:bookmarkEnd w:id="235"/>
      <w:bookmarkEnd w:id="236"/>
      <w:bookmarkEnd w:id="237"/>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2"/>
          <w:sz w:val="24"/>
          <w:szCs w:val="24"/>
          <w:u w:val="single"/>
        </w:rPr>
        <w:t xml:space="preserve">     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关于发包人提供的上述文件的使用限制的要求：</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1.11.2 关于承包人为实施工程所编制文件的著作权的归属：</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关于承包人提供的上述文件的使用限制的要求：</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1.11.4 承包人在施工过程中所采用的专利、专有技术、技术秘密的使用费的承担方式：</w:t>
      </w:r>
      <w:r>
        <w:rPr>
          <w:rFonts w:hint="eastAsia" w:ascii="宋体" w:hAnsi="宋体" w:eastAsia="宋体" w:cs="宋体"/>
          <w:color w:val="auto"/>
          <w:kern w:val="2"/>
          <w:sz w:val="24"/>
          <w:szCs w:val="24"/>
          <w:u w:val="single"/>
        </w:rPr>
        <w:t></w:t>
      </w:r>
    </w:p>
    <w:p>
      <w:pPr>
        <w:pStyle w:val="37"/>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38" w:name="_Toc31798"/>
      <w:bookmarkStart w:id="239" w:name="_Toc373227701"/>
      <w:bookmarkStart w:id="240" w:name="_Toc491937879"/>
      <w:bookmarkStart w:id="241" w:name="_Toc389065267"/>
      <w:bookmarkStart w:id="242" w:name="_Toc373478348"/>
      <w:bookmarkStart w:id="243" w:name="_Toc407135203"/>
      <w:r>
        <w:rPr>
          <w:rFonts w:hint="eastAsia" w:ascii="宋体" w:hAnsi="宋体" w:eastAsia="宋体" w:cs="宋体"/>
          <w:b/>
          <w:bCs/>
          <w:color w:val="auto"/>
          <w:kern w:val="2"/>
          <w:sz w:val="24"/>
          <w:szCs w:val="24"/>
        </w:rPr>
        <w:t>1.13工程量清单错误的修正</w:t>
      </w:r>
      <w:bookmarkEnd w:id="238"/>
      <w:bookmarkEnd w:id="239"/>
      <w:bookmarkEnd w:id="240"/>
      <w:bookmarkEnd w:id="241"/>
      <w:bookmarkEnd w:id="242"/>
      <w:bookmarkEnd w:id="243"/>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出现工程量清单工程量偏差时，是否调整合同价格：</w:t>
      </w: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允许调整合同价格的工程量偏差范围及其调整办法：</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244" w:name="_Toc373227702"/>
      <w:bookmarkStart w:id="245" w:name="_Toc373478349"/>
      <w:bookmarkStart w:id="246" w:name="_Toc407135204"/>
      <w:bookmarkStart w:id="247" w:name="_Toc10000"/>
      <w:bookmarkStart w:id="248" w:name="_Toc351203634"/>
      <w:bookmarkStart w:id="249" w:name="_Toc389065268"/>
      <w:bookmarkStart w:id="250" w:name="_Toc491937880"/>
      <w:r>
        <w:rPr>
          <w:rFonts w:hint="eastAsia" w:ascii="宋体" w:hAnsi="宋体" w:eastAsia="宋体" w:cs="宋体"/>
          <w:b/>
          <w:bCs/>
          <w:color w:val="auto"/>
          <w:kern w:val="2"/>
          <w:sz w:val="24"/>
          <w:szCs w:val="24"/>
        </w:rPr>
        <w:t>2</w:t>
      </w:r>
      <w:bookmarkStart w:id="251" w:name="_Toc296944496"/>
      <w:bookmarkStart w:id="252" w:name="_Toc292559362"/>
      <w:bookmarkStart w:id="253" w:name="_Toc296347156"/>
      <w:bookmarkStart w:id="254" w:name="_Toc297048343"/>
      <w:bookmarkStart w:id="255" w:name="_Toc296503157"/>
      <w:bookmarkStart w:id="256" w:name="_Toc297120457"/>
      <w:bookmarkStart w:id="257" w:name="_Toc296891197"/>
      <w:bookmarkStart w:id="258" w:name="_Toc292559867"/>
      <w:bookmarkStart w:id="259" w:name="_Toc296346658"/>
      <w:bookmarkStart w:id="260" w:name="_Toc296890985"/>
      <w:r>
        <w:rPr>
          <w:rFonts w:hint="eastAsia" w:ascii="宋体" w:hAnsi="宋体" w:eastAsia="宋体" w:cs="宋体"/>
          <w:b/>
          <w:bCs/>
          <w:color w:val="auto"/>
          <w:kern w:val="2"/>
          <w:sz w:val="24"/>
          <w:szCs w:val="24"/>
        </w:rPr>
        <w:t>. 发包人</w:t>
      </w:r>
      <w:bookmarkEnd w:id="244"/>
      <w:bookmarkEnd w:id="245"/>
      <w:bookmarkEnd w:id="246"/>
      <w:bookmarkEnd w:id="247"/>
      <w:bookmarkEnd w:id="248"/>
      <w:bookmarkEnd w:id="249"/>
      <w:bookmarkEnd w:id="250"/>
    </w:p>
    <w:bookmarkEnd w:id="251"/>
    <w:bookmarkEnd w:id="252"/>
    <w:bookmarkEnd w:id="253"/>
    <w:bookmarkEnd w:id="254"/>
    <w:bookmarkEnd w:id="255"/>
    <w:bookmarkEnd w:id="256"/>
    <w:bookmarkEnd w:id="257"/>
    <w:bookmarkEnd w:id="258"/>
    <w:bookmarkEnd w:id="259"/>
    <w:bookmarkEnd w:id="260"/>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61" w:name="_Toc373227703"/>
      <w:bookmarkStart w:id="262" w:name="_Toc373478350"/>
      <w:bookmarkStart w:id="263" w:name="_Toc491937881"/>
      <w:bookmarkStart w:id="264" w:name="_Toc20481"/>
      <w:bookmarkStart w:id="265" w:name="_Toc389065269"/>
      <w:bookmarkStart w:id="266" w:name="_Toc407135205"/>
      <w:r>
        <w:rPr>
          <w:rFonts w:hint="eastAsia" w:ascii="宋体" w:hAnsi="宋体" w:eastAsia="宋体" w:cs="宋体"/>
          <w:b/>
          <w:bCs/>
          <w:color w:val="auto"/>
          <w:kern w:val="2"/>
          <w:sz w:val="24"/>
          <w:szCs w:val="24"/>
        </w:rPr>
        <w:t>2.2 发包人代表</w:t>
      </w:r>
      <w:bookmarkEnd w:id="261"/>
      <w:bookmarkEnd w:id="262"/>
      <w:bookmarkEnd w:id="263"/>
      <w:bookmarkEnd w:id="264"/>
      <w:bookmarkEnd w:id="265"/>
      <w:bookmarkEnd w:id="266"/>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发包人代表：</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姓    名：</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身份证号：</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职    务：</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发包人对发包人代表的授权范围如下：</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67" w:name="_Toc389065270"/>
      <w:bookmarkStart w:id="268" w:name="_Toc373227704"/>
      <w:bookmarkStart w:id="269" w:name="_Toc407135206"/>
      <w:bookmarkStart w:id="270" w:name="_Toc491937882"/>
      <w:bookmarkStart w:id="271" w:name="_Toc373478351"/>
      <w:bookmarkStart w:id="272" w:name="_Toc24033"/>
      <w:r>
        <w:rPr>
          <w:rFonts w:hint="eastAsia" w:ascii="宋体" w:hAnsi="宋体" w:eastAsia="宋体" w:cs="宋体"/>
          <w:b/>
          <w:bCs/>
          <w:color w:val="auto"/>
          <w:kern w:val="2"/>
          <w:sz w:val="24"/>
          <w:szCs w:val="24"/>
        </w:rPr>
        <w:t>2.4 施工现场、施工条件和基础资料的提供</w:t>
      </w:r>
      <w:bookmarkEnd w:id="267"/>
      <w:bookmarkEnd w:id="268"/>
      <w:bookmarkEnd w:id="269"/>
      <w:bookmarkEnd w:id="270"/>
      <w:bookmarkEnd w:id="271"/>
      <w:bookmarkEnd w:id="272"/>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2.4.1 提供施工现场</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关于发包人移交施工现场的期限要求：</w:t>
      </w:r>
      <w:r>
        <w:rPr>
          <w:rFonts w:hint="eastAsia" w:ascii="宋体" w:hAnsi="宋体" w:eastAsia="宋体" w:cs="宋体"/>
          <w:color w:val="auto"/>
          <w:kern w:val="2"/>
          <w:sz w:val="24"/>
          <w:szCs w:val="24"/>
          <w:u w:val="single"/>
        </w:rPr>
        <w:t xml:space="preserve">             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2.4.2 提供施工条件</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关于发包人应负责提供施工所需要的条件，包括：</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73" w:name="_Toc491937883"/>
      <w:bookmarkStart w:id="274" w:name="_Toc373227705"/>
      <w:bookmarkStart w:id="275" w:name="_Toc407135207"/>
      <w:bookmarkStart w:id="276" w:name="_Toc389065271"/>
      <w:bookmarkStart w:id="277" w:name="_Toc19100"/>
      <w:bookmarkStart w:id="278" w:name="_Toc373478352"/>
      <w:r>
        <w:rPr>
          <w:rFonts w:hint="eastAsia" w:ascii="宋体" w:hAnsi="宋体" w:eastAsia="宋体" w:cs="宋体"/>
          <w:b/>
          <w:bCs/>
          <w:color w:val="auto"/>
          <w:kern w:val="2"/>
          <w:sz w:val="24"/>
          <w:szCs w:val="24"/>
        </w:rPr>
        <w:t>2.5 资金来源证明及支付担保</w:t>
      </w:r>
      <w:bookmarkEnd w:id="273"/>
      <w:bookmarkEnd w:id="274"/>
      <w:bookmarkEnd w:id="275"/>
      <w:bookmarkEnd w:id="276"/>
      <w:bookmarkEnd w:id="277"/>
      <w:bookmarkEnd w:id="278"/>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发包人提供资金来源证明的期限要求：</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发包人是否提供支付担保：</w:t>
      </w: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发包人提供支付担保的形式：</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发包人提供的支付担保格式见合同附件2</w:t>
      </w:r>
      <w:r>
        <w:rPr>
          <w:rFonts w:hint="eastAsia" w:ascii="宋体" w:hAnsi="宋体" w:eastAsia="宋体" w:cs="宋体"/>
          <w:i w:val="0"/>
          <w:iCs w:val="0"/>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279" w:name="_Toc28678"/>
      <w:bookmarkStart w:id="280" w:name="_Toc373478353"/>
      <w:bookmarkStart w:id="281" w:name="_Toc389065272"/>
      <w:bookmarkStart w:id="282" w:name="_Toc407135208"/>
      <w:bookmarkStart w:id="283" w:name="_Toc491937884"/>
      <w:bookmarkStart w:id="284" w:name="_Toc351203635"/>
      <w:bookmarkStart w:id="285" w:name="_Toc373227706"/>
      <w:r>
        <w:rPr>
          <w:rFonts w:hint="eastAsia" w:ascii="宋体" w:hAnsi="宋体" w:eastAsia="宋体" w:cs="宋体"/>
          <w:b/>
          <w:bCs/>
          <w:color w:val="auto"/>
          <w:kern w:val="2"/>
          <w:sz w:val="24"/>
          <w:szCs w:val="24"/>
        </w:rPr>
        <w:t>3</w:t>
      </w:r>
      <w:bookmarkStart w:id="286" w:name="_Toc296346659"/>
      <w:bookmarkStart w:id="287" w:name="_Toc296891198"/>
      <w:bookmarkStart w:id="288" w:name="_Toc297120458"/>
      <w:bookmarkStart w:id="289" w:name="_Toc296347157"/>
      <w:bookmarkStart w:id="290" w:name="_Toc297048344"/>
      <w:bookmarkStart w:id="291" w:name="_Toc296944497"/>
      <w:bookmarkStart w:id="292" w:name="_Toc292559363"/>
      <w:bookmarkStart w:id="293" w:name="_Toc292559868"/>
      <w:bookmarkStart w:id="294" w:name="_Toc296890986"/>
      <w:bookmarkStart w:id="295" w:name="_Toc296503158"/>
      <w:r>
        <w:rPr>
          <w:rFonts w:hint="eastAsia" w:ascii="宋体" w:hAnsi="宋体" w:eastAsia="宋体" w:cs="宋体"/>
          <w:b/>
          <w:bCs/>
          <w:color w:val="auto"/>
          <w:kern w:val="2"/>
          <w:sz w:val="24"/>
          <w:szCs w:val="24"/>
        </w:rPr>
        <w:t>. 承包人</w:t>
      </w:r>
      <w:bookmarkEnd w:id="279"/>
      <w:bookmarkEnd w:id="280"/>
      <w:bookmarkEnd w:id="281"/>
      <w:bookmarkEnd w:id="282"/>
      <w:bookmarkEnd w:id="283"/>
      <w:bookmarkEnd w:id="284"/>
      <w:bookmarkEnd w:id="285"/>
    </w:p>
    <w:bookmarkEnd w:id="286"/>
    <w:bookmarkEnd w:id="287"/>
    <w:bookmarkEnd w:id="288"/>
    <w:bookmarkEnd w:id="289"/>
    <w:bookmarkEnd w:id="290"/>
    <w:bookmarkEnd w:id="291"/>
    <w:bookmarkEnd w:id="292"/>
    <w:bookmarkEnd w:id="293"/>
    <w:bookmarkEnd w:id="294"/>
    <w:bookmarkEnd w:id="295"/>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96" w:name="_Toc389065273"/>
      <w:bookmarkStart w:id="297" w:name="_Toc407135209"/>
      <w:bookmarkStart w:id="298" w:name="_Toc373478354"/>
      <w:bookmarkStart w:id="299" w:name="_Toc491937885"/>
      <w:bookmarkStart w:id="300" w:name="_Toc28899"/>
      <w:bookmarkStart w:id="301" w:name="_Toc373227707"/>
      <w:r>
        <w:rPr>
          <w:rFonts w:hint="eastAsia" w:ascii="宋体" w:hAnsi="宋体" w:eastAsia="宋体" w:cs="宋体"/>
          <w:b/>
          <w:bCs/>
          <w:color w:val="auto"/>
          <w:kern w:val="2"/>
          <w:sz w:val="24"/>
          <w:szCs w:val="24"/>
        </w:rPr>
        <w:t>3.1 承包人的一般义务</w:t>
      </w:r>
      <w:bookmarkEnd w:id="296"/>
      <w:bookmarkEnd w:id="297"/>
      <w:bookmarkEnd w:id="298"/>
      <w:bookmarkEnd w:id="299"/>
      <w:bookmarkEnd w:id="300"/>
      <w:bookmarkEnd w:id="301"/>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（9）</w:t>
      </w:r>
      <w:r>
        <w:rPr>
          <w:rFonts w:hint="eastAsia" w:ascii="宋体" w:hAnsi="宋体" w:eastAsia="宋体" w:cs="宋体"/>
          <w:color w:val="auto"/>
          <w:kern w:val="2"/>
          <w:sz w:val="24"/>
          <w:szCs w:val="24"/>
        </w:rPr>
        <w:t>承包人提交的竣工资料的内容：</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承包人需要提交的竣工资料套数：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left="424" w:leftChars="202"/>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承包人提交的竣工资料的费用承担：</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left="424" w:leftChars="202"/>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承包人提交的竣工资料移交时间：</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承包人提交的竣工资料形式要求：</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pPr>
        <w:pStyle w:val="37"/>
        <w:adjustRightInd w:val="0"/>
        <w:snapToGrid w:val="0"/>
        <w:spacing w:line="360" w:lineRule="auto"/>
        <w:ind w:firstLine="960" w:firstLineChars="400"/>
        <w:rPr>
          <w:rFonts w:ascii="宋体" w:hAnsi="宋体" w:eastAsia="宋体" w:cs="宋体"/>
          <w:color w:val="auto"/>
          <w:sz w:val="24"/>
          <w:szCs w:val="24"/>
        </w:rPr>
      </w:pPr>
      <w:r>
        <w:rPr>
          <w:rFonts w:hint="eastAsia" w:ascii="宋体" w:hAnsi="宋体" w:eastAsia="宋体" w:cs="宋体"/>
          <w:color w:val="auto"/>
          <w:sz w:val="24"/>
          <w:szCs w:val="24"/>
          <w:lang w:val="en-US" w:eastAsia="zh-CN"/>
        </w:rPr>
        <w:t>______________</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02" w:name="_Toc373227708"/>
      <w:bookmarkStart w:id="303" w:name="_Toc491937886"/>
      <w:bookmarkStart w:id="304" w:name="_Toc407135210"/>
      <w:bookmarkStart w:id="305" w:name="_Toc373478355"/>
      <w:bookmarkStart w:id="306" w:name="_Toc389065274"/>
      <w:bookmarkStart w:id="307" w:name="_Toc16170"/>
      <w:r>
        <w:rPr>
          <w:rFonts w:hint="eastAsia" w:ascii="宋体" w:hAnsi="宋体" w:eastAsia="宋体" w:cs="宋体"/>
          <w:b/>
          <w:bCs/>
          <w:color w:val="auto"/>
          <w:kern w:val="2"/>
          <w:sz w:val="24"/>
          <w:szCs w:val="24"/>
        </w:rPr>
        <w:t>3.2 项目经理</w:t>
      </w:r>
      <w:bookmarkEnd w:id="302"/>
      <w:bookmarkEnd w:id="303"/>
      <w:bookmarkEnd w:id="304"/>
      <w:bookmarkEnd w:id="305"/>
      <w:bookmarkEnd w:id="306"/>
      <w:bookmarkEnd w:id="307"/>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sz w:val="24"/>
          <w:szCs w:val="24"/>
        </w:rPr>
        <w:t xml:space="preserve">3.2.1 </w:t>
      </w:r>
      <w:r>
        <w:rPr>
          <w:rFonts w:hint="eastAsia" w:ascii="宋体" w:hAnsi="宋体" w:eastAsia="宋体" w:cs="宋体"/>
          <w:color w:val="auto"/>
          <w:kern w:val="2"/>
          <w:sz w:val="24"/>
          <w:szCs w:val="24"/>
        </w:rPr>
        <w:t>项目经理：</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姓    名：</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身份证号：</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建造师执业资格等级：</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建造师注册证书号：</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建造师执业印章号：</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安全生产考核合格证书号：</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承包人对项目经理的授权范围如下：</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 xml:space="preserve"> 。</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关于项目经理每月在施工现场的时间要求：</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sz w:val="24"/>
          <w:szCs w:val="24"/>
        </w:rPr>
        <w:t>承包人未提交劳动合同，以及没有为项目经理缴纳社会保险证明的违约责任：</w:t>
      </w:r>
    </w:p>
    <w:p>
      <w:pPr>
        <w:pStyle w:val="37"/>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9"/>
        <w:adjustRightInd w:val="0"/>
        <w:snapToGrid w:val="0"/>
        <w:spacing w:line="360" w:lineRule="auto"/>
        <w:ind w:firstLine="480" w:firstLineChars="200"/>
        <w:jc w:val="both"/>
        <w:rPr>
          <w:rFonts w:ascii="宋体" w:hAnsi="宋体" w:cs="宋体"/>
          <w:color w:val="auto"/>
          <w:sz w:val="24"/>
          <w:szCs w:val="24"/>
          <w:u w:val="single"/>
        </w:rPr>
      </w:pPr>
      <w:r>
        <w:rPr>
          <w:rFonts w:hint="eastAsia" w:ascii="宋体" w:hAnsi="宋体" w:cs="宋体"/>
          <w:color w:val="auto"/>
          <w:sz w:val="24"/>
          <w:szCs w:val="24"/>
        </w:rPr>
        <w:t>项目经理未经批准，擅自离开施工现场的违约责任：</w:t>
      </w:r>
      <w:r>
        <w:rPr>
          <w:rFonts w:hint="eastAsia" w:ascii="宋体" w:hAnsi="宋体" w:cs="宋体"/>
          <w:color w:val="auto"/>
          <w:sz w:val="24"/>
          <w:szCs w:val="24"/>
          <w:u w:val="single"/>
          <w:lang w:val="zh-CN"/>
        </w:rPr>
        <w:t>未经业主批准擅自离开施工现场的，承包人接到发包人通知后及时调回</w:t>
      </w:r>
    </w:p>
    <w:p>
      <w:pPr>
        <w:pStyle w:val="9"/>
        <w:adjustRightInd w:val="0"/>
        <w:snapToGrid w:val="0"/>
        <w:spacing w:line="360" w:lineRule="auto"/>
        <w:jc w:val="both"/>
        <w:rPr>
          <w:rFonts w:ascii="宋体" w:hAnsi="宋体" w:cs="宋体"/>
          <w:color w:val="auto"/>
          <w:sz w:val="24"/>
          <w:szCs w:val="24"/>
          <w:u w:val="single"/>
        </w:rPr>
      </w:pPr>
      <w:r>
        <w:rPr>
          <w:rFonts w:hint="eastAsia" w:ascii="宋体" w:hAnsi="宋体" w:cs="宋体"/>
          <w:color w:val="auto"/>
          <w:sz w:val="24"/>
          <w:szCs w:val="24"/>
        </w:rPr>
        <w:t>3.2.3 承包人擅自更换项目经理的违约责任：</w:t>
      </w:r>
      <w:r>
        <w:rPr>
          <w:rFonts w:hint="eastAsia" w:ascii="宋体" w:hAnsi="宋体" w:cs="宋体"/>
          <w:color w:val="auto"/>
          <w:sz w:val="24"/>
          <w:szCs w:val="24"/>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w:t>
      </w:r>
      <w:r>
        <w:rPr>
          <w:rFonts w:hint="eastAsia" w:ascii="宋体" w:hAnsi="宋体" w:cs="宋体"/>
          <w:color w:val="auto"/>
          <w:sz w:val="24"/>
          <w:szCs w:val="24"/>
          <w:u w:val="single"/>
          <w:lang w:val="zh-CN"/>
        </w:rPr>
        <w:t>未经业主和监理工程师审查批准，施工期间承包人不准擅自更换项目经理</w:t>
      </w:r>
    </w:p>
    <w:p>
      <w:pPr>
        <w:pStyle w:val="37"/>
        <w:adjustRightInd w:val="0"/>
        <w:snapToGrid w:val="0"/>
        <w:spacing w:line="360" w:lineRule="auto"/>
        <w:ind w:firstLine="480" w:firstLineChars="200"/>
        <w:rPr>
          <w:rFonts w:ascii="宋体" w:hAnsi="宋体" w:eastAsia="宋体" w:cs="宋体"/>
          <w:color w:val="auto"/>
          <w:kern w:val="2"/>
          <w:sz w:val="24"/>
          <w:szCs w:val="24"/>
          <w:u w:val="single"/>
          <w:lang w:val="zh-CN"/>
        </w:rPr>
      </w:pPr>
      <w:r>
        <w:rPr>
          <w:rFonts w:hint="eastAsia" w:ascii="宋体" w:hAnsi="宋体" w:eastAsia="宋体" w:cs="宋体"/>
          <w:color w:val="auto"/>
          <w:kern w:val="2"/>
          <w:sz w:val="24"/>
          <w:szCs w:val="24"/>
        </w:rPr>
        <w:t>3.2.4 承包人无正当理由拒绝更换项目经理的违约责任：</w:t>
      </w:r>
      <w:r>
        <w:rPr>
          <w:rFonts w:hint="eastAsia" w:ascii="宋体" w:hAnsi="宋体" w:eastAsia="宋体" w:cs="宋体"/>
          <w:color w:val="auto"/>
          <w:kern w:val="2"/>
          <w:sz w:val="24"/>
          <w:szCs w:val="24"/>
          <w:u w:val="single"/>
          <w:lang w:val="zh-CN"/>
        </w:rPr>
        <w:t>未经业主和监理工程师审查批准，施工期间承包人无正当理由拒绝更换项目经理。</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08" w:name="_Toc13611"/>
      <w:bookmarkStart w:id="309" w:name="_Toc373478356"/>
      <w:bookmarkStart w:id="310" w:name="_Toc373227709"/>
      <w:bookmarkStart w:id="311" w:name="_Toc389065275"/>
      <w:bookmarkStart w:id="312" w:name="_Toc491937887"/>
      <w:bookmarkStart w:id="313" w:name="_Toc407135211"/>
      <w:r>
        <w:rPr>
          <w:rFonts w:hint="eastAsia" w:ascii="宋体" w:hAnsi="宋体" w:eastAsia="宋体" w:cs="宋体"/>
          <w:b/>
          <w:bCs/>
          <w:color w:val="auto"/>
          <w:kern w:val="2"/>
          <w:sz w:val="24"/>
          <w:szCs w:val="24"/>
        </w:rPr>
        <w:t>3.3 承包人人员</w:t>
      </w:r>
      <w:bookmarkEnd w:id="308"/>
      <w:bookmarkEnd w:id="309"/>
      <w:bookmarkEnd w:id="310"/>
      <w:bookmarkEnd w:id="311"/>
      <w:bookmarkEnd w:id="312"/>
      <w:bookmarkEnd w:id="313"/>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3.3.1 承包人提交项目管理机构及施工现场管理人员安排报告（格式见合同附件3）的期限：</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3.3.3 承包人无正当理由拒绝撤换主要施工管理人员的违约责任：工期间承包人无正当理由拒绝更换主要施工管理人员，经发现不及时调回的，或虽然批准调换主要施工管理人员而不影响施工进度和质量的，承包人每次按本合同的通用条款“16.2.1”的约定承担违约责任。</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3.3.4 承包人主要施工管理人员离开施工现场的批准要求：。</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3.3.5 承包人擅自更换主要施工管理人员的违约责任：工期间承包人无正当理由拒绝更换主要施工管理人员，经发现不及时调回的，或虽然批准调换主要施工管理人员而不影响施工进度和质量的，承包人每次按本合同的通用条款“16.2.1”的约定承担违约责任。</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承包人主要施工管理人员擅自离开施工现场的违约责任：承包人的主要施工管理人员离开施工现场每月累计不超过5天的，应报监理人同意并通报发包人；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pStyle w:val="37"/>
        <w:adjustRightInd w:val="0"/>
        <w:snapToGrid w:val="0"/>
        <w:spacing w:line="360" w:lineRule="auto"/>
        <w:ind w:firstLine="480" w:firstLineChars="200"/>
        <w:rPr>
          <w:rFonts w:ascii="宋体" w:hAnsi="宋体" w:eastAsia="宋体" w:cs="宋体"/>
          <w:color w:val="auto"/>
          <w:kern w:val="2"/>
          <w:sz w:val="24"/>
          <w:szCs w:val="24"/>
        </w:rPr>
      </w:pP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14" w:name="_Toc491937888"/>
      <w:bookmarkStart w:id="315" w:name="_Toc373478357"/>
      <w:bookmarkStart w:id="316" w:name="_Toc373227710"/>
      <w:bookmarkStart w:id="317" w:name="_Toc389065276"/>
      <w:bookmarkStart w:id="318" w:name="_Toc30296"/>
      <w:bookmarkStart w:id="319" w:name="_Toc407135212"/>
      <w:r>
        <w:rPr>
          <w:rFonts w:hint="eastAsia" w:ascii="宋体" w:hAnsi="宋体" w:eastAsia="宋体" w:cs="宋体"/>
          <w:b/>
          <w:bCs/>
          <w:color w:val="auto"/>
          <w:kern w:val="2"/>
          <w:sz w:val="24"/>
          <w:szCs w:val="24"/>
        </w:rPr>
        <w:t>3</w:t>
      </w:r>
      <w:bookmarkStart w:id="320" w:name="_Toc297216151"/>
      <w:bookmarkStart w:id="321" w:name="_Toc304295523"/>
      <w:bookmarkStart w:id="322" w:name="_Toc312677988"/>
      <w:bookmarkStart w:id="323" w:name="_Toc297123492"/>
      <w:bookmarkStart w:id="324" w:name="_Toc303539102"/>
      <w:bookmarkStart w:id="325" w:name="_Toc297120459"/>
      <w:bookmarkStart w:id="326" w:name="_Toc296347158"/>
      <w:bookmarkStart w:id="327" w:name="_Toc296346660"/>
      <w:bookmarkStart w:id="328" w:name="_Toc292559869"/>
      <w:bookmarkStart w:id="329" w:name="_Toc296503159"/>
      <w:bookmarkStart w:id="330" w:name="_Toc297048345"/>
      <w:bookmarkStart w:id="331" w:name="_Toc296944498"/>
      <w:bookmarkStart w:id="332" w:name="_Toc296890987"/>
      <w:bookmarkStart w:id="333" w:name="_Toc292559364"/>
      <w:bookmarkStart w:id="334" w:name="_Toc296891199"/>
      <w:bookmarkStart w:id="335" w:name="_Toc300934945"/>
      <w:r>
        <w:rPr>
          <w:rFonts w:hint="eastAsia" w:ascii="宋体" w:hAnsi="宋体" w:eastAsia="宋体" w:cs="宋体"/>
          <w:b/>
          <w:bCs/>
          <w:color w:val="auto"/>
          <w:kern w:val="2"/>
          <w:sz w:val="24"/>
          <w:szCs w:val="24"/>
        </w:rPr>
        <w:t>.5 分包</w:t>
      </w:r>
      <w:bookmarkEnd w:id="314"/>
      <w:bookmarkEnd w:id="315"/>
      <w:bookmarkEnd w:id="316"/>
      <w:bookmarkEnd w:id="317"/>
      <w:bookmarkEnd w:id="318"/>
      <w:bookmarkEnd w:id="319"/>
    </w:p>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w:t>
      </w:r>
      <w:bookmarkStart w:id="336" w:name="_Toc296890988"/>
      <w:bookmarkStart w:id="337" w:name="_Toc296944499"/>
      <w:bookmarkStart w:id="338" w:name="_Toc292559365"/>
      <w:bookmarkStart w:id="339" w:name="_Toc297216152"/>
      <w:bookmarkStart w:id="340" w:name="_Toc296503160"/>
      <w:bookmarkStart w:id="341" w:name="_Toc304295524"/>
      <w:bookmarkStart w:id="342" w:name="_Toc300934946"/>
      <w:bookmarkStart w:id="343" w:name="_Toc296891200"/>
      <w:bookmarkStart w:id="344" w:name="_Toc292559870"/>
      <w:bookmarkStart w:id="345" w:name="_Toc297048346"/>
      <w:bookmarkStart w:id="346" w:name="_Toc318581158"/>
      <w:bookmarkStart w:id="347" w:name="_Toc296346661"/>
      <w:bookmarkStart w:id="348" w:name="_Toc303539103"/>
      <w:bookmarkStart w:id="349" w:name="_Toc296347159"/>
      <w:bookmarkStart w:id="350" w:name="_Toc297123493"/>
      <w:bookmarkStart w:id="351" w:name="_Toc312677989"/>
      <w:bookmarkStart w:id="352" w:name="_Toc297120460"/>
      <w:r>
        <w:rPr>
          <w:rFonts w:hint="eastAsia" w:ascii="宋体" w:hAnsi="宋体" w:eastAsia="宋体" w:cs="宋体"/>
          <w:color w:val="auto"/>
          <w:kern w:val="2"/>
          <w:sz w:val="24"/>
          <w:szCs w:val="24"/>
        </w:rPr>
        <w:t>.5.1 分包的一般约定</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禁止分包的工程包括：</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主体结构、关键性工作的范围：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w:t>
      </w:r>
      <w:bookmarkStart w:id="353" w:name="_Toc318581159"/>
      <w:bookmarkStart w:id="354" w:name="_Toc312677990"/>
      <w:r>
        <w:rPr>
          <w:rFonts w:hint="eastAsia" w:ascii="宋体" w:hAnsi="宋体" w:eastAsia="宋体" w:cs="宋体"/>
          <w:color w:val="auto"/>
          <w:kern w:val="2"/>
          <w:sz w:val="24"/>
          <w:szCs w:val="24"/>
        </w:rPr>
        <w:t>.5.2 分包的确定</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允许分包的专业工程包括：</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其他关于分包的约定：</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（2）在相关分包合同签订并报送有关建设行政主管部门备案后7天内，承包人应当将一份副本提交给监理人，承包人应保障分包工作不得再次分包。</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（3）未经承包人和监理人审批同意的分包工程和分包人，承包人有权拒绝验收分包工程和支付相应款项，由此引起的发包人费用增加和(或)延误的工期由发包人承担。</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（4）承包人有以下情况之一者，发包人有权解除合同：</w:t>
      </w:r>
    </w:p>
    <w:p>
      <w:pPr>
        <w:pStyle w:val="37"/>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①个人承包工程，包括本人单位及外单位人员承包，发包人不承认其个人拥有任何资质等级及营业许可资格。</w:t>
      </w:r>
    </w:p>
    <w:p>
      <w:pPr>
        <w:pStyle w:val="37"/>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②几个人联合承包工程，就地组织暗分包队伍，不具备完成本工程的技术、机械能力，被发包人判定为没有能力履行的承包人。</w:t>
      </w:r>
    </w:p>
    <w:p>
      <w:pPr>
        <w:pStyle w:val="37"/>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③就地转包全部的工程，以谋取高额转让费、管理费的承包人。</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④承包人有部分分包现象（其中包括冒充承包人下属单位的挂勾单位，凭口头协议参与施工的分包人及其他暗分包个体户），一经发现核实，发包人将采取驱逐该暗分包人措施。</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3.5.4 分包合同价款</w:t>
      </w:r>
    </w:p>
    <w:bookmarkEnd w:id="353"/>
    <w:bookmarkEnd w:id="354"/>
    <w:p>
      <w:pPr>
        <w:pStyle w:val="37"/>
        <w:adjustRightInd w:val="0"/>
        <w:snapToGrid w:val="0"/>
        <w:spacing w:line="360" w:lineRule="auto"/>
        <w:ind w:firstLine="480" w:firstLineChars="200"/>
        <w:rPr>
          <w:rFonts w:ascii="宋体" w:hAnsi="宋体" w:eastAsia="宋体" w:cs="宋体"/>
          <w:color w:val="auto"/>
          <w:kern w:val="2"/>
          <w:sz w:val="24"/>
          <w:szCs w:val="24"/>
        </w:rPr>
      </w:pPr>
      <w:bookmarkStart w:id="355" w:name="_Toc373478358"/>
      <w:bookmarkStart w:id="356" w:name="_Toc389065277"/>
      <w:bookmarkStart w:id="357" w:name="_Toc373227711"/>
      <w:r>
        <w:rPr>
          <w:rFonts w:hint="eastAsia" w:ascii="宋体" w:hAnsi="宋体" w:eastAsia="宋体" w:cs="宋体"/>
          <w:color w:val="auto"/>
          <w:kern w:val="2"/>
          <w:sz w:val="24"/>
          <w:szCs w:val="24"/>
        </w:rPr>
        <w:t>关于分包合同价款支付的约定：</w:t>
      </w:r>
      <w:r>
        <w:rPr>
          <w:rFonts w:hint="eastAsia" w:ascii="宋体" w:hAnsi="宋体" w:eastAsia="宋体" w:cs="宋体"/>
          <w:color w:val="auto"/>
          <w:kern w:val="2"/>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58" w:name="_Toc407135213"/>
      <w:bookmarkStart w:id="359" w:name="_Toc14388"/>
      <w:bookmarkStart w:id="360" w:name="_Toc491937889"/>
      <w:r>
        <w:rPr>
          <w:rFonts w:hint="eastAsia" w:ascii="宋体" w:hAnsi="宋体" w:eastAsia="宋体" w:cs="宋体"/>
          <w:b/>
          <w:bCs/>
          <w:color w:val="auto"/>
          <w:kern w:val="2"/>
          <w:sz w:val="24"/>
          <w:szCs w:val="24"/>
        </w:rPr>
        <w:t>3.6 工程照管与成品、半成品保护</w:t>
      </w:r>
      <w:bookmarkEnd w:id="355"/>
      <w:bookmarkEnd w:id="356"/>
      <w:bookmarkEnd w:id="357"/>
      <w:bookmarkEnd w:id="358"/>
      <w:bookmarkEnd w:id="359"/>
      <w:bookmarkEnd w:id="360"/>
    </w:p>
    <w:p>
      <w:pPr>
        <w:pStyle w:val="37"/>
        <w:adjustRightInd w:val="0"/>
        <w:snapToGrid w:val="0"/>
        <w:spacing w:line="36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承包人负责照管工程及工程相关的材料、工程设备的起始时间：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61" w:name="_Toc389065278"/>
      <w:bookmarkStart w:id="362" w:name="_Toc373478359"/>
      <w:bookmarkStart w:id="363" w:name="_Toc373227712"/>
      <w:bookmarkStart w:id="364" w:name="_Toc407135214"/>
      <w:bookmarkStart w:id="365" w:name="_Toc491937890"/>
      <w:bookmarkStart w:id="366" w:name="_Toc21927"/>
      <w:r>
        <w:rPr>
          <w:rFonts w:hint="eastAsia" w:ascii="宋体" w:hAnsi="宋体" w:eastAsia="宋体" w:cs="宋体"/>
          <w:b/>
          <w:bCs/>
          <w:color w:val="auto"/>
          <w:kern w:val="2"/>
          <w:sz w:val="24"/>
          <w:szCs w:val="24"/>
        </w:rPr>
        <w:t>3.7 履约</w:t>
      </w:r>
      <w:bookmarkEnd w:id="361"/>
      <w:bookmarkEnd w:id="362"/>
      <w:bookmarkEnd w:id="363"/>
      <w:r>
        <w:rPr>
          <w:rFonts w:hint="eastAsia" w:ascii="宋体" w:hAnsi="宋体" w:eastAsia="宋体" w:cs="宋体"/>
          <w:b/>
          <w:bCs/>
          <w:color w:val="auto"/>
          <w:kern w:val="2"/>
          <w:sz w:val="24"/>
          <w:szCs w:val="24"/>
        </w:rPr>
        <w:t>保证金</w:t>
      </w:r>
      <w:bookmarkEnd w:id="364"/>
      <w:bookmarkEnd w:id="365"/>
      <w:bookmarkEnd w:id="366"/>
    </w:p>
    <w:p>
      <w:pPr>
        <w:pStyle w:val="37"/>
        <w:adjustRightInd w:val="0"/>
        <w:snapToGrid w:val="0"/>
        <w:spacing w:line="360" w:lineRule="auto"/>
        <w:ind w:firstLine="480" w:firstLineChars="200"/>
        <w:rPr>
          <w:rFonts w:ascii="宋体" w:hAnsi="宋体" w:eastAsia="宋体" w:cs="宋体"/>
          <w:color w:val="auto"/>
          <w:kern w:val="2"/>
          <w:sz w:val="24"/>
          <w:szCs w:val="24"/>
          <w:u w:val="single"/>
        </w:rPr>
      </w:pPr>
      <w:bookmarkStart w:id="367" w:name="_Toc351203636"/>
      <w:bookmarkStart w:id="368" w:name="_Toc373478360"/>
      <w:bookmarkStart w:id="369" w:name="_Toc373227713"/>
      <w:bookmarkStart w:id="370" w:name="_Toc389065279"/>
      <w:r>
        <w:rPr>
          <w:rFonts w:hint="eastAsia" w:ascii="宋体" w:hAnsi="宋体" w:eastAsia="宋体" w:cs="宋体"/>
          <w:color w:val="auto"/>
          <w:kern w:val="2"/>
          <w:sz w:val="24"/>
          <w:szCs w:val="24"/>
          <w:u w:val="single"/>
        </w:rPr>
        <w:t>本项目无履约保证金。</w:t>
      </w:r>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371" w:name="_Toc15018"/>
      <w:bookmarkStart w:id="372" w:name="_Toc407135215"/>
      <w:bookmarkStart w:id="373" w:name="_Toc491937891"/>
      <w:r>
        <w:rPr>
          <w:rFonts w:hint="eastAsia" w:ascii="宋体" w:hAnsi="宋体" w:eastAsia="宋体" w:cs="宋体"/>
          <w:b/>
          <w:bCs/>
          <w:color w:val="auto"/>
          <w:kern w:val="2"/>
          <w:sz w:val="24"/>
          <w:szCs w:val="24"/>
        </w:rPr>
        <w:t>4</w:t>
      </w:r>
      <w:bookmarkStart w:id="374" w:name="_Toc297048348"/>
      <w:bookmarkStart w:id="375" w:name="_Toc292559871"/>
      <w:bookmarkStart w:id="376" w:name="_Toc296891202"/>
      <w:bookmarkStart w:id="377" w:name="_Toc296944501"/>
      <w:bookmarkStart w:id="378" w:name="_Toc296347161"/>
      <w:bookmarkStart w:id="379" w:name="_Toc292559366"/>
      <w:bookmarkStart w:id="380" w:name="_Toc296890990"/>
      <w:bookmarkStart w:id="381" w:name="_Toc297120462"/>
      <w:bookmarkStart w:id="382" w:name="_Toc296346663"/>
      <w:bookmarkStart w:id="383" w:name="_Toc267251413"/>
      <w:bookmarkStart w:id="384" w:name="_Toc296503162"/>
      <w:r>
        <w:rPr>
          <w:rFonts w:hint="eastAsia" w:ascii="宋体" w:hAnsi="宋体" w:eastAsia="宋体" w:cs="宋体"/>
          <w:b/>
          <w:bCs/>
          <w:color w:val="auto"/>
          <w:kern w:val="2"/>
          <w:sz w:val="24"/>
          <w:szCs w:val="24"/>
        </w:rPr>
        <w:t>. 监</w:t>
      </w:r>
      <w:bookmarkEnd w:id="374"/>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b/>
          <w:bCs/>
          <w:color w:val="auto"/>
          <w:kern w:val="2"/>
          <w:sz w:val="24"/>
          <w:szCs w:val="24"/>
        </w:rPr>
        <w:t>理人</w:t>
      </w:r>
      <w:bookmarkEnd w:id="367"/>
      <w:bookmarkEnd w:id="368"/>
      <w:bookmarkEnd w:id="369"/>
      <w:bookmarkEnd w:id="370"/>
      <w:bookmarkEnd w:id="371"/>
      <w:bookmarkEnd w:id="372"/>
      <w:bookmarkEnd w:id="373"/>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85" w:name="_Toc491937892"/>
      <w:bookmarkStart w:id="386" w:name="_Toc373478361"/>
      <w:bookmarkStart w:id="387" w:name="_Toc389065280"/>
      <w:bookmarkStart w:id="388" w:name="_Toc373227714"/>
      <w:bookmarkStart w:id="389" w:name="_Toc407135216"/>
      <w:bookmarkStart w:id="390" w:name="_Toc24639"/>
      <w:r>
        <w:rPr>
          <w:rFonts w:hint="eastAsia" w:ascii="宋体" w:hAnsi="宋体" w:eastAsia="宋体" w:cs="宋体"/>
          <w:b/>
          <w:bCs/>
          <w:color w:val="auto"/>
          <w:kern w:val="2"/>
          <w:sz w:val="24"/>
          <w:szCs w:val="24"/>
        </w:rPr>
        <w:t>4.1 监理人的一般规定</w:t>
      </w:r>
      <w:bookmarkEnd w:id="385"/>
      <w:bookmarkEnd w:id="386"/>
      <w:bookmarkEnd w:id="387"/>
      <w:bookmarkEnd w:id="388"/>
      <w:bookmarkEnd w:id="389"/>
      <w:bookmarkEnd w:id="390"/>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关于监理人的监理内容：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关于监理人的监理权限：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 xml:space="preserve">。 </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关于监理人在施工现场的办公场所、生活场所的提供和费用承担的约定：</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91" w:name="_Toc491937893"/>
      <w:bookmarkStart w:id="392" w:name="_Toc407135217"/>
      <w:bookmarkStart w:id="393" w:name="_Toc373478362"/>
      <w:bookmarkStart w:id="394" w:name="_Toc389065281"/>
      <w:bookmarkStart w:id="395" w:name="_Toc373227715"/>
      <w:bookmarkStart w:id="396" w:name="_Toc2965"/>
      <w:r>
        <w:rPr>
          <w:rFonts w:hint="eastAsia" w:ascii="宋体" w:hAnsi="宋体" w:eastAsia="宋体" w:cs="宋体"/>
          <w:b/>
          <w:bCs/>
          <w:color w:val="auto"/>
          <w:kern w:val="2"/>
          <w:sz w:val="24"/>
          <w:szCs w:val="24"/>
        </w:rPr>
        <w:t>4.2 监理人员</w:t>
      </w:r>
      <w:bookmarkEnd w:id="391"/>
      <w:bookmarkEnd w:id="392"/>
      <w:bookmarkEnd w:id="393"/>
      <w:bookmarkEnd w:id="394"/>
      <w:bookmarkEnd w:id="395"/>
      <w:bookmarkEnd w:id="396"/>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总监理工程师：</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姓    名：</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职    务：</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监理工程师执业资格证书号：</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关于监理人的其他约定：</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97" w:name="_Toc10111"/>
      <w:bookmarkStart w:id="398" w:name="_Toc491937894"/>
      <w:bookmarkStart w:id="399" w:name="_Toc373478363"/>
      <w:bookmarkStart w:id="400" w:name="_Toc407135218"/>
      <w:bookmarkStart w:id="401" w:name="_Toc373227716"/>
      <w:bookmarkStart w:id="402" w:name="_Toc389065282"/>
      <w:r>
        <w:rPr>
          <w:rFonts w:hint="eastAsia" w:ascii="宋体" w:hAnsi="宋体" w:eastAsia="宋体" w:cs="宋体"/>
          <w:b/>
          <w:bCs/>
          <w:color w:val="auto"/>
          <w:kern w:val="2"/>
          <w:sz w:val="24"/>
          <w:szCs w:val="24"/>
        </w:rPr>
        <w:t>4.4 商定或确定</w:t>
      </w:r>
      <w:bookmarkEnd w:id="397"/>
      <w:bookmarkEnd w:id="398"/>
      <w:bookmarkEnd w:id="399"/>
      <w:bookmarkEnd w:id="400"/>
      <w:bookmarkEnd w:id="401"/>
      <w:bookmarkEnd w:id="402"/>
    </w:p>
    <w:p>
      <w:pPr>
        <w:pStyle w:val="37"/>
        <w:adjustRightInd w:val="0"/>
        <w:snapToGrid w:val="0"/>
        <w:spacing w:line="360" w:lineRule="auto"/>
        <w:ind w:firstLine="480" w:firstLineChars="200"/>
        <w:rPr>
          <w:rFonts w:ascii="宋体" w:hAnsi="宋体" w:eastAsia="宋体" w:cs="宋体"/>
          <w:color w:val="auto"/>
          <w:kern w:val="2"/>
          <w:sz w:val="24"/>
          <w:szCs w:val="24"/>
        </w:rPr>
      </w:pPr>
      <w:bookmarkStart w:id="403" w:name="_Toc267251418"/>
      <w:r>
        <w:rPr>
          <w:rFonts w:hint="eastAsia" w:ascii="宋体" w:hAnsi="宋体" w:eastAsia="宋体" w:cs="宋体"/>
          <w:color w:val="auto"/>
          <w:kern w:val="2"/>
          <w:sz w:val="24"/>
          <w:szCs w:val="24"/>
        </w:rPr>
        <w:t>在发包人和承包人不能通过协商达成一致意见时，发包人授权监理人对以下事项进行确定：</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______________________________</w:t>
      </w:r>
      <w:r>
        <w:rPr>
          <w:rFonts w:hint="eastAsia" w:ascii="宋体" w:hAnsi="宋体" w:eastAsia="宋体" w:cs="宋体"/>
          <w:color w:val="auto"/>
          <w:kern w:val="2"/>
          <w:sz w:val="24"/>
          <w:szCs w:val="24"/>
        </w:rPr>
        <w:t>；</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______________________________</w:t>
      </w:r>
      <w:r>
        <w:rPr>
          <w:rFonts w:hint="eastAsia" w:ascii="宋体" w:hAnsi="宋体" w:eastAsia="宋体" w:cs="宋体"/>
          <w:color w:val="auto"/>
          <w:kern w:val="2"/>
          <w:sz w:val="24"/>
          <w:szCs w:val="24"/>
        </w:rPr>
        <w:t>；</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______________________________</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404" w:name="_Toc491937895"/>
      <w:bookmarkStart w:id="405" w:name="_Toc25455"/>
      <w:bookmarkStart w:id="406" w:name="_Toc373227717"/>
      <w:bookmarkStart w:id="407" w:name="_Toc407135219"/>
      <w:bookmarkStart w:id="408" w:name="_Toc389065283"/>
      <w:bookmarkStart w:id="409" w:name="_Toc373478364"/>
      <w:bookmarkStart w:id="410" w:name="_Toc351203637"/>
      <w:r>
        <w:rPr>
          <w:rFonts w:hint="eastAsia" w:ascii="宋体" w:hAnsi="宋体" w:eastAsia="宋体" w:cs="宋体"/>
          <w:b/>
          <w:bCs/>
          <w:color w:val="auto"/>
          <w:kern w:val="2"/>
          <w:sz w:val="24"/>
          <w:szCs w:val="24"/>
        </w:rPr>
        <w:t>5</w:t>
      </w:r>
      <w:bookmarkEnd w:id="403"/>
      <w:bookmarkStart w:id="411" w:name="_Toc292559367"/>
      <w:bookmarkStart w:id="412" w:name="_Toc296890991"/>
      <w:bookmarkStart w:id="413" w:name="_Toc296347162"/>
      <w:bookmarkStart w:id="414" w:name="_Toc296503163"/>
      <w:bookmarkStart w:id="415" w:name="_Toc296944502"/>
      <w:bookmarkStart w:id="416" w:name="_Toc296346664"/>
      <w:bookmarkStart w:id="417" w:name="_Toc292559872"/>
      <w:bookmarkStart w:id="418" w:name="_Toc297048349"/>
      <w:bookmarkStart w:id="419" w:name="_Toc296891203"/>
      <w:bookmarkStart w:id="420" w:name="_Toc297120463"/>
      <w:r>
        <w:rPr>
          <w:rFonts w:hint="eastAsia" w:ascii="宋体" w:hAnsi="宋体" w:eastAsia="宋体" w:cs="宋体"/>
          <w:b/>
          <w:bCs/>
          <w:color w:val="auto"/>
          <w:kern w:val="2"/>
          <w:sz w:val="24"/>
          <w:szCs w:val="24"/>
        </w:rPr>
        <w:t>. 工程质量</w:t>
      </w:r>
      <w:bookmarkEnd w:id="404"/>
      <w:bookmarkEnd w:id="405"/>
      <w:bookmarkEnd w:id="406"/>
      <w:bookmarkEnd w:id="407"/>
      <w:bookmarkEnd w:id="408"/>
      <w:bookmarkEnd w:id="409"/>
      <w:bookmarkEnd w:id="410"/>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21" w:name="_Toc407135220"/>
      <w:bookmarkStart w:id="422" w:name="_Toc389065284"/>
      <w:bookmarkStart w:id="423" w:name="_Toc491937896"/>
      <w:bookmarkStart w:id="424" w:name="_Toc373227718"/>
      <w:bookmarkStart w:id="425" w:name="_Toc373478365"/>
      <w:bookmarkStart w:id="426" w:name="_Toc1096"/>
      <w:r>
        <w:rPr>
          <w:rFonts w:hint="eastAsia" w:ascii="宋体" w:hAnsi="宋体" w:eastAsia="宋体" w:cs="宋体"/>
          <w:b/>
          <w:bCs/>
          <w:color w:val="auto"/>
          <w:kern w:val="2"/>
          <w:sz w:val="24"/>
          <w:szCs w:val="24"/>
        </w:rPr>
        <w:t>5.1 质量要求</w:t>
      </w:r>
      <w:bookmarkEnd w:id="421"/>
      <w:bookmarkEnd w:id="422"/>
      <w:bookmarkEnd w:id="423"/>
      <w:bookmarkEnd w:id="424"/>
      <w:bookmarkEnd w:id="425"/>
      <w:bookmarkEnd w:id="426"/>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5</w:t>
      </w:r>
      <w:bookmarkStart w:id="427" w:name="_Toc297123496"/>
      <w:bookmarkStart w:id="428" w:name="_Toc318581164"/>
      <w:bookmarkStart w:id="429" w:name="_Toc312677997"/>
      <w:bookmarkStart w:id="430" w:name="_Toc303539106"/>
      <w:bookmarkStart w:id="431" w:name="_Toc300934949"/>
      <w:bookmarkStart w:id="432" w:name="_Toc304295527"/>
      <w:bookmarkStart w:id="433" w:name="_Toc297216155"/>
      <w:r>
        <w:rPr>
          <w:rFonts w:hint="eastAsia" w:ascii="宋体" w:hAnsi="宋体" w:eastAsia="宋体" w:cs="宋体"/>
          <w:color w:val="auto"/>
          <w:kern w:val="2"/>
          <w:sz w:val="24"/>
          <w:szCs w:val="24"/>
        </w:rPr>
        <w:t>.1.1 特殊质量标准和要求：</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关于工程奖项的约定：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5.3 隐蔽工程检查</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5.3.2承包人提前通知监理人隐蔽工程检查的期限的约定：</w:t>
      </w:r>
      <w:r>
        <w:rPr>
          <w:rFonts w:hint="eastAsia" w:ascii="宋体" w:hAnsi="宋体" w:eastAsia="宋体" w:cs="宋体"/>
          <w:bCs/>
          <w:color w:val="auto"/>
          <w:kern w:val="2"/>
          <w:sz w:val="24"/>
          <w:szCs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监理人不能按时进行检查时，应提前小时提交书面延期要求。</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关于延期最长不得超过：</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小时。</w:t>
      </w:r>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434" w:name="_Toc22707"/>
      <w:bookmarkStart w:id="435" w:name="_Toc407135221"/>
      <w:bookmarkStart w:id="436" w:name="_Toc491937897"/>
      <w:bookmarkStart w:id="437" w:name="_Toc373227719"/>
      <w:bookmarkStart w:id="438" w:name="_Toc389065285"/>
      <w:bookmarkStart w:id="439" w:name="_Toc373478366"/>
      <w:bookmarkStart w:id="440" w:name="_Toc351203638"/>
      <w:r>
        <w:rPr>
          <w:rFonts w:hint="eastAsia" w:ascii="宋体" w:hAnsi="宋体" w:eastAsia="宋体" w:cs="宋体"/>
          <w:b/>
          <w:bCs/>
          <w:color w:val="auto"/>
          <w:kern w:val="2"/>
          <w:sz w:val="24"/>
          <w:szCs w:val="24"/>
        </w:rPr>
        <w:t>6. 安全文明施工与环境保护</w:t>
      </w:r>
      <w:bookmarkEnd w:id="434"/>
      <w:bookmarkEnd w:id="435"/>
      <w:bookmarkEnd w:id="436"/>
      <w:bookmarkEnd w:id="437"/>
      <w:bookmarkEnd w:id="438"/>
      <w:bookmarkEnd w:id="439"/>
      <w:bookmarkEnd w:id="440"/>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41" w:name="_Toc22463"/>
      <w:bookmarkStart w:id="442" w:name="_Toc373227720"/>
      <w:bookmarkStart w:id="443" w:name="_Toc407135222"/>
      <w:bookmarkStart w:id="444" w:name="_Toc373478367"/>
      <w:bookmarkStart w:id="445" w:name="_Toc491937898"/>
      <w:bookmarkStart w:id="446" w:name="_Toc389065286"/>
      <w:r>
        <w:rPr>
          <w:rFonts w:hint="eastAsia" w:ascii="宋体" w:hAnsi="宋体" w:eastAsia="宋体" w:cs="宋体"/>
          <w:b/>
          <w:bCs/>
          <w:color w:val="auto"/>
          <w:kern w:val="2"/>
          <w:sz w:val="24"/>
          <w:szCs w:val="24"/>
        </w:rPr>
        <w:t>6.1 安全文明施工</w:t>
      </w:r>
      <w:bookmarkEnd w:id="441"/>
      <w:bookmarkEnd w:id="442"/>
      <w:bookmarkEnd w:id="443"/>
      <w:bookmarkEnd w:id="444"/>
      <w:bookmarkEnd w:id="445"/>
      <w:bookmarkEnd w:id="446"/>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6.1.1 项目安全生产的达标目标及相应事项的约定：。</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关于安全文明施工奖项的约定：。</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6.1.4 关于治安保卫的特别约定：</w:t>
      </w:r>
      <w:r>
        <w:rPr>
          <w:rFonts w:hint="eastAsia" w:ascii="宋体" w:hAnsi="宋体" w:eastAsia="宋体" w:cs="宋体"/>
          <w:color w:val="auto"/>
          <w:kern w:val="2"/>
          <w:sz w:val="24"/>
          <w:szCs w:val="24"/>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关于编制施工场地治安管理计划的约定：。</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6.1.5 文明施工</w:t>
      </w:r>
    </w:p>
    <w:p>
      <w:pPr>
        <w:pStyle w:val="37"/>
        <w:adjustRightInd w:val="0"/>
        <w:snapToGrid w:val="0"/>
        <w:spacing w:line="360" w:lineRule="auto"/>
        <w:ind w:firstLine="480" w:firstLineChars="200"/>
        <w:jc w:val="both"/>
        <w:rPr>
          <w:rFonts w:ascii="宋体" w:hAnsi="宋体" w:eastAsia="宋体" w:cs="宋体"/>
          <w:b/>
          <w:color w:val="auto"/>
          <w:kern w:val="2"/>
          <w:sz w:val="24"/>
          <w:szCs w:val="24"/>
          <w:u w:val="single"/>
        </w:rPr>
      </w:pPr>
      <w:r>
        <w:rPr>
          <w:rFonts w:hint="eastAsia" w:ascii="宋体" w:hAnsi="宋体" w:eastAsia="宋体" w:cs="宋体"/>
          <w:color w:val="auto"/>
          <w:kern w:val="2"/>
          <w:sz w:val="24"/>
          <w:szCs w:val="24"/>
        </w:rPr>
        <w:t>合同当事人对文明施工的要求：</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_____________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6.1.6 关于安全文明施工费支付比例和支付期限的约定：</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（1）本合同价款已包含安全文明施工费元。</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（2）使用要求：专款专用。具体按《广西壮族自治区建设工程安全文明施工费使用管理细则》（桂建质〔2015〕16号）和市相关规定执行。</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lang w:val="en-US" w:eastAsia="zh-CN"/>
        </w:rPr>
        <w:t>__________________</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47" w:name="_Toc373478368"/>
      <w:bookmarkStart w:id="448" w:name="_Toc389065287"/>
      <w:bookmarkStart w:id="449" w:name="_Toc407135223"/>
      <w:bookmarkStart w:id="450" w:name="_Toc16932"/>
      <w:bookmarkStart w:id="451" w:name="_Toc491937899"/>
      <w:bookmarkStart w:id="452" w:name="_Toc373227721"/>
      <w:r>
        <w:rPr>
          <w:rFonts w:hint="eastAsia" w:ascii="宋体" w:hAnsi="宋体" w:eastAsia="宋体" w:cs="宋体"/>
          <w:b/>
          <w:bCs/>
          <w:color w:val="auto"/>
          <w:kern w:val="2"/>
          <w:sz w:val="24"/>
          <w:szCs w:val="24"/>
        </w:rPr>
        <w:t>6.3 环境保护</w:t>
      </w:r>
      <w:bookmarkEnd w:id="447"/>
      <w:bookmarkEnd w:id="448"/>
      <w:bookmarkEnd w:id="449"/>
      <w:bookmarkEnd w:id="450"/>
      <w:bookmarkEnd w:id="451"/>
      <w:bookmarkEnd w:id="452"/>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因施工需要，经发包人批准，由承包人办理有关施工场地交通、环卫和施工噪音管理等手续，费用由承包人负责。</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经过城市道路的施工车辆，必须按交警、城管、运输等部门相关规定执行。由于施工车辆造成的道路、环境等污染，其责任和费用均由承包人承担。</w:t>
      </w:r>
    </w:p>
    <w:bookmarkEnd w:id="427"/>
    <w:bookmarkEnd w:id="428"/>
    <w:bookmarkEnd w:id="429"/>
    <w:bookmarkEnd w:id="430"/>
    <w:bookmarkEnd w:id="431"/>
    <w:bookmarkEnd w:id="432"/>
    <w:bookmarkEnd w:id="433"/>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453" w:name="_Toc491937900"/>
      <w:bookmarkStart w:id="454" w:name="_Toc389065288"/>
      <w:bookmarkStart w:id="455" w:name="_Toc407135224"/>
      <w:bookmarkStart w:id="456" w:name="_Toc373227722"/>
      <w:bookmarkStart w:id="457" w:name="_Toc351203639"/>
      <w:bookmarkStart w:id="458" w:name="_Toc373478369"/>
      <w:bookmarkStart w:id="459" w:name="_Toc30469"/>
      <w:r>
        <w:rPr>
          <w:rFonts w:hint="eastAsia" w:ascii="宋体" w:hAnsi="宋体" w:eastAsia="宋体" w:cs="宋体"/>
          <w:b/>
          <w:bCs/>
          <w:color w:val="auto"/>
          <w:kern w:val="2"/>
          <w:sz w:val="24"/>
          <w:szCs w:val="24"/>
        </w:rPr>
        <w:t>7. 工期和进度</w:t>
      </w:r>
      <w:bookmarkEnd w:id="453"/>
      <w:bookmarkEnd w:id="454"/>
      <w:bookmarkEnd w:id="455"/>
      <w:bookmarkEnd w:id="456"/>
      <w:bookmarkEnd w:id="457"/>
      <w:bookmarkEnd w:id="458"/>
      <w:bookmarkEnd w:id="459"/>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60" w:name="_Toc389065289"/>
      <w:bookmarkStart w:id="461" w:name="_Toc407135225"/>
      <w:bookmarkStart w:id="462" w:name="_Toc15397"/>
      <w:bookmarkStart w:id="463" w:name="_Toc373478370"/>
      <w:bookmarkStart w:id="464" w:name="_Toc373227723"/>
      <w:bookmarkStart w:id="465" w:name="_Toc491937901"/>
      <w:r>
        <w:rPr>
          <w:rFonts w:hint="eastAsia" w:ascii="宋体" w:hAnsi="宋体" w:eastAsia="宋体" w:cs="宋体"/>
          <w:b/>
          <w:bCs/>
          <w:color w:val="auto"/>
          <w:kern w:val="2"/>
          <w:sz w:val="24"/>
          <w:szCs w:val="24"/>
        </w:rPr>
        <w:t>7.1 施工组织设计</w:t>
      </w:r>
      <w:bookmarkEnd w:id="460"/>
      <w:bookmarkEnd w:id="461"/>
      <w:bookmarkEnd w:id="462"/>
      <w:bookmarkEnd w:id="463"/>
      <w:bookmarkEnd w:id="464"/>
      <w:bookmarkEnd w:id="465"/>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7.1.1 合</w:t>
      </w:r>
      <w:r>
        <w:rPr>
          <w:rFonts w:hint="eastAsia" w:ascii="宋体" w:hAnsi="宋体" w:eastAsia="宋体" w:cs="宋体"/>
          <w:color w:val="auto"/>
          <w:sz w:val="24"/>
          <w:szCs w:val="24"/>
        </w:rPr>
        <w:t>同当事人约定的施工组织设计应包括的其他内容：</w:t>
      </w:r>
      <w:r>
        <w:rPr>
          <w:rFonts w:hint="eastAsia" w:ascii="宋体" w:hAnsi="宋体" w:eastAsia="宋体" w:cs="宋体"/>
          <w:color w:val="auto"/>
          <w:sz w:val="24"/>
          <w:szCs w:val="24"/>
          <w:lang w:val="en-US" w:eastAsia="zh-CN"/>
        </w:rPr>
        <w:t>____________</w:t>
      </w:r>
      <w:r>
        <w:rPr>
          <w:rFonts w:hint="eastAsia" w:ascii="宋体" w:hAnsi="宋体" w:eastAsia="宋体" w:cs="宋体"/>
          <w:color w:val="auto"/>
          <w:kern w:val="2"/>
          <w:sz w:val="24"/>
          <w:szCs w:val="24"/>
        </w:rPr>
        <w:t>。</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kern w:val="2"/>
          <w:sz w:val="24"/>
          <w:szCs w:val="24"/>
        </w:rPr>
        <w:t xml:space="preserve">7.1.2 </w:t>
      </w:r>
      <w:r>
        <w:rPr>
          <w:rFonts w:hint="eastAsia" w:ascii="宋体" w:hAnsi="宋体" w:eastAsia="宋体" w:cs="宋体"/>
          <w:color w:val="auto"/>
          <w:sz w:val="24"/>
          <w:szCs w:val="24"/>
        </w:rPr>
        <w:t>施工组织设计的提交和修改</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lang w:val="en-US" w:eastAsia="zh-CN"/>
        </w:rPr>
        <w:t>_______________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发包人和监理人在收到详细的施工组织设计后确认或提出修改意见的期限：</w:t>
      </w:r>
      <w:r>
        <w:rPr>
          <w:rFonts w:hint="eastAsia" w:ascii="宋体" w:hAnsi="宋体" w:eastAsia="宋体" w:cs="宋体"/>
          <w:color w:val="auto"/>
          <w:kern w:val="2"/>
          <w:sz w:val="24"/>
          <w:szCs w:val="24"/>
          <w:lang w:val="en-US" w:eastAsia="zh-CN"/>
        </w:rPr>
        <w:t>___</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66" w:name="_Toc491937902"/>
      <w:bookmarkStart w:id="467" w:name="_Toc389065290"/>
      <w:bookmarkStart w:id="468" w:name="_Toc407135226"/>
      <w:bookmarkStart w:id="469" w:name="_Toc16813"/>
      <w:bookmarkStart w:id="470" w:name="_Toc373478371"/>
      <w:bookmarkStart w:id="471" w:name="_Toc373227724"/>
      <w:r>
        <w:rPr>
          <w:rFonts w:hint="eastAsia" w:ascii="宋体" w:hAnsi="宋体" w:eastAsia="宋体" w:cs="宋体"/>
          <w:b/>
          <w:bCs/>
          <w:color w:val="auto"/>
          <w:kern w:val="2"/>
          <w:sz w:val="24"/>
          <w:szCs w:val="24"/>
        </w:rPr>
        <w:t>7</w:t>
      </w:r>
      <w:bookmarkStart w:id="472" w:name="_Toc300934966"/>
      <w:bookmarkStart w:id="473" w:name="_Toc312678005"/>
      <w:bookmarkStart w:id="474" w:name="_Toc297216173"/>
      <w:bookmarkStart w:id="475" w:name="_Toc303539123"/>
      <w:bookmarkStart w:id="476" w:name="_Toc312677479"/>
      <w:bookmarkStart w:id="477" w:name="_Toc304295541"/>
      <w:bookmarkStart w:id="478" w:name="_Toc297123514"/>
      <w:r>
        <w:rPr>
          <w:rFonts w:hint="eastAsia" w:ascii="宋体" w:hAnsi="宋体" w:eastAsia="宋体" w:cs="宋体"/>
          <w:b/>
          <w:bCs/>
          <w:color w:val="auto"/>
          <w:kern w:val="2"/>
          <w:sz w:val="24"/>
          <w:szCs w:val="24"/>
        </w:rPr>
        <w:t>.2 施工进度计划</w:t>
      </w:r>
      <w:bookmarkEnd w:id="466"/>
      <w:bookmarkEnd w:id="467"/>
      <w:bookmarkEnd w:id="468"/>
      <w:bookmarkEnd w:id="469"/>
      <w:bookmarkEnd w:id="470"/>
      <w:bookmarkEnd w:id="471"/>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7.2.2 施工进度计划的修订</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发包人和监理人在收到修订的施工进度计划后确认或提出修改意见的期限：</w:t>
      </w:r>
      <w:r>
        <w:rPr>
          <w:rFonts w:hint="eastAsia" w:ascii="宋体" w:hAnsi="宋体" w:eastAsia="宋体" w:cs="宋体"/>
          <w:color w:val="auto"/>
          <w:kern w:val="2"/>
          <w:sz w:val="24"/>
          <w:szCs w:val="24"/>
          <w:lang w:val="en-US" w:eastAsia="zh-CN"/>
        </w:rPr>
        <w:t>_________</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79" w:name="_Toc407135227"/>
      <w:bookmarkStart w:id="480" w:name="_Toc373227725"/>
      <w:bookmarkStart w:id="481" w:name="_Toc491937903"/>
      <w:bookmarkStart w:id="482" w:name="_Toc29131"/>
      <w:bookmarkStart w:id="483" w:name="_Toc389065291"/>
      <w:bookmarkStart w:id="484" w:name="_Toc373478372"/>
      <w:r>
        <w:rPr>
          <w:rFonts w:hint="eastAsia" w:ascii="宋体" w:hAnsi="宋体" w:eastAsia="宋体" w:cs="宋体"/>
          <w:b/>
          <w:bCs/>
          <w:color w:val="auto"/>
          <w:kern w:val="2"/>
          <w:sz w:val="24"/>
          <w:szCs w:val="24"/>
        </w:rPr>
        <w:t>7.3 开工</w:t>
      </w:r>
      <w:bookmarkEnd w:id="479"/>
      <w:bookmarkEnd w:id="480"/>
      <w:bookmarkEnd w:id="481"/>
      <w:bookmarkEnd w:id="482"/>
      <w:bookmarkEnd w:id="483"/>
      <w:bookmarkEnd w:id="484"/>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7.3.1 开工准备</w:t>
      </w:r>
    </w:p>
    <w:p>
      <w:pPr>
        <w:pStyle w:val="37"/>
        <w:adjustRightInd w:val="0"/>
        <w:snapToGrid w:val="0"/>
        <w:spacing w:line="360" w:lineRule="auto"/>
        <w:ind w:firstLine="426"/>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关于承包人提交</w:t>
      </w:r>
      <w:r>
        <w:rPr>
          <w:rFonts w:hint="eastAsia" w:ascii="宋体" w:hAnsi="宋体" w:eastAsia="宋体" w:cs="宋体"/>
          <w:color w:val="auto"/>
          <w:sz w:val="24"/>
          <w:szCs w:val="24"/>
        </w:rPr>
        <w:t>工程开工报审表的期限：</w:t>
      </w:r>
      <w:r>
        <w:rPr>
          <w:rFonts w:hint="eastAsia" w:ascii="宋体" w:hAnsi="宋体" w:eastAsia="宋体" w:cs="宋体"/>
          <w:color w:val="auto"/>
          <w:sz w:val="24"/>
          <w:szCs w:val="24"/>
          <w:lang w:val="en-US" w:eastAsia="zh-CN"/>
        </w:rPr>
        <w:t>______________</w:t>
      </w:r>
      <w:r>
        <w:rPr>
          <w:rFonts w:hint="eastAsia" w:ascii="宋体" w:hAnsi="宋体" w:eastAsia="宋体" w:cs="宋体"/>
          <w:color w:val="auto"/>
          <w:kern w:val="2"/>
          <w:sz w:val="24"/>
          <w:szCs w:val="24"/>
        </w:rPr>
        <w:t>。</w:t>
      </w:r>
    </w:p>
    <w:p>
      <w:pPr>
        <w:pStyle w:val="37"/>
        <w:adjustRightInd w:val="0"/>
        <w:snapToGrid w:val="0"/>
        <w:spacing w:line="360" w:lineRule="auto"/>
        <w:ind w:firstLine="426"/>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关于发包人应完成的其他开工准备工作及期限：</w:t>
      </w:r>
      <w:r>
        <w:rPr>
          <w:rFonts w:hint="eastAsia" w:ascii="宋体" w:hAnsi="宋体" w:eastAsia="宋体" w:cs="宋体"/>
          <w:color w:val="auto"/>
          <w:kern w:val="2"/>
          <w:sz w:val="24"/>
          <w:szCs w:val="24"/>
          <w:lang w:val="en-US" w:eastAsia="zh-CN"/>
        </w:rPr>
        <w:t>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关于承包人应完成的其他开工准备工作及期限：</w:t>
      </w:r>
      <w:r>
        <w:rPr>
          <w:rFonts w:hint="eastAsia" w:ascii="宋体" w:hAnsi="宋体" w:eastAsia="宋体" w:cs="宋体"/>
          <w:color w:val="auto"/>
          <w:kern w:val="2"/>
          <w:sz w:val="24"/>
          <w:szCs w:val="24"/>
          <w:lang w:val="en-US" w:eastAsia="zh-CN"/>
        </w:rPr>
        <w:t>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7.3.2 开工通知</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因发包人原因造成监理人未能在计划开工日期之日起天内发出开工通知的，承包人有权提出价格调整要求，或者解除合同。</w:t>
      </w:r>
    </w:p>
    <w:bookmarkEnd w:id="472"/>
    <w:bookmarkEnd w:id="473"/>
    <w:bookmarkEnd w:id="474"/>
    <w:bookmarkEnd w:id="475"/>
    <w:bookmarkEnd w:id="476"/>
    <w:bookmarkEnd w:id="477"/>
    <w:bookmarkEnd w:id="478"/>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85" w:name="_Toc407135228"/>
      <w:bookmarkStart w:id="486" w:name="_Toc8450"/>
      <w:bookmarkStart w:id="487" w:name="_Toc389065292"/>
      <w:bookmarkStart w:id="488" w:name="_Toc491937904"/>
      <w:bookmarkStart w:id="489" w:name="_Toc373478373"/>
      <w:bookmarkStart w:id="490" w:name="_Toc373227726"/>
      <w:r>
        <w:rPr>
          <w:rFonts w:hint="eastAsia" w:ascii="宋体" w:hAnsi="宋体" w:eastAsia="宋体" w:cs="宋体"/>
          <w:b/>
          <w:bCs/>
          <w:color w:val="auto"/>
          <w:kern w:val="2"/>
          <w:sz w:val="24"/>
          <w:szCs w:val="24"/>
        </w:rPr>
        <w:t>7.4 测量放线</w:t>
      </w:r>
      <w:bookmarkEnd w:id="485"/>
      <w:bookmarkEnd w:id="486"/>
      <w:bookmarkEnd w:id="487"/>
      <w:bookmarkEnd w:id="488"/>
      <w:bookmarkEnd w:id="489"/>
      <w:bookmarkEnd w:id="490"/>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7.4.1发包人通过监理人向承包人提供测量基准点、基准线和水准点及其书面资料的期限：</w:t>
      </w:r>
    </w:p>
    <w:p>
      <w:pPr>
        <w:pStyle w:val="37"/>
        <w:adjustRightInd w:val="0"/>
        <w:snapToGrid w:val="0"/>
        <w:spacing w:line="360" w:lineRule="auto"/>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rPr>
        <w:t>___________________</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91" w:name="_Toc3992"/>
      <w:bookmarkStart w:id="492" w:name="_Toc491937905"/>
      <w:bookmarkStart w:id="493" w:name="_Toc373478374"/>
      <w:bookmarkStart w:id="494" w:name="_Toc373227727"/>
      <w:bookmarkStart w:id="495" w:name="_Toc407135229"/>
      <w:bookmarkStart w:id="496" w:name="_Toc389065293"/>
      <w:r>
        <w:rPr>
          <w:rFonts w:hint="eastAsia" w:ascii="宋体" w:hAnsi="宋体" w:eastAsia="宋体" w:cs="宋体"/>
          <w:b/>
          <w:bCs/>
          <w:color w:val="auto"/>
          <w:kern w:val="2"/>
          <w:sz w:val="24"/>
          <w:szCs w:val="24"/>
        </w:rPr>
        <w:t>7</w:t>
      </w:r>
      <w:bookmarkStart w:id="497" w:name="_Toc304295546"/>
      <w:bookmarkStart w:id="498" w:name="_Toc312677484"/>
      <w:bookmarkStart w:id="499" w:name="_Toc300934968"/>
      <w:bookmarkStart w:id="500" w:name="_Toc297216175"/>
      <w:bookmarkStart w:id="501" w:name="_Toc297123516"/>
      <w:bookmarkStart w:id="502" w:name="_Toc303539125"/>
      <w:bookmarkStart w:id="503" w:name="_Toc312678010"/>
      <w:r>
        <w:rPr>
          <w:rFonts w:hint="eastAsia" w:ascii="宋体" w:hAnsi="宋体" w:eastAsia="宋体" w:cs="宋体"/>
          <w:b/>
          <w:bCs/>
          <w:color w:val="auto"/>
          <w:kern w:val="2"/>
          <w:sz w:val="24"/>
          <w:szCs w:val="24"/>
        </w:rPr>
        <w:t>.5 工期延误</w:t>
      </w:r>
      <w:bookmarkEnd w:id="491"/>
      <w:bookmarkEnd w:id="492"/>
      <w:bookmarkEnd w:id="493"/>
      <w:bookmarkEnd w:id="494"/>
      <w:bookmarkEnd w:id="495"/>
      <w:bookmarkEnd w:id="496"/>
    </w:p>
    <w:bookmarkEnd w:id="497"/>
    <w:bookmarkEnd w:id="498"/>
    <w:bookmarkEnd w:id="499"/>
    <w:bookmarkEnd w:id="500"/>
    <w:bookmarkEnd w:id="501"/>
    <w:bookmarkEnd w:id="502"/>
    <w:bookmarkEnd w:id="503"/>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7.5.1 因发包人原因导致工期延误</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（7）因发包人原因导致工期延误的其他情形：</w:t>
      </w:r>
      <w:r>
        <w:rPr>
          <w:rFonts w:hint="eastAsia" w:ascii="宋体" w:hAnsi="宋体" w:eastAsia="宋体" w:cs="宋体"/>
          <w:color w:val="auto"/>
          <w:kern w:val="2"/>
          <w:sz w:val="24"/>
          <w:szCs w:val="24"/>
          <w:lang w:val="en-US" w:eastAsia="zh-CN"/>
        </w:rPr>
        <w:t>__________________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7</w:t>
      </w:r>
      <w:bookmarkStart w:id="504" w:name="_Toc312677486"/>
      <w:bookmarkStart w:id="505" w:name="_Toc312678012"/>
      <w:bookmarkStart w:id="506" w:name="_Toc318581169"/>
      <w:bookmarkStart w:id="507" w:name="_Toc303539127"/>
      <w:bookmarkStart w:id="508" w:name="_Toc297123518"/>
      <w:bookmarkStart w:id="509" w:name="_Toc300934970"/>
      <w:bookmarkStart w:id="510" w:name="_Toc297216177"/>
      <w:bookmarkStart w:id="511" w:name="_Toc304295548"/>
      <w:r>
        <w:rPr>
          <w:rFonts w:hint="eastAsia" w:ascii="宋体" w:hAnsi="宋体" w:eastAsia="宋体" w:cs="宋体"/>
          <w:color w:val="auto"/>
          <w:kern w:val="2"/>
          <w:sz w:val="24"/>
          <w:szCs w:val="24"/>
        </w:rPr>
        <w:t>.5.2 因承包人原因导致工期延误</w:t>
      </w:r>
    </w:p>
    <w:bookmarkEnd w:id="504"/>
    <w:bookmarkEnd w:id="505"/>
    <w:bookmarkEnd w:id="506"/>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双方约定经监理工程师确认，工期相应顺延的情况：</w:t>
      </w:r>
      <w:r>
        <w:rPr>
          <w:rFonts w:hint="eastAsia" w:ascii="宋体" w:hAnsi="宋体" w:eastAsia="宋体" w:cs="宋体"/>
          <w:color w:val="auto"/>
          <w:kern w:val="2"/>
          <w:sz w:val="24"/>
          <w:szCs w:val="24"/>
          <w:lang w:val="en-US" w:eastAsia="zh-CN"/>
        </w:rPr>
        <w:t>_________________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因</w:t>
      </w:r>
      <w:bookmarkStart w:id="512" w:name="_Toc312677487"/>
      <w:bookmarkStart w:id="513" w:name="_Toc312678013"/>
      <w:bookmarkStart w:id="514" w:name="_Toc318581170"/>
      <w:r>
        <w:rPr>
          <w:rFonts w:hint="eastAsia" w:ascii="宋体" w:hAnsi="宋体" w:eastAsia="宋体" w:cs="宋体"/>
          <w:color w:val="auto"/>
          <w:kern w:val="2"/>
          <w:sz w:val="24"/>
          <w:szCs w:val="24"/>
        </w:rPr>
        <w:t>承包人原因造成工期延误，逾期竣工违约金的计算方法为：</w:t>
      </w:r>
      <w:r>
        <w:rPr>
          <w:rFonts w:hint="eastAsia" w:ascii="宋体" w:hAnsi="宋体" w:eastAsia="宋体" w:cs="宋体"/>
          <w:color w:val="auto"/>
          <w:kern w:val="2"/>
          <w:sz w:val="24"/>
          <w:szCs w:val="24"/>
          <w:u w:val="single"/>
        </w:rPr>
        <w:t xml:space="preserve">非上述原因，承包人不能按合同约定的时间竣工，承包人应承担违约责任。应向发包人支付误期赔偿费（每天赔偿金额为合同价款扣除建安劳保费、发包人材料价款、暂估专业工程、暂列金额后的万分之0.04 ），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 </w:t>
      </w:r>
    </w:p>
    <w:bookmarkEnd w:id="507"/>
    <w:bookmarkEnd w:id="508"/>
    <w:bookmarkEnd w:id="509"/>
    <w:bookmarkEnd w:id="510"/>
    <w:bookmarkEnd w:id="511"/>
    <w:bookmarkEnd w:id="512"/>
    <w:bookmarkEnd w:id="513"/>
    <w:bookmarkEnd w:id="514"/>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因承包人原因造成工期延误，逾</w:t>
      </w:r>
      <w:bookmarkStart w:id="515" w:name="_Toc318581171"/>
      <w:bookmarkStart w:id="516" w:name="_Toc312678014"/>
      <w:r>
        <w:rPr>
          <w:rFonts w:hint="eastAsia" w:ascii="宋体" w:hAnsi="宋体" w:eastAsia="宋体" w:cs="宋体"/>
          <w:color w:val="auto"/>
          <w:kern w:val="2"/>
          <w:sz w:val="24"/>
          <w:szCs w:val="24"/>
        </w:rPr>
        <w:t>期竣工违约金的上限：</w:t>
      </w:r>
      <w:r>
        <w:rPr>
          <w:rFonts w:hint="eastAsia" w:ascii="宋体" w:hAnsi="宋体" w:eastAsia="宋体" w:cs="宋体"/>
          <w:color w:val="auto"/>
          <w:kern w:val="2"/>
          <w:sz w:val="24"/>
          <w:szCs w:val="24"/>
          <w:u w:val="single"/>
        </w:rPr>
        <w:t>合同价扣除建安劳保费、发包人材料价款、暂估专业工程、暂列金额后的 5 %</w:t>
      </w:r>
      <w:r>
        <w:rPr>
          <w:rFonts w:hint="eastAsia" w:ascii="宋体" w:hAnsi="宋体" w:eastAsia="宋体" w:cs="宋体"/>
          <w:color w:val="auto"/>
          <w:kern w:val="2"/>
          <w:sz w:val="24"/>
          <w:szCs w:val="24"/>
        </w:rPr>
        <w:t>。</w:t>
      </w:r>
    </w:p>
    <w:bookmarkEnd w:id="515"/>
    <w:bookmarkEnd w:id="516"/>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517" w:name="_Toc24153"/>
      <w:bookmarkStart w:id="518" w:name="_Toc389065294"/>
      <w:bookmarkStart w:id="519" w:name="_Toc491937906"/>
      <w:bookmarkStart w:id="520" w:name="_Toc373227728"/>
      <w:bookmarkStart w:id="521" w:name="_Toc373478375"/>
      <w:bookmarkStart w:id="522" w:name="_Toc407135230"/>
      <w:r>
        <w:rPr>
          <w:rFonts w:hint="eastAsia" w:ascii="宋体" w:hAnsi="宋体" w:eastAsia="宋体" w:cs="宋体"/>
          <w:b/>
          <w:bCs/>
          <w:color w:val="auto"/>
          <w:kern w:val="2"/>
          <w:sz w:val="24"/>
          <w:szCs w:val="24"/>
        </w:rPr>
        <w:t>7</w:t>
      </w:r>
      <w:bookmarkStart w:id="523" w:name="_Toc300934971"/>
      <w:bookmarkStart w:id="524" w:name="_Toc297216178"/>
      <w:bookmarkStart w:id="525" w:name="_Toc303539128"/>
      <w:bookmarkStart w:id="526" w:name="_Toc297123519"/>
      <w:bookmarkStart w:id="527" w:name="_Toc312678015"/>
      <w:bookmarkStart w:id="528" w:name="_Toc304295549"/>
      <w:r>
        <w:rPr>
          <w:rFonts w:hint="eastAsia" w:ascii="宋体" w:hAnsi="宋体" w:eastAsia="宋体" w:cs="宋体"/>
          <w:b/>
          <w:bCs/>
          <w:color w:val="auto"/>
          <w:kern w:val="2"/>
          <w:sz w:val="24"/>
          <w:szCs w:val="24"/>
        </w:rPr>
        <w:t>.6 不</w:t>
      </w:r>
      <w:bookmarkEnd w:id="523"/>
      <w:bookmarkEnd w:id="524"/>
      <w:bookmarkEnd w:id="525"/>
      <w:bookmarkEnd w:id="526"/>
      <w:bookmarkEnd w:id="527"/>
      <w:bookmarkEnd w:id="528"/>
      <w:r>
        <w:rPr>
          <w:rFonts w:hint="eastAsia" w:ascii="宋体" w:hAnsi="宋体" w:eastAsia="宋体" w:cs="宋体"/>
          <w:b/>
          <w:bCs/>
          <w:color w:val="auto"/>
          <w:kern w:val="2"/>
          <w:sz w:val="24"/>
          <w:szCs w:val="24"/>
        </w:rPr>
        <w:t>利物质条件</w:t>
      </w:r>
      <w:bookmarkEnd w:id="517"/>
      <w:bookmarkEnd w:id="518"/>
      <w:bookmarkEnd w:id="519"/>
      <w:bookmarkEnd w:id="520"/>
      <w:bookmarkEnd w:id="521"/>
      <w:bookmarkEnd w:id="522"/>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bookmarkStart w:id="529" w:name="_Toc303539129"/>
      <w:bookmarkStart w:id="530" w:name="_Toc300934972"/>
      <w:bookmarkStart w:id="531" w:name="_Toc297216179"/>
      <w:bookmarkStart w:id="532" w:name="_Toc312678016"/>
      <w:bookmarkStart w:id="533" w:name="_Toc297123520"/>
      <w:bookmarkStart w:id="534" w:name="_Toc318581172"/>
      <w:bookmarkStart w:id="535" w:name="_Toc304295550"/>
      <w:r>
        <w:rPr>
          <w:rFonts w:hint="eastAsia" w:ascii="宋体" w:hAnsi="宋体" w:eastAsia="宋体" w:cs="宋体"/>
          <w:color w:val="auto"/>
          <w:kern w:val="2"/>
          <w:sz w:val="24"/>
          <w:szCs w:val="24"/>
        </w:rPr>
        <w:t>不利物质条件的其他情形和有关约定：</w:t>
      </w:r>
      <w:r>
        <w:rPr>
          <w:rFonts w:hint="eastAsia" w:ascii="宋体" w:hAnsi="宋体" w:eastAsia="宋体" w:cs="宋体"/>
          <w:color w:val="auto"/>
          <w:kern w:val="2"/>
          <w:sz w:val="24"/>
          <w:szCs w:val="24"/>
          <w:lang w:val="en-US" w:eastAsia="zh-CN"/>
        </w:rPr>
        <w:t>__________________</w:t>
      </w:r>
      <w:r>
        <w:rPr>
          <w:rFonts w:hint="eastAsia" w:ascii="宋体" w:hAnsi="宋体" w:eastAsia="宋体" w:cs="宋体"/>
          <w:color w:val="auto"/>
          <w:kern w:val="2"/>
          <w:sz w:val="24"/>
          <w:szCs w:val="24"/>
        </w:rPr>
        <w:t>。</w:t>
      </w:r>
    </w:p>
    <w:bookmarkEnd w:id="529"/>
    <w:bookmarkEnd w:id="530"/>
    <w:bookmarkEnd w:id="531"/>
    <w:bookmarkEnd w:id="532"/>
    <w:bookmarkEnd w:id="533"/>
    <w:bookmarkEnd w:id="534"/>
    <w:bookmarkEnd w:id="535"/>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536" w:name="_Toc491937907"/>
      <w:bookmarkStart w:id="537" w:name="_Toc407135231"/>
      <w:bookmarkStart w:id="538" w:name="_Toc373478376"/>
      <w:bookmarkStart w:id="539" w:name="_Toc373227729"/>
      <w:bookmarkStart w:id="540" w:name="_Toc389065295"/>
      <w:bookmarkStart w:id="541" w:name="_Toc13568"/>
      <w:r>
        <w:rPr>
          <w:rFonts w:hint="eastAsia" w:ascii="宋体" w:hAnsi="宋体" w:eastAsia="宋体" w:cs="宋体"/>
          <w:b/>
          <w:bCs/>
          <w:color w:val="auto"/>
          <w:kern w:val="2"/>
          <w:sz w:val="24"/>
          <w:szCs w:val="24"/>
        </w:rPr>
        <w:t>7</w:t>
      </w:r>
      <w:bookmarkStart w:id="542" w:name="_Toc304295551"/>
      <w:bookmarkStart w:id="543" w:name="_Toc297216180"/>
      <w:bookmarkStart w:id="544" w:name="_Toc297123521"/>
      <w:bookmarkStart w:id="545" w:name="_Toc300934973"/>
      <w:bookmarkStart w:id="546" w:name="_Toc303539130"/>
      <w:bookmarkStart w:id="547" w:name="_Toc312678017"/>
      <w:r>
        <w:rPr>
          <w:rFonts w:hint="eastAsia" w:ascii="宋体" w:hAnsi="宋体" w:eastAsia="宋体" w:cs="宋体"/>
          <w:b/>
          <w:bCs/>
          <w:color w:val="auto"/>
          <w:kern w:val="2"/>
          <w:sz w:val="24"/>
          <w:szCs w:val="24"/>
        </w:rPr>
        <w:t>.7 异常恶劣的气候条件</w:t>
      </w:r>
      <w:bookmarkEnd w:id="536"/>
      <w:bookmarkEnd w:id="537"/>
      <w:bookmarkEnd w:id="538"/>
      <w:bookmarkEnd w:id="539"/>
      <w:bookmarkEnd w:id="540"/>
      <w:bookmarkEnd w:id="541"/>
    </w:p>
    <w:bookmarkEnd w:id="542"/>
    <w:bookmarkEnd w:id="543"/>
    <w:bookmarkEnd w:id="544"/>
    <w:bookmarkEnd w:id="545"/>
    <w:bookmarkEnd w:id="546"/>
    <w:bookmarkEnd w:id="547"/>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发包人和承包人同意以下情形视为异常恶劣的气候条件：</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___________________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val="en-US" w:eastAsia="zh-CN"/>
        </w:rPr>
        <w:t>___________________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w:t>
      </w:r>
      <w:r>
        <w:rPr>
          <w:rFonts w:hint="eastAsia" w:ascii="宋体" w:hAnsi="宋体" w:eastAsia="宋体" w:cs="宋体"/>
          <w:color w:val="auto"/>
          <w:kern w:val="2"/>
          <w:sz w:val="24"/>
          <w:szCs w:val="24"/>
          <w:lang w:val="en-US" w:eastAsia="zh-CN"/>
        </w:rPr>
        <w:t>___________________</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548" w:name="_Toc491937908"/>
      <w:bookmarkStart w:id="549" w:name="_Toc373227730"/>
      <w:bookmarkStart w:id="550" w:name="_Toc407135232"/>
      <w:bookmarkStart w:id="551" w:name="_Toc389065296"/>
      <w:bookmarkStart w:id="552" w:name="_Toc373478377"/>
      <w:bookmarkStart w:id="553" w:name="_Toc28922"/>
      <w:r>
        <w:rPr>
          <w:rFonts w:hint="eastAsia" w:ascii="宋体" w:hAnsi="宋体" w:eastAsia="宋体" w:cs="宋体"/>
          <w:b/>
          <w:bCs/>
          <w:color w:val="auto"/>
          <w:kern w:val="2"/>
          <w:sz w:val="24"/>
          <w:szCs w:val="24"/>
        </w:rPr>
        <w:t>7.9 提前竣工</w:t>
      </w:r>
      <w:bookmarkEnd w:id="548"/>
      <w:bookmarkEnd w:id="549"/>
      <w:bookmarkEnd w:id="550"/>
      <w:bookmarkEnd w:id="551"/>
      <w:bookmarkEnd w:id="552"/>
      <w:bookmarkEnd w:id="553"/>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7.9.2提前竣工（赶工）增加费的计算方法：</w:t>
      </w:r>
      <w:r>
        <w:rPr>
          <w:rFonts w:hint="eastAsia" w:ascii="宋体" w:hAnsi="宋体" w:eastAsia="宋体" w:cs="宋体"/>
          <w:color w:val="auto"/>
          <w:kern w:val="2"/>
          <w:sz w:val="24"/>
          <w:szCs w:val="24"/>
          <w:lang w:val="en-US" w:eastAsia="zh-CN"/>
        </w:rPr>
        <w:t>______________</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554" w:name="_Toc389065297"/>
      <w:bookmarkStart w:id="555" w:name="_Toc491937909"/>
      <w:bookmarkStart w:id="556" w:name="_Toc407135233"/>
      <w:bookmarkStart w:id="557" w:name="_Toc9001"/>
      <w:bookmarkStart w:id="558" w:name="_Toc373478378"/>
      <w:bookmarkStart w:id="559" w:name="_Toc373227731"/>
      <w:bookmarkStart w:id="560" w:name="_Toc351203640"/>
      <w:r>
        <w:rPr>
          <w:rFonts w:hint="eastAsia" w:ascii="宋体" w:hAnsi="宋体" w:eastAsia="宋体" w:cs="宋体"/>
          <w:b/>
          <w:bCs/>
          <w:color w:val="auto"/>
          <w:kern w:val="2"/>
          <w:sz w:val="24"/>
          <w:szCs w:val="24"/>
        </w:rPr>
        <w:t>8. 材料与设备</w:t>
      </w:r>
      <w:bookmarkEnd w:id="554"/>
      <w:bookmarkEnd w:id="555"/>
      <w:bookmarkEnd w:id="556"/>
      <w:bookmarkEnd w:id="557"/>
      <w:bookmarkEnd w:id="558"/>
      <w:bookmarkEnd w:id="559"/>
      <w:bookmarkEnd w:id="560"/>
    </w:p>
    <w:bookmarkEnd w:id="411"/>
    <w:bookmarkEnd w:id="412"/>
    <w:bookmarkEnd w:id="413"/>
    <w:bookmarkEnd w:id="414"/>
    <w:bookmarkEnd w:id="415"/>
    <w:bookmarkEnd w:id="416"/>
    <w:bookmarkEnd w:id="417"/>
    <w:bookmarkEnd w:id="418"/>
    <w:bookmarkEnd w:id="419"/>
    <w:bookmarkEnd w:id="420"/>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561" w:name="_Toc491937910"/>
      <w:bookmarkStart w:id="562" w:name="_Toc373227732"/>
      <w:bookmarkStart w:id="563" w:name="_Toc10356"/>
      <w:bookmarkStart w:id="564" w:name="_Toc373478379"/>
      <w:bookmarkStart w:id="565" w:name="_Toc389065298"/>
      <w:bookmarkStart w:id="566" w:name="_Toc407135234"/>
      <w:r>
        <w:rPr>
          <w:rFonts w:hint="eastAsia" w:ascii="宋体" w:hAnsi="宋体" w:eastAsia="宋体" w:cs="宋体"/>
          <w:b/>
          <w:bCs/>
          <w:color w:val="auto"/>
          <w:kern w:val="2"/>
          <w:sz w:val="24"/>
          <w:szCs w:val="24"/>
        </w:rPr>
        <w:t>8.2 承包人采购材料与工程设备</w:t>
      </w:r>
      <w:bookmarkEnd w:id="561"/>
      <w:bookmarkEnd w:id="562"/>
      <w:bookmarkEnd w:id="563"/>
      <w:bookmarkEnd w:id="564"/>
      <w:bookmarkEnd w:id="565"/>
      <w:bookmarkEnd w:id="566"/>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kern w:val="2"/>
          <w:sz w:val="24"/>
          <w:szCs w:val="24"/>
        </w:rPr>
        <w:t>承包人提供主要材料和工程设备一览表》</w:t>
      </w:r>
      <w:r>
        <w:rPr>
          <w:rFonts w:hint="eastAsia" w:ascii="宋体" w:hAnsi="宋体" w:eastAsia="宋体" w:cs="宋体"/>
          <w:color w:val="auto"/>
          <w:sz w:val="24"/>
          <w:szCs w:val="24"/>
        </w:rPr>
        <w:t>（表-22）见已标价工程量清单。</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567" w:name="_Toc6782"/>
      <w:bookmarkStart w:id="568" w:name="_Toc389065299"/>
      <w:bookmarkStart w:id="569" w:name="_Toc373478380"/>
      <w:bookmarkStart w:id="570" w:name="_Toc491937911"/>
      <w:bookmarkStart w:id="571" w:name="_Toc407135235"/>
      <w:bookmarkStart w:id="572" w:name="_Toc373227733"/>
      <w:r>
        <w:rPr>
          <w:rFonts w:hint="eastAsia" w:ascii="宋体" w:hAnsi="宋体" w:eastAsia="宋体" w:cs="宋体"/>
          <w:b/>
          <w:bCs/>
          <w:color w:val="auto"/>
          <w:kern w:val="2"/>
          <w:sz w:val="24"/>
          <w:szCs w:val="24"/>
        </w:rPr>
        <w:t>8</w:t>
      </w:r>
      <w:bookmarkStart w:id="573" w:name="_Toc297123527"/>
      <w:bookmarkStart w:id="574" w:name="_Toc297120467"/>
      <w:bookmarkStart w:id="575" w:name="_Toc296503167"/>
      <w:bookmarkStart w:id="576" w:name="_Toc312677493"/>
      <w:bookmarkStart w:id="577" w:name="_Toc300934979"/>
      <w:bookmarkStart w:id="578" w:name="_Toc292559877"/>
      <w:bookmarkStart w:id="579" w:name="_Toc304295556"/>
      <w:bookmarkStart w:id="580" w:name="_Toc296347166"/>
      <w:bookmarkStart w:id="581" w:name="_Toc312678019"/>
      <w:bookmarkStart w:id="582" w:name="_Toc296944506"/>
      <w:bookmarkStart w:id="583" w:name="_Toc296890995"/>
      <w:bookmarkStart w:id="584" w:name="_Toc280868654"/>
      <w:bookmarkStart w:id="585" w:name="_Toc303539136"/>
      <w:bookmarkStart w:id="586" w:name="_Toc296346668"/>
      <w:bookmarkStart w:id="587" w:name="_Toc292559372"/>
      <w:bookmarkStart w:id="588" w:name="_Toc296891207"/>
      <w:bookmarkStart w:id="589" w:name="_Toc297216186"/>
      <w:bookmarkStart w:id="590" w:name="_Toc297048353"/>
      <w:bookmarkStart w:id="591" w:name="_Toc267251424"/>
      <w:bookmarkStart w:id="592" w:name="_Toc280868655"/>
      <w:bookmarkStart w:id="593" w:name="_Toc280868656"/>
      <w:r>
        <w:rPr>
          <w:rFonts w:hint="eastAsia" w:ascii="宋体" w:hAnsi="宋体" w:eastAsia="宋体" w:cs="宋体"/>
          <w:b/>
          <w:bCs/>
          <w:color w:val="auto"/>
          <w:kern w:val="2"/>
          <w:sz w:val="24"/>
          <w:szCs w:val="24"/>
        </w:rPr>
        <w:t>.4 材料与工程设备的保管与使用</w:t>
      </w:r>
      <w:bookmarkEnd w:id="567"/>
      <w:bookmarkEnd w:id="568"/>
      <w:bookmarkEnd w:id="569"/>
      <w:bookmarkEnd w:id="570"/>
      <w:bookmarkEnd w:id="571"/>
      <w:bookmarkEnd w:id="572"/>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8</w:t>
      </w:r>
      <w:bookmarkStart w:id="594" w:name="_Toc292559373"/>
      <w:bookmarkStart w:id="595" w:name="_Toc292559878"/>
      <w:bookmarkStart w:id="596" w:name="_Toc296944507"/>
      <w:bookmarkStart w:id="597" w:name="_Toc297123528"/>
      <w:bookmarkStart w:id="598" w:name="_Toc303539137"/>
      <w:bookmarkStart w:id="599" w:name="_Toc297048354"/>
      <w:bookmarkStart w:id="600" w:name="_Toc312678020"/>
      <w:bookmarkStart w:id="601" w:name="_Toc312677494"/>
      <w:bookmarkStart w:id="602" w:name="_Toc304295557"/>
      <w:bookmarkStart w:id="603" w:name="_Toc296347167"/>
      <w:bookmarkStart w:id="604" w:name="_Toc297120468"/>
      <w:bookmarkStart w:id="605" w:name="_Toc296890996"/>
      <w:bookmarkStart w:id="606" w:name="_Toc296503168"/>
      <w:bookmarkStart w:id="607" w:name="_Toc297216187"/>
      <w:bookmarkStart w:id="608" w:name="_Toc296891208"/>
      <w:bookmarkStart w:id="609" w:name="_Toc300934980"/>
      <w:bookmarkStart w:id="610" w:name="_Toc318581173"/>
      <w:bookmarkStart w:id="611" w:name="_Toc296346669"/>
      <w:r>
        <w:rPr>
          <w:rFonts w:hint="eastAsia" w:ascii="宋体" w:hAnsi="宋体" w:eastAsia="宋体" w:cs="宋体"/>
          <w:color w:val="auto"/>
          <w:kern w:val="2"/>
          <w:sz w:val="24"/>
          <w:szCs w:val="24"/>
        </w:rPr>
        <w:t>.4.1发包人供应的材料设备的保管费用的承担：</w:t>
      </w:r>
      <w:r>
        <w:rPr>
          <w:rFonts w:hint="eastAsia" w:ascii="宋体" w:hAnsi="宋体" w:eastAsia="宋体" w:cs="宋体"/>
          <w:color w:val="auto"/>
          <w:kern w:val="2"/>
          <w:sz w:val="24"/>
          <w:szCs w:val="24"/>
          <w:lang w:val="en-US" w:eastAsia="zh-CN"/>
        </w:rPr>
        <w:t>____________________</w:t>
      </w:r>
      <w:r>
        <w:rPr>
          <w:rFonts w:hint="eastAsia" w:ascii="宋体" w:hAnsi="宋体" w:eastAsia="宋体" w:cs="宋体"/>
          <w:color w:val="auto"/>
          <w:kern w:val="2"/>
          <w:sz w:val="24"/>
          <w:szCs w:val="24"/>
        </w:rPr>
        <w:t>。</w:t>
      </w:r>
    </w:p>
    <w:bookmarkEnd w:id="594"/>
    <w:bookmarkEnd w:id="595"/>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12" w:name="_Toc407135236"/>
      <w:bookmarkStart w:id="613" w:name="_Toc389065300"/>
      <w:bookmarkStart w:id="614" w:name="_Toc373227734"/>
      <w:bookmarkStart w:id="615" w:name="_Toc32331"/>
      <w:bookmarkStart w:id="616" w:name="_Toc491937912"/>
      <w:bookmarkStart w:id="617" w:name="_Toc373478381"/>
      <w:r>
        <w:rPr>
          <w:rFonts w:hint="eastAsia" w:ascii="宋体" w:hAnsi="宋体" w:eastAsia="宋体" w:cs="宋体"/>
          <w:b/>
          <w:bCs/>
          <w:color w:val="auto"/>
          <w:kern w:val="2"/>
          <w:sz w:val="24"/>
          <w:szCs w:val="24"/>
        </w:rPr>
        <w:t>8.6 样品</w:t>
      </w:r>
      <w:bookmarkEnd w:id="612"/>
      <w:bookmarkEnd w:id="613"/>
      <w:bookmarkEnd w:id="614"/>
      <w:bookmarkEnd w:id="615"/>
      <w:bookmarkEnd w:id="616"/>
      <w:bookmarkEnd w:id="617"/>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8.6.1 样品的报送与封存</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kern w:val="2"/>
          <w:sz w:val="24"/>
          <w:szCs w:val="24"/>
          <w:u w:val="single"/>
        </w:rPr>
        <w:t>主要材料涉及品种、款式、颜色等方面内容的，承包人应提交准备合格的材料样品送发包人选定。</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18" w:name="_Toc407135237"/>
      <w:bookmarkStart w:id="619" w:name="_Toc389065301"/>
      <w:bookmarkStart w:id="620" w:name="_Toc373227735"/>
      <w:bookmarkStart w:id="621" w:name="_Toc491937913"/>
      <w:bookmarkStart w:id="622" w:name="_Toc373478382"/>
      <w:bookmarkStart w:id="623" w:name="_Toc9746"/>
      <w:r>
        <w:rPr>
          <w:rFonts w:hint="eastAsia" w:ascii="宋体" w:hAnsi="宋体" w:eastAsia="宋体" w:cs="宋体"/>
          <w:b/>
          <w:bCs/>
          <w:color w:val="auto"/>
          <w:kern w:val="2"/>
          <w:sz w:val="24"/>
          <w:szCs w:val="24"/>
        </w:rPr>
        <w:t>8.8 施工设备和临时设施</w:t>
      </w:r>
      <w:bookmarkEnd w:id="618"/>
      <w:bookmarkEnd w:id="619"/>
      <w:bookmarkEnd w:id="620"/>
      <w:bookmarkEnd w:id="621"/>
      <w:bookmarkEnd w:id="622"/>
      <w:bookmarkEnd w:id="623"/>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8.8.1 承包人提供的施工设备和临时设施</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关于修建临时设施费用承担的约定：</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②承包人负责合同实施期间其合同段内临时交通道路（含场内外连接公共交通道路）和交通设施的修建、维修、养护和交通管理工作，并承担一切费用。</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8.8.2 发包人提供的施工设备和临时设施</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发包人提供的施工设备和临时设施：</w:t>
      </w:r>
      <w:r>
        <w:rPr>
          <w:rFonts w:hint="eastAsia" w:ascii="宋体" w:hAnsi="宋体" w:eastAsia="宋体" w:cs="宋体"/>
          <w:color w:val="auto"/>
          <w:kern w:val="2"/>
          <w:sz w:val="24"/>
          <w:szCs w:val="24"/>
          <w:lang w:val="en-US" w:eastAsia="zh-CN"/>
        </w:rPr>
        <w:t>__________________</w:t>
      </w:r>
      <w:r>
        <w:rPr>
          <w:rFonts w:hint="eastAsia" w:ascii="宋体" w:hAnsi="宋体" w:eastAsia="宋体" w:cs="宋体"/>
          <w:color w:val="auto"/>
          <w:kern w:val="2"/>
          <w:sz w:val="24"/>
          <w:szCs w:val="24"/>
        </w:rPr>
        <w:t>。</w:t>
      </w:r>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发包人提供的施工设备和临时设施的运行、维护、拆除、清运费用的承担人：</w:t>
      </w:r>
      <w:r>
        <w:rPr>
          <w:rFonts w:hint="eastAsia" w:ascii="宋体" w:hAnsi="宋体" w:eastAsia="宋体" w:cs="宋体"/>
          <w:color w:val="auto"/>
          <w:kern w:val="2"/>
          <w:sz w:val="24"/>
          <w:szCs w:val="24"/>
          <w:lang w:val="en-US" w:eastAsia="zh-CN"/>
        </w:rPr>
        <w:t>_______________</w:t>
      </w:r>
      <w:r>
        <w:rPr>
          <w:rFonts w:hint="eastAsia" w:ascii="宋体" w:hAnsi="宋体" w:eastAsia="宋体" w:cs="宋体"/>
          <w:color w:val="auto"/>
          <w:kern w:val="2"/>
          <w:sz w:val="24"/>
          <w:szCs w:val="24"/>
        </w:rPr>
        <w:t>。</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624" w:name="_Toc29285"/>
      <w:bookmarkStart w:id="625" w:name="_Toc389065302"/>
      <w:bookmarkStart w:id="626" w:name="_Toc373478383"/>
      <w:bookmarkStart w:id="627" w:name="_Toc351203641"/>
      <w:bookmarkStart w:id="628" w:name="_Toc491937914"/>
      <w:bookmarkStart w:id="629" w:name="_Toc407135238"/>
      <w:bookmarkStart w:id="630" w:name="_Toc373227736"/>
      <w:r>
        <w:rPr>
          <w:rFonts w:hint="eastAsia" w:ascii="宋体" w:hAnsi="宋体" w:eastAsia="宋体" w:cs="宋体"/>
          <w:b/>
          <w:bCs/>
          <w:color w:val="auto"/>
          <w:kern w:val="2"/>
          <w:sz w:val="24"/>
          <w:szCs w:val="24"/>
        </w:rPr>
        <w:t>9</w:t>
      </w:r>
      <w:bookmarkEnd w:id="591"/>
      <w:bookmarkEnd w:id="592"/>
      <w:bookmarkEnd w:id="593"/>
      <w:bookmarkStart w:id="631" w:name="_Toc297216192"/>
      <w:bookmarkStart w:id="632" w:name="_Toc312678021"/>
      <w:bookmarkStart w:id="633" w:name="_Toc312677495"/>
      <w:bookmarkStart w:id="634" w:name="_Toc303539139"/>
      <w:bookmarkStart w:id="635" w:name="_Toc297123533"/>
      <w:bookmarkStart w:id="636" w:name="_Toc300934982"/>
      <w:bookmarkStart w:id="637" w:name="_Toc304295559"/>
      <w:bookmarkStart w:id="638" w:name="_Toc296891001"/>
      <w:bookmarkStart w:id="639" w:name="_Toc296944512"/>
      <w:bookmarkStart w:id="640" w:name="_Toc292559883"/>
      <w:bookmarkStart w:id="641" w:name="_Toc292559378"/>
      <w:bookmarkStart w:id="642" w:name="_Toc296891213"/>
      <w:bookmarkStart w:id="643" w:name="_Toc267251428"/>
      <w:bookmarkStart w:id="644" w:name="_Toc296346674"/>
      <w:bookmarkStart w:id="645" w:name="_Toc296347172"/>
      <w:bookmarkStart w:id="646" w:name="_Toc296503173"/>
      <w:bookmarkStart w:id="647" w:name="_Toc267251427"/>
      <w:bookmarkStart w:id="648" w:name="_Toc297120473"/>
      <w:bookmarkStart w:id="649" w:name="_Toc297048359"/>
      <w:r>
        <w:rPr>
          <w:rFonts w:hint="eastAsia" w:ascii="宋体" w:hAnsi="宋体" w:eastAsia="宋体" w:cs="宋体"/>
          <w:b/>
          <w:bCs/>
          <w:color w:val="auto"/>
          <w:kern w:val="2"/>
          <w:sz w:val="24"/>
          <w:szCs w:val="24"/>
        </w:rPr>
        <w:t>. 试验与检验</w:t>
      </w:r>
      <w:bookmarkEnd w:id="624"/>
      <w:bookmarkEnd w:id="625"/>
      <w:bookmarkEnd w:id="626"/>
      <w:bookmarkEnd w:id="627"/>
      <w:bookmarkEnd w:id="628"/>
      <w:bookmarkEnd w:id="629"/>
      <w:bookmarkEnd w:id="630"/>
    </w:p>
    <w:bookmarkEnd w:id="631"/>
    <w:bookmarkEnd w:id="632"/>
    <w:bookmarkEnd w:id="633"/>
    <w:bookmarkEnd w:id="634"/>
    <w:bookmarkEnd w:id="635"/>
    <w:bookmarkEnd w:id="636"/>
    <w:bookmarkEnd w:id="637"/>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50" w:name="_Toc373478384"/>
      <w:bookmarkStart w:id="651" w:name="_Toc389065303"/>
      <w:bookmarkStart w:id="652" w:name="_Toc407135239"/>
      <w:bookmarkStart w:id="653" w:name="_Toc373227737"/>
      <w:bookmarkStart w:id="654" w:name="_Toc491937915"/>
      <w:bookmarkStart w:id="655" w:name="_Toc19173"/>
      <w:r>
        <w:rPr>
          <w:rFonts w:hint="eastAsia" w:ascii="宋体" w:hAnsi="宋体" w:eastAsia="宋体" w:cs="宋体"/>
          <w:b/>
          <w:bCs/>
          <w:color w:val="auto"/>
          <w:kern w:val="2"/>
          <w:sz w:val="24"/>
          <w:szCs w:val="24"/>
        </w:rPr>
        <w:t>9</w:t>
      </w:r>
      <w:bookmarkStart w:id="656" w:name="_Toc304295560"/>
      <w:bookmarkStart w:id="657" w:name="_Toc303539140"/>
      <w:bookmarkStart w:id="658" w:name="_Toc297123534"/>
      <w:bookmarkStart w:id="659" w:name="_Toc300934983"/>
      <w:bookmarkStart w:id="660" w:name="_Toc312678022"/>
      <w:bookmarkStart w:id="661" w:name="_Toc297216193"/>
      <w:bookmarkStart w:id="662" w:name="_Toc312677496"/>
      <w:r>
        <w:rPr>
          <w:rFonts w:hint="eastAsia" w:ascii="宋体" w:hAnsi="宋体" w:eastAsia="宋体" w:cs="宋体"/>
          <w:b/>
          <w:bCs/>
          <w:color w:val="auto"/>
          <w:kern w:val="2"/>
          <w:sz w:val="24"/>
          <w:szCs w:val="24"/>
        </w:rPr>
        <w:t>.1 试验设备与试验人员</w:t>
      </w:r>
      <w:bookmarkEnd w:id="650"/>
      <w:bookmarkEnd w:id="651"/>
      <w:bookmarkEnd w:id="652"/>
      <w:bookmarkEnd w:id="653"/>
      <w:bookmarkEnd w:id="654"/>
      <w:bookmarkEnd w:id="655"/>
    </w:p>
    <w:bookmarkEnd w:id="656"/>
    <w:bookmarkEnd w:id="657"/>
    <w:bookmarkEnd w:id="658"/>
    <w:bookmarkEnd w:id="659"/>
    <w:bookmarkEnd w:id="660"/>
    <w:bookmarkEnd w:id="661"/>
    <w:bookmarkEnd w:id="662"/>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9</w:t>
      </w:r>
      <w:bookmarkStart w:id="663" w:name="_Toc297216194"/>
      <w:bookmarkStart w:id="664" w:name="_Toc312678023"/>
      <w:bookmarkStart w:id="665" w:name="_Toc303539141"/>
      <w:bookmarkStart w:id="666" w:name="_Toc304295561"/>
      <w:bookmarkStart w:id="667" w:name="_Toc297123535"/>
      <w:bookmarkStart w:id="668" w:name="_Toc300934984"/>
      <w:bookmarkStart w:id="669" w:name="_Toc312677497"/>
      <w:bookmarkStart w:id="670" w:name="_Toc318581174"/>
      <w:r>
        <w:rPr>
          <w:rFonts w:hint="eastAsia" w:ascii="宋体" w:hAnsi="宋体" w:eastAsia="宋体" w:cs="宋体"/>
          <w:color w:val="auto"/>
          <w:kern w:val="2"/>
          <w:sz w:val="24"/>
          <w:szCs w:val="24"/>
        </w:rPr>
        <w:t>.1.2 试验设备</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施工现场需要配置的试验场所：</w:t>
      </w:r>
      <w:bookmarkEnd w:id="663"/>
      <w:bookmarkEnd w:id="664"/>
      <w:bookmarkEnd w:id="665"/>
      <w:bookmarkEnd w:id="666"/>
      <w:bookmarkEnd w:id="667"/>
      <w:bookmarkEnd w:id="668"/>
      <w:bookmarkEnd w:id="669"/>
      <w:bookmarkStart w:id="671" w:name="_Toc312678024"/>
      <w:bookmarkStart w:id="672" w:name="_Toc300934985"/>
      <w:bookmarkStart w:id="673" w:name="_Toc303539142"/>
      <w:bookmarkStart w:id="674" w:name="_Toc304295562"/>
      <w:bookmarkStart w:id="675" w:name="_Toc297123536"/>
      <w:bookmarkStart w:id="676" w:name="_Toc297216195"/>
      <w:bookmarkStart w:id="677" w:name="_Toc312677498"/>
      <w:r>
        <w:rPr>
          <w:rFonts w:hint="eastAsia" w:ascii="宋体" w:hAnsi="宋体" w:eastAsia="宋体" w:cs="宋体"/>
          <w:color w:val="auto"/>
          <w:kern w:val="2"/>
          <w:sz w:val="24"/>
          <w:szCs w:val="24"/>
          <w:lang w:val="en-US" w:eastAsia="zh-CN"/>
        </w:rPr>
        <w:t>______________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施工现场需要配备的试验设备：</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施工现场需要具备的其他试验条件：</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78" w:name="_Toc491937916"/>
      <w:bookmarkStart w:id="679" w:name="_Toc373227738"/>
      <w:bookmarkStart w:id="680" w:name="_Toc407135240"/>
      <w:bookmarkStart w:id="681" w:name="_Toc373478385"/>
      <w:bookmarkStart w:id="682" w:name="_Toc12200"/>
      <w:bookmarkStart w:id="683" w:name="_Toc389065304"/>
      <w:r>
        <w:rPr>
          <w:rFonts w:hint="eastAsia" w:ascii="宋体" w:hAnsi="宋体" w:eastAsia="宋体" w:cs="宋体"/>
          <w:b/>
          <w:bCs/>
          <w:color w:val="auto"/>
          <w:kern w:val="2"/>
          <w:sz w:val="24"/>
          <w:szCs w:val="24"/>
        </w:rPr>
        <w:t>9.4 现场工艺试验</w:t>
      </w:r>
      <w:bookmarkEnd w:id="678"/>
      <w:bookmarkEnd w:id="679"/>
      <w:bookmarkEnd w:id="680"/>
      <w:bookmarkEnd w:id="681"/>
      <w:bookmarkEnd w:id="682"/>
      <w:bookmarkEnd w:id="683"/>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现场工艺试验的有关约定：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84" w:name="_Toc491937917"/>
      <w:bookmarkStart w:id="685" w:name="_Toc649"/>
      <w:bookmarkStart w:id="686" w:name="_Toc407135241"/>
      <w:r>
        <w:rPr>
          <w:rFonts w:hint="eastAsia" w:ascii="宋体" w:hAnsi="宋体" w:eastAsia="宋体" w:cs="宋体"/>
          <w:b/>
          <w:bCs/>
          <w:color w:val="auto"/>
          <w:kern w:val="2"/>
          <w:sz w:val="24"/>
          <w:szCs w:val="24"/>
        </w:rPr>
        <w:t>9.5 检验费用</w:t>
      </w:r>
      <w:bookmarkEnd w:id="684"/>
      <w:bookmarkEnd w:id="685"/>
      <w:bookmarkEnd w:id="686"/>
    </w:p>
    <w:p>
      <w:pPr>
        <w:pStyle w:val="37"/>
        <w:adjustRightInd w:val="0"/>
        <w:snapToGrid w:val="0"/>
        <w:spacing w:line="360" w:lineRule="auto"/>
        <w:ind w:firstLine="470" w:firstLineChars="196"/>
        <w:rPr>
          <w:rFonts w:ascii="宋体" w:hAnsi="宋体" w:eastAsia="宋体" w:cs="宋体"/>
          <w:color w:val="auto"/>
          <w:kern w:val="2"/>
          <w:sz w:val="24"/>
          <w:szCs w:val="24"/>
        </w:rPr>
      </w:pPr>
      <w:r>
        <w:rPr>
          <w:rFonts w:hint="eastAsia" w:ascii="宋体" w:hAnsi="宋体" w:eastAsia="宋体" w:cs="宋体"/>
          <w:color w:val="auto"/>
          <w:kern w:val="2"/>
          <w:sz w:val="24"/>
          <w:szCs w:val="24"/>
        </w:rPr>
        <w:t>根据《建设工程质量检测管理办法》（建设部令第141号）以及</w:t>
      </w:r>
      <w:r>
        <w:rPr>
          <w:rFonts w:hint="eastAsia" w:ascii="宋体" w:hAnsi="宋体" w:eastAsia="宋体" w:cs="宋体"/>
          <w:bCs/>
          <w:color w:val="auto"/>
          <w:kern w:val="2"/>
          <w:sz w:val="24"/>
          <w:szCs w:val="24"/>
        </w:rPr>
        <w:t>《广西壮族自治区建设工程质量检测管理规定》（桂建管〔2013〕11号）</w:t>
      </w:r>
      <w:r>
        <w:rPr>
          <w:rFonts w:hint="eastAsia" w:ascii="宋体" w:hAnsi="宋体" w:eastAsia="宋体" w:cs="宋体"/>
          <w:color w:val="auto"/>
          <w:kern w:val="2"/>
          <w:sz w:val="24"/>
          <w:szCs w:val="24"/>
        </w:rPr>
        <w:t>规定，工程质量检测业务由采购人委托有相应资质的检测机构检测。费用从采购人的项目建设经费中支出并直接支付给检测机构，不计入合同价款内。</w:t>
      </w:r>
    </w:p>
    <w:bookmarkEnd w:id="670"/>
    <w:bookmarkEnd w:id="671"/>
    <w:bookmarkEnd w:id="672"/>
    <w:bookmarkEnd w:id="673"/>
    <w:bookmarkEnd w:id="674"/>
    <w:bookmarkEnd w:id="675"/>
    <w:bookmarkEnd w:id="676"/>
    <w:bookmarkEnd w:id="677"/>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687" w:name="_Toc373478386"/>
      <w:bookmarkStart w:id="688" w:name="_Toc351203642"/>
      <w:bookmarkStart w:id="689" w:name="_Toc389065305"/>
      <w:bookmarkStart w:id="690" w:name="_Toc491937918"/>
      <w:bookmarkStart w:id="691" w:name="_Toc373227739"/>
      <w:bookmarkStart w:id="692" w:name="_Toc25242"/>
      <w:bookmarkStart w:id="693" w:name="_Toc407135242"/>
      <w:r>
        <w:rPr>
          <w:rFonts w:hint="eastAsia" w:ascii="宋体" w:hAnsi="宋体" w:eastAsia="宋体" w:cs="宋体"/>
          <w:b/>
          <w:bCs/>
          <w:color w:val="auto"/>
          <w:kern w:val="2"/>
          <w:sz w:val="24"/>
          <w:szCs w:val="24"/>
        </w:rPr>
        <w:t>1</w:t>
      </w:r>
      <w:bookmarkEnd w:id="638"/>
      <w:bookmarkEnd w:id="639"/>
      <w:bookmarkEnd w:id="640"/>
      <w:bookmarkEnd w:id="641"/>
      <w:bookmarkEnd w:id="642"/>
      <w:bookmarkEnd w:id="643"/>
      <w:bookmarkEnd w:id="644"/>
      <w:bookmarkEnd w:id="645"/>
      <w:bookmarkEnd w:id="646"/>
      <w:bookmarkEnd w:id="647"/>
      <w:bookmarkEnd w:id="648"/>
      <w:bookmarkEnd w:id="649"/>
      <w:bookmarkStart w:id="694" w:name="_Toc303539146"/>
      <w:bookmarkStart w:id="695" w:name="_Toc297123540"/>
      <w:bookmarkStart w:id="696" w:name="_Toc292559398"/>
      <w:bookmarkStart w:id="697" w:name="_Toc296944532"/>
      <w:bookmarkStart w:id="698" w:name="_Toc296346694"/>
      <w:bookmarkStart w:id="699" w:name="_Toc304295566"/>
      <w:bookmarkStart w:id="700" w:name="_Toc300934989"/>
      <w:bookmarkStart w:id="701" w:name="_Toc296503193"/>
      <w:bookmarkStart w:id="702" w:name="_Toc296347192"/>
      <w:bookmarkStart w:id="703" w:name="_Toc292559903"/>
      <w:bookmarkStart w:id="704" w:name="_Toc297048379"/>
      <w:bookmarkStart w:id="705" w:name="_Toc297216199"/>
      <w:bookmarkStart w:id="706" w:name="_Toc297120493"/>
      <w:bookmarkStart w:id="707" w:name="_Toc296891021"/>
      <w:bookmarkStart w:id="708" w:name="_Toc296891233"/>
      <w:bookmarkStart w:id="709" w:name="_Toc312678025"/>
      <w:bookmarkStart w:id="710" w:name="_Toc312677499"/>
      <w:bookmarkStart w:id="711" w:name="_Toc267251435"/>
      <w:bookmarkStart w:id="712" w:name="_Toc267251439"/>
      <w:bookmarkStart w:id="713" w:name="_Toc267251441"/>
      <w:bookmarkStart w:id="714" w:name="_Toc267251437"/>
      <w:bookmarkStart w:id="715" w:name="_Toc267251440"/>
      <w:bookmarkStart w:id="716" w:name="_Toc267251433"/>
      <w:bookmarkStart w:id="717" w:name="_Toc267251442"/>
      <w:r>
        <w:rPr>
          <w:rFonts w:hint="eastAsia" w:ascii="宋体" w:hAnsi="宋体" w:eastAsia="宋体" w:cs="宋体"/>
          <w:b/>
          <w:bCs/>
          <w:color w:val="auto"/>
          <w:kern w:val="2"/>
          <w:sz w:val="24"/>
          <w:szCs w:val="24"/>
        </w:rPr>
        <w:t>0. 变更</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bookmarkEnd w:id="709"/>
    <w:bookmarkEnd w:id="710"/>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718" w:name="_Toc373478387"/>
      <w:bookmarkStart w:id="719" w:name="_Toc407135243"/>
      <w:bookmarkStart w:id="720" w:name="_Toc373227740"/>
      <w:bookmarkStart w:id="721" w:name="_Toc491937919"/>
      <w:bookmarkStart w:id="722" w:name="_Toc389065306"/>
      <w:bookmarkStart w:id="723" w:name="_Toc14862"/>
      <w:r>
        <w:rPr>
          <w:rFonts w:hint="eastAsia" w:ascii="宋体" w:hAnsi="宋体" w:eastAsia="宋体" w:cs="宋体"/>
          <w:b/>
          <w:bCs/>
          <w:color w:val="auto"/>
          <w:kern w:val="2"/>
          <w:sz w:val="24"/>
          <w:szCs w:val="24"/>
        </w:rPr>
        <w:t>1</w:t>
      </w:r>
      <w:bookmarkStart w:id="724" w:name="_Toc304295567"/>
      <w:bookmarkStart w:id="725" w:name="_Toc297120494"/>
      <w:bookmarkStart w:id="726" w:name="_Toc297123541"/>
      <w:bookmarkStart w:id="727" w:name="_Toc297216200"/>
      <w:bookmarkStart w:id="728" w:name="_Toc296347193"/>
      <w:bookmarkStart w:id="729" w:name="_Toc296891234"/>
      <w:bookmarkStart w:id="730" w:name="_Toc297048380"/>
      <w:bookmarkStart w:id="731" w:name="_Toc303539147"/>
      <w:bookmarkStart w:id="732" w:name="_Toc296346695"/>
      <w:bookmarkStart w:id="733" w:name="_Toc292559399"/>
      <w:bookmarkStart w:id="734" w:name="_Toc312678026"/>
      <w:bookmarkStart w:id="735" w:name="_Toc300934990"/>
      <w:bookmarkStart w:id="736" w:name="_Toc312677500"/>
      <w:bookmarkStart w:id="737" w:name="_Toc296891022"/>
      <w:bookmarkStart w:id="738" w:name="_Toc292559904"/>
      <w:bookmarkStart w:id="739" w:name="_Toc296503194"/>
      <w:bookmarkStart w:id="740" w:name="_Toc296944533"/>
      <w:r>
        <w:rPr>
          <w:rFonts w:hint="eastAsia" w:ascii="宋体" w:hAnsi="宋体" w:eastAsia="宋体" w:cs="宋体"/>
          <w:b/>
          <w:bCs/>
          <w:color w:val="auto"/>
          <w:kern w:val="2"/>
          <w:sz w:val="24"/>
          <w:szCs w:val="24"/>
        </w:rPr>
        <w:t>0.1 变更的范围</w:t>
      </w:r>
      <w:bookmarkEnd w:id="718"/>
      <w:bookmarkEnd w:id="719"/>
      <w:bookmarkEnd w:id="720"/>
      <w:bookmarkEnd w:id="721"/>
      <w:bookmarkEnd w:id="722"/>
      <w:bookmarkEnd w:id="723"/>
    </w:p>
    <w:p>
      <w:pPr>
        <w:pStyle w:val="37"/>
        <w:adjustRightInd w:val="0"/>
        <w:snapToGrid w:val="0"/>
        <w:spacing w:line="360" w:lineRule="auto"/>
        <w:ind w:firstLine="426"/>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关于变更的范围的约定：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741" w:name="_Toc373478388"/>
      <w:bookmarkStart w:id="742" w:name="_Toc373227741"/>
      <w:bookmarkStart w:id="743" w:name="_Toc389065307"/>
      <w:bookmarkStart w:id="744" w:name="_Toc12517"/>
      <w:bookmarkStart w:id="745" w:name="_Toc491937920"/>
      <w:bookmarkStart w:id="746" w:name="_Toc407135244"/>
      <w:r>
        <w:rPr>
          <w:rFonts w:hint="eastAsia" w:ascii="宋体" w:hAnsi="宋体" w:eastAsia="宋体" w:cs="宋体"/>
          <w:b/>
          <w:bCs/>
          <w:color w:val="auto"/>
          <w:kern w:val="2"/>
          <w:sz w:val="24"/>
          <w:szCs w:val="24"/>
        </w:rPr>
        <w:t>10.3 变更程序</w:t>
      </w:r>
      <w:bookmarkEnd w:id="741"/>
      <w:bookmarkEnd w:id="742"/>
      <w:bookmarkEnd w:id="743"/>
      <w:bookmarkEnd w:id="744"/>
      <w:bookmarkEnd w:id="745"/>
      <w:bookmarkEnd w:id="746"/>
    </w:p>
    <w:p>
      <w:pPr>
        <w:pStyle w:val="37"/>
        <w:adjustRightInd w:val="0"/>
        <w:snapToGrid w:val="0"/>
        <w:spacing w:line="360" w:lineRule="auto"/>
        <w:ind w:firstLine="504" w:firstLineChars="21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10.3.1 政府及国有投资项目：</w:t>
      </w:r>
    </w:p>
    <w:p>
      <w:pPr>
        <w:pStyle w:val="37"/>
        <w:adjustRightInd w:val="0"/>
        <w:snapToGrid w:val="0"/>
        <w:spacing w:line="360" w:lineRule="auto"/>
        <w:ind w:firstLine="504" w:firstLineChars="21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⑴设计变更和工程签证，按各市政府或相关部门的规定办理。属不可抗力（自然灾害、突发事件等）造成变更的，按特事特办原则予以办理。</w:t>
      </w:r>
    </w:p>
    <w:p>
      <w:pPr>
        <w:pStyle w:val="37"/>
        <w:adjustRightInd w:val="0"/>
        <w:snapToGrid w:val="0"/>
        <w:spacing w:line="360" w:lineRule="auto"/>
        <w:ind w:firstLine="504" w:firstLineChars="21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⑵建设单位在实施项目过程中，若发生单价变动，由建设单位、监理单位、施工单位及其他相关单位共同商定并签字确认。</w:t>
      </w:r>
    </w:p>
    <w:p>
      <w:pPr>
        <w:pStyle w:val="37"/>
        <w:adjustRightInd w:val="0"/>
        <w:snapToGrid w:val="0"/>
        <w:spacing w:line="360" w:lineRule="auto"/>
        <w:ind w:firstLine="480" w:firstLineChars="20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⑶ 当合同规定的合同价款调整情况发生后，承包人未在规定时间内通知发包人，或者未在规定时间内提出调整报告，发包人可以根据有关资料，决定是否调整和调整的金额，并书面通知承包人。</w:t>
      </w:r>
    </w:p>
    <w:p>
      <w:pPr>
        <w:pStyle w:val="37"/>
        <w:adjustRightInd w:val="0"/>
        <w:snapToGrid w:val="0"/>
        <w:spacing w:line="360" w:lineRule="auto"/>
        <w:ind w:firstLine="480" w:firstLineChars="20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xml:space="preserve">10.3.2 非国有投资项目： </w:t>
      </w:r>
    </w:p>
    <w:p>
      <w:pPr>
        <w:pStyle w:val="37"/>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rPr>
        <w:t>___________________________</w:t>
      </w:r>
      <w:r>
        <w:rPr>
          <w:rFonts w:hint="eastAsia" w:ascii="宋体" w:hAnsi="宋体" w:eastAsia="宋体" w:cs="宋体"/>
          <w:bCs/>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747" w:name="_Toc373478389"/>
      <w:bookmarkStart w:id="748" w:name="_Toc407135245"/>
      <w:bookmarkStart w:id="749" w:name="_Toc373227742"/>
      <w:bookmarkStart w:id="750" w:name="_Toc2588"/>
      <w:bookmarkStart w:id="751" w:name="_Toc491937921"/>
      <w:bookmarkStart w:id="752" w:name="_Toc389065308"/>
      <w:r>
        <w:rPr>
          <w:rFonts w:hint="eastAsia" w:ascii="宋体" w:hAnsi="宋体" w:eastAsia="宋体" w:cs="宋体"/>
          <w:b/>
          <w:bCs/>
          <w:color w:val="auto"/>
          <w:kern w:val="2"/>
          <w:sz w:val="24"/>
          <w:szCs w:val="24"/>
        </w:rPr>
        <w:t>10.4 变更估价</w:t>
      </w:r>
      <w:bookmarkEnd w:id="747"/>
      <w:bookmarkEnd w:id="748"/>
      <w:bookmarkEnd w:id="749"/>
      <w:bookmarkEnd w:id="750"/>
      <w:bookmarkEnd w:id="751"/>
      <w:bookmarkEnd w:id="752"/>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10.4.1 变更估价原则</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 xml:space="preserve">关于变更估价的约定: </w:t>
      </w:r>
      <w:r>
        <w:rPr>
          <w:rFonts w:hint="eastAsia" w:ascii="宋体" w:hAnsi="宋体" w:eastAsia="宋体" w:cs="宋体"/>
          <w:color w:val="auto"/>
          <w:sz w:val="24"/>
          <w:szCs w:val="24"/>
          <w:u w:val="single"/>
        </w:rPr>
        <w:t xml:space="preserve">因分部分项工程量清单漏项、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使用或类似清单项目的价格计算方法：有定额的套定额（土石方工程除外）计算，其中材料价格按施工期间的《**市建设工程造价信息》相应价格信息进行计算；《**市建设工程造价信息》没有相应价格信息的按发包人审定的市场价计算，并乘以下浮后系数（成交价/工程最高限价）；无定额可套的，双方根据市场价格协商确定综合价格，并乘以下浮后系数（成交价/工程最高限价）计算。新增项目的综合单价必须经发包人审计部门审定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753" w:name="_Toc407135246"/>
      <w:bookmarkStart w:id="754" w:name="_Toc491937922"/>
      <w:bookmarkStart w:id="755" w:name="_Toc373478390"/>
      <w:bookmarkStart w:id="756" w:name="_Toc944"/>
      <w:bookmarkStart w:id="757" w:name="_Toc373227743"/>
      <w:bookmarkStart w:id="758" w:name="_Toc389065309"/>
      <w:r>
        <w:rPr>
          <w:rFonts w:hint="eastAsia" w:ascii="宋体" w:hAnsi="宋体" w:eastAsia="宋体" w:cs="宋体"/>
          <w:b/>
          <w:bCs/>
          <w:color w:val="auto"/>
          <w:kern w:val="2"/>
          <w:sz w:val="24"/>
          <w:szCs w:val="24"/>
        </w:rPr>
        <w:t>1</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Start w:id="759" w:name="_Toc292559907"/>
      <w:bookmarkStart w:id="760" w:name="_Toc292559402"/>
      <w:bookmarkStart w:id="761" w:name="_Toc296891237"/>
      <w:bookmarkStart w:id="762" w:name="_Toc297216203"/>
      <w:bookmarkStart w:id="763" w:name="_Toc296944536"/>
      <w:bookmarkStart w:id="764" w:name="_Toc300934993"/>
      <w:bookmarkStart w:id="765" w:name="_Toc297120497"/>
      <w:bookmarkStart w:id="766" w:name="_Toc296347196"/>
      <w:bookmarkStart w:id="767" w:name="_Toc296891025"/>
      <w:bookmarkStart w:id="768" w:name="_Toc303539150"/>
      <w:bookmarkStart w:id="769" w:name="_Toc297048383"/>
      <w:bookmarkStart w:id="770" w:name="_Toc296346698"/>
      <w:bookmarkStart w:id="771" w:name="_Toc297123544"/>
      <w:bookmarkStart w:id="772" w:name="_Toc296503197"/>
      <w:bookmarkStart w:id="773" w:name="_Toc312677503"/>
      <w:bookmarkStart w:id="774" w:name="_Toc304295570"/>
      <w:bookmarkStart w:id="775" w:name="_Toc312678029"/>
      <w:r>
        <w:rPr>
          <w:rFonts w:hint="eastAsia" w:ascii="宋体" w:hAnsi="宋体" w:eastAsia="宋体" w:cs="宋体"/>
          <w:b/>
          <w:bCs/>
          <w:color w:val="auto"/>
          <w:kern w:val="2"/>
          <w:sz w:val="24"/>
          <w:szCs w:val="24"/>
        </w:rPr>
        <w:t>0.5 承</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Start w:id="776" w:name="_Toc292559913"/>
      <w:bookmarkStart w:id="777" w:name="_Toc296347202"/>
      <w:bookmarkStart w:id="778" w:name="_Toc296891243"/>
      <w:bookmarkStart w:id="779" w:name="_Toc297120503"/>
      <w:bookmarkStart w:id="780" w:name="_Toc297216204"/>
      <w:bookmarkStart w:id="781" w:name="_Toc296346704"/>
      <w:bookmarkStart w:id="782" w:name="_Toc297048389"/>
      <w:bookmarkStart w:id="783" w:name="_Toc292559408"/>
      <w:bookmarkStart w:id="784" w:name="_Toc296891031"/>
      <w:bookmarkStart w:id="785" w:name="_Toc303539151"/>
      <w:bookmarkStart w:id="786" w:name="_Toc297123545"/>
      <w:bookmarkStart w:id="787" w:name="_Toc296503203"/>
      <w:bookmarkStart w:id="788" w:name="_Toc296944542"/>
      <w:bookmarkStart w:id="789" w:name="_Toc300934994"/>
      <w:r>
        <w:rPr>
          <w:rFonts w:hint="eastAsia" w:ascii="宋体" w:hAnsi="宋体" w:eastAsia="宋体" w:cs="宋体"/>
          <w:b/>
          <w:bCs/>
          <w:color w:val="auto"/>
          <w:kern w:val="2"/>
          <w:sz w:val="24"/>
          <w:szCs w:val="24"/>
        </w:rPr>
        <w:t>包人的合理化建议</w:t>
      </w:r>
      <w:bookmarkEnd w:id="753"/>
      <w:bookmarkEnd w:id="754"/>
      <w:bookmarkEnd w:id="755"/>
      <w:bookmarkEnd w:id="756"/>
      <w:bookmarkEnd w:id="757"/>
      <w:bookmarkEnd w:id="758"/>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监理人审查承包人合理化建议的期限：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发包人审批承包人合理化建议的期限：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承</w:t>
      </w:r>
      <w:bookmarkStart w:id="790" w:name="_Toc297123546"/>
      <w:bookmarkStart w:id="791" w:name="_Toc312677504"/>
      <w:bookmarkStart w:id="792" w:name="_Toc296891032"/>
      <w:bookmarkStart w:id="793" w:name="_Toc296503204"/>
      <w:bookmarkStart w:id="794" w:name="_Toc292559409"/>
      <w:bookmarkStart w:id="795" w:name="_Toc292559914"/>
      <w:bookmarkStart w:id="796" w:name="_Toc297216205"/>
      <w:bookmarkStart w:id="797" w:name="_Toc296346705"/>
      <w:bookmarkStart w:id="798" w:name="_Toc297048390"/>
      <w:bookmarkStart w:id="799" w:name="_Toc304295571"/>
      <w:bookmarkStart w:id="800" w:name="_Toc297120504"/>
      <w:bookmarkStart w:id="801" w:name="_Toc303539152"/>
      <w:bookmarkStart w:id="802" w:name="_Toc318581175"/>
      <w:bookmarkStart w:id="803" w:name="_Toc296347203"/>
      <w:bookmarkStart w:id="804" w:name="_Toc296891244"/>
      <w:bookmarkStart w:id="805" w:name="_Toc312678030"/>
      <w:bookmarkStart w:id="806" w:name="_Toc296944543"/>
      <w:bookmarkStart w:id="807" w:name="_Toc300934995"/>
      <w:r>
        <w:rPr>
          <w:rFonts w:hint="eastAsia" w:ascii="宋体" w:hAnsi="宋体" w:eastAsia="宋体" w:cs="宋体"/>
          <w:color w:val="auto"/>
          <w:kern w:val="2"/>
          <w:sz w:val="24"/>
          <w:szCs w:val="24"/>
        </w:rPr>
        <w:t>包人提出的合理化建议降低了合同价格或者提高了工程经济效益的奖励的方法和金额为：</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08" w:name="_Toc3065"/>
      <w:bookmarkStart w:id="809" w:name="_Toc491937923"/>
      <w:bookmarkStart w:id="810" w:name="_Toc373478391"/>
      <w:bookmarkStart w:id="811" w:name="_Toc373227744"/>
      <w:bookmarkStart w:id="812" w:name="_Toc389065310"/>
      <w:bookmarkStart w:id="813" w:name="_Toc407135247"/>
      <w:r>
        <w:rPr>
          <w:rFonts w:hint="eastAsia" w:ascii="宋体" w:hAnsi="宋体" w:eastAsia="宋体" w:cs="宋体"/>
          <w:b/>
          <w:bCs/>
          <w:color w:val="auto"/>
          <w:kern w:val="2"/>
          <w:sz w:val="24"/>
          <w:szCs w:val="24"/>
        </w:rPr>
        <w:t>1</w:t>
      </w:r>
      <w:bookmarkStart w:id="814" w:name="_Toc296347198"/>
      <w:bookmarkStart w:id="815" w:name="_Toc312678033"/>
      <w:bookmarkStart w:id="816" w:name="_Toc312677507"/>
      <w:bookmarkStart w:id="817" w:name="_Toc303539154"/>
      <w:bookmarkStart w:id="818" w:name="_Toc297048385"/>
      <w:bookmarkStart w:id="819" w:name="_Toc296891239"/>
      <w:bookmarkStart w:id="820" w:name="_Toc297216207"/>
      <w:bookmarkStart w:id="821" w:name="_Toc296891027"/>
      <w:bookmarkStart w:id="822" w:name="_Toc297120499"/>
      <w:bookmarkStart w:id="823" w:name="_Toc304295574"/>
      <w:bookmarkStart w:id="824" w:name="_Toc296346700"/>
      <w:bookmarkStart w:id="825" w:name="_Toc292559909"/>
      <w:bookmarkStart w:id="826" w:name="_Toc292559404"/>
      <w:bookmarkStart w:id="827" w:name="_Toc296503199"/>
      <w:bookmarkStart w:id="828" w:name="_Toc297123548"/>
      <w:bookmarkStart w:id="829" w:name="_Toc296944538"/>
      <w:bookmarkStart w:id="830" w:name="_Toc300934997"/>
      <w:r>
        <w:rPr>
          <w:rFonts w:hint="eastAsia" w:ascii="宋体" w:hAnsi="宋体" w:eastAsia="宋体" w:cs="宋体"/>
          <w:b/>
          <w:bCs/>
          <w:color w:val="auto"/>
          <w:kern w:val="2"/>
          <w:sz w:val="24"/>
          <w:szCs w:val="24"/>
        </w:rPr>
        <w:t>0.7 暂估价</w:t>
      </w:r>
      <w:bookmarkEnd w:id="808"/>
      <w:bookmarkEnd w:id="809"/>
      <w:bookmarkEnd w:id="810"/>
      <w:bookmarkEnd w:id="811"/>
      <w:bookmarkEnd w:id="812"/>
      <w:bookmarkEnd w:id="813"/>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暂</w:t>
      </w:r>
      <w:bookmarkStart w:id="831" w:name="_Toc312677508"/>
      <w:bookmarkStart w:id="832" w:name="_Toc312678034"/>
      <w:bookmarkStart w:id="833" w:name="_Toc318581176"/>
      <w:r>
        <w:rPr>
          <w:rFonts w:hint="eastAsia" w:ascii="宋体" w:hAnsi="宋体" w:eastAsia="宋体" w:cs="宋体"/>
          <w:color w:val="auto"/>
          <w:sz w:val="24"/>
          <w:szCs w:val="24"/>
        </w:rPr>
        <w:t>估价材料和工程设备的明细详见已标价工程量清单《</w:t>
      </w:r>
      <w:r>
        <w:rPr>
          <w:rFonts w:hint="eastAsia" w:ascii="宋体" w:hAnsi="宋体" w:eastAsia="宋体" w:cs="宋体"/>
          <w:color w:val="auto"/>
          <w:kern w:val="2"/>
          <w:sz w:val="24"/>
          <w:szCs w:val="24"/>
        </w:rPr>
        <w:t>材料（工程设备）暂估价格及调整表》</w:t>
      </w:r>
      <w:r>
        <w:rPr>
          <w:rFonts w:hint="eastAsia" w:ascii="宋体" w:hAnsi="宋体" w:eastAsia="宋体" w:cs="宋体"/>
          <w:color w:val="auto"/>
          <w:sz w:val="24"/>
          <w:szCs w:val="24"/>
        </w:rPr>
        <w:t>（表12-2）和《</w:t>
      </w:r>
      <w:r>
        <w:rPr>
          <w:rFonts w:hint="eastAsia" w:ascii="宋体" w:hAnsi="宋体" w:eastAsia="宋体" w:cs="宋体"/>
          <w:color w:val="auto"/>
          <w:kern w:val="2"/>
          <w:sz w:val="24"/>
          <w:szCs w:val="24"/>
        </w:rPr>
        <w:t>专业工程暂估价表》（</w:t>
      </w:r>
      <w:r>
        <w:rPr>
          <w:rFonts w:hint="eastAsia" w:ascii="宋体" w:hAnsi="宋体" w:eastAsia="宋体" w:cs="宋体"/>
          <w:color w:val="auto"/>
          <w:sz w:val="24"/>
          <w:szCs w:val="24"/>
        </w:rPr>
        <w:t>表12-3）。</w:t>
      </w:r>
    </w:p>
    <w:bookmarkEnd w:id="831"/>
    <w:bookmarkEnd w:id="832"/>
    <w:bookmarkEnd w:id="833"/>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w:t>
      </w:r>
      <w:bookmarkStart w:id="834" w:name="_Toc312678035"/>
      <w:bookmarkStart w:id="835" w:name="_Toc312677509"/>
      <w:bookmarkStart w:id="836" w:name="_Toc318581177"/>
      <w:r>
        <w:rPr>
          <w:rFonts w:hint="eastAsia" w:ascii="宋体" w:hAnsi="宋体" w:eastAsia="宋体" w:cs="宋体"/>
          <w:color w:val="auto"/>
          <w:kern w:val="2"/>
          <w:sz w:val="24"/>
          <w:szCs w:val="24"/>
        </w:rPr>
        <w:t>0.7.1 依法必须招标的暂估价项目</w:t>
      </w:r>
    </w:p>
    <w:bookmarkEnd w:id="834"/>
    <w:bookmarkEnd w:id="835"/>
    <w:bookmarkEnd w:id="836"/>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对于依法必须招标的暂估价项目的确认和批准采取第种方式确定。</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10.7.2 不属于依法必须招标的暂估价项目</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对于不属于依法必须招标的暂估价项目的确认和批准采取第 种方式确定。</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kern w:val="2"/>
          <w:sz w:val="24"/>
          <w:szCs w:val="24"/>
        </w:rPr>
        <w:t>第3种方式：</w:t>
      </w:r>
      <w:r>
        <w:rPr>
          <w:rFonts w:hint="eastAsia" w:ascii="宋体" w:hAnsi="宋体" w:eastAsia="宋体" w:cs="宋体"/>
          <w:color w:val="auto"/>
          <w:sz w:val="24"/>
          <w:szCs w:val="24"/>
        </w:rPr>
        <w:t>承包人直接实施的暂估价项目</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承包人直接实施的暂估价项目的约定：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37" w:name="_Toc491937924"/>
      <w:bookmarkStart w:id="838" w:name="_Toc373227745"/>
      <w:bookmarkStart w:id="839" w:name="_Toc373478392"/>
      <w:bookmarkStart w:id="840" w:name="_Toc389065311"/>
      <w:bookmarkStart w:id="841" w:name="_Toc407135248"/>
      <w:bookmarkStart w:id="842" w:name="_Toc17923"/>
      <w:r>
        <w:rPr>
          <w:rFonts w:hint="eastAsia" w:ascii="宋体" w:hAnsi="宋体" w:eastAsia="宋体" w:cs="宋体"/>
          <w:b/>
          <w:bCs/>
          <w:color w:val="auto"/>
          <w:kern w:val="2"/>
          <w:sz w:val="24"/>
          <w:szCs w:val="24"/>
        </w:rPr>
        <w:t>10.8 暂列金额</w:t>
      </w:r>
      <w:bookmarkEnd w:id="837"/>
      <w:bookmarkEnd w:id="838"/>
      <w:bookmarkEnd w:id="839"/>
      <w:bookmarkEnd w:id="840"/>
      <w:bookmarkEnd w:id="841"/>
      <w:bookmarkEnd w:id="842"/>
    </w:p>
    <w:p>
      <w:pPr>
        <w:pStyle w:val="37"/>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合同当事人关于暂列金额使用的约定：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keepNext/>
        <w:keepLines/>
        <w:adjustRightInd w:val="0"/>
        <w:snapToGrid w:val="0"/>
        <w:spacing w:before="60" w:after="60" w:line="360" w:lineRule="auto"/>
        <w:outlineLvl w:val="1"/>
        <w:rPr>
          <w:rFonts w:ascii="宋体" w:hAnsi="宋体" w:eastAsia="宋体" w:cs="宋体"/>
          <w:b/>
          <w:bCs/>
          <w:color w:val="auto"/>
          <w:kern w:val="2"/>
          <w:sz w:val="24"/>
          <w:szCs w:val="24"/>
        </w:rPr>
      </w:pPr>
      <w:bookmarkStart w:id="843" w:name="_Toc407135249"/>
      <w:bookmarkStart w:id="844" w:name="_Toc351203643"/>
      <w:bookmarkStart w:id="845" w:name="_Toc373478393"/>
      <w:bookmarkStart w:id="846" w:name="_Toc373227746"/>
      <w:bookmarkStart w:id="847" w:name="_Toc389065312"/>
      <w:bookmarkStart w:id="848" w:name="_Toc18791"/>
      <w:bookmarkStart w:id="849" w:name="_Toc491937925"/>
      <w:r>
        <w:rPr>
          <w:rFonts w:hint="eastAsia" w:ascii="宋体" w:hAnsi="宋体" w:eastAsia="宋体" w:cs="宋体"/>
          <w:b/>
          <w:bCs/>
          <w:color w:val="auto"/>
          <w:kern w:val="2"/>
          <w:sz w:val="24"/>
          <w:szCs w:val="24"/>
        </w:rPr>
        <w:t>11.价格调整</w:t>
      </w:r>
      <w:bookmarkEnd w:id="843"/>
      <w:bookmarkEnd w:id="844"/>
      <w:bookmarkEnd w:id="845"/>
      <w:bookmarkEnd w:id="846"/>
      <w:bookmarkEnd w:id="847"/>
      <w:bookmarkEnd w:id="848"/>
      <w:bookmarkEnd w:id="849"/>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①法律变化引起的调整；</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②工程变更、项目特征不符、工程量清单缺项、工程量偏差引起的调整；</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③计日工引起的调整。</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50" w:name="_Toc491937926"/>
      <w:bookmarkStart w:id="851" w:name="_Toc373227747"/>
      <w:bookmarkStart w:id="852" w:name="_Toc27686"/>
      <w:bookmarkStart w:id="853" w:name="_Toc407135250"/>
      <w:bookmarkStart w:id="854" w:name="_Toc389065313"/>
      <w:bookmarkStart w:id="855" w:name="_Toc373478394"/>
      <w:bookmarkStart w:id="856" w:name="_Toc297048387"/>
      <w:bookmarkStart w:id="857" w:name="_Toc297123550"/>
      <w:bookmarkStart w:id="858" w:name="_Toc300935000"/>
      <w:bookmarkStart w:id="859" w:name="_Toc296891241"/>
      <w:bookmarkStart w:id="860" w:name="_Toc292559406"/>
      <w:bookmarkStart w:id="861" w:name="_Toc296347200"/>
      <w:bookmarkStart w:id="862" w:name="_Toc292559911"/>
      <w:bookmarkStart w:id="863" w:name="_Toc304295577"/>
      <w:bookmarkStart w:id="864" w:name="_Toc296503201"/>
      <w:bookmarkStart w:id="865" w:name="_Toc312678039"/>
      <w:bookmarkStart w:id="866" w:name="_Toc296346702"/>
      <w:bookmarkStart w:id="867" w:name="_Toc297120501"/>
      <w:bookmarkStart w:id="868" w:name="_Toc297216209"/>
      <w:bookmarkStart w:id="869" w:name="_Toc303539157"/>
      <w:bookmarkStart w:id="870" w:name="_Toc296891029"/>
      <w:bookmarkStart w:id="871" w:name="_Toc296944540"/>
      <w:r>
        <w:rPr>
          <w:rFonts w:hint="eastAsia" w:ascii="宋体" w:hAnsi="宋体" w:eastAsia="宋体" w:cs="宋体"/>
          <w:b/>
          <w:bCs/>
          <w:color w:val="auto"/>
          <w:kern w:val="2"/>
          <w:sz w:val="24"/>
          <w:szCs w:val="24"/>
        </w:rPr>
        <w:t>11.1 市场价格波动引起的调整</w:t>
      </w:r>
      <w:bookmarkEnd w:id="850"/>
      <w:bookmarkEnd w:id="851"/>
      <w:bookmarkEnd w:id="852"/>
      <w:bookmarkEnd w:id="853"/>
      <w:bookmarkEnd w:id="854"/>
      <w:bookmarkEnd w:id="855"/>
    </w:p>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因市场价格波动调整合同价格，采用以下第种方式对合同价格进行调整：</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第1种方式：采用价格指数进行价格调整。</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 xml:space="preserve">关于各可调因子、定值和变值权重，以及基本价格指数及其来源的约定：；  </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第2种方式：采用造价信息进行价格调整。</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（1）允许调整的主要材料（设备）、基期价格、风险系数、投标报价：详见《承包人提供主要材料和设备一览表》。</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（2）主要材料确认价：</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按施工期间《市建设工程造价信息》加权平均计算，信息价没有的按通用条款规定确定。</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（3）价差计算方法：</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③承包人在《承包人提供主要材料和设备一览表》中载明的材料单价等于基准单价的：合同履行期间材料单价涨跌幅以基准单价为基础超过约定的风险范围时，其超过部分据实调整。</w:t>
      </w:r>
    </w:p>
    <w:p>
      <w:pPr>
        <w:pStyle w:val="37"/>
        <w:adjustRightInd w:val="0"/>
        <w:snapToGrid w:val="0"/>
        <w:spacing w:line="360" w:lineRule="auto"/>
        <w:ind w:firstLine="645"/>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第3种方式：</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 xml:space="preserve"> 。</w:t>
      </w:r>
    </w:p>
    <w:bookmarkEnd w:id="711"/>
    <w:bookmarkEnd w:id="712"/>
    <w:bookmarkEnd w:id="713"/>
    <w:bookmarkEnd w:id="714"/>
    <w:bookmarkEnd w:id="715"/>
    <w:bookmarkEnd w:id="716"/>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872" w:name="_Toc296503205"/>
      <w:bookmarkStart w:id="873" w:name="_Toc296944544"/>
      <w:bookmarkStart w:id="874" w:name="_Toc297048391"/>
      <w:bookmarkStart w:id="875" w:name="_Toc292559410"/>
      <w:bookmarkStart w:id="876" w:name="_Toc292559915"/>
      <w:bookmarkStart w:id="877" w:name="_Toc296891245"/>
      <w:bookmarkStart w:id="878" w:name="_Toc296891033"/>
      <w:bookmarkStart w:id="879" w:name="_Toc296346706"/>
      <w:bookmarkStart w:id="880" w:name="_Toc297120505"/>
      <w:bookmarkStart w:id="881" w:name="_Toc296347204"/>
      <w:bookmarkStart w:id="882" w:name="_Toc407135251"/>
      <w:bookmarkStart w:id="883" w:name="_Toc373478395"/>
      <w:bookmarkStart w:id="884" w:name="_Toc30935"/>
      <w:bookmarkStart w:id="885" w:name="_Toc373227748"/>
      <w:bookmarkStart w:id="886" w:name="_Toc491937927"/>
      <w:bookmarkStart w:id="887" w:name="_Toc351203644"/>
      <w:bookmarkStart w:id="888" w:name="_Toc297216211"/>
      <w:bookmarkStart w:id="889" w:name="_Toc300935002"/>
      <w:bookmarkStart w:id="890" w:name="_Toc297123552"/>
      <w:bookmarkStart w:id="891" w:name="_Toc312678040"/>
      <w:bookmarkStart w:id="892" w:name="_Toc303539159"/>
      <w:bookmarkStart w:id="893" w:name="_Toc304295579"/>
      <w:r>
        <w:rPr>
          <w:rFonts w:hint="eastAsia" w:ascii="宋体" w:hAnsi="宋体" w:eastAsia="宋体" w:cs="宋体"/>
          <w:b/>
          <w:bCs/>
          <w:color w:val="auto"/>
          <w:kern w:val="2"/>
          <w:sz w:val="24"/>
          <w:szCs w:val="24"/>
        </w:rPr>
        <w:t xml:space="preserve">12. </w:t>
      </w:r>
      <w:bookmarkEnd w:id="872"/>
      <w:bookmarkEnd w:id="873"/>
      <w:bookmarkEnd w:id="874"/>
      <w:bookmarkEnd w:id="875"/>
      <w:bookmarkEnd w:id="876"/>
      <w:bookmarkEnd w:id="877"/>
      <w:bookmarkEnd w:id="878"/>
      <w:bookmarkEnd w:id="879"/>
      <w:bookmarkEnd w:id="880"/>
      <w:bookmarkEnd w:id="881"/>
      <w:r>
        <w:rPr>
          <w:rFonts w:hint="eastAsia" w:ascii="宋体" w:hAnsi="宋体" w:eastAsia="宋体" w:cs="宋体"/>
          <w:b/>
          <w:bCs/>
          <w:color w:val="auto"/>
          <w:kern w:val="2"/>
          <w:sz w:val="24"/>
          <w:szCs w:val="24"/>
        </w:rPr>
        <w:t>合同价格、计量与支付</w:t>
      </w:r>
      <w:bookmarkEnd w:id="882"/>
      <w:bookmarkEnd w:id="883"/>
      <w:bookmarkEnd w:id="884"/>
      <w:bookmarkEnd w:id="885"/>
      <w:bookmarkEnd w:id="886"/>
      <w:bookmarkEnd w:id="887"/>
    </w:p>
    <w:bookmarkEnd w:id="888"/>
    <w:bookmarkEnd w:id="889"/>
    <w:bookmarkEnd w:id="890"/>
    <w:bookmarkEnd w:id="891"/>
    <w:bookmarkEnd w:id="892"/>
    <w:bookmarkEnd w:id="893"/>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94" w:name="_Toc292559916"/>
      <w:bookmarkStart w:id="895" w:name="_Toc292559411"/>
      <w:bookmarkStart w:id="896" w:name="_Toc267251461"/>
      <w:bookmarkStart w:id="897" w:name="_Toc296347205"/>
      <w:bookmarkStart w:id="898" w:name="_Toc296346707"/>
      <w:bookmarkStart w:id="899" w:name="_Toc297048392"/>
      <w:bookmarkStart w:id="900" w:name="_Toc296891034"/>
      <w:bookmarkStart w:id="901" w:name="_Toc296891246"/>
      <w:bookmarkStart w:id="902" w:name="_Toc297120506"/>
      <w:bookmarkStart w:id="903" w:name="_Toc296944545"/>
      <w:bookmarkStart w:id="904" w:name="_Toc296503206"/>
      <w:bookmarkStart w:id="905" w:name="_Toc491937928"/>
      <w:bookmarkStart w:id="906" w:name="_Toc373478396"/>
      <w:bookmarkStart w:id="907" w:name="_Toc389065314"/>
      <w:bookmarkStart w:id="908" w:name="_Toc373227749"/>
      <w:bookmarkStart w:id="909" w:name="_Toc407135252"/>
      <w:bookmarkStart w:id="910" w:name="_Toc16616"/>
      <w:bookmarkStart w:id="911" w:name="_Toc312678041"/>
      <w:bookmarkStart w:id="912" w:name="_Toc303539160"/>
      <w:bookmarkStart w:id="913" w:name="_Toc297216212"/>
      <w:bookmarkStart w:id="914" w:name="_Toc297123553"/>
      <w:bookmarkStart w:id="915" w:name="_Toc304295580"/>
      <w:bookmarkStart w:id="916" w:name="_Toc300935003"/>
      <w:r>
        <w:rPr>
          <w:rFonts w:hint="eastAsia" w:ascii="宋体" w:hAnsi="宋体" w:eastAsia="宋体" w:cs="宋体"/>
          <w:b/>
          <w:bCs/>
          <w:color w:val="auto"/>
          <w:kern w:val="2"/>
          <w:sz w:val="24"/>
          <w:szCs w:val="24"/>
        </w:rPr>
        <w:t>12.1 合</w:t>
      </w:r>
      <w:bookmarkEnd w:id="894"/>
      <w:bookmarkEnd w:id="895"/>
      <w:bookmarkEnd w:id="896"/>
      <w:r>
        <w:rPr>
          <w:rFonts w:hint="eastAsia" w:ascii="宋体" w:hAnsi="宋体" w:eastAsia="宋体" w:cs="宋体"/>
          <w:b/>
          <w:bCs/>
          <w:color w:val="auto"/>
          <w:kern w:val="2"/>
          <w:sz w:val="24"/>
          <w:szCs w:val="24"/>
        </w:rPr>
        <w:t>同价</w:t>
      </w:r>
      <w:bookmarkEnd w:id="897"/>
      <w:bookmarkEnd w:id="898"/>
      <w:bookmarkEnd w:id="899"/>
      <w:bookmarkEnd w:id="900"/>
      <w:bookmarkEnd w:id="901"/>
      <w:bookmarkEnd w:id="902"/>
      <w:bookmarkEnd w:id="903"/>
      <w:bookmarkEnd w:id="904"/>
      <w:r>
        <w:rPr>
          <w:rFonts w:hint="eastAsia" w:ascii="宋体" w:hAnsi="宋体" w:eastAsia="宋体" w:cs="宋体"/>
          <w:b/>
          <w:bCs/>
          <w:color w:val="auto"/>
          <w:kern w:val="2"/>
          <w:sz w:val="24"/>
          <w:szCs w:val="24"/>
        </w:rPr>
        <w:t>格形式</w:t>
      </w:r>
      <w:bookmarkEnd w:id="905"/>
      <w:bookmarkEnd w:id="906"/>
      <w:bookmarkEnd w:id="907"/>
      <w:bookmarkEnd w:id="908"/>
      <w:bookmarkEnd w:id="909"/>
      <w:bookmarkEnd w:id="910"/>
    </w:p>
    <w:bookmarkEnd w:id="911"/>
    <w:bookmarkEnd w:id="912"/>
    <w:bookmarkEnd w:id="913"/>
    <w:bookmarkEnd w:id="914"/>
    <w:bookmarkEnd w:id="915"/>
    <w:bookmarkEnd w:id="916"/>
    <w:p>
      <w:pPr>
        <w:pStyle w:val="37"/>
        <w:adjustRightInd w:val="0"/>
        <w:snapToGrid w:val="0"/>
        <w:spacing w:line="360" w:lineRule="auto"/>
        <w:ind w:firstLine="480" w:firstLineChars="200"/>
        <w:jc w:val="both"/>
        <w:rPr>
          <w:rFonts w:ascii="宋体" w:hAnsi="宋体" w:eastAsia="宋体" w:cs="宋体"/>
          <w:color w:val="auto"/>
          <w:kern w:val="2"/>
          <w:sz w:val="24"/>
          <w:szCs w:val="24"/>
        </w:rPr>
      </w:pPr>
      <w:bookmarkStart w:id="917" w:name="_Toc373227750"/>
      <w:bookmarkStart w:id="918" w:name="_Toc373478397"/>
      <w:bookmarkStart w:id="919" w:name="_Toc389065315"/>
      <w:bookmarkStart w:id="920" w:name="_Toc304295581"/>
      <w:bookmarkStart w:id="921" w:name="_Toc312678042"/>
      <w:bookmarkStart w:id="922" w:name="_Toc300935004"/>
      <w:bookmarkStart w:id="923" w:name="_Toc297123554"/>
      <w:bookmarkStart w:id="924" w:name="_Toc303539161"/>
      <w:bookmarkStart w:id="925" w:name="_Toc297216213"/>
      <w:bookmarkStart w:id="926" w:name="_Toc296891247"/>
      <w:bookmarkStart w:id="927" w:name="_Toc296347206"/>
      <w:bookmarkStart w:id="928" w:name="_Toc292559412"/>
      <w:bookmarkStart w:id="929" w:name="_Toc296891035"/>
      <w:bookmarkStart w:id="930" w:name="_Toc297048393"/>
      <w:bookmarkStart w:id="931" w:name="_Toc297120507"/>
      <w:bookmarkStart w:id="932" w:name="_Toc292559917"/>
      <w:bookmarkStart w:id="933" w:name="_Toc296944546"/>
      <w:bookmarkStart w:id="934" w:name="_Toc296503207"/>
      <w:bookmarkStart w:id="935" w:name="_Toc296346708"/>
      <w:r>
        <w:rPr>
          <w:rFonts w:hint="eastAsia" w:ascii="宋体" w:hAnsi="宋体" w:eastAsia="宋体" w:cs="宋体"/>
          <w:color w:val="auto"/>
          <w:kern w:val="2"/>
          <w:sz w:val="24"/>
          <w:szCs w:val="24"/>
        </w:rPr>
        <w:t>（1）单价合同。</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本合同价款采用固定综合单价方式确定。</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综合单价包含的风险范围：</w:t>
      </w:r>
      <w:r>
        <w:rPr>
          <w:rFonts w:hint="eastAsia" w:ascii="宋体" w:hAnsi="宋体" w:eastAsia="宋体" w:cs="宋体"/>
          <w:color w:val="auto"/>
          <w:kern w:val="2"/>
          <w:sz w:val="24"/>
          <w:szCs w:val="24"/>
          <w:u w:val="single"/>
        </w:rPr>
        <w:t>除工程变更、政策性调整、《承包人提供主要材料和设备一览表》约定的材料、设备价格变动风险以外因素。</w:t>
      </w:r>
    </w:p>
    <w:p>
      <w:pPr>
        <w:pStyle w:val="37"/>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风险范围以外合同价格的调整方法：</w:t>
      </w:r>
    </w:p>
    <w:p>
      <w:pPr>
        <w:pStyle w:val="37"/>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①工程变更：按10.4.1变更估价原则的约定调整。</w:t>
      </w:r>
    </w:p>
    <w:p>
      <w:pPr>
        <w:pStyle w:val="37"/>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②政策性调整：按自治区建设行政主管部门颁布的文件执行。</w:t>
      </w:r>
    </w:p>
    <w:p>
      <w:pPr>
        <w:pStyle w:val="37"/>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③材料价格风险：按11.1的约定调整。</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④其它：</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（2）总价合同。</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总价包含的风险范围：。</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风险范围以外合同价格的调整方法：</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（3）其他价格方式：</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36" w:name="_Toc491937929"/>
      <w:bookmarkStart w:id="937" w:name="_Toc30584"/>
      <w:bookmarkStart w:id="938" w:name="_Toc407135253"/>
      <w:r>
        <w:rPr>
          <w:rFonts w:hint="eastAsia" w:ascii="宋体" w:hAnsi="宋体" w:eastAsia="宋体" w:cs="宋体"/>
          <w:b/>
          <w:bCs/>
          <w:color w:val="auto"/>
          <w:kern w:val="2"/>
          <w:sz w:val="24"/>
          <w:szCs w:val="24"/>
        </w:rPr>
        <w:t>12.2 预付款</w:t>
      </w:r>
      <w:bookmarkEnd w:id="917"/>
      <w:bookmarkEnd w:id="918"/>
      <w:bookmarkEnd w:id="919"/>
      <w:bookmarkEnd w:id="936"/>
      <w:bookmarkEnd w:id="937"/>
      <w:bookmarkEnd w:id="938"/>
    </w:p>
    <w:bookmarkEnd w:id="920"/>
    <w:bookmarkEnd w:id="921"/>
    <w:bookmarkEnd w:id="922"/>
    <w:bookmarkEnd w:id="923"/>
    <w:bookmarkEnd w:id="924"/>
    <w:bookmarkEnd w:id="925"/>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12.2.1 预付款的支付</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预付款支付比例或金额：</w:t>
      </w:r>
      <w:r>
        <w:rPr>
          <w:rFonts w:hint="eastAsia" w:ascii="宋体" w:hAnsi="宋体" w:eastAsia="宋体" w:cs="宋体"/>
          <w:color w:val="auto"/>
          <w:kern w:val="2"/>
          <w:sz w:val="24"/>
          <w:szCs w:val="24"/>
          <w:u w:val="single"/>
        </w:rPr>
        <w:t>合同总金额的30%  。</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预付款支付期限：</w:t>
      </w:r>
      <w:r>
        <w:rPr>
          <w:rFonts w:hint="eastAsia" w:ascii="宋体" w:hAnsi="宋体" w:eastAsia="宋体" w:cs="宋体"/>
          <w:color w:val="auto"/>
          <w:kern w:val="2"/>
          <w:sz w:val="24"/>
          <w:szCs w:val="24"/>
          <w:u w:val="single"/>
        </w:rPr>
        <w:t>合同生效且具备实施条件后15天内。</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预付款扣回的方式：</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12.2.2 预付款担保</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承包人提交预付款担保的期限：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预付款担保的形式为：</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预付款担保格式见合同附件7。</w:t>
      </w:r>
    </w:p>
    <w:bookmarkEnd w:id="926"/>
    <w:bookmarkEnd w:id="927"/>
    <w:bookmarkEnd w:id="928"/>
    <w:bookmarkEnd w:id="929"/>
    <w:bookmarkEnd w:id="930"/>
    <w:bookmarkEnd w:id="931"/>
    <w:bookmarkEnd w:id="932"/>
    <w:bookmarkEnd w:id="933"/>
    <w:bookmarkEnd w:id="934"/>
    <w:bookmarkEnd w:id="935"/>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39" w:name="_Toc407135254"/>
      <w:bookmarkStart w:id="940" w:name="_Toc373227751"/>
      <w:bookmarkStart w:id="941" w:name="_Toc389065316"/>
      <w:bookmarkStart w:id="942" w:name="_Toc23536"/>
      <w:bookmarkStart w:id="943" w:name="_Toc373478398"/>
      <w:bookmarkStart w:id="944" w:name="_Toc491937930"/>
      <w:r>
        <w:rPr>
          <w:rFonts w:hint="eastAsia" w:ascii="宋体" w:hAnsi="宋体" w:eastAsia="宋体" w:cs="宋体"/>
          <w:b/>
          <w:bCs/>
          <w:color w:val="auto"/>
          <w:kern w:val="2"/>
          <w:sz w:val="24"/>
          <w:szCs w:val="24"/>
        </w:rPr>
        <w:t>12.3 计量</w:t>
      </w:r>
      <w:bookmarkEnd w:id="939"/>
      <w:bookmarkEnd w:id="940"/>
      <w:bookmarkEnd w:id="941"/>
      <w:bookmarkEnd w:id="942"/>
      <w:bookmarkEnd w:id="943"/>
      <w:bookmarkEnd w:id="944"/>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12.3.1 计量原则</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工程量计算规则：</w:t>
      </w:r>
      <w:r>
        <w:rPr>
          <w:rFonts w:hint="eastAsia" w:ascii="宋体" w:hAnsi="宋体" w:eastAsia="宋体" w:cs="宋体"/>
          <w:color w:val="auto"/>
          <w:kern w:val="2"/>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12.3.2 计量周期</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关于计量周期的约定：</w:t>
      </w:r>
      <w:r>
        <w:rPr>
          <w:rFonts w:hint="eastAsia" w:ascii="宋体" w:hAnsi="宋体" w:eastAsia="宋体" w:cs="宋体"/>
          <w:color w:val="auto"/>
          <w:kern w:val="2"/>
          <w:sz w:val="24"/>
          <w:szCs w:val="24"/>
          <w:u w:val="single"/>
        </w:rPr>
        <w:t>每月25日前</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12.3.3 单价合同的计量</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关于单价合同计量的约定：</w:t>
      </w:r>
    </w:p>
    <w:p>
      <w:pPr>
        <w:pStyle w:val="37"/>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(1) 工程量清单所列的工程量，不能作为承包人按合同履行其责任依据，实际施工中发生的工程量增加或减少并不影响承包人履行合同的责任，工程结算以完成的实际工程量为准。</w:t>
      </w:r>
    </w:p>
    <w:p>
      <w:pPr>
        <w:pStyle w:val="37"/>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(2) 除另有规定外，工程师应按照合同通过计量来核实确定已完成的工程量和价款，承包人应得到该价款扣除保留金后的金额。当工程师要对已完工的工程量进行计量时，应适时地通知承包人参加。</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12.3.4 总价合同的计量</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关于总价合同计量的约定：除工程变更外，原图纸范围内的工程量不得按实计量。进度款按支付分解表支付，按通用条款第</w:t>
      </w:r>
      <w:r>
        <w:rPr>
          <w:rFonts w:hint="eastAsia" w:ascii="宋体" w:hAnsi="宋体" w:eastAsia="宋体" w:cs="宋体"/>
          <w:color w:val="auto"/>
          <w:sz w:val="24"/>
          <w:szCs w:val="24"/>
        </w:rPr>
        <w:t>12.3.4</w:t>
      </w:r>
      <w:r>
        <w:rPr>
          <w:rFonts w:hint="eastAsia" w:ascii="宋体" w:hAnsi="宋体" w:eastAsia="宋体" w:cs="宋体"/>
          <w:color w:val="auto"/>
          <w:kern w:val="2"/>
          <w:sz w:val="24"/>
          <w:szCs w:val="24"/>
        </w:rPr>
        <w:t>项</w:t>
      </w:r>
      <w:r>
        <w:rPr>
          <w:rFonts w:hint="eastAsia" w:ascii="宋体" w:hAnsi="宋体" w:eastAsia="宋体" w:cs="宋体"/>
          <w:color w:val="auto"/>
          <w:sz w:val="24"/>
          <w:szCs w:val="24"/>
        </w:rPr>
        <w:t>〔总价合同的计量〕</w:t>
      </w:r>
      <w:r>
        <w:rPr>
          <w:rFonts w:hint="eastAsia" w:ascii="宋体" w:hAnsi="宋体" w:eastAsia="宋体" w:cs="宋体"/>
          <w:color w:val="auto"/>
          <w:kern w:val="2"/>
          <w:sz w:val="24"/>
          <w:szCs w:val="24"/>
        </w:rPr>
        <w:t>约定进行计量，但</w:t>
      </w:r>
      <w:r>
        <w:rPr>
          <w:rFonts w:hint="eastAsia" w:ascii="宋体" w:hAnsi="宋体" w:eastAsia="宋体" w:cs="宋体"/>
          <w:color w:val="auto"/>
          <w:sz w:val="24"/>
          <w:szCs w:val="24"/>
        </w:rPr>
        <w:t>合同价款按照支付分解表进行支付。</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12.3.6 其他价格形式合同的计量</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其他价格形式的计量方式和程序：</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45" w:name="_Toc407135255"/>
      <w:bookmarkStart w:id="946" w:name="_Toc389065317"/>
      <w:bookmarkStart w:id="947" w:name="_Toc373478399"/>
      <w:bookmarkStart w:id="948" w:name="_Toc373227752"/>
      <w:bookmarkStart w:id="949" w:name="_Toc14525"/>
      <w:bookmarkStart w:id="950" w:name="_Toc491937931"/>
      <w:r>
        <w:rPr>
          <w:rFonts w:hint="eastAsia" w:ascii="宋体" w:hAnsi="宋体" w:eastAsia="宋体" w:cs="宋体"/>
          <w:b/>
          <w:bCs/>
          <w:color w:val="auto"/>
          <w:kern w:val="2"/>
          <w:sz w:val="24"/>
          <w:szCs w:val="24"/>
        </w:rPr>
        <w:t>12.4 工程进度款支付</w:t>
      </w:r>
      <w:bookmarkEnd w:id="945"/>
      <w:bookmarkEnd w:id="946"/>
      <w:bookmarkEnd w:id="947"/>
      <w:bookmarkEnd w:id="948"/>
      <w:bookmarkEnd w:id="949"/>
      <w:bookmarkEnd w:id="950"/>
    </w:p>
    <w:p>
      <w:pPr>
        <w:pStyle w:val="37"/>
        <w:adjustRightInd w:val="0"/>
        <w:snapToGrid w:val="0"/>
        <w:spacing w:line="360" w:lineRule="auto"/>
        <w:ind w:firstLine="480" w:firstLineChars="200"/>
        <w:jc w:val="both"/>
        <w:rPr>
          <w:rFonts w:ascii="宋体" w:hAnsi="宋体" w:eastAsia="宋体" w:cs="宋体"/>
          <w:color w:val="auto"/>
          <w:kern w:val="2"/>
          <w:sz w:val="24"/>
          <w:szCs w:val="24"/>
        </w:rPr>
      </w:pPr>
      <w:bookmarkStart w:id="951" w:name="_Toc297123556"/>
      <w:bookmarkStart w:id="952" w:name="_Toc296891251"/>
      <w:bookmarkStart w:id="953" w:name="_Toc296346712"/>
      <w:bookmarkStart w:id="954" w:name="_Toc296891039"/>
      <w:bookmarkStart w:id="955" w:name="_Toc303539163"/>
      <w:bookmarkStart w:id="956" w:name="_Toc300935006"/>
      <w:bookmarkStart w:id="957" w:name="_Toc292559921"/>
      <w:bookmarkStart w:id="958" w:name="_Toc297120511"/>
      <w:bookmarkStart w:id="959" w:name="_Toc296503211"/>
      <w:bookmarkStart w:id="960" w:name="_Toc296944550"/>
      <w:bookmarkStart w:id="961" w:name="_Toc297048397"/>
      <w:bookmarkStart w:id="962" w:name="_Toc296347210"/>
      <w:bookmarkStart w:id="963" w:name="_Toc297216215"/>
      <w:bookmarkStart w:id="964" w:name="_Toc292559416"/>
      <w:r>
        <w:rPr>
          <w:rFonts w:hint="eastAsia" w:ascii="宋体" w:hAnsi="宋体" w:eastAsia="宋体" w:cs="宋体"/>
          <w:color w:val="auto"/>
          <w:kern w:val="2"/>
          <w:sz w:val="24"/>
          <w:szCs w:val="24"/>
        </w:rPr>
        <w:t>12.4.1 付款周期</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付款周期的约定：工程款原则上按月支付，合同内进度款支付限额为已完成工程量的90%，工程变更部分进度款支付限额为已完成工程量的80%；工程完工验收达到质量要求，结算经宁明县财政投资评审审定后，工程款支付至结算总价的97% ；发包人按工程价款结算总额的 3%预留工程质量保修金，待工程质量缺陷责任期满后返还。</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12.4.2 进度付款申请单的编制</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关于进度付款申请单编制的约定：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Pr>
          <w:rFonts w:hint="eastAsia" w:ascii="宋体" w:hAnsi="宋体" w:eastAsia="宋体" w:cs="宋体"/>
          <w:color w:val="auto"/>
          <w:kern w:val="2"/>
          <w:sz w:val="24"/>
          <w:szCs w:val="24"/>
        </w:rPr>
        <w:t>2.4.3 进度付款申请单的提交</w:t>
      </w:r>
    </w:p>
    <w:p>
      <w:pPr>
        <w:pStyle w:val="37"/>
        <w:adjustRightInd w:val="0"/>
        <w:snapToGrid w:val="0"/>
        <w:spacing w:line="360" w:lineRule="auto"/>
        <w:ind w:firstLine="480" w:firstLineChars="200"/>
        <w:jc w:val="both"/>
        <w:rPr>
          <w:rFonts w:ascii="宋体" w:hAnsi="宋体" w:eastAsia="宋体" w:cs="宋体"/>
          <w:b/>
          <w:bCs/>
          <w:color w:val="auto"/>
          <w:kern w:val="2"/>
          <w:sz w:val="24"/>
          <w:szCs w:val="24"/>
          <w:u w:val="single"/>
        </w:rPr>
      </w:pPr>
      <w:r>
        <w:rPr>
          <w:rFonts w:hint="eastAsia" w:ascii="宋体" w:hAnsi="宋体" w:eastAsia="宋体" w:cs="宋体"/>
          <w:color w:val="auto"/>
          <w:kern w:val="2"/>
          <w:sz w:val="24"/>
          <w:szCs w:val="24"/>
        </w:rPr>
        <w:t>（1）单价合同进度付款申请单提交的约定：</w:t>
      </w:r>
    </w:p>
    <w:p>
      <w:pPr>
        <w:pStyle w:val="37"/>
        <w:adjustRightInd w:val="0"/>
        <w:snapToGrid w:val="0"/>
        <w:spacing w:line="360" w:lineRule="auto"/>
        <w:ind w:firstLine="480" w:firstLineChars="200"/>
        <w:jc w:val="both"/>
        <w:rPr>
          <w:rFonts w:ascii="宋体" w:hAnsi="宋体" w:eastAsia="宋体" w:cs="宋体"/>
          <w:bCs/>
          <w:color w:val="auto"/>
          <w:kern w:val="2"/>
          <w:sz w:val="24"/>
          <w:szCs w:val="24"/>
          <w:u w:val="single"/>
        </w:rPr>
      </w:pP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_________________________</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（2）总价合同进度付款申请单提交的约定：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（3）其他价格形式合同进度付款申请单提交的约定：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12.4.4 进度款审核和支付</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（1）监理人审查并报送发包人的期限：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发包人完成审批并签发进度款支付证书的期限：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（2）发包人支付进度款的期限：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600" w:firstLineChars="25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发包人逾期支付进度款的违约金的计算方式：</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600" w:firstLineChars="25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进度款支付方式：</w:t>
      </w:r>
      <w:r>
        <w:rPr>
          <w:rFonts w:hint="eastAsia" w:ascii="宋体" w:hAnsi="宋体" w:eastAsia="宋体" w:cs="宋体"/>
          <w:color w:val="auto"/>
          <w:kern w:val="2"/>
          <w:sz w:val="24"/>
          <w:szCs w:val="24"/>
          <w:u w:val="single"/>
        </w:rPr>
        <w:t>银行转账</w:t>
      </w:r>
      <w:r>
        <w:rPr>
          <w:rFonts w:hint="eastAsia" w:ascii="宋体" w:hAnsi="宋体" w:eastAsia="宋体" w:cs="宋体"/>
          <w:color w:val="auto"/>
          <w:kern w:val="2"/>
          <w:sz w:val="24"/>
          <w:szCs w:val="24"/>
        </w:rPr>
        <w:t>。</w:t>
      </w:r>
    </w:p>
    <w:p>
      <w:pPr>
        <w:pStyle w:val="37"/>
        <w:adjustRightInd w:val="0"/>
        <w:snapToGrid w:val="0"/>
        <w:spacing w:line="360" w:lineRule="auto"/>
        <w:ind w:firstLine="600" w:firstLineChars="25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12.4.6 支付分解表的编制</w:t>
      </w:r>
    </w:p>
    <w:p>
      <w:pPr>
        <w:pStyle w:val="37"/>
        <w:adjustRightInd w:val="0"/>
        <w:snapToGrid w:val="0"/>
        <w:spacing w:line="360" w:lineRule="auto"/>
        <w:ind w:firstLine="600" w:firstLineChars="25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2. 总价合同支付分解表的编制与审批：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600" w:firstLineChars="25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3. 单价合同的总价项目支付分解表的编制与审批：总价项目不采用支付分解表的方式计算，而按《建设工程预算定额》（JTG/T B06-02-2007）以及2016-4-28发布的《建设工程营业税改增值税计价依据调整方案》的规定执行。</w:t>
      </w:r>
    </w:p>
    <w:bookmarkEnd w:id="717"/>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965" w:name="_Toc407135256"/>
      <w:bookmarkStart w:id="966" w:name="_Toc491937932"/>
      <w:bookmarkStart w:id="967" w:name="_Toc373478400"/>
      <w:bookmarkStart w:id="968" w:name="_Toc351203645"/>
      <w:bookmarkStart w:id="969" w:name="_Toc373227753"/>
      <w:bookmarkStart w:id="970" w:name="_Toc23463"/>
      <w:bookmarkStart w:id="971" w:name="_Toc389065318"/>
      <w:bookmarkStart w:id="972" w:name="_Toc297216223"/>
      <w:bookmarkStart w:id="973" w:name="_Toc292559424"/>
      <w:bookmarkStart w:id="974" w:name="_Toc296944558"/>
      <w:bookmarkStart w:id="975" w:name="_Toc296346720"/>
      <w:bookmarkStart w:id="976" w:name="_Toc296347218"/>
      <w:bookmarkStart w:id="977" w:name="_Toc300935015"/>
      <w:bookmarkStart w:id="978" w:name="_Toc297120519"/>
      <w:bookmarkStart w:id="979" w:name="_Toc296503219"/>
      <w:bookmarkStart w:id="980" w:name="_Toc304295593"/>
      <w:bookmarkStart w:id="981" w:name="_Toc297048405"/>
      <w:bookmarkStart w:id="982" w:name="_Toc296891259"/>
      <w:bookmarkStart w:id="983" w:name="_Toc296891047"/>
      <w:bookmarkStart w:id="984" w:name="_Toc292559929"/>
      <w:bookmarkStart w:id="985" w:name="_Toc297123564"/>
      <w:bookmarkStart w:id="986" w:name="_Toc303539172"/>
      <w:bookmarkStart w:id="987" w:name="_Toc312678053"/>
      <w:r>
        <w:rPr>
          <w:rFonts w:hint="eastAsia" w:ascii="宋体" w:hAnsi="宋体" w:eastAsia="宋体" w:cs="宋体"/>
          <w:b/>
          <w:bCs/>
          <w:color w:val="auto"/>
          <w:kern w:val="2"/>
          <w:sz w:val="24"/>
          <w:szCs w:val="24"/>
        </w:rPr>
        <w:t>13. 验收和工程试车</w:t>
      </w:r>
      <w:bookmarkEnd w:id="965"/>
      <w:bookmarkEnd w:id="966"/>
      <w:bookmarkEnd w:id="967"/>
      <w:bookmarkEnd w:id="968"/>
      <w:bookmarkEnd w:id="969"/>
      <w:bookmarkEnd w:id="970"/>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88" w:name="_Toc389065319"/>
      <w:bookmarkStart w:id="989" w:name="_Toc373227754"/>
      <w:bookmarkStart w:id="990" w:name="_Toc373478401"/>
      <w:bookmarkStart w:id="991" w:name="_Toc32551"/>
      <w:bookmarkStart w:id="992" w:name="_Toc407135257"/>
      <w:bookmarkStart w:id="993" w:name="_Toc491937933"/>
      <w:r>
        <w:rPr>
          <w:rFonts w:hint="eastAsia" w:ascii="宋体" w:hAnsi="宋体" w:eastAsia="宋体" w:cs="宋体"/>
          <w:b/>
          <w:bCs/>
          <w:color w:val="auto"/>
          <w:kern w:val="2"/>
          <w:sz w:val="24"/>
          <w:szCs w:val="24"/>
        </w:rPr>
        <w:t>13.1 分部分项工程验收</w:t>
      </w:r>
      <w:bookmarkEnd w:id="988"/>
      <w:bookmarkEnd w:id="989"/>
      <w:bookmarkEnd w:id="990"/>
      <w:bookmarkEnd w:id="991"/>
      <w:bookmarkEnd w:id="992"/>
      <w:bookmarkEnd w:id="993"/>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13.1.2监理人不能按时进行验收时，应提前小时提交书面延期要求。</w:t>
      </w:r>
    </w:p>
    <w:p>
      <w:pPr>
        <w:pStyle w:val="37"/>
        <w:adjustRightInd w:val="0"/>
        <w:snapToGrid w:val="0"/>
        <w:spacing w:line="360" w:lineRule="auto"/>
        <w:ind w:firstLine="480" w:firstLineChars="200"/>
        <w:jc w:val="both"/>
        <w:rPr>
          <w:rFonts w:ascii="宋体" w:hAnsi="宋体" w:eastAsia="宋体" w:cs="宋体"/>
          <w:b/>
          <w:color w:val="auto"/>
          <w:kern w:val="2"/>
          <w:sz w:val="24"/>
          <w:szCs w:val="24"/>
        </w:rPr>
      </w:pPr>
      <w:r>
        <w:rPr>
          <w:rFonts w:hint="eastAsia" w:ascii="宋体" w:hAnsi="宋体" w:eastAsia="宋体" w:cs="宋体"/>
          <w:color w:val="auto"/>
          <w:kern w:val="2"/>
          <w:sz w:val="24"/>
          <w:szCs w:val="24"/>
        </w:rPr>
        <w:t>关于延期最长不得超过：</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小时。</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94" w:name="_Toc373478402"/>
      <w:bookmarkStart w:id="995" w:name="_Toc373227755"/>
      <w:bookmarkStart w:id="996" w:name="_Toc1882"/>
      <w:bookmarkStart w:id="997" w:name="_Toc491937934"/>
      <w:bookmarkStart w:id="998" w:name="_Toc389065320"/>
      <w:bookmarkStart w:id="999" w:name="_Toc407135258"/>
      <w:bookmarkStart w:id="1000" w:name="_Toc296891051"/>
      <w:bookmarkStart w:id="1001" w:name="_Toc296347222"/>
      <w:bookmarkStart w:id="1002" w:name="_Toc312678056"/>
      <w:bookmarkStart w:id="1003" w:name="_Toc297123565"/>
      <w:bookmarkStart w:id="1004" w:name="_Toc297216224"/>
      <w:bookmarkStart w:id="1005" w:name="_Toc296346724"/>
      <w:bookmarkStart w:id="1006" w:name="_Toc297048409"/>
      <w:bookmarkStart w:id="1007" w:name="_Toc296944562"/>
      <w:bookmarkStart w:id="1008" w:name="_Toc296503223"/>
      <w:bookmarkStart w:id="1009" w:name="_Toc296891263"/>
      <w:bookmarkStart w:id="1010" w:name="_Toc303539173"/>
      <w:bookmarkStart w:id="1011" w:name="_Toc300935016"/>
      <w:bookmarkStart w:id="1012" w:name="_Toc297120523"/>
      <w:bookmarkStart w:id="1013" w:name="_Toc292559428"/>
      <w:bookmarkStart w:id="1014" w:name="_Toc292559933"/>
      <w:bookmarkStart w:id="1015" w:name="_Toc304295596"/>
      <w:bookmarkStart w:id="1016" w:name="_Toc267251476"/>
      <w:bookmarkStart w:id="1017" w:name="_Toc267251473"/>
      <w:bookmarkStart w:id="1018" w:name="_Toc267251475"/>
      <w:bookmarkStart w:id="1019" w:name="_Toc267251472"/>
      <w:bookmarkStart w:id="1020" w:name="_Toc267251471"/>
      <w:bookmarkStart w:id="1021" w:name="_Toc267251470"/>
      <w:bookmarkStart w:id="1022" w:name="_Toc267251474"/>
      <w:r>
        <w:rPr>
          <w:rFonts w:hint="eastAsia" w:ascii="宋体" w:hAnsi="宋体" w:eastAsia="宋体" w:cs="宋体"/>
          <w:b/>
          <w:bCs/>
          <w:color w:val="auto"/>
          <w:kern w:val="2"/>
          <w:sz w:val="24"/>
          <w:szCs w:val="24"/>
        </w:rPr>
        <w:t>13.2 竣工验收</w:t>
      </w:r>
      <w:bookmarkEnd w:id="994"/>
      <w:bookmarkEnd w:id="995"/>
      <w:bookmarkEnd w:id="996"/>
      <w:bookmarkEnd w:id="997"/>
      <w:bookmarkEnd w:id="998"/>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Pr>
        <w:pStyle w:val="37"/>
        <w:adjustRightInd w:val="0"/>
        <w:snapToGrid w:val="0"/>
        <w:spacing w:line="360" w:lineRule="auto"/>
        <w:ind w:firstLine="480" w:firstLineChars="200"/>
        <w:jc w:val="both"/>
        <w:rPr>
          <w:rFonts w:ascii="宋体" w:hAnsi="宋体" w:eastAsia="宋体" w:cs="宋体"/>
          <w:color w:val="auto"/>
          <w:kern w:val="2"/>
          <w:sz w:val="24"/>
          <w:szCs w:val="24"/>
        </w:rPr>
      </w:pPr>
      <w:bookmarkStart w:id="1023" w:name="_Toc280868704"/>
      <w:bookmarkStart w:id="1024" w:name="_Toc280868705"/>
      <w:bookmarkStart w:id="1025" w:name="_Toc280868706"/>
      <w:bookmarkStart w:id="1026" w:name="_Toc280868707"/>
      <w:bookmarkStart w:id="1027" w:name="_Toc280868708"/>
      <w:bookmarkStart w:id="1028" w:name="_Toc280868709"/>
      <w:r>
        <w:rPr>
          <w:rFonts w:hint="eastAsia" w:ascii="宋体" w:hAnsi="宋体" w:eastAsia="宋体" w:cs="宋体"/>
          <w:color w:val="auto"/>
          <w:kern w:val="2"/>
          <w:sz w:val="24"/>
          <w:szCs w:val="24"/>
        </w:rPr>
        <w:t>13.2.1竣工验收条件</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竣工验收资料的份数：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bCs/>
          <w:color w:val="auto"/>
          <w:kern w:val="2"/>
          <w:sz w:val="24"/>
          <w:szCs w:val="24"/>
        </w:rPr>
        <w:t>承包人提供竣工图的约定：</w:t>
      </w:r>
      <w:r>
        <w:rPr>
          <w:rFonts w:hint="eastAsia" w:ascii="宋体" w:hAnsi="宋体" w:eastAsia="宋体" w:cs="宋体"/>
          <w:bCs/>
          <w:color w:val="auto"/>
          <w:kern w:val="2"/>
          <w:sz w:val="24"/>
          <w:szCs w:val="24"/>
          <w:u w:val="single"/>
        </w:rPr>
        <w:t>竣工验收正式通过后5天（工程造价在500万元以下含500万元）、10天（工程造价在500万元至1000万元之间含1000万元）、15天（工程造价在1000万元以上），提供竣工图的数量分别为2套、4套、6套。</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13.2.2竣工验收程序</w:t>
      </w:r>
    </w:p>
    <w:bookmarkEnd w:id="1023"/>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发包人不按照本项约定组织竣工验收、颁发工程接收证书的违约金的计算方法：</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___________________________</w:t>
      </w:r>
      <w:r>
        <w:rPr>
          <w:rFonts w:hint="eastAsia" w:ascii="宋体" w:hAnsi="宋体" w:eastAsia="宋体" w:cs="宋体"/>
          <w:color w:val="auto"/>
          <w:kern w:val="2"/>
          <w:sz w:val="24"/>
          <w:szCs w:val="24"/>
        </w:rPr>
        <w:t>。</w:t>
      </w:r>
    </w:p>
    <w:bookmarkEnd w:id="1024"/>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13.2.5移交、接收全部与部分工程</w:t>
      </w:r>
    </w:p>
    <w:bookmarkEnd w:id="1025"/>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rPr>
        <w:t>。</w:t>
      </w:r>
    </w:p>
    <w:bookmarkEnd w:id="1026"/>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承包人未按时移交工程的，违约金的计算方法为：</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29" w:name="_Toc4185"/>
      <w:bookmarkStart w:id="1030" w:name="_Toc373478403"/>
      <w:bookmarkStart w:id="1031" w:name="_Toc373227756"/>
      <w:bookmarkStart w:id="1032" w:name="_Toc389065321"/>
      <w:bookmarkStart w:id="1033" w:name="_Toc491937935"/>
      <w:bookmarkStart w:id="1034" w:name="_Toc407135259"/>
      <w:r>
        <w:rPr>
          <w:rFonts w:hint="eastAsia" w:ascii="宋体" w:hAnsi="宋体" w:eastAsia="宋体" w:cs="宋体"/>
          <w:b/>
          <w:bCs/>
          <w:color w:val="auto"/>
          <w:kern w:val="2"/>
          <w:sz w:val="24"/>
          <w:szCs w:val="24"/>
        </w:rPr>
        <w:t>13.3 工程试车</w:t>
      </w:r>
      <w:bookmarkEnd w:id="1029"/>
      <w:bookmarkEnd w:id="1030"/>
      <w:bookmarkEnd w:id="1031"/>
      <w:bookmarkEnd w:id="1032"/>
      <w:bookmarkEnd w:id="1033"/>
      <w:bookmarkEnd w:id="1034"/>
    </w:p>
    <w:bookmarkEnd w:id="1027"/>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13.3.1 试车程序</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（1）单机无负荷试车费用由承担；</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（2）无负荷联动试车费用由承担。</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13.3.3 投料试车</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35" w:name="_Toc389065322"/>
      <w:bookmarkStart w:id="1036" w:name="_Toc373227757"/>
      <w:bookmarkStart w:id="1037" w:name="_Toc25477"/>
      <w:bookmarkStart w:id="1038" w:name="_Toc373478404"/>
      <w:bookmarkStart w:id="1039" w:name="_Toc407135260"/>
      <w:bookmarkStart w:id="1040" w:name="_Toc491937936"/>
      <w:r>
        <w:rPr>
          <w:rFonts w:hint="eastAsia" w:ascii="宋体" w:hAnsi="宋体" w:eastAsia="宋体" w:cs="宋体"/>
          <w:b/>
          <w:bCs/>
          <w:color w:val="auto"/>
          <w:kern w:val="2"/>
          <w:sz w:val="24"/>
          <w:szCs w:val="24"/>
        </w:rPr>
        <w:t>13.6 竣工退场</w:t>
      </w:r>
      <w:bookmarkEnd w:id="1035"/>
      <w:bookmarkEnd w:id="1036"/>
      <w:bookmarkEnd w:id="1037"/>
      <w:bookmarkEnd w:id="1038"/>
      <w:bookmarkEnd w:id="1039"/>
      <w:bookmarkEnd w:id="1040"/>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13.6.1 竣工退场</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承包人完成竣工退场的期限：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041" w:name="_Toc491937937"/>
      <w:bookmarkStart w:id="1042" w:name="_Toc26295"/>
      <w:bookmarkStart w:id="1043" w:name="_Toc407135261"/>
      <w:bookmarkStart w:id="1044" w:name="_Toc351203646"/>
      <w:bookmarkStart w:id="1045" w:name="_Toc373227758"/>
      <w:bookmarkStart w:id="1046" w:name="_Toc373478405"/>
      <w:bookmarkStart w:id="1047" w:name="_Toc389065323"/>
      <w:r>
        <w:rPr>
          <w:rFonts w:hint="eastAsia" w:ascii="宋体" w:hAnsi="宋体" w:eastAsia="宋体" w:cs="宋体"/>
          <w:b/>
          <w:bCs/>
          <w:color w:val="auto"/>
          <w:kern w:val="2"/>
          <w:sz w:val="24"/>
          <w:szCs w:val="24"/>
        </w:rPr>
        <w:t>14. 竣工结算</w:t>
      </w:r>
      <w:bookmarkEnd w:id="1041"/>
      <w:bookmarkEnd w:id="1042"/>
      <w:bookmarkEnd w:id="1043"/>
      <w:bookmarkEnd w:id="1044"/>
      <w:bookmarkEnd w:id="1045"/>
      <w:bookmarkEnd w:id="1046"/>
      <w:bookmarkEnd w:id="1047"/>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48" w:name="_Toc373227759"/>
      <w:bookmarkStart w:id="1049" w:name="_Toc407135262"/>
      <w:bookmarkStart w:id="1050" w:name="_Toc389065324"/>
      <w:bookmarkStart w:id="1051" w:name="_Toc491937938"/>
      <w:bookmarkStart w:id="1052" w:name="_Toc373478406"/>
      <w:bookmarkStart w:id="1053" w:name="_Toc20842"/>
      <w:r>
        <w:rPr>
          <w:rFonts w:hint="eastAsia" w:ascii="宋体" w:hAnsi="宋体" w:eastAsia="宋体" w:cs="宋体"/>
          <w:b/>
          <w:bCs/>
          <w:color w:val="auto"/>
          <w:kern w:val="2"/>
          <w:sz w:val="24"/>
          <w:szCs w:val="24"/>
        </w:rPr>
        <w:t>14.1 竣工付款申请</w:t>
      </w:r>
      <w:bookmarkEnd w:id="1048"/>
      <w:bookmarkEnd w:id="1049"/>
      <w:bookmarkEnd w:id="1050"/>
      <w:bookmarkEnd w:id="1051"/>
      <w:bookmarkEnd w:id="1052"/>
      <w:bookmarkEnd w:id="1053"/>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承包人提交竣工付款申请单的期限：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竣工付款申请单应包括的内容：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54" w:name="_Toc373478407"/>
      <w:bookmarkStart w:id="1055" w:name="_Toc491937939"/>
      <w:bookmarkStart w:id="1056" w:name="_Toc407135263"/>
      <w:bookmarkStart w:id="1057" w:name="_Toc389065325"/>
      <w:bookmarkStart w:id="1058" w:name="_Toc373227760"/>
      <w:bookmarkStart w:id="1059" w:name="_Toc13608"/>
      <w:r>
        <w:rPr>
          <w:rFonts w:hint="eastAsia" w:ascii="宋体" w:hAnsi="宋体" w:eastAsia="宋体" w:cs="宋体"/>
          <w:b/>
          <w:bCs/>
          <w:color w:val="auto"/>
          <w:kern w:val="2"/>
          <w:sz w:val="24"/>
          <w:szCs w:val="24"/>
        </w:rPr>
        <w:t>14.2 竣工结算审核</w:t>
      </w:r>
      <w:bookmarkEnd w:id="1054"/>
      <w:bookmarkEnd w:id="1055"/>
      <w:bookmarkEnd w:id="1056"/>
      <w:bookmarkEnd w:id="1057"/>
      <w:bookmarkEnd w:id="1058"/>
      <w:bookmarkEnd w:id="1059"/>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发包人审批竣工付款申请单的期限：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7"/>
              <w:adjustRightInd w:val="0"/>
              <w:snapToGrid w:val="0"/>
              <w:spacing w:line="360" w:lineRule="auto"/>
              <w:rPr>
                <w:rFonts w:ascii="宋体" w:hAnsi="宋体" w:eastAsia="宋体" w:cs="宋体"/>
                <w:bCs/>
                <w:color w:val="auto"/>
                <w:kern w:val="2"/>
                <w:sz w:val="24"/>
                <w:szCs w:val="24"/>
              </w:rPr>
            </w:pPr>
          </w:p>
        </w:tc>
        <w:tc>
          <w:tcPr>
            <w:tcW w:w="2466" w:type="dxa"/>
            <w:noWrap/>
            <w:vAlign w:val="center"/>
          </w:tcPr>
          <w:p>
            <w:pPr>
              <w:pStyle w:val="37"/>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工程竣工结算报告金额</w:t>
            </w:r>
          </w:p>
        </w:tc>
        <w:tc>
          <w:tcPr>
            <w:tcW w:w="5967" w:type="dxa"/>
            <w:noWrap/>
            <w:vAlign w:val="center"/>
          </w:tcPr>
          <w:p>
            <w:pPr>
              <w:pStyle w:val="37"/>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7"/>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1</w:t>
            </w:r>
          </w:p>
        </w:tc>
        <w:tc>
          <w:tcPr>
            <w:tcW w:w="2466" w:type="dxa"/>
            <w:noWrap/>
            <w:vAlign w:val="center"/>
          </w:tcPr>
          <w:p>
            <w:pPr>
              <w:pStyle w:val="37"/>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500万元以下</w:t>
            </w:r>
          </w:p>
        </w:tc>
        <w:tc>
          <w:tcPr>
            <w:tcW w:w="5967" w:type="dxa"/>
            <w:noWrap/>
            <w:vAlign w:val="center"/>
          </w:tcPr>
          <w:p>
            <w:pPr>
              <w:pStyle w:val="37"/>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7"/>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2</w:t>
            </w:r>
          </w:p>
        </w:tc>
        <w:tc>
          <w:tcPr>
            <w:tcW w:w="2466" w:type="dxa"/>
            <w:noWrap/>
            <w:vAlign w:val="center"/>
          </w:tcPr>
          <w:p>
            <w:pPr>
              <w:pStyle w:val="37"/>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500万元-2000万元</w:t>
            </w:r>
          </w:p>
        </w:tc>
        <w:tc>
          <w:tcPr>
            <w:tcW w:w="5967" w:type="dxa"/>
            <w:noWrap/>
            <w:vAlign w:val="center"/>
          </w:tcPr>
          <w:p>
            <w:pPr>
              <w:pStyle w:val="37"/>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7"/>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3</w:t>
            </w:r>
          </w:p>
        </w:tc>
        <w:tc>
          <w:tcPr>
            <w:tcW w:w="2466" w:type="dxa"/>
            <w:noWrap/>
            <w:vAlign w:val="center"/>
          </w:tcPr>
          <w:p>
            <w:pPr>
              <w:pStyle w:val="37"/>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2000万元-5000万元</w:t>
            </w:r>
          </w:p>
        </w:tc>
        <w:tc>
          <w:tcPr>
            <w:tcW w:w="5967" w:type="dxa"/>
            <w:noWrap/>
            <w:vAlign w:val="center"/>
          </w:tcPr>
          <w:p>
            <w:pPr>
              <w:pStyle w:val="37"/>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7"/>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4</w:t>
            </w:r>
          </w:p>
        </w:tc>
        <w:tc>
          <w:tcPr>
            <w:tcW w:w="2466" w:type="dxa"/>
            <w:noWrap/>
            <w:vAlign w:val="center"/>
          </w:tcPr>
          <w:p>
            <w:pPr>
              <w:pStyle w:val="37"/>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5000万元以上</w:t>
            </w:r>
          </w:p>
        </w:tc>
        <w:tc>
          <w:tcPr>
            <w:tcW w:w="5967" w:type="dxa"/>
            <w:noWrap/>
            <w:vAlign w:val="center"/>
          </w:tcPr>
          <w:p>
            <w:pPr>
              <w:pStyle w:val="37"/>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从接到竣工结算报告和完整的竣工结算资料之日起60天</w:t>
            </w:r>
          </w:p>
        </w:tc>
      </w:tr>
    </w:tbl>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bCs/>
          <w:color w:val="auto"/>
          <w:kern w:val="2"/>
          <w:sz w:val="24"/>
          <w:szCs w:val="24"/>
        </w:rPr>
        <w:t>因承包人提供的结算资料不完整而需要补充或承包人不按时对账耽误时间时，审查时间应相应顺延</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发包人完成竣工付款的期限：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关于竣工付款证书异议部分复核的方式和程序：</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60" w:name="_Toc373227761"/>
      <w:bookmarkStart w:id="1061" w:name="_Toc389065326"/>
      <w:bookmarkStart w:id="1062" w:name="_Toc373478408"/>
      <w:bookmarkStart w:id="1063" w:name="_Toc23644"/>
      <w:bookmarkStart w:id="1064" w:name="_Toc407135264"/>
      <w:bookmarkStart w:id="1065" w:name="_Toc491937940"/>
      <w:r>
        <w:rPr>
          <w:rFonts w:hint="eastAsia" w:ascii="宋体" w:hAnsi="宋体" w:eastAsia="宋体" w:cs="宋体"/>
          <w:b/>
          <w:bCs/>
          <w:color w:val="auto"/>
          <w:kern w:val="2"/>
          <w:sz w:val="24"/>
          <w:szCs w:val="24"/>
        </w:rPr>
        <w:t>14.4 最终结清</w:t>
      </w:r>
      <w:bookmarkEnd w:id="1060"/>
      <w:bookmarkEnd w:id="1061"/>
      <w:bookmarkEnd w:id="1062"/>
      <w:bookmarkEnd w:id="1063"/>
      <w:bookmarkEnd w:id="1064"/>
      <w:bookmarkEnd w:id="1065"/>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14.4.1 最终结清申请单</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rPr>
        <w:t xml:space="preserve">。 </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14.4.2 最终结清证书和支付</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（1）发包人完成最终结清申请单的审批并颁发最终结清证书的期限：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（2）发包人完成支付的期限：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bookmarkEnd w:id="1016"/>
    <w:bookmarkEnd w:id="1017"/>
    <w:bookmarkEnd w:id="1018"/>
    <w:bookmarkEnd w:id="1019"/>
    <w:bookmarkEnd w:id="1020"/>
    <w:bookmarkEnd w:id="1021"/>
    <w:bookmarkEnd w:id="1022"/>
    <w:bookmarkEnd w:id="1028"/>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066" w:name="_Toc491937941"/>
      <w:bookmarkStart w:id="1067" w:name="_Toc373478409"/>
      <w:bookmarkStart w:id="1068" w:name="_Toc373227762"/>
      <w:bookmarkStart w:id="1069" w:name="_Toc389065327"/>
      <w:bookmarkStart w:id="1070" w:name="_Toc407135265"/>
      <w:bookmarkStart w:id="1071" w:name="_Toc30124"/>
      <w:bookmarkStart w:id="1072" w:name="_Toc351203647"/>
      <w:bookmarkStart w:id="1073" w:name="_Toc267251483"/>
      <w:bookmarkStart w:id="1074" w:name="_Toc267251484"/>
      <w:bookmarkStart w:id="1075" w:name="_Toc267251482"/>
      <w:bookmarkStart w:id="1076" w:name="_Toc267251485"/>
      <w:bookmarkStart w:id="1077" w:name="_Toc267251488"/>
      <w:bookmarkStart w:id="1078" w:name="_Toc267251489"/>
      <w:bookmarkStart w:id="1079" w:name="_Toc267251486"/>
      <w:bookmarkStart w:id="1080" w:name="_Toc267251490"/>
      <w:bookmarkStart w:id="1081" w:name="_Toc267251494"/>
      <w:bookmarkStart w:id="1082" w:name="_Toc267251491"/>
      <w:bookmarkStart w:id="1083" w:name="_Toc267251499"/>
      <w:bookmarkStart w:id="1084" w:name="_Toc267251503"/>
      <w:bookmarkStart w:id="1085" w:name="_Toc267251495"/>
      <w:bookmarkStart w:id="1086" w:name="_Toc267251498"/>
      <w:bookmarkStart w:id="1087" w:name="_Toc267251497"/>
      <w:bookmarkStart w:id="1088" w:name="_Toc267251501"/>
      <w:bookmarkStart w:id="1089" w:name="_Toc267251493"/>
      <w:bookmarkStart w:id="1090" w:name="_Toc267251502"/>
      <w:bookmarkStart w:id="1091" w:name="_Toc267251496"/>
      <w:bookmarkStart w:id="1092" w:name="_Toc267251492"/>
      <w:bookmarkStart w:id="1093" w:name="_Toc267251504"/>
      <w:bookmarkStart w:id="1094" w:name="_Toc267251506"/>
      <w:bookmarkStart w:id="1095" w:name="_Toc267251507"/>
      <w:bookmarkStart w:id="1096" w:name="_Toc267251508"/>
      <w:bookmarkStart w:id="1097" w:name="_Toc267251514"/>
      <w:bookmarkStart w:id="1098" w:name="_Toc267251515"/>
      <w:bookmarkStart w:id="1099" w:name="_Toc267251509"/>
      <w:bookmarkStart w:id="1100" w:name="_Toc267251510"/>
      <w:bookmarkStart w:id="1101" w:name="_Toc267251513"/>
      <w:bookmarkStart w:id="1102" w:name="_Toc267251511"/>
      <w:r>
        <w:rPr>
          <w:rFonts w:hint="eastAsia" w:ascii="宋体" w:hAnsi="宋体" w:eastAsia="宋体" w:cs="宋体"/>
          <w:b/>
          <w:bCs/>
          <w:color w:val="auto"/>
          <w:kern w:val="2"/>
          <w:sz w:val="24"/>
          <w:szCs w:val="24"/>
        </w:rPr>
        <w:t>15. 缺陷责任期与保修</w:t>
      </w:r>
      <w:bookmarkEnd w:id="1066"/>
      <w:bookmarkEnd w:id="1067"/>
      <w:bookmarkEnd w:id="1068"/>
      <w:bookmarkEnd w:id="1069"/>
      <w:bookmarkEnd w:id="1070"/>
      <w:bookmarkEnd w:id="1071"/>
      <w:bookmarkEnd w:id="1072"/>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03" w:name="_Toc373227763"/>
      <w:bookmarkStart w:id="1104" w:name="_Toc491937942"/>
      <w:bookmarkStart w:id="1105" w:name="_Toc389065328"/>
      <w:bookmarkStart w:id="1106" w:name="_Toc407135266"/>
      <w:bookmarkStart w:id="1107" w:name="_Toc373478410"/>
      <w:bookmarkStart w:id="1108" w:name="_Toc10854"/>
      <w:r>
        <w:rPr>
          <w:rFonts w:hint="eastAsia" w:ascii="宋体" w:hAnsi="宋体" w:eastAsia="宋体" w:cs="宋体"/>
          <w:b/>
          <w:bCs/>
          <w:color w:val="auto"/>
          <w:kern w:val="2"/>
          <w:sz w:val="24"/>
          <w:szCs w:val="24"/>
        </w:rPr>
        <w:t>15.2 缺陷责任期</w:t>
      </w:r>
      <w:bookmarkEnd w:id="1073"/>
      <w:bookmarkEnd w:id="1103"/>
      <w:bookmarkEnd w:id="1104"/>
      <w:bookmarkEnd w:id="1105"/>
      <w:bookmarkEnd w:id="1106"/>
      <w:bookmarkEnd w:id="1107"/>
      <w:bookmarkEnd w:id="1108"/>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缺陷责任期的具体期限：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09" w:name="_Toc373227764"/>
      <w:bookmarkStart w:id="1110" w:name="_Toc389065329"/>
      <w:bookmarkStart w:id="1111" w:name="_Toc407135267"/>
      <w:bookmarkStart w:id="1112" w:name="_Toc16872"/>
      <w:bookmarkStart w:id="1113" w:name="_Toc373478411"/>
      <w:bookmarkStart w:id="1114" w:name="_Toc491937943"/>
      <w:r>
        <w:rPr>
          <w:rFonts w:hint="eastAsia" w:ascii="宋体" w:hAnsi="宋体" w:eastAsia="宋体" w:cs="宋体"/>
          <w:b/>
          <w:bCs/>
          <w:color w:val="auto"/>
          <w:kern w:val="2"/>
          <w:sz w:val="24"/>
          <w:szCs w:val="24"/>
        </w:rPr>
        <w:t>15.3 质量保证金</w:t>
      </w:r>
      <w:bookmarkEnd w:id="1109"/>
      <w:bookmarkEnd w:id="1110"/>
      <w:bookmarkEnd w:id="1111"/>
      <w:bookmarkEnd w:id="1112"/>
      <w:bookmarkEnd w:id="1113"/>
      <w:bookmarkEnd w:id="1114"/>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关于是否扣留质量保证金的约定：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15.3.1 承包人提供质量保证金的方式</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质量保证金采用以下第</w:t>
      </w:r>
      <w:r>
        <w:rPr>
          <w:rFonts w:hint="eastAsia" w:ascii="宋体" w:hAnsi="宋体" w:eastAsia="宋体" w:cs="宋体"/>
          <w:color w:val="auto"/>
          <w:kern w:val="2"/>
          <w:sz w:val="24"/>
          <w:szCs w:val="24"/>
          <w:u w:val="single"/>
        </w:rPr>
        <w:t xml:space="preserve">  （2）   </w:t>
      </w:r>
      <w:r>
        <w:rPr>
          <w:rFonts w:hint="eastAsia" w:ascii="宋体" w:hAnsi="宋体" w:eastAsia="宋体" w:cs="宋体"/>
          <w:color w:val="auto"/>
          <w:kern w:val="2"/>
          <w:sz w:val="24"/>
          <w:szCs w:val="24"/>
        </w:rPr>
        <w:t>种方式：</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（1）质量保证金保函，保证金额为：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Cs/>
          <w:color w:val="auto"/>
          <w:kern w:val="2"/>
          <w:sz w:val="24"/>
          <w:szCs w:val="24"/>
        </w:rPr>
        <w:t>发包人按工程价款结算总额的</w:t>
      </w:r>
      <w:r>
        <w:rPr>
          <w:rFonts w:hint="eastAsia" w:ascii="宋体" w:hAnsi="宋体" w:eastAsia="宋体" w:cs="宋体"/>
          <w:bCs/>
          <w:color w:val="auto"/>
          <w:kern w:val="2"/>
          <w:sz w:val="24"/>
          <w:szCs w:val="24"/>
          <w:u w:val="single"/>
        </w:rPr>
        <w:t xml:space="preserve">  3 </w:t>
      </w:r>
      <w:r>
        <w:rPr>
          <w:rFonts w:hint="eastAsia" w:ascii="宋体" w:hAnsi="宋体" w:eastAsia="宋体" w:cs="宋体"/>
          <w:bCs/>
          <w:color w:val="auto"/>
          <w:kern w:val="2"/>
          <w:sz w:val="24"/>
          <w:szCs w:val="24"/>
        </w:rPr>
        <w:t>%预留工程质量保修金，待缺陷责任期满后返还</w:t>
      </w:r>
      <w:r>
        <w:rPr>
          <w:rFonts w:hint="eastAsia" w:ascii="宋体" w:hAnsi="宋体" w:eastAsia="宋体" w:cs="宋体"/>
          <w:color w:val="auto"/>
          <w:sz w:val="24"/>
          <w:szCs w:val="24"/>
        </w:rPr>
        <w:t>；</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15.3.2 质量保证金的扣留</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质量保证金的扣留采取以下第</w:t>
      </w:r>
      <w:r>
        <w:rPr>
          <w:rFonts w:hint="eastAsia" w:ascii="宋体" w:hAnsi="宋体" w:eastAsia="宋体" w:cs="宋体"/>
          <w:color w:val="auto"/>
          <w:kern w:val="2"/>
          <w:sz w:val="24"/>
          <w:szCs w:val="24"/>
          <w:u w:val="single"/>
        </w:rPr>
        <w:t xml:space="preserve">  （2）   </w:t>
      </w:r>
      <w:r>
        <w:rPr>
          <w:rFonts w:hint="eastAsia" w:ascii="宋体" w:hAnsi="宋体" w:eastAsia="宋体" w:cs="宋体"/>
          <w:color w:val="auto"/>
          <w:kern w:val="2"/>
          <w:sz w:val="24"/>
          <w:szCs w:val="24"/>
        </w:rPr>
        <w:t>种方式：</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kern w:val="2"/>
          <w:sz w:val="24"/>
          <w:szCs w:val="24"/>
        </w:rPr>
        <w:t>关于质量保证金的补充约定：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sz w:val="24"/>
          <w:szCs w:val="24"/>
        </w:rPr>
        <w:t>。</w:t>
      </w:r>
    </w:p>
    <w:bookmarkEnd w:id="1074"/>
    <w:bookmarkEnd w:id="1075"/>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15" w:name="_Toc373478412"/>
      <w:bookmarkStart w:id="1116" w:name="_Toc389065330"/>
      <w:bookmarkStart w:id="1117" w:name="_Toc373227765"/>
      <w:bookmarkStart w:id="1118" w:name="_Toc29501"/>
      <w:bookmarkStart w:id="1119" w:name="_Toc491937944"/>
      <w:bookmarkStart w:id="1120" w:name="_Toc407135268"/>
      <w:r>
        <w:rPr>
          <w:rFonts w:hint="eastAsia" w:ascii="宋体" w:hAnsi="宋体" w:eastAsia="宋体" w:cs="宋体"/>
          <w:b/>
          <w:bCs/>
          <w:color w:val="auto"/>
          <w:kern w:val="2"/>
          <w:sz w:val="24"/>
          <w:szCs w:val="24"/>
        </w:rPr>
        <w:t>15.4 保修</w:t>
      </w:r>
      <w:bookmarkEnd w:id="1115"/>
      <w:bookmarkEnd w:id="1116"/>
      <w:bookmarkEnd w:id="1117"/>
      <w:bookmarkEnd w:id="1118"/>
      <w:bookmarkEnd w:id="1119"/>
      <w:bookmarkEnd w:id="1120"/>
    </w:p>
    <w:bookmarkEnd w:id="1076"/>
    <w:p>
      <w:pPr>
        <w:pStyle w:val="37"/>
        <w:adjustRightInd w:val="0"/>
        <w:snapToGrid w:val="0"/>
        <w:spacing w:line="360" w:lineRule="auto"/>
        <w:ind w:firstLine="468" w:firstLineChars="195"/>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15.4.1 保修责任</w:t>
      </w:r>
    </w:p>
    <w:p>
      <w:pPr>
        <w:pStyle w:val="37"/>
        <w:adjustRightInd w:val="0"/>
        <w:snapToGrid w:val="0"/>
        <w:spacing w:line="360" w:lineRule="auto"/>
        <w:ind w:firstLine="468" w:firstLineChars="195"/>
        <w:jc w:val="both"/>
        <w:rPr>
          <w:rFonts w:ascii="宋体" w:hAnsi="宋体" w:eastAsia="宋体" w:cs="宋体"/>
          <w:color w:val="auto"/>
          <w:sz w:val="24"/>
          <w:szCs w:val="24"/>
        </w:rPr>
      </w:pPr>
      <w:r>
        <w:rPr>
          <w:rFonts w:hint="eastAsia" w:ascii="宋体" w:hAnsi="宋体" w:eastAsia="宋体" w:cs="宋体"/>
          <w:color w:val="auto"/>
          <w:kern w:val="2"/>
          <w:sz w:val="24"/>
          <w:szCs w:val="24"/>
        </w:rPr>
        <w:t>工程保修期为：</w:t>
      </w:r>
      <w:r>
        <w:rPr>
          <w:rFonts w:hint="eastAsia" w:ascii="宋体" w:hAnsi="宋体" w:eastAsia="宋体" w:cs="宋体"/>
          <w:color w:val="auto"/>
          <w:sz w:val="24"/>
          <w:szCs w:val="24"/>
          <w:u w:val="single"/>
        </w:rPr>
        <w:t xml:space="preserve">     1年                                   </w:t>
      </w:r>
      <w:r>
        <w:rPr>
          <w:rFonts w:hint="eastAsia" w:ascii="宋体" w:hAnsi="宋体" w:eastAsia="宋体" w:cs="宋体"/>
          <w:color w:val="auto"/>
          <w:sz w:val="24"/>
          <w:szCs w:val="24"/>
        </w:rPr>
        <w:t>。</w:t>
      </w:r>
    </w:p>
    <w:p>
      <w:pPr>
        <w:pStyle w:val="37"/>
        <w:adjustRightInd w:val="0"/>
        <w:snapToGrid w:val="0"/>
        <w:spacing w:line="360" w:lineRule="auto"/>
        <w:ind w:firstLine="468" w:firstLineChars="195"/>
        <w:jc w:val="both"/>
        <w:rPr>
          <w:rFonts w:ascii="宋体" w:hAnsi="宋体" w:eastAsia="宋体" w:cs="宋体"/>
          <w:color w:val="auto"/>
          <w:sz w:val="24"/>
          <w:szCs w:val="24"/>
          <w:u w:val="single"/>
        </w:rPr>
      </w:pPr>
      <w:r>
        <w:rPr>
          <w:rFonts w:hint="eastAsia" w:ascii="宋体" w:hAnsi="宋体" w:eastAsia="宋体" w:cs="宋体"/>
          <w:color w:val="auto"/>
          <w:kern w:val="2"/>
          <w:sz w:val="24"/>
          <w:szCs w:val="24"/>
        </w:rPr>
        <w:t>工程保修书具体内容见合同附件8。</w:t>
      </w:r>
    </w:p>
    <w:p>
      <w:pPr>
        <w:pStyle w:val="37"/>
        <w:adjustRightInd w:val="0"/>
        <w:snapToGrid w:val="0"/>
        <w:spacing w:line="360" w:lineRule="auto"/>
        <w:ind w:firstLine="468" w:firstLineChars="195"/>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15.4.3 修复通知</w:t>
      </w:r>
    </w:p>
    <w:p>
      <w:pPr>
        <w:pStyle w:val="37"/>
        <w:adjustRightInd w:val="0"/>
        <w:snapToGrid w:val="0"/>
        <w:spacing w:line="360" w:lineRule="auto"/>
        <w:ind w:firstLine="468" w:firstLineChars="195"/>
        <w:jc w:val="both"/>
        <w:rPr>
          <w:rFonts w:ascii="宋体" w:hAnsi="宋体" w:eastAsia="宋体" w:cs="宋体"/>
          <w:color w:val="auto"/>
          <w:sz w:val="24"/>
          <w:szCs w:val="24"/>
          <w:u w:val="single"/>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bookmarkEnd w:id="1077"/>
    <w:bookmarkEnd w:id="1078"/>
    <w:bookmarkEnd w:id="1079"/>
    <w:bookmarkEnd w:id="1080"/>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121" w:name="_Toc373478413"/>
      <w:bookmarkStart w:id="1122" w:name="_Toc373227766"/>
      <w:bookmarkStart w:id="1123" w:name="_Toc351203648"/>
      <w:bookmarkStart w:id="1124" w:name="_Toc389065331"/>
      <w:bookmarkStart w:id="1125" w:name="_Toc407135269"/>
      <w:bookmarkStart w:id="1126" w:name="_Toc491937945"/>
      <w:bookmarkStart w:id="1127" w:name="_Toc27868"/>
      <w:bookmarkStart w:id="1128" w:name="_Toc280868717"/>
      <w:bookmarkStart w:id="1129" w:name="_Toc280868718"/>
      <w:r>
        <w:rPr>
          <w:rFonts w:hint="eastAsia" w:ascii="宋体" w:hAnsi="宋体" w:eastAsia="宋体" w:cs="宋体"/>
          <w:b/>
          <w:bCs/>
          <w:color w:val="auto"/>
          <w:kern w:val="2"/>
          <w:sz w:val="24"/>
          <w:szCs w:val="24"/>
        </w:rPr>
        <w:t>16. 违约</w:t>
      </w:r>
      <w:bookmarkEnd w:id="1121"/>
      <w:bookmarkEnd w:id="1122"/>
      <w:bookmarkEnd w:id="1123"/>
      <w:bookmarkEnd w:id="1124"/>
      <w:bookmarkEnd w:id="1125"/>
      <w:bookmarkEnd w:id="1126"/>
      <w:bookmarkEnd w:id="1127"/>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30" w:name="_Toc14230"/>
      <w:bookmarkStart w:id="1131" w:name="_Toc373227767"/>
      <w:bookmarkStart w:id="1132" w:name="_Toc491937946"/>
      <w:bookmarkStart w:id="1133" w:name="_Toc373478414"/>
      <w:bookmarkStart w:id="1134" w:name="_Toc389065332"/>
      <w:bookmarkStart w:id="1135" w:name="_Toc407135270"/>
      <w:r>
        <w:rPr>
          <w:rFonts w:hint="eastAsia" w:ascii="宋体" w:hAnsi="宋体" w:eastAsia="宋体" w:cs="宋体"/>
          <w:b/>
          <w:bCs/>
          <w:color w:val="auto"/>
          <w:kern w:val="2"/>
          <w:sz w:val="24"/>
          <w:szCs w:val="24"/>
        </w:rPr>
        <w:t>16.1 发包人违约</w:t>
      </w:r>
      <w:bookmarkEnd w:id="1130"/>
      <w:bookmarkEnd w:id="1131"/>
      <w:bookmarkEnd w:id="1132"/>
      <w:bookmarkEnd w:id="1133"/>
      <w:bookmarkEnd w:id="1134"/>
      <w:bookmarkEnd w:id="1135"/>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16.1.1发包人违约的情形</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16.1.2 发包人违约的责任</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pPr>
        <w:pStyle w:val="37"/>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16.1.3 因发包人违约解除合同</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承包人按16.1.1项〔发包人违约的情形〕约定暂停施工满天后发包人仍不纠正其违约行为并致使合同目的不能实现的，承包人有权解除合同。</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36" w:name="_Toc373227768"/>
      <w:bookmarkStart w:id="1137" w:name="_Toc407135271"/>
      <w:bookmarkStart w:id="1138" w:name="_Toc389065333"/>
      <w:bookmarkStart w:id="1139" w:name="_Toc373478415"/>
      <w:bookmarkStart w:id="1140" w:name="_Toc491937947"/>
      <w:bookmarkStart w:id="1141" w:name="_Toc20305"/>
      <w:r>
        <w:rPr>
          <w:rFonts w:hint="eastAsia" w:ascii="宋体" w:hAnsi="宋体" w:eastAsia="宋体" w:cs="宋体"/>
          <w:b/>
          <w:bCs/>
          <w:color w:val="auto"/>
          <w:kern w:val="2"/>
          <w:sz w:val="24"/>
          <w:szCs w:val="24"/>
        </w:rPr>
        <w:t>16.2 承包人违约</w:t>
      </w:r>
      <w:bookmarkEnd w:id="1136"/>
      <w:bookmarkEnd w:id="1137"/>
      <w:bookmarkEnd w:id="1138"/>
      <w:bookmarkEnd w:id="1139"/>
      <w:bookmarkEnd w:id="1140"/>
      <w:bookmarkEnd w:id="1141"/>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16.2.1 承包人违约的情形</w:t>
      </w:r>
    </w:p>
    <w:p>
      <w:pPr>
        <w:pStyle w:val="37"/>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sz w:val="24"/>
          <w:szCs w:val="24"/>
        </w:rPr>
        <w:t>承包人违约的其他情形：</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16.2.2承包人违约的责任</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承包人违约责任的承担方式和计算方法：</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（2）承包人有本合同通用条款第16.2.1（6）条情形的，或经监理人检验认为修复质量不合格而承包人拒绝再进行修补的，发包人将扣除承包人全部质量保修金。</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16.2.3 因承包人违约解除合同</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承包人有违反以下情况之一的，发包人有权解除合同</w:t>
      </w:r>
      <w:r>
        <w:rPr>
          <w:rFonts w:hint="eastAsia" w:ascii="宋体" w:hAnsi="宋体" w:eastAsia="宋体" w:cs="宋体"/>
          <w:color w:val="auto"/>
          <w:sz w:val="24"/>
          <w:szCs w:val="24"/>
        </w:rPr>
        <w:t>。</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(1)承包人无正当理由不按开工通知的要求及时进场组织施工和不按签订协议书时商定的进度计划有效地开展施工准备，造成工期延误的；</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(2)承包人违反本合同通用条款第3.5条规定私自将合同或合同的任何部分或任何权利转让给其他人，或私自将工程或工程的一部分分包出去的；</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(3)未经监理人批准，承包人私自将已按投标文件承诺进入工地的工程设备、施工设备、临时工程或材料撤离工地的；</w:t>
      </w:r>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(4)由于承包人原因拒绝按合同进度计划及时完成合同规定的工程，而又未采取有效措施赶上进度，造成工期延误的；</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(5)承包人否认合同有效或拒绝履行合同规定的承包人义务，或由于法律、财务等原因导致承包人无法继续履行或实质上已停止履行合同的义务的；</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(6)合同签订之日起十五日内，承包人无法按合同规定及投标文件的承诺进场经监理工程师认可的全部人员和机械的。</w:t>
      </w:r>
    </w:p>
    <w:p>
      <w:pPr>
        <w:pStyle w:val="37"/>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142" w:name="_Toc1113"/>
      <w:bookmarkStart w:id="1143" w:name="_Toc491937948"/>
      <w:bookmarkStart w:id="1144" w:name="_Toc351203649"/>
      <w:bookmarkStart w:id="1145" w:name="_Toc407135272"/>
      <w:bookmarkStart w:id="1146" w:name="_Toc373227769"/>
      <w:bookmarkStart w:id="1147" w:name="_Toc389065334"/>
      <w:bookmarkStart w:id="1148" w:name="_Toc373478416"/>
      <w:r>
        <w:rPr>
          <w:rFonts w:hint="eastAsia" w:ascii="宋体" w:hAnsi="宋体" w:eastAsia="宋体" w:cs="宋体"/>
          <w:b/>
          <w:bCs/>
          <w:color w:val="auto"/>
          <w:kern w:val="2"/>
          <w:sz w:val="24"/>
          <w:szCs w:val="24"/>
        </w:rPr>
        <w:t>17. 不可抗力</w:t>
      </w:r>
      <w:bookmarkEnd w:id="1128"/>
      <w:bookmarkEnd w:id="1142"/>
      <w:bookmarkEnd w:id="1143"/>
      <w:bookmarkEnd w:id="1144"/>
      <w:bookmarkEnd w:id="1145"/>
      <w:bookmarkEnd w:id="1146"/>
      <w:bookmarkEnd w:id="1147"/>
      <w:bookmarkEnd w:id="1148"/>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49" w:name="_Toc1225"/>
      <w:bookmarkStart w:id="1150" w:name="_Toc491937949"/>
      <w:bookmarkStart w:id="1151" w:name="_Toc373227770"/>
      <w:bookmarkStart w:id="1152" w:name="_Toc389065335"/>
      <w:bookmarkStart w:id="1153" w:name="_Toc407135273"/>
      <w:bookmarkStart w:id="1154" w:name="_Toc373478417"/>
      <w:r>
        <w:rPr>
          <w:rFonts w:hint="eastAsia" w:ascii="宋体" w:hAnsi="宋体" w:eastAsia="宋体" w:cs="宋体"/>
          <w:b/>
          <w:bCs/>
          <w:color w:val="auto"/>
          <w:kern w:val="2"/>
          <w:sz w:val="24"/>
          <w:szCs w:val="24"/>
        </w:rPr>
        <w:t>17.1 不可抗力的确认</w:t>
      </w:r>
      <w:bookmarkEnd w:id="1149"/>
      <w:bookmarkEnd w:id="1150"/>
      <w:bookmarkEnd w:id="1151"/>
      <w:bookmarkEnd w:id="1152"/>
      <w:bookmarkEnd w:id="1153"/>
      <w:bookmarkEnd w:id="1154"/>
    </w:p>
    <w:p>
      <w:pPr>
        <w:pStyle w:val="37"/>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kern w:val="2"/>
          <w:sz w:val="24"/>
          <w:szCs w:val="24"/>
        </w:rPr>
        <w:t>除通用合同条款约定的不可抗力事件之外，视为不可抗力的其他情形：</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55" w:name="_Toc373227771"/>
      <w:bookmarkStart w:id="1156" w:name="_Toc407135274"/>
      <w:bookmarkStart w:id="1157" w:name="_Toc10315"/>
      <w:bookmarkStart w:id="1158" w:name="_Toc389065336"/>
      <w:bookmarkStart w:id="1159" w:name="_Toc491937950"/>
      <w:bookmarkStart w:id="1160" w:name="_Toc373478418"/>
      <w:r>
        <w:rPr>
          <w:rFonts w:hint="eastAsia" w:ascii="宋体" w:hAnsi="宋体" w:eastAsia="宋体" w:cs="宋体"/>
          <w:b/>
          <w:bCs/>
          <w:color w:val="auto"/>
          <w:kern w:val="2"/>
          <w:sz w:val="24"/>
          <w:szCs w:val="24"/>
        </w:rPr>
        <w:t>17.4 因不可抗力解除合同</w:t>
      </w:r>
      <w:bookmarkEnd w:id="1155"/>
      <w:bookmarkEnd w:id="1156"/>
      <w:bookmarkEnd w:id="1157"/>
      <w:bookmarkEnd w:id="1158"/>
      <w:bookmarkEnd w:id="1159"/>
      <w:bookmarkEnd w:id="1160"/>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合同解除后，发包人应在商定或确定发包人应支付款项后天内完成款项的支付。</w:t>
      </w:r>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161" w:name="_Toc1280"/>
      <w:bookmarkStart w:id="1162" w:name="_Toc351203650"/>
      <w:bookmarkStart w:id="1163" w:name="_Toc373478419"/>
      <w:bookmarkStart w:id="1164" w:name="_Toc389065337"/>
      <w:bookmarkStart w:id="1165" w:name="_Toc491937951"/>
      <w:bookmarkStart w:id="1166" w:name="_Toc407135275"/>
      <w:bookmarkStart w:id="1167" w:name="_Toc373227772"/>
      <w:r>
        <w:rPr>
          <w:rFonts w:hint="eastAsia" w:ascii="宋体" w:hAnsi="宋体" w:eastAsia="宋体" w:cs="宋体"/>
          <w:b/>
          <w:bCs/>
          <w:color w:val="auto"/>
          <w:kern w:val="2"/>
          <w:sz w:val="24"/>
          <w:szCs w:val="24"/>
        </w:rPr>
        <w:t>18. 保险</w:t>
      </w:r>
      <w:bookmarkEnd w:id="1161"/>
      <w:bookmarkEnd w:id="1162"/>
      <w:bookmarkEnd w:id="1163"/>
      <w:bookmarkEnd w:id="1164"/>
      <w:bookmarkEnd w:id="1165"/>
      <w:bookmarkEnd w:id="1166"/>
      <w:bookmarkEnd w:id="1167"/>
    </w:p>
    <w:bookmarkEnd w:id="1129"/>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68" w:name="_Toc407135276"/>
      <w:bookmarkStart w:id="1169" w:name="_Toc14370"/>
      <w:bookmarkStart w:id="1170" w:name="_Toc389065338"/>
      <w:bookmarkStart w:id="1171" w:name="_Toc373478420"/>
      <w:bookmarkStart w:id="1172" w:name="_Toc373227773"/>
      <w:bookmarkStart w:id="1173" w:name="_Toc491937952"/>
      <w:r>
        <w:rPr>
          <w:rFonts w:hint="eastAsia" w:ascii="宋体" w:hAnsi="宋体" w:eastAsia="宋体" w:cs="宋体"/>
          <w:b/>
          <w:bCs/>
          <w:color w:val="auto"/>
          <w:kern w:val="2"/>
          <w:sz w:val="24"/>
          <w:szCs w:val="24"/>
        </w:rPr>
        <w:t>18.1 工程保险</w:t>
      </w:r>
      <w:bookmarkEnd w:id="1168"/>
      <w:bookmarkEnd w:id="1169"/>
      <w:bookmarkEnd w:id="1170"/>
      <w:bookmarkEnd w:id="1171"/>
      <w:bookmarkEnd w:id="1172"/>
      <w:bookmarkEnd w:id="1173"/>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关于工程保险的特别约定：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74" w:name="_Toc407135277"/>
      <w:bookmarkStart w:id="1175" w:name="_Toc491937953"/>
      <w:bookmarkStart w:id="1176" w:name="_Toc389065339"/>
      <w:bookmarkStart w:id="1177" w:name="_Toc373227774"/>
      <w:bookmarkStart w:id="1178" w:name="_Toc373478421"/>
      <w:bookmarkStart w:id="1179" w:name="_Toc9774"/>
      <w:r>
        <w:rPr>
          <w:rFonts w:hint="eastAsia" w:ascii="宋体" w:hAnsi="宋体" w:eastAsia="宋体" w:cs="宋体"/>
          <w:b/>
          <w:bCs/>
          <w:color w:val="auto"/>
          <w:kern w:val="2"/>
          <w:sz w:val="24"/>
          <w:szCs w:val="24"/>
        </w:rPr>
        <w:t>18.3 其他保险</w:t>
      </w:r>
      <w:bookmarkEnd w:id="1174"/>
      <w:bookmarkEnd w:id="1175"/>
      <w:bookmarkEnd w:id="1176"/>
      <w:bookmarkEnd w:id="1177"/>
      <w:bookmarkEnd w:id="1178"/>
      <w:bookmarkEnd w:id="1179"/>
    </w:p>
    <w:p>
      <w:pPr>
        <w:pStyle w:val="37"/>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kern w:val="2"/>
          <w:sz w:val="24"/>
          <w:szCs w:val="24"/>
        </w:rPr>
        <w:t>关于其他保险的约定：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bCs/>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承包人是否应为其施工设备等办理财产保险：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80" w:name="_Toc373227775"/>
      <w:bookmarkStart w:id="1181" w:name="_Toc373478422"/>
      <w:bookmarkStart w:id="1182" w:name="_Toc389065340"/>
      <w:bookmarkStart w:id="1183" w:name="_Toc491937954"/>
      <w:bookmarkStart w:id="1184" w:name="_Toc407135278"/>
      <w:bookmarkStart w:id="1185" w:name="_Toc23585"/>
      <w:r>
        <w:rPr>
          <w:rFonts w:hint="eastAsia" w:ascii="宋体" w:hAnsi="宋体" w:eastAsia="宋体" w:cs="宋体"/>
          <w:b/>
          <w:bCs/>
          <w:color w:val="auto"/>
          <w:kern w:val="2"/>
          <w:sz w:val="24"/>
          <w:szCs w:val="24"/>
        </w:rPr>
        <w:t>18.7 通知义务</w:t>
      </w:r>
      <w:bookmarkEnd w:id="1180"/>
      <w:bookmarkEnd w:id="1181"/>
      <w:bookmarkEnd w:id="1182"/>
      <w:bookmarkEnd w:id="1183"/>
      <w:bookmarkEnd w:id="1184"/>
      <w:bookmarkEnd w:id="1185"/>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2"/>
          <w:sz w:val="24"/>
          <w:szCs w:val="24"/>
        </w:rPr>
        <w:t>。</w:t>
      </w:r>
    </w:p>
    <w:bookmarkEnd w:id="1081"/>
    <w:bookmarkEnd w:id="1082"/>
    <w:bookmarkEnd w:id="1083"/>
    <w:bookmarkEnd w:id="1084"/>
    <w:bookmarkEnd w:id="1085"/>
    <w:bookmarkEnd w:id="1086"/>
    <w:bookmarkEnd w:id="1087"/>
    <w:bookmarkEnd w:id="1088"/>
    <w:bookmarkEnd w:id="1089"/>
    <w:bookmarkEnd w:id="1090"/>
    <w:bookmarkEnd w:id="1091"/>
    <w:bookmarkEnd w:id="1092"/>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186" w:name="_Toc351203651"/>
      <w:bookmarkStart w:id="1187" w:name="_Toc407135279"/>
      <w:bookmarkStart w:id="1188" w:name="_Toc491937955"/>
      <w:bookmarkStart w:id="1189" w:name="_Toc373227776"/>
      <w:bookmarkStart w:id="1190" w:name="_Toc389065341"/>
      <w:bookmarkStart w:id="1191" w:name="_Toc373478423"/>
      <w:bookmarkStart w:id="1192" w:name="_Toc14004"/>
      <w:r>
        <w:rPr>
          <w:rFonts w:hint="eastAsia" w:ascii="宋体" w:hAnsi="宋体" w:eastAsia="宋体" w:cs="宋体"/>
          <w:b/>
          <w:bCs/>
          <w:color w:val="auto"/>
          <w:kern w:val="2"/>
          <w:sz w:val="24"/>
          <w:szCs w:val="24"/>
        </w:rPr>
        <w:t>20. 争议解决</w:t>
      </w:r>
      <w:bookmarkEnd w:id="1186"/>
      <w:bookmarkEnd w:id="1187"/>
      <w:bookmarkEnd w:id="1188"/>
      <w:bookmarkEnd w:id="1189"/>
      <w:bookmarkEnd w:id="1190"/>
      <w:bookmarkEnd w:id="1191"/>
      <w:bookmarkEnd w:id="1192"/>
    </w:p>
    <w:bookmarkEnd w:id="1093"/>
    <w:bookmarkEnd w:id="1094"/>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93" w:name="_Toc31661"/>
      <w:bookmarkStart w:id="1194" w:name="_Toc407135280"/>
      <w:bookmarkStart w:id="1195" w:name="_Toc373478424"/>
      <w:bookmarkStart w:id="1196" w:name="_Toc373227777"/>
      <w:bookmarkStart w:id="1197" w:name="_Toc389065342"/>
      <w:bookmarkStart w:id="1198" w:name="_Toc491937956"/>
      <w:r>
        <w:rPr>
          <w:rFonts w:hint="eastAsia" w:ascii="宋体" w:hAnsi="宋体" w:eastAsia="宋体" w:cs="宋体"/>
          <w:b/>
          <w:bCs/>
          <w:color w:val="auto"/>
          <w:kern w:val="2"/>
          <w:sz w:val="24"/>
          <w:szCs w:val="24"/>
        </w:rPr>
        <w:t>20.3 争</w:t>
      </w:r>
      <w:bookmarkEnd w:id="1095"/>
      <w:r>
        <w:rPr>
          <w:rFonts w:hint="eastAsia" w:ascii="宋体" w:hAnsi="宋体" w:eastAsia="宋体" w:cs="宋体"/>
          <w:b/>
          <w:bCs/>
          <w:color w:val="auto"/>
          <w:kern w:val="2"/>
          <w:sz w:val="24"/>
          <w:szCs w:val="24"/>
        </w:rPr>
        <w:t>议评审</w:t>
      </w:r>
      <w:bookmarkEnd w:id="1193"/>
      <w:bookmarkEnd w:id="1194"/>
      <w:bookmarkEnd w:id="1195"/>
      <w:bookmarkEnd w:id="1196"/>
      <w:bookmarkEnd w:id="1197"/>
      <w:bookmarkEnd w:id="1198"/>
    </w:p>
    <w:p>
      <w:pPr>
        <w:pStyle w:val="37"/>
        <w:adjustRightInd w:val="0"/>
        <w:snapToGrid w:val="0"/>
        <w:spacing w:line="360" w:lineRule="auto"/>
        <w:ind w:left="149" w:leftChars="71" w:firstLine="360" w:firstLineChars="15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合同当事人是否同意将工程争议提交争议评审小组决定：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20.3.1 争议评审小组的确定</w:t>
      </w:r>
    </w:p>
    <w:p>
      <w:pPr>
        <w:pStyle w:val="37"/>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争议评审小组成员的确定：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选定争议评审员的期限：</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争议评审小组成员的报酬承担方式：</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其他事项的约定：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20.3.2 争议评审小组的决定</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合同当事人关于本项的约定：</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199" w:name="_Toc491937957"/>
      <w:bookmarkStart w:id="1200" w:name="_Toc373227778"/>
      <w:bookmarkStart w:id="1201" w:name="_Toc373478425"/>
      <w:bookmarkStart w:id="1202" w:name="_Toc407135281"/>
      <w:bookmarkStart w:id="1203" w:name="_Toc4312"/>
      <w:bookmarkStart w:id="1204" w:name="_Toc389065343"/>
      <w:r>
        <w:rPr>
          <w:rFonts w:hint="eastAsia" w:ascii="宋体" w:hAnsi="宋体" w:eastAsia="宋体" w:cs="宋体"/>
          <w:b/>
          <w:bCs/>
          <w:color w:val="auto"/>
          <w:kern w:val="2"/>
          <w:sz w:val="24"/>
          <w:szCs w:val="24"/>
        </w:rPr>
        <w:t>20.4 仲裁或诉讼</w:t>
      </w:r>
      <w:bookmarkEnd w:id="1096"/>
      <w:bookmarkEnd w:id="1199"/>
      <w:bookmarkEnd w:id="1200"/>
      <w:bookmarkEnd w:id="1201"/>
      <w:bookmarkEnd w:id="1202"/>
      <w:bookmarkEnd w:id="1203"/>
      <w:bookmarkEnd w:id="1204"/>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因合同及合同有关事项发生的争议，按下列第种方式解决：</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（1）提请仲裁委员会按照该会仲裁规则进行仲裁，仲裁裁决是终局的，对合同双方均有约束力。</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（2）向人民法院起诉。</w:t>
      </w:r>
      <w:bookmarkEnd w:id="1097"/>
      <w:bookmarkEnd w:id="1098"/>
      <w:bookmarkEnd w:id="1099"/>
      <w:bookmarkEnd w:id="1100"/>
      <w:bookmarkEnd w:id="1101"/>
      <w:bookmarkEnd w:id="1102"/>
    </w:p>
    <w:p>
      <w:pPr>
        <w:pStyle w:val="37"/>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205" w:name="_Toc407135282"/>
      <w:bookmarkStart w:id="1206" w:name="_Toc373227779"/>
      <w:bookmarkStart w:id="1207" w:name="_Toc373478426"/>
      <w:bookmarkStart w:id="1208" w:name="_Toc389065344"/>
      <w:bookmarkStart w:id="1209" w:name="_Toc491937958"/>
      <w:bookmarkStart w:id="1210" w:name="_Toc16000"/>
      <w:r>
        <w:rPr>
          <w:rFonts w:hint="eastAsia" w:ascii="宋体" w:hAnsi="宋体" w:eastAsia="宋体" w:cs="宋体"/>
          <w:b/>
          <w:bCs/>
          <w:color w:val="auto"/>
          <w:kern w:val="2"/>
          <w:sz w:val="24"/>
          <w:szCs w:val="24"/>
        </w:rPr>
        <w:t>21. 补充条款</w:t>
      </w:r>
      <w:bookmarkEnd w:id="1205"/>
      <w:bookmarkEnd w:id="1206"/>
      <w:bookmarkEnd w:id="1207"/>
      <w:bookmarkEnd w:id="1208"/>
      <w:bookmarkEnd w:id="1209"/>
      <w:bookmarkEnd w:id="1210"/>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    21.1 凡进入本工程工作的妇女应持有计生证、否则不准安排工作，禁止使用童工。</w:t>
      </w:r>
    </w:p>
    <w:p>
      <w:pPr>
        <w:pStyle w:val="37"/>
        <w:adjustRightInd w:val="0"/>
        <w:snapToGrid w:val="0"/>
        <w:spacing w:line="360" w:lineRule="auto"/>
        <w:ind w:firstLine="480" w:firstLineChars="200"/>
        <w:rPr>
          <w:rFonts w:ascii="宋体" w:hAnsi="宋体" w:eastAsia="宋体" w:cs="宋体"/>
          <w:color w:val="auto"/>
          <w:kern w:val="2"/>
          <w:sz w:val="24"/>
          <w:szCs w:val="24"/>
        </w:rPr>
      </w:pPr>
    </w:p>
    <w:p>
      <w:pPr>
        <w:pStyle w:val="37"/>
        <w:adjustRightInd w:val="0"/>
        <w:snapToGrid w:val="0"/>
        <w:spacing w:line="360" w:lineRule="auto"/>
        <w:jc w:val="both"/>
        <w:rPr>
          <w:rFonts w:ascii="宋体" w:hAnsi="宋体" w:eastAsia="宋体" w:cs="宋体"/>
          <w:b/>
          <w:color w:val="auto"/>
          <w:kern w:val="2"/>
          <w:sz w:val="24"/>
          <w:szCs w:val="24"/>
        </w:rPr>
      </w:pPr>
      <w:bookmarkStart w:id="1211" w:name="_Toc351203652"/>
      <w:r>
        <w:rPr>
          <w:rFonts w:hint="eastAsia" w:ascii="宋体" w:hAnsi="宋体" w:eastAsia="宋体" w:cs="宋体"/>
          <w:b/>
          <w:color w:val="auto"/>
          <w:kern w:val="2"/>
          <w:sz w:val="24"/>
          <w:szCs w:val="24"/>
        </w:rPr>
        <w:t>附件</w:t>
      </w:r>
      <w:bookmarkEnd w:id="1211"/>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附件1：承包人承揽工程项目一览表</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附件2：支付担保格式</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附件3：承包人主要施工管理人员表</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附件4：分包人主要施工管理人员表</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附件5：履约担保格式</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附件6：承包人用于本工程施工的机械设备表</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附件7：预付款担保格式</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附件8：工程质量保修书</w:t>
      </w: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beforeLines="50" w:afterLines="50" w:line="440" w:lineRule="exact"/>
        <w:jc w:val="left"/>
        <w:rPr>
          <w:rFonts w:ascii="宋体" w:hAnsi="宋体" w:eastAsia="宋体" w:cs="宋体"/>
          <w:color w:val="auto"/>
          <w:kern w:val="2"/>
          <w:sz w:val="30"/>
          <w:szCs w:val="30"/>
        </w:rPr>
      </w:pPr>
      <w:r>
        <w:rPr>
          <w:rFonts w:hint="eastAsia" w:ascii="宋体" w:hAnsi="宋体" w:eastAsia="宋体" w:cs="宋体"/>
          <w:color w:val="auto"/>
          <w:kern w:val="2"/>
          <w:sz w:val="30"/>
          <w:szCs w:val="30"/>
        </w:rPr>
        <w:t>附件1：</w:t>
      </w:r>
    </w:p>
    <w:p>
      <w:pPr>
        <w:pStyle w:val="37"/>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承包人承揽工程项目一览表</w:t>
      </w:r>
    </w:p>
    <w:p>
      <w:pPr>
        <w:pStyle w:val="37"/>
        <w:spacing w:line="460" w:lineRule="exact"/>
        <w:ind w:firstLine="420" w:firstLineChars="200"/>
        <w:rPr>
          <w:rFonts w:ascii="宋体" w:hAnsi="宋体" w:eastAsia="宋体" w:cs="宋体"/>
          <w:color w:val="auto"/>
          <w:kern w:val="2"/>
          <w:szCs w:val="21"/>
        </w:rPr>
      </w:pPr>
    </w:p>
    <w:p>
      <w:pPr>
        <w:pStyle w:val="37"/>
        <w:spacing w:line="460" w:lineRule="exact"/>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tbl>
      <w:tblPr>
        <w:tblStyle w:val="20"/>
        <w:tblpPr w:leftFromText="180" w:rightFromText="180" w:vertAnchor="page" w:horzAnchor="page" w:tblpX="1577" w:tblpY="28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33"/>
        <w:gridCol w:w="1003"/>
        <w:gridCol w:w="1119"/>
        <w:gridCol w:w="809"/>
        <w:gridCol w:w="622"/>
        <w:gridCol w:w="839"/>
        <w:gridCol w:w="841"/>
        <w:gridCol w:w="898"/>
        <w:gridCol w:w="839"/>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单位工</w:t>
            </w:r>
          </w:p>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程名称</w:t>
            </w: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建设规模</w:t>
            </w: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建筑面积(平方米)</w:t>
            </w: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结构形式</w:t>
            </w: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层数</w:t>
            </w: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生产能力</w:t>
            </w: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设备安</w:t>
            </w:r>
          </w:p>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装内容</w:t>
            </w: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合同价格（元）</w:t>
            </w: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开工</w:t>
            </w:r>
          </w:p>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日期</w:t>
            </w: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竣工</w:t>
            </w:r>
          </w:p>
          <w:p>
            <w:pPr>
              <w:pStyle w:val="37"/>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bl>
    <w:p>
      <w:pPr>
        <w:pStyle w:val="37"/>
        <w:spacing w:beforeLines="50" w:afterLines="50" w:line="440" w:lineRule="exact"/>
        <w:jc w:val="center"/>
        <w:rPr>
          <w:rFonts w:ascii="宋体" w:hAnsi="宋体" w:eastAsia="宋体" w:cs="宋体"/>
          <w:color w:val="auto"/>
          <w:kern w:val="2"/>
          <w:sz w:val="30"/>
          <w:szCs w:val="30"/>
        </w:rPr>
      </w:pPr>
    </w:p>
    <w:p>
      <w:pPr>
        <w:pStyle w:val="37"/>
        <w:spacing w:beforeLines="50" w:afterLines="50" w:line="440" w:lineRule="exact"/>
        <w:jc w:val="center"/>
        <w:rPr>
          <w:rFonts w:ascii="宋体" w:hAnsi="宋体" w:eastAsia="宋体" w:cs="宋体"/>
          <w:color w:val="auto"/>
          <w:kern w:val="2"/>
          <w:sz w:val="30"/>
          <w:szCs w:val="30"/>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60" w:lineRule="exact"/>
        <w:ind w:firstLine="420" w:firstLineChars="200"/>
        <w:rPr>
          <w:rFonts w:ascii="宋体" w:hAnsi="宋体" w:eastAsia="宋体" w:cs="宋体"/>
          <w:color w:val="auto"/>
          <w:kern w:val="2"/>
          <w:szCs w:val="21"/>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t>附</w:t>
      </w:r>
      <w:bookmarkStart w:id="1212" w:name="_Toc296891061"/>
      <w:bookmarkStart w:id="1213" w:name="_Toc296347232"/>
      <w:bookmarkStart w:id="1214" w:name="_Toc296346734"/>
      <w:bookmarkStart w:id="1215" w:name="_Toc296891273"/>
      <w:bookmarkStart w:id="1216" w:name="_Toc296944572"/>
      <w:bookmarkStart w:id="1217" w:name="_Toc296503233"/>
      <w:r>
        <w:rPr>
          <w:rFonts w:hint="eastAsia" w:ascii="宋体" w:hAnsi="宋体" w:eastAsia="宋体" w:cs="宋体"/>
          <w:color w:val="auto"/>
          <w:kern w:val="2"/>
          <w:sz w:val="30"/>
          <w:szCs w:val="30"/>
        </w:rPr>
        <w:t>件2：</w:t>
      </w:r>
    </w:p>
    <w:bookmarkEnd w:id="1212"/>
    <w:bookmarkEnd w:id="1213"/>
    <w:bookmarkEnd w:id="1214"/>
    <w:bookmarkEnd w:id="1215"/>
    <w:bookmarkEnd w:id="1216"/>
    <w:bookmarkEnd w:id="1217"/>
    <w:p>
      <w:pPr>
        <w:pStyle w:val="37"/>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支付担保</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w:t>
      </w:r>
    </w:p>
    <w:p>
      <w:pPr>
        <w:pStyle w:val="37"/>
        <w:adjustRightInd w:val="0"/>
        <w:snapToGrid w:val="0"/>
        <w:spacing w:line="360" w:lineRule="auto"/>
        <w:jc w:val="both"/>
        <w:rPr>
          <w:rFonts w:ascii="宋体" w:hAnsi="宋体" w:eastAsia="宋体" w:cs="宋体"/>
          <w:color w:val="auto"/>
          <w:kern w:val="2"/>
          <w:sz w:val="24"/>
          <w:szCs w:val="24"/>
        </w:rPr>
      </w:pP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一、保证的范围及保证金额</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我方的保证范围是主合同约定的工程款。</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本保函所称主合同约定的工程款是指主合同约定的除工程质量保证金以外的合同价款。</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我方保证的金额是主合同约定的工程款的%，数额最高不超过人民币元（大写：）。</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二、保证的方式及保证期间</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我方保证的方式为：连带责任保证。</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我方保证的期间为：自本合同生效之日起至主合同约定的工程款支付完毕之日后日内。</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你方与发包人协议变更工程款支付日期的，经我方书面同意后，保证期间按照变更后的支付日期做相应调整。</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三、承担保证责任的形式</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我方承担保证责任的形式是代为支付。发包人未按主合同约定向你方支付工程款的，由我方在保证金额内代为支付。</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四、代偿的安排</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你方要求我方承担保证责任的，应向我方发出书面索赔通知及发包人未支付主合同约定工程款的证明材料。索赔通知应写明要求索赔的金额，支付款项应到达的账号。</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我方收到你方的书面索赔通知及相应的证明材料后７天内无条件支付。</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五、保证责任的解除</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在本保函承诺的保证期间内，你方未书面向我方主张保证责任的，自保证期间届满次日起，我方保证责任解除。</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发包人按主合同约定履行了工程款的全部支付义务的，自本保函承诺的保证期间届满次日起，我方保证责任解除。</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我方按照本保函向你方履行保证责任所支付金额达到本保函保证金额时，自我方向你方支付（支付款项从我方账户划出）之日起，保证责任即解除。</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4. 按照法律法规的规定或出现应解除我方保证责任的其他情形的，我方在本保函项下的保证责任亦解除。</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5. 我方解除保证责任后，你方应自我方保证责任解除之日起个工作日内，将本保函原件返还我方。</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六、免责条款</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因你方违约致使发包人不能履行义务的，我方不承担保证责任。</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依照法律法规的规定或你方与发包人的另行约定，免除发包人部分或全部义务的，我方亦免除其相应的保证责任。</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4. 因不可抗力造成发包人不能履行义务的，我方不承担保证责任。</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七、争议解决</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因本保函或本保函相关事项发生的纠纷，可由双方协商解决，协商不成的，按下列第种方式解决：</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（1）向仲裁委员会申请仲裁；</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（2）向人民法院起诉。</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八、保函的生效</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本保函自我方法定代表人（或其授权代理人）签字并加盖公章之日起生效。</w:t>
      </w:r>
    </w:p>
    <w:p>
      <w:pPr>
        <w:pStyle w:val="37"/>
        <w:adjustRightInd w:val="0"/>
        <w:snapToGrid w:val="0"/>
        <w:spacing w:line="360" w:lineRule="auto"/>
        <w:ind w:right="600"/>
        <w:jc w:val="both"/>
        <w:rPr>
          <w:rFonts w:hint="eastAsia" w:ascii="宋体" w:hAnsi="宋体" w:eastAsia="宋体" w:cs="宋体"/>
          <w:color w:val="auto"/>
          <w:kern w:val="2"/>
          <w:sz w:val="24"/>
          <w:szCs w:val="24"/>
        </w:rPr>
      </w:pPr>
    </w:p>
    <w:p>
      <w:pPr>
        <w:pStyle w:val="37"/>
        <w:adjustRightInd w:val="0"/>
        <w:snapToGrid w:val="0"/>
        <w:spacing w:line="360" w:lineRule="auto"/>
        <w:ind w:right="6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担保人：（盖章）</w:t>
      </w:r>
    </w:p>
    <w:p>
      <w:pPr>
        <w:pStyle w:val="37"/>
        <w:adjustRightInd w:val="0"/>
        <w:snapToGrid w:val="0"/>
        <w:spacing w:line="360" w:lineRule="auto"/>
        <w:ind w:right="1200"/>
        <w:rPr>
          <w:rFonts w:ascii="宋体" w:hAnsi="宋体" w:eastAsia="宋体" w:cs="宋体"/>
          <w:color w:val="auto"/>
          <w:kern w:val="2"/>
          <w:sz w:val="24"/>
          <w:szCs w:val="24"/>
        </w:rPr>
      </w:pPr>
      <w:r>
        <w:rPr>
          <w:rFonts w:hint="eastAsia" w:ascii="宋体" w:hAnsi="宋体" w:eastAsia="宋体" w:cs="宋体"/>
          <w:color w:val="auto"/>
          <w:kern w:val="2"/>
          <w:sz w:val="24"/>
          <w:szCs w:val="24"/>
        </w:rPr>
        <w:t>法定代表人或委托代理人：（签字）</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地    址：</w:t>
      </w:r>
    </w:p>
    <w:p>
      <w:pPr>
        <w:pStyle w:val="37"/>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邮政编码：</w:t>
      </w:r>
    </w:p>
    <w:p>
      <w:pPr>
        <w:pStyle w:val="37"/>
        <w:adjustRightInd w:val="0"/>
        <w:snapToGrid w:val="0"/>
        <w:spacing w:line="360" w:lineRule="auto"/>
        <w:ind w:right="150" w:firstLine="480" w:firstLineChars="200"/>
        <w:jc w:val="both"/>
        <w:rPr>
          <w:rFonts w:ascii="宋体" w:hAnsi="宋体" w:eastAsia="宋体" w:cs="宋体"/>
          <w:color w:val="auto"/>
          <w:kern w:val="2"/>
          <w:sz w:val="24"/>
          <w:szCs w:val="24"/>
          <w:u w:val="single"/>
        </w:rPr>
      </w:pPr>
    </w:p>
    <w:p>
      <w:pPr>
        <w:pStyle w:val="37"/>
        <w:adjustRightInd w:val="0"/>
        <w:snapToGrid w:val="0"/>
        <w:spacing w:line="360" w:lineRule="auto"/>
        <w:ind w:right="150"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日</w:t>
      </w:r>
    </w:p>
    <w:p>
      <w:pPr>
        <w:pStyle w:val="37"/>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br w:type="page"/>
      </w:r>
      <w:r>
        <w:rPr>
          <w:rFonts w:hint="eastAsia" w:ascii="宋体" w:hAnsi="宋体" w:eastAsia="宋体" w:cs="宋体"/>
          <w:color w:val="auto"/>
          <w:kern w:val="2"/>
          <w:sz w:val="30"/>
          <w:szCs w:val="30"/>
        </w:rPr>
        <w:t>附</w:t>
      </w:r>
      <w:bookmarkStart w:id="1218" w:name="_Toc296891268"/>
      <w:bookmarkStart w:id="1219" w:name="_Toc296891056"/>
      <w:bookmarkStart w:id="1220" w:name="_Toc296944567"/>
      <w:bookmarkStart w:id="1221" w:name="_Toc296503228"/>
      <w:bookmarkStart w:id="1222" w:name="_Toc296347227"/>
      <w:bookmarkStart w:id="1223" w:name="_Toc296346729"/>
      <w:bookmarkStart w:id="1224" w:name="_Toc267261699"/>
      <w:r>
        <w:rPr>
          <w:rFonts w:hint="eastAsia" w:ascii="宋体" w:hAnsi="宋体" w:eastAsia="宋体" w:cs="宋体"/>
          <w:color w:val="auto"/>
          <w:kern w:val="2"/>
          <w:sz w:val="30"/>
          <w:szCs w:val="30"/>
        </w:rPr>
        <w:t>件3：</w:t>
      </w:r>
    </w:p>
    <w:bookmarkEnd w:id="1218"/>
    <w:bookmarkEnd w:id="1219"/>
    <w:bookmarkEnd w:id="1220"/>
    <w:bookmarkEnd w:id="1221"/>
    <w:bookmarkEnd w:id="1222"/>
    <w:bookmarkEnd w:id="1223"/>
    <w:bookmarkEnd w:id="1224"/>
    <w:p>
      <w:pPr>
        <w:pStyle w:val="37"/>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承包人主要施工管理人员表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名    称</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姓名</w:t>
            </w: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职务</w:t>
            </w: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职称</w:t>
            </w: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09" w:type="dxa"/>
            <w:gridSpan w:val="5"/>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项目主管</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7"/>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其他人员</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项目经理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项目副经理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技术负责人</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造价管理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7"/>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质量管理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材料管理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计划管理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7"/>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安全管理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其他人员</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bl>
    <w:p>
      <w:pPr>
        <w:pStyle w:val="37"/>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br w:type="page"/>
      </w:r>
      <w:r>
        <w:rPr>
          <w:rFonts w:hint="eastAsia" w:ascii="宋体" w:hAnsi="宋体" w:eastAsia="宋体" w:cs="宋体"/>
          <w:color w:val="auto"/>
          <w:kern w:val="2"/>
          <w:sz w:val="30"/>
          <w:szCs w:val="30"/>
        </w:rPr>
        <w:t>附</w:t>
      </w:r>
      <w:bookmarkStart w:id="1225" w:name="_Toc296944568"/>
      <w:bookmarkStart w:id="1226" w:name="_Toc296346730"/>
      <w:bookmarkStart w:id="1227" w:name="_Toc296891057"/>
      <w:bookmarkStart w:id="1228" w:name="_Toc296891269"/>
      <w:bookmarkStart w:id="1229" w:name="_Toc296347228"/>
      <w:bookmarkStart w:id="1230" w:name="_Toc296503229"/>
      <w:r>
        <w:rPr>
          <w:rFonts w:hint="eastAsia" w:ascii="宋体" w:hAnsi="宋体" w:eastAsia="宋体" w:cs="宋体"/>
          <w:color w:val="auto"/>
          <w:kern w:val="2"/>
          <w:sz w:val="30"/>
          <w:szCs w:val="30"/>
        </w:rPr>
        <w:t>件4：</w:t>
      </w:r>
    </w:p>
    <w:bookmarkEnd w:id="1225"/>
    <w:bookmarkEnd w:id="1226"/>
    <w:bookmarkEnd w:id="1227"/>
    <w:bookmarkEnd w:id="1228"/>
    <w:bookmarkEnd w:id="1229"/>
    <w:bookmarkEnd w:id="1230"/>
    <w:p>
      <w:pPr>
        <w:pStyle w:val="37"/>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分包人主要施工管理人员表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名    称</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姓名</w:t>
            </w: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职务</w:t>
            </w: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职称</w:t>
            </w: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项目主管</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其他人员</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项目经理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项目副经理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技术负责人</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造价管理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质量管理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材料管理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计划管理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安全管理</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其他人员</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bl>
    <w:p>
      <w:pPr>
        <w:pStyle w:val="37"/>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br w:type="page"/>
      </w:r>
      <w:bookmarkStart w:id="1231" w:name="_Toc267261701"/>
      <w:r>
        <w:rPr>
          <w:rFonts w:hint="eastAsia" w:ascii="宋体" w:hAnsi="宋体" w:eastAsia="宋体" w:cs="宋体"/>
          <w:color w:val="auto"/>
          <w:kern w:val="2"/>
          <w:sz w:val="30"/>
          <w:szCs w:val="30"/>
        </w:rPr>
        <w:t>附</w:t>
      </w:r>
      <w:bookmarkStart w:id="1232" w:name="_Toc296347230"/>
      <w:bookmarkStart w:id="1233" w:name="_Toc296944570"/>
      <w:bookmarkStart w:id="1234" w:name="_Toc296503231"/>
      <w:bookmarkStart w:id="1235" w:name="_Toc296891271"/>
      <w:bookmarkStart w:id="1236" w:name="_Toc296346732"/>
      <w:bookmarkStart w:id="1237" w:name="_Toc296891059"/>
      <w:r>
        <w:rPr>
          <w:rFonts w:hint="eastAsia" w:ascii="宋体" w:hAnsi="宋体" w:eastAsia="宋体" w:cs="宋体"/>
          <w:color w:val="auto"/>
          <w:kern w:val="2"/>
          <w:sz w:val="30"/>
          <w:szCs w:val="30"/>
        </w:rPr>
        <w:t>件5：</w:t>
      </w:r>
    </w:p>
    <w:bookmarkEnd w:id="1231"/>
    <w:bookmarkEnd w:id="1232"/>
    <w:bookmarkEnd w:id="1233"/>
    <w:bookmarkEnd w:id="1234"/>
    <w:bookmarkEnd w:id="1235"/>
    <w:bookmarkEnd w:id="1236"/>
    <w:bookmarkEnd w:id="1237"/>
    <w:p>
      <w:pPr>
        <w:pStyle w:val="37"/>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履约担保</w:t>
      </w:r>
    </w:p>
    <w:p>
      <w:pPr>
        <w:pStyle w:val="37"/>
        <w:spacing w:line="360" w:lineRule="auto"/>
        <w:rPr>
          <w:rFonts w:ascii="宋体" w:hAnsi="宋体" w:eastAsia="宋体" w:cs="宋体"/>
          <w:color w:val="auto"/>
          <w:kern w:val="2"/>
          <w:szCs w:val="21"/>
          <w:u w:val="single"/>
        </w:rPr>
      </w:pP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（发包人名称）：</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鉴于（发包人名称，以下简称“发包人”）与</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（承包人名称）（以下称“承包人”）于年月</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日就（工程名称）施工及有关事项协商一致共同签订《建设工程施工合同》。我方愿意无条件地、不可撤销地就承包人履行与你方签订的合同，向你方提供连带责任担保。 </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 担保金额人民币（大写）元（¥）。</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 担保有效期自你方与承包人签订的合同生效之日起至你方签发或应签发工程接收证书之日止。</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 在本担保有效期内，因承包人违反合同约定的义务给你方造成经济损失时，我方在收到你方以书面形式提出的在担保金额内的赔偿要求后，在7天内无条件支付。</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4. 你方和承包人按合同约定变更合同时，我方承担本担保规定的义务不变。</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5. 因本保函发生的纠纷，可由双方协商解决，协商不成的，任何一方均可提请仲裁委员会仲裁。</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6. 本保函自我方法定代表人（或其授权代理人）签字并加盖公章之日起生效。</w:t>
      </w:r>
    </w:p>
    <w:p>
      <w:pPr>
        <w:pStyle w:val="37"/>
        <w:adjustRightInd w:val="0"/>
        <w:snapToGrid w:val="0"/>
        <w:spacing w:line="360" w:lineRule="auto"/>
        <w:rPr>
          <w:rFonts w:ascii="宋体" w:hAnsi="宋体" w:eastAsia="宋体" w:cs="宋体"/>
          <w:color w:val="auto"/>
          <w:kern w:val="2"/>
          <w:sz w:val="24"/>
          <w:szCs w:val="24"/>
        </w:rPr>
      </w:pP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担 保 人：（盖单位章）</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法定代表人或其委托代理人：（签字）</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地    址：</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邮政编码：</w:t>
      </w:r>
    </w:p>
    <w:p>
      <w:pPr>
        <w:pStyle w:val="37"/>
        <w:adjustRightInd w:val="0"/>
        <w:snapToGrid w:val="0"/>
        <w:spacing w:line="360" w:lineRule="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电    话：</w:t>
      </w:r>
    </w:p>
    <w:p>
      <w:pPr>
        <w:pStyle w:val="37"/>
        <w:adjustRightInd w:val="0"/>
        <w:snapToGrid w:val="0"/>
        <w:spacing w:line="360" w:lineRule="auto"/>
        <w:ind w:left="1329" w:hanging="1519" w:hangingChars="633"/>
        <w:rPr>
          <w:rFonts w:ascii="宋体" w:hAnsi="宋体" w:eastAsia="宋体" w:cs="宋体"/>
          <w:color w:val="auto"/>
          <w:kern w:val="2"/>
          <w:sz w:val="24"/>
          <w:szCs w:val="24"/>
        </w:rPr>
      </w:pP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日</w:t>
      </w: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p>
    <w:p>
      <w:pPr>
        <w:pStyle w:val="37"/>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t>附</w:t>
      </w:r>
      <w:bookmarkStart w:id="1238" w:name="_Toc267261692"/>
      <w:bookmarkStart w:id="1239" w:name="_Toc296346726"/>
      <w:bookmarkStart w:id="1240" w:name="_Toc296891053"/>
      <w:bookmarkStart w:id="1241" w:name="_Toc296503225"/>
      <w:bookmarkStart w:id="1242" w:name="_Toc296891265"/>
      <w:bookmarkStart w:id="1243" w:name="_Toc296347224"/>
      <w:bookmarkStart w:id="1244" w:name="_Toc296944564"/>
      <w:r>
        <w:rPr>
          <w:rFonts w:hint="eastAsia" w:ascii="宋体" w:hAnsi="宋体" w:eastAsia="宋体" w:cs="宋体"/>
          <w:color w:val="auto"/>
          <w:kern w:val="2"/>
          <w:sz w:val="30"/>
          <w:szCs w:val="30"/>
        </w:rPr>
        <w:t>件6：</w:t>
      </w:r>
    </w:p>
    <w:bookmarkEnd w:id="1238"/>
    <w:bookmarkEnd w:id="1239"/>
    <w:bookmarkEnd w:id="1240"/>
    <w:bookmarkEnd w:id="1241"/>
    <w:bookmarkEnd w:id="1242"/>
    <w:bookmarkEnd w:id="1243"/>
    <w:bookmarkEnd w:id="1244"/>
    <w:p>
      <w:pPr>
        <w:pStyle w:val="37"/>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承包人用于本工程施工的机械设备表</w:t>
      </w:r>
    </w:p>
    <w:tbl>
      <w:tblPr>
        <w:tblStyle w:val="2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序号</w:t>
            </w: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机械或设备名称</w:t>
            </w: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规格型号</w:t>
            </w: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数量</w:t>
            </w: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产地</w:t>
            </w: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制造年份</w:t>
            </w: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额定功率（kW）</w:t>
            </w: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生产能力</w:t>
            </w: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7"/>
              <w:rPr>
                <w:rFonts w:ascii="宋体" w:hAnsi="宋体" w:eastAsia="宋体" w:cs="宋体"/>
                <w:color w:val="auto"/>
                <w:kern w:val="2"/>
                <w:sz w:val="30"/>
                <w:szCs w:val="30"/>
              </w:rPr>
            </w:pPr>
          </w:p>
        </w:tc>
        <w:tc>
          <w:tcPr>
            <w:tcW w:w="1418" w:type="dxa"/>
            <w:noWrap/>
          </w:tcPr>
          <w:p>
            <w:pPr>
              <w:pStyle w:val="37"/>
              <w:rPr>
                <w:rFonts w:ascii="宋体" w:hAnsi="宋体" w:eastAsia="宋体" w:cs="宋体"/>
                <w:color w:val="auto"/>
                <w:kern w:val="2"/>
                <w:sz w:val="30"/>
                <w:szCs w:val="30"/>
              </w:rPr>
            </w:pPr>
          </w:p>
        </w:tc>
        <w:tc>
          <w:tcPr>
            <w:tcW w:w="850" w:type="dxa"/>
            <w:noWrap/>
          </w:tcPr>
          <w:p>
            <w:pPr>
              <w:pStyle w:val="37"/>
              <w:rPr>
                <w:rFonts w:ascii="宋体" w:hAnsi="宋体" w:eastAsia="宋体" w:cs="宋体"/>
                <w:color w:val="auto"/>
                <w:kern w:val="2"/>
                <w:sz w:val="30"/>
                <w:szCs w:val="30"/>
              </w:rPr>
            </w:pPr>
          </w:p>
        </w:tc>
        <w:tc>
          <w:tcPr>
            <w:tcW w:w="1058" w:type="dxa"/>
            <w:noWrap/>
          </w:tcPr>
          <w:p>
            <w:pPr>
              <w:pStyle w:val="37"/>
              <w:rPr>
                <w:rFonts w:ascii="宋体" w:hAnsi="宋体" w:eastAsia="宋体" w:cs="宋体"/>
                <w:color w:val="auto"/>
                <w:kern w:val="2"/>
                <w:sz w:val="30"/>
                <w:szCs w:val="30"/>
              </w:rPr>
            </w:pPr>
          </w:p>
        </w:tc>
        <w:tc>
          <w:tcPr>
            <w:tcW w:w="8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14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921" w:type="dxa"/>
            <w:noWrap/>
          </w:tcPr>
          <w:p>
            <w:pPr>
              <w:pStyle w:val="37"/>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7"/>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7"/>
              <w:rPr>
                <w:rFonts w:ascii="宋体" w:hAnsi="宋体" w:eastAsia="宋体" w:cs="宋体"/>
                <w:color w:val="auto"/>
                <w:kern w:val="2"/>
                <w:sz w:val="30"/>
                <w:szCs w:val="30"/>
              </w:rPr>
            </w:pPr>
          </w:p>
        </w:tc>
        <w:tc>
          <w:tcPr>
            <w:tcW w:w="1418" w:type="dxa"/>
            <w:noWrap/>
          </w:tcPr>
          <w:p>
            <w:pPr>
              <w:pStyle w:val="37"/>
              <w:rPr>
                <w:rFonts w:ascii="宋体" w:hAnsi="宋体" w:eastAsia="宋体" w:cs="宋体"/>
                <w:color w:val="auto"/>
                <w:kern w:val="2"/>
                <w:sz w:val="30"/>
                <w:szCs w:val="30"/>
              </w:rPr>
            </w:pPr>
          </w:p>
        </w:tc>
        <w:tc>
          <w:tcPr>
            <w:tcW w:w="850" w:type="dxa"/>
            <w:noWrap/>
          </w:tcPr>
          <w:p>
            <w:pPr>
              <w:pStyle w:val="37"/>
              <w:rPr>
                <w:rFonts w:ascii="宋体" w:hAnsi="宋体" w:eastAsia="宋体" w:cs="宋体"/>
                <w:color w:val="auto"/>
                <w:kern w:val="2"/>
                <w:sz w:val="30"/>
                <w:szCs w:val="30"/>
              </w:rPr>
            </w:pPr>
          </w:p>
        </w:tc>
        <w:tc>
          <w:tcPr>
            <w:tcW w:w="1058" w:type="dxa"/>
            <w:noWrap/>
          </w:tcPr>
          <w:p>
            <w:pPr>
              <w:pStyle w:val="37"/>
              <w:rPr>
                <w:rFonts w:ascii="宋体" w:hAnsi="宋体" w:eastAsia="宋体" w:cs="宋体"/>
                <w:color w:val="auto"/>
                <w:kern w:val="2"/>
                <w:sz w:val="30"/>
                <w:szCs w:val="30"/>
              </w:rPr>
            </w:pPr>
          </w:p>
        </w:tc>
        <w:tc>
          <w:tcPr>
            <w:tcW w:w="8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14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921" w:type="dxa"/>
            <w:noWrap/>
          </w:tcPr>
          <w:p>
            <w:pPr>
              <w:pStyle w:val="37"/>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7"/>
              <w:rPr>
                <w:rFonts w:ascii="宋体" w:hAnsi="宋体" w:eastAsia="宋体" w:cs="宋体"/>
                <w:color w:val="auto"/>
                <w:kern w:val="2"/>
                <w:sz w:val="30"/>
                <w:szCs w:val="30"/>
              </w:rPr>
            </w:pPr>
          </w:p>
        </w:tc>
        <w:tc>
          <w:tcPr>
            <w:tcW w:w="1418" w:type="dxa"/>
            <w:noWrap/>
          </w:tcPr>
          <w:p>
            <w:pPr>
              <w:pStyle w:val="37"/>
              <w:rPr>
                <w:rFonts w:ascii="宋体" w:hAnsi="宋体" w:eastAsia="宋体" w:cs="宋体"/>
                <w:color w:val="auto"/>
                <w:kern w:val="2"/>
                <w:sz w:val="30"/>
                <w:szCs w:val="30"/>
              </w:rPr>
            </w:pPr>
          </w:p>
        </w:tc>
        <w:tc>
          <w:tcPr>
            <w:tcW w:w="850" w:type="dxa"/>
            <w:noWrap/>
          </w:tcPr>
          <w:p>
            <w:pPr>
              <w:pStyle w:val="37"/>
              <w:rPr>
                <w:rFonts w:ascii="宋体" w:hAnsi="宋体" w:eastAsia="宋体" w:cs="宋体"/>
                <w:color w:val="auto"/>
                <w:kern w:val="2"/>
                <w:sz w:val="30"/>
                <w:szCs w:val="30"/>
              </w:rPr>
            </w:pPr>
          </w:p>
        </w:tc>
        <w:tc>
          <w:tcPr>
            <w:tcW w:w="1058" w:type="dxa"/>
            <w:noWrap/>
          </w:tcPr>
          <w:p>
            <w:pPr>
              <w:pStyle w:val="37"/>
              <w:rPr>
                <w:rFonts w:ascii="宋体" w:hAnsi="宋体" w:eastAsia="宋体" w:cs="宋体"/>
                <w:color w:val="auto"/>
                <w:kern w:val="2"/>
                <w:sz w:val="30"/>
                <w:szCs w:val="30"/>
              </w:rPr>
            </w:pPr>
          </w:p>
        </w:tc>
        <w:tc>
          <w:tcPr>
            <w:tcW w:w="8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14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921" w:type="dxa"/>
            <w:noWrap/>
          </w:tcPr>
          <w:p>
            <w:pPr>
              <w:pStyle w:val="37"/>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7"/>
              <w:rPr>
                <w:rFonts w:ascii="宋体" w:hAnsi="宋体" w:eastAsia="宋体" w:cs="宋体"/>
                <w:color w:val="auto"/>
                <w:kern w:val="2"/>
                <w:sz w:val="30"/>
                <w:szCs w:val="30"/>
              </w:rPr>
            </w:pPr>
          </w:p>
        </w:tc>
        <w:tc>
          <w:tcPr>
            <w:tcW w:w="1418" w:type="dxa"/>
            <w:noWrap/>
          </w:tcPr>
          <w:p>
            <w:pPr>
              <w:pStyle w:val="37"/>
              <w:rPr>
                <w:rFonts w:ascii="宋体" w:hAnsi="宋体" w:eastAsia="宋体" w:cs="宋体"/>
                <w:color w:val="auto"/>
                <w:kern w:val="2"/>
                <w:sz w:val="30"/>
                <w:szCs w:val="30"/>
              </w:rPr>
            </w:pPr>
          </w:p>
        </w:tc>
        <w:tc>
          <w:tcPr>
            <w:tcW w:w="850" w:type="dxa"/>
            <w:noWrap/>
          </w:tcPr>
          <w:p>
            <w:pPr>
              <w:pStyle w:val="37"/>
              <w:rPr>
                <w:rFonts w:ascii="宋体" w:hAnsi="宋体" w:eastAsia="宋体" w:cs="宋体"/>
                <w:color w:val="auto"/>
                <w:kern w:val="2"/>
                <w:sz w:val="30"/>
                <w:szCs w:val="30"/>
              </w:rPr>
            </w:pPr>
          </w:p>
        </w:tc>
        <w:tc>
          <w:tcPr>
            <w:tcW w:w="1058" w:type="dxa"/>
            <w:noWrap/>
          </w:tcPr>
          <w:p>
            <w:pPr>
              <w:pStyle w:val="37"/>
              <w:rPr>
                <w:rFonts w:ascii="宋体" w:hAnsi="宋体" w:eastAsia="宋体" w:cs="宋体"/>
                <w:color w:val="auto"/>
                <w:kern w:val="2"/>
                <w:sz w:val="30"/>
                <w:szCs w:val="30"/>
              </w:rPr>
            </w:pPr>
          </w:p>
        </w:tc>
        <w:tc>
          <w:tcPr>
            <w:tcW w:w="8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14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921" w:type="dxa"/>
            <w:noWrap/>
          </w:tcPr>
          <w:p>
            <w:pPr>
              <w:pStyle w:val="37"/>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7"/>
              <w:rPr>
                <w:rFonts w:ascii="宋体" w:hAnsi="宋体" w:eastAsia="宋体" w:cs="宋体"/>
                <w:color w:val="auto"/>
                <w:kern w:val="2"/>
                <w:sz w:val="30"/>
                <w:szCs w:val="30"/>
              </w:rPr>
            </w:pPr>
          </w:p>
        </w:tc>
        <w:tc>
          <w:tcPr>
            <w:tcW w:w="1418" w:type="dxa"/>
            <w:noWrap/>
          </w:tcPr>
          <w:p>
            <w:pPr>
              <w:pStyle w:val="37"/>
              <w:rPr>
                <w:rFonts w:ascii="宋体" w:hAnsi="宋体" w:eastAsia="宋体" w:cs="宋体"/>
                <w:color w:val="auto"/>
                <w:kern w:val="2"/>
                <w:sz w:val="30"/>
                <w:szCs w:val="30"/>
              </w:rPr>
            </w:pPr>
          </w:p>
        </w:tc>
        <w:tc>
          <w:tcPr>
            <w:tcW w:w="850" w:type="dxa"/>
            <w:noWrap/>
          </w:tcPr>
          <w:p>
            <w:pPr>
              <w:pStyle w:val="37"/>
              <w:rPr>
                <w:rFonts w:ascii="宋体" w:hAnsi="宋体" w:eastAsia="宋体" w:cs="宋体"/>
                <w:color w:val="auto"/>
                <w:kern w:val="2"/>
                <w:sz w:val="30"/>
                <w:szCs w:val="30"/>
              </w:rPr>
            </w:pPr>
          </w:p>
        </w:tc>
        <w:tc>
          <w:tcPr>
            <w:tcW w:w="1058" w:type="dxa"/>
            <w:noWrap/>
          </w:tcPr>
          <w:p>
            <w:pPr>
              <w:pStyle w:val="37"/>
              <w:rPr>
                <w:rFonts w:ascii="宋体" w:hAnsi="宋体" w:eastAsia="宋体" w:cs="宋体"/>
                <w:color w:val="auto"/>
                <w:kern w:val="2"/>
                <w:sz w:val="30"/>
                <w:szCs w:val="30"/>
              </w:rPr>
            </w:pPr>
          </w:p>
        </w:tc>
        <w:tc>
          <w:tcPr>
            <w:tcW w:w="8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14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921" w:type="dxa"/>
            <w:noWrap/>
          </w:tcPr>
          <w:p>
            <w:pPr>
              <w:pStyle w:val="37"/>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7"/>
              <w:rPr>
                <w:rFonts w:ascii="宋体" w:hAnsi="宋体" w:eastAsia="宋体" w:cs="宋体"/>
                <w:color w:val="auto"/>
                <w:kern w:val="2"/>
                <w:sz w:val="30"/>
                <w:szCs w:val="30"/>
              </w:rPr>
            </w:pPr>
          </w:p>
        </w:tc>
        <w:tc>
          <w:tcPr>
            <w:tcW w:w="1418" w:type="dxa"/>
            <w:noWrap/>
          </w:tcPr>
          <w:p>
            <w:pPr>
              <w:pStyle w:val="37"/>
              <w:rPr>
                <w:rFonts w:ascii="宋体" w:hAnsi="宋体" w:eastAsia="宋体" w:cs="宋体"/>
                <w:color w:val="auto"/>
                <w:kern w:val="2"/>
                <w:sz w:val="30"/>
                <w:szCs w:val="30"/>
              </w:rPr>
            </w:pPr>
          </w:p>
        </w:tc>
        <w:tc>
          <w:tcPr>
            <w:tcW w:w="850" w:type="dxa"/>
            <w:noWrap/>
          </w:tcPr>
          <w:p>
            <w:pPr>
              <w:pStyle w:val="37"/>
              <w:rPr>
                <w:rFonts w:ascii="宋体" w:hAnsi="宋体" w:eastAsia="宋体" w:cs="宋体"/>
                <w:color w:val="auto"/>
                <w:kern w:val="2"/>
                <w:sz w:val="30"/>
                <w:szCs w:val="30"/>
              </w:rPr>
            </w:pPr>
          </w:p>
        </w:tc>
        <w:tc>
          <w:tcPr>
            <w:tcW w:w="1058" w:type="dxa"/>
            <w:noWrap/>
          </w:tcPr>
          <w:p>
            <w:pPr>
              <w:pStyle w:val="37"/>
              <w:rPr>
                <w:rFonts w:ascii="宋体" w:hAnsi="宋体" w:eastAsia="宋体" w:cs="宋体"/>
                <w:color w:val="auto"/>
                <w:kern w:val="2"/>
                <w:sz w:val="30"/>
                <w:szCs w:val="30"/>
              </w:rPr>
            </w:pPr>
          </w:p>
        </w:tc>
        <w:tc>
          <w:tcPr>
            <w:tcW w:w="8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14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921" w:type="dxa"/>
            <w:noWrap/>
          </w:tcPr>
          <w:p>
            <w:pPr>
              <w:pStyle w:val="37"/>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7"/>
              <w:rPr>
                <w:rFonts w:ascii="宋体" w:hAnsi="宋体" w:eastAsia="宋体" w:cs="宋体"/>
                <w:color w:val="auto"/>
                <w:kern w:val="2"/>
                <w:sz w:val="30"/>
                <w:szCs w:val="30"/>
              </w:rPr>
            </w:pPr>
          </w:p>
        </w:tc>
        <w:tc>
          <w:tcPr>
            <w:tcW w:w="1418" w:type="dxa"/>
            <w:noWrap/>
          </w:tcPr>
          <w:p>
            <w:pPr>
              <w:pStyle w:val="37"/>
              <w:rPr>
                <w:rFonts w:ascii="宋体" w:hAnsi="宋体" w:eastAsia="宋体" w:cs="宋体"/>
                <w:color w:val="auto"/>
                <w:kern w:val="2"/>
                <w:sz w:val="30"/>
                <w:szCs w:val="30"/>
              </w:rPr>
            </w:pPr>
          </w:p>
        </w:tc>
        <w:tc>
          <w:tcPr>
            <w:tcW w:w="850" w:type="dxa"/>
            <w:noWrap/>
          </w:tcPr>
          <w:p>
            <w:pPr>
              <w:pStyle w:val="37"/>
              <w:rPr>
                <w:rFonts w:ascii="宋体" w:hAnsi="宋体" w:eastAsia="宋体" w:cs="宋体"/>
                <w:color w:val="auto"/>
                <w:kern w:val="2"/>
                <w:sz w:val="30"/>
                <w:szCs w:val="30"/>
              </w:rPr>
            </w:pPr>
          </w:p>
        </w:tc>
        <w:tc>
          <w:tcPr>
            <w:tcW w:w="1058" w:type="dxa"/>
            <w:noWrap/>
          </w:tcPr>
          <w:p>
            <w:pPr>
              <w:pStyle w:val="37"/>
              <w:rPr>
                <w:rFonts w:ascii="宋体" w:hAnsi="宋体" w:eastAsia="宋体" w:cs="宋体"/>
                <w:color w:val="auto"/>
                <w:kern w:val="2"/>
                <w:sz w:val="30"/>
                <w:szCs w:val="30"/>
              </w:rPr>
            </w:pPr>
          </w:p>
        </w:tc>
        <w:tc>
          <w:tcPr>
            <w:tcW w:w="8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14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921" w:type="dxa"/>
            <w:noWrap/>
          </w:tcPr>
          <w:p>
            <w:pPr>
              <w:pStyle w:val="37"/>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7"/>
              <w:rPr>
                <w:rFonts w:ascii="宋体" w:hAnsi="宋体" w:eastAsia="宋体" w:cs="宋体"/>
                <w:color w:val="auto"/>
                <w:kern w:val="2"/>
                <w:sz w:val="30"/>
                <w:szCs w:val="30"/>
              </w:rPr>
            </w:pPr>
          </w:p>
        </w:tc>
        <w:tc>
          <w:tcPr>
            <w:tcW w:w="1418" w:type="dxa"/>
            <w:noWrap/>
          </w:tcPr>
          <w:p>
            <w:pPr>
              <w:pStyle w:val="37"/>
              <w:rPr>
                <w:rFonts w:ascii="宋体" w:hAnsi="宋体" w:eastAsia="宋体" w:cs="宋体"/>
                <w:color w:val="auto"/>
                <w:kern w:val="2"/>
                <w:sz w:val="30"/>
                <w:szCs w:val="30"/>
              </w:rPr>
            </w:pPr>
          </w:p>
        </w:tc>
        <w:tc>
          <w:tcPr>
            <w:tcW w:w="850" w:type="dxa"/>
            <w:noWrap/>
          </w:tcPr>
          <w:p>
            <w:pPr>
              <w:pStyle w:val="37"/>
              <w:rPr>
                <w:rFonts w:ascii="宋体" w:hAnsi="宋体" w:eastAsia="宋体" w:cs="宋体"/>
                <w:color w:val="auto"/>
                <w:kern w:val="2"/>
                <w:sz w:val="30"/>
                <w:szCs w:val="30"/>
              </w:rPr>
            </w:pPr>
          </w:p>
        </w:tc>
        <w:tc>
          <w:tcPr>
            <w:tcW w:w="1058" w:type="dxa"/>
            <w:noWrap/>
          </w:tcPr>
          <w:p>
            <w:pPr>
              <w:pStyle w:val="37"/>
              <w:rPr>
                <w:rFonts w:ascii="宋体" w:hAnsi="宋体" w:eastAsia="宋体" w:cs="宋体"/>
                <w:color w:val="auto"/>
                <w:kern w:val="2"/>
                <w:sz w:val="30"/>
                <w:szCs w:val="30"/>
              </w:rPr>
            </w:pPr>
          </w:p>
        </w:tc>
        <w:tc>
          <w:tcPr>
            <w:tcW w:w="8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14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921" w:type="dxa"/>
            <w:noWrap/>
          </w:tcPr>
          <w:p>
            <w:pPr>
              <w:pStyle w:val="37"/>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7"/>
              <w:rPr>
                <w:rFonts w:ascii="宋体" w:hAnsi="宋体" w:eastAsia="宋体" w:cs="宋体"/>
                <w:color w:val="auto"/>
                <w:kern w:val="2"/>
                <w:sz w:val="30"/>
                <w:szCs w:val="30"/>
              </w:rPr>
            </w:pPr>
          </w:p>
        </w:tc>
        <w:tc>
          <w:tcPr>
            <w:tcW w:w="1418" w:type="dxa"/>
            <w:noWrap/>
          </w:tcPr>
          <w:p>
            <w:pPr>
              <w:pStyle w:val="37"/>
              <w:rPr>
                <w:rFonts w:ascii="宋体" w:hAnsi="宋体" w:eastAsia="宋体" w:cs="宋体"/>
                <w:color w:val="auto"/>
                <w:kern w:val="2"/>
                <w:sz w:val="30"/>
                <w:szCs w:val="30"/>
              </w:rPr>
            </w:pPr>
          </w:p>
        </w:tc>
        <w:tc>
          <w:tcPr>
            <w:tcW w:w="850" w:type="dxa"/>
            <w:noWrap/>
          </w:tcPr>
          <w:p>
            <w:pPr>
              <w:pStyle w:val="37"/>
              <w:rPr>
                <w:rFonts w:ascii="宋体" w:hAnsi="宋体" w:eastAsia="宋体" w:cs="宋体"/>
                <w:color w:val="auto"/>
                <w:kern w:val="2"/>
                <w:sz w:val="30"/>
                <w:szCs w:val="30"/>
              </w:rPr>
            </w:pPr>
          </w:p>
        </w:tc>
        <w:tc>
          <w:tcPr>
            <w:tcW w:w="1058" w:type="dxa"/>
            <w:noWrap/>
          </w:tcPr>
          <w:p>
            <w:pPr>
              <w:pStyle w:val="37"/>
              <w:rPr>
                <w:rFonts w:ascii="宋体" w:hAnsi="宋体" w:eastAsia="宋体" w:cs="宋体"/>
                <w:color w:val="auto"/>
                <w:kern w:val="2"/>
                <w:sz w:val="30"/>
                <w:szCs w:val="30"/>
              </w:rPr>
            </w:pPr>
          </w:p>
        </w:tc>
        <w:tc>
          <w:tcPr>
            <w:tcW w:w="8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1480" w:type="dxa"/>
            <w:noWrap/>
          </w:tcPr>
          <w:p>
            <w:pPr>
              <w:pStyle w:val="37"/>
              <w:rPr>
                <w:rFonts w:ascii="宋体" w:hAnsi="宋体" w:eastAsia="宋体" w:cs="宋体"/>
                <w:color w:val="auto"/>
                <w:kern w:val="2"/>
                <w:sz w:val="30"/>
                <w:szCs w:val="30"/>
              </w:rPr>
            </w:pPr>
          </w:p>
        </w:tc>
        <w:tc>
          <w:tcPr>
            <w:tcW w:w="1020" w:type="dxa"/>
            <w:noWrap/>
          </w:tcPr>
          <w:p>
            <w:pPr>
              <w:pStyle w:val="37"/>
              <w:rPr>
                <w:rFonts w:ascii="宋体" w:hAnsi="宋体" w:eastAsia="宋体" w:cs="宋体"/>
                <w:color w:val="auto"/>
                <w:kern w:val="2"/>
                <w:sz w:val="30"/>
                <w:szCs w:val="30"/>
              </w:rPr>
            </w:pPr>
          </w:p>
        </w:tc>
        <w:tc>
          <w:tcPr>
            <w:tcW w:w="921" w:type="dxa"/>
            <w:noWrap/>
          </w:tcPr>
          <w:p>
            <w:pPr>
              <w:pStyle w:val="37"/>
              <w:rPr>
                <w:rFonts w:ascii="宋体" w:hAnsi="宋体" w:eastAsia="宋体" w:cs="宋体"/>
                <w:color w:val="auto"/>
                <w:kern w:val="2"/>
                <w:sz w:val="30"/>
                <w:szCs w:val="30"/>
              </w:rPr>
            </w:pPr>
          </w:p>
        </w:tc>
      </w:tr>
    </w:tbl>
    <w:p>
      <w:pPr>
        <w:pStyle w:val="37"/>
        <w:spacing w:line="360" w:lineRule="auto"/>
        <w:rPr>
          <w:rFonts w:ascii="宋体" w:hAnsi="宋体" w:eastAsia="宋体" w:cs="宋体"/>
          <w:color w:val="auto"/>
          <w:kern w:val="2"/>
          <w:sz w:val="30"/>
          <w:szCs w:val="30"/>
        </w:rPr>
      </w:pPr>
    </w:p>
    <w:p>
      <w:pPr>
        <w:pStyle w:val="37"/>
        <w:spacing w:line="360" w:lineRule="auto"/>
        <w:rPr>
          <w:rFonts w:ascii="宋体" w:hAnsi="宋体" w:eastAsia="宋体" w:cs="宋体"/>
          <w:color w:val="auto"/>
          <w:kern w:val="2"/>
          <w:sz w:val="30"/>
          <w:szCs w:val="30"/>
        </w:rPr>
      </w:pPr>
    </w:p>
    <w:p>
      <w:pPr>
        <w:pStyle w:val="37"/>
        <w:spacing w:line="360" w:lineRule="auto"/>
        <w:rPr>
          <w:rFonts w:ascii="宋体" w:hAnsi="宋体" w:eastAsia="宋体" w:cs="宋体"/>
          <w:color w:val="auto"/>
          <w:kern w:val="2"/>
          <w:sz w:val="30"/>
          <w:szCs w:val="30"/>
        </w:rPr>
      </w:pPr>
      <w:r>
        <w:rPr>
          <w:rFonts w:hint="eastAsia" w:ascii="宋体" w:hAnsi="宋体" w:eastAsia="宋体" w:cs="宋体"/>
          <w:color w:val="auto"/>
          <w:kern w:val="2"/>
          <w:sz w:val="30"/>
          <w:szCs w:val="30"/>
        </w:rPr>
        <w:t>附件7：</w:t>
      </w:r>
    </w:p>
    <w:p>
      <w:pPr>
        <w:pStyle w:val="37"/>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预付款担保</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Cs w:val="21"/>
        </w:rPr>
        <w:t xml:space="preserve"> </w:t>
      </w:r>
      <w:r>
        <w:rPr>
          <w:rFonts w:hint="eastAsia" w:ascii="宋体" w:hAnsi="宋体" w:eastAsia="宋体" w:cs="宋体"/>
          <w:color w:val="auto"/>
          <w:kern w:val="2"/>
          <w:sz w:val="24"/>
          <w:szCs w:val="24"/>
        </w:rPr>
        <w:t>（发包人名称）：</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 担保金额人民币（大写）</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元（¥</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 担保有效期自预付款支付给承包人起生效，至你方签发的进度款支付证书说明已完全扣清止。</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4. 你方和承包人按合同约定变更合同时，我方承担本保函规定的义务不变。</w:t>
      </w:r>
    </w:p>
    <w:p>
      <w:pPr>
        <w:pStyle w:val="37"/>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5. 因本保函发生的纠纷，可由双方协商解决，协商不成的，任何一方均可提请仲裁委员会仲裁。</w:t>
      </w:r>
    </w:p>
    <w:p>
      <w:pPr>
        <w:pStyle w:val="37"/>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6. 本保函自我方法定代表人（或其授权代理人）签字并加盖公章之日起生效。</w:t>
      </w:r>
    </w:p>
    <w:p>
      <w:pPr>
        <w:pStyle w:val="37"/>
        <w:adjustRightInd w:val="0"/>
        <w:snapToGrid w:val="0"/>
        <w:spacing w:line="360" w:lineRule="auto"/>
        <w:rPr>
          <w:rFonts w:ascii="宋体" w:hAnsi="宋体" w:eastAsia="宋体" w:cs="宋体"/>
          <w:color w:val="auto"/>
          <w:kern w:val="2"/>
          <w:sz w:val="24"/>
          <w:szCs w:val="24"/>
        </w:rPr>
      </w:pP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担保人：（盖单位章）</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法定代表人或其委托代理人：（签字）</w:t>
      </w:r>
    </w:p>
    <w:p>
      <w:pPr>
        <w:pStyle w:val="37"/>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地    址：</w:t>
      </w:r>
    </w:p>
    <w:p>
      <w:pPr>
        <w:pStyle w:val="37"/>
        <w:adjustRightInd w:val="0"/>
        <w:snapToGrid w:val="0"/>
        <w:spacing w:line="360" w:lineRule="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邮政编码：</w:t>
      </w:r>
    </w:p>
    <w:p>
      <w:pPr>
        <w:pStyle w:val="37"/>
        <w:adjustRightInd w:val="0"/>
        <w:snapToGrid w:val="0"/>
        <w:spacing w:line="360" w:lineRule="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电    话：</w:t>
      </w:r>
    </w:p>
    <w:p>
      <w:pPr>
        <w:pStyle w:val="37"/>
        <w:adjustRightInd w:val="0"/>
        <w:snapToGrid w:val="0"/>
        <w:spacing w:line="360" w:lineRule="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传    真：</w:t>
      </w:r>
    </w:p>
    <w:p>
      <w:pPr>
        <w:pStyle w:val="37"/>
        <w:adjustRightInd w:val="0"/>
        <w:snapToGrid w:val="0"/>
        <w:spacing w:line="360" w:lineRule="auto"/>
        <w:rPr>
          <w:rFonts w:ascii="宋体" w:hAnsi="宋体" w:eastAsia="宋体" w:cs="宋体"/>
          <w:color w:val="auto"/>
          <w:kern w:val="2"/>
          <w:sz w:val="24"/>
          <w:szCs w:val="24"/>
          <w:u w:val="single"/>
        </w:rPr>
      </w:pPr>
    </w:p>
    <w:p>
      <w:pPr>
        <w:pStyle w:val="37"/>
        <w:spacing w:line="360" w:lineRule="auto"/>
        <w:rPr>
          <w:rFonts w:ascii="宋体" w:hAnsi="宋体" w:eastAsia="宋体" w:cs="宋体"/>
          <w:color w:val="auto"/>
          <w:kern w:val="2"/>
          <w:szCs w:val="21"/>
        </w:rPr>
      </w:pPr>
      <w:r>
        <w:rPr>
          <w:rFonts w:hint="eastAsia" w:ascii="宋体" w:hAnsi="宋体" w:eastAsia="宋体" w:cs="宋体"/>
          <w:color w:val="auto"/>
          <w:kern w:val="2"/>
          <w:szCs w:val="21"/>
        </w:rPr>
        <w:t>年月日</w:t>
      </w:r>
    </w:p>
    <w:p>
      <w:pPr>
        <w:pStyle w:val="37"/>
        <w:spacing w:line="480" w:lineRule="auto"/>
        <w:rPr>
          <w:rFonts w:ascii="宋体" w:hAnsi="宋体" w:eastAsia="宋体" w:cs="宋体"/>
          <w:color w:val="auto"/>
          <w:kern w:val="2"/>
          <w:szCs w:val="21"/>
        </w:rPr>
      </w:pPr>
    </w:p>
    <w:p>
      <w:pPr>
        <w:pStyle w:val="37"/>
        <w:spacing w:line="440" w:lineRule="exact"/>
        <w:rPr>
          <w:rFonts w:ascii="宋体" w:hAnsi="宋体" w:eastAsia="宋体" w:cs="宋体"/>
          <w:color w:val="auto"/>
          <w:kern w:val="2"/>
          <w:sz w:val="30"/>
          <w:szCs w:val="30"/>
        </w:rPr>
      </w:pPr>
    </w:p>
    <w:p>
      <w:pPr>
        <w:pStyle w:val="37"/>
        <w:spacing w:line="360" w:lineRule="auto"/>
        <w:rPr>
          <w:rFonts w:ascii="宋体" w:hAnsi="宋体" w:eastAsia="宋体" w:cs="宋体"/>
          <w:color w:val="auto"/>
          <w:kern w:val="2"/>
          <w:sz w:val="30"/>
          <w:szCs w:val="30"/>
        </w:rPr>
      </w:pPr>
      <w:r>
        <w:rPr>
          <w:rFonts w:hint="eastAsia" w:ascii="宋体" w:hAnsi="宋体" w:eastAsia="宋体" w:cs="宋体"/>
          <w:color w:val="auto"/>
          <w:kern w:val="2"/>
          <w:sz w:val="30"/>
          <w:szCs w:val="30"/>
        </w:rPr>
        <w:t>附件8：</w:t>
      </w:r>
    </w:p>
    <w:p>
      <w:pPr>
        <w:pStyle w:val="37"/>
        <w:spacing w:beforeLines="50" w:afterLines="50" w:line="440" w:lineRule="exact"/>
        <w:jc w:val="center"/>
        <w:rPr>
          <w:rFonts w:ascii="宋体" w:hAnsi="宋体" w:eastAsia="宋体" w:cs="宋体"/>
          <w:color w:val="auto"/>
          <w:kern w:val="2"/>
          <w:sz w:val="32"/>
          <w:szCs w:val="32"/>
        </w:rPr>
      </w:pPr>
    </w:p>
    <w:p>
      <w:pPr>
        <w:spacing w:beforeLines="50" w:afterLines="50" w:line="440" w:lineRule="exact"/>
        <w:jc w:val="center"/>
        <w:rPr>
          <w:rFonts w:ascii="宋体" w:hAnsi="宋体" w:cs="宋体"/>
          <w:color w:val="auto"/>
          <w:sz w:val="32"/>
          <w:szCs w:val="32"/>
        </w:rPr>
      </w:pPr>
      <w:r>
        <w:rPr>
          <w:rFonts w:hint="eastAsia" w:ascii="宋体" w:hAnsi="宋体" w:cs="宋体"/>
          <w:color w:val="auto"/>
          <w:sz w:val="32"/>
          <w:szCs w:val="32"/>
        </w:rPr>
        <w:t>工程质量保修书（市政公用工程）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发包人（全称）：</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承包人（全称）：</w:t>
      </w:r>
    </w:p>
    <w:p>
      <w:pPr>
        <w:adjustRightInd w:val="0"/>
        <w:snapToGrid w:val="0"/>
        <w:spacing w:line="360" w:lineRule="auto"/>
        <w:rPr>
          <w:rFonts w:ascii="宋体" w:hAnsi="宋体" w:cs="宋体"/>
          <w:color w:val="auto"/>
          <w:sz w:val="24"/>
        </w:rPr>
      </w:pPr>
    </w:p>
    <w:p>
      <w:pPr>
        <w:adjustRightInd w:val="0"/>
        <w:snapToGrid w:val="0"/>
        <w:spacing w:line="360" w:lineRule="auto"/>
        <w:ind w:firstLine="420"/>
        <w:rPr>
          <w:rFonts w:ascii="宋体" w:hAnsi="宋体" w:cs="宋体"/>
          <w:color w:val="auto"/>
          <w:sz w:val="24"/>
        </w:rPr>
      </w:pPr>
      <w:r>
        <w:rPr>
          <w:rFonts w:hint="eastAsia" w:ascii="宋体" w:hAnsi="宋体" w:cs="宋体"/>
          <w:color w:val="auto"/>
          <w:sz w:val="24"/>
        </w:rPr>
        <w:t>发包人和承包人根据《中华人民共和国建筑法》和《建设工程质量管理条例》，经协商一致就（工程全称）签订工程质量保修书。</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一、工程质量保修范围和内容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承包人在质量保修期内，按照有关法律规定和合同约定，承担工程质量保修责任。</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质量保修范围包括，以及双方约定的其他项目。具体保修的内容，双方约定如下：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_______________________________</w:t>
      </w:r>
      <w:r>
        <w:rPr>
          <w:rFonts w:hint="eastAsia" w:ascii="宋体" w:hAnsi="宋体" w:cs="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二、质量保修期</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根据《建设工程质量管理条例》及有关规定，工程的质量保修期如下：</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1．桥梁工程为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年（建议桥梁隧道主体结构工程为设计文件规定的合理使用年限）；</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2．道路工程为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年（建议路基、路面、桥面为2年）；</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3．排水（雨水）工程为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年（建议道路工程中的排水工程为3年）；</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 xml:space="preserve">4．绿化工程为 </w:t>
      </w:r>
      <w:r>
        <w:rPr>
          <w:rFonts w:hint="eastAsia" w:ascii="宋体" w:hAnsi="宋体" w:cs="宋体"/>
          <w:color w:val="auto"/>
          <w:sz w:val="24"/>
          <w:u w:val="single"/>
        </w:rPr>
        <w:t>单位工程竣工验收合格后    年</w:t>
      </w:r>
      <w:r>
        <w:rPr>
          <w:rFonts w:hint="eastAsia" w:ascii="宋体" w:hAnsi="宋体" w:cs="宋体"/>
          <w:color w:val="auto"/>
          <w:sz w:val="24"/>
        </w:rPr>
        <w:t>；</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5.  地下防水工程为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年（建议为5年）；</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6．其他附属工程为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7．其他项目保修期限约定如下：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__________________________________</w:t>
      </w:r>
      <w:r>
        <w:rPr>
          <w:rFonts w:hint="eastAsia" w:ascii="宋体" w:hAnsi="宋体" w:cs="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质量保修期自工程竣工验收合格之日起计算。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三、缺陷责任期</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工程缺陷责任期为个月（最长不超过24个月），缺陷责任期自工程竣工验收合格之日起计算。单位工程先于全部工程进行验收，单位工程缺陷责任期自单位工程验收合格之日起算。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缺陷责任期</w:t>
      </w:r>
      <w:r>
        <w:rPr>
          <w:rFonts w:hint="eastAsia" w:ascii="宋体" w:hAnsi="宋体" w:cs="宋体"/>
          <w:color w:val="auto"/>
          <w:sz w:val="24"/>
          <w:u w:val="single"/>
        </w:rPr>
        <w:t>满</w:t>
      </w:r>
      <w:r>
        <w:rPr>
          <w:rFonts w:hint="eastAsia" w:ascii="宋体" w:hAnsi="宋体" w:cs="宋体"/>
          <w:color w:val="auto"/>
          <w:sz w:val="24"/>
        </w:rPr>
        <w:t>之日起天</w:t>
      </w:r>
      <w:r>
        <w:rPr>
          <w:rFonts w:hint="eastAsia" w:ascii="宋体" w:hAnsi="宋体" w:cs="宋体"/>
          <w:color w:val="auto"/>
          <w:sz w:val="24"/>
          <w:u w:val="single"/>
        </w:rPr>
        <w:t>（按合同约定期限），</w:t>
      </w:r>
      <w:r>
        <w:rPr>
          <w:rFonts w:hint="eastAsia" w:ascii="宋体" w:hAnsi="宋体" w:cs="宋体"/>
          <w:color w:val="auto"/>
          <w:sz w:val="24"/>
        </w:rPr>
        <w:t>发包人应退还剩余的质量保证金。</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四、质量保修责任</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1．属于保修范围、内容的项目，承包人应当在接到保修通知之日起天内派人保修。承包人不在约定期限内派人保修的，发包人可以委托他人修理，修理费用从质量保证金内扣除。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2．发生紧急事故需抢修的，承包人在接到事故通知后，应当立即到达事故现场抢修。</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4．质量保修完成后，由发包人组织验收。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五、保修费用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保修费用由造成质量缺陷的责任方承担。</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六、双方约定的其他工程质量保修事项：</w:t>
      </w:r>
    </w:p>
    <w:p>
      <w:pPr>
        <w:adjustRightInd w:val="0"/>
        <w:snapToGrid w:val="0"/>
        <w:spacing w:line="360" w:lineRule="auto"/>
        <w:jc w:val="both"/>
        <w:rPr>
          <w:rFonts w:ascii="宋体" w:hAnsi="宋体" w:cs="宋体"/>
          <w:color w:val="auto"/>
          <w:sz w:val="24"/>
        </w:rPr>
      </w:pPr>
      <w:r>
        <w:rPr>
          <w:rFonts w:hint="eastAsia" w:ascii="宋体" w:hAnsi="宋体" w:cs="宋体"/>
          <w:color w:val="auto"/>
          <w:sz w:val="24"/>
          <w:lang w:val="en-US" w:eastAsia="zh-CN"/>
        </w:rPr>
        <w:t>_______________________________________</w:t>
      </w:r>
      <w:r>
        <w:rPr>
          <w:rFonts w:hint="eastAsia" w:ascii="宋体" w:hAnsi="宋体" w:cs="宋体"/>
          <w:color w:val="auto"/>
          <w:sz w:val="24"/>
        </w:rPr>
        <w:t>。</w:t>
      </w:r>
    </w:p>
    <w:p>
      <w:pPr>
        <w:adjustRightInd w:val="0"/>
        <w:snapToGrid w:val="0"/>
        <w:spacing w:line="360" w:lineRule="auto"/>
        <w:ind w:firstLine="456" w:firstLineChars="190"/>
        <w:rPr>
          <w:rFonts w:ascii="宋体" w:hAnsi="宋体" w:cs="宋体"/>
          <w:color w:val="auto"/>
          <w:sz w:val="24"/>
        </w:rPr>
      </w:pPr>
      <w:r>
        <w:rPr>
          <w:rFonts w:hint="eastAsia" w:ascii="宋体" w:hAnsi="宋体" w:cs="宋体"/>
          <w:color w:val="auto"/>
          <w:sz w:val="24"/>
        </w:rPr>
        <w:t>工程质量保修书由发包人、承包人在工程竣工验收前共同签署，作为施工合同附件，其有效期限至保修期满。</w:t>
      </w:r>
    </w:p>
    <w:p>
      <w:pPr>
        <w:adjustRightInd w:val="0"/>
        <w:snapToGrid w:val="0"/>
        <w:spacing w:line="360" w:lineRule="auto"/>
        <w:ind w:firstLine="420"/>
        <w:rPr>
          <w:rFonts w:ascii="宋体" w:hAnsi="宋体" w:cs="宋体"/>
          <w:color w:val="auto"/>
          <w:sz w:val="24"/>
        </w:rPr>
      </w:pPr>
    </w:p>
    <w:p>
      <w:pPr>
        <w:adjustRightInd w:val="0"/>
        <w:snapToGrid w:val="0"/>
        <w:spacing w:line="360" w:lineRule="auto"/>
        <w:ind w:firstLine="420"/>
        <w:rPr>
          <w:rFonts w:ascii="宋体" w:hAnsi="宋体" w:cs="宋体"/>
          <w:color w:val="auto"/>
          <w:sz w:val="24"/>
        </w:rPr>
      </w:pPr>
    </w:p>
    <w:p>
      <w:pPr>
        <w:adjustRightInd w:val="0"/>
        <w:snapToGrid w:val="0"/>
        <w:spacing w:line="360" w:lineRule="auto"/>
        <w:rPr>
          <w:rFonts w:ascii="宋体" w:hAnsi="宋体" w:cs="宋体"/>
          <w:color w:val="auto"/>
          <w:sz w:val="24"/>
        </w:rPr>
      </w:pPr>
      <w:r>
        <w:rPr>
          <w:rFonts w:hint="eastAsia" w:ascii="宋体" w:hAnsi="宋体" w:cs="宋体"/>
          <w:color w:val="auto"/>
          <w:sz w:val="24"/>
        </w:rPr>
        <w:t>发包人（公章）：</w:t>
      </w:r>
      <w:r>
        <w:rPr>
          <w:rFonts w:hint="eastAsia" w:ascii="宋体" w:hAnsi="宋体" w:cs="宋体"/>
          <w:color w:val="auto"/>
          <w:sz w:val="24"/>
          <w:u w:val="single"/>
        </w:rPr>
        <w:t xml:space="preserve">         </w:t>
      </w:r>
      <w:r>
        <w:rPr>
          <w:rFonts w:hint="eastAsia" w:ascii="宋体" w:hAnsi="宋体" w:cs="宋体"/>
          <w:color w:val="auto"/>
          <w:sz w:val="24"/>
        </w:rPr>
        <w:t xml:space="preserve">             承包人（公章）：</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      </w:t>
      </w:r>
      <w:r>
        <w:rPr>
          <w:rFonts w:hint="eastAsia" w:ascii="宋体" w:hAnsi="宋体" w:cs="宋体"/>
          <w:color w:val="auto"/>
          <w:sz w:val="24"/>
        </w:rPr>
        <w:t xml:space="preserve">              地  址：</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法定代表人（签字）：</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委托代理人（签字）：</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r>
        <w:rPr>
          <w:rFonts w:hint="eastAsia" w:ascii="宋体" w:hAnsi="宋体" w:cs="宋体"/>
          <w:color w:val="auto"/>
          <w:sz w:val="24"/>
        </w:rPr>
        <w:t xml:space="preserve">              电  话：</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r>
        <w:rPr>
          <w:rFonts w:hint="eastAsia" w:ascii="宋体" w:hAnsi="宋体" w:cs="宋体"/>
          <w:color w:val="auto"/>
          <w:sz w:val="24"/>
        </w:rPr>
        <w:t xml:space="preserve">              传  真：</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开户银行：</w:t>
      </w:r>
      <w:r>
        <w:rPr>
          <w:rFonts w:hint="eastAsia" w:ascii="宋体" w:hAnsi="宋体" w:cs="宋体"/>
          <w:color w:val="auto"/>
          <w:sz w:val="24"/>
          <w:u w:val="single"/>
        </w:rPr>
        <w:t>  </w:t>
      </w:r>
    </w:p>
    <w:p>
      <w:pPr>
        <w:tabs>
          <w:tab w:val="left" w:pos="2880"/>
          <w:tab w:val="left" w:pos="3060"/>
          <w:tab w:val="left" w:pos="4500"/>
        </w:tabs>
        <w:adjustRightInd w:val="0"/>
        <w:snapToGrid w:val="0"/>
        <w:spacing w:line="360" w:lineRule="auto"/>
        <w:rPr>
          <w:rFonts w:ascii="宋体" w:hAnsi="宋体" w:cs="宋体"/>
          <w:color w:val="auto"/>
          <w:sz w:val="24"/>
        </w:rPr>
      </w:pPr>
      <w:r>
        <w:rPr>
          <w:rFonts w:hint="eastAsia" w:ascii="宋体" w:hAnsi="宋体" w:cs="宋体"/>
          <w:color w:val="auto"/>
          <w:sz w:val="24"/>
        </w:rPr>
        <w:t>账  号：</w:t>
      </w:r>
      <w:r>
        <w:rPr>
          <w:rFonts w:hint="eastAsia" w:ascii="宋体" w:hAnsi="宋体" w:cs="宋体"/>
          <w:color w:val="auto"/>
          <w:sz w:val="24"/>
          <w:u w:val="single"/>
        </w:rPr>
        <w:t xml:space="preserve">          </w:t>
      </w:r>
      <w:r>
        <w:rPr>
          <w:rFonts w:hint="eastAsia" w:ascii="宋体" w:hAnsi="宋体" w:cs="宋体"/>
          <w:color w:val="auto"/>
          <w:sz w:val="24"/>
        </w:rPr>
        <w:t xml:space="preserve">              账  号：</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 xml:space="preserve">       </w:t>
      </w:r>
      <w:r>
        <w:rPr>
          <w:rFonts w:hint="eastAsia" w:ascii="宋体" w:hAnsi="宋体" w:cs="宋体"/>
          <w:color w:val="auto"/>
          <w:sz w:val="24"/>
        </w:rPr>
        <w:t xml:space="preserve">              邮政编码：</w:t>
      </w:r>
      <w:r>
        <w:rPr>
          <w:rFonts w:hint="eastAsia" w:ascii="宋体" w:hAnsi="宋体" w:cs="宋体"/>
          <w:color w:val="auto"/>
          <w:sz w:val="24"/>
          <w:u w:val="single"/>
        </w:rPr>
        <w:t xml:space="preserve">    </w:t>
      </w: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3"/>
        <w:jc w:val="center"/>
        <w:rPr>
          <w:rFonts w:hint="eastAsia" w:ascii="Times New Roman" w:hAnsi="Times New Roman" w:cs="Times New Roman"/>
          <w:b/>
          <w:bCs/>
          <w:color w:val="auto"/>
          <w:sz w:val="44"/>
          <w:szCs w:val="44"/>
        </w:rPr>
      </w:pPr>
      <w:bookmarkStart w:id="1245" w:name="_Toc25020"/>
      <w:bookmarkStart w:id="1246" w:name="_Toc27915"/>
      <w:bookmarkStart w:id="1247" w:name="_Toc13496"/>
      <w:r>
        <w:rPr>
          <w:rFonts w:hint="eastAsia" w:ascii="Times New Roman" w:hAnsi="Times New Roman" w:cs="Times New Roman"/>
          <w:b/>
          <w:bCs/>
          <w:color w:val="auto"/>
          <w:sz w:val="44"/>
          <w:szCs w:val="44"/>
        </w:rPr>
        <w:t>第五章 技术标准和要求</w:t>
      </w:r>
      <w:bookmarkEnd w:id="1245"/>
      <w:bookmarkEnd w:id="1246"/>
      <w:bookmarkEnd w:id="1247"/>
    </w:p>
    <w:p>
      <w:pPr>
        <w:spacing w:line="300" w:lineRule="auto"/>
        <w:jc w:val="center"/>
        <w:rPr>
          <w:rFonts w:ascii="宋体" w:hAnsi="宋体" w:cs="宋体"/>
          <w:color w:val="auto"/>
          <w:sz w:val="24"/>
        </w:rPr>
      </w:pPr>
      <w:r>
        <w:rPr>
          <w:rFonts w:hint="eastAsia" w:ascii="宋体" w:hAnsi="宋体" w:cs="宋体"/>
          <w:color w:val="auto"/>
          <w:sz w:val="24"/>
        </w:rPr>
        <w:t>本节由采购人根据国家行业和地方现行标准、规范和规程等，以及项目具体情况摘录。</w:t>
      </w: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3"/>
        <w:jc w:val="center"/>
        <w:rPr>
          <w:rFonts w:hint="eastAsia" w:ascii="Times New Roman" w:hAnsi="Times New Roman" w:cs="Times New Roman"/>
          <w:b/>
          <w:bCs/>
          <w:color w:val="auto"/>
          <w:sz w:val="44"/>
          <w:szCs w:val="44"/>
        </w:rPr>
      </w:pPr>
      <w:bookmarkStart w:id="1248" w:name="_Toc20807"/>
      <w:bookmarkStart w:id="1249" w:name="_Toc22619"/>
      <w:bookmarkStart w:id="1250" w:name="_Toc20531"/>
      <w:r>
        <w:rPr>
          <w:rFonts w:hint="eastAsia" w:ascii="Times New Roman" w:hAnsi="Times New Roman" w:cs="Times New Roman"/>
          <w:b/>
          <w:bCs/>
          <w:color w:val="auto"/>
          <w:sz w:val="44"/>
          <w:szCs w:val="44"/>
        </w:rPr>
        <w:t>第六章</w:t>
      </w:r>
      <w:r>
        <w:rPr>
          <w:rFonts w:hint="eastAsia" w:ascii="Times New Roman" w:hAnsi="Times New Roman" w:cs="Times New Roman"/>
          <w:b/>
          <w:bCs/>
          <w:color w:val="auto"/>
          <w:sz w:val="44"/>
          <w:szCs w:val="44"/>
          <w:lang w:val="en-US" w:eastAsia="zh-CN"/>
        </w:rPr>
        <w:t xml:space="preserve"> </w:t>
      </w:r>
      <w:r>
        <w:rPr>
          <w:rFonts w:hint="eastAsia" w:ascii="Times New Roman" w:hAnsi="Times New Roman" w:cs="Times New Roman"/>
          <w:b/>
          <w:bCs/>
          <w:color w:val="auto"/>
          <w:sz w:val="44"/>
          <w:szCs w:val="44"/>
        </w:rPr>
        <w:t>图纸和工程量清单</w:t>
      </w:r>
      <w:bookmarkEnd w:id="1248"/>
      <w:bookmarkEnd w:id="1249"/>
      <w:bookmarkEnd w:id="1250"/>
    </w:p>
    <w:p>
      <w:pPr>
        <w:spacing w:line="300" w:lineRule="auto"/>
        <w:jc w:val="center"/>
        <w:rPr>
          <w:rFonts w:ascii="宋体" w:hAnsi="宋体" w:cs="宋体"/>
          <w:b/>
          <w:bCs/>
          <w:color w:val="auto"/>
          <w:sz w:val="32"/>
          <w:szCs w:val="32"/>
        </w:rPr>
      </w:pPr>
      <w:bookmarkStart w:id="1251" w:name="_Toc22104_WPSOffice_Level2"/>
      <w:r>
        <w:rPr>
          <w:rFonts w:hint="eastAsia" w:ascii="宋体" w:hAnsi="宋体" w:cs="宋体"/>
          <w:b/>
          <w:bCs/>
          <w:color w:val="auto"/>
          <w:sz w:val="32"/>
          <w:szCs w:val="32"/>
        </w:rPr>
        <w:t>（另附）</w:t>
      </w:r>
      <w:bookmarkEnd w:id="1251"/>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3"/>
        <w:spacing w:line="240" w:lineRule="auto"/>
        <w:jc w:val="center"/>
        <w:rPr>
          <w:rFonts w:hint="eastAsia" w:ascii="Times New Roman" w:hAnsi="Times New Roman" w:cs="Times New Roman"/>
          <w:color w:val="auto"/>
          <w:sz w:val="44"/>
          <w:szCs w:val="44"/>
        </w:rPr>
      </w:pPr>
      <w:bookmarkStart w:id="1252" w:name="_Toc11286"/>
      <w:bookmarkStart w:id="1253" w:name="_Toc25783"/>
      <w:bookmarkStart w:id="1254" w:name="_Toc21729"/>
      <w:r>
        <w:rPr>
          <w:rFonts w:hint="eastAsia" w:ascii="Times New Roman" w:hAnsi="Times New Roman" w:cs="Times New Roman"/>
          <w:color w:val="auto"/>
          <w:sz w:val="44"/>
          <w:szCs w:val="44"/>
        </w:rPr>
        <w:t>第七章</w:t>
      </w:r>
      <w:r>
        <w:rPr>
          <w:rFonts w:hint="eastAsia" w:ascii="Times New Roman" w:hAnsi="Times New Roman" w:cs="Times New Roman"/>
          <w:color w:val="auto"/>
          <w:sz w:val="44"/>
          <w:szCs w:val="44"/>
          <w:lang w:val="en-US" w:eastAsia="zh-CN"/>
        </w:rPr>
        <w:t xml:space="preserve"> </w:t>
      </w:r>
      <w:r>
        <w:rPr>
          <w:rFonts w:hint="eastAsia" w:ascii="Times New Roman" w:hAnsi="Times New Roman" w:cs="Times New Roman"/>
          <w:color w:val="auto"/>
          <w:sz w:val="44"/>
          <w:szCs w:val="44"/>
        </w:rPr>
        <w:t>响应文件格式</w:t>
      </w:r>
      <w:bookmarkEnd w:id="138"/>
      <w:bookmarkEnd w:id="1252"/>
      <w:bookmarkEnd w:id="1253"/>
      <w:bookmarkEnd w:id="1254"/>
    </w:p>
    <w:p>
      <w:pPr>
        <w:snapToGrid w:val="0"/>
        <w:spacing w:line="300" w:lineRule="auto"/>
        <w:ind w:firstLine="426"/>
        <w:jc w:val="left"/>
        <w:rPr>
          <w:rFonts w:ascii="宋体" w:hAnsi="宋体" w:cs="宋体"/>
          <w:color w:val="auto"/>
          <w:szCs w:val="21"/>
        </w:rPr>
      </w:pPr>
    </w:p>
    <w:p>
      <w:pPr>
        <w:snapToGrid w:val="0"/>
        <w:spacing w:line="300" w:lineRule="auto"/>
        <w:ind w:firstLine="426"/>
        <w:jc w:val="left"/>
        <w:rPr>
          <w:rFonts w:ascii="宋体" w:hAnsi="宋体" w:cs="宋体"/>
          <w:color w:val="auto"/>
          <w:szCs w:val="21"/>
        </w:rPr>
      </w:pPr>
    </w:p>
    <w:p>
      <w:pPr>
        <w:snapToGrid w:val="0"/>
        <w:spacing w:line="300" w:lineRule="auto"/>
        <w:ind w:firstLine="426"/>
        <w:jc w:val="center"/>
        <w:rPr>
          <w:rFonts w:ascii="宋体" w:hAnsi="宋体" w:cs="宋体"/>
          <w:b/>
          <w:color w:val="auto"/>
          <w:sz w:val="96"/>
          <w:szCs w:val="21"/>
        </w:rPr>
      </w:pPr>
    </w:p>
    <w:p>
      <w:pPr>
        <w:snapToGrid w:val="0"/>
        <w:spacing w:line="300" w:lineRule="auto"/>
        <w:ind w:firstLine="426"/>
        <w:jc w:val="center"/>
        <w:rPr>
          <w:rFonts w:ascii="宋体" w:hAnsi="宋体" w:cs="宋体"/>
          <w:b w:val="0"/>
          <w:bCs/>
          <w:color w:val="auto"/>
          <w:sz w:val="96"/>
          <w:szCs w:val="21"/>
        </w:rPr>
      </w:pPr>
      <w:bookmarkStart w:id="1255" w:name="_Toc11091_WPSOffice_Level2"/>
      <w:r>
        <w:rPr>
          <w:rFonts w:hint="eastAsia" w:ascii="宋体" w:hAnsi="宋体" w:cs="宋体"/>
          <w:b w:val="0"/>
          <w:bCs/>
          <w:color w:val="auto"/>
          <w:sz w:val="96"/>
          <w:szCs w:val="21"/>
        </w:rPr>
        <w:t>响 应 文 件</w:t>
      </w:r>
      <w:bookmarkEnd w:id="1255"/>
    </w:p>
    <w:p>
      <w:pPr>
        <w:spacing w:line="300" w:lineRule="auto"/>
        <w:jc w:val="center"/>
        <w:rPr>
          <w:rFonts w:hint="eastAsia" w:ascii="宋体" w:hAnsi="宋体" w:cs="宋体"/>
          <w:b/>
          <w:bCs/>
          <w:color w:val="auto"/>
          <w:spacing w:val="10"/>
          <w:sz w:val="24"/>
          <w:szCs w:val="24"/>
        </w:rPr>
      </w:pPr>
      <w:bookmarkStart w:id="1256" w:name="_Toc28463_WPSOffice_Level2"/>
    </w:p>
    <w:p>
      <w:pPr>
        <w:spacing w:line="300" w:lineRule="auto"/>
        <w:jc w:val="center"/>
        <w:rPr>
          <w:rFonts w:hint="eastAsia" w:ascii="宋体" w:hAnsi="宋体" w:cs="宋体"/>
          <w:b/>
          <w:bCs/>
          <w:color w:val="auto"/>
          <w:spacing w:val="10"/>
          <w:sz w:val="24"/>
          <w:szCs w:val="24"/>
        </w:rPr>
      </w:pPr>
    </w:p>
    <w:p>
      <w:pPr>
        <w:spacing w:line="300" w:lineRule="auto"/>
        <w:jc w:val="center"/>
        <w:rPr>
          <w:rFonts w:hint="eastAsia" w:ascii="宋体" w:hAnsi="宋体" w:cs="宋体"/>
          <w:b/>
          <w:bCs/>
          <w:color w:val="auto"/>
          <w:spacing w:val="10"/>
          <w:sz w:val="24"/>
          <w:szCs w:val="24"/>
        </w:rPr>
      </w:pPr>
    </w:p>
    <w:p>
      <w:pPr>
        <w:spacing w:line="300" w:lineRule="auto"/>
        <w:jc w:val="center"/>
        <w:rPr>
          <w:rFonts w:hint="eastAsia" w:ascii="宋体" w:hAnsi="宋体" w:cs="宋体"/>
          <w:b/>
          <w:bCs/>
          <w:color w:val="auto"/>
          <w:spacing w:val="10"/>
          <w:sz w:val="24"/>
          <w:szCs w:val="24"/>
        </w:rPr>
      </w:pPr>
    </w:p>
    <w:p>
      <w:pPr>
        <w:spacing w:line="300" w:lineRule="auto"/>
        <w:jc w:val="center"/>
        <w:rPr>
          <w:rFonts w:hint="eastAsia" w:ascii="宋体" w:hAnsi="宋体" w:cs="宋体"/>
          <w:b/>
          <w:bCs/>
          <w:color w:val="auto"/>
          <w:spacing w:val="10"/>
          <w:sz w:val="24"/>
          <w:szCs w:val="24"/>
        </w:rPr>
      </w:pPr>
    </w:p>
    <w:p>
      <w:pPr>
        <w:spacing w:line="300" w:lineRule="auto"/>
        <w:jc w:val="center"/>
        <w:rPr>
          <w:rFonts w:ascii="宋体" w:hAnsi="宋体" w:cs="宋体"/>
          <w:b/>
          <w:color w:val="auto"/>
          <w:sz w:val="28"/>
          <w:szCs w:val="28"/>
        </w:rPr>
      </w:pPr>
      <w:r>
        <w:rPr>
          <w:rFonts w:hint="eastAsia" w:ascii="宋体" w:hAnsi="宋体" w:cs="宋体"/>
          <w:b/>
          <w:bCs/>
          <w:color w:val="auto"/>
          <w:spacing w:val="10"/>
          <w:sz w:val="28"/>
          <w:szCs w:val="28"/>
        </w:rPr>
        <w:t>XXXX</w:t>
      </w:r>
      <w:r>
        <w:rPr>
          <w:rFonts w:hint="eastAsia" w:ascii="宋体" w:hAnsi="宋体" w:cs="宋体"/>
          <w:b/>
          <w:color w:val="auto"/>
          <w:sz w:val="28"/>
          <w:szCs w:val="28"/>
        </w:rPr>
        <w:t>部分</w:t>
      </w:r>
      <w:bookmarkEnd w:id="1256"/>
    </w:p>
    <w:p>
      <w:pPr>
        <w:snapToGrid w:val="0"/>
        <w:spacing w:line="300" w:lineRule="auto"/>
        <w:ind w:firstLine="426"/>
        <w:jc w:val="left"/>
        <w:rPr>
          <w:rFonts w:ascii="宋体" w:hAnsi="宋体" w:cs="宋体"/>
          <w:color w:val="auto"/>
          <w:sz w:val="28"/>
          <w:szCs w:val="28"/>
        </w:rPr>
      </w:pPr>
    </w:p>
    <w:p>
      <w:pPr>
        <w:snapToGrid w:val="0"/>
        <w:spacing w:line="300" w:lineRule="auto"/>
        <w:ind w:firstLine="2951" w:firstLineChars="1050"/>
        <w:jc w:val="left"/>
        <w:rPr>
          <w:rFonts w:ascii="宋体" w:hAnsi="宋体" w:cs="宋体"/>
          <w:b/>
          <w:bCs/>
          <w:color w:val="auto"/>
          <w:spacing w:val="10"/>
          <w:sz w:val="28"/>
          <w:szCs w:val="28"/>
        </w:rPr>
      </w:pPr>
      <w:bookmarkStart w:id="1257" w:name="_Toc4257_WPSOffice_Level2"/>
      <w:r>
        <w:rPr>
          <w:rFonts w:hint="eastAsia" w:ascii="宋体" w:hAnsi="宋体" w:cs="宋体"/>
          <w:b/>
          <w:color w:val="auto"/>
          <w:sz w:val="28"/>
          <w:szCs w:val="28"/>
        </w:rPr>
        <w:t>项目名称：</w:t>
      </w:r>
      <w:r>
        <w:rPr>
          <w:rFonts w:hint="eastAsia" w:ascii="宋体" w:hAnsi="宋体" w:cs="宋体"/>
          <w:b/>
          <w:bCs/>
          <w:color w:val="auto"/>
          <w:spacing w:val="10"/>
          <w:sz w:val="28"/>
          <w:szCs w:val="28"/>
        </w:rPr>
        <w:t>XXXX</w:t>
      </w:r>
      <w:bookmarkEnd w:id="1257"/>
    </w:p>
    <w:p>
      <w:pPr>
        <w:snapToGrid w:val="0"/>
        <w:spacing w:line="300" w:lineRule="auto"/>
        <w:ind w:firstLine="2957" w:firstLineChars="1052"/>
        <w:jc w:val="left"/>
        <w:rPr>
          <w:rFonts w:ascii="宋体" w:hAnsi="宋体" w:cs="宋体"/>
          <w:b/>
          <w:bCs/>
          <w:color w:val="auto"/>
          <w:spacing w:val="10"/>
          <w:sz w:val="28"/>
          <w:szCs w:val="28"/>
        </w:rPr>
      </w:pPr>
      <w:bookmarkStart w:id="1258" w:name="_Toc1261_WPSOffice_Level2"/>
      <w:r>
        <w:rPr>
          <w:rFonts w:hint="eastAsia" w:ascii="宋体" w:hAnsi="宋体" w:cs="宋体"/>
          <w:b/>
          <w:color w:val="auto"/>
          <w:sz w:val="28"/>
          <w:szCs w:val="28"/>
        </w:rPr>
        <w:t>项目编号：</w:t>
      </w:r>
      <w:r>
        <w:rPr>
          <w:rFonts w:hint="eastAsia" w:ascii="宋体" w:hAnsi="宋体" w:cs="宋体"/>
          <w:b/>
          <w:bCs/>
          <w:color w:val="auto"/>
          <w:spacing w:val="10"/>
          <w:sz w:val="28"/>
          <w:szCs w:val="28"/>
        </w:rPr>
        <w:t>XXXX</w:t>
      </w:r>
      <w:bookmarkEnd w:id="1258"/>
    </w:p>
    <w:p>
      <w:pPr>
        <w:spacing w:line="300" w:lineRule="auto"/>
        <w:ind w:firstLine="1240" w:firstLineChars="441"/>
        <w:jc w:val="left"/>
        <w:rPr>
          <w:rFonts w:ascii="宋体" w:hAnsi="宋体" w:cs="宋体"/>
          <w:b/>
          <w:color w:val="auto"/>
          <w:sz w:val="28"/>
          <w:szCs w:val="28"/>
        </w:rPr>
      </w:pPr>
    </w:p>
    <w:p>
      <w:pPr>
        <w:spacing w:line="300" w:lineRule="auto"/>
        <w:ind w:firstLine="1240" w:firstLineChars="441"/>
        <w:jc w:val="left"/>
        <w:rPr>
          <w:rFonts w:ascii="宋体" w:hAnsi="宋体" w:cs="宋体"/>
          <w:b/>
          <w:color w:val="auto"/>
          <w:sz w:val="28"/>
          <w:szCs w:val="28"/>
        </w:rPr>
      </w:pPr>
    </w:p>
    <w:p>
      <w:pPr>
        <w:spacing w:line="300" w:lineRule="auto"/>
        <w:ind w:firstLine="1240" w:firstLineChars="441"/>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leftChars="600" w:firstLine="0" w:firstLineChars="0"/>
        <w:jc w:val="left"/>
        <w:rPr>
          <w:rFonts w:ascii="宋体" w:hAnsi="宋体" w:cs="宋体"/>
          <w:b/>
          <w:color w:val="auto"/>
          <w:sz w:val="28"/>
          <w:szCs w:val="28"/>
        </w:rPr>
      </w:pPr>
      <w:bookmarkStart w:id="1259" w:name="_Toc2909_WPSOffice_Level3"/>
      <w:r>
        <w:rPr>
          <w:rFonts w:hint="eastAsia" w:ascii="宋体" w:hAnsi="宋体" w:cs="宋体"/>
          <w:b/>
          <w:color w:val="auto"/>
          <w:sz w:val="28"/>
          <w:szCs w:val="28"/>
        </w:rPr>
        <w:t>采购代理机构：</w:t>
      </w:r>
      <w:bookmarkEnd w:id="1259"/>
      <w:r>
        <w:rPr>
          <w:rFonts w:hint="eastAsia" w:ascii="宋体" w:hAnsi="宋体" w:cs="宋体"/>
          <w:b/>
          <w:color w:val="auto"/>
          <w:sz w:val="28"/>
          <w:szCs w:val="28"/>
        </w:rPr>
        <w:t>广西大通建设监理咨询管理有限公司</w:t>
      </w:r>
    </w:p>
    <w:p>
      <w:pPr>
        <w:spacing w:line="300" w:lineRule="auto"/>
        <w:ind w:leftChars="600" w:firstLine="2479" w:firstLineChars="882"/>
        <w:jc w:val="left"/>
        <w:rPr>
          <w:rFonts w:ascii="宋体" w:hAnsi="宋体" w:cs="宋体"/>
          <w:b/>
          <w:color w:val="auto"/>
          <w:sz w:val="28"/>
          <w:szCs w:val="28"/>
        </w:rPr>
      </w:pPr>
    </w:p>
    <w:p>
      <w:pPr>
        <w:spacing w:line="300" w:lineRule="auto"/>
        <w:ind w:leftChars="600" w:firstLine="0" w:firstLineChars="0"/>
        <w:jc w:val="left"/>
        <w:rPr>
          <w:rFonts w:ascii="宋体" w:hAnsi="宋体" w:cs="宋体"/>
          <w:b/>
          <w:color w:val="auto"/>
          <w:sz w:val="28"/>
          <w:szCs w:val="28"/>
        </w:rPr>
      </w:pPr>
      <w:bookmarkStart w:id="1260" w:name="_Toc21787_WPSOffice_Level3"/>
      <w:r>
        <w:rPr>
          <w:rFonts w:hint="eastAsia" w:ascii="宋体" w:hAnsi="宋体" w:cs="宋体"/>
          <w:b/>
          <w:color w:val="auto"/>
          <w:sz w:val="28"/>
          <w:szCs w:val="28"/>
        </w:rPr>
        <w:t>供应商单位名称：</w:t>
      </w:r>
      <w:bookmarkEnd w:id="1260"/>
    </w:p>
    <w:p>
      <w:pPr>
        <w:spacing w:line="300" w:lineRule="auto"/>
        <w:jc w:val="center"/>
        <w:rPr>
          <w:rFonts w:ascii="宋体" w:hAnsi="宋体" w:cs="宋体"/>
          <w:color w:val="auto"/>
          <w:szCs w:val="21"/>
        </w:rPr>
      </w:pPr>
    </w:p>
    <w:p>
      <w:pPr>
        <w:tabs>
          <w:tab w:val="left" w:pos="1305"/>
        </w:tabs>
        <w:adjustRightInd w:val="0"/>
        <w:snapToGrid w:val="0"/>
        <w:spacing w:line="360" w:lineRule="auto"/>
        <w:rPr>
          <w:rFonts w:ascii="宋体" w:hAnsi="宋体" w:cs="宋体"/>
          <w:b/>
          <w:color w:val="auto"/>
          <w:sz w:val="24"/>
          <w:szCs w:val="24"/>
        </w:rPr>
      </w:pPr>
      <w:bookmarkStart w:id="1261" w:name="_Toc32527_WPSOffice_Level2"/>
      <w:r>
        <w:rPr>
          <w:rFonts w:hint="eastAsia" w:ascii="宋体" w:hAnsi="宋体" w:cs="宋体"/>
          <w:b/>
          <w:color w:val="auto"/>
          <w:sz w:val="24"/>
          <w:szCs w:val="24"/>
        </w:rPr>
        <w:t>资格审查部分目录</w:t>
      </w:r>
      <w:bookmarkEnd w:id="1261"/>
    </w:p>
    <w:p>
      <w:pPr>
        <w:tabs>
          <w:tab w:val="left" w:pos="1305"/>
        </w:tabs>
        <w:adjustRightInd w:val="0"/>
        <w:snapToGrid w:val="0"/>
        <w:spacing w:line="360" w:lineRule="auto"/>
        <w:ind w:firstLine="426"/>
        <w:rPr>
          <w:rFonts w:ascii="宋体" w:hAnsi="宋体" w:cs="宋体"/>
          <w:color w:val="auto"/>
          <w:sz w:val="24"/>
          <w:szCs w:val="24"/>
        </w:rPr>
      </w:pPr>
      <w:r>
        <w:rPr>
          <w:rFonts w:hint="eastAsia" w:ascii="宋体" w:hAnsi="宋体" w:cs="宋体"/>
          <w:color w:val="auto"/>
          <w:sz w:val="24"/>
        </w:rPr>
        <w:t>（1）诚信声明</w:t>
      </w:r>
      <w:r>
        <w:rPr>
          <w:rFonts w:hint="eastAsia" w:ascii="宋体" w:hAnsi="宋体" w:cs="宋体"/>
          <w:color w:val="auto"/>
          <w:sz w:val="24"/>
          <w:szCs w:val="24"/>
        </w:rPr>
        <w:t>；</w:t>
      </w:r>
    </w:p>
    <w:p>
      <w:pPr>
        <w:tabs>
          <w:tab w:val="left" w:pos="1305"/>
        </w:tabs>
        <w:adjustRightInd w:val="0"/>
        <w:snapToGrid w:val="0"/>
        <w:spacing w:line="360" w:lineRule="auto"/>
        <w:ind w:firstLine="426"/>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szCs w:val="24"/>
        </w:rPr>
        <w:t>法定代表人资格证明书或授权委托书（委托代理时）；</w:t>
      </w:r>
    </w:p>
    <w:p>
      <w:pPr>
        <w:tabs>
          <w:tab w:val="left" w:pos="1305"/>
        </w:tabs>
        <w:adjustRightInd w:val="0"/>
        <w:snapToGrid w:val="0"/>
        <w:spacing w:line="360" w:lineRule="auto"/>
        <w:ind w:firstLine="426"/>
        <w:rPr>
          <w:rFonts w:ascii="宋体" w:hAnsi="宋体" w:cs="宋体"/>
          <w:color w:val="auto"/>
          <w:sz w:val="24"/>
          <w:szCs w:val="24"/>
        </w:rPr>
      </w:pPr>
      <w:r>
        <w:rPr>
          <w:rFonts w:hint="eastAsia" w:ascii="宋体" w:hAnsi="宋体" w:cs="宋体"/>
          <w:color w:val="auto"/>
          <w:sz w:val="24"/>
        </w:rPr>
        <w:t>（3）供应商基本情况表（附有效的企业营业执照、企业资质证书副本和安全生产许可证副本等的复印件）</w:t>
      </w:r>
      <w:r>
        <w:rPr>
          <w:rFonts w:hint="eastAsia" w:ascii="宋体" w:hAnsi="宋体" w:cs="宋体"/>
          <w:color w:val="auto"/>
          <w:sz w:val="24"/>
          <w:szCs w:val="24"/>
        </w:rPr>
        <w:t>；</w:t>
      </w:r>
    </w:p>
    <w:p>
      <w:pPr>
        <w:tabs>
          <w:tab w:val="left" w:pos="1305"/>
        </w:tabs>
        <w:adjustRightInd w:val="0"/>
        <w:snapToGrid w:val="0"/>
        <w:spacing w:line="360" w:lineRule="auto"/>
        <w:ind w:firstLine="426"/>
        <w:rPr>
          <w:rFonts w:ascii="宋体" w:hAnsi="宋体" w:cs="宋体"/>
          <w:color w:val="auto"/>
          <w:sz w:val="24"/>
          <w:szCs w:val="24"/>
          <w:lang w:val="zh-CN"/>
        </w:rPr>
      </w:pPr>
      <w:r>
        <w:rPr>
          <w:rFonts w:hint="eastAsia" w:ascii="宋体" w:hAnsi="宋体" w:cs="宋体"/>
          <w:color w:val="auto"/>
          <w:sz w:val="24"/>
        </w:rPr>
        <w:t>（4）</w:t>
      </w:r>
      <w:r>
        <w:rPr>
          <w:rFonts w:ascii="宋体" w:hAnsi="宋体" w:eastAsia="宋体" w:cs="宋体"/>
          <w:color w:val="auto"/>
          <w:sz w:val="24"/>
          <w:szCs w:val="24"/>
        </w:rPr>
        <w:t>项目经理具备水利水电工程专业贰级以上(含贰级)或市政公用工程专业贰级以上(含贰级)或公路工程专业贰级以上(含贰级)注册建造师执业资格，具备有效的安全生产考核合格证书（B类）；</w:t>
      </w:r>
    </w:p>
    <w:p>
      <w:pPr>
        <w:pStyle w:val="8"/>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（5）农民工工资保障金的交纳与使用的承诺（按桂劳社发【2009】50号文执行）</w:t>
      </w:r>
      <w:r>
        <w:rPr>
          <w:rFonts w:hint="eastAsia" w:ascii="宋体" w:hAnsi="宋体" w:cs="宋体"/>
          <w:b/>
          <w:color w:val="auto"/>
          <w:sz w:val="24"/>
          <w:szCs w:val="24"/>
        </w:rPr>
        <w:t>；</w:t>
      </w:r>
    </w:p>
    <w:p>
      <w:pPr>
        <w:pStyle w:val="8"/>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（6）建设工程项目管理承诺书</w:t>
      </w:r>
      <w:r>
        <w:rPr>
          <w:rFonts w:hint="eastAsia" w:ascii="宋体" w:hAnsi="宋体" w:cs="宋体"/>
          <w:b/>
          <w:color w:val="auto"/>
          <w:sz w:val="24"/>
          <w:szCs w:val="24"/>
        </w:rPr>
        <w:t>；</w:t>
      </w:r>
    </w:p>
    <w:p>
      <w:pPr>
        <w:pStyle w:val="8"/>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（7）安全防护、文明施工措施方案的承诺书</w:t>
      </w:r>
      <w:r>
        <w:rPr>
          <w:rFonts w:hint="eastAsia" w:ascii="宋体" w:hAnsi="宋体" w:cs="宋体"/>
          <w:b/>
          <w:color w:val="auto"/>
          <w:sz w:val="24"/>
          <w:szCs w:val="24"/>
        </w:rPr>
        <w:t>；</w:t>
      </w: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color w:val="auto"/>
          <w:sz w:val="24"/>
        </w:rPr>
        <w:t>（8）</w:t>
      </w:r>
      <w:r>
        <w:rPr>
          <w:rFonts w:hint="eastAsia" w:ascii="宋体" w:hAnsi="宋体" w:cs="宋体"/>
          <w:color w:val="auto"/>
          <w:sz w:val="24"/>
          <w:szCs w:val="24"/>
        </w:rPr>
        <w:t>供应商参与政府采购活动前三年在经营活动中没有重大违法记录的书面声明（格式自拟）</w:t>
      </w:r>
      <w:r>
        <w:rPr>
          <w:rFonts w:hint="eastAsia" w:ascii="宋体" w:hAnsi="宋体" w:cs="宋体"/>
          <w:bCs/>
          <w:color w:val="auto"/>
          <w:sz w:val="24"/>
          <w:szCs w:val="24"/>
        </w:rPr>
        <w:t>。</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rPr>
        <w:t>（9）</w:t>
      </w:r>
      <w:r>
        <w:rPr>
          <w:rFonts w:hint="eastAsia" w:ascii="宋体" w:hAnsi="宋体" w:cs="宋体"/>
          <w:color w:val="auto"/>
          <w:sz w:val="24"/>
          <w:szCs w:val="24"/>
        </w:rPr>
        <w:t>按本竞争性磋商文件规定提交的其它资料。</w:t>
      </w: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pStyle w:val="8"/>
        <w:spacing w:line="300" w:lineRule="auto"/>
        <w:rPr>
          <w:rFonts w:ascii="宋体" w:hAnsi="宋体" w:cs="宋体"/>
          <w:b/>
          <w:bCs/>
          <w:color w:val="auto"/>
          <w:sz w:val="28"/>
          <w:szCs w:val="28"/>
        </w:rPr>
      </w:pPr>
    </w:p>
    <w:p>
      <w:pPr>
        <w:tabs>
          <w:tab w:val="left" w:pos="1305"/>
        </w:tabs>
        <w:spacing w:line="300" w:lineRule="auto"/>
        <w:jc w:val="center"/>
        <w:rPr>
          <w:rFonts w:hint="eastAsia" w:ascii="宋体" w:hAnsi="宋体" w:cs="宋体"/>
          <w:b/>
          <w:bCs/>
          <w:color w:val="auto"/>
          <w:sz w:val="28"/>
          <w:szCs w:val="28"/>
        </w:rPr>
      </w:pPr>
      <w:bookmarkStart w:id="1262" w:name="_Toc29202_WPSOffice_Level3"/>
      <w:r>
        <w:rPr>
          <w:rFonts w:hint="eastAsia" w:ascii="宋体" w:hAnsi="宋体" w:cs="宋体"/>
          <w:b/>
          <w:bCs/>
          <w:color w:val="auto"/>
          <w:sz w:val="28"/>
          <w:szCs w:val="28"/>
        </w:rPr>
        <w:t>⑴诚信声明</w:t>
      </w:r>
      <w:bookmarkEnd w:id="1262"/>
    </w:p>
    <w:p>
      <w:pPr>
        <w:pStyle w:val="2"/>
        <w:rPr>
          <w:color w:val="auto"/>
        </w:rPr>
      </w:pPr>
    </w:p>
    <w:p>
      <w:pPr>
        <w:spacing w:line="480" w:lineRule="auto"/>
        <w:ind w:firstLine="541"/>
        <w:rPr>
          <w:rFonts w:ascii="宋体" w:hAnsi="宋体" w:cs="宋体"/>
          <w:color w:val="auto"/>
          <w:sz w:val="24"/>
          <w:szCs w:val="24"/>
        </w:rPr>
      </w:pPr>
      <w:r>
        <w:rPr>
          <w:rFonts w:hint="eastAsia" w:ascii="宋体" w:hAnsi="宋体" w:cs="宋体"/>
          <w:color w:val="auto"/>
          <w:sz w:val="24"/>
          <w:szCs w:val="24"/>
        </w:rPr>
        <w:t>本人（法定代表人、身份证号码：）郑重声明，本企业参加投标活动所提交的所有资料、填写数据及所包含的附件资料内容是真实的、合法的、有效的。同样我在此所作的声明也是真实有效的，并愿意对在投标过程中有关调查结果承担责任。</w:t>
      </w:r>
    </w:p>
    <w:p>
      <w:pPr>
        <w:spacing w:line="480" w:lineRule="auto"/>
        <w:ind w:firstLine="541"/>
        <w:rPr>
          <w:rFonts w:ascii="宋体" w:hAnsi="宋体" w:cs="宋体"/>
          <w:color w:val="auto"/>
          <w:sz w:val="24"/>
          <w:szCs w:val="24"/>
        </w:rPr>
      </w:pPr>
      <w:r>
        <w:rPr>
          <w:rFonts w:hint="eastAsia" w:ascii="宋体" w:hAnsi="宋体" w:cs="宋体"/>
          <w:color w:val="auto"/>
          <w:sz w:val="24"/>
          <w:szCs w:val="24"/>
        </w:rPr>
        <w:t>本企业提交的所有投标资料如有不实，愿意接受政府采购监督管理部门和建设行政主管部门依据有关法律法规给予的处罚。</w:t>
      </w:r>
    </w:p>
    <w:p>
      <w:pPr>
        <w:spacing w:line="360" w:lineRule="auto"/>
        <w:ind w:firstLine="541"/>
        <w:rPr>
          <w:rFonts w:ascii="宋体" w:hAnsi="宋体" w:cs="宋体"/>
          <w:color w:val="auto"/>
          <w:sz w:val="24"/>
          <w:szCs w:val="24"/>
        </w:rPr>
      </w:pPr>
    </w:p>
    <w:p>
      <w:pPr>
        <w:spacing w:line="360" w:lineRule="auto"/>
        <w:ind w:firstLine="541"/>
        <w:rPr>
          <w:rFonts w:ascii="宋体" w:hAnsi="宋体" w:cs="宋体"/>
          <w:color w:val="auto"/>
          <w:sz w:val="24"/>
          <w:szCs w:val="24"/>
        </w:rPr>
      </w:pPr>
    </w:p>
    <w:p>
      <w:pPr>
        <w:spacing w:line="360" w:lineRule="auto"/>
        <w:ind w:firstLine="541"/>
        <w:rPr>
          <w:rFonts w:ascii="宋体" w:hAnsi="宋体" w:cs="宋体"/>
          <w:color w:val="auto"/>
          <w:sz w:val="24"/>
          <w:szCs w:val="24"/>
        </w:rPr>
      </w:pPr>
    </w:p>
    <w:p>
      <w:pPr>
        <w:spacing w:line="360" w:lineRule="auto"/>
        <w:ind w:leftChars="2400" w:firstLine="541"/>
        <w:jc w:val="center"/>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单位：</w:t>
      </w:r>
      <w:r>
        <w:rPr>
          <w:rFonts w:hint="eastAsia" w:ascii="宋体" w:hAnsi="宋体" w:cs="宋体"/>
          <w:color w:val="auto"/>
          <w:sz w:val="24"/>
          <w:szCs w:val="24"/>
          <w:lang w:val="en-US" w:eastAsia="zh-CN"/>
        </w:rPr>
        <w:t>____________</w:t>
      </w:r>
      <w:r>
        <w:rPr>
          <w:rFonts w:hint="eastAsia" w:ascii="宋体" w:hAnsi="宋体" w:cs="宋体"/>
          <w:color w:val="auto"/>
          <w:sz w:val="24"/>
          <w:szCs w:val="24"/>
        </w:rPr>
        <w:t>（公章）</w:t>
      </w:r>
    </w:p>
    <w:p>
      <w:pPr>
        <w:spacing w:line="360" w:lineRule="auto"/>
        <w:ind w:leftChars="2400" w:firstLine="541"/>
        <w:jc w:val="center"/>
        <w:rPr>
          <w:rFonts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____________</w:t>
      </w:r>
      <w:r>
        <w:rPr>
          <w:rFonts w:hint="eastAsia" w:ascii="宋体" w:hAnsi="宋体" w:cs="宋体"/>
          <w:color w:val="auto"/>
          <w:sz w:val="24"/>
          <w:szCs w:val="24"/>
        </w:rPr>
        <w:t>（签字）</w:t>
      </w:r>
    </w:p>
    <w:p>
      <w:pPr>
        <w:pStyle w:val="8"/>
        <w:wordWrap w:val="0"/>
        <w:spacing w:line="360" w:lineRule="auto"/>
        <w:jc w:val="right"/>
        <w:rPr>
          <w:rFonts w:ascii="宋体" w:hAnsi="宋体" w:cs="宋体"/>
          <w:color w:val="auto"/>
          <w:sz w:val="24"/>
          <w:szCs w:val="24"/>
        </w:rPr>
      </w:pPr>
      <w:r>
        <w:rPr>
          <w:rFonts w:hint="eastAsia" w:ascii="宋体" w:hAnsi="宋体" w:cs="宋体"/>
          <w:color w:val="auto"/>
          <w:sz w:val="24"/>
          <w:szCs w:val="24"/>
        </w:rPr>
        <w:t>日期：    年    月    日</w:t>
      </w: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tabs>
          <w:tab w:val="left" w:pos="1305"/>
        </w:tabs>
        <w:spacing w:line="360" w:lineRule="auto"/>
        <w:jc w:val="center"/>
        <w:rPr>
          <w:rFonts w:ascii="宋体" w:hAnsi="宋体" w:cs="宋体"/>
          <w:b/>
          <w:bCs/>
          <w:color w:val="auto"/>
          <w:sz w:val="24"/>
          <w:szCs w:val="24"/>
        </w:rPr>
      </w:pPr>
      <w:bookmarkStart w:id="1263" w:name="_Toc30478_WPSOffice_Level3"/>
      <w:r>
        <w:rPr>
          <w:rFonts w:hint="eastAsia" w:ascii="宋体" w:hAnsi="宋体" w:cs="宋体"/>
          <w:b/>
          <w:bCs/>
          <w:color w:val="auto"/>
          <w:sz w:val="24"/>
          <w:szCs w:val="24"/>
        </w:rPr>
        <w:t>⑵法定代表人资格证明书或授权委托书（委托代理时）</w:t>
      </w:r>
      <w:bookmarkEnd w:id="1263"/>
    </w:p>
    <w:p>
      <w:pPr>
        <w:spacing w:line="360" w:lineRule="auto"/>
        <w:jc w:val="center"/>
        <w:rPr>
          <w:rFonts w:ascii="宋体" w:hAnsi="宋体" w:cs="宋体"/>
          <w:b/>
          <w:bCs/>
          <w:color w:val="auto"/>
          <w:sz w:val="24"/>
          <w:szCs w:val="24"/>
        </w:rPr>
      </w:pPr>
      <w:bookmarkStart w:id="1264" w:name="_Toc13608_WPSOffice_Level3"/>
      <w:r>
        <w:rPr>
          <w:rFonts w:hint="eastAsia" w:ascii="宋体" w:hAnsi="宋体" w:cs="宋体"/>
          <w:b/>
          <w:bCs/>
          <w:color w:val="auto"/>
          <w:sz w:val="24"/>
          <w:szCs w:val="24"/>
        </w:rPr>
        <w:t>1、法定代表人资格证明书</w:t>
      </w:r>
      <w:bookmarkEnd w:id="1264"/>
    </w:p>
    <w:p>
      <w:pPr>
        <w:spacing w:line="360" w:lineRule="auto"/>
        <w:rPr>
          <w:rFonts w:ascii="宋体" w:hAnsi="宋体" w:cs="宋体"/>
          <w:color w:val="auto"/>
          <w:sz w:val="24"/>
          <w:szCs w:val="24"/>
        </w:rPr>
      </w:pPr>
    </w:p>
    <w:p>
      <w:pPr>
        <w:spacing w:line="360" w:lineRule="auto"/>
        <w:rPr>
          <w:rFonts w:hint="default" w:ascii="宋体" w:hAnsi="宋体" w:cs="宋体"/>
          <w:color w:val="auto"/>
          <w:sz w:val="24"/>
          <w:szCs w:val="24"/>
          <w:u w:val="single"/>
        </w:rPr>
      </w:pPr>
      <w:r>
        <w:rPr>
          <w:rFonts w:hint="eastAsia" w:ascii="宋体" w:hAnsi="宋体" w:cs="宋体"/>
          <w:color w:val="auto"/>
          <w:sz w:val="24"/>
          <w:szCs w:val="24"/>
        </w:rPr>
        <w:t>单位名称：</w:t>
      </w:r>
      <w:r>
        <w:rPr>
          <w:rFonts w:hint="eastAsia" w:ascii="宋体" w:hAnsi="宋体" w:cs="宋体"/>
          <w:color w:val="auto"/>
          <w:sz w:val="24"/>
          <w:szCs w:val="24"/>
          <w:lang w:val="en-US" w:eastAsia="zh-CN"/>
        </w:rPr>
        <w:t>_____________________</w:t>
      </w:r>
    </w:p>
    <w:p>
      <w:pPr>
        <w:spacing w:line="360" w:lineRule="auto"/>
        <w:rPr>
          <w:rFonts w:hint="default"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lang w:val="en-US" w:eastAsia="zh-CN"/>
        </w:rPr>
        <w:t>_____________________</w:t>
      </w:r>
    </w:p>
    <w:p>
      <w:pPr>
        <w:spacing w:line="360" w:lineRule="auto"/>
        <w:rPr>
          <w:rFonts w:hint="default" w:ascii="宋体" w:hAnsi="宋体" w:cs="宋体"/>
          <w:color w:val="auto"/>
          <w:sz w:val="24"/>
          <w:szCs w:val="24"/>
          <w:u w:val="single"/>
        </w:rPr>
      </w:pPr>
      <w:r>
        <w:rPr>
          <w:rFonts w:hint="eastAsia" w:ascii="宋体" w:hAnsi="宋体" w:cs="宋体"/>
          <w:color w:val="auto"/>
          <w:sz w:val="24"/>
          <w:szCs w:val="24"/>
        </w:rPr>
        <w:t>姓    名：</w:t>
      </w:r>
      <w:r>
        <w:rPr>
          <w:rFonts w:hint="eastAsia" w:ascii="宋体" w:hAnsi="宋体" w:cs="宋体"/>
          <w:color w:val="auto"/>
          <w:sz w:val="24"/>
          <w:szCs w:val="24"/>
          <w:lang w:val="en-US" w:eastAsia="zh-CN"/>
        </w:rPr>
        <w:t>__________</w:t>
      </w:r>
      <w:r>
        <w:rPr>
          <w:rFonts w:hint="eastAsia" w:ascii="宋体" w:hAnsi="宋体" w:cs="宋体"/>
          <w:color w:val="auto"/>
          <w:sz w:val="24"/>
          <w:szCs w:val="24"/>
        </w:rPr>
        <w:t xml:space="preserve"> 性别：</w:t>
      </w:r>
      <w:r>
        <w:rPr>
          <w:rFonts w:hint="eastAsia" w:ascii="宋体" w:hAnsi="宋体" w:cs="宋体"/>
          <w:color w:val="auto"/>
          <w:sz w:val="24"/>
          <w:szCs w:val="24"/>
          <w:lang w:val="en-US" w:eastAsia="zh-CN"/>
        </w:rPr>
        <w:t>________</w:t>
      </w:r>
      <w:r>
        <w:rPr>
          <w:rFonts w:hint="eastAsia" w:ascii="宋体" w:hAnsi="宋体" w:cs="宋体"/>
          <w:color w:val="auto"/>
          <w:sz w:val="24"/>
          <w:szCs w:val="24"/>
        </w:rPr>
        <w:t xml:space="preserve">  年龄：</w:t>
      </w:r>
      <w:r>
        <w:rPr>
          <w:rFonts w:hint="eastAsia" w:ascii="宋体" w:hAnsi="宋体" w:cs="宋体"/>
          <w:color w:val="auto"/>
          <w:sz w:val="24"/>
          <w:szCs w:val="24"/>
          <w:lang w:val="en-US" w:eastAsia="zh-CN"/>
        </w:rPr>
        <w:t>___________</w:t>
      </w:r>
      <w:r>
        <w:rPr>
          <w:rFonts w:hint="eastAsia" w:ascii="宋体" w:hAnsi="宋体" w:cs="宋体"/>
          <w:color w:val="auto"/>
          <w:sz w:val="24"/>
          <w:szCs w:val="24"/>
        </w:rPr>
        <w:t xml:space="preserve">  职务：</w:t>
      </w:r>
      <w:r>
        <w:rPr>
          <w:rFonts w:hint="eastAsia" w:ascii="宋体" w:hAnsi="宋体" w:cs="宋体"/>
          <w:color w:val="auto"/>
          <w:sz w:val="24"/>
          <w:szCs w:val="24"/>
          <w:lang w:val="en-US" w:eastAsia="zh-CN"/>
        </w:rPr>
        <w:t>__________</w:t>
      </w:r>
    </w:p>
    <w:p>
      <w:pPr>
        <w:spacing w:line="360" w:lineRule="auto"/>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（供应商名称）</w:t>
      </w:r>
      <w:r>
        <w:rPr>
          <w:rFonts w:hint="eastAsia" w:ascii="宋体" w:hAnsi="宋体" w:cs="宋体"/>
          <w:color w:val="auto"/>
          <w:sz w:val="24"/>
          <w:szCs w:val="24"/>
        </w:rPr>
        <w:t>的法定代表人，以本单位的名义参加工程的竞争性磋商活动。为业务需要，签署上述项目的响应文件、进行合同谈判、签署合同和处理与之有关的一切事务。</w:t>
      </w:r>
    </w:p>
    <w:p>
      <w:pPr>
        <w:spacing w:line="360" w:lineRule="auto"/>
        <w:rPr>
          <w:rFonts w:ascii="宋体" w:hAnsi="宋体" w:cs="宋体"/>
          <w:color w:val="auto"/>
          <w:sz w:val="24"/>
          <w:szCs w:val="24"/>
        </w:rPr>
      </w:pPr>
      <w:r>
        <w:rPr>
          <w:rFonts w:hint="eastAsia" w:ascii="宋体" w:hAnsi="宋体" w:cs="宋体"/>
          <w:color w:val="auto"/>
          <w:sz w:val="24"/>
          <w:szCs w:val="24"/>
        </w:rPr>
        <w:t>特此证明。</w:t>
      </w:r>
    </w:p>
    <w:p>
      <w:pPr>
        <w:spacing w:line="360" w:lineRule="auto"/>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lang w:val="en-US" w:eastAsia="zh-CN"/>
        </w:rPr>
        <w:t>_________________</w:t>
      </w:r>
      <w:r>
        <w:rPr>
          <w:rFonts w:hint="eastAsia" w:ascii="宋体" w:hAnsi="宋体" w:cs="宋体"/>
          <w:color w:val="auto"/>
          <w:sz w:val="24"/>
          <w:szCs w:val="24"/>
        </w:rPr>
        <w:t>（签章）</w:t>
      </w:r>
    </w:p>
    <w:p>
      <w:pPr>
        <w:spacing w:line="360" w:lineRule="auto"/>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ind w:firstLine="420"/>
        <w:rPr>
          <w:rFonts w:ascii="宋体" w:hAnsi="宋体" w:cs="宋体"/>
          <w:color w:val="auto"/>
          <w:sz w:val="24"/>
          <w:szCs w:val="24"/>
        </w:rPr>
      </w:pPr>
      <w:r>
        <w:rPr>
          <w:rFonts w:hint="eastAsia" w:ascii="宋体" w:hAnsi="宋体" w:cs="宋体"/>
          <w:color w:val="auto"/>
          <w:sz w:val="24"/>
          <w:szCs w:val="24"/>
        </w:rPr>
        <w:t>附注：法定代表人的身份证复印件。</w:t>
      </w:r>
    </w:p>
    <w:p>
      <w:pPr>
        <w:spacing w:line="360" w:lineRule="auto"/>
        <w:jc w:val="center"/>
        <w:rPr>
          <w:rFonts w:ascii="宋体" w:hAnsi="宋体" w:cs="宋体"/>
          <w:b/>
          <w:bCs/>
          <w:color w:val="auto"/>
          <w:sz w:val="24"/>
          <w:szCs w:val="24"/>
        </w:rPr>
      </w:pPr>
      <w:bookmarkStart w:id="1265" w:name="_Toc12701_WPSOffice_Level3"/>
      <w:r>
        <w:rPr>
          <w:rFonts w:hint="eastAsia" w:ascii="宋体" w:hAnsi="宋体" w:cs="宋体"/>
          <w:b/>
          <w:bCs/>
          <w:color w:val="auto"/>
          <w:sz w:val="24"/>
          <w:szCs w:val="24"/>
        </w:rPr>
        <w:t>2、授权委托书</w:t>
      </w:r>
      <w:bookmarkEnd w:id="1265"/>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 xml:space="preserve">   (姓名)</w:t>
      </w:r>
      <w:r>
        <w:rPr>
          <w:rFonts w:hint="eastAsia" w:ascii="宋体" w:hAnsi="宋体" w:cs="宋体"/>
          <w:color w:val="auto"/>
          <w:sz w:val="24"/>
          <w:szCs w:val="24"/>
        </w:rPr>
        <w:t>系</w:t>
      </w:r>
      <w:r>
        <w:rPr>
          <w:rFonts w:hint="eastAsia" w:ascii="宋体" w:hAnsi="宋体" w:cs="宋体"/>
          <w:color w:val="auto"/>
          <w:sz w:val="24"/>
          <w:szCs w:val="24"/>
          <w:u w:val="single"/>
        </w:rPr>
        <w:t xml:space="preserve">                       (供应商名称)</w:t>
      </w:r>
      <w:r>
        <w:rPr>
          <w:rFonts w:hint="eastAsia" w:ascii="宋体" w:hAnsi="宋体" w:cs="宋体"/>
          <w:color w:val="auto"/>
          <w:sz w:val="24"/>
          <w:szCs w:val="24"/>
        </w:rPr>
        <w:t>的法定代表人，现授权委托</w:t>
      </w:r>
      <w:r>
        <w:rPr>
          <w:rFonts w:hint="eastAsia" w:ascii="宋体" w:hAnsi="宋体" w:cs="宋体"/>
          <w:color w:val="auto"/>
          <w:sz w:val="24"/>
          <w:szCs w:val="24"/>
          <w:u w:val="single"/>
        </w:rPr>
        <w:t xml:space="preserve">                    (姓名)</w:t>
      </w:r>
      <w:r>
        <w:rPr>
          <w:rFonts w:hint="eastAsia" w:ascii="宋体" w:hAnsi="宋体" w:cs="宋体"/>
          <w:color w:val="auto"/>
          <w:sz w:val="24"/>
          <w:szCs w:val="24"/>
        </w:rPr>
        <w:t>为我单位代理人，以本单位的名义参加代理的 的竞争性磋商活动，代理人在磋商过程中所签署的一切文件和处理与之有关的一切事务，我均予以承认。</w:t>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代理人无转委权。特此委托。</w:t>
      </w:r>
    </w:p>
    <w:p>
      <w:pPr>
        <w:spacing w:line="360" w:lineRule="auto"/>
        <w:rPr>
          <w:rFonts w:ascii="宋体" w:hAnsi="宋体" w:cs="宋体"/>
          <w:color w:val="auto"/>
          <w:sz w:val="24"/>
          <w:szCs w:val="24"/>
        </w:rPr>
      </w:pPr>
      <w:r>
        <w:rPr>
          <w:rFonts w:hint="eastAsia" w:ascii="宋体" w:hAnsi="宋体" w:cs="宋体"/>
          <w:color w:val="auto"/>
          <w:sz w:val="24"/>
          <w:szCs w:val="24"/>
        </w:rPr>
        <w:t>代理人：              性别：               年龄：</w:t>
      </w:r>
    </w:p>
    <w:p>
      <w:pPr>
        <w:spacing w:line="360" w:lineRule="auto"/>
        <w:rPr>
          <w:rFonts w:ascii="宋体" w:hAnsi="宋体" w:cs="宋体"/>
          <w:color w:val="auto"/>
          <w:sz w:val="24"/>
          <w:szCs w:val="24"/>
        </w:rPr>
      </w:pPr>
      <w:r>
        <w:rPr>
          <w:rFonts w:hint="eastAsia" w:ascii="宋体" w:hAnsi="宋体" w:cs="宋体"/>
          <w:color w:val="auto"/>
          <w:sz w:val="24"/>
          <w:szCs w:val="24"/>
        </w:rPr>
        <w:t>单位：                部门：               职务：</w:t>
      </w:r>
    </w:p>
    <w:p>
      <w:pPr>
        <w:spacing w:line="360" w:lineRule="auto"/>
        <w:rPr>
          <w:rFonts w:ascii="宋体" w:hAnsi="宋体" w:cs="宋体"/>
          <w:color w:val="auto"/>
          <w:sz w:val="24"/>
          <w:szCs w:val="24"/>
        </w:rPr>
      </w:pPr>
      <w:r>
        <w:rPr>
          <w:rFonts w:hint="eastAsia" w:ascii="宋体" w:hAnsi="宋体" w:cs="宋体"/>
          <w:color w:val="auto"/>
          <w:sz w:val="24"/>
          <w:szCs w:val="24"/>
        </w:rPr>
        <w:t>身份证号码：</w:t>
      </w:r>
    </w:p>
    <w:p>
      <w:pPr>
        <w:spacing w:line="360" w:lineRule="auto"/>
        <w:rPr>
          <w:rFonts w:ascii="宋体" w:hAnsi="宋体" w:cs="宋体"/>
          <w:color w:val="auto"/>
          <w:sz w:val="24"/>
          <w:szCs w:val="24"/>
        </w:rPr>
      </w:pPr>
      <w:r>
        <w:rPr>
          <w:rFonts w:hint="eastAsia" w:ascii="宋体" w:hAnsi="宋体" w:cs="宋体"/>
          <w:color w:val="auto"/>
          <w:sz w:val="24"/>
          <w:szCs w:val="24"/>
        </w:rPr>
        <w:t>供应商：(盖章)</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法定代表人：(签字或盖章)</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附注：在法定代表人不能亲自参加开标会议，由其委托代理人参加的，在提供“授权委托书”的同时，提供委托代理人身份证原件备查。</w:t>
      </w:r>
    </w:p>
    <w:p>
      <w:pPr>
        <w:tabs>
          <w:tab w:val="left" w:pos="1305"/>
        </w:tabs>
        <w:spacing w:line="300" w:lineRule="auto"/>
        <w:jc w:val="center"/>
        <w:rPr>
          <w:rFonts w:ascii="宋体" w:hAnsi="宋体" w:cs="宋体"/>
          <w:b/>
          <w:bCs/>
          <w:color w:val="auto"/>
          <w:sz w:val="28"/>
          <w:szCs w:val="28"/>
        </w:rPr>
      </w:pPr>
      <w:bookmarkStart w:id="1266" w:name="_Toc32291_WPSOffice_Level3"/>
      <w:r>
        <w:rPr>
          <w:rFonts w:hint="eastAsia" w:ascii="宋体" w:hAnsi="宋体" w:cs="宋体"/>
          <w:b/>
          <w:bCs/>
          <w:color w:val="auto"/>
          <w:sz w:val="28"/>
          <w:szCs w:val="28"/>
        </w:rPr>
        <w:t>⑶供应商基本情况表</w:t>
      </w:r>
      <w:bookmarkEnd w:id="1266"/>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942"/>
        <w:gridCol w:w="1080"/>
        <w:gridCol w:w="1232"/>
        <w:gridCol w:w="321"/>
        <w:gridCol w:w="1310"/>
        <w:gridCol w:w="62"/>
        <w:gridCol w:w="71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供应商名称</w:t>
            </w:r>
          </w:p>
        </w:tc>
        <w:tc>
          <w:tcPr>
            <w:tcW w:w="4093" w:type="pct"/>
            <w:gridSpan w:val="8"/>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注册地址</w:t>
            </w:r>
          </w:p>
        </w:tc>
        <w:tc>
          <w:tcPr>
            <w:tcW w:w="1889" w:type="pct"/>
            <w:gridSpan w:val="4"/>
            <w:noWrap/>
            <w:vAlign w:val="center"/>
          </w:tcPr>
          <w:p>
            <w:pPr>
              <w:spacing w:line="240" w:lineRule="auto"/>
              <w:jc w:val="both"/>
              <w:rPr>
                <w:rFonts w:ascii="宋体" w:hAnsi="宋体" w:cs="宋体"/>
                <w:color w:val="auto"/>
                <w:sz w:val="24"/>
                <w:szCs w:val="24"/>
              </w:rPr>
            </w:pPr>
          </w:p>
        </w:tc>
        <w:tc>
          <w:tcPr>
            <w:tcW w:w="694"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邮政编码</w:t>
            </w:r>
          </w:p>
        </w:tc>
        <w:tc>
          <w:tcPr>
            <w:tcW w:w="1509" w:type="pct"/>
            <w:gridSpan w:val="3"/>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Merge w:val="restar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联系方式</w:t>
            </w:r>
          </w:p>
        </w:tc>
        <w:tc>
          <w:tcPr>
            <w:tcW w:w="499"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联系人</w:t>
            </w:r>
          </w:p>
        </w:tc>
        <w:tc>
          <w:tcPr>
            <w:tcW w:w="1389" w:type="pct"/>
            <w:gridSpan w:val="3"/>
            <w:noWrap/>
            <w:vAlign w:val="center"/>
          </w:tcPr>
          <w:p>
            <w:pPr>
              <w:spacing w:line="240" w:lineRule="auto"/>
              <w:jc w:val="both"/>
              <w:rPr>
                <w:rFonts w:ascii="宋体" w:hAnsi="宋体" w:cs="宋体"/>
                <w:color w:val="auto"/>
                <w:sz w:val="24"/>
                <w:szCs w:val="24"/>
              </w:rPr>
            </w:pPr>
          </w:p>
        </w:tc>
        <w:tc>
          <w:tcPr>
            <w:tcW w:w="694"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电  话</w:t>
            </w:r>
          </w:p>
        </w:tc>
        <w:tc>
          <w:tcPr>
            <w:tcW w:w="1509" w:type="pct"/>
            <w:gridSpan w:val="3"/>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Merge w:val="continue"/>
            <w:noWrap/>
            <w:vAlign w:val="center"/>
          </w:tcPr>
          <w:p>
            <w:pPr>
              <w:spacing w:line="240" w:lineRule="auto"/>
              <w:rPr>
                <w:rFonts w:ascii="宋体" w:hAnsi="宋体" w:cs="宋体"/>
                <w:color w:val="auto"/>
                <w:sz w:val="24"/>
              </w:rPr>
            </w:pPr>
          </w:p>
        </w:tc>
        <w:tc>
          <w:tcPr>
            <w:tcW w:w="499"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传  真</w:t>
            </w:r>
          </w:p>
        </w:tc>
        <w:tc>
          <w:tcPr>
            <w:tcW w:w="1389" w:type="pct"/>
            <w:gridSpan w:val="3"/>
            <w:noWrap/>
            <w:vAlign w:val="center"/>
          </w:tcPr>
          <w:p>
            <w:pPr>
              <w:spacing w:line="240" w:lineRule="auto"/>
              <w:jc w:val="both"/>
              <w:rPr>
                <w:rFonts w:ascii="宋体" w:hAnsi="宋体" w:cs="宋体"/>
                <w:color w:val="auto"/>
                <w:sz w:val="24"/>
                <w:szCs w:val="24"/>
              </w:rPr>
            </w:pPr>
          </w:p>
        </w:tc>
        <w:tc>
          <w:tcPr>
            <w:tcW w:w="694"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网  址</w:t>
            </w:r>
          </w:p>
        </w:tc>
        <w:tc>
          <w:tcPr>
            <w:tcW w:w="1509" w:type="pct"/>
            <w:gridSpan w:val="3"/>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rPr>
              <w:t>统一社会信用代码</w:t>
            </w:r>
          </w:p>
        </w:tc>
        <w:tc>
          <w:tcPr>
            <w:tcW w:w="4093" w:type="pct"/>
            <w:gridSpan w:val="8"/>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法定代表人</w:t>
            </w:r>
          </w:p>
        </w:tc>
        <w:tc>
          <w:tcPr>
            <w:tcW w:w="499"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姓名</w:t>
            </w:r>
          </w:p>
        </w:tc>
        <w:tc>
          <w:tcPr>
            <w:tcW w:w="569" w:type="pct"/>
            <w:noWrap/>
            <w:vAlign w:val="center"/>
          </w:tcPr>
          <w:p>
            <w:pPr>
              <w:spacing w:line="240" w:lineRule="auto"/>
              <w:jc w:val="both"/>
              <w:rPr>
                <w:rFonts w:ascii="宋体" w:hAnsi="宋体" w:cs="宋体"/>
                <w:color w:val="auto"/>
                <w:sz w:val="24"/>
                <w:szCs w:val="24"/>
              </w:rPr>
            </w:pPr>
          </w:p>
        </w:tc>
        <w:tc>
          <w:tcPr>
            <w:tcW w:w="64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技术职称</w:t>
            </w:r>
          </w:p>
        </w:tc>
        <w:tc>
          <w:tcPr>
            <w:tcW w:w="903" w:type="pct"/>
            <w:gridSpan w:val="3"/>
            <w:noWrap/>
            <w:vAlign w:val="center"/>
          </w:tcPr>
          <w:p>
            <w:pPr>
              <w:spacing w:line="240" w:lineRule="auto"/>
              <w:jc w:val="both"/>
              <w:rPr>
                <w:rFonts w:ascii="宋体" w:hAnsi="宋体" w:cs="宋体"/>
                <w:color w:val="auto"/>
                <w:sz w:val="24"/>
                <w:szCs w:val="24"/>
              </w:rPr>
            </w:pPr>
          </w:p>
        </w:tc>
        <w:tc>
          <w:tcPr>
            <w:tcW w:w="401"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电话</w:t>
            </w:r>
          </w:p>
        </w:tc>
        <w:tc>
          <w:tcPr>
            <w:tcW w:w="1073" w:type="pct"/>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技术负责人</w:t>
            </w:r>
          </w:p>
        </w:tc>
        <w:tc>
          <w:tcPr>
            <w:tcW w:w="499"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姓名</w:t>
            </w:r>
          </w:p>
        </w:tc>
        <w:tc>
          <w:tcPr>
            <w:tcW w:w="569" w:type="pct"/>
            <w:noWrap/>
            <w:vAlign w:val="center"/>
          </w:tcPr>
          <w:p>
            <w:pPr>
              <w:spacing w:line="240" w:lineRule="auto"/>
              <w:jc w:val="both"/>
              <w:rPr>
                <w:rFonts w:ascii="宋体" w:hAnsi="宋体" w:cs="宋体"/>
                <w:color w:val="auto"/>
                <w:sz w:val="24"/>
                <w:szCs w:val="24"/>
              </w:rPr>
            </w:pPr>
          </w:p>
        </w:tc>
        <w:tc>
          <w:tcPr>
            <w:tcW w:w="64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技术职称</w:t>
            </w:r>
          </w:p>
        </w:tc>
        <w:tc>
          <w:tcPr>
            <w:tcW w:w="903" w:type="pct"/>
            <w:gridSpan w:val="3"/>
            <w:noWrap/>
            <w:vAlign w:val="center"/>
          </w:tcPr>
          <w:p>
            <w:pPr>
              <w:spacing w:line="240" w:lineRule="auto"/>
              <w:jc w:val="both"/>
              <w:rPr>
                <w:rFonts w:ascii="宋体" w:hAnsi="宋体" w:cs="宋体"/>
                <w:color w:val="auto"/>
                <w:sz w:val="24"/>
                <w:szCs w:val="24"/>
              </w:rPr>
            </w:pPr>
          </w:p>
        </w:tc>
        <w:tc>
          <w:tcPr>
            <w:tcW w:w="401"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电话</w:t>
            </w:r>
          </w:p>
        </w:tc>
        <w:tc>
          <w:tcPr>
            <w:tcW w:w="1073" w:type="pct"/>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成立时间</w:t>
            </w:r>
          </w:p>
        </w:tc>
        <w:tc>
          <w:tcPr>
            <w:tcW w:w="1068" w:type="pct"/>
            <w:gridSpan w:val="2"/>
            <w:noWrap/>
            <w:vAlign w:val="center"/>
          </w:tcPr>
          <w:p>
            <w:pPr>
              <w:spacing w:line="240" w:lineRule="auto"/>
              <w:jc w:val="both"/>
              <w:rPr>
                <w:rFonts w:ascii="宋体" w:hAnsi="宋体" w:cs="宋体"/>
                <w:color w:val="auto"/>
                <w:sz w:val="24"/>
                <w:szCs w:val="24"/>
              </w:rPr>
            </w:pPr>
          </w:p>
        </w:tc>
        <w:tc>
          <w:tcPr>
            <w:tcW w:w="3024" w:type="pct"/>
            <w:gridSpan w:val="6"/>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资质等级</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restar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其中</w:t>
            </w: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项目经理</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安全生产许可证号</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continue"/>
            <w:noWrap/>
            <w:vAlign w:val="center"/>
          </w:tcPr>
          <w:p>
            <w:pPr>
              <w:spacing w:line="240" w:lineRule="auto"/>
              <w:rPr>
                <w:rFonts w:ascii="宋体" w:hAnsi="宋体" w:cs="宋体"/>
                <w:color w:val="auto"/>
                <w:sz w:val="24"/>
              </w:rPr>
            </w:pP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高级职称人员</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注册资金</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continue"/>
            <w:noWrap/>
            <w:vAlign w:val="center"/>
          </w:tcPr>
          <w:p>
            <w:pPr>
              <w:spacing w:line="240" w:lineRule="auto"/>
              <w:rPr>
                <w:rFonts w:ascii="宋体" w:hAnsi="宋体" w:cs="宋体"/>
                <w:color w:val="auto"/>
                <w:sz w:val="24"/>
              </w:rPr>
            </w:pP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中级职称人员</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开户银行</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continue"/>
            <w:noWrap/>
            <w:vAlign w:val="center"/>
          </w:tcPr>
          <w:p>
            <w:pPr>
              <w:spacing w:line="240" w:lineRule="auto"/>
              <w:rPr>
                <w:rFonts w:ascii="宋体" w:hAnsi="宋体" w:cs="宋体"/>
                <w:color w:val="auto"/>
                <w:sz w:val="24"/>
              </w:rPr>
            </w:pP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初级职称人员</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账号</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continue"/>
            <w:noWrap/>
            <w:vAlign w:val="center"/>
          </w:tcPr>
          <w:p>
            <w:pPr>
              <w:spacing w:line="240" w:lineRule="auto"/>
              <w:rPr>
                <w:rFonts w:ascii="宋体" w:hAnsi="宋体" w:cs="宋体"/>
                <w:color w:val="auto"/>
                <w:sz w:val="24"/>
              </w:rPr>
            </w:pP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技  工</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经营范围</w:t>
            </w:r>
          </w:p>
        </w:tc>
        <w:tc>
          <w:tcPr>
            <w:tcW w:w="4093" w:type="pct"/>
            <w:gridSpan w:val="8"/>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备注</w:t>
            </w:r>
          </w:p>
        </w:tc>
        <w:tc>
          <w:tcPr>
            <w:tcW w:w="4093" w:type="pct"/>
            <w:gridSpan w:val="8"/>
            <w:noWrap/>
            <w:vAlign w:val="center"/>
          </w:tcPr>
          <w:p>
            <w:pPr>
              <w:spacing w:line="240" w:lineRule="auto"/>
              <w:jc w:val="both"/>
              <w:rPr>
                <w:rFonts w:ascii="宋体" w:hAnsi="宋体" w:cs="宋体"/>
                <w:color w:val="auto"/>
                <w:sz w:val="24"/>
                <w:szCs w:val="24"/>
              </w:rPr>
            </w:pPr>
          </w:p>
        </w:tc>
      </w:tr>
    </w:tbl>
    <w:p>
      <w:pPr>
        <w:pStyle w:val="8"/>
        <w:spacing w:line="300" w:lineRule="auto"/>
        <w:rPr>
          <w:rFonts w:ascii="宋体" w:hAnsi="宋体" w:cs="宋体"/>
          <w:color w:val="auto"/>
          <w:sz w:val="24"/>
          <w:szCs w:val="24"/>
        </w:rPr>
      </w:pPr>
    </w:p>
    <w:p>
      <w:pPr>
        <w:spacing w:line="300" w:lineRule="auto"/>
        <w:jc w:val="left"/>
        <w:rPr>
          <w:rFonts w:ascii="宋体" w:hAnsi="宋体" w:cs="宋体"/>
          <w:color w:val="auto"/>
          <w:sz w:val="24"/>
          <w:szCs w:val="24"/>
        </w:rPr>
      </w:pPr>
      <w:bookmarkStart w:id="1267" w:name="_Toc24657_WPSOffice_Level3"/>
      <w:r>
        <w:rPr>
          <w:rFonts w:hint="eastAsia" w:ascii="宋体" w:hAnsi="宋体" w:cs="宋体"/>
          <w:color w:val="auto"/>
          <w:sz w:val="24"/>
          <w:szCs w:val="24"/>
        </w:rPr>
        <w:t>附：1、有效的企业营业执照</w:t>
      </w:r>
      <w:bookmarkEnd w:id="1267"/>
    </w:p>
    <w:p>
      <w:pPr>
        <w:numPr>
          <w:ilvl w:val="0"/>
          <w:numId w:val="3"/>
        </w:numPr>
        <w:spacing w:line="30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企业资质证书副本</w:t>
      </w:r>
    </w:p>
    <w:p>
      <w:pPr>
        <w:spacing w:line="30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3、安全生产许可证副本等的复印件</w:t>
      </w: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pStyle w:val="8"/>
        <w:spacing w:line="300" w:lineRule="auto"/>
        <w:rPr>
          <w:rFonts w:ascii="宋体" w:hAnsi="宋体" w:cs="宋体"/>
          <w:b/>
          <w:bCs/>
          <w:color w:val="auto"/>
          <w:sz w:val="28"/>
          <w:szCs w:val="28"/>
        </w:rPr>
      </w:pPr>
    </w:p>
    <w:p>
      <w:pPr>
        <w:pStyle w:val="8"/>
        <w:spacing w:line="300" w:lineRule="auto"/>
        <w:rPr>
          <w:rFonts w:ascii="宋体" w:hAnsi="宋体" w:cs="宋体"/>
          <w:b/>
          <w:bCs/>
          <w:color w:val="auto"/>
          <w:sz w:val="28"/>
          <w:szCs w:val="28"/>
        </w:rPr>
      </w:pPr>
    </w:p>
    <w:p>
      <w:pPr>
        <w:pStyle w:val="8"/>
        <w:spacing w:line="300" w:lineRule="auto"/>
        <w:rPr>
          <w:rFonts w:ascii="宋体" w:hAnsi="宋体" w:cs="宋体"/>
          <w:b/>
          <w:bCs/>
          <w:color w:val="auto"/>
          <w:sz w:val="28"/>
          <w:szCs w:val="28"/>
        </w:rPr>
      </w:pPr>
    </w:p>
    <w:p>
      <w:pPr>
        <w:tabs>
          <w:tab w:val="left" w:pos="1305"/>
        </w:tabs>
        <w:spacing w:line="360" w:lineRule="auto"/>
        <w:jc w:val="center"/>
        <w:rPr>
          <w:rFonts w:ascii="宋体" w:hAnsi="宋体" w:cs="宋体"/>
          <w:b w:val="0"/>
          <w:bCs w:val="0"/>
          <w:color w:val="auto"/>
          <w:sz w:val="24"/>
          <w:szCs w:val="24"/>
        </w:rPr>
      </w:pPr>
      <w:bookmarkStart w:id="1268" w:name="_Toc31282_WPSOffice_Level3"/>
      <w:r>
        <w:rPr>
          <w:rFonts w:hint="eastAsia" w:ascii="宋体" w:hAnsi="宋体" w:cs="宋体"/>
          <w:b w:val="0"/>
          <w:bCs w:val="0"/>
          <w:color w:val="auto"/>
          <w:sz w:val="24"/>
          <w:szCs w:val="24"/>
        </w:rPr>
        <w:t>⑷</w:t>
      </w:r>
      <w:r>
        <w:rPr>
          <w:rFonts w:ascii="宋体" w:hAnsi="宋体" w:eastAsia="宋体" w:cs="宋体"/>
          <w:color w:val="auto"/>
          <w:sz w:val="24"/>
          <w:szCs w:val="24"/>
        </w:rPr>
        <w:t>项目经理具备水利水电工程专业贰级以上(含贰级)或市政公用工程专业贰级以上(含贰级)或公路工程专业贰级以上(含贰级)注册建造师执业资格，具备有效的安全生产考核合格证书（B类）；</w:t>
      </w: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bookmarkEnd w:id="1268"/>
    <w:p>
      <w:pPr>
        <w:tabs>
          <w:tab w:val="left" w:pos="1305"/>
        </w:tabs>
        <w:spacing w:line="300" w:lineRule="auto"/>
        <w:rPr>
          <w:rFonts w:hint="eastAsia" w:ascii="宋体" w:hAnsi="宋体" w:cs="宋体"/>
          <w:b/>
          <w:bCs/>
          <w:color w:val="auto"/>
          <w:sz w:val="28"/>
          <w:szCs w:val="28"/>
        </w:rPr>
      </w:pPr>
    </w:p>
    <w:p>
      <w:pPr>
        <w:tabs>
          <w:tab w:val="left" w:pos="1305"/>
        </w:tabs>
        <w:spacing w:line="360" w:lineRule="auto"/>
        <w:rPr>
          <w:rFonts w:ascii="宋体" w:hAnsi="宋体" w:cs="宋体"/>
          <w:b/>
          <w:bCs/>
          <w:color w:val="auto"/>
          <w:sz w:val="24"/>
          <w:szCs w:val="24"/>
        </w:rPr>
      </w:pPr>
      <w:r>
        <w:rPr>
          <w:rFonts w:hint="eastAsia" w:ascii="宋体" w:hAnsi="宋体" w:cs="宋体"/>
          <w:b/>
          <w:bCs/>
          <w:color w:val="auto"/>
          <w:sz w:val="24"/>
          <w:szCs w:val="24"/>
        </w:rPr>
        <w:t>（5）农民工工资保障金的交纳与使用的承诺（按桂劳社发【2009】50号文执行）；</w:t>
      </w:r>
    </w:p>
    <w:p>
      <w:pPr>
        <w:pStyle w:val="8"/>
        <w:spacing w:line="360" w:lineRule="auto"/>
        <w:ind w:firstLine="0"/>
        <w:jc w:val="center"/>
        <w:rPr>
          <w:rFonts w:ascii="宋体" w:hAnsi="宋体" w:cs="宋体"/>
          <w:color w:val="auto"/>
          <w:sz w:val="24"/>
          <w:szCs w:val="24"/>
        </w:rPr>
      </w:pPr>
      <w:r>
        <w:rPr>
          <w:rFonts w:hint="eastAsia" w:ascii="宋体" w:hAnsi="宋体" w:cs="宋体"/>
          <w:color w:val="auto"/>
          <w:sz w:val="24"/>
          <w:szCs w:val="24"/>
        </w:rPr>
        <w:t>（按桂劳社发【2009】50号文执行）</w:t>
      </w:r>
    </w:p>
    <w:p>
      <w:pPr>
        <w:spacing w:line="360" w:lineRule="auto"/>
        <w:rPr>
          <w:rFonts w:ascii="宋体" w:hAnsi="宋体" w:cs="宋体"/>
          <w:color w:val="auto"/>
          <w:sz w:val="24"/>
        </w:rPr>
      </w:pPr>
      <w:bookmarkStart w:id="1269" w:name="_Toc21538_WPSOffice_Level3"/>
      <w:r>
        <w:rPr>
          <w:rFonts w:hint="eastAsia" w:ascii="宋体" w:hAnsi="宋体" w:cs="宋体"/>
          <w:b/>
          <w:bCs/>
          <w:color w:val="auto"/>
          <w:sz w:val="24"/>
        </w:rPr>
        <w:t>1、成交后及时、足额存入农民工工资保障金的承诺</w:t>
      </w:r>
      <w:bookmarkEnd w:id="1269"/>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（本承诺不提供统一格式，由供应商自行编写）</w:t>
      </w: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jc w:val="center"/>
        <w:rPr>
          <w:rFonts w:ascii="宋体" w:hAnsi="宋体" w:cs="宋体"/>
          <w:color w:val="auto"/>
          <w:sz w:val="24"/>
          <w:szCs w:val="24"/>
        </w:rPr>
      </w:pPr>
      <w:bookmarkStart w:id="1270" w:name="_Toc15032_WPSOffice_Level3"/>
      <w:r>
        <w:rPr>
          <w:rFonts w:hint="eastAsia" w:ascii="宋体" w:hAnsi="宋体" w:cs="宋体"/>
          <w:color w:val="auto"/>
          <w:sz w:val="24"/>
          <w:szCs w:val="24"/>
        </w:rPr>
        <w:t>供应商：(盖单位公章)</w:t>
      </w:r>
      <w:bookmarkEnd w:id="1270"/>
    </w:p>
    <w:p>
      <w:pPr>
        <w:spacing w:line="360" w:lineRule="auto"/>
        <w:jc w:val="center"/>
        <w:rPr>
          <w:rFonts w:ascii="宋体" w:hAnsi="宋体" w:cs="宋体"/>
          <w:color w:val="auto"/>
          <w:sz w:val="24"/>
          <w:szCs w:val="24"/>
        </w:rPr>
      </w:pPr>
      <w:bookmarkStart w:id="1271" w:name="_Toc25367_WPSOffice_Level3"/>
      <w:r>
        <w:rPr>
          <w:rFonts w:hint="eastAsia" w:ascii="宋体" w:hAnsi="宋体" w:cs="宋体"/>
          <w:color w:val="auto"/>
          <w:sz w:val="24"/>
          <w:szCs w:val="24"/>
        </w:rPr>
        <w:t>法定代表人（或授权委托代理人）：(签名)</w:t>
      </w:r>
      <w:bookmarkEnd w:id="1271"/>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pStyle w:val="8"/>
        <w:spacing w:line="360" w:lineRule="auto"/>
        <w:rPr>
          <w:rFonts w:ascii="宋体" w:hAnsi="宋体" w:cs="宋体"/>
          <w:color w:val="auto"/>
          <w:sz w:val="24"/>
          <w:szCs w:val="24"/>
        </w:rPr>
      </w:pPr>
    </w:p>
    <w:p>
      <w:pPr>
        <w:spacing w:line="360" w:lineRule="auto"/>
        <w:rPr>
          <w:rFonts w:ascii="宋体" w:hAnsi="宋体" w:cs="宋体"/>
          <w:b/>
          <w:bCs/>
          <w:color w:val="auto"/>
          <w:sz w:val="24"/>
        </w:rPr>
      </w:pPr>
      <w:bookmarkStart w:id="1272" w:name="_Toc6537_WPSOffice_Level3"/>
      <w:r>
        <w:rPr>
          <w:rFonts w:hint="eastAsia" w:ascii="宋体" w:hAnsi="宋体" w:cs="宋体"/>
          <w:b/>
          <w:bCs/>
          <w:color w:val="auto"/>
          <w:sz w:val="24"/>
        </w:rPr>
        <w:t>2、依法足额支付农民工工资的承诺</w:t>
      </w:r>
      <w:bookmarkEnd w:id="1272"/>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（本承诺不提供统一格式，由供应商自行编写，承诺依法足额支付农民工工资，一旦其承建的工程项目出现拖欠农民工工资情况的，可由劳动保障部门从工资保证金中先予垫支）</w:t>
      </w: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jc w:val="both"/>
        <w:rPr>
          <w:rFonts w:ascii="宋体" w:hAnsi="宋体" w:cs="宋体"/>
          <w:color w:val="auto"/>
          <w:sz w:val="24"/>
          <w:szCs w:val="24"/>
        </w:rPr>
      </w:pPr>
      <w:bookmarkStart w:id="1273" w:name="_Toc23477_WPSOffice_Level3"/>
      <w:r>
        <w:rPr>
          <w:rFonts w:hint="eastAsia" w:ascii="宋体" w:hAnsi="宋体" w:cs="宋体"/>
          <w:color w:val="auto"/>
          <w:sz w:val="24"/>
          <w:szCs w:val="24"/>
        </w:rPr>
        <w:t>供应商：</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(盖单位公章)</w:t>
      </w:r>
      <w:bookmarkEnd w:id="1273"/>
    </w:p>
    <w:p>
      <w:pPr>
        <w:spacing w:line="360" w:lineRule="auto"/>
        <w:jc w:val="both"/>
        <w:rPr>
          <w:rFonts w:ascii="宋体" w:hAnsi="宋体" w:cs="宋体"/>
          <w:color w:val="auto"/>
          <w:sz w:val="24"/>
          <w:szCs w:val="24"/>
        </w:rPr>
      </w:pPr>
      <w:bookmarkStart w:id="1274" w:name="_Toc18457_WPSOffice_Level3"/>
      <w:r>
        <w:rPr>
          <w:rFonts w:hint="eastAsia" w:ascii="宋体" w:hAnsi="宋体" w:cs="宋体"/>
          <w:color w:val="auto"/>
          <w:sz w:val="24"/>
          <w:szCs w:val="24"/>
        </w:rPr>
        <w:t>法定代表人（或授权委托代理人）：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(签名)</w:t>
      </w:r>
      <w:bookmarkEnd w:id="1274"/>
    </w:p>
    <w:p>
      <w:pPr>
        <w:spacing w:line="360" w:lineRule="auto"/>
        <w:ind w:firstLine="2640" w:firstLineChars="1100"/>
        <w:rPr>
          <w:rFonts w:ascii="宋体" w:hAnsi="宋体" w:cs="宋体"/>
          <w:b/>
          <w:bCs/>
          <w:color w:val="auto"/>
          <w:sz w:val="24"/>
          <w:szCs w:val="24"/>
        </w:rPr>
      </w:pP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r>
        <w:rPr>
          <w:rFonts w:hint="eastAsia" w:ascii="宋体" w:hAnsi="宋体" w:cs="宋体"/>
          <w:b/>
          <w:bCs/>
          <w:color w:val="auto"/>
          <w:sz w:val="28"/>
          <w:szCs w:val="28"/>
        </w:rPr>
        <w:t>（6）建设工程项目管理承诺书；</w:t>
      </w:r>
    </w:p>
    <w:p>
      <w:pPr>
        <w:spacing w:line="300" w:lineRule="auto"/>
        <w:jc w:val="center"/>
        <w:rPr>
          <w:rFonts w:ascii="宋体" w:hAnsi="宋体" w:cs="宋体"/>
          <w:b/>
          <w:bCs/>
          <w:color w:val="auto"/>
          <w:sz w:val="24"/>
        </w:rPr>
      </w:pPr>
    </w:p>
    <w:p>
      <w:pPr>
        <w:adjustRightInd w:val="0"/>
        <w:snapToGrid w:val="0"/>
        <w:spacing w:line="360" w:lineRule="auto"/>
        <w:jc w:val="both"/>
        <w:rPr>
          <w:rFonts w:ascii="宋体" w:hAnsi="宋体" w:cs="宋体"/>
          <w:color w:val="auto"/>
          <w:sz w:val="24"/>
        </w:rPr>
      </w:pPr>
      <w:r>
        <w:rPr>
          <w:rFonts w:hint="eastAsia" w:ascii="宋体" w:hAnsi="宋体" w:cs="宋体"/>
          <w:color w:val="auto"/>
          <w:sz w:val="24"/>
        </w:rPr>
        <w:t>致（采购人名称）：</w:t>
      </w:r>
    </w:p>
    <w:p>
      <w:pPr>
        <w:adjustRightInd w:val="0"/>
        <w:snapToGrid w:val="0"/>
        <w:spacing w:line="360" w:lineRule="auto"/>
        <w:ind w:left="-10" w:firstLine="520" w:firstLineChars="217"/>
        <w:jc w:val="both"/>
        <w:rPr>
          <w:rFonts w:ascii="宋体" w:hAnsi="宋体" w:cs="宋体"/>
          <w:color w:val="auto"/>
          <w:sz w:val="24"/>
        </w:rPr>
      </w:pPr>
      <w:r>
        <w:rPr>
          <w:rFonts w:hint="eastAsia" w:ascii="宋体" w:hAnsi="宋体" w:cs="宋体"/>
          <w:color w:val="auto"/>
          <w:sz w:val="24"/>
        </w:rPr>
        <w:t>作为参与</w:t>
      </w:r>
      <w:r>
        <w:rPr>
          <w:rFonts w:hint="eastAsia" w:ascii="宋体" w:hAnsi="宋体" w:cs="宋体"/>
          <w:color w:val="auto"/>
          <w:sz w:val="24"/>
          <w:szCs w:val="24"/>
          <w:u w:val="single"/>
        </w:rPr>
        <w:t>                  </w:t>
      </w:r>
      <w:r>
        <w:rPr>
          <w:rFonts w:hint="eastAsia" w:ascii="宋体" w:hAnsi="宋体" w:cs="宋体"/>
          <w:color w:val="auto"/>
          <w:sz w:val="24"/>
        </w:rPr>
        <w:t>（工程名称）项目的投标方，根据国家、自治区相关文件规定，我方在此向采购人承诺：</w:t>
      </w:r>
    </w:p>
    <w:p>
      <w:pPr>
        <w:adjustRightInd w:val="0"/>
        <w:snapToGrid w:val="0"/>
        <w:spacing w:line="360" w:lineRule="auto"/>
        <w:ind w:left="-10" w:firstLine="520" w:firstLineChars="217"/>
        <w:jc w:val="both"/>
        <w:rPr>
          <w:rFonts w:ascii="宋体" w:hAnsi="宋体" w:cs="宋体"/>
          <w:color w:val="auto"/>
          <w:sz w:val="24"/>
        </w:rPr>
      </w:pPr>
      <w:r>
        <w:rPr>
          <w:rFonts w:hint="eastAsia" w:ascii="宋体" w:hAnsi="宋体" w:cs="宋体"/>
          <w:color w:val="auto"/>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adjustRightInd w:val="0"/>
        <w:snapToGrid w:val="0"/>
        <w:spacing w:line="360" w:lineRule="auto"/>
        <w:ind w:left="-10" w:firstLine="520" w:firstLineChars="217"/>
        <w:jc w:val="both"/>
        <w:rPr>
          <w:rFonts w:ascii="宋体" w:hAnsi="宋体" w:cs="宋体"/>
          <w:color w:val="auto"/>
          <w:sz w:val="24"/>
        </w:rPr>
      </w:pPr>
      <w:r>
        <w:rPr>
          <w:rFonts w:hint="eastAsia" w:ascii="宋体" w:hAnsi="宋体" w:cs="宋体"/>
          <w:color w:val="auto"/>
          <w:sz w:val="24"/>
        </w:rPr>
        <w:t>2、一旦成交，我方保证在施工过程中，严格执行《广西壮族自治区建设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adjustRightInd w:val="0"/>
        <w:snapToGrid w:val="0"/>
        <w:spacing w:line="360" w:lineRule="auto"/>
        <w:ind w:left="-2" w:leftChars="-1" w:firstLine="513" w:firstLineChars="214"/>
        <w:jc w:val="both"/>
        <w:rPr>
          <w:rFonts w:ascii="宋体" w:hAnsi="宋体" w:cs="宋体"/>
          <w:color w:val="auto"/>
          <w:sz w:val="24"/>
        </w:rPr>
      </w:pPr>
      <w:r>
        <w:rPr>
          <w:rFonts w:hint="eastAsia" w:ascii="宋体" w:hAnsi="宋体" w:cs="宋体"/>
          <w:color w:val="auto"/>
          <w:sz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adjustRightInd w:val="0"/>
        <w:snapToGrid w:val="0"/>
        <w:spacing w:line="360" w:lineRule="auto"/>
        <w:ind w:left="-10" w:firstLine="520" w:firstLineChars="217"/>
        <w:jc w:val="both"/>
        <w:rPr>
          <w:rFonts w:ascii="宋体" w:hAnsi="宋体" w:cs="宋体"/>
          <w:color w:val="auto"/>
          <w:sz w:val="24"/>
        </w:rPr>
      </w:pPr>
      <w:r>
        <w:rPr>
          <w:rFonts w:hint="eastAsia" w:ascii="宋体" w:hAnsi="宋体" w:cs="宋体"/>
          <w:color w:val="auto"/>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adjustRightInd w:val="0"/>
        <w:snapToGrid w:val="0"/>
        <w:spacing w:line="360" w:lineRule="auto"/>
        <w:ind w:left="-2" w:leftChars="-1" w:firstLine="513" w:firstLineChars="214"/>
        <w:jc w:val="both"/>
        <w:rPr>
          <w:rFonts w:ascii="宋体" w:hAnsi="宋体" w:cs="宋体"/>
          <w:color w:val="auto"/>
          <w:sz w:val="24"/>
        </w:rPr>
      </w:pPr>
    </w:p>
    <w:p>
      <w:pPr>
        <w:adjustRightInd w:val="0"/>
        <w:snapToGrid w:val="0"/>
        <w:spacing w:line="360" w:lineRule="auto"/>
        <w:jc w:val="both"/>
        <w:rPr>
          <w:rFonts w:ascii="宋体" w:hAnsi="宋体" w:cs="宋体"/>
          <w:color w:val="auto"/>
          <w:sz w:val="24"/>
        </w:rPr>
      </w:pPr>
    </w:p>
    <w:p>
      <w:pPr>
        <w:adjustRightInd w:val="0"/>
        <w:snapToGrid w:val="0"/>
        <w:spacing w:line="360" w:lineRule="auto"/>
        <w:ind w:leftChars="1400" w:firstLine="0" w:firstLineChars="0"/>
        <w:jc w:val="both"/>
        <w:rPr>
          <w:rFonts w:ascii="宋体" w:hAnsi="宋体" w:cs="宋体"/>
          <w:color w:val="auto"/>
          <w:sz w:val="24"/>
          <w:u w:val="single"/>
        </w:rPr>
      </w:pPr>
      <w:r>
        <w:rPr>
          <w:rFonts w:hint="eastAsia" w:ascii="宋体" w:hAnsi="宋体" w:cs="宋体"/>
          <w:color w:val="auto"/>
          <w:sz w:val="24"/>
        </w:rPr>
        <w:t>供应商：</w:t>
      </w:r>
      <w:r>
        <w:rPr>
          <w:rFonts w:hint="eastAsia" w:ascii="宋体" w:hAnsi="宋体" w:cs="宋体"/>
          <w:color w:val="auto"/>
          <w:sz w:val="24"/>
          <w:u w:val="single"/>
        </w:rPr>
        <w:t xml:space="preserve">                     （盖单位章）</w:t>
      </w:r>
    </w:p>
    <w:p>
      <w:pPr>
        <w:adjustRightInd w:val="0"/>
        <w:snapToGrid w:val="0"/>
        <w:spacing w:line="360" w:lineRule="auto"/>
        <w:ind w:leftChars="1400" w:firstLine="1440" w:firstLineChars="600"/>
        <w:jc w:val="both"/>
        <w:rPr>
          <w:rFonts w:ascii="宋体" w:hAnsi="宋体" w:cs="宋体"/>
          <w:color w:val="auto"/>
          <w:sz w:val="24"/>
        </w:rPr>
      </w:pPr>
    </w:p>
    <w:p>
      <w:pPr>
        <w:adjustRightInd w:val="0"/>
        <w:snapToGrid w:val="0"/>
        <w:spacing w:line="360" w:lineRule="auto"/>
        <w:ind w:leftChars="1400" w:firstLine="0" w:firstLineChars="0"/>
        <w:jc w:val="both"/>
        <w:rPr>
          <w:rFonts w:ascii="宋体" w:hAnsi="宋体" w:cs="宋体"/>
          <w:color w:val="auto"/>
          <w:sz w:val="24"/>
          <w:u w:val="single"/>
        </w:rPr>
      </w:pPr>
      <w:r>
        <w:rPr>
          <w:rFonts w:hint="eastAsia" w:ascii="宋体" w:hAnsi="宋体" w:cs="宋体"/>
          <w:color w:val="auto"/>
          <w:sz w:val="24"/>
        </w:rPr>
        <w:t>法定代表人或授权代理人：</w:t>
      </w:r>
      <w:r>
        <w:rPr>
          <w:rFonts w:hint="eastAsia" w:ascii="宋体" w:hAnsi="宋体" w:cs="宋体"/>
          <w:color w:val="auto"/>
          <w:sz w:val="24"/>
          <w:u w:val="single"/>
        </w:rPr>
        <w:t xml:space="preserve">              （签字或盖章）</w:t>
      </w:r>
    </w:p>
    <w:p>
      <w:pPr>
        <w:adjustRightInd w:val="0"/>
        <w:snapToGrid w:val="0"/>
        <w:spacing w:line="360" w:lineRule="auto"/>
        <w:ind w:firstLine="1440" w:firstLineChars="600"/>
        <w:jc w:val="both"/>
        <w:rPr>
          <w:rFonts w:ascii="宋体" w:hAnsi="宋体" w:cs="宋体"/>
          <w:color w:val="auto"/>
          <w:sz w:val="24"/>
        </w:rPr>
      </w:pPr>
    </w:p>
    <w:p>
      <w:pPr>
        <w:adjustRightInd w:val="0"/>
        <w:snapToGrid w:val="0"/>
        <w:spacing w:line="360" w:lineRule="auto"/>
        <w:ind w:left="4200" w:leftChars="2000" w:firstLine="520" w:firstLineChars="217"/>
        <w:jc w:val="both"/>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spacing w:line="360" w:lineRule="auto"/>
        <w:ind w:firstLine="525" w:firstLineChars="250"/>
        <w:jc w:val="center"/>
        <w:rPr>
          <w:rFonts w:ascii="宋体" w:hAnsi="宋体" w:cs="宋体"/>
          <w:b/>
          <w:color w:val="auto"/>
          <w:sz w:val="24"/>
          <w:szCs w:val="24"/>
        </w:rPr>
      </w:pPr>
      <w:r>
        <w:rPr>
          <w:rFonts w:hint="eastAsia" w:ascii="宋体" w:hAnsi="宋体" w:cs="宋体"/>
          <w:color w:val="auto"/>
          <w:szCs w:val="21"/>
        </w:rPr>
        <w:br w:type="page"/>
      </w:r>
      <w:bookmarkStart w:id="1275" w:name="_Toc24740_WPSOffice_Level3"/>
      <w:r>
        <w:rPr>
          <w:rFonts w:hint="eastAsia" w:ascii="宋体" w:hAnsi="宋体" w:cs="宋体"/>
          <w:b/>
          <w:color w:val="auto"/>
          <w:sz w:val="24"/>
          <w:szCs w:val="24"/>
        </w:rPr>
        <w:t>广西壮族自治区建筑工程安全文明施工措施项目清单内容</w:t>
      </w:r>
      <w:bookmarkEnd w:id="1275"/>
    </w:p>
    <w:p>
      <w:pPr>
        <w:pStyle w:val="30"/>
        <w:spacing w:line="360" w:lineRule="auto"/>
        <w:jc w:val="center"/>
        <w:rPr>
          <w:rFonts w:ascii="宋体" w:hAnsi="宋体" w:cs="宋体"/>
          <w:color w:val="auto"/>
          <w:sz w:val="24"/>
          <w:szCs w:val="24"/>
        </w:rPr>
      </w:pPr>
      <w:r>
        <w:rPr>
          <w:rFonts w:hint="eastAsia" w:ascii="宋体" w:hAnsi="宋体" w:cs="宋体"/>
          <w:color w:val="auto"/>
          <w:sz w:val="24"/>
          <w:szCs w:val="24"/>
        </w:rPr>
        <w:t>（桂建质【2015】16号文附件一）</w:t>
      </w:r>
    </w:p>
    <w:p>
      <w:pPr>
        <w:pStyle w:val="31"/>
        <w:spacing w:line="360" w:lineRule="auto"/>
        <w:jc w:val="center"/>
        <w:rPr>
          <w:rFonts w:ascii="宋体" w:hAnsi="宋体" w:cs="宋体"/>
          <w:b/>
          <w:bCs/>
          <w:color w:val="auto"/>
          <w:sz w:val="24"/>
          <w:szCs w:val="24"/>
        </w:rPr>
      </w:pPr>
      <w:r>
        <w:rPr>
          <w:rFonts w:hint="eastAsia" w:ascii="宋体" w:hAnsi="宋体" w:cs="宋体"/>
          <w:b/>
          <w:bCs/>
          <w:color w:val="auto"/>
          <w:sz w:val="24"/>
          <w:szCs w:val="24"/>
        </w:rPr>
        <w:t>广西壮族自治区</w:t>
      </w:r>
    </w:p>
    <w:p>
      <w:pPr>
        <w:pStyle w:val="31"/>
        <w:spacing w:line="360" w:lineRule="auto"/>
        <w:jc w:val="center"/>
        <w:rPr>
          <w:rFonts w:ascii="宋体" w:hAnsi="宋体" w:cs="宋体"/>
          <w:b/>
          <w:bCs/>
          <w:color w:val="auto"/>
          <w:w w:val="90"/>
          <w:sz w:val="24"/>
          <w:szCs w:val="24"/>
        </w:rPr>
      </w:pPr>
      <w:r>
        <w:rPr>
          <w:rFonts w:hint="eastAsia" w:ascii="宋体" w:hAnsi="宋体" w:cs="宋体"/>
          <w:b/>
          <w:bCs/>
          <w:color w:val="auto"/>
          <w:w w:val="90"/>
          <w:sz w:val="24"/>
          <w:szCs w:val="24"/>
        </w:rPr>
        <w:t>建设工程安全文明施工措施项目清单内容</w:t>
      </w:r>
    </w:p>
    <w:tbl>
      <w:tblPr>
        <w:tblStyle w:val="2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801"/>
        <w:gridCol w:w="1288"/>
        <w:gridCol w:w="7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390" w:type="pct"/>
            <w:noWrap/>
            <w:vAlign w:val="center"/>
          </w:tcPr>
          <w:p>
            <w:pPr>
              <w:pStyle w:val="31"/>
              <w:spacing w:line="360" w:lineRule="auto"/>
              <w:jc w:val="center"/>
              <w:rPr>
                <w:rFonts w:ascii="宋体" w:hAnsi="宋体" w:cs="宋体"/>
                <w:b/>
                <w:bCs/>
                <w:color w:val="auto"/>
                <w:sz w:val="24"/>
                <w:szCs w:val="24"/>
              </w:rPr>
            </w:pPr>
            <w:r>
              <w:rPr>
                <w:rFonts w:hint="eastAsia" w:ascii="宋体" w:hAnsi="宋体" w:cs="宋体"/>
                <w:b/>
                <w:bCs/>
                <w:color w:val="auto"/>
                <w:sz w:val="24"/>
                <w:szCs w:val="24"/>
              </w:rPr>
              <w:t>类别</w:t>
            </w:r>
          </w:p>
        </w:tc>
        <w:tc>
          <w:tcPr>
            <w:tcW w:w="1094" w:type="pct"/>
            <w:gridSpan w:val="2"/>
            <w:noWrap/>
            <w:vAlign w:val="center"/>
          </w:tcPr>
          <w:p>
            <w:pPr>
              <w:pStyle w:val="31"/>
              <w:spacing w:line="360" w:lineRule="auto"/>
              <w:jc w:val="center"/>
              <w:rPr>
                <w:rFonts w:ascii="宋体" w:hAnsi="宋体" w:cs="宋体"/>
                <w:b/>
                <w:bCs/>
                <w:color w:val="auto"/>
                <w:sz w:val="24"/>
                <w:szCs w:val="24"/>
              </w:rPr>
            </w:pPr>
            <w:r>
              <w:rPr>
                <w:rFonts w:hint="eastAsia" w:ascii="宋体" w:hAnsi="宋体" w:cs="宋体"/>
                <w:b/>
                <w:bCs/>
                <w:color w:val="auto"/>
                <w:sz w:val="24"/>
                <w:szCs w:val="24"/>
              </w:rPr>
              <w:t>项目名称</w:t>
            </w:r>
          </w:p>
        </w:tc>
        <w:tc>
          <w:tcPr>
            <w:tcW w:w="3514" w:type="pct"/>
            <w:noWrap/>
            <w:vAlign w:val="center"/>
          </w:tcPr>
          <w:p>
            <w:pPr>
              <w:pStyle w:val="31"/>
              <w:spacing w:line="360" w:lineRule="auto"/>
              <w:jc w:val="center"/>
              <w:rPr>
                <w:rFonts w:ascii="宋体" w:hAnsi="宋体" w:cs="宋体"/>
                <w:b/>
                <w:bCs/>
                <w:color w:val="auto"/>
                <w:sz w:val="24"/>
                <w:szCs w:val="24"/>
              </w:rPr>
            </w:pPr>
            <w:r>
              <w:rPr>
                <w:rFonts w:hint="eastAsia" w:ascii="宋体" w:hAnsi="宋体" w:cs="宋体"/>
                <w:b/>
                <w:bCs/>
                <w:color w:val="auto"/>
                <w:sz w:val="24"/>
                <w:szCs w:val="24"/>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restar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文明</w:t>
            </w:r>
          </w:p>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施工</w:t>
            </w:r>
          </w:p>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与</w:t>
            </w:r>
          </w:p>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环境</w:t>
            </w:r>
          </w:p>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保护</w:t>
            </w: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安全警示</w:t>
            </w:r>
          </w:p>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标志牌</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现场围挡</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1. 现场采用封闭围挡，高度不小于1.8m。</w:t>
            </w:r>
          </w:p>
          <w:p>
            <w:pPr>
              <w:pStyle w:val="31"/>
              <w:spacing w:line="360" w:lineRule="auto"/>
              <w:rPr>
                <w:rFonts w:ascii="宋体" w:hAnsi="宋体" w:cs="宋体"/>
                <w:color w:val="auto"/>
                <w:sz w:val="24"/>
                <w:szCs w:val="24"/>
              </w:rPr>
            </w:pPr>
            <w:r>
              <w:rPr>
                <w:rFonts w:hint="eastAsia" w:ascii="宋体" w:hAnsi="宋体" w:cs="宋体"/>
                <w:color w:val="auto"/>
                <w:sz w:val="24"/>
                <w:szCs w:val="24"/>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七牌二图</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企业标志</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场容场貌</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1. 道路畅通。</w:t>
            </w:r>
          </w:p>
          <w:p>
            <w:pPr>
              <w:pStyle w:val="31"/>
              <w:spacing w:line="360" w:lineRule="auto"/>
              <w:rPr>
                <w:rFonts w:ascii="宋体" w:hAnsi="宋体" w:cs="宋体"/>
                <w:color w:val="auto"/>
                <w:sz w:val="24"/>
                <w:szCs w:val="24"/>
              </w:rPr>
            </w:pPr>
            <w:r>
              <w:rPr>
                <w:rFonts w:hint="eastAsia" w:ascii="宋体" w:hAnsi="宋体" w:cs="宋体"/>
                <w:color w:val="auto"/>
                <w:sz w:val="24"/>
                <w:szCs w:val="24"/>
              </w:rPr>
              <w:t>2. 排水设施齐全畅通。</w:t>
            </w:r>
          </w:p>
          <w:p>
            <w:pPr>
              <w:pStyle w:val="31"/>
              <w:spacing w:line="360" w:lineRule="auto"/>
              <w:rPr>
                <w:rFonts w:ascii="宋体" w:hAnsi="宋体" w:cs="宋体"/>
                <w:color w:val="auto"/>
                <w:sz w:val="24"/>
                <w:szCs w:val="24"/>
              </w:rPr>
            </w:pPr>
            <w:r>
              <w:rPr>
                <w:rFonts w:hint="eastAsia" w:ascii="宋体" w:hAnsi="宋体" w:cs="宋体"/>
                <w:color w:val="auto"/>
                <w:sz w:val="24"/>
                <w:szCs w:val="24"/>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材料堆放</w:t>
            </w:r>
          </w:p>
        </w:tc>
        <w:tc>
          <w:tcPr>
            <w:tcW w:w="3514" w:type="pct"/>
            <w:noWrap/>
            <w:vAlign w:val="center"/>
          </w:tcPr>
          <w:p>
            <w:pPr>
              <w:pStyle w:val="31"/>
              <w:numPr>
                <w:ilvl w:val="0"/>
                <w:numId w:val="4"/>
              </w:numPr>
              <w:spacing w:line="360" w:lineRule="auto"/>
              <w:rPr>
                <w:rFonts w:ascii="宋体" w:hAnsi="宋体" w:cs="宋体"/>
                <w:color w:val="auto"/>
                <w:sz w:val="24"/>
                <w:szCs w:val="24"/>
              </w:rPr>
            </w:pPr>
            <w:r>
              <w:rPr>
                <w:rFonts w:hint="eastAsia" w:ascii="宋体" w:hAnsi="宋体" w:cs="宋体"/>
                <w:color w:val="auto"/>
                <w:sz w:val="24"/>
                <w:szCs w:val="24"/>
              </w:rPr>
              <w:t>材料、构件、料具等堆放时，应有名称、品种、规格等标牌。</w:t>
            </w:r>
          </w:p>
          <w:p>
            <w:pPr>
              <w:pStyle w:val="31"/>
              <w:spacing w:line="360" w:lineRule="auto"/>
              <w:rPr>
                <w:rFonts w:ascii="宋体" w:hAnsi="宋体" w:cs="宋体"/>
                <w:color w:val="auto"/>
                <w:sz w:val="24"/>
                <w:szCs w:val="24"/>
              </w:rPr>
            </w:pPr>
            <w:r>
              <w:rPr>
                <w:rFonts w:hint="eastAsia" w:ascii="宋体" w:hAnsi="宋体" w:cs="宋体"/>
                <w:color w:val="auto"/>
                <w:sz w:val="24"/>
                <w:szCs w:val="24"/>
              </w:rPr>
              <w:t>2. 水泥和其它易飞扬细颗粒建筑材料应封闭存放或采取覆盖等措施。</w:t>
            </w:r>
          </w:p>
          <w:p>
            <w:pPr>
              <w:pStyle w:val="31"/>
              <w:spacing w:line="360" w:lineRule="auto"/>
              <w:rPr>
                <w:rFonts w:ascii="宋体" w:hAnsi="宋体" w:cs="宋体"/>
                <w:color w:val="auto"/>
                <w:sz w:val="24"/>
                <w:szCs w:val="24"/>
              </w:rPr>
            </w:pPr>
            <w:r>
              <w:rPr>
                <w:rFonts w:hint="eastAsia" w:ascii="宋体" w:hAnsi="宋体" w:cs="宋体"/>
                <w:color w:val="auto"/>
                <w:sz w:val="24"/>
                <w:szCs w:val="24"/>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现场防火</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垃圾清运</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1. 施工现场应设置密闭式垃圾站，施工垃圾、生活垃圾应分类存放。</w:t>
            </w:r>
          </w:p>
          <w:p>
            <w:pPr>
              <w:pStyle w:val="31"/>
              <w:spacing w:line="360" w:lineRule="auto"/>
              <w:rPr>
                <w:rFonts w:ascii="宋体" w:hAnsi="宋体" w:cs="宋体"/>
                <w:color w:val="auto"/>
                <w:sz w:val="24"/>
                <w:szCs w:val="24"/>
              </w:rPr>
            </w:pPr>
            <w:r>
              <w:rPr>
                <w:rFonts w:hint="eastAsia" w:ascii="宋体" w:hAnsi="宋体" w:cs="宋体"/>
                <w:color w:val="auto"/>
                <w:sz w:val="24"/>
                <w:szCs w:val="24"/>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宣传栏、环保及不扰民措施</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restar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临时设施</w:t>
            </w: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现场办公</w:t>
            </w:r>
          </w:p>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生活设施</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1. 施工现场办公、生活区与作业区分开设置，保持安全距离。</w:t>
            </w:r>
          </w:p>
          <w:p>
            <w:pPr>
              <w:pStyle w:val="31"/>
              <w:spacing w:line="360" w:lineRule="auto"/>
              <w:rPr>
                <w:rFonts w:ascii="宋体" w:hAnsi="宋体" w:cs="宋体"/>
                <w:color w:val="auto"/>
                <w:sz w:val="24"/>
                <w:szCs w:val="24"/>
              </w:rPr>
            </w:pPr>
            <w:r>
              <w:rPr>
                <w:rFonts w:hint="eastAsia" w:ascii="宋体" w:hAnsi="宋体" w:cs="宋体"/>
                <w:color w:val="auto"/>
                <w:sz w:val="24"/>
                <w:szCs w:val="24"/>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restar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施工现场</w:t>
            </w:r>
          </w:p>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临时用电</w:t>
            </w:r>
          </w:p>
        </w:tc>
        <w:tc>
          <w:tcPr>
            <w:tcW w:w="817" w:type="pc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配电线路</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1. 按照TN-S系统要求配备五芯电缆、四芯电缆和三芯电缆。</w:t>
            </w:r>
          </w:p>
          <w:p>
            <w:pPr>
              <w:pStyle w:val="31"/>
              <w:spacing w:line="360" w:lineRule="auto"/>
              <w:rPr>
                <w:rFonts w:ascii="宋体" w:hAnsi="宋体" w:cs="宋体"/>
                <w:color w:val="auto"/>
                <w:sz w:val="24"/>
                <w:szCs w:val="24"/>
              </w:rPr>
            </w:pPr>
            <w:r>
              <w:rPr>
                <w:rFonts w:hint="eastAsia" w:ascii="宋体" w:hAnsi="宋体" w:cs="宋体"/>
                <w:color w:val="auto"/>
                <w:sz w:val="24"/>
                <w:szCs w:val="24"/>
              </w:rPr>
              <w:t>2. 按要求架设临时用电线路的电杆、横担、瓷夹、瓷瓶等，或电缆埋地的地沟。</w:t>
            </w:r>
          </w:p>
          <w:p>
            <w:pPr>
              <w:pStyle w:val="31"/>
              <w:spacing w:line="360" w:lineRule="auto"/>
              <w:rPr>
                <w:rFonts w:ascii="宋体" w:hAnsi="宋体" w:cs="宋体"/>
                <w:color w:val="auto"/>
                <w:sz w:val="24"/>
                <w:szCs w:val="24"/>
              </w:rPr>
            </w:pPr>
            <w:r>
              <w:rPr>
                <w:rFonts w:hint="eastAsia" w:ascii="宋体" w:hAnsi="宋体" w:cs="宋体"/>
                <w:color w:val="auto"/>
                <w:sz w:val="24"/>
                <w:szCs w:val="24"/>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配电箱</w:t>
            </w:r>
          </w:p>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开关箱</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1. 按三级配电要求，配备总配电箱、分配电箱、开关箱三类（铁质）标准电箱，开关箱应符合“一机、一箱、一闸、一漏”，三类电箱中的各类电器应是合格品。</w:t>
            </w:r>
          </w:p>
          <w:p>
            <w:pPr>
              <w:pStyle w:val="31"/>
              <w:spacing w:line="360" w:lineRule="auto"/>
              <w:rPr>
                <w:rFonts w:ascii="宋体" w:hAnsi="宋体" w:cs="宋体"/>
                <w:color w:val="auto"/>
                <w:sz w:val="24"/>
                <w:szCs w:val="24"/>
              </w:rPr>
            </w:pPr>
            <w:r>
              <w:rPr>
                <w:rFonts w:hint="eastAsia" w:ascii="宋体" w:hAnsi="宋体" w:cs="宋体"/>
                <w:color w:val="auto"/>
                <w:sz w:val="24"/>
                <w:szCs w:val="24"/>
              </w:rPr>
              <w:t>2. 按两级保护的要求，选取符合容量要求和质量合格的总配电箱和开关箱中的漏电保护器。</w:t>
            </w:r>
          </w:p>
          <w:p>
            <w:pPr>
              <w:pStyle w:val="31"/>
              <w:spacing w:line="360" w:lineRule="auto"/>
              <w:rPr>
                <w:rFonts w:ascii="宋体" w:hAnsi="宋体" w:cs="宋体"/>
                <w:color w:val="auto"/>
                <w:sz w:val="24"/>
                <w:szCs w:val="24"/>
              </w:rPr>
            </w:pPr>
            <w:r>
              <w:rPr>
                <w:rFonts w:hint="eastAsia" w:ascii="宋体" w:hAnsi="宋体" w:cs="宋体"/>
                <w:color w:val="auto"/>
                <w:sz w:val="24"/>
                <w:szCs w:val="24"/>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接地装置</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现场变配电装置</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390" w:type="pct"/>
            <w:noWrap/>
            <w:vAlign w:val="center"/>
          </w:tcPr>
          <w:p>
            <w:pPr>
              <w:pStyle w:val="31"/>
              <w:spacing w:line="360" w:lineRule="auto"/>
              <w:jc w:val="center"/>
              <w:rPr>
                <w:rFonts w:ascii="宋体" w:hAnsi="宋体" w:cs="宋体"/>
                <w:b/>
                <w:bCs/>
                <w:color w:val="auto"/>
                <w:sz w:val="24"/>
                <w:szCs w:val="24"/>
              </w:rPr>
            </w:pPr>
            <w:r>
              <w:rPr>
                <w:rFonts w:hint="eastAsia" w:ascii="宋体" w:hAnsi="宋体" w:cs="宋体"/>
                <w:b/>
                <w:bCs/>
                <w:color w:val="auto"/>
                <w:sz w:val="24"/>
                <w:szCs w:val="24"/>
              </w:rPr>
              <w:t>类别</w:t>
            </w:r>
          </w:p>
        </w:tc>
        <w:tc>
          <w:tcPr>
            <w:tcW w:w="1094" w:type="pct"/>
            <w:gridSpan w:val="2"/>
            <w:noWrap/>
            <w:vAlign w:val="center"/>
          </w:tcPr>
          <w:p>
            <w:pPr>
              <w:pStyle w:val="31"/>
              <w:spacing w:line="360" w:lineRule="auto"/>
              <w:jc w:val="center"/>
              <w:rPr>
                <w:rFonts w:ascii="宋体" w:hAnsi="宋体" w:cs="宋体"/>
                <w:b/>
                <w:bCs/>
                <w:color w:val="auto"/>
                <w:sz w:val="24"/>
                <w:szCs w:val="24"/>
              </w:rPr>
            </w:pPr>
            <w:r>
              <w:rPr>
                <w:rFonts w:hint="eastAsia" w:ascii="宋体" w:hAnsi="宋体" w:cs="宋体"/>
                <w:b/>
                <w:bCs/>
                <w:color w:val="auto"/>
                <w:sz w:val="24"/>
                <w:szCs w:val="24"/>
              </w:rPr>
              <w:t>项目名称</w:t>
            </w:r>
          </w:p>
        </w:tc>
        <w:tc>
          <w:tcPr>
            <w:tcW w:w="3514" w:type="pct"/>
            <w:noWrap/>
            <w:vAlign w:val="center"/>
          </w:tcPr>
          <w:p>
            <w:pPr>
              <w:pStyle w:val="31"/>
              <w:spacing w:line="360" w:lineRule="auto"/>
              <w:jc w:val="center"/>
              <w:rPr>
                <w:rFonts w:ascii="宋体" w:hAnsi="宋体" w:cs="宋体"/>
                <w:b/>
                <w:bCs/>
                <w:color w:val="auto"/>
                <w:sz w:val="24"/>
                <w:szCs w:val="24"/>
              </w:rPr>
            </w:pPr>
            <w:r>
              <w:rPr>
                <w:rFonts w:hint="eastAsia" w:ascii="宋体" w:hAnsi="宋体" w:cs="宋体"/>
                <w:b/>
                <w:bCs/>
                <w:color w:val="auto"/>
                <w:sz w:val="24"/>
                <w:szCs w:val="24"/>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restar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安全施工</w:t>
            </w:r>
          </w:p>
        </w:tc>
        <w:tc>
          <w:tcPr>
            <w:tcW w:w="277" w:type="pct"/>
            <w:vMerge w:val="restar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高处作业防护</w:t>
            </w:r>
          </w:p>
        </w:tc>
        <w:tc>
          <w:tcPr>
            <w:tcW w:w="817"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楼层、屋面、阳台等临边</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通道口</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预留洞口</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电梯井口</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楼梯边</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垂直方向交叉作业</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高处作业</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基坑、物料平台</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安全防护用品</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390" w:type="pct"/>
            <w:vMerge w:val="restar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其它</w:t>
            </w:r>
          </w:p>
        </w:tc>
        <w:tc>
          <w:tcPr>
            <w:tcW w:w="277" w:type="pct"/>
            <w:vMerge w:val="restar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机械设备防护</w:t>
            </w:r>
          </w:p>
        </w:tc>
        <w:tc>
          <w:tcPr>
            <w:tcW w:w="817" w:type="pc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中小型机械</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垂直运输设备</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1. 垂直运输设备检测、检验、日常维护、保养等。</w:t>
            </w:r>
          </w:p>
          <w:p>
            <w:pPr>
              <w:pStyle w:val="31"/>
              <w:spacing w:line="360" w:lineRule="auto"/>
              <w:rPr>
                <w:rFonts w:ascii="宋体" w:hAnsi="宋体" w:cs="宋体"/>
                <w:color w:val="auto"/>
                <w:sz w:val="24"/>
                <w:szCs w:val="24"/>
              </w:rPr>
            </w:pPr>
            <w:r>
              <w:rPr>
                <w:rFonts w:hint="eastAsia" w:ascii="宋体" w:hAnsi="宋体" w:cs="宋体"/>
                <w:color w:val="auto"/>
                <w:sz w:val="24"/>
                <w:szCs w:val="24"/>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专家论证审查</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应急救援预案</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31"/>
              <w:spacing w:line="360" w:lineRule="auto"/>
              <w:jc w:val="center"/>
              <w:rPr>
                <w:rFonts w:ascii="宋体" w:hAnsi="宋体" w:cs="宋体"/>
                <w:color w:val="auto"/>
                <w:sz w:val="24"/>
                <w:szCs w:val="24"/>
              </w:rPr>
            </w:pPr>
            <w:r>
              <w:rPr>
                <w:rFonts w:hint="eastAsia" w:ascii="宋体" w:hAnsi="宋体" w:cs="宋体"/>
                <w:color w:val="auto"/>
                <w:sz w:val="24"/>
                <w:szCs w:val="24"/>
              </w:rPr>
              <w:t>非正常情况施工</w:t>
            </w:r>
          </w:p>
        </w:tc>
        <w:tc>
          <w:tcPr>
            <w:tcW w:w="3514" w:type="pct"/>
            <w:noWrap/>
            <w:vAlign w:val="center"/>
          </w:tcPr>
          <w:p>
            <w:pPr>
              <w:pStyle w:val="31"/>
              <w:spacing w:line="360" w:lineRule="auto"/>
              <w:rPr>
                <w:rFonts w:ascii="宋体" w:hAnsi="宋体" w:cs="宋体"/>
                <w:color w:val="auto"/>
                <w:sz w:val="24"/>
                <w:szCs w:val="24"/>
              </w:rPr>
            </w:pPr>
            <w:r>
              <w:rPr>
                <w:rFonts w:hint="eastAsia" w:ascii="宋体" w:hAnsi="宋体" w:cs="宋体"/>
                <w:color w:val="auto"/>
                <w:sz w:val="24"/>
                <w:szCs w:val="24"/>
              </w:rPr>
              <w:t>其它特殊情况下的防护费用，如：城市主干道、人流密集、河边等处施工及文物、古建筑、古树保护等。</w:t>
            </w:r>
          </w:p>
        </w:tc>
      </w:tr>
    </w:tbl>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sectPr>
          <w:footerReference r:id="rId8" w:type="default"/>
          <w:pgSz w:w="11910" w:h="16840"/>
          <w:pgMar w:top="1542" w:right="1009" w:bottom="1040" w:left="1241" w:header="876" w:footer="858" w:gutter="0"/>
          <w:pgNumType w:fmt="decimal" w:start="4"/>
          <w:cols w:space="720" w:num="1"/>
        </w:sectPr>
      </w:pPr>
    </w:p>
    <w:p>
      <w:pPr>
        <w:tabs>
          <w:tab w:val="left" w:pos="1305"/>
        </w:tabs>
        <w:spacing w:line="300" w:lineRule="auto"/>
        <w:jc w:val="center"/>
        <w:rPr>
          <w:rFonts w:ascii="宋体" w:hAnsi="宋体" w:cs="宋体"/>
          <w:b/>
          <w:bCs/>
          <w:color w:val="auto"/>
          <w:sz w:val="28"/>
          <w:szCs w:val="28"/>
        </w:rPr>
      </w:pPr>
      <w:r>
        <w:rPr>
          <w:rFonts w:hint="eastAsia" w:ascii="宋体" w:hAnsi="宋体" w:cs="宋体"/>
          <w:b/>
          <w:bCs/>
          <w:color w:val="auto"/>
          <w:sz w:val="28"/>
          <w:szCs w:val="28"/>
        </w:rPr>
        <w:t>（7）安全防护、文明施工措施方案的承诺书；</w:t>
      </w:r>
    </w:p>
    <w:p>
      <w:pPr>
        <w:pStyle w:val="8"/>
        <w:spacing w:line="300" w:lineRule="auto"/>
        <w:ind w:firstLine="0"/>
        <w:jc w:val="center"/>
        <w:rPr>
          <w:rFonts w:ascii="宋体" w:hAnsi="宋体" w:cs="宋体"/>
          <w:b/>
          <w:bCs/>
          <w:color w:val="auto"/>
          <w:sz w:val="28"/>
          <w:szCs w:val="28"/>
        </w:rPr>
      </w:pPr>
    </w:p>
    <w:p>
      <w:pPr>
        <w:adjustRightInd w:val="0"/>
        <w:snapToGrid w:val="0"/>
        <w:spacing w:line="360" w:lineRule="auto"/>
        <w:jc w:val="both"/>
        <w:rPr>
          <w:rFonts w:ascii="宋体" w:hAnsi="宋体" w:cs="宋体"/>
          <w:color w:val="auto"/>
          <w:sz w:val="24"/>
          <w:szCs w:val="24"/>
        </w:rPr>
      </w:pPr>
      <w:r>
        <w:rPr>
          <w:rFonts w:hint="eastAsia" w:ascii="宋体" w:hAnsi="宋体" w:cs="宋体"/>
          <w:color w:val="auto"/>
          <w:sz w:val="24"/>
          <w:szCs w:val="24"/>
        </w:rPr>
        <w:t>致（采购人名称）：</w:t>
      </w:r>
    </w:p>
    <w:p>
      <w:pPr>
        <w:adjustRightInd w:val="0"/>
        <w:snapToGrid w:val="0"/>
        <w:spacing w:line="360" w:lineRule="auto"/>
        <w:ind w:left="-10" w:firstLine="520" w:firstLineChars="217"/>
        <w:jc w:val="both"/>
        <w:rPr>
          <w:rFonts w:ascii="宋体" w:hAnsi="宋体" w:cs="宋体"/>
          <w:color w:val="auto"/>
          <w:sz w:val="24"/>
          <w:szCs w:val="24"/>
        </w:rPr>
      </w:pPr>
      <w:r>
        <w:rPr>
          <w:rFonts w:hint="eastAsia" w:ascii="宋体" w:hAnsi="宋体" w:cs="宋体"/>
          <w:color w:val="auto"/>
          <w:sz w:val="24"/>
          <w:szCs w:val="24"/>
        </w:rPr>
        <w:t>作为参与</w:t>
      </w:r>
      <w:r>
        <w:rPr>
          <w:rFonts w:hint="eastAsia" w:ascii="宋体" w:hAnsi="宋体" w:cs="宋体"/>
          <w:color w:val="auto"/>
          <w:sz w:val="24"/>
          <w:szCs w:val="24"/>
          <w:u w:val="single"/>
        </w:rPr>
        <w:t>                  </w:t>
      </w:r>
      <w:r>
        <w:rPr>
          <w:rFonts w:hint="eastAsia" w:ascii="宋体" w:hAnsi="宋体" w:cs="宋体"/>
          <w:color w:val="auto"/>
          <w:sz w:val="24"/>
          <w:szCs w:val="24"/>
        </w:rPr>
        <w:t>（工程名称）项目的投标方，根据国家、自治区相关文件规定，我方在此向采购人承诺：</w:t>
      </w:r>
    </w:p>
    <w:p>
      <w:pPr>
        <w:adjustRightInd w:val="0"/>
        <w:snapToGrid w:val="0"/>
        <w:spacing w:line="360" w:lineRule="auto"/>
        <w:ind w:left="-10" w:firstLine="520" w:firstLineChars="217"/>
        <w:jc w:val="both"/>
        <w:rPr>
          <w:rFonts w:ascii="宋体" w:hAnsi="宋体" w:cs="宋体"/>
          <w:color w:val="auto"/>
          <w:sz w:val="24"/>
          <w:szCs w:val="24"/>
        </w:rPr>
      </w:pPr>
      <w:r>
        <w:rPr>
          <w:rFonts w:hint="eastAsia" w:ascii="宋体" w:hAnsi="宋体" w:cs="宋体"/>
          <w:color w:val="auto"/>
          <w:sz w:val="24"/>
          <w:szCs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adjustRightInd w:val="0"/>
        <w:snapToGrid w:val="0"/>
        <w:spacing w:line="360" w:lineRule="auto"/>
        <w:ind w:left="-10" w:firstLine="520" w:firstLineChars="217"/>
        <w:jc w:val="both"/>
        <w:rPr>
          <w:rFonts w:ascii="宋体" w:hAnsi="宋体" w:cs="宋体"/>
          <w:color w:val="auto"/>
          <w:sz w:val="24"/>
          <w:szCs w:val="24"/>
        </w:rPr>
      </w:pPr>
      <w:r>
        <w:rPr>
          <w:rFonts w:hint="eastAsia" w:ascii="宋体" w:hAnsi="宋体" w:cs="宋体"/>
          <w:color w:val="auto"/>
          <w:sz w:val="24"/>
          <w:szCs w:val="24"/>
        </w:rPr>
        <w:t>2、一旦成交，我方保证在施工过程中，严格执行《广西壮族自治区建筑工程安全防护、文明施工措施费及使用管理细则》（桂建质〔2006〕22号）的有关规定，确保建设工程各项安全防护、文明施工措施落实到位。如我方在该项目的承包中出现未按桂建质〔2006〕22号文附件一规定执行的情形，我方愿意按照相关规定接受建设单位及有关主管部门的处罚。</w:t>
      </w:r>
    </w:p>
    <w:p>
      <w:pPr>
        <w:adjustRightInd w:val="0"/>
        <w:snapToGrid w:val="0"/>
        <w:spacing w:line="360" w:lineRule="auto"/>
        <w:ind w:left="-2" w:leftChars="-1" w:firstLine="513" w:firstLineChars="214"/>
        <w:jc w:val="both"/>
        <w:rPr>
          <w:rFonts w:ascii="宋体" w:hAnsi="宋体" w:cs="宋体"/>
          <w:color w:val="auto"/>
          <w:sz w:val="24"/>
          <w:szCs w:val="24"/>
        </w:rPr>
      </w:pPr>
      <w:r>
        <w:rPr>
          <w:rFonts w:hint="eastAsia" w:ascii="宋体" w:hAnsi="宋体" w:cs="宋体"/>
          <w:color w:val="auto"/>
          <w:sz w:val="24"/>
          <w:szCs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adjustRightInd w:val="0"/>
        <w:snapToGrid w:val="0"/>
        <w:spacing w:line="360" w:lineRule="auto"/>
        <w:ind w:left="-10" w:firstLine="520" w:firstLineChars="217"/>
        <w:jc w:val="both"/>
        <w:rPr>
          <w:rFonts w:ascii="宋体" w:hAnsi="宋体" w:cs="宋体"/>
          <w:color w:val="auto"/>
          <w:sz w:val="24"/>
          <w:szCs w:val="24"/>
        </w:rPr>
      </w:pPr>
      <w:r>
        <w:rPr>
          <w:rFonts w:hint="eastAsia" w:ascii="宋体" w:hAnsi="宋体" w:cs="宋体"/>
          <w:color w:val="auto"/>
          <w:sz w:val="24"/>
          <w:szCs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adjustRightInd w:val="0"/>
        <w:snapToGrid w:val="0"/>
        <w:spacing w:line="360" w:lineRule="auto"/>
        <w:jc w:val="both"/>
        <w:rPr>
          <w:rFonts w:ascii="宋体" w:hAnsi="宋体" w:cs="宋体"/>
          <w:color w:val="auto"/>
          <w:sz w:val="24"/>
          <w:szCs w:val="24"/>
        </w:rPr>
      </w:pPr>
    </w:p>
    <w:p>
      <w:pPr>
        <w:adjustRightInd w:val="0"/>
        <w:snapToGrid w:val="0"/>
        <w:spacing w:line="360" w:lineRule="auto"/>
        <w:jc w:val="both"/>
        <w:rPr>
          <w:rFonts w:ascii="宋体" w:hAnsi="宋体" w:cs="宋体"/>
          <w:color w:val="auto"/>
          <w:sz w:val="24"/>
          <w:szCs w:val="24"/>
        </w:rPr>
      </w:pPr>
    </w:p>
    <w:p>
      <w:pPr>
        <w:adjustRightInd w:val="0"/>
        <w:snapToGrid w:val="0"/>
        <w:spacing w:line="360" w:lineRule="auto"/>
        <w:jc w:val="both"/>
        <w:rPr>
          <w:rFonts w:ascii="宋体" w:hAnsi="宋体" w:cs="宋体"/>
          <w:color w:val="auto"/>
          <w:sz w:val="24"/>
          <w:szCs w:val="24"/>
          <w:u w:val="single"/>
        </w:rPr>
      </w:pPr>
      <w:r>
        <w:rPr>
          <w:rFonts w:hint="eastAsia" w:ascii="宋体" w:hAnsi="宋体" w:cs="宋体"/>
          <w:color w:val="auto"/>
          <w:sz w:val="24"/>
          <w:szCs w:val="24"/>
        </w:rPr>
        <w:t>供应商：</w:t>
      </w:r>
      <w:r>
        <w:rPr>
          <w:rFonts w:hint="eastAsia" w:ascii="宋体" w:hAnsi="宋体" w:cs="宋体"/>
          <w:color w:val="auto"/>
          <w:sz w:val="24"/>
          <w:szCs w:val="24"/>
          <w:u w:val="single"/>
        </w:rPr>
        <w:t xml:space="preserve">                     （盖单位章）</w:t>
      </w:r>
    </w:p>
    <w:p>
      <w:pPr>
        <w:adjustRightInd w:val="0"/>
        <w:snapToGrid w:val="0"/>
        <w:spacing w:line="360" w:lineRule="auto"/>
        <w:jc w:val="both"/>
        <w:rPr>
          <w:rFonts w:ascii="宋体" w:hAnsi="宋体" w:cs="宋体"/>
          <w:color w:val="auto"/>
          <w:sz w:val="24"/>
          <w:szCs w:val="24"/>
          <w:u w:val="single"/>
        </w:rPr>
      </w:pPr>
      <w:r>
        <w:rPr>
          <w:rFonts w:hint="eastAsia" w:ascii="宋体" w:hAnsi="宋体" w:cs="宋体"/>
          <w:color w:val="auto"/>
          <w:sz w:val="24"/>
          <w:szCs w:val="24"/>
        </w:rPr>
        <w:t>法定代表人或授权代理人：</w:t>
      </w:r>
      <w:r>
        <w:rPr>
          <w:rFonts w:hint="eastAsia" w:ascii="宋体" w:hAnsi="宋体" w:cs="宋体"/>
          <w:color w:val="auto"/>
          <w:sz w:val="24"/>
          <w:szCs w:val="24"/>
          <w:u w:val="single"/>
        </w:rPr>
        <w:t xml:space="preserve">              （签字或盖章）</w:t>
      </w:r>
    </w:p>
    <w:p>
      <w:pPr>
        <w:adjustRightInd w:val="0"/>
        <w:snapToGrid w:val="0"/>
        <w:spacing w:line="360" w:lineRule="auto"/>
        <w:jc w:val="both"/>
        <w:rPr>
          <w:rFonts w:ascii="宋体" w:hAnsi="宋体" w:cs="宋体"/>
          <w:color w:val="auto"/>
          <w:sz w:val="24"/>
          <w:szCs w:val="24"/>
        </w:rPr>
      </w:pPr>
      <w:r>
        <w:rPr>
          <w:rFonts w:hint="eastAsia" w:ascii="宋体" w:hAnsi="宋体" w:cs="宋体"/>
          <w:color w:val="auto"/>
          <w:sz w:val="24"/>
          <w:szCs w:val="24"/>
        </w:rPr>
        <w:t>日期：年月日</w:t>
      </w:r>
    </w:p>
    <w:p>
      <w:pPr>
        <w:spacing w:line="300" w:lineRule="auto"/>
        <w:ind w:firstLine="602" w:firstLineChars="250"/>
        <w:jc w:val="center"/>
        <w:rPr>
          <w:rFonts w:ascii="宋体" w:hAnsi="宋体" w:cs="宋体"/>
          <w:b/>
          <w:color w:val="auto"/>
          <w:sz w:val="24"/>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val="0"/>
          <w:bCs w:val="0"/>
          <w:color w:val="auto"/>
          <w:sz w:val="24"/>
          <w:szCs w:val="24"/>
        </w:rPr>
      </w:pPr>
      <w:r>
        <w:rPr>
          <w:rFonts w:hint="eastAsia" w:ascii="宋体" w:hAnsi="宋体" w:cs="宋体"/>
          <w:b w:val="0"/>
          <w:bCs w:val="0"/>
          <w:color w:val="auto"/>
          <w:sz w:val="24"/>
          <w:szCs w:val="24"/>
        </w:rPr>
        <w:t>（8）</w:t>
      </w:r>
      <w:r>
        <w:rPr>
          <w:rFonts w:hint="eastAsia" w:ascii="宋体" w:hAnsi="宋体" w:cs="宋体"/>
          <w:color w:val="auto"/>
          <w:sz w:val="24"/>
          <w:szCs w:val="24"/>
        </w:rPr>
        <w:t>供应商参与政府采购活动前三年在经营活动中没有重大违法记录的书面声明（格式自拟）</w:t>
      </w:r>
      <w:r>
        <w:rPr>
          <w:rFonts w:hint="eastAsia" w:ascii="宋体" w:hAnsi="宋体" w:cs="宋体"/>
          <w:b w:val="0"/>
          <w:bCs w:val="0"/>
          <w:color w:val="auto"/>
          <w:sz w:val="24"/>
          <w:szCs w:val="24"/>
        </w:rPr>
        <w:t>。</w:t>
      </w: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spacing w:line="300" w:lineRule="auto"/>
        <w:jc w:val="center"/>
        <w:rPr>
          <w:rFonts w:ascii="宋体" w:hAnsi="宋体" w:cs="宋体"/>
          <w:b/>
          <w:bCs/>
          <w:color w:val="auto"/>
          <w:sz w:val="28"/>
          <w:szCs w:val="28"/>
        </w:rPr>
        <w:sectPr>
          <w:footerReference r:id="rId9" w:type="default"/>
          <w:pgSz w:w="11910" w:h="16840"/>
          <w:pgMar w:top="1542" w:right="1009" w:bottom="1040" w:left="1241" w:header="876" w:footer="858" w:gutter="0"/>
          <w:pgNumType w:fmt="decimal" w:start="72"/>
          <w:cols w:space="720" w:num="1"/>
        </w:sectPr>
      </w:pPr>
      <w:bookmarkStart w:id="1276" w:name="_Toc17690_WPSOffice_Level3"/>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（9）按本竞争性磋商文件规定提交的其它资料</w:t>
      </w:r>
      <w:bookmarkEnd w:id="1276"/>
    </w:p>
    <w:p>
      <w:pPr>
        <w:spacing w:line="360" w:lineRule="auto"/>
        <w:jc w:val="center"/>
        <w:rPr>
          <w:rFonts w:ascii="宋体" w:hAnsi="宋体" w:cs="宋体"/>
          <w:b/>
          <w:bCs/>
          <w:color w:val="auto"/>
          <w:sz w:val="24"/>
          <w:szCs w:val="24"/>
        </w:rPr>
      </w:pPr>
      <w:bookmarkStart w:id="1277" w:name="_Toc11570_WPSOffice_Level3"/>
      <w:r>
        <w:rPr>
          <w:rFonts w:hint="eastAsia" w:ascii="宋体" w:hAnsi="宋体" w:cs="宋体"/>
          <w:b/>
          <w:bCs/>
          <w:color w:val="auto"/>
          <w:sz w:val="24"/>
          <w:szCs w:val="24"/>
        </w:rPr>
        <w:t>（一）项目经理简历表</w:t>
      </w:r>
      <w:bookmarkEnd w:id="1277"/>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38"/>
        <w:gridCol w:w="954"/>
        <w:gridCol w:w="475"/>
        <w:gridCol w:w="717"/>
        <w:gridCol w:w="2138"/>
        <w:gridCol w:w="1438"/>
        <w:gridCol w:w="826"/>
        <w:gridCol w:w="19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ign w:val="center"/>
          </w:tcPr>
          <w:p>
            <w:pPr>
              <w:spacing w:line="360" w:lineRule="auto"/>
              <w:rPr>
                <w:rFonts w:ascii="宋体" w:hAnsi="宋体" w:cs="宋体"/>
                <w:color w:val="auto"/>
                <w:sz w:val="24"/>
              </w:rPr>
            </w:pPr>
            <w:r>
              <w:rPr>
                <w:rFonts w:hint="eastAsia" w:ascii="宋体" w:hAnsi="宋体" w:cs="宋体"/>
                <w:color w:val="auto"/>
                <w:sz w:val="24"/>
              </w:rPr>
              <w:t>姓名</w:t>
            </w:r>
          </w:p>
        </w:tc>
        <w:tc>
          <w:tcPr>
            <w:tcW w:w="833" w:type="pct"/>
            <w:gridSpan w:val="2"/>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性别</w:t>
            </w:r>
          </w:p>
        </w:tc>
        <w:tc>
          <w:tcPr>
            <w:tcW w:w="833" w:type="pct"/>
            <w:gridSpan w:val="2"/>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年龄</w:t>
            </w:r>
          </w:p>
        </w:tc>
        <w:tc>
          <w:tcPr>
            <w:tcW w:w="833" w:type="pct"/>
            <w:noWrap/>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ign w:val="center"/>
          </w:tcPr>
          <w:p>
            <w:pPr>
              <w:spacing w:line="360" w:lineRule="auto"/>
              <w:rPr>
                <w:rFonts w:ascii="宋体" w:hAnsi="宋体" w:cs="宋体"/>
                <w:color w:val="auto"/>
                <w:sz w:val="24"/>
              </w:rPr>
            </w:pPr>
            <w:r>
              <w:rPr>
                <w:rFonts w:hint="eastAsia" w:ascii="宋体" w:hAnsi="宋体" w:cs="宋体"/>
                <w:color w:val="auto"/>
                <w:sz w:val="24"/>
              </w:rPr>
              <w:t>职务</w:t>
            </w:r>
          </w:p>
        </w:tc>
        <w:tc>
          <w:tcPr>
            <w:tcW w:w="833" w:type="pct"/>
            <w:gridSpan w:val="2"/>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职称</w:t>
            </w:r>
          </w:p>
        </w:tc>
        <w:tc>
          <w:tcPr>
            <w:tcW w:w="833" w:type="pct"/>
            <w:gridSpan w:val="2"/>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学历</w:t>
            </w:r>
          </w:p>
        </w:tc>
        <w:tc>
          <w:tcPr>
            <w:tcW w:w="833" w:type="pct"/>
            <w:noWrap/>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ign w:val="center"/>
          </w:tcPr>
          <w:p>
            <w:pPr>
              <w:spacing w:line="360" w:lineRule="auto"/>
              <w:rPr>
                <w:rFonts w:ascii="宋体" w:hAnsi="宋体" w:cs="宋体"/>
                <w:color w:val="auto"/>
                <w:sz w:val="24"/>
              </w:rPr>
            </w:pPr>
            <w:r>
              <w:rPr>
                <w:rFonts w:hint="eastAsia" w:ascii="宋体" w:hAnsi="宋体" w:cs="宋体"/>
                <w:color w:val="auto"/>
                <w:sz w:val="24"/>
              </w:rPr>
              <w:t>参加工作时间</w:t>
            </w:r>
          </w:p>
        </w:tc>
        <w:tc>
          <w:tcPr>
            <w:tcW w:w="1666" w:type="pct"/>
            <w:gridSpan w:val="4"/>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从事项目经理（或建造师）年限</w:t>
            </w:r>
          </w:p>
        </w:tc>
        <w:tc>
          <w:tcPr>
            <w:tcW w:w="1667" w:type="pct"/>
            <w:gridSpan w:val="3"/>
            <w:noWrap/>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gridSpan w:val="5"/>
            <w:noWrap/>
            <w:vAlign w:val="center"/>
          </w:tcPr>
          <w:p>
            <w:pPr>
              <w:spacing w:line="360" w:lineRule="auto"/>
              <w:rPr>
                <w:rFonts w:ascii="宋体" w:hAnsi="宋体" w:cs="宋体"/>
                <w:color w:val="auto"/>
                <w:sz w:val="24"/>
              </w:rPr>
            </w:pPr>
            <w:r>
              <w:rPr>
                <w:rFonts w:hint="eastAsia" w:ascii="宋体" w:hAnsi="宋体" w:cs="宋体"/>
                <w:color w:val="auto"/>
                <w:sz w:val="24"/>
              </w:rPr>
              <w:t>拟在本工程中担任的工作和职务</w:t>
            </w:r>
          </w:p>
        </w:tc>
        <w:tc>
          <w:tcPr>
            <w:tcW w:w="2500" w:type="pct"/>
            <w:gridSpan w:val="5"/>
            <w:noWrap/>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noWrap/>
            <w:vAlign w:val="center"/>
          </w:tcPr>
          <w:p>
            <w:pPr>
              <w:spacing w:line="360" w:lineRule="auto"/>
              <w:rPr>
                <w:rFonts w:ascii="宋体" w:hAnsi="宋体" w:cs="宋体"/>
                <w:color w:val="auto"/>
                <w:sz w:val="24"/>
              </w:rPr>
            </w:pPr>
            <w:r>
              <w:rPr>
                <w:rFonts w:hint="eastAsia" w:ascii="宋体" w:hAnsi="宋体" w:cs="宋体"/>
                <w:color w:val="auto"/>
                <w:sz w:val="24"/>
              </w:rPr>
              <w:t>已 完 工 程 项 目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建设单位</w:t>
            </w:r>
          </w:p>
        </w:tc>
        <w:tc>
          <w:tcPr>
            <w:tcW w:w="999"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项目名称</w:t>
            </w:r>
          </w:p>
        </w:tc>
        <w:tc>
          <w:tcPr>
            <w:tcW w:w="999"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建筑规模</w:t>
            </w:r>
          </w:p>
        </w:tc>
        <w:tc>
          <w:tcPr>
            <w:tcW w:w="999"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开竣工日期</w:t>
            </w:r>
          </w:p>
        </w:tc>
        <w:tc>
          <w:tcPr>
            <w:tcW w:w="1000"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bl>
    <w:p>
      <w:pPr>
        <w:spacing w:line="360" w:lineRule="auto"/>
        <w:rPr>
          <w:rFonts w:ascii="宋体" w:hAnsi="宋体" w:cs="宋体"/>
          <w:color w:val="auto"/>
          <w:sz w:val="24"/>
          <w:szCs w:val="24"/>
        </w:rPr>
      </w:pPr>
    </w:p>
    <w:p>
      <w:pPr>
        <w:spacing w:line="360" w:lineRule="auto"/>
        <w:rPr>
          <w:rFonts w:ascii="宋体" w:hAnsi="宋体" w:cs="宋体"/>
          <w:color w:val="auto"/>
          <w:sz w:val="24"/>
        </w:rPr>
      </w:pPr>
      <w:r>
        <w:rPr>
          <w:rFonts w:hint="eastAsia" w:ascii="宋体" w:hAnsi="宋体" w:cs="宋体"/>
          <w:color w:val="auto"/>
          <w:sz w:val="24"/>
        </w:rPr>
        <w:t xml:space="preserve">  附：1、项目经理身份证复印件</w:t>
      </w:r>
    </w:p>
    <w:p>
      <w:pPr>
        <w:numPr>
          <w:ilvl w:val="0"/>
          <w:numId w:val="5"/>
        </w:numPr>
        <w:spacing w:line="360" w:lineRule="auto"/>
        <w:rPr>
          <w:rFonts w:ascii="宋体" w:hAnsi="宋体" w:cs="宋体"/>
          <w:color w:val="auto"/>
          <w:sz w:val="24"/>
        </w:rPr>
      </w:pPr>
      <w:r>
        <w:rPr>
          <w:rFonts w:hint="eastAsia" w:ascii="宋体" w:hAnsi="宋体" w:cs="宋体"/>
          <w:color w:val="auto"/>
          <w:sz w:val="24"/>
        </w:rPr>
        <w:t>注册证书复印件</w:t>
      </w:r>
    </w:p>
    <w:p>
      <w:pPr>
        <w:spacing w:line="360" w:lineRule="auto"/>
        <w:ind w:firstLine="960" w:firstLineChars="400"/>
        <w:rPr>
          <w:rFonts w:ascii="宋体" w:hAnsi="宋体" w:cs="宋体"/>
          <w:b/>
          <w:color w:val="auto"/>
          <w:sz w:val="24"/>
          <w:szCs w:val="24"/>
        </w:rPr>
      </w:pPr>
      <w:r>
        <w:rPr>
          <w:rFonts w:hint="eastAsia" w:ascii="宋体" w:hAnsi="宋体" w:cs="宋体"/>
          <w:color w:val="auto"/>
          <w:sz w:val="24"/>
        </w:rPr>
        <w:t>3、近三个月社保证明</w:t>
      </w: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spacing w:line="300" w:lineRule="auto"/>
        <w:jc w:val="center"/>
        <w:rPr>
          <w:rFonts w:ascii="宋体" w:hAnsi="宋体" w:cs="宋体"/>
          <w:b/>
          <w:bCs/>
          <w:color w:val="auto"/>
          <w:sz w:val="24"/>
          <w:szCs w:val="24"/>
        </w:rPr>
      </w:pPr>
      <w:bookmarkStart w:id="1278" w:name="_Toc11253_WPSOffice_Level3"/>
      <w:r>
        <w:rPr>
          <w:rFonts w:hint="eastAsia" w:ascii="宋体" w:hAnsi="宋体" w:cs="宋体"/>
          <w:b/>
          <w:bCs/>
          <w:color w:val="auto"/>
          <w:sz w:val="24"/>
          <w:szCs w:val="24"/>
        </w:rPr>
        <w:t>（二）项目技术负责人简历表</w:t>
      </w:r>
      <w:bookmarkEnd w:id="1278"/>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326"/>
        <w:gridCol w:w="1315"/>
        <w:gridCol w:w="653"/>
        <w:gridCol w:w="988"/>
        <w:gridCol w:w="982"/>
        <w:gridCol w:w="660"/>
        <w:gridCol w:w="1310"/>
        <w:gridCol w:w="33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noWrap/>
            <w:vAlign w:val="center"/>
          </w:tcPr>
          <w:p>
            <w:pPr>
              <w:spacing w:line="240" w:lineRule="auto"/>
              <w:jc w:val="left"/>
              <w:rPr>
                <w:rFonts w:ascii="宋体" w:hAnsi="宋体" w:cs="宋体"/>
                <w:color w:val="auto"/>
                <w:sz w:val="24"/>
              </w:rPr>
            </w:pPr>
            <w:r>
              <w:rPr>
                <w:rFonts w:hint="eastAsia" w:ascii="宋体" w:hAnsi="宋体" w:cs="宋体"/>
                <w:color w:val="auto"/>
                <w:sz w:val="24"/>
              </w:rPr>
              <w:t>姓名</w:t>
            </w:r>
          </w:p>
        </w:tc>
        <w:tc>
          <w:tcPr>
            <w:tcW w:w="833" w:type="pct"/>
            <w:gridSpan w:val="2"/>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性别</w:t>
            </w:r>
          </w:p>
        </w:tc>
        <w:tc>
          <w:tcPr>
            <w:tcW w:w="833" w:type="pct"/>
            <w:gridSpan w:val="2"/>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年龄</w:t>
            </w:r>
          </w:p>
        </w:tc>
        <w:tc>
          <w:tcPr>
            <w:tcW w:w="833" w:type="pct"/>
            <w:noWrap/>
            <w:vAlign w:val="center"/>
          </w:tcPr>
          <w:p>
            <w:pPr>
              <w:spacing w:line="24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noWrap/>
            <w:vAlign w:val="center"/>
          </w:tcPr>
          <w:p>
            <w:pPr>
              <w:spacing w:line="240" w:lineRule="auto"/>
              <w:jc w:val="left"/>
              <w:rPr>
                <w:rFonts w:ascii="宋体" w:hAnsi="宋体" w:cs="宋体"/>
                <w:color w:val="auto"/>
                <w:sz w:val="24"/>
              </w:rPr>
            </w:pPr>
            <w:r>
              <w:rPr>
                <w:rFonts w:hint="eastAsia" w:ascii="宋体" w:hAnsi="宋体" w:cs="宋体"/>
                <w:color w:val="auto"/>
                <w:sz w:val="24"/>
              </w:rPr>
              <w:t>职务</w:t>
            </w:r>
          </w:p>
        </w:tc>
        <w:tc>
          <w:tcPr>
            <w:tcW w:w="833" w:type="pct"/>
            <w:gridSpan w:val="2"/>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职称</w:t>
            </w:r>
          </w:p>
        </w:tc>
        <w:tc>
          <w:tcPr>
            <w:tcW w:w="833" w:type="pct"/>
            <w:gridSpan w:val="2"/>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学历</w:t>
            </w:r>
          </w:p>
        </w:tc>
        <w:tc>
          <w:tcPr>
            <w:tcW w:w="833" w:type="pct"/>
            <w:noWrap/>
            <w:vAlign w:val="center"/>
          </w:tcPr>
          <w:p>
            <w:pPr>
              <w:spacing w:line="24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noWrap/>
            <w:vAlign w:val="center"/>
          </w:tcPr>
          <w:p>
            <w:pPr>
              <w:spacing w:line="240" w:lineRule="auto"/>
              <w:jc w:val="left"/>
              <w:rPr>
                <w:rFonts w:ascii="宋体" w:hAnsi="宋体" w:cs="宋体"/>
                <w:color w:val="auto"/>
                <w:sz w:val="24"/>
              </w:rPr>
            </w:pPr>
            <w:r>
              <w:rPr>
                <w:rFonts w:hint="eastAsia" w:ascii="宋体" w:hAnsi="宋体" w:cs="宋体"/>
                <w:color w:val="auto"/>
                <w:sz w:val="24"/>
              </w:rPr>
              <w:t>参加工作时间</w:t>
            </w:r>
          </w:p>
        </w:tc>
        <w:tc>
          <w:tcPr>
            <w:tcW w:w="1666" w:type="pct"/>
            <w:gridSpan w:val="4"/>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从事年限</w:t>
            </w:r>
          </w:p>
        </w:tc>
        <w:tc>
          <w:tcPr>
            <w:tcW w:w="1667" w:type="pct"/>
            <w:gridSpan w:val="3"/>
            <w:noWrap/>
            <w:vAlign w:val="center"/>
          </w:tcPr>
          <w:p>
            <w:pPr>
              <w:spacing w:line="24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pct"/>
            <w:gridSpan w:val="5"/>
            <w:noWrap/>
            <w:vAlign w:val="center"/>
          </w:tcPr>
          <w:p>
            <w:pPr>
              <w:spacing w:line="240" w:lineRule="auto"/>
              <w:jc w:val="left"/>
              <w:rPr>
                <w:rFonts w:ascii="宋体" w:hAnsi="宋体" w:cs="宋体"/>
                <w:color w:val="auto"/>
                <w:sz w:val="24"/>
              </w:rPr>
            </w:pPr>
            <w:r>
              <w:rPr>
                <w:rFonts w:hint="eastAsia" w:ascii="宋体" w:hAnsi="宋体" w:cs="宋体"/>
                <w:color w:val="auto"/>
                <w:sz w:val="24"/>
              </w:rPr>
              <w:t>拟在本工程中担任的工作和职务</w:t>
            </w:r>
          </w:p>
        </w:tc>
        <w:tc>
          <w:tcPr>
            <w:tcW w:w="2500" w:type="pct"/>
            <w:gridSpan w:val="5"/>
            <w:noWrap/>
            <w:vAlign w:val="center"/>
          </w:tcPr>
          <w:p>
            <w:pPr>
              <w:spacing w:line="24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0"/>
            <w:noWrap/>
            <w:vAlign w:val="center"/>
          </w:tcPr>
          <w:p>
            <w:pPr>
              <w:spacing w:line="240" w:lineRule="auto"/>
              <w:jc w:val="left"/>
              <w:rPr>
                <w:rFonts w:ascii="宋体" w:hAnsi="宋体" w:cs="宋体"/>
                <w:color w:val="auto"/>
                <w:sz w:val="24"/>
              </w:rPr>
            </w:pPr>
            <w:r>
              <w:rPr>
                <w:rFonts w:hint="eastAsia" w:ascii="宋体" w:hAnsi="宋体" w:cs="宋体"/>
                <w:color w:val="auto"/>
                <w:sz w:val="24"/>
              </w:rPr>
              <w:t>已 完 工 程 项 目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建设单位</w:t>
            </w:r>
          </w:p>
        </w:tc>
        <w:tc>
          <w:tcPr>
            <w:tcW w:w="999"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项目名称</w:t>
            </w:r>
          </w:p>
        </w:tc>
        <w:tc>
          <w:tcPr>
            <w:tcW w:w="999"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建筑规模</w:t>
            </w:r>
          </w:p>
        </w:tc>
        <w:tc>
          <w:tcPr>
            <w:tcW w:w="999"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开竣工日期</w:t>
            </w:r>
          </w:p>
        </w:tc>
        <w:tc>
          <w:tcPr>
            <w:tcW w:w="1000"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bl>
    <w:p>
      <w:pPr>
        <w:spacing w:line="300" w:lineRule="auto"/>
        <w:rPr>
          <w:rFonts w:ascii="宋体" w:hAnsi="宋体" w:cs="宋体"/>
          <w:color w:val="auto"/>
          <w:sz w:val="24"/>
          <w:szCs w:val="24"/>
        </w:rPr>
      </w:pPr>
    </w:p>
    <w:p>
      <w:pPr>
        <w:spacing w:line="300" w:lineRule="auto"/>
        <w:rPr>
          <w:rFonts w:ascii="宋体" w:hAnsi="宋体" w:cs="宋体"/>
          <w:color w:val="auto"/>
          <w:sz w:val="24"/>
        </w:rPr>
      </w:pPr>
      <w:r>
        <w:rPr>
          <w:rFonts w:hint="eastAsia" w:ascii="宋体" w:hAnsi="宋体" w:cs="宋体"/>
          <w:color w:val="auto"/>
          <w:sz w:val="24"/>
        </w:rPr>
        <w:t xml:space="preserve">  附：1、项目技术负责人身份证复印件</w:t>
      </w:r>
    </w:p>
    <w:p>
      <w:pPr>
        <w:numPr>
          <w:ilvl w:val="0"/>
          <w:numId w:val="6"/>
        </w:numPr>
        <w:spacing w:line="300" w:lineRule="auto"/>
        <w:rPr>
          <w:rFonts w:ascii="宋体" w:hAnsi="宋体" w:cs="宋体"/>
          <w:color w:val="auto"/>
          <w:sz w:val="24"/>
        </w:rPr>
      </w:pPr>
      <w:r>
        <w:rPr>
          <w:rFonts w:hint="eastAsia" w:ascii="宋体" w:hAnsi="宋体" w:cs="宋体"/>
          <w:color w:val="auto"/>
          <w:sz w:val="24"/>
        </w:rPr>
        <w:t>职称证书复印件</w:t>
      </w:r>
    </w:p>
    <w:p>
      <w:pPr>
        <w:spacing w:line="300" w:lineRule="auto"/>
        <w:ind w:left="840"/>
        <w:rPr>
          <w:rFonts w:ascii="宋体" w:hAnsi="宋体" w:cs="宋体"/>
          <w:color w:val="auto"/>
          <w:sz w:val="24"/>
        </w:rPr>
      </w:pPr>
      <w:r>
        <w:rPr>
          <w:rFonts w:hint="eastAsia" w:ascii="宋体" w:hAnsi="宋体" w:cs="宋体"/>
          <w:color w:val="auto"/>
          <w:sz w:val="24"/>
        </w:rPr>
        <w:t>3、近三个月社保证明</w:t>
      </w: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spacing w:line="300" w:lineRule="auto"/>
        <w:jc w:val="center"/>
        <w:rPr>
          <w:rFonts w:ascii="宋体" w:hAnsi="宋体" w:cs="宋体"/>
          <w:b/>
          <w:bCs/>
          <w:color w:val="auto"/>
          <w:sz w:val="28"/>
          <w:szCs w:val="28"/>
        </w:rPr>
      </w:pPr>
      <w:bookmarkStart w:id="1279" w:name="_Toc19642_WPSOffice_Level3"/>
      <w:r>
        <w:rPr>
          <w:rFonts w:hint="eastAsia" w:ascii="宋体" w:hAnsi="宋体" w:cs="宋体"/>
          <w:b/>
          <w:bCs/>
          <w:color w:val="auto"/>
          <w:sz w:val="28"/>
          <w:szCs w:val="28"/>
        </w:rPr>
        <w:t>（三）主要施工管理人员表</w:t>
      </w:r>
      <w:bookmarkEnd w:id="1279"/>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632"/>
        <w:gridCol w:w="1746"/>
        <w:gridCol w:w="1748"/>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职务</w:t>
            </w:r>
          </w:p>
        </w:tc>
        <w:tc>
          <w:tcPr>
            <w:tcW w:w="826" w:type="pct"/>
            <w:noWrap/>
            <w:vAlign w:val="center"/>
          </w:tcPr>
          <w:p>
            <w:pPr>
              <w:spacing w:line="240" w:lineRule="auto"/>
              <w:rPr>
                <w:rFonts w:ascii="宋体" w:hAnsi="宋体" w:cs="宋体"/>
                <w:color w:val="auto"/>
                <w:sz w:val="24"/>
              </w:rPr>
            </w:pPr>
            <w:r>
              <w:rPr>
                <w:rFonts w:hint="eastAsia" w:ascii="宋体" w:hAnsi="宋体" w:cs="宋体"/>
                <w:color w:val="auto"/>
                <w:sz w:val="24"/>
              </w:rPr>
              <w:t>姓名</w:t>
            </w:r>
          </w:p>
        </w:tc>
        <w:tc>
          <w:tcPr>
            <w:tcW w:w="884" w:type="pct"/>
            <w:noWrap/>
            <w:vAlign w:val="center"/>
          </w:tcPr>
          <w:p>
            <w:pPr>
              <w:spacing w:line="240" w:lineRule="auto"/>
              <w:rPr>
                <w:rFonts w:ascii="宋体" w:hAnsi="宋体" w:cs="宋体"/>
                <w:color w:val="auto"/>
                <w:sz w:val="24"/>
              </w:rPr>
            </w:pPr>
            <w:r>
              <w:rPr>
                <w:rFonts w:hint="eastAsia" w:ascii="宋体" w:hAnsi="宋体" w:cs="宋体"/>
                <w:color w:val="auto"/>
                <w:sz w:val="24"/>
              </w:rPr>
              <w:t>职务</w:t>
            </w:r>
          </w:p>
        </w:tc>
        <w:tc>
          <w:tcPr>
            <w:tcW w:w="885" w:type="pct"/>
            <w:noWrap/>
            <w:vAlign w:val="center"/>
          </w:tcPr>
          <w:p>
            <w:pPr>
              <w:spacing w:line="240" w:lineRule="auto"/>
              <w:rPr>
                <w:rFonts w:ascii="宋体" w:hAnsi="宋体" w:cs="宋体"/>
                <w:color w:val="auto"/>
                <w:sz w:val="24"/>
              </w:rPr>
            </w:pPr>
            <w:r>
              <w:rPr>
                <w:rFonts w:hint="eastAsia" w:ascii="宋体" w:hAnsi="宋体" w:cs="宋体"/>
                <w:color w:val="auto"/>
                <w:sz w:val="24"/>
              </w:rPr>
              <w:t>职称</w:t>
            </w:r>
          </w:p>
        </w:tc>
        <w:tc>
          <w:tcPr>
            <w:tcW w:w="1462" w:type="pct"/>
            <w:noWrap/>
            <w:vAlign w:val="center"/>
          </w:tcPr>
          <w:p>
            <w:pPr>
              <w:spacing w:line="240" w:lineRule="auto"/>
              <w:rPr>
                <w:rFonts w:ascii="宋体" w:hAnsi="宋体" w:cs="宋体"/>
                <w:color w:val="auto"/>
                <w:sz w:val="24"/>
              </w:rPr>
            </w:pPr>
            <w:r>
              <w:rPr>
                <w:rFonts w:hint="eastAsia" w:ascii="宋体" w:hAnsi="宋体" w:cs="宋体"/>
                <w:color w:val="auto"/>
                <w:sz w:val="24"/>
              </w:rPr>
              <w:t>现任职务及资格经历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一、总   部</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1、项目主管</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2、其他人员</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二、现场</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 xml:space="preserve">1、项目经理 </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2、技术负责人</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bl>
    <w:p>
      <w:pPr>
        <w:spacing w:line="300" w:lineRule="auto"/>
        <w:rPr>
          <w:rFonts w:ascii="宋体" w:hAnsi="宋体" w:cs="宋体"/>
          <w:color w:val="auto"/>
          <w:sz w:val="24"/>
        </w:rPr>
      </w:pPr>
      <w:r>
        <w:rPr>
          <w:rFonts w:hint="eastAsia" w:ascii="宋体" w:hAnsi="宋体" w:cs="宋体"/>
          <w:color w:val="auto"/>
          <w:sz w:val="24"/>
        </w:rPr>
        <w:t xml:space="preserve">  附：1、人员身份证复印件</w:t>
      </w:r>
    </w:p>
    <w:p>
      <w:pPr>
        <w:spacing w:line="300" w:lineRule="auto"/>
        <w:ind w:left="840"/>
        <w:rPr>
          <w:rFonts w:ascii="宋体" w:hAnsi="宋体" w:cs="宋体"/>
          <w:color w:val="auto"/>
          <w:sz w:val="24"/>
        </w:rPr>
      </w:pPr>
      <w:r>
        <w:rPr>
          <w:rFonts w:hint="eastAsia" w:ascii="宋体" w:hAnsi="宋体" w:cs="宋体"/>
          <w:color w:val="auto"/>
          <w:sz w:val="24"/>
        </w:rPr>
        <w:t>2、岗位证书复印件</w:t>
      </w:r>
    </w:p>
    <w:p>
      <w:pPr>
        <w:spacing w:line="300" w:lineRule="auto"/>
        <w:ind w:left="840"/>
        <w:rPr>
          <w:rFonts w:ascii="宋体" w:hAnsi="宋体" w:cs="宋体"/>
          <w:color w:val="auto"/>
          <w:sz w:val="24"/>
        </w:rPr>
      </w:pPr>
      <w:r>
        <w:rPr>
          <w:rFonts w:hint="eastAsia" w:ascii="宋体" w:hAnsi="宋体" w:cs="宋体"/>
          <w:color w:val="auto"/>
          <w:sz w:val="24"/>
        </w:rPr>
        <w:t>3、近三个月社保证明</w:t>
      </w: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spacing w:line="300" w:lineRule="auto"/>
        <w:jc w:val="center"/>
        <w:rPr>
          <w:rFonts w:ascii="宋体" w:hAnsi="宋体" w:cs="宋体"/>
          <w:b/>
          <w:bCs/>
          <w:color w:val="auto"/>
          <w:sz w:val="28"/>
          <w:szCs w:val="28"/>
        </w:rPr>
      </w:pPr>
      <w:bookmarkStart w:id="1280" w:name="_Toc3243_WPSOffice_Level3"/>
      <w:r>
        <w:rPr>
          <w:rFonts w:hint="eastAsia" w:ascii="宋体" w:hAnsi="宋体" w:cs="宋体"/>
          <w:b/>
          <w:bCs/>
          <w:color w:val="auto"/>
          <w:sz w:val="28"/>
          <w:szCs w:val="28"/>
        </w:rPr>
        <w:t>（四）近年来施工企业承建的项目工程情况表（如有）</w:t>
      </w:r>
      <w:bookmarkEnd w:id="1280"/>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44"/>
        <w:gridCol w:w="1537"/>
        <w:gridCol w:w="2167"/>
        <w:gridCol w:w="16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pct"/>
            <w:noWrap/>
            <w:vAlign w:val="center"/>
          </w:tcPr>
          <w:p>
            <w:pPr>
              <w:spacing w:line="240" w:lineRule="auto"/>
              <w:rPr>
                <w:rFonts w:ascii="宋体" w:hAnsi="宋体" w:cs="宋体"/>
                <w:color w:val="auto"/>
                <w:sz w:val="24"/>
              </w:rPr>
            </w:pPr>
            <w:r>
              <w:rPr>
                <w:rFonts w:hint="eastAsia" w:ascii="宋体" w:hAnsi="宋体" w:cs="宋体"/>
                <w:color w:val="auto"/>
                <w:sz w:val="24"/>
              </w:rPr>
              <w:t>建设单位</w:t>
            </w:r>
          </w:p>
        </w:tc>
        <w:tc>
          <w:tcPr>
            <w:tcW w:w="731" w:type="pct"/>
            <w:noWrap/>
            <w:vAlign w:val="center"/>
          </w:tcPr>
          <w:p>
            <w:pPr>
              <w:spacing w:line="240" w:lineRule="auto"/>
              <w:rPr>
                <w:rFonts w:ascii="宋体" w:hAnsi="宋体" w:cs="宋体"/>
                <w:color w:val="auto"/>
                <w:sz w:val="24"/>
              </w:rPr>
            </w:pPr>
            <w:r>
              <w:rPr>
                <w:rFonts w:hint="eastAsia" w:ascii="宋体" w:hAnsi="宋体" w:cs="宋体"/>
                <w:color w:val="auto"/>
                <w:sz w:val="24"/>
              </w:rPr>
              <w:t>项目名称</w:t>
            </w:r>
          </w:p>
        </w:tc>
        <w:tc>
          <w:tcPr>
            <w:tcW w:w="778" w:type="pct"/>
            <w:noWrap/>
            <w:vAlign w:val="center"/>
          </w:tcPr>
          <w:p>
            <w:pPr>
              <w:spacing w:line="240" w:lineRule="auto"/>
              <w:rPr>
                <w:rFonts w:ascii="宋体" w:hAnsi="宋体" w:cs="宋体"/>
                <w:color w:val="auto"/>
                <w:sz w:val="24"/>
              </w:rPr>
            </w:pPr>
            <w:r>
              <w:rPr>
                <w:rFonts w:hint="eastAsia" w:ascii="宋体" w:hAnsi="宋体" w:cs="宋体"/>
                <w:color w:val="auto"/>
                <w:sz w:val="24"/>
              </w:rPr>
              <w:t>建设规模</w:t>
            </w:r>
          </w:p>
        </w:tc>
        <w:tc>
          <w:tcPr>
            <w:tcW w:w="1097" w:type="pct"/>
            <w:noWrap/>
            <w:vAlign w:val="center"/>
          </w:tcPr>
          <w:p>
            <w:pPr>
              <w:spacing w:line="240" w:lineRule="auto"/>
              <w:rPr>
                <w:rFonts w:ascii="宋体" w:hAnsi="宋体" w:cs="宋体"/>
                <w:color w:val="auto"/>
                <w:sz w:val="24"/>
              </w:rPr>
            </w:pPr>
            <w:r>
              <w:rPr>
                <w:rFonts w:hint="eastAsia" w:ascii="宋体" w:hAnsi="宋体" w:cs="宋体"/>
                <w:color w:val="auto"/>
                <w:sz w:val="24"/>
              </w:rPr>
              <w:t>开、竣工日期</w:t>
            </w:r>
          </w:p>
        </w:tc>
        <w:tc>
          <w:tcPr>
            <w:tcW w:w="833" w:type="pct"/>
            <w:noWrap/>
            <w:vAlign w:val="center"/>
          </w:tcPr>
          <w:p>
            <w:pPr>
              <w:spacing w:line="240" w:lineRule="auto"/>
              <w:rPr>
                <w:rFonts w:ascii="宋体" w:hAnsi="宋体" w:cs="宋体"/>
                <w:color w:val="auto"/>
                <w:sz w:val="24"/>
              </w:rPr>
            </w:pPr>
            <w:r>
              <w:rPr>
                <w:rFonts w:hint="eastAsia" w:ascii="宋体" w:hAnsi="宋体" w:cs="宋体"/>
                <w:color w:val="auto"/>
                <w:sz w:val="24"/>
              </w:rPr>
              <w:t>合同价款</w:t>
            </w:r>
          </w:p>
        </w:tc>
        <w:tc>
          <w:tcPr>
            <w:tcW w:w="833" w:type="pct"/>
            <w:noWrap/>
            <w:vAlign w:val="center"/>
          </w:tcPr>
          <w:p>
            <w:pPr>
              <w:spacing w:line="240" w:lineRule="auto"/>
              <w:rPr>
                <w:rFonts w:ascii="宋体" w:hAnsi="宋体" w:cs="宋体"/>
                <w:color w:val="auto"/>
                <w:sz w:val="24"/>
              </w:rPr>
            </w:pPr>
            <w:r>
              <w:rPr>
                <w:rFonts w:hint="eastAsia" w:ascii="宋体" w:hAnsi="宋体" w:cs="宋体"/>
                <w:color w:val="auto"/>
                <w:sz w:val="24"/>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bl>
    <w:p>
      <w:pPr>
        <w:spacing w:line="300" w:lineRule="auto"/>
        <w:rPr>
          <w:rFonts w:ascii="宋体" w:hAnsi="宋体" w:cs="宋体"/>
          <w:color w:val="auto"/>
          <w:sz w:val="24"/>
          <w:szCs w:val="24"/>
        </w:rPr>
      </w:pPr>
      <w:r>
        <w:rPr>
          <w:rFonts w:hint="eastAsia" w:ascii="宋体" w:hAnsi="宋体" w:cs="宋体"/>
          <w:color w:val="auto"/>
          <w:sz w:val="24"/>
          <w:szCs w:val="24"/>
        </w:rPr>
        <w:t>附：成交通知书或施工合同复印件</w:t>
      </w: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ind w:firstLine="0"/>
        <w:rPr>
          <w:rFonts w:ascii="宋体" w:hAnsi="宋体" w:cs="宋体"/>
          <w:color w:val="auto"/>
        </w:rPr>
      </w:pPr>
    </w:p>
    <w:p>
      <w:pPr>
        <w:spacing w:line="300" w:lineRule="auto"/>
        <w:jc w:val="center"/>
        <w:rPr>
          <w:rFonts w:ascii="宋体" w:hAnsi="宋体" w:cs="宋体"/>
          <w:b/>
          <w:bCs/>
          <w:color w:val="auto"/>
          <w:sz w:val="28"/>
          <w:szCs w:val="28"/>
        </w:rPr>
        <w:sectPr>
          <w:pgSz w:w="11910" w:h="16840"/>
          <w:pgMar w:top="1542" w:right="1009" w:bottom="1040" w:left="1241" w:header="876" w:footer="858" w:gutter="0"/>
          <w:pgNumType w:fmt="decimal"/>
          <w:cols w:space="720" w:num="1"/>
        </w:sectPr>
      </w:pPr>
      <w:bookmarkStart w:id="1281" w:name="_Toc14789_WPSOffice_Level3"/>
    </w:p>
    <w:p>
      <w:pPr>
        <w:spacing w:line="300" w:lineRule="auto"/>
        <w:jc w:val="center"/>
        <w:rPr>
          <w:rFonts w:ascii="宋体" w:hAnsi="宋体" w:cs="宋体"/>
          <w:color w:val="auto"/>
          <w:sz w:val="24"/>
        </w:rPr>
      </w:pPr>
      <w:r>
        <w:rPr>
          <w:rFonts w:hint="eastAsia" w:ascii="宋体" w:hAnsi="宋体" w:cs="宋体"/>
          <w:b/>
          <w:bCs/>
          <w:color w:val="auto"/>
          <w:sz w:val="24"/>
          <w:szCs w:val="24"/>
        </w:rPr>
        <w:t>（五）近三年发生的诉讼、仲裁、不良行为记录</w:t>
      </w:r>
      <w:bookmarkEnd w:id="1281"/>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289"/>
        <w:gridCol w:w="1643"/>
        <w:gridCol w:w="1649"/>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000" w:type="pct"/>
            <w:gridSpan w:val="5"/>
            <w:noWrap/>
            <w:vAlign w:val="center"/>
          </w:tcPr>
          <w:p>
            <w:pPr>
              <w:spacing w:line="300" w:lineRule="auto"/>
              <w:rPr>
                <w:rFonts w:ascii="宋体" w:hAnsi="宋体" w:cs="宋体"/>
                <w:color w:val="auto"/>
                <w:sz w:val="24"/>
              </w:rPr>
            </w:pPr>
            <w:r>
              <w:rPr>
                <w:rFonts w:hint="eastAsia" w:ascii="宋体" w:hAnsi="宋体" w:cs="宋体"/>
                <w:color w:val="auto"/>
                <w:sz w:val="24"/>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序号</w:t>
            </w:r>
          </w:p>
        </w:tc>
        <w:tc>
          <w:tcPr>
            <w:tcW w:w="1665" w:type="pct"/>
            <w:noWrap/>
            <w:vAlign w:val="center"/>
          </w:tcPr>
          <w:p>
            <w:pPr>
              <w:spacing w:line="300" w:lineRule="auto"/>
              <w:rPr>
                <w:rFonts w:ascii="宋体" w:hAnsi="宋体" w:cs="宋体"/>
                <w:color w:val="auto"/>
                <w:sz w:val="24"/>
              </w:rPr>
            </w:pPr>
            <w:r>
              <w:rPr>
                <w:rFonts w:hint="eastAsia" w:ascii="宋体" w:hAnsi="宋体" w:cs="宋体"/>
                <w:color w:val="auto"/>
                <w:sz w:val="24"/>
              </w:rPr>
              <w:t>判决或裁定时间</w:t>
            </w:r>
          </w:p>
        </w:tc>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诉讼相对人</w:t>
            </w: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诉讼原因</w:t>
            </w: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1665"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000" w:type="pct"/>
            <w:gridSpan w:val="5"/>
            <w:noWrap/>
            <w:vAlign w:val="center"/>
          </w:tcPr>
          <w:p>
            <w:pPr>
              <w:spacing w:line="300" w:lineRule="auto"/>
              <w:rPr>
                <w:rFonts w:ascii="宋体" w:hAnsi="宋体" w:cs="宋体"/>
                <w:color w:val="auto"/>
                <w:sz w:val="24"/>
              </w:rPr>
            </w:pPr>
            <w:r>
              <w:rPr>
                <w:rFonts w:hint="eastAsia" w:ascii="宋体" w:hAnsi="宋体" w:cs="宋体"/>
                <w:color w:val="auto"/>
                <w:sz w:val="24"/>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序号</w:t>
            </w:r>
          </w:p>
        </w:tc>
        <w:tc>
          <w:tcPr>
            <w:tcW w:w="1665" w:type="pct"/>
            <w:noWrap/>
            <w:vAlign w:val="center"/>
          </w:tcPr>
          <w:p>
            <w:pPr>
              <w:spacing w:line="300" w:lineRule="auto"/>
              <w:rPr>
                <w:rFonts w:ascii="宋体" w:hAnsi="宋体" w:cs="宋体"/>
                <w:color w:val="auto"/>
                <w:sz w:val="24"/>
              </w:rPr>
            </w:pPr>
            <w:r>
              <w:rPr>
                <w:rFonts w:hint="eastAsia" w:ascii="宋体" w:hAnsi="宋体" w:cs="宋体"/>
                <w:color w:val="auto"/>
                <w:sz w:val="24"/>
              </w:rPr>
              <w:t>裁决时间</w:t>
            </w:r>
          </w:p>
        </w:tc>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仲裁相对人</w:t>
            </w: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仲裁原因</w:t>
            </w: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1665"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00" w:type="pct"/>
            <w:gridSpan w:val="5"/>
            <w:noWrap/>
            <w:vAlign w:val="center"/>
          </w:tcPr>
          <w:p>
            <w:pPr>
              <w:spacing w:line="300" w:lineRule="auto"/>
              <w:rPr>
                <w:rFonts w:ascii="宋体" w:hAnsi="宋体" w:cs="宋体"/>
                <w:color w:val="auto"/>
                <w:sz w:val="24"/>
              </w:rPr>
            </w:pPr>
            <w:r>
              <w:rPr>
                <w:rFonts w:hint="eastAsia" w:ascii="宋体" w:hAnsi="宋体" w:cs="宋体"/>
                <w:color w:val="auto"/>
                <w:sz w:val="24"/>
              </w:rPr>
              <w:t>不良记录情况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年度</w:t>
            </w:r>
          </w:p>
        </w:tc>
        <w:tc>
          <w:tcPr>
            <w:tcW w:w="3332" w:type="pct"/>
            <w:gridSpan w:val="3"/>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vMerge w:val="restart"/>
            <w:noWrap/>
            <w:vAlign w:val="center"/>
          </w:tcPr>
          <w:p>
            <w:pPr>
              <w:spacing w:line="300" w:lineRule="auto"/>
              <w:rPr>
                <w:rFonts w:ascii="宋体" w:hAnsi="宋体" w:cs="宋体"/>
                <w:color w:val="auto"/>
                <w:sz w:val="24"/>
              </w:rPr>
            </w:pPr>
          </w:p>
        </w:tc>
        <w:tc>
          <w:tcPr>
            <w:tcW w:w="3332" w:type="pct"/>
            <w:gridSpan w:val="3"/>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32" w:type="pct"/>
            <w:vMerge w:val="continue"/>
            <w:noWrap/>
            <w:vAlign w:val="center"/>
          </w:tcPr>
          <w:p>
            <w:pPr>
              <w:spacing w:line="300" w:lineRule="auto"/>
              <w:rPr>
                <w:rFonts w:ascii="宋体" w:hAnsi="宋体" w:cs="宋体"/>
                <w:color w:val="auto"/>
                <w:sz w:val="24"/>
              </w:rPr>
            </w:pPr>
          </w:p>
        </w:tc>
        <w:tc>
          <w:tcPr>
            <w:tcW w:w="3332" w:type="pct"/>
            <w:gridSpan w:val="3"/>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3332" w:type="pct"/>
            <w:gridSpan w:val="3"/>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bl>
    <w:p>
      <w:pPr>
        <w:pStyle w:val="8"/>
        <w:spacing w:line="300" w:lineRule="auto"/>
        <w:rPr>
          <w:rFonts w:ascii="宋体" w:hAnsi="宋体" w:cs="宋体"/>
          <w:color w:val="auto"/>
          <w:sz w:val="24"/>
          <w:szCs w:val="24"/>
        </w:rPr>
      </w:pPr>
      <w:r>
        <w:rPr>
          <w:rFonts w:hint="eastAsia" w:ascii="宋体" w:hAnsi="宋体" w:cs="宋体"/>
          <w:color w:val="auto"/>
          <w:sz w:val="24"/>
          <w:szCs w:val="24"/>
        </w:rPr>
        <w:t>备注：附裁决书、裁定书、仲裁裁决书及有关文件的复印件。</w:t>
      </w:r>
    </w:p>
    <w:p>
      <w:pPr>
        <w:spacing w:line="300" w:lineRule="auto"/>
        <w:rPr>
          <w:rFonts w:ascii="宋体" w:hAnsi="宋体" w:cs="宋体"/>
          <w:b/>
          <w:color w:val="auto"/>
          <w:sz w:val="28"/>
          <w:szCs w:val="28"/>
        </w:rPr>
      </w:pPr>
    </w:p>
    <w:p>
      <w:pPr>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spacing w:line="300" w:lineRule="auto"/>
        <w:rPr>
          <w:rFonts w:ascii="宋体" w:hAnsi="宋体" w:cs="宋体"/>
          <w:b/>
          <w:color w:val="auto"/>
          <w:sz w:val="28"/>
          <w:szCs w:val="28"/>
        </w:rPr>
        <w:sectPr>
          <w:pgSz w:w="11910" w:h="16840"/>
          <w:pgMar w:top="1542" w:right="1009" w:bottom="1040" w:left="1241" w:header="876" w:footer="858" w:gutter="0"/>
          <w:pgNumType w:fmt="decimal"/>
          <w:cols w:space="720" w:num="1"/>
        </w:sectPr>
      </w:pPr>
      <w:bookmarkStart w:id="1282" w:name="_Toc19370_WPSOffice_Level2"/>
    </w:p>
    <w:p>
      <w:pPr>
        <w:spacing w:line="360" w:lineRule="auto"/>
        <w:rPr>
          <w:rFonts w:ascii="宋体" w:hAnsi="宋体" w:cs="宋体"/>
          <w:b/>
          <w:color w:val="auto"/>
          <w:sz w:val="24"/>
          <w:szCs w:val="24"/>
        </w:rPr>
      </w:pPr>
      <w:r>
        <w:rPr>
          <w:rFonts w:hint="eastAsia" w:ascii="宋体" w:hAnsi="宋体" w:cs="宋体"/>
          <w:b/>
          <w:color w:val="auto"/>
          <w:sz w:val="24"/>
          <w:szCs w:val="24"/>
        </w:rPr>
        <w:t>商务部分目录</w:t>
      </w:r>
      <w:bookmarkEnd w:id="1282"/>
    </w:p>
    <w:p>
      <w:pPr>
        <w:pStyle w:val="12"/>
        <w:spacing w:line="360" w:lineRule="auto"/>
        <w:ind w:firstLine="426"/>
        <w:rPr>
          <w:rFonts w:hAnsi="宋体" w:cs="宋体"/>
          <w:color w:val="auto"/>
          <w:sz w:val="24"/>
          <w:szCs w:val="24"/>
        </w:rPr>
      </w:pPr>
      <w:r>
        <w:rPr>
          <w:rFonts w:hint="eastAsia" w:hAnsi="宋体" w:cs="宋体"/>
          <w:color w:val="auto"/>
          <w:sz w:val="24"/>
          <w:szCs w:val="24"/>
        </w:rPr>
        <w:t>⑴磋商函；</w:t>
      </w:r>
    </w:p>
    <w:p>
      <w:pPr>
        <w:pStyle w:val="12"/>
        <w:spacing w:line="360" w:lineRule="auto"/>
        <w:ind w:firstLine="426"/>
        <w:rPr>
          <w:rFonts w:hAnsi="宋体" w:cs="宋体"/>
          <w:color w:val="auto"/>
          <w:sz w:val="24"/>
          <w:szCs w:val="24"/>
        </w:rPr>
      </w:pPr>
      <w:r>
        <w:rPr>
          <w:rFonts w:hint="eastAsia" w:hAnsi="宋体" w:cs="宋体"/>
          <w:color w:val="auto"/>
          <w:sz w:val="24"/>
          <w:szCs w:val="24"/>
        </w:rPr>
        <w:t>⑵磋商函附录；</w:t>
      </w:r>
    </w:p>
    <w:p>
      <w:pPr>
        <w:pStyle w:val="12"/>
        <w:spacing w:line="360" w:lineRule="auto"/>
        <w:ind w:firstLine="426"/>
        <w:rPr>
          <w:rFonts w:hAnsi="宋体" w:cs="宋体"/>
          <w:color w:val="auto"/>
          <w:sz w:val="24"/>
          <w:szCs w:val="24"/>
        </w:rPr>
      </w:pPr>
      <w:r>
        <w:rPr>
          <w:rFonts w:hint="eastAsia" w:hAnsi="宋体" w:cs="宋体"/>
          <w:color w:val="auto"/>
          <w:sz w:val="24"/>
          <w:szCs w:val="24"/>
        </w:rPr>
        <w:t>⑶工程量清单报价有关资料；</w:t>
      </w:r>
    </w:p>
    <w:p>
      <w:pPr>
        <w:pStyle w:val="12"/>
        <w:spacing w:line="360" w:lineRule="auto"/>
        <w:ind w:firstLine="426"/>
        <w:rPr>
          <w:rFonts w:hAnsi="宋体" w:cs="宋体"/>
          <w:color w:val="auto"/>
          <w:sz w:val="24"/>
          <w:szCs w:val="24"/>
        </w:rPr>
      </w:pPr>
      <w:r>
        <w:rPr>
          <w:rFonts w:hint="eastAsia" w:hAnsi="宋体" w:cs="宋体"/>
          <w:color w:val="auto"/>
          <w:sz w:val="24"/>
          <w:szCs w:val="24"/>
        </w:rPr>
        <w:t>⑷按本竞争性磋商文件规定提交的其它资料。</w:t>
      </w: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spacing w:line="300" w:lineRule="auto"/>
        <w:ind w:firstLine="426"/>
        <w:rPr>
          <w:rFonts w:hAnsi="宋体" w:cs="宋体"/>
          <w:color w:val="auto"/>
        </w:rPr>
      </w:pPr>
    </w:p>
    <w:p>
      <w:pPr>
        <w:pStyle w:val="12"/>
        <w:adjustRightInd w:val="0"/>
        <w:snapToGrid w:val="0"/>
        <w:spacing w:line="360" w:lineRule="auto"/>
        <w:jc w:val="center"/>
        <w:rPr>
          <w:rFonts w:hAnsi="宋体" w:cs="宋体"/>
          <w:b/>
          <w:bCs/>
          <w:color w:val="auto"/>
          <w:sz w:val="24"/>
          <w:szCs w:val="24"/>
        </w:rPr>
      </w:pPr>
      <w:bookmarkStart w:id="1283" w:name="_Toc17082_WPSOffice_Level3"/>
      <w:r>
        <w:rPr>
          <w:rFonts w:hint="eastAsia" w:hAnsi="宋体" w:cs="宋体"/>
          <w:b/>
          <w:bCs/>
          <w:color w:val="auto"/>
          <w:sz w:val="24"/>
          <w:szCs w:val="24"/>
        </w:rPr>
        <w:t>⑴磋商函</w:t>
      </w:r>
      <w:bookmarkEnd w:id="1283"/>
    </w:p>
    <w:p>
      <w:pPr>
        <w:pStyle w:val="10"/>
        <w:tabs>
          <w:tab w:val="left" w:pos="9585"/>
        </w:tabs>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pacing w:val="-29"/>
          <w:sz w:val="24"/>
        </w:rPr>
        <w:t>、</w:t>
      </w:r>
      <w:r>
        <w:rPr>
          <w:rFonts w:hint="eastAsia" w:ascii="宋体" w:hAnsi="宋体" w:cs="宋体"/>
          <w:color w:val="auto"/>
          <w:sz w:val="24"/>
        </w:rPr>
        <w:t>根据你方项目编号为</w:t>
      </w:r>
      <w:r>
        <w:rPr>
          <w:rFonts w:hint="eastAsia" w:ascii="宋体" w:hAnsi="宋体" w:cs="宋体"/>
          <w:color w:val="auto"/>
          <w:sz w:val="24"/>
          <w:u w:val="single"/>
        </w:rPr>
        <w:t>（项目编号）</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工程竞争性磋商文件， 遵照《中</w:t>
      </w:r>
      <w:r>
        <w:rPr>
          <w:rFonts w:hint="eastAsia" w:ascii="宋体" w:hAnsi="宋体" w:cs="宋体"/>
          <w:color w:val="auto"/>
          <w:spacing w:val="4"/>
          <w:sz w:val="24"/>
        </w:rPr>
        <w:t>华</w:t>
      </w:r>
      <w:r>
        <w:rPr>
          <w:rFonts w:hint="eastAsia" w:ascii="宋体" w:hAnsi="宋体" w:cs="宋体"/>
          <w:color w:val="auto"/>
          <w:sz w:val="24"/>
        </w:rPr>
        <w:t>人民共和国政府采购法》等有</w:t>
      </w:r>
      <w:r>
        <w:rPr>
          <w:rFonts w:hint="eastAsia" w:ascii="宋体" w:hAnsi="宋体" w:cs="宋体"/>
          <w:color w:val="auto"/>
          <w:spacing w:val="4"/>
          <w:sz w:val="24"/>
        </w:rPr>
        <w:t>关</w:t>
      </w:r>
      <w:r>
        <w:rPr>
          <w:rFonts w:hint="eastAsia" w:ascii="宋体" w:hAnsi="宋体" w:cs="宋体"/>
          <w:color w:val="auto"/>
          <w:sz w:val="24"/>
        </w:rPr>
        <w:t>规定，经踏勘项</w:t>
      </w:r>
      <w:r>
        <w:rPr>
          <w:rFonts w:hint="eastAsia" w:ascii="宋体" w:hAnsi="宋体" w:cs="宋体"/>
          <w:color w:val="auto"/>
          <w:spacing w:val="4"/>
          <w:sz w:val="24"/>
        </w:rPr>
        <w:t>目</w:t>
      </w:r>
      <w:r>
        <w:rPr>
          <w:rFonts w:hint="eastAsia" w:ascii="宋体" w:hAnsi="宋体" w:cs="宋体"/>
          <w:color w:val="auto"/>
          <w:sz w:val="24"/>
        </w:rPr>
        <w:t>现场和研究上述</w:t>
      </w:r>
      <w:r>
        <w:rPr>
          <w:rFonts w:hint="eastAsia" w:ascii="宋体" w:hAnsi="宋体" w:cs="宋体"/>
          <w:color w:val="auto"/>
          <w:spacing w:val="4"/>
          <w:sz w:val="24"/>
        </w:rPr>
        <w:t>竞争性磋商文件</w:t>
      </w:r>
      <w:r>
        <w:rPr>
          <w:rFonts w:hint="eastAsia" w:ascii="宋体" w:hAnsi="宋体" w:cs="宋体"/>
          <w:color w:val="auto"/>
          <w:sz w:val="24"/>
        </w:rPr>
        <w:t>的磋商须知</w:t>
      </w:r>
      <w:r>
        <w:rPr>
          <w:rFonts w:hint="eastAsia" w:ascii="宋体" w:hAnsi="宋体" w:cs="宋体"/>
          <w:color w:val="auto"/>
          <w:spacing w:val="-13"/>
          <w:sz w:val="24"/>
        </w:rPr>
        <w:t>、</w:t>
      </w:r>
      <w:r>
        <w:rPr>
          <w:rFonts w:hint="eastAsia" w:ascii="宋体" w:hAnsi="宋体" w:cs="宋体"/>
          <w:color w:val="auto"/>
          <w:sz w:val="24"/>
        </w:rPr>
        <w:t>合同条款</w:t>
      </w:r>
      <w:r>
        <w:rPr>
          <w:rFonts w:hint="eastAsia" w:ascii="宋体" w:hAnsi="宋体" w:cs="宋体"/>
          <w:color w:val="auto"/>
          <w:spacing w:val="-10"/>
          <w:sz w:val="24"/>
        </w:rPr>
        <w:t>、</w:t>
      </w:r>
      <w:r>
        <w:rPr>
          <w:rFonts w:hint="eastAsia" w:ascii="宋体" w:hAnsi="宋体" w:cs="宋体"/>
          <w:color w:val="auto"/>
          <w:sz w:val="24"/>
        </w:rPr>
        <w:t>图纸</w:t>
      </w:r>
      <w:r>
        <w:rPr>
          <w:rFonts w:hint="eastAsia" w:ascii="宋体" w:hAnsi="宋体" w:cs="宋体"/>
          <w:color w:val="auto"/>
          <w:spacing w:val="-13"/>
          <w:sz w:val="24"/>
        </w:rPr>
        <w:t>、</w:t>
      </w:r>
      <w:r>
        <w:rPr>
          <w:rFonts w:hint="eastAsia" w:ascii="宋体" w:hAnsi="宋体" w:cs="宋体"/>
          <w:color w:val="auto"/>
          <w:sz w:val="24"/>
        </w:rPr>
        <w:t>概算书工程建设标准及其他有关文件后</w:t>
      </w:r>
      <w:r>
        <w:rPr>
          <w:rFonts w:hint="eastAsia" w:ascii="宋体" w:hAnsi="宋体" w:cs="宋体"/>
          <w:color w:val="auto"/>
          <w:spacing w:val="-10"/>
          <w:sz w:val="24"/>
        </w:rPr>
        <w:t>，</w:t>
      </w:r>
      <w:r>
        <w:rPr>
          <w:rFonts w:hint="eastAsia" w:ascii="宋体" w:hAnsi="宋体" w:cs="宋体"/>
          <w:color w:val="auto"/>
          <w:sz w:val="24"/>
        </w:rPr>
        <w:t>我方投标报价为</w:t>
      </w:r>
      <w:r>
        <w:rPr>
          <w:rFonts w:hint="eastAsia" w:ascii="宋体" w:hAnsi="宋体" w:cs="宋体"/>
          <w:color w:val="auto"/>
          <w:sz w:val="24"/>
          <w:szCs w:val="24"/>
        </w:rPr>
        <w:t>人民币（大写）（￥元），</w:t>
      </w:r>
      <w:r>
        <w:rPr>
          <w:rFonts w:hint="eastAsia" w:ascii="宋体" w:hAnsi="宋体" w:cs="宋体"/>
          <w:color w:val="auto"/>
          <w:sz w:val="24"/>
        </w:rPr>
        <w:t>我方按上述图</w:t>
      </w:r>
      <w:r>
        <w:rPr>
          <w:rFonts w:hint="eastAsia" w:ascii="宋体" w:hAnsi="宋体" w:cs="宋体"/>
          <w:color w:val="auto"/>
          <w:spacing w:val="4"/>
          <w:sz w:val="24"/>
        </w:rPr>
        <w:t>纸</w:t>
      </w:r>
      <w:r>
        <w:rPr>
          <w:rFonts w:hint="eastAsia" w:ascii="宋体" w:hAnsi="宋体" w:cs="宋体"/>
          <w:color w:val="auto"/>
          <w:sz w:val="24"/>
        </w:rPr>
        <w:t>、合同条款、工</w:t>
      </w:r>
      <w:r>
        <w:rPr>
          <w:rFonts w:hint="eastAsia" w:ascii="宋体" w:hAnsi="宋体" w:cs="宋体"/>
          <w:color w:val="auto"/>
          <w:spacing w:val="4"/>
          <w:sz w:val="24"/>
        </w:rPr>
        <w:t>程</w:t>
      </w:r>
      <w:r>
        <w:rPr>
          <w:rFonts w:hint="eastAsia" w:ascii="宋体" w:hAnsi="宋体" w:cs="宋体"/>
          <w:color w:val="auto"/>
          <w:sz w:val="24"/>
        </w:rPr>
        <w:t>建设标准的条件</w:t>
      </w:r>
      <w:r>
        <w:rPr>
          <w:rFonts w:hint="eastAsia" w:ascii="宋体" w:hAnsi="宋体" w:cs="宋体"/>
          <w:color w:val="auto"/>
          <w:spacing w:val="4"/>
          <w:sz w:val="24"/>
        </w:rPr>
        <w:t>要</w:t>
      </w:r>
      <w:r>
        <w:rPr>
          <w:rFonts w:hint="eastAsia" w:ascii="宋体" w:hAnsi="宋体" w:cs="宋体"/>
          <w:color w:val="auto"/>
          <w:sz w:val="24"/>
        </w:rPr>
        <w:t>求承包上述工程</w:t>
      </w:r>
      <w:r>
        <w:rPr>
          <w:rFonts w:hint="eastAsia" w:ascii="宋体" w:hAnsi="宋体" w:cs="宋体"/>
          <w:color w:val="auto"/>
          <w:spacing w:val="4"/>
          <w:sz w:val="24"/>
        </w:rPr>
        <w:t>的</w:t>
      </w:r>
      <w:r>
        <w:rPr>
          <w:rFonts w:hint="eastAsia" w:ascii="宋体" w:hAnsi="宋体" w:cs="宋体"/>
          <w:color w:val="auto"/>
          <w:sz w:val="24"/>
        </w:rPr>
        <w:t>施工、竣工，并</w:t>
      </w:r>
      <w:r>
        <w:rPr>
          <w:rFonts w:hint="eastAsia" w:ascii="宋体" w:hAnsi="宋体" w:cs="宋体"/>
          <w:color w:val="auto"/>
          <w:spacing w:val="4"/>
          <w:sz w:val="24"/>
        </w:rPr>
        <w:t>承</w:t>
      </w:r>
      <w:r>
        <w:rPr>
          <w:rFonts w:hint="eastAsia" w:ascii="宋体" w:hAnsi="宋体" w:cs="宋体"/>
          <w:color w:val="auto"/>
          <w:sz w:val="24"/>
        </w:rPr>
        <w:t>担任何质量缺陷保修责任。我方保证工程质量达到</w:t>
      </w:r>
      <w:r>
        <w:rPr>
          <w:rFonts w:hint="eastAsia" w:ascii="宋体" w:hAnsi="宋体" w:cs="宋体"/>
          <w:color w:val="auto"/>
          <w:sz w:val="24"/>
          <w:u w:val="single"/>
        </w:rPr>
        <w:t>合格</w:t>
      </w:r>
      <w:r>
        <w:rPr>
          <w:rFonts w:hint="eastAsia" w:ascii="宋体" w:hAnsi="宋体" w:cs="宋体"/>
          <w:color w:val="auto"/>
          <w:sz w:val="24"/>
        </w:rPr>
        <w:t>。</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2、我方已详细审核全部磋商文件，包括修改文件（如有时）及有关附件。</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3、我方承认竞磋商附录是我方磋商函的组成部分。</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4、一旦我方成交</w:t>
      </w:r>
      <w:r>
        <w:rPr>
          <w:rFonts w:hint="eastAsia" w:ascii="宋体" w:hAnsi="宋体" w:cs="宋体"/>
          <w:color w:val="auto"/>
          <w:spacing w:val="-75"/>
          <w:sz w:val="24"/>
        </w:rPr>
        <w:t>，</w:t>
      </w:r>
      <w:r>
        <w:rPr>
          <w:rFonts w:hint="eastAsia" w:ascii="宋体" w:hAnsi="宋体" w:cs="宋体"/>
          <w:color w:val="auto"/>
          <w:sz w:val="24"/>
        </w:rPr>
        <w:t>我方保证按合同书中规定的工期日历天内完成并移交全部工程。</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5、我方同意所提交的磋商文件在磋商文件的</w:t>
      </w:r>
      <w:r>
        <w:rPr>
          <w:rFonts w:hint="eastAsia" w:ascii="宋体" w:hAnsi="宋体" w:cs="宋体"/>
          <w:color w:val="auto"/>
          <w:sz w:val="24"/>
          <w:u w:val="single"/>
        </w:rPr>
        <w:t xml:space="preserve"> 60 </w:t>
      </w:r>
      <w:r>
        <w:rPr>
          <w:rFonts w:hint="eastAsia" w:ascii="宋体" w:hAnsi="宋体" w:cs="宋体"/>
          <w:color w:val="auto"/>
          <w:sz w:val="24"/>
        </w:rPr>
        <w:t>天磋商有效期内有效，在此期间内如果成交，我方将受此约束。</w:t>
      </w:r>
    </w:p>
    <w:p>
      <w:pPr>
        <w:pStyle w:val="10"/>
        <w:adjustRightInd w:val="0"/>
        <w:snapToGrid w:val="0"/>
        <w:spacing w:line="360" w:lineRule="auto"/>
        <w:ind w:firstLine="456" w:firstLineChars="200"/>
        <w:rPr>
          <w:rFonts w:ascii="宋体" w:hAnsi="宋体" w:cs="宋体"/>
          <w:color w:val="auto"/>
          <w:spacing w:val="-7"/>
          <w:sz w:val="24"/>
        </w:rPr>
      </w:pPr>
      <w:r>
        <w:rPr>
          <w:rFonts w:hint="eastAsia" w:ascii="宋体" w:hAnsi="宋体" w:cs="宋体"/>
          <w:color w:val="auto"/>
          <w:w w:val="95"/>
          <w:sz w:val="24"/>
        </w:rPr>
        <w:t>6</w:t>
      </w:r>
      <w:r>
        <w:rPr>
          <w:rFonts w:hint="eastAsia" w:ascii="宋体" w:hAnsi="宋体" w:cs="宋体"/>
          <w:color w:val="auto"/>
          <w:spacing w:val="-7"/>
          <w:w w:val="95"/>
          <w:sz w:val="24"/>
        </w:rPr>
        <w:t>、</w:t>
      </w:r>
      <w:r>
        <w:rPr>
          <w:rFonts w:hint="eastAsia" w:ascii="宋体" w:hAnsi="宋体" w:cs="宋体"/>
          <w:color w:val="auto"/>
          <w:sz w:val="24"/>
        </w:rPr>
        <w:t>除非另外达成协议并生效，你方的成交通知书和本磋商文件将成为约束双方的合同文件的</w:t>
      </w:r>
      <w:r>
        <w:rPr>
          <w:rFonts w:hint="eastAsia" w:ascii="宋体" w:hAnsi="宋体" w:cs="宋体"/>
          <w:color w:val="auto"/>
          <w:spacing w:val="-7"/>
          <w:sz w:val="24"/>
        </w:rPr>
        <w:t>组成部分。</w:t>
      </w:r>
    </w:p>
    <w:p>
      <w:pPr>
        <w:pStyle w:val="10"/>
        <w:adjustRightInd w:val="0"/>
        <w:snapToGrid w:val="0"/>
        <w:spacing w:line="360" w:lineRule="auto"/>
        <w:ind w:firstLine="452" w:firstLineChars="200"/>
        <w:rPr>
          <w:rFonts w:ascii="宋体" w:hAnsi="宋体" w:cs="宋体"/>
          <w:color w:val="auto"/>
          <w:spacing w:val="-7"/>
          <w:sz w:val="24"/>
        </w:rPr>
      </w:pPr>
      <w:r>
        <w:rPr>
          <w:rFonts w:hint="eastAsia" w:ascii="宋体" w:hAnsi="宋体" w:cs="宋体"/>
          <w:color w:val="auto"/>
          <w:spacing w:val="-7"/>
          <w:sz w:val="24"/>
        </w:rPr>
        <w:t>7、我方将与本磋商标函一起，提交无条件保函（保证额度元或人民币元）作为竞争性磋商保证金。</w:t>
      </w:r>
    </w:p>
    <w:p>
      <w:pPr>
        <w:pStyle w:val="10"/>
        <w:adjustRightInd w:val="0"/>
        <w:snapToGrid w:val="0"/>
        <w:spacing w:line="360" w:lineRule="auto"/>
        <w:ind w:firstLine="480" w:firstLineChars="200"/>
        <w:rPr>
          <w:rFonts w:ascii="宋体" w:hAnsi="宋体" w:cs="宋体"/>
          <w:color w:val="auto"/>
          <w:sz w:val="24"/>
        </w:rPr>
      </w:pPr>
    </w:p>
    <w:p>
      <w:pPr>
        <w:pStyle w:val="10"/>
        <w:adjustRightInd w:val="0"/>
        <w:snapToGrid w:val="0"/>
        <w:spacing w:line="360" w:lineRule="auto"/>
        <w:ind w:firstLine="480" w:firstLineChars="200"/>
        <w:rPr>
          <w:rFonts w:ascii="宋体" w:hAnsi="宋体" w:cs="宋体"/>
          <w:color w:val="auto"/>
          <w:spacing w:val="-13"/>
          <w:sz w:val="24"/>
          <w:u w:val="none"/>
        </w:rPr>
      </w:pPr>
      <w:r>
        <w:rPr>
          <w:rFonts w:hint="eastAsia" w:ascii="宋体" w:hAnsi="宋体" w:cs="宋体"/>
          <w:color w:val="auto"/>
          <w:sz w:val="24"/>
        </w:rPr>
        <w:t>磋 商人：</w:t>
      </w:r>
      <w:r>
        <w:rPr>
          <w:rFonts w:hint="eastAsia" w:ascii="宋体" w:hAnsi="宋体" w:cs="宋体"/>
          <w:color w:val="auto"/>
          <w:sz w:val="24"/>
          <w:u w:val="single"/>
          <w:lang w:val="en-US" w:eastAsia="zh-CN"/>
        </w:rPr>
        <w:t xml:space="preserve">                </w:t>
      </w:r>
      <w:r>
        <w:rPr>
          <w:rFonts w:hint="eastAsia" w:ascii="宋体" w:hAnsi="宋体" w:cs="宋体"/>
          <w:color w:val="auto"/>
          <w:sz w:val="24"/>
          <w:u w:val="none"/>
        </w:rPr>
        <w:t>（盖单位公章</w:t>
      </w:r>
      <w:r>
        <w:rPr>
          <w:rFonts w:hint="eastAsia" w:ascii="宋体" w:hAnsi="宋体" w:cs="宋体"/>
          <w:color w:val="auto"/>
          <w:spacing w:val="-13"/>
          <w:sz w:val="24"/>
          <w:u w:val="none"/>
        </w:rPr>
        <w:t xml:space="preserve">） </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单位地址：</w:t>
      </w:r>
    </w:p>
    <w:p>
      <w:pPr>
        <w:pStyle w:val="10"/>
        <w:adjustRightInd w:val="0"/>
        <w:snapToGrid w:val="0"/>
        <w:spacing w:line="360" w:lineRule="auto"/>
        <w:ind w:firstLine="480" w:firstLineChars="200"/>
        <w:rPr>
          <w:rFonts w:ascii="宋体" w:hAnsi="宋体" w:cs="宋体"/>
          <w:color w:val="auto"/>
          <w:spacing w:val="-14"/>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lang w:val="en-US" w:eastAsia="zh-CN"/>
        </w:rPr>
        <w:t xml:space="preserve">               </w:t>
      </w:r>
      <w:r>
        <w:rPr>
          <w:rFonts w:hint="eastAsia" w:ascii="宋体" w:hAnsi="宋体" w:cs="宋体"/>
          <w:color w:val="auto"/>
          <w:sz w:val="24"/>
          <w:u w:val="none"/>
        </w:rPr>
        <w:tab/>
      </w:r>
      <w:r>
        <w:rPr>
          <w:rFonts w:hint="eastAsia" w:ascii="宋体" w:hAnsi="宋体" w:cs="宋体"/>
          <w:color w:val="auto"/>
          <w:sz w:val="24"/>
          <w:u w:val="none"/>
        </w:rPr>
        <w:t>（签字或盖章</w:t>
      </w:r>
      <w:r>
        <w:rPr>
          <w:rFonts w:hint="eastAsia" w:ascii="宋体" w:hAnsi="宋体" w:cs="宋体"/>
          <w:color w:val="auto"/>
          <w:spacing w:val="-14"/>
          <w:sz w:val="24"/>
          <w:u w:val="none"/>
        </w:rPr>
        <w:t xml:space="preserve">） </w:t>
      </w:r>
    </w:p>
    <w:p>
      <w:pPr>
        <w:pStyle w:val="10"/>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rPr>
        <w:t>邮政编码：</w:t>
      </w:r>
    </w:p>
    <w:p>
      <w:pPr>
        <w:pStyle w:val="10"/>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电话：</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开户银行名称：</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开户银行账号：</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开户银行地址：</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开户银行电话：</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ab/>
      </w:r>
      <w:r>
        <w:rPr>
          <w:rFonts w:hint="eastAsia" w:ascii="宋体" w:hAnsi="宋体" w:cs="宋体"/>
          <w:color w:val="auto"/>
          <w:sz w:val="24"/>
        </w:rPr>
        <w:t>日</w:t>
      </w:r>
    </w:p>
    <w:p>
      <w:pPr>
        <w:pStyle w:val="12"/>
        <w:spacing w:line="300" w:lineRule="auto"/>
        <w:jc w:val="center"/>
        <w:rPr>
          <w:rFonts w:hAnsi="宋体" w:cs="宋体"/>
          <w:b/>
          <w:bCs/>
          <w:color w:val="auto"/>
          <w:sz w:val="28"/>
          <w:szCs w:val="28"/>
        </w:rPr>
      </w:pPr>
      <w:bookmarkStart w:id="1284" w:name="_Toc5332_WPSOffice_Level3"/>
      <w:r>
        <w:rPr>
          <w:rFonts w:hint="eastAsia" w:hAnsi="宋体" w:cs="宋体"/>
          <w:b/>
          <w:bCs/>
          <w:color w:val="auto"/>
          <w:sz w:val="28"/>
          <w:szCs w:val="28"/>
        </w:rPr>
        <w:t>⑵磋商函附录</w:t>
      </w:r>
      <w:bookmarkEnd w:id="1284"/>
    </w:p>
    <w:p>
      <w:pPr>
        <w:pStyle w:val="10"/>
        <w:tabs>
          <w:tab w:val="left" w:pos="5942"/>
        </w:tabs>
        <w:spacing w:before="1" w:line="300" w:lineRule="auto"/>
        <w:ind w:left="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ab/>
      </w:r>
    </w:p>
    <w:p>
      <w:pPr>
        <w:pStyle w:val="10"/>
        <w:tabs>
          <w:tab w:val="left" w:pos="5942"/>
        </w:tabs>
        <w:spacing w:before="1" w:line="300" w:lineRule="auto"/>
        <w:ind w:left="0"/>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ab/>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83"/>
        <w:gridCol w:w="2818"/>
        <w:gridCol w:w="3726"/>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15" w:type="pct"/>
          </w:tcPr>
          <w:p>
            <w:pPr>
              <w:pStyle w:val="29"/>
              <w:spacing w:before="149" w:line="300" w:lineRule="auto"/>
              <w:ind w:left="272" w:right="266"/>
              <w:jc w:val="center"/>
              <w:rPr>
                <w:rFonts w:ascii="宋体" w:hAnsi="宋体" w:cs="宋体"/>
                <w:color w:val="auto"/>
                <w:sz w:val="24"/>
              </w:rPr>
            </w:pPr>
            <w:r>
              <w:rPr>
                <w:rFonts w:hint="eastAsia" w:ascii="宋体" w:hAnsi="宋体" w:cs="宋体"/>
                <w:color w:val="auto"/>
                <w:sz w:val="24"/>
              </w:rPr>
              <w:t>序 号</w:t>
            </w:r>
          </w:p>
        </w:tc>
        <w:tc>
          <w:tcPr>
            <w:tcW w:w="1457" w:type="pct"/>
          </w:tcPr>
          <w:p>
            <w:pPr>
              <w:pStyle w:val="29"/>
              <w:spacing w:before="149" w:line="300" w:lineRule="auto"/>
              <w:ind w:left="713"/>
              <w:rPr>
                <w:rFonts w:ascii="宋体" w:hAnsi="宋体" w:cs="宋体"/>
                <w:color w:val="auto"/>
                <w:sz w:val="24"/>
              </w:rPr>
            </w:pPr>
            <w:r>
              <w:rPr>
                <w:rFonts w:hint="eastAsia" w:ascii="宋体" w:hAnsi="宋体" w:cs="宋体"/>
                <w:color w:val="auto"/>
                <w:sz w:val="24"/>
              </w:rPr>
              <w:t>条款内容</w:t>
            </w:r>
          </w:p>
        </w:tc>
        <w:tc>
          <w:tcPr>
            <w:tcW w:w="1926" w:type="pct"/>
          </w:tcPr>
          <w:p>
            <w:pPr>
              <w:pStyle w:val="29"/>
              <w:spacing w:before="149" w:line="300" w:lineRule="auto"/>
              <w:ind w:left="6"/>
              <w:jc w:val="center"/>
              <w:rPr>
                <w:rFonts w:ascii="宋体" w:hAnsi="宋体" w:cs="宋体"/>
                <w:color w:val="auto"/>
                <w:sz w:val="24"/>
              </w:rPr>
            </w:pPr>
            <w:r>
              <w:rPr>
                <w:rFonts w:hint="eastAsia" w:ascii="宋体" w:hAnsi="宋体" w:cs="宋体"/>
                <w:color w:val="auto"/>
                <w:sz w:val="24"/>
              </w:rPr>
              <w:t>约定内容</w:t>
            </w:r>
          </w:p>
        </w:tc>
        <w:tc>
          <w:tcPr>
            <w:tcW w:w="899" w:type="pct"/>
          </w:tcPr>
          <w:p>
            <w:pPr>
              <w:pStyle w:val="29"/>
              <w:spacing w:before="149" w:line="300" w:lineRule="auto"/>
              <w:ind w:left="467" w:right="462"/>
              <w:jc w:val="center"/>
              <w:rPr>
                <w:rFonts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9"/>
              <w:spacing w:before="162" w:line="300" w:lineRule="auto"/>
              <w:ind w:left="10"/>
              <w:jc w:val="center"/>
              <w:rPr>
                <w:rFonts w:ascii="宋体" w:hAnsi="宋体" w:cs="宋体"/>
                <w:color w:val="auto"/>
                <w:sz w:val="24"/>
              </w:rPr>
            </w:pPr>
            <w:r>
              <w:rPr>
                <w:rFonts w:hint="eastAsia" w:ascii="宋体" w:hAnsi="宋体" w:cs="宋体"/>
                <w:color w:val="auto"/>
                <w:w w:val="99"/>
                <w:sz w:val="24"/>
              </w:rPr>
              <w:t>1</w:t>
            </w:r>
          </w:p>
        </w:tc>
        <w:tc>
          <w:tcPr>
            <w:tcW w:w="1457" w:type="pct"/>
          </w:tcPr>
          <w:p>
            <w:pPr>
              <w:pStyle w:val="29"/>
              <w:spacing w:before="148" w:line="300" w:lineRule="auto"/>
              <w:ind w:left="108"/>
              <w:rPr>
                <w:rFonts w:ascii="宋体" w:hAnsi="宋体" w:cs="宋体"/>
                <w:color w:val="auto"/>
                <w:sz w:val="24"/>
              </w:rPr>
            </w:pPr>
            <w:r>
              <w:rPr>
                <w:rFonts w:hint="eastAsia" w:ascii="宋体" w:hAnsi="宋体" w:cs="宋体"/>
                <w:color w:val="auto"/>
                <w:sz w:val="24"/>
              </w:rPr>
              <w:t>项目经理</w:t>
            </w:r>
          </w:p>
        </w:tc>
        <w:tc>
          <w:tcPr>
            <w:tcW w:w="1926" w:type="pct"/>
          </w:tcPr>
          <w:p>
            <w:pPr>
              <w:pStyle w:val="29"/>
              <w:spacing w:before="148" w:line="300" w:lineRule="auto"/>
              <w:ind w:left="108"/>
              <w:rPr>
                <w:rFonts w:ascii="宋体" w:hAnsi="宋体" w:cs="宋体"/>
                <w:color w:val="auto"/>
                <w:sz w:val="24"/>
              </w:rPr>
            </w:pPr>
            <w:r>
              <w:rPr>
                <w:rFonts w:hint="eastAsia" w:ascii="宋体" w:hAnsi="宋体" w:cs="宋体"/>
                <w:color w:val="auto"/>
                <w:sz w:val="24"/>
              </w:rPr>
              <w:t>姓名：</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9"/>
              <w:spacing w:before="161" w:line="300" w:lineRule="auto"/>
              <w:ind w:left="10"/>
              <w:jc w:val="center"/>
              <w:rPr>
                <w:rFonts w:ascii="宋体" w:hAnsi="宋体" w:cs="宋体"/>
                <w:color w:val="auto"/>
                <w:sz w:val="24"/>
              </w:rPr>
            </w:pPr>
            <w:r>
              <w:rPr>
                <w:rFonts w:hint="eastAsia" w:ascii="宋体" w:hAnsi="宋体" w:cs="宋体"/>
                <w:color w:val="auto"/>
                <w:w w:val="99"/>
                <w:sz w:val="24"/>
              </w:rPr>
              <w:t>2</w:t>
            </w:r>
          </w:p>
        </w:tc>
        <w:tc>
          <w:tcPr>
            <w:tcW w:w="1457" w:type="pct"/>
          </w:tcPr>
          <w:p>
            <w:pPr>
              <w:pStyle w:val="29"/>
              <w:spacing w:before="147" w:line="300" w:lineRule="auto"/>
              <w:ind w:left="108"/>
              <w:rPr>
                <w:rFonts w:ascii="宋体" w:hAnsi="宋体" w:cs="宋体"/>
                <w:color w:val="auto"/>
                <w:sz w:val="24"/>
              </w:rPr>
            </w:pPr>
            <w:r>
              <w:rPr>
                <w:rFonts w:hint="eastAsia" w:ascii="宋体" w:hAnsi="宋体" w:cs="宋体"/>
                <w:color w:val="auto"/>
                <w:sz w:val="24"/>
              </w:rPr>
              <w:t>磋商有效期</w:t>
            </w:r>
          </w:p>
        </w:tc>
        <w:tc>
          <w:tcPr>
            <w:tcW w:w="1926" w:type="pct"/>
          </w:tcPr>
          <w:p>
            <w:pPr>
              <w:pStyle w:val="29"/>
              <w:spacing w:before="147" w:line="300" w:lineRule="auto"/>
              <w:ind w:left="6"/>
              <w:jc w:val="center"/>
              <w:rPr>
                <w:rFonts w:ascii="宋体" w:hAnsi="宋体" w:cs="宋体"/>
                <w:color w:val="auto"/>
                <w:sz w:val="24"/>
              </w:rPr>
            </w:pPr>
            <w:r>
              <w:rPr>
                <w:rFonts w:hint="eastAsia" w:ascii="宋体" w:hAnsi="宋体" w:cs="宋体"/>
                <w:color w:val="auto"/>
                <w:sz w:val="24"/>
                <w:u w:val="single"/>
              </w:rPr>
              <w:t>60</w:t>
            </w:r>
            <w:r>
              <w:rPr>
                <w:rFonts w:hint="eastAsia" w:ascii="宋体" w:hAnsi="宋体" w:cs="宋体"/>
                <w:color w:val="auto"/>
                <w:sz w:val="24"/>
              </w:rPr>
              <w:t>日历天</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9"/>
              <w:spacing w:before="162" w:line="300" w:lineRule="auto"/>
              <w:ind w:left="10"/>
              <w:jc w:val="center"/>
              <w:rPr>
                <w:rFonts w:ascii="宋体" w:hAnsi="宋体" w:cs="宋体"/>
                <w:color w:val="auto"/>
                <w:sz w:val="24"/>
              </w:rPr>
            </w:pPr>
            <w:r>
              <w:rPr>
                <w:rFonts w:hint="eastAsia" w:ascii="宋体" w:hAnsi="宋体" w:cs="宋体"/>
                <w:color w:val="auto"/>
                <w:w w:val="99"/>
                <w:sz w:val="24"/>
              </w:rPr>
              <w:t>3</w:t>
            </w:r>
          </w:p>
        </w:tc>
        <w:tc>
          <w:tcPr>
            <w:tcW w:w="1457" w:type="pct"/>
          </w:tcPr>
          <w:p>
            <w:pPr>
              <w:pStyle w:val="29"/>
              <w:spacing w:before="148" w:line="300" w:lineRule="auto"/>
              <w:ind w:left="108"/>
              <w:rPr>
                <w:rFonts w:ascii="宋体" w:hAnsi="宋体" w:cs="宋体"/>
                <w:color w:val="auto"/>
                <w:sz w:val="24"/>
              </w:rPr>
            </w:pPr>
            <w:r>
              <w:rPr>
                <w:rFonts w:hint="eastAsia" w:ascii="宋体" w:hAnsi="宋体" w:cs="宋体"/>
                <w:color w:val="auto"/>
                <w:sz w:val="24"/>
              </w:rPr>
              <w:t>工期</w:t>
            </w:r>
          </w:p>
        </w:tc>
        <w:tc>
          <w:tcPr>
            <w:tcW w:w="1926" w:type="pct"/>
          </w:tcPr>
          <w:p>
            <w:pPr>
              <w:pStyle w:val="29"/>
              <w:tabs>
                <w:tab w:val="left" w:pos="1577"/>
              </w:tabs>
              <w:spacing w:before="148" w:line="300" w:lineRule="auto"/>
              <w:ind w:left="630"/>
              <w:rPr>
                <w:rFonts w:ascii="宋体" w:hAnsi="宋体" w:cs="宋体"/>
                <w:color w:val="auto"/>
                <w:sz w:val="24"/>
              </w:rPr>
            </w:pPr>
            <w:r>
              <w:rPr>
                <w:rFonts w:hint="eastAsia" w:ascii="宋体" w:hAnsi="宋体" w:cs="宋体"/>
                <w:color w:val="auto"/>
                <w:sz w:val="24"/>
                <w:u w:val="single"/>
              </w:rPr>
              <w:tab/>
            </w:r>
            <w:r>
              <w:rPr>
                <w:rFonts w:hint="eastAsia" w:ascii="宋体" w:hAnsi="宋体" w:cs="宋体"/>
                <w:color w:val="auto"/>
                <w:sz w:val="24"/>
              </w:rPr>
              <w:t>日历天</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9"/>
              <w:spacing w:before="161" w:line="300" w:lineRule="auto"/>
              <w:ind w:left="10"/>
              <w:jc w:val="center"/>
              <w:rPr>
                <w:rFonts w:ascii="宋体" w:hAnsi="宋体" w:cs="宋体"/>
                <w:color w:val="auto"/>
                <w:sz w:val="24"/>
              </w:rPr>
            </w:pPr>
            <w:r>
              <w:rPr>
                <w:rFonts w:hint="eastAsia" w:ascii="宋体" w:hAnsi="宋体" w:cs="宋体"/>
                <w:color w:val="auto"/>
                <w:w w:val="99"/>
                <w:sz w:val="24"/>
              </w:rPr>
              <w:t>4</w:t>
            </w:r>
          </w:p>
        </w:tc>
        <w:tc>
          <w:tcPr>
            <w:tcW w:w="1457" w:type="pct"/>
          </w:tcPr>
          <w:p>
            <w:pPr>
              <w:pStyle w:val="29"/>
              <w:spacing w:before="147" w:line="300" w:lineRule="auto"/>
              <w:ind w:left="108"/>
              <w:rPr>
                <w:rFonts w:ascii="宋体" w:hAnsi="宋体" w:cs="宋体"/>
                <w:color w:val="auto"/>
                <w:sz w:val="24"/>
              </w:rPr>
            </w:pPr>
            <w:r>
              <w:rPr>
                <w:rFonts w:hint="eastAsia" w:ascii="宋体" w:hAnsi="宋体" w:cs="宋体"/>
                <w:color w:val="auto"/>
                <w:sz w:val="24"/>
              </w:rPr>
              <w:t>缺陷责任期</w:t>
            </w:r>
          </w:p>
        </w:tc>
        <w:tc>
          <w:tcPr>
            <w:tcW w:w="1926" w:type="pct"/>
          </w:tcPr>
          <w:p>
            <w:pPr>
              <w:pStyle w:val="29"/>
              <w:tabs>
                <w:tab w:val="left" w:pos="1812"/>
              </w:tabs>
              <w:spacing w:before="147" w:line="300" w:lineRule="auto"/>
              <w:ind w:left="971"/>
              <w:rPr>
                <w:rFonts w:ascii="宋体" w:hAnsi="宋体" w:cs="宋体"/>
                <w:color w:val="auto"/>
                <w:sz w:val="24"/>
              </w:rPr>
            </w:pPr>
            <w:r>
              <w:rPr>
                <w:rFonts w:hint="eastAsia" w:ascii="宋体" w:hAnsi="宋体" w:cs="宋体"/>
                <w:color w:val="auto"/>
                <w:sz w:val="24"/>
                <w:u w:val="single"/>
              </w:rPr>
              <w:tab/>
            </w:r>
            <w:r>
              <w:rPr>
                <w:rFonts w:hint="eastAsia" w:ascii="宋体" w:hAnsi="宋体" w:cs="宋体"/>
                <w:color w:val="auto"/>
                <w:sz w:val="24"/>
              </w:rPr>
              <w:t>年</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15" w:type="pct"/>
          </w:tcPr>
          <w:p>
            <w:pPr>
              <w:pStyle w:val="29"/>
              <w:spacing w:before="162" w:line="300" w:lineRule="auto"/>
              <w:ind w:left="10"/>
              <w:jc w:val="center"/>
              <w:rPr>
                <w:rFonts w:ascii="宋体" w:hAnsi="宋体" w:cs="宋体"/>
                <w:color w:val="auto"/>
                <w:sz w:val="24"/>
              </w:rPr>
            </w:pPr>
            <w:r>
              <w:rPr>
                <w:rFonts w:hint="eastAsia" w:ascii="宋体" w:hAnsi="宋体" w:cs="宋体"/>
                <w:color w:val="auto"/>
                <w:w w:val="99"/>
                <w:sz w:val="24"/>
              </w:rPr>
              <w:t>5</w:t>
            </w:r>
          </w:p>
        </w:tc>
        <w:tc>
          <w:tcPr>
            <w:tcW w:w="1457" w:type="pct"/>
          </w:tcPr>
          <w:p>
            <w:pPr>
              <w:pStyle w:val="29"/>
              <w:spacing w:before="149" w:line="300" w:lineRule="auto"/>
              <w:ind w:left="108"/>
              <w:rPr>
                <w:rFonts w:ascii="宋体" w:hAnsi="宋体" w:cs="宋体"/>
                <w:color w:val="auto"/>
                <w:sz w:val="24"/>
              </w:rPr>
            </w:pPr>
            <w:r>
              <w:rPr>
                <w:rFonts w:hint="eastAsia" w:ascii="宋体" w:hAnsi="宋体" w:cs="宋体"/>
                <w:color w:val="auto"/>
                <w:sz w:val="24"/>
              </w:rPr>
              <w:t>发包人支付担保</w:t>
            </w:r>
          </w:p>
        </w:tc>
        <w:tc>
          <w:tcPr>
            <w:tcW w:w="1926" w:type="pct"/>
          </w:tcPr>
          <w:p>
            <w:pPr>
              <w:pStyle w:val="29"/>
              <w:spacing w:before="149" w:line="300" w:lineRule="auto"/>
              <w:ind w:left="6"/>
              <w:jc w:val="center"/>
              <w:rPr>
                <w:rFonts w:ascii="宋体" w:hAnsi="宋体" w:cs="宋体"/>
                <w:color w:val="auto"/>
                <w:sz w:val="24"/>
              </w:rPr>
            </w:pPr>
            <w:r>
              <w:rPr>
                <w:rFonts w:hint="eastAsia" w:ascii="宋体" w:hAnsi="宋体" w:cs="宋体"/>
                <w:color w:val="auto"/>
                <w:w w:val="99"/>
                <w:sz w:val="24"/>
              </w:rPr>
              <w:t>无</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9"/>
              <w:spacing w:before="161" w:line="300" w:lineRule="auto"/>
              <w:ind w:left="10"/>
              <w:jc w:val="center"/>
              <w:rPr>
                <w:rFonts w:ascii="宋体" w:hAnsi="宋体" w:cs="宋体"/>
                <w:color w:val="auto"/>
                <w:sz w:val="24"/>
              </w:rPr>
            </w:pPr>
            <w:r>
              <w:rPr>
                <w:rFonts w:hint="eastAsia" w:ascii="宋体" w:hAnsi="宋体" w:cs="宋体"/>
                <w:color w:val="auto"/>
                <w:w w:val="99"/>
                <w:sz w:val="24"/>
              </w:rPr>
              <w:t>6</w:t>
            </w:r>
          </w:p>
        </w:tc>
        <w:tc>
          <w:tcPr>
            <w:tcW w:w="1457" w:type="pct"/>
          </w:tcPr>
          <w:p>
            <w:pPr>
              <w:pStyle w:val="29"/>
              <w:spacing w:before="147" w:line="300" w:lineRule="auto"/>
              <w:ind w:left="108"/>
              <w:rPr>
                <w:rFonts w:ascii="宋体" w:hAnsi="宋体" w:cs="宋体"/>
                <w:color w:val="auto"/>
                <w:sz w:val="24"/>
              </w:rPr>
            </w:pPr>
            <w:r>
              <w:rPr>
                <w:rFonts w:hint="eastAsia" w:ascii="宋体" w:hAnsi="宋体" w:cs="宋体"/>
                <w:color w:val="auto"/>
                <w:sz w:val="24"/>
              </w:rPr>
              <w:t>分包</w:t>
            </w:r>
          </w:p>
        </w:tc>
        <w:tc>
          <w:tcPr>
            <w:tcW w:w="1926" w:type="pct"/>
          </w:tcPr>
          <w:p>
            <w:pPr>
              <w:pStyle w:val="29"/>
              <w:spacing w:before="147" w:line="300" w:lineRule="auto"/>
              <w:ind w:left="108"/>
              <w:rPr>
                <w:rFonts w:ascii="宋体" w:hAnsi="宋体" w:cs="宋体"/>
                <w:color w:val="auto"/>
                <w:sz w:val="24"/>
              </w:rPr>
            </w:pPr>
            <w:r>
              <w:rPr>
                <w:rFonts w:hint="eastAsia" w:ascii="宋体" w:hAnsi="宋体" w:cs="宋体"/>
                <w:color w:val="auto"/>
                <w:sz w:val="24"/>
              </w:rPr>
              <w:t>见分包项目情况表</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9"/>
              <w:spacing w:before="163" w:line="300" w:lineRule="auto"/>
              <w:ind w:left="10"/>
              <w:jc w:val="center"/>
              <w:rPr>
                <w:rFonts w:ascii="宋体" w:hAnsi="宋体" w:cs="宋体"/>
                <w:color w:val="auto"/>
                <w:sz w:val="24"/>
              </w:rPr>
            </w:pPr>
            <w:r>
              <w:rPr>
                <w:rFonts w:hint="eastAsia" w:ascii="宋体" w:hAnsi="宋体" w:cs="宋体"/>
                <w:color w:val="auto"/>
                <w:w w:val="99"/>
                <w:sz w:val="24"/>
              </w:rPr>
              <w:t>7</w:t>
            </w:r>
          </w:p>
        </w:tc>
        <w:tc>
          <w:tcPr>
            <w:tcW w:w="1457" w:type="pct"/>
          </w:tcPr>
          <w:p>
            <w:pPr>
              <w:pStyle w:val="29"/>
              <w:spacing w:before="149" w:line="300" w:lineRule="auto"/>
              <w:ind w:left="108"/>
              <w:rPr>
                <w:rFonts w:ascii="宋体" w:hAnsi="宋体" w:cs="宋体"/>
                <w:color w:val="auto"/>
                <w:sz w:val="24"/>
              </w:rPr>
            </w:pPr>
            <w:r>
              <w:rPr>
                <w:rFonts w:hint="eastAsia" w:ascii="宋体" w:hAnsi="宋体" w:cs="宋体"/>
                <w:color w:val="auto"/>
                <w:sz w:val="24"/>
              </w:rPr>
              <w:t>逾期竣工违约金</w:t>
            </w:r>
          </w:p>
        </w:tc>
        <w:tc>
          <w:tcPr>
            <w:tcW w:w="1926" w:type="pct"/>
          </w:tcPr>
          <w:p>
            <w:pPr>
              <w:pStyle w:val="29"/>
              <w:spacing w:before="149" w:line="300" w:lineRule="auto"/>
              <w:ind w:left="108"/>
              <w:rPr>
                <w:rFonts w:ascii="宋体" w:hAnsi="宋体" w:cs="宋体"/>
                <w:color w:val="auto"/>
                <w:sz w:val="24"/>
              </w:rPr>
            </w:pPr>
            <w:r>
              <w:rPr>
                <w:rFonts w:hint="eastAsia" w:ascii="宋体" w:hAnsi="宋体" w:cs="宋体"/>
                <w:color w:val="auto"/>
                <w:sz w:val="24"/>
              </w:rPr>
              <w:t xml:space="preserve">最终结算工程造价 </w:t>
            </w:r>
            <w:r>
              <w:rPr>
                <w:rFonts w:hint="eastAsia" w:ascii="宋体" w:hAnsi="宋体" w:cs="宋体"/>
                <w:color w:val="auto"/>
                <w:sz w:val="24"/>
                <w:u w:val="single"/>
              </w:rPr>
              <w:t>0.04</w:t>
            </w:r>
            <w:r>
              <w:rPr>
                <w:rFonts w:hint="eastAsia" w:ascii="宋体" w:hAnsi="宋体" w:cs="宋体"/>
                <w:color w:val="auto"/>
                <w:sz w:val="24"/>
              </w:rPr>
              <w:t>%/天</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5" w:type="pct"/>
          </w:tcPr>
          <w:p>
            <w:pPr>
              <w:pStyle w:val="29"/>
              <w:spacing w:before="162" w:line="300" w:lineRule="auto"/>
              <w:ind w:left="10"/>
              <w:jc w:val="center"/>
              <w:rPr>
                <w:rFonts w:ascii="宋体" w:hAnsi="宋体" w:cs="宋体"/>
                <w:color w:val="auto"/>
                <w:sz w:val="24"/>
              </w:rPr>
            </w:pPr>
            <w:r>
              <w:rPr>
                <w:rFonts w:hint="eastAsia" w:ascii="宋体" w:hAnsi="宋体" w:cs="宋体"/>
                <w:color w:val="auto"/>
                <w:w w:val="99"/>
                <w:sz w:val="24"/>
              </w:rPr>
              <w:t>8</w:t>
            </w:r>
          </w:p>
        </w:tc>
        <w:tc>
          <w:tcPr>
            <w:tcW w:w="1457" w:type="pct"/>
          </w:tcPr>
          <w:p>
            <w:pPr>
              <w:pStyle w:val="29"/>
              <w:spacing w:before="10" w:line="300" w:lineRule="auto"/>
              <w:ind w:left="108" w:right="97"/>
              <w:rPr>
                <w:rFonts w:ascii="宋体" w:hAnsi="宋体" w:cs="宋体"/>
                <w:color w:val="auto"/>
                <w:sz w:val="24"/>
              </w:rPr>
            </w:pPr>
            <w:r>
              <w:rPr>
                <w:rFonts w:hint="eastAsia" w:ascii="宋体" w:hAnsi="宋体" w:cs="宋体"/>
                <w:color w:val="auto"/>
                <w:sz w:val="24"/>
              </w:rPr>
              <w:t>逾期竣工违约金最高限额</w:t>
            </w:r>
          </w:p>
        </w:tc>
        <w:tc>
          <w:tcPr>
            <w:tcW w:w="1926" w:type="pct"/>
          </w:tcPr>
          <w:p>
            <w:pPr>
              <w:pStyle w:val="29"/>
              <w:spacing w:before="148" w:line="300" w:lineRule="auto"/>
              <w:ind w:left="108"/>
              <w:rPr>
                <w:rFonts w:ascii="宋体" w:hAnsi="宋体" w:cs="宋体"/>
                <w:color w:val="auto"/>
                <w:sz w:val="24"/>
              </w:rPr>
            </w:pPr>
            <w:r>
              <w:rPr>
                <w:rFonts w:hint="eastAsia" w:ascii="宋体" w:hAnsi="宋体" w:cs="宋体"/>
                <w:color w:val="auto"/>
                <w:sz w:val="24"/>
              </w:rPr>
              <w:t xml:space="preserve">最终结算工程造价 </w:t>
            </w:r>
            <w:r>
              <w:rPr>
                <w:rFonts w:hint="eastAsia" w:ascii="宋体" w:hAnsi="宋体" w:cs="宋体"/>
                <w:color w:val="auto"/>
                <w:sz w:val="24"/>
                <w:u w:val="single"/>
              </w:rPr>
              <w:t>3%</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715" w:type="pct"/>
          </w:tcPr>
          <w:p>
            <w:pPr>
              <w:pStyle w:val="29"/>
              <w:spacing w:before="161" w:line="300" w:lineRule="auto"/>
              <w:ind w:left="10"/>
              <w:jc w:val="center"/>
              <w:rPr>
                <w:rFonts w:ascii="宋体" w:hAnsi="宋体" w:cs="宋体"/>
                <w:color w:val="auto"/>
                <w:sz w:val="24"/>
              </w:rPr>
            </w:pPr>
            <w:r>
              <w:rPr>
                <w:rFonts w:hint="eastAsia" w:ascii="宋体" w:hAnsi="宋体" w:cs="宋体"/>
                <w:color w:val="auto"/>
                <w:w w:val="99"/>
                <w:sz w:val="24"/>
              </w:rPr>
              <w:t>9</w:t>
            </w:r>
          </w:p>
        </w:tc>
        <w:tc>
          <w:tcPr>
            <w:tcW w:w="1457" w:type="pct"/>
          </w:tcPr>
          <w:p>
            <w:pPr>
              <w:pStyle w:val="29"/>
              <w:spacing w:before="147" w:line="300" w:lineRule="auto"/>
              <w:ind w:left="108"/>
              <w:rPr>
                <w:rFonts w:ascii="宋体" w:hAnsi="宋体" w:cs="宋体"/>
                <w:color w:val="auto"/>
                <w:sz w:val="24"/>
              </w:rPr>
            </w:pPr>
            <w:r>
              <w:rPr>
                <w:rFonts w:hint="eastAsia" w:ascii="宋体" w:hAnsi="宋体" w:cs="宋体"/>
                <w:color w:val="auto"/>
                <w:sz w:val="24"/>
              </w:rPr>
              <w:t>质量标准</w:t>
            </w:r>
          </w:p>
        </w:tc>
        <w:tc>
          <w:tcPr>
            <w:tcW w:w="1926" w:type="pct"/>
          </w:tcPr>
          <w:p>
            <w:pPr>
              <w:pStyle w:val="29"/>
              <w:spacing w:before="147" w:line="300" w:lineRule="auto"/>
              <w:ind w:left="6"/>
              <w:jc w:val="center"/>
              <w:rPr>
                <w:rFonts w:ascii="宋体" w:hAnsi="宋体" w:cs="宋体"/>
                <w:color w:val="auto"/>
                <w:sz w:val="24"/>
              </w:rPr>
            </w:pPr>
            <w:r>
              <w:rPr>
                <w:rFonts w:hint="eastAsia" w:ascii="宋体" w:hAnsi="宋体" w:cs="宋体"/>
                <w:color w:val="auto"/>
                <w:sz w:val="24"/>
                <w:u w:val="single"/>
              </w:rPr>
              <w:t>合格</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9"/>
              <w:spacing w:before="162" w:line="300" w:lineRule="auto"/>
              <w:ind w:left="272" w:right="262"/>
              <w:jc w:val="center"/>
              <w:rPr>
                <w:rFonts w:ascii="宋体" w:hAnsi="宋体" w:cs="宋体"/>
                <w:color w:val="auto"/>
                <w:sz w:val="24"/>
              </w:rPr>
            </w:pPr>
            <w:r>
              <w:rPr>
                <w:rFonts w:hint="eastAsia" w:ascii="宋体" w:hAnsi="宋体" w:cs="宋体"/>
                <w:color w:val="auto"/>
                <w:sz w:val="24"/>
              </w:rPr>
              <w:t>10</w:t>
            </w:r>
          </w:p>
        </w:tc>
        <w:tc>
          <w:tcPr>
            <w:tcW w:w="1457" w:type="pct"/>
          </w:tcPr>
          <w:p>
            <w:pPr>
              <w:pStyle w:val="29"/>
              <w:spacing w:before="148" w:line="300" w:lineRule="auto"/>
              <w:ind w:left="108"/>
              <w:rPr>
                <w:rFonts w:ascii="宋体" w:hAnsi="宋体" w:cs="宋体"/>
                <w:color w:val="auto"/>
                <w:sz w:val="24"/>
              </w:rPr>
            </w:pPr>
            <w:r>
              <w:rPr>
                <w:rFonts w:hint="eastAsia" w:ascii="宋体" w:hAnsi="宋体" w:cs="宋体"/>
                <w:color w:val="auto"/>
                <w:sz w:val="24"/>
              </w:rPr>
              <w:t>预付款额度</w:t>
            </w:r>
          </w:p>
        </w:tc>
        <w:tc>
          <w:tcPr>
            <w:tcW w:w="1926" w:type="pct"/>
          </w:tcPr>
          <w:p>
            <w:pPr>
              <w:pStyle w:val="29"/>
              <w:tabs>
                <w:tab w:val="left" w:pos="848"/>
              </w:tabs>
              <w:spacing w:before="162" w:line="300" w:lineRule="auto"/>
              <w:ind w:left="7"/>
              <w:jc w:val="center"/>
              <w:rPr>
                <w:rFonts w:ascii="宋体" w:hAnsi="宋体" w:cs="宋体"/>
                <w:color w:val="auto"/>
                <w:sz w:val="24"/>
              </w:rPr>
            </w:pPr>
            <w:r>
              <w:rPr>
                <w:rFonts w:hint="eastAsia" w:ascii="宋体" w:hAnsi="宋体" w:cs="宋体"/>
                <w:color w:val="auto"/>
                <w:sz w:val="24"/>
                <w:u w:val="single"/>
              </w:rPr>
              <w:tab/>
            </w:r>
            <w:r>
              <w:rPr>
                <w:rFonts w:hint="eastAsia" w:ascii="宋体" w:hAnsi="宋体" w:cs="宋体"/>
                <w:color w:val="auto"/>
                <w:sz w:val="24"/>
                <w:u w:val="single"/>
              </w:rPr>
              <w:t>.</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15" w:type="pct"/>
          </w:tcPr>
          <w:p>
            <w:pPr>
              <w:pStyle w:val="29"/>
              <w:spacing w:before="161" w:line="300" w:lineRule="auto"/>
              <w:ind w:left="272" w:right="262"/>
              <w:jc w:val="center"/>
              <w:rPr>
                <w:rFonts w:ascii="宋体" w:hAnsi="宋体" w:cs="宋体"/>
                <w:color w:val="auto"/>
                <w:sz w:val="24"/>
              </w:rPr>
            </w:pPr>
            <w:r>
              <w:rPr>
                <w:rFonts w:hint="eastAsia" w:ascii="宋体" w:hAnsi="宋体" w:cs="宋体"/>
                <w:color w:val="auto"/>
                <w:sz w:val="24"/>
              </w:rPr>
              <w:t>11</w:t>
            </w:r>
          </w:p>
        </w:tc>
        <w:tc>
          <w:tcPr>
            <w:tcW w:w="1457" w:type="pct"/>
          </w:tcPr>
          <w:p>
            <w:pPr>
              <w:pStyle w:val="29"/>
              <w:spacing w:before="147" w:line="300" w:lineRule="auto"/>
              <w:ind w:left="108"/>
              <w:rPr>
                <w:rFonts w:ascii="宋体" w:hAnsi="宋体" w:cs="宋体"/>
                <w:color w:val="auto"/>
                <w:sz w:val="24"/>
              </w:rPr>
            </w:pPr>
            <w:r>
              <w:rPr>
                <w:rFonts w:hint="eastAsia" w:ascii="宋体" w:hAnsi="宋体" w:cs="宋体"/>
                <w:color w:val="auto"/>
                <w:sz w:val="24"/>
              </w:rPr>
              <w:t>预付款保函金额</w:t>
            </w:r>
          </w:p>
        </w:tc>
        <w:tc>
          <w:tcPr>
            <w:tcW w:w="1926" w:type="pct"/>
          </w:tcPr>
          <w:p>
            <w:pPr>
              <w:pStyle w:val="29"/>
              <w:tabs>
                <w:tab w:val="left" w:pos="848"/>
              </w:tabs>
              <w:spacing w:before="161" w:line="300" w:lineRule="auto"/>
              <w:ind w:left="7"/>
              <w:jc w:val="center"/>
              <w:rPr>
                <w:rFonts w:ascii="宋体" w:hAnsi="宋体" w:cs="宋体"/>
                <w:color w:val="auto"/>
                <w:sz w:val="24"/>
              </w:rPr>
            </w:pPr>
            <w:r>
              <w:rPr>
                <w:rFonts w:hint="eastAsia" w:ascii="宋体" w:hAnsi="宋体" w:cs="宋体"/>
                <w:color w:val="auto"/>
                <w:sz w:val="24"/>
                <w:u w:val="single"/>
              </w:rPr>
              <w:tab/>
            </w:r>
            <w:r>
              <w:rPr>
                <w:rFonts w:hint="eastAsia" w:ascii="宋体" w:hAnsi="宋体" w:cs="宋体"/>
                <w:color w:val="auto"/>
                <w:sz w:val="24"/>
                <w:u w:val="single"/>
              </w:rPr>
              <w:t>.</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9"/>
              <w:spacing w:before="163" w:line="300" w:lineRule="auto"/>
              <w:ind w:left="272" w:right="262"/>
              <w:jc w:val="center"/>
              <w:rPr>
                <w:rFonts w:ascii="宋体" w:hAnsi="宋体" w:cs="宋体"/>
                <w:color w:val="auto"/>
                <w:sz w:val="24"/>
              </w:rPr>
            </w:pPr>
            <w:r>
              <w:rPr>
                <w:rFonts w:hint="eastAsia" w:ascii="宋体" w:hAnsi="宋体" w:cs="宋体"/>
                <w:color w:val="auto"/>
                <w:sz w:val="24"/>
              </w:rPr>
              <w:t>12</w:t>
            </w:r>
          </w:p>
        </w:tc>
        <w:tc>
          <w:tcPr>
            <w:tcW w:w="1457" w:type="pct"/>
          </w:tcPr>
          <w:p>
            <w:pPr>
              <w:pStyle w:val="29"/>
              <w:spacing w:before="149" w:line="300" w:lineRule="auto"/>
              <w:ind w:left="108"/>
              <w:rPr>
                <w:rFonts w:ascii="宋体" w:hAnsi="宋体" w:cs="宋体"/>
                <w:color w:val="auto"/>
                <w:sz w:val="24"/>
              </w:rPr>
            </w:pPr>
            <w:r>
              <w:rPr>
                <w:rFonts w:hint="eastAsia" w:ascii="宋体" w:hAnsi="宋体" w:cs="宋体"/>
                <w:color w:val="auto"/>
                <w:sz w:val="24"/>
              </w:rPr>
              <w:t>质量保证金额度</w:t>
            </w:r>
          </w:p>
        </w:tc>
        <w:tc>
          <w:tcPr>
            <w:tcW w:w="1926" w:type="pct"/>
          </w:tcPr>
          <w:p>
            <w:pPr>
              <w:pStyle w:val="29"/>
              <w:spacing w:before="149" w:line="300" w:lineRule="auto"/>
              <w:ind w:left="386"/>
              <w:rPr>
                <w:rFonts w:ascii="宋体" w:hAnsi="宋体" w:cs="宋体"/>
                <w:color w:val="auto"/>
                <w:sz w:val="24"/>
              </w:rPr>
            </w:pPr>
            <w:r>
              <w:rPr>
                <w:rFonts w:hint="eastAsia" w:ascii="宋体" w:hAnsi="宋体" w:cs="宋体"/>
                <w:color w:val="auto"/>
                <w:sz w:val="24"/>
              </w:rPr>
              <w:t xml:space="preserve">最终结算工程造价的 </w:t>
            </w:r>
            <w:r>
              <w:rPr>
                <w:rFonts w:hint="eastAsia" w:ascii="宋体" w:hAnsi="宋体" w:cs="宋体"/>
                <w:color w:val="auto"/>
                <w:sz w:val="24"/>
                <w:u w:val="single"/>
              </w:rPr>
              <w:t>3</w:t>
            </w:r>
            <w:r>
              <w:rPr>
                <w:rFonts w:hint="eastAsia" w:ascii="宋体" w:hAnsi="宋体" w:cs="宋体"/>
                <w:color w:val="auto"/>
                <w:sz w:val="24"/>
              </w:rPr>
              <w:t>%</w:t>
            </w:r>
          </w:p>
        </w:tc>
        <w:tc>
          <w:tcPr>
            <w:tcW w:w="899" w:type="pct"/>
          </w:tcPr>
          <w:p>
            <w:pPr>
              <w:pStyle w:val="29"/>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9"/>
              <w:spacing w:before="162" w:line="300" w:lineRule="auto"/>
              <w:ind w:left="272" w:right="266"/>
              <w:jc w:val="center"/>
              <w:rPr>
                <w:rFonts w:ascii="宋体" w:hAnsi="宋体" w:cs="宋体"/>
                <w:color w:val="auto"/>
                <w:sz w:val="24"/>
              </w:rPr>
            </w:pPr>
            <w:r>
              <w:rPr>
                <w:rFonts w:hint="eastAsia" w:ascii="宋体" w:hAnsi="宋体" w:cs="宋体"/>
                <w:color w:val="auto"/>
                <w:sz w:val="24"/>
              </w:rPr>
              <w:t>……</w:t>
            </w:r>
          </w:p>
        </w:tc>
        <w:tc>
          <w:tcPr>
            <w:tcW w:w="1457" w:type="pct"/>
          </w:tcPr>
          <w:p>
            <w:pPr>
              <w:pStyle w:val="29"/>
              <w:spacing w:before="162" w:line="300" w:lineRule="auto"/>
              <w:ind w:left="903" w:right="895"/>
              <w:jc w:val="center"/>
              <w:rPr>
                <w:rFonts w:ascii="宋体" w:hAnsi="宋体" w:cs="宋体"/>
                <w:color w:val="auto"/>
                <w:sz w:val="24"/>
              </w:rPr>
            </w:pPr>
            <w:r>
              <w:rPr>
                <w:rFonts w:hint="eastAsia" w:ascii="宋体" w:hAnsi="宋体" w:cs="宋体"/>
                <w:color w:val="auto"/>
                <w:sz w:val="24"/>
              </w:rPr>
              <w:t>……</w:t>
            </w:r>
          </w:p>
        </w:tc>
        <w:tc>
          <w:tcPr>
            <w:tcW w:w="1926" w:type="pct"/>
          </w:tcPr>
          <w:p>
            <w:pPr>
              <w:pStyle w:val="29"/>
              <w:spacing w:line="300" w:lineRule="auto"/>
              <w:rPr>
                <w:rFonts w:ascii="宋体" w:hAnsi="宋体" w:cs="宋体"/>
                <w:color w:val="auto"/>
                <w:sz w:val="24"/>
              </w:rPr>
            </w:pPr>
          </w:p>
        </w:tc>
        <w:tc>
          <w:tcPr>
            <w:tcW w:w="899" w:type="pct"/>
          </w:tcPr>
          <w:p>
            <w:pPr>
              <w:pStyle w:val="29"/>
              <w:spacing w:line="300" w:lineRule="auto"/>
              <w:rPr>
                <w:rFonts w:ascii="宋体" w:hAnsi="宋体" w:cs="宋体"/>
                <w:color w:val="auto"/>
                <w:sz w:val="24"/>
              </w:rPr>
            </w:pPr>
          </w:p>
        </w:tc>
      </w:tr>
    </w:tbl>
    <w:p>
      <w:pPr>
        <w:pStyle w:val="10"/>
        <w:spacing w:before="6" w:line="300" w:lineRule="auto"/>
        <w:rPr>
          <w:rFonts w:ascii="宋体" w:hAnsi="宋体" w:cs="宋体"/>
          <w:color w:val="auto"/>
          <w:sz w:val="32"/>
        </w:rPr>
      </w:pPr>
    </w:p>
    <w:p>
      <w:pPr>
        <w:pStyle w:val="10"/>
        <w:spacing w:line="360" w:lineRule="auto"/>
        <w:ind w:left="0"/>
        <w:rPr>
          <w:rFonts w:ascii="宋体" w:hAnsi="宋体" w:cs="宋体"/>
          <w:color w:val="auto"/>
          <w:sz w:val="24"/>
        </w:rPr>
      </w:pPr>
      <w:r>
        <w:rPr>
          <w:rFonts w:hint="eastAsia" w:ascii="宋体" w:hAnsi="宋体" w:cs="宋体"/>
          <w:color w:val="auto"/>
          <w:sz w:val="24"/>
        </w:rPr>
        <w:t>供应商（盖单位公章）：</w:t>
      </w:r>
    </w:p>
    <w:p>
      <w:pPr>
        <w:pStyle w:val="10"/>
        <w:spacing w:before="5" w:line="360" w:lineRule="auto"/>
        <w:rPr>
          <w:rFonts w:ascii="宋体" w:hAnsi="宋体" w:cs="宋体"/>
          <w:color w:val="auto"/>
          <w:sz w:val="24"/>
        </w:rPr>
      </w:pPr>
    </w:p>
    <w:p>
      <w:pPr>
        <w:pStyle w:val="10"/>
        <w:spacing w:before="1" w:line="360" w:lineRule="auto"/>
        <w:ind w:left="0"/>
        <w:rPr>
          <w:rFonts w:ascii="宋体" w:hAnsi="宋体" w:cs="宋体"/>
          <w:color w:val="auto"/>
          <w:sz w:val="24"/>
        </w:rPr>
      </w:pPr>
      <w:r>
        <w:rPr>
          <w:rFonts w:hint="eastAsia" w:ascii="宋体" w:hAnsi="宋体" w:cs="宋体"/>
          <w:color w:val="auto"/>
          <w:sz w:val="24"/>
        </w:rPr>
        <w:t>法人代表或委托代理人（签字或盖章）：</w:t>
      </w:r>
    </w:p>
    <w:p>
      <w:pPr>
        <w:pStyle w:val="10"/>
        <w:tabs>
          <w:tab w:val="left" w:pos="5457"/>
          <w:tab w:val="left" w:pos="6297"/>
          <w:tab w:val="left" w:pos="7137"/>
        </w:tabs>
        <w:spacing w:before="38" w:line="360" w:lineRule="auto"/>
        <w:ind w:left="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spacing w:line="360" w:lineRule="auto"/>
        <w:rPr>
          <w:rFonts w:ascii="宋体" w:hAnsi="宋体" w:cs="宋体"/>
          <w:color w:val="auto"/>
        </w:rPr>
        <w:sectPr>
          <w:pgSz w:w="11910" w:h="16840"/>
          <w:pgMar w:top="1542" w:right="1009" w:bottom="1040" w:left="1241" w:header="876" w:footer="858" w:gutter="0"/>
          <w:pgNumType w:fmt="decimal"/>
          <w:cols w:space="720" w:num="1"/>
        </w:sectPr>
      </w:pPr>
    </w:p>
    <w:p>
      <w:pPr>
        <w:pStyle w:val="12"/>
        <w:spacing w:line="300" w:lineRule="auto"/>
        <w:jc w:val="center"/>
        <w:rPr>
          <w:rFonts w:hAnsi="宋体" w:cs="宋体"/>
          <w:b/>
          <w:bCs/>
          <w:color w:val="auto"/>
          <w:sz w:val="24"/>
          <w:szCs w:val="24"/>
        </w:rPr>
      </w:pPr>
      <w:bookmarkStart w:id="1285" w:name="_Toc24_WPSOffice_Level3"/>
      <w:r>
        <w:rPr>
          <w:rFonts w:hint="eastAsia" w:hAnsi="宋体" w:cs="宋体"/>
          <w:b/>
          <w:bCs/>
          <w:color w:val="auto"/>
          <w:sz w:val="24"/>
          <w:szCs w:val="24"/>
        </w:rPr>
        <w:t>⑶工程量清单报价有关资料</w:t>
      </w:r>
      <w:bookmarkEnd w:id="1285"/>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p>
    <w:p>
      <w:pPr>
        <w:pStyle w:val="12"/>
        <w:spacing w:line="300" w:lineRule="auto"/>
        <w:jc w:val="center"/>
        <w:rPr>
          <w:rFonts w:hAnsi="宋体" w:cs="宋体"/>
          <w:b/>
          <w:bCs/>
          <w:color w:val="auto"/>
          <w:sz w:val="28"/>
          <w:szCs w:val="28"/>
        </w:rPr>
      </w:pPr>
      <w:bookmarkStart w:id="1286" w:name="_Toc27011_WPSOffice_Level3"/>
      <w:r>
        <w:rPr>
          <w:rFonts w:hint="eastAsia" w:hAnsi="宋体" w:cs="宋体"/>
          <w:b/>
          <w:bCs/>
          <w:color w:val="auto"/>
          <w:sz w:val="28"/>
          <w:szCs w:val="28"/>
        </w:rPr>
        <w:t>⑷</w:t>
      </w:r>
      <w:bookmarkEnd w:id="1286"/>
      <w:r>
        <w:rPr>
          <w:rFonts w:hint="eastAsia" w:hAnsi="宋体" w:cs="宋体"/>
          <w:b/>
          <w:bCs/>
          <w:color w:val="auto"/>
          <w:sz w:val="28"/>
          <w:szCs w:val="28"/>
        </w:rPr>
        <w:t>按本竞争性磋商文件规定提交的其它资料</w:t>
      </w:r>
    </w:p>
    <w:p>
      <w:pPr>
        <w:snapToGrid w:val="0"/>
        <w:spacing w:line="300" w:lineRule="auto"/>
        <w:jc w:val="center"/>
        <w:rPr>
          <w:rFonts w:ascii="宋体" w:hAnsi="宋体" w:cs="宋体"/>
          <w:b/>
          <w:color w:val="auto"/>
          <w:sz w:val="24"/>
        </w:rPr>
      </w:pPr>
      <w:r>
        <w:rPr>
          <w:rFonts w:hint="eastAsia" w:ascii="宋体" w:hAnsi="宋体" w:cs="宋体"/>
          <w:b/>
          <w:color w:val="auto"/>
          <w:sz w:val="24"/>
        </w:rPr>
        <w:t>中小企业声明函</w:t>
      </w:r>
    </w:p>
    <w:p>
      <w:pPr>
        <w:snapToGrid w:val="0"/>
        <w:spacing w:line="300" w:lineRule="auto"/>
        <w:ind w:firstLine="435"/>
        <w:rPr>
          <w:rFonts w:ascii="宋体" w:hAnsi="宋体" w:cs="宋体"/>
          <w:color w:val="auto"/>
        </w:rPr>
      </w:pPr>
    </w:p>
    <w:p>
      <w:pPr>
        <w:adjustRightInd w:val="0"/>
        <w:snapToGrid/>
        <w:spacing w:line="360" w:lineRule="auto"/>
        <w:ind w:firstLine="435"/>
        <w:rPr>
          <w:rFonts w:ascii="宋体" w:hAnsi="宋体" w:cs="宋体"/>
          <w:color w:val="auto"/>
          <w:sz w:val="24"/>
        </w:rPr>
      </w:pPr>
      <w:r>
        <w:rPr>
          <w:rFonts w:hint="eastAsia" w:ascii="宋体" w:hAnsi="宋体" w:cs="宋体"/>
          <w:color w:val="auto"/>
          <w:sz w:val="24"/>
        </w:rPr>
        <w:t>本公司郑重声明，根据《政府采购促进中小企业发展暂行办法》（财库[2011]181号）的规定，本公司为（请填写：中型、小型、微型）企业。即，本公司同时满足以下条件：</w:t>
      </w:r>
    </w:p>
    <w:p>
      <w:pPr>
        <w:adjustRightInd w:val="0"/>
        <w:snapToGrid/>
        <w:spacing w:line="360" w:lineRule="auto"/>
        <w:ind w:firstLine="480" w:firstLineChars="200"/>
        <w:rPr>
          <w:rFonts w:ascii="宋体" w:hAnsi="宋体" w:cs="宋体"/>
          <w:color w:val="auto"/>
          <w:sz w:val="24"/>
        </w:rPr>
      </w:pPr>
      <w:r>
        <w:rPr>
          <w:rFonts w:hint="eastAsia" w:ascii="宋体" w:hAnsi="宋体" w:cs="宋体"/>
          <w:color w:val="auto"/>
          <w:sz w:val="24"/>
        </w:rPr>
        <w:t>1.根据《工业和信息化部、国家统计局、国家发展和改革委员会、财政部关于印发中小企业划型标准规定的通知》（工信部联企业[2011]300号）规定的划分标准，本公司为</w:t>
      </w:r>
    </w:p>
    <w:p>
      <w:pPr>
        <w:adjustRightInd w:val="0"/>
        <w:snapToGrid/>
        <w:spacing w:line="360" w:lineRule="auto"/>
        <w:rPr>
          <w:rFonts w:ascii="宋体" w:hAnsi="宋体" w:cs="宋体"/>
          <w:color w:val="auto"/>
          <w:sz w:val="24"/>
        </w:rPr>
      </w:pPr>
      <w:r>
        <w:rPr>
          <w:rFonts w:hint="eastAsia" w:ascii="宋体" w:hAnsi="宋体" w:cs="宋体"/>
          <w:color w:val="auto"/>
          <w:sz w:val="24"/>
        </w:rPr>
        <w:t>（请填写：中型、小型、微型）企业。</w:t>
      </w:r>
    </w:p>
    <w:p>
      <w:pPr>
        <w:adjustRightInd w:val="0"/>
        <w:snapToGrid/>
        <w:spacing w:line="360" w:lineRule="auto"/>
        <w:ind w:firstLine="435"/>
        <w:rPr>
          <w:rFonts w:ascii="宋体" w:hAnsi="宋体" w:cs="宋体"/>
          <w:color w:val="auto"/>
          <w:sz w:val="24"/>
        </w:rPr>
      </w:pPr>
      <w:r>
        <w:rPr>
          <w:rFonts w:hint="eastAsia" w:ascii="宋体" w:hAnsi="宋体" w:cs="宋体"/>
          <w:color w:val="auto"/>
          <w:sz w:val="24"/>
        </w:rPr>
        <w:t>2.本公司参加单位的项目采购活动提供本企业制造的货物，由本企业承担工程、提供服务，或者提供其他（请填写：中型、小型、微型）企业制造的货物。本条所称货物不包括使用大型企业注册商标的货物。</w:t>
      </w:r>
    </w:p>
    <w:p>
      <w:pPr>
        <w:adjustRightInd w:val="0"/>
        <w:snapToGrid/>
        <w:spacing w:line="360" w:lineRule="auto"/>
        <w:ind w:firstLine="435"/>
        <w:rPr>
          <w:rFonts w:ascii="宋体" w:hAnsi="宋体" w:cs="宋体"/>
          <w:color w:val="auto"/>
          <w:sz w:val="24"/>
        </w:rPr>
      </w:pPr>
      <w:r>
        <w:rPr>
          <w:rFonts w:hint="eastAsia" w:ascii="宋体" w:hAnsi="宋体" w:cs="宋体"/>
          <w:color w:val="auto"/>
          <w:sz w:val="24"/>
        </w:rPr>
        <w:t>3.本公司对上</w:t>
      </w:r>
      <w:r>
        <w:rPr>
          <w:rFonts w:hint="eastAsia" w:ascii="宋体" w:hAnsi="宋体" w:cs="宋体"/>
          <w:color w:val="auto"/>
          <w:sz w:val="24"/>
          <w:lang w:val="en-US" w:eastAsia="zh-CN"/>
        </w:rPr>
        <w:t>述</w:t>
      </w:r>
      <w:r>
        <w:rPr>
          <w:rFonts w:hint="eastAsia" w:ascii="宋体" w:hAnsi="宋体" w:cs="宋体"/>
          <w:color w:val="auto"/>
          <w:sz w:val="24"/>
        </w:rPr>
        <w:t>声明的真实性负责。如有虚假，将依法承担相应责任。</w:t>
      </w:r>
    </w:p>
    <w:p>
      <w:pPr>
        <w:adjustRightInd w:val="0"/>
        <w:snapToGrid/>
        <w:spacing w:line="360" w:lineRule="auto"/>
        <w:ind w:firstLine="435"/>
        <w:rPr>
          <w:rFonts w:ascii="宋体" w:hAnsi="宋体" w:cs="宋体"/>
          <w:color w:val="auto"/>
          <w:sz w:val="24"/>
        </w:rPr>
      </w:pPr>
    </w:p>
    <w:p>
      <w:pPr>
        <w:adjustRightInd w:val="0"/>
        <w:snapToGrid/>
        <w:spacing w:line="360" w:lineRule="auto"/>
        <w:ind w:firstLine="435"/>
        <w:rPr>
          <w:rFonts w:ascii="宋体" w:hAnsi="宋体" w:cs="宋体"/>
          <w:color w:val="auto"/>
          <w:sz w:val="24"/>
        </w:rPr>
      </w:pPr>
    </w:p>
    <w:p>
      <w:pPr>
        <w:adjustRightInd w:val="0"/>
        <w:snapToGrid/>
        <w:spacing w:line="360" w:lineRule="auto"/>
        <w:ind w:firstLine="435"/>
        <w:rPr>
          <w:rFonts w:ascii="宋体" w:hAnsi="宋体" w:cs="宋体"/>
          <w:color w:val="auto"/>
          <w:sz w:val="24"/>
        </w:rPr>
      </w:pPr>
      <w:r>
        <w:rPr>
          <w:rFonts w:hint="eastAsia" w:ascii="宋体" w:hAnsi="宋体" w:cs="宋体"/>
          <w:color w:val="auto"/>
          <w:sz w:val="24"/>
        </w:rPr>
        <w:t xml:space="preserve">                                      企业名称（盖章）：</w:t>
      </w:r>
    </w:p>
    <w:p>
      <w:pPr>
        <w:adjustRightInd w:val="0"/>
        <w:spacing w:line="360" w:lineRule="auto"/>
        <w:rPr>
          <w:rFonts w:ascii="宋体" w:hAnsi="宋体" w:cs="宋体"/>
          <w:color w:val="auto"/>
          <w:sz w:val="24"/>
        </w:rPr>
      </w:pPr>
      <w:r>
        <w:rPr>
          <w:rFonts w:hint="eastAsia" w:ascii="宋体" w:hAnsi="宋体" w:cs="宋体"/>
          <w:color w:val="auto"/>
          <w:sz w:val="24"/>
        </w:rPr>
        <w:t xml:space="preserve">                                          日   期：</w:t>
      </w:r>
    </w:p>
    <w:p>
      <w:pPr>
        <w:pStyle w:val="8"/>
        <w:spacing w:line="300" w:lineRule="auto"/>
        <w:rPr>
          <w:rFonts w:ascii="宋体" w:hAnsi="宋体" w:cs="宋体"/>
          <w:color w:val="auto"/>
          <w:sz w:val="24"/>
        </w:rPr>
      </w:pPr>
    </w:p>
    <w:p>
      <w:pPr>
        <w:snapToGrid w:val="0"/>
        <w:spacing w:beforeLines="50" w:after="50" w:line="300" w:lineRule="auto"/>
        <w:jc w:val="center"/>
        <w:rPr>
          <w:rFonts w:ascii="宋体" w:hAnsi="宋体" w:cs="宋体"/>
          <w:b/>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spacing w:line="300" w:lineRule="auto"/>
        <w:rPr>
          <w:rFonts w:ascii="宋体" w:hAnsi="宋体" w:cs="宋体"/>
          <w:b/>
          <w:color w:val="auto"/>
          <w:sz w:val="24"/>
          <w:szCs w:val="24"/>
        </w:rPr>
      </w:pPr>
      <w:bookmarkStart w:id="1287" w:name="_Toc2435_WPSOffice_Level2"/>
      <w:r>
        <w:rPr>
          <w:rFonts w:hint="eastAsia" w:ascii="宋体" w:hAnsi="宋体" w:cs="宋体"/>
          <w:b/>
          <w:color w:val="auto"/>
          <w:sz w:val="24"/>
          <w:szCs w:val="24"/>
        </w:rPr>
        <w:t>技术部分目录</w:t>
      </w:r>
      <w:bookmarkEnd w:id="1287"/>
    </w:p>
    <w:p>
      <w:pPr>
        <w:pStyle w:val="12"/>
        <w:spacing w:line="300" w:lineRule="auto"/>
        <w:ind w:firstLine="426"/>
        <w:rPr>
          <w:rFonts w:hAnsi="宋体" w:cs="宋体"/>
          <w:color w:val="auto"/>
          <w:sz w:val="24"/>
          <w:szCs w:val="24"/>
        </w:rPr>
      </w:pPr>
      <w:r>
        <w:rPr>
          <w:rFonts w:hint="eastAsia" w:hAnsi="宋体" w:cs="宋体"/>
          <w:color w:val="auto"/>
          <w:sz w:val="24"/>
          <w:szCs w:val="24"/>
        </w:rPr>
        <w:t>⑴施工组织设计；</w:t>
      </w:r>
    </w:p>
    <w:p>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⑵按本竞争性磋商文件规定提交的其它资料。</w:t>
      </w:r>
    </w:p>
    <w:p>
      <w:pPr>
        <w:tabs>
          <w:tab w:val="left" w:pos="1305"/>
        </w:tabs>
        <w:spacing w:line="300" w:lineRule="auto"/>
        <w:ind w:firstLine="426"/>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jc w:val="center"/>
        <w:rPr>
          <w:rFonts w:ascii="宋体" w:hAnsi="宋体" w:cs="宋体"/>
          <w:b/>
          <w:bCs/>
          <w:color w:val="auto"/>
          <w:sz w:val="24"/>
        </w:rPr>
        <w:sectPr>
          <w:headerReference r:id="rId10" w:type="default"/>
          <w:footerReference r:id="rId11" w:type="default"/>
          <w:pgSz w:w="11906" w:h="16838"/>
          <w:pgMar w:top="1134" w:right="1286" w:bottom="1134" w:left="1134" w:header="720" w:footer="720" w:gutter="0"/>
          <w:pgNumType w:fmt="decimal"/>
          <w:cols w:space="720" w:num="1"/>
          <w:docGrid w:type="lines" w:linePitch="331" w:charSpace="0"/>
        </w:sectPr>
      </w:pPr>
      <w:bookmarkStart w:id="1288" w:name="_Toc2170_WPSOffice_Level2"/>
    </w:p>
    <w:p>
      <w:pPr>
        <w:spacing w:line="360" w:lineRule="auto"/>
        <w:jc w:val="center"/>
        <w:rPr>
          <w:rFonts w:ascii="宋体" w:hAnsi="宋体" w:cs="宋体"/>
          <w:b/>
          <w:bCs/>
          <w:color w:val="auto"/>
          <w:sz w:val="24"/>
        </w:rPr>
      </w:pPr>
      <w:r>
        <w:rPr>
          <w:rFonts w:hint="eastAsia" w:ascii="宋体" w:hAnsi="宋体" w:cs="宋体"/>
          <w:b/>
          <w:bCs/>
          <w:color w:val="auto"/>
          <w:sz w:val="24"/>
        </w:rPr>
        <w:t>一、施工组织设计</w:t>
      </w:r>
      <w:bookmarkEnd w:id="1288"/>
    </w:p>
    <w:p>
      <w:pPr>
        <w:spacing w:line="360" w:lineRule="auto"/>
        <w:jc w:val="center"/>
        <w:rPr>
          <w:rFonts w:ascii="宋体" w:hAnsi="宋体" w:cs="宋体"/>
          <w:b/>
          <w:bCs/>
          <w:color w:val="auto"/>
          <w:sz w:val="24"/>
        </w:rPr>
      </w:pPr>
      <w:bookmarkStart w:id="1289" w:name="_Toc10417_WPSOffice_Level3"/>
      <w:r>
        <w:rPr>
          <w:rFonts w:hint="eastAsia" w:ascii="宋体" w:hAnsi="宋体" w:cs="宋体"/>
          <w:b/>
          <w:bCs/>
          <w:color w:val="auto"/>
          <w:sz w:val="24"/>
        </w:rPr>
        <w:t>施工方案或施工组织设计部分包括下列内容:</w:t>
      </w:r>
      <w:bookmarkEnd w:id="1289"/>
    </w:p>
    <w:p>
      <w:pPr>
        <w:spacing w:line="360" w:lineRule="auto"/>
        <w:rPr>
          <w:rFonts w:ascii="宋体" w:hAnsi="宋体" w:cs="宋体"/>
          <w:b/>
          <w:bCs/>
          <w:color w:val="auto"/>
          <w:sz w:val="24"/>
        </w:rPr>
      </w:pPr>
      <w:bookmarkStart w:id="1290" w:name="_Toc18531_WPSOffice_Level3"/>
      <w:r>
        <w:rPr>
          <w:rFonts w:hint="eastAsia" w:ascii="宋体" w:hAnsi="宋体" w:cs="宋体"/>
          <w:b/>
          <w:bCs/>
          <w:color w:val="auto"/>
          <w:sz w:val="24"/>
        </w:rPr>
        <w:t>（一）施工方案或施工组织设计</w:t>
      </w:r>
      <w:bookmarkEnd w:id="129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spacing w:line="360" w:lineRule="auto"/>
        <w:rPr>
          <w:rFonts w:ascii="宋体" w:hAnsi="宋体" w:cs="宋体"/>
          <w:b w:val="0"/>
          <w:bCs w:val="0"/>
          <w:color w:val="auto"/>
          <w:sz w:val="24"/>
        </w:rPr>
      </w:pPr>
      <w:bookmarkStart w:id="1291" w:name="_Toc16699_WPSOffice_Level3"/>
      <w:r>
        <w:rPr>
          <w:rFonts w:hint="eastAsia" w:ascii="宋体" w:hAnsi="宋体" w:cs="宋体"/>
          <w:b w:val="0"/>
          <w:bCs w:val="0"/>
          <w:color w:val="auto"/>
          <w:sz w:val="24"/>
        </w:rPr>
        <w:t>（二）施工组织设计除采用文字表述外应附下列图表,图表及格式要求附后</w:t>
      </w:r>
      <w:bookmarkEnd w:id="1291"/>
    </w:p>
    <w:p>
      <w:pPr>
        <w:spacing w:line="360" w:lineRule="auto"/>
        <w:rPr>
          <w:rFonts w:ascii="宋体" w:hAnsi="宋体" w:cs="宋体"/>
          <w:color w:val="auto"/>
          <w:sz w:val="24"/>
        </w:rPr>
      </w:pPr>
      <w:bookmarkStart w:id="1292" w:name="_Toc11802_WPSOffice_Level3"/>
      <w:r>
        <w:rPr>
          <w:rFonts w:hint="eastAsia" w:ascii="宋体" w:hAnsi="宋体" w:cs="宋体"/>
          <w:color w:val="auto"/>
          <w:sz w:val="24"/>
        </w:rPr>
        <w:t>附表一  拟投入本标段的主要施工设备表</w:t>
      </w:r>
      <w:bookmarkEnd w:id="1292"/>
    </w:p>
    <w:p>
      <w:pPr>
        <w:spacing w:line="360" w:lineRule="auto"/>
        <w:rPr>
          <w:rFonts w:ascii="宋体" w:hAnsi="宋体" w:cs="宋体"/>
          <w:color w:val="auto"/>
          <w:sz w:val="24"/>
        </w:rPr>
      </w:pPr>
      <w:bookmarkStart w:id="1293" w:name="_Toc955_WPSOffice_Level3"/>
      <w:r>
        <w:rPr>
          <w:rFonts w:hint="eastAsia" w:ascii="宋体" w:hAnsi="宋体" w:cs="宋体"/>
          <w:color w:val="auto"/>
          <w:sz w:val="24"/>
        </w:rPr>
        <w:t>附表二  拟投入本标段的试验和检测仪器设备表</w:t>
      </w:r>
      <w:bookmarkEnd w:id="1293"/>
    </w:p>
    <w:p>
      <w:pPr>
        <w:spacing w:line="360" w:lineRule="auto"/>
        <w:rPr>
          <w:rFonts w:ascii="宋体" w:hAnsi="宋体" w:cs="宋体"/>
          <w:color w:val="auto"/>
          <w:sz w:val="24"/>
        </w:rPr>
      </w:pPr>
      <w:bookmarkStart w:id="1294" w:name="_Toc1742_WPSOffice_Level3"/>
      <w:r>
        <w:rPr>
          <w:rFonts w:hint="eastAsia" w:ascii="宋体" w:hAnsi="宋体" w:cs="宋体"/>
          <w:color w:val="auto"/>
          <w:sz w:val="24"/>
        </w:rPr>
        <w:t>附表三  拟投入本标段的劳动力计划表</w:t>
      </w:r>
      <w:bookmarkEnd w:id="1294"/>
    </w:p>
    <w:p>
      <w:pPr>
        <w:spacing w:line="360" w:lineRule="auto"/>
        <w:rPr>
          <w:rFonts w:ascii="宋体" w:hAnsi="宋体" w:cs="宋体"/>
          <w:color w:val="auto"/>
          <w:sz w:val="24"/>
        </w:rPr>
      </w:pPr>
      <w:bookmarkStart w:id="1295" w:name="_Toc10151_WPSOffice_Level3"/>
      <w:r>
        <w:rPr>
          <w:rFonts w:hint="eastAsia" w:ascii="宋体" w:hAnsi="宋体" w:cs="宋体"/>
          <w:color w:val="auto"/>
          <w:sz w:val="24"/>
        </w:rPr>
        <w:t>附表四  计划开工日期、完工日期和施工进度网络图</w:t>
      </w:r>
      <w:bookmarkEnd w:id="1295"/>
    </w:p>
    <w:p>
      <w:pPr>
        <w:spacing w:line="360" w:lineRule="auto"/>
        <w:rPr>
          <w:rFonts w:ascii="宋体" w:hAnsi="宋体" w:cs="宋体"/>
          <w:color w:val="auto"/>
          <w:sz w:val="24"/>
        </w:rPr>
      </w:pPr>
      <w:bookmarkStart w:id="1296" w:name="_Toc25878_WPSOffice_Level3"/>
      <w:r>
        <w:rPr>
          <w:rFonts w:hint="eastAsia" w:ascii="宋体" w:hAnsi="宋体" w:cs="宋体"/>
          <w:color w:val="auto"/>
          <w:sz w:val="24"/>
        </w:rPr>
        <w:t>附表五  施工总平面图</w:t>
      </w:r>
      <w:bookmarkEnd w:id="1296"/>
    </w:p>
    <w:p>
      <w:pPr>
        <w:spacing w:line="360" w:lineRule="auto"/>
        <w:rPr>
          <w:rFonts w:ascii="宋体" w:hAnsi="宋体" w:cs="宋体"/>
          <w:color w:val="auto"/>
          <w:sz w:val="24"/>
        </w:rPr>
      </w:pPr>
      <w:bookmarkStart w:id="1297" w:name="_Toc12872_WPSOffice_Level3"/>
      <w:r>
        <w:rPr>
          <w:rFonts w:hint="eastAsia" w:ascii="宋体" w:hAnsi="宋体" w:cs="宋体"/>
          <w:color w:val="auto"/>
          <w:sz w:val="24"/>
        </w:rPr>
        <w:t>附表六  临时用地表</w:t>
      </w:r>
      <w:bookmarkEnd w:id="1297"/>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32"/>
        <w:spacing w:line="300" w:lineRule="auto"/>
        <w:rPr>
          <w:rFonts w:ascii="宋体" w:hAnsi="宋体" w:eastAsia="宋体"/>
          <w:b/>
          <w:bCs/>
          <w:color w:val="auto"/>
          <w:sz w:val="24"/>
          <w:szCs w:val="24"/>
        </w:rPr>
      </w:pPr>
      <w:bookmarkStart w:id="1298" w:name="_Toc31593"/>
      <w:bookmarkStart w:id="1299" w:name="_Toc18912_WPSOffice_Level3"/>
      <w:bookmarkStart w:id="1300" w:name="_Toc13532"/>
      <w:bookmarkStart w:id="1301" w:name="_Toc221952073"/>
      <w:bookmarkStart w:id="1302" w:name="_Toc168475924"/>
      <w:bookmarkStart w:id="1303" w:name="_Toc168476327"/>
      <w:bookmarkStart w:id="1304" w:name="_Toc144974865"/>
      <w:r>
        <w:rPr>
          <w:rFonts w:hint="eastAsia" w:ascii="宋体" w:hAnsi="宋体" w:eastAsia="宋体"/>
          <w:b/>
          <w:bCs/>
          <w:color w:val="auto"/>
          <w:sz w:val="24"/>
          <w:szCs w:val="24"/>
        </w:rPr>
        <w:t>附表一：</w:t>
      </w:r>
      <w:bookmarkEnd w:id="1298"/>
      <w:bookmarkEnd w:id="1299"/>
      <w:bookmarkEnd w:id="1300"/>
    </w:p>
    <w:p>
      <w:pPr>
        <w:pStyle w:val="32"/>
        <w:spacing w:line="300" w:lineRule="auto"/>
        <w:jc w:val="center"/>
        <w:rPr>
          <w:rFonts w:ascii="宋体" w:hAnsi="宋体" w:eastAsia="宋体"/>
          <w:b/>
          <w:bCs/>
          <w:color w:val="auto"/>
          <w:sz w:val="24"/>
          <w:szCs w:val="24"/>
        </w:rPr>
      </w:pPr>
      <w:bookmarkStart w:id="1305" w:name="_Toc8583"/>
      <w:bookmarkStart w:id="1306" w:name="_Toc7856"/>
      <w:r>
        <w:rPr>
          <w:rFonts w:hint="eastAsia" w:ascii="宋体" w:hAnsi="宋体" w:eastAsia="宋体"/>
          <w:b/>
          <w:bCs/>
          <w:color w:val="auto"/>
          <w:sz w:val="24"/>
          <w:szCs w:val="24"/>
        </w:rPr>
        <w:t>投入本标段的主要施工设备表</w:t>
      </w:r>
      <w:bookmarkEnd w:id="1301"/>
      <w:bookmarkEnd w:id="1302"/>
      <w:bookmarkEnd w:id="1303"/>
      <w:bookmarkEnd w:id="1304"/>
      <w:bookmarkEnd w:id="1305"/>
      <w:bookmarkEnd w:id="1306"/>
    </w:p>
    <w:p>
      <w:pPr>
        <w:spacing w:line="300" w:lineRule="auto"/>
        <w:rPr>
          <w:rFonts w:ascii="宋体" w:hAnsi="宋体" w:cs="宋体"/>
          <w:color w:val="auto"/>
          <w:sz w:val="24"/>
        </w:rPr>
      </w:pPr>
    </w:p>
    <w:tbl>
      <w:tblPr>
        <w:tblStyle w:val="20"/>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83"/>
        <w:gridCol w:w="829"/>
        <w:gridCol w:w="1078"/>
        <w:gridCol w:w="732"/>
        <w:gridCol w:w="804"/>
        <w:gridCol w:w="1320"/>
        <w:gridCol w:w="953"/>
        <w:gridCol w:w="114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ign w:val="center"/>
          </w:tcPr>
          <w:p>
            <w:pPr>
              <w:spacing w:line="300" w:lineRule="auto"/>
              <w:rPr>
                <w:rFonts w:ascii="宋体" w:hAnsi="宋体" w:cs="宋体"/>
                <w:color w:val="auto"/>
                <w:sz w:val="24"/>
              </w:rPr>
            </w:pPr>
            <w:bookmarkStart w:id="1307" w:name="_Toc221952074"/>
            <w:r>
              <w:rPr>
                <w:rFonts w:hint="eastAsia" w:ascii="宋体" w:hAnsi="宋体" w:cs="宋体"/>
                <w:color w:val="auto"/>
                <w:sz w:val="24"/>
              </w:rPr>
              <w:t>序号</w:t>
            </w:r>
            <w:bookmarkEnd w:id="1307"/>
          </w:p>
        </w:tc>
        <w:tc>
          <w:tcPr>
            <w:tcW w:w="1183" w:type="dxa"/>
            <w:noWrap/>
            <w:vAlign w:val="center"/>
          </w:tcPr>
          <w:p>
            <w:pPr>
              <w:spacing w:line="300" w:lineRule="auto"/>
              <w:rPr>
                <w:rFonts w:ascii="宋体" w:hAnsi="宋体" w:cs="宋体"/>
                <w:color w:val="auto"/>
                <w:sz w:val="24"/>
              </w:rPr>
            </w:pPr>
            <w:bookmarkStart w:id="1308" w:name="_Toc221952075"/>
            <w:r>
              <w:rPr>
                <w:rFonts w:hint="eastAsia" w:ascii="宋体" w:hAnsi="宋体" w:cs="宋体"/>
                <w:color w:val="auto"/>
                <w:sz w:val="24"/>
              </w:rPr>
              <w:t>设备名称</w:t>
            </w:r>
            <w:bookmarkEnd w:id="1308"/>
          </w:p>
        </w:tc>
        <w:tc>
          <w:tcPr>
            <w:tcW w:w="829" w:type="dxa"/>
            <w:noWrap/>
            <w:vAlign w:val="center"/>
          </w:tcPr>
          <w:p>
            <w:pPr>
              <w:spacing w:line="300" w:lineRule="auto"/>
              <w:rPr>
                <w:rFonts w:ascii="宋体" w:hAnsi="宋体" w:cs="宋体"/>
                <w:color w:val="auto"/>
                <w:sz w:val="24"/>
              </w:rPr>
            </w:pPr>
            <w:bookmarkStart w:id="1309" w:name="_Toc221952076"/>
            <w:r>
              <w:rPr>
                <w:rFonts w:hint="eastAsia" w:ascii="宋体" w:hAnsi="宋体" w:cs="宋体"/>
                <w:color w:val="auto"/>
                <w:sz w:val="24"/>
              </w:rPr>
              <w:t>型号</w:t>
            </w:r>
            <w:bookmarkEnd w:id="1309"/>
          </w:p>
          <w:p>
            <w:pPr>
              <w:spacing w:line="300" w:lineRule="auto"/>
              <w:rPr>
                <w:rFonts w:ascii="宋体" w:hAnsi="宋体" w:cs="宋体"/>
                <w:color w:val="auto"/>
                <w:sz w:val="24"/>
              </w:rPr>
            </w:pPr>
            <w:bookmarkStart w:id="1310" w:name="_Toc221952077"/>
            <w:r>
              <w:rPr>
                <w:rFonts w:hint="eastAsia" w:ascii="宋体" w:hAnsi="宋体" w:cs="宋体"/>
                <w:color w:val="auto"/>
                <w:sz w:val="24"/>
              </w:rPr>
              <w:t>规格</w:t>
            </w:r>
            <w:bookmarkEnd w:id="1310"/>
          </w:p>
        </w:tc>
        <w:tc>
          <w:tcPr>
            <w:tcW w:w="1078" w:type="dxa"/>
            <w:noWrap/>
            <w:vAlign w:val="center"/>
          </w:tcPr>
          <w:p>
            <w:pPr>
              <w:spacing w:line="300" w:lineRule="auto"/>
              <w:rPr>
                <w:rFonts w:ascii="宋体" w:hAnsi="宋体" w:cs="宋体"/>
                <w:color w:val="auto"/>
                <w:sz w:val="24"/>
              </w:rPr>
            </w:pPr>
            <w:bookmarkStart w:id="1311" w:name="_Toc221952078"/>
            <w:r>
              <w:rPr>
                <w:rFonts w:hint="eastAsia" w:ascii="宋体" w:hAnsi="宋体" w:cs="宋体"/>
                <w:color w:val="auto"/>
                <w:sz w:val="24"/>
              </w:rPr>
              <w:t>数量</w:t>
            </w:r>
            <w:bookmarkEnd w:id="1311"/>
          </w:p>
        </w:tc>
        <w:tc>
          <w:tcPr>
            <w:tcW w:w="732" w:type="dxa"/>
            <w:noWrap/>
            <w:vAlign w:val="center"/>
          </w:tcPr>
          <w:p>
            <w:pPr>
              <w:spacing w:line="300" w:lineRule="auto"/>
              <w:rPr>
                <w:rFonts w:ascii="宋体" w:hAnsi="宋体" w:cs="宋体"/>
                <w:color w:val="auto"/>
                <w:sz w:val="24"/>
              </w:rPr>
            </w:pPr>
            <w:bookmarkStart w:id="1312" w:name="_Toc221952079"/>
            <w:r>
              <w:rPr>
                <w:rFonts w:hint="eastAsia" w:ascii="宋体" w:hAnsi="宋体" w:cs="宋体"/>
                <w:color w:val="auto"/>
                <w:sz w:val="24"/>
              </w:rPr>
              <w:t>国别</w:t>
            </w:r>
            <w:bookmarkEnd w:id="1312"/>
          </w:p>
          <w:p>
            <w:pPr>
              <w:spacing w:line="300" w:lineRule="auto"/>
              <w:rPr>
                <w:rFonts w:ascii="宋体" w:hAnsi="宋体" w:cs="宋体"/>
                <w:color w:val="auto"/>
                <w:sz w:val="24"/>
              </w:rPr>
            </w:pPr>
            <w:bookmarkStart w:id="1313" w:name="_Toc221952080"/>
            <w:r>
              <w:rPr>
                <w:rFonts w:hint="eastAsia" w:ascii="宋体" w:hAnsi="宋体" w:cs="宋体"/>
                <w:color w:val="auto"/>
                <w:sz w:val="24"/>
              </w:rPr>
              <w:t>产地</w:t>
            </w:r>
            <w:bookmarkEnd w:id="1313"/>
          </w:p>
        </w:tc>
        <w:tc>
          <w:tcPr>
            <w:tcW w:w="804" w:type="dxa"/>
            <w:noWrap/>
            <w:vAlign w:val="center"/>
          </w:tcPr>
          <w:p>
            <w:pPr>
              <w:spacing w:line="300" w:lineRule="auto"/>
              <w:rPr>
                <w:rFonts w:ascii="宋体" w:hAnsi="宋体" w:cs="宋体"/>
                <w:color w:val="auto"/>
                <w:sz w:val="24"/>
              </w:rPr>
            </w:pPr>
            <w:bookmarkStart w:id="1314" w:name="_Toc221952081"/>
            <w:r>
              <w:rPr>
                <w:rFonts w:hint="eastAsia" w:ascii="宋体" w:hAnsi="宋体" w:cs="宋体"/>
                <w:color w:val="auto"/>
                <w:sz w:val="24"/>
              </w:rPr>
              <w:t>制造</w:t>
            </w:r>
            <w:bookmarkEnd w:id="1314"/>
          </w:p>
          <w:p>
            <w:pPr>
              <w:spacing w:line="300" w:lineRule="auto"/>
              <w:rPr>
                <w:rFonts w:ascii="宋体" w:hAnsi="宋体" w:cs="宋体"/>
                <w:color w:val="auto"/>
                <w:sz w:val="24"/>
              </w:rPr>
            </w:pPr>
            <w:bookmarkStart w:id="1315" w:name="_Toc221952082"/>
            <w:r>
              <w:rPr>
                <w:rFonts w:hint="eastAsia" w:ascii="宋体" w:hAnsi="宋体" w:cs="宋体"/>
                <w:color w:val="auto"/>
                <w:sz w:val="24"/>
              </w:rPr>
              <w:t>年份</w:t>
            </w:r>
            <w:bookmarkEnd w:id="1315"/>
          </w:p>
        </w:tc>
        <w:tc>
          <w:tcPr>
            <w:tcW w:w="1320" w:type="dxa"/>
            <w:noWrap/>
            <w:vAlign w:val="center"/>
          </w:tcPr>
          <w:p>
            <w:pPr>
              <w:spacing w:line="300" w:lineRule="auto"/>
              <w:rPr>
                <w:rFonts w:ascii="宋体" w:hAnsi="宋体" w:cs="宋体"/>
                <w:color w:val="auto"/>
                <w:sz w:val="24"/>
              </w:rPr>
            </w:pPr>
            <w:bookmarkStart w:id="1316" w:name="_Toc221952083"/>
            <w:r>
              <w:rPr>
                <w:rFonts w:hint="eastAsia" w:ascii="宋体" w:hAnsi="宋体" w:cs="宋体"/>
                <w:color w:val="auto"/>
                <w:sz w:val="24"/>
              </w:rPr>
              <w:t>额定功率（KW）</w:t>
            </w:r>
            <w:bookmarkEnd w:id="1316"/>
          </w:p>
        </w:tc>
        <w:tc>
          <w:tcPr>
            <w:tcW w:w="953" w:type="dxa"/>
            <w:noWrap/>
            <w:vAlign w:val="center"/>
          </w:tcPr>
          <w:p>
            <w:pPr>
              <w:spacing w:line="300" w:lineRule="auto"/>
              <w:rPr>
                <w:rFonts w:ascii="宋体" w:hAnsi="宋体" w:cs="宋体"/>
                <w:color w:val="auto"/>
                <w:sz w:val="24"/>
              </w:rPr>
            </w:pPr>
            <w:bookmarkStart w:id="1317" w:name="_Toc221952084"/>
            <w:r>
              <w:rPr>
                <w:rFonts w:hint="eastAsia" w:ascii="宋体" w:hAnsi="宋体" w:cs="宋体"/>
                <w:color w:val="auto"/>
                <w:sz w:val="24"/>
              </w:rPr>
              <w:t>生产</w:t>
            </w:r>
            <w:bookmarkEnd w:id="1317"/>
          </w:p>
          <w:p>
            <w:pPr>
              <w:spacing w:line="300" w:lineRule="auto"/>
              <w:rPr>
                <w:rFonts w:ascii="宋体" w:hAnsi="宋体" w:cs="宋体"/>
                <w:color w:val="auto"/>
                <w:sz w:val="24"/>
              </w:rPr>
            </w:pPr>
            <w:bookmarkStart w:id="1318" w:name="_Toc221952085"/>
            <w:r>
              <w:rPr>
                <w:rFonts w:hint="eastAsia" w:ascii="宋体" w:hAnsi="宋体" w:cs="宋体"/>
                <w:color w:val="auto"/>
                <w:sz w:val="24"/>
              </w:rPr>
              <w:t>能力</w:t>
            </w:r>
            <w:bookmarkEnd w:id="1318"/>
          </w:p>
        </w:tc>
        <w:tc>
          <w:tcPr>
            <w:tcW w:w="1149" w:type="dxa"/>
            <w:noWrap/>
            <w:vAlign w:val="center"/>
          </w:tcPr>
          <w:p>
            <w:pPr>
              <w:spacing w:line="300" w:lineRule="auto"/>
              <w:rPr>
                <w:rFonts w:ascii="宋体" w:hAnsi="宋体" w:cs="宋体"/>
                <w:color w:val="auto"/>
                <w:sz w:val="24"/>
              </w:rPr>
            </w:pPr>
            <w:bookmarkStart w:id="1319" w:name="_Toc221952086"/>
            <w:r>
              <w:rPr>
                <w:rFonts w:hint="eastAsia" w:ascii="宋体" w:hAnsi="宋体" w:cs="宋体"/>
                <w:color w:val="auto"/>
                <w:sz w:val="24"/>
              </w:rPr>
              <w:t>用于施工部位</w:t>
            </w:r>
            <w:bookmarkEnd w:id="1319"/>
          </w:p>
        </w:tc>
        <w:tc>
          <w:tcPr>
            <w:tcW w:w="753" w:type="dxa"/>
            <w:noWrap/>
            <w:vAlign w:val="center"/>
          </w:tcPr>
          <w:p>
            <w:pPr>
              <w:spacing w:line="300" w:lineRule="auto"/>
              <w:rPr>
                <w:rFonts w:ascii="宋体" w:hAnsi="宋体" w:cs="宋体"/>
                <w:color w:val="auto"/>
                <w:sz w:val="24"/>
              </w:rPr>
            </w:pPr>
            <w:bookmarkStart w:id="1320" w:name="_Toc221952087"/>
            <w:r>
              <w:rPr>
                <w:rFonts w:hint="eastAsia" w:ascii="宋体" w:hAnsi="宋体" w:cs="宋体"/>
                <w:color w:val="auto"/>
                <w:sz w:val="24"/>
              </w:rPr>
              <w:t>备注</w:t>
            </w:r>
            <w:bookmarkEnd w:id="13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ign w:val="center"/>
          </w:tcPr>
          <w:p>
            <w:pPr>
              <w:spacing w:line="300" w:lineRule="auto"/>
              <w:rPr>
                <w:rFonts w:ascii="宋体" w:hAnsi="宋体" w:cs="宋体"/>
                <w:color w:val="auto"/>
              </w:rPr>
            </w:pPr>
          </w:p>
        </w:tc>
        <w:tc>
          <w:tcPr>
            <w:tcW w:w="1183" w:type="dxa"/>
            <w:noWrap/>
            <w:vAlign w:val="center"/>
          </w:tcPr>
          <w:p>
            <w:pPr>
              <w:spacing w:line="300" w:lineRule="auto"/>
              <w:rPr>
                <w:rFonts w:ascii="宋体" w:hAnsi="宋体" w:cs="宋体"/>
                <w:color w:val="auto"/>
              </w:rPr>
            </w:pPr>
          </w:p>
        </w:tc>
        <w:tc>
          <w:tcPr>
            <w:tcW w:w="829" w:type="dxa"/>
            <w:noWrap/>
            <w:vAlign w:val="center"/>
          </w:tcPr>
          <w:p>
            <w:pPr>
              <w:spacing w:line="300" w:lineRule="auto"/>
              <w:rPr>
                <w:rFonts w:ascii="宋体" w:hAnsi="宋体" w:cs="宋体"/>
                <w:color w:val="auto"/>
              </w:rPr>
            </w:pPr>
          </w:p>
        </w:tc>
        <w:tc>
          <w:tcPr>
            <w:tcW w:w="1078" w:type="dxa"/>
            <w:noWrap/>
            <w:vAlign w:val="center"/>
          </w:tcPr>
          <w:p>
            <w:pPr>
              <w:spacing w:line="300" w:lineRule="auto"/>
              <w:rPr>
                <w:rFonts w:ascii="宋体" w:hAnsi="宋体" w:cs="宋体"/>
                <w:color w:val="auto"/>
              </w:rPr>
            </w:pPr>
          </w:p>
        </w:tc>
        <w:tc>
          <w:tcPr>
            <w:tcW w:w="732" w:type="dxa"/>
            <w:noWrap/>
            <w:vAlign w:val="center"/>
          </w:tcPr>
          <w:p>
            <w:pPr>
              <w:spacing w:line="300" w:lineRule="auto"/>
              <w:rPr>
                <w:rFonts w:ascii="宋体" w:hAnsi="宋体" w:cs="宋体"/>
                <w:color w:val="auto"/>
              </w:rPr>
            </w:pPr>
          </w:p>
        </w:tc>
        <w:tc>
          <w:tcPr>
            <w:tcW w:w="804" w:type="dxa"/>
            <w:noWrap/>
            <w:vAlign w:val="center"/>
          </w:tcPr>
          <w:p>
            <w:pPr>
              <w:spacing w:line="300" w:lineRule="auto"/>
              <w:rPr>
                <w:rFonts w:ascii="宋体" w:hAnsi="宋体" w:cs="宋体"/>
                <w:color w:val="auto"/>
              </w:rPr>
            </w:pPr>
          </w:p>
        </w:tc>
        <w:tc>
          <w:tcPr>
            <w:tcW w:w="1320" w:type="dxa"/>
            <w:noWrap/>
            <w:vAlign w:val="center"/>
          </w:tcPr>
          <w:p>
            <w:pPr>
              <w:spacing w:line="300" w:lineRule="auto"/>
              <w:rPr>
                <w:rFonts w:ascii="宋体" w:hAnsi="宋体" w:cs="宋体"/>
                <w:color w:val="auto"/>
              </w:rPr>
            </w:pPr>
          </w:p>
        </w:tc>
        <w:tc>
          <w:tcPr>
            <w:tcW w:w="953" w:type="dxa"/>
            <w:noWrap/>
            <w:vAlign w:val="center"/>
          </w:tcPr>
          <w:p>
            <w:pPr>
              <w:spacing w:line="300" w:lineRule="auto"/>
              <w:rPr>
                <w:rFonts w:ascii="宋体" w:hAnsi="宋体" w:cs="宋体"/>
                <w:color w:val="auto"/>
              </w:rPr>
            </w:pPr>
          </w:p>
        </w:tc>
        <w:tc>
          <w:tcPr>
            <w:tcW w:w="1149" w:type="dxa"/>
            <w:noWrap/>
            <w:vAlign w:val="center"/>
          </w:tcPr>
          <w:p>
            <w:pPr>
              <w:spacing w:line="300" w:lineRule="auto"/>
              <w:rPr>
                <w:rFonts w:ascii="宋体" w:hAnsi="宋体" w:cs="宋体"/>
                <w:color w:val="auto"/>
              </w:rPr>
            </w:pPr>
          </w:p>
        </w:tc>
        <w:tc>
          <w:tcPr>
            <w:tcW w:w="753" w:type="dxa"/>
            <w:noWrap/>
            <w:vAlign w:val="center"/>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ign w:val="center"/>
          </w:tcPr>
          <w:p>
            <w:pPr>
              <w:spacing w:line="300" w:lineRule="auto"/>
              <w:rPr>
                <w:rFonts w:ascii="宋体" w:hAnsi="宋体" w:cs="宋体"/>
                <w:color w:val="auto"/>
              </w:rPr>
            </w:pPr>
          </w:p>
        </w:tc>
        <w:tc>
          <w:tcPr>
            <w:tcW w:w="1183" w:type="dxa"/>
            <w:noWrap/>
            <w:vAlign w:val="center"/>
          </w:tcPr>
          <w:p>
            <w:pPr>
              <w:spacing w:line="300" w:lineRule="auto"/>
              <w:rPr>
                <w:rFonts w:ascii="宋体" w:hAnsi="宋体" w:cs="宋体"/>
                <w:color w:val="auto"/>
              </w:rPr>
            </w:pPr>
          </w:p>
        </w:tc>
        <w:tc>
          <w:tcPr>
            <w:tcW w:w="829" w:type="dxa"/>
            <w:noWrap/>
            <w:vAlign w:val="center"/>
          </w:tcPr>
          <w:p>
            <w:pPr>
              <w:spacing w:line="300" w:lineRule="auto"/>
              <w:rPr>
                <w:rFonts w:ascii="宋体" w:hAnsi="宋体" w:cs="宋体"/>
                <w:color w:val="auto"/>
              </w:rPr>
            </w:pPr>
          </w:p>
        </w:tc>
        <w:tc>
          <w:tcPr>
            <w:tcW w:w="1078" w:type="dxa"/>
            <w:noWrap/>
            <w:vAlign w:val="center"/>
          </w:tcPr>
          <w:p>
            <w:pPr>
              <w:spacing w:line="300" w:lineRule="auto"/>
              <w:rPr>
                <w:rFonts w:ascii="宋体" w:hAnsi="宋体" w:cs="宋体"/>
                <w:color w:val="auto"/>
              </w:rPr>
            </w:pPr>
          </w:p>
        </w:tc>
        <w:tc>
          <w:tcPr>
            <w:tcW w:w="732" w:type="dxa"/>
            <w:noWrap/>
            <w:vAlign w:val="center"/>
          </w:tcPr>
          <w:p>
            <w:pPr>
              <w:spacing w:line="300" w:lineRule="auto"/>
              <w:rPr>
                <w:rFonts w:ascii="宋体" w:hAnsi="宋体" w:cs="宋体"/>
                <w:color w:val="auto"/>
              </w:rPr>
            </w:pPr>
          </w:p>
        </w:tc>
        <w:tc>
          <w:tcPr>
            <w:tcW w:w="804" w:type="dxa"/>
            <w:noWrap/>
            <w:vAlign w:val="center"/>
          </w:tcPr>
          <w:p>
            <w:pPr>
              <w:spacing w:line="300" w:lineRule="auto"/>
              <w:rPr>
                <w:rFonts w:ascii="宋体" w:hAnsi="宋体" w:cs="宋体"/>
                <w:color w:val="auto"/>
              </w:rPr>
            </w:pPr>
          </w:p>
        </w:tc>
        <w:tc>
          <w:tcPr>
            <w:tcW w:w="1320" w:type="dxa"/>
            <w:noWrap/>
            <w:vAlign w:val="center"/>
          </w:tcPr>
          <w:p>
            <w:pPr>
              <w:spacing w:line="300" w:lineRule="auto"/>
              <w:rPr>
                <w:rFonts w:ascii="宋体" w:hAnsi="宋体" w:cs="宋体"/>
                <w:color w:val="auto"/>
              </w:rPr>
            </w:pPr>
          </w:p>
        </w:tc>
        <w:tc>
          <w:tcPr>
            <w:tcW w:w="953" w:type="dxa"/>
            <w:noWrap/>
            <w:vAlign w:val="center"/>
          </w:tcPr>
          <w:p>
            <w:pPr>
              <w:spacing w:line="300" w:lineRule="auto"/>
              <w:rPr>
                <w:rFonts w:ascii="宋体" w:hAnsi="宋体" w:cs="宋体"/>
                <w:color w:val="auto"/>
              </w:rPr>
            </w:pPr>
          </w:p>
        </w:tc>
        <w:tc>
          <w:tcPr>
            <w:tcW w:w="1149" w:type="dxa"/>
            <w:noWrap/>
            <w:vAlign w:val="center"/>
          </w:tcPr>
          <w:p>
            <w:pPr>
              <w:spacing w:line="300" w:lineRule="auto"/>
              <w:rPr>
                <w:rFonts w:ascii="宋体" w:hAnsi="宋体" w:cs="宋体"/>
                <w:color w:val="auto"/>
              </w:rPr>
            </w:pPr>
          </w:p>
        </w:tc>
        <w:tc>
          <w:tcPr>
            <w:tcW w:w="753" w:type="dxa"/>
            <w:noWrap/>
            <w:vAlign w:val="center"/>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bl>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pStyle w:val="32"/>
        <w:spacing w:line="300" w:lineRule="auto"/>
        <w:rPr>
          <w:rFonts w:ascii="宋体" w:hAnsi="宋体" w:eastAsia="宋体"/>
          <w:b/>
          <w:bCs/>
          <w:color w:val="auto"/>
          <w:sz w:val="24"/>
          <w:szCs w:val="24"/>
        </w:rPr>
      </w:pPr>
      <w:bookmarkStart w:id="1321" w:name="_Toc29084"/>
      <w:bookmarkStart w:id="1322" w:name="_Toc5755_WPSOffice_Level3"/>
      <w:bookmarkStart w:id="1323" w:name="_Toc28344"/>
      <w:bookmarkStart w:id="1324" w:name="_Toc168475925"/>
      <w:bookmarkStart w:id="1325" w:name="_Toc221952088"/>
      <w:bookmarkStart w:id="1326" w:name="_Toc144974866"/>
      <w:bookmarkStart w:id="1327" w:name="_Toc168476328"/>
      <w:r>
        <w:rPr>
          <w:rFonts w:hint="eastAsia" w:ascii="宋体" w:hAnsi="宋体" w:eastAsia="宋体"/>
          <w:b/>
          <w:bCs/>
          <w:color w:val="auto"/>
          <w:sz w:val="24"/>
          <w:szCs w:val="24"/>
        </w:rPr>
        <w:t>附表二：</w:t>
      </w:r>
      <w:bookmarkEnd w:id="1321"/>
      <w:bookmarkEnd w:id="1322"/>
      <w:bookmarkEnd w:id="1323"/>
    </w:p>
    <w:p>
      <w:pPr>
        <w:pStyle w:val="32"/>
        <w:spacing w:line="300" w:lineRule="auto"/>
        <w:jc w:val="center"/>
        <w:rPr>
          <w:rFonts w:ascii="宋体" w:hAnsi="宋体" w:eastAsia="宋体"/>
          <w:b/>
          <w:bCs/>
          <w:color w:val="auto"/>
          <w:sz w:val="24"/>
          <w:szCs w:val="24"/>
        </w:rPr>
      </w:pPr>
      <w:bookmarkStart w:id="1328" w:name="_Toc19279"/>
      <w:bookmarkStart w:id="1329" w:name="_Toc16693"/>
      <w:r>
        <w:rPr>
          <w:rFonts w:hint="eastAsia" w:ascii="宋体" w:hAnsi="宋体" w:eastAsia="宋体"/>
          <w:b/>
          <w:bCs/>
          <w:color w:val="auto"/>
          <w:sz w:val="24"/>
          <w:szCs w:val="24"/>
        </w:rPr>
        <w:t>拟投入本标段的试验和检测仪器设备表</w:t>
      </w:r>
      <w:bookmarkEnd w:id="1324"/>
      <w:bookmarkEnd w:id="1325"/>
      <w:bookmarkEnd w:id="1326"/>
      <w:bookmarkEnd w:id="1327"/>
      <w:bookmarkEnd w:id="1328"/>
      <w:bookmarkEnd w:id="1329"/>
    </w:p>
    <w:p>
      <w:pPr>
        <w:spacing w:line="300" w:lineRule="auto"/>
        <w:rPr>
          <w:rFonts w:ascii="宋体" w:hAnsi="宋体" w:cs="宋体"/>
          <w:color w:val="auto"/>
          <w:sz w:val="20"/>
          <w:szCs w:val="20"/>
        </w:rPr>
      </w:pP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56"/>
        <w:gridCol w:w="819"/>
        <w:gridCol w:w="1084"/>
        <w:gridCol w:w="718"/>
        <w:gridCol w:w="795"/>
        <w:gridCol w:w="1339"/>
        <w:gridCol w:w="184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ign w:val="center"/>
          </w:tcPr>
          <w:p>
            <w:pPr>
              <w:spacing w:line="300" w:lineRule="auto"/>
              <w:rPr>
                <w:rFonts w:ascii="宋体" w:hAnsi="宋体" w:cs="宋体"/>
                <w:color w:val="auto"/>
                <w:sz w:val="24"/>
              </w:rPr>
            </w:pPr>
            <w:bookmarkStart w:id="1330" w:name="_Toc221952089"/>
            <w:r>
              <w:rPr>
                <w:rFonts w:hint="eastAsia" w:ascii="宋体" w:hAnsi="宋体" w:cs="宋体"/>
                <w:color w:val="auto"/>
                <w:sz w:val="24"/>
              </w:rPr>
              <w:t>序号</w:t>
            </w:r>
            <w:bookmarkEnd w:id="1330"/>
          </w:p>
        </w:tc>
        <w:tc>
          <w:tcPr>
            <w:tcW w:w="642" w:type="pct"/>
            <w:noWrap/>
            <w:vAlign w:val="center"/>
          </w:tcPr>
          <w:p>
            <w:pPr>
              <w:spacing w:line="300" w:lineRule="auto"/>
              <w:rPr>
                <w:rFonts w:ascii="宋体" w:hAnsi="宋体" w:cs="宋体"/>
                <w:color w:val="auto"/>
                <w:sz w:val="24"/>
              </w:rPr>
            </w:pPr>
            <w:bookmarkStart w:id="1331" w:name="_Toc221952090"/>
            <w:r>
              <w:rPr>
                <w:rFonts w:hint="eastAsia" w:ascii="宋体" w:hAnsi="宋体" w:cs="宋体"/>
                <w:color w:val="auto"/>
                <w:sz w:val="24"/>
              </w:rPr>
              <w:t>仪器设备名称</w:t>
            </w:r>
            <w:bookmarkEnd w:id="1331"/>
          </w:p>
        </w:tc>
        <w:tc>
          <w:tcPr>
            <w:tcW w:w="449" w:type="pct"/>
            <w:noWrap/>
            <w:vAlign w:val="center"/>
          </w:tcPr>
          <w:p>
            <w:pPr>
              <w:spacing w:line="300" w:lineRule="auto"/>
              <w:rPr>
                <w:rFonts w:ascii="宋体" w:hAnsi="宋体" w:cs="宋体"/>
                <w:color w:val="auto"/>
                <w:sz w:val="24"/>
              </w:rPr>
            </w:pPr>
            <w:bookmarkStart w:id="1332" w:name="_Toc221952091"/>
            <w:r>
              <w:rPr>
                <w:rFonts w:hint="eastAsia" w:ascii="宋体" w:hAnsi="宋体" w:cs="宋体"/>
                <w:color w:val="auto"/>
                <w:sz w:val="24"/>
              </w:rPr>
              <w:t>型号</w:t>
            </w:r>
            <w:bookmarkEnd w:id="1332"/>
          </w:p>
          <w:p>
            <w:pPr>
              <w:spacing w:line="300" w:lineRule="auto"/>
              <w:rPr>
                <w:rFonts w:ascii="宋体" w:hAnsi="宋体" w:cs="宋体"/>
                <w:color w:val="auto"/>
                <w:sz w:val="24"/>
              </w:rPr>
            </w:pPr>
            <w:bookmarkStart w:id="1333" w:name="_Toc221952092"/>
            <w:r>
              <w:rPr>
                <w:rFonts w:hint="eastAsia" w:ascii="宋体" w:hAnsi="宋体" w:cs="宋体"/>
                <w:color w:val="auto"/>
                <w:sz w:val="24"/>
              </w:rPr>
              <w:t>规格</w:t>
            </w:r>
            <w:bookmarkEnd w:id="1333"/>
          </w:p>
        </w:tc>
        <w:tc>
          <w:tcPr>
            <w:tcW w:w="585" w:type="pct"/>
            <w:noWrap/>
            <w:vAlign w:val="center"/>
          </w:tcPr>
          <w:p>
            <w:pPr>
              <w:spacing w:line="300" w:lineRule="auto"/>
              <w:rPr>
                <w:rFonts w:ascii="宋体" w:hAnsi="宋体" w:cs="宋体"/>
                <w:color w:val="auto"/>
                <w:sz w:val="24"/>
              </w:rPr>
            </w:pPr>
            <w:bookmarkStart w:id="1334" w:name="_Toc221952093"/>
            <w:r>
              <w:rPr>
                <w:rFonts w:hint="eastAsia" w:ascii="宋体" w:hAnsi="宋体" w:cs="宋体"/>
                <w:color w:val="auto"/>
                <w:sz w:val="24"/>
              </w:rPr>
              <w:t>数量</w:t>
            </w:r>
            <w:bookmarkEnd w:id="1334"/>
          </w:p>
        </w:tc>
        <w:tc>
          <w:tcPr>
            <w:tcW w:w="396" w:type="pct"/>
            <w:noWrap/>
            <w:vAlign w:val="center"/>
          </w:tcPr>
          <w:p>
            <w:pPr>
              <w:spacing w:line="300" w:lineRule="auto"/>
              <w:rPr>
                <w:rFonts w:ascii="宋体" w:hAnsi="宋体" w:cs="宋体"/>
                <w:color w:val="auto"/>
                <w:sz w:val="24"/>
              </w:rPr>
            </w:pPr>
            <w:bookmarkStart w:id="1335" w:name="_Toc221952094"/>
            <w:r>
              <w:rPr>
                <w:rFonts w:hint="eastAsia" w:ascii="宋体" w:hAnsi="宋体" w:cs="宋体"/>
                <w:color w:val="auto"/>
                <w:sz w:val="24"/>
              </w:rPr>
              <w:t>国别</w:t>
            </w:r>
            <w:bookmarkEnd w:id="1335"/>
          </w:p>
          <w:p>
            <w:pPr>
              <w:spacing w:line="300" w:lineRule="auto"/>
              <w:rPr>
                <w:rFonts w:ascii="宋体" w:hAnsi="宋体" w:cs="宋体"/>
                <w:color w:val="auto"/>
                <w:sz w:val="24"/>
              </w:rPr>
            </w:pPr>
            <w:bookmarkStart w:id="1336" w:name="_Toc221952095"/>
            <w:r>
              <w:rPr>
                <w:rFonts w:hint="eastAsia" w:ascii="宋体" w:hAnsi="宋体" w:cs="宋体"/>
                <w:color w:val="auto"/>
                <w:sz w:val="24"/>
              </w:rPr>
              <w:t>产地</w:t>
            </w:r>
            <w:bookmarkEnd w:id="1336"/>
          </w:p>
        </w:tc>
        <w:tc>
          <w:tcPr>
            <w:tcW w:w="436" w:type="pct"/>
            <w:noWrap/>
            <w:vAlign w:val="center"/>
          </w:tcPr>
          <w:p>
            <w:pPr>
              <w:spacing w:line="300" w:lineRule="auto"/>
              <w:rPr>
                <w:rFonts w:ascii="宋体" w:hAnsi="宋体" w:cs="宋体"/>
                <w:color w:val="auto"/>
                <w:sz w:val="24"/>
              </w:rPr>
            </w:pPr>
            <w:bookmarkStart w:id="1337" w:name="_Toc221952096"/>
            <w:r>
              <w:rPr>
                <w:rFonts w:hint="eastAsia" w:ascii="宋体" w:hAnsi="宋体" w:cs="宋体"/>
                <w:color w:val="auto"/>
                <w:sz w:val="24"/>
              </w:rPr>
              <w:t>制造</w:t>
            </w:r>
            <w:bookmarkEnd w:id="1337"/>
          </w:p>
          <w:p>
            <w:pPr>
              <w:spacing w:line="300" w:lineRule="auto"/>
              <w:rPr>
                <w:rFonts w:ascii="宋体" w:hAnsi="宋体" w:cs="宋体"/>
                <w:color w:val="auto"/>
                <w:sz w:val="24"/>
              </w:rPr>
            </w:pPr>
            <w:bookmarkStart w:id="1338" w:name="_Toc221952097"/>
            <w:r>
              <w:rPr>
                <w:rFonts w:hint="eastAsia" w:ascii="宋体" w:hAnsi="宋体" w:cs="宋体"/>
                <w:color w:val="auto"/>
                <w:sz w:val="24"/>
              </w:rPr>
              <w:t>年份</w:t>
            </w:r>
            <w:bookmarkEnd w:id="1338"/>
          </w:p>
        </w:tc>
        <w:tc>
          <w:tcPr>
            <w:tcW w:w="716" w:type="pct"/>
            <w:noWrap/>
            <w:vAlign w:val="center"/>
          </w:tcPr>
          <w:p>
            <w:pPr>
              <w:spacing w:line="300" w:lineRule="auto"/>
              <w:rPr>
                <w:rFonts w:ascii="宋体" w:hAnsi="宋体" w:cs="宋体"/>
                <w:color w:val="auto"/>
                <w:sz w:val="24"/>
              </w:rPr>
            </w:pPr>
            <w:bookmarkStart w:id="1339" w:name="_Toc221952098"/>
            <w:r>
              <w:rPr>
                <w:rFonts w:hint="eastAsia" w:ascii="宋体" w:hAnsi="宋体" w:cs="宋体"/>
                <w:color w:val="auto"/>
                <w:sz w:val="24"/>
              </w:rPr>
              <w:t>已使用</w:t>
            </w:r>
          </w:p>
          <w:p>
            <w:pPr>
              <w:spacing w:line="300" w:lineRule="auto"/>
              <w:rPr>
                <w:rFonts w:ascii="宋体" w:hAnsi="宋体" w:cs="宋体"/>
                <w:color w:val="auto"/>
                <w:sz w:val="24"/>
              </w:rPr>
            </w:pPr>
            <w:r>
              <w:rPr>
                <w:rFonts w:hint="eastAsia" w:ascii="宋体" w:hAnsi="宋体" w:cs="宋体"/>
                <w:color w:val="auto"/>
                <w:sz w:val="24"/>
              </w:rPr>
              <w:t>台时数</w:t>
            </w:r>
            <w:bookmarkEnd w:id="1339"/>
          </w:p>
        </w:tc>
        <w:tc>
          <w:tcPr>
            <w:tcW w:w="975" w:type="pct"/>
            <w:noWrap/>
            <w:vAlign w:val="center"/>
          </w:tcPr>
          <w:p>
            <w:pPr>
              <w:spacing w:line="300" w:lineRule="auto"/>
              <w:rPr>
                <w:rFonts w:ascii="宋体" w:hAnsi="宋体" w:cs="宋体"/>
                <w:color w:val="auto"/>
                <w:sz w:val="24"/>
              </w:rPr>
            </w:pPr>
            <w:bookmarkStart w:id="1340" w:name="_Toc221952099"/>
            <w:r>
              <w:rPr>
                <w:rFonts w:hint="eastAsia" w:ascii="宋体" w:hAnsi="宋体" w:cs="宋体"/>
                <w:color w:val="auto"/>
                <w:sz w:val="24"/>
              </w:rPr>
              <w:t>用途</w:t>
            </w:r>
            <w:bookmarkEnd w:id="1340"/>
          </w:p>
        </w:tc>
        <w:tc>
          <w:tcPr>
            <w:tcW w:w="405" w:type="pct"/>
            <w:noWrap/>
            <w:vAlign w:val="center"/>
          </w:tcPr>
          <w:p>
            <w:pPr>
              <w:spacing w:line="300" w:lineRule="auto"/>
              <w:rPr>
                <w:rFonts w:ascii="宋体" w:hAnsi="宋体" w:cs="宋体"/>
                <w:color w:val="auto"/>
                <w:sz w:val="24"/>
              </w:rPr>
            </w:pPr>
            <w:bookmarkStart w:id="1341" w:name="_Toc221952100"/>
            <w:r>
              <w:rPr>
                <w:rFonts w:hint="eastAsia" w:ascii="宋体" w:hAnsi="宋体" w:cs="宋体"/>
                <w:color w:val="auto"/>
                <w:sz w:val="24"/>
              </w:rPr>
              <w:t>备注</w:t>
            </w:r>
            <w:bookmarkEnd w:id="13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ign w:val="center"/>
          </w:tcPr>
          <w:p>
            <w:pPr>
              <w:spacing w:line="300" w:lineRule="auto"/>
              <w:rPr>
                <w:rFonts w:ascii="宋体" w:hAnsi="宋体" w:cs="宋体"/>
                <w:color w:val="auto"/>
              </w:rPr>
            </w:pPr>
          </w:p>
        </w:tc>
        <w:tc>
          <w:tcPr>
            <w:tcW w:w="642" w:type="pct"/>
            <w:noWrap/>
            <w:vAlign w:val="center"/>
          </w:tcPr>
          <w:p>
            <w:pPr>
              <w:spacing w:line="300" w:lineRule="auto"/>
              <w:rPr>
                <w:rFonts w:ascii="宋体" w:hAnsi="宋体" w:cs="宋体"/>
                <w:color w:val="auto"/>
              </w:rPr>
            </w:pPr>
          </w:p>
        </w:tc>
        <w:tc>
          <w:tcPr>
            <w:tcW w:w="449" w:type="pct"/>
            <w:noWrap/>
            <w:vAlign w:val="center"/>
          </w:tcPr>
          <w:p>
            <w:pPr>
              <w:spacing w:line="300" w:lineRule="auto"/>
              <w:rPr>
                <w:rFonts w:ascii="宋体" w:hAnsi="宋体" w:cs="宋体"/>
                <w:color w:val="auto"/>
              </w:rPr>
            </w:pPr>
          </w:p>
        </w:tc>
        <w:tc>
          <w:tcPr>
            <w:tcW w:w="585" w:type="pct"/>
            <w:noWrap/>
            <w:vAlign w:val="center"/>
          </w:tcPr>
          <w:p>
            <w:pPr>
              <w:spacing w:line="300" w:lineRule="auto"/>
              <w:rPr>
                <w:rFonts w:ascii="宋体" w:hAnsi="宋体" w:cs="宋体"/>
                <w:color w:val="auto"/>
              </w:rPr>
            </w:pPr>
          </w:p>
        </w:tc>
        <w:tc>
          <w:tcPr>
            <w:tcW w:w="396" w:type="pct"/>
            <w:noWrap/>
            <w:vAlign w:val="center"/>
          </w:tcPr>
          <w:p>
            <w:pPr>
              <w:spacing w:line="300" w:lineRule="auto"/>
              <w:rPr>
                <w:rFonts w:ascii="宋体" w:hAnsi="宋体" w:cs="宋体"/>
                <w:color w:val="auto"/>
              </w:rPr>
            </w:pPr>
          </w:p>
        </w:tc>
        <w:tc>
          <w:tcPr>
            <w:tcW w:w="436" w:type="pct"/>
            <w:noWrap/>
            <w:vAlign w:val="center"/>
          </w:tcPr>
          <w:p>
            <w:pPr>
              <w:spacing w:line="300" w:lineRule="auto"/>
              <w:rPr>
                <w:rFonts w:ascii="宋体" w:hAnsi="宋体" w:cs="宋体"/>
                <w:color w:val="auto"/>
              </w:rPr>
            </w:pPr>
          </w:p>
        </w:tc>
        <w:tc>
          <w:tcPr>
            <w:tcW w:w="716" w:type="pct"/>
            <w:noWrap/>
            <w:vAlign w:val="center"/>
          </w:tcPr>
          <w:p>
            <w:pPr>
              <w:spacing w:line="300" w:lineRule="auto"/>
              <w:rPr>
                <w:rFonts w:ascii="宋体" w:hAnsi="宋体" w:cs="宋体"/>
                <w:color w:val="auto"/>
              </w:rPr>
            </w:pPr>
          </w:p>
        </w:tc>
        <w:tc>
          <w:tcPr>
            <w:tcW w:w="975" w:type="pct"/>
            <w:noWrap/>
            <w:vAlign w:val="center"/>
          </w:tcPr>
          <w:p>
            <w:pPr>
              <w:spacing w:line="300" w:lineRule="auto"/>
              <w:rPr>
                <w:rFonts w:ascii="宋体" w:hAnsi="宋体" w:cs="宋体"/>
                <w:color w:val="auto"/>
              </w:rPr>
            </w:pPr>
          </w:p>
        </w:tc>
        <w:tc>
          <w:tcPr>
            <w:tcW w:w="405" w:type="pct"/>
            <w:noWrap/>
            <w:vAlign w:val="center"/>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ign w:val="center"/>
          </w:tcPr>
          <w:p>
            <w:pPr>
              <w:spacing w:line="300" w:lineRule="auto"/>
              <w:rPr>
                <w:rFonts w:ascii="宋体" w:hAnsi="宋体" w:cs="宋体"/>
                <w:color w:val="auto"/>
              </w:rPr>
            </w:pPr>
          </w:p>
        </w:tc>
        <w:tc>
          <w:tcPr>
            <w:tcW w:w="642" w:type="pct"/>
            <w:noWrap/>
            <w:vAlign w:val="center"/>
          </w:tcPr>
          <w:p>
            <w:pPr>
              <w:spacing w:line="300" w:lineRule="auto"/>
              <w:rPr>
                <w:rFonts w:ascii="宋体" w:hAnsi="宋体" w:cs="宋体"/>
                <w:color w:val="auto"/>
              </w:rPr>
            </w:pPr>
          </w:p>
        </w:tc>
        <w:tc>
          <w:tcPr>
            <w:tcW w:w="449" w:type="pct"/>
            <w:noWrap/>
            <w:vAlign w:val="center"/>
          </w:tcPr>
          <w:p>
            <w:pPr>
              <w:spacing w:line="300" w:lineRule="auto"/>
              <w:rPr>
                <w:rFonts w:ascii="宋体" w:hAnsi="宋体" w:cs="宋体"/>
                <w:color w:val="auto"/>
              </w:rPr>
            </w:pPr>
          </w:p>
        </w:tc>
        <w:tc>
          <w:tcPr>
            <w:tcW w:w="585" w:type="pct"/>
            <w:noWrap/>
            <w:vAlign w:val="center"/>
          </w:tcPr>
          <w:p>
            <w:pPr>
              <w:spacing w:line="300" w:lineRule="auto"/>
              <w:rPr>
                <w:rFonts w:ascii="宋体" w:hAnsi="宋体" w:cs="宋体"/>
                <w:color w:val="auto"/>
              </w:rPr>
            </w:pPr>
          </w:p>
        </w:tc>
        <w:tc>
          <w:tcPr>
            <w:tcW w:w="396" w:type="pct"/>
            <w:noWrap/>
            <w:vAlign w:val="center"/>
          </w:tcPr>
          <w:p>
            <w:pPr>
              <w:spacing w:line="300" w:lineRule="auto"/>
              <w:rPr>
                <w:rFonts w:ascii="宋体" w:hAnsi="宋体" w:cs="宋体"/>
                <w:color w:val="auto"/>
              </w:rPr>
            </w:pPr>
          </w:p>
        </w:tc>
        <w:tc>
          <w:tcPr>
            <w:tcW w:w="436" w:type="pct"/>
            <w:noWrap/>
            <w:vAlign w:val="center"/>
          </w:tcPr>
          <w:p>
            <w:pPr>
              <w:spacing w:line="300" w:lineRule="auto"/>
              <w:rPr>
                <w:rFonts w:ascii="宋体" w:hAnsi="宋体" w:cs="宋体"/>
                <w:color w:val="auto"/>
              </w:rPr>
            </w:pPr>
          </w:p>
        </w:tc>
        <w:tc>
          <w:tcPr>
            <w:tcW w:w="716" w:type="pct"/>
            <w:noWrap/>
            <w:vAlign w:val="center"/>
          </w:tcPr>
          <w:p>
            <w:pPr>
              <w:spacing w:line="300" w:lineRule="auto"/>
              <w:rPr>
                <w:rFonts w:ascii="宋体" w:hAnsi="宋体" w:cs="宋体"/>
                <w:color w:val="auto"/>
              </w:rPr>
            </w:pPr>
          </w:p>
        </w:tc>
        <w:tc>
          <w:tcPr>
            <w:tcW w:w="975" w:type="pct"/>
            <w:noWrap/>
            <w:vAlign w:val="center"/>
          </w:tcPr>
          <w:p>
            <w:pPr>
              <w:spacing w:line="300" w:lineRule="auto"/>
              <w:rPr>
                <w:rFonts w:ascii="宋体" w:hAnsi="宋体" w:cs="宋体"/>
                <w:color w:val="auto"/>
              </w:rPr>
            </w:pPr>
          </w:p>
        </w:tc>
        <w:tc>
          <w:tcPr>
            <w:tcW w:w="405" w:type="pct"/>
            <w:noWrap/>
            <w:vAlign w:val="center"/>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bl>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32"/>
        <w:spacing w:line="300" w:lineRule="auto"/>
        <w:rPr>
          <w:rFonts w:ascii="宋体" w:hAnsi="宋体" w:eastAsia="宋体"/>
          <w:b/>
          <w:bCs/>
          <w:color w:val="auto"/>
          <w:sz w:val="24"/>
          <w:szCs w:val="24"/>
        </w:rPr>
      </w:pPr>
      <w:bookmarkStart w:id="1342" w:name="_Toc29039"/>
      <w:bookmarkStart w:id="1343" w:name="_Toc31700"/>
      <w:bookmarkStart w:id="1344" w:name="_Toc949_WPSOffice_Level3"/>
      <w:bookmarkStart w:id="1345" w:name="_Toc221952101"/>
      <w:bookmarkStart w:id="1346" w:name="_Toc168475926"/>
      <w:bookmarkStart w:id="1347" w:name="_Toc168476329"/>
      <w:bookmarkStart w:id="1348" w:name="_Toc144974867"/>
      <w:r>
        <w:rPr>
          <w:rFonts w:hint="eastAsia" w:ascii="宋体" w:hAnsi="宋体" w:eastAsia="宋体"/>
          <w:b/>
          <w:bCs/>
          <w:color w:val="auto"/>
          <w:sz w:val="24"/>
          <w:szCs w:val="24"/>
        </w:rPr>
        <w:t>附表三：</w:t>
      </w:r>
      <w:bookmarkEnd w:id="1342"/>
      <w:bookmarkEnd w:id="1343"/>
      <w:bookmarkEnd w:id="1344"/>
    </w:p>
    <w:bookmarkEnd w:id="1345"/>
    <w:bookmarkEnd w:id="1346"/>
    <w:bookmarkEnd w:id="1347"/>
    <w:bookmarkEnd w:id="1348"/>
    <w:p>
      <w:pPr>
        <w:pStyle w:val="32"/>
        <w:spacing w:line="300" w:lineRule="auto"/>
        <w:jc w:val="center"/>
        <w:rPr>
          <w:rFonts w:ascii="宋体" w:hAnsi="宋体" w:eastAsia="宋体"/>
          <w:b/>
          <w:bCs/>
          <w:color w:val="auto"/>
          <w:sz w:val="24"/>
          <w:szCs w:val="24"/>
        </w:rPr>
      </w:pPr>
      <w:bookmarkStart w:id="1349" w:name="_Toc23392"/>
      <w:bookmarkStart w:id="1350" w:name="_Toc7959"/>
      <w:bookmarkStart w:id="1351" w:name="_Toc221952102"/>
      <w:r>
        <w:rPr>
          <w:rFonts w:hint="eastAsia" w:ascii="宋体" w:hAnsi="宋体" w:eastAsia="宋体"/>
          <w:b/>
          <w:bCs/>
          <w:color w:val="auto"/>
          <w:sz w:val="24"/>
          <w:szCs w:val="24"/>
        </w:rPr>
        <w:t>拟投入本标段的劳动力计划表</w:t>
      </w:r>
      <w:bookmarkEnd w:id="1349"/>
      <w:bookmarkEnd w:id="1350"/>
    </w:p>
    <w:p>
      <w:pPr>
        <w:pStyle w:val="32"/>
        <w:spacing w:line="300" w:lineRule="auto"/>
        <w:jc w:val="right"/>
        <w:rPr>
          <w:rFonts w:ascii="宋体" w:hAnsi="宋体" w:eastAsia="宋体"/>
          <w:b/>
          <w:bCs/>
          <w:color w:val="auto"/>
          <w:sz w:val="24"/>
          <w:szCs w:val="24"/>
        </w:rPr>
      </w:pPr>
      <w:bookmarkStart w:id="1352" w:name="_Toc3531"/>
      <w:bookmarkStart w:id="1353" w:name="_Toc6307"/>
      <w:r>
        <w:rPr>
          <w:rFonts w:hint="eastAsia" w:ascii="宋体" w:hAnsi="宋体" w:eastAsia="宋体"/>
          <w:b/>
          <w:bCs/>
          <w:color w:val="auto"/>
          <w:sz w:val="24"/>
          <w:szCs w:val="24"/>
        </w:rPr>
        <w:t>单位：人</w:t>
      </w:r>
      <w:bookmarkEnd w:id="1351"/>
      <w:bookmarkEnd w:id="1352"/>
      <w:bookmarkEnd w:id="1353"/>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482"/>
        <w:gridCol w:w="1213"/>
        <w:gridCol w:w="1213"/>
        <w:gridCol w:w="1213"/>
        <w:gridCol w:w="1213"/>
        <w:gridCol w:w="121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ign w:val="center"/>
          </w:tcPr>
          <w:p>
            <w:pPr>
              <w:spacing w:line="300" w:lineRule="auto"/>
              <w:jc w:val="center"/>
              <w:rPr>
                <w:rFonts w:ascii="宋体" w:hAnsi="宋体" w:cs="宋体"/>
                <w:color w:val="auto"/>
                <w:sz w:val="24"/>
              </w:rPr>
            </w:pPr>
            <w:bookmarkStart w:id="1354" w:name="_Toc221952103"/>
            <w:r>
              <w:rPr>
                <w:rFonts w:hint="eastAsia" w:ascii="宋体" w:hAnsi="宋体" w:cs="宋体"/>
                <w:color w:val="auto"/>
                <w:sz w:val="24"/>
              </w:rPr>
              <w:t>工种</w:t>
            </w:r>
            <w:bookmarkEnd w:id="1354"/>
          </w:p>
        </w:tc>
        <w:tc>
          <w:tcPr>
            <w:tcW w:w="4514" w:type="pct"/>
            <w:gridSpan w:val="7"/>
            <w:noWrap/>
            <w:vAlign w:val="center"/>
          </w:tcPr>
          <w:p>
            <w:pPr>
              <w:spacing w:line="300" w:lineRule="auto"/>
              <w:jc w:val="center"/>
              <w:rPr>
                <w:rFonts w:ascii="宋体" w:hAnsi="宋体" w:cs="宋体"/>
                <w:color w:val="auto"/>
                <w:sz w:val="24"/>
              </w:rPr>
            </w:pPr>
            <w:bookmarkStart w:id="1355" w:name="_Toc221952104"/>
            <w:r>
              <w:rPr>
                <w:rFonts w:hint="eastAsia" w:ascii="宋体" w:hAnsi="宋体" w:cs="宋体"/>
                <w:color w:val="auto"/>
                <w:sz w:val="24"/>
              </w:rPr>
              <w:t>按工程施工阶段投入劳动力情况</w:t>
            </w:r>
            <w:bookmarkEnd w:id="13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ign w:val="center"/>
          </w:tcPr>
          <w:p>
            <w:pPr>
              <w:spacing w:line="300" w:lineRule="auto"/>
              <w:jc w:val="center"/>
              <w:rPr>
                <w:rFonts w:ascii="宋体" w:hAnsi="宋体" w:cs="宋体"/>
                <w:color w:val="auto"/>
              </w:rPr>
            </w:pPr>
          </w:p>
        </w:tc>
        <w:tc>
          <w:tcPr>
            <w:tcW w:w="764"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4" w:type="pct"/>
            <w:noWrap/>
            <w:vAlign w:val="center"/>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ign w:val="center"/>
          </w:tcPr>
          <w:p>
            <w:pPr>
              <w:spacing w:line="300" w:lineRule="auto"/>
              <w:jc w:val="center"/>
              <w:rPr>
                <w:rFonts w:ascii="宋体" w:hAnsi="宋体" w:cs="宋体"/>
                <w:color w:val="auto"/>
              </w:rPr>
            </w:pPr>
          </w:p>
        </w:tc>
        <w:tc>
          <w:tcPr>
            <w:tcW w:w="764"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4" w:type="pct"/>
            <w:noWrap/>
            <w:vAlign w:val="center"/>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bl>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pStyle w:val="32"/>
        <w:spacing w:line="300" w:lineRule="auto"/>
        <w:rPr>
          <w:rFonts w:ascii="宋体" w:hAnsi="宋体" w:eastAsia="宋体"/>
          <w:b/>
          <w:bCs/>
          <w:color w:val="auto"/>
          <w:sz w:val="24"/>
          <w:szCs w:val="24"/>
        </w:rPr>
      </w:pPr>
      <w:bookmarkStart w:id="1356" w:name="_Toc4968"/>
      <w:bookmarkStart w:id="1357" w:name="_Toc23382_WPSOffice_Level3"/>
      <w:bookmarkStart w:id="1358" w:name="_Toc28358"/>
      <w:bookmarkStart w:id="1359" w:name="_Toc144974868"/>
      <w:bookmarkStart w:id="1360" w:name="_Toc221952105"/>
      <w:bookmarkStart w:id="1361" w:name="_Toc168475927"/>
      <w:bookmarkStart w:id="1362" w:name="_Toc168476330"/>
      <w:r>
        <w:rPr>
          <w:rFonts w:hint="eastAsia" w:ascii="宋体" w:hAnsi="宋体" w:eastAsia="宋体"/>
          <w:b/>
          <w:bCs/>
          <w:color w:val="auto"/>
          <w:sz w:val="24"/>
          <w:szCs w:val="24"/>
        </w:rPr>
        <w:t>附表四：</w:t>
      </w:r>
      <w:bookmarkEnd w:id="1356"/>
      <w:bookmarkEnd w:id="1357"/>
      <w:bookmarkEnd w:id="1358"/>
    </w:p>
    <w:bookmarkEnd w:id="1359"/>
    <w:bookmarkEnd w:id="1360"/>
    <w:bookmarkEnd w:id="1361"/>
    <w:bookmarkEnd w:id="1362"/>
    <w:p>
      <w:pPr>
        <w:pStyle w:val="32"/>
        <w:spacing w:line="300" w:lineRule="auto"/>
        <w:jc w:val="center"/>
        <w:rPr>
          <w:rFonts w:ascii="宋体" w:hAnsi="宋体" w:eastAsia="宋体"/>
          <w:b/>
          <w:bCs/>
          <w:color w:val="auto"/>
          <w:sz w:val="24"/>
          <w:szCs w:val="24"/>
        </w:rPr>
      </w:pPr>
      <w:bookmarkStart w:id="1363" w:name="_Toc1283"/>
      <w:bookmarkStart w:id="1364" w:name="_Toc15319"/>
      <w:r>
        <w:rPr>
          <w:rFonts w:hint="eastAsia" w:ascii="宋体" w:hAnsi="宋体" w:eastAsia="宋体"/>
          <w:b/>
          <w:bCs/>
          <w:color w:val="auto"/>
          <w:sz w:val="24"/>
          <w:szCs w:val="24"/>
        </w:rPr>
        <w:t>计划开工日期、完工日期和施工进度网络图</w:t>
      </w:r>
      <w:bookmarkEnd w:id="1363"/>
      <w:bookmarkEnd w:id="1364"/>
    </w:p>
    <w:p>
      <w:pPr>
        <w:spacing w:line="300" w:lineRule="auto"/>
        <w:rPr>
          <w:rFonts w:ascii="宋体" w:hAnsi="宋体" w:cs="宋体"/>
          <w:color w:val="auto"/>
          <w:sz w:val="20"/>
          <w:szCs w:val="20"/>
        </w:rPr>
      </w:pPr>
    </w:p>
    <w:p>
      <w:pPr>
        <w:spacing w:line="300" w:lineRule="auto"/>
        <w:rPr>
          <w:rFonts w:ascii="宋体" w:hAnsi="宋体" w:cs="宋体"/>
          <w:color w:val="auto"/>
          <w:sz w:val="24"/>
        </w:rPr>
      </w:pPr>
      <w:bookmarkStart w:id="1365" w:name="_Toc221952106"/>
      <w:r>
        <w:rPr>
          <w:rFonts w:hint="eastAsia" w:ascii="宋体" w:hAnsi="宋体" w:cs="宋体"/>
          <w:color w:val="auto"/>
          <w:sz w:val="24"/>
        </w:rPr>
        <w:t>1. 供应商应递交施工进度网络图或施工进度表，说明按竞争性磋商文件要求的计划工期进行施工的各个关键日期。</w:t>
      </w:r>
      <w:bookmarkEnd w:id="1365"/>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pStyle w:val="32"/>
        <w:spacing w:line="300" w:lineRule="auto"/>
        <w:rPr>
          <w:rFonts w:ascii="宋体" w:hAnsi="宋体" w:eastAsia="宋体"/>
          <w:b/>
          <w:bCs/>
          <w:color w:val="auto"/>
          <w:sz w:val="24"/>
          <w:szCs w:val="24"/>
        </w:rPr>
      </w:pPr>
      <w:bookmarkStart w:id="1366" w:name="_Toc28938"/>
      <w:bookmarkStart w:id="1367" w:name="_Toc19306"/>
      <w:bookmarkStart w:id="1368" w:name="_Toc27962_WPSOffice_Level3"/>
      <w:bookmarkStart w:id="1369" w:name="_Toc144974869"/>
      <w:bookmarkStart w:id="1370" w:name="_Toc168475928"/>
      <w:bookmarkStart w:id="1371" w:name="_Toc221952108"/>
      <w:bookmarkStart w:id="1372" w:name="_Toc168476331"/>
      <w:r>
        <w:rPr>
          <w:rFonts w:hint="eastAsia" w:ascii="宋体" w:hAnsi="宋体" w:eastAsia="宋体"/>
          <w:b/>
          <w:bCs/>
          <w:color w:val="auto"/>
          <w:sz w:val="24"/>
          <w:szCs w:val="24"/>
        </w:rPr>
        <w:t>附表五：</w:t>
      </w:r>
      <w:bookmarkEnd w:id="1366"/>
      <w:bookmarkEnd w:id="1367"/>
      <w:bookmarkEnd w:id="1368"/>
    </w:p>
    <w:p>
      <w:pPr>
        <w:pStyle w:val="32"/>
        <w:spacing w:line="300" w:lineRule="auto"/>
        <w:jc w:val="center"/>
        <w:rPr>
          <w:rFonts w:ascii="宋体" w:hAnsi="宋体" w:eastAsia="宋体"/>
          <w:b/>
          <w:bCs/>
          <w:color w:val="auto"/>
          <w:sz w:val="24"/>
          <w:szCs w:val="24"/>
        </w:rPr>
      </w:pPr>
      <w:bookmarkStart w:id="1373" w:name="_Toc9217"/>
      <w:bookmarkStart w:id="1374" w:name="_Toc30384"/>
      <w:r>
        <w:rPr>
          <w:rFonts w:hint="eastAsia" w:ascii="宋体" w:hAnsi="宋体" w:eastAsia="宋体"/>
          <w:b/>
          <w:bCs/>
          <w:color w:val="auto"/>
          <w:sz w:val="24"/>
          <w:szCs w:val="24"/>
        </w:rPr>
        <w:t>施工总平面图</w:t>
      </w:r>
      <w:bookmarkEnd w:id="1369"/>
      <w:bookmarkEnd w:id="1370"/>
      <w:bookmarkEnd w:id="1371"/>
      <w:bookmarkEnd w:id="1372"/>
      <w:bookmarkEnd w:id="1373"/>
      <w:bookmarkEnd w:id="1374"/>
    </w:p>
    <w:p>
      <w:pPr>
        <w:spacing w:line="300" w:lineRule="auto"/>
        <w:rPr>
          <w:rFonts w:ascii="宋体" w:hAnsi="宋体" w:cs="宋体"/>
          <w:color w:val="auto"/>
          <w:sz w:val="20"/>
          <w:szCs w:val="20"/>
        </w:rPr>
      </w:pPr>
      <w:r>
        <w:rPr>
          <w:rFonts w:hint="eastAsia" w:ascii="宋体" w:hAnsi="宋体" w:cs="宋体"/>
          <w:color w:val="auto"/>
          <w:sz w:val="20"/>
          <w:szCs w:val="20"/>
        </w:rPr>
        <w:tab/>
      </w:r>
    </w:p>
    <w:p>
      <w:pPr>
        <w:spacing w:line="300" w:lineRule="auto"/>
        <w:ind w:firstLine="480" w:firstLineChars="200"/>
        <w:rPr>
          <w:rFonts w:ascii="宋体" w:hAnsi="宋体" w:cs="宋体"/>
          <w:color w:val="auto"/>
          <w:sz w:val="24"/>
        </w:rPr>
      </w:pPr>
      <w:bookmarkStart w:id="1375" w:name="_Toc221952109"/>
      <w:r>
        <w:rPr>
          <w:rFonts w:hint="eastAsia" w:ascii="宋体" w:hAnsi="宋体" w:cs="宋体"/>
          <w:color w:val="auto"/>
          <w:sz w:val="24"/>
        </w:rPr>
        <w:t>供应商应递交一份施工总平面图，绘出现场临时设施布置图及表并附文字说明，说明临时设施、加工车间、现场办公、设备及仓储、供电、供水、卫生、生活、道路、消防等设施的情况和布置。</w:t>
      </w:r>
      <w:bookmarkEnd w:id="1375"/>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pStyle w:val="8"/>
        <w:rPr>
          <w:rFonts w:ascii="宋体" w:hAnsi="宋体" w:cs="宋体"/>
          <w:color w:val="auto"/>
          <w:sz w:val="20"/>
        </w:rPr>
      </w:pPr>
    </w:p>
    <w:p>
      <w:pPr>
        <w:pStyle w:val="8"/>
        <w:rPr>
          <w:rFonts w:ascii="宋体" w:hAnsi="宋体" w:cs="宋体"/>
          <w:color w:val="auto"/>
          <w:sz w:val="20"/>
        </w:rPr>
      </w:pPr>
    </w:p>
    <w:p>
      <w:pPr>
        <w:spacing w:line="300" w:lineRule="auto"/>
        <w:rPr>
          <w:rFonts w:ascii="宋体" w:hAnsi="宋体" w:cs="宋体"/>
          <w:color w:val="auto"/>
          <w:sz w:val="20"/>
          <w:szCs w:val="20"/>
        </w:rPr>
      </w:pPr>
    </w:p>
    <w:p>
      <w:pPr>
        <w:pStyle w:val="8"/>
        <w:rPr>
          <w:rFonts w:ascii="宋体" w:hAnsi="宋体" w:cs="宋体"/>
          <w:color w:val="auto"/>
        </w:rPr>
      </w:pPr>
    </w:p>
    <w:p>
      <w:pPr>
        <w:pStyle w:val="32"/>
        <w:spacing w:line="300" w:lineRule="auto"/>
        <w:rPr>
          <w:rFonts w:ascii="宋体" w:hAnsi="宋体" w:eastAsia="宋体"/>
          <w:b/>
          <w:bCs/>
          <w:color w:val="auto"/>
          <w:sz w:val="24"/>
          <w:szCs w:val="24"/>
        </w:rPr>
      </w:pPr>
      <w:bookmarkStart w:id="1376" w:name="_Toc18730_WPSOffice_Level3"/>
      <w:bookmarkStart w:id="1377" w:name="_Toc24185"/>
      <w:bookmarkStart w:id="1378" w:name="_Toc18113"/>
      <w:bookmarkStart w:id="1379" w:name="_Toc144974870"/>
      <w:bookmarkStart w:id="1380" w:name="_Toc168475929"/>
      <w:bookmarkStart w:id="1381" w:name="_Toc168476332"/>
      <w:bookmarkStart w:id="1382" w:name="_Toc221952110"/>
      <w:r>
        <w:rPr>
          <w:rFonts w:hint="eastAsia" w:ascii="宋体" w:hAnsi="宋体" w:eastAsia="宋体"/>
          <w:b/>
          <w:bCs/>
          <w:color w:val="auto"/>
          <w:sz w:val="24"/>
          <w:szCs w:val="24"/>
        </w:rPr>
        <w:t>附表六：</w:t>
      </w:r>
      <w:bookmarkEnd w:id="1376"/>
      <w:bookmarkEnd w:id="1377"/>
      <w:bookmarkEnd w:id="1378"/>
    </w:p>
    <w:p>
      <w:pPr>
        <w:pStyle w:val="32"/>
        <w:spacing w:line="300" w:lineRule="auto"/>
        <w:jc w:val="center"/>
        <w:rPr>
          <w:rFonts w:ascii="宋体" w:hAnsi="宋体" w:eastAsia="宋体"/>
          <w:b/>
          <w:bCs/>
          <w:color w:val="auto"/>
          <w:sz w:val="24"/>
          <w:szCs w:val="24"/>
        </w:rPr>
      </w:pPr>
      <w:bookmarkStart w:id="1383" w:name="_Toc14581"/>
      <w:bookmarkStart w:id="1384" w:name="_Toc5065"/>
      <w:r>
        <w:rPr>
          <w:rFonts w:hint="eastAsia" w:ascii="宋体" w:hAnsi="宋体" w:eastAsia="宋体"/>
          <w:b/>
          <w:bCs/>
          <w:color w:val="auto"/>
          <w:sz w:val="24"/>
          <w:szCs w:val="24"/>
        </w:rPr>
        <w:t>临时用地表</w:t>
      </w:r>
      <w:bookmarkEnd w:id="1379"/>
      <w:bookmarkEnd w:id="1380"/>
      <w:bookmarkEnd w:id="1381"/>
      <w:bookmarkEnd w:id="1382"/>
      <w:bookmarkEnd w:id="1383"/>
      <w:bookmarkEnd w:id="1384"/>
    </w:p>
    <w:p>
      <w:pPr>
        <w:spacing w:line="300" w:lineRule="auto"/>
        <w:jc w:val="center"/>
        <w:rPr>
          <w:rFonts w:ascii="宋体" w:hAnsi="宋体" w:cs="宋体"/>
          <w:color w:val="auto"/>
          <w:sz w:val="23"/>
          <w:szCs w:val="23"/>
        </w:rPr>
      </w:pP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ind w:firstLine="480" w:firstLineChars="200"/>
              <w:rPr>
                <w:rFonts w:ascii="宋体" w:hAnsi="宋体" w:cs="宋体"/>
                <w:color w:val="auto"/>
                <w:sz w:val="24"/>
              </w:rPr>
            </w:pPr>
            <w:bookmarkStart w:id="1385" w:name="_Toc221952111"/>
            <w:r>
              <w:rPr>
                <w:rFonts w:hint="eastAsia" w:ascii="宋体" w:hAnsi="宋体" w:cs="宋体"/>
                <w:color w:val="auto"/>
                <w:sz w:val="24"/>
              </w:rPr>
              <w:t>用 途</w:t>
            </w:r>
            <w:bookmarkEnd w:id="1385"/>
          </w:p>
        </w:tc>
        <w:tc>
          <w:tcPr>
            <w:tcW w:w="2321" w:type="dxa"/>
            <w:noWrap/>
          </w:tcPr>
          <w:p>
            <w:pPr>
              <w:spacing w:line="300" w:lineRule="auto"/>
              <w:ind w:firstLine="480" w:firstLineChars="200"/>
              <w:rPr>
                <w:rFonts w:ascii="宋体" w:hAnsi="宋体" w:cs="宋体"/>
                <w:color w:val="auto"/>
                <w:sz w:val="24"/>
              </w:rPr>
            </w:pPr>
            <w:bookmarkStart w:id="1386" w:name="_Toc221952112"/>
            <w:r>
              <w:rPr>
                <w:rFonts w:hint="eastAsia" w:ascii="宋体" w:hAnsi="宋体" w:cs="宋体"/>
                <w:color w:val="auto"/>
                <w:sz w:val="24"/>
              </w:rPr>
              <w:t>面 积（m2）</w:t>
            </w:r>
            <w:bookmarkEnd w:id="1386"/>
          </w:p>
        </w:tc>
        <w:tc>
          <w:tcPr>
            <w:tcW w:w="2322" w:type="dxa"/>
            <w:noWrap/>
          </w:tcPr>
          <w:p>
            <w:pPr>
              <w:spacing w:line="300" w:lineRule="auto"/>
              <w:ind w:firstLine="480" w:firstLineChars="200"/>
              <w:rPr>
                <w:rFonts w:ascii="宋体" w:hAnsi="宋体" w:cs="宋体"/>
                <w:color w:val="auto"/>
                <w:sz w:val="24"/>
              </w:rPr>
            </w:pPr>
            <w:bookmarkStart w:id="1387" w:name="_Toc221952113"/>
            <w:r>
              <w:rPr>
                <w:rFonts w:hint="eastAsia" w:ascii="宋体" w:hAnsi="宋体" w:cs="宋体"/>
                <w:color w:val="auto"/>
                <w:sz w:val="24"/>
              </w:rPr>
              <w:t>位 置</w:t>
            </w:r>
            <w:bookmarkEnd w:id="1387"/>
          </w:p>
        </w:tc>
        <w:tc>
          <w:tcPr>
            <w:tcW w:w="2322" w:type="dxa"/>
            <w:noWrap/>
          </w:tcPr>
          <w:p>
            <w:pPr>
              <w:spacing w:line="300" w:lineRule="auto"/>
              <w:ind w:firstLine="480" w:firstLineChars="200"/>
              <w:rPr>
                <w:rFonts w:ascii="宋体" w:hAnsi="宋体" w:cs="宋体"/>
                <w:color w:val="auto"/>
                <w:sz w:val="24"/>
              </w:rPr>
            </w:pPr>
            <w:bookmarkStart w:id="1388" w:name="_Toc221952114"/>
            <w:r>
              <w:rPr>
                <w:rFonts w:hint="eastAsia" w:ascii="宋体" w:hAnsi="宋体" w:cs="宋体"/>
                <w:color w:val="auto"/>
                <w:sz w:val="24"/>
              </w:rPr>
              <w:t>需用时间</w:t>
            </w:r>
            <w:bookmarkEnd w:id="13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bl>
    <w:p>
      <w:pPr>
        <w:spacing w:line="300" w:lineRule="auto"/>
        <w:jc w:val="center"/>
        <w:rPr>
          <w:rFonts w:ascii="宋体" w:hAnsi="宋体" w:cs="宋体"/>
          <w:color w:val="auto"/>
          <w:sz w:val="27"/>
          <w:szCs w:val="27"/>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spacing w:line="300" w:lineRule="auto"/>
        <w:jc w:val="center"/>
        <w:rPr>
          <w:rFonts w:ascii="宋体" w:hAnsi="宋体" w:cs="宋体"/>
          <w:b/>
          <w:bCs/>
          <w:color w:val="auto"/>
          <w:sz w:val="28"/>
          <w:szCs w:val="28"/>
        </w:rPr>
      </w:pPr>
      <w:bookmarkStart w:id="1389" w:name="_Toc7745_WPSOffice_Level2"/>
      <w:r>
        <w:rPr>
          <w:rFonts w:hint="eastAsia" w:ascii="宋体" w:hAnsi="宋体" w:cs="宋体"/>
          <w:b/>
          <w:bCs/>
          <w:color w:val="auto"/>
          <w:sz w:val="28"/>
          <w:szCs w:val="28"/>
        </w:rPr>
        <w:t>二、</w:t>
      </w:r>
      <w:bookmarkEnd w:id="1389"/>
      <w:r>
        <w:rPr>
          <w:rFonts w:hint="eastAsia" w:ascii="宋体" w:hAnsi="宋体" w:cs="宋体"/>
          <w:b/>
          <w:bCs/>
          <w:color w:val="auto"/>
          <w:sz w:val="28"/>
          <w:szCs w:val="28"/>
        </w:rPr>
        <w:t>按本竞争性磋商文件规定提交的其它资料</w:t>
      </w: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12"/>
        <w:spacing w:line="300" w:lineRule="auto"/>
        <w:rPr>
          <w:rFonts w:hAnsi="宋体" w:cs="宋体"/>
          <w:b/>
          <w:bCs/>
          <w:color w:val="auto"/>
          <w:szCs w:val="21"/>
        </w:rPr>
      </w:pPr>
    </w:p>
    <w:p>
      <w:pPr>
        <w:pStyle w:val="3"/>
        <w:jc w:val="center"/>
        <w:rPr>
          <w:color w:val="auto"/>
        </w:rPr>
      </w:pPr>
      <w:bookmarkStart w:id="1390" w:name="_Toc29026"/>
      <w:bookmarkStart w:id="1391" w:name="_Toc30628"/>
      <w:bookmarkStart w:id="1392" w:name="_Toc27344"/>
      <w:r>
        <w:rPr>
          <w:rFonts w:hint="eastAsia"/>
          <w:color w:val="auto"/>
        </w:rPr>
        <w:t>第八章</w:t>
      </w:r>
      <w:r>
        <w:rPr>
          <w:rFonts w:hint="eastAsia"/>
          <w:color w:val="auto"/>
          <w:lang w:val="en-US" w:eastAsia="zh-CN"/>
        </w:rPr>
        <w:t xml:space="preserve"> </w:t>
      </w:r>
      <w:r>
        <w:rPr>
          <w:rFonts w:hint="eastAsia"/>
          <w:color w:val="auto"/>
        </w:rPr>
        <w:t>评审办法</w:t>
      </w:r>
      <w:bookmarkEnd w:id="1390"/>
      <w:bookmarkEnd w:id="1391"/>
      <w:bookmarkEnd w:id="1392"/>
    </w:p>
    <w:p>
      <w:pPr>
        <w:pStyle w:val="12"/>
        <w:adjustRightInd w:val="0"/>
        <w:snapToGrid w:val="0"/>
        <w:spacing w:line="460" w:lineRule="exact"/>
        <w:rPr>
          <w:rFonts w:hAnsi="宋体" w:cs="宋体"/>
          <w:b/>
          <w:bCs/>
          <w:color w:val="auto"/>
          <w:szCs w:val="21"/>
        </w:rPr>
      </w:pPr>
      <w:r>
        <w:rPr>
          <w:rFonts w:hint="eastAsia" w:hAnsi="宋体" w:cs="宋体"/>
          <w:b/>
          <w:bCs/>
          <w:color w:val="auto"/>
          <w:szCs w:val="21"/>
        </w:rPr>
        <w:t>一、评标原则</w:t>
      </w:r>
    </w:p>
    <w:p>
      <w:pPr>
        <w:adjustRightInd w:val="0"/>
        <w:snapToGrid w:val="0"/>
        <w:spacing w:line="460" w:lineRule="exact"/>
        <w:ind w:firstLine="411" w:firstLineChars="196"/>
        <w:rPr>
          <w:rFonts w:ascii="宋体" w:hAnsi="宋体" w:cs="宋体"/>
          <w:bCs/>
          <w:color w:val="auto"/>
          <w:szCs w:val="21"/>
        </w:rPr>
      </w:pPr>
      <w:r>
        <w:rPr>
          <w:rFonts w:hint="eastAsia" w:ascii="宋体" w:hAnsi="宋体" w:cs="宋体"/>
          <w:bCs/>
          <w:color w:val="auto"/>
          <w:szCs w:val="21"/>
        </w:rPr>
        <w:t>(一)磋商小组组成：</w:t>
      </w:r>
      <w:r>
        <w:rPr>
          <w:rFonts w:hint="eastAsia" w:ascii="宋体" w:hAnsi="宋体" w:cs="宋体"/>
          <w:color w:val="auto"/>
          <w:szCs w:val="21"/>
        </w:rPr>
        <w:t>磋商小组由采购人的代表和依法抽取的有关专家共三人以上的单数组成</w:t>
      </w:r>
      <w:r>
        <w:rPr>
          <w:rFonts w:hint="eastAsia" w:ascii="宋体" w:hAnsi="宋体" w:cs="宋体"/>
          <w:bCs/>
          <w:color w:val="auto"/>
          <w:szCs w:val="21"/>
        </w:rPr>
        <w:t>，其中专家人数不少于三分之二。</w:t>
      </w:r>
    </w:p>
    <w:p>
      <w:pPr>
        <w:pStyle w:val="12"/>
        <w:adjustRightInd w:val="0"/>
        <w:snapToGrid w:val="0"/>
        <w:spacing w:line="460" w:lineRule="exact"/>
        <w:ind w:firstLine="420" w:firstLineChars="200"/>
        <w:rPr>
          <w:rFonts w:hAnsi="宋体" w:cs="宋体"/>
          <w:bCs/>
          <w:color w:val="auto"/>
          <w:szCs w:val="21"/>
        </w:rPr>
      </w:pPr>
      <w:r>
        <w:rPr>
          <w:rFonts w:hint="eastAsia" w:hAnsi="宋体" w:cs="宋体"/>
          <w:bCs/>
          <w:color w:val="auto"/>
          <w:szCs w:val="21"/>
        </w:rPr>
        <w:t>(二)评</w:t>
      </w:r>
      <w:r>
        <w:rPr>
          <w:rFonts w:hint="eastAsia" w:hAnsi="宋体" w:cs="宋体"/>
          <w:color w:val="auto"/>
          <w:szCs w:val="21"/>
        </w:rPr>
        <w:t>审</w:t>
      </w:r>
      <w:r>
        <w:rPr>
          <w:rFonts w:hint="eastAsia" w:hAnsi="宋体" w:cs="宋体"/>
          <w:bCs/>
          <w:color w:val="auto"/>
          <w:szCs w:val="21"/>
        </w:rPr>
        <w:t>依据：磋商小组将以采购文件和响应文件为评定依据进行评审。</w:t>
      </w:r>
    </w:p>
    <w:p>
      <w:pPr>
        <w:pStyle w:val="12"/>
        <w:adjustRightInd w:val="0"/>
        <w:snapToGrid w:val="0"/>
        <w:spacing w:line="460" w:lineRule="exact"/>
        <w:ind w:firstLine="420" w:firstLineChars="200"/>
        <w:rPr>
          <w:rFonts w:hAnsi="宋体" w:cs="宋体"/>
          <w:b/>
          <w:bCs/>
          <w:color w:val="auto"/>
          <w:szCs w:val="21"/>
        </w:rPr>
      </w:pPr>
      <w:r>
        <w:rPr>
          <w:rFonts w:hint="eastAsia" w:hAnsi="宋体" w:cs="宋体"/>
          <w:bCs/>
          <w:color w:val="auto"/>
          <w:szCs w:val="21"/>
        </w:rPr>
        <w:t>(三)评审方法：</w:t>
      </w:r>
      <w:r>
        <w:rPr>
          <w:rFonts w:hint="eastAsia" w:hAnsi="宋体" w:cs="宋体"/>
          <w:b/>
          <w:bCs/>
          <w:color w:val="auto"/>
          <w:szCs w:val="21"/>
        </w:rPr>
        <w:t>综合评分法。</w:t>
      </w:r>
    </w:p>
    <w:p>
      <w:pPr>
        <w:pStyle w:val="12"/>
        <w:adjustRightInd w:val="0"/>
        <w:snapToGrid w:val="0"/>
        <w:spacing w:line="460" w:lineRule="exact"/>
        <w:rPr>
          <w:rFonts w:hAnsi="宋体" w:cs="宋体"/>
          <w:b/>
          <w:bCs/>
          <w:color w:val="auto"/>
          <w:szCs w:val="21"/>
        </w:rPr>
      </w:pPr>
      <w:r>
        <w:rPr>
          <w:rFonts w:hint="eastAsia" w:hAnsi="宋体" w:cs="宋体"/>
          <w:b/>
          <w:bCs/>
          <w:color w:val="auto"/>
          <w:szCs w:val="21"/>
        </w:rPr>
        <w:t>二、评审方法</w:t>
      </w:r>
    </w:p>
    <w:p>
      <w:pPr>
        <w:adjustRightInd w:val="0"/>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1、磋商小组将按采购文件的规定，首先对各竞标人的响应文件进行资格性检查和符合性检查，以确定竞标人是否具备竞标资格及是否对采购文件的实质性要求做出响应。未能通过资格性检查和符合性检查的，不予进行下一步评审。</w:t>
      </w:r>
    </w:p>
    <w:p>
      <w:pPr>
        <w:adjustRightInd w:val="0"/>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2、对通过资格性检查和符合性检查的合格竞标人进行磋商，并要求竞标人做出最终报价。</w:t>
      </w:r>
    </w:p>
    <w:p>
      <w:pPr>
        <w:adjustRightInd w:val="0"/>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3、评标委员会将根据竞标人的技术标及商务标评审汇总得分由高到低排列次序（得分相同的，按技术标优劣顺序排列）推荐前三名为成交候选人。</w:t>
      </w:r>
    </w:p>
    <w:p>
      <w:pPr>
        <w:pStyle w:val="12"/>
        <w:tabs>
          <w:tab w:val="left" w:pos="4214"/>
        </w:tabs>
        <w:adjustRightInd w:val="0"/>
        <w:snapToGrid w:val="0"/>
        <w:spacing w:line="460" w:lineRule="exact"/>
        <w:ind w:firstLine="420" w:firstLineChars="200"/>
        <w:rPr>
          <w:rFonts w:hAnsi="宋体" w:cs="宋体"/>
          <w:color w:val="auto"/>
          <w:szCs w:val="21"/>
        </w:rPr>
      </w:pPr>
      <w:r>
        <w:rPr>
          <w:rFonts w:hint="eastAsia" w:hAnsi="宋体" w:cs="宋体"/>
          <w:color w:val="auto"/>
          <w:szCs w:val="21"/>
        </w:rPr>
        <w:t>4、采购单位应当确定磋商小组推荐排名第一的成交候选人为成交人。</w:t>
      </w:r>
    </w:p>
    <w:p>
      <w:pPr>
        <w:adjustRightInd w:val="0"/>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5、排名第一的成交候选人放弃成交资格，因不可抗力提出不能履行合同，或者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采购人也可以重新开展采购活动。拒绝签订政府采购合同的成交人不得再参加该项目重新开展的采购活动。</w:t>
      </w:r>
    </w:p>
    <w:p>
      <w:pPr>
        <w:adjustRightInd w:val="0"/>
        <w:snapToGrid w:val="0"/>
        <w:spacing w:line="460" w:lineRule="exact"/>
        <w:rPr>
          <w:rFonts w:ascii="宋体" w:hAnsi="宋体" w:cs="宋体"/>
          <w:b/>
          <w:bCs/>
          <w:color w:val="auto"/>
          <w:szCs w:val="21"/>
        </w:rPr>
      </w:pPr>
      <w:r>
        <w:rPr>
          <w:rFonts w:hint="eastAsia" w:ascii="宋体" w:hAnsi="宋体" w:cs="宋体"/>
          <w:b/>
          <w:bCs/>
          <w:color w:val="auto"/>
          <w:szCs w:val="21"/>
        </w:rPr>
        <w:t>三、评标细则</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817"/>
        <w:gridCol w:w="1648"/>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0" w:type="dxa"/>
            <w:gridSpan w:val="3"/>
            <w:shd w:val="clear" w:color="auto" w:fill="E6E6E6"/>
            <w:noWrap/>
            <w:vAlign w:val="center"/>
          </w:tcPr>
          <w:p>
            <w:pPr>
              <w:adjustRightInd w:val="0"/>
              <w:snapToGrid w:val="0"/>
              <w:spacing w:line="460" w:lineRule="exact"/>
              <w:jc w:val="center"/>
              <w:rPr>
                <w:rFonts w:ascii="宋体" w:hAnsi="宋体" w:cs="宋体"/>
                <w:color w:val="auto"/>
                <w:szCs w:val="21"/>
              </w:rPr>
            </w:pPr>
            <w:r>
              <w:rPr>
                <w:rFonts w:hint="eastAsia" w:ascii="宋体" w:hAnsi="宋体" w:cs="宋体"/>
                <w:color w:val="auto"/>
                <w:szCs w:val="21"/>
              </w:rPr>
              <w:t>评审因素</w:t>
            </w:r>
          </w:p>
        </w:tc>
        <w:tc>
          <w:tcPr>
            <w:tcW w:w="5169" w:type="dxa"/>
            <w:shd w:val="clear" w:color="auto" w:fill="E6E6E6"/>
            <w:noWrap/>
            <w:vAlign w:val="center"/>
          </w:tcPr>
          <w:p>
            <w:pPr>
              <w:adjustRightInd w:val="0"/>
              <w:snapToGrid w:val="0"/>
              <w:spacing w:line="460" w:lineRule="exact"/>
              <w:jc w:val="center"/>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分值构成</w:t>
            </w:r>
          </w:p>
        </w:tc>
        <w:tc>
          <w:tcPr>
            <w:tcW w:w="2465" w:type="dxa"/>
            <w:gridSpan w:val="2"/>
            <w:noWrap/>
            <w:vAlign w:val="center"/>
          </w:tcPr>
          <w:p>
            <w:pPr>
              <w:adjustRightInd w:val="0"/>
              <w:snapToGrid w:val="0"/>
              <w:spacing w:line="460" w:lineRule="exact"/>
              <w:ind w:firstLine="630" w:firstLineChars="300"/>
              <w:jc w:val="left"/>
              <w:rPr>
                <w:rFonts w:ascii="宋体" w:hAnsi="宋体" w:cs="宋体"/>
                <w:color w:val="auto"/>
                <w:szCs w:val="21"/>
              </w:rPr>
            </w:pPr>
            <w:r>
              <w:rPr>
                <w:rFonts w:hint="eastAsia" w:ascii="宋体" w:hAnsi="宋体" w:cs="宋体"/>
                <w:color w:val="auto"/>
                <w:szCs w:val="21"/>
              </w:rPr>
              <w:t>分值构成</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（总分</w:t>
            </w:r>
            <w:r>
              <w:rPr>
                <w:rFonts w:ascii="宋体" w:hAnsi="宋体" w:cs="宋体"/>
                <w:color w:val="auto"/>
                <w:szCs w:val="21"/>
              </w:rPr>
              <w:t>100分）</w:t>
            </w:r>
          </w:p>
        </w:tc>
        <w:tc>
          <w:tcPr>
            <w:tcW w:w="5169" w:type="dxa"/>
            <w:noWrap/>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技术标评审部分：</w:t>
            </w:r>
            <w:r>
              <w:rPr>
                <w:rFonts w:hint="eastAsia" w:ascii="宋体" w:hAnsi="宋体" w:cs="宋体"/>
                <w:color w:val="auto"/>
                <w:szCs w:val="21"/>
                <w:u w:val="single"/>
                <w:lang w:eastAsia="zh-CN"/>
              </w:rPr>
              <w:t>7</w:t>
            </w:r>
            <w:r>
              <w:rPr>
                <w:rFonts w:hint="eastAsia" w:ascii="宋体" w:hAnsi="宋体" w:cs="宋体"/>
                <w:color w:val="auto"/>
                <w:szCs w:val="21"/>
                <w:u w:val="single"/>
                <w:lang w:val="en-US" w:eastAsia="zh-CN"/>
              </w:rPr>
              <w:t>0</w:t>
            </w:r>
            <w:r>
              <w:rPr>
                <w:rFonts w:hint="eastAsia" w:ascii="宋体" w:hAnsi="宋体" w:cs="宋体"/>
                <w:color w:val="auto"/>
                <w:szCs w:val="21"/>
              </w:rPr>
              <w:t>分</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商务标评审部分：</w:t>
            </w:r>
            <w:r>
              <w:rPr>
                <w:rFonts w:hint="eastAsia" w:ascii="宋体" w:hAnsi="宋体" w:cs="宋体"/>
                <w:color w:val="auto"/>
                <w:szCs w:val="21"/>
                <w:u w:val="single"/>
                <w:lang w:eastAsia="zh-CN"/>
              </w:rPr>
              <w:t>3</w:t>
            </w:r>
            <w:r>
              <w:rPr>
                <w:rFonts w:hint="eastAsia" w:ascii="宋体" w:hAnsi="宋体" w:cs="宋体"/>
                <w:color w:val="auto"/>
                <w:szCs w:val="21"/>
                <w:u w:val="single"/>
                <w:lang w:val="en-US" w:eastAsia="zh-CN"/>
              </w:rPr>
              <w:t>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restart"/>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技术标</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评分标准</w:t>
            </w:r>
          </w:p>
        </w:tc>
        <w:tc>
          <w:tcPr>
            <w:tcW w:w="7634" w:type="dxa"/>
            <w:gridSpan w:val="3"/>
            <w:noWrap/>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技术标得分</w:t>
            </w:r>
            <w:r>
              <w:rPr>
                <w:rFonts w:ascii="宋体" w:hAnsi="宋体" w:cs="宋体"/>
                <w:color w:val="auto"/>
                <w:szCs w:val="21"/>
              </w:rPr>
              <w:t>=（项目管理机构得分+施工组织设计得分）×</w:t>
            </w:r>
            <w:r>
              <w:rPr>
                <w:rFonts w:hint="eastAsia" w:ascii="宋体" w:hAnsi="宋体" w:cs="宋体"/>
                <w:color w:val="auto"/>
                <w:szCs w:val="21"/>
                <w:lang w:val="en-US" w:eastAsia="zh-CN"/>
              </w:rPr>
              <w:t>70</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restart"/>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项目管理机构（满分</w:t>
            </w:r>
            <w:r>
              <w:rPr>
                <w:rFonts w:ascii="宋体" w:hAnsi="宋体" w:cs="宋体"/>
                <w:color w:val="auto"/>
                <w:szCs w:val="21"/>
              </w:rPr>
              <w:t>20分）</w:t>
            </w: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项目经理任职资格与业绩、工作经历等（满分</w:t>
            </w:r>
            <w:r>
              <w:rPr>
                <w:rFonts w:ascii="宋体" w:hAnsi="宋体" w:cs="宋体"/>
                <w:color w:val="auto"/>
                <w:szCs w:val="21"/>
              </w:rPr>
              <w:t>10分）</w:t>
            </w:r>
          </w:p>
        </w:tc>
        <w:tc>
          <w:tcPr>
            <w:tcW w:w="5169"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拟派任项目经理（或注册建造师）必须与资格审查合格通过的项目经理（或注册建造师）在名称、专业、资格等级等方面一致。</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1）项目经理资格：</w:t>
            </w:r>
            <w:r>
              <w:rPr>
                <w:rFonts w:hint="eastAsia" w:ascii="宋体" w:hAnsi="宋体" w:cs="宋体"/>
                <w:color w:val="auto"/>
                <w:szCs w:val="21"/>
              </w:rPr>
              <w:t>具备市政公用工程专业</w:t>
            </w:r>
            <w:r>
              <w:rPr>
                <w:rFonts w:hint="eastAsia" w:ascii="宋体" w:hAnsi="宋体" w:cs="宋体"/>
                <w:color w:val="auto"/>
                <w:szCs w:val="21"/>
                <w:lang w:val="en-US" w:eastAsia="zh-CN"/>
              </w:rPr>
              <w:t>或公路工程专业</w:t>
            </w:r>
            <w:r>
              <w:rPr>
                <w:rFonts w:hint="eastAsia" w:ascii="宋体" w:hAnsi="宋体" w:cs="宋体"/>
                <w:color w:val="auto"/>
                <w:szCs w:val="21"/>
              </w:rPr>
              <w:t>或水利水电工程专业贰级以上（含贰级）注册建造师执业资格的，得10分。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其他主要人员（满分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拟派驻本项目的技术负责人应具有中级及以上职称证件，安全员、施工员、质量员、材料员应具有相应岗位资格证书，且拟投入的安全员人数符合国家及广西壮族自治区的规定。</w:t>
            </w:r>
          </w:p>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优（10.0分）：完全满足施工需要，管理人员配备齐全且经验及综合素质优秀。良（6.0分）：基本满足施工需要，管理人员配备齐全。 差（</w:t>
            </w:r>
            <w:r>
              <w:rPr>
                <w:rFonts w:hint="eastAsia" w:ascii="宋体" w:hAnsi="宋体" w:cs="宋体"/>
                <w:color w:val="auto"/>
                <w:szCs w:val="21"/>
                <w:lang w:val="en-US" w:eastAsia="zh-CN"/>
              </w:rPr>
              <w:t>0</w:t>
            </w:r>
            <w:r>
              <w:rPr>
                <w:rFonts w:hint="eastAsia" w:ascii="宋体" w:hAnsi="宋体" w:cs="宋体"/>
                <w:color w:val="auto"/>
                <w:szCs w:val="21"/>
              </w:rPr>
              <w:t>分）:不满足施工需要，管理人员配备不齐全。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restart"/>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施工组织设计（</w:t>
            </w:r>
            <w:r>
              <w:rPr>
                <w:rFonts w:hint="eastAsia" w:ascii="宋体" w:hAnsi="宋体" w:cs="宋体"/>
                <w:color w:val="auto"/>
                <w:szCs w:val="21"/>
                <w:lang w:val="en-US" w:eastAsia="zh-CN"/>
              </w:rPr>
              <w:t>80</w:t>
            </w:r>
            <w:r>
              <w:rPr>
                <w:rFonts w:ascii="宋体" w:hAnsi="宋体" w:cs="宋体"/>
                <w:color w:val="auto"/>
                <w:szCs w:val="21"/>
              </w:rPr>
              <w:t>分）</w:t>
            </w: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主要施工方法</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各主要分部施工方法符合项目实际，须有详尽的施工技术方案，工艺先进、方法科学合理、可行，能指导具体施工并确保安全。良（6.0分）：各主要分部施工方法基本符合项目实际，须有基本的施工技术方案，工艺、方法科学基本合理、可行，基本能指导具体施工并确保安全。差（</w:t>
            </w:r>
            <w:r>
              <w:rPr>
                <w:rFonts w:hint="eastAsia" w:ascii="宋体" w:hAnsi="宋体" w:cs="宋体"/>
                <w:color w:val="auto"/>
                <w:szCs w:val="21"/>
                <w:lang w:val="en-US" w:eastAsia="zh-CN"/>
              </w:rPr>
              <w:t>0</w:t>
            </w:r>
            <w:r>
              <w:rPr>
                <w:rFonts w:hint="eastAsia" w:ascii="宋体" w:hAnsi="宋体" w:cs="宋体"/>
                <w:color w:val="auto"/>
                <w:szCs w:val="21"/>
              </w:rPr>
              <w:t>分）：各主要分部施工方法不符合项目实际，没有详尽的施工技术方案，工艺落后、方法不科学不合理、不可行，不能指导具体施工并确保安全。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拟投入的主要物资计划（满分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投入的施工材料有详细的组织计划且计划周密，数量、选型配置、进场时间安排合理，较好满足施工需要。良（6.0分）：投入的施工材料有基本的组织计划且计划周密，数量、选型配置、进场时间安排基本合理，基本满足施工需要。差（</w:t>
            </w:r>
            <w:r>
              <w:rPr>
                <w:rFonts w:hint="eastAsia" w:ascii="宋体" w:hAnsi="宋体" w:cs="宋体"/>
                <w:color w:val="auto"/>
                <w:szCs w:val="21"/>
                <w:lang w:val="en-US" w:eastAsia="zh-CN"/>
              </w:rPr>
              <w:t>0</w:t>
            </w:r>
            <w:r>
              <w:rPr>
                <w:rFonts w:hint="eastAsia" w:ascii="宋体" w:hAnsi="宋体" w:cs="宋体"/>
                <w:color w:val="auto"/>
                <w:szCs w:val="21"/>
              </w:rPr>
              <w:t>分）：投入的施工材料没有详细的组织计划且计划周密，数量、选型配置、进场时间安排不合理，不能满足施工需要。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拟投入的主要施工机械、设备计划（满分</w:t>
            </w:r>
            <w:r>
              <w:rPr>
                <w:rFonts w:ascii="宋体" w:hAnsi="宋体" w:cs="宋体"/>
                <w:color w:val="auto"/>
                <w:szCs w:val="21"/>
              </w:rPr>
              <w:t>10分）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投入的施工机械、设备、机具有详细的组织计划且计划周密，设备数量、选型配置、进场时间安排合理，较好满足施工需要。良（6.0分）：投入的施工机械、设备、机具有基本的组织计划且计划周密，设备数量、选型配置、进场时间安排基本合理，基本满足施工需要。差（</w:t>
            </w:r>
            <w:r>
              <w:rPr>
                <w:rFonts w:hint="eastAsia" w:ascii="宋体" w:hAnsi="宋体" w:cs="宋体"/>
                <w:color w:val="auto"/>
                <w:szCs w:val="21"/>
                <w:lang w:val="en-US" w:eastAsia="zh-CN"/>
              </w:rPr>
              <w:t>0</w:t>
            </w:r>
            <w:r>
              <w:rPr>
                <w:rFonts w:hint="eastAsia" w:ascii="宋体" w:hAnsi="宋体" w:cs="宋体"/>
                <w:color w:val="auto"/>
                <w:szCs w:val="21"/>
              </w:rPr>
              <w:t>分）：投入的施工机械、设备、机具没有详细的组织计划且计划周密，设备数量、选型配置、进场时间安排不合理，不能满足施工需要。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劳动力安排计划（满分</w:t>
            </w:r>
            <w:r>
              <w:rPr>
                <w:rFonts w:ascii="宋体" w:hAnsi="宋体" w:cs="宋体"/>
                <w:color w:val="auto"/>
                <w:szCs w:val="21"/>
              </w:rPr>
              <w:t>10分）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各主要施工工序有详细周密的劳动力安排计划，有各工种劳动力安排计划，劳动力投入合理，满足施工需要。良（6.0分）：各主要施工工序有劳动力安排计划，有各工种劳动力安排计划，劳动力投入合理，基本满足施工需要。差（</w:t>
            </w:r>
            <w:r>
              <w:rPr>
                <w:rFonts w:hint="eastAsia" w:ascii="宋体" w:hAnsi="宋体" w:cs="宋体"/>
                <w:color w:val="auto"/>
                <w:szCs w:val="21"/>
                <w:lang w:val="en-US" w:eastAsia="zh-CN"/>
              </w:rPr>
              <w:t>0</w:t>
            </w:r>
            <w:r>
              <w:rPr>
                <w:rFonts w:hint="eastAsia" w:ascii="宋体" w:hAnsi="宋体" w:cs="宋体"/>
                <w:color w:val="auto"/>
                <w:szCs w:val="21"/>
              </w:rPr>
              <w:t>分）：各主要施工工序无劳动力安排计划，无各工种劳动力安排计划，劳动力投入不合理，不能满足施工需要。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确保工程质量的技术组织措施</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优（10.0分）：有专门的质量技术管理班子和制度，且人员配备合理，制度健全。主要工序质量技术保证措施和手段科学合理，自控体系完整，能有效保证技术质量，达到承诺的质量标准。 良（6.0分）：有专门的质量技术管理班子和制度，且人员配备合理，制度健全。主要工序的质量技术保证措施和手段一般，自控体系一般，基本保证技术质量，达到承诺的质量标准。差（</w:t>
            </w:r>
            <w:r>
              <w:rPr>
                <w:rFonts w:hint="eastAsia" w:ascii="宋体" w:hAnsi="宋体" w:cs="宋体"/>
                <w:color w:val="auto"/>
                <w:szCs w:val="21"/>
                <w:lang w:val="en-US" w:eastAsia="zh-CN"/>
              </w:rPr>
              <w:t>0</w:t>
            </w:r>
            <w:r>
              <w:rPr>
                <w:rFonts w:hint="eastAsia" w:ascii="宋体" w:hAnsi="宋体" w:cs="宋体"/>
                <w:color w:val="auto"/>
                <w:szCs w:val="21"/>
              </w:rPr>
              <w:t>分）：有专门的质量技术管理班子和制度，人员配备不合理，制度不健全。主要工序无质量技术保证措施和手段，自控体系不完整，不能有效保证技术质量，达不到承诺的质量标准。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确保安全生产的技术组织措施（满分</w:t>
            </w:r>
            <w:r>
              <w:rPr>
                <w:rFonts w:ascii="宋体" w:hAnsi="宋体" w:cs="宋体"/>
                <w:color w:val="auto"/>
                <w:szCs w:val="21"/>
              </w:rPr>
              <w:t>10分）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有专门的安全管理人员和制度，且人员配备合理，制度健全，各道工序安全技术措施针对性强，确保工程质量的技术组织措施符合实际且满足有关安全技术标准要求。现场防火、应急救援、社会治安安全措施得力。良（6.0分）：有专门的安全管理人员和制度，且人员配备合理，制度健全，各道工序安全技术措施针对性一般，确保工程质量的技术组织措施符合实际且基本满足有关安全技术标准要求。现场防火、应急救援、社会治安安全措施一般。差（</w:t>
            </w:r>
            <w:r>
              <w:rPr>
                <w:rFonts w:hint="eastAsia" w:ascii="宋体" w:hAnsi="宋体" w:cs="宋体"/>
                <w:color w:val="auto"/>
                <w:szCs w:val="21"/>
                <w:lang w:val="en-US" w:eastAsia="zh-CN"/>
              </w:rPr>
              <w:t>0</w:t>
            </w:r>
            <w:r>
              <w:rPr>
                <w:rFonts w:hint="eastAsia" w:ascii="宋体" w:hAnsi="宋体" w:cs="宋体"/>
                <w:color w:val="auto"/>
                <w:szCs w:val="21"/>
              </w:rPr>
              <w:t>分）：有专门的安全管理人员和制度，人员配备不合理，制度不健全，各道工序安全技术措施针无对性，不满足有关安全技术标准要求。现场防火、应急救援、社会治安安全措施不得力。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确保工期的技术组织措施（满分</w:t>
            </w:r>
            <w:r>
              <w:rPr>
                <w:rFonts w:ascii="宋体" w:hAnsi="宋体" w:cs="宋体"/>
                <w:color w:val="auto"/>
                <w:szCs w:val="21"/>
              </w:rPr>
              <w:t>5分）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5.0分）：在施工工艺、施工方法、材料选用、劳动力安排、技术等方面有保证工期的具体措施且措施得当。有控制工期的施工进度计划。有施工总进度表或施工网络图，各项计划图表编制完善，安排科学合理，符合本项目施工实际要求。良（3.0分）：在施工工艺、施工方法、材料选用、劳动力安排、技术等方面有保证工期的措施但措施一般。有控制工期的施工进度计划。有施工总进度表或施工网络图，各项计划图表编制一般，安排合理，基本符合本项目施工实际要求。差（</w:t>
            </w:r>
            <w:r>
              <w:rPr>
                <w:rFonts w:hint="eastAsia" w:ascii="宋体" w:hAnsi="宋体" w:cs="宋体"/>
                <w:color w:val="auto"/>
                <w:szCs w:val="21"/>
                <w:lang w:val="en-US" w:eastAsia="zh-CN"/>
              </w:rPr>
              <w:t>0</w:t>
            </w:r>
            <w:r>
              <w:rPr>
                <w:rFonts w:hint="eastAsia" w:ascii="宋体" w:hAnsi="宋体" w:cs="宋体"/>
                <w:color w:val="auto"/>
                <w:szCs w:val="21"/>
              </w:rPr>
              <w:t>分）：在施工工艺、施工方法、材料选用、劳动力安排、技术等方面有保证工期的措施但措施一般。无控制工期的施工进度计划。无施工总进度表或施工网络图，不符合本项目施工实际要求。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确保文明施工的技术组织措施（满分</w:t>
            </w:r>
            <w:r>
              <w:rPr>
                <w:rFonts w:ascii="宋体" w:hAnsi="宋体" w:cs="宋体"/>
                <w:color w:val="auto"/>
                <w:szCs w:val="21"/>
              </w:rPr>
              <w:t>5分）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5.0分）：针对本工程项目特点，有现场文明施工、环境保护措施。各项措施周全、具体、有效。有具体实现现场文明施工目标的承诺。良（3.0分）：针对本工程项目特点，有现场文明施工、环境保护措施。各项措施一般。有具体实现现场文明施工目标的承诺。差（</w:t>
            </w:r>
            <w:r>
              <w:rPr>
                <w:rFonts w:hint="eastAsia" w:ascii="宋体" w:hAnsi="宋体" w:cs="宋体"/>
                <w:color w:val="auto"/>
                <w:szCs w:val="21"/>
                <w:lang w:val="en-US" w:eastAsia="zh-CN"/>
              </w:rPr>
              <w:t>0</w:t>
            </w:r>
            <w:r>
              <w:rPr>
                <w:rFonts w:hint="eastAsia" w:ascii="宋体" w:hAnsi="宋体" w:cs="宋体"/>
                <w:color w:val="auto"/>
                <w:szCs w:val="21"/>
              </w:rPr>
              <w:t>分）：针对本工程项目特点，应有现场文明施工、环境保护措施。各项措施不合理。无具体实现现场文明施工目标的承诺。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工程施工的重点和难点及保证措施（满分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优（10.0分）：针对本工程的特点，阐述本工程的重点和难点，解决重点和难点问题的方法科学合理。良（6.0分）：针对本工程的特点，阐述本工程的重点和难点，解决重点和难点问题的方法基本合理。差（</w:t>
            </w:r>
            <w:r>
              <w:rPr>
                <w:rFonts w:hint="eastAsia" w:ascii="宋体" w:hAnsi="宋体" w:cs="宋体"/>
                <w:color w:val="auto"/>
                <w:szCs w:val="21"/>
                <w:lang w:val="en-US" w:eastAsia="zh-CN"/>
              </w:rPr>
              <w:t>0</w:t>
            </w:r>
            <w:r>
              <w:rPr>
                <w:rFonts w:hint="eastAsia" w:ascii="宋体" w:hAnsi="宋体" w:cs="宋体"/>
                <w:color w:val="auto"/>
                <w:szCs w:val="21"/>
              </w:rPr>
              <w:t>分）：针对本工程的特点，阐述本工程的重点和难点，解决重点和难点问题的方法不合理。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noWrap/>
            <w:vAlign w:val="center"/>
          </w:tcPr>
          <w:p>
            <w:pPr>
              <w:adjustRightInd w:val="0"/>
              <w:snapToGrid w:val="0"/>
              <w:spacing w:line="460" w:lineRule="exact"/>
              <w:rPr>
                <w:rFonts w:ascii="宋体" w:hAnsi="宋体" w:cs="宋体"/>
                <w:color w:val="auto"/>
                <w:szCs w:val="21"/>
              </w:rPr>
            </w:pPr>
            <w:r>
              <w:rPr>
                <w:rFonts w:hint="eastAsia" w:ascii="宋体" w:hAnsi="宋体" w:cs="宋体"/>
                <w:color w:val="auto"/>
                <w:szCs w:val="21"/>
              </w:rPr>
              <w:t>商务标</w:t>
            </w:r>
          </w:p>
          <w:p>
            <w:pPr>
              <w:adjustRightInd w:val="0"/>
              <w:snapToGrid w:val="0"/>
              <w:spacing w:line="460" w:lineRule="exact"/>
              <w:rPr>
                <w:rFonts w:ascii="宋体" w:hAnsi="宋体" w:cs="宋体"/>
                <w:color w:val="auto"/>
                <w:szCs w:val="21"/>
              </w:rPr>
            </w:pPr>
            <w:r>
              <w:rPr>
                <w:rFonts w:hint="eastAsia" w:ascii="宋体" w:hAnsi="宋体" w:cs="宋体"/>
                <w:color w:val="auto"/>
                <w:szCs w:val="21"/>
              </w:rPr>
              <w:t>评分标准</w:t>
            </w:r>
          </w:p>
          <w:p>
            <w:pPr>
              <w:adjustRightInd w:val="0"/>
              <w:snapToGrid w:val="0"/>
              <w:spacing w:line="460" w:lineRule="exact"/>
              <w:rPr>
                <w:rFonts w:ascii="宋体" w:hAnsi="宋体" w:cs="宋体"/>
                <w:color w:val="auto"/>
                <w:szCs w:val="21"/>
              </w:rPr>
            </w:pPr>
          </w:p>
        </w:tc>
        <w:tc>
          <w:tcPr>
            <w:tcW w:w="7634" w:type="dxa"/>
            <w:gridSpan w:val="3"/>
            <w:noWrap/>
          </w:tcPr>
          <w:p>
            <w:pPr>
              <w:adjustRightInd w:val="0"/>
              <w:snapToGrid w:val="0"/>
              <w:spacing w:line="460" w:lineRule="exact"/>
              <w:jc w:val="left"/>
              <w:rPr>
                <w:rFonts w:ascii="宋体" w:hAnsi="宋体" w:cs="宋体"/>
                <w:b/>
                <w:bCs/>
                <w:color w:val="auto"/>
                <w:spacing w:val="-4"/>
                <w:szCs w:val="21"/>
              </w:rPr>
            </w:pPr>
            <w:r>
              <w:rPr>
                <w:rFonts w:hint="eastAsia" w:ascii="宋体" w:hAnsi="宋体" w:cs="宋体"/>
                <w:b/>
                <w:bCs/>
                <w:color w:val="auto"/>
                <w:spacing w:val="-4"/>
                <w:szCs w:val="21"/>
              </w:rPr>
              <w:t>一、商务标得分确定方法</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(1)</w:t>
            </w:r>
            <w:r>
              <w:rPr>
                <w:rFonts w:ascii="宋体" w:hAnsi="宋体" w:cs="宋体"/>
                <w:color w:val="auto"/>
                <w:spacing w:val="-4"/>
                <w:szCs w:val="21"/>
              </w:rPr>
              <w:t>磋商报价有效范围：为磋商总报价低于或等于采购预算价，且经磋商小组审定为合理的磋商报价。磋商报价不在有效报价范围内的，报价无效，不再进行详细评审。</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(2)</w:t>
            </w:r>
            <w:r>
              <w:rPr>
                <w:rFonts w:ascii="宋体" w:hAnsi="宋体" w:cs="宋体"/>
                <w:color w:val="auto"/>
                <w:spacing w:val="-4"/>
                <w:szCs w:val="21"/>
              </w:rPr>
              <w:t>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pPr>
              <w:pStyle w:val="12"/>
              <w:adjustRightInd w:val="0"/>
              <w:snapToGrid w:val="0"/>
              <w:spacing w:line="460" w:lineRule="exact"/>
              <w:ind w:firstLine="303" w:firstLineChars="150"/>
              <w:jc w:val="left"/>
              <w:rPr>
                <w:rFonts w:hAnsi="宋体" w:cs="宋体"/>
                <w:color w:val="auto"/>
                <w:spacing w:val="-4"/>
                <w:szCs w:val="21"/>
              </w:rPr>
            </w:pPr>
            <w:r>
              <w:rPr>
                <w:rFonts w:hint="eastAsia" w:hAnsi="宋体" w:cs="宋体"/>
                <w:color w:val="auto"/>
                <w:spacing w:val="-4"/>
                <w:szCs w:val="21"/>
              </w:rPr>
              <w:t>(3)按《政府采购促进中小企业发展暂行办法》（财库[2011]181号）认定为小型和微型企业提供服务的（以供应商按竞争性磋商文件“投标文件格式”要求提供的《中小企业声明函》为评分依据），对其最后磋商报价给予10%的扣除，扣除后的价格为评审价，即评审价=最后磋商报价×（1-10%）；大中型企业与小型、微型企业组成联合体磋商，其中小型、微型企业的协议合同金额占到联合体协议合同总金额30%以上的，联合体最后磋商报价给予2%的扣除，扣除后的价格为评审价，即评审价=最后磋商报价×（1-2%）。</w:t>
            </w:r>
          </w:p>
          <w:p>
            <w:pPr>
              <w:pStyle w:val="12"/>
              <w:adjustRightInd w:val="0"/>
              <w:snapToGrid w:val="0"/>
              <w:spacing w:line="460" w:lineRule="exact"/>
              <w:ind w:firstLine="404" w:firstLineChars="200"/>
              <w:jc w:val="left"/>
              <w:rPr>
                <w:rFonts w:hAnsi="宋体" w:cs="宋体"/>
                <w:color w:val="auto"/>
                <w:spacing w:val="-4"/>
                <w:szCs w:val="21"/>
              </w:rPr>
            </w:pPr>
            <w:r>
              <w:rPr>
                <w:rFonts w:hint="eastAsia" w:hAnsi="宋体" w:cs="宋体"/>
                <w:color w:val="auto"/>
                <w:spacing w:val="-4"/>
                <w:szCs w:val="21"/>
              </w:rPr>
              <w:t>依据《关于政府采购支持监狱企业发展有关问题的通知》（财库[2014]68号），在政府采购活动中，监狱企业视同小型、微型企业。</w:t>
            </w:r>
          </w:p>
          <w:p>
            <w:pPr>
              <w:pStyle w:val="12"/>
              <w:adjustRightInd w:val="0"/>
              <w:snapToGrid w:val="0"/>
              <w:spacing w:line="460" w:lineRule="exact"/>
              <w:ind w:firstLine="404" w:firstLineChars="200"/>
              <w:jc w:val="left"/>
              <w:rPr>
                <w:rFonts w:hAnsi="宋体" w:cs="宋体"/>
                <w:color w:val="auto"/>
                <w:spacing w:val="-4"/>
                <w:szCs w:val="21"/>
              </w:rPr>
            </w:pPr>
            <w:r>
              <w:rPr>
                <w:rFonts w:hint="eastAsia" w:hAnsi="宋体" w:cs="宋体"/>
                <w:color w:val="auto"/>
                <w:spacing w:val="-4"/>
                <w:szCs w:val="21"/>
              </w:rPr>
              <w:t>依据《关于促进残疾人就业政府采购政策的通知》（财库[2017]141号），残疾人福利性单位参加政府采购活动的，视同小型、微型企业。</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除上述情况外，评审价=最后磋商报价。</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(4)</w:t>
            </w:r>
            <w:r>
              <w:rPr>
                <w:rFonts w:ascii="宋体" w:hAnsi="宋体" w:cs="宋体"/>
                <w:color w:val="auto"/>
                <w:spacing w:val="-4"/>
                <w:szCs w:val="21"/>
              </w:rPr>
              <w:t xml:space="preserve"> 以进入评标的最低的</w:t>
            </w:r>
            <w:r>
              <w:rPr>
                <w:rFonts w:hint="eastAsia" w:ascii="宋体" w:hAnsi="宋体" w:cs="宋体"/>
                <w:color w:val="auto"/>
                <w:spacing w:val="-4"/>
                <w:szCs w:val="21"/>
              </w:rPr>
              <w:t>评审价</w:t>
            </w:r>
            <w:r>
              <w:rPr>
                <w:rFonts w:ascii="宋体" w:hAnsi="宋体" w:cs="宋体"/>
                <w:color w:val="auto"/>
                <w:spacing w:val="-4"/>
                <w:szCs w:val="21"/>
              </w:rPr>
              <w:t>为</w:t>
            </w:r>
            <w:r>
              <w:rPr>
                <w:rFonts w:hint="eastAsia" w:ascii="宋体" w:hAnsi="宋体" w:cs="宋体"/>
                <w:color w:val="auto"/>
                <w:spacing w:val="-4"/>
                <w:szCs w:val="21"/>
                <w:lang w:val="en-US" w:eastAsia="zh-CN"/>
              </w:rPr>
              <w:t>30</w:t>
            </w:r>
            <w:r>
              <w:rPr>
                <w:rFonts w:ascii="宋体" w:hAnsi="宋体" w:cs="宋体"/>
                <w:color w:val="auto"/>
                <w:spacing w:val="-4"/>
                <w:szCs w:val="21"/>
              </w:rPr>
              <w:t>分。</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(5)</w:t>
            </w:r>
            <w:r>
              <w:rPr>
                <w:rFonts w:ascii="宋体" w:hAnsi="宋体" w:cs="宋体"/>
                <w:color w:val="auto"/>
                <w:spacing w:val="-4"/>
                <w:szCs w:val="21"/>
              </w:rPr>
              <w:t>某供应商</w:t>
            </w:r>
            <w:r>
              <w:rPr>
                <w:rFonts w:hint="eastAsia" w:ascii="宋体" w:hAnsi="宋体" w:cs="宋体"/>
                <w:color w:val="auto"/>
                <w:spacing w:val="-4"/>
                <w:szCs w:val="21"/>
              </w:rPr>
              <w:t>商</w:t>
            </w:r>
            <w:r>
              <w:rPr>
                <w:rFonts w:ascii="宋体" w:hAnsi="宋体" w:cs="宋体"/>
                <w:color w:val="auto"/>
                <w:spacing w:val="-4"/>
                <w:szCs w:val="21"/>
              </w:rPr>
              <w:t>务标得分= （有效供应商最低</w:t>
            </w:r>
            <w:r>
              <w:rPr>
                <w:rFonts w:hint="eastAsia" w:ascii="宋体" w:hAnsi="宋体" w:cs="宋体"/>
                <w:color w:val="auto"/>
                <w:spacing w:val="-4"/>
                <w:szCs w:val="21"/>
              </w:rPr>
              <w:t>评审</w:t>
            </w:r>
            <w:r>
              <w:rPr>
                <w:rFonts w:ascii="宋体" w:hAnsi="宋体" w:cs="宋体"/>
                <w:color w:val="auto"/>
                <w:spacing w:val="-4"/>
                <w:szCs w:val="21"/>
              </w:rPr>
              <w:t>价金额/某供应商</w:t>
            </w:r>
            <w:r>
              <w:rPr>
                <w:rFonts w:hint="eastAsia" w:ascii="宋体" w:hAnsi="宋体" w:cs="宋体"/>
                <w:color w:val="auto"/>
                <w:spacing w:val="-4"/>
                <w:szCs w:val="21"/>
              </w:rPr>
              <w:t>评审</w:t>
            </w:r>
            <w:r>
              <w:rPr>
                <w:rFonts w:ascii="宋体" w:hAnsi="宋体" w:cs="宋体"/>
                <w:color w:val="auto"/>
                <w:spacing w:val="-4"/>
                <w:szCs w:val="21"/>
              </w:rPr>
              <w:t>价金额)×</w:t>
            </w:r>
            <w:r>
              <w:rPr>
                <w:rFonts w:hint="eastAsia" w:ascii="宋体" w:hAnsi="宋体" w:cs="宋体"/>
                <w:color w:val="auto"/>
                <w:spacing w:val="-4"/>
                <w:szCs w:val="21"/>
                <w:lang w:eastAsia="zh-CN"/>
              </w:rPr>
              <w:t>3</w:t>
            </w:r>
            <w:r>
              <w:rPr>
                <w:rFonts w:hint="eastAsia" w:ascii="宋体" w:hAnsi="宋体" w:cs="宋体"/>
                <w:color w:val="auto"/>
                <w:spacing w:val="-4"/>
                <w:szCs w:val="21"/>
                <w:lang w:val="en-US" w:eastAsia="zh-CN"/>
              </w:rPr>
              <w:t>0</w:t>
            </w:r>
            <w:r>
              <w:rPr>
                <w:rFonts w:ascii="宋体" w:hAnsi="宋体" w:cs="宋体"/>
                <w:color w:val="auto"/>
                <w:spacing w:val="-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99" w:type="dxa"/>
            <w:gridSpan w:val="4"/>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b/>
                <w:bCs/>
                <w:color w:val="auto"/>
                <w:szCs w:val="21"/>
              </w:rPr>
              <w:t>供应商汇总得分</w:t>
            </w:r>
            <w:r>
              <w:rPr>
                <w:rFonts w:ascii="宋体" w:hAnsi="宋体" w:cs="宋体"/>
                <w:b/>
                <w:bCs/>
                <w:color w:val="auto"/>
                <w:szCs w:val="21"/>
              </w:rPr>
              <w:t>=该供应商的技术标得分+商务标得分</w:t>
            </w:r>
          </w:p>
        </w:tc>
      </w:tr>
    </w:tbl>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注：各项指标的分数计算四舍五入，取小数点后两位。</w:t>
      </w:r>
    </w:p>
    <w:p>
      <w:pPr>
        <w:rPr>
          <w:rFonts w:ascii="宋体" w:hAnsi="宋体" w:cs="宋体"/>
          <w:color w:val="auto"/>
        </w:rPr>
      </w:pPr>
    </w:p>
    <w:sectPr>
      <w:pgSz w:w="11906" w:h="16838"/>
      <w:pgMar w:top="1134" w:right="1286"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30"/>
        <w:tab w:val="clear" w:pos="4153"/>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30"/>
        <w:tab w:val="clear" w:pos="4153"/>
      </w:tabs>
    </w:pPr>
    <w:r>
      <w:rPr>
        <w:sz w:val="18"/>
      </w:rP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30"/>
        <w:tab w:val="clear" w:pos="4153"/>
      </w:tabs>
    </w:pPr>
    <w:r>
      <w:rPr>
        <w:sz w:val="18"/>
      </w:rPr>
      <w:pict>
        <v:shape id="_x0000_s1036" o:spid="_x0000_s103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30"/>
        <w:tab w:val="clear" w:pos="4153"/>
      </w:tabs>
    </w:pPr>
    <w:r>
      <w:rPr>
        <w:sz w:val="18"/>
      </w:rPr>
      <w:pict>
        <v:shape id="_x0000_s1037" o:spid="_x0000_s103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ascii="新宋体" w:hAnsi="新宋体" w:eastAsia="新宋体"/>
        <w:color w:val="FF00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20BCE"/>
    <w:multiLevelType w:val="singleLevel"/>
    <w:tmpl w:val="82A20BCE"/>
    <w:lvl w:ilvl="0" w:tentative="0">
      <w:start w:val="5"/>
      <w:numFmt w:val="decimal"/>
      <w:suff w:val="nothing"/>
      <w:lvlText w:val="%1、"/>
      <w:lvlJc w:val="left"/>
    </w:lvl>
  </w:abstractNum>
  <w:abstractNum w:abstractNumId="1">
    <w:nsid w:val="889159A9"/>
    <w:multiLevelType w:val="singleLevel"/>
    <w:tmpl w:val="889159A9"/>
    <w:lvl w:ilvl="0" w:tentative="0">
      <w:start w:val="2"/>
      <w:numFmt w:val="chineseCounting"/>
      <w:suff w:val="space"/>
      <w:lvlText w:val="第%1部分"/>
      <w:lvlJc w:val="left"/>
      <w:rPr>
        <w:rFonts w:hint="eastAsia"/>
      </w:rPr>
    </w:lvl>
  </w:abstractNum>
  <w:abstractNum w:abstractNumId="2">
    <w:nsid w:val="CAB68AB9"/>
    <w:multiLevelType w:val="singleLevel"/>
    <w:tmpl w:val="CAB68AB9"/>
    <w:lvl w:ilvl="0" w:tentative="0">
      <w:start w:val="2"/>
      <w:numFmt w:val="decimal"/>
      <w:suff w:val="nothing"/>
      <w:lvlText w:val="%1、"/>
      <w:lvlJc w:val="left"/>
    </w:lvl>
  </w:abstractNum>
  <w:abstractNum w:abstractNumId="3">
    <w:nsid w:val="3D2B74A0"/>
    <w:multiLevelType w:val="singleLevel"/>
    <w:tmpl w:val="3D2B74A0"/>
    <w:lvl w:ilvl="0" w:tentative="0">
      <w:start w:val="2"/>
      <w:numFmt w:val="decimal"/>
      <w:suff w:val="nothing"/>
      <w:lvlText w:val="%1、"/>
      <w:lvlJc w:val="left"/>
      <w:pPr>
        <w:ind w:left="840" w:firstLine="0"/>
      </w:pPr>
    </w:lvl>
  </w:abstractNum>
  <w:abstractNum w:abstractNumId="4">
    <w:nsid w:val="5F42F1EE"/>
    <w:multiLevelType w:val="singleLevel"/>
    <w:tmpl w:val="5F42F1EE"/>
    <w:lvl w:ilvl="0" w:tentative="0">
      <w:start w:val="2"/>
      <w:numFmt w:val="decimal"/>
      <w:suff w:val="nothing"/>
      <w:lvlText w:val="%1、"/>
      <w:lvlJc w:val="left"/>
      <w:pPr>
        <w:ind w:left="840" w:firstLine="0"/>
      </w:pPr>
    </w:lvl>
  </w:abstractNum>
  <w:abstractNum w:abstractNumId="5">
    <w:nsid w:val="6EDD6596"/>
    <w:multiLevelType w:val="singleLevel"/>
    <w:tmpl w:val="6EDD6596"/>
    <w:lvl w:ilvl="0" w:tentative="0">
      <w:start w:val="1"/>
      <w:numFmt w:val="decimal"/>
      <w:suff w:val="space"/>
      <w:lvlText w:val="%1."/>
      <w:lvlJc w:val="left"/>
      <w:pPr>
        <w:tabs>
          <w:tab w:val="left" w:pos="0"/>
        </w:tabs>
        <w:ind w:left="0" w:firstLine="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0B31BDC"/>
    <w:rsid w:val="0035245E"/>
    <w:rsid w:val="0039463A"/>
    <w:rsid w:val="00473FFB"/>
    <w:rsid w:val="00613004"/>
    <w:rsid w:val="009F027A"/>
    <w:rsid w:val="017D57AC"/>
    <w:rsid w:val="02F55FD1"/>
    <w:rsid w:val="03F37383"/>
    <w:rsid w:val="04050EF0"/>
    <w:rsid w:val="045C635D"/>
    <w:rsid w:val="05381879"/>
    <w:rsid w:val="05D265D4"/>
    <w:rsid w:val="06D66A3D"/>
    <w:rsid w:val="07462489"/>
    <w:rsid w:val="07C16B4E"/>
    <w:rsid w:val="07CB1DA8"/>
    <w:rsid w:val="07EE676D"/>
    <w:rsid w:val="0851621C"/>
    <w:rsid w:val="08C75BEE"/>
    <w:rsid w:val="095C0134"/>
    <w:rsid w:val="0B497D13"/>
    <w:rsid w:val="0D4B2AB7"/>
    <w:rsid w:val="0D752D75"/>
    <w:rsid w:val="0DBF59BB"/>
    <w:rsid w:val="0F456AA7"/>
    <w:rsid w:val="11B7753C"/>
    <w:rsid w:val="124E5706"/>
    <w:rsid w:val="18395518"/>
    <w:rsid w:val="19F13C44"/>
    <w:rsid w:val="1A94591E"/>
    <w:rsid w:val="1BD04C70"/>
    <w:rsid w:val="1C797CF9"/>
    <w:rsid w:val="1CE406FC"/>
    <w:rsid w:val="1D65251E"/>
    <w:rsid w:val="1D7F4512"/>
    <w:rsid w:val="1DC45F97"/>
    <w:rsid w:val="1E1E2FBA"/>
    <w:rsid w:val="1FA57A49"/>
    <w:rsid w:val="208075B2"/>
    <w:rsid w:val="20DE0698"/>
    <w:rsid w:val="228833AB"/>
    <w:rsid w:val="23241855"/>
    <w:rsid w:val="23DC3E1D"/>
    <w:rsid w:val="25E823BD"/>
    <w:rsid w:val="29597130"/>
    <w:rsid w:val="29904DF7"/>
    <w:rsid w:val="29AC2E79"/>
    <w:rsid w:val="29B50A74"/>
    <w:rsid w:val="2C232E15"/>
    <w:rsid w:val="2DFC7AE0"/>
    <w:rsid w:val="2E6C77D1"/>
    <w:rsid w:val="30846B84"/>
    <w:rsid w:val="30B31BDC"/>
    <w:rsid w:val="30C158BB"/>
    <w:rsid w:val="31186E0C"/>
    <w:rsid w:val="33131137"/>
    <w:rsid w:val="33171CEF"/>
    <w:rsid w:val="35795CCF"/>
    <w:rsid w:val="35DA12FD"/>
    <w:rsid w:val="36DD7CB0"/>
    <w:rsid w:val="38A974FA"/>
    <w:rsid w:val="38B97B68"/>
    <w:rsid w:val="39865CB0"/>
    <w:rsid w:val="3B950E7A"/>
    <w:rsid w:val="3BA07C64"/>
    <w:rsid w:val="3C1822F3"/>
    <w:rsid w:val="3D254044"/>
    <w:rsid w:val="3D654C40"/>
    <w:rsid w:val="3F5D5275"/>
    <w:rsid w:val="419D7435"/>
    <w:rsid w:val="42C34157"/>
    <w:rsid w:val="42E75953"/>
    <w:rsid w:val="44776719"/>
    <w:rsid w:val="450C4EF4"/>
    <w:rsid w:val="45590DDE"/>
    <w:rsid w:val="45A51744"/>
    <w:rsid w:val="468F11D6"/>
    <w:rsid w:val="471431E1"/>
    <w:rsid w:val="47B47C41"/>
    <w:rsid w:val="482F2F17"/>
    <w:rsid w:val="4B3928ED"/>
    <w:rsid w:val="4B90266C"/>
    <w:rsid w:val="4C07489B"/>
    <w:rsid w:val="4C676836"/>
    <w:rsid w:val="4D1E4483"/>
    <w:rsid w:val="4D2528E0"/>
    <w:rsid w:val="4DE23B7D"/>
    <w:rsid w:val="4F682522"/>
    <w:rsid w:val="50FD4621"/>
    <w:rsid w:val="51EB20A6"/>
    <w:rsid w:val="521341CA"/>
    <w:rsid w:val="5298067F"/>
    <w:rsid w:val="534C460B"/>
    <w:rsid w:val="54357466"/>
    <w:rsid w:val="5448258A"/>
    <w:rsid w:val="57191BB5"/>
    <w:rsid w:val="58C61C18"/>
    <w:rsid w:val="59505F71"/>
    <w:rsid w:val="5A687075"/>
    <w:rsid w:val="5B232C4F"/>
    <w:rsid w:val="5B6227C9"/>
    <w:rsid w:val="5D127ECC"/>
    <w:rsid w:val="5DE10F2F"/>
    <w:rsid w:val="612079ED"/>
    <w:rsid w:val="623E348B"/>
    <w:rsid w:val="62F739EE"/>
    <w:rsid w:val="633972C2"/>
    <w:rsid w:val="65B13EE0"/>
    <w:rsid w:val="66526DDA"/>
    <w:rsid w:val="680B5F52"/>
    <w:rsid w:val="69E87D81"/>
    <w:rsid w:val="6A0F288A"/>
    <w:rsid w:val="6B5D6E6A"/>
    <w:rsid w:val="6CC811FA"/>
    <w:rsid w:val="6F03610F"/>
    <w:rsid w:val="70125134"/>
    <w:rsid w:val="71AD4EBA"/>
    <w:rsid w:val="75920968"/>
    <w:rsid w:val="7619305C"/>
    <w:rsid w:val="76947F5D"/>
    <w:rsid w:val="76A341B5"/>
    <w:rsid w:val="780F7D4E"/>
    <w:rsid w:val="78406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unhideWhenUsed/>
    <w:qFormat/>
    <w:uiPriority w:val="0"/>
    <w:pPr>
      <w:keepNext/>
      <w:keepLines/>
      <w:spacing w:line="360" w:lineRule="auto"/>
      <w:outlineLvl w:val="2"/>
    </w:pPr>
    <w:rPr>
      <w:rFonts w:eastAsia="黑体"/>
      <w:b/>
      <w:bCs/>
      <w:szCs w:val="32"/>
    </w:rPr>
  </w:style>
  <w:style w:type="paragraph" w:styleId="6">
    <w:name w:val="heading 4"/>
    <w:basedOn w:val="1"/>
    <w:next w:val="1"/>
    <w:qFormat/>
    <w:uiPriority w:val="0"/>
    <w:pPr>
      <w:keepNext/>
      <w:keepLines/>
      <w:spacing w:before="280" w:after="290" w:line="376" w:lineRule="atLeast"/>
      <w:outlineLvl w:val="3"/>
    </w:pPr>
    <w:rPr>
      <w:rFonts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360" w:lineRule="auto"/>
      <w:ind w:right="-288" w:rightChars="-137" w:firstLine="420"/>
    </w:pPr>
    <w:rPr>
      <w:rFonts w:ascii="仿宋_GB2312" w:hAnsi="宋体" w:eastAsia="仿宋_GB2312"/>
      <w:bCs/>
      <w:sz w:val="28"/>
    </w:r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pPr>
    <w:rPr>
      <w:szCs w:val="20"/>
    </w:rPr>
  </w:style>
  <w:style w:type="paragraph" w:styleId="9">
    <w:name w:val="annotation text"/>
    <w:basedOn w:val="1"/>
    <w:qFormat/>
    <w:uiPriority w:val="99"/>
    <w:pPr>
      <w:jc w:val="left"/>
    </w:pPr>
  </w:style>
  <w:style w:type="paragraph" w:styleId="10">
    <w:name w:val="Body Text"/>
    <w:basedOn w:val="1"/>
    <w:qFormat/>
    <w:uiPriority w:val="0"/>
    <w:pPr>
      <w:spacing w:after="120"/>
    </w:pPr>
  </w:style>
  <w:style w:type="paragraph" w:styleId="11">
    <w:name w:val="toc 3"/>
    <w:basedOn w:val="1"/>
    <w:next w:val="1"/>
    <w:qFormat/>
    <w:uiPriority w:val="0"/>
    <w:pPr>
      <w:ind w:left="840" w:leftChars="400"/>
    </w:pPr>
  </w:style>
  <w:style w:type="paragraph" w:styleId="12">
    <w:name w:val="Plain Text"/>
    <w:basedOn w:val="1"/>
    <w:next w:val="7"/>
    <w:qFormat/>
    <w:uiPriority w:val="0"/>
    <w:rPr>
      <w:rFonts w:ascii="宋体" w:hAnsi="Courier New"/>
      <w:szCs w:val="20"/>
    </w:rPr>
  </w:style>
  <w:style w:type="paragraph" w:styleId="13">
    <w:name w:val="Balloon Text"/>
    <w:basedOn w:val="1"/>
    <w:link w:val="3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footnote text"/>
    <w:basedOn w:val="1"/>
    <w:qFormat/>
    <w:uiPriority w:val="0"/>
    <w:pPr>
      <w:snapToGrid w:val="0"/>
      <w:jc w:val="left"/>
    </w:pPr>
    <w:rPr>
      <w:sz w:val="18"/>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100" w:afterAutospacing="1"/>
      <w:jc w:val="left"/>
    </w:pPr>
    <w:rPr>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character" w:styleId="24">
    <w:name w:val="footnote reference"/>
    <w:basedOn w:val="22"/>
    <w:qFormat/>
    <w:uiPriority w:val="0"/>
    <w:rPr>
      <w:vertAlign w:val="superscript"/>
    </w:rPr>
  </w:style>
  <w:style w:type="paragraph" w:customStyle="1" w:styleId="2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正文 + Arial"/>
    <w:basedOn w:val="1"/>
    <w:qFormat/>
    <w:uiPriority w:val="0"/>
    <w:pPr>
      <w:spacing w:line="400" w:lineRule="exact"/>
    </w:pPr>
    <w:rPr>
      <w:rFonts w:ascii="宋体" w:hAnsi="宋体"/>
      <w:szCs w:val="21"/>
    </w:rPr>
  </w:style>
  <w:style w:type="paragraph" w:customStyle="1" w:styleId="28">
    <w:name w:val="列出段落1"/>
    <w:basedOn w:val="1"/>
    <w:qFormat/>
    <w:uiPriority w:val="1"/>
    <w:pPr>
      <w:ind w:left="352" w:firstLine="420"/>
    </w:pPr>
  </w:style>
  <w:style w:type="paragraph" w:customStyle="1" w:styleId="29">
    <w:name w:val="Table Paragraph"/>
    <w:basedOn w:val="1"/>
    <w:qFormat/>
    <w:uiPriority w:val="1"/>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customStyle="1" w:styleId="3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
    <w:name w:val="正文_0"/>
    <w:qFormat/>
    <w:uiPriority w:val="0"/>
    <w:pPr>
      <w:widowControl w:val="0"/>
      <w:jc w:val="both"/>
    </w:pPr>
    <w:rPr>
      <w:rFonts w:ascii="Cambria" w:hAnsi="Cambria" w:eastAsia="宋体" w:cs="Times New Roman"/>
      <w:kern w:val="2"/>
      <w:sz w:val="21"/>
      <w:szCs w:val="22"/>
      <w:lang w:val="en-US" w:eastAsia="zh-CN" w:bidi="ar-SA"/>
    </w:rPr>
  </w:style>
  <w:style w:type="paragraph" w:customStyle="1" w:styleId="37">
    <w:name w:val="Normal_0"/>
    <w:qFormat/>
    <w:uiPriority w:val="0"/>
    <w:pPr>
      <w:widowControl w:val="0"/>
      <w:jc w:val="both"/>
    </w:pPr>
    <w:rPr>
      <w:rFonts w:ascii="Times New Roman" w:hAnsi="Times New Roman" w:eastAsia="Times New Roman" w:cs="Times New Roman"/>
      <w:sz w:val="21"/>
      <w:szCs w:val="22"/>
      <w:lang w:val="en-US" w:eastAsia="zh-CN" w:bidi="ar-SA"/>
    </w:rPr>
  </w:style>
  <w:style w:type="character" w:customStyle="1" w:styleId="38">
    <w:name w:val="批注框文本 Char"/>
    <w:basedOn w:val="22"/>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4" textRotate="1"/>
    <customShpInfo spid="_x0000_s1036" textRotate="1"/>
    <customShpInfo spid="_x0000_s1037" textRotate="1"/>
    <customShpInfo spid="_x0000_s10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95</Pages>
  <Words>7555</Words>
  <Characters>43064</Characters>
  <Lines>358</Lines>
  <Paragraphs>101</Paragraphs>
  <TotalTime>8</TotalTime>
  <ScaleCrop>false</ScaleCrop>
  <LinksUpToDate>false</LinksUpToDate>
  <CharactersWithSpaces>50518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2020-07-23T07:57:00Z</dcterms:created>
  <dc:creator>零度1402192025</dc:creator>
  <cp:lastModifiedBy>风云</cp:lastModifiedBy>
  <cp:lastPrinted>2020-08-05T06:55:00Z</cp:lastPrinted>
  <dcterms:modified xsi:type="dcterms:W3CDTF">2020-12-09T11:41:15Z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