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31" w:beforeLines="100" w:after="165" w:afterLines="50" w:line="360" w:lineRule="auto"/>
        <w:jc w:val="center"/>
        <w:rPr>
          <w:rFonts w:hint="eastAsia" w:ascii="宋体" w:hAnsi="宋体" w:eastAsia="宋体" w:cs="宋体"/>
          <w:b/>
          <w:sz w:val="36"/>
          <w:szCs w:val="36"/>
          <w:lang w:eastAsia="zh-CN"/>
        </w:rPr>
      </w:pPr>
      <w:r>
        <w:rPr>
          <w:rFonts w:hint="eastAsia" w:ascii="宋体" w:hAnsi="宋体" w:eastAsia="宋体" w:cs="宋体"/>
          <w:b/>
          <w:sz w:val="44"/>
          <w:szCs w:val="44"/>
          <w:lang w:eastAsia="zh-CN"/>
        </w:rPr>
        <w:t>预算联网监督系统二期项目软件开发</w:t>
      </w:r>
    </w:p>
    <w:p>
      <w:pPr>
        <w:spacing w:before="331" w:beforeLines="100" w:after="165" w:afterLines="50" w:line="360" w:lineRule="auto"/>
        <w:jc w:val="center"/>
        <w:rPr>
          <w:rFonts w:hint="eastAsia" w:ascii="宋体" w:hAnsi="宋体" w:eastAsia="宋体" w:cs="宋体"/>
          <w:b/>
          <w:sz w:val="72"/>
          <w:szCs w:val="72"/>
        </w:rPr>
      </w:pPr>
    </w:p>
    <w:p>
      <w:pPr>
        <w:spacing w:before="331" w:beforeLines="100" w:after="165" w:afterLines="50" w:line="360" w:lineRule="auto"/>
        <w:jc w:val="center"/>
        <w:rPr>
          <w:rFonts w:hint="eastAsia" w:ascii="宋体" w:hAnsi="宋体" w:eastAsia="宋体" w:cs="宋体"/>
          <w:b/>
          <w:sz w:val="72"/>
          <w:szCs w:val="72"/>
        </w:rPr>
      </w:pPr>
      <w:r>
        <w:rPr>
          <w:rFonts w:hint="eastAsia" w:ascii="宋体" w:hAnsi="宋体" w:eastAsia="宋体" w:cs="宋体"/>
          <w:b/>
          <w:sz w:val="72"/>
          <w:szCs w:val="72"/>
        </w:rPr>
        <w:t>竞争性磋商</w:t>
      </w:r>
      <w:r>
        <w:rPr>
          <w:rFonts w:hint="eastAsia" w:ascii="宋体" w:hAnsi="宋体" w:eastAsia="宋体" w:cs="宋体"/>
          <w:b/>
          <w:sz w:val="72"/>
          <w:szCs w:val="72"/>
          <w:lang w:val="en-US" w:eastAsia="zh-CN"/>
        </w:rPr>
        <w:t>采购</w:t>
      </w:r>
      <w:r>
        <w:rPr>
          <w:rFonts w:hint="eastAsia" w:ascii="宋体" w:hAnsi="宋体" w:eastAsia="宋体" w:cs="宋体"/>
          <w:b/>
          <w:sz w:val="72"/>
          <w:szCs w:val="72"/>
        </w:rPr>
        <w:t>文件</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项目编号：CZZC2020-C3-00005-GXDT</w:t>
      </w:r>
    </w:p>
    <w:p>
      <w:pPr>
        <w:pStyle w:val="43"/>
        <w:rPr>
          <w:rFonts w:hint="eastAsia" w:ascii="宋体" w:hAnsi="宋体" w:eastAsia="宋体" w:cs="宋体"/>
          <w:lang w:val="en-US" w:eastAsia="zh-CN"/>
        </w:rPr>
      </w:pPr>
      <w:r>
        <w:rPr>
          <w:rFonts w:hint="eastAsia" w:ascii="宋体" w:hAnsi="宋体" w:eastAsia="宋体" w:cs="宋体"/>
          <w:b/>
          <w:sz w:val="32"/>
          <w:szCs w:val="32"/>
          <w:lang w:val="en-US" w:eastAsia="zh-CN"/>
        </w:rPr>
        <w:t xml:space="preserve">            采购计划文号：崇左采备【2020】2020号-001</w:t>
      </w:r>
    </w:p>
    <w:p>
      <w:pPr>
        <w:spacing w:line="360" w:lineRule="auto"/>
        <w:rPr>
          <w:rFonts w:hint="eastAsia" w:ascii="宋体" w:hAnsi="宋体" w:eastAsia="宋体" w:cs="宋体"/>
          <w:b/>
          <w:sz w:val="36"/>
          <w:szCs w:val="32"/>
        </w:rPr>
      </w:pPr>
    </w:p>
    <w:p>
      <w:pPr>
        <w:spacing w:line="360" w:lineRule="auto"/>
        <w:rPr>
          <w:rFonts w:hint="eastAsia" w:ascii="宋体" w:hAnsi="宋体" w:eastAsia="宋体" w:cs="宋体"/>
          <w:b/>
          <w:sz w:val="36"/>
          <w:szCs w:val="32"/>
        </w:rPr>
      </w:pPr>
    </w:p>
    <w:p>
      <w:pPr>
        <w:spacing w:line="360" w:lineRule="auto"/>
        <w:rPr>
          <w:rFonts w:hint="eastAsia" w:ascii="宋体" w:hAnsi="宋体" w:eastAsia="宋体" w:cs="宋体"/>
          <w:b/>
          <w:sz w:val="36"/>
          <w:szCs w:val="32"/>
        </w:rPr>
      </w:pPr>
    </w:p>
    <w:p>
      <w:pPr>
        <w:spacing w:line="360" w:lineRule="auto"/>
        <w:rPr>
          <w:rFonts w:hint="eastAsia" w:ascii="宋体" w:hAnsi="宋体" w:eastAsia="宋体" w:cs="宋体"/>
          <w:b/>
          <w:sz w:val="36"/>
          <w:szCs w:val="32"/>
        </w:rPr>
      </w:pPr>
    </w:p>
    <w:p>
      <w:pPr>
        <w:pStyle w:val="2"/>
        <w:ind w:firstLine="0" w:firstLineChars="0"/>
        <w:rPr>
          <w:rFonts w:hint="eastAsia" w:ascii="宋体" w:hAnsi="宋体" w:eastAsia="宋体" w:cs="宋体"/>
        </w:rPr>
      </w:pPr>
    </w:p>
    <w:p>
      <w:pPr>
        <w:rPr>
          <w:rFonts w:hint="eastAsia" w:ascii="宋体" w:hAnsi="宋体" w:eastAsia="宋体" w:cs="宋体"/>
        </w:rPr>
      </w:pPr>
    </w:p>
    <w:p>
      <w:pPr>
        <w:spacing w:line="360" w:lineRule="auto"/>
        <w:rPr>
          <w:rFonts w:hint="eastAsia" w:ascii="宋体" w:hAnsi="宋体" w:eastAsia="宋体" w:cs="宋体"/>
          <w:b/>
          <w:sz w:val="36"/>
          <w:szCs w:val="32"/>
        </w:rPr>
      </w:pPr>
    </w:p>
    <w:p>
      <w:pPr>
        <w:spacing w:line="360" w:lineRule="auto"/>
        <w:rPr>
          <w:rFonts w:hint="eastAsia" w:ascii="宋体" w:hAnsi="宋体" w:eastAsia="宋体" w:cs="宋体"/>
          <w:b/>
          <w:sz w:val="36"/>
          <w:szCs w:val="32"/>
        </w:rPr>
      </w:pPr>
    </w:p>
    <w:p>
      <w:pPr>
        <w:spacing w:line="480" w:lineRule="auto"/>
        <w:rPr>
          <w:rFonts w:hint="eastAsia" w:ascii="宋体" w:hAnsi="宋体" w:eastAsia="宋体" w:cs="宋体"/>
          <w:b/>
          <w:sz w:val="36"/>
          <w:szCs w:val="32"/>
        </w:rPr>
      </w:pPr>
      <w:r>
        <w:rPr>
          <w:rFonts w:hint="eastAsia" w:ascii="宋体" w:hAnsi="宋体" w:eastAsia="宋体" w:cs="宋体"/>
          <w:b/>
          <w:sz w:val="32"/>
          <w:szCs w:val="32"/>
        </w:rPr>
        <w:t>采   购   人：崇左市人民代表大会常务委员会办公室</w:t>
      </w:r>
    </w:p>
    <w:p>
      <w:pPr>
        <w:spacing w:line="480" w:lineRule="auto"/>
        <w:rPr>
          <w:rFonts w:hint="eastAsia" w:ascii="宋体" w:hAnsi="宋体" w:eastAsia="宋体" w:cs="宋体"/>
          <w:b/>
          <w:sz w:val="32"/>
          <w:szCs w:val="32"/>
        </w:rPr>
      </w:pPr>
      <w:r>
        <w:rPr>
          <w:rFonts w:hint="eastAsia" w:ascii="宋体" w:hAnsi="宋体" w:eastAsia="宋体" w:cs="宋体"/>
          <w:b/>
          <w:sz w:val="32"/>
          <w:szCs w:val="32"/>
        </w:rPr>
        <w:t>采购代理机构：广西大通建设监理咨询管理有限公司</w:t>
      </w:r>
    </w:p>
    <w:p>
      <w:pPr>
        <w:spacing w:line="480" w:lineRule="auto"/>
        <w:jc w:val="center"/>
        <w:rPr>
          <w:rFonts w:hint="eastAsia" w:ascii="宋体" w:hAnsi="宋体" w:eastAsia="宋体" w:cs="宋体"/>
          <w:b/>
          <w:sz w:val="32"/>
          <w:szCs w:val="32"/>
        </w:rPr>
      </w:pPr>
      <w:r>
        <w:rPr>
          <w:rFonts w:hint="eastAsia" w:ascii="宋体" w:hAnsi="宋体" w:eastAsia="宋体" w:cs="宋体"/>
          <w:b/>
          <w:sz w:val="32"/>
          <w:szCs w:val="32"/>
        </w:rPr>
        <w:t xml:space="preserve">     2020年1</w:t>
      </w:r>
      <w:r>
        <w:rPr>
          <w:rFonts w:hint="eastAsia" w:ascii="宋体" w:hAnsi="宋体" w:eastAsia="宋体" w:cs="宋体"/>
          <w:b/>
          <w:sz w:val="32"/>
          <w:szCs w:val="32"/>
          <w:lang w:val="en-US" w:eastAsia="zh-CN"/>
        </w:rPr>
        <w:t>2</w:t>
      </w:r>
      <w:r>
        <w:rPr>
          <w:rFonts w:hint="eastAsia" w:ascii="宋体" w:hAnsi="宋体" w:eastAsia="宋体" w:cs="宋体"/>
          <w:b/>
          <w:sz w:val="32"/>
          <w:szCs w:val="32"/>
        </w:rPr>
        <w:t>月</w:t>
      </w:r>
    </w:p>
    <w:p>
      <w:pPr>
        <w:pStyle w:val="20"/>
        <w:spacing w:line="480" w:lineRule="auto"/>
        <w:ind w:firstLine="1606" w:firstLineChars="500"/>
        <w:rPr>
          <w:rFonts w:hint="eastAsia" w:ascii="宋体" w:hAnsi="宋体" w:eastAsia="宋体" w:cs="宋体"/>
          <w:b/>
          <w:sz w:val="32"/>
          <w:szCs w:val="32"/>
        </w:rPr>
      </w:pPr>
    </w:p>
    <w:p>
      <w:pPr>
        <w:pStyle w:val="20"/>
        <w:spacing w:line="480" w:lineRule="auto"/>
        <w:ind w:firstLine="1606" w:firstLineChars="500"/>
        <w:rPr>
          <w:rFonts w:hint="eastAsia" w:ascii="宋体" w:hAnsi="宋体" w:eastAsia="宋体" w:cs="宋体"/>
          <w:b/>
          <w:sz w:val="32"/>
          <w:szCs w:val="32"/>
        </w:rPr>
      </w:pPr>
    </w:p>
    <w:p>
      <w:pPr>
        <w:pStyle w:val="20"/>
        <w:spacing w:line="480" w:lineRule="auto"/>
        <w:ind w:firstLine="1606" w:firstLineChars="500"/>
        <w:rPr>
          <w:rFonts w:hint="eastAsia" w:ascii="宋体" w:hAnsi="宋体" w:eastAsia="宋体" w:cs="宋体"/>
          <w:b/>
          <w:sz w:val="32"/>
          <w:szCs w:val="32"/>
        </w:rPr>
        <w:sectPr>
          <w:footerReference r:id="rId4" w:type="first"/>
          <w:headerReference r:id="rId3" w:type="default"/>
          <w:pgSz w:w="11906" w:h="16838"/>
          <w:pgMar w:top="1440" w:right="1469" w:bottom="1440" w:left="1469" w:header="720" w:footer="720" w:gutter="0"/>
          <w:cols w:space="720" w:num="1"/>
          <w:titlePg/>
          <w:docGrid w:type="lines" w:linePitch="331" w:charSpace="0"/>
        </w:sectPr>
      </w:pPr>
    </w:p>
    <w:p>
      <w:pPr>
        <w:pStyle w:val="20"/>
        <w:spacing w:line="480" w:lineRule="auto"/>
        <w:rPr>
          <w:rFonts w:hint="eastAsia" w:ascii="宋体" w:hAnsi="宋体" w:eastAsia="宋体" w:cs="宋体"/>
          <w:b/>
          <w:sz w:val="32"/>
          <w:szCs w:val="32"/>
        </w:rPr>
      </w:pPr>
    </w:p>
    <w:p>
      <w:pPr>
        <w:spacing w:line="360" w:lineRule="auto"/>
        <w:jc w:val="center"/>
        <w:rPr>
          <w:rFonts w:hint="eastAsia" w:ascii="宋体" w:hAnsi="宋体" w:eastAsia="宋体" w:cs="宋体"/>
          <w:b/>
          <w:bCs/>
          <w:spacing w:val="-8"/>
          <w:sz w:val="52"/>
          <w:szCs w:val="36"/>
        </w:rPr>
      </w:pPr>
      <w:r>
        <w:rPr>
          <w:rFonts w:hint="eastAsia" w:ascii="宋体" w:hAnsi="宋体" w:eastAsia="宋体" w:cs="宋体"/>
          <w:b/>
          <w:bCs/>
          <w:spacing w:val="-8"/>
          <w:sz w:val="52"/>
          <w:szCs w:val="36"/>
        </w:rPr>
        <w:t>目录</w:t>
      </w:r>
    </w:p>
    <w:sdt>
      <w:sdtPr>
        <w:rPr>
          <w:rFonts w:ascii="宋体" w:hAnsi="宋体" w:eastAsia="宋体" w:cs="Times New Roman"/>
          <w:kern w:val="2"/>
          <w:sz w:val="21"/>
          <w:lang w:val="en-US" w:eastAsia="zh-CN" w:bidi="ar-SA"/>
        </w:rPr>
        <w:id w:val="147477499"/>
        <w15:color w:val="DBDBDB"/>
        <w:docPartObj>
          <w:docPartGallery w:val="Table of Contents"/>
          <w:docPartUnique/>
        </w:docPartObj>
      </w:sdtPr>
      <w:sdtEndPr>
        <w:rPr>
          <w:rFonts w:hint="eastAsia" w:ascii="宋体" w:hAnsi="宋体" w:eastAsia="宋体" w:cs="宋体"/>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p>
        <w:p>
          <w:pPr>
            <w:pStyle w:val="121"/>
            <w:tabs>
              <w:tab w:val="right" w:leader="dot" w:pos="9638"/>
            </w:tabs>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p>
        <w:p>
          <w:pPr>
            <w:pStyle w:val="121"/>
            <w:keepNext w:val="0"/>
            <w:keepLines w:val="0"/>
            <w:pageBreakBefore w:val="0"/>
            <w:widowControl/>
            <w:tabs>
              <w:tab w:val="right" w:leader="dot" w:pos="9638"/>
            </w:tabs>
            <w:kinsoku/>
            <w:wordWrap/>
            <w:overflowPunct/>
            <w:topLinePunct w:val="0"/>
            <w:autoSpaceDE/>
            <w:autoSpaceDN/>
            <w:bidi w:val="0"/>
            <w:adjustRightInd/>
            <w:snapToGrid/>
            <w:spacing w:line="480" w:lineRule="auto"/>
            <w:textAlignment w:val="auto"/>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_Toc2649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第一章   供应商须知及前附表</w:t>
          </w:r>
          <w:r>
            <w:rPr>
              <w:sz w:val="28"/>
              <w:szCs w:val="28"/>
            </w:rPr>
            <w:tab/>
          </w:r>
          <w:r>
            <w:rPr>
              <w:sz w:val="28"/>
              <w:szCs w:val="28"/>
            </w:rPr>
            <w:fldChar w:fldCharType="begin"/>
          </w:r>
          <w:r>
            <w:rPr>
              <w:sz w:val="28"/>
              <w:szCs w:val="28"/>
            </w:rPr>
            <w:instrText xml:space="preserve"> PAGEREF _Toc2649 </w:instrText>
          </w:r>
          <w:r>
            <w:rPr>
              <w:sz w:val="28"/>
              <w:szCs w:val="28"/>
            </w:rPr>
            <w:fldChar w:fldCharType="separate"/>
          </w:r>
          <w:r>
            <w:rPr>
              <w:sz w:val="28"/>
              <w:szCs w:val="28"/>
            </w:rPr>
            <w:t>3</w:t>
          </w:r>
          <w:r>
            <w:rPr>
              <w:sz w:val="28"/>
              <w:szCs w:val="28"/>
            </w:rPr>
            <w:fldChar w:fldCharType="end"/>
          </w:r>
          <w:r>
            <w:rPr>
              <w:rFonts w:hint="eastAsia" w:ascii="宋体" w:hAnsi="宋体" w:eastAsia="宋体" w:cs="宋体"/>
              <w:sz w:val="28"/>
              <w:szCs w:val="28"/>
            </w:rPr>
            <w:fldChar w:fldCharType="end"/>
          </w:r>
        </w:p>
        <w:p>
          <w:pPr>
            <w:pStyle w:val="121"/>
            <w:keepNext w:val="0"/>
            <w:keepLines w:val="0"/>
            <w:pageBreakBefore w:val="0"/>
            <w:widowControl/>
            <w:tabs>
              <w:tab w:val="right" w:leader="dot" w:pos="9638"/>
            </w:tabs>
            <w:kinsoku/>
            <w:wordWrap/>
            <w:overflowPunct/>
            <w:topLinePunct w:val="0"/>
            <w:autoSpaceDE/>
            <w:autoSpaceDN/>
            <w:bidi w:val="0"/>
            <w:adjustRightInd/>
            <w:snapToGrid/>
            <w:spacing w:line="480" w:lineRule="auto"/>
            <w:textAlignment w:val="auto"/>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_Toc30464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第二章 项目需求和说明</w:t>
          </w:r>
          <w:r>
            <w:rPr>
              <w:sz w:val="28"/>
              <w:szCs w:val="28"/>
            </w:rPr>
            <w:tab/>
          </w:r>
          <w:r>
            <w:rPr>
              <w:sz w:val="28"/>
              <w:szCs w:val="28"/>
            </w:rPr>
            <w:fldChar w:fldCharType="begin"/>
          </w:r>
          <w:r>
            <w:rPr>
              <w:sz w:val="28"/>
              <w:szCs w:val="28"/>
            </w:rPr>
            <w:instrText xml:space="preserve"> PAGEREF _Toc30464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sz w:val="28"/>
              <w:szCs w:val="28"/>
            </w:rPr>
            <w:fldChar w:fldCharType="end"/>
          </w:r>
        </w:p>
        <w:p>
          <w:pPr>
            <w:pStyle w:val="121"/>
            <w:keepNext w:val="0"/>
            <w:keepLines w:val="0"/>
            <w:pageBreakBefore w:val="0"/>
            <w:widowControl/>
            <w:tabs>
              <w:tab w:val="right" w:leader="dot" w:pos="9638"/>
            </w:tabs>
            <w:kinsoku/>
            <w:wordWrap/>
            <w:overflowPunct/>
            <w:topLinePunct w:val="0"/>
            <w:autoSpaceDE/>
            <w:autoSpaceDN/>
            <w:bidi w:val="0"/>
            <w:adjustRightInd/>
            <w:snapToGrid/>
            <w:spacing w:line="480" w:lineRule="auto"/>
            <w:textAlignment w:val="auto"/>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_Toc22148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第三章  合同条款及格式</w:t>
          </w:r>
          <w:r>
            <w:rPr>
              <w:sz w:val="28"/>
              <w:szCs w:val="28"/>
            </w:rPr>
            <w:tab/>
          </w:r>
          <w:r>
            <w:rPr>
              <w:sz w:val="28"/>
              <w:szCs w:val="28"/>
            </w:rPr>
            <w:fldChar w:fldCharType="begin"/>
          </w:r>
          <w:r>
            <w:rPr>
              <w:sz w:val="28"/>
              <w:szCs w:val="28"/>
            </w:rPr>
            <w:instrText xml:space="preserve"> PAGEREF _Toc22148 </w:instrText>
          </w:r>
          <w:r>
            <w:rPr>
              <w:sz w:val="28"/>
              <w:szCs w:val="28"/>
            </w:rPr>
            <w:fldChar w:fldCharType="separate"/>
          </w:r>
          <w:r>
            <w:rPr>
              <w:sz w:val="28"/>
              <w:szCs w:val="28"/>
            </w:rPr>
            <w:t>29</w:t>
          </w:r>
          <w:r>
            <w:rPr>
              <w:sz w:val="28"/>
              <w:szCs w:val="28"/>
            </w:rPr>
            <w:fldChar w:fldCharType="end"/>
          </w:r>
          <w:r>
            <w:rPr>
              <w:rFonts w:hint="eastAsia" w:ascii="宋体" w:hAnsi="宋体" w:eastAsia="宋体" w:cs="宋体"/>
              <w:sz w:val="28"/>
              <w:szCs w:val="28"/>
            </w:rPr>
            <w:fldChar w:fldCharType="end"/>
          </w:r>
        </w:p>
        <w:p>
          <w:pPr>
            <w:pStyle w:val="121"/>
            <w:keepNext w:val="0"/>
            <w:keepLines w:val="0"/>
            <w:pageBreakBefore w:val="0"/>
            <w:widowControl/>
            <w:tabs>
              <w:tab w:val="right" w:leader="dot" w:pos="9638"/>
            </w:tabs>
            <w:kinsoku/>
            <w:wordWrap/>
            <w:overflowPunct/>
            <w:topLinePunct w:val="0"/>
            <w:autoSpaceDE/>
            <w:autoSpaceDN/>
            <w:bidi w:val="0"/>
            <w:adjustRightInd/>
            <w:snapToGrid/>
            <w:spacing w:line="480" w:lineRule="auto"/>
            <w:textAlignment w:val="auto"/>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_Toc13233 </w:instrText>
          </w:r>
          <w:r>
            <w:rPr>
              <w:rFonts w:hint="eastAsia" w:ascii="宋体" w:hAnsi="宋体" w:eastAsia="宋体" w:cs="宋体"/>
              <w:sz w:val="28"/>
              <w:szCs w:val="28"/>
            </w:rPr>
            <w:fldChar w:fldCharType="separate"/>
          </w:r>
          <w:r>
            <w:rPr>
              <w:rFonts w:hint="eastAsia" w:ascii="宋体" w:hAnsi="宋体" w:eastAsia="宋体" w:cs="宋体"/>
              <w:sz w:val="28"/>
              <w:szCs w:val="28"/>
            </w:rPr>
            <w:t>第四章 评审办法</w:t>
          </w:r>
          <w:r>
            <w:rPr>
              <w:sz w:val="28"/>
              <w:szCs w:val="28"/>
            </w:rPr>
            <w:tab/>
          </w:r>
          <w:r>
            <w:rPr>
              <w:sz w:val="28"/>
              <w:szCs w:val="28"/>
            </w:rPr>
            <w:fldChar w:fldCharType="begin"/>
          </w:r>
          <w:r>
            <w:rPr>
              <w:sz w:val="28"/>
              <w:szCs w:val="28"/>
            </w:rPr>
            <w:instrText xml:space="preserve"> PAGEREF _Toc13233 </w:instrText>
          </w:r>
          <w:r>
            <w:rPr>
              <w:sz w:val="28"/>
              <w:szCs w:val="28"/>
            </w:rPr>
            <w:fldChar w:fldCharType="separate"/>
          </w:r>
          <w:r>
            <w:rPr>
              <w:sz w:val="28"/>
              <w:szCs w:val="28"/>
            </w:rPr>
            <w:t>34</w:t>
          </w:r>
          <w:r>
            <w:rPr>
              <w:sz w:val="28"/>
              <w:szCs w:val="28"/>
            </w:rPr>
            <w:fldChar w:fldCharType="end"/>
          </w:r>
          <w:r>
            <w:rPr>
              <w:rFonts w:hint="eastAsia" w:ascii="宋体" w:hAnsi="宋体" w:eastAsia="宋体" w:cs="宋体"/>
              <w:sz w:val="28"/>
              <w:szCs w:val="28"/>
            </w:rPr>
            <w:fldChar w:fldCharType="end"/>
          </w:r>
        </w:p>
        <w:p>
          <w:pPr>
            <w:pStyle w:val="121"/>
            <w:keepNext w:val="0"/>
            <w:keepLines w:val="0"/>
            <w:pageBreakBefore w:val="0"/>
            <w:widowControl/>
            <w:tabs>
              <w:tab w:val="right" w:leader="dot" w:pos="9638"/>
            </w:tabs>
            <w:kinsoku/>
            <w:wordWrap/>
            <w:overflowPunct/>
            <w:topLinePunct w:val="0"/>
            <w:autoSpaceDE/>
            <w:autoSpaceDN/>
            <w:bidi w:val="0"/>
            <w:adjustRightInd/>
            <w:snapToGrid/>
            <w:spacing w:line="480" w:lineRule="auto"/>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_Toc23136 </w:instrText>
          </w:r>
          <w:r>
            <w:rPr>
              <w:rFonts w:hint="eastAsia" w:ascii="宋体" w:hAnsi="宋体" w:eastAsia="宋体" w:cs="宋体"/>
              <w:sz w:val="28"/>
              <w:szCs w:val="28"/>
            </w:rPr>
            <w:fldChar w:fldCharType="separate"/>
          </w:r>
          <w:r>
            <w:rPr>
              <w:rFonts w:hint="eastAsia" w:ascii="宋体" w:hAnsi="宋体" w:eastAsia="宋体" w:cs="宋体"/>
              <w:sz w:val="28"/>
              <w:szCs w:val="28"/>
            </w:rPr>
            <w:t>第五章  响应文件（格式）</w:t>
          </w:r>
          <w:r>
            <w:rPr>
              <w:sz w:val="28"/>
              <w:szCs w:val="28"/>
            </w:rPr>
            <w:tab/>
          </w:r>
          <w:r>
            <w:rPr>
              <w:sz w:val="28"/>
              <w:szCs w:val="28"/>
            </w:rPr>
            <w:fldChar w:fldCharType="begin"/>
          </w:r>
          <w:r>
            <w:rPr>
              <w:sz w:val="28"/>
              <w:szCs w:val="28"/>
            </w:rPr>
            <w:instrText xml:space="preserve"> PAGEREF _Toc23136 </w:instrText>
          </w:r>
          <w:r>
            <w:rPr>
              <w:sz w:val="28"/>
              <w:szCs w:val="28"/>
            </w:rPr>
            <w:fldChar w:fldCharType="separate"/>
          </w:r>
          <w:r>
            <w:rPr>
              <w:sz w:val="28"/>
              <w:szCs w:val="28"/>
            </w:rPr>
            <w:t>38</w:t>
          </w:r>
          <w:r>
            <w:rPr>
              <w:sz w:val="28"/>
              <w:szCs w:val="28"/>
            </w:rPr>
            <w:fldChar w:fldCharType="end"/>
          </w:r>
          <w:r>
            <w:rPr>
              <w:rFonts w:hint="eastAsia" w:ascii="宋体" w:hAnsi="宋体" w:eastAsia="宋体" w:cs="宋体"/>
              <w:sz w:val="28"/>
              <w:szCs w:val="28"/>
            </w:rPr>
            <w:fldChar w:fldCharType="end"/>
          </w:r>
        </w:p>
        <w:p>
          <w:pPr>
            <w:pStyle w:val="121"/>
            <w:tabs>
              <w:tab w:val="right" w:leader="dot" w:pos="9638"/>
            </w:tabs>
          </w:pPr>
        </w:p>
        <w:p>
          <w:pPr>
            <w:pStyle w:val="20"/>
            <w:spacing w:line="360" w:lineRule="auto"/>
            <w:rPr>
              <w:rFonts w:hint="eastAsia" w:ascii="宋体" w:hAnsi="宋体" w:eastAsia="宋体" w:cs="宋体"/>
            </w:rPr>
          </w:pPr>
          <w:r>
            <w:rPr>
              <w:rFonts w:hint="eastAsia" w:ascii="宋体" w:hAnsi="宋体" w:eastAsia="宋体" w:cs="宋体"/>
            </w:rPr>
            <w:fldChar w:fldCharType="end"/>
          </w:r>
        </w:p>
      </w:sdtContent>
    </w:sdt>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spacing w:line="420" w:lineRule="exact"/>
        <w:jc w:val="both"/>
        <w:rPr>
          <w:rFonts w:hint="eastAsia" w:ascii="宋体" w:hAnsi="宋体" w:eastAsia="宋体" w:cs="宋体"/>
          <w:b/>
          <w:sz w:val="30"/>
          <w:szCs w:val="30"/>
        </w:rPr>
        <w:sectPr>
          <w:headerReference r:id="rId5" w:type="default"/>
          <w:footerReference r:id="rId6" w:type="default"/>
          <w:pgSz w:w="11906" w:h="16838"/>
          <w:pgMar w:top="1134" w:right="1134" w:bottom="567" w:left="1134" w:header="720" w:footer="720" w:gutter="0"/>
          <w:pgNumType w:start="1"/>
          <w:cols w:space="720" w:num="1"/>
          <w:docGrid w:linePitch="331" w:charSpace="0"/>
        </w:sectPr>
      </w:pPr>
      <w:bookmarkStart w:id="0" w:name="_Toc23172_WPSOffice_Level1"/>
    </w:p>
    <w:bookmarkEnd w:id="0"/>
    <w:p>
      <w:pPr>
        <w:pStyle w:val="3"/>
        <w:tabs>
          <w:tab w:val="left" w:pos="0"/>
        </w:tabs>
        <w:autoSpaceDE w:val="0"/>
        <w:autoSpaceDN w:val="0"/>
        <w:adjustRightInd w:val="0"/>
        <w:spacing w:before="0" w:after="0" w:line="360" w:lineRule="auto"/>
        <w:jc w:val="center"/>
        <w:rPr>
          <w:rFonts w:hint="eastAsia" w:ascii="宋体" w:hAnsi="宋体" w:eastAsia="宋体" w:cs="宋体"/>
          <w:sz w:val="36"/>
          <w:szCs w:val="36"/>
        </w:rPr>
      </w:pPr>
      <w:bookmarkStart w:id="1" w:name="_Toc13771"/>
      <w:bookmarkStart w:id="2" w:name="_Toc147248396"/>
      <w:bookmarkStart w:id="3" w:name="_Toc156106929"/>
      <w:bookmarkStart w:id="4" w:name="_Toc345484654"/>
      <w:r>
        <w:rPr>
          <w:rFonts w:hint="eastAsia" w:ascii="宋体" w:hAnsi="宋体" w:eastAsia="宋体" w:cs="宋体"/>
          <w:sz w:val="36"/>
          <w:szCs w:val="36"/>
        </w:rPr>
        <w:t>广西大通建设监理咨询管理有限公司关于</w:t>
      </w:r>
      <w:r>
        <w:rPr>
          <w:rFonts w:hint="eastAsia" w:ascii="宋体" w:hAnsi="宋体" w:eastAsia="宋体" w:cs="宋体"/>
          <w:sz w:val="36"/>
          <w:szCs w:val="36"/>
          <w:lang w:eastAsia="zh-CN"/>
        </w:rPr>
        <w:t>预算联网监督系统二期项目软件开发</w:t>
      </w:r>
      <w:r>
        <w:rPr>
          <w:rFonts w:hint="eastAsia" w:ascii="宋体" w:hAnsi="宋体" w:eastAsia="宋体" w:cs="宋体"/>
          <w:sz w:val="36"/>
          <w:szCs w:val="36"/>
        </w:rPr>
        <w:t>的竞争性磋商公告</w:t>
      </w:r>
      <w:bookmarkEnd w:id="1"/>
    </w:p>
    <w:p>
      <w:pPr>
        <w:rPr>
          <w:rFonts w:hint="eastAsia" w:ascii="宋体" w:hAnsi="宋体" w:eastAsia="宋体" w:cs="宋体"/>
        </w:rPr>
      </w:pPr>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bCs/>
          <w:szCs w:val="21"/>
        </w:rPr>
      </w:pPr>
      <w:r>
        <w:rPr>
          <w:rFonts w:hint="eastAsia" w:ascii="宋体" w:hAnsi="宋体" w:eastAsia="宋体" w:cs="宋体"/>
          <w:b/>
          <w:bCs/>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Cs w:val="21"/>
        </w:rPr>
      </w:pPr>
      <w:r>
        <w:rPr>
          <w:rFonts w:hint="eastAsia" w:ascii="宋体" w:hAnsi="宋体" w:eastAsia="宋体" w:cs="宋体"/>
          <w:szCs w:val="21"/>
          <w:u w:val="single"/>
          <w:lang w:eastAsia="zh-CN"/>
        </w:rPr>
        <w:t>预算联网监督系统二期项目软件开发</w:t>
      </w:r>
      <w:r>
        <w:rPr>
          <w:rFonts w:hint="eastAsia" w:ascii="宋体" w:hAnsi="宋体" w:eastAsia="宋体" w:cs="宋体"/>
          <w:szCs w:val="21"/>
        </w:rPr>
        <w:t>的潜在供应商应登录政采云平台“项目采购-获取采购文件”模块自行下载采购文件，并于</w:t>
      </w:r>
      <w:r>
        <w:rPr>
          <w:rFonts w:hint="eastAsia" w:ascii="宋体" w:hAnsi="宋体" w:eastAsia="宋体" w:cs="宋体"/>
          <w:szCs w:val="21"/>
          <w:u w:val="single"/>
        </w:rPr>
        <w:t>2020</w:t>
      </w:r>
      <w:r>
        <w:rPr>
          <w:rFonts w:hint="eastAsia" w:ascii="宋体" w:hAnsi="宋体" w:eastAsia="宋体" w:cs="宋体"/>
          <w:bCs/>
          <w:szCs w:val="21"/>
          <w:u w:val="single"/>
        </w:rPr>
        <w:t>年</w:t>
      </w:r>
      <w:r>
        <w:rPr>
          <w:rFonts w:hint="eastAsia" w:hAnsi="宋体" w:cs="宋体"/>
          <w:bCs/>
          <w:szCs w:val="21"/>
          <w:u w:val="single"/>
          <w:lang w:val="en-US" w:eastAsia="zh-CN"/>
        </w:rPr>
        <w:t>12</w:t>
      </w:r>
      <w:r>
        <w:rPr>
          <w:rFonts w:hint="eastAsia" w:ascii="宋体" w:hAnsi="宋体" w:eastAsia="宋体" w:cs="宋体"/>
          <w:bCs/>
          <w:szCs w:val="21"/>
          <w:u w:val="single"/>
        </w:rPr>
        <w:t>月</w:t>
      </w:r>
      <w:r>
        <w:rPr>
          <w:rFonts w:hint="eastAsia" w:hAnsi="宋体" w:cs="宋体"/>
          <w:bCs/>
          <w:szCs w:val="21"/>
          <w:u w:val="single"/>
          <w:lang w:val="en-US" w:eastAsia="zh-CN"/>
        </w:rPr>
        <w:t>14</w:t>
      </w:r>
      <w:r>
        <w:rPr>
          <w:rFonts w:hint="eastAsia" w:ascii="宋体" w:hAnsi="宋体" w:eastAsia="宋体" w:cs="宋体"/>
          <w:bCs/>
          <w:szCs w:val="21"/>
          <w:u w:val="single"/>
        </w:rPr>
        <w:t>日</w:t>
      </w:r>
      <w:r>
        <w:rPr>
          <w:rFonts w:hint="eastAsia" w:hAnsi="宋体" w:cs="宋体"/>
          <w:bCs/>
          <w:szCs w:val="21"/>
          <w:u w:val="single"/>
          <w:lang w:val="en-US" w:eastAsia="zh-CN"/>
        </w:rPr>
        <w:t>10</w:t>
      </w:r>
      <w:r>
        <w:rPr>
          <w:rFonts w:hint="eastAsia" w:ascii="宋体" w:hAnsi="宋体" w:eastAsia="宋体" w:cs="宋体"/>
          <w:bCs/>
          <w:szCs w:val="21"/>
          <w:u w:val="single"/>
        </w:rPr>
        <w:t>点</w:t>
      </w:r>
      <w:r>
        <w:rPr>
          <w:rFonts w:hint="eastAsia" w:hAnsi="宋体" w:cs="宋体"/>
          <w:bCs/>
          <w:szCs w:val="21"/>
          <w:u w:val="single"/>
          <w:lang w:val="en-US" w:eastAsia="zh-CN"/>
        </w:rPr>
        <w:t>00</w:t>
      </w:r>
      <w:r>
        <w:rPr>
          <w:rFonts w:hint="eastAsia" w:ascii="宋体" w:hAnsi="宋体" w:eastAsia="宋体" w:cs="宋体"/>
          <w:bCs/>
          <w:szCs w:val="21"/>
          <w:u w:val="single"/>
        </w:rPr>
        <w:t>分</w:t>
      </w:r>
      <w:r>
        <w:rPr>
          <w:rFonts w:hint="eastAsia" w:ascii="宋体" w:hAnsi="宋体" w:eastAsia="宋体" w:cs="宋体"/>
          <w:bCs/>
          <w:szCs w:val="21"/>
        </w:rPr>
        <w:t>（北京时间）前提交响应文件</w:t>
      </w:r>
      <w:r>
        <w:rPr>
          <w:rFonts w:hint="eastAsia" w:ascii="宋体" w:hAnsi="宋体" w:eastAsia="宋体" w:cs="宋体"/>
          <w:szCs w:val="21"/>
        </w:rPr>
        <w:t>。</w:t>
      </w:r>
    </w:p>
    <w:p>
      <w:pPr>
        <w:pStyle w:val="4"/>
        <w:pageBreakBefore w:val="0"/>
        <w:kinsoku/>
        <w:wordWrap/>
        <w:overflowPunct/>
        <w:topLinePunct w:val="0"/>
        <w:bidi w:val="0"/>
        <w:spacing w:before="0" w:after="0" w:line="400" w:lineRule="exact"/>
        <w:textAlignment w:val="auto"/>
        <w:outlineLvl w:val="9"/>
        <w:rPr>
          <w:rFonts w:hint="eastAsia" w:ascii="宋体" w:hAnsi="宋体" w:eastAsia="宋体" w:cs="宋体"/>
          <w:b w:val="0"/>
          <w:sz w:val="21"/>
          <w:szCs w:val="21"/>
        </w:rPr>
      </w:pPr>
      <w:bookmarkStart w:id="5" w:name="_Toc28359089"/>
      <w:bookmarkStart w:id="6" w:name="_Toc35393629"/>
      <w:bookmarkStart w:id="7" w:name="_Toc28359012"/>
      <w:bookmarkStart w:id="8" w:name="_Toc35393798"/>
    </w:p>
    <w:p>
      <w:pPr>
        <w:pStyle w:val="4"/>
        <w:pageBreakBefore w:val="0"/>
        <w:kinsoku/>
        <w:wordWrap/>
        <w:overflowPunct/>
        <w:topLinePunct w:val="0"/>
        <w:bidi w:val="0"/>
        <w:spacing w:before="0" w:after="0" w:line="400" w:lineRule="exact"/>
        <w:textAlignment w:val="auto"/>
        <w:outlineLvl w:val="0"/>
        <w:rPr>
          <w:rFonts w:hint="eastAsia" w:ascii="宋体" w:hAnsi="宋体" w:eastAsia="宋体" w:cs="宋体"/>
          <w:b w:val="0"/>
          <w:sz w:val="21"/>
          <w:szCs w:val="21"/>
        </w:rPr>
      </w:pPr>
      <w:bookmarkStart w:id="9" w:name="_Toc4307"/>
      <w:r>
        <w:rPr>
          <w:rFonts w:hint="eastAsia" w:ascii="宋体" w:hAnsi="宋体" w:eastAsia="宋体" w:cs="宋体"/>
          <w:b w:val="0"/>
          <w:sz w:val="21"/>
          <w:szCs w:val="21"/>
        </w:rPr>
        <w:t>一、项目基本情况</w:t>
      </w:r>
      <w:bookmarkEnd w:id="5"/>
      <w:bookmarkEnd w:id="6"/>
      <w:bookmarkEnd w:id="7"/>
      <w:bookmarkEnd w:id="8"/>
      <w:bookmarkEnd w:id="9"/>
    </w:p>
    <w:p>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bookmarkStart w:id="10" w:name="_Toc35393799"/>
      <w:bookmarkStart w:id="11" w:name="_Toc28359013"/>
      <w:bookmarkStart w:id="12" w:name="_Toc28359090"/>
      <w:bookmarkStart w:id="13" w:name="_Toc35393630"/>
      <w:r>
        <w:rPr>
          <w:rFonts w:hint="eastAsia" w:ascii="宋体" w:hAnsi="宋体" w:eastAsia="宋体" w:cs="宋体"/>
          <w:szCs w:val="21"/>
        </w:rPr>
        <w:t>项目编号：CZZC2020-C3-00005-GXDT</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项目名称：</w:t>
      </w:r>
      <w:r>
        <w:rPr>
          <w:rFonts w:hint="eastAsia" w:ascii="宋体" w:hAnsi="宋体" w:eastAsia="宋体" w:cs="宋体"/>
          <w:szCs w:val="21"/>
          <w:lang w:eastAsia="zh-CN"/>
        </w:rPr>
        <w:t>预算联网监督系统二期项目软件开发</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采购方式： 竞争性磋商 </w:t>
      </w:r>
    </w:p>
    <w:p>
      <w:pPr>
        <w:pageBreakBefore w:val="0"/>
        <w:kinsoku/>
        <w:wordWrap/>
        <w:overflowPunct/>
        <w:topLinePunct w:val="0"/>
        <w:bidi w:val="0"/>
        <w:spacing w:line="400" w:lineRule="exact"/>
        <w:ind w:firstLine="420" w:firstLineChars="200"/>
        <w:textAlignment w:val="auto"/>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74</w:t>
      </w:r>
      <w:r>
        <w:rPr>
          <w:rFonts w:hint="eastAsia"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3</w:t>
      </w:r>
      <w:r>
        <w:rPr>
          <w:rFonts w:hint="eastAsia" w:hAnsi="宋体" w:cs="宋体"/>
          <w:color w:val="auto"/>
          <w:szCs w:val="21"/>
          <w:highlight w:val="none"/>
          <w:lang w:val="en-US" w:eastAsia="zh-CN"/>
        </w:rPr>
        <w:t>万元</w:t>
      </w:r>
      <w:bookmarkStart w:id="524" w:name="_GoBack"/>
      <w:bookmarkEnd w:id="524"/>
    </w:p>
    <w:p>
      <w:pPr>
        <w:pStyle w:val="2"/>
        <w:pageBreakBefore w:val="0"/>
        <w:kinsoku/>
        <w:wordWrap/>
        <w:overflowPunct/>
        <w:topLinePunct w:val="0"/>
        <w:bidi w:val="0"/>
        <w:spacing w:line="400" w:lineRule="exact"/>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最高限价：</w:t>
      </w:r>
      <w:r>
        <w:rPr>
          <w:rFonts w:hint="eastAsia" w:ascii="宋体" w:hAnsi="宋体" w:eastAsia="宋体" w:cs="宋体"/>
          <w:color w:val="auto"/>
          <w:sz w:val="21"/>
          <w:szCs w:val="21"/>
          <w:highlight w:val="none"/>
          <w:lang w:val="en-US" w:eastAsia="zh-CN"/>
        </w:rPr>
        <w:t>同预算金额。</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采购需求：</w:t>
      </w:r>
      <w:r>
        <w:rPr>
          <w:rFonts w:hint="eastAsia" w:ascii="宋体" w:hAnsi="宋体" w:eastAsia="宋体" w:cs="宋体"/>
          <w:szCs w:val="21"/>
          <w:lang w:eastAsia="zh-CN"/>
        </w:rPr>
        <w:t>预算联网监督系统二期项目软件开发</w:t>
      </w:r>
      <w:r>
        <w:rPr>
          <w:rFonts w:hint="eastAsia" w:ascii="宋体" w:hAnsi="宋体" w:eastAsia="宋体" w:cs="宋体"/>
          <w:szCs w:val="21"/>
        </w:rPr>
        <w:t>一项，如需进一步了解详细内容，详见</w:t>
      </w:r>
      <w:r>
        <w:rPr>
          <w:rFonts w:hint="eastAsia" w:ascii="宋体" w:hAnsi="宋体" w:eastAsia="宋体" w:cs="宋体"/>
          <w:szCs w:val="21"/>
          <w:lang w:eastAsia="zh-CN"/>
        </w:rPr>
        <w:t>竞争性磋商采购文件</w:t>
      </w:r>
      <w:r>
        <w:rPr>
          <w:rFonts w:hint="eastAsia" w:ascii="宋体" w:hAnsi="宋体" w:eastAsia="宋体" w:cs="宋体"/>
          <w:szCs w:val="21"/>
        </w:rPr>
        <w:t>。</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rPr>
        <w:t>合同履行期限：</w:t>
      </w:r>
      <w:r>
        <w:rPr>
          <w:rFonts w:hint="eastAsia" w:ascii="宋体" w:hAnsi="宋体" w:eastAsia="宋体" w:cs="宋体"/>
          <w:color w:val="000000"/>
          <w:kern w:val="0"/>
          <w:szCs w:val="21"/>
          <w:highlight w:val="none"/>
        </w:rPr>
        <w:t>签订合同之日起180个日历日内完成系统的安装、实施、试运行</w:t>
      </w:r>
      <w:r>
        <w:rPr>
          <w:rFonts w:hint="eastAsia" w:ascii="宋体" w:hAnsi="宋体" w:eastAsia="宋体" w:cs="宋体"/>
          <w:szCs w:val="21"/>
          <w:highlight w:val="none"/>
        </w:rPr>
        <w:t>。</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本项目不接受联合体。</w:t>
      </w:r>
    </w:p>
    <w:p>
      <w:pPr>
        <w:pStyle w:val="4"/>
        <w:pageBreakBefore w:val="0"/>
        <w:kinsoku/>
        <w:wordWrap/>
        <w:overflowPunct/>
        <w:topLinePunct w:val="0"/>
        <w:bidi w:val="0"/>
        <w:spacing w:before="0" w:after="0" w:line="400" w:lineRule="exact"/>
        <w:textAlignment w:val="auto"/>
        <w:outlineLvl w:val="0"/>
        <w:rPr>
          <w:rFonts w:hint="eastAsia" w:ascii="宋体" w:hAnsi="宋体" w:eastAsia="宋体" w:cs="宋体"/>
          <w:b w:val="0"/>
          <w:sz w:val="21"/>
          <w:szCs w:val="21"/>
        </w:rPr>
      </w:pPr>
      <w:bookmarkStart w:id="14" w:name="_Toc21663"/>
      <w:r>
        <w:rPr>
          <w:rFonts w:hint="eastAsia" w:ascii="宋体" w:hAnsi="宋体" w:eastAsia="宋体" w:cs="宋体"/>
          <w:b w:val="0"/>
          <w:sz w:val="21"/>
          <w:szCs w:val="21"/>
        </w:rPr>
        <w:t>二、申请人的资格要求：</w:t>
      </w:r>
      <w:bookmarkEnd w:id="10"/>
      <w:bookmarkEnd w:id="11"/>
      <w:bookmarkEnd w:id="12"/>
      <w:bookmarkEnd w:id="13"/>
      <w:bookmarkEnd w:id="14"/>
    </w:p>
    <w:p>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bookmarkStart w:id="15" w:name="_Toc28359091"/>
      <w:bookmarkStart w:id="16" w:name="_Toc35393800"/>
      <w:bookmarkStart w:id="17" w:name="_Toc35393631"/>
      <w:bookmarkStart w:id="18" w:name="_Toc28359014"/>
      <w:r>
        <w:rPr>
          <w:rFonts w:hint="eastAsia" w:ascii="宋体" w:hAnsi="宋体" w:eastAsia="宋体" w:cs="宋体"/>
          <w:szCs w:val="21"/>
        </w:rPr>
        <w:t>1.满足《中华人民共和国政府采购法》第二十二条规定；</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2.落实政府采购政策需满足的资格要求：</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（1）鼓励节能、环保政策：依据《财政部 发展改革委 生态环境部 市场监管总局关于调整优化节能产品、环境标志产品政府采购执行机制的通知（财库（2019）9号）》执行。</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（2）扶持中小企业政策：评审时小型和微型企业产品享受10%的价格折扣。监狱企业、残疾人福利性单位视同小型、微型企业。不重复享受政策。</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3.本项目的特定资格要求：</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(1)国内注册（指按国家有关规定要求注册的），能够提供本次采购服务的供应商；</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4"/>
        <w:pageBreakBefore w:val="0"/>
        <w:kinsoku/>
        <w:wordWrap/>
        <w:overflowPunct/>
        <w:topLinePunct w:val="0"/>
        <w:bidi w:val="0"/>
        <w:spacing w:before="0" w:after="0" w:line="400" w:lineRule="exact"/>
        <w:textAlignment w:val="auto"/>
        <w:outlineLvl w:val="0"/>
        <w:rPr>
          <w:rFonts w:hint="eastAsia" w:ascii="宋体" w:hAnsi="宋体" w:eastAsia="宋体" w:cs="宋体"/>
          <w:b w:val="0"/>
          <w:sz w:val="21"/>
          <w:szCs w:val="21"/>
        </w:rPr>
      </w:pPr>
      <w:bookmarkStart w:id="19" w:name="_Toc14844"/>
      <w:r>
        <w:rPr>
          <w:rFonts w:hint="eastAsia" w:ascii="宋体" w:hAnsi="宋体" w:eastAsia="宋体" w:cs="宋体"/>
          <w:b w:val="0"/>
          <w:sz w:val="21"/>
          <w:szCs w:val="21"/>
        </w:rPr>
        <w:t>三、获取采购文件</w:t>
      </w:r>
      <w:bookmarkEnd w:id="15"/>
      <w:bookmarkEnd w:id="16"/>
      <w:bookmarkEnd w:id="17"/>
      <w:bookmarkEnd w:id="18"/>
      <w:bookmarkEnd w:id="19"/>
    </w:p>
    <w:p>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bookmarkStart w:id="20" w:name="_Toc35393632"/>
      <w:bookmarkStart w:id="21" w:name="_Toc35393801"/>
      <w:bookmarkStart w:id="22" w:name="_Toc28359015"/>
      <w:bookmarkStart w:id="23" w:name="_Toc28359092"/>
      <w:r>
        <w:rPr>
          <w:rFonts w:hint="eastAsia" w:ascii="宋体" w:hAnsi="宋体" w:eastAsia="宋体" w:cs="宋体"/>
          <w:szCs w:val="21"/>
        </w:rPr>
        <w:t>时间：2020年</w:t>
      </w:r>
      <w:r>
        <w:rPr>
          <w:rFonts w:hint="eastAsia" w:hAnsi="宋体" w:cs="宋体"/>
          <w:szCs w:val="21"/>
          <w:lang w:val="en-US" w:eastAsia="zh-CN"/>
        </w:rPr>
        <w:t>12</w:t>
      </w:r>
      <w:r>
        <w:rPr>
          <w:rFonts w:hint="eastAsia" w:ascii="宋体" w:hAnsi="宋体" w:eastAsia="宋体" w:cs="宋体"/>
          <w:szCs w:val="21"/>
        </w:rPr>
        <w:t>月</w:t>
      </w:r>
      <w:r>
        <w:rPr>
          <w:rFonts w:hint="eastAsia" w:hAnsi="宋体" w:cs="宋体"/>
          <w:szCs w:val="21"/>
          <w:lang w:val="en-US" w:eastAsia="zh-CN"/>
        </w:rPr>
        <w:t>3</w:t>
      </w:r>
      <w:r>
        <w:rPr>
          <w:rFonts w:hint="eastAsia" w:ascii="宋体" w:hAnsi="宋体" w:eastAsia="宋体" w:cs="宋体"/>
          <w:szCs w:val="21"/>
        </w:rPr>
        <w:t>日至2020年</w:t>
      </w:r>
      <w:r>
        <w:rPr>
          <w:rFonts w:hint="eastAsia" w:hAnsi="宋体" w:cs="宋体"/>
          <w:szCs w:val="21"/>
          <w:lang w:val="en-US" w:eastAsia="zh-CN"/>
        </w:rPr>
        <w:t>12</w:t>
      </w:r>
      <w:r>
        <w:rPr>
          <w:rFonts w:hint="eastAsia" w:ascii="宋体" w:hAnsi="宋体" w:eastAsia="宋体" w:cs="宋体"/>
          <w:szCs w:val="21"/>
        </w:rPr>
        <w:t>月</w:t>
      </w:r>
      <w:r>
        <w:rPr>
          <w:rFonts w:hint="eastAsia" w:hAnsi="宋体" w:cs="宋体"/>
          <w:szCs w:val="21"/>
          <w:lang w:val="en-US" w:eastAsia="zh-CN"/>
        </w:rPr>
        <w:t>10</w:t>
      </w:r>
      <w:r>
        <w:rPr>
          <w:rFonts w:hint="eastAsia" w:ascii="宋体" w:hAnsi="宋体" w:eastAsia="宋体" w:cs="宋体"/>
          <w:szCs w:val="21"/>
        </w:rPr>
        <w:t>日，每天上午9：00至12：00，下午15：00至17：30（北京时间，法定节假日除外 ）；</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地点：广西政府采购网（http://www.ccgp-guangxi.gov.cn/）政采云平台；</w:t>
      </w:r>
    </w:p>
    <w:p>
      <w:pPr>
        <w:pStyle w:val="31"/>
        <w:pageBreakBefore w:val="0"/>
        <w:kinsoku/>
        <w:wordWrap/>
        <w:overflowPunct/>
        <w:topLinePunct w:val="0"/>
        <w:bidi w:val="0"/>
        <w:spacing w:before="75" w:beforeAutospacing="0" w:after="75"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方式：供应商须登录广西政府采购网（http://www.ccgp-guangxi.gov.cn/）政采云平台在“供应商入驻”完成账号注册后，登录政采云平台“项目采购-获取采购文件”模块自行下载采购文件。如在政云平台操作过程中遇到问题或者需要技术支持，请致电政采云客服热线400-881-7190。</w:t>
      </w:r>
    </w:p>
    <w:p>
      <w:pPr>
        <w:pStyle w:val="31"/>
        <w:pageBreakBefore w:val="0"/>
        <w:kinsoku/>
        <w:wordWrap/>
        <w:overflowPunct/>
        <w:topLinePunct w:val="0"/>
        <w:bidi w:val="0"/>
        <w:spacing w:before="75" w:beforeAutospacing="0" w:after="75" w:afterAutospacing="0" w:line="400" w:lineRule="exact"/>
        <w:ind w:firstLine="540"/>
        <w:textAlignment w:val="auto"/>
        <w:rPr>
          <w:rFonts w:hint="eastAsia" w:ascii="宋体" w:hAnsi="宋体" w:eastAsia="宋体" w:cs="宋体"/>
          <w:sz w:val="21"/>
          <w:szCs w:val="21"/>
        </w:rPr>
      </w:pPr>
      <w:r>
        <w:rPr>
          <w:rFonts w:hint="eastAsia" w:ascii="宋体" w:hAnsi="宋体" w:eastAsia="宋体" w:cs="宋体"/>
          <w:sz w:val="21"/>
          <w:szCs w:val="21"/>
        </w:rPr>
        <w:t>售价：￥0.0元（人民币）</w:t>
      </w:r>
    </w:p>
    <w:p>
      <w:pPr>
        <w:pStyle w:val="4"/>
        <w:pageBreakBefore w:val="0"/>
        <w:kinsoku/>
        <w:wordWrap/>
        <w:overflowPunct/>
        <w:topLinePunct w:val="0"/>
        <w:bidi w:val="0"/>
        <w:spacing w:before="0" w:after="0" w:line="400" w:lineRule="exact"/>
        <w:textAlignment w:val="auto"/>
        <w:outlineLvl w:val="0"/>
        <w:rPr>
          <w:rFonts w:hint="eastAsia" w:ascii="宋体" w:hAnsi="宋体" w:eastAsia="宋体" w:cs="宋体"/>
          <w:b w:val="0"/>
          <w:sz w:val="21"/>
          <w:szCs w:val="21"/>
        </w:rPr>
      </w:pPr>
      <w:bookmarkStart w:id="24" w:name="_Toc10580"/>
      <w:r>
        <w:rPr>
          <w:rFonts w:hint="eastAsia" w:ascii="宋体" w:hAnsi="宋体" w:eastAsia="宋体" w:cs="宋体"/>
          <w:b w:val="0"/>
          <w:sz w:val="21"/>
          <w:szCs w:val="21"/>
        </w:rPr>
        <w:t>四、响应文件提交</w:t>
      </w:r>
      <w:bookmarkEnd w:id="20"/>
      <w:bookmarkEnd w:id="21"/>
      <w:bookmarkEnd w:id="22"/>
      <w:bookmarkEnd w:id="23"/>
      <w:bookmarkEnd w:id="24"/>
    </w:p>
    <w:p>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截止时间：</w:t>
      </w:r>
      <w:r>
        <w:rPr>
          <w:rFonts w:hint="eastAsia" w:ascii="宋体" w:hAnsi="宋体" w:eastAsia="宋体" w:cs="宋体"/>
          <w:szCs w:val="21"/>
          <w:u w:val="single"/>
        </w:rPr>
        <w:t>2020</w:t>
      </w:r>
      <w:r>
        <w:rPr>
          <w:rFonts w:hint="eastAsia" w:ascii="宋体" w:hAnsi="宋体" w:eastAsia="宋体" w:cs="宋体"/>
          <w:bCs/>
          <w:szCs w:val="21"/>
          <w:u w:val="single"/>
        </w:rPr>
        <w:t>年</w:t>
      </w:r>
      <w:r>
        <w:rPr>
          <w:rFonts w:hint="eastAsia" w:hAnsi="宋体" w:cs="宋体"/>
          <w:bCs/>
          <w:szCs w:val="21"/>
          <w:u w:val="single"/>
          <w:lang w:val="en-US" w:eastAsia="zh-CN"/>
        </w:rPr>
        <w:t>12</w:t>
      </w:r>
      <w:r>
        <w:rPr>
          <w:rFonts w:hint="eastAsia" w:ascii="宋体" w:hAnsi="宋体" w:eastAsia="宋体" w:cs="宋体"/>
          <w:bCs/>
          <w:szCs w:val="21"/>
          <w:u w:val="single"/>
        </w:rPr>
        <w:t>月</w:t>
      </w:r>
      <w:r>
        <w:rPr>
          <w:rFonts w:hint="eastAsia" w:hAnsi="宋体" w:cs="宋体"/>
          <w:bCs/>
          <w:szCs w:val="21"/>
          <w:u w:val="single"/>
          <w:lang w:val="en-US" w:eastAsia="zh-CN"/>
        </w:rPr>
        <w:t>14</w:t>
      </w:r>
      <w:r>
        <w:rPr>
          <w:rFonts w:hint="eastAsia" w:ascii="宋体" w:hAnsi="宋体" w:eastAsia="宋体" w:cs="宋体"/>
          <w:bCs/>
          <w:szCs w:val="21"/>
          <w:u w:val="single"/>
        </w:rPr>
        <w:t>日</w:t>
      </w:r>
      <w:r>
        <w:rPr>
          <w:rFonts w:hint="eastAsia" w:hAnsi="宋体" w:cs="宋体"/>
          <w:bCs/>
          <w:szCs w:val="21"/>
          <w:u w:val="single"/>
          <w:lang w:val="en-US" w:eastAsia="zh-CN"/>
        </w:rPr>
        <w:t>10</w:t>
      </w:r>
      <w:r>
        <w:rPr>
          <w:rFonts w:hint="eastAsia" w:ascii="宋体" w:hAnsi="宋体" w:eastAsia="宋体" w:cs="宋体"/>
          <w:bCs/>
          <w:szCs w:val="21"/>
          <w:u w:val="single"/>
        </w:rPr>
        <w:t>点</w:t>
      </w:r>
      <w:r>
        <w:rPr>
          <w:rFonts w:hint="eastAsia" w:hAnsi="宋体" w:cs="宋体"/>
          <w:bCs/>
          <w:szCs w:val="21"/>
          <w:u w:val="single"/>
          <w:lang w:val="en-US" w:eastAsia="zh-CN"/>
        </w:rPr>
        <w:t>00</w:t>
      </w:r>
      <w:r>
        <w:rPr>
          <w:rFonts w:hint="eastAsia" w:ascii="宋体" w:hAnsi="宋体" w:eastAsia="宋体" w:cs="宋体"/>
          <w:bCs/>
          <w:szCs w:val="21"/>
          <w:u w:val="single"/>
        </w:rPr>
        <w:t>分</w:t>
      </w:r>
      <w:r>
        <w:rPr>
          <w:rFonts w:hint="eastAsia" w:ascii="宋体" w:hAnsi="宋体" w:eastAsia="宋体" w:cs="宋体"/>
          <w:szCs w:val="21"/>
        </w:rPr>
        <w:t>（北京时间）。</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地点：</w:t>
      </w:r>
      <w:r>
        <w:rPr>
          <w:rFonts w:hint="eastAsia" w:ascii="宋体" w:hAnsi="宋体" w:eastAsia="宋体" w:cs="宋体"/>
          <w:szCs w:val="21"/>
          <w:u w:val="single"/>
        </w:rPr>
        <w:t>崇左市花山路嘉苑小区R-08号（广西大通建设监理咨询管理有限公司崇左分公司）</w:t>
      </w:r>
      <w:r>
        <w:rPr>
          <w:rFonts w:hint="eastAsia" w:ascii="宋体" w:hAnsi="宋体" w:eastAsia="宋体" w:cs="宋体"/>
          <w:szCs w:val="21"/>
        </w:rPr>
        <w:t xml:space="preserve">，参加磋商的法定代表人或委托代理人必须持有效证件，法定代表人凭身份证或委托代理人凭法人授权委托书原件和身份证依时到达指定地点等候当面磋商。  </w:t>
      </w:r>
    </w:p>
    <w:p>
      <w:pPr>
        <w:pStyle w:val="4"/>
        <w:pageBreakBefore w:val="0"/>
        <w:kinsoku/>
        <w:wordWrap/>
        <w:overflowPunct/>
        <w:topLinePunct w:val="0"/>
        <w:bidi w:val="0"/>
        <w:spacing w:before="0" w:after="0" w:line="400" w:lineRule="exact"/>
        <w:textAlignment w:val="auto"/>
        <w:outlineLvl w:val="0"/>
        <w:rPr>
          <w:rFonts w:hint="eastAsia" w:ascii="宋体" w:hAnsi="宋体" w:eastAsia="宋体" w:cs="宋体"/>
          <w:b w:val="0"/>
          <w:sz w:val="21"/>
          <w:szCs w:val="21"/>
        </w:rPr>
      </w:pPr>
      <w:bookmarkStart w:id="25" w:name="_Toc28359016"/>
      <w:bookmarkStart w:id="26" w:name="_Toc28359093"/>
      <w:bookmarkStart w:id="27" w:name="_Toc35393633"/>
      <w:bookmarkStart w:id="28" w:name="_Toc35393802"/>
      <w:bookmarkStart w:id="29" w:name="_Toc10226"/>
      <w:r>
        <w:rPr>
          <w:rFonts w:hint="eastAsia" w:ascii="宋体" w:hAnsi="宋体" w:eastAsia="宋体" w:cs="宋体"/>
          <w:b w:val="0"/>
          <w:sz w:val="21"/>
          <w:szCs w:val="21"/>
        </w:rPr>
        <w:t>五、开启</w:t>
      </w:r>
      <w:bookmarkEnd w:id="25"/>
      <w:bookmarkEnd w:id="26"/>
      <w:bookmarkEnd w:id="27"/>
      <w:bookmarkEnd w:id="28"/>
      <w:bookmarkEnd w:id="29"/>
    </w:p>
    <w:p>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时间：</w:t>
      </w:r>
      <w:r>
        <w:rPr>
          <w:rFonts w:hint="eastAsia" w:hAnsi="宋体" w:cs="宋体"/>
          <w:szCs w:val="21"/>
          <w:u w:val="single"/>
          <w:lang w:val="en-US" w:eastAsia="zh-CN"/>
        </w:rPr>
        <w:t>2</w:t>
      </w:r>
      <w:r>
        <w:rPr>
          <w:rFonts w:hint="eastAsia" w:ascii="宋体" w:hAnsi="宋体" w:eastAsia="宋体" w:cs="宋体"/>
          <w:szCs w:val="21"/>
          <w:u w:val="single"/>
        </w:rPr>
        <w:t>020</w:t>
      </w:r>
      <w:r>
        <w:rPr>
          <w:rFonts w:hint="eastAsia" w:ascii="宋体" w:hAnsi="宋体" w:eastAsia="宋体" w:cs="宋体"/>
          <w:bCs/>
          <w:szCs w:val="21"/>
          <w:u w:val="single"/>
        </w:rPr>
        <w:t>年</w:t>
      </w:r>
      <w:r>
        <w:rPr>
          <w:rFonts w:hint="eastAsia" w:hAnsi="宋体" w:cs="宋体"/>
          <w:bCs/>
          <w:szCs w:val="21"/>
          <w:u w:val="single"/>
          <w:lang w:val="en-US" w:eastAsia="zh-CN"/>
        </w:rPr>
        <w:t>12</w:t>
      </w:r>
      <w:r>
        <w:rPr>
          <w:rFonts w:hint="eastAsia" w:ascii="宋体" w:hAnsi="宋体" w:eastAsia="宋体" w:cs="宋体"/>
          <w:bCs/>
          <w:szCs w:val="21"/>
          <w:u w:val="single"/>
        </w:rPr>
        <w:t>月</w:t>
      </w:r>
      <w:r>
        <w:rPr>
          <w:rFonts w:hint="eastAsia" w:hAnsi="宋体" w:cs="宋体"/>
          <w:bCs/>
          <w:szCs w:val="21"/>
          <w:u w:val="single"/>
          <w:lang w:val="en-US" w:eastAsia="zh-CN"/>
        </w:rPr>
        <w:t>14</w:t>
      </w:r>
      <w:r>
        <w:rPr>
          <w:rFonts w:hint="eastAsia" w:ascii="宋体" w:hAnsi="宋体" w:eastAsia="宋体" w:cs="宋体"/>
          <w:bCs/>
          <w:szCs w:val="21"/>
          <w:u w:val="single"/>
        </w:rPr>
        <w:t>日</w:t>
      </w:r>
      <w:r>
        <w:rPr>
          <w:rFonts w:hint="eastAsia" w:hAnsi="宋体" w:cs="宋体"/>
          <w:bCs/>
          <w:szCs w:val="21"/>
          <w:u w:val="single"/>
          <w:lang w:val="en-US" w:eastAsia="zh-CN"/>
        </w:rPr>
        <w:t>10</w:t>
      </w:r>
      <w:r>
        <w:rPr>
          <w:rFonts w:hint="eastAsia" w:ascii="宋体" w:hAnsi="宋体" w:eastAsia="宋体" w:cs="宋体"/>
          <w:bCs/>
          <w:szCs w:val="21"/>
          <w:u w:val="single"/>
        </w:rPr>
        <w:t>点</w:t>
      </w:r>
      <w:r>
        <w:rPr>
          <w:rFonts w:hint="eastAsia" w:hAnsi="宋体" w:cs="宋体"/>
          <w:bCs/>
          <w:szCs w:val="21"/>
          <w:u w:val="single"/>
          <w:lang w:val="en-US" w:eastAsia="zh-CN"/>
        </w:rPr>
        <w:t>00</w:t>
      </w:r>
      <w:r>
        <w:rPr>
          <w:rFonts w:hint="eastAsia" w:ascii="宋体" w:hAnsi="宋体" w:eastAsia="宋体" w:cs="宋体"/>
          <w:bCs/>
          <w:szCs w:val="21"/>
          <w:u w:val="single"/>
        </w:rPr>
        <w:t>分</w:t>
      </w:r>
      <w:r>
        <w:rPr>
          <w:rFonts w:hint="eastAsia" w:ascii="宋体" w:hAnsi="宋体" w:eastAsia="宋体" w:cs="宋体"/>
          <w:szCs w:val="21"/>
        </w:rPr>
        <w:t>（北京时间）。</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地点：崇左市花山路嘉苑小区R-08号（广西大通建设监理咨询管理有限公司崇左分公司）。</w:t>
      </w:r>
    </w:p>
    <w:p>
      <w:pPr>
        <w:pStyle w:val="4"/>
        <w:pageBreakBefore w:val="0"/>
        <w:kinsoku/>
        <w:wordWrap/>
        <w:overflowPunct/>
        <w:topLinePunct w:val="0"/>
        <w:bidi w:val="0"/>
        <w:spacing w:before="0" w:after="0" w:line="400" w:lineRule="exact"/>
        <w:textAlignment w:val="auto"/>
        <w:outlineLvl w:val="0"/>
        <w:rPr>
          <w:rFonts w:hint="eastAsia" w:ascii="宋体" w:hAnsi="宋体" w:eastAsia="宋体" w:cs="宋体"/>
          <w:b w:val="0"/>
          <w:sz w:val="21"/>
          <w:szCs w:val="21"/>
        </w:rPr>
      </w:pPr>
      <w:bookmarkStart w:id="30" w:name="_Toc28359017"/>
      <w:bookmarkStart w:id="31" w:name="_Toc35393803"/>
      <w:bookmarkStart w:id="32" w:name="_Toc1366"/>
      <w:bookmarkStart w:id="33" w:name="_Toc35393634"/>
      <w:bookmarkStart w:id="34" w:name="_Toc28359094"/>
      <w:r>
        <w:rPr>
          <w:rFonts w:hint="eastAsia" w:ascii="宋体" w:hAnsi="宋体" w:eastAsia="宋体" w:cs="宋体"/>
          <w:b w:val="0"/>
          <w:sz w:val="21"/>
          <w:szCs w:val="21"/>
        </w:rPr>
        <w:t>六、公告期限</w:t>
      </w:r>
      <w:bookmarkEnd w:id="30"/>
      <w:bookmarkEnd w:id="31"/>
      <w:bookmarkEnd w:id="32"/>
      <w:bookmarkEnd w:id="33"/>
      <w:bookmarkEnd w:id="34"/>
    </w:p>
    <w:p>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自本公告发布之日起5个工作日。</w:t>
      </w:r>
    </w:p>
    <w:p>
      <w:pPr>
        <w:pStyle w:val="4"/>
        <w:pageBreakBefore w:val="0"/>
        <w:kinsoku/>
        <w:wordWrap/>
        <w:overflowPunct/>
        <w:topLinePunct w:val="0"/>
        <w:bidi w:val="0"/>
        <w:spacing w:before="0" w:after="0" w:line="400" w:lineRule="exact"/>
        <w:textAlignment w:val="auto"/>
        <w:outlineLvl w:val="0"/>
        <w:rPr>
          <w:rFonts w:hint="eastAsia" w:ascii="宋体" w:hAnsi="宋体" w:eastAsia="宋体" w:cs="宋体"/>
          <w:b w:val="0"/>
          <w:sz w:val="21"/>
          <w:szCs w:val="21"/>
        </w:rPr>
      </w:pPr>
      <w:bookmarkStart w:id="35" w:name="_Toc35393804"/>
      <w:bookmarkStart w:id="36" w:name="_Toc25570"/>
      <w:bookmarkStart w:id="37" w:name="_Toc35393635"/>
      <w:r>
        <w:rPr>
          <w:rFonts w:hint="eastAsia" w:ascii="宋体" w:hAnsi="宋体" w:eastAsia="宋体" w:cs="宋体"/>
          <w:b w:val="0"/>
          <w:sz w:val="21"/>
          <w:szCs w:val="21"/>
        </w:rPr>
        <w:t>七、其他补充事宜</w:t>
      </w:r>
      <w:bookmarkEnd w:id="35"/>
      <w:bookmarkEnd w:id="36"/>
      <w:bookmarkEnd w:id="37"/>
    </w:p>
    <w:p>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bookmarkStart w:id="38" w:name="_Toc35393636"/>
      <w:bookmarkStart w:id="39" w:name="_Toc35393805"/>
      <w:bookmarkStart w:id="40" w:name="_Toc28359018"/>
      <w:bookmarkStart w:id="41" w:name="_Toc28359095"/>
      <w:r>
        <w:rPr>
          <w:rFonts w:hint="eastAsia" w:ascii="宋体" w:hAnsi="宋体" w:eastAsia="宋体" w:cs="宋体"/>
          <w:szCs w:val="21"/>
        </w:rPr>
        <w:t xml:space="preserve">1.网上公告媒介查询：中国政府采购网（http://www.ccgp.gov.cn/）、广西壮族自治区政府采购网（http://www.ccgp-guangxi.gov.cn/)； </w:t>
      </w:r>
    </w:p>
    <w:p>
      <w:pPr>
        <w:pStyle w:val="2"/>
        <w:pageBreakBefore w:val="0"/>
        <w:kinsoku/>
        <w:wordWrap/>
        <w:overflowPunct/>
        <w:topLinePunct w:val="0"/>
        <w:bidi w:val="0"/>
        <w:spacing w:line="400" w:lineRule="exact"/>
        <w:ind w:firstLine="420"/>
        <w:textAlignment w:val="auto"/>
        <w:rPr>
          <w:rFonts w:hint="eastAsia" w:ascii="宋体" w:hAnsi="宋体" w:eastAsia="宋体" w:cs="宋体"/>
          <w:kern w:val="2"/>
          <w:sz w:val="21"/>
          <w:szCs w:val="21"/>
        </w:rPr>
      </w:pPr>
      <w:r>
        <w:rPr>
          <w:rFonts w:hint="eastAsia" w:ascii="宋体" w:hAnsi="宋体" w:eastAsia="宋体" w:cs="宋体"/>
          <w:kern w:val="2"/>
          <w:sz w:val="21"/>
          <w:szCs w:val="21"/>
        </w:rPr>
        <w:t>2.磋商保证金：本项目免收磋商保证金；</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3.监督管理部门：崇左市财政局政府采购监督管理科  0771-5962613。</w:t>
      </w:r>
    </w:p>
    <w:p>
      <w:pPr>
        <w:pStyle w:val="4"/>
        <w:pageBreakBefore w:val="0"/>
        <w:kinsoku/>
        <w:wordWrap/>
        <w:overflowPunct/>
        <w:topLinePunct w:val="0"/>
        <w:bidi w:val="0"/>
        <w:spacing w:before="0" w:after="0" w:line="400" w:lineRule="exact"/>
        <w:textAlignment w:val="auto"/>
        <w:outlineLvl w:val="0"/>
        <w:rPr>
          <w:rFonts w:hint="eastAsia" w:ascii="宋体" w:hAnsi="宋体" w:eastAsia="宋体" w:cs="宋体"/>
          <w:b w:val="0"/>
          <w:sz w:val="21"/>
          <w:szCs w:val="21"/>
        </w:rPr>
      </w:pPr>
      <w:bookmarkStart w:id="42" w:name="_Toc7371"/>
      <w:r>
        <w:rPr>
          <w:rFonts w:hint="eastAsia" w:ascii="宋体" w:hAnsi="宋体" w:eastAsia="宋体" w:cs="宋体"/>
          <w:b w:val="0"/>
          <w:sz w:val="21"/>
          <w:szCs w:val="21"/>
        </w:rPr>
        <w:t>八、凡对本次采购提出询问，请按以下方式联系。</w:t>
      </w:r>
      <w:bookmarkEnd w:id="38"/>
      <w:bookmarkEnd w:id="39"/>
      <w:bookmarkEnd w:id="40"/>
      <w:bookmarkEnd w:id="41"/>
      <w:bookmarkEnd w:id="42"/>
    </w:p>
    <w:p>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bookmarkStart w:id="43" w:name="_Toc28359019"/>
      <w:bookmarkStart w:id="44" w:name="_Toc35393806"/>
      <w:bookmarkStart w:id="45" w:name="_Toc35393637"/>
      <w:bookmarkStart w:id="46" w:name="_Toc28359096"/>
      <w:r>
        <w:rPr>
          <w:rFonts w:hint="eastAsia" w:ascii="宋体" w:hAnsi="宋体" w:eastAsia="宋体" w:cs="宋体"/>
          <w:szCs w:val="21"/>
        </w:rPr>
        <w:t>1.采购人信息</w:t>
      </w:r>
      <w:bookmarkEnd w:id="43"/>
      <w:bookmarkEnd w:id="44"/>
      <w:bookmarkEnd w:id="45"/>
      <w:bookmarkEnd w:id="46"/>
    </w:p>
    <w:p>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名    称：崇左市人民代表大会常务委员会办公室</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地    址：崇左市行政中心人大区</w:t>
      </w:r>
    </w:p>
    <w:p>
      <w:pPr>
        <w:pageBreakBefore w:val="0"/>
        <w:kinsoku/>
        <w:wordWrap/>
        <w:overflowPunct/>
        <w:topLinePunct w:val="0"/>
        <w:bidi w:val="0"/>
        <w:spacing w:line="400" w:lineRule="exact"/>
        <w:ind w:firstLine="420" w:firstLineChars="200"/>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rPr>
        <w:t>联系方式：</w:t>
      </w:r>
      <w:bookmarkStart w:id="47" w:name="_Toc28359097"/>
      <w:bookmarkStart w:id="48" w:name="_Toc28359020"/>
      <w:bookmarkStart w:id="49" w:name="_Toc35393807"/>
      <w:bookmarkStart w:id="50" w:name="_Toc35393638"/>
      <w:r>
        <w:rPr>
          <w:rFonts w:hint="eastAsia" w:hAnsi="宋体" w:cs="宋体"/>
          <w:szCs w:val="21"/>
          <w:highlight w:val="none"/>
          <w:lang w:val="en-US" w:eastAsia="zh-CN"/>
        </w:rPr>
        <w:t>0771-7968085</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2.采购代理机构信息</w:t>
      </w:r>
      <w:bookmarkEnd w:id="47"/>
      <w:bookmarkEnd w:id="48"/>
      <w:bookmarkEnd w:id="49"/>
      <w:bookmarkEnd w:id="50"/>
    </w:p>
    <w:p>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名    称：广西大通建设监理咨询管理有限公司   </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地　　址：崇左市花山路嘉苑小区R-08号崇左分公司</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联系方式：0771-7</w:t>
      </w:r>
      <w:bookmarkStart w:id="51" w:name="_Toc28359021"/>
      <w:bookmarkStart w:id="52" w:name="_Toc35393639"/>
      <w:bookmarkStart w:id="53" w:name="_Toc35393808"/>
      <w:bookmarkStart w:id="54" w:name="_Toc28359098"/>
      <w:r>
        <w:rPr>
          <w:rFonts w:hint="eastAsia" w:ascii="宋体" w:hAnsi="宋体" w:eastAsia="宋体" w:cs="宋体"/>
          <w:szCs w:val="21"/>
        </w:rPr>
        <w:t>881212</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3.项目联系方式</w:t>
      </w:r>
      <w:bookmarkEnd w:id="51"/>
      <w:bookmarkEnd w:id="52"/>
      <w:bookmarkEnd w:id="53"/>
      <w:bookmarkEnd w:id="54"/>
    </w:p>
    <w:p>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项目联系人：黄工</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电　　 话：0771-7881212</w:t>
      </w:r>
    </w:p>
    <w:p>
      <w:pPr>
        <w:pageBreakBefore w:val="0"/>
        <w:kinsoku/>
        <w:wordWrap/>
        <w:overflowPunct/>
        <w:topLinePunct w:val="0"/>
        <w:bidi w:val="0"/>
        <w:spacing w:line="400" w:lineRule="exact"/>
        <w:ind w:firstLine="1890" w:firstLineChars="900"/>
        <w:textAlignment w:val="auto"/>
        <w:rPr>
          <w:rFonts w:hint="eastAsia" w:ascii="宋体" w:hAnsi="宋体" w:eastAsia="宋体" w:cs="宋体"/>
          <w:szCs w:val="21"/>
        </w:rPr>
      </w:pPr>
    </w:p>
    <w:p>
      <w:pPr>
        <w:pageBreakBefore w:val="0"/>
        <w:kinsoku/>
        <w:wordWrap/>
        <w:overflowPunct/>
        <w:topLinePunct w:val="0"/>
        <w:bidi w:val="0"/>
        <w:spacing w:line="400" w:lineRule="exact"/>
        <w:ind w:firstLine="1890" w:firstLineChars="900"/>
        <w:textAlignment w:val="auto"/>
        <w:rPr>
          <w:rFonts w:hint="eastAsia" w:ascii="宋体" w:hAnsi="宋体" w:eastAsia="宋体" w:cs="宋体"/>
          <w:szCs w:val="21"/>
          <w:highlight w:val="none"/>
        </w:rPr>
      </w:pPr>
      <w:r>
        <w:rPr>
          <w:rFonts w:hint="eastAsia" w:ascii="宋体" w:hAnsi="宋体" w:eastAsia="宋体" w:cs="宋体"/>
          <w:szCs w:val="21"/>
          <w:highlight w:val="none"/>
        </w:rPr>
        <w:t>采购人：崇左市人民代表大会常务委员会办公室</w:t>
      </w:r>
    </w:p>
    <w:p>
      <w:pPr>
        <w:pageBreakBefore w:val="0"/>
        <w:kinsoku/>
        <w:wordWrap/>
        <w:overflowPunct/>
        <w:topLinePunct w:val="0"/>
        <w:bidi w:val="0"/>
        <w:spacing w:line="400" w:lineRule="exact"/>
        <w:ind w:firstLine="1890" w:firstLineChars="900"/>
        <w:textAlignment w:val="auto"/>
        <w:rPr>
          <w:rFonts w:hint="eastAsia" w:ascii="宋体" w:hAnsi="宋体" w:eastAsia="宋体" w:cs="宋体"/>
          <w:szCs w:val="21"/>
        </w:rPr>
      </w:pPr>
      <w:r>
        <w:rPr>
          <w:rFonts w:hint="eastAsia" w:ascii="宋体" w:hAnsi="宋体" w:eastAsia="宋体" w:cs="宋体"/>
          <w:szCs w:val="21"/>
        </w:rPr>
        <w:t>采购代理机构：广西大通建设监理咨询管理有限公司</w:t>
      </w:r>
    </w:p>
    <w:p>
      <w:pPr>
        <w:pageBreakBefore w:val="0"/>
        <w:kinsoku/>
        <w:wordWrap/>
        <w:overflowPunct/>
        <w:topLinePunct w:val="0"/>
        <w:bidi w:val="0"/>
        <w:spacing w:line="400" w:lineRule="exact"/>
        <w:ind w:firstLine="3360" w:firstLineChars="1600"/>
        <w:textAlignment w:val="auto"/>
        <w:rPr>
          <w:rFonts w:hint="eastAsia" w:ascii="宋体" w:hAnsi="宋体" w:eastAsia="宋体" w:cs="宋体"/>
          <w:b/>
          <w:bCs/>
          <w:sz w:val="30"/>
          <w:szCs w:val="30"/>
        </w:rPr>
      </w:pPr>
      <w:r>
        <w:rPr>
          <w:rFonts w:hint="eastAsia" w:ascii="宋体" w:hAnsi="宋体" w:eastAsia="宋体" w:cs="宋体"/>
          <w:szCs w:val="21"/>
        </w:rPr>
        <w:t>2020年</w:t>
      </w:r>
      <w:r>
        <w:rPr>
          <w:rFonts w:hint="eastAsia" w:hAnsi="宋体" w:cs="宋体"/>
          <w:szCs w:val="21"/>
          <w:lang w:val="en-US" w:eastAsia="zh-CN"/>
        </w:rPr>
        <w:t>12</w:t>
      </w:r>
      <w:r>
        <w:rPr>
          <w:rFonts w:hint="eastAsia" w:ascii="宋体" w:hAnsi="宋体" w:eastAsia="宋体" w:cs="宋体"/>
          <w:szCs w:val="21"/>
        </w:rPr>
        <w:t>月</w:t>
      </w:r>
      <w:r>
        <w:rPr>
          <w:rFonts w:hint="eastAsia" w:hAnsi="宋体" w:cs="宋体"/>
          <w:szCs w:val="21"/>
          <w:lang w:val="en-US" w:eastAsia="zh-CN"/>
        </w:rPr>
        <w:t>3</w:t>
      </w:r>
      <w:r>
        <w:rPr>
          <w:rFonts w:hint="eastAsia" w:ascii="宋体" w:hAnsi="宋体" w:eastAsia="宋体" w:cs="宋体"/>
          <w:szCs w:val="21"/>
        </w:rPr>
        <w:t>日</w:t>
      </w:r>
      <w:bookmarkStart w:id="55" w:name="_Toc32206"/>
      <w:bookmarkStart w:id="56" w:name="_Toc9265"/>
      <w:bookmarkStart w:id="57" w:name="_Toc10689"/>
      <w:bookmarkStart w:id="58" w:name="_Toc15761"/>
      <w:bookmarkStart w:id="59" w:name="_Toc19748"/>
    </w:p>
    <w:p>
      <w:pPr>
        <w:pStyle w:val="20"/>
        <w:spacing w:line="360" w:lineRule="auto"/>
        <w:jc w:val="center"/>
        <w:outlineLvl w:val="0"/>
        <w:rPr>
          <w:rFonts w:hint="eastAsia" w:ascii="宋体" w:hAnsi="宋体" w:eastAsia="宋体" w:cs="宋体"/>
          <w:sz w:val="30"/>
          <w:szCs w:val="30"/>
        </w:rPr>
      </w:pPr>
      <w:bookmarkStart w:id="60" w:name="_Toc2649"/>
      <w:r>
        <w:rPr>
          <w:rFonts w:hint="eastAsia" w:ascii="宋体" w:hAnsi="宋体" w:eastAsia="宋体" w:cs="宋体"/>
          <w:b/>
          <w:bCs/>
          <w:sz w:val="30"/>
          <w:szCs w:val="30"/>
        </w:rPr>
        <w:t xml:space="preserve">第一章   </w:t>
      </w:r>
      <w:bookmarkEnd w:id="2"/>
      <w:bookmarkEnd w:id="3"/>
      <w:bookmarkEnd w:id="4"/>
      <w:r>
        <w:rPr>
          <w:rFonts w:hint="eastAsia" w:ascii="宋体" w:hAnsi="宋体" w:eastAsia="宋体" w:cs="宋体"/>
          <w:b/>
          <w:bCs/>
          <w:sz w:val="30"/>
          <w:szCs w:val="30"/>
        </w:rPr>
        <w:t>供应商须知及前附表</w:t>
      </w:r>
      <w:bookmarkEnd w:id="55"/>
      <w:bookmarkEnd w:id="56"/>
      <w:bookmarkEnd w:id="57"/>
      <w:bookmarkEnd w:id="58"/>
      <w:bookmarkEnd w:id="59"/>
      <w:bookmarkEnd w:id="60"/>
    </w:p>
    <w:p>
      <w:pPr>
        <w:pStyle w:val="20"/>
        <w:spacing w:line="360" w:lineRule="auto"/>
        <w:jc w:val="center"/>
        <w:outlineLvl w:val="1"/>
        <w:rPr>
          <w:rFonts w:hint="eastAsia" w:ascii="宋体" w:hAnsi="宋体" w:eastAsia="宋体" w:cs="宋体"/>
          <w:b/>
          <w:bCs/>
          <w:sz w:val="30"/>
          <w:szCs w:val="30"/>
        </w:rPr>
      </w:pPr>
      <w:bookmarkStart w:id="61" w:name="_Toc114303699"/>
      <w:bookmarkStart w:id="62" w:name="_Toc114052412"/>
      <w:bookmarkStart w:id="63" w:name="_Toc13662"/>
      <w:bookmarkStart w:id="64" w:name="_Toc345484560"/>
      <w:bookmarkStart w:id="65" w:name="_Toc294605714"/>
      <w:bookmarkStart w:id="66" w:name="_Toc114052338"/>
      <w:bookmarkStart w:id="67" w:name="_Toc29067"/>
      <w:bookmarkStart w:id="68" w:name="_Toc452043858"/>
      <w:bookmarkStart w:id="69" w:name="_Toc345484656"/>
      <w:bookmarkStart w:id="70" w:name="_Toc12613"/>
      <w:bookmarkStart w:id="71" w:name="_Toc313623219"/>
      <w:bookmarkStart w:id="72" w:name="_Toc16147"/>
      <w:bookmarkStart w:id="73" w:name="_Toc313623268"/>
      <w:bookmarkStart w:id="74" w:name="_Toc25661"/>
      <w:r>
        <w:rPr>
          <w:rFonts w:hint="eastAsia" w:ascii="宋体" w:hAnsi="宋体" w:eastAsia="宋体" w:cs="宋体"/>
          <w:b/>
          <w:bCs/>
          <w:sz w:val="30"/>
          <w:szCs w:val="30"/>
        </w:rPr>
        <w:t>供应商须知前附表</w:t>
      </w:r>
      <w:bookmarkEnd w:id="61"/>
      <w:bookmarkEnd w:id="62"/>
      <w:bookmarkEnd w:id="63"/>
      <w:bookmarkEnd w:id="64"/>
      <w:bookmarkEnd w:id="65"/>
      <w:bookmarkEnd w:id="66"/>
      <w:bookmarkEnd w:id="67"/>
      <w:bookmarkEnd w:id="68"/>
      <w:bookmarkEnd w:id="69"/>
      <w:bookmarkEnd w:id="70"/>
      <w:bookmarkEnd w:id="71"/>
      <w:bookmarkEnd w:id="72"/>
      <w:bookmarkEnd w:id="73"/>
      <w:bookmarkEnd w:id="74"/>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140"/>
        <w:gridCol w:w="7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69" w:type="dxa"/>
            <w:vAlign w:val="center"/>
          </w:tcPr>
          <w:p>
            <w:pPr>
              <w:autoSpaceDE w:val="0"/>
              <w:autoSpaceDN w:val="0"/>
              <w:spacing w:line="360" w:lineRule="auto"/>
              <w:jc w:val="center"/>
              <w:rPr>
                <w:rFonts w:hint="eastAsia" w:ascii="宋体" w:hAnsi="宋体" w:eastAsia="宋体" w:cs="宋体"/>
                <w:b/>
                <w:kern w:val="0"/>
                <w:szCs w:val="21"/>
              </w:rPr>
            </w:pPr>
            <w:r>
              <w:rPr>
                <w:rFonts w:hint="eastAsia" w:ascii="宋体" w:hAnsi="宋体" w:eastAsia="宋体" w:cs="宋体"/>
                <w:b/>
                <w:kern w:val="0"/>
                <w:szCs w:val="21"/>
              </w:rPr>
              <w:t>项号</w:t>
            </w:r>
          </w:p>
        </w:tc>
        <w:tc>
          <w:tcPr>
            <w:tcW w:w="1140" w:type="dxa"/>
            <w:vAlign w:val="center"/>
          </w:tcPr>
          <w:p>
            <w:pPr>
              <w:autoSpaceDE w:val="0"/>
              <w:autoSpaceDN w:val="0"/>
              <w:spacing w:line="360" w:lineRule="auto"/>
              <w:jc w:val="center"/>
              <w:rPr>
                <w:rFonts w:hint="eastAsia" w:ascii="宋体" w:hAnsi="宋体" w:eastAsia="宋体" w:cs="宋体"/>
                <w:b/>
                <w:kern w:val="0"/>
                <w:szCs w:val="21"/>
              </w:rPr>
            </w:pPr>
            <w:r>
              <w:rPr>
                <w:rFonts w:hint="eastAsia" w:ascii="宋体" w:hAnsi="宋体" w:eastAsia="宋体" w:cs="宋体"/>
                <w:b/>
                <w:kern w:val="0"/>
                <w:szCs w:val="21"/>
              </w:rPr>
              <w:t>条款号</w:t>
            </w:r>
          </w:p>
        </w:tc>
        <w:tc>
          <w:tcPr>
            <w:tcW w:w="7904" w:type="dxa"/>
            <w:vAlign w:val="center"/>
          </w:tcPr>
          <w:p>
            <w:pPr>
              <w:autoSpaceDE w:val="0"/>
              <w:autoSpaceDN w:val="0"/>
              <w:spacing w:line="360" w:lineRule="auto"/>
              <w:jc w:val="center"/>
              <w:rPr>
                <w:rFonts w:hint="eastAsia" w:ascii="宋体" w:hAnsi="宋体" w:eastAsia="宋体" w:cs="宋体"/>
                <w:b/>
                <w:kern w:val="0"/>
                <w:szCs w:val="21"/>
              </w:rPr>
            </w:pPr>
            <w:r>
              <w:rPr>
                <w:rFonts w:hint="eastAsia" w:ascii="宋体" w:hAnsi="宋体" w:eastAsia="宋体" w:cs="宋体"/>
                <w:b/>
                <w:kern w:val="0"/>
                <w:szCs w:val="21"/>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69" w:type="dxa"/>
            <w:vAlign w:val="center"/>
          </w:tcPr>
          <w:p>
            <w:pPr>
              <w:autoSpaceDE w:val="0"/>
              <w:autoSpaceDN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１</w:t>
            </w:r>
          </w:p>
        </w:tc>
        <w:tc>
          <w:tcPr>
            <w:tcW w:w="1140" w:type="dxa"/>
            <w:vAlign w:val="center"/>
          </w:tcPr>
          <w:p>
            <w:pPr>
              <w:autoSpaceDE w:val="0"/>
              <w:autoSpaceDN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1.1</w:t>
            </w:r>
          </w:p>
        </w:tc>
        <w:tc>
          <w:tcPr>
            <w:tcW w:w="7904" w:type="dxa"/>
            <w:vAlign w:val="center"/>
          </w:tcPr>
          <w:p>
            <w:pPr>
              <w:spacing w:line="360" w:lineRule="auto"/>
              <w:rPr>
                <w:rFonts w:hint="eastAsia" w:ascii="宋体" w:hAnsi="宋体" w:eastAsia="宋体" w:cs="宋体"/>
                <w:szCs w:val="21"/>
                <w:lang w:eastAsia="zh-CN"/>
              </w:rPr>
            </w:pPr>
            <w:r>
              <w:rPr>
                <w:rFonts w:hint="eastAsia" w:ascii="宋体" w:hAnsi="宋体" w:eastAsia="宋体" w:cs="宋体"/>
                <w:szCs w:val="21"/>
              </w:rPr>
              <w:t>项目名称：</w:t>
            </w:r>
            <w:r>
              <w:rPr>
                <w:rFonts w:hint="eastAsia" w:ascii="宋体" w:hAnsi="宋体" w:eastAsia="宋体" w:cs="宋体"/>
                <w:szCs w:val="21"/>
                <w:lang w:eastAsia="zh-CN"/>
              </w:rPr>
              <w:t>预算联网监督系统二期项目软件开发</w:t>
            </w:r>
          </w:p>
          <w:p>
            <w:pPr>
              <w:spacing w:line="360" w:lineRule="auto"/>
              <w:rPr>
                <w:rFonts w:hint="eastAsia" w:ascii="宋体" w:hAnsi="宋体" w:eastAsia="宋体" w:cs="宋体"/>
                <w:kern w:val="0"/>
                <w:szCs w:val="21"/>
              </w:rPr>
            </w:pPr>
            <w:r>
              <w:rPr>
                <w:rFonts w:hint="eastAsia" w:ascii="宋体" w:hAnsi="宋体" w:eastAsia="宋体" w:cs="宋体"/>
                <w:szCs w:val="21"/>
              </w:rPr>
              <w:t>项目编号：CZZC2020-C3-00005-GXDT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69" w:type="dxa"/>
            <w:vAlign w:val="center"/>
          </w:tcPr>
          <w:p>
            <w:pPr>
              <w:autoSpaceDE w:val="0"/>
              <w:autoSpaceDN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2</w:t>
            </w:r>
          </w:p>
        </w:tc>
        <w:tc>
          <w:tcPr>
            <w:tcW w:w="1140" w:type="dxa"/>
            <w:vAlign w:val="center"/>
          </w:tcPr>
          <w:p>
            <w:pPr>
              <w:autoSpaceDE w:val="0"/>
              <w:autoSpaceDN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3</w:t>
            </w:r>
          </w:p>
        </w:tc>
        <w:tc>
          <w:tcPr>
            <w:tcW w:w="7904" w:type="dxa"/>
            <w:vAlign w:val="center"/>
          </w:tcPr>
          <w:p>
            <w:pPr>
              <w:spacing w:line="360" w:lineRule="auto"/>
              <w:rPr>
                <w:rFonts w:hint="eastAsia" w:ascii="宋体" w:hAnsi="宋体" w:eastAsia="宋体" w:cs="宋体"/>
                <w:szCs w:val="21"/>
              </w:rPr>
            </w:pPr>
            <w:r>
              <w:rPr>
                <w:rFonts w:hint="eastAsia" w:ascii="宋体" w:hAnsi="宋体" w:eastAsia="宋体" w:cs="宋体"/>
                <w:szCs w:val="21"/>
              </w:rPr>
              <w:t>磋商供应商资格要求：</w:t>
            </w:r>
          </w:p>
          <w:p>
            <w:pPr>
              <w:spacing w:line="360" w:lineRule="auto"/>
              <w:rPr>
                <w:rFonts w:hint="eastAsia" w:ascii="宋体" w:hAnsi="宋体" w:eastAsia="宋体" w:cs="宋体"/>
                <w:szCs w:val="21"/>
              </w:rPr>
            </w:pPr>
            <w:r>
              <w:rPr>
                <w:rFonts w:hint="eastAsia" w:ascii="宋体" w:hAnsi="宋体" w:eastAsia="宋体" w:cs="宋体"/>
                <w:szCs w:val="21"/>
              </w:rPr>
              <w:t>1.满足《中华人民共和国政府采购法》第二十二条规定；</w:t>
            </w:r>
          </w:p>
          <w:p>
            <w:pPr>
              <w:spacing w:line="360" w:lineRule="auto"/>
              <w:rPr>
                <w:rFonts w:hint="eastAsia" w:ascii="宋体" w:hAnsi="宋体" w:eastAsia="宋体" w:cs="宋体"/>
                <w:szCs w:val="21"/>
              </w:rPr>
            </w:pPr>
            <w:r>
              <w:rPr>
                <w:rFonts w:hint="eastAsia" w:ascii="宋体" w:hAnsi="宋体" w:eastAsia="宋体" w:cs="宋体"/>
                <w:szCs w:val="21"/>
              </w:rPr>
              <w:t>2.落实政府采购政策需满足的资格要求：</w:t>
            </w:r>
          </w:p>
          <w:p>
            <w:pPr>
              <w:spacing w:line="360" w:lineRule="auto"/>
              <w:rPr>
                <w:rFonts w:hint="eastAsia" w:ascii="宋体" w:hAnsi="宋体" w:eastAsia="宋体" w:cs="宋体"/>
                <w:szCs w:val="21"/>
              </w:rPr>
            </w:pPr>
            <w:r>
              <w:rPr>
                <w:rFonts w:hint="eastAsia" w:ascii="宋体" w:hAnsi="宋体" w:eastAsia="宋体" w:cs="宋体"/>
                <w:szCs w:val="21"/>
              </w:rPr>
              <w:t>（1）鼓励节能、环保政策：依据《财政部 发展改革委 生态环境部 市场监管总局关于调整优化节能产品、环境标志产品政府采购执行机制的通知（财库（2019）9号）》执行。</w:t>
            </w:r>
          </w:p>
          <w:p>
            <w:pPr>
              <w:spacing w:line="360" w:lineRule="auto"/>
              <w:rPr>
                <w:rFonts w:hint="eastAsia" w:ascii="宋体" w:hAnsi="宋体" w:eastAsia="宋体" w:cs="宋体"/>
                <w:szCs w:val="21"/>
              </w:rPr>
            </w:pPr>
            <w:r>
              <w:rPr>
                <w:rFonts w:hint="eastAsia" w:ascii="宋体" w:hAnsi="宋体" w:eastAsia="宋体" w:cs="宋体"/>
                <w:szCs w:val="21"/>
              </w:rPr>
              <w:t>（2）扶持中小企业政策：评审时小型和微型企业产品享受10%的价格折扣。监狱企业、残疾人福利性单位视同小型、微型企业。不重复享受政策。</w:t>
            </w:r>
          </w:p>
          <w:p>
            <w:pPr>
              <w:spacing w:line="360" w:lineRule="auto"/>
              <w:rPr>
                <w:rFonts w:hint="eastAsia" w:ascii="宋体" w:hAnsi="宋体" w:eastAsia="宋体" w:cs="宋体"/>
                <w:szCs w:val="21"/>
              </w:rPr>
            </w:pPr>
            <w:r>
              <w:rPr>
                <w:rFonts w:hint="eastAsia" w:ascii="宋体" w:hAnsi="宋体" w:eastAsia="宋体" w:cs="宋体"/>
                <w:szCs w:val="21"/>
              </w:rPr>
              <w:t>3.本项目的特定资格要求：</w:t>
            </w:r>
          </w:p>
          <w:p>
            <w:pPr>
              <w:spacing w:line="360" w:lineRule="auto"/>
              <w:rPr>
                <w:rFonts w:hint="eastAsia" w:ascii="宋体" w:hAnsi="宋体" w:eastAsia="宋体" w:cs="宋体"/>
                <w:szCs w:val="21"/>
              </w:rPr>
            </w:pPr>
            <w:r>
              <w:rPr>
                <w:rFonts w:hint="eastAsia" w:ascii="宋体" w:hAnsi="宋体" w:eastAsia="宋体" w:cs="宋体"/>
                <w:szCs w:val="21"/>
              </w:rPr>
              <w:t>(1)国内注册（指按国家有关规定要求注册的），能够提供本次采购服务的供应商；</w:t>
            </w:r>
          </w:p>
          <w:p>
            <w:pPr>
              <w:spacing w:line="360" w:lineRule="auto"/>
              <w:rPr>
                <w:rFonts w:hint="eastAsia" w:ascii="宋体" w:hAnsi="宋体" w:eastAsia="宋体" w:cs="宋体"/>
                <w:szCs w:val="21"/>
              </w:rPr>
            </w:pPr>
            <w:r>
              <w:rPr>
                <w:rFonts w:hint="eastAsia" w:ascii="宋体" w:hAnsi="宋体" w:eastAsia="宋体" w:cs="宋体"/>
                <w:szCs w:val="21"/>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rPr>
                <w:rFonts w:hint="eastAsia" w:ascii="宋体" w:hAnsi="宋体" w:eastAsia="宋体" w:cs="宋体"/>
                <w:szCs w:val="21"/>
              </w:rPr>
            </w:pPr>
            <w:r>
              <w:rPr>
                <w:rFonts w:hint="eastAsia" w:ascii="宋体" w:hAnsi="宋体" w:eastAsia="宋体" w:cs="宋体"/>
                <w:szCs w:val="21"/>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69" w:type="dxa"/>
            <w:vAlign w:val="center"/>
          </w:tcPr>
          <w:p>
            <w:pPr>
              <w:autoSpaceDE w:val="0"/>
              <w:autoSpaceDN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3</w:t>
            </w:r>
          </w:p>
        </w:tc>
        <w:tc>
          <w:tcPr>
            <w:tcW w:w="1140" w:type="dxa"/>
            <w:vAlign w:val="center"/>
          </w:tcPr>
          <w:p>
            <w:pPr>
              <w:autoSpaceDE w:val="0"/>
              <w:autoSpaceDN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11．1</w:t>
            </w:r>
          </w:p>
        </w:tc>
        <w:tc>
          <w:tcPr>
            <w:tcW w:w="7904" w:type="dxa"/>
            <w:vAlign w:val="center"/>
          </w:tcPr>
          <w:p>
            <w:pPr>
              <w:spacing w:line="360" w:lineRule="auto"/>
              <w:rPr>
                <w:rFonts w:hint="eastAsia" w:ascii="宋体" w:hAnsi="宋体" w:eastAsia="宋体" w:cs="宋体"/>
                <w:szCs w:val="21"/>
              </w:rPr>
            </w:pPr>
            <w:r>
              <w:rPr>
                <w:rFonts w:hint="eastAsia" w:ascii="宋体" w:hAnsi="宋体" w:eastAsia="宋体" w:cs="宋体"/>
                <w:szCs w:val="21"/>
              </w:rPr>
              <w:t>磋商报价：供应商必须就本项目采购需求中的全部内容作完整报价，每轮报价均应是唯一报价，最后报价是供应商响应文件的有效组成部分。最后报价出现漏项报价的或有选择的或有条件的报价，其响应文件将视为无效。</w:t>
            </w:r>
          </w:p>
          <w:p>
            <w:pPr>
              <w:spacing w:line="360" w:lineRule="auto"/>
              <w:rPr>
                <w:rFonts w:hint="eastAsia" w:ascii="宋体" w:hAnsi="宋体" w:eastAsia="宋体" w:cs="宋体"/>
                <w:szCs w:val="21"/>
              </w:rPr>
            </w:pPr>
            <w:r>
              <w:rPr>
                <w:rFonts w:hint="eastAsia" w:ascii="宋体" w:hAnsi="宋体" w:eastAsia="宋体" w:cs="宋体"/>
                <w:b/>
                <w:bCs/>
                <w:szCs w:val="21"/>
              </w:rPr>
              <w:t>磋商报价不能超过最高限价。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69" w:type="dxa"/>
            <w:vAlign w:val="center"/>
          </w:tcPr>
          <w:p>
            <w:pPr>
              <w:autoSpaceDE w:val="0"/>
              <w:autoSpaceDN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4</w:t>
            </w:r>
          </w:p>
        </w:tc>
        <w:tc>
          <w:tcPr>
            <w:tcW w:w="1140" w:type="dxa"/>
            <w:vAlign w:val="center"/>
          </w:tcPr>
          <w:p>
            <w:pPr>
              <w:autoSpaceDE w:val="0"/>
              <w:autoSpaceDN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11.5</w:t>
            </w:r>
          </w:p>
        </w:tc>
        <w:tc>
          <w:tcPr>
            <w:tcW w:w="7904"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rPr>
              <w:t>人民币</w:t>
            </w:r>
            <w:r>
              <w:rPr>
                <w:rFonts w:hint="eastAsia" w:hAnsi="宋体" w:cs="宋体"/>
                <w:color w:val="auto"/>
                <w:szCs w:val="21"/>
                <w:highlight w:val="none"/>
                <w:lang w:val="en-US" w:eastAsia="zh-CN"/>
              </w:rPr>
              <w:t>柒拾肆万叁仟元整</w:t>
            </w:r>
            <w:r>
              <w:rPr>
                <w:rFonts w:hint="eastAsia" w:ascii="宋体" w:hAnsi="宋体" w:eastAsia="宋体" w:cs="宋体"/>
                <w:color w:val="auto"/>
                <w:szCs w:val="21"/>
                <w:highlight w:val="none"/>
              </w:rPr>
              <w:t>（¥</w:t>
            </w:r>
            <w:r>
              <w:rPr>
                <w:rFonts w:hint="eastAsia" w:hAnsi="宋体" w:cs="宋体"/>
                <w:color w:val="auto"/>
                <w:szCs w:val="21"/>
                <w:highlight w:val="none"/>
                <w:lang w:val="en-US" w:eastAsia="zh-CN"/>
              </w:rPr>
              <w:t>743000.00</w:t>
            </w:r>
            <w:r>
              <w:rPr>
                <w:rFonts w:hint="eastAsia" w:ascii="宋体" w:hAnsi="宋体" w:eastAsia="宋体" w:cs="宋体"/>
                <w:color w:val="auto"/>
                <w:szCs w:val="21"/>
                <w:highlight w:val="none"/>
              </w:rPr>
              <w:t>）</w:t>
            </w:r>
          </w:p>
          <w:p>
            <w:pPr>
              <w:spacing w:line="360" w:lineRule="auto"/>
              <w:rPr>
                <w:rFonts w:hint="default" w:ascii="宋体" w:hAnsi="宋体" w:eastAsia="宋体" w:cs="宋体"/>
                <w:szCs w:val="21"/>
                <w:lang w:val="en-US" w:eastAsia="zh-CN"/>
              </w:rPr>
            </w:pPr>
            <w:r>
              <w:rPr>
                <w:rFonts w:hint="eastAsia" w:ascii="宋体" w:hAnsi="宋体" w:eastAsia="宋体" w:cs="宋体"/>
                <w:color w:val="auto"/>
                <w:szCs w:val="21"/>
                <w:highlight w:val="none"/>
              </w:rPr>
              <w:t>最高限价：</w:t>
            </w:r>
            <w:r>
              <w:rPr>
                <w:rFonts w:hint="eastAsia" w:hAnsi="宋体" w:cs="宋体"/>
                <w:color w:val="auto"/>
                <w:szCs w:val="21"/>
                <w:highlight w:val="none"/>
                <w:lang w:val="en-US" w:eastAsia="zh-CN"/>
              </w:rPr>
              <w:t>同预算金额。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69" w:type="dxa"/>
            <w:vAlign w:val="center"/>
          </w:tcPr>
          <w:p>
            <w:pPr>
              <w:autoSpaceDE w:val="0"/>
              <w:autoSpaceDN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5</w:t>
            </w:r>
          </w:p>
        </w:tc>
        <w:tc>
          <w:tcPr>
            <w:tcW w:w="1140" w:type="dxa"/>
            <w:vAlign w:val="center"/>
          </w:tcPr>
          <w:p>
            <w:pPr>
              <w:autoSpaceDE w:val="0"/>
              <w:autoSpaceDN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15．1</w:t>
            </w:r>
          </w:p>
        </w:tc>
        <w:tc>
          <w:tcPr>
            <w:tcW w:w="7904" w:type="dxa"/>
            <w:vAlign w:val="center"/>
          </w:tcPr>
          <w:p>
            <w:pPr>
              <w:autoSpaceDE w:val="0"/>
              <w:autoSpaceDN w:val="0"/>
              <w:spacing w:line="360" w:lineRule="auto"/>
              <w:rPr>
                <w:rFonts w:hint="eastAsia" w:ascii="宋体" w:hAnsi="宋体" w:eastAsia="宋体" w:cs="宋体"/>
                <w:kern w:val="0"/>
                <w:szCs w:val="21"/>
              </w:rPr>
            </w:pPr>
            <w:r>
              <w:rPr>
                <w:rFonts w:hint="eastAsia" w:ascii="宋体" w:hAnsi="宋体" w:eastAsia="宋体" w:cs="宋体"/>
                <w:b/>
                <w:kern w:val="0"/>
                <w:szCs w:val="21"/>
              </w:rPr>
              <w:t>响应有效期为：</w:t>
            </w:r>
            <w:r>
              <w:rPr>
                <w:rFonts w:hint="eastAsia" w:ascii="宋体" w:hAnsi="宋体" w:eastAsia="宋体" w:cs="宋体"/>
                <w:szCs w:val="21"/>
              </w:rPr>
              <w:t>磋商</w:t>
            </w:r>
            <w:r>
              <w:rPr>
                <w:rFonts w:hint="eastAsia" w:ascii="宋体" w:hAnsi="宋体" w:eastAsia="宋体" w:cs="宋体"/>
                <w:bCs/>
                <w:kern w:val="0"/>
                <w:szCs w:val="21"/>
              </w:rPr>
              <w:t>截止日期后60天</w:t>
            </w: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69" w:type="dxa"/>
            <w:vAlign w:val="center"/>
          </w:tcPr>
          <w:p>
            <w:pPr>
              <w:autoSpaceDE w:val="0"/>
              <w:autoSpaceDN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6</w:t>
            </w:r>
          </w:p>
        </w:tc>
        <w:tc>
          <w:tcPr>
            <w:tcW w:w="1140" w:type="dxa"/>
            <w:vAlign w:val="center"/>
          </w:tcPr>
          <w:p>
            <w:pPr>
              <w:autoSpaceDE w:val="0"/>
              <w:autoSpaceDN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16．6</w:t>
            </w:r>
          </w:p>
        </w:tc>
        <w:tc>
          <w:tcPr>
            <w:tcW w:w="7904" w:type="dxa"/>
            <w:vAlign w:val="center"/>
          </w:tcPr>
          <w:p>
            <w:pPr>
              <w:autoSpaceDE w:val="0"/>
              <w:autoSpaceDN w:val="0"/>
              <w:spacing w:line="360" w:lineRule="auto"/>
              <w:rPr>
                <w:rFonts w:hint="eastAsia" w:ascii="宋体" w:hAnsi="宋体" w:eastAsia="宋体" w:cs="宋体"/>
                <w:kern w:val="0"/>
                <w:szCs w:val="21"/>
              </w:rPr>
            </w:pPr>
            <w:r>
              <w:rPr>
                <w:rFonts w:hint="eastAsia" w:ascii="宋体" w:hAnsi="宋体" w:eastAsia="宋体" w:cs="宋体"/>
                <w:b/>
                <w:kern w:val="0"/>
                <w:szCs w:val="21"/>
              </w:rPr>
              <w:t>响应文件：</w:t>
            </w:r>
            <w:r>
              <w:rPr>
                <w:rFonts w:hint="eastAsia" w:ascii="宋体" w:hAnsi="宋体" w:eastAsia="宋体" w:cs="宋体"/>
                <w:szCs w:val="21"/>
              </w:rPr>
              <w:t>正本壹份  副本叁份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69" w:type="dxa"/>
            <w:vAlign w:val="center"/>
          </w:tcPr>
          <w:p>
            <w:pPr>
              <w:autoSpaceDE w:val="0"/>
              <w:autoSpaceDN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7</w:t>
            </w:r>
          </w:p>
        </w:tc>
        <w:tc>
          <w:tcPr>
            <w:tcW w:w="1140" w:type="dxa"/>
            <w:vAlign w:val="center"/>
          </w:tcPr>
          <w:p>
            <w:pPr>
              <w:autoSpaceDE w:val="0"/>
              <w:autoSpaceDN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17.1</w:t>
            </w:r>
          </w:p>
        </w:tc>
        <w:tc>
          <w:tcPr>
            <w:tcW w:w="7904" w:type="dxa"/>
            <w:vAlign w:val="center"/>
          </w:tcPr>
          <w:p>
            <w:pPr>
              <w:spacing w:line="360" w:lineRule="auto"/>
              <w:rPr>
                <w:rFonts w:hint="eastAsia" w:ascii="宋体" w:hAnsi="宋体" w:eastAsia="宋体" w:cs="宋体"/>
                <w:kern w:val="0"/>
                <w:szCs w:val="21"/>
              </w:rPr>
            </w:pPr>
            <w:r>
              <w:rPr>
                <w:rFonts w:hint="eastAsia" w:ascii="宋体" w:hAnsi="宋体" w:eastAsia="宋体" w:cs="宋体"/>
                <w:b/>
                <w:szCs w:val="21"/>
              </w:rPr>
              <w:t>磋商保证金：</w:t>
            </w:r>
            <w:r>
              <w:rPr>
                <w:rFonts w:hint="eastAsia" w:ascii="宋体" w:hAnsi="宋体" w:eastAsia="宋体" w:cs="宋体"/>
                <w:bCs/>
                <w:szCs w:val="21"/>
              </w:rPr>
              <w:t>本项目免收磋商保证金。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69" w:type="dxa"/>
            <w:vAlign w:val="center"/>
          </w:tcPr>
          <w:p>
            <w:pPr>
              <w:autoSpaceDE w:val="0"/>
              <w:autoSpaceDN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8</w:t>
            </w:r>
          </w:p>
        </w:tc>
        <w:tc>
          <w:tcPr>
            <w:tcW w:w="1140" w:type="dxa"/>
            <w:vAlign w:val="center"/>
          </w:tcPr>
          <w:p>
            <w:pPr>
              <w:autoSpaceDE w:val="0"/>
              <w:autoSpaceDN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19.1</w:t>
            </w:r>
          </w:p>
          <w:p>
            <w:pPr>
              <w:autoSpaceDE w:val="0"/>
              <w:autoSpaceDN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19.2</w:t>
            </w:r>
          </w:p>
        </w:tc>
        <w:tc>
          <w:tcPr>
            <w:tcW w:w="7904" w:type="dxa"/>
            <w:vAlign w:val="center"/>
          </w:tcPr>
          <w:p>
            <w:pPr>
              <w:pStyle w:val="92"/>
              <w:spacing w:line="360" w:lineRule="auto"/>
              <w:rPr>
                <w:rFonts w:hint="eastAsia" w:ascii="宋体" w:hAnsi="宋体" w:eastAsia="宋体" w:cs="宋体"/>
                <w:szCs w:val="21"/>
              </w:rPr>
            </w:pPr>
            <w:r>
              <w:rPr>
                <w:rFonts w:hint="eastAsia" w:ascii="宋体" w:hAnsi="宋体" w:eastAsia="宋体" w:cs="宋体"/>
                <w:szCs w:val="21"/>
              </w:rPr>
              <w:t>响应文件递交截止时间：</w:t>
            </w:r>
            <w:r>
              <w:rPr>
                <w:rFonts w:hint="eastAsia" w:hAnsi="宋体" w:cs="宋体"/>
                <w:szCs w:val="21"/>
                <w:u w:val="single"/>
                <w:lang w:val="en-US" w:eastAsia="zh-CN"/>
              </w:rPr>
              <w:t>2</w:t>
            </w:r>
            <w:r>
              <w:rPr>
                <w:rFonts w:hint="eastAsia" w:ascii="宋体" w:hAnsi="宋体" w:eastAsia="宋体" w:cs="宋体"/>
                <w:szCs w:val="21"/>
                <w:u w:val="single"/>
              </w:rPr>
              <w:t>020</w:t>
            </w:r>
            <w:r>
              <w:rPr>
                <w:rFonts w:hint="eastAsia" w:ascii="宋体" w:hAnsi="宋体" w:eastAsia="宋体" w:cs="宋体"/>
                <w:bCs/>
                <w:szCs w:val="21"/>
                <w:u w:val="single"/>
              </w:rPr>
              <w:t>年</w:t>
            </w:r>
            <w:r>
              <w:rPr>
                <w:rFonts w:hint="eastAsia" w:hAnsi="宋体" w:cs="宋体"/>
                <w:bCs/>
                <w:szCs w:val="21"/>
                <w:u w:val="single"/>
                <w:lang w:val="en-US" w:eastAsia="zh-CN"/>
              </w:rPr>
              <w:t>12</w:t>
            </w:r>
            <w:r>
              <w:rPr>
                <w:rFonts w:hint="eastAsia" w:ascii="宋体" w:hAnsi="宋体" w:eastAsia="宋体" w:cs="宋体"/>
                <w:bCs/>
                <w:szCs w:val="21"/>
                <w:u w:val="single"/>
              </w:rPr>
              <w:t>月</w:t>
            </w:r>
            <w:r>
              <w:rPr>
                <w:rFonts w:hint="eastAsia" w:hAnsi="宋体" w:cs="宋体"/>
                <w:bCs/>
                <w:szCs w:val="21"/>
                <w:u w:val="single"/>
                <w:lang w:val="en-US" w:eastAsia="zh-CN"/>
              </w:rPr>
              <w:t>14</w:t>
            </w:r>
            <w:r>
              <w:rPr>
                <w:rFonts w:hint="eastAsia" w:ascii="宋体" w:hAnsi="宋体" w:eastAsia="宋体" w:cs="宋体"/>
                <w:bCs/>
                <w:szCs w:val="21"/>
                <w:u w:val="single"/>
              </w:rPr>
              <w:t>日</w:t>
            </w:r>
            <w:r>
              <w:rPr>
                <w:rFonts w:hint="eastAsia" w:hAnsi="宋体" w:cs="宋体"/>
                <w:bCs/>
                <w:szCs w:val="21"/>
                <w:u w:val="single"/>
                <w:lang w:val="en-US" w:eastAsia="zh-CN"/>
              </w:rPr>
              <w:t>10</w:t>
            </w:r>
            <w:r>
              <w:rPr>
                <w:rFonts w:hint="eastAsia" w:ascii="宋体" w:hAnsi="宋体" w:eastAsia="宋体" w:cs="宋体"/>
                <w:bCs/>
                <w:szCs w:val="21"/>
                <w:u w:val="single"/>
              </w:rPr>
              <w:t>点</w:t>
            </w:r>
            <w:r>
              <w:rPr>
                <w:rFonts w:hint="eastAsia" w:hAnsi="宋体" w:cs="宋体"/>
                <w:bCs/>
                <w:szCs w:val="21"/>
                <w:u w:val="single"/>
                <w:lang w:val="en-US" w:eastAsia="zh-CN"/>
              </w:rPr>
              <w:t>00</w:t>
            </w:r>
            <w:r>
              <w:rPr>
                <w:rFonts w:hint="eastAsia" w:ascii="宋体" w:hAnsi="宋体" w:eastAsia="宋体" w:cs="宋体"/>
                <w:bCs/>
                <w:szCs w:val="21"/>
                <w:u w:val="single"/>
              </w:rPr>
              <w:t>分</w:t>
            </w:r>
          </w:p>
          <w:p>
            <w:pPr>
              <w:pStyle w:val="92"/>
              <w:spacing w:line="360" w:lineRule="auto"/>
              <w:rPr>
                <w:rFonts w:hint="eastAsia" w:ascii="宋体" w:hAnsi="宋体" w:eastAsia="宋体" w:cs="宋体"/>
                <w:szCs w:val="21"/>
              </w:rPr>
            </w:pPr>
            <w:r>
              <w:rPr>
                <w:rFonts w:hint="eastAsia" w:ascii="宋体" w:hAnsi="宋体" w:eastAsia="宋体" w:cs="宋体"/>
                <w:szCs w:val="21"/>
              </w:rPr>
              <w:t>响应文件以密封形式递交至：</w:t>
            </w:r>
            <w:r>
              <w:rPr>
                <w:rFonts w:hint="eastAsia" w:ascii="宋体" w:hAnsi="宋体" w:eastAsia="宋体" w:cs="宋体"/>
                <w:szCs w:val="21"/>
                <w:u w:val="single"/>
              </w:rPr>
              <w:t>广西大通建设监理咨询管理有限公司崇左分公司</w:t>
            </w:r>
          </w:p>
          <w:p>
            <w:pPr>
              <w:spacing w:line="360" w:lineRule="auto"/>
              <w:rPr>
                <w:rFonts w:hint="eastAsia" w:ascii="宋体" w:hAnsi="宋体" w:eastAsia="宋体" w:cs="宋体"/>
                <w:b/>
                <w:bCs/>
                <w:spacing w:val="2"/>
                <w:szCs w:val="21"/>
              </w:rPr>
            </w:pPr>
            <w:r>
              <w:rPr>
                <w:rFonts w:hint="eastAsia" w:ascii="宋体" w:hAnsi="宋体" w:eastAsia="宋体" w:cs="宋体"/>
                <w:szCs w:val="21"/>
              </w:rPr>
              <w:t>地址：崇左市花山路嘉苑小区R-08号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869" w:type="dxa"/>
            <w:vAlign w:val="center"/>
          </w:tcPr>
          <w:p>
            <w:pPr>
              <w:autoSpaceDE w:val="0"/>
              <w:autoSpaceDN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9</w:t>
            </w:r>
          </w:p>
        </w:tc>
        <w:tc>
          <w:tcPr>
            <w:tcW w:w="1140" w:type="dxa"/>
            <w:vAlign w:val="center"/>
          </w:tcPr>
          <w:p>
            <w:pPr>
              <w:autoSpaceDE w:val="0"/>
              <w:autoSpaceDN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21.1</w:t>
            </w:r>
          </w:p>
        </w:tc>
        <w:tc>
          <w:tcPr>
            <w:tcW w:w="7904" w:type="dxa"/>
            <w:vAlign w:val="center"/>
          </w:tcPr>
          <w:p>
            <w:pPr>
              <w:pStyle w:val="92"/>
              <w:spacing w:line="360" w:lineRule="auto"/>
              <w:rPr>
                <w:rFonts w:hint="eastAsia" w:ascii="宋体" w:hAnsi="宋体" w:eastAsia="宋体" w:cs="宋体"/>
                <w:bCs/>
                <w:szCs w:val="21"/>
              </w:rPr>
            </w:pPr>
            <w:r>
              <w:rPr>
                <w:rFonts w:hint="eastAsia" w:ascii="宋体" w:hAnsi="宋体" w:eastAsia="宋体" w:cs="宋体"/>
                <w:bCs/>
                <w:szCs w:val="21"/>
              </w:rPr>
              <w:t>竞争性磋商时间：</w:t>
            </w:r>
            <w:r>
              <w:rPr>
                <w:rFonts w:hint="eastAsia" w:hAnsi="宋体" w:cs="宋体"/>
                <w:szCs w:val="21"/>
                <w:u w:val="single"/>
                <w:lang w:val="en-US" w:eastAsia="zh-CN"/>
              </w:rPr>
              <w:t>2</w:t>
            </w:r>
            <w:r>
              <w:rPr>
                <w:rFonts w:hint="eastAsia" w:ascii="宋体" w:hAnsi="宋体" w:eastAsia="宋体" w:cs="宋体"/>
                <w:szCs w:val="21"/>
                <w:u w:val="single"/>
              </w:rPr>
              <w:t>020</w:t>
            </w:r>
            <w:r>
              <w:rPr>
                <w:rFonts w:hint="eastAsia" w:ascii="宋体" w:hAnsi="宋体" w:eastAsia="宋体" w:cs="宋体"/>
                <w:bCs/>
                <w:szCs w:val="21"/>
                <w:u w:val="single"/>
              </w:rPr>
              <w:t>年</w:t>
            </w:r>
            <w:r>
              <w:rPr>
                <w:rFonts w:hint="eastAsia" w:hAnsi="宋体" w:cs="宋体"/>
                <w:bCs/>
                <w:szCs w:val="21"/>
                <w:u w:val="single"/>
                <w:lang w:val="en-US" w:eastAsia="zh-CN"/>
              </w:rPr>
              <w:t>12</w:t>
            </w:r>
            <w:r>
              <w:rPr>
                <w:rFonts w:hint="eastAsia" w:ascii="宋体" w:hAnsi="宋体" w:eastAsia="宋体" w:cs="宋体"/>
                <w:bCs/>
                <w:szCs w:val="21"/>
                <w:u w:val="single"/>
              </w:rPr>
              <w:t>月</w:t>
            </w:r>
            <w:r>
              <w:rPr>
                <w:rFonts w:hint="eastAsia" w:hAnsi="宋体" w:cs="宋体"/>
                <w:bCs/>
                <w:szCs w:val="21"/>
                <w:u w:val="single"/>
                <w:lang w:val="en-US" w:eastAsia="zh-CN"/>
              </w:rPr>
              <w:t>14</w:t>
            </w:r>
            <w:r>
              <w:rPr>
                <w:rFonts w:hint="eastAsia" w:ascii="宋体" w:hAnsi="宋体" w:eastAsia="宋体" w:cs="宋体"/>
                <w:bCs/>
                <w:szCs w:val="21"/>
                <w:u w:val="single"/>
              </w:rPr>
              <w:t>日</w:t>
            </w:r>
            <w:r>
              <w:rPr>
                <w:rFonts w:hint="eastAsia" w:hAnsi="宋体" w:cs="宋体"/>
                <w:bCs/>
                <w:szCs w:val="21"/>
                <w:u w:val="single"/>
                <w:lang w:val="en-US" w:eastAsia="zh-CN"/>
              </w:rPr>
              <w:t>10</w:t>
            </w:r>
            <w:r>
              <w:rPr>
                <w:rFonts w:hint="eastAsia" w:ascii="宋体" w:hAnsi="宋体" w:eastAsia="宋体" w:cs="宋体"/>
                <w:bCs/>
                <w:szCs w:val="21"/>
                <w:u w:val="single"/>
              </w:rPr>
              <w:t>点</w:t>
            </w:r>
            <w:r>
              <w:rPr>
                <w:rFonts w:hint="eastAsia" w:hAnsi="宋体" w:cs="宋体"/>
                <w:bCs/>
                <w:szCs w:val="21"/>
                <w:u w:val="single"/>
                <w:lang w:val="en-US" w:eastAsia="zh-CN"/>
              </w:rPr>
              <w:t>00</w:t>
            </w:r>
            <w:r>
              <w:rPr>
                <w:rFonts w:hint="eastAsia" w:ascii="宋体" w:hAnsi="宋体" w:eastAsia="宋体" w:cs="宋体"/>
                <w:bCs/>
                <w:szCs w:val="21"/>
                <w:u w:val="single"/>
              </w:rPr>
              <w:t>分</w:t>
            </w:r>
            <w:r>
              <w:rPr>
                <w:rFonts w:hint="eastAsia" w:ascii="宋体" w:hAnsi="宋体" w:eastAsia="宋体" w:cs="宋体"/>
                <w:szCs w:val="21"/>
              </w:rPr>
              <w:t>截标后。</w:t>
            </w:r>
          </w:p>
          <w:p>
            <w:pPr>
              <w:autoSpaceDE w:val="0"/>
              <w:autoSpaceDN w:val="0"/>
              <w:spacing w:line="360" w:lineRule="auto"/>
              <w:rPr>
                <w:rFonts w:hint="eastAsia" w:ascii="宋体" w:hAnsi="宋体" w:eastAsia="宋体" w:cs="宋体"/>
                <w:kern w:val="0"/>
                <w:szCs w:val="21"/>
              </w:rPr>
            </w:pPr>
            <w:r>
              <w:rPr>
                <w:rFonts w:hint="eastAsia" w:ascii="宋体" w:hAnsi="宋体" w:eastAsia="宋体" w:cs="宋体"/>
                <w:bCs/>
                <w:szCs w:val="21"/>
              </w:rPr>
              <w:t>磋商地点：</w:t>
            </w:r>
            <w:r>
              <w:rPr>
                <w:rFonts w:hint="eastAsia" w:ascii="宋体" w:hAnsi="宋体" w:eastAsia="宋体" w:cs="宋体"/>
                <w:szCs w:val="21"/>
                <w:u w:val="single"/>
              </w:rPr>
              <w:t>广西大通建设监理咨询管理有限公司崇左分公司</w:t>
            </w:r>
            <w:r>
              <w:rPr>
                <w:rFonts w:hint="eastAsia" w:ascii="宋体" w:hAnsi="宋体" w:eastAsia="宋体" w:cs="宋体"/>
                <w:szCs w:val="21"/>
              </w:rPr>
              <w:t>(崇左市花山路嘉苑小区R-08号）。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69" w:type="dxa"/>
            <w:vAlign w:val="center"/>
          </w:tcPr>
          <w:p>
            <w:pPr>
              <w:autoSpaceDE w:val="0"/>
              <w:autoSpaceDN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10</w:t>
            </w:r>
          </w:p>
        </w:tc>
        <w:tc>
          <w:tcPr>
            <w:tcW w:w="1140" w:type="dxa"/>
            <w:vAlign w:val="center"/>
          </w:tcPr>
          <w:p>
            <w:pPr>
              <w:autoSpaceDE w:val="0"/>
              <w:autoSpaceDN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22</w:t>
            </w:r>
          </w:p>
        </w:tc>
        <w:tc>
          <w:tcPr>
            <w:tcW w:w="7904" w:type="dxa"/>
            <w:vAlign w:val="center"/>
          </w:tcPr>
          <w:p>
            <w:pPr>
              <w:autoSpaceDE w:val="0"/>
              <w:autoSpaceDN w:val="0"/>
              <w:spacing w:line="360" w:lineRule="auto"/>
              <w:rPr>
                <w:rFonts w:hint="eastAsia" w:ascii="宋体" w:hAnsi="宋体" w:eastAsia="宋体" w:cs="宋体"/>
                <w:b/>
                <w:kern w:val="0"/>
                <w:szCs w:val="21"/>
              </w:rPr>
            </w:pPr>
            <w:r>
              <w:rPr>
                <w:rFonts w:hint="eastAsia" w:ascii="宋体" w:hAnsi="宋体" w:eastAsia="宋体" w:cs="宋体"/>
                <w:b/>
                <w:kern w:val="0"/>
                <w:szCs w:val="21"/>
              </w:rPr>
              <w:t>评审办法：</w:t>
            </w:r>
            <w:r>
              <w:rPr>
                <w:rFonts w:hint="eastAsia" w:ascii="宋体" w:hAnsi="宋体" w:eastAsia="宋体" w:cs="宋体"/>
                <w:b/>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869" w:type="dxa"/>
            <w:vAlign w:val="center"/>
          </w:tcPr>
          <w:p>
            <w:pPr>
              <w:autoSpaceDE w:val="0"/>
              <w:autoSpaceDN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11</w:t>
            </w:r>
          </w:p>
        </w:tc>
        <w:tc>
          <w:tcPr>
            <w:tcW w:w="1140" w:type="dxa"/>
            <w:vAlign w:val="center"/>
          </w:tcPr>
          <w:p>
            <w:pPr>
              <w:autoSpaceDE w:val="0"/>
              <w:autoSpaceDN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21.2.1（1）</w:t>
            </w:r>
          </w:p>
        </w:tc>
        <w:tc>
          <w:tcPr>
            <w:tcW w:w="7904" w:type="dxa"/>
            <w:vAlign w:val="center"/>
          </w:tcPr>
          <w:p>
            <w:pPr>
              <w:spacing w:line="360" w:lineRule="auto"/>
              <w:rPr>
                <w:rFonts w:hint="eastAsia" w:ascii="宋体" w:hAnsi="宋体" w:eastAsia="宋体" w:cs="宋体"/>
                <w:b/>
                <w:szCs w:val="21"/>
              </w:rPr>
            </w:pPr>
            <w:r>
              <w:rPr>
                <w:rFonts w:hint="eastAsia" w:ascii="宋体" w:hAnsi="宋体" w:eastAsia="宋体" w:cs="宋体"/>
                <w:b/>
                <w:szCs w:val="21"/>
              </w:rPr>
              <w:t>信用信息使用规则：</w:t>
            </w:r>
            <w:r>
              <w:rPr>
                <w:rFonts w:hint="eastAsia" w:ascii="宋体" w:hAnsi="宋体" w:eastAsia="宋体" w:cs="宋体"/>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9" w:type="dxa"/>
            <w:vAlign w:val="center"/>
          </w:tcPr>
          <w:p>
            <w:pPr>
              <w:autoSpaceDE w:val="0"/>
              <w:autoSpaceDN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12</w:t>
            </w:r>
          </w:p>
        </w:tc>
        <w:tc>
          <w:tcPr>
            <w:tcW w:w="1140" w:type="dxa"/>
            <w:vAlign w:val="center"/>
          </w:tcPr>
          <w:p>
            <w:pPr>
              <w:autoSpaceDE w:val="0"/>
              <w:autoSpaceDN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25.3</w:t>
            </w:r>
          </w:p>
        </w:tc>
        <w:tc>
          <w:tcPr>
            <w:tcW w:w="7904" w:type="dxa"/>
            <w:vAlign w:val="center"/>
          </w:tcPr>
          <w:p>
            <w:pPr>
              <w:autoSpaceDE w:val="0"/>
              <w:autoSpaceDN w:val="0"/>
              <w:snapToGrid w:val="0"/>
              <w:spacing w:line="360" w:lineRule="auto"/>
              <w:textAlignment w:val="bottom"/>
              <w:rPr>
                <w:rFonts w:hint="eastAsia" w:ascii="宋体" w:hAnsi="宋体" w:eastAsia="宋体" w:cs="宋体"/>
                <w:b/>
                <w:bCs/>
                <w:color w:val="auto"/>
                <w:kern w:val="0"/>
                <w:szCs w:val="21"/>
              </w:rPr>
            </w:pPr>
            <w:r>
              <w:rPr>
                <w:rFonts w:hint="eastAsia" w:ascii="宋体" w:hAnsi="宋体" w:eastAsia="宋体" w:cs="宋体"/>
                <w:kern w:val="0"/>
                <w:szCs w:val="21"/>
              </w:rPr>
              <w:t>接收质疑函方式：</w:t>
            </w:r>
            <w:r>
              <w:rPr>
                <w:rFonts w:hint="eastAsia" w:ascii="宋体" w:hAnsi="宋体" w:eastAsia="宋体" w:cs="宋体"/>
                <w:b/>
                <w:bCs/>
                <w:color w:val="auto"/>
                <w:kern w:val="0"/>
                <w:szCs w:val="21"/>
              </w:rPr>
              <w:t>只接受现场递交的书面质疑</w:t>
            </w:r>
          </w:p>
          <w:p>
            <w:pPr>
              <w:spacing w:line="360" w:lineRule="auto"/>
              <w:rPr>
                <w:rFonts w:hint="eastAsia" w:ascii="宋体" w:hAnsi="宋体" w:eastAsia="宋体" w:cs="宋体"/>
                <w:szCs w:val="21"/>
              </w:rPr>
            </w:pPr>
            <w:r>
              <w:rPr>
                <w:rFonts w:hint="eastAsia" w:ascii="宋体" w:hAnsi="宋体" w:eastAsia="宋体" w:cs="宋体"/>
                <w:kern w:val="0"/>
                <w:szCs w:val="21"/>
              </w:rPr>
              <w:t>质疑联系部门：广西大通建设监理咨询管理有限公司崇左分公司，联系人：黄工  项目负责人）,联系电话：0771－7881212，地址：</w:t>
            </w:r>
            <w:r>
              <w:rPr>
                <w:rFonts w:hint="eastAsia" w:ascii="宋体" w:hAnsi="宋体" w:eastAsia="宋体" w:cs="宋体"/>
                <w:szCs w:val="21"/>
              </w:rPr>
              <w:t>崇左市花山路嘉苑小区R-08号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69" w:type="dxa"/>
            <w:vAlign w:val="center"/>
          </w:tcPr>
          <w:p>
            <w:pPr>
              <w:autoSpaceDE w:val="0"/>
              <w:autoSpaceDN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13</w:t>
            </w:r>
          </w:p>
        </w:tc>
        <w:tc>
          <w:tcPr>
            <w:tcW w:w="1140" w:type="dxa"/>
            <w:vAlign w:val="center"/>
          </w:tcPr>
          <w:p>
            <w:pPr>
              <w:autoSpaceDE w:val="0"/>
              <w:autoSpaceDN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29.1</w:t>
            </w:r>
          </w:p>
        </w:tc>
        <w:tc>
          <w:tcPr>
            <w:tcW w:w="7904" w:type="dxa"/>
            <w:vAlign w:val="center"/>
          </w:tcPr>
          <w:p>
            <w:pPr>
              <w:spacing w:line="360" w:lineRule="auto"/>
              <w:rPr>
                <w:rFonts w:hint="eastAsia" w:ascii="宋体" w:hAnsi="宋体" w:eastAsia="宋体" w:cs="宋体"/>
                <w:szCs w:val="21"/>
              </w:rPr>
            </w:pPr>
            <w:r>
              <w:rPr>
                <w:rFonts w:hint="eastAsia" w:ascii="宋体" w:hAnsi="宋体" w:eastAsia="宋体" w:cs="宋体"/>
                <w:kern w:val="0"/>
                <w:szCs w:val="21"/>
              </w:rPr>
              <w:t>履约保证金:</w:t>
            </w:r>
            <w:r>
              <w:rPr>
                <w:rFonts w:hint="eastAsia" w:ascii="宋体" w:hAnsi="宋体" w:eastAsia="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869" w:type="dxa"/>
            <w:vAlign w:val="center"/>
          </w:tcPr>
          <w:p>
            <w:pPr>
              <w:autoSpaceDE w:val="0"/>
              <w:autoSpaceDN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14</w:t>
            </w:r>
          </w:p>
        </w:tc>
        <w:tc>
          <w:tcPr>
            <w:tcW w:w="1140" w:type="dxa"/>
            <w:vAlign w:val="center"/>
          </w:tcPr>
          <w:p>
            <w:pPr>
              <w:autoSpaceDE w:val="0"/>
              <w:autoSpaceDN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30.1</w:t>
            </w:r>
          </w:p>
        </w:tc>
        <w:tc>
          <w:tcPr>
            <w:tcW w:w="7904" w:type="dxa"/>
            <w:vAlign w:val="center"/>
          </w:tcPr>
          <w:p>
            <w:pPr>
              <w:spacing w:line="360" w:lineRule="auto"/>
              <w:rPr>
                <w:rFonts w:hint="eastAsia" w:ascii="宋体" w:hAnsi="宋体" w:eastAsia="宋体" w:cs="宋体"/>
                <w:b/>
                <w:szCs w:val="21"/>
              </w:rPr>
            </w:pPr>
            <w:r>
              <w:rPr>
                <w:rFonts w:hint="eastAsia" w:ascii="宋体" w:hAnsi="宋体" w:eastAsia="宋体" w:cs="宋体"/>
                <w:szCs w:val="21"/>
              </w:rPr>
              <w:t>本项目采购代理服务费按《招标代理服务收费管理暂行办法》（计价格[2002]1980号）、《国家发展改革委关于降低部分建设项目收费标准规范收费行为等有关问题的通知》（发改价格[2011]534号）规定计取，由成交人在领取成交通知书时一次性向采购代理机构支付。</w:t>
            </w:r>
          </w:p>
        </w:tc>
      </w:tr>
    </w:tbl>
    <w:p>
      <w:pPr>
        <w:spacing w:line="360" w:lineRule="auto"/>
        <w:ind w:firstLine="480" w:firstLineChars="200"/>
        <w:rPr>
          <w:rFonts w:hint="eastAsia" w:ascii="宋体" w:hAnsi="宋体" w:eastAsia="宋体" w:cs="宋体"/>
          <w:sz w:val="24"/>
          <w:szCs w:val="24"/>
        </w:rPr>
      </w:pPr>
      <w:bookmarkStart w:id="75" w:name="_Toc452043859"/>
    </w:p>
    <w:p>
      <w:pPr>
        <w:pStyle w:val="20"/>
        <w:spacing w:line="360" w:lineRule="auto"/>
        <w:jc w:val="center"/>
        <w:outlineLvl w:val="1"/>
        <w:rPr>
          <w:rFonts w:hint="eastAsia" w:ascii="宋体" w:hAnsi="宋体" w:eastAsia="宋体" w:cs="宋体"/>
        </w:rPr>
      </w:pPr>
      <w:r>
        <w:rPr>
          <w:rFonts w:hint="eastAsia" w:ascii="宋体" w:hAnsi="宋体" w:eastAsia="宋体" w:cs="宋体"/>
          <w:b/>
          <w:bCs/>
          <w:sz w:val="32"/>
        </w:rPr>
        <w:br w:type="page"/>
      </w:r>
      <w:bookmarkStart w:id="76" w:name="_Toc5090"/>
      <w:bookmarkStart w:id="77" w:name="_Toc25245"/>
      <w:bookmarkStart w:id="78" w:name="_Toc31874"/>
      <w:bookmarkStart w:id="79" w:name="_Toc2189"/>
      <w:bookmarkStart w:id="80" w:name="_Toc25883"/>
      <w:r>
        <w:rPr>
          <w:rFonts w:hint="eastAsia" w:ascii="宋体" w:hAnsi="宋体" w:eastAsia="宋体" w:cs="宋体"/>
          <w:b/>
          <w:bCs/>
          <w:sz w:val="30"/>
          <w:szCs w:val="30"/>
        </w:rPr>
        <w:t>供 应 商 须 知</w:t>
      </w:r>
      <w:bookmarkEnd w:id="75"/>
      <w:bookmarkEnd w:id="76"/>
      <w:bookmarkEnd w:id="77"/>
      <w:bookmarkEnd w:id="78"/>
      <w:bookmarkEnd w:id="79"/>
      <w:bookmarkEnd w:id="80"/>
    </w:p>
    <w:p>
      <w:pPr>
        <w:pStyle w:val="20"/>
        <w:spacing w:line="360" w:lineRule="auto"/>
        <w:jc w:val="center"/>
        <w:outlineLvl w:val="2"/>
        <w:rPr>
          <w:rFonts w:hint="eastAsia" w:ascii="宋体" w:hAnsi="宋体" w:eastAsia="宋体" w:cs="宋体"/>
          <w:b/>
          <w:bCs/>
          <w:sz w:val="24"/>
          <w:szCs w:val="24"/>
        </w:rPr>
      </w:pPr>
      <w:bookmarkStart w:id="81" w:name="_Toc2556"/>
      <w:bookmarkStart w:id="82" w:name="_Toc313623221"/>
      <w:bookmarkStart w:id="83" w:name="_Toc156106931"/>
      <w:bookmarkStart w:id="84" w:name="_Toc294605716"/>
      <w:bookmarkStart w:id="85" w:name="_Toc524"/>
      <w:bookmarkStart w:id="86" w:name="_Toc14036"/>
      <w:bookmarkStart w:id="87" w:name="_Toc345484562"/>
      <w:bookmarkStart w:id="88" w:name="_Toc566"/>
      <w:bookmarkStart w:id="89" w:name="_Toc28653"/>
      <w:bookmarkStart w:id="90" w:name="_Toc345484658"/>
      <w:bookmarkStart w:id="91" w:name="_Toc452043860"/>
      <w:r>
        <w:rPr>
          <w:rFonts w:hint="eastAsia" w:ascii="宋体" w:hAnsi="宋体" w:eastAsia="宋体" w:cs="宋体"/>
          <w:b/>
          <w:bCs/>
          <w:sz w:val="24"/>
          <w:szCs w:val="24"/>
        </w:rPr>
        <w:t>一  总  则</w:t>
      </w:r>
      <w:bookmarkEnd w:id="81"/>
      <w:bookmarkEnd w:id="82"/>
      <w:bookmarkEnd w:id="83"/>
      <w:bookmarkEnd w:id="84"/>
      <w:bookmarkEnd w:id="85"/>
      <w:bookmarkEnd w:id="86"/>
      <w:bookmarkEnd w:id="87"/>
      <w:bookmarkEnd w:id="88"/>
      <w:bookmarkEnd w:id="89"/>
      <w:bookmarkEnd w:id="90"/>
      <w:bookmarkEnd w:id="91"/>
    </w:p>
    <w:p>
      <w:pPr>
        <w:pStyle w:val="20"/>
        <w:spacing w:line="360" w:lineRule="auto"/>
        <w:outlineLvl w:val="2"/>
        <w:rPr>
          <w:rFonts w:hint="eastAsia" w:ascii="宋体" w:hAnsi="宋体" w:eastAsia="宋体" w:cs="宋体"/>
          <w:b/>
          <w:szCs w:val="21"/>
        </w:rPr>
      </w:pPr>
      <w:bookmarkStart w:id="92" w:name="_Toc294605717"/>
      <w:bookmarkStart w:id="93" w:name="_Toc298506302"/>
      <w:bookmarkStart w:id="94" w:name="_Toc345484659"/>
      <w:bookmarkStart w:id="95" w:name="_Toc4417"/>
      <w:bookmarkStart w:id="96" w:name="_Toc11219"/>
      <w:bookmarkStart w:id="97" w:name="_Toc452043861"/>
      <w:bookmarkStart w:id="98" w:name="_Toc15265"/>
      <w:bookmarkStart w:id="99" w:name="_Toc345484563"/>
      <w:bookmarkStart w:id="100" w:name="_Toc22814"/>
      <w:bookmarkStart w:id="101" w:name="_Toc6296"/>
      <w:bookmarkStart w:id="102" w:name="_Toc313623222"/>
      <w:r>
        <w:rPr>
          <w:rFonts w:hint="eastAsia" w:ascii="宋体" w:hAnsi="宋体" w:eastAsia="宋体" w:cs="宋体"/>
          <w:b/>
          <w:szCs w:val="21"/>
        </w:rPr>
        <w:t>1.</w:t>
      </w:r>
      <w:bookmarkEnd w:id="92"/>
      <w:r>
        <w:rPr>
          <w:rFonts w:hint="eastAsia" w:ascii="宋体" w:hAnsi="宋体" w:eastAsia="宋体" w:cs="宋体"/>
          <w:b/>
          <w:szCs w:val="21"/>
        </w:rPr>
        <w:t xml:space="preserve"> 项目概况</w:t>
      </w:r>
      <w:bookmarkEnd w:id="93"/>
      <w:bookmarkEnd w:id="94"/>
      <w:bookmarkEnd w:id="95"/>
      <w:bookmarkEnd w:id="96"/>
      <w:bookmarkEnd w:id="97"/>
      <w:bookmarkEnd w:id="98"/>
      <w:bookmarkEnd w:id="99"/>
      <w:bookmarkEnd w:id="100"/>
      <w:bookmarkEnd w:id="101"/>
      <w:bookmarkEnd w:id="102"/>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spacing w:val="2"/>
          <w:szCs w:val="21"/>
        </w:rPr>
        <w:t>《中华人民共和国政府采购法》、</w:t>
      </w:r>
      <w:r>
        <w:rPr>
          <w:rFonts w:hint="eastAsia" w:ascii="宋体" w:hAnsi="宋体" w:eastAsia="宋体" w:cs="宋体"/>
          <w:bCs/>
          <w:kern w:val="0"/>
          <w:szCs w:val="21"/>
        </w:rPr>
        <w:t>《中华人民共和国政府采购法实施条例》</w:t>
      </w:r>
      <w:r>
        <w:rPr>
          <w:rFonts w:hint="eastAsia" w:ascii="宋体" w:hAnsi="宋体" w:eastAsia="宋体" w:cs="宋体"/>
          <w:szCs w:val="21"/>
        </w:rPr>
        <w:t>等有关法律、法规和规章的规定，本采购项目已具备采购条件，现对本项目进行竞争性磋商采购。</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1.1</w:t>
      </w:r>
      <w:r>
        <w:rPr>
          <w:rFonts w:hint="eastAsia" w:ascii="宋体" w:hAnsi="宋体" w:eastAsia="宋体" w:cs="宋体"/>
          <w:kern w:val="0"/>
          <w:szCs w:val="21"/>
        </w:rPr>
        <w:t>项目名称：</w:t>
      </w:r>
      <w:r>
        <w:rPr>
          <w:rFonts w:hint="eastAsia" w:ascii="宋体" w:hAnsi="宋体" w:eastAsia="宋体" w:cs="宋体"/>
          <w:szCs w:val="21"/>
          <w:lang w:eastAsia="zh-CN"/>
        </w:rPr>
        <w:t>预算联网监督系统二期项目软件开发</w:t>
      </w:r>
    </w:p>
    <w:p>
      <w:pPr>
        <w:spacing w:line="360" w:lineRule="auto"/>
        <w:ind w:firstLine="840" w:firstLineChars="400"/>
        <w:rPr>
          <w:rFonts w:hint="eastAsia" w:ascii="宋体" w:hAnsi="宋体" w:eastAsia="宋体" w:cs="宋体"/>
          <w:szCs w:val="21"/>
        </w:rPr>
      </w:pPr>
      <w:r>
        <w:rPr>
          <w:rFonts w:hint="eastAsia" w:ascii="宋体" w:hAnsi="宋体" w:eastAsia="宋体" w:cs="宋体"/>
          <w:szCs w:val="21"/>
        </w:rPr>
        <w:t xml:space="preserve">项目编号：CZZC2020-C3-00005-GXDT </w:t>
      </w:r>
    </w:p>
    <w:p>
      <w:pPr>
        <w:pStyle w:val="20"/>
        <w:spacing w:line="360" w:lineRule="auto"/>
        <w:outlineLvl w:val="2"/>
        <w:rPr>
          <w:rFonts w:hint="eastAsia" w:ascii="宋体" w:hAnsi="宋体" w:eastAsia="宋体" w:cs="宋体"/>
          <w:b/>
          <w:szCs w:val="21"/>
        </w:rPr>
      </w:pPr>
      <w:bookmarkStart w:id="103" w:name="_Toc25007"/>
      <w:bookmarkStart w:id="104" w:name="_Toc22086"/>
      <w:bookmarkStart w:id="105" w:name="_Toc13567"/>
      <w:bookmarkStart w:id="106" w:name="_Toc6661"/>
      <w:bookmarkStart w:id="107" w:name="_Toc12826"/>
      <w:r>
        <w:rPr>
          <w:rFonts w:hint="eastAsia" w:ascii="宋体" w:hAnsi="宋体" w:eastAsia="宋体" w:cs="宋体"/>
          <w:b/>
          <w:szCs w:val="21"/>
        </w:rPr>
        <w:t>2.定义</w:t>
      </w:r>
      <w:bookmarkEnd w:id="103"/>
      <w:bookmarkEnd w:id="104"/>
      <w:bookmarkEnd w:id="105"/>
      <w:bookmarkEnd w:id="106"/>
      <w:bookmarkEnd w:id="107"/>
    </w:p>
    <w:p>
      <w:pPr>
        <w:spacing w:line="360" w:lineRule="auto"/>
        <w:ind w:firstLine="422" w:firstLineChars="201"/>
        <w:rPr>
          <w:rFonts w:hint="eastAsia" w:ascii="宋体" w:hAnsi="宋体" w:eastAsia="宋体" w:cs="宋体"/>
          <w:szCs w:val="21"/>
        </w:rPr>
      </w:pPr>
      <w:r>
        <w:rPr>
          <w:rFonts w:hint="eastAsia" w:ascii="宋体" w:hAnsi="宋体" w:eastAsia="宋体" w:cs="宋体"/>
          <w:szCs w:val="21"/>
        </w:rPr>
        <w:t xml:space="preserve">2.1“采购人”是指：依法进行采购的国家机关、事业单位、团体组织。                 </w:t>
      </w:r>
    </w:p>
    <w:p>
      <w:pPr>
        <w:spacing w:line="360" w:lineRule="auto"/>
        <w:ind w:firstLine="422" w:firstLineChars="201"/>
        <w:rPr>
          <w:rFonts w:hint="eastAsia" w:ascii="宋体" w:hAnsi="宋体" w:eastAsia="宋体" w:cs="宋体"/>
          <w:szCs w:val="21"/>
        </w:rPr>
      </w:pPr>
      <w:r>
        <w:rPr>
          <w:rFonts w:hint="eastAsia" w:ascii="宋体" w:hAnsi="宋体" w:eastAsia="宋体" w:cs="宋体"/>
          <w:szCs w:val="21"/>
        </w:rPr>
        <w:t>2.2“采购代理机构”是指：广西大通建设监理咨询管理有限公司</w:t>
      </w:r>
    </w:p>
    <w:p>
      <w:pPr>
        <w:spacing w:line="360" w:lineRule="auto"/>
        <w:ind w:firstLine="422" w:firstLineChars="201"/>
        <w:rPr>
          <w:rFonts w:hint="eastAsia" w:ascii="宋体" w:hAnsi="宋体" w:eastAsia="宋体" w:cs="宋体"/>
          <w:bCs/>
          <w:szCs w:val="21"/>
        </w:rPr>
      </w:pPr>
      <w:r>
        <w:rPr>
          <w:rFonts w:hint="eastAsia" w:ascii="宋体" w:hAnsi="宋体" w:eastAsia="宋体" w:cs="宋体"/>
          <w:bCs/>
          <w:szCs w:val="21"/>
        </w:rPr>
        <w:t>2.3“供应商”是指响应本文件要求，参加磋商的法人或者其他组织。如果该供应商在本次磋商中成交，即成为“成交人”。</w:t>
      </w:r>
    </w:p>
    <w:p>
      <w:pPr>
        <w:spacing w:line="360" w:lineRule="auto"/>
        <w:ind w:firstLine="422" w:firstLineChars="201"/>
        <w:rPr>
          <w:rFonts w:hint="eastAsia" w:ascii="宋体" w:hAnsi="宋体" w:eastAsia="宋体" w:cs="宋体"/>
          <w:szCs w:val="21"/>
        </w:rPr>
      </w:pPr>
      <w:r>
        <w:rPr>
          <w:rFonts w:hint="eastAsia" w:ascii="宋体" w:hAnsi="宋体" w:eastAsia="宋体" w:cs="宋体"/>
          <w:szCs w:val="21"/>
        </w:rPr>
        <w:t>2.4“货物”是指各种形态和种类的物品，包括原材料、燃料、设备、产品等。</w:t>
      </w:r>
    </w:p>
    <w:p>
      <w:pPr>
        <w:spacing w:line="360" w:lineRule="auto"/>
        <w:ind w:firstLine="422" w:firstLineChars="201"/>
        <w:rPr>
          <w:rFonts w:hint="eastAsia" w:ascii="宋体" w:hAnsi="宋体" w:eastAsia="宋体" w:cs="宋体"/>
          <w:szCs w:val="21"/>
        </w:rPr>
      </w:pPr>
      <w:r>
        <w:rPr>
          <w:rFonts w:hint="eastAsia" w:ascii="宋体" w:hAnsi="宋体" w:eastAsia="宋体" w:cs="宋体"/>
          <w:szCs w:val="21"/>
        </w:rPr>
        <w:t>2.5“服务”是指除货物和工程以外的其他采购对象。</w:t>
      </w:r>
    </w:p>
    <w:p>
      <w:pPr>
        <w:spacing w:line="360" w:lineRule="auto"/>
        <w:ind w:firstLine="422" w:firstLineChars="201"/>
        <w:rPr>
          <w:rFonts w:hint="eastAsia" w:ascii="宋体" w:hAnsi="宋体" w:eastAsia="宋体" w:cs="宋体"/>
          <w:szCs w:val="21"/>
        </w:rPr>
      </w:pPr>
      <w:r>
        <w:rPr>
          <w:rFonts w:hint="eastAsia" w:ascii="宋体" w:hAnsi="宋体" w:eastAsia="宋体" w:cs="宋体"/>
          <w:szCs w:val="21"/>
        </w:rPr>
        <w:t>2.6</w:t>
      </w:r>
      <w:r>
        <w:rPr>
          <w:rFonts w:hint="eastAsia" w:ascii="宋体" w:hAnsi="宋体" w:eastAsia="宋体" w:cs="宋体"/>
          <w:spacing w:val="-10"/>
          <w:szCs w:val="21"/>
        </w:rPr>
        <w:t>“响应文件”是指：供应商根据本文件要求，编制包含报价、技术和服务等所有内容的响应文件。</w:t>
      </w:r>
    </w:p>
    <w:p>
      <w:pPr>
        <w:pStyle w:val="20"/>
        <w:spacing w:line="360" w:lineRule="auto"/>
        <w:outlineLvl w:val="2"/>
        <w:rPr>
          <w:rFonts w:hint="eastAsia" w:ascii="宋体" w:hAnsi="宋体" w:eastAsia="宋体" w:cs="宋体"/>
          <w:b/>
          <w:szCs w:val="21"/>
        </w:rPr>
      </w:pPr>
      <w:bookmarkStart w:id="108" w:name="_Toc7107"/>
      <w:bookmarkStart w:id="109" w:name="_Toc21834"/>
      <w:bookmarkStart w:id="110" w:name="_Toc6742"/>
      <w:bookmarkStart w:id="111" w:name="_Toc1612"/>
      <w:bookmarkStart w:id="112" w:name="_Toc7190"/>
      <w:r>
        <w:rPr>
          <w:rFonts w:hint="eastAsia" w:ascii="宋体" w:hAnsi="宋体" w:eastAsia="宋体" w:cs="宋体"/>
          <w:b/>
          <w:szCs w:val="21"/>
        </w:rPr>
        <w:t>3.磋商供应商资格要求</w:t>
      </w:r>
      <w:bookmarkEnd w:id="108"/>
      <w:bookmarkEnd w:id="109"/>
      <w:bookmarkEnd w:id="110"/>
      <w:bookmarkEnd w:id="111"/>
      <w:bookmarkEnd w:id="112"/>
    </w:p>
    <w:p>
      <w:pPr>
        <w:pStyle w:val="20"/>
        <w:spacing w:line="360" w:lineRule="auto"/>
        <w:ind w:firstLine="420" w:firstLineChars="200"/>
        <w:outlineLvl w:val="2"/>
        <w:rPr>
          <w:rFonts w:hint="eastAsia" w:ascii="宋体" w:hAnsi="宋体" w:eastAsia="宋体" w:cs="宋体"/>
          <w:b/>
          <w:szCs w:val="21"/>
        </w:rPr>
      </w:pPr>
      <w:bookmarkStart w:id="113" w:name="_Toc29554"/>
      <w:bookmarkStart w:id="114" w:name="_Toc21992"/>
      <w:bookmarkStart w:id="115" w:name="_Toc2636"/>
      <w:bookmarkStart w:id="116" w:name="_Toc29442"/>
      <w:bookmarkStart w:id="117" w:name="_Toc7864"/>
      <w:r>
        <w:rPr>
          <w:rFonts w:hint="eastAsia" w:ascii="宋体" w:hAnsi="宋体" w:eastAsia="宋体" w:cs="宋体"/>
          <w:szCs w:val="21"/>
        </w:rPr>
        <w:t>详见供应商须知前附表。</w:t>
      </w:r>
      <w:bookmarkEnd w:id="113"/>
      <w:bookmarkEnd w:id="114"/>
      <w:bookmarkEnd w:id="115"/>
      <w:bookmarkEnd w:id="116"/>
      <w:bookmarkEnd w:id="117"/>
    </w:p>
    <w:p>
      <w:pPr>
        <w:pStyle w:val="20"/>
        <w:spacing w:line="360" w:lineRule="auto"/>
        <w:outlineLvl w:val="2"/>
        <w:rPr>
          <w:rFonts w:hint="eastAsia" w:ascii="宋体" w:hAnsi="宋体" w:eastAsia="宋体" w:cs="宋体"/>
          <w:b/>
          <w:szCs w:val="21"/>
        </w:rPr>
      </w:pPr>
      <w:bookmarkStart w:id="118" w:name="_Toc13580"/>
      <w:bookmarkStart w:id="119" w:name="_Toc452043864"/>
      <w:bookmarkStart w:id="120" w:name="_Toc17986"/>
      <w:bookmarkStart w:id="121" w:name="_Toc18987"/>
      <w:bookmarkStart w:id="122" w:name="_Toc345484566"/>
      <w:bookmarkStart w:id="123" w:name="_Toc16896"/>
      <w:bookmarkStart w:id="124" w:name="_Toc345484662"/>
      <w:bookmarkStart w:id="125" w:name="_Toc313623225"/>
      <w:bookmarkStart w:id="126" w:name="_Toc294605720"/>
      <w:bookmarkStart w:id="127" w:name="_Toc3827"/>
      <w:r>
        <w:rPr>
          <w:rFonts w:hint="eastAsia" w:ascii="宋体" w:hAnsi="宋体" w:eastAsia="宋体" w:cs="宋体"/>
          <w:b/>
          <w:szCs w:val="21"/>
        </w:rPr>
        <w:t>4. 磋商费用</w:t>
      </w:r>
      <w:bookmarkEnd w:id="118"/>
      <w:bookmarkEnd w:id="119"/>
      <w:bookmarkEnd w:id="120"/>
      <w:bookmarkEnd w:id="121"/>
      <w:bookmarkEnd w:id="122"/>
      <w:bookmarkEnd w:id="123"/>
      <w:bookmarkEnd w:id="124"/>
      <w:bookmarkEnd w:id="125"/>
      <w:bookmarkEnd w:id="126"/>
      <w:bookmarkEnd w:id="127"/>
    </w:p>
    <w:p>
      <w:pPr>
        <w:spacing w:line="360" w:lineRule="auto"/>
        <w:ind w:firstLine="420" w:firstLineChars="200"/>
        <w:rPr>
          <w:rFonts w:hint="eastAsia" w:ascii="宋体" w:hAnsi="宋体" w:eastAsia="宋体" w:cs="宋体"/>
          <w:kern w:val="0"/>
          <w:szCs w:val="21"/>
        </w:rPr>
      </w:pPr>
      <w:r>
        <w:rPr>
          <w:rFonts w:hint="eastAsia" w:ascii="宋体" w:hAnsi="宋体" w:eastAsia="宋体" w:cs="宋体"/>
          <w:szCs w:val="21"/>
        </w:rPr>
        <w:t>4.1</w:t>
      </w:r>
      <w:r>
        <w:rPr>
          <w:rFonts w:hint="eastAsia" w:ascii="宋体" w:hAnsi="宋体" w:eastAsia="宋体" w:cs="宋体"/>
          <w:kern w:val="0"/>
          <w:szCs w:val="21"/>
        </w:rPr>
        <w:t>供应商应自行承担所有与本次磋商有关的全部费用。不管磋商结果如何，采购人对上述费用不负任何责任。</w:t>
      </w:r>
    </w:p>
    <w:p>
      <w:pPr>
        <w:pStyle w:val="20"/>
        <w:spacing w:line="360" w:lineRule="auto"/>
        <w:jc w:val="center"/>
        <w:outlineLvl w:val="2"/>
        <w:rPr>
          <w:rFonts w:hint="eastAsia" w:ascii="宋体" w:hAnsi="宋体" w:eastAsia="宋体" w:cs="宋体"/>
          <w:b/>
          <w:bCs/>
          <w:szCs w:val="21"/>
        </w:rPr>
      </w:pPr>
      <w:bookmarkStart w:id="128" w:name="_Toc452043865"/>
      <w:bookmarkStart w:id="129" w:name="_Toc294605721"/>
      <w:bookmarkStart w:id="130" w:name="_Toc26503"/>
      <w:bookmarkStart w:id="131" w:name="_Toc32710"/>
      <w:bookmarkStart w:id="132" w:name="_Toc19417"/>
      <w:bookmarkStart w:id="133" w:name="_Toc345484663"/>
      <w:bookmarkStart w:id="134" w:name="_Toc313623226"/>
      <w:bookmarkStart w:id="135" w:name="_Toc28141"/>
      <w:bookmarkStart w:id="136" w:name="_Toc345484567"/>
      <w:bookmarkStart w:id="137" w:name="_Toc20432"/>
      <w:r>
        <w:rPr>
          <w:rFonts w:hint="eastAsia" w:ascii="宋体" w:hAnsi="宋体" w:eastAsia="宋体" w:cs="宋体"/>
          <w:b/>
          <w:bCs/>
          <w:szCs w:val="21"/>
        </w:rPr>
        <w:t>二  竞争性磋商采购文件（以下简称磋商采购文件）</w:t>
      </w:r>
      <w:bookmarkEnd w:id="128"/>
      <w:bookmarkEnd w:id="129"/>
      <w:bookmarkEnd w:id="130"/>
      <w:bookmarkEnd w:id="131"/>
      <w:bookmarkEnd w:id="132"/>
      <w:bookmarkEnd w:id="133"/>
      <w:bookmarkEnd w:id="134"/>
      <w:bookmarkEnd w:id="135"/>
      <w:bookmarkEnd w:id="136"/>
      <w:bookmarkEnd w:id="137"/>
    </w:p>
    <w:p>
      <w:pPr>
        <w:pStyle w:val="20"/>
        <w:spacing w:line="360" w:lineRule="auto"/>
        <w:outlineLvl w:val="2"/>
        <w:rPr>
          <w:rFonts w:hint="eastAsia" w:ascii="宋体" w:hAnsi="宋体" w:eastAsia="宋体" w:cs="宋体"/>
          <w:b/>
          <w:szCs w:val="21"/>
        </w:rPr>
      </w:pPr>
      <w:bookmarkStart w:id="138" w:name="_Toc25753"/>
      <w:bookmarkStart w:id="139" w:name="_Toc13192"/>
      <w:bookmarkStart w:id="140" w:name="_Toc5111"/>
      <w:bookmarkStart w:id="141" w:name="_Toc2548"/>
      <w:bookmarkStart w:id="142" w:name="_Toc452043866"/>
      <w:bookmarkStart w:id="143" w:name="_Toc345484568"/>
      <w:bookmarkStart w:id="144" w:name="_Toc313623227"/>
      <w:bookmarkStart w:id="145" w:name="_Toc17161"/>
      <w:bookmarkStart w:id="146" w:name="_Toc345484664"/>
      <w:bookmarkStart w:id="147" w:name="_Toc294605722"/>
      <w:r>
        <w:rPr>
          <w:rFonts w:hint="eastAsia" w:ascii="宋体" w:hAnsi="宋体" w:eastAsia="宋体" w:cs="宋体"/>
          <w:b/>
          <w:szCs w:val="21"/>
        </w:rPr>
        <w:t>5.</w:t>
      </w:r>
      <w:r>
        <w:rPr>
          <w:rFonts w:hint="eastAsia" w:ascii="宋体" w:hAnsi="宋体" w:eastAsia="宋体" w:cs="宋体"/>
          <w:b/>
          <w:bCs/>
          <w:szCs w:val="21"/>
        </w:rPr>
        <w:t xml:space="preserve"> 磋商采购文件</w:t>
      </w:r>
      <w:r>
        <w:rPr>
          <w:rFonts w:hint="eastAsia" w:ascii="宋体" w:hAnsi="宋体" w:eastAsia="宋体" w:cs="宋体"/>
          <w:b/>
          <w:szCs w:val="21"/>
        </w:rPr>
        <w:t>的构成</w:t>
      </w:r>
      <w:bookmarkEnd w:id="138"/>
      <w:bookmarkEnd w:id="139"/>
      <w:bookmarkEnd w:id="140"/>
      <w:bookmarkEnd w:id="141"/>
      <w:bookmarkEnd w:id="142"/>
      <w:bookmarkEnd w:id="143"/>
      <w:bookmarkEnd w:id="144"/>
      <w:bookmarkEnd w:id="145"/>
      <w:bookmarkEnd w:id="146"/>
      <w:bookmarkEnd w:id="147"/>
    </w:p>
    <w:p>
      <w:pPr>
        <w:pStyle w:val="20"/>
        <w:spacing w:line="360" w:lineRule="auto"/>
        <w:ind w:firstLine="420"/>
        <w:rPr>
          <w:rFonts w:hint="eastAsia" w:ascii="宋体" w:hAnsi="宋体" w:eastAsia="宋体" w:cs="宋体"/>
          <w:szCs w:val="21"/>
        </w:rPr>
      </w:pPr>
      <w:r>
        <w:rPr>
          <w:rFonts w:hint="eastAsia" w:ascii="宋体" w:hAnsi="宋体" w:eastAsia="宋体" w:cs="宋体"/>
          <w:szCs w:val="21"/>
        </w:rPr>
        <w:t>5.1</w:t>
      </w:r>
      <w:r>
        <w:rPr>
          <w:rFonts w:hint="eastAsia" w:ascii="宋体" w:hAnsi="宋体" w:eastAsia="宋体" w:cs="宋体"/>
          <w:bCs/>
          <w:szCs w:val="21"/>
        </w:rPr>
        <w:t>磋商采购文件</w:t>
      </w:r>
      <w:r>
        <w:rPr>
          <w:rFonts w:hint="eastAsia" w:ascii="宋体" w:hAnsi="宋体" w:eastAsia="宋体" w:cs="宋体"/>
          <w:szCs w:val="21"/>
        </w:rPr>
        <w:t>包括：</w:t>
      </w:r>
    </w:p>
    <w:p>
      <w:pPr>
        <w:pStyle w:val="20"/>
        <w:spacing w:line="360" w:lineRule="auto"/>
        <w:ind w:firstLine="426"/>
        <w:rPr>
          <w:rFonts w:hint="eastAsia" w:ascii="宋体" w:hAnsi="宋体" w:eastAsia="宋体" w:cs="宋体"/>
          <w:szCs w:val="21"/>
        </w:rPr>
      </w:pPr>
      <w:r>
        <w:rPr>
          <w:rFonts w:hint="eastAsia" w:ascii="宋体" w:hAnsi="宋体" w:eastAsia="宋体" w:cs="宋体"/>
          <w:szCs w:val="21"/>
        </w:rPr>
        <w:t>⑴竞争性磋商公告；</w:t>
      </w:r>
    </w:p>
    <w:p>
      <w:pPr>
        <w:pStyle w:val="20"/>
        <w:spacing w:line="360" w:lineRule="auto"/>
        <w:ind w:firstLine="426"/>
        <w:rPr>
          <w:rFonts w:hint="eastAsia" w:ascii="宋体" w:hAnsi="宋体" w:eastAsia="宋体" w:cs="宋体"/>
          <w:szCs w:val="21"/>
        </w:rPr>
      </w:pPr>
      <w:r>
        <w:rPr>
          <w:rFonts w:hint="eastAsia" w:ascii="宋体" w:hAnsi="宋体" w:eastAsia="宋体" w:cs="宋体"/>
          <w:szCs w:val="21"/>
        </w:rPr>
        <w:t>⑵供应商须知及前附表；</w:t>
      </w:r>
    </w:p>
    <w:p>
      <w:pPr>
        <w:pStyle w:val="20"/>
        <w:spacing w:line="360" w:lineRule="auto"/>
        <w:ind w:firstLine="420"/>
        <w:rPr>
          <w:rFonts w:hint="eastAsia" w:ascii="宋体" w:hAnsi="宋体" w:eastAsia="宋体" w:cs="宋体"/>
          <w:szCs w:val="21"/>
        </w:rPr>
      </w:pPr>
      <w:r>
        <w:rPr>
          <w:rFonts w:hint="eastAsia" w:ascii="宋体" w:hAnsi="宋体" w:eastAsia="宋体" w:cs="宋体"/>
          <w:szCs w:val="21"/>
        </w:rPr>
        <w:t>⑶项目需求和说明；</w:t>
      </w:r>
    </w:p>
    <w:p>
      <w:pPr>
        <w:pStyle w:val="20"/>
        <w:spacing w:line="360" w:lineRule="auto"/>
        <w:ind w:firstLine="420"/>
        <w:rPr>
          <w:rFonts w:hint="eastAsia" w:ascii="宋体" w:hAnsi="宋体" w:eastAsia="宋体" w:cs="宋体"/>
          <w:szCs w:val="21"/>
        </w:rPr>
      </w:pPr>
      <w:r>
        <w:rPr>
          <w:rFonts w:hint="eastAsia" w:ascii="宋体" w:hAnsi="宋体" w:eastAsia="宋体" w:cs="宋体"/>
          <w:szCs w:val="21"/>
        </w:rPr>
        <w:t>⑷合同条款及格式；</w:t>
      </w:r>
    </w:p>
    <w:p>
      <w:pPr>
        <w:pStyle w:val="20"/>
        <w:spacing w:line="360" w:lineRule="auto"/>
        <w:ind w:firstLine="420"/>
        <w:rPr>
          <w:rFonts w:hint="eastAsia" w:ascii="宋体" w:hAnsi="宋体" w:eastAsia="宋体" w:cs="宋体"/>
          <w:szCs w:val="21"/>
        </w:rPr>
      </w:pPr>
      <w:r>
        <w:rPr>
          <w:rFonts w:hint="eastAsia" w:ascii="宋体" w:hAnsi="宋体" w:eastAsia="宋体" w:cs="宋体"/>
          <w:szCs w:val="21"/>
        </w:rPr>
        <w:t>⑸评审办法；</w:t>
      </w:r>
    </w:p>
    <w:p>
      <w:pPr>
        <w:pStyle w:val="20"/>
        <w:spacing w:line="360" w:lineRule="auto"/>
        <w:ind w:firstLine="420"/>
        <w:rPr>
          <w:rFonts w:hint="eastAsia" w:ascii="宋体" w:hAnsi="宋体" w:eastAsia="宋体" w:cs="宋体"/>
          <w:szCs w:val="21"/>
        </w:rPr>
      </w:pPr>
      <w:r>
        <w:rPr>
          <w:rFonts w:hint="eastAsia" w:ascii="宋体" w:hAnsi="宋体" w:eastAsia="宋体" w:cs="宋体"/>
          <w:szCs w:val="21"/>
        </w:rPr>
        <w:t>⑹响应文件（格式）。</w:t>
      </w:r>
    </w:p>
    <w:p>
      <w:pPr>
        <w:pStyle w:val="20"/>
        <w:spacing w:line="360" w:lineRule="auto"/>
        <w:outlineLvl w:val="2"/>
        <w:rPr>
          <w:rFonts w:hint="eastAsia" w:ascii="宋体" w:hAnsi="宋体" w:eastAsia="宋体" w:cs="宋体"/>
          <w:szCs w:val="21"/>
        </w:rPr>
      </w:pPr>
      <w:bookmarkStart w:id="148" w:name="_Toc345484569"/>
      <w:bookmarkStart w:id="149" w:name="_Toc3374"/>
      <w:bookmarkStart w:id="150" w:name="_Toc313623228"/>
      <w:bookmarkStart w:id="151" w:name="_Toc452043867"/>
      <w:bookmarkStart w:id="152" w:name="_Toc15362"/>
      <w:bookmarkStart w:id="153" w:name="_Toc19387"/>
      <w:bookmarkStart w:id="154" w:name="_Toc23161"/>
      <w:bookmarkStart w:id="155" w:name="_Toc18691"/>
      <w:bookmarkStart w:id="156" w:name="_Toc294605723"/>
      <w:bookmarkStart w:id="157" w:name="_Toc345484665"/>
      <w:r>
        <w:rPr>
          <w:rFonts w:hint="eastAsia" w:ascii="宋体" w:hAnsi="宋体" w:eastAsia="宋体" w:cs="宋体"/>
          <w:b/>
          <w:szCs w:val="21"/>
        </w:rPr>
        <w:t>6.</w:t>
      </w:r>
      <w:r>
        <w:rPr>
          <w:rFonts w:hint="eastAsia" w:ascii="宋体" w:hAnsi="宋体" w:eastAsia="宋体" w:cs="宋体"/>
          <w:b/>
          <w:bCs/>
          <w:szCs w:val="21"/>
        </w:rPr>
        <w:t xml:space="preserve"> 磋商采购文件</w:t>
      </w:r>
      <w:r>
        <w:rPr>
          <w:rFonts w:hint="eastAsia" w:ascii="宋体" w:hAnsi="宋体" w:eastAsia="宋体" w:cs="宋体"/>
          <w:b/>
          <w:szCs w:val="21"/>
        </w:rPr>
        <w:t>的澄清和修改</w:t>
      </w:r>
      <w:bookmarkEnd w:id="148"/>
      <w:bookmarkEnd w:id="149"/>
      <w:bookmarkEnd w:id="150"/>
      <w:bookmarkEnd w:id="151"/>
      <w:bookmarkEnd w:id="152"/>
      <w:bookmarkEnd w:id="153"/>
      <w:bookmarkEnd w:id="154"/>
      <w:bookmarkEnd w:id="155"/>
      <w:bookmarkEnd w:id="156"/>
      <w:bookmarkEnd w:id="157"/>
    </w:p>
    <w:p>
      <w:pPr>
        <w:pStyle w:val="20"/>
        <w:spacing w:line="360" w:lineRule="auto"/>
        <w:ind w:firstLine="420"/>
        <w:rPr>
          <w:rFonts w:hint="eastAsia" w:ascii="宋体" w:hAnsi="宋体" w:eastAsia="宋体" w:cs="宋体"/>
          <w:szCs w:val="21"/>
        </w:rPr>
      </w:pPr>
      <w:r>
        <w:rPr>
          <w:rFonts w:hint="eastAsia" w:ascii="宋体" w:hAnsi="宋体" w:eastAsia="宋体" w:cs="宋体"/>
          <w:szCs w:val="21"/>
        </w:rPr>
        <w:t>6.1任何要求澄清磋商文件的供应商，均应在磋商截止日期5日前的正常工作时间以传真等书面形式通知采购代理机构，同时认定其他澄清方式为无效。采购代理机构将以书面形式予以答复。</w:t>
      </w:r>
    </w:p>
    <w:p>
      <w:pPr>
        <w:pStyle w:val="20"/>
        <w:spacing w:line="360" w:lineRule="auto"/>
        <w:ind w:firstLine="420"/>
        <w:rPr>
          <w:rFonts w:hint="eastAsia" w:ascii="宋体" w:hAnsi="宋体" w:eastAsia="宋体" w:cs="宋体"/>
          <w:szCs w:val="21"/>
        </w:rPr>
      </w:pPr>
      <w:r>
        <w:rPr>
          <w:rFonts w:hint="eastAsia" w:ascii="宋体" w:hAnsi="宋体" w:eastAsia="宋体" w:cs="宋体"/>
          <w:szCs w:val="21"/>
        </w:rPr>
        <w:t>6.2采购代理机构对已发出的磋商文件进行必要澄清或修改的，在磋商文件要求提交响应文件截止时间5日前，并以书面形式通知所有磋商文件收受人。该澄清或修改的内容为磋商文件的组成部分。</w:t>
      </w:r>
    </w:p>
    <w:p>
      <w:pPr>
        <w:pStyle w:val="20"/>
        <w:spacing w:line="360" w:lineRule="auto"/>
        <w:ind w:firstLine="420" w:firstLineChars="200"/>
        <w:rPr>
          <w:rFonts w:hint="eastAsia" w:ascii="宋体" w:hAnsi="宋体" w:eastAsia="宋体" w:cs="宋体"/>
          <w:szCs w:val="21"/>
        </w:rPr>
      </w:pPr>
      <w:r>
        <w:rPr>
          <w:rFonts w:hint="eastAsia" w:ascii="宋体" w:hAnsi="宋体" w:eastAsia="宋体" w:cs="宋体"/>
          <w:szCs w:val="21"/>
        </w:rPr>
        <w:t>6.3 采购代理机构可视具体情况，延长响应文件递交截止时间和磋商时间。采购代理机构至少在磋商文件要求提交响应文件的截止时间5日前，将变更时间书面通知所有磋商文件收受人。</w:t>
      </w:r>
    </w:p>
    <w:p>
      <w:pPr>
        <w:pStyle w:val="20"/>
        <w:spacing w:line="360" w:lineRule="auto"/>
        <w:jc w:val="center"/>
        <w:outlineLvl w:val="2"/>
        <w:rPr>
          <w:rFonts w:hint="eastAsia" w:ascii="宋体" w:hAnsi="宋体" w:eastAsia="宋体" w:cs="宋体"/>
          <w:b/>
          <w:bCs/>
          <w:szCs w:val="21"/>
        </w:rPr>
      </w:pPr>
      <w:bookmarkStart w:id="158" w:name="_Toc345484666"/>
      <w:bookmarkStart w:id="159" w:name="_Toc452043868"/>
      <w:bookmarkStart w:id="160" w:name="_Toc17195"/>
      <w:bookmarkStart w:id="161" w:name="_Toc313623229"/>
      <w:bookmarkStart w:id="162" w:name="_Toc27644"/>
      <w:bookmarkStart w:id="163" w:name="_Toc7437"/>
      <w:bookmarkStart w:id="164" w:name="_Toc294605724"/>
      <w:bookmarkStart w:id="165" w:name="_Toc29296"/>
      <w:bookmarkStart w:id="166" w:name="_Toc345484570"/>
      <w:bookmarkStart w:id="167" w:name="_Toc6149"/>
      <w:r>
        <w:rPr>
          <w:rFonts w:hint="eastAsia" w:ascii="宋体" w:hAnsi="宋体" w:eastAsia="宋体" w:cs="宋体"/>
          <w:b/>
          <w:bCs/>
          <w:szCs w:val="21"/>
        </w:rPr>
        <w:t>三  响应文件的编制</w:t>
      </w:r>
      <w:bookmarkEnd w:id="158"/>
      <w:bookmarkEnd w:id="159"/>
      <w:bookmarkEnd w:id="160"/>
      <w:bookmarkEnd w:id="161"/>
      <w:bookmarkEnd w:id="162"/>
      <w:bookmarkEnd w:id="163"/>
      <w:bookmarkEnd w:id="164"/>
      <w:bookmarkEnd w:id="165"/>
      <w:bookmarkEnd w:id="166"/>
      <w:bookmarkEnd w:id="167"/>
    </w:p>
    <w:p>
      <w:pPr>
        <w:pStyle w:val="20"/>
        <w:spacing w:line="360" w:lineRule="auto"/>
        <w:outlineLvl w:val="2"/>
        <w:rPr>
          <w:rFonts w:hint="eastAsia" w:ascii="宋体" w:hAnsi="宋体" w:eastAsia="宋体" w:cs="宋体"/>
          <w:szCs w:val="21"/>
        </w:rPr>
      </w:pPr>
      <w:bookmarkStart w:id="168" w:name="_Toc14274"/>
      <w:bookmarkStart w:id="169" w:name="_Toc452043869"/>
      <w:bookmarkStart w:id="170" w:name="_Toc31478"/>
      <w:bookmarkStart w:id="171" w:name="_Toc17593"/>
      <w:bookmarkStart w:id="172" w:name="_Toc10891"/>
      <w:bookmarkStart w:id="173" w:name="_Toc22900"/>
      <w:r>
        <w:rPr>
          <w:rFonts w:hint="eastAsia" w:ascii="宋体" w:hAnsi="宋体" w:eastAsia="宋体" w:cs="宋体"/>
          <w:b/>
          <w:szCs w:val="21"/>
        </w:rPr>
        <w:t>7.</w:t>
      </w:r>
      <w:r>
        <w:rPr>
          <w:rFonts w:hint="eastAsia" w:ascii="宋体" w:hAnsi="宋体" w:eastAsia="宋体" w:cs="宋体"/>
          <w:b/>
          <w:bCs/>
          <w:szCs w:val="21"/>
        </w:rPr>
        <w:t>响应文件</w:t>
      </w:r>
      <w:r>
        <w:rPr>
          <w:rFonts w:hint="eastAsia" w:ascii="宋体" w:hAnsi="宋体" w:eastAsia="宋体" w:cs="宋体"/>
          <w:b/>
          <w:szCs w:val="21"/>
        </w:rPr>
        <w:t>编写的注意事项</w:t>
      </w:r>
      <w:bookmarkEnd w:id="168"/>
      <w:bookmarkEnd w:id="169"/>
      <w:bookmarkEnd w:id="170"/>
      <w:bookmarkEnd w:id="171"/>
      <w:bookmarkEnd w:id="172"/>
      <w:bookmarkEnd w:id="173"/>
    </w:p>
    <w:p>
      <w:pPr>
        <w:pStyle w:val="20"/>
        <w:spacing w:line="360" w:lineRule="auto"/>
        <w:ind w:firstLine="420"/>
        <w:rPr>
          <w:rFonts w:hint="eastAsia" w:ascii="宋体" w:hAnsi="宋体" w:eastAsia="宋体" w:cs="宋体"/>
          <w:szCs w:val="21"/>
        </w:rPr>
      </w:pPr>
      <w:r>
        <w:rPr>
          <w:rFonts w:hint="eastAsia" w:ascii="宋体" w:hAnsi="宋体" w:eastAsia="宋体" w:cs="宋体"/>
          <w:szCs w:val="21"/>
        </w:rPr>
        <w:t>7.1供应商应仔细阅读磋商文件，按磋商文件的要求编制响应文件。如果没有按磋商文件要求提交响应文件，没有对磋商文件提出的实质性要求和条件作出响应，该响应将被拒绝。</w:t>
      </w:r>
    </w:p>
    <w:p>
      <w:pPr>
        <w:pStyle w:val="20"/>
        <w:spacing w:line="360" w:lineRule="auto"/>
        <w:ind w:firstLine="420"/>
        <w:rPr>
          <w:rFonts w:hint="eastAsia" w:ascii="宋体" w:hAnsi="宋体" w:eastAsia="宋体" w:cs="宋体"/>
          <w:szCs w:val="21"/>
        </w:rPr>
      </w:pPr>
      <w:r>
        <w:rPr>
          <w:rFonts w:hint="eastAsia" w:ascii="宋体" w:hAnsi="宋体" w:eastAsia="宋体" w:cs="宋体"/>
          <w:szCs w:val="21"/>
        </w:rPr>
        <w:t>7.2对磋商文件提出的实质性要求和条件作出响应是指供应商必须对磋商文件中涉及磋商项目的价格、技术要求、数量、服务及其它要求、合同主要条款等内容作出响应。</w:t>
      </w:r>
    </w:p>
    <w:p>
      <w:pPr>
        <w:pStyle w:val="20"/>
        <w:spacing w:line="360" w:lineRule="auto"/>
        <w:outlineLvl w:val="2"/>
        <w:rPr>
          <w:rFonts w:hint="eastAsia" w:ascii="宋体" w:hAnsi="宋体" w:eastAsia="宋体" w:cs="宋体"/>
          <w:szCs w:val="21"/>
        </w:rPr>
      </w:pPr>
      <w:bookmarkStart w:id="174" w:name="_Toc30356"/>
      <w:bookmarkStart w:id="175" w:name="_Toc30845"/>
      <w:bookmarkStart w:id="176" w:name="_Toc345484668"/>
      <w:bookmarkStart w:id="177" w:name="_Toc452043870"/>
      <w:bookmarkStart w:id="178" w:name="_Toc29128"/>
      <w:bookmarkStart w:id="179" w:name="_Toc294605726"/>
      <w:bookmarkStart w:id="180" w:name="_Toc345484572"/>
      <w:bookmarkStart w:id="181" w:name="_Toc22398"/>
      <w:bookmarkStart w:id="182" w:name="_Toc22931"/>
      <w:bookmarkStart w:id="183" w:name="_Toc313623231"/>
      <w:r>
        <w:rPr>
          <w:rFonts w:hint="eastAsia" w:ascii="宋体" w:hAnsi="宋体" w:eastAsia="宋体" w:cs="宋体"/>
          <w:b/>
          <w:szCs w:val="21"/>
        </w:rPr>
        <w:t>8.响应文件的文字及计量单位</w:t>
      </w:r>
      <w:bookmarkEnd w:id="174"/>
      <w:bookmarkEnd w:id="175"/>
      <w:bookmarkEnd w:id="176"/>
      <w:bookmarkEnd w:id="177"/>
      <w:bookmarkEnd w:id="178"/>
      <w:bookmarkEnd w:id="179"/>
      <w:bookmarkEnd w:id="180"/>
      <w:bookmarkEnd w:id="181"/>
      <w:bookmarkEnd w:id="182"/>
      <w:bookmarkEnd w:id="183"/>
    </w:p>
    <w:p>
      <w:pPr>
        <w:pStyle w:val="20"/>
        <w:spacing w:line="360" w:lineRule="auto"/>
        <w:ind w:firstLine="435"/>
        <w:rPr>
          <w:rFonts w:hint="eastAsia" w:ascii="宋体" w:hAnsi="宋体" w:eastAsia="宋体" w:cs="宋体"/>
          <w:spacing w:val="-6"/>
          <w:szCs w:val="21"/>
        </w:rPr>
      </w:pPr>
      <w:r>
        <w:rPr>
          <w:rFonts w:hint="eastAsia" w:ascii="宋体" w:hAnsi="宋体" w:eastAsia="宋体" w:cs="宋体"/>
          <w:spacing w:val="-6"/>
          <w:szCs w:val="21"/>
        </w:rPr>
        <w:t>8.1供应商的响应文件以及供应商与采购代理机构的所有来往的函件统一使用中文（另有规定的除外）。</w:t>
      </w:r>
    </w:p>
    <w:p>
      <w:pPr>
        <w:pStyle w:val="20"/>
        <w:spacing w:line="360" w:lineRule="auto"/>
        <w:ind w:firstLine="435"/>
        <w:rPr>
          <w:rFonts w:hint="eastAsia" w:ascii="宋体" w:hAnsi="宋体" w:eastAsia="宋体" w:cs="宋体"/>
          <w:szCs w:val="21"/>
        </w:rPr>
      </w:pPr>
      <w:r>
        <w:rPr>
          <w:rFonts w:hint="eastAsia" w:ascii="宋体" w:hAnsi="宋体" w:eastAsia="宋体" w:cs="宋体"/>
          <w:szCs w:val="21"/>
        </w:rPr>
        <w:t>8.2响应文件使用的计量单位除磋商文件中有特殊规定外，一律使用中华人民共和国法定计量单位。</w:t>
      </w:r>
    </w:p>
    <w:p>
      <w:pPr>
        <w:pStyle w:val="20"/>
        <w:spacing w:line="360" w:lineRule="auto"/>
        <w:outlineLvl w:val="2"/>
        <w:rPr>
          <w:rFonts w:hint="eastAsia" w:ascii="宋体" w:hAnsi="宋体" w:eastAsia="宋体" w:cs="宋体"/>
          <w:b/>
          <w:szCs w:val="21"/>
        </w:rPr>
      </w:pPr>
      <w:bookmarkStart w:id="184" w:name="_Toc6097"/>
      <w:bookmarkStart w:id="185" w:name="_Toc24975"/>
      <w:bookmarkStart w:id="186" w:name="_Toc15142"/>
      <w:bookmarkStart w:id="187" w:name="_Toc452043871"/>
      <w:bookmarkStart w:id="188" w:name="_Toc345484573"/>
      <w:bookmarkStart w:id="189" w:name="_Toc13074"/>
      <w:bookmarkStart w:id="190" w:name="_Toc345484669"/>
      <w:bookmarkStart w:id="191" w:name="_Toc3614"/>
      <w:bookmarkStart w:id="192" w:name="_Toc313623232"/>
      <w:bookmarkStart w:id="193" w:name="_Toc294605727"/>
      <w:r>
        <w:rPr>
          <w:rFonts w:hint="eastAsia" w:ascii="宋体" w:hAnsi="宋体" w:eastAsia="宋体" w:cs="宋体"/>
          <w:b/>
          <w:szCs w:val="21"/>
        </w:rPr>
        <w:t>9.</w:t>
      </w:r>
      <w:r>
        <w:rPr>
          <w:rFonts w:hint="eastAsia" w:ascii="宋体" w:hAnsi="宋体" w:eastAsia="宋体" w:cs="宋体"/>
          <w:b/>
          <w:bCs/>
          <w:szCs w:val="21"/>
        </w:rPr>
        <w:t xml:space="preserve"> 响应文件</w:t>
      </w:r>
      <w:r>
        <w:rPr>
          <w:rFonts w:hint="eastAsia" w:ascii="宋体" w:hAnsi="宋体" w:eastAsia="宋体" w:cs="宋体"/>
          <w:b/>
          <w:szCs w:val="21"/>
        </w:rPr>
        <w:t>的构成</w:t>
      </w:r>
      <w:bookmarkEnd w:id="184"/>
      <w:bookmarkEnd w:id="185"/>
      <w:bookmarkEnd w:id="186"/>
      <w:bookmarkEnd w:id="187"/>
      <w:bookmarkEnd w:id="188"/>
      <w:bookmarkEnd w:id="189"/>
      <w:bookmarkEnd w:id="190"/>
      <w:bookmarkEnd w:id="191"/>
      <w:bookmarkEnd w:id="192"/>
      <w:bookmarkEnd w:id="193"/>
    </w:p>
    <w:p>
      <w:pPr>
        <w:snapToGrid w:val="0"/>
        <w:spacing w:line="360" w:lineRule="auto"/>
        <w:ind w:firstLine="422" w:firstLineChars="200"/>
        <w:jc w:val="left"/>
        <w:rPr>
          <w:rFonts w:hint="eastAsia" w:ascii="宋体" w:hAnsi="宋体" w:eastAsia="宋体" w:cs="宋体"/>
          <w:b/>
          <w:szCs w:val="21"/>
        </w:rPr>
      </w:pPr>
      <w:r>
        <w:rPr>
          <w:rFonts w:hint="eastAsia" w:ascii="宋体" w:hAnsi="宋体" w:eastAsia="宋体" w:cs="宋体"/>
          <w:b/>
          <w:szCs w:val="21"/>
        </w:rPr>
        <w:t>响应文件由商务部分、技术部分二部分组成。</w:t>
      </w:r>
    </w:p>
    <w:p>
      <w:pPr>
        <w:pStyle w:val="20"/>
        <w:spacing w:line="360" w:lineRule="auto"/>
        <w:ind w:firstLine="420" w:firstLineChars="200"/>
        <w:rPr>
          <w:rFonts w:hint="eastAsia" w:ascii="宋体" w:hAnsi="宋体" w:eastAsia="宋体" w:cs="宋体"/>
          <w:szCs w:val="21"/>
        </w:rPr>
      </w:pPr>
      <w:r>
        <w:rPr>
          <w:rFonts w:hint="eastAsia" w:ascii="宋体" w:hAnsi="宋体" w:eastAsia="宋体" w:cs="宋体"/>
          <w:szCs w:val="21"/>
        </w:rPr>
        <w:t>9.1供应商编写的且在响应文件递交截止时间前递交的响应文件必须包括下列内容（供应商必须按下列顺序自编目录及页码装订成册，否则文件失散引起的后果自负）：</w:t>
      </w:r>
    </w:p>
    <w:p>
      <w:pPr>
        <w:pStyle w:val="2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9.2响应文件</w:t>
      </w:r>
    </w:p>
    <w:p>
      <w:pPr>
        <w:pStyle w:val="2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第一部分：商务部分</w:t>
      </w:r>
    </w:p>
    <w:p>
      <w:pPr>
        <w:pStyle w:val="20"/>
        <w:spacing w:line="360" w:lineRule="auto"/>
        <w:ind w:firstLine="420" w:firstLineChars="200"/>
        <w:rPr>
          <w:rFonts w:hint="eastAsia" w:ascii="宋体" w:hAnsi="宋体" w:eastAsia="宋体" w:cs="宋体"/>
          <w:szCs w:val="21"/>
        </w:rPr>
      </w:pPr>
      <w:r>
        <w:rPr>
          <w:rFonts w:hint="eastAsia" w:ascii="宋体" w:hAnsi="宋体" w:eastAsia="宋体" w:cs="宋体"/>
          <w:szCs w:val="21"/>
        </w:rPr>
        <w:t>（1）磋商报价函；（按第五章格式2进行填写）</w:t>
      </w:r>
    </w:p>
    <w:p>
      <w:pPr>
        <w:pStyle w:val="20"/>
        <w:spacing w:line="360" w:lineRule="auto"/>
        <w:ind w:firstLine="420" w:firstLineChars="200"/>
        <w:rPr>
          <w:rFonts w:hint="eastAsia" w:ascii="宋体" w:hAnsi="宋体" w:eastAsia="宋体" w:cs="宋体"/>
          <w:szCs w:val="21"/>
        </w:rPr>
      </w:pPr>
      <w:r>
        <w:rPr>
          <w:rFonts w:hint="eastAsia" w:ascii="宋体" w:hAnsi="宋体" w:eastAsia="宋体" w:cs="宋体"/>
          <w:szCs w:val="21"/>
        </w:rPr>
        <w:t>（2）磋商报价一览表；（按第五章格式3进行填写）</w:t>
      </w:r>
    </w:p>
    <w:p>
      <w:pPr>
        <w:pStyle w:val="2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（3）商务条款偏离表；（按第五章格式6进行填写）</w:t>
      </w:r>
    </w:p>
    <w:p>
      <w:pPr>
        <w:pStyle w:val="20"/>
        <w:spacing w:line="360" w:lineRule="auto"/>
        <w:ind w:firstLine="420" w:firstLineChars="200"/>
        <w:rPr>
          <w:rFonts w:hint="eastAsia" w:ascii="宋体" w:hAnsi="宋体" w:eastAsia="宋体" w:cs="宋体"/>
          <w:szCs w:val="21"/>
        </w:rPr>
      </w:pPr>
      <w:r>
        <w:rPr>
          <w:rFonts w:hint="eastAsia" w:ascii="宋体" w:hAnsi="宋体" w:eastAsia="宋体" w:cs="宋体"/>
          <w:szCs w:val="21"/>
        </w:rPr>
        <w:t>（4）资格部分(按本须知第13.1条要求提供)；</w:t>
      </w:r>
    </w:p>
    <w:p>
      <w:pPr>
        <w:pStyle w:val="20"/>
        <w:spacing w:line="360" w:lineRule="auto"/>
        <w:ind w:firstLine="420" w:firstLineChars="200"/>
        <w:rPr>
          <w:rFonts w:hint="eastAsia" w:ascii="宋体" w:hAnsi="宋体" w:eastAsia="宋体" w:cs="宋体"/>
          <w:szCs w:val="21"/>
        </w:rPr>
      </w:pPr>
      <w:r>
        <w:rPr>
          <w:rFonts w:hint="eastAsia" w:ascii="宋体" w:hAnsi="宋体" w:eastAsia="宋体" w:cs="宋体"/>
          <w:szCs w:val="21"/>
        </w:rPr>
        <w:t>（5）供应商需要提供的信誉、业绩、服务保障等商务资料。</w:t>
      </w:r>
    </w:p>
    <w:p>
      <w:pPr>
        <w:autoSpaceDE w:val="0"/>
        <w:autoSpaceDN w:val="0"/>
        <w:adjustRightIn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第二部分：技术部分 (按本须知第14条要求提供)</w:t>
      </w:r>
    </w:p>
    <w:p>
      <w:pPr>
        <w:pStyle w:val="20"/>
        <w:spacing w:line="360" w:lineRule="auto"/>
        <w:outlineLvl w:val="2"/>
        <w:rPr>
          <w:rFonts w:hint="eastAsia" w:ascii="宋体" w:hAnsi="宋体" w:eastAsia="宋体" w:cs="宋体"/>
          <w:b/>
          <w:szCs w:val="21"/>
        </w:rPr>
      </w:pPr>
      <w:bookmarkStart w:id="194" w:name="_Toc32262"/>
      <w:bookmarkStart w:id="195" w:name="_Toc19222"/>
      <w:bookmarkStart w:id="196" w:name="_Toc452043872"/>
      <w:bookmarkStart w:id="197" w:name="_Toc4902"/>
      <w:bookmarkStart w:id="198" w:name="_Toc345484670"/>
      <w:bookmarkStart w:id="199" w:name="_Toc345484574"/>
      <w:bookmarkStart w:id="200" w:name="_Toc313623233"/>
      <w:bookmarkStart w:id="201" w:name="_Toc22938"/>
      <w:bookmarkStart w:id="202" w:name="_Toc294605728"/>
      <w:bookmarkStart w:id="203" w:name="_Toc15797"/>
      <w:r>
        <w:rPr>
          <w:rFonts w:hint="eastAsia" w:ascii="宋体" w:hAnsi="宋体" w:eastAsia="宋体" w:cs="宋体"/>
          <w:b/>
          <w:szCs w:val="21"/>
        </w:rPr>
        <w:t>10.响应文件格式</w:t>
      </w:r>
      <w:bookmarkEnd w:id="194"/>
      <w:bookmarkEnd w:id="195"/>
      <w:bookmarkEnd w:id="196"/>
      <w:bookmarkEnd w:id="197"/>
      <w:bookmarkEnd w:id="198"/>
      <w:bookmarkEnd w:id="199"/>
      <w:bookmarkEnd w:id="200"/>
      <w:bookmarkEnd w:id="201"/>
      <w:bookmarkEnd w:id="202"/>
      <w:bookmarkEnd w:id="203"/>
    </w:p>
    <w:p>
      <w:pPr>
        <w:pStyle w:val="20"/>
        <w:spacing w:line="360" w:lineRule="auto"/>
        <w:ind w:firstLine="420"/>
        <w:rPr>
          <w:rFonts w:hint="eastAsia" w:ascii="宋体" w:hAnsi="宋体" w:eastAsia="宋体" w:cs="宋体"/>
          <w:bCs/>
          <w:spacing w:val="-4"/>
          <w:szCs w:val="21"/>
        </w:rPr>
      </w:pPr>
      <w:r>
        <w:rPr>
          <w:rFonts w:hint="eastAsia" w:ascii="宋体" w:hAnsi="宋体" w:eastAsia="宋体" w:cs="宋体"/>
          <w:bCs/>
          <w:spacing w:val="-4"/>
          <w:szCs w:val="21"/>
        </w:rPr>
        <w:t>10.1供应商应按响应文件提供的磋商报价函等格式详细完整地填写各项内容。</w:t>
      </w:r>
    </w:p>
    <w:p>
      <w:pPr>
        <w:pStyle w:val="20"/>
        <w:spacing w:line="360" w:lineRule="auto"/>
        <w:outlineLvl w:val="2"/>
        <w:rPr>
          <w:rFonts w:hint="eastAsia" w:ascii="宋体" w:hAnsi="宋体" w:eastAsia="宋体" w:cs="宋体"/>
          <w:b/>
          <w:szCs w:val="21"/>
        </w:rPr>
      </w:pPr>
      <w:bookmarkStart w:id="204" w:name="_Toc345484575"/>
      <w:bookmarkStart w:id="205" w:name="_Toc452043873"/>
      <w:bookmarkStart w:id="206" w:name="_Toc345484671"/>
      <w:bookmarkStart w:id="207" w:name="_Toc294605729"/>
      <w:bookmarkStart w:id="208" w:name="_Toc313623234"/>
      <w:bookmarkStart w:id="209" w:name="_Toc30412"/>
      <w:bookmarkStart w:id="210" w:name="_Toc829"/>
      <w:bookmarkStart w:id="211" w:name="_Toc7016"/>
      <w:bookmarkStart w:id="212" w:name="_Toc17276"/>
      <w:bookmarkStart w:id="213" w:name="_Toc2185"/>
      <w:r>
        <w:rPr>
          <w:rFonts w:hint="eastAsia" w:ascii="宋体" w:hAnsi="宋体" w:eastAsia="宋体" w:cs="宋体"/>
          <w:b/>
          <w:szCs w:val="21"/>
        </w:rPr>
        <w:t>11.磋商报价</w:t>
      </w:r>
      <w:bookmarkEnd w:id="204"/>
      <w:bookmarkEnd w:id="205"/>
      <w:bookmarkEnd w:id="206"/>
      <w:bookmarkEnd w:id="207"/>
      <w:bookmarkEnd w:id="208"/>
      <w:r>
        <w:rPr>
          <w:rFonts w:hint="eastAsia" w:ascii="宋体" w:hAnsi="宋体" w:eastAsia="宋体" w:cs="宋体"/>
          <w:b/>
          <w:szCs w:val="21"/>
        </w:rPr>
        <w:t>、预算</w:t>
      </w:r>
      <w:bookmarkEnd w:id="209"/>
      <w:bookmarkEnd w:id="210"/>
      <w:bookmarkEnd w:id="211"/>
      <w:bookmarkEnd w:id="212"/>
      <w:bookmarkEnd w:id="213"/>
      <w:r>
        <w:rPr>
          <w:rFonts w:hint="eastAsia" w:ascii="宋体" w:hAnsi="宋体" w:eastAsia="宋体" w:cs="宋体"/>
          <w:b/>
          <w:szCs w:val="21"/>
        </w:rPr>
        <w:t>金额及最高限价</w:t>
      </w:r>
    </w:p>
    <w:p>
      <w:pPr>
        <w:spacing w:line="360" w:lineRule="auto"/>
        <w:ind w:firstLine="422" w:firstLineChars="200"/>
        <w:rPr>
          <w:rFonts w:hint="eastAsia" w:ascii="宋体" w:hAnsi="宋体" w:eastAsia="宋体" w:cs="宋体"/>
          <w:b/>
          <w:kern w:val="0"/>
          <w:szCs w:val="21"/>
        </w:rPr>
      </w:pPr>
      <w:r>
        <w:rPr>
          <w:rFonts w:hint="eastAsia" w:ascii="宋体" w:hAnsi="宋体" w:eastAsia="宋体" w:cs="宋体"/>
          <w:b/>
          <w:kern w:val="0"/>
          <w:szCs w:val="21"/>
        </w:rPr>
        <w:t>11.1 供应商须就《项目需求和说明》中所有采购内容做完整报价，每一轮报价均应作唯一报价，本项目不接受有选择的报价。磋商报价不能超过最高限价。</w:t>
      </w:r>
    </w:p>
    <w:p>
      <w:pPr>
        <w:spacing w:line="360" w:lineRule="auto"/>
        <w:ind w:firstLine="420" w:firstLineChars="200"/>
        <w:rPr>
          <w:rFonts w:hint="eastAsia" w:ascii="宋体" w:hAnsi="宋体" w:eastAsia="宋体" w:cs="宋体"/>
          <w:szCs w:val="21"/>
        </w:rPr>
      </w:pPr>
      <w:r>
        <w:rPr>
          <w:rFonts w:hint="eastAsia" w:ascii="宋体" w:hAnsi="宋体" w:eastAsia="宋体" w:cs="宋体"/>
          <w:bCs/>
          <w:szCs w:val="21"/>
        </w:rPr>
        <w:t>11.2 磋商报价</w:t>
      </w:r>
      <w:r>
        <w:rPr>
          <w:rFonts w:hint="eastAsia" w:ascii="宋体" w:hAnsi="宋体" w:eastAsia="宋体" w:cs="宋体"/>
          <w:szCs w:val="21"/>
        </w:rPr>
        <w:t>包含</w:t>
      </w:r>
      <w:r>
        <w:rPr>
          <w:rFonts w:hint="eastAsia" w:ascii="宋体" w:hAnsi="宋体" w:eastAsia="宋体" w:cs="宋体"/>
          <w:kern w:val="0"/>
          <w:szCs w:val="21"/>
        </w:rPr>
        <w:t>完成本项目服务工作期间所产生的一切费用</w:t>
      </w:r>
      <w:r>
        <w:rPr>
          <w:rFonts w:hint="eastAsia" w:ascii="宋体" w:hAnsi="宋体" w:eastAsia="宋体" w:cs="宋体"/>
          <w:szCs w:val="21"/>
        </w:rPr>
        <w:t>，如服务的价格、必要的保险费用和各项税金、技术服务费及其他费用（如管理费、交通费、办公场地费等）、政策性文件规定及合同包含的所有风险、责任以及配合后续工作所产生的有费用。成交人签署合同后，采购人正常使用成果所必需但响应文件没有包含的所有一切费用，由成交人支付。</w:t>
      </w:r>
    </w:p>
    <w:p>
      <w:pPr>
        <w:autoSpaceDE w:val="0"/>
        <w:autoSpaceDN w:val="0"/>
        <w:adjustRightInd w:val="0"/>
        <w:spacing w:line="360" w:lineRule="auto"/>
        <w:ind w:firstLine="420" w:firstLineChars="200"/>
        <w:rPr>
          <w:rFonts w:hint="eastAsia" w:ascii="宋体" w:hAnsi="宋体" w:eastAsia="宋体" w:cs="宋体"/>
          <w:kern w:val="0"/>
          <w:szCs w:val="21"/>
        </w:rPr>
      </w:pPr>
      <w:r>
        <w:rPr>
          <w:rFonts w:hint="eastAsia" w:ascii="宋体" w:hAnsi="宋体" w:eastAsia="宋体" w:cs="宋体"/>
          <w:bCs/>
          <w:szCs w:val="21"/>
        </w:rPr>
        <w:t>11.3 供应商必</w:t>
      </w:r>
      <w:r>
        <w:rPr>
          <w:rFonts w:hint="eastAsia" w:ascii="宋体" w:hAnsi="宋体" w:eastAsia="宋体" w:cs="宋体"/>
          <w:szCs w:val="21"/>
        </w:rPr>
        <w:t>须结合自身情况报价，</w:t>
      </w:r>
      <w:r>
        <w:rPr>
          <w:rFonts w:hint="eastAsia" w:ascii="宋体" w:hAnsi="宋体" w:eastAsia="宋体" w:cs="宋体"/>
          <w:kern w:val="0"/>
          <w:szCs w:val="21"/>
        </w:rPr>
        <w:t>经磋商小组评审</w:t>
      </w:r>
      <w:r>
        <w:rPr>
          <w:rFonts w:hint="eastAsia" w:ascii="宋体" w:hAnsi="宋体" w:eastAsia="宋体" w:cs="宋体"/>
          <w:szCs w:val="21"/>
        </w:rPr>
        <w:t>存在严重不平衡、不合理、低于其企业成本的供应商磋商总报价（最后磋商报价）</w:t>
      </w:r>
      <w:r>
        <w:rPr>
          <w:rFonts w:hint="eastAsia" w:ascii="宋体" w:hAnsi="宋体" w:eastAsia="宋体" w:cs="宋体"/>
          <w:kern w:val="0"/>
          <w:szCs w:val="21"/>
        </w:rPr>
        <w:t>将不予接受。</w:t>
      </w:r>
    </w:p>
    <w:p>
      <w:pPr>
        <w:autoSpaceDE w:val="0"/>
        <w:autoSpaceDN w:val="0"/>
        <w:adjustRightInd w:val="0"/>
        <w:spacing w:line="360" w:lineRule="auto"/>
        <w:ind w:firstLine="420" w:firstLineChars="200"/>
        <w:rPr>
          <w:rFonts w:hint="eastAsia" w:ascii="宋体" w:hAnsi="宋体" w:eastAsia="宋体" w:cs="宋体"/>
          <w:szCs w:val="21"/>
        </w:rPr>
      </w:pPr>
      <w:r>
        <w:rPr>
          <w:rFonts w:hint="eastAsia" w:ascii="宋体" w:hAnsi="宋体" w:eastAsia="宋体" w:cs="宋体"/>
          <w:kern w:val="0"/>
          <w:szCs w:val="21"/>
        </w:rPr>
        <w:t>11.4 最后</w:t>
      </w:r>
      <w:r>
        <w:rPr>
          <w:rFonts w:hint="eastAsia" w:ascii="宋体" w:hAnsi="宋体" w:eastAsia="宋体" w:cs="宋体"/>
          <w:szCs w:val="21"/>
        </w:rPr>
        <w:t>磋商报价是供应商响应文件的有效组成部份。</w:t>
      </w:r>
    </w:p>
    <w:p>
      <w:pPr>
        <w:spacing w:line="360" w:lineRule="auto"/>
        <w:ind w:firstLine="422" w:firstLineChars="201"/>
        <w:rPr>
          <w:rFonts w:hint="eastAsia" w:ascii="宋体" w:hAnsi="宋体" w:eastAsia="宋体" w:cs="宋体"/>
          <w:szCs w:val="21"/>
        </w:rPr>
      </w:pPr>
      <w:r>
        <w:rPr>
          <w:rFonts w:hint="eastAsia" w:ascii="宋体" w:hAnsi="宋体" w:eastAsia="宋体" w:cs="宋体"/>
          <w:szCs w:val="21"/>
        </w:rPr>
        <w:t>11.5预算金额（人民币）：详见供应商须知前附表。</w:t>
      </w:r>
    </w:p>
    <w:p>
      <w:pPr>
        <w:pStyle w:val="2"/>
        <w:ind w:firstLine="420"/>
        <w:rPr>
          <w:rFonts w:hint="eastAsia" w:ascii="宋体" w:hAnsi="宋体" w:eastAsia="宋体" w:cs="宋体"/>
          <w:sz w:val="21"/>
          <w:szCs w:val="21"/>
        </w:rPr>
      </w:pPr>
      <w:r>
        <w:rPr>
          <w:rFonts w:hint="eastAsia" w:ascii="宋体" w:hAnsi="宋体" w:eastAsia="宋体" w:cs="宋体"/>
          <w:sz w:val="21"/>
          <w:szCs w:val="21"/>
        </w:rPr>
        <w:t>11.6最高限价（人民币）：详见供应商须知前附表。</w:t>
      </w:r>
    </w:p>
    <w:p>
      <w:pPr>
        <w:pStyle w:val="20"/>
        <w:spacing w:line="360" w:lineRule="auto"/>
        <w:outlineLvl w:val="2"/>
        <w:rPr>
          <w:rFonts w:hint="eastAsia" w:ascii="宋体" w:hAnsi="宋体" w:eastAsia="宋体" w:cs="宋体"/>
          <w:b/>
          <w:szCs w:val="21"/>
        </w:rPr>
      </w:pPr>
      <w:bookmarkStart w:id="214" w:name="_Toc345484576"/>
      <w:bookmarkStart w:id="215" w:name="_Toc294605730"/>
      <w:bookmarkStart w:id="216" w:name="_Toc4552"/>
      <w:bookmarkStart w:id="217" w:name="_Toc1974"/>
      <w:bookmarkStart w:id="218" w:name="_Toc345484672"/>
      <w:bookmarkStart w:id="219" w:name="_Toc5060"/>
      <w:bookmarkStart w:id="220" w:name="_Toc6527"/>
      <w:bookmarkStart w:id="221" w:name="_Toc452043874"/>
      <w:bookmarkStart w:id="222" w:name="_Toc313623235"/>
      <w:bookmarkStart w:id="223" w:name="_Toc12574"/>
      <w:r>
        <w:rPr>
          <w:rFonts w:hint="eastAsia" w:ascii="宋体" w:hAnsi="宋体" w:eastAsia="宋体" w:cs="宋体"/>
          <w:b/>
          <w:szCs w:val="21"/>
        </w:rPr>
        <w:t>12. 磋商货币</w:t>
      </w:r>
      <w:bookmarkEnd w:id="214"/>
      <w:bookmarkEnd w:id="215"/>
      <w:bookmarkEnd w:id="216"/>
      <w:bookmarkEnd w:id="217"/>
      <w:bookmarkEnd w:id="218"/>
      <w:bookmarkEnd w:id="219"/>
      <w:bookmarkEnd w:id="220"/>
      <w:bookmarkEnd w:id="221"/>
      <w:bookmarkEnd w:id="222"/>
      <w:bookmarkEnd w:id="223"/>
    </w:p>
    <w:p>
      <w:pPr>
        <w:pStyle w:val="20"/>
        <w:spacing w:line="360" w:lineRule="auto"/>
        <w:ind w:firstLine="420"/>
        <w:rPr>
          <w:rFonts w:hint="eastAsia" w:ascii="宋体" w:hAnsi="宋体" w:eastAsia="宋体" w:cs="宋体"/>
          <w:szCs w:val="21"/>
        </w:rPr>
      </w:pPr>
      <w:r>
        <w:rPr>
          <w:rFonts w:hint="eastAsia" w:ascii="宋体" w:hAnsi="宋体" w:eastAsia="宋体" w:cs="宋体"/>
          <w:szCs w:val="21"/>
        </w:rPr>
        <w:t>12.1磋商应以人民币报价。</w:t>
      </w:r>
    </w:p>
    <w:p>
      <w:pPr>
        <w:pStyle w:val="20"/>
        <w:spacing w:line="360" w:lineRule="auto"/>
        <w:outlineLvl w:val="2"/>
        <w:rPr>
          <w:rFonts w:hint="eastAsia" w:ascii="宋体" w:hAnsi="宋体" w:eastAsia="宋体" w:cs="宋体"/>
          <w:szCs w:val="21"/>
        </w:rPr>
      </w:pPr>
      <w:bookmarkStart w:id="224" w:name="_Toc294605731"/>
      <w:bookmarkStart w:id="225" w:name="_Toc345484577"/>
      <w:bookmarkStart w:id="226" w:name="_Toc313623236"/>
      <w:bookmarkStart w:id="227" w:name="_Toc345484673"/>
      <w:bookmarkStart w:id="228" w:name="_Toc16587"/>
      <w:bookmarkStart w:id="229" w:name="_Toc24520"/>
      <w:bookmarkStart w:id="230" w:name="_Toc12715"/>
      <w:bookmarkStart w:id="231" w:name="_Toc27046"/>
      <w:bookmarkStart w:id="232" w:name="_Toc21797"/>
      <w:bookmarkStart w:id="233" w:name="_Toc452043875"/>
      <w:r>
        <w:rPr>
          <w:rFonts w:hint="eastAsia" w:ascii="宋体" w:hAnsi="宋体" w:eastAsia="宋体" w:cs="宋体"/>
          <w:b/>
          <w:szCs w:val="21"/>
        </w:rPr>
        <w:t>13.</w:t>
      </w:r>
      <w:bookmarkEnd w:id="224"/>
      <w:bookmarkEnd w:id="225"/>
      <w:bookmarkEnd w:id="226"/>
      <w:bookmarkEnd w:id="227"/>
      <w:r>
        <w:rPr>
          <w:rFonts w:hint="eastAsia" w:ascii="宋体" w:hAnsi="宋体" w:eastAsia="宋体" w:cs="宋体"/>
          <w:b/>
          <w:szCs w:val="21"/>
        </w:rPr>
        <w:t xml:space="preserve"> 供应商资格证明文件</w:t>
      </w:r>
      <w:bookmarkEnd w:id="228"/>
      <w:bookmarkEnd w:id="229"/>
      <w:bookmarkEnd w:id="230"/>
      <w:bookmarkEnd w:id="231"/>
      <w:bookmarkEnd w:id="232"/>
      <w:bookmarkEnd w:id="233"/>
    </w:p>
    <w:p>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13.1下述资格证明文件注明“必须提供”的文件均必须提交，同时要加盖单位公章，否则其评审无效：</w:t>
      </w:r>
    </w:p>
    <w:p>
      <w:pPr>
        <w:numPr>
          <w:ilvl w:val="0"/>
          <w:numId w:val="2"/>
        </w:numPr>
        <w:autoSpaceDE w:val="0"/>
        <w:autoSpaceDN w:val="0"/>
        <w:adjustRightIn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bCs/>
          <w:szCs w:val="21"/>
          <w:highlight w:val="none"/>
        </w:rPr>
        <w:t>信用声明函</w:t>
      </w:r>
      <w:r>
        <w:rPr>
          <w:rFonts w:hint="eastAsia" w:ascii="宋体" w:hAnsi="宋体" w:eastAsia="宋体" w:cs="宋体"/>
          <w:szCs w:val="21"/>
          <w:highlight w:val="none"/>
        </w:rPr>
        <w:t>（必须提供，加盖单位公章）；</w:t>
      </w:r>
    </w:p>
    <w:p>
      <w:pPr>
        <w:numPr>
          <w:ilvl w:val="0"/>
          <w:numId w:val="2"/>
        </w:numPr>
        <w:autoSpaceDE w:val="0"/>
        <w:autoSpaceDN w:val="0"/>
        <w:adjustRightIn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供应商有效的营业执照副本</w:t>
      </w:r>
      <w:r>
        <w:rPr>
          <w:rFonts w:hint="eastAsia" w:ascii="宋体" w:hAnsi="宋体" w:eastAsia="宋体" w:cs="宋体"/>
          <w:kern w:val="0"/>
          <w:szCs w:val="21"/>
          <w:highlight w:val="none"/>
        </w:rPr>
        <w:t>或事业单位法人证书副本</w:t>
      </w:r>
      <w:r>
        <w:rPr>
          <w:rFonts w:hint="eastAsia" w:ascii="宋体" w:hAnsi="宋体" w:eastAsia="宋体" w:cs="宋体"/>
          <w:szCs w:val="21"/>
          <w:highlight w:val="none"/>
        </w:rPr>
        <w:t>复印件（必须提供，加盖单位公章）；</w:t>
      </w:r>
    </w:p>
    <w:p>
      <w:pPr>
        <w:numPr>
          <w:ilvl w:val="0"/>
          <w:numId w:val="2"/>
        </w:numPr>
        <w:autoSpaceDE w:val="0"/>
        <w:autoSpaceDN w:val="0"/>
        <w:adjustRightIn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供应商2020年1月至响应文件递交截止时间止连续三个月依法缴纳税收（国税或地税）的凭证复印件。无纳税记录的，应提供供应商所在地税务部门出具的《依法纳税或依法免税证明》复印件；（必须提供，加盖单位公章）</w:t>
      </w:r>
    </w:p>
    <w:p>
      <w:pPr>
        <w:numPr>
          <w:ilvl w:val="0"/>
          <w:numId w:val="2"/>
        </w:numPr>
        <w:autoSpaceDE w:val="0"/>
        <w:autoSpaceDN w:val="0"/>
        <w:adjustRightIn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供应商2020年1月至响应文件递交截止时间止连续三个月依法缴纳社会保障资金的凭证复印件。无缴费记录的，应提供供应商所在地社保部门出具的《依法缴纳或依法免缴社保费证明》复印件；（必须提供，加盖单位公章）；</w:t>
      </w:r>
    </w:p>
    <w:p>
      <w:pPr>
        <w:numPr>
          <w:ilvl w:val="0"/>
          <w:numId w:val="2"/>
        </w:numPr>
        <w:autoSpaceDE w:val="0"/>
        <w:autoSpaceDN w:val="0"/>
        <w:adjustRightInd w:val="0"/>
        <w:spacing w:line="360" w:lineRule="auto"/>
        <w:ind w:firstLine="420" w:firstLineChars="200"/>
        <w:rPr>
          <w:rFonts w:hint="eastAsia" w:ascii="宋体" w:hAnsi="宋体" w:eastAsia="宋体" w:cs="宋体"/>
          <w:szCs w:val="21"/>
        </w:rPr>
      </w:pPr>
      <w:r>
        <w:rPr>
          <w:rFonts w:hint="eastAsia" w:ascii="宋体" w:hAnsi="宋体" w:eastAsia="宋体" w:cs="宋体"/>
          <w:szCs w:val="21"/>
          <w:highlight w:val="none"/>
        </w:rPr>
        <w:t>财务会计报表复印件：供应商2019</w:t>
      </w:r>
      <w:r>
        <w:rPr>
          <w:rFonts w:hint="eastAsia" w:ascii="宋体" w:hAnsi="宋体" w:eastAsia="宋体" w:cs="宋体"/>
          <w:szCs w:val="21"/>
        </w:rPr>
        <w:t>年度的财务会计报表，包括资产负债表、现金流量表、利润表（新成立的单位按实际提供）（必须提供，加盖单位公章）</w:t>
      </w:r>
    </w:p>
    <w:p>
      <w:pPr>
        <w:pStyle w:val="2"/>
        <w:ind w:firstLine="420"/>
        <w:rPr>
          <w:rFonts w:hint="eastAsia" w:ascii="宋体" w:hAnsi="宋体" w:eastAsia="宋体" w:cs="宋体"/>
          <w:sz w:val="21"/>
          <w:szCs w:val="21"/>
        </w:rPr>
      </w:pPr>
      <w:r>
        <w:rPr>
          <w:rFonts w:hint="eastAsia" w:ascii="宋体" w:hAnsi="宋体" w:eastAsia="宋体" w:cs="宋体"/>
          <w:sz w:val="21"/>
          <w:szCs w:val="21"/>
        </w:rPr>
        <w:t>（6）供应商参加政府采购活动前3年内在经营活动中没有重大违法记录的书面声明；（必须提供，加盖单位公章，格式自拟）</w:t>
      </w:r>
    </w:p>
    <w:p>
      <w:pPr>
        <w:adjustRightInd w:val="0"/>
        <w:snapToGrid w:val="0"/>
        <w:spacing w:line="360" w:lineRule="auto"/>
        <w:ind w:firstLine="315" w:firstLineChars="150"/>
        <w:rPr>
          <w:rFonts w:hint="eastAsia" w:ascii="宋体" w:hAnsi="宋体" w:eastAsia="宋体" w:cs="宋体"/>
          <w:szCs w:val="21"/>
        </w:rPr>
      </w:pPr>
      <w:r>
        <w:rPr>
          <w:rFonts w:hint="eastAsia" w:ascii="宋体" w:hAnsi="宋体" w:eastAsia="宋体" w:cs="宋体"/>
          <w:szCs w:val="21"/>
        </w:rPr>
        <w:t>（7）法定代表人的资格证明材料（附法定代表人身份证明书、组织机构代码证复印件（如已执行“三证合一”新规的提供“三证合一”新版营业执照或事业单位法人证书副本复印件）、企业法定代表人居民二代身份证复印件，（必须提供，加盖单位公章）；</w:t>
      </w:r>
    </w:p>
    <w:p>
      <w:pPr>
        <w:adjustRightInd w:val="0"/>
        <w:snapToGrid w:val="0"/>
        <w:spacing w:line="360" w:lineRule="auto"/>
        <w:ind w:firstLine="315" w:firstLineChars="150"/>
        <w:rPr>
          <w:rFonts w:hint="eastAsia" w:ascii="宋体" w:hAnsi="宋体" w:eastAsia="宋体" w:cs="宋体"/>
          <w:szCs w:val="21"/>
        </w:rPr>
      </w:pPr>
      <w:r>
        <w:rPr>
          <w:rFonts w:hint="eastAsia" w:ascii="宋体" w:hAnsi="宋体" w:eastAsia="宋体" w:cs="宋体"/>
          <w:szCs w:val="21"/>
        </w:rPr>
        <w:t>（8）法人授权委托书和委托代理人居民二代身份证复印件（委托代理时必须提供，否则响应无效）；</w:t>
      </w:r>
    </w:p>
    <w:p>
      <w:pPr>
        <w:spacing w:line="360" w:lineRule="auto"/>
        <w:ind w:firstLine="409" w:firstLineChars="195"/>
        <w:rPr>
          <w:rFonts w:hint="eastAsia" w:ascii="宋体" w:hAnsi="宋体" w:eastAsia="宋体" w:cs="宋体"/>
          <w:b/>
          <w:szCs w:val="21"/>
        </w:rPr>
      </w:pPr>
      <w:r>
        <w:rPr>
          <w:rFonts w:hint="eastAsia" w:ascii="宋体" w:hAnsi="宋体" w:eastAsia="宋体" w:cs="宋体"/>
          <w:szCs w:val="21"/>
        </w:rPr>
        <w:t>（9）中小企业、监狱企业单位、残疾人福利性单位的相关证明资料复印件；（如有请提供）</w:t>
      </w:r>
    </w:p>
    <w:p>
      <w:pPr>
        <w:pStyle w:val="20"/>
        <w:spacing w:line="360" w:lineRule="auto"/>
        <w:ind w:firstLine="315" w:firstLineChars="150"/>
        <w:rPr>
          <w:rFonts w:hint="eastAsia" w:ascii="宋体" w:hAnsi="宋体" w:eastAsia="宋体" w:cs="宋体"/>
          <w:szCs w:val="21"/>
        </w:rPr>
      </w:pPr>
      <w:r>
        <w:rPr>
          <w:rFonts w:hint="eastAsia" w:ascii="宋体" w:hAnsi="宋体" w:eastAsia="宋体" w:cs="宋体"/>
          <w:szCs w:val="21"/>
        </w:rPr>
        <w:t>（10）供应商认为需要提供的其他资料:如业绩、信誉等。（如有请提供）</w:t>
      </w:r>
    </w:p>
    <w:p>
      <w:pPr>
        <w:autoSpaceDE w:val="0"/>
        <w:autoSpaceDN w:val="0"/>
        <w:adjustRightIn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13.2本项目不接受联合体进行磋商。</w:t>
      </w:r>
    </w:p>
    <w:p>
      <w:pPr>
        <w:pStyle w:val="20"/>
        <w:spacing w:line="360" w:lineRule="auto"/>
        <w:outlineLvl w:val="2"/>
        <w:rPr>
          <w:rFonts w:hint="eastAsia" w:ascii="宋体" w:hAnsi="宋体" w:eastAsia="宋体" w:cs="宋体"/>
          <w:b/>
          <w:szCs w:val="21"/>
        </w:rPr>
      </w:pPr>
      <w:bookmarkStart w:id="234" w:name="_Toc8562"/>
      <w:bookmarkStart w:id="235" w:name="_Toc313623237"/>
      <w:bookmarkStart w:id="236" w:name="_Toc156106946"/>
      <w:bookmarkStart w:id="237" w:name="_Toc345484578"/>
      <w:bookmarkStart w:id="238" w:name="_Toc345484674"/>
      <w:bookmarkStart w:id="239" w:name="_Toc6934"/>
      <w:bookmarkStart w:id="240" w:name="_Toc12528"/>
      <w:bookmarkStart w:id="241" w:name="_Toc21140"/>
      <w:bookmarkStart w:id="242" w:name="_Toc14896"/>
      <w:bookmarkStart w:id="243" w:name="_Toc452043876"/>
      <w:bookmarkStart w:id="244" w:name="_Toc294605732"/>
      <w:r>
        <w:rPr>
          <w:rFonts w:hint="eastAsia" w:ascii="宋体" w:hAnsi="宋体" w:eastAsia="宋体" w:cs="宋体"/>
          <w:b/>
          <w:szCs w:val="21"/>
        </w:rPr>
        <w:t>14. 供应商技术部分</w:t>
      </w:r>
      <w:bookmarkEnd w:id="234"/>
      <w:bookmarkEnd w:id="235"/>
      <w:bookmarkEnd w:id="236"/>
      <w:bookmarkEnd w:id="237"/>
      <w:bookmarkEnd w:id="238"/>
      <w:bookmarkEnd w:id="239"/>
      <w:bookmarkEnd w:id="240"/>
      <w:bookmarkEnd w:id="241"/>
      <w:bookmarkEnd w:id="242"/>
      <w:bookmarkEnd w:id="243"/>
      <w:bookmarkEnd w:id="244"/>
    </w:p>
    <w:p>
      <w:pPr>
        <w:spacing w:line="360" w:lineRule="auto"/>
        <w:ind w:firstLine="409" w:firstLineChars="195"/>
        <w:rPr>
          <w:rFonts w:hint="eastAsia" w:ascii="宋体" w:hAnsi="宋体" w:eastAsia="宋体" w:cs="宋体"/>
          <w:szCs w:val="21"/>
          <w:highlight w:val="none"/>
        </w:rPr>
      </w:pPr>
      <w:bookmarkStart w:id="245" w:name="_Toc18403"/>
      <w:bookmarkStart w:id="246" w:name="_Toc7756"/>
      <w:bookmarkStart w:id="247" w:name="_Toc345484675"/>
      <w:bookmarkStart w:id="248" w:name="_Toc18497"/>
      <w:bookmarkStart w:id="249" w:name="_Toc23947"/>
      <w:bookmarkStart w:id="250" w:name="_Toc345484579"/>
      <w:bookmarkStart w:id="251" w:name="_Toc294605733"/>
      <w:bookmarkStart w:id="252" w:name="_Toc313623238"/>
      <w:bookmarkStart w:id="253" w:name="_Toc30404"/>
      <w:bookmarkStart w:id="254" w:name="_Toc452043877"/>
      <w:r>
        <w:rPr>
          <w:rFonts w:hint="eastAsia" w:ascii="宋体" w:hAnsi="宋体" w:eastAsia="宋体" w:cs="宋体"/>
          <w:szCs w:val="21"/>
          <w:highlight w:val="none"/>
        </w:rPr>
        <w:t>（1）项目的理解；</w:t>
      </w:r>
    </w:p>
    <w:p>
      <w:pPr>
        <w:spacing w:line="360" w:lineRule="auto"/>
        <w:ind w:firstLine="409" w:firstLineChars="195"/>
        <w:rPr>
          <w:rFonts w:hint="eastAsia" w:ascii="宋体" w:hAnsi="宋体" w:eastAsia="宋体" w:cs="宋体"/>
          <w:szCs w:val="21"/>
          <w:highlight w:val="none"/>
        </w:rPr>
      </w:pPr>
      <w:r>
        <w:rPr>
          <w:rFonts w:hint="eastAsia" w:ascii="宋体" w:hAnsi="宋体" w:eastAsia="宋体" w:cs="宋体"/>
          <w:szCs w:val="21"/>
          <w:highlight w:val="none"/>
        </w:rPr>
        <w:t>（2）技术方案；</w:t>
      </w:r>
    </w:p>
    <w:p>
      <w:pPr>
        <w:spacing w:line="360" w:lineRule="auto"/>
        <w:ind w:firstLine="409" w:firstLineChars="195"/>
        <w:rPr>
          <w:rFonts w:hint="eastAsia" w:ascii="宋体" w:hAnsi="宋体" w:eastAsia="宋体" w:cs="宋体"/>
          <w:szCs w:val="21"/>
          <w:highlight w:val="none"/>
        </w:rPr>
      </w:pPr>
      <w:r>
        <w:rPr>
          <w:rFonts w:hint="eastAsia" w:ascii="宋体" w:hAnsi="宋体" w:eastAsia="宋体" w:cs="宋体"/>
          <w:szCs w:val="21"/>
          <w:highlight w:val="none"/>
        </w:rPr>
        <w:t>（3）实施方案；</w:t>
      </w:r>
    </w:p>
    <w:p>
      <w:pPr>
        <w:spacing w:line="360" w:lineRule="auto"/>
        <w:ind w:firstLine="409" w:firstLineChars="195"/>
        <w:rPr>
          <w:rFonts w:hint="eastAsia" w:ascii="宋体" w:hAnsi="宋体" w:eastAsia="宋体" w:cs="宋体"/>
          <w:szCs w:val="21"/>
          <w:highlight w:val="none"/>
        </w:rPr>
      </w:pPr>
      <w:r>
        <w:rPr>
          <w:rFonts w:hint="eastAsia" w:ascii="宋体" w:hAnsi="宋体" w:eastAsia="宋体" w:cs="宋体"/>
          <w:szCs w:val="21"/>
          <w:highlight w:val="none"/>
        </w:rPr>
        <w:t>（4）售后服务；</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（5）项目技术团队配备情况（按竞争性磋商采购文件第五章“格式7”相应要求填写）；</w:t>
      </w:r>
    </w:p>
    <w:p>
      <w:pPr>
        <w:pStyle w:val="20"/>
        <w:spacing w:line="360" w:lineRule="auto"/>
        <w:outlineLvl w:val="2"/>
        <w:rPr>
          <w:rFonts w:hint="eastAsia" w:ascii="宋体" w:hAnsi="宋体" w:eastAsia="宋体" w:cs="宋体"/>
          <w:b/>
          <w:szCs w:val="21"/>
        </w:rPr>
      </w:pPr>
      <w:r>
        <w:rPr>
          <w:rFonts w:hint="eastAsia" w:ascii="宋体" w:hAnsi="宋体" w:eastAsia="宋体" w:cs="宋体"/>
          <w:b/>
          <w:szCs w:val="21"/>
        </w:rPr>
        <w:t>15. 响应的有效期</w:t>
      </w:r>
      <w:bookmarkEnd w:id="245"/>
      <w:bookmarkEnd w:id="246"/>
      <w:bookmarkEnd w:id="247"/>
      <w:bookmarkEnd w:id="248"/>
      <w:bookmarkEnd w:id="249"/>
      <w:bookmarkEnd w:id="250"/>
      <w:bookmarkEnd w:id="251"/>
      <w:bookmarkEnd w:id="252"/>
      <w:bookmarkEnd w:id="253"/>
      <w:bookmarkEnd w:id="254"/>
    </w:p>
    <w:p>
      <w:pPr>
        <w:pStyle w:val="20"/>
        <w:spacing w:line="360" w:lineRule="auto"/>
        <w:ind w:firstLine="420"/>
        <w:rPr>
          <w:rFonts w:hint="eastAsia" w:ascii="宋体" w:hAnsi="宋体" w:eastAsia="宋体" w:cs="宋体"/>
          <w:szCs w:val="21"/>
        </w:rPr>
      </w:pPr>
      <w:r>
        <w:rPr>
          <w:rFonts w:hint="eastAsia" w:ascii="宋体" w:hAnsi="宋体" w:eastAsia="宋体" w:cs="宋体"/>
          <w:szCs w:val="21"/>
        </w:rPr>
        <w:t>15.1响应文件从磋商截止日期后60天内有效。</w:t>
      </w:r>
    </w:p>
    <w:p>
      <w:pPr>
        <w:pStyle w:val="20"/>
        <w:spacing w:line="360" w:lineRule="auto"/>
        <w:ind w:firstLine="420"/>
        <w:rPr>
          <w:rFonts w:hint="eastAsia" w:ascii="宋体" w:hAnsi="宋体" w:eastAsia="宋体" w:cs="宋体"/>
          <w:szCs w:val="21"/>
        </w:rPr>
      </w:pPr>
      <w:r>
        <w:rPr>
          <w:rFonts w:hint="eastAsia" w:ascii="宋体" w:hAnsi="宋体" w:eastAsia="宋体" w:cs="宋体"/>
          <w:szCs w:val="21"/>
        </w:rPr>
        <w:t>15.2在特殊情况下，采购代理机构可与采购人协商延长响应文件的有效期。</w:t>
      </w:r>
    </w:p>
    <w:p>
      <w:pPr>
        <w:pStyle w:val="20"/>
        <w:spacing w:line="360" w:lineRule="auto"/>
        <w:outlineLvl w:val="2"/>
        <w:rPr>
          <w:rFonts w:hint="eastAsia" w:ascii="宋体" w:hAnsi="宋体" w:eastAsia="宋体" w:cs="宋体"/>
          <w:szCs w:val="21"/>
        </w:rPr>
      </w:pPr>
      <w:bookmarkStart w:id="255" w:name="_Toc345484580"/>
      <w:bookmarkStart w:id="256" w:name="_Toc294605734"/>
      <w:bookmarkStart w:id="257" w:name="_Toc27051"/>
      <w:bookmarkStart w:id="258" w:name="_Toc7314"/>
      <w:bookmarkStart w:id="259" w:name="_Toc21415"/>
      <w:bookmarkStart w:id="260" w:name="_Toc345484676"/>
      <w:bookmarkStart w:id="261" w:name="_Toc32571"/>
      <w:bookmarkStart w:id="262" w:name="_Toc23872"/>
      <w:bookmarkStart w:id="263" w:name="_Toc452043878"/>
      <w:bookmarkStart w:id="264" w:name="_Toc313623239"/>
      <w:r>
        <w:rPr>
          <w:rFonts w:hint="eastAsia" w:ascii="宋体" w:hAnsi="宋体" w:eastAsia="宋体" w:cs="宋体"/>
          <w:b/>
          <w:szCs w:val="21"/>
        </w:rPr>
        <w:t>16.响应文件书写及签名、盖章要求</w:t>
      </w:r>
      <w:bookmarkEnd w:id="255"/>
      <w:bookmarkEnd w:id="256"/>
      <w:bookmarkEnd w:id="257"/>
      <w:bookmarkEnd w:id="258"/>
      <w:bookmarkEnd w:id="259"/>
      <w:bookmarkEnd w:id="260"/>
      <w:bookmarkEnd w:id="261"/>
      <w:bookmarkEnd w:id="262"/>
      <w:bookmarkEnd w:id="263"/>
      <w:bookmarkEnd w:id="264"/>
    </w:p>
    <w:p>
      <w:pPr>
        <w:pStyle w:val="20"/>
        <w:spacing w:line="360" w:lineRule="auto"/>
        <w:ind w:firstLine="420"/>
        <w:rPr>
          <w:rFonts w:hint="eastAsia" w:ascii="宋体" w:hAnsi="宋体" w:eastAsia="宋体" w:cs="宋体"/>
          <w:szCs w:val="21"/>
        </w:rPr>
      </w:pPr>
      <w:r>
        <w:rPr>
          <w:rFonts w:hint="eastAsia" w:ascii="宋体" w:hAnsi="宋体" w:eastAsia="宋体" w:cs="宋体"/>
          <w:szCs w:val="21"/>
        </w:rPr>
        <w:t>16.1响应文件正本必须用不褪色的墨水书写或打印且正本每页加盖单位公章，否则其评审无效。</w:t>
      </w:r>
    </w:p>
    <w:p>
      <w:pPr>
        <w:pStyle w:val="20"/>
        <w:spacing w:line="360" w:lineRule="auto"/>
        <w:ind w:firstLine="420"/>
        <w:rPr>
          <w:rFonts w:hint="eastAsia" w:ascii="宋体" w:hAnsi="宋体" w:eastAsia="宋体" w:cs="宋体"/>
          <w:szCs w:val="21"/>
        </w:rPr>
      </w:pPr>
      <w:r>
        <w:rPr>
          <w:rFonts w:hint="eastAsia" w:ascii="宋体" w:hAnsi="宋体" w:eastAsia="宋体" w:cs="宋体"/>
          <w:szCs w:val="21"/>
        </w:rPr>
        <w:t>16.2响应文件的书写应清楚工整，修改处应由法定代表人或委托代理人签名和加盖单位公章，否则其响应无效。</w:t>
      </w:r>
    </w:p>
    <w:p>
      <w:pPr>
        <w:pStyle w:val="20"/>
        <w:spacing w:line="360" w:lineRule="auto"/>
        <w:ind w:firstLine="420"/>
        <w:rPr>
          <w:rFonts w:hint="eastAsia" w:ascii="宋体" w:hAnsi="宋体" w:eastAsia="宋体" w:cs="宋体"/>
          <w:szCs w:val="21"/>
        </w:rPr>
      </w:pPr>
      <w:r>
        <w:rPr>
          <w:rFonts w:hint="eastAsia" w:ascii="宋体" w:hAnsi="宋体" w:eastAsia="宋体" w:cs="宋体"/>
          <w:spacing w:val="-4"/>
          <w:szCs w:val="21"/>
        </w:rPr>
        <w:t>16.3字迹潦草、表达不清、未按要求填写或可能导致非唯一理解的响应文件可能被认定为无效的</w:t>
      </w:r>
      <w:r>
        <w:rPr>
          <w:rFonts w:hint="eastAsia" w:ascii="宋体" w:hAnsi="宋体" w:eastAsia="宋体" w:cs="宋体"/>
          <w:szCs w:val="21"/>
        </w:rPr>
        <w:t>响应。</w:t>
      </w:r>
    </w:p>
    <w:p>
      <w:pPr>
        <w:pStyle w:val="20"/>
        <w:spacing w:line="360" w:lineRule="auto"/>
        <w:ind w:firstLine="420"/>
        <w:rPr>
          <w:rFonts w:hint="eastAsia" w:ascii="宋体" w:hAnsi="宋体" w:eastAsia="宋体" w:cs="宋体"/>
          <w:szCs w:val="21"/>
        </w:rPr>
      </w:pPr>
      <w:r>
        <w:rPr>
          <w:rFonts w:hint="eastAsia" w:ascii="宋体" w:hAnsi="宋体" w:eastAsia="宋体" w:cs="宋体"/>
          <w:szCs w:val="21"/>
        </w:rPr>
        <w:t>16.4响应文件应由法定代表人或委托代理人在凡规定签名、盖章处逐一签名和加盖单位公章，否则其响应无效。</w:t>
      </w:r>
    </w:p>
    <w:p>
      <w:pPr>
        <w:pStyle w:val="20"/>
        <w:spacing w:line="360" w:lineRule="auto"/>
        <w:ind w:firstLine="420"/>
        <w:rPr>
          <w:rFonts w:hint="eastAsia" w:ascii="宋体" w:hAnsi="宋体" w:eastAsia="宋体" w:cs="宋体"/>
          <w:szCs w:val="21"/>
        </w:rPr>
      </w:pPr>
      <w:r>
        <w:rPr>
          <w:rFonts w:hint="eastAsia" w:ascii="宋体" w:hAnsi="宋体" w:eastAsia="宋体" w:cs="宋体"/>
          <w:szCs w:val="21"/>
        </w:rPr>
        <w:t>16.5响应文件正本中所提供的资格证明文件及相关材料若为复印件，每页必须加盖供应商公章，否则视为响应文件无效。</w:t>
      </w:r>
    </w:p>
    <w:p>
      <w:pPr>
        <w:pStyle w:val="20"/>
        <w:spacing w:line="360" w:lineRule="auto"/>
        <w:ind w:firstLine="420"/>
        <w:rPr>
          <w:rFonts w:hint="eastAsia" w:ascii="宋体" w:hAnsi="宋体" w:eastAsia="宋体" w:cs="宋体"/>
          <w:szCs w:val="21"/>
        </w:rPr>
      </w:pPr>
      <w:r>
        <w:rPr>
          <w:rFonts w:hint="eastAsia" w:ascii="宋体" w:hAnsi="宋体" w:eastAsia="宋体" w:cs="宋体"/>
          <w:szCs w:val="21"/>
        </w:rPr>
        <w:t>16.6响应文件的份数：正本壹份、副本叁份，共肆份。并在文件封面注明“正本”、“副本”字样，副本可以用签字盖章的正本复印，一旦正本和副本不符，以正本为准。</w:t>
      </w:r>
    </w:p>
    <w:p>
      <w:pPr>
        <w:pStyle w:val="20"/>
        <w:spacing w:line="360" w:lineRule="auto"/>
        <w:outlineLvl w:val="2"/>
        <w:rPr>
          <w:rFonts w:hint="eastAsia" w:ascii="宋体" w:hAnsi="宋体" w:eastAsia="宋体" w:cs="宋体"/>
          <w:b/>
          <w:szCs w:val="21"/>
        </w:rPr>
      </w:pPr>
      <w:bookmarkStart w:id="265" w:name="_Toc13060"/>
      <w:bookmarkStart w:id="266" w:name="_Toc5849"/>
      <w:bookmarkStart w:id="267" w:name="_Toc345484581"/>
      <w:bookmarkStart w:id="268" w:name="_Toc31821"/>
      <w:bookmarkStart w:id="269" w:name="_Toc452043879"/>
      <w:bookmarkStart w:id="270" w:name="_Toc30032"/>
      <w:bookmarkStart w:id="271" w:name="_Toc345484677"/>
      <w:bookmarkStart w:id="272" w:name="_Toc313623240"/>
      <w:bookmarkStart w:id="273" w:name="_Toc294605735"/>
      <w:bookmarkStart w:id="274" w:name="_Toc27705"/>
      <w:r>
        <w:rPr>
          <w:rFonts w:hint="eastAsia" w:ascii="宋体" w:hAnsi="宋体" w:eastAsia="宋体" w:cs="宋体"/>
          <w:b/>
          <w:szCs w:val="21"/>
        </w:rPr>
        <w:t>17.磋商保证金</w:t>
      </w:r>
      <w:bookmarkEnd w:id="265"/>
      <w:bookmarkEnd w:id="266"/>
      <w:bookmarkEnd w:id="267"/>
      <w:bookmarkEnd w:id="268"/>
      <w:bookmarkEnd w:id="269"/>
      <w:bookmarkEnd w:id="270"/>
      <w:bookmarkEnd w:id="271"/>
      <w:bookmarkEnd w:id="272"/>
      <w:bookmarkEnd w:id="273"/>
      <w:bookmarkEnd w:id="274"/>
      <w:r>
        <w:rPr>
          <w:rFonts w:hint="eastAsia" w:ascii="宋体" w:hAnsi="宋体" w:eastAsia="宋体" w:cs="宋体"/>
          <w:b/>
          <w:szCs w:val="21"/>
        </w:rPr>
        <w:t>：</w:t>
      </w:r>
      <w:r>
        <w:rPr>
          <w:rFonts w:hint="eastAsia" w:ascii="宋体" w:hAnsi="宋体" w:eastAsia="宋体" w:cs="宋体"/>
          <w:szCs w:val="21"/>
        </w:rPr>
        <w:t>详见供应商须知前附表。</w:t>
      </w:r>
    </w:p>
    <w:p>
      <w:pPr>
        <w:pStyle w:val="20"/>
        <w:spacing w:line="360" w:lineRule="auto"/>
        <w:jc w:val="center"/>
        <w:outlineLvl w:val="2"/>
        <w:rPr>
          <w:rFonts w:hint="eastAsia" w:ascii="宋体" w:hAnsi="宋体" w:eastAsia="宋体" w:cs="宋体"/>
          <w:b/>
          <w:bCs/>
          <w:szCs w:val="21"/>
        </w:rPr>
      </w:pPr>
      <w:bookmarkStart w:id="275" w:name="_Toc294605736"/>
      <w:bookmarkStart w:id="276" w:name="_Toc345484582"/>
      <w:bookmarkStart w:id="277" w:name="_Toc313623241"/>
      <w:bookmarkStart w:id="278" w:name="_Toc345484678"/>
      <w:bookmarkStart w:id="279" w:name="_Toc452043880"/>
      <w:bookmarkStart w:id="280" w:name="_Toc14149"/>
      <w:bookmarkStart w:id="281" w:name="_Toc9216"/>
      <w:bookmarkStart w:id="282" w:name="_Toc18021"/>
      <w:bookmarkStart w:id="283" w:name="_Toc743"/>
      <w:bookmarkStart w:id="284" w:name="_Toc28537"/>
      <w:r>
        <w:rPr>
          <w:rFonts w:hint="eastAsia" w:ascii="宋体" w:hAnsi="宋体" w:eastAsia="宋体" w:cs="宋体"/>
          <w:b/>
          <w:bCs/>
          <w:szCs w:val="21"/>
        </w:rPr>
        <w:t>四</w:t>
      </w:r>
      <w:bookmarkEnd w:id="275"/>
      <w:bookmarkEnd w:id="276"/>
      <w:bookmarkEnd w:id="277"/>
      <w:bookmarkEnd w:id="278"/>
      <w:r>
        <w:rPr>
          <w:rFonts w:hint="eastAsia" w:ascii="宋体" w:hAnsi="宋体" w:eastAsia="宋体" w:cs="宋体"/>
          <w:b/>
          <w:bCs/>
          <w:szCs w:val="21"/>
        </w:rPr>
        <w:t xml:space="preserve">  响应文件的递交</w:t>
      </w:r>
      <w:bookmarkEnd w:id="279"/>
      <w:bookmarkEnd w:id="280"/>
      <w:bookmarkEnd w:id="281"/>
      <w:bookmarkEnd w:id="282"/>
      <w:bookmarkEnd w:id="283"/>
      <w:bookmarkEnd w:id="284"/>
    </w:p>
    <w:p>
      <w:pPr>
        <w:pStyle w:val="20"/>
        <w:spacing w:line="360" w:lineRule="auto"/>
        <w:outlineLvl w:val="2"/>
        <w:rPr>
          <w:rFonts w:hint="eastAsia" w:ascii="宋体" w:hAnsi="宋体" w:eastAsia="宋体" w:cs="宋体"/>
          <w:b/>
          <w:szCs w:val="21"/>
        </w:rPr>
      </w:pPr>
      <w:bookmarkStart w:id="285" w:name="_Toc452043881"/>
      <w:bookmarkStart w:id="286" w:name="_Toc18317"/>
      <w:bookmarkStart w:id="287" w:name="_Toc345484583"/>
      <w:bookmarkStart w:id="288" w:name="_Toc25110"/>
      <w:bookmarkStart w:id="289" w:name="_Toc7528"/>
      <w:bookmarkStart w:id="290" w:name="_Toc345484679"/>
      <w:bookmarkStart w:id="291" w:name="_Toc13451"/>
      <w:bookmarkStart w:id="292" w:name="_Toc294605737"/>
      <w:bookmarkStart w:id="293" w:name="_Toc313623242"/>
      <w:bookmarkStart w:id="294" w:name="_Toc9129"/>
      <w:r>
        <w:rPr>
          <w:rFonts w:hint="eastAsia" w:ascii="宋体" w:hAnsi="宋体" w:eastAsia="宋体" w:cs="宋体"/>
          <w:b/>
          <w:szCs w:val="21"/>
        </w:rPr>
        <w:t>18. 响应文件的密封与标记</w:t>
      </w:r>
      <w:bookmarkEnd w:id="285"/>
      <w:bookmarkEnd w:id="286"/>
      <w:bookmarkEnd w:id="287"/>
      <w:bookmarkEnd w:id="288"/>
      <w:bookmarkEnd w:id="289"/>
      <w:bookmarkEnd w:id="290"/>
      <w:bookmarkEnd w:id="291"/>
      <w:bookmarkEnd w:id="292"/>
      <w:bookmarkEnd w:id="293"/>
      <w:bookmarkEnd w:id="294"/>
    </w:p>
    <w:p>
      <w:pPr>
        <w:pStyle w:val="20"/>
        <w:spacing w:line="360" w:lineRule="auto"/>
        <w:ind w:firstLine="420"/>
        <w:rPr>
          <w:rFonts w:hint="eastAsia" w:ascii="宋体" w:hAnsi="宋体" w:eastAsia="宋体" w:cs="宋体"/>
          <w:szCs w:val="21"/>
        </w:rPr>
      </w:pPr>
      <w:r>
        <w:rPr>
          <w:rFonts w:hint="eastAsia" w:ascii="宋体" w:hAnsi="宋体" w:eastAsia="宋体" w:cs="宋体"/>
          <w:szCs w:val="21"/>
        </w:rPr>
        <w:t>18.1供应商应将响应文件正、副本分别装订成册，在每个文本封面上标明“响应文件正本（副本）”，以及项目名称、项目编号、供应商名称等内容。</w:t>
      </w:r>
    </w:p>
    <w:p>
      <w:pPr>
        <w:pStyle w:val="20"/>
        <w:spacing w:line="360" w:lineRule="auto"/>
        <w:ind w:firstLine="420" w:firstLineChars="200"/>
        <w:rPr>
          <w:rFonts w:hint="eastAsia" w:ascii="宋体" w:hAnsi="宋体" w:eastAsia="宋体" w:cs="宋体"/>
          <w:szCs w:val="21"/>
        </w:rPr>
      </w:pPr>
      <w:r>
        <w:rPr>
          <w:rFonts w:hint="eastAsia" w:ascii="宋体" w:hAnsi="宋体" w:eastAsia="宋体" w:cs="宋体"/>
          <w:szCs w:val="21"/>
        </w:rPr>
        <w:t>18.2供应商应将响应文件（正本壹本，副本叁本）一并装入响应文件袋中加以密封；并在每一封口处密封签章（公章或密封章或法定代表人或其委托代理人签字均可）</w:t>
      </w:r>
    </w:p>
    <w:p>
      <w:pPr>
        <w:pStyle w:val="2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18.3响应文件袋上应写明： </w:t>
      </w:r>
    </w:p>
    <w:p>
      <w:pPr>
        <w:pStyle w:val="20"/>
        <w:spacing w:line="360" w:lineRule="auto"/>
        <w:ind w:firstLine="840" w:firstLineChars="400"/>
        <w:rPr>
          <w:rFonts w:hint="eastAsia" w:ascii="宋体" w:hAnsi="宋体" w:eastAsia="宋体" w:cs="宋体"/>
          <w:szCs w:val="21"/>
        </w:rPr>
      </w:pPr>
      <w:r>
        <w:rPr>
          <w:rFonts w:hint="eastAsia" w:ascii="宋体" w:hAnsi="宋体" w:eastAsia="宋体" w:cs="宋体"/>
          <w:szCs w:val="21"/>
        </w:rPr>
        <w:t>⑴ 采购代理机构：</w:t>
      </w:r>
      <w:r>
        <w:rPr>
          <w:rFonts w:hint="eastAsia" w:ascii="宋体" w:hAnsi="宋体" w:eastAsia="宋体" w:cs="宋体"/>
          <w:szCs w:val="21"/>
          <w:u w:val="single"/>
        </w:rPr>
        <w:t xml:space="preserve">                   </w:t>
      </w:r>
    </w:p>
    <w:p>
      <w:pPr>
        <w:autoSpaceDE w:val="0"/>
        <w:autoSpaceDN w:val="0"/>
        <w:adjustRightInd w:val="0"/>
        <w:spacing w:line="360" w:lineRule="auto"/>
        <w:ind w:firstLine="840" w:firstLineChars="400"/>
        <w:rPr>
          <w:rFonts w:hint="eastAsia" w:ascii="宋体" w:hAnsi="宋体" w:eastAsia="宋体" w:cs="宋体"/>
          <w:szCs w:val="21"/>
          <w:u w:val="single"/>
        </w:rPr>
      </w:pPr>
      <w:r>
        <w:rPr>
          <w:rFonts w:hint="eastAsia" w:ascii="宋体" w:hAnsi="宋体" w:eastAsia="宋体" w:cs="宋体"/>
          <w:szCs w:val="21"/>
        </w:rPr>
        <w:t>⑵ 项目名称：</w:t>
      </w:r>
      <w:r>
        <w:rPr>
          <w:rFonts w:hint="eastAsia" w:ascii="宋体" w:hAnsi="宋体" w:eastAsia="宋体" w:cs="宋体"/>
          <w:szCs w:val="21"/>
          <w:u w:val="single"/>
        </w:rPr>
        <w:t xml:space="preserve">                       </w:t>
      </w:r>
    </w:p>
    <w:p>
      <w:pPr>
        <w:autoSpaceDE w:val="0"/>
        <w:autoSpaceDN w:val="0"/>
        <w:adjustRightInd w:val="0"/>
        <w:spacing w:line="360" w:lineRule="auto"/>
        <w:ind w:firstLine="840" w:firstLineChars="400"/>
        <w:rPr>
          <w:rFonts w:hint="eastAsia" w:ascii="宋体" w:hAnsi="宋体" w:eastAsia="宋体" w:cs="宋体"/>
          <w:szCs w:val="21"/>
          <w:u w:val="single"/>
        </w:rPr>
      </w:pPr>
      <w:r>
        <w:rPr>
          <w:rFonts w:hint="eastAsia" w:ascii="宋体" w:hAnsi="宋体" w:eastAsia="宋体" w:cs="宋体"/>
          <w:szCs w:val="21"/>
        </w:rPr>
        <w:t>⑶ 采购项目编号：</w:t>
      </w:r>
      <w:r>
        <w:rPr>
          <w:rFonts w:hint="eastAsia" w:ascii="宋体" w:hAnsi="宋体" w:eastAsia="宋体" w:cs="宋体"/>
          <w:szCs w:val="21"/>
          <w:u w:val="single"/>
        </w:rPr>
        <w:t xml:space="preserve">                   </w:t>
      </w:r>
    </w:p>
    <w:p>
      <w:pPr>
        <w:autoSpaceDE w:val="0"/>
        <w:autoSpaceDN w:val="0"/>
        <w:adjustRightInd w:val="0"/>
        <w:spacing w:line="360" w:lineRule="auto"/>
        <w:ind w:firstLine="840" w:firstLineChars="400"/>
        <w:rPr>
          <w:rFonts w:hint="eastAsia" w:ascii="宋体" w:hAnsi="宋体" w:eastAsia="宋体" w:cs="宋体"/>
          <w:szCs w:val="21"/>
          <w:u w:val="single"/>
        </w:rPr>
      </w:pPr>
      <w:r>
        <w:rPr>
          <w:rFonts w:hint="eastAsia" w:ascii="宋体" w:hAnsi="宋体" w:eastAsia="宋体" w:cs="宋体"/>
          <w:szCs w:val="21"/>
        </w:rPr>
        <w:t>⑷ 供应商名称：</w:t>
      </w:r>
      <w:r>
        <w:rPr>
          <w:rFonts w:hint="eastAsia" w:ascii="宋体" w:hAnsi="宋体" w:eastAsia="宋体" w:cs="宋体"/>
          <w:szCs w:val="21"/>
          <w:u w:val="single"/>
        </w:rPr>
        <w:t xml:space="preserve">                         </w:t>
      </w:r>
    </w:p>
    <w:p>
      <w:pPr>
        <w:pStyle w:val="20"/>
        <w:spacing w:line="360" w:lineRule="auto"/>
        <w:ind w:firstLine="911" w:firstLineChars="434"/>
        <w:rPr>
          <w:rFonts w:hint="eastAsia" w:ascii="宋体" w:hAnsi="宋体" w:eastAsia="宋体" w:cs="宋体"/>
          <w:szCs w:val="21"/>
        </w:rPr>
      </w:pPr>
      <w:r>
        <w:rPr>
          <w:rFonts w:hint="eastAsia" w:ascii="宋体" w:hAnsi="宋体" w:eastAsia="宋体" w:cs="宋体"/>
          <w:szCs w:val="21"/>
        </w:rPr>
        <w:t>⑸ 注明“截标时才能启封”</w:t>
      </w:r>
    </w:p>
    <w:p>
      <w:pPr>
        <w:pStyle w:val="20"/>
        <w:spacing w:line="360" w:lineRule="auto"/>
        <w:ind w:firstLine="420"/>
        <w:rPr>
          <w:rFonts w:hint="eastAsia" w:ascii="宋体" w:hAnsi="宋体" w:eastAsia="宋体" w:cs="宋体"/>
          <w:b/>
          <w:szCs w:val="21"/>
        </w:rPr>
      </w:pPr>
      <w:bookmarkStart w:id="295" w:name="_Toc294605740"/>
      <w:bookmarkStart w:id="296" w:name="_Toc345484682"/>
      <w:bookmarkStart w:id="297" w:name="_Toc313623245"/>
      <w:bookmarkStart w:id="298" w:name="_Toc345484586"/>
      <w:bookmarkStart w:id="299" w:name="_Toc147250333"/>
      <w:bookmarkStart w:id="300" w:name="_Toc147250535"/>
      <w:bookmarkStart w:id="301" w:name="_Toc147250379"/>
      <w:r>
        <w:rPr>
          <w:rFonts w:hint="eastAsia" w:ascii="宋体" w:hAnsi="宋体" w:eastAsia="宋体" w:cs="宋体"/>
          <w:spacing w:val="-2"/>
          <w:szCs w:val="21"/>
        </w:rPr>
        <w:t>18.4</w:t>
      </w:r>
      <w:r>
        <w:rPr>
          <w:rFonts w:hint="eastAsia" w:ascii="宋体" w:hAnsi="宋体" w:eastAsia="宋体" w:cs="宋体"/>
          <w:b/>
          <w:szCs w:val="21"/>
          <w:u w:val="double"/>
        </w:rPr>
        <w:t>响应文件的密封以响应文件袋无明显缝隙露出袋内文件且封口处有签字或盖章为合格</w:t>
      </w:r>
      <w:r>
        <w:rPr>
          <w:rFonts w:hint="eastAsia" w:ascii="宋体" w:hAnsi="宋体" w:eastAsia="宋体" w:cs="宋体"/>
          <w:b/>
          <w:szCs w:val="21"/>
        </w:rPr>
        <w:t>。</w:t>
      </w:r>
    </w:p>
    <w:p>
      <w:pPr>
        <w:pStyle w:val="20"/>
        <w:spacing w:line="360" w:lineRule="auto"/>
        <w:ind w:firstLine="420"/>
        <w:rPr>
          <w:rFonts w:hint="eastAsia" w:ascii="宋体" w:hAnsi="宋体" w:eastAsia="宋体" w:cs="宋体"/>
          <w:szCs w:val="21"/>
        </w:rPr>
      </w:pPr>
      <w:r>
        <w:rPr>
          <w:rFonts w:hint="eastAsia" w:ascii="宋体" w:hAnsi="宋体" w:eastAsia="宋体" w:cs="宋体"/>
          <w:szCs w:val="21"/>
        </w:rPr>
        <w:t>18.5供应商在递交响应文件时未按本须知要求密封、标记的，采购人有权拒收。</w:t>
      </w:r>
    </w:p>
    <w:p>
      <w:pPr>
        <w:pStyle w:val="20"/>
        <w:spacing w:line="360" w:lineRule="auto"/>
        <w:outlineLvl w:val="2"/>
        <w:rPr>
          <w:rFonts w:hint="eastAsia" w:ascii="宋体" w:hAnsi="宋体" w:eastAsia="宋体" w:cs="宋体"/>
          <w:b/>
          <w:bCs/>
          <w:szCs w:val="21"/>
        </w:rPr>
      </w:pPr>
      <w:bookmarkStart w:id="302" w:name="_Toc294605738"/>
      <w:bookmarkStart w:id="303" w:name="_Toc29482"/>
      <w:bookmarkStart w:id="304" w:name="_Toc27190"/>
      <w:bookmarkStart w:id="305" w:name="_Toc452043882"/>
      <w:bookmarkStart w:id="306" w:name="_Toc345484584"/>
      <w:bookmarkStart w:id="307" w:name="_Toc345484680"/>
      <w:bookmarkStart w:id="308" w:name="_Toc28803"/>
      <w:bookmarkStart w:id="309" w:name="_Toc10085"/>
      <w:bookmarkStart w:id="310" w:name="_Toc9247"/>
      <w:bookmarkStart w:id="311" w:name="_Toc313623243"/>
      <w:r>
        <w:rPr>
          <w:rFonts w:hint="eastAsia" w:ascii="宋体" w:hAnsi="宋体" w:eastAsia="宋体" w:cs="宋体"/>
          <w:b/>
          <w:bCs/>
          <w:szCs w:val="21"/>
        </w:rPr>
        <w:t>19.响应文件递交截止时间</w:t>
      </w:r>
      <w:bookmarkEnd w:id="302"/>
      <w:bookmarkEnd w:id="303"/>
      <w:bookmarkEnd w:id="304"/>
      <w:bookmarkEnd w:id="305"/>
      <w:bookmarkEnd w:id="306"/>
      <w:bookmarkEnd w:id="307"/>
      <w:bookmarkEnd w:id="308"/>
      <w:bookmarkEnd w:id="309"/>
      <w:bookmarkEnd w:id="310"/>
      <w:bookmarkEnd w:id="311"/>
    </w:p>
    <w:p>
      <w:pPr>
        <w:pStyle w:val="20"/>
        <w:tabs>
          <w:tab w:val="left" w:pos="1957"/>
        </w:tabs>
        <w:spacing w:line="360" w:lineRule="auto"/>
        <w:ind w:right="-531" w:rightChars="-253" w:firstLine="220"/>
        <w:rPr>
          <w:rFonts w:hint="eastAsia" w:ascii="宋体" w:hAnsi="宋体" w:eastAsia="宋体" w:cs="宋体"/>
          <w:spacing w:val="-4"/>
          <w:szCs w:val="21"/>
          <w:u w:val="single"/>
        </w:rPr>
      </w:pPr>
      <w:r>
        <w:rPr>
          <w:rFonts w:hint="eastAsia" w:ascii="宋体" w:hAnsi="宋体" w:eastAsia="宋体" w:cs="宋体"/>
          <w:szCs w:val="21"/>
        </w:rPr>
        <w:t xml:space="preserve"> 19.1</w:t>
      </w:r>
      <w:r>
        <w:rPr>
          <w:rFonts w:hint="eastAsia" w:ascii="宋体" w:hAnsi="宋体" w:eastAsia="宋体" w:cs="宋体"/>
          <w:spacing w:val="-4"/>
          <w:szCs w:val="21"/>
        </w:rPr>
        <w:t>响应文件的递交不得迟于本须知前附表第8项规定的截止时间。</w:t>
      </w:r>
    </w:p>
    <w:p>
      <w:pPr>
        <w:pStyle w:val="20"/>
        <w:tabs>
          <w:tab w:val="left" w:pos="1957"/>
        </w:tabs>
        <w:spacing w:line="360" w:lineRule="auto"/>
        <w:ind w:firstLine="315" w:firstLineChars="150"/>
        <w:rPr>
          <w:rFonts w:hint="eastAsia" w:ascii="宋体" w:hAnsi="宋体" w:eastAsia="宋体" w:cs="宋体"/>
          <w:szCs w:val="21"/>
        </w:rPr>
      </w:pPr>
      <w:r>
        <w:rPr>
          <w:rFonts w:hint="eastAsia" w:ascii="宋体" w:hAnsi="宋体" w:eastAsia="宋体" w:cs="宋体"/>
          <w:szCs w:val="21"/>
        </w:rPr>
        <w:t>19.2供应商必须在规定时间内将响应文件送到本须知前附表第8项规定地点，超过响应文件递交截止时间送达的响应文件为无效响应文件，采购机构将拒收。</w:t>
      </w:r>
    </w:p>
    <w:p>
      <w:pPr>
        <w:pStyle w:val="20"/>
        <w:spacing w:line="360" w:lineRule="auto"/>
        <w:outlineLvl w:val="2"/>
        <w:rPr>
          <w:rFonts w:hint="eastAsia" w:ascii="宋体" w:hAnsi="宋体" w:eastAsia="宋体" w:cs="宋体"/>
          <w:szCs w:val="21"/>
        </w:rPr>
      </w:pPr>
      <w:bookmarkStart w:id="312" w:name="_Toc294605739"/>
      <w:bookmarkStart w:id="313" w:name="_Toc8936"/>
      <w:bookmarkStart w:id="314" w:name="_Toc147250378"/>
      <w:bookmarkStart w:id="315" w:name="_Toc283"/>
      <w:bookmarkStart w:id="316" w:name="_Toc345484585"/>
      <w:bookmarkStart w:id="317" w:name="_Toc7678"/>
      <w:bookmarkStart w:id="318" w:name="_Toc147250332"/>
      <w:bookmarkStart w:id="319" w:name="_Toc147250534"/>
      <w:bookmarkStart w:id="320" w:name="_Toc32450"/>
      <w:bookmarkStart w:id="321" w:name="_Toc12676"/>
      <w:bookmarkStart w:id="322" w:name="_Toc452043883"/>
      <w:bookmarkStart w:id="323" w:name="_Toc313623244"/>
      <w:bookmarkStart w:id="324" w:name="_Toc345484681"/>
      <w:r>
        <w:rPr>
          <w:rFonts w:hint="eastAsia" w:ascii="宋体" w:hAnsi="宋体" w:eastAsia="宋体" w:cs="宋体"/>
          <w:b/>
          <w:szCs w:val="21"/>
        </w:rPr>
        <w:t>20.响应文件的修改及撤回</w:t>
      </w:r>
      <w:bookmarkEnd w:id="312"/>
      <w:bookmarkEnd w:id="313"/>
      <w:bookmarkEnd w:id="314"/>
      <w:bookmarkEnd w:id="315"/>
      <w:bookmarkEnd w:id="316"/>
      <w:bookmarkEnd w:id="317"/>
      <w:bookmarkEnd w:id="318"/>
      <w:bookmarkEnd w:id="319"/>
      <w:bookmarkEnd w:id="320"/>
      <w:bookmarkEnd w:id="321"/>
      <w:bookmarkEnd w:id="322"/>
      <w:bookmarkEnd w:id="323"/>
      <w:bookmarkEnd w:id="324"/>
    </w:p>
    <w:p>
      <w:pPr>
        <w:pStyle w:val="20"/>
        <w:spacing w:line="360" w:lineRule="auto"/>
        <w:ind w:firstLine="443" w:firstLineChars="211"/>
        <w:rPr>
          <w:rFonts w:hint="eastAsia" w:ascii="宋体" w:hAnsi="宋体" w:eastAsia="宋体" w:cs="宋体"/>
          <w:szCs w:val="21"/>
        </w:rPr>
      </w:pPr>
      <w:r>
        <w:rPr>
          <w:rFonts w:hint="eastAsia" w:ascii="宋体" w:hAnsi="宋体" w:eastAsia="宋体" w:cs="宋体"/>
          <w:szCs w:val="21"/>
        </w:rPr>
        <w:t>20.1供应商在响应文件递交截止时间前，对所递交的响应文件可以进行补充、修改或撤回，供应商对所递交的补充、修改或撤回需要向采购代理机构出具书面通知。补充、修改的内容为响应文件的组成部分。</w:t>
      </w:r>
    </w:p>
    <w:p>
      <w:pPr>
        <w:pStyle w:val="20"/>
        <w:spacing w:line="360" w:lineRule="auto"/>
        <w:ind w:firstLine="443" w:firstLineChars="211"/>
        <w:rPr>
          <w:rFonts w:hint="eastAsia" w:ascii="宋体" w:hAnsi="宋体" w:eastAsia="宋体" w:cs="宋体"/>
          <w:szCs w:val="21"/>
        </w:rPr>
      </w:pPr>
      <w:r>
        <w:rPr>
          <w:rFonts w:hint="eastAsia" w:ascii="宋体" w:hAnsi="宋体" w:eastAsia="宋体" w:cs="宋体"/>
          <w:szCs w:val="21"/>
        </w:rPr>
        <w:t>20.2响应文件的修改和撤回通知应按本须知第18条的规定密封、标记和递交，并在封面上标明“修改”字样。</w:t>
      </w:r>
      <w:bookmarkStart w:id="325" w:name="_Toc452043884"/>
    </w:p>
    <w:p>
      <w:pPr>
        <w:pStyle w:val="20"/>
        <w:spacing w:line="360" w:lineRule="auto"/>
        <w:ind w:firstLine="426" w:firstLineChars="211"/>
        <w:rPr>
          <w:rFonts w:hint="eastAsia" w:ascii="宋体" w:hAnsi="宋体" w:eastAsia="宋体" w:cs="宋体"/>
          <w:szCs w:val="21"/>
        </w:rPr>
      </w:pPr>
      <w:r>
        <w:rPr>
          <w:rFonts w:hint="eastAsia" w:ascii="宋体" w:hAnsi="宋体" w:eastAsia="宋体" w:cs="宋体"/>
          <w:spacing w:val="-4"/>
          <w:szCs w:val="21"/>
        </w:rPr>
        <w:t>20.3在响文件递交截止时间后的响应有效期内，供应商不得撤回其响应文件，否则其全部磋商保证金将不予退还</w:t>
      </w:r>
      <w:r>
        <w:rPr>
          <w:rFonts w:hint="eastAsia" w:ascii="宋体" w:hAnsi="宋体" w:eastAsia="宋体" w:cs="宋体"/>
          <w:szCs w:val="21"/>
        </w:rPr>
        <w:t>。</w:t>
      </w:r>
      <w:bookmarkEnd w:id="325"/>
    </w:p>
    <w:p>
      <w:pPr>
        <w:pStyle w:val="20"/>
        <w:spacing w:line="360" w:lineRule="auto"/>
        <w:ind w:firstLine="506" w:firstLineChars="211"/>
        <w:rPr>
          <w:rFonts w:hint="eastAsia" w:ascii="宋体" w:hAnsi="宋体" w:eastAsia="宋体" w:cs="宋体"/>
          <w:sz w:val="24"/>
          <w:szCs w:val="24"/>
        </w:rPr>
      </w:pPr>
    </w:p>
    <w:bookmarkEnd w:id="295"/>
    <w:bookmarkEnd w:id="296"/>
    <w:bookmarkEnd w:id="297"/>
    <w:bookmarkEnd w:id="298"/>
    <w:p>
      <w:pPr>
        <w:pStyle w:val="20"/>
        <w:spacing w:line="360" w:lineRule="auto"/>
        <w:jc w:val="center"/>
        <w:outlineLvl w:val="2"/>
        <w:rPr>
          <w:rFonts w:hint="eastAsia" w:ascii="宋体" w:hAnsi="宋体" w:eastAsia="宋体" w:cs="宋体"/>
          <w:b/>
          <w:bCs/>
          <w:sz w:val="24"/>
          <w:szCs w:val="24"/>
        </w:rPr>
      </w:pPr>
      <w:bookmarkStart w:id="326" w:name="_Toc321"/>
      <w:bookmarkStart w:id="327" w:name="_Toc2960"/>
      <w:bookmarkStart w:id="328" w:name="_Toc29048"/>
      <w:bookmarkStart w:id="329" w:name="_Toc26948"/>
      <w:bookmarkStart w:id="330" w:name="_Toc452043885"/>
      <w:bookmarkStart w:id="331" w:name="_Toc6651"/>
      <w:r>
        <w:rPr>
          <w:rFonts w:hint="eastAsia" w:ascii="宋体" w:hAnsi="宋体" w:eastAsia="宋体" w:cs="宋体"/>
          <w:b/>
          <w:bCs/>
          <w:sz w:val="24"/>
          <w:szCs w:val="24"/>
        </w:rPr>
        <w:t>五  竞争性磋商（简称磋商）与评审</w:t>
      </w:r>
      <w:bookmarkEnd w:id="326"/>
      <w:bookmarkEnd w:id="327"/>
      <w:bookmarkEnd w:id="328"/>
      <w:bookmarkEnd w:id="329"/>
      <w:bookmarkEnd w:id="330"/>
      <w:bookmarkEnd w:id="331"/>
    </w:p>
    <w:p>
      <w:pPr>
        <w:pStyle w:val="20"/>
        <w:spacing w:line="360" w:lineRule="auto"/>
        <w:outlineLvl w:val="2"/>
        <w:rPr>
          <w:rFonts w:hint="eastAsia" w:ascii="宋体" w:hAnsi="宋体" w:eastAsia="宋体" w:cs="宋体"/>
          <w:b/>
          <w:szCs w:val="21"/>
        </w:rPr>
      </w:pPr>
      <w:bookmarkStart w:id="332" w:name="_Toc444006004"/>
      <w:bookmarkStart w:id="333" w:name="_Toc24315"/>
      <w:bookmarkStart w:id="334" w:name="_Toc5258"/>
      <w:bookmarkStart w:id="335" w:name="_Toc8931"/>
      <w:bookmarkStart w:id="336" w:name="_Toc12803"/>
      <w:bookmarkStart w:id="337" w:name="_Toc452043886"/>
      <w:bookmarkStart w:id="338" w:name="_Toc11761"/>
      <w:r>
        <w:rPr>
          <w:rFonts w:hint="eastAsia" w:ascii="宋体" w:hAnsi="宋体" w:eastAsia="宋体" w:cs="宋体"/>
          <w:b/>
          <w:szCs w:val="21"/>
        </w:rPr>
        <w:t>21.组建磋商小组</w:t>
      </w:r>
      <w:bookmarkEnd w:id="332"/>
      <w:r>
        <w:rPr>
          <w:rFonts w:hint="eastAsia" w:ascii="宋体" w:hAnsi="宋体" w:eastAsia="宋体" w:cs="宋体"/>
          <w:b/>
          <w:szCs w:val="21"/>
        </w:rPr>
        <w:t>及截标</w:t>
      </w:r>
      <w:bookmarkEnd w:id="333"/>
      <w:bookmarkEnd w:id="334"/>
      <w:bookmarkEnd w:id="335"/>
      <w:bookmarkEnd w:id="336"/>
      <w:bookmarkEnd w:id="337"/>
      <w:bookmarkEnd w:id="338"/>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21.1根据要求组建竞争性磋商小组（以下简称磋商小组），磋商小组由采购人代表和评审专家共三人以上（含三人）单数组成，其中评审专家人数不少于磋商小组成员总数的2/3。评审专家在政府采购评审专家库内相关专业技术、经济等方面的专家名单中随机抽取。</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21.2评审专家应当遵守评审工作纪律，不得泄露评审情况和评审中获悉的商业秘密。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21.3磋商小组成员应当按照客观、公正、审慎的原则，根据磋商文件规定的评审程序、评审方法和评审标准进行独立评审。</w:t>
      </w:r>
    </w:p>
    <w:p>
      <w:pPr>
        <w:pStyle w:val="20"/>
        <w:spacing w:line="360" w:lineRule="auto"/>
        <w:ind w:firstLine="420"/>
        <w:rPr>
          <w:rFonts w:hint="eastAsia" w:ascii="宋体" w:hAnsi="宋体" w:eastAsia="宋体" w:cs="宋体"/>
          <w:b/>
          <w:szCs w:val="21"/>
        </w:rPr>
      </w:pPr>
      <w:r>
        <w:rPr>
          <w:rFonts w:hint="eastAsia" w:ascii="宋体" w:hAnsi="宋体" w:eastAsia="宋体" w:cs="宋体"/>
          <w:bCs/>
          <w:szCs w:val="21"/>
        </w:rPr>
        <w:t>21.4</w:t>
      </w:r>
      <w:r>
        <w:rPr>
          <w:rFonts w:hint="eastAsia" w:ascii="宋体" w:hAnsi="宋体" w:eastAsia="宋体" w:cs="宋体"/>
          <w:szCs w:val="21"/>
        </w:rPr>
        <w:t>本采购代理机构将在规定的时间和地点举行截标会议，供应商的法定代表人或其委托代理人必须持以下证件依时到达现场参加磋商，否则其响应文件作无效响应处理：</w:t>
      </w:r>
    </w:p>
    <w:p>
      <w:pPr>
        <w:pStyle w:val="20"/>
        <w:spacing w:line="360" w:lineRule="auto"/>
        <w:ind w:firstLine="420"/>
        <w:rPr>
          <w:rFonts w:hint="eastAsia" w:ascii="宋体" w:hAnsi="宋体" w:eastAsia="宋体" w:cs="宋体"/>
          <w:b/>
          <w:szCs w:val="21"/>
        </w:rPr>
      </w:pPr>
      <w:r>
        <w:rPr>
          <w:rFonts w:hint="eastAsia" w:ascii="宋体" w:hAnsi="宋体" w:eastAsia="宋体" w:cs="宋体"/>
          <w:b/>
          <w:szCs w:val="21"/>
        </w:rPr>
        <w:t>法定代表人参加的须持以下材料：本人二代身份证原件及复印件、法定代表人身份证明书原件、。</w:t>
      </w:r>
    </w:p>
    <w:p>
      <w:pPr>
        <w:pStyle w:val="20"/>
        <w:spacing w:line="360" w:lineRule="auto"/>
        <w:ind w:firstLine="420"/>
        <w:rPr>
          <w:rFonts w:hint="eastAsia" w:ascii="宋体" w:hAnsi="宋体" w:eastAsia="宋体" w:cs="宋体"/>
          <w:b/>
          <w:szCs w:val="21"/>
        </w:rPr>
      </w:pPr>
      <w:r>
        <w:rPr>
          <w:rFonts w:hint="eastAsia" w:ascii="宋体" w:hAnsi="宋体" w:eastAsia="宋体" w:cs="宋体"/>
          <w:b/>
          <w:szCs w:val="21"/>
        </w:rPr>
        <w:t>委托代理人参加的须持以下材料：本人二代身份证原件及复印件、法定代表人授权委托书原。</w:t>
      </w:r>
    </w:p>
    <w:p>
      <w:pPr>
        <w:pStyle w:val="15"/>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截标时由采购人代表和监督单位代表共同检查供应商提交的证件资料，如提交的证件资料不合格或不齐全的，将做响应无效处理。</w:t>
      </w:r>
    </w:p>
    <w:bookmarkEnd w:id="299"/>
    <w:bookmarkEnd w:id="300"/>
    <w:bookmarkEnd w:id="301"/>
    <w:p>
      <w:pPr>
        <w:pStyle w:val="20"/>
        <w:spacing w:line="360" w:lineRule="auto"/>
        <w:outlineLvl w:val="2"/>
        <w:rPr>
          <w:rFonts w:hint="eastAsia" w:ascii="宋体" w:hAnsi="宋体" w:eastAsia="宋体" w:cs="宋体"/>
          <w:b/>
          <w:szCs w:val="21"/>
        </w:rPr>
      </w:pPr>
      <w:bookmarkStart w:id="339" w:name="_Toc239839887"/>
      <w:bookmarkStart w:id="340" w:name="_Toc207770859"/>
      <w:bookmarkStart w:id="341" w:name="_Toc230578081"/>
      <w:bookmarkStart w:id="342" w:name="_Toc185702573"/>
      <w:bookmarkStart w:id="343" w:name="_Toc206525706"/>
      <w:bookmarkStart w:id="344" w:name="_Toc10309"/>
      <w:bookmarkStart w:id="345" w:name="_Toc2346"/>
      <w:bookmarkStart w:id="346" w:name="_Toc22064"/>
      <w:bookmarkStart w:id="347" w:name="_Toc452043887"/>
      <w:bookmarkStart w:id="348" w:name="_Toc444006005"/>
      <w:bookmarkStart w:id="349" w:name="_Toc15770"/>
      <w:bookmarkStart w:id="350" w:name="_Toc23125"/>
      <w:bookmarkStart w:id="351" w:name="_Toc156106959"/>
      <w:bookmarkStart w:id="352" w:name="_Toc147250344"/>
      <w:bookmarkStart w:id="353" w:name="_Toc147250390"/>
      <w:bookmarkStart w:id="354" w:name="_Toc147250546"/>
      <w:r>
        <w:rPr>
          <w:rFonts w:hint="eastAsia" w:ascii="宋体" w:hAnsi="宋体" w:eastAsia="宋体" w:cs="宋体"/>
          <w:b/>
          <w:szCs w:val="21"/>
        </w:rPr>
        <w:t>22.评</w:t>
      </w:r>
      <w:bookmarkEnd w:id="339"/>
      <w:bookmarkEnd w:id="340"/>
      <w:bookmarkEnd w:id="341"/>
      <w:bookmarkEnd w:id="342"/>
      <w:bookmarkEnd w:id="343"/>
      <w:r>
        <w:rPr>
          <w:rFonts w:hint="eastAsia" w:ascii="宋体" w:hAnsi="宋体" w:eastAsia="宋体" w:cs="宋体"/>
          <w:b/>
          <w:szCs w:val="21"/>
        </w:rPr>
        <w:t>审程序</w:t>
      </w:r>
      <w:bookmarkEnd w:id="344"/>
      <w:bookmarkEnd w:id="345"/>
      <w:bookmarkEnd w:id="346"/>
      <w:bookmarkEnd w:id="347"/>
      <w:bookmarkEnd w:id="348"/>
      <w:bookmarkEnd w:id="349"/>
      <w:bookmarkEnd w:id="350"/>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22.1响应文件开启时间及地点：本须知前附表第9项规定的时间和地点。</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22.2磋商小组成员按照客观、公正、审慎的原则，根据磋商文件规定的评审程序、评审方法和评审标准进行独立评审。</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22.2.1响应文件初审。初审分为资格性审查和符合性审查。</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(1)资格性检查。依据法律法规和</w:t>
      </w:r>
      <w:r>
        <w:rPr>
          <w:rFonts w:hint="eastAsia" w:ascii="宋体" w:hAnsi="宋体" w:eastAsia="宋体" w:cs="宋体"/>
          <w:szCs w:val="21"/>
          <w:lang w:eastAsia="zh-CN"/>
        </w:rPr>
        <w:t>竞争性磋商采购文件</w:t>
      </w:r>
      <w:r>
        <w:rPr>
          <w:rFonts w:hint="eastAsia" w:ascii="宋体" w:hAnsi="宋体" w:eastAsia="宋体" w:cs="宋体"/>
          <w:szCs w:val="21"/>
        </w:rPr>
        <w:t>的规定对响应文件中商务文件资格部分进行审查，以确定供应商是否具备磋商资格。它所涉及到的主要文件和内容为磋商文件供应商须知第13.1条、第16条所述的资格证明文件内容和签章的合格性、合法性等。如果供应商不具备磋商资格，不满足磋商文件所规定的资格标准或提供资格证明文件不全的，其响应将被拒绝。</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符合性检查。依据磋商文件的规定，从响应文件的有效性、完整性和对磋商文件的响应程度进行审查，以确定是否符合对磋商文件的实质性要求作出响应（采购人可根据具体项目的情况对实质性要求作特别的规定）。实质性偏离是指：(1)实质性影响合同的范围、质量和履行；(2)实质性违背磋商文件，限制了采购人的权利和成交人合同项下的义务；(3)不公正地影响了其它作出实质性响应的供应商的竞争地位。对没有实质性响应的响应文件将不进行评审，其响应将被拒绝。</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 出现下列情况之一的，视为未实质性响应磋商文件的响应文件，按无效响应处理。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① 响应文件未按本须知第9条、第18条规定进行编制、签署、盖章、装订、密封的；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② 未按本须知第13.1条、第14条规定提交必须提供且有效的证明文件的；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③ 未按本须知第13.1款、第16条规定应由法定代表人或委托代理人在凡规定签名、盖章处逐一签名和加盖公章的；或签字人未经法定代表人有效授权委托的；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④ 未按有关要求提交或足额提交磋商保证金的；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⑤ 磋商有效期不满足磋商文件要求的；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⑥ 响应文件的关键内容字迹模糊、无法辨认的；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⑦ 供应商提交的是可选择的报价的，或最后报价超过预算金额的；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⑧ 磋商内容与采购内容及要求存在重大偏离或保留的（如严重背离采购需求、合同协议要求等）；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⑨ 通过对“项目需求和说明”内容的修改以达到满足技术要求的；响应文件商务条款偏离表没有按要求表述的或与项目要求表述不一致却没有提供相关依据说明的；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⑩ 响应文件中提供虚假或失实资料的；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⑪不符合有关法律、法规和磋商文件中规定的其他实质性条款。</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22.2.2澄清有关问题。</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(3)响应文件如果出现计算或表达上的错误，修正错误的原则如下：</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① 响应文件中《磋商报价一览表》与《磋商报价函》内容不一致的，以《磋商报价函》为准；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② 响应文件的大写金额和小写金额不一致的，以大写金额为准；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③ 总价金额与按单价汇总金额不一致的，以单价金额计算结果为准；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④ 单价金额小数点有明显错位的，应以总价为准，并修改单价；</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⑤ 对不同文字文本响应文件的解释发生异议的，以中文文本为准；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⑥ 按上述修正错误的原则及方法调整或修正响应文件的磋商报价，在供应商确认后，调整后的磋商报价对供应商起约束作用。如果供应商拒绝确认，不接受修正后的价格或报价，则其响应文件将不予评审，其响应将被拒绝，采购人有权没收其磋商保证金。</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22.2.3磋商。时间及地点：本须知前附表第9项规定的时间和地点</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(1)磋商小组所有成员集中与单一供应商分别进行磋商（最多三轮），磋商的内容包括技术条件、商务性条件及磋商小组认为需要磋商的内容。</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(3)对磋商文件作出的实质性变动是磋商文件的有效组成部分，磋商小组应当及时以书面形式同时通知所有参加磋商的供应商。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(4)供应商应当按照磋商文件的变动情况和磋商小组的要求重新提交响应文件，并由其法定代表人或授权代表签字或者加盖公章。由授权代表签字的，应当附法定代表人授权书。</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(5)磋商文件能够详细列明采购标的的技术、服务要求的，磋商结束后，磋商小组要求所有实质性响应的供应商在规定时间内提交最后报价。</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磋商文件不能详细列明采购标的的技术、服务要求，经磋商由供应商提供解决方案的，磋商结束后，磋商小组按照少数服从多数的原则投票推荐3家以上供应商的解决方案，并要求其在规定时间内提交最后报价。最后报价是供应商响应文件的有效组成部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(7)供应商未在通知的时间内到达现场参加磋商的，或未提交书面说明退出磋商的，或未在规定时间内提交书面应答文件和最后报价的，视为供应商自动放弃磋商。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(8)最终磋商结束后，磋商小组不得再与供应商进行任何形式的商谈。磋商的任何一方不得透露与磋商有关的其他供应商的技术资料、价格和其他信息。</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22.2.4比较与评价。经磋商确定最终采购需求和提交最后报价的供应商后，由磋商小组采用综合评分法（详见第四章）对提交最后报价的供应商的响应文件和最后报价进行综合评分。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22.2.5推荐成交候选人名单及编写评审报告。磋商小组根据综合评分情况，按照评分办法的成交标准及成交候选人推荐原则依次推荐成交候选人名单，并根据磋商过程和结果编写评审报告。</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22.3评审会纪律</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22.3.1评审过程的保密性。磋商小组成员、有关工作人员及其他知情人不得透露对响应文件评审、比较、成交候选人的推荐情况以及与评审有关的其他情况。</w:t>
      </w:r>
    </w:p>
    <w:p>
      <w:pPr>
        <w:spacing w:line="360" w:lineRule="auto"/>
        <w:ind w:firstLine="420" w:firstLineChars="200"/>
        <w:rPr>
          <w:rFonts w:hint="eastAsia" w:ascii="宋体" w:hAnsi="宋体" w:eastAsia="宋体" w:cs="宋体"/>
          <w:spacing w:val="-4"/>
          <w:szCs w:val="21"/>
        </w:rPr>
      </w:pPr>
      <w:r>
        <w:rPr>
          <w:rFonts w:hint="eastAsia" w:ascii="宋体" w:hAnsi="宋体" w:eastAsia="宋体" w:cs="宋体"/>
          <w:szCs w:val="21"/>
        </w:rPr>
        <w:t>22.3.2在磋商评审期间，供应商试图影响采购人和磋商小组的任何活动，将导致其报价被拒绝，并承担相应的法律责任。</w:t>
      </w:r>
    </w:p>
    <w:p>
      <w:pPr>
        <w:pStyle w:val="20"/>
        <w:spacing w:line="360" w:lineRule="auto"/>
        <w:outlineLvl w:val="2"/>
        <w:rPr>
          <w:rFonts w:hint="eastAsia" w:ascii="宋体" w:hAnsi="宋体" w:eastAsia="宋体" w:cs="宋体"/>
          <w:szCs w:val="21"/>
        </w:rPr>
      </w:pPr>
      <w:bookmarkStart w:id="355" w:name="_Toc31224"/>
      <w:bookmarkStart w:id="356" w:name="_Toc156106957"/>
      <w:bookmarkStart w:id="357" w:name="_Toc13450"/>
      <w:bookmarkStart w:id="358" w:name="_Toc345484685"/>
      <w:bookmarkStart w:id="359" w:name="_Toc294605743"/>
      <w:bookmarkStart w:id="360" w:name="_Toc22932"/>
      <w:bookmarkStart w:id="361" w:name="_Toc313623248"/>
      <w:bookmarkStart w:id="362" w:name="_Toc345484589"/>
      <w:bookmarkStart w:id="363" w:name="_Toc452043888"/>
      <w:bookmarkStart w:id="364" w:name="_Toc32114"/>
      <w:bookmarkStart w:id="365" w:name="_Toc30990"/>
      <w:r>
        <w:rPr>
          <w:rFonts w:hint="eastAsia" w:ascii="宋体" w:hAnsi="宋体" w:eastAsia="宋体" w:cs="宋体"/>
          <w:b/>
          <w:szCs w:val="21"/>
        </w:rPr>
        <w:t>23.无效的响应文件</w:t>
      </w:r>
      <w:bookmarkEnd w:id="355"/>
      <w:bookmarkEnd w:id="356"/>
      <w:bookmarkEnd w:id="357"/>
      <w:bookmarkEnd w:id="358"/>
      <w:bookmarkEnd w:id="359"/>
      <w:bookmarkEnd w:id="360"/>
      <w:bookmarkEnd w:id="361"/>
      <w:bookmarkEnd w:id="362"/>
      <w:bookmarkEnd w:id="363"/>
      <w:bookmarkEnd w:id="364"/>
      <w:bookmarkEnd w:id="365"/>
    </w:p>
    <w:p>
      <w:pPr>
        <w:pStyle w:val="20"/>
        <w:spacing w:line="360" w:lineRule="auto"/>
        <w:ind w:firstLine="420"/>
        <w:rPr>
          <w:rFonts w:hint="eastAsia" w:ascii="宋体" w:hAnsi="宋体" w:eastAsia="宋体" w:cs="宋体"/>
          <w:b/>
          <w:szCs w:val="21"/>
        </w:rPr>
      </w:pPr>
      <w:r>
        <w:rPr>
          <w:rFonts w:hint="eastAsia" w:ascii="宋体" w:hAnsi="宋体" w:eastAsia="宋体" w:cs="宋体"/>
          <w:b/>
          <w:szCs w:val="21"/>
        </w:rPr>
        <w:t>23.1响应文件如出现下列情况之一，将会在评审中按照无效文件处理。</w:t>
      </w:r>
    </w:p>
    <w:p>
      <w:pPr>
        <w:pStyle w:val="20"/>
        <w:numPr>
          <w:ilvl w:val="0"/>
          <w:numId w:val="3"/>
        </w:numPr>
        <w:tabs>
          <w:tab w:val="left" w:pos="669"/>
          <w:tab w:val="clear" w:pos="644"/>
        </w:tabs>
        <w:spacing w:line="360" w:lineRule="auto"/>
        <w:ind w:left="669"/>
        <w:rPr>
          <w:rFonts w:hint="eastAsia" w:ascii="宋体" w:hAnsi="宋体" w:eastAsia="宋体" w:cs="宋体"/>
          <w:szCs w:val="21"/>
        </w:rPr>
      </w:pPr>
      <w:bookmarkStart w:id="366" w:name="_Toc156106958"/>
      <w:r>
        <w:rPr>
          <w:rFonts w:hint="eastAsia" w:ascii="宋体" w:hAnsi="宋体" w:eastAsia="宋体" w:cs="宋体"/>
          <w:szCs w:val="21"/>
        </w:rPr>
        <w:t>未按照</w:t>
      </w:r>
      <w:r>
        <w:rPr>
          <w:rFonts w:hint="eastAsia" w:ascii="宋体" w:hAnsi="宋体" w:eastAsia="宋体" w:cs="宋体"/>
          <w:bCs/>
          <w:szCs w:val="21"/>
        </w:rPr>
        <w:t>磋商文件</w:t>
      </w:r>
      <w:r>
        <w:rPr>
          <w:rFonts w:hint="eastAsia" w:ascii="宋体" w:hAnsi="宋体" w:eastAsia="宋体" w:cs="宋体"/>
          <w:szCs w:val="21"/>
        </w:rPr>
        <w:t>规定要求密封、签署、盖章的；</w:t>
      </w:r>
    </w:p>
    <w:p>
      <w:pPr>
        <w:pStyle w:val="20"/>
        <w:numPr>
          <w:ilvl w:val="0"/>
          <w:numId w:val="3"/>
        </w:numPr>
        <w:tabs>
          <w:tab w:val="left" w:pos="669"/>
          <w:tab w:val="clear" w:pos="644"/>
        </w:tabs>
        <w:spacing w:line="360" w:lineRule="auto"/>
        <w:ind w:left="669"/>
        <w:rPr>
          <w:rFonts w:hint="eastAsia" w:ascii="宋体" w:hAnsi="宋体" w:eastAsia="宋体" w:cs="宋体"/>
          <w:szCs w:val="21"/>
        </w:rPr>
      </w:pPr>
      <w:r>
        <w:rPr>
          <w:rFonts w:hint="eastAsia" w:ascii="宋体" w:hAnsi="宋体" w:eastAsia="宋体" w:cs="宋体"/>
          <w:szCs w:val="21"/>
        </w:rPr>
        <w:t>不具备</w:t>
      </w:r>
      <w:r>
        <w:rPr>
          <w:rFonts w:hint="eastAsia" w:ascii="宋体" w:hAnsi="宋体" w:eastAsia="宋体" w:cs="宋体"/>
          <w:bCs/>
          <w:szCs w:val="21"/>
        </w:rPr>
        <w:t>磋商文件</w:t>
      </w:r>
      <w:r>
        <w:rPr>
          <w:rFonts w:hint="eastAsia" w:ascii="宋体" w:hAnsi="宋体" w:eastAsia="宋体" w:cs="宋体"/>
          <w:szCs w:val="21"/>
        </w:rPr>
        <w:t>中规定资格要求的；</w:t>
      </w:r>
    </w:p>
    <w:p>
      <w:pPr>
        <w:pStyle w:val="20"/>
        <w:numPr>
          <w:ilvl w:val="0"/>
          <w:numId w:val="3"/>
        </w:numPr>
        <w:tabs>
          <w:tab w:val="left" w:pos="669"/>
          <w:tab w:val="clear" w:pos="644"/>
        </w:tabs>
        <w:spacing w:line="360" w:lineRule="auto"/>
        <w:ind w:left="669"/>
        <w:rPr>
          <w:rFonts w:hint="eastAsia" w:ascii="宋体" w:hAnsi="宋体" w:eastAsia="宋体" w:cs="宋体"/>
          <w:szCs w:val="21"/>
        </w:rPr>
      </w:pPr>
      <w:r>
        <w:rPr>
          <w:rFonts w:hint="eastAsia" w:ascii="宋体" w:hAnsi="宋体" w:eastAsia="宋体" w:cs="宋体"/>
          <w:szCs w:val="21"/>
        </w:rPr>
        <w:t>不符合法律、法规的；</w:t>
      </w:r>
    </w:p>
    <w:p>
      <w:pPr>
        <w:pStyle w:val="20"/>
        <w:numPr>
          <w:ilvl w:val="0"/>
          <w:numId w:val="3"/>
        </w:numPr>
        <w:tabs>
          <w:tab w:val="left" w:pos="669"/>
          <w:tab w:val="clear" w:pos="644"/>
        </w:tabs>
        <w:spacing w:line="360" w:lineRule="auto"/>
        <w:ind w:left="669"/>
        <w:rPr>
          <w:rFonts w:hint="eastAsia" w:ascii="宋体" w:hAnsi="宋体" w:eastAsia="宋体" w:cs="宋体"/>
          <w:szCs w:val="21"/>
          <w:highlight w:val="none"/>
        </w:rPr>
      </w:pPr>
      <w:r>
        <w:rPr>
          <w:rFonts w:hint="eastAsia" w:ascii="宋体" w:hAnsi="宋体" w:eastAsia="宋体" w:cs="宋体"/>
          <w:bCs/>
          <w:szCs w:val="21"/>
        </w:rPr>
        <w:t>供应商的最终报价超过了</w:t>
      </w:r>
      <w:r>
        <w:rPr>
          <w:rFonts w:hint="eastAsia" w:hAnsi="宋体" w:cs="宋体"/>
          <w:bCs/>
          <w:szCs w:val="21"/>
          <w:lang w:val="en-US" w:eastAsia="zh-CN"/>
        </w:rPr>
        <w:t>采</w:t>
      </w:r>
      <w:r>
        <w:rPr>
          <w:rFonts w:hint="eastAsia" w:hAnsi="宋体" w:cs="宋体"/>
          <w:bCs/>
          <w:szCs w:val="21"/>
          <w:highlight w:val="none"/>
          <w:lang w:val="en-US" w:eastAsia="zh-CN"/>
        </w:rPr>
        <w:t>购</w:t>
      </w:r>
      <w:r>
        <w:rPr>
          <w:rFonts w:hint="eastAsia" w:ascii="宋体" w:hAnsi="宋体" w:eastAsia="宋体" w:cs="宋体"/>
          <w:bCs/>
          <w:szCs w:val="21"/>
          <w:highlight w:val="none"/>
        </w:rPr>
        <w:t>预算金额的；</w:t>
      </w:r>
    </w:p>
    <w:p>
      <w:pPr>
        <w:pStyle w:val="20"/>
        <w:numPr>
          <w:ilvl w:val="0"/>
          <w:numId w:val="3"/>
        </w:numPr>
        <w:tabs>
          <w:tab w:val="left" w:pos="669"/>
          <w:tab w:val="clear" w:pos="644"/>
        </w:tabs>
        <w:spacing w:line="360" w:lineRule="auto"/>
        <w:ind w:left="669"/>
        <w:rPr>
          <w:rFonts w:hint="eastAsia" w:ascii="宋体" w:hAnsi="宋体" w:eastAsia="宋体" w:cs="宋体"/>
          <w:szCs w:val="21"/>
          <w:highlight w:val="none"/>
        </w:rPr>
      </w:pPr>
      <w:r>
        <w:rPr>
          <w:rFonts w:hint="eastAsia" w:ascii="宋体" w:hAnsi="宋体" w:eastAsia="宋体" w:cs="宋体"/>
          <w:szCs w:val="21"/>
          <w:highlight w:val="none"/>
        </w:rPr>
        <w:t>不符合</w:t>
      </w:r>
      <w:r>
        <w:rPr>
          <w:rFonts w:hint="eastAsia" w:ascii="宋体" w:hAnsi="宋体" w:eastAsia="宋体" w:cs="宋体"/>
          <w:bCs/>
          <w:szCs w:val="21"/>
          <w:highlight w:val="none"/>
        </w:rPr>
        <w:t>磋商文件</w:t>
      </w:r>
      <w:r>
        <w:rPr>
          <w:rFonts w:hint="eastAsia" w:ascii="宋体" w:hAnsi="宋体" w:eastAsia="宋体" w:cs="宋体"/>
          <w:szCs w:val="21"/>
          <w:highlight w:val="none"/>
        </w:rPr>
        <w:t>中规定的其它实质性要求并且在磋商规定的时间内无法说明和补充的；</w:t>
      </w:r>
    </w:p>
    <w:p>
      <w:pPr>
        <w:pStyle w:val="20"/>
        <w:numPr>
          <w:ilvl w:val="0"/>
          <w:numId w:val="3"/>
        </w:numPr>
        <w:tabs>
          <w:tab w:val="left" w:pos="669"/>
          <w:tab w:val="clear" w:pos="644"/>
        </w:tabs>
        <w:spacing w:line="360" w:lineRule="auto"/>
        <w:ind w:left="669"/>
        <w:rPr>
          <w:rFonts w:hint="eastAsia" w:ascii="宋体" w:hAnsi="宋体" w:eastAsia="宋体" w:cs="宋体"/>
          <w:szCs w:val="21"/>
          <w:highlight w:val="none"/>
        </w:rPr>
      </w:pPr>
      <w:r>
        <w:rPr>
          <w:rFonts w:hint="eastAsia" w:ascii="宋体" w:hAnsi="宋体" w:eastAsia="宋体" w:cs="宋体"/>
          <w:szCs w:val="21"/>
          <w:highlight w:val="none"/>
        </w:rPr>
        <w:t>未按</w:t>
      </w:r>
      <w:r>
        <w:rPr>
          <w:rFonts w:hint="eastAsia" w:ascii="宋体" w:hAnsi="宋体" w:eastAsia="宋体" w:cs="宋体"/>
          <w:bCs/>
          <w:szCs w:val="21"/>
          <w:highlight w:val="none"/>
        </w:rPr>
        <w:t>磋商文件</w:t>
      </w:r>
      <w:r>
        <w:rPr>
          <w:rFonts w:hint="eastAsia" w:ascii="宋体" w:hAnsi="宋体" w:eastAsia="宋体" w:cs="宋体"/>
          <w:szCs w:val="21"/>
          <w:highlight w:val="none"/>
        </w:rPr>
        <w:t>中提出实质性要求和条件作出完全响应的</w:t>
      </w:r>
      <w:r>
        <w:rPr>
          <w:rFonts w:hint="eastAsia" w:ascii="宋体" w:hAnsi="宋体" w:eastAsia="宋体" w:cs="宋体"/>
          <w:bCs/>
          <w:szCs w:val="21"/>
          <w:highlight w:val="none"/>
        </w:rPr>
        <w:t>；</w:t>
      </w:r>
    </w:p>
    <w:p>
      <w:pPr>
        <w:pStyle w:val="20"/>
        <w:numPr>
          <w:ilvl w:val="0"/>
          <w:numId w:val="3"/>
        </w:numPr>
        <w:tabs>
          <w:tab w:val="left" w:pos="515"/>
          <w:tab w:val="left" w:pos="669"/>
          <w:tab w:val="clear" w:pos="644"/>
        </w:tabs>
        <w:spacing w:line="360" w:lineRule="auto"/>
        <w:ind w:left="669"/>
        <w:rPr>
          <w:rFonts w:hint="eastAsia" w:ascii="宋体" w:hAnsi="宋体" w:eastAsia="宋体" w:cs="宋体"/>
          <w:bCs/>
          <w:szCs w:val="21"/>
          <w:highlight w:val="none"/>
        </w:rPr>
      </w:pPr>
      <w:r>
        <w:rPr>
          <w:rFonts w:hint="eastAsia" w:ascii="宋体" w:hAnsi="宋体" w:eastAsia="宋体" w:cs="宋体"/>
          <w:bCs/>
          <w:szCs w:val="21"/>
          <w:highlight w:val="none"/>
        </w:rPr>
        <w:t>不同</w:t>
      </w:r>
      <w:r>
        <w:rPr>
          <w:rFonts w:hint="eastAsia" w:ascii="宋体" w:hAnsi="宋体" w:eastAsia="宋体" w:cs="宋体"/>
          <w:szCs w:val="21"/>
          <w:highlight w:val="none"/>
        </w:rPr>
        <w:t>供应商</w:t>
      </w:r>
      <w:r>
        <w:rPr>
          <w:rFonts w:hint="eastAsia" w:ascii="宋体" w:hAnsi="宋体" w:eastAsia="宋体" w:cs="宋体"/>
          <w:bCs/>
          <w:szCs w:val="21"/>
          <w:highlight w:val="none"/>
        </w:rPr>
        <w:t>的</w:t>
      </w:r>
      <w:r>
        <w:rPr>
          <w:rFonts w:hint="eastAsia" w:ascii="宋体" w:hAnsi="宋体" w:eastAsia="宋体" w:cs="宋体"/>
          <w:szCs w:val="21"/>
          <w:highlight w:val="none"/>
        </w:rPr>
        <w:t>响应文件</w:t>
      </w:r>
      <w:r>
        <w:rPr>
          <w:rFonts w:hint="eastAsia" w:ascii="宋体" w:hAnsi="宋体" w:eastAsia="宋体" w:cs="宋体"/>
          <w:bCs/>
          <w:szCs w:val="21"/>
          <w:highlight w:val="none"/>
        </w:rPr>
        <w:t>由同一单位或者个人编制，或不同供应商报名的IP地址一致的；</w:t>
      </w:r>
    </w:p>
    <w:p>
      <w:pPr>
        <w:pStyle w:val="20"/>
        <w:numPr>
          <w:ilvl w:val="0"/>
          <w:numId w:val="3"/>
        </w:numPr>
        <w:tabs>
          <w:tab w:val="left" w:pos="515"/>
          <w:tab w:val="left" w:pos="669"/>
          <w:tab w:val="clear" w:pos="644"/>
        </w:tabs>
        <w:spacing w:line="360" w:lineRule="auto"/>
        <w:ind w:left="669"/>
        <w:rPr>
          <w:rFonts w:hint="eastAsia" w:ascii="宋体" w:hAnsi="宋体" w:eastAsia="宋体" w:cs="宋体"/>
          <w:bCs/>
          <w:szCs w:val="21"/>
          <w:highlight w:val="none"/>
        </w:rPr>
      </w:pPr>
      <w:r>
        <w:rPr>
          <w:rFonts w:hint="eastAsia" w:ascii="宋体" w:hAnsi="宋体" w:eastAsia="宋体" w:cs="宋体"/>
          <w:bCs/>
          <w:szCs w:val="21"/>
          <w:highlight w:val="none"/>
        </w:rPr>
        <w:t>不同</w:t>
      </w:r>
      <w:r>
        <w:rPr>
          <w:rFonts w:hint="eastAsia" w:ascii="宋体" w:hAnsi="宋体" w:eastAsia="宋体" w:cs="宋体"/>
          <w:szCs w:val="21"/>
          <w:highlight w:val="none"/>
        </w:rPr>
        <w:t>供应商</w:t>
      </w:r>
      <w:r>
        <w:rPr>
          <w:rFonts w:hint="eastAsia" w:ascii="宋体" w:hAnsi="宋体" w:eastAsia="宋体" w:cs="宋体"/>
          <w:bCs/>
          <w:szCs w:val="21"/>
          <w:highlight w:val="none"/>
        </w:rPr>
        <w:t>委托同一单位或者个人办理</w:t>
      </w:r>
      <w:r>
        <w:rPr>
          <w:rFonts w:hint="eastAsia" w:ascii="宋体" w:hAnsi="宋体" w:eastAsia="宋体" w:cs="宋体"/>
          <w:szCs w:val="21"/>
          <w:highlight w:val="none"/>
        </w:rPr>
        <w:t>磋商</w:t>
      </w:r>
      <w:r>
        <w:rPr>
          <w:rFonts w:hint="eastAsia" w:ascii="宋体" w:hAnsi="宋体" w:eastAsia="宋体" w:cs="宋体"/>
          <w:bCs/>
          <w:szCs w:val="21"/>
          <w:highlight w:val="none"/>
        </w:rPr>
        <w:t>事宜；</w:t>
      </w:r>
    </w:p>
    <w:p>
      <w:pPr>
        <w:pStyle w:val="20"/>
        <w:numPr>
          <w:ilvl w:val="0"/>
          <w:numId w:val="3"/>
        </w:numPr>
        <w:tabs>
          <w:tab w:val="left" w:pos="515"/>
          <w:tab w:val="left" w:pos="669"/>
          <w:tab w:val="clear" w:pos="644"/>
        </w:tabs>
        <w:spacing w:line="360" w:lineRule="auto"/>
        <w:ind w:left="669"/>
        <w:rPr>
          <w:rFonts w:hint="eastAsia" w:ascii="宋体" w:hAnsi="宋体" w:eastAsia="宋体" w:cs="宋体"/>
          <w:bCs/>
          <w:szCs w:val="21"/>
          <w:highlight w:val="none"/>
        </w:rPr>
      </w:pPr>
      <w:r>
        <w:rPr>
          <w:rFonts w:hint="eastAsia" w:ascii="宋体" w:hAnsi="宋体" w:eastAsia="宋体" w:cs="宋体"/>
          <w:bCs/>
          <w:szCs w:val="21"/>
          <w:highlight w:val="none"/>
        </w:rPr>
        <w:t>不同</w:t>
      </w:r>
      <w:r>
        <w:rPr>
          <w:rFonts w:hint="eastAsia" w:ascii="宋体" w:hAnsi="宋体" w:eastAsia="宋体" w:cs="宋体"/>
          <w:szCs w:val="21"/>
          <w:highlight w:val="none"/>
        </w:rPr>
        <w:t>供应商</w:t>
      </w:r>
      <w:r>
        <w:rPr>
          <w:rFonts w:hint="eastAsia" w:ascii="宋体" w:hAnsi="宋体" w:eastAsia="宋体" w:cs="宋体"/>
          <w:bCs/>
          <w:szCs w:val="21"/>
          <w:highlight w:val="none"/>
        </w:rPr>
        <w:t>的</w:t>
      </w:r>
      <w:r>
        <w:rPr>
          <w:rFonts w:hint="eastAsia" w:ascii="宋体" w:hAnsi="宋体" w:eastAsia="宋体" w:cs="宋体"/>
          <w:szCs w:val="21"/>
          <w:highlight w:val="none"/>
        </w:rPr>
        <w:t>响应文件</w:t>
      </w:r>
      <w:r>
        <w:rPr>
          <w:rFonts w:hint="eastAsia" w:ascii="宋体" w:hAnsi="宋体" w:eastAsia="宋体" w:cs="宋体"/>
          <w:bCs/>
          <w:szCs w:val="21"/>
          <w:highlight w:val="none"/>
        </w:rPr>
        <w:t>异常一致或者</w:t>
      </w:r>
      <w:r>
        <w:rPr>
          <w:rFonts w:hint="eastAsia" w:ascii="宋体" w:hAnsi="宋体" w:eastAsia="宋体" w:cs="宋体"/>
          <w:szCs w:val="21"/>
          <w:highlight w:val="none"/>
        </w:rPr>
        <w:t>磋商报价</w:t>
      </w:r>
      <w:r>
        <w:rPr>
          <w:rFonts w:hint="eastAsia" w:ascii="宋体" w:hAnsi="宋体" w:eastAsia="宋体" w:cs="宋体"/>
          <w:bCs/>
          <w:szCs w:val="21"/>
          <w:highlight w:val="none"/>
        </w:rPr>
        <w:t>呈规律性差异；</w:t>
      </w:r>
    </w:p>
    <w:p>
      <w:pPr>
        <w:pStyle w:val="20"/>
        <w:numPr>
          <w:ilvl w:val="0"/>
          <w:numId w:val="3"/>
        </w:numPr>
        <w:tabs>
          <w:tab w:val="left" w:pos="515"/>
          <w:tab w:val="left" w:pos="669"/>
          <w:tab w:val="clear" w:pos="644"/>
        </w:tabs>
        <w:spacing w:line="360" w:lineRule="auto"/>
        <w:ind w:left="669"/>
        <w:rPr>
          <w:rFonts w:hint="eastAsia" w:ascii="宋体" w:hAnsi="宋体" w:eastAsia="宋体" w:cs="宋体"/>
          <w:bCs/>
          <w:szCs w:val="21"/>
          <w:highlight w:val="none"/>
        </w:rPr>
      </w:pPr>
      <w:r>
        <w:rPr>
          <w:rFonts w:hint="eastAsia" w:ascii="宋体" w:hAnsi="宋体" w:eastAsia="宋体" w:cs="宋体"/>
          <w:bCs/>
          <w:szCs w:val="21"/>
          <w:highlight w:val="none"/>
        </w:rPr>
        <w:t>不同</w:t>
      </w:r>
      <w:r>
        <w:rPr>
          <w:rFonts w:hint="eastAsia" w:ascii="宋体" w:hAnsi="宋体" w:eastAsia="宋体" w:cs="宋体"/>
          <w:szCs w:val="21"/>
          <w:highlight w:val="none"/>
        </w:rPr>
        <w:t>供应商</w:t>
      </w:r>
      <w:r>
        <w:rPr>
          <w:rFonts w:hint="eastAsia" w:ascii="宋体" w:hAnsi="宋体" w:eastAsia="宋体" w:cs="宋体"/>
          <w:bCs/>
          <w:szCs w:val="21"/>
          <w:highlight w:val="none"/>
        </w:rPr>
        <w:t>的</w:t>
      </w:r>
      <w:r>
        <w:rPr>
          <w:rFonts w:hint="eastAsia" w:ascii="宋体" w:hAnsi="宋体" w:eastAsia="宋体" w:cs="宋体"/>
          <w:szCs w:val="21"/>
          <w:highlight w:val="none"/>
        </w:rPr>
        <w:t>响应文件</w:t>
      </w:r>
      <w:r>
        <w:rPr>
          <w:rFonts w:hint="eastAsia" w:ascii="宋体" w:hAnsi="宋体" w:eastAsia="宋体" w:cs="宋体"/>
          <w:bCs/>
          <w:szCs w:val="21"/>
          <w:highlight w:val="none"/>
        </w:rPr>
        <w:t>相互混装；</w:t>
      </w:r>
    </w:p>
    <w:p>
      <w:pPr>
        <w:pStyle w:val="20"/>
        <w:spacing w:line="360" w:lineRule="auto"/>
        <w:outlineLvl w:val="2"/>
        <w:rPr>
          <w:rFonts w:hint="eastAsia" w:ascii="宋体" w:hAnsi="宋体" w:eastAsia="宋体" w:cs="宋体"/>
          <w:b/>
          <w:szCs w:val="21"/>
          <w:highlight w:val="none"/>
        </w:rPr>
      </w:pPr>
      <w:bookmarkStart w:id="367" w:name="_Toc22752"/>
      <w:bookmarkStart w:id="368" w:name="_Toc28739"/>
      <w:bookmarkStart w:id="369" w:name="_Toc345484590"/>
      <w:bookmarkStart w:id="370" w:name="_Toc23513"/>
      <w:bookmarkStart w:id="371" w:name="_Toc313623249"/>
      <w:bookmarkStart w:id="372" w:name="_Toc345484686"/>
      <w:bookmarkStart w:id="373" w:name="_Toc452043889"/>
      <w:bookmarkStart w:id="374" w:name="_Toc24531"/>
      <w:bookmarkStart w:id="375" w:name="_Toc14275"/>
      <w:r>
        <w:rPr>
          <w:rFonts w:hint="eastAsia" w:ascii="宋体" w:hAnsi="宋体" w:eastAsia="宋体" w:cs="宋体"/>
          <w:b/>
          <w:szCs w:val="21"/>
          <w:highlight w:val="none"/>
        </w:rPr>
        <w:t>24.废标</w:t>
      </w:r>
      <w:bookmarkEnd w:id="366"/>
      <w:bookmarkEnd w:id="367"/>
      <w:bookmarkEnd w:id="368"/>
      <w:bookmarkEnd w:id="369"/>
      <w:bookmarkEnd w:id="370"/>
      <w:bookmarkEnd w:id="371"/>
      <w:bookmarkEnd w:id="372"/>
      <w:bookmarkEnd w:id="373"/>
      <w:bookmarkEnd w:id="374"/>
      <w:bookmarkEnd w:id="375"/>
    </w:p>
    <w:p>
      <w:pPr>
        <w:pStyle w:val="20"/>
        <w:spacing w:line="360" w:lineRule="auto"/>
        <w:ind w:firstLine="435"/>
        <w:rPr>
          <w:rFonts w:hint="eastAsia" w:ascii="宋体" w:hAnsi="宋体" w:eastAsia="宋体" w:cs="宋体"/>
          <w:b/>
          <w:bCs/>
          <w:szCs w:val="21"/>
          <w:highlight w:val="none"/>
        </w:rPr>
      </w:pPr>
      <w:r>
        <w:rPr>
          <w:rFonts w:hint="eastAsia" w:ascii="宋体" w:hAnsi="宋体" w:eastAsia="宋体" w:cs="宋体"/>
          <w:b/>
          <w:bCs/>
          <w:szCs w:val="21"/>
          <w:highlight w:val="none"/>
        </w:rPr>
        <w:t>24.1磋商采购项目出现下列情形之一的，采购代理机构将予以废标：</w:t>
      </w:r>
    </w:p>
    <w:p>
      <w:pPr>
        <w:pStyle w:val="20"/>
        <w:spacing w:line="360" w:lineRule="auto"/>
        <w:ind w:firstLine="435"/>
        <w:rPr>
          <w:rFonts w:hint="eastAsia" w:ascii="宋体" w:hAnsi="宋体" w:eastAsia="宋体" w:cs="宋体"/>
          <w:bCs/>
          <w:szCs w:val="21"/>
          <w:highlight w:val="none"/>
        </w:rPr>
      </w:pPr>
      <w:r>
        <w:rPr>
          <w:rFonts w:hint="eastAsia" w:ascii="宋体" w:hAnsi="宋体" w:eastAsia="宋体" w:cs="宋体"/>
          <w:bCs/>
          <w:szCs w:val="21"/>
          <w:highlight w:val="none"/>
        </w:rPr>
        <w:t>（1）截标后整个采购项目的供应商不足三家的；</w:t>
      </w:r>
    </w:p>
    <w:p>
      <w:pPr>
        <w:pStyle w:val="20"/>
        <w:spacing w:line="360" w:lineRule="auto"/>
        <w:ind w:firstLine="435"/>
        <w:rPr>
          <w:rFonts w:hint="eastAsia" w:ascii="宋体" w:hAnsi="宋体" w:eastAsia="宋体" w:cs="宋体"/>
          <w:bCs/>
          <w:szCs w:val="21"/>
          <w:highlight w:val="none"/>
        </w:rPr>
      </w:pPr>
      <w:r>
        <w:rPr>
          <w:rFonts w:hint="eastAsia" w:ascii="宋体" w:hAnsi="宋体" w:eastAsia="宋体" w:cs="宋体"/>
          <w:szCs w:val="21"/>
          <w:highlight w:val="none"/>
        </w:rPr>
        <w:t>（2）</w:t>
      </w:r>
      <w:r>
        <w:rPr>
          <w:rFonts w:hint="eastAsia" w:ascii="宋体" w:hAnsi="宋体" w:eastAsia="宋体" w:cs="宋体"/>
          <w:bCs/>
          <w:szCs w:val="21"/>
          <w:highlight w:val="none"/>
        </w:rPr>
        <w:t>评审过程中符合专业条件或者对磋商文件作实质响应的供应商不足三家的；</w:t>
      </w:r>
    </w:p>
    <w:p>
      <w:pPr>
        <w:pStyle w:val="20"/>
        <w:spacing w:line="360" w:lineRule="auto"/>
        <w:ind w:firstLine="420"/>
        <w:rPr>
          <w:rFonts w:hint="eastAsia" w:ascii="宋体" w:hAnsi="宋体" w:eastAsia="宋体" w:cs="宋体"/>
          <w:szCs w:val="21"/>
          <w:highlight w:val="none"/>
        </w:rPr>
      </w:pPr>
      <w:r>
        <w:rPr>
          <w:rFonts w:hint="eastAsia" w:ascii="宋体" w:hAnsi="宋体" w:eastAsia="宋体" w:cs="宋体"/>
          <w:szCs w:val="21"/>
          <w:highlight w:val="none"/>
        </w:rPr>
        <w:t>（3）出现影响采购公正的违法、违规行为的；</w:t>
      </w:r>
    </w:p>
    <w:p>
      <w:pPr>
        <w:pStyle w:val="20"/>
        <w:spacing w:line="360" w:lineRule="auto"/>
        <w:ind w:left="435"/>
        <w:rPr>
          <w:rFonts w:hint="eastAsia" w:ascii="宋体" w:hAnsi="宋体" w:eastAsia="宋体" w:cs="宋体"/>
          <w:bCs/>
          <w:szCs w:val="21"/>
        </w:rPr>
      </w:pPr>
      <w:r>
        <w:rPr>
          <w:rFonts w:hint="eastAsia" w:ascii="宋体" w:hAnsi="宋体" w:eastAsia="宋体" w:cs="宋体"/>
          <w:szCs w:val="21"/>
          <w:highlight w:val="none"/>
        </w:rPr>
        <w:t>（4）</w:t>
      </w:r>
      <w:r>
        <w:rPr>
          <w:rFonts w:hint="eastAsia" w:ascii="宋体" w:hAnsi="宋体" w:eastAsia="宋体" w:cs="宋体"/>
          <w:bCs/>
          <w:szCs w:val="21"/>
          <w:highlight w:val="none"/>
        </w:rPr>
        <w:t>供应商的最终报价均超过了</w:t>
      </w:r>
      <w:r>
        <w:rPr>
          <w:rFonts w:hint="eastAsia" w:hAnsi="宋体" w:cs="宋体"/>
          <w:bCs/>
          <w:szCs w:val="21"/>
          <w:highlight w:val="none"/>
          <w:lang w:val="en-US" w:eastAsia="zh-CN"/>
        </w:rPr>
        <w:t>采购</w:t>
      </w:r>
      <w:r>
        <w:rPr>
          <w:rFonts w:hint="eastAsia" w:ascii="宋体" w:hAnsi="宋体" w:eastAsia="宋体" w:cs="宋体"/>
          <w:bCs/>
          <w:szCs w:val="21"/>
          <w:highlight w:val="none"/>
        </w:rPr>
        <w:t>预算金额，采购人</w:t>
      </w:r>
      <w:r>
        <w:rPr>
          <w:rFonts w:hint="eastAsia" w:ascii="宋体" w:hAnsi="宋体" w:eastAsia="宋体" w:cs="宋体"/>
          <w:bCs/>
          <w:szCs w:val="21"/>
        </w:rPr>
        <w:t>不能支付的；</w:t>
      </w:r>
    </w:p>
    <w:p>
      <w:pPr>
        <w:pStyle w:val="20"/>
        <w:spacing w:line="360" w:lineRule="auto"/>
        <w:ind w:firstLine="420"/>
        <w:rPr>
          <w:rFonts w:hint="eastAsia" w:ascii="宋体" w:hAnsi="宋体" w:eastAsia="宋体" w:cs="宋体"/>
          <w:szCs w:val="21"/>
        </w:rPr>
      </w:pPr>
      <w:r>
        <w:rPr>
          <w:rFonts w:hint="eastAsia" w:ascii="宋体" w:hAnsi="宋体" w:eastAsia="宋体" w:cs="宋体"/>
          <w:szCs w:val="21"/>
        </w:rPr>
        <w:t>（5）因重大变故，采购任务取消的。</w:t>
      </w:r>
    </w:p>
    <w:p>
      <w:pPr>
        <w:pStyle w:val="20"/>
        <w:spacing w:line="360" w:lineRule="auto"/>
        <w:ind w:firstLine="420"/>
        <w:rPr>
          <w:rFonts w:hint="eastAsia" w:ascii="宋体" w:hAnsi="宋体" w:eastAsia="宋体" w:cs="宋体"/>
          <w:b/>
          <w:bCs/>
          <w:szCs w:val="21"/>
        </w:rPr>
      </w:pPr>
      <w:r>
        <w:rPr>
          <w:rFonts w:hint="eastAsia" w:ascii="宋体" w:hAnsi="宋体" w:eastAsia="宋体" w:cs="宋体"/>
          <w:b/>
          <w:bCs/>
          <w:szCs w:val="21"/>
        </w:rPr>
        <w:t>24.2废标后，</w:t>
      </w:r>
      <w:r>
        <w:rPr>
          <w:rFonts w:hint="eastAsia" w:ascii="宋体" w:hAnsi="宋体" w:eastAsia="宋体" w:cs="宋体"/>
          <w:b/>
          <w:szCs w:val="21"/>
        </w:rPr>
        <w:t>采购代理机构</w:t>
      </w:r>
      <w:r>
        <w:rPr>
          <w:rFonts w:hint="eastAsia" w:ascii="宋体" w:hAnsi="宋体" w:eastAsia="宋体" w:cs="宋体"/>
          <w:b/>
          <w:bCs/>
          <w:szCs w:val="21"/>
        </w:rPr>
        <w:t>将把废标理由通知所有供应商。</w:t>
      </w:r>
    </w:p>
    <w:p>
      <w:pPr>
        <w:pStyle w:val="20"/>
        <w:spacing w:before="120" w:beforeLines="50" w:line="360" w:lineRule="auto"/>
        <w:jc w:val="center"/>
        <w:outlineLvl w:val="2"/>
        <w:rPr>
          <w:rFonts w:hint="eastAsia" w:ascii="宋体" w:hAnsi="宋体" w:eastAsia="宋体" w:cs="宋体"/>
          <w:b/>
          <w:bCs/>
          <w:szCs w:val="21"/>
        </w:rPr>
      </w:pPr>
      <w:bookmarkStart w:id="376" w:name="_Toc313623250"/>
      <w:bookmarkStart w:id="377" w:name="_Toc294605745"/>
      <w:bookmarkStart w:id="378" w:name="_Toc23063"/>
      <w:bookmarkStart w:id="379" w:name="_Toc345484687"/>
      <w:bookmarkStart w:id="380" w:name="_Toc27735"/>
      <w:bookmarkStart w:id="381" w:name="_Toc18907"/>
      <w:bookmarkStart w:id="382" w:name="_Toc27155"/>
      <w:bookmarkStart w:id="383" w:name="_Toc345484591"/>
      <w:bookmarkStart w:id="384" w:name="_Toc452043890"/>
      <w:bookmarkStart w:id="385" w:name="_Toc30258"/>
      <w:r>
        <w:rPr>
          <w:rFonts w:hint="eastAsia" w:ascii="宋体" w:hAnsi="宋体" w:eastAsia="宋体" w:cs="宋体"/>
          <w:b/>
          <w:bCs/>
          <w:szCs w:val="21"/>
        </w:rPr>
        <w:t>六  签订合同</w:t>
      </w:r>
      <w:bookmarkEnd w:id="351"/>
      <w:bookmarkEnd w:id="376"/>
      <w:bookmarkEnd w:id="377"/>
      <w:bookmarkEnd w:id="378"/>
      <w:bookmarkEnd w:id="379"/>
      <w:bookmarkEnd w:id="380"/>
      <w:bookmarkEnd w:id="381"/>
      <w:bookmarkEnd w:id="382"/>
      <w:bookmarkEnd w:id="383"/>
      <w:bookmarkEnd w:id="384"/>
      <w:bookmarkEnd w:id="385"/>
    </w:p>
    <w:p>
      <w:pPr>
        <w:pStyle w:val="20"/>
        <w:spacing w:line="360" w:lineRule="auto"/>
        <w:ind w:firstLine="211" w:firstLineChars="100"/>
        <w:outlineLvl w:val="2"/>
        <w:rPr>
          <w:rFonts w:hint="eastAsia" w:ascii="宋体" w:hAnsi="宋体" w:eastAsia="宋体" w:cs="宋体"/>
          <w:szCs w:val="21"/>
        </w:rPr>
      </w:pPr>
      <w:bookmarkStart w:id="386" w:name="_Toc984"/>
      <w:bookmarkStart w:id="387" w:name="_Toc452043891"/>
      <w:bookmarkStart w:id="388" w:name="_Toc8687"/>
      <w:bookmarkStart w:id="389" w:name="_Toc271"/>
      <w:bookmarkStart w:id="390" w:name="_Toc345484592"/>
      <w:bookmarkStart w:id="391" w:name="_Toc294605746"/>
      <w:bookmarkStart w:id="392" w:name="_Toc28394"/>
      <w:bookmarkStart w:id="393" w:name="_Toc313623251"/>
      <w:bookmarkStart w:id="394" w:name="_Toc345484688"/>
      <w:bookmarkStart w:id="395" w:name="_Toc14211"/>
      <w:bookmarkStart w:id="396" w:name="_Toc156106960"/>
      <w:r>
        <w:rPr>
          <w:rFonts w:hint="eastAsia" w:ascii="宋体" w:hAnsi="宋体" w:eastAsia="宋体" w:cs="宋体"/>
          <w:b/>
          <w:szCs w:val="21"/>
        </w:rPr>
        <w:t>25成交公告</w:t>
      </w:r>
      <w:bookmarkEnd w:id="386"/>
      <w:bookmarkEnd w:id="387"/>
      <w:bookmarkEnd w:id="388"/>
      <w:bookmarkEnd w:id="389"/>
      <w:bookmarkEnd w:id="390"/>
      <w:bookmarkEnd w:id="391"/>
      <w:bookmarkEnd w:id="392"/>
      <w:bookmarkEnd w:id="393"/>
      <w:bookmarkEnd w:id="394"/>
      <w:bookmarkEnd w:id="395"/>
      <w:bookmarkEnd w:id="396"/>
    </w:p>
    <w:p>
      <w:pPr>
        <w:pStyle w:val="20"/>
        <w:spacing w:line="360" w:lineRule="auto"/>
        <w:ind w:firstLine="435"/>
        <w:rPr>
          <w:rFonts w:hint="eastAsia" w:ascii="宋体" w:hAnsi="宋体" w:eastAsia="宋体" w:cs="宋体"/>
          <w:bCs/>
          <w:szCs w:val="21"/>
        </w:rPr>
      </w:pPr>
      <w:r>
        <w:rPr>
          <w:rFonts w:hint="eastAsia" w:ascii="宋体" w:hAnsi="宋体" w:eastAsia="宋体" w:cs="宋体"/>
          <w:bCs/>
          <w:szCs w:val="21"/>
        </w:rPr>
        <w:t>25.1采购代理机构在磋商工作完成2个工作日内将评审报告送采购人，采购人确认后，成交结果将在</w:t>
      </w:r>
      <w:r>
        <w:rPr>
          <w:rFonts w:hint="eastAsia" w:ascii="宋体" w:hAnsi="宋体" w:eastAsia="宋体" w:cs="宋体"/>
          <w:szCs w:val="21"/>
        </w:rPr>
        <w:t>中国政府采购网、广西壮族自治区政府采购网</w:t>
      </w:r>
      <w:r>
        <w:rPr>
          <w:rFonts w:hint="eastAsia" w:ascii="宋体" w:hAnsi="宋体" w:eastAsia="宋体" w:cs="宋体"/>
          <w:bCs/>
          <w:szCs w:val="21"/>
        </w:rPr>
        <w:t>上公布。</w:t>
      </w:r>
    </w:p>
    <w:p>
      <w:pPr>
        <w:pStyle w:val="20"/>
        <w:spacing w:line="360" w:lineRule="auto"/>
        <w:ind w:firstLine="435"/>
        <w:rPr>
          <w:rFonts w:hint="eastAsia" w:ascii="宋体" w:hAnsi="宋体" w:eastAsia="宋体" w:cs="宋体"/>
          <w:szCs w:val="21"/>
        </w:rPr>
      </w:pPr>
      <w:r>
        <w:rPr>
          <w:rFonts w:hint="eastAsia" w:ascii="宋体" w:hAnsi="宋体" w:eastAsia="宋体" w:cs="宋体"/>
          <w:szCs w:val="21"/>
        </w:rPr>
        <w:t>25.2成交公告期为一个工作日，供应商如认为成交结果使自己权益受到损害的，可以在成交公告期限届满之日起七个工作日内以书面形式向采购代理机构提出质疑。采购代理机构将在收到供应商的书面形式质疑后七个工作日内做出答复，但答复的内容不得涉及商业密秘。</w:t>
      </w:r>
    </w:p>
    <w:p>
      <w:pPr>
        <w:pStyle w:val="20"/>
        <w:spacing w:line="360" w:lineRule="auto"/>
        <w:ind w:firstLine="435"/>
        <w:rPr>
          <w:rFonts w:hint="eastAsia" w:ascii="宋体" w:hAnsi="宋体" w:eastAsia="宋体" w:cs="宋体"/>
          <w:bCs/>
          <w:szCs w:val="21"/>
        </w:rPr>
      </w:pPr>
      <w:r>
        <w:rPr>
          <w:rFonts w:hint="eastAsia" w:ascii="宋体" w:hAnsi="宋体" w:eastAsia="宋体" w:cs="宋体"/>
          <w:bCs/>
          <w:szCs w:val="21"/>
        </w:rPr>
        <w:t>25.3质疑和投诉书面要求：</w:t>
      </w:r>
    </w:p>
    <w:p>
      <w:pPr>
        <w:pStyle w:val="20"/>
        <w:spacing w:line="360" w:lineRule="auto"/>
        <w:ind w:firstLine="435"/>
        <w:rPr>
          <w:rFonts w:hint="eastAsia" w:ascii="宋体" w:hAnsi="宋体" w:eastAsia="宋体" w:cs="宋体"/>
          <w:bCs/>
          <w:szCs w:val="21"/>
        </w:rPr>
      </w:pPr>
      <w:r>
        <w:rPr>
          <w:rFonts w:hint="eastAsia" w:ascii="宋体" w:hAnsi="宋体" w:eastAsia="宋体" w:cs="宋体"/>
          <w:bCs/>
          <w:szCs w:val="21"/>
        </w:rPr>
        <w:t>(1)质疑人或投诉人的单位名称或姓名、详细地址、邮政编码、联系电话等；</w:t>
      </w:r>
    </w:p>
    <w:p>
      <w:pPr>
        <w:pStyle w:val="20"/>
        <w:spacing w:line="360" w:lineRule="auto"/>
        <w:ind w:firstLine="435"/>
        <w:rPr>
          <w:rFonts w:hint="eastAsia" w:ascii="宋体" w:hAnsi="宋体" w:eastAsia="宋体" w:cs="宋体"/>
          <w:bCs/>
          <w:szCs w:val="21"/>
        </w:rPr>
      </w:pPr>
      <w:r>
        <w:rPr>
          <w:rFonts w:hint="eastAsia" w:ascii="宋体" w:hAnsi="宋体" w:eastAsia="宋体" w:cs="宋体"/>
          <w:bCs/>
          <w:szCs w:val="21"/>
        </w:rPr>
        <w:t>(2)被质疑人或被投诉人的单位名称或姓名等；</w:t>
      </w:r>
    </w:p>
    <w:p>
      <w:pPr>
        <w:pStyle w:val="20"/>
        <w:spacing w:line="360" w:lineRule="auto"/>
        <w:ind w:firstLine="435"/>
        <w:rPr>
          <w:rFonts w:hint="eastAsia" w:ascii="宋体" w:hAnsi="宋体" w:eastAsia="宋体" w:cs="宋体"/>
          <w:bCs/>
          <w:szCs w:val="21"/>
        </w:rPr>
      </w:pPr>
      <w:r>
        <w:rPr>
          <w:rFonts w:hint="eastAsia" w:ascii="宋体" w:hAnsi="宋体" w:eastAsia="宋体" w:cs="宋体"/>
          <w:bCs/>
          <w:szCs w:val="21"/>
        </w:rPr>
        <w:t>(3)质疑或投诉的事实及理由；</w:t>
      </w:r>
    </w:p>
    <w:p>
      <w:pPr>
        <w:pStyle w:val="20"/>
        <w:spacing w:line="360" w:lineRule="auto"/>
        <w:ind w:firstLine="435"/>
        <w:rPr>
          <w:rFonts w:hint="eastAsia" w:ascii="宋体" w:hAnsi="宋体" w:eastAsia="宋体" w:cs="宋体"/>
          <w:bCs/>
          <w:szCs w:val="21"/>
        </w:rPr>
      </w:pPr>
      <w:r>
        <w:rPr>
          <w:rFonts w:hint="eastAsia" w:ascii="宋体" w:hAnsi="宋体" w:eastAsia="宋体" w:cs="宋体"/>
          <w:bCs/>
          <w:szCs w:val="21"/>
        </w:rPr>
        <w:t>(4)有关违规违法的情况和有效证明材料；</w:t>
      </w:r>
    </w:p>
    <w:p>
      <w:pPr>
        <w:pStyle w:val="20"/>
        <w:spacing w:line="360" w:lineRule="auto"/>
        <w:ind w:firstLine="435"/>
        <w:rPr>
          <w:rFonts w:hint="eastAsia" w:ascii="宋体" w:hAnsi="宋体" w:eastAsia="宋体" w:cs="宋体"/>
          <w:bCs/>
          <w:szCs w:val="21"/>
        </w:rPr>
      </w:pPr>
      <w:r>
        <w:rPr>
          <w:rFonts w:hint="eastAsia" w:ascii="宋体" w:hAnsi="宋体" w:eastAsia="宋体" w:cs="宋体"/>
          <w:bCs/>
          <w:szCs w:val="21"/>
        </w:rPr>
        <w:t>(5)质疑人或投诉人的签章及质疑或投诉时间；</w:t>
      </w:r>
    </w:p>
    <w:p>
      <w:pPr>
        <w:pStyle w:val="20"/>
        <w:spacing w:line="360" w:lineRule="auto"/>
        <w:ind w:firstLine="315" w:firstLineChars="150"/>
        <w:rPr>
          <w:rFonts w:hint="eastAsia" w:ascii="宋体" w:hAnsi="宋体" w:eastAsia="宋体" w:cs="宋体"/>
          <w:bCs/>
          <w:szCs w:val="21"/>
        </w:rPr>
      </w:pPr>
      <w:r>
        <w:rPr>
          <w:rFonts w:hint="eastAsia" w:ascii="宋体" w:hAnsi="宋体" w:eastAsia="宋体" w:cs="宋体"/>
          <w:bCs/>
          <w:szCs w:val="21"/>
        </w:rPr>
        <w:t>（6）质疑书递交方式：质疑人的法定代表人凭本人身份证原件或授权委托代理人凭法定代表人授权委托书原件和本人身份证原件同时持质疑书原件递交至采购代理机构。</w:t>
      </w:r>
    </w:p>
    <w:p>
      <w:pPr>
        <w:pStyle w:val="20"/>
        <w:spacing w:line="360" w:lineRule="auto"/>
        <w:ind w:firstLine="435"/>
        <w:rPr>
          <w:rFonts w:hint="eastAsia" w:ascii="宋体" w:hAnsi="宋体" w:eastAsia="宋体" w:cs="宋体"/>
          <w:bCs/>
          <w:szCs w:val="21"/>
        </w:rPr>
      </w:pPr>
      <w:r>
        <w:rPr>
          <w:rFonts w:hint="eastAsia" w:ascii="宋体" w:hAnsi="宋体" w:eastAsia="宋体" w:cs="宋体"/>
          <w:bCs/>
          <w:szCs w:val="21"/>
        </w:rPr>
        <w:t>如不按规定质疑或投诉的，视为无效投诉，不予受理。</w:t>
      </w:r>
    </w:p>
    <w:p>
      <w:pPr>
        <w:pStyle w:val="20"/>
        <w:spacing w:line="360" w:lineRule="auto"/>
        <w:ind w:firstLine="435"/>
        <w:rPr>
          <w:rFonts w:hint="eastAsia" w:ascii="宋体" w:hAnsi="宋体" w:eastAsia="宋体" w:cs="宋体"/>
          <w:bCs/>
          <w:szCs w:val="21"/>
        </w:rPr>
      </w:pPr>
      <w:r>
        <w:rPr>
          <w:rFonts w:hint="eastAsia" w:ascii="宋体" w:hAnsi="宋体" w:eastAsia="宋体" w:cs="宋体"/>
          <w:bCs/>
          <w:szCs w:val="21"/>
        </w:rPr>
        <w:t>25.4质疑供应商必须首先经过质疑程序，在对采购代理机构的答复不满意或者采购代理机构未在规定的时间内做出答复的，可以在答复期满后十五个工作日内书面向同级政府采购监督管理部门投诉。</w:t>
      </w:r>
    </w:p>
    <w:p>
      <w:pPr>
        <w:pStyle w:val="20"/>
        <w:spacing w:line="360" w:lineRule="auto"/>
        <w:outlineLvl w:val="2"/>
        <w:rPr>
          <w:rFonts w:hint="eastAsia" w:ascii="宋体" w:hAnsi="宋体" w:eastAsia="宋体" w:cs="宋体"/>
          <w:b/>
          <w:bCs/>
          <w:szCs w:val="21"/>
        </w:rPr>
      </w:pPr>
      <w:bookmarkStart w:id="397" w:name="_Toc7180"/>
      <w:bookmarkStart w:id="398" w:name="_Toc10826"/>
      <w:bookmarkStart w:id="399" w:name="_Toc345484689"/>
      <w:bookmarkStart w:id="400" w:name="_Toc452043892"/>
      <w:bookmarkStart w:id="401" w:name="_Toc345484593"/>
      <w:bookmarkStart w:id="402" w:name="_Toc294605747"/>
      <w:bookmarkStart w:id="403" w:name="_Toc27775"/>
      <w:bookmarkStart w:id="404" w:name="_Toc12421"/>
      <w:bookmarkStart w:id="405" w:name="_Toc156106961"/>
      <w:bookmarkStart w:id="406" w:name="_Toc313623252"/>
      <w:bookmarkStart w:id="407" w:name="_Toc25223"/>
      <w:r>
        <w:rPr>
          <w:rFonts w:hint="eastAsia" w:ascii="宋体" w:hAnsi="宋体" w:eastAsia="宋体" w:cs="宋体"/>
          <w:b/>
          <w:bCs/>
          <w:szCs w:val="21"/>
        </w:rPr>
        <w:t>26.成交通知</w:t>
      </w:r>
      <w:bookmarkEnd w:id="397"/>
      <w:bookmarkEnd w:id="398"/>
      <w:bookmarkEnd w:id="399"/>
      <w:bookmarkEnd w:id="400"/>
      <w:bookmarkEnd w:id="401"/>
      <w:bookmarkEnd w:id="402"/>
      <w:bookmarkEnd w:id="403"/>
      <w:bookmarkEnd w:id="404"/>
      <w:bookmarkEnd w:id="405"/>
      <w:bookmarkEnd w:id="406"/>
      <w:bookmarkEnd w:id="407"/>
    </w:p>
    <w:p>
      <w:pPr>
        <w:pStyle w:val="20"/>
        <w:spacing w:line="360" w:lineRule="auto"/>
        <w:ind w:firstLine="420" w:firstLineChars="200"/>
        <w:rPr>
          <w:rFonts w:hint="eastAsia" w:ascii="宋体" w:hAnsi="宋体" w:eastAsia="宋体" w:cs="宋体"/>
          <w:szCs w:val="21"/>
        </w:rPr>
      </w:pPr>
      <w:r>
        <w:rPr>
          <w:rFonts w:hint="eastAsia" w:ascii="宋体" w:hAnsi="宋体" w:eastAsia="宋体" w:cs="宋体"/>
          <w:szCs w:val="21"/>
        </w:rPr>
        <w:t>26.1采购代理机构在磋商工作完成后2日内将评审报告送采购人，采购人确认后,采购代理机构向成交供应商发出成交通知书。</w:t>
      </w:r>
    </w:p>
    <w:p>
      <w:pPr>
        <w:pStyle w:val="20"/>
        <w:spacing w:line="360" w:lineRule="auto"/>
        <w:outlineLvl w:val="2"/>
        <w:rPr>
          <w:rFonts w:hint="eastAsia" w:ascii="宋体" w:hAnsi="宋体" w:eastAsia="宋体" w:cs="宋体"/>
          <w:b/>
          <w:szCs w:val="21"/>
        </w:rPr>
      </w:pPr>
      <w:bookmarkStart w:id="408" w:name="_Toc147250342"/>
      <w:bookmarkStart w:id="409" w:name="_Toc156106962"/>
      <w:bookmarkStart w:id="410" w:name="_Toc30934"/>
      <w:bookmarkStart w:id="411" w:name="_Toc8641"/>
      <w:bookmarkStart w:id="412" w:name="_Toc345484690"/>
      <w:bookmarkStart w:id="413" w:name="_Toc294605748"/>
      <w:bookmarkStart w:id="414" w:name="_Toc147250544"/>
      <w:bookmarkStart w:id="415" w:name="_Toc452043893"/>
      <w:bookmarkStart w:id="416" w:name="_Toc313623253"/>
      <w:bookmarkStart w:id="417" w:name="_Toc345484594"/>
      <w:bookmarkStart w:id="418" w:name="_Toc24173"/>
      <w:bookmarkStart w:id="419" w:name="_Toc147250388"/>
      <w:bookmarkStart w:id="420" w:name="_Toc20224"/>
      <w:bookmarkStart w:id="421" w:name="_Toc15802"/>
      <w:r>
        <w:rPr>
          <w:rFonts w:hint="eastAsia" w:ascii="宋体" w:hAnsi="宋体" w:eastAsia="宋体" w:cs="宋体"/>
          <w:b/>
          <w:bCs/>
          <w:szCs w:val="21"/>
        </w:rPr>
        <w:t>27.</w:t>
      </w:r>
      <w:r>
        <w:rPr>
          <w:rFonts w:hint="eastAsia" w:ascii="宋体" w:hAnsi="宋体" w:eastAsia="宋体" w:cs="宋体"/>
          <w:b/>
          <w:szCs w:val="21"/>
        </w:rPr>
        <w:t>合同授予标准</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27.1成交供应商收到成交通知书后，按成交通知书中规定的时间、地点与采购人签订合同。</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27.2 采购人应按照评审报告中推荐的成交候选供应商顺序确定成交供应商。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27.3成交供应商因不可抗力或者自身原因不能履行采购合同的，采购人可以与排位在成交供应商之后第一个成交候选供应商签订服务合同，以此类推。</w:t>
      </w:r>
    </w:p>
    <w:p>
      <w:pPr>
        <w:pStyle w:val="20"/>
        <w:spacing w:line="360" w:lineRule="auto"/>
        <w:outlineLvl w:val="2"/>
        <w:rPr>
          <w:rFonts w:hint="eastAsia" w:ascii="宋体" w:hAnsi="宋体" w:eastAsia="宋体" w:cs="宋体"/>
          <w:szCs w:val="21"/>
        </w:rPr>
      </w:pPr>
      <w:bookmarkStart w:id="422" w:name="_Toc294605749"/>
      <w:bookmarkStart w:id="423" w:name="_Toc19214"/>
      <w:bookmarkStart w:id="424" w:name="_Toc22731"/>
      <w:bookmarkStart w:id="425" w:name="_Toc345484595"/>
      <w:bookmarkStart w:id="426" w:name="_Toc3737"/>
      <w:bookmarkStart w:id="427" w:name="_Toc156106963"/>
      <w:bookmarkStart w:id="428" w:name="_Toc11986"/>
      <w:bookmarkStart w:id="429" w:name="_Toc345484691"/>
      <w:bookmarkStart w:id="430" w:name="_Toc313623254"/>
      <w:bookmarkStart w:id="431" w:name="_Toc452043894"/>
      <w:bookmarkStart w:id="432" w:name="_Toc9700"/>
      <w:r>
        <w:rPr>
          <w:rFonts w:hint="eastAsia" w:ascii="宋体" w:hAnsi="宋体" w:eastAsia="宋体" w:cs="宋体"/>
          <w:b/>
          <w:szCs w:val="21"/>
        </w:rPr>
        <w:t>28.签订合同</w:t>
      </w:r>
      <w:bookmarkEnd w:id="422"/>
      <w:bookmarkEnd w:id="423"/>
      <w:bookmarkEnd w:id="424"/>
      <w:bookmarkEnd w:id="425"/>
      <w:bookmarkEnd w:id="426"/>
      <w:bookmarkEnd w:id="427"/>
      <w:bookmarkEnd w:id="428"/>
      <w:bookmarkEnd w:id="429"/>
      <w:bookmarkEnd w:id="430"/>
      <w:bookmarkEnd w:id="431"/>
      <w:bookmarkEnd w:id="432"/>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28.1成交供应商在收到成交通知书后，按成交通知书中规定的时间、地点与采购人签订合同。</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28.2如成交供应商不按成交通知书的规定签订合同，则按成交供应商违约处理。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28.3采购代理机构如遇成交供应商违约，有权从成交候选人中确定成交供应商，并组织成交供应商与采购方签订合同，或重新组织采购。</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28.4合同签订必须按《中华人民共和国政府采购法》、《中华人民共和国政府采购法实施条例》和《中华人民共和国合同法》，否则由此造成的后果由采购人负责。</w:t>
      </w:r>
    </w:p>
    <w:p>
      <w:pPr>
        <w:pStyle w:val="20"/>
        <w:spacing w:line="360" w:lineRule="auto"/>
        <w:outlineLvl w:val="2"/>
        <w:rPr>
          <w:rFonts w:hint="eastAsia" w:ascii="宋体" w:hAnsi="宋体" w:eastAsia="宋体" w:cs="宋体"/>
          <w:b/>
          <w:szCs w:val="21"/>
        </w:rPr>
      </w:pPr>
      <w:bookmarkStart w:id="433" w:name="_Toc23076"/>
      <w:bookmarkStart w:id="434" w:name="_Toc3094"/>
      <w:bookmarkStart w:id="435" w:name="_Toc22539"/>
      <w:bookmarkStart w:id="436" w:name="_Toc28639"/>
      <w:bookmarkStart w:id="437" w:name="_Toc5936"/>
      <w:r>
        <w:rPr>
          <w:rFonts w:hint="eastAsia" w:ascii="宋体" w:hAnsi="宋体" w:eastAsia="宋体" w:cs="宋体"/>
          <w:b/>
          <w:bCs/>
          <w:szCs w:val="21"/>
        </w:rPr>
        <w:t>29. 履约保证金</w:t>
      </w:r>
      <w:bookmarkEnd w:id="433"/>
      <w:bookmarkEnd w:id="434"/>
      <w:bookmarkEnd w:id="435"/>
      <w:bookmarkEnd w:id="436"/>
      <w:bookmarkEnd w:id="437"/>
    </w:p>
    <w:p>
      <w:pPr>
        <w:pStyle w:val="20"/>
        <w:spacing w:line="360" w:lineRule="auto"/>
        <w:ind w:firstLine="315" w:firstLineChars="150"/>
        <w:outlineLvl w:val="2"/>
        <w:rPr>
          <w:rFonts w:hint="eastAsia" w:ascii="宋体" w:hAnsi="宋体" w:eastAsia="宋体" w:cs="宋体"/>
          <w:b/>
          <w:szCs w:val="21"/>
        </w:rPr>
      </w:pPr>
      <w:bookmarkStart w:id="438" w:name="_Toc22603"/>
      <w:bookmarkStart w:id="439" w:name="_Toc14758"/>
      <w:bookmarkStart w:id="440" w:name="_Toc2127"/>
      <w:bookmarkStart w:id="441" w:name="_Toc11038"/>
      <w:bookmarkStart w:id="442" w:name="_Toc11752"/>
      <w:r>
        <w:rPr>
          <w:rFonts w:hint="eastAsia" w:ascii="宋体" w:hAnsi="宋体" w:eastAsia="宋体" w:cs="宋体"/>
          <w:szCs w:val="21"/>
        </w:rPr>
        <w:t>29.1详</w:t>
      </w:r>
      <w:r>
        <w:rPr>
          <w:rFonts w:hint="eastAsia" w:ascii="宋体" w:hAnsi="宋体" w:eastAsia="宋体" w:cs="宋体"/>
          <w:kern w:val="0"/>
          <w:szCs w:val="21"/>
        </w:rPr>
        <w:t>见</w:t>
      </w:r>
      <w:r>
        <w:rPr>
          <w:rFonts w:hint="eastAsia" w:ascii="宋体" w:hAnsi="宋体" w:eastAsia="宋体" w:cs="宋体"/>
          <w:spacing w:val="20"/>
          <w:kern w:val="0"/>
          <w:szCs w:val="21"/>
        </w:rPr>
        <w:t>供应商须知前附表</w:t>
      </w:r>
      <w:r>
        <w:rPr>
          <w:rFonts w:hint="eastAsia" w:ascii="宋体" w:hAnsi="宋体" w:eastAsia="宋体" w:cs="宋体"/>
          <w:kern w:val="0"/>
          <w:szCs w:val="21"/>
        </w:rPr>
        <w:t>第13项。</w:t>
      </w:r>
      <w:bookmarkEnd w:id="438"/>
      <w:bookmarkEnd w:id="439"/>
      <w:bookmarkEnd w:id="440"/>
      <w:bookmarkEnd w:id="441"/>
      <w:bookmarkEnd w:id="442"/>
    </w:p>
    <w:bookmarkEnd w:id="352"/>
    <w:bookmarkEnd w:id="353"/>
    <w:bookmarkEnd w:id="354"/>
    <w:p>
      <w:pPr>
        <w:pStyle w:val="20"/>
        <w:spacing w:line="360" w:lineRule="auto"/>
        <w:jc w:val="center"/>
        <w:outlineLvl w:val="2"/>
        <w:rPr>
          <w:rFonts w:hint="eastAsia" w:ascii="宋体" w:hAnsi="宋体" w:eastAsia="宋体" w:cs="宋体"/>
          <w:b/>
          <w:bCs/>
          <w:szCs w:val="21"/>
        </w:rPr>
      </w:pPr>
      <w:bookmarkStart w:id="443" w:name="_Toc345484597"/>
      <w:bookmarkStart w:id="444" w:name="_Toc345484693"/>
      <w:bookmarkStart w:id="445" w:name="_Toc5508"/>
      <w:bookmarkStart w:id="446" w:name="_Toc452043896"/>
      <w:bookmarkStart w:id="447" w:name="_Toc7389"/>
      <w:bookmarkStart w:id="448" w:name="_Toc294605751"/>
      <w:bookmarkStart w:id="449" w:name="_Toc4099"/>
      <w:bookmarkStart w:id="450" w:name="_Toc147250345"/>
      <w:bookmarkStart w:id="451" w:name="_Toc10650"/>
      <w:bookmarkStart w:id="452" w:name="_Toc313623256"/>
      <w:bookmarkStart w:id="453" w:name="_Toc147250391"/>
      <w:bookmarkStart w:id="454" w:name="_Toc29946"/>
      <w:bookmarkStart w:id="455" w:name="_Toc147250547"/>
      <w:r>
        <w:rPr>
          <w:rFonts w:hint="eastAsia" w:ascii="宋体" w:hAnsi="宋体" w:eastAsia="宋体" w:cs="宋体"/>
          <w:b/>
          <w:bCs/>
          <w:szCs w:val="21"/>
        </w:rPr>
        <w:t>七  其他事项</w:t>
      </w:r>
      <w:bookmarkEnd w:id="443"/>
      <w:bookmarkEnd w:id="444"/>
      <w:bookmarkEnd w:id="445"/>
      <w:bookmarkEnd w:id="446"/>
      <w:bookmarkEnd w:id="447"/>
      <w:bookmarkEnd w:id="448"/>
      <w:bookmarkEnd w:id="449"/>
      <w:bookmarkEnd w:id="450"/>
      <w:bookmarkEnd w:id="451"/>
      <w:bookmarkEnd w:id="452"/>
      <w:bookmarkEnd w:id="453"/>
      <w:bookmarkEnd w:id="454"/>
      <w:bookmarkEnd w:id="455"/>
    </w:p>
    <w:p>
      <w:pPr>
        <w:pStyle w:val="20"/>
        <w:spacing w:line="360" w:lineRule="auto"/>
        <w:outlineLvl w:val="2"/>
        <w:rPr>
          <w:rFonts w:hint="eastAsia" w:ascii="宋体" w:hAnsi="宋体" w:eastAsia="宋体" w:cs="宋体"/>
          <w:b/>
          <w:bCs/>
          <w:szCs w:val="21"/>
        </w:rPr>
      </w:pPr>
      <w:bookmarkStart w:id="456" w:name="_Toc147250346"/>
      <w:bookmarkStart w:id="457" w:name="_Toc294605752"/>
      <w:bookmarkStart w:id="458" w:name="_Toc147250392"/>
      <w:bookmarkStart w:id="459" w:name="_Toc313623257"/>
      <w:bookmarkStart w:id="460" w:name="_Toc345484694"/>
      <w:bookmarkStart w:id="461" w:name="_Toc345484598"/>
      <w:bookmarkStart w:id="462" w:name="_Toc147250548"/>
      <w:bookmarkStart w:id="463" w:name="_Toc4000"/>
      <w:bookmarkStart w:id="464" w:name="_Toc20487"/>
      <w:bookmarkStart w:id="465" w:name="_Toc19908"/>
      <w:bookmarkStart w:id="466" w:name="_Toc27907"/>
      <w:bookmarkStart w:id="467" w:name="_Toc17415"/>
      <w:bookmarkStart w:id="468" w:name="_Toc452043897"/>
      <w:r>
        <w:rPr>
          <w:rFonts w:hint="eastAsia" w:ascii="宋体" w:hAnsi="宋体" w:eastAsia="宋体" w:cs="宋体"/>
          <w:b/>
          <w:bCs/>
          <w:szCs w:val="21"/>
        </w:rPr>
        <w:t>30.成交服务费</w:t>
      </w:r>
      <w:bookmarkEnd w:id="456"/>
      <w:bookmarkEnd w:id="457"/>
      <w:bookmarkEnd w:id="458"/>
      <w:bookmarkEnd w:id="459"/>
      <w:bookmarkEnd w:id="460"/>
      <w:bookmarkEnd w:id="461"/>
      <w:bookmarkEnd w:id="462"/>
      <w:r>
        <w:rPr>
          <w:rFonts w:hint="eastAsia" w:ascii="宋体" w:hAnsi="宋体" w:eastAsia="宋体" w:cs="宋体"/>
          <w:b/>
          <w:szCs w:val="21"/>
        </w:rPr>
        <w:t>及交易服务费</w:t>
      </w:r>
      <w:bookmarkEnd w:id="463"/>
      <w:bookmarkEnd w:id="464"/>
      <w:bookmarkEnd w:id="465"/>
      <w:bookmarkEnd w:id="466"/>
      <w:bookmarkEnd w:id="467"/>
      <w:bookmarkEnd w:id="468"/>
    </w:p>
    <w:p>
      <w:pPr>
        <w:pStyle w:val="20"/>
        <w:spacing w:line="360" w:lineRule="auto"/>
        <w:ind w:firstLine="315" w:firstLineChars="150"/>
        <w:outlineLvl w:val="2"/>
        <w:rPr>
          <w:rFonts w:hint="eastAsia" w:ascii="宋体" w:hAnsi="宋体" w:eastAsia="宋体" w:cs="宋体"/>
          <w:szCs w:val="21"/>
        </w:rPr>
      </w:pPr>
      <w:bookmarkStart w:id="469" w:name="_Toc156106967"/>
      <w:r>
        <w:rPr>
          <w:rFonts w:hint="eastAsia" w:ascii="宋体" w:hAnsi="宋体" w:eastAsia="宋体" w:cs="宋体"/>
          <w:szCs w:val="21"/>
        </w:rPr>
        <w:t>30.1详</w:t>
      </w:r>
      <w:r>
        <w:rPr>
          <w:rFonts w:hint="eastAsia" w:ascii="宋体" w:hAnsi="宋体" w:eastAsia="宋体" w:cs="宋体"/>
          <w:kern w:val="0"/>
          <w:szCs w:val="21"/>
        </w:rPr>
        <w:t>见</w:t>
      </w:r>
      <w:r>
        <w:rPr>
          <w:rFonts w:hint="eastAsia" w:ascii="宋体" w:hAnsi="宋体" w:eastAsia="宋体" w:cs="宋体"/>
          <w:spacing w:val="20"/>
          <w:kern w:val="0"/>
          <w:szCs w:val="21"/>
        </w:rPr>
        <w:t>供应商须知前附表</w:t>
      </w:r>
      <w:r>
        <w:rPr>
          <w:rFonts w:hint="eastAsia" w:ascii="宋体" w:hAnsi="宋体" w:eastAsia="宋体" w:cs="宋体"/>
          <w:kern w:val="0"/>
          <w:szCs w:val="21"/>
        </w:rPr>
        <w:t>第14项。</w:t>
      </w:r>
    </w:p>
    <w:p>
      <w:pPr>
        <w:pStyle w:val="20"/>
        <w:spacing w:line="360" w:lineRule="auto"/>
        <w:outlineLvl w:val="2"/>
        <w:rPr>
          <w:rFonts w:hint="eastAsia" w:ascii="宋体" w:hAnsi="宋体" w:eastAsia="宋体" w:cs="宋体"/>
          <w:b/>
          <w:bCs/>
          <w:szCs w:val="21"/>
        </w:rPr>
      </w:pPr>
      <w:r>
        <w:rPr>
          <w:rFonts w:hint="eastAsia" w:ascii="宋体" w:hAnsi="宋体" w:eastAsia="宋体" w:cs="宋体"/>
          <w:b/>
          <w:bCs/>
          <w:szCs w:val="21"/>
        </w:rPr>
        <w:t>31、未尽事宜</w:t>
      </w:r>
    </w:p>
    <w:p>
      <w:pPr>
        <w:pStyle w:val="20"/>
        <w:spacing w:line="360" w:lineRule="auto"/>
        <w:outlineLvl w:val="2"/>
        <w:rPr>
          <w:rFonts w:hint="eastAsia" w:ascii="宋体" w:hAnsi="宋体" w:eastAsia="宋体" w:cs="宋体"/>
          <w:szCs w:val="21"/>
        </w:rPr>
      </w:pPr>
      <w:r>
        <w:rPr>
          <w:rFonts w:hint="eastAsia" w:ascii="宋体" w:hAnsi="宋体" w:eastAsia="宋体" w:cs="宋体"/>
          <w:szCs w:val="21"/>
        </w:rPr>
        <w:t xml:space="preserve">   31.1 按政府采购法律法规的规定执行。</w:t>
      </w:r>
    </w:p>
    <w:p>
      <w:pPr>
        <w:pStyle w:val="20"/>
        <w:spacing w:line="360" w:lineRule="auto"/>
        <w:outlineLvl w:val="2"/>
        <w:rPr>
          <w:rFonts w:hint="eastAsia" w:ascii="宋体" w:hAnsi="宋体" w:eastAsia="宋体" w:cs="宋体"/>
          <w:b/>
          <w:szCs w:val="21"/>
        </w:rPr>
      </w:pPr>
      <w:bookmarkStart w:id="470" w:name="_Toc345484599"/>
      <w:bookmarkStart w:id="471" w:name="_Toc313623258"/>
      <w:bookmarkStart w:id="472" w:name="_Toc5339"/>
      <w:bookmarkStart w:id="473" w:name="_Toc452043898"/>
      <w:bookmarkStart w:id="474" w:name="_Toc32390"/>
      <w:bookmarkStart w:id="475" w:name="_Toc345484695"/>
      <w:bookmarkStart w:id="476" w:name="_Toc294605753"/>
      <w:bookmarkStart w:id="477" w:name="_Toc26028"/>
      <w:bookmarkStart w:id="478" w:name="_Toc27349"/>
      <w:bookmarkStart w:id="479" w:name="_Toc26324"/>
      <w:r>
        <w:rPr>
          <w:rFonts w:hint="eastAsia" w:ascii="宋体" w:hAnsi="宋体" w:eastAsia="宋体" w:cs="宋体"/>
          <w:b/>
          <w:szCs w:val="21"/>
        </w:rPr>
        <w:t>32.解释权</w:t>
      </w:r>
      <w:bookmarkEnd w:id="469"/>
      <w:bookmarkEnd w:id="470"/>
      <w:bookmarkEnd w:id="471"/>
      <w:bookmarkEnd w:id="472"/>
      <w:bookmarkEnd w:id="473"/>
      <w:bookmarkEnd w:id="474"/>
      <w:bookmarkEnd w:id="475"/>
      <w:bookmarkEnd w:id="476"/>
      <w:bookmarkEnd w:id="477"/>
      <w:bookmarkEnd w:id="478"/>
      <w:bookmarkEnd w:id="479"/>
    </w:p>
    <w:p>
      <w:pPr>
        <w:spacing w:line="360" w:lineRule="auto"/>
        <w:ind w:firstLine="420" w:firstLineChars="200"/>
        <w:rPr>
          <w:rFonts w:hint="eastAsia" w:ascii="宋体" w:hAnsi="宋体" w:eastAsia="宋体" w:cs="宋体"/>
          <w:b/>
          <w:bCs/>
          <w:sz w:val="32"/>
        </w:rPr>
      </w:pPr>
      <w:r>
        <w:rPr>
          <w:rFonts w:hint="eastAsia" w:ascii="宋体" w:hAnsi="宋体" w:eastAsia="宋体" w:cs="宋体"/>
          <w:szCs w:val="21"/>
        </w:rPr>
        <w:t>31.1本竞争性磋商采购文件解释权属采购代理机构。</w:t>
      </w:r>
      <w:bookmarkStart w:id="480" w:name="_Toc345484697"/>
      <w:bookmarkStart w:id="481" w:name="_Toc313623309"/>
      <w:bookmarkStart w:id="482" w:name="_Toc147248434"/>
      <w:bookmarkStart w:id="483" w:name="_Toc294605701"/>
      <w:bookmarkStart w:id="484" w:name="_Toc294683424"/>
      <w:bookmarkStart w:id="485" w:name="_Toc156106969"/>
      <w:bookmarkStart w:id="486" w:name="_Toc294605755"/>
      <w:bookmarkStart w:id="487" w:name="_Toc6951"/>
      <w:bookmarkStart w:id="488" w:name="_Toc20945"/>
      <w:bookmarkStart w:id="489" w:name="_Toc10699"/>
      <w:bookmarkStart w:id="490" w:name="_Toc21938"/>
      <w:bookmarkStart w:id="491" w:name="_Toc22775"/>
    </w:p>
    <w:p>
      <w:pPr>
        <w:pStyle w:val="20"/>
        <w:numPr>
          <w:ilvl w:val="0"/>
          <w:numId w:val="4"/>
        </w:numPr>
        <w:spacing w:line="360" w:lineRule="auto"/>
        <w:jc w:val="center"/>
        <w:outlineLvl w:val="0"/>
        <w:rPr>
          <w:rFonts w:hint="eastAsia" w:ascii="宋体" w:hAnsi="宋体" w:eastAsia="宋体" w:cs="宋体"/>
          <w:b/>
          <w:bCs/>
          <w:sz w:val="32"/>
          <w:szCs w:val="32"/>
        </w:rPr>
      </w:pPr>
      <w:r>
        <w:rPr>
          <w:rFonts w:hint="eastAsia" w:ascii="宋体" w:hAnsi="宋体" w:eastAsia="宋体" w:cs="宋体"/>
          <w:b/>
          <w:bCs/>
          <w:sz w:val="32"/>
          <w:szCs w:val="32"/>
        </w:rPr>
        <w:t xml:space="preserve"> </w:t>
      </w:r>
      <w:bookmarkEnd w:id="480"/>
      <w:bookmarkEnd w:id="481"/>
      <w:bookmarkEnd w:id="482"/>
      <w:bookmarkEnd w:id="483"/>
      <w:bookmarkEnd w:id="484"/>
      <w:bookmarkEnd w:id="485"/>
      <w:bookmarkEnd w:id="486"/>
      <w:bookmarkStart w:id="492" w:name="_Toc432491271"/>
      <w:bookmarkStart w:id="493" w:name="_Toc30464"/>
      <w:r>
        <w:rPr>
          <w:rFonts w:hint="eastAsia" w:ascii="宋体" w:hAnsi="宋体" w:eastAsia="宋体" w:cs="宋体"/>
          <w:b/>
          <w:bCs/>
          <w:sz w:val="32"/>
          <w:szCs w:val="32"/>
        </w:rPr>
        <w:t>项目需求和说明</w:t>
      </w:r>
      <w:bookmarkEnd w:id="487"/>
      <w:bookmarkEnd w:id="488"/>
      <w:bookmarkEnd w:id="489"/>
      <w:bookmarkEnd w:id="490"/>
      <w:bookmarkEnd w:id="491"/>
      <w:bookmarkEnd w:id="492"/>
      <w:bookmarkEnd w:id="493"/>
      <w:bookmarkStart w:id="494" w:name="_Toc31528"/>
      <w:bookmarkStart w:id="495" w:name="_Toc268"/>
      <w:bookmarkStart w:id="496" w:name="_Toc10570"/>
      <w:bookmarkStart w:id="497" w:name="_Toc18673"/>
      <w:bookmarkStart w:id="498" w:name="_Toc22424"/>
      <w:bookmarkStart w:id="499" w:name="_Toc114303733"/>
      <w:bookmarkStart w:id="500" w:name="_Toc114052446"/>
      <w:bookmarkStart w:id="501" w:name="_Toc114052382"/>
    </w:p>
    <w:p>
      <w:pPr>
        <w:adjustRightInd w:val="0"/>
        <w:spacing w:line="400" w:lineRule="exact"/>
        <w:rPr>
          <w:rFonts w:hint="eastAsia" w:ascii="宋体" w:hAnsi="宋体" w:eastAsia="宋体" w:cs="宋体"/>
          <w:b/>
          <w:bCs/>
        </w:rPr>
      </w:pPr>
      <w:r>
        <w:rPr>
          <w:rFonts w:hint="eastAsia" w:ascii="宋体" w:hAnsi="宋体" w:eastAsia="宋体" w:cs="宋体"/>
          <w:b/>
          <w:bCs/>
        </w:rPr>
        <w:t>说明：</w:t>
      </w:r>
    </w:p>
    <w:p>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1.本</w:t>
      </w:r>
      <w:r>
        <w:rPr>
          <w:rFonts w:hint="eastAsia" w:ascii="宋体" w:hAnsi="宋体" w:eastAsia="宋体" w:cs="宋体"/>
          <w:lang w:eastAsia="zh-CN"/>
        </w:rPr>
        <w:t>竞争性磋商采购文件</w:t>
      </w:r>
      <w:r>
        <w:rPr>
          <w:rFonts w:hint="eastAsia" w:ascii="宋体" w:hAnsi="宋体" w:eastAsia="宋体" w:cs="宋体"/>
        </w:rPr>
        <w:t>所称中小企业必须符合《政府采购促进中小企业发展暂行办法》第二条规定，小型、微型企业产品的价格给予10%的价格扣除。（供应商应如实填写中小企业声明函）。</w:t>
      </w:r>
    </w:p>
    <w:p>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2.小型、微型企业提供中型企业制造的货物的，视同为中型企业。</w:t>
      </w:r>
    </w:p>
    <w:p>
      <w:pPr>
        <w:keepNext w:val="0"/>
        <w:keepLines w:val="0"/>
        <w:pageBreakBefore w:val="0"/>
        <w:widowControl w:val="0"/>
        <w:kinsoku/>
        <w:wordWrap/>
        <w:overflowPunct/>
        <w:topLinePunct w:val="0"/>
        <w:autoSpaceDE/>
        <w:autoSpaceDN/>
        <w:bidi w:val="0"/>
        <w:adjustRightInd w:val="0"/>
        <w:snapToGrid/>
        <w:spacing w:before="60" w:line="360" w:lineRule="auto"/>
        <w:ind w:firstLine="420" w:firstLineChars="200"/>
        <w:textAlignment w:val="auto"/>
        <w:rPr>
          <w:rFonts w:hint="eastAsia" w:ascii="宋体" w:hAnsi="宋体" w:eastAsia="宋体" w:cs="宋体"/>
        </w:rPr>
      </w:pPr>
      <w:r>
        <w:rPr>
          <w:rFonts w:hint="eastAsia" w:ascii="宋体" w:hAnsi="宋体" w:eastAsia="宋体" w:cs="宋体"/>
        </w:rPr>
        <w:t>3.小型、微型企业提供大型企业制造的货物的，视同为大型企业。</w:t>
      </w:r>
    </w:p>
    <w:p>
      <w:pPr>
        <w:keepNext w:val="0"/>
        <w:keepLines w:val="0"/>
        <w:pageBreakBefore w:val="0"/>
        <w:widowControl w:val="0"/>
        <w:kinsoku/>
        <w:wordWrap/>
        <w:overflowPunct/>
        <w:topLinePunct w:val="0"/>
        <w:autoSpaceDE/>
        <w:autoSpaceDN/>
        <w:bidi w:val="0"/>
        <w:adjustRightInd w:val="0"/>
        <w:snapToGrid/>
        <w:spacing w:before="60" w:line="360" w:lineRule="auto"/>
        <w:ind w:firstLine="420" w:firstLineChars="200"/>
        <w:textAlignment w:val="auto"/>
        <w:rPr>
          <w:rFonts w:hint="eastAsia" w:ascii="宋体" w:hAnsi="宋体" w:eastAsia="宋体" w:cs="宋体"/>
          <w:b/>
          <w:bCs/>
        </w:rPr>
      </w:pPr>
      <w:r>
        <w:rPr>
          <w:rFonts w:hint="eastAsia" w:ascii="宋体" w:hAnsi="宋体" w:eastAsia="宋体" w:cs="宋体"/>
        </w:rPr>
        <w:t>4.</w:t>
      </w:r>
      <w:r>
        <w:rPr>
          <w:rFonts w:hint="eastAsia" w:ascii="宋体" w:hAnsi="宋体" w:eastAsia="宋体" w:cs="宋体"/>
          <w:szCs w:val="22"/>
        </w:rPr>
        <w:t>本章中标有“★”号的条款是必须满足或者优于，否则投标无效。</w:t>
      </w:r>
    </w:p>
    <w:bookmarkEnd w:id="494"/>
    <w:bookmarkEnd w:id="495"/>
    <w:bookmarkEnd w:id="496"/>
    <w:bookmarkEnd w:id="497"/>
    <w:bookmarkEnd w:id="498"/>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8"/>
        <w:gridCol w:w="914"/>
        <w:gridCol w:w="659"/>
        <w:gridCol w:w="72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3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项号</w:t>
            </w:r>
          </w:p>
        </w:tc>
        <w:tc>
          <w:tcPr>
            <w:tcW w:w="91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服务名称</w:t>
            </w:r>
          </w:p>
        </w:tc>
        <w:tc>
          <w:tcPr>
            <w:tcW w:w="6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722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9436"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b/>
                <w:bCs/>
                <w:color w:val="auto"/>
                <w:highlight w:val="none"/>
              </w:rPr>
              <w:t>一、应用平台软件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914"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监督数据资源中心二期</w:t>
            </w:r>
          </w:p>
        </w:tc>
        <w:tc>
          <w:tcPr>
            <w:tcW w:w="6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1项</w:t>
            </w:r>
          </w:p>
        </w:tc>
        <w:tc>
          <w:tcPr>
            <w:tcW w:w="7225" w:type="dxa"/>
            <w:tcBorders>
              <w:top w:val="single" w:color="auto" w:sz="4" w:space="0"/>
              <w:left w:val="single" w:color="auto" w:sz="4" w:space="0"/>
              <w:bottom w:val="single" w:color="auto" w:sz="4" w:space="0"/>
              <w:right w:val="single" w:color="auto" w:sz="4" w:space="0"/>
            </w:tcBorders>
          </w:tcPr>
          <w:p>
            <w:pPr>
              <w:spacing w:line="38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一、系统概述</w:t>
            </w:r>
          </w:p>
          <w:p>
            <w:pPr>
              <w:pStyle w:val="22"/>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参照自治区人大预算联网系统（二期）的规划需求，建设“生态+能力”的监督数据管理平台，提供多种模式，支持兼容不同厂商、不同系统、多种类型的数据采集，快速搭建各类数据分析、管理和应用平台。平台提供大数据场景下的数据采集、数据存储、数据计算挖掘、数据资源目录、数据质量、数据安全与权限、数据共享、数据运行监控等功能，</w:t>
            </w:r>
            <w:r>
              <w:rPr>
                <w:rFonts w:hint="eastAsia" w:ascii="宋体" w:hAnsi="宋体" w:eastAsia="宋体" w:cs="宋体"/>
                <w:color w:val="auto"/>
                <w:kern w:val="2"/>
                <w:sz w:val="21"/>
                <w:szCs w:val="22"/>
                <w:highlight w:val="none"/>
                <w:lang w:val="en-US" w:eastAsia="zh-CN" w:bidi="ar-SA"/>
              </w:rPr>
              <w:t>平台提供大数据场景下的数据采集、数据存储、数据计算挖掘、数据资源目录、数据质量、数据安全与权限、数据共享、数据运行监控等功能，根据“横向到边纵向到底”的建设目标，对于财政、审计等横向部门专项业务系统的衔接能够提供与各部门的数据对接，包括对接流程、对接方式等内容，对数据资源目录规划等；纵向上贯通，遵循全区人大系统一张网，一盘棋的指导思想，市本级人大预算联网监督系统，满足信息化建设规划对于业务系统衔接及兼容要求，实现人大内外部数据的统一管理。</w:t>
            </w:r>
          </w:p>
          <w:p>
            <w:pPr>
              <w:spacing w:line="38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二、系统功能要求</w:t>
            </w:r>
          </w:p>
          <w:p>
            <w:pPr>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1、数据资源概览</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提供数据资源概况，对系统采集和共享的数据资源分地区、分部门、分类型、分层级进行分析展示，直观反映全市各地数据采集和共享的数据量情况。</w:t>
            </w:r>
          </w:p>
          <w:p>
            <w:pPr>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2、数据资源目录</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制定数据资源目录，建立长效、多元的数据采集机制，加大数据采集力度，更加清晰地掌握数据底数，动态收集涵盖各部门联网监督相关的宏观经济、产业发展、预算编制、预算执行、财政收入、政府债务、资产管理和税收数据等业务的数据。</w:t>
            </w:r>
          </w:p>
          <w:p>
            <w:pPr>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3、数据资源列表</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支持对采集的所有数据进行最明细数据的追溯展示，可按照数据分类、行政区划、部门等方式查看对应采集的数据资源情况。</w:t>
            </w:r>
          </w:p>
          <w:p>
            <w:pPr>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4、数据资源检索</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支持通过关键字、特定条件等检索方式对全市的各类数据资源进行快速检索，获取所需数据并支持导出、打印等操作。</w:t>
            </w:r>
          </w:p>
          <w:p>
            <w:pPr>
              <w:ind w:firstLine="422" w:firstLineChars="200"/>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5、数据采集管理</w:t>
            </w:r>
          </w:p>
          <w:p>
            <w:pPr>
              <w:ind w:firstLine="420" w:firstLineChars="200"/>
              <w:rPr>
                <w:rFonts w:hint="eastAsia" w:ascii="宋体" w:hAnsi="宋体" w:eastAsia="宋体" w:cs="宋体"/>
                <w:color w:val="auto"/>
                <w:highlight w:val="none"/>
              </w:rPr>
            </w:pPr>
            <w:r>
              <w:rPr>
                <w:rFonts w:hint="eastAsia" w:ascii="宋体" w:hAnsi="宋体" w:eastAsia="宋体" w:cs="宋体"/>
                <w:color w:val="auto"/>
                <w:szCs w:val="22"/>
                <w:highlight w:val="none"/>
              </w:rPr>
              <w:t>提供多元异构数据采集工具，支持关系型、非关系型、文件、接口等方式的数据采集。</w:t>
            </w:r>
          </w:p>
          <w:p>
            <w:pPr>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6、数据存储管理</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根据不同的存储需求，需提供多种数据存储方式。需包含关系数据库、分布式数据库等技术方法，通过采集以及处理完成的数据可以存储在大数据平台不同数据存储层。</w:t>
            </w:r>
          </w:p>
          <w:p>
            <w:pPr>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7、数据质量管理</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数据质量管理根据数据标准和校验规则，对数据进行质量检查，分离出正确数据和问题数据，以图表的方式直观的对数据质量情况进行统计分析，并可将问题数据进行反馈，促进数据质量的持续改进。</w:t>
            </w:r>
          </w:p>
          <w:p>
            <w:pPr>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8、数据运行监控</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需对数据的全生命周期进行监控，即数据采集汇聚、数据传输接入、字段预处理、数据存储、数据处理计算、数据共享开放等方面的系列监控，并对数据监控采取一套完整的预警机制。</w:t>
            </w:r>
          </w:p>
          <w:p>
            <w:pPr>
              <w:pStyle w:val="74"/>
              <w:ind w:firstLine="422"/>
              <w:rPr>
                <w:rFonts w:hint="eastAsia" w:ascii="宋体" w:hAnsi="宋体" w:eastAsia="宋体" w:cs="宋体"/>
                <w:b/>
                <w:bCs/>
                <w:color w:val="auto"/>
                <w:highlight w:val="none"/>
              </w:rPr>
            </w:pPr>
            <w:r>
              <w:rPr>
                <w:rFonts w:hint="eastAsia" w:ascii="宋体" w:hAnsi="宋体" w:eastAsia="宋体" w:cs="宋体"/>
                <w:b/>
                <w:bCs/>
                <w:color w:val="auto"/>
                <w:highlight w:val="none"/>
              </w:rPr>
              <w:t>9、安全与权限管理</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安全与权限管理实现对组织、用户、角色进行统一管理、统一身份认证、数据访问授权、数据脱敏和数据加密等方式来保证数据资源受到保护，免受破坏、更改、泄露和非法的方式。</w:t>
            </w:r>
          </w:p>
          <w:p>
            <w:pPr>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10、数据共享管理</w:t>
            </w:r>
          </w:p>
          <w:p>
            <w:pPr>
              <w:pStyle w:val="74"/>
              <w:rPr>
                <w:rFonts w:hint="eastAsia" w:ascii="宋体" w:hAnsi="宋体" w:eastAsia="宋体" w:cs="宋体"/>
                <w:color w:val="auto"/>
                <w:szCs w:val="24"/>
                <w:highlight w:val="none"/>
              </w:rPr>
            </w:pPr>
            <w:r>
              <w:rPr>
                <w:rFonts w:hint="eastAsia" w:ascii="宋体" w:hAnsi="宋体" w:eastAsia="宋体" w:cs="宋体"/>
                <w:color w:val="auto"/>
                <w:szCs w:val="24"/>
                <w:highlight w:val="none"/>
              </w:rPr>
              <w:t>通过数据共享管理统一解决数据中心与人大内部、各单位、上下级人大系统，与自治区、其他地市等政务服务系统间的数据共享和交换。</w:t>
            </w:r>
          </w:p>
          <w:p>
            <w:pPr>
              <w:ind w:firstLine="422" w:firstLineChars="200"/>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11、流程表单引擎</w:t>
            </w:r>
          </w:p>
          <w:p>
            <w:pPr>
              <w:pStyle w:val="22"/>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支持可视化的流程和表单设计，通过可拖拽的流程组件，实现数据共享交换的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914"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预算联网监督系统二期规划建设</w:t>
            </w:r>
          </w:p>
        </w:tc>
        <w:tc>
          <w:tcPr>
            <w:tcW w:w="6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1项</w:t>
            </w:r>
          </w:p>
        </w:tc>
        <w:tc>
          <w:tcPr>
            <w:tcW w:w="7225" w:type="dxa"/>
            <w:tcBorders>
              <w:top w:val="single" w:color="auto" w:sz="4" w:space="0"/>
              <w:left w:val="single" w:color="auto" w:sz="4" w:space="0"/>
              <w:bottom w:val="single" w:color="auto" w:sz="4" w:space="0"/>
              <w:right w:val="single" w:color="auto" w:sz="4" w:space="0"/>
            </w:tcBorders>
          </w:tcPr>
          <w:p>
            <w:pPr>
              <w:numPr>
                <w:ilvl w:val="0"/>
                <w:numId w:val="5"/>
              </w:numPr>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系统概述</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自治区人大预算联网系统（二期）预算联网监督系统的技术规范和框架，围绕崇左市人大预算审查监督工作，提供面向用户的各类分析应用，更好地为崇左市人民代表大会期间以及闭会期间崇左市人大常委会、崇左市人大代表加强崇左市本级预算执行监督提供数据支撑，提高预算监督工作水平。</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预算联网监督系统二期规划建设主要包括：预算联网监督系统二期主要包括信息总览、预决算审查升级、智能统计及报告中心、综合管理应用、法规文件、区域监督、绩效监督、执行监督、国有资产管理情况监督、国民经济计划审查、社会保险基金监督、移动监督、市级接口管理体系、财政预算一体化项目软件对接等内容。</w:t>
            </w:r>
          </w:p>
          <w:p>
            <w:pPr>
              <w:pStyle w:val="74"/>
              <w:numPr>
                <w:ilvl w:val="0"/>
                <w:numId w:val="5"/>
              </w:numPr>
              <w:ind w:firstLine="422"/>
              <w:rPr>
                <w:rFonts w:hint="eastAsia" w:ascii="宋体" w:hAnsi="宋体" w:eastAsia="宋体" w:cs="宋体"/>
                <w:b/>
                <w:bCs/>
                <w:color w:val="auto"/>
                <w:highlight w:val="none"/>
              </w:rPr>
            </w:pPr>
            <w:r>
              <w:rPr>
                <w:rFonts w:hint="eastAsia" w:ascii="宋体" w:hAnsi="宋体" w:eastAsia="宋体" w:cs="宋体"/>
                <w:b/>
                <w:bCs/>
                <w:color w:val="auto"/>
                <w:highlight w:val="none"/>
              </w:rPr>
              <w:t>系统功能要求</w:t>
            </w:r>
          </w:p>
          <w:p>
            <w:pPr>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1、信息总览</w:t>
            </w:r>
          </w:p>
          <w:p>
            <w:pPr>
              <w:pStyle w:val="74"/>
              <w:ind w:firstLine="422"/>
              <w:rPr>
                <w:rFonts w:hint="eastAsia" w:ascii="宋体" w:hAnsi="宋体" w:eastAsia="宋体" w:cs="宋体"/>
                <w:b/>
                <w:bCs/>
                <w:color w:val="auto"/>
                <w:highlight w:val="none"/>
              </w:rPr>
            </w:pPr>
            <w:r>
              <w:rPr>
                <w:rFonts w:hint="eastAsia" w:ascii="宋体" w:hAnsi="宋体" w:eastAsia="宋体" w:cs="宋体"/>
                <w:b/>
                <w:bCs/>
                <w:color w:val="auto"/>
                <w:highlight w:val="none"/>
              </w:rPr>
              <w:t>（1）宏观经济</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基于区域宏观统计、产业发展等数据，与各地市进行对标分析，监测经济发展、人民生活、三大攻坚、民主法治、文化建设和资源建设等6大类实现小康社会的核心指标，反映区域社会发展水平。应包含不限于以下指标：</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1）GDP的总量和增速，GDP占全区比重，在全区地市的排位等。</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2）人均GDP的总量和增速，在全区地市的排位等。</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3）三类产业增加值的总量、增速和结构，重点关注规模以上工业、现代服务业、民营经济的增速等。</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4）投资、消费、进出口等领域总量、结构及增速等。</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5）工业用电量、货物运输量、金融机构本外币贷款余额、工商新增登记企业数量、制造业采购经理指数等重要先行指标变化及趋势等。</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6）劳动力、土地、资本、创新等四大要素变化情况等。</w:t>
            </w:r>
          </w:p>
          <w:p>
            <w:pPr>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（2）产业发展</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利用全国企业全景信息，量化分析全区在全国对标地区的产业地位、产业重合度、制造业结构和资本流动等，反映区域的产业结构情况以及区域优势的产业和行业。</w:t>
            </w:r>
          </w:p>
          <w:p>
            <w:pPr>
              <w:numPr>
                <w:ilvl w:val="0"/>
                <w:numId w:val="6"/>
              </w:numPr>
              <w:rPr>
                <w:rFonts w:hint="eastAsia" w:ascii="宋体" w:hAnsi="宋体" w:eastAsia="宋体" w:cs="宋体"/>
                <w:b/>
                <w:bCs/>
                <w:color w:val="auto"/>
                <w:highlight w:val="none"/>
              </w:rPr>
            </w:pPr>
            <w:r>
              <w:rPr>
                <w:rFonts w:hint="eastAsia" w:ascii="宋体" w:hAnsi="宋体" w:eastAsia="宋体" w:cs="宋体"/>
                <w:b/>
                <w:bCs/>
                <w:color w:val="auto"/>
                <w:highlight w:val="none"/>
              </w:rPr>
              <w:t>财政收入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可以分税种、分地区、分行业等维度对收入进度进行全面监控，关注收入增幅、收入结构、占比、增长、执行率和滞后的税种、科目和地区等。</w:t>
            </w:r>
          </w:p>
          <w:p>
            <w:pPr>
              <w:numPr>
                <w:ilvl w:val="0"/>
                <w:numId w:val="6"/>
              </w:numPr>
              <w:rPr>
                <w:rFonts w:hint="eastAsia" w:ascii="宋体" w:hAnsi="宋体" w:eastAsia="宋体" w:cs="宋体"/>
                <w:b/>
                <w:bCs/>
                <w:color w:val="auto"/>
                <w:highlight w:val="none"/>
              </w:rPr>
            </w:pPr>
            <w:r>
              <w:rPr>
                <w:rFonts w:hint="eastAsia" w:ascii="宋体" w:hAnsi="宋体" w:eastAsia="宋体" w:cs="宋体"/>
                <w:b/>
                <w:bCs/>
                <w:color w:val="auto"/>
                <w:highlight w:val="none"/>
              </w:rPr>
              <w:t>财政支出</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多维度对预算执行情况、支出结构、支出偏好、支出增长等预算执行特点和支出趋势进行基本分析。便于人大领导和各委员会及时了解预算执行总体情况。</w:t>
            </w:r>
          </w:p>
          <w:p>
            <w:pPr>
              <w:numPr>
                <w:ilvl w:val="0"/>
                <w:numId w:val="6"/>
              </w:numPr>
              <w:rPr>
                <w:rFonts w:hint="eastAsia" w:ascii="宋体" w:hAnsi="宋体" w:eastAsia="宋体" w:cs="宋体"/>
                <w:b/>
                <w:bCs/>
                <w:color w:val="auto"/>
                <w:highlight w:val="none"/>
              </w:rPr>
            </w:pPr>
            <w:r>
              <w:rPr>
                <w:rFonts w:hint="eastAsia" w:ascii="宋体" w:hAnsi="宋体" w:eastAsia="宋体" w:cs="宋体"/>
                <w:b/>
                <w:bCs/>
                <w:color w:val="auto"/>
                <w:highlight w:val="none"/>
              </w:rPr>
              <w:t>重大专题</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面向自治区、市党委、市人大、市政府关注的重大专题资金和事项进行自定义收集，并动态实时分析监控相关财政、统计数据。</w:t>
            </w:r>
          </w:p>
          <w:p>
            <w:pPr>
              <w:numPr>
                <w:ilvl w:val="0"/>
                <w:numId w:val="7"/>
              </w:numPr>
              <w:rPr>
                <w:rFonts w:hint="eastAsia" w:ascii="宋体" w:hAnsi="宋体" w:eastAsia="宋体" w:cs="宋体"/>
                <w:b/>
                <w:bCs/>
                <w:color w:val="auto"/>
                <w:highlight w:val="none"/>
              </w:rPr>
            </w:pPr>
            <w:r>
              <w:rPr>
                <w:rFonts w:hint="eastAsia" w:ascii="宋体" w:hAnsi="宋体" w:eastAsia="宋体" w:cs="宋体"/>
                <w:b/>
                <w:bCs/>
                <w:color w:val="auto"/>
                <w:highlight w:val="none"/>
              </w:rPr>
              <w:t>预决算审查升级</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实现对支出预算总量与结构、重点支出与重大投资项目、部门预算、财政转移支付、政府债务和政府预算收入等预算、预算调整、决算数据资料进行全口径监督、全过程审查。支持人大、代表、专家、横向部门等不同角色的不同业务场景的工作流程定制，并创新性的采取人工智能技术，将智能分析嵌入到业务流程中，根据监督要求智能化发现预决算审查中的问题并生成评审意见、形成汇总报告，有效支撑各个业务环节的预决算审查。</w:t>
            </w:r>
          </w:p>
          <w:p>
            <w:pPr>
              <w:pStyle w:val="74"/>
              <w:ind w:left="420"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（1）预算审查</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包括支出预算总量与结构审查、重点支出与重大投资项目审查、部门预算审查、财政转移支付审查、政府债务审查、政府收入预算审查功能。</w:t>
            </w:r>
          </w:p>
          <w:p>
            <w:pPr>
              <w:pStyle w:val="74"/>
              <w:numPr>
                <w:ilvl w:val="0"/>
                <w:numId w:val="8"/>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支出预算总量与结构审查</w:t>
            </w:r>
          </w:p>
          <w:p>
            <w:pPr>
              <w:rPr>
                <w:rFonts w:hint="eastAsia" w:ascii="宋体" w:hAnsi="宋体" w:eastAsia="宋体" w:cs="宋体"/>
                <w:color w:val="auto"/>
                <w:highlight w:val="none"/>
              </w:rPr>
            </w:pPr>
            <w:r>
              <w:rPr>
                <w:rFonts w:hint="eastAsia" w:ascii="宋体" w:hAnsi="宋体" w:eastAsia="宋体" w:cs="宋体"/>
                <w:color w:val="auto"/>
                <w:highlight w:val="none"/>
              </w:rPr>
              <w:t>利用区域经济发展、人口、财政收支、产业结构及其演进情况等历史总量和结构数据，通过数据分析，选择与区域发展内外部情况相近的地市作为对标地市作为参考，总结内外部环境、各市自身发展战略等对各市收支总量（包含债务）和结构的影响，以社会和经济发展各领域支出总量和人均总量为视角，审视不同地区不同发展战略导致的财政支出结构对经济发展、民生保障等方面的影响，结合每年新增政策和重点支出事项为后续支出结构总量审查提供决策参考。</w:t>
            </w:r>
          </w:p>
          <w:p>
            <w:pPr>
              <w:rPr>
                <w:rFonts w:hint="eastAsia" w:ascii="宋体" w:hAnsi="宋体" w:eastAsia="宋体" w:cs="宋体"/>
                <w:color w:val="auto"/>
                <w:highlight w:val="none"/>
              </w:rPr>
            </w:pPr>
            <w:r>
              <w:rPr>
                <w:rFonts w:hint="eastAsia" w:ascii="宋体" w:hAnsi="宋体" w:eastAsia="宋体" w:cs="宋体"/>
                <w:color w:val="auto"/>
                <w:highlight w:val="none"/>
              </w:rPr>
              <w:t>审查支出预算总量的重点，是审查支出总量规模及其占年度预计国内生产总值的比重情况，支出预算总量安排贯彻党中央重大方针政策、自治区、市党委决策部署的情况；贯彻党中央确定的年度经济社会发展目标、国家宏观调控总体要求、县级以上党委确定的区域年度经济社会发展目标、国民经济和社会发展相关规划情况；与财政政策基调取向衔接的情况；支出规模与可用财力相适应、相匹配的情况；支出政策的合法性、合理性、可持续性情况；提高财政资金配置效率的情况；支出预算总量可持续性情况等。</w:t>
            </w:r>
          </w:p>
          <w:p>
            <w:pPr>
              <w:rPr>
                <w:rFonts w:hint="eastAsia" w:ascii="宋体" w:hAnsi="宋体" w:eastAsia="宋体" w:cs="宋体"/>
                <w:color w:val="auto"/>
                <w:highlight w:val="none"/>
              </w:rPr>
            </w:pPr>
            <w:r>
              <w:rPr>
                <w:rFonts w:hint="eastAsia" w:ascii="宋体" w:hAnsi="宋体" w:eastAsia="宋体" w:cs="宋体"/>
                <w:color w:val="auto"/>
                <w:highlight w:val="none"/>
              </w:rPr>
              <w:t>审查支出预算的结构，重点审查功能分类下各项支出预算增幅安排和支出政策体现党中央、自治区党委、市委关于相关领域、行业重大方针政策和决策部署的情况；相关领域、行业、部门支出预算与中央经济工作会议、全市经济工作会议提出的预期目标、重大任务和政策措施相衔接的情况；体现以人民为中心的发展思想，保障基本民生需要，提高财政支出公共性和普惠性的情况；支出结构是否体现突出重点、压缩一般的预算编制原则的情况，基本公共服务需要得到保障的情况；支持坚决打好四大攻坚战、坚持以供给侧结构性改革为主线，支持调结构和转方式、推动经济高质量发展。通过审查各项支出占总支出的比例及纵向变化情况比较，看支出重点是否突出、支出结构是否优化等。</w:t>
            </w:r>
          </w:p>
          <w:p>
            <w:pPr>
              <w:pStyle w:val="74"/>
              <w:numPr>
                <w:ilvl w:val="0"/>
                <w:numId w:val="8"/>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重点支出与重大投资项目审查</w:t>
            </w:r>
          </w:p>
          <w:p>
            <w:pPr>
              <w:rPr>
                <w:rFonts w:hint="eastAsia" w:ascii="宋体" w:hAnsi="宋体" w:eastAsia="宋体" w:cs="宋体"/>
                <w:color w:val="auto"/>
                <w:highlight w:val="none"/>
              </w:rPr>
            </w:pPr>
            <w:r>
              <w:rPr>
                <w:rFonts w:hint="eastAsia" w:ascii="宋体" w:hAnsi="宋体" w:eastAsia="宋体" w:cs="宋体"/>
                <w:color w:val="auto"/>
                <w:highlight w:val="none"/>
              </w:rPr>
              <w:t>结合项目申报数据、财政项目预算、预算执行、项目实施、项目绩效、政策标准等数据，对项目的绩效目标设定、建设依据、预算执行情况、实施进度、结余结转等方面提供情报分析，有效支撑重点项目的预算审查工作。</w:t>
            </w:r>
          </w:p>
          <w:p>
            <w:pPr>
              <w:rPr>
                <w:rFonts w:hint="eastAsia" w:ascii="宋体" w:hAnsi="宋体" w:eastAsia="宋体" w:cs="宋体"/>
                <w:color w:val="auto"/>
                <w:highlight w:val="none"/>
              </w:rPr>
            </w:pPr>
            <w:r>
              <w:rPr>
                <w:rFonts w:hint="eastAsia" w:ascii="宋体" w:hAnsi="宋体" w:eastAsia="宋体" w:cs="宋体"/>
                <w:color w:val="auto"/>
                <w:highlight w:val="none"/>
              </w:rPr>
              <w:t>审查重点支出，主要是审查在相应支出政策上细化落实党中央重大方针政策、自治区党委、崇左市委决策部署的情况，在相应重点支出预算安排中的贯彻情况，支出绩效目标的设定情况。审查支出是否回应民生需求，是否体现调结构和保重点的原则，是否有脱离财力支撑、不顾财力可能、脱离实际的支出承诺。审查重大投资项目特别是重大基础设施建设项目安排，按照使市场在资源配置中起决定性作用、更好发挥政府作用要求，审查是否符合政府与市场职责边界划分及逐步退出对竞争性领域补助的情况；按照市与各县（城区）财政事权与支出责任划分原因，审查投资是否用在主要应由市本级履行支出责任的项目上，保障国家、自治区、市重大项目和重点工程投资的情况，是否开展了事前绩效评估；按照市基本建设投资性质定位，审查投资是否主要用于贯彻落实党中央、自治区党委、市委决策部署、重大战略、重大规划等确定的重点建设任务，不断优化基建投资结构的情况；审查按照预算法、自治区预算监督条例的要求加强基建预算管理和监督等情况。</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2）部门预算审查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结合部门预算、人员信息、预算执行、部门决算、部门绩效、政策标准等数据，构建部门预算-执行-决算-绩效数据闭环，在部门预算、调整预算、决算审查时可以提供多维度、多层次、多年度的预算、执行、决算数据比对分析，有效支撑部门预算审查工作。</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审查部门预算的重点，一是审查部门预算对党中央相关重大方针政策和自治区党委决策部署的落实情况，项目预算安排是否与中期财政规划相衔接，部门预算改革进展情况，各项支出预算安排的政策依据、标准、支出方向及绩效目标等情况，项目支出预算与支出政策的衔接匹配情况，部门预算项目资金二次分配情况，项目绩效目标设立及其科学性、合理性情况，开展绩效评价情况，重点支出与重大项目支出绩效评价结果与预算安排及政策调整衔接的情况。二是审查部门预算管理的完整性情况，主要是按照全口径预算管理要求，将部门各项收支全部编入预算的情况，部门基本支出预算保障部门基本履行职能需要的情况，项目库建设情况，项目前期工作准备情况，部门上年结转资金与年度预算统筹使用的情况，落实人大财经委对预算草案的初步审查意见情况，审计查出问题整改落实情况，部门国有资产配置情况等。</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3）财政转移支付审查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基于自治区、市、县（市</w:t>
            </w:r>
            <w:r>
              <w:rPr>
                <w:rFonts w:hint="eastAsia" w:ascii="宋体" w:hAnsi="宋体" w:cs="宋体"/>
                <w:color w:val="auto"/>
                <w:highlight w:val="none"/>
                <w:lang w:eastAsia="zh-CN"/>
              </w:rPr>
              <w:t>、</w:t>
            </w:r>
            <w:r>
              <w:rPr>
                <w:rFonts w:hint="eastAsia" w:ascii="宋体" w:hAnsi="宋体" w:eastAsia="宋体" w:cs="宋体"/>
                <w:color w:val="auto"/>
                <w:highlight w:val="none"/>
              </w:rPr>
              <w:t>区）三级资金完整串联的基础上，量化分析财政转移支付资金支出效率较低的环节和地区，结合预算、执行和决算数据进行综合分析评价，辅助支撑转移支付资金的预算审查。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重点审查预算安排对党中央、自治区党委关于缩小地区间基本公共服务差距的保障能力、打好四大攻坚战等重大方针政策和决策部署的支撑保障和贯彻落实情况；转移支付规模是否适当，预算分配体现法律法规和制度政策的情况；转移支付制度完善与财政事权和支出责任划分改革的衔接匹配情况；转移支付预算按项目、分地区编列的情况，崇左市按预算法规定将转移支付预计数提前下达市县的情况；转移支付结构优化情况，一般性转移支付占比情况；一般性转移支付按照崇左市规定基本标准和计算方法编报的情况；专项转移支付按照法律、法规和国务院、市人民政府规定的设立情况，专项转移支付设定绩效目标及其目标设置的合理可行情况，专项转移支付定期评估和退出机制落实情况，对政策到期、政策调整和绩效低下等项目的清理取消情况；转移支付资金预算安排与绩效评价结果及政策调整衔接情况等。</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4）政府债务审查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根据财政部政府债务管理相关政策，基于区域当前收支债的现状和历史发展沿革，结合区域当前重点支出政策和重大支出事项，审查当前债务总量和结构的合规性及科学性，结合政府支出总量和结构分析结果，量化评价和监控区域债务风险，为每年后续的债务审查提供决策依据，从根源上防范区域财政运行系统风险。</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重点审查政府债务，要根据新增政府债务规模及新增一般债务、专项债务规模，按照法定限额内债务风险预警地区、提示地区，一般债务率、专项债务平均到期偿债保障倍数、综合债务率、一般债务利息支出率、专项债务利息支出率、新增债务率、偿债率、逾期债务率等债务风险评估指标体系，结合债务资金安排使用和偿还计划，评价政府举债规模的合理性，评估政府债务的风险水平。对政府一般债务，要结合债务资金安排使用和还本付息情况，评价政府债务规模的可持续性情况。对政府专项债务，要结合项目总体运营情况，重点审查专项债券的规模安排、使用方向、还本付息等情况，审查年度专项债券总规模、新增专项债券规模的合理性与可持续性。</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5）政府收入预算审查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融合税务、统计、宏观经济等外部数据，构建宏观经济、产业发展、财政收入、收入结构的收入预算审查体系，结合周边对标区域、历史区域总财力的构成和演变趋势，辅助审查区域当前总财力的科学性、合理性及可持续性，并结合企业税收和产业发展相关数据分析当年度税收的“应收尽收”水平和收入质量，并对收入和相应预期进行持续监控评估。</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重点审查预算收入编制与经济社会发展预期水平的适应性情况，收入预计规模的合理性、可行性情况；预算收入编制与财政政策衔接情况；审查政府收入编入预算的情况；审查各项税收收入测算与宏观经济、社会发展指标的协调性情况。要进一步加强对政府性基金预算、国有资本经营预算、社会保险基金预算收入的审查，每项基金或项目的收入编制都要合法、合理和可行；审查国有资本经营预算范围完整性情况，企业(含金融)是否足额上缴国有资本经营收益。</w:t>
            </w:r>
          </w:p>
          <w:p>
            <w:pPr>
              <w:pStyle w:val="74"/>
              <w:ind w:firstLine="422"/>
              <w:rPr>
                <w:rFonts w:hint="eastAsia" w:ascii="宋体" w:hAnsi="宋体" w:eastAsia="宋体" w:cs="宋体"/>
                <w:b/>
                <w:bCs/>
                <w:color w:val="auto"/>
                <w:highlight w:val="none"/>
              </w:rPr>
            </w:pPr>
            <w:r>
              <w:rPr>
                <w:rFonts w:hint="eastAsia" w:ascii="宋体" w:hAnsi="宋体" w:eastAsia="宋体" w:cs="宋体"/>
                <w:b/>
                <w:bCs/>
                <w:color w:val="auto"/>
                <w:highlight w:val="none"/>
              </w:rPr>
              <w:t>（2）预算调整审查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实现对支出预算总量与结构、重点支出与重大投资项目、部门预算、财政转移支付、政府债务和政府预算收入等涉及需要人大常委会审批的预算调整内容进行审查。在审查过程中，根据监督要求智能化发现预算调整审查中的问题并生成评审意见，同时可以提供对当前审查环节有效的审查分析功能，有效的支撑预算调整审查业务。</w:t>
            </w:r>
          </w:p>
          <w:p>
            <w:pPr>
              <w:pStyle w:val="74"/>
              <w:ind w:firstLine="422"/>
              <w:rPr>
                <w:rFonts w:hint="eastAsia" w:ascii="宋体" w:hAnsi="宋体" w:eastAsia="宋体" w:cs="宋体"/>
                <w:b/>
                <w:bCs/>
                <w:color w:val="auto"/>
                <w:highlight w:val="none"/>
              </w:rPr>
            </w:pPr>
            <w:r>
              <w:rPr>
                <w:rFonts w:hint="eastAsia" w:ascii="宋体" w:hAnsi="宋体" w:eastAsia="宋体" w:cs="宋体"/>
                <w:b/>
                <w:bCs/>
                <w:color w:val="auto"/>
                <w:highlight w:val="none"/>
              </w:rPr>
              <w:t>（3）决算审查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实现对支出决算总量与结构、重点支出与重大投资项目、部门预算、财政转移支付、政府债务和政府预算收入等决算数据进行审查。在审查过程中，根据监督要求智能化发现决算审查中的问题并生成评审意见，同时可以提供对当前审查环节有效的审查分析功能，有效的支撑决算审查业务。</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1）支出决算总量与结构审查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重点审查支出决算总量与预算比较的变动情况和完成情况，支出决算结构与预算比较的变动情况和完成情况；各类支出决算完成预算的情况，对支出决算总量与结构完成情况的合法性、合理性作出评价；对支出政策的实施效果和支出预算绩效目标实现情况作出评价。</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2）重点支出与重大投资项目决算审查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建设重点支出与重大投资项目决算审查功能，重点审查重点支出与重大投资项目决算与预算相比较的变动情况，审查决算对党中央重大方针政策、自治区党委、市委决策部署的实施结果，审查资金使用的绩效情况等。</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3）部门决算审查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重点审查部门贯彻落实党中央相关重大方针政策和党委决策部署的具体情况；部门决算与预算存在差异情况；预算增减变动情况；部门重点支出、重大项目资金的使用及绩效实现情况；部门结转资金的使用情况；审计查出有关问题整改落实情况；“三公两费”使用和管理情况等。</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4）财政转移支付决算审查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重点审查转移支付决算和预算相比的变化情况；转移支付项目开展绩效评价的情况；一般性转移支付发挥促进基本公共服务均等化作用、专项转移支付支撑党中央重大方针政策、自治区、市委决策部署实施的情况；转移支付资金结转的情况等。</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5）政府债务决算审查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重点审查年末政府债务余额及其占财政收支的比重。按照法定限额内债务风险预警地区、提示地区，一般债务率、专项债务平均到期偿债保障倍数、综合债务率、一般债务利息支出率、专项债务利息支出率、新增债务率、偿债率、逾期债务率等债务风险评估指标体系，结合政府债务规模、自治区经济发展水平等情况，审查政府债务余额的合理性，重点是审查债务余额是否突破批准的限额、债务偿还、债务余额结构等情况。</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6）政府决算收入审查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重点审查完成人大批准预算收入目标的完成情况;对收入增加或减少幅度比较大的项目，审查增减变化的真实性、合法性情况；审查收入执行结果与相对应的经济运行实际指标的匹配情况；审查财税政策实施情况；审查减税降费政策落实情况。</w:t>
            </w:r>
          </w:p>
          <w:p>
            <w:pPr>
              <w:numPr>
                <w:ilvl w:val="0"/>
                <w:numId w:val="7"/>
              </w:numPr>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智能统计及报告中心 </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（1）综合查询</w:t>
            </w:r>
            <w:r>
              <w:rPr>
                <w:rFonts w:hint="eastAsia" w:ascii="宋体" w:hAnsi="宋体" w:eastAsia="宋体" w:cs="宋体"/>
                <w:color w:val="auto"/>
                <w:highlight w:val="none"/>
              </w:rPr>
              <w:tab/>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结合人大、代表、专家、部门的查询需求，提供预算、执行、决算、项目、收入等方面的数据查询和图表可视化展现。</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（2）智能检索</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可以通过输入任意关键字模糊匹配，快速检索资金、单位、项目、企业、政策等方面的内容，并应支持通过标签化数据处理，快速检索各项重点事项支出情况，如民生支出、农业支出、扶贫支出等。</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（3）自动分析报告</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通过数据自动处理和智能分析功能，面向人大监督、人大代表查询等日常工作所用的标准报告，通过评价主体、时间跨度、评价指标的选择，实现后台数据自动提取、图表自动生成和基本模板报告的自动撰写功能，极大提升日常统计分析和监控在数据提取方面的工作效率和相应数据提取的准确度、实时性，支持报告模板定义，可以实现预算审查类报告、执行监督类报告、国资监督类报告、国民经济计划类报告、重点支出监控类报告等。</w:t>
            </w:r>
          </w:p>
          <w:p>
            <w:pPr>
              <w:pStyle w:val="74"/>
              <w:ind w:firstLine="422"/>
              <w:rPr>
                <w:rFonts w:hint="eastAsia" w:ascii="宋体" w:hAnsi="宋体" w:eastAsia="宋体" w:cs="宋体"/>
                <w:b/>
                <w:bCs/>
                <w:color w:val="auto"/>
                <w:highlight w:val="none"/>
              </w:rPr>
            </w:pPr>
            <w:r>
              <w:rPr>
                <w:rFonts w:hint="eastAsia" w:ascii="宋体" w:hAnsi="宋体" w:eastAsia="宋体" w:cs="宋体"/>
                <w:b/>
                <w:bCs/>
                <w:color w:val="auto"/>
                <w:highlight w:val="none"/>
              </w:rPr>
              <w:t>4、综合管理应用</w:t>
            </w:r>
            <w:r>
              <w:rPr>
                <w:rFonts w:hint="eastAsia" w:ascii="宋体" w:hAnsi="宋体" w:eastAsia="宋体" w:cs="宋体"/>
                <w:b/>
                <w:bCs/>
                <w:color w:val="auto"/>
                <w:highlight w:val="none"/>
              </w:rPr>
              <w:tab/>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（1）审查监督管理</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1）审查任务分配</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审查任务分配主要为人大财经委、常委会预工委用户提供了审查任务的管理功能，用户可以根据每年定期的审查工作，通过系统创建审查任务，并指定参与审查的人员和审查内容。</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2）审查权限分配</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审查权限分配功能主要是为审查小组组长提供对小组内成员进行审查权限分配的功能，应支持同一用户多组别的权限设置和分配。</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3）审查过程跟踪</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可以对权限内所有的审查任务进行全流程的跟踪，清晰掌握每个审查任务的进展情况。</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4）审查监督意见汇总</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审查组意见汇总功能为审查小组组长提供了对本小组内所有成员已经提交的意见进行统一汇总、编辑、查询等功能。</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5）审查报告生成</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通过报告模板定义，实现后台数据自动提取、图表自动生成和基本模板报告的自动撰写功能，极大提升日常统计分析和监控在数据提取方面的工作效率和相应数据提取的准确度、实时性。</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6）审查报告审议</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支持财经委对审查报告进行审议，报告修改和下载等功能。</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7）审查意见反馈</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部门接收审查意见后进行的修改反馈。</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8）审查意见整改跟踪</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通过审查意见、审查意见反馈和不同版本的审查数据比对，跟踪审查意见的修改情况。</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（2）服务代表管理</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1）会前调研</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将会前调研所需的资料推送给人大代表。</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2）大会审议</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人大财经委将经过预决算评审专家、财经委专门机构初审，并已反馈给财政部门进行整改的预决算草案及报告、预算调整方案及报告等资料推送给人大代表、代表团联系代表、常委会组成人员进行审查。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3）代表意见管理</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代表意见主要提供代表意见的汇总。其中包括在调研工作、预算决算初审、大会审议时的意见。</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4）落实整改单位</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对审查过程中各类需要财政及其他部门落实的意见，均可通过意见落实功能指定相应的整改单位。</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5）落实整改反馈</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整改单位或者财经委工作人员可通过落实反馈功能，上传落实反馈材料。由财经委确认落实情况。</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6）代表意见反馈跟踪</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此功能主要支持代表和人大相关人员在线实时对整改预算监督过程中提出的相关意见的处理结果进行跟踪查询。</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（3）专题审议管理</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1）审计问题清单</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统计审计问题清单及对应的反馈意见。</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2）专题计划制定</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根据政府重点工作、政策导向和历史审查问题，进行专题计划智能化推荐，并可以在线制定专题计划。</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3）专题审议意见</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专题审议意见主要提供专题审议意见的汇总和管理功能。</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4）专题审议报告</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可以根据专题审议意见由计算机辅助生成专题审议报告。</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5）审议意见反馈</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部门接收审议意见后进行的修改反馈。</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6）整改跟踪</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支持代表和人大相关人员在线实时对专题审议过程中提出的相关意见的处理结果进行跟踪查询。</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（4）专家分析管理</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1）专家意见统计追溯</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可以统计每一个专家历史审查的所有意见、采纳情况和落实情况。</w:t>
            </w:r>
          </w:p>
          <w:p>
            <w:pPr>
              <w:pStyle w:val="74"/>
              <w:rPr>
                <w:rFonts w:hint="eastAsia" w:ascii="宋体" w:hAnsi="宋体" w:eastAsia="宋体" w:cs="宋体"/>
                <w:color w:val="auto"/>
                <w:highlight w:val="none"/>
              </w:rPr>
            </w:pPr>
          </w:p>
          <w:p>
            <w:pPr>
              <w:pStyle w:val="74"/>
              <w:rPr>
                <w:rFonts w:hint="eastAsia" w:ascii="宋体" w:hAnsi="宋体" w:eastAsia="宋体" w:cs="宋体"/>
                <w:color w:val="auto"/>
                <w:highlight w:val="none"/>
              </w:rPr>
            </w:pPr>
            <w:r>
              <w:rPr>
                <w:rFonts w:hint="eastAsia" w:ascii="宋体" w:hAnsi="宋体" w:eastAsia="宋体" w:cs="宋体"/>
                <w:color w:val="auto"/>
                <w:highlight w:val="none"/>
              </w:rPr>
              <w:t>2）专家评审质量分析</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结合专家历史审查意见的数量、采纳情况、落实情况等方面进行综合对比评价。</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（5）监督审查规则管理</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1）预决算评审规则</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对支出总量、部门、收入、债务、重点项目、国民经济计划等预决算审查的规则进行管理。</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2）执行监督规则</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对执行监督、国资监督、绩效监督等方面的规则进行管理。</w:t>
            </w:r>
          </w:p>
          <w:p>
            <w:pPr>
              <w:pStyle w:val="74"/>
              <w:ind w:firstLine="422"/>
              <w:rPr>
                <w:rFonts w:hint="eastAsia" w:ascii="宋体" w:hAnsi="宋体" w:eastAsia="宋体" w:cs="宋体"/>
                <w:b/>
                <w:bCs/>
                <w:color w:val="auto"/>
                <w:highlight w:val="none"/>
              </w:rPr>
            </w:pPr>
            <w:r>
              <w:rPr>
                <w:rFonts w:hint="eastAsia" w:ascii="宋体" w:hAnsi="宋体" w:eastAsia="宋体" w:cs="宋体"/>
                <w:b/>
                <w:bCs/>
                <w:color w:val="auto"/>
                <w:highlight w:val="none"/>
              </w:rPr>
              <w:t>5、法规文件</w:t>
            </w:r>
            <w:r>
              <w:rPr>
                <w:rFonts w:hint="eastAsia" w:ascii="宋体" w:hAnsi="宋体" w:eastAsia="宋体" w:cs="宋体"/>
                <w:b/>
                <w:bCs/>
                <w:color w:val="auto"/>
                <w:highlight w:val="none"/>
              </w:rPr>
              <w:tab/>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（1）法规文件查看</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所有使用预算联网监督系统的人员都通过此版块方便、快捷的了解各项监督的国家、自治区、市、部门法律法规和分析研究报告等。</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（2）法规文件管理</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支持对法规文件进行增删查改的管理操作，并可以灵活定制法规文件的多级分类目录及排序等功能。</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（3）法规文件检索</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支持通过地区、分类和关键字等条件快速查找各项监督的国家、自治区、市、部门法律法规。</w:t>
            </w:r>
          </w:p>
          <w:p>
            <w:pPr>
              <w:pStyle w:val="74"/>
              <w:ind w:firstLine="422"/>
              <w:rPr>
                <w:rFonts w:hint="eastAsia" w:ascii="宋体" w:hAnsi="宋体" w:eastAsia="宋体" w:cs="宋体"/>
                <w:b/>
                <w:bCs/>
                <w:color w:val="auto"/>
                <w:highlight w:val="none"/>
              </w:rPr>
            </w:pPr>
            <w:r>
              <w:rPr>
                <w:rFonts w:hint="eastAsia" w:ascii="宋体" w:hAnsi="宋体" w:eastAsia="宋体" w:cs="宋体"/>
                <w:b/>
                <w:bCs/>
                <w:color w:val="auto"/>
                <w:highlight w:val="none"/>
              </w:rPr>
              <w:t>6、区域监督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（1）下级联网监督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形成统一的市级对所辖县（城区）级预算监督系统的纵向连接窗口和管理体系。支持对下级县（城区）进行日常的收入、支出的预算监督工作。</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（2）区域交流反馈</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方便全市人大财经系统对预算联网监督方面的跨区域交流及反馈。</w:t>
            </w:r>
          </w:p>
          <w:p>
            <w:pPr>
              <w:pStyle w:val="74"/>
              <w:ind w:firstLine="422"/>
              <w:rPr>
                <w:rFonts w:hint="eastAsia" w:ascii="宋体" w:hAnsi="宋体" w:eastAsia="宋体" w:cs="宋体"/>
                <w:b/>
                <w:bCs/>
                <w:color w:val="auto"/>
                <w:highlight w:val="none"/>
              </w:rPr>
            </w:pPr>
            <w:r>
              <w:rPr>
                <w:rFonts w:hint="eastAsia" w:ascii="宋体" w:hAnsi="宋体" w:eastAsia="宋体" w:cs="宋体"/>
                <w:b/>
                <w:bCs/>
                <w:color w:val="auto"/>
                <w:highlight w:val="none"/>
              </w:rPr>
              <w:t>7、绩效监督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（1）地区绩效监督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结合人大审查意见、审计报告、预算管理、预算执行、基础管理等方面进行地区绩效量化评价，评价结果运用到地区转移支付、重点支出和重大投资项目、专项资金等审查工作中。</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（2）部门绩效监督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实现对部门整体绩效的监督，根据部门绩效的量化指标，对部门预算管理、预算执行、基础管理、审计意见、人大监督问题等方面进行综合评价，评价结果运用到部门预算整体绩效评审过程中。</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（3）项目绩效监督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实现对政府项目资金、部门专项资金的绩效进行监督，分析填报绩效的项目数量、金额、增长情况等，可以追踪项目绩效的完成情况。</w:t>
            </w:r>
          </w:p>
          <w:p>
            <w:pPr>
              <w:pStyle w:val="74"/>
              <w:ind w:firstLine="422"/>
              <w:rPr>
                <w:rFonts w:hint="eastAsia" w:ascii="宋体" w:hAnsi="宋体" w:eastAsia="宋体" w:cs="宋体"/>
                <w:b/>
                <w:bCs/>
                <w:color w:val="auto"/>
                <w:highlight w:val="none"/>
              </w:rPr>
            </w:pPr>
            <w:r>
              <w:rPr>
                <w:rFonts w:hint="eastAsia" w:ascii="宋体" w:hAnsi="宋体" w:eastAsia="宋体" w:cs="宋体"/>
                <w:b/>
                <w:bCs/>
                <w:color w:val="auto"/>
                <w:highlight w:val="none"/>
              </w:rPr>
              <w:t>8、执行监督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（1）支出预算总量与结构监督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重点监督在人民代表大会批准预算后，在规定时间内批复部门预算和下达转移支付预算的情况；严格按照人民代表大会批准的支出总量与重点支出结构执行预算的情况；监督预算执行中政府一般不制定新的增加支出的政策和措施的情况，必须作出并需要进行预算调整的，政府严格按照预算法和崇左市预算监督条例的规定，编制预算调整方案报市人大常委会审查和批准、并按照批准的预算调整方案执行的情况。加强对支出预算执行进度和绩效目标实现情况的跟踪监督。加强对预算执行中预算增减变动情况的监督。加强对预算支出政策实施情况的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实时显示市本级四本预算支出的总体进度、支出趋势、支出结构等，及时了解市直各部门、下级县（城区）、各科目、各项目的支出总体情况，并可追溯到具体资金滞后环节和原因。围绕市党委、人大、政府关注的重点工作事项，对支出数据进行标签化关联处理，随时把握各县（城区）民生、经济发展、三公经费、重点支出和重大投资项目等重点事项的资金投入情况和过程使用效益。</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（2）重点支出和重大投资项目监督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通过整合财政项目支出数据、各部门等项目过程数据，刻画重点项目全景信息，将项目管理流和资金流结合起来，勾勒项目从立项到结项管理全流程以及财政资金拨付轨迹，提供完善的项目情报分析，及时监控项目执行情况，发现过程中的问题及风险。</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项目支出的全景画像主要从预算安排、预算执行、预算调整、绩效评价、项目过程和运行风险等六个维度刻画，并形成项目名片的标签信息页面概览。为重点项目执行监督提供数据支撑。</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（3）部门执行监督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重点关注部门预算执行中贯彻落实党中央重大方针政策、自治区党委、市党委决策部署的情况；重大项目预算执行和绩效目标实现程度情况；部门严格按照批复的预算执行，预算追加追减情况。要实现对每季度部门预算执行情况的实时监督和分析评价；对部门重点项目预算执行情况的监督；对部门三公两费的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以部门（单位）为角度串联预算、预算执行、决算等收支全流程数据，从部门支出角度清晰了解部门运行总体情况和重点事项的执行情况，对单位人、财、物、项目进行全面执行监控；建立包含单位名片、基本信息、预算信息、执行监控、单位账户、结转结余、政府采购、资产信息、异常信息等内容，建立多维度多层次的部门画像。</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（4）财政转移支付监督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重点监督财政转移支付按照预算法规定时限及时向社会公开、对地方下达一般性转移支付和专项转移支付的情况等。对每一笔转移支付资金进行全流程监控，横向覆盖从预算指标、用款计划到集中支付的完整资金管理使用过程，纵向覆盖市、县两级上级下达、下级接收到最终完成资金支付全链条。</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（5）政府债务监督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重点监督政府债券发行和兑付情况；结合债务风险预警指标，分析判断全市政府债务的总体规模、结构、使用和还本付息等情况及其风险。结合本地的债务、企业、项目、经济等数据，全面分析债务存量、构成和趋势，摸清楚债务增长变化情况，揭示债务管理中出现的问题。同时建立债务风险评估和监控体系，实行跟踪监督和定期检查，确保专款专用，化解债务风险。</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（6）收入执行监督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针对全口径财政收入，建立多角度、多层级的多维分析体系，按照不同维度条件，提供分科目、分区县、分级次的收入预算执行监控，主要包含全口径收入监控、公共预算收入监控、政府性基金收入监控、收入质量监控、属地收入监控、分征收部门监控、分增幅监控、分税种监控、分行业监控、分区县监控等内容。</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重点分析收入执行与宏观经济的匹配情况，主要税种与对应的经济指标及税基的协调性情况；一般公共预算非税收入、政府性基金预算收入与相关指标的匹配情况；国有资本经营预算收入入库进度等情况；减税降费等财税政策的贯彻落实情况。</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（7）重点支出监督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对三公经费、农业资金、扶贫资金、民生支出等重点支出可进行自定义选择、全流程追溯和监控。</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（8）审计监督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实现历年预算执行情况审计报告、政府投资项目审计报告、专题审计报告、经济责任审计报告、审计查出突出问题情况报告、报表、相关资料等内容的在线查看和下载，并对审计查出问题按年度、类型、部门建立台账，进行整改落实跟踪和对账销号。应包含但不限于预算执行审计、政府投资项目审计、专题审计、审计问题整改跟踪、审计问题分析等功能模块。</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（9）扶贫监督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扶贫攻坚是二期系统重点监督模块的重要内容，扶贫是保护贫困户的合法权益，取消贫困负担。政府帮助贫困地区加大人才开发、建立发展工农业企业、促进生产摆脱贫困的一种社会工作，对贫困农村实施规划，旨在帮扶改善贫困户生活生存条件和扶助贫困地区发展生产，改变穷困面貌。扶贫攻坚是政府近年来的重要工作，具有重大的社会和历史意义。通过接口服务程序从财政部门定期（每日或每周）获取扶贫攻坚等相关重点支出相关的支付明细数据及支付汇总数据。系统将从财政部门获取规范的excel格式的扶贫攻坚重点支出的支出预算表，并作出分析。</w:t>
            </w:r>
          </w:p>
          <w:p>
            <w:pPr>
              <w:pStyle w:val="74"/>
              <w:ind w:firstLine="422"/>
              <w:rPr>
                <w:rFonts w:hint="eastAsia" w:ascii="宋体" w:hAnsi="宋体" w:eastAsia="宋体" w:cs="宋体"/>
                <w:b/>
                <w:bCs/>
                <w:color w:val="auto"/>
                <w:highlight w:val="none"/>
              </w:rPr>
            </w:pPr>
            <w:r>
              <w:rPr>
                <w:rFonts w:hint="eastAsia" w:ascii="宋体" w:hAnsi="宋体" w:eastAsia="宋体" w:cs="宋体"/>
                <w:b/>
                <w:bCs/>
                <w:color w:val="auto"/>
                <w:highlight w:val="none"/>
              </w:rPr>
              <w:t>9、国有资产管理情况监督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（1）国有资产管理情况综合报告</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可以对政府年度国有资产管理情况的综合报告进行在线审查和发表意见，并可对各阶段的审查意见进行汇总管理，生成审议报告，可以对国有资产管理情况的审查监督的后续整改情况进行在线追踪和掌握整改结果。</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（2）企业（非金融）国有资产监督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1）非金融企业资产报告分析</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根据国有企业（非金融）资产监督要求，选取财务指标、创新能力、合规表现、发展运营等方面多个关键指标进行动态监控和对比全国的排名变化情况。支撑相应资产分析报告的审查工作。</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2）国有企业（非金融）画像</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从关键指标、基本信息、发展历程、经营状况、投资关系、人才信息、知识产权、企业资质、行政监督等九个方面，多维度、多方面的构建国有企业（非金融）全景画像，帮助使用者对企业进行全方位的监督。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（3）金融企业国有资产监督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1）金融企业资产报告分析</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根据国有金融企业资产监督要求，选取财务指标、合规表现、运营风险、资产变动等方面多个关键指标进行动态监控和对比全区的排名变化情况。支撑相应资产分析报告的审查工作。</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2）国有金融企业画像</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从关键指标、基本信息、发展历程、经营状况、投资关系、人才信息、知识产权、企业资质、行政监督等方面，多维度、多方面的构建国有金融全景画像，帮助使用者对企业进行全方位的监督。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（4）行政事业性国有资产监督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1）单位资产汇总分析</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结合全市各单位的资产水平进行量化分析，对资产负债率高、资产闲置严重、资产处置不当等情况进行动态监督。支撑相应资产分析报告的审查工作。</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2）资产明细追溯</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可以追溯到每家部门单位不同类型的资产卡片情况。</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（5）国有自然资源监督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统计监测国有自然资源资产利用和变动状况，及时掌握国有自然资产配置、使用、处置、收益、分配等情况。支撑相应资产分析报告的审查工作。支持国有自然资源统计报表等数据查询、统计、分析等功能。</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（6）国有资产管理情况专题调研报告监督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可实现对历年国有资产管理情况专题调研报告、报表及相关资料的查询、分析和展示等功能。</w:t>
            </w:r>
          </w:p>
          <w:p>
            <w:pPr>
              <w:pStyle w:val="74"/>
              <w:ind w:firstLine="422"/>
              <w:rPr>
                <w:rFonts w:hint="eastAsia" w:ascii="宋体" w:hAnsi="宋体" w:eastAsia="宋体" w:cs="宋体"/>
                <w:b/>
                <w:bCs/>
                <w:color w:val="auto"/>
                <w:highlight w:val="none"/>
              </w:rPr>
            </w:pPr>
            <w:r>
              <w:rPr>
                <w:rFonts w:hint="eastAsia" w:ascii="宋体" w:hAnsi="宋体" w:eastAsia="宋体" w:cs="宋体"/>
                <w:b/>
                <w:bCs/>
                <w:color w:val="auto"/>
                <w:highlight w:val="none"/>
              </w:rPr>
              <w:t>10、国民经济计划审查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利用全区企业全景信息，量化分析全市在全国的产业地位、产业重合度、制造业结构和资本流动等，反映区域的产业结构情况以及区域优势的产业和行业。此版块突出宏观经济分析和规划计划审查的监督功能。设置为三大部分，主要以线状图、柱状图、玫瑰图等形式显示相关情况。</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（1）国民经济和社会发展基本情况</w:t>
            </w:r>
            <w:r>
              <w:rPr>
                <w:rFonts w:hint="eastAsia" w:ascii="宋体" w:hAnsi="宋体" w:eastAsia="宋体" w:cs="宋体"/>
                <w:color w:val="auto"/>
                <w:highlight w:val="none"/>
              </w:rPr>
              <w:tab/>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对国民经济和社会发展基本情况的分析，主要是年度统计指标2006-2018年指标绝对值、增速变化、结构性分析（地区、行业等）等情况。</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（2）计划执行情况监督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基于区域宏观统计、财政收支、产业发展等数据，对区域经济发展的基本状况进行可视化展现，探索财政收支与区域统计数据的量化关系和规律，通过财政收入/结构与宏观经济的联动分析反应区域经济整体发展质量，通过财政支出/结构与相应宏观指标的联动分析反应区域社会发展水平及财政支出效率。</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对国民经济和社会发展年度计划执行情况监督，按当前计划指标体系设置，分为地区生产总值、财政收入、居民消费价格指数、固定资产投资、社会消费品零售总额、外贸进出口总额、社会事业、人口和就业和社会保障、居民收入和扶贫开发、资源节约与环境保护等10大类39项指标（以上10大类39项指标重新归类为：综合实力指标、创新发展指标、质量效益指标、对外开放指标、对外开放指标、生态环境指标、人民生活指标），显示2013-2018年崇左市人大批准的计划及其完成情况，以及市国民经济和社会发展年度计划确定的市统筹推进的重大项目进展情况。各设区市、县（市、区）计划执行情况。</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（3）规划实施情况监督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对国民经济和社会发展规划实施情况进行监督，按当前规划指标体系设置，分为经济发展、创新驱动、民生福祉、生态文明等4大类34项指标（以市“十三五”规划为准），以及市“十三五”规划确定的市统筹推进的重大项目进展情况。各县（市、区）规划实施情况。</w:t>
            </w:r>
          </w:p>
          <w:p>
            <w:pPr>
              <w:pStyle w:val="74"/>
              <w:ind w:firstLine="422"/>
              <w:rPr>
                <w:rFonts w:hint="eastAsia" w:ascii="宋体" w:hAnsi="宋体" w:eastAsia="宋体" w:cs="宋体"/>
                <w:b/>
                <w:bCs/>
                <w:color w:val="auto"/>
                <w:highlight w:val="none"/>
              </w:rPr>
            </w:pPr>
            <w:r>
              <w:rPr>
                <w:rFonts w:hint="eastAsia" w:ascii="宋体" w:hAnsi="宋体" w:eastAsia="宋体" w:cs="宋体"/>
                <w:b/>
                <w:bCs/>
                <w:color w:val="auto"/>
                <w:highlight w:val="none"/>
              </w:rPr>
              <w:t>11、社会保险基金监督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社保基金是老百姓的养命钱、救命钱，事关全体国民的生存保障，包括基本养老保险基金、基本医疗保险基金、工伤保险基金、生育保险基金、失业保险基金、新农村合作医疗保险等保险基金的全面监督。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以养老保险为例，系统从收支差额、财政补助、养老保险支撑能力、养老保险抚养比分析、养老金人均支出水平分析、参保扩面分析、缴费人员占比分析、征缴率分析等全面分析，实现人大对养老保险的全面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对基金征缴情况、基金支出情况和基金结余情况的基础数据进行统计分析，进行监督检查，包括对基金收入户、基金支出户和基金结余户（财政专户）的资金情况监督检查。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基金征缴监督。主要是监督企业缴费行为，有无少报参保人数,少报工资总额、故意少缴或不缴费；经办机构征缴的保险费是否及时足额缴入收入户管理，有无不入账，搞体外循环或被挤占挪用；收入户资金是否按规定及时足额转入财政专户等。</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基金支出监督。主要是经办机构是否按规定的项目、范围和标准支出基金，有无多支、少支或不支，有无挪用支出户基金；受益人有无骗取保险金行为等。</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结余基金（财政专户基金）监督。主要是有无挤占挪用基金、动用基金的行为；结余基金收益状况，是否合理安排存期以追求收益最大化；是否按规定及时足额拨入支出户等。</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（1）基本养老保险</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基本养老保险基金监督分为企业养老，城乡居民养老，机关事业养老，具体如下：</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企业养老内容包括：</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企业养老</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企业职工-资产负债表（年报）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企业职工-资产负债表（季报）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企业职工-基金收支表（年报）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企业职工-基金收支表（季报）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企业职工-基金收支表（月报）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企业职工-统计月报（月报）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企业职工-人员表（季报）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企业职工-基金缴拨表（季报）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企业职工-个账（季报）</w:t>
            </w:r>
          </w:p>
          <w:p>
            <w:pPr>
              <w:pStyle w:val="74"/>
              <w:rPr>
                <w:rFonts w:hint="eastAsia" w:ascii="宋体" w:hAnsi="宋体" w:eastAsia="宋体" w:cs="宋体"/>
                <w:color w:val="auto"/>
                <w:highlight w:val="none"/>
              </w:rPr>
            </w:pP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城乡居民养老内容包括：</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城乡居民养老</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城乡居民-资产负债表（年报）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城乡居民-资产负债表（季报）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城乡居民-基金收支表（年报）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城乡居民-基金收支表（季报）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城乡居民-基金收支表（月报）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城乡居民-统计月报（月报）</w:t>
            </w:r>
          </w:p>
          <w:p>
            <w:pPr>
              <w:pStyle w:val="74"/>
              <w:rPr>
                <w:rFonts w:hint="eastAsia" w:ascii="宋体" w:hAnsi="宋体" w:eastAsia="宋体" w:cs="宋体"/>
                <w:color w:val="auto"/>
                <w:highlight w:val="none"/>
              </w:rPr>
            </w:pPr>
          </w:p>
          <w:p>
            <w:pPr>
              <w:pStyle w:val="74"/>
              <w:rPr>
                <w:rFonts w:hint="eastAsia" w:ascii="宋体" w:hAnsi="宋体" w:eastAsia="宋体" w:cs="宋体"/>
                <w:color w:val="auto"/>
                <w:highlight w:val="none"/>
              </w:rPr>
            </w:pPr>
            <w:r>
              <w:rPr>
                <w:rFonts w:hint="eastAsia" w:ascii="宋体" w:hAnsi="宋体" w:eastAsia="宋体" w:cs="宋体"/>
                <w:color w:val="auto"/>
                <w:highlight w:val="none"/>
              </w:rPr>
              <w:t>机关事业养老内容包括：</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机关事业养老</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机关事业-资产负债表（年报）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机关事业-资产负债表（季报）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机关事业-基金收支表（年报）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机关事业-基金收支表（季报）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机关事业-基金收支表（月报）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机关事业-统计月报（月报）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机关事业-人员表（季报）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机关事业-基金缴拨表（季报）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机关事业-个账（季报）</w:t>
            </w:r>
          </w:p>
          <w:p>
            <w:pPr>
              <w:pStyle w:val="74"/>
              <w:rPr>
                <w:rFonts w:hint="eastAsia" w:ascii="宋体" w:hAnsi="宋体" w:eastAsia="宋体" w:cs="宋体"/>
                <w:color w:val="auto"/>
                <w:highlight w:val="none"/>
              </w:rPr>
            </w:pPr>
          </w:p>
          <w:p>
            <w:pPr>
              <w:pStyle w:val="74"/>
              <w:rPr>
                <w:rFonts w:hint="eastAsia" w:ascii="宋体" w:hAnsi="宋体" w:eastAsia="宋体" w:cs="宋体"/>
                <w:color w:val="auto"/>
                <w:highlight w:val="none"/>
              </w:rPr>
            </w:pPr>
            <w:r>
              <w:rPr>
                <w:rFonts w:hint="eastAsia" w:ascii="宋体" w:hAnsi="宋体" w:eastAsia="宋体" w:cs="宋体"/>
                <w:color w:val="auto"/>
                <w:highlight w:val="none"/>
              </w:rPr>
              <w:t>（2）工伤保险</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工伤保险基金主要包括如下内容：</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工伤保险基金</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资产负债表（年报）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资产负债表（季报）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基金收支表（年报）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基金收支表（季报）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基金收支表（月报）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工伤保险统计月报表（月报）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工伤高风险月报表（月报）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工伤保险人员及征缴情况表（季报）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享受工伤保险待遇情况（季报）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享受工伤保险待遇情况续（季报）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工伤保险待医疗及康复预防费用情况（季报）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（3）生育保险</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生育保险基金内容包括：</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生育保险基金</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资产负债表（年报）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资产负债表（季报）.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基金收支表（年报）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基金收支表（季报）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基金收支表（月报）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生育保险参保人员情况（月报）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生育保险人员及基金征缴情况（季报）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生育保险待遇情况（季报）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（4）失业保险</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失业保险基金监督内容包括：</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失业保险基金监督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资产负债表（年报）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资产负债表（季报）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基金收支表（年报）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基金收支表（季报）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失业保险基金收支情况（月报）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参加失业保险人员情况（月报）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领取失业保险金人员情况（月报）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失业保险稳岗补贴、技能提升补贴、价格临时补贴情况调度表（月报）</w:t>
            </w:r>
          </w:p>
          <w:p>
            <w:pPr>
              <w:pStyle w:val="74"/>
              <w:ind w:firstLine="422"/>
              <w:rPr>
                <w:rFonts w:hint="eastAsia" w:ascii="宋体" w:hAnsi="宋体" w:eastAsia="宋体" w:cs="宋体"/>
                <w:b/>
                <w:bCs/>
                <w:color w:val="auto"/>
                <w:highlight w:val="none"/>
              </w:rPr>
            </w:pPr>
            <w:r>
              <w:rPr>
                <w:rFonts w:hint="eastAsia" w:ascii="宋体" w:hAnsi="宋体" w:eastAsia="宋体" w:cs="宋体"/>
                <w:b/>
                <w:bCs/>
                <w:color w:val="auto"/>
                <w:highlight w:val="none"/>
              </w:rPr>
              <w:t>12、基本医疗保险</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基本医疗保险基金监督分为城镇职工医疗保险和城乡居民医疗保险，其中：</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城镇职工医疗保险包括：</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城镇职工医疗保险</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城镇职工-资产负债表（年报）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城镇职工-资产负债表（季报）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城镇职工-基金收支表（年报）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城镇职工-基金收支表（季报）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城镇职工-基金收支表（月报）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城镇职工-基本医疗保险人员及特殊人员情况（季报）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城镇职工-基本医疗保险参保人员情况（月报）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城镇职工-基本医疗保险费征缴情况（季报）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城镇职工-退休人员医疗费用支出情况（季报）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城镇职工-医疗费用支出情况（季报）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城镇职工-异地就医情况（季报）</w:t>
            </w:r>
          </w:p>
          <w:p>
            <w:pPr>
              <w:pStyle w:val="74"/>
              <w:rPr>
                <w:rFonts w:hint="eastAsia" w:ascii="宋体" w:hAnsi="宋体" w:eastAsia="宋体" w:cs="宋体"/>
                <w:color w:val="auto"/>
                <w:highlight w:val="none"/>
              </w:rPr>
            </w:pP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城乡居民医疗保险包括：</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城乡居民医疗保险</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城乡居民-资产负债表（年报）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城乡居民-资产负债表（季报）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城乡居民-基金收支表（年报）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城乡居民-基金收支表（季报）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城乡居民-基金收支表（月报）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城乡居民-基本医疗保险参保人员情况（季报）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城乡居民-基本医疗保险参保人员情况（月报）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城乡居民-基本医疗保险缴费和财政补助情况（季报）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城乡居民-基本医疗保险医疗费用支出情况(按参保人群分类)（季报）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城乡居民-基本医疗保险医疗费用支出情况（按医疗机构分类）（季报）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城乡居民-基本医疗保险异地就医情况（季报）</w:t>
            </w:r>
          </w:p>
          <w:p>
            <w:pPr>
              <w:pStyle w:val="74"/>
              <w:ind w:firstLine="422"/>
              <w:rPr>
                <w:rFonts w:hint="eastAsia" w:ascii="宋体" w:hAnsi="宋体" w:eastAsia="宋体" w:cs="宋体"/>
                <w:b/>
                <w:bCs/>
                <w:color w:val="auto"/>
                <w:highlight w:val="none"/>
              </w:rPr>
            </w:pPr>
            <w:r>
              <w:rPr>
                <w:rFonts w:hint="eastAsia" w:ascii="宋体" w:hAnsi="宋体" w:eastAsia="宋体" w:cs="宋体"/>
                <w:b/>
                <w:bCs/>
                <w:color w:val="auto"/>
                <w:highlight w:val="none"/>
              </w:rPr>
              <w:t>13、移动监督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基于自治区人大预算联网监督系统二期建设内容，建设崇左市人大预算联网APP应用，实现移动监督功能。移动监督将人大预算监督工作从桌面办公的形式解放出来，拓展办公空间，使处理公务时不再受到时间和地点的限制。既提高了办公效率，又减少了办公成本，不仅可以加快审批效率，还提高系统服务质量和效率。</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移动监督最直接的优势就是将人们从桌面办公的形式解放出来，拓展办公空间，使处理公务时不再受到时间和地点的限制。既提高了办公效率，又减少了办公成本，不仅可以加快审批效率，还提高系统服务质量和效率。只需带着手机或者移动终端，就能随时随地的进行事务处理和信息调用，无论身在何处，人大、专家、代表、社会公众、相关部门都可通过移动监督功能方便快捷的掌握需要办理的工作，随时随地了解关心的问题，不受时间和空间限制的进行工作的处理，便利的查看公开的信息。主要功能应包括不限于：</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（1）移动审查首页</w:t>
            </w:r>
            <w:r>
              <w:rPr>
                <w:rFonts w:hint="eastAsia" w:ascii="宋体" w:hAnsi="宋体" w:eastAsia="宋体" w:cs="宋体"/>
                <w:color w:val="auto"/>
                <w:highlight w:val="none"/>
              </w:rPr>
              <w:tab/>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1）常用功能及定制</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显示审查要点、预决算草案、预警监控、预决算审查等常用的功能入口，方便用户便捷使用系统功能进行日常业务操作，并支持自定义功能显示定制，方便用户对常用功能进行收藏使用。</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2）待办事项</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需显示该用户所有环节的待办事项，方便用户快速定位到待处理的工作环节中。</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3）个性内容展示</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应支持展示用户定制的执行监控结果、主要经济数据、财政收支概览、审查过程跟踪等主题内容。</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4）智能检索</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可以通过输入任意关键字模糊匹配，快速检索资金、单位、项目、企业、政策等方面的内容。</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（2）预决算审查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1）政府预算审查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通过该模块，可以实现对支出总量、部门预算、重点项目、政府债务和收入预算等预算草案进行审查。支持人大、代表、专家、横向部门等不同角色的不同业务场景的流程定制，并将智能分析嵌入到业务流程中，根据监督要求智能化发现预算编制中的问题并生成评审意见，有效支撑各个业务环节。</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2）预算调整审查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应实现对支出总量、部门预算、重点项目、政府债务和收入预算等预算调整进行审查，在审查过程中，根据监督要求智能化发现预算调整审查中的问题，同时可以提供对当前审查环节有效的审查分析功能，有效的支撑预算调整审查业务。</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3）决算审查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应实现对支出总量、部门决算、重点项目、政府债务和收入决算等决算数据进行审查，在审查过程中，根据监督要求智能化发现决算审查中的问题并生成评审意见，同时可以提供对当前审查环节有效的审查分析功能，有效的支撑决算审查业务。</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4）审查意见汇总</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审查组意见汇总功能为审查小组组长提供了对本小组内所有成员已经提交的意见进行统一汇总、编辑、查询等功能。</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5）审查报告审议</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支持财经委对审查报告进行审议，报告修改和下载等功能。</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6）审查意见跟踪</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通过审查意见、审查意见反馈和不同版本的审查数据比对，跟踪审查意见的修改情况。</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（3）执行监督</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1）支出总量与结构监控</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实时显示预算支出的总体进度、支出趋势、支出结构等，及时了解全市各部门、下级地区、各科目、各项目的支出总体情况，并可追溯到具体资金滞后环节和原因。围绕自治区党委、崇左市党委、人大、政府关注的重点工作事项，对支出数据进行标签化关联处理，随时把握地区民生、经济发展、三公两费、重点专项资金等重点事项的资金投入情况和过程使用效益。</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2）重点支出和重大投资项目监控</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通过整合财政项目支出数据、各部门等项目过程数据，刻画重点支出和重大投资项目全景信息，将项目管理流和资金流结合起来，勾勒项目从立项到结项管理全流程以及财政资金拨付轨迹，提供完善的项目情报分析，及时监控项目执行情况，发现过程中的问题及风险。</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项目支出的全景画像主要从预算安排、预算执行、预算调整、绩效评价、项目过程和运行风险等六个维度刻画，并形成项目名片的标签信息页面概览。为重点项目执行监督提供数据支撑。</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3）部门执行监控</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以部门（单位）为角度串联预算、预算执行、决算等收支全流程数据，从部门支出角度清晰了解部门运行总体情况和重点事项的执行情况，对单位人、财、物、项目进行全面执行监控；建立包含单位名片、基本信息、预算信息、执行监控、单位账户、结转结余、政府采购、资产信息、异常信息等内容，建立多维度多层次的部门画像。</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4）转移支付监控</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可以对转移支付的分地区情况进行可视化展示，并支持从资金和指标两个流程进行追溯，查看转移支付的明细情况。</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5）政府债务监控</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结合本地的债务、企业、项目、经济等数据，全面分析债务存量、构成和趋势，摸清楚债务增长变化情况，揭示债务管理中出现的问题。同时建立债务风险评估和监控体系，实行跟踪监督和定期检查，确保专款专用，化解债务风险。</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6）收入执行监控</w:t>
            </w:r>
            <w:r>
              <w:rPr>
                <w:rFonts w:hint="eastAsia" w:ascii="宋体" w:hAnsi="宋体" w:eastAsia="宋体" w:cs="宋体"/>
                <w:color w:val="auto"/>
                <w:highlight w:val="none"/>
              </w:rPr>
              <w:tab/>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针对全口径财政收入，建立多角度、多层级的多维分析体系，按照不同维度条件，提供分科目、分区县、分级次的收入预算执行监控，主要包含全口径收入监控、公共预算收入监控、政府性基金收入监控、收入质量监控、属地收入监控、分征收部门监控、分增幅监控、分税种监控、分行业监控、分区县监控等内容。</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（4）法规文件</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1）预决算草案</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可以在线查看最新年度和历史年度的预决算草案。</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2）法律法规</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可以在线查看系统预置的相关政策法规。</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3）部门文件</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可以在线查看系统预置各部门的相关分析报告、共享文件等。</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（5）消息中心</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1）消息公告</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支持消息的发布、公告及浏览等功能。</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2）意见反馈</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代表可以通过该模块反馈意见，人大相关用户接收意见并反馈。</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（6）个人中心</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1）基本信息</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支持查看和编辑个人基本信息。</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2）密码修改</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支持个人登录密码的在线修改。</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3）内容定制</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支持用户自定义选择对应的首页显示专题内容，应支持执行监督预警、审查流程跟踪、主要经济数据、重点专题分析、财政收支概览等专题的选择。</w:t>
            </w:r>
          </w:p>
          <w:p>
            <w:pPr>
              <w:pStyle w:val="74"/>
              <w:ind w:firstLine="422"/>
              <w:rPr>
                <w:rFonts w:hint="eastAsia" w:ascii="宋体" w:hAnsi="宋体" w:eastAsia="宋体" w:cs="宋体"/>
                <w:b/>
                <w:bCs/>
                <w:color w:val="auto"/>
                <w:highlight w:val="none"/>
              </w:rPr>
            </w:pPr>
            <w:r>
              <w:rPr>
                <w:rFonts w:hint="eastAsia" w:ascii="宋体" w:hAnsi="宋体" w:eastAsia="宋体" w:cs="宋体"/>
                <w:b/>
                <w:bCs/>
                <w:color w:val="auto"/>
                <w:highlight w:val="none"/>
              </w:rPr>
              <w:t>14、市级接口管理体系</w:t>
            </w:r>
          </w:p>
          <w:p>
            <w:pPr>
              <w:pStyle w:val="34"/>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（1）自治区人大预算联网监督系统接口</w:t>
            </w:r>
          </w:p>
          <w:p>
            <w:pPr>
              <w:pStyle w:val="34"/>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实现与自治区人大预算联网监督系统相关接口开发对接，实现与自治区人大的数据纵向联通。</w:t>
            </w:r>
          </w:p>
          <w:p>
            <w:pPr>
              <w:pStyle w:val="34"/>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（2）与政务数据共享平台对接</w:t>
            </w:r>
            <w:r>
              <w:rPr>
                <w:rFonts w:hint="eastAsia" w:ascii="宋体" w:hAnsi="宋体" w:eastAsia="宋体" w:cs="宋体"/>
                <w:color w:val="auto"/>
                <w:highlight w:val="none"/>
              </w:rPr>
              <w:tab/>
            </w:r>
          </w:p>
          <w:p>
            <w:pPr>
              <w:pStyle w:val="34"/>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按照崇左市数据共享要求（按照“一数一源”的原则，凡是可以通过政务数据中心获取的共享数据，各部门不得重复采集），充分利用全市统一的政务数据共享平台进行数据采集，实现市本级人大与市审计局、市统计局、市社保医保局等横向部门数据共享与交换，如现阶段不具备与政务数据共享平台对接的条件，应预留相应的数据交互接口。</w:t>
            </w:r>
          </w:p>
          <w:p>
            <w:pPr>
              <w:pStyle w:val="34"/>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（3）标准接口服务</w:t>
            </w:r>
          </w:p>
          <w:p>
            <w:pPr>
              <w:pStyle w:val="34"/>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建设系统标准服务接口，通过市政务一体化平台为需要本系统数据的各委办局提供标准的Webservice接口服务方式，如现阶段不具备在政务数据共享平台发布接口服务的条件，应预留相应的服务接口。</w:t>
            </w:r>
          </w:p>
          <w:p>
            <w:pPr>
              <w:pStyle w:val="74"/>
              <w:ind w:firstLine="422"/>
              <w:rPr>
                <w:rFonts w:hint="eastAsia" w:ascii="宋体" w:hAnsi="宋体" w:eastAsia="宋体" w:cs="宋体"/>
                <w:b/>
                <w:bCs/>
                <w:color w:val="auto"/>
                <w:highlight w:val="none"/>
              </w:rPr>
            </w:pPr>
          </w:p>
          <w:p>
            <w:pPr>
              <w:pStyle w:val="74"/>
              <w:ind w:firstLine="422"/>
              <w:rPr>
                <w:rFonts w:hint="eastAsia" w:ascii="宋体" w:hAnsi="宋体" w:eastAsia="宋体" w:cs="宋体"/>
                <w:b/>
                <w:bCs/>
                <w:color w:val="auto"/>
                <w:highlight w:val="none"/>
              </w:rPr>
            </w:pPr>
            <w:r>
              <w:rPr>
                <w:rFonts w:hint="eastAsia" w:ascii="宋体" w:hAnsi="宋体" w:eastAsia="宋体" w:cs="宋体"/>
                <w:b/>
                <w:bCs/>
                <w:color w:val="auto"/>
                <w:highlight w:val="none"/>
              </w:rPr>
              <w:t>15、财政预算一体化项目软件对接</w:t>
            </w:r>
          </w:p>
          <w:p>
            <w:pPr>
              <w:pStyle w:val="74"/>
              <w:rPr>
                <w:rFonts w:hint="eastAsia" w:ascii="宋体" w:hAnsi="宋体" w:eastAsia="宋体" w:cs="宋体"/>
                <w:color w:val="auto"/>
                <w:highlight w:val="none"/>
              </w:rPr>
            </w:pPr>
            <w:r>
              <w:rPr>
                <w:rFonts w:hint="eastAsia" w:ascii="宋体" w:hAnsi="宋体" w:eastAsia="宋体" w:cs="宋体"/>
                <w:color w:val="auto"/>
                <w:highlight w:val="none"/>
              </w:rPr>
              <w:t>预算联网监督系统（二期）应预留与崇左市本级财政局预算管理一体化试点项目横向联通的数据接口。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436"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color w:val="auto"/>
                <w:kern w:val="0"/>
                <w:szCs w:val="21"/>
                <w:highlight w:val="none"/>
              </w:rPr>
            </w:pPr>
            <w:r>
              <w:rPr>
                <w:rFonts w:hint="eastAsia" w:ascii="宋体" w:hAnsi="宋体" w:eastAsia="宋体" w:cs="宋体"/>
                <w:b/>
                <w:color w:val="auto"/>
                <w:highlight w:val="none"/>
              </w:rPr>
              <w:t>二、商务条款（商务响应表响应内容）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436" w:type="dxa"/>
            <w:gridSpan w:val="4"/>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b/>
                <w:bCs/>
                <w:color w:val="auto"/>
                <w:kern w:val="0"/>
                <w:szCs w:val="21"/>
                <w:highlight w:val="none"/>
              </w:rPr>
            </w:pPr>
            <w:r>
              <w:rPr>
                <w:rFonts w:hint="eastAsia" w:ascii="宋体" w:hAnsi="宋体" w:eastAsia="宋体" w:cs="宋体"/>
                <w:b/>
                <w:color w:val="auto"/>
                <w:highlight w:val="none"/>
              </w:rPr>
              <w:t>★</w:t>
            </w:r>
            <w:r>
              <w:rPr>
                <w:rFonts w:hint="eastAsia" w:ascii="宋体" w:hAnsi="宋体" w:eastAsia="宋体" w:cs="宋体"/>
                <w:b/>
                <w:bCs/>
                <w:color w:val="auto"/>
                <w:kern w:val="0"/>
                <w:szCs w:val="21"/>
                <w:highlight w:val="none"/>
              </w:rPr>
              <w:t>一、合同签订期</w:t>
            </w:r>
            <w:r>
              <w:rPr>
                <w:rFonts w:hint="eastAsia" w:ascii="宋体" w:hAnsi="宋体" w:eastAsia="宋体" w:cs="宋体"/>
                <w:color w:val="auto"/>
                <w:kern w:val="0"/>
                <w:szCs w:val="21"/>
                <w:highlight w:val="none"/>
              </w:rPr>
              <w:t>：自成交通知书发出之日起15天内。</w:t>
            </w:r>
          </w:p>
          <w:p>
            <w:pPr>
              <w:widowControl/>
              <w:rPr>
                <w:rFonts w:hint="eastAsia" w:ascii="宋体" w:hAnsi="宋体" w:eastAsia="宋体" w:cs="宋体"/>
                <w:color w:val="auto"/>
                <w:kern w:val="0"/>
                <w:szCs w:val="21"/>
                <w:highlight w:val="none"/>
              </w:rPr>
            </w:pPr>
            <w:r>
              <w:rPr>
                <w:rFonts w:hint="eastAsia" w:ascii="宋体" w:hAnsi="宋体" w:eastAsia="宋体" w:cs="宋体"/>
                <w:b/>
                <w:color w:val="auto"/>
                <w:highlight w:val="none"/>
              </w:rPr>
              <w:t>★</w:t>
            </w:r>
            <w:r>
              <w:rPr>
                <w:rFonts w:hint="eastAsia" w:ascii="宋体" w:hAnsi="宋体" w:eastAsia="宋体" w:cs="宋体"/>
                <w:color w:val="auto"/>
                <w:kern w:val="0"/>
                <w:szCs w:val="21"/>
                <w:highlight w:val="none"/>
              </w:rPr>
              <w:t>二、</w:t>
            </w:r>
            <w:r>
              <w:rPr>
                <w:rFonts w:hint="eastAsia" w:ascii="宋体" w:hAnsi="宋体" w:eastAsia="宋体" w:cs="宋体"/>
                <w:b/>
                <w:bCs/>
                <w:color w:val="auto"/>
                <w:kern w:val="0"/>
                <w:szCs w:val="21"/>
                <w:highlight w:val="none"/>
              </w:rPr>
              <w:t>合同履行期限</w:t>
            </w:r>
            <w:r>
              <w:rPr>
                <w:rFonts w:hint="eastAsia" w:ascii="宋体" w:hAnsi="宋体" w:eastAsia="宋体" w:cs="宋体"/>
                <w:color w:val="auto"/>
                <w:kern w:val="0"/>
                <w:szCs w:val="21"/>
                <w:highlight w:val="none"/>
              </w:rPr>
              <w:t>：签订合同之日起180个日历日内完成系统的安装、实施、试运行。</w:t>
            </w:r>
          </w:p>
          <w:p>
            <w:pPr>
              <w:widowControl/>
              <w:rPr>
                <w:rFonts w:hint="eastAsia" w:ascii="宋体" w:hAnsi="宋体" w:eastAsia="宋体" w:cs="宋体"/>
                <w:color w:val="auto"/>
                <w:kern w:val="0"/>
                <w:szCs w:val="21"/>
                <w:highlight w:val="none"/>
                <w:u w:val="single"/>
              </w:rPr>
            </w:pPr>
            <w:r>
              <w:rPr>
                <w:rFonts w:hint="eastAsia" w:ascii="宋体" w:hAnsi="宋体" w:eastAsia="宋体" w:cs="宋体"/>
                <w:b/>
                <w:color w:val="auto"/>
                <w:highlight w:val="none"/>
              </w:rPr>
              <w:t>★</w:t>
            </w:r>
            <w:r>
              <w:rPr>
                <w:rFonts w:hint="eastAsia" w:ascii="宋体" w:hAnsi="宋体" w:eastAsia="宋体" w:cs="宋体"/>
                <w:b/>
                <w:bCs/>
                <w:color w:val="auto"/>
                <w:kern w:val="0"/>
                <w:szCs w:val="21"/>
                <w:highlight w:val="none"/>
              </w:rPr>
              <w:t>三、提交服务成果地点</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广西崇左市（采购人指定地点）</w:t>
            </w:r>
          </w:p>
          <w:p>
            <w:pPr>
              <w:widowControl/>
              <w:rPr>
                <w:rFonts w:hint="eastAsia" w:ascii="宋体" w:hAnsi="宋体" w:eastAsia="宋体" w:cs="宋体"/>
                <w:b/>
                <w:bCs/>
                <w:color w:val="auto"/>
                <w:kern w:val="0"/>
                <w:szCs w:val="21"/>
                <w:highlight w:val="none"/>
              </w:rPr>
            </w:pPr>
            <w:r>
              <w:rPr>
                <w:rFonts w:hint="eastAsia" w:ascii="宋体" w:hAnsi="宋体" w:eastAsia="宋体" w:cs="宋体"/>
                <w:b/>
                <w:color w:val="auto"/>
                <w:highlight w:val="none"/>
              </w:rPr>
              <w:t>★</w:t>
            </w:r>
            <w:r>
              <w:rPr>
                <w:rFonts w:hint="eastAsia" w:ascii="宋体" w:hAnsi="宋体" w:eastAsia="宋体" w:cs="宋体"/>
                <w:b/>
                <w:bCs/>
                <w:color w:val="auto"/>
                <w:kern w:val="0"/>
                <w:szCs w:val="21"/>
                <w:highlight w:val="none"/>
              </w:rPr>
              <w:t>四、售后服务要求：</w:t>
            </w:r>
          </w:p>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1.质量保证期 1年（自终验收合格之日起计）。</w:t>
            </w:r>
          </w:p>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2.软件系统在质保期内，当行业标准、技术规范发生改变时，成交供应商须免费修改相关内容。</w:t>
            </w:r>
          </w:p>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3.服务内容应该包含但并不限于以下条款：</w:t>
            </w:r>
          </w:p>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（1）处理问题响应时间：发生故障时接到通知后20分钟内响应，2小时内到达现场维修（去采购单位现场维修的一切费用由成交供应商承担），确保24小时内恢复正常；</w:t>
            </w:r>
          </w:p>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（2）定期回访以及对系统维护，并提供报告；</w:t>
            </w:r>
          </w:p>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（3）提供终身维护服务；</w:t>
            </w:r>
          </w:p>
          <w:p>
            <w:pPr>
              <w:widowControl/>
              <w:rPr>
                <w:rFonts w:hint="eastAsia" w:ascii="宋体" w:hAnsi="宋体" w:eastAsia="宋体" w:cs="宋体"/>
                <w:color w:val="auto"/>
                <w:highlight w:val="none"/>
              </w:rPr>
            </w:pPr>
            <w:r>
              <w:rPr>
                <w:rFonts w:hint="eastAsia" w:ascii="宋体" w:hAnsi="宋体" w:eastAsia="宋体" w:cs="宋体"/>
                <w:color w:val="auto"/>
                <w:kern w:val="0"/>
                <w:szCs w:val="21"/>
                <w:highlight w:val="none"/>
              </w:rPr>
              <w:t>（4）质保期以双方项目验收报告签字日开始计算。</w:t>
            </w:r>
          </w:p>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（5）系统维护的范围包括：系统优化、系统的正常运行和数据维护。</w:t>
            </w:r>
          </w:p>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4.成交供应商能提供7×24通过远程、上门服务、电话、E-mail等方式为用户提供终身完善的售前和售后技术咨询服务。</w:t>
            </w:r>
          </w:p>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5.质保期后，成交供应商应明确承诺继续优惠提供维护服务。</w:t>
            </w:r>
          </w:p>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（1）承诺提供系统升级、故障排除、性能调优、技术咨询等售后技术支持服务情况。</w:t>
            </w:r>
          </w:p>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（2）对于产品安全问题应及时免费提供补丁；</w:t>
            </w:r>
          </w:p>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（3）对于因软件设计等技术原因而引起的故障，成交供应商应免费提供解决方案；</w:t>
            </w:r>
          </w:p>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（4）免费自保期满前1个月内成交供应商应负责对系统进行一次免费全面检查、维护，如发现潜在问题，应写出正式报告，并负责排除，保证系统正常运行。</w:t>
            </w:r>
          </w:p>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（5）质保期结束后，成交供应商仍应对软件提供维护，升级等服务。</w:t>
            </w:r>
          </w:p>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供应商必须严格遵守采购人各项管理规定，在任何情况下，禁止复制、传播、引用及非开发需要查询所接触到的采购人各类业务数据、工作要求和工作措施等信息，未经授权禁止向采购人主管部门以外的单位和个人演示该系统。</w:t>
            </w:r>
          </w:p>
          <w:p>
            <w:pPr>
              <w:widowControl/>
              <w:rPr>
                <w:rFonts w:hint="eastAsia" w:ascii="宋体" w:hAnsi="宋体" w:eastAsia="宋体" w:cs="宋体"/>
                <w:color w:val="auto"/>
                <w:kern w:val="0"/>
                <w:szCs w:val="21"/>
                <w:highlight w:val="none"/>
              </w:rPr>
            </w:pPr>
            <w:r>
              <w:rPr>
                <w:rFonts w:hint="eastAsia" w:ascii="宋体" w:hAnsi="宋体" w:eastAsia="宋体" w:cs="宋体"/>
                <w:b/>
                <w:color w:val="auto"/>
                <w:highlight w:val="none"/>
              </w:rPr>
              <w:t>★</w:t>
            </w:r>
            <w:r>
              <w:rPr>
                <w:rFonts w:hint="eastAsia" w:ascii="宋体" w:hAnsi="宋体" w:eastAsia="宋体" w:cs="宋体"/>
                <w:b/>
                <w:color w:val="auto"/>
                <w:kern w:val="0"/>
                <w:szCs w:val="21"/>
                <w:highlight w:val="none"/>
              </w:rPr>
              <w:t>五、付款方式：</w:t>
            </w:r>
            <w:r>
              <w:rPr>
                <w:rFonts w:hint="eastAsia" w:ascii="宋体" w:hAnsi="宋体" w:eastAsia="宋体" w:cs="宋体"/>
                <w:color w:val="auto"/>
                <w:kern w:val="0"/>
                <w:szCs w:val="21"/>
                <w:highlight w:val="none"/>
              </w:rPr>
              <w:t>合同生效以及具备实施条件后15日内，甲方向乙方支付合同金额30%的预付款，软件安装部署，试运行稳定后，甲方向乙方支付合同金额的50%；验收合格之后，甲方向乙方支付合同金额的20%；乙方收到合同款后5个工作日内开具发票给采购方。</w:t>
            </w:r>
          </w:p>
          <w:p>
            <w:pPr>
              <w:widowControl/>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六、其他要求：</w:t>
            </w:r>
          </w:p>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1.供应商应遵守知识版权，依法、依约取得出版使用许可，如出现版权纠纷，由供应商承担全部责任。</w:t>
            </w:r>
          </w:p>
          <w:p>
            <w:pPr>
              <w:widowControl/>
              <w:rPr>
                <w:rFonts w:hint="eastAsia" w:ascii="宋体" w:hAnsi="宋体" w:eastAsia="宋体" w:cs="宋体"/>
                <w:color w:val="auto"/>
                <w:kern w:val="0"/>
                <w:szCs w:val="21"/>
                <w:highlight w:val="none"/>
              </w:rPr>
            </w:pPr>
            <w:r>
              <w:rPr>
                <w:rFonts w:hint="eastAsia" w:ascii="宋体" w:hAnsi="宋体" w:eastAsia="宋体" w:cs="宋体"/>
                <w:b/>
                <w:color w:val="auto"/>
                <w:highlight w:val="none"/>
              </w:rPr>
              <w:t>★</w:t>
            </w:r>
            <w:r>
              <w:rPr>
                <w:rFonts w:hint="eastAsia" w:ascii="宋体" w:hAnsi="宋体" w:eastAsia="宋体" w:cs="宋体"/>
                <w:color w:val="auto"/>
                <w:kern w:val="0"/>
                <w:szCs w:val="21"/>
                <w:highlight w:val="none"/>
              </w:rPr>
              <w:t>2.磋商报价为采购人指定地点的现场交货价，包括：</w:t>
            </w:r>
          </w:p>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（1）服务的价格；</w:t>
            </w:r>
          </w:p>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（2）其他费用（包括但不限于运输、装卸、软件开发、软件部署、调试、培训、技术支持、售后服务、检测、更新升级等费用）；</w:t>
            </w:r>
          </w:p>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（3）必要的保险费用和各项税费；</w:t>
            </w:r>
          </w:p>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（4）安装费用（包括但不限于各类软件、系统等的安装、集成、试运行等费用）。</w:t>
            </w:r>
          </w:p>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（5）供应商必须保证整个系统的正常运行，并能通过采购人的项目验收。供应商负责安装技术人员的人身安全所需的费用；</w:t>
            </w:r>
          </w:p>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（6）包括项目整体验收各项费用。</w:t>
            </w:r>
          </w:p>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在整个项目建设过程中，按照标准规范，统筹规划系统建设过程中的各种资源，有效地实现软硬件系统之间的协调一致，使整个系统集成为有机的整体，实现系统的设计目标，系统总集成包括项目涉及的所有子系统集成，统一用户身份管理实现对组织机构、用户、角色、应用系统、权限及授权关系的集中管理，总体整合项目所有软、硬件设备。确保系统运转正常、所有功能实现，数据处理准确且业务系统支持至少40用户同时在线，页面平均响应时间小于等于3秒、系统可用率≥99.8%，支持至少3年业务数据存储冗余。</w:t>
            </w:r>
          </w:p>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4.系统需达到信息系统二级等保的相关要求。</w:t>
            </w:r>
          </w:p>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5.采购人对系统安装验收合格后，采购人、成交供应商及监理单位三方共同签署验收合格证书。</w:t>
            </w:r>
          </w:p>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6.成交供应商按要求将项目子系统软件开发完成后，该部分软件知识产权归双方所有。</w:t>
            </w:r>
          </w:p>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7.项目开发至竣工验收成交供应商应安排软件人员驻采购单位。建设期至少提供3</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名技术人员驻采购方现场开发，上线后至少提供2名技术人员现场维护。同时，软件开发与实施过程所需一切工具（含开发工具）、仪表等设备或工具均由成交供应商自行负责。</w:t>
            </w:r>
          </w:p>
          <w:p>
            <w:pPr>
              <w:pStyle w:val="22"/>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本项目能投入技术人员至少具有2名PMP资质，2名高级信息系统项目管理师资质，2名高级系统架构设计师资质，2名高级软件工程师资质，5名中级软件工程师资质，1名高级信息安全管理师资质，提供规范的项目及质量管理体系，优先考虑。</w:t>
            </w:r>
          </w:p>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9.本项目后期将接入移动端实现知信预警通功能，以寻求更好的短信业务服务，开发更适合人大单位实际使用的短信平台，将具有增值电信业务许可证列入了本次项目优先考虑。</w:t>
            </w:r>
          </w:p>
          <w:p>
            <w:pPr>
              <w:pStyle w:val="22"/>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预算信息属于敏感信息，在信息查询、传输等环节中需要符合保密规范要求，供应商具备涉密信息系统集成资质乙级或乙级以上证书，且同时涵盖系统集成、软件开发和运行维护三种业务种类的，提供有效证书，优先考虑。</w:t>
            </w:r>
          </w:p>
          <w:p>
            <w:pPr>
              <w:widowControl/>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七、培训要求：</w:t>
            </w:r>
          </w:p>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（1）在应用软件开发与实施完成后，根据采购人要求，成交供应商免费给系统使用用户提供各个应用系统相关的业务培训。</w:t>
            </w:r>
          </w:p>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免费对采购方的管理人员、应用使用人员进行集中培训，确保采购方系统使用相关人员，能够理解系统功能，熟练掌握系统操作流程、常用功能等应用，能熟练掌握软件的原理和技术性能、操作维护方法、常见故障解决和升级等各个方面。</w:t>
            </w:r>
          </w:p>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（3）培训范围覆盖采购人相关科室人员培训。培训地点、培训时间和期限由本项目采购方根据需要确定。</w:t>
            </w:r>
          </w:p>
          <w:p>
            <w:pPr>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现场安装培训：工程师须在安装现场对采购方软件安装和基本操作培训。软件安装培训内容包括：软件的开发基础知识、软件安装的硬件基本配置、软件基本配置、具体的安装配置和操作过程，基本软件操作以及其他相关技术培训。</w:t>
            </w:r>
            <w:r>
              <w:rPr>
                <w:rFonts w:hint="eastAsia" w:ascii="宋体" w:hAnsi="宋体" w:eastAsia="宋体" w:cs="宋体"/>
                <w:color w:val="auto"/>
                <w:highlight w:val="none"/>
              </w:rPr>
              <w:tab/>
            </w:r>
          </w:p>
        </w:tc>
      </w:tr>
    </w:tbl>
    <w:p>
      <w:pPr>
        <w:pStyle w:val="20"/>
        <w:spacing w:line="380" w:lineRule="exact"/>
        <w:rPr>
          <w:rFonts w:hint="eastAsia" w:ascii="宋体" w:hAnsi="宋体" w:eastAsia="宋体" w:cs="宋体"/>
          <w:bCs/>
          <w:sz w:val="24"/>
          <w:szCs w:val="24"/>
        </w:rPr>
      </w:pPr>
    </w:p>
    <w:p>
      <w:pPr>
        <w:rPr>
          <w:rFonts w:hint="eastAsia" w:ascii="宋体" w:hAnsi="宋体" w:eastAsia="宋体" w:cs="宋体"/>
          <w:sz w:val="24"/>
          <w:szCs w:val="24"/>
        </w:rPr>
      </w:pPr>
    </w:p>
    <w:p>
      <w:pPr>
        <w:pStyle w:val="2"/>
        <w:ind w:firstLine="480"/>
        <w:rPr>
          <w:rFonts w:hint="eastAsia" w:ascii="宋体" w:hAnsi="宋体" w:eastAsia="宋体" w:cs="宋体"/>
        </w:rPr>
      </w:pPr>
    </w:p>
    <w:p>
      <w:pPr>
        <w:spacing w:line="360" w:lineRule="auto"/>
        <w:ind w:firstLine="480" w:firstLineChars="200"/>
        <w:rPr>
          <w:rFonts w:hint="eastAsia" w:ascii="宋体" w:hAnsi="宋体" w:eastAsia="宋体" w:cs="宋体"/>
          <w:sz w:val="24"/>
          <w:szCs w:val="24"/>
        </w:rPr>
      </w:pPr>
    </w:p>
    <w:p>
      <w:pPr>
        <w:pStyle w:val="20"/>
        <w:spacing w:line="360" w:lineRule="auto"/>
        <w:ind w:firstLine="1325" w:firstLineChars="300"/>
        <w:jc w:val="center"/>
        <w:outlineLvl w:val="9"/>
        <w:rPr>
          <w:rFonts w:hint="eastAsia" w:ascii="宋体" w:hAnsi="宋体" w:eastAsia="宋体" w:cs="宋体"/>
          <w:b/>
          <w:bCs/>
          <w:sz w:val="44"/>
        </w:rPr>
      </w:pPr>
    </w:p>
    <w:p>
      <w:pPr>
        <w:pStyle w:val="20"/>
        <w:spacing w:line="360" w:lineRule="auto"/>
        <w:ind w:firstLine="1325" w:firstLineChars="300"/>
        <w:jc w:val="center"/>
        <w:outlineLvl w:val="9"/>
        <w:rPr>
          <w:rFonts w:hint="eastAsia" w:ascii="宋体" w:hAnsi="宋体" w:eastAsia="宋体" w:cs="宋体"/>
          <w:b/>
          <w:bCs/>
          <w:sz w:val="44"/>
        </w:rPr>
      </w:pPr>
    </w:p>
    <w:p>
      <w:pPr>
        <w:pStyle w:val="20"/>
        <w:spacing w:line="360" w:lineRule="auto"/>
        <w:ind w:firstLine="1325" w:firstLineChars="300"/>
        <w:jc w:val="center"/>
        <w:outlineLvl w:val="9"/>
        <w:rPr>
          <w:rFonts w:hint="eastAsia" w:ascii="宋体" w:hAnsi="宋体" w:eastAsia="宋体" w:cs="宋体"/>
          <w:b/>
          <w:bCs/>
          <w:sz w:val="44"/>
        </w:rPr>
      </w:pPr>
    </w:p>
    <w:p>
      <w:pPr>
        <w:pStyle w:val="20"/>
        <w:spacing w:line="360" w:lineRule="auto"/>
        <w:ind w:firstLine="1325" w:firstLineChars="300"/>
        <w:jc w:val="center"/>
        <w:outlineLvl w:val="9"/>
        <w:rPr>
          <w:rFonts w:hint="eastAsia" w:ascii="宋体" w:hAnsi="宋体" w:eastAsia="宋体" w:cs="宋体"/>
          <w:b/>
          <w:bCs/>
          <w:sz w:val="44"/>
        </w:rPr>
      </w:pPr>
    </w:p>
    <w:p>
      <w:pPr>
        <w:pStyle w:val="20"/>
        <w:spacing w:line="360" w:lineRule="auto"/>
        <w:jc w:val="both"/>
        <w:outlineLvl w:val="9"/>
        <w:rPr>
          <w:rFonts w:hint="eastAsia" w:ascii="宋体" w:hAnsi="宋体" w:eastAsia="宋体" w:cs="宋体"/>
          <w:b/>
          <w:bCs/>
          <w:sz w:val="44"/>
        </w:rPr>
      </w:pPr>
    </w:p>
    <w:p>
      <w:pPr>
        <w:pStyle w:val="20"/>
        <w:spacing w:line="360" w:lineRule="auto"/>
        <w:ind w:firstLine="1325" w:firstLineChars="300"/>
        <w:jc w:val="center"/>
        <w:outlineLvl w:val="0"/>
        <w:rPr>
          <w:rFonts w:hint="eastAsia" w:ascii="宋体" w:hAnsi="宋体" w:eastAsia="宋体" w:cs="宋体"/>
          <w:b/>
          <w:bCs/>
          <w:sz w:val="44"/>
        </w:rPr>
      </w:pPr>
      <w:bookmarkStart w:id="502" w:name="_Toc22148"/>
      <w:r>
        <w:rPr>
          <w:rFonts w:hint="eastAsia" w:ascii="宋体" w:hAnsi="宋体" w:eastAsia="宋体" w:cs="宋体"/>
          <w:b/>
          <w:bCs/>
          <w:sz w:val="44"/>
        </w:rPr>
        <w:t>第三章  合同条款及格式</w:t>
      </w:r>
      <w:bookmarkEnd w:id="502"/>
    </w:p>
    <w:p>
      <w:pPr>
        <w:tabs>
          <w:tab w:val="left" w:pos="417"/>
        </w:tabs>
        <w:autoSpaceDE w:val="0"/>
        <w:autoSpaceDN w:val="0"/>
        <w:spacing w:line="360" w:lineRule="auto"/>
        <w:rPr>
          <w:rFonts w:hint="eastAsia" w:ascii="宋体" w:hAnsi="宋体" w:eastAsia="宋体" w:cs="宋体"/>
          <w:b/>
          <w:kern w:val="0"/>
          <w:sz w:val="30"/>
          <w:szCs w:val="30"/>
        </w:rPr>
      </w:pPr>
    </w:p>
    <w:p>
      <w:pPr>
        <w:spacing w:line="360" w:lineRule="auto"/>
        <w:rPr>
          <w:rFonts w:hint="eastAsia" w:ascii="宋体" w:hAnsi="宋体" w:eastAsia="宋体" w:cs="宋体"/>
        </w:rPr>
      </w:pPr>
    </w:p>
    <w:p>
      <w:pPr>
        <w:tabs>
          <w:tab w:val="left" w:pos="417"/>
        </w:tabs>
        <w:autoSpaceDE w:val="0"/>
        <w:autoSpaceDN w:val="0"/>
        <w:spacing w:line="360" w:lineRule="auto"/>
        <w:jc w:val="center"/>
        <w:rPr>
          <w:rFonts w:hint="eastAsia" w:ascii="宋体" w:hAnsi="宋体" w:eastAsia="宋体" w:cs="宋体"/>
          <w:b/>
          <w:kern w:val="0"/>
          <w:sz w:val="52"/>
          <w:szCs w:val="52"/>
        </w:rPr>
      </w:pPr>
      <w:r>
        <w:rPr>
          <w:rFonts w:hint="eastAsia" w:ascii="宋体" w:hAnsi="宋体" w:eastAsia="宋体" w:cs="宋体"/>
          <w:b/>
          <w:kern w:val="0"/>
          <w:sz w:val="52"/>
          <w:szCs w:val="52"/>
        </w:rPr>
        <w:t>政 府 采 购</w:t>
      </w:r>
    </w:p>
    <w:p>
      <w:pPr>
        <w:autoSpaceDE w:val="0"/>
        <w:autoSpaceDN w:val="0"/>
        <w:adjustRightInd w:val="0"/>
        <w:spacing w:line="360" w:lineRule="auto"/>
        <w:jc w:val="left"/>
        <w:rPr>
          <w:rFonts w:hint="eastAsia" w:ascii="宋体" w:hAnsi="宋体" w:eastAsia="宋体" w:cs="宋体"/>
          <w:kern w:val="0"/>
          <w:sz w:val="24"/>
        </w:rPr>
      </w:pPr>
    </w:p>
    <w:p>
      <w:pPr>
        <w:pStyle w:val="31"/>
        <w:widowControl w:val="0"/>
        <w:autoSpaceDE w:val="0"/>
        <w:autoSpaceDN w:val="0"/>
        <w:adjustRightInd w:val="0"/>
        <w:spacing w:line="360" w:lineRule="auto"/>
        <w:rPr>
          <w:rFonts w:hint="eastAsia" w:ascii="宋体" w:hAnsi="宋体" w:eastAsia="宋体" w:cs="宋体"/>
        </w:rPr>
      </w:pPr>
    </w:p>
    <w:p>
      <w:pPr>
        <w:pStyle w:val="31"/>
        <w:widowControl w:val="0"/>
        <w:autoSpaceDE w:val="0"/>
        <w:autoSpaceDN w:val="0"/>
        <w:adjustRightInd w:val="0"/>
        <w:spacing w:line="360" w:lineRule="auto"/>
        <w:rPr>
          <w:rFonts w:hint="eastAsia" w:ascii="宋体" w:hAnsi="宋体" w:eastAsia="宋体" w:cs="宋体"/>
        </w:rPr>
      </w:pPr>
    </w:p>
    <w:p>
      <w:pPr>
        <w:pStyle w:val="17"/>
        <w:spacing w:line="360" w:lineRule="auto"/>
        <w:jc w:val="center"/>
        <w:rPr>
          <w:rFonts w:hint="eastAsia" w:ascii="宋体" w:hAnsi="宋体" w:eastAsia="宋体" w:cs="宋体"/>
          <w:b w:val="0"/>
          <w:spacing w:val="60"/>
          <w:sz w:val="36"/>
          <w:szCs w:val="36"/>
          <w:u w:val="single"/>
        </w:rPr>
      </w:pPr>
    </w:p>
    <w:p>
      <w:pPr>
        <w:pStyle w:val="17"/>
        <w:spacing w:line="360" w:lineRule="auto"/>
        <w:jc w:val="center"/>
        <w:rPr>
          <w:rFonts w:hint="eastAsia" w:ascii="宋体" w:hAnsi="宋体" w:eastAsia="宋体" w:cs="宋体"/>
          <w:b w:val="0"/>
          <w:spacing w:val="60"/>
          <w:sz w:val="36"/>
          <w:szCs w:val="36"/>
          <w:u w:val="single"/>
        </w:rPr>
      </w:pPr>
      <w:r>
        <w:rPr>
          <w:rFonts w:hint="eastAsia" w:ascii="宋体" w:hAnsi="宋体" w:eastAsia="宋体" w:cs="宋体"/>
          <w:b w:val="0"/>
          <w:spacing w:val="60"/>
          <w:sz w:val="36"/>
          <w:szCs w:val="36"/>
          <w:u w:val="single"/>
        </w:rPr>
        <w:t xml:space="preserve">                     </w:t>
      </w:r>
      <w:r>
        <w:rPr>
          <w:rFonts w:hint="eastAsia" w:ascii="宋体" w:hAnsi="宋体" w:eastAsia="宋体" w:cs="宋体"/>
          <w:b w:val="0"/>
          <w:spacing w:val="60"/>
          <w:sz w:val="36"/>
          <w:szCs w:val="36"/>
        </w:rPr>
        <w:t>合同</w:t>
      </w:r>
    </w:p>
    <w:p>
      <w:pPr>
        <w:spacing w:line="360" w:lineRule="auto"/>
        <w:rPr>
          <w:rFonts w:hint="eastAsia" w:ascii="宋体" w:hAnsi="宋体" w:eastAsia="宋体" w:cs="宋体"/>
          <w:b/>
          <w:bCs/>
          <w:sz w:val="36"/>
          <w:szCs w:val="36"/>
        </w:rPr>
      </w:pPr>
    </w:p>
    <w:p>
      <w:pPr>
        <w:spacing w:line="360" w:lineRule="auto"/>
        <w:ind w:firstLine="3000" w:firstLineChars="996"/>
        <w:rPr>
          <w:rFonts w:hint="eastAsia" w:ascii="宋体" w:hAnsi="宋体" w:eastAsia="宋体" w:cs="宋体"/>
          <w:b/>
          <w:sz w:val="30"/>
          <w:szCs w:val="30"/>
        </w:rPr>
      </w:pPr>
    </w:p>
    <w:p>
      <w:pPr>
        <w:spacing w:line="360" w:lineRule="auto"/>
        <w:ind w:firstLine="3000" w:firstLineChars="996"/>
        <w:rPr>
          <w:rFonts w:hint="eastAsia" w:ascii="宋体" w:hAnsi="宋体" w:eastAsia="宋体" w:cs="宋体"/>
          <w:b/>
          <w:sz w:val="30"/>
          <w:szCs w:val="30"/>
        </w:rPr>
      </w:pPr>
      <w:r>
        <w:rPr>
          <w:rFonts w:hint="eastAsia" w:ascii="宋体" w:hAnsi="宋体" w:eastAsia="宋体" w:cs="宋体"/>
          <w:b/>
          <w:sz w:val="30"/>
          <w:szCs w:val="30"/>
        </w:rPr>
        <w:t xml:space="preserve">合同编号： </w:t>
      </w:r>
    </w:p>
    <w:p>
      <w:pPr>
        <w:autoSpaceDE w:val="0"/>
        <w:autoSpaceDN w:val="0"/>
        <w:adjustRightInd w:val="0"/>
        <w:spacing w:line="360" w:lineRule="auto"/>
        <w:jc w:val="left"/>
        <w:rPr>
          <w:rFonts w:hint="eastAsia" w:ascii="宋体" w:hAnsi="宋体" w:eastAsia="宋体" w:cs="宋体"/>
          <w:kern w:val="0"/>
          <w:sz w:val="24"/>
        </w:rPr>
      </w:pPr>
    </w:p>
    <w:p>
      <w:pPr>
        <w:autoSpaceDE w:val="0"/>
        <w:autoSpaceDN w:val="0"/>
        <w:adjustRightInd w:val="0"/>
        <w:spacing w:line="360" w:lineRule="auto"/>
        <w:jc w:val="left"/>
        <w:rPr>
          <w:rFonts w:hint="eastAsia" w:ascii="宋体" w:hAnsi="宋体" w:eastAsia="宋体" w:cs="宋体"/>
          <w:kern w:val="0"/>
        </w:rPr>
      </w:pPr>
    </w:p>
    <w:p>
      <w:pPr>
        <w:autoSpaceDE w:val="0"/>
        <w:autoSpaceDN w:val="0"/>
        <w:adjustRightInd w:val="0"/>
        <w:spacing w:line="360" w:lineRule="auto"/>
        <w:jc w:val="left"/>
        <w:rPr>
          <w:rFonts w:hint="eastAsia" w:ascii="宋体" w:hAnsi="宋体" w:eastAsia="宋体" w:cs="宋体"/>
          <w:kern w:val="0"/>
        </w:rPr>
      </w:pPr>
    </w:p>
    <w:p>
      <w:pPr>
        <w:autoSpaceDE w:val="0"/>
        <w:autoSpaceDN w:val="0"/>
        <w:adjustRightInd w:val="0"/>
        <w:spacing w:line="360" w:lineRule="auto"/>
        <w:jc w:val="left"/>
        <w:rPr>
          <w:rFonts w:hint="eastAsia" w:ascii="宋体" w:hAnsi="宋体" w:eastAsia="宋体" w:cs="宋体"/>
          <w:kern w:val="0"/>
        </w:rPr>
      </w:pPr>
    </w:p>
    <w:p>
      <w:pPr>
        <w:autoSpaceDE w:val="0"/>
        <w:autoSpaceDN w:val="0"/>
        <w:adjustRightInd w:val="0"/>
        <w:spacing w:line="360" w:lineRule="auto"/>
        <w:jc w:val="left"/>
        <w:rPr>
          <w:rFonts w:hint="eastAsia" w:ascii="宋体" w:hAnsi="宋体" w:eastAsia="宋体" w:cs="宋体"/>
          <w:kern w:val="0"/>
        </w:rPr>
      </w:pPr>
    </w:p>
    <w:p>
      <w:pPr>
        <w:autoSpaceDE w:val="0"/>
        <w:autoSpaceDN w:val="0"/>
        <w:adjustRightInd w:val="0"/>
        <w:spacing w:line="360" w:lineRule="auto"/>
        <w:jc w:val="left"/>
        <w:rPr>
          <w:rFonts w:hint="eastAsia" w:ascii="宋体" w:hAnsi="宋体" w:eastAsia="宋体" w:cs="宋体"/>
          <w:kern w:val="0"/>
        </w:rPr>
      </w:pPr>
    </w:p>
    <w:p>
      <w:pPr>
        <w:autoSpaceDE w:val="0"/>
        <w:autoSpaceDN w:val="0"/>
        <w:adjustRightInd w:val="0"/>
        <w:spacing w:line="360" w:lineRule="auto"/>
        <w:jc w:val="left"/>
        <w:rPr>
          <w:rFonts w:hint="eastAsia" w:ascii="宋体" w:hAnsi="宋体" w:eastAsia="宋体" w:cs="宋体"/>
          <w:kern w:val="0"/>
        </w:rPr>
      </w:pPr>
    </w:p>
    <w:p>
      <w:pPr>
        <w:autoSpaceDE w:val="0"/>
        <w:autoSpaceDN w:val="0"/>
        <w:adjustRightInd w:val="0"/>
        <w:spacing w:line="360" w:lineRule="auto"/>
        <w:jc w:val="left"/>
        <w:rPr>
          <w:rFonts w:hint="eastAsia" w:ascii="宋体" w:hAnsi="宋体" w:eastAsia="宋体" w:cs="宋体"/>
          <w:kern w:val="0"/>
        </w:rPr>
      </w:pPr>
      <w:r>
        <w:rPr>
          <w:rFonts w:hint="eastAsia" w:ascii="宋体" w:hAnsi="宋体" w:eastAsia="宋体" w:cs="宋体"/>
          <w:kern w:val="0"/>
        </w:rPr>
        <w:t xml:space="preserve"> </w:t>
      </w:r>
    </w:p>
    <w:p>
      <w:pPr>
        <w:autoSpaceDE w:val="0"/>
        <w:autoSpaceDN w:val="0"/>
        <w:adjustRightInd w:val="0"/>
        <w:spacing w:line="360" w:lineRule="auto"/>
        <w:ind w:firstLine="551" w:firstLineChars="196"/>
        <w:rPr>
          <w:rFonts w:hint="eastAsia" w:ascii="宋体" w:hAnsi="宋体" w:eastAsia="宋体" w:cs="宋体"/>
          <w:b/>
          <w:kern w:val="0"/>
          <w:sz w:val="28"/>
          <w:szCs w:val="28"/>
          <w:u w:val="single"/>
        </w:rPr>
      </w:pPr>
      <w:r>
        <w:rPr>
          <w:rFonts w:hint="eastAsia" w:ascii="宋体" w:hAnsi="宋体" w:eastAsia="宋体" w:cs="宋体"/>
          <w:b/>
          <w:kern w:val="0"/>
          <w:sz w:val="28"/>
          <w:szCs w:val="28"/>
        </w:rPr>
        <w:t>采  购  人：</w:t>
      </w:r>
      <w:r>
        <w:rPr>
          <w:rFonts w:hint="eastAsia" w:ascii="宋体" w:hAnsi="宋体" w:eastAsia="宋体" w:cs="宋体"/>
          <w:b/>
          <w:kern w:val="0"/>
          <w:sz w:val="28"/>
          <w:szCs w:val="28"/>
          <w:u w:val="single"/>
        </w:rPr>
        <w:t xml:space="preserve">                                         </w:t>
      </w:r>
    </w:p>
    <w:p>
      <w:pPr>
        <w:autoSpaceDE w:val="0"/>
        <w:autoSpaceDN w:val="0"/>
        <w:adjustRightInd w:val="0"/>
        <w:spacing w:line="360" w:lineRule="auto"/>
        <w:ind w:firstLine="551" w:firstLineChars="196"/>
        <w:rPr>
          <w:rFonts w:hint="eastAsia" w:ascii="宋体" w:hAnsi="宋体" w:eastAsia="宋体" w:cs="宋体"/>
          <w:b/>
          <w:kern w:val="0"/>
          <w:sz w:val="28"/>
          <w:szCs w:val="28"/>
          <w:u w:val="single"/>
        </w:rPr>
      </w:pPr>
      <w:r>
        <w:rPr>
          <w:rFonts w:hint="eastAsia" w:ascii="宋体" w:hAnsi="宋体" w:eastAsia="宋体" w:cs="宋体"/>
          <w:b/>
          <w:kern w:val="0"/>
          <w:sz w:val="28"/>
          <w:szCs w:val="28"/>
        </w:rPr>
        <w:t>成交供应商：</w:t>
      </w:r>
      <w:r>
        <w:rPr>
          <w:rFonts w:hint="eastAsia" w:ascii="宋体" w:hAnsi="宋体" w:eastAsia="宋体" w:cs="宋体"/>
          <w:b/>
          <w:kern w:val="0"/>
          <w:sz w:val="28"/>
          <w:szCs w:val="28"/>
          <w:u w:val="single"/>
        </w:rPr>
        <w:t xml:space="preserve">                                         </w:t>
      </w:r>
    </w:p>
    <w:p>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br w:type="page"/>
      </w:r>
      <w:bookmarkStart w:id="503" w:name="_Toc14144"/>
      <w:r>
        <w:rPr>
          <w:rFonts w:hint="eastAsia" w:ascii="宋体" w:hAnsi="宋体" w:eastAsia="宋体" w:cs="宋体"/>
          <w:b/>
          <w:sz w:val="36"/>
          <w:szCs w:val="36"/>
        </w:rPr>
        <w:t>目  录</w:t>
      </w:r>
      <w:bookmarkEnd w:id="503"/>
    </w:p>
    <w:p>
      <w:pPr>
        <w:tabs>
          <w:tab w:val="left" w:pos="1170"/>
        </w:tabs>
        <w:spacing w:line="360" w:lineRule="auto"/>
        <w:ind w:left="359" w:leftChars="171" w:firstLine="198" w:firstLineChars="71"/>
        <w:rPr>
          <w:rFonts w:hint="eastAsia" w:ascii="宋体" w:hAnsi="宋体" w:eastAsia="宋体" w:cs="宋体"/>
          <w:sz w:val="28"/>
        </w:rPr>
      </w:pPr>
      <w:r>
        <w:rPr>
          <w:rFonts w:hint="eastAsia" w:ascii="宋体" w:hAnsi="宋体" w:eastAsia="宋体" w:cs="宋体"/>
          <w:sz w:val="28"/>
        </w:rPr>
        <w:tab/>
      </w:r>
    </w:p>
    <w:p>
      <w:pPr>
        <w:spacing w:line="360" w:lineRule="auto"/>
        <w:outlineLvl w:val="0"/>
        <w:rPr>
          <w:rFonts w:hint="eastAsia" w:ascii="宋体" w:hAnsi="宋体" w:eastAsia="宋体" w:cs="宋体"/>
          <w:sz w:val="24"/>
        </w:rPr>
      </w:pPr>
      <w:bookmarkStart w:id="504" w:name="_Toc2085"/>
      <w:r>
        <w:rPr>
          <w:rFonts w:hint="eastAsia" w:ascii="宋体" w:hAnsi="宋体" w:eastAsia="宋体" w:cs="宋体"/>
          <w:sz w:val="24"/>
        </w:rPr>
        <w:t>一、政府采购合同书</w:t>
      </w:r>
      <w:bookmarkEnd w:id="504"/>
      <w:r>
        <w:rPr>
          <w:rFonts w:hint="eastAsia" w:ascii="宋体" w:hAnsi="宋体" w:eastAsia="宋体" w:cs="宋体"/>
          <w:sz w:val="24"/>
        </w:rPr>
        <w:t xml:space="preserve"> </w:t>
      </w:r>
    </w:p>
    <w:p>
      <w:pPr>
        <w:spacing w:line="360" w:lineRule="auto"/>
        <w:outlineLvl w:val="0"/>
        <w:rPr>
          <w:rFonts w:hint="eastAsia" w:ascii="宋体" w:hAnsi="宋体" w:eastAsia="宋体" w:cs="宋体"/>
          <w:sz w:val="24"/>
        </w:rPr>
      </w:pPr>
      <w:bookmarkStart w:id="505" w:name="_Toc10584"/>
      <w:r>
        <w:rPr>
          <w:rFonts w:hint="eastAsia" w:ascii="宋体" w:hAnsi="宋体" w:eastAsia="宋体" w:cs="宋体"/>
          <w:sz w:val="24"/>
        </w:rPr>
        <w:t>二、补充协议（如有请提供）</w:t>
      </w:r>
      <w:bookmarkEnd w:id="505"/>
    </w:p>
    <w:p>
      <w:pPr>
        <w:spacing w:line="360" w:lineRule="auto"/>
        <w:outlineLvl w:val="0"/>
        <w:rPr>
          <w:rFonts w:hint="eastAsia" w:ascii="宋体" w:hAnsi="宋体" w:eastAsia="宋体" w:cs="宋体"/>
          <w:sz w:val="24"/>
        </w:rPr>
      </w:pPr>
      <w:bookmarkStart w:id="506" w:name="_Toc646"/>
      <w:r>
        <w:rPr>
          <w:rFonts w:hint="eastAsia" w:ascii="宋体" w:hAnsi="宋体" w:eastAsia="宋体" w:cs="宋体"/>
          <w:sz w:val="24"/>
        </w:rPr>
        <w:t>三、合同附件</w:t>
      </w:r>
      <w:bookmarkEnd w:id="506"/>
    </w:p>
    <w:p>
      <w:pPr>
        <w:pStyle w:val="2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1.成交通知书</w:t>
      </w:r>
    </w:p>
    <w:p>
      <w:pPr>
        <w:pStyle w:val="2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2.竞争性磋商采购文件项目需求和说明</w:t>
      </w:r>
    </w:p>
    <w:p>
      <w:pPr>
        <w:pStyle w:val="2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3.竞争性磋商采购文件的澄清和修改（如有请提供）</w:t>
      </w:r>
    </w:p>
    <w:p>
      <w:pPr>
        <w:pStyle w:val="2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4.磋商报价函</w:t>
      </w:r>
    </w:p>
    <w:p>
      <w:pPr>
        <w:pStyle w:val="2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5.最后报价表</w:t>
      </w:r>
    </w:p>
    <w:p>
      <w:pPr>
        <w:pStyle w:val="2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6.磋商记录等</w:t>
      </w:r>
    </w:p>
    <w:p>
      <w:pPr>
        <w:pStyle w:val="2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7.其他与本合同相关的资料（如有请提供）</w:t>
      </w:r>
    </w:p>
    <w:p>
      <w:pPr>
        <w:pStyle w:val="20"/>
        <w:spacing w:line="360" w:lineRule="auto"/>
        <w:ind w:firstLine="480" w:firstLineChars="200"/>
        <w:rPr>
          <w:rFonts w:hint="eastAsia" w:ascii="宋体" w:hAnsi="宋体" w:eastAsia="宋体" w:cs="宋体"/>
          <w:sz w:val="24"/>
          <w:szCs w:val="24"/>
        </w:rPr>
      </w:pPr>
    </w:p>
    <w:p>
      <w:pPr>
        <w:pStyle w:val="20"/>
        <w:spacing w:line="360" w:lineRule="auto"/>
        <w:ind w:firstLine="480" w:firstLineChars="200"/>
        <w:rPr>
          <w:rFonts w:hint="eastAsia" w:ascii="宋体" w:hAnsi="宋体" w:eastAsia="宋体" w:cs="宋体"/>
          <w:sz w:val="24"/>
          <w:szCs w:val="24"/>
        </w:rPr>
      </w:pPr>
    </w:p>
    <w:p>
      <w:pPr>
        <w:pStyle w:val="20"/>
        <w:spacing w:line="360" w:lineRule="auto"/>
        <w:ind w:firstLine="480" w:firstLineChars="200"/>
        <w:rPr>
          <w:rFonts w:hint="eastAsia" w:ascii="宋体" w:hAnsi="宋体" w:eastAsia="宋体" w:cs="宋体"/>
          <w:sz w:val="24"/>
          <w:szCs w:val="24"/>
        </w:rPr>
      </w:pPr>
    </w:p>
    <w:p>
      <w:pPr>
        <w:pStyle w:val="20"/>
        <w:spacing w:line="360" w:lineRule="auto"/>
        <w:ind w:firstLine="480" w:firstLineChars="200"/>
        <w:rPr>
          <w:rFonts w:hint="eastAsia" w:ascii="宋体" w:hAnsi="宋体" w:eastAsia="宋体" w:cs="宋体"/>
          <w:sz w:val="24"/>
          <w:szCs w:val="24"/>
        </w:rPr>
      </w:pPr>
    </w:p>
    <w:p>
      <w:pPr>
        <w:pStyle w:val="20"/>
        <w:spacing w:line="360" w:lineRule="auto"/>
        <w:ind w:firstLine="480" w:firstLineChars="200"/>
        <w:rPr>
          <w:rFonts w:hint="eastAsia" w:ascii="宋体" w:hAnsi="宋体" w:eastAsia="宋体" w:cs="宋体"/>
          <w:sz w:val="24"/>
          <w:szCs w:val="24"/>
        </w:rPr>
      </w:pPr>
    </w:p>
    <w:p>
      <w:pPr>
        <w:pStyle w:val="20"/>
        <w:spacing w:line="360" w:lineRule="auto"/>
        <w:ind w:firstLine="480" w:firstLineChars="200"/>
        <w:rPr>
          <w:rFonts w:hint="eastAsia" w:ascii="宋体" w:hAnsi="宋体" w:eastAsia="宋体" w:cs="宋体"/>
          <w:sz w:val="24"/>
          <w:szCs w:val="24"/>
        </w:rPr>
      </w:pPr>
    </w:p>
    <w:p>
      <w:pPr>
        <w:pStyle w:val="20"/>
        <w:spacing w:line="360" w:lineRule="auto"/>
        <w:ind w:firstLine="480" w:firstLineChars="200"/>
        <w:rPr>
          <w:rFonts w:hint="eastAsia" w:ascii="宋体" w:hAnsi="宋体" w:eastAsia="宋体" w:cs="宋体"/>
          <w:sz w:val="24"/>
          <w:szCs w:val="24"/>
        </w:rPr>
      </w:pPr>
    </w:p>
    <w:p>
      <w:pPr>
        <w:pStyle w:val="20"/>
        <w:spacing w:line="360" w:lineRule="auto"/>
        <w:ind w:firstLine="480" w:firstLineChars="200"/>
        <w:rPr>
          <w:rFonts w:hint="eastAsia" w:ascii="宋体" w:hAnsi="宋体" w:eastAsia="宋体" w:cs="宋体"/>
          <w:sz w:val="24"/>
          <w:szCs w:val="24"/>
        </w:rPr>
      </w:pPr>
    </w:p>
    <w:p>
      <w:pPr>
        <w:pStyle w:val="20"/>
        <w:spacing w:line="360" w:lineRule="auto"/>
        <w:ind w:firstLine="480" w:firstLineChars="200"/>
        <w:rPr>
          <w:rFonts w:hint="eastAsia" w:ascii="宋体" w:hAnsi="宋体" w:eastAsia="宋体" w:cs="宋体"/>
          <w:sz w:val="24"/>
          <w:szCs w:val="24"/>
        </w:rPr>
      </w:pPr>
    </w:p>
    <w:p>
      <w:pPr>
        <w:pStyle w:val="20"/>
        <w:spacing w:line="360" w:lineRule="auto"/>
        <w:ind w:firstLine="480" w:firstLineChars="200"/>
        <w:rPr>
          <w:rFonts w:hint="eastAsia" w:ascii="宋体" w:hAnsi="宋体" w:eastAsia="宋体" w:cs="宋体"/>
          <w:sz w:val="24"/>
          <w:szCs w:val="24"/>
        </w:rPr>
      </w:pPr>
    </w:p>
    <w:p>
      <w:pPr>
        <w:pStyle w:val="20"/>
        <w:spacing w:line="360" w:lineRule="auto"/>
        <w:ind w:firstLine="480" w:firstLineChars="200"/>
        <w:rPr>
          <w:rFonts w:hint="eastAsia" w:ascii="宋体" w:hAnsi="宋体" w:eastAsia="宋体" w:cs="宋体"/>
          <w:sz w:val="24"/>
          <w:szCs w:val="24"/>
        </w:rPr>
      </w:pPr>
    </w:p>
    <w:p>
      <w:pPr>
        <w:pStyle w:val="20"/>
        <w:spacing w:line="360" w:lineRule="auto"/>
        <w:ind w:firstLine="480" w:firstLineChars="200"/>
        <w:rPr>
          <w:rFonts w:hint="eastAsia" w:ascii="宋体" w:hAnsi="宋体" w:eastAsia="宋体" w:cs="宋体"/>
          <w:sz w:val="24"/>
          <w:szCs w:val="24"/>
        </w:rPr>
      </w:pPr>
    </w:p>
    <w:p>
      <w:pPr>
        <w:pStyle w:val="20"/>
        <w:spacing w:line="360" w:lineRule="auto"/>
        <w:ind w:firstLine="480" w:firstLineChars="200"/>
        <w:rPr>
          <w:rFonts w:hint="eastAsia" w:ascii="宋体" w:hAnsi="宋体" w:eastAsia="宋体" w:cs="宋体"/>
          <w:sz w:val="24"/>
          <w:szCs w:val="24"/>
        </w:rPr>
      </w:pPr>
    </w:p>
    <w:p>
      <w:pPr>
        <w:pStyle w:val="20"/>
        <w:spacing w:line="360" w:lineRule="auto"/>
        <w:ind w:firstLine="480" w:firstLineChars="200"/>
        <w:rPr>
          <w:rFonts w:hint="eastAsia" w:ascii="宋体" w:hAnsi="宋体" w:eastAsia="宋体" w:cs="宋体"/>
          <w:sz w:val="24"/>
          <w:szCs w:val="24"/>
        </w:rPr>
      </w:pPr>
    </w:p>
    <w:p>
      <w:pPr>
        <w:pStyle w:val="20"/>
        <w:spacing w:line="360" w:lineRule="auto"/>
        <w:ind w:firstLine="480" w:firstLineChars="200"/>
        <w:rPr>
          <w:rFonts w:hint="eastAsia" w:ascii="宋体" w:hAnsi="宋体" w:eastAsia="宋体" w:cs="宋体"/>
          <w:sz w:val="24"/>
          <w:szCs w:val="24"/>
        </w:rPr>
      </w:pPr>
    </w:p>
    <w:p>
      <w:pPr>
        <w:pStyle w:val="20"/>
        <w:spacing w:line="360" w:lineRule="auto"/>
        <w:ind w:firstLine="480" w:firstLineChars="200"/>
        <w:rPr>
          <w:rFonts w:hint="eastAsia" w:ascii="宋体" w:hAnsi="宋体" w:eastAsia="宋体" w:cs="宋体"/>
          <w:sz w:val="24"/>
          <w:szCs w:val="24"/>
        </w:rPr>
      </w:pPr>
    </w:p>
    <w:p>
      <w:pPr>
        <w:pStyle w:val="20"/>
        <w:spacing w:line="360" w:lineRule="auto"/>
        <w:ind w:firstLine="480" w:firstLineChars="200"/>
        <w:rPr>
          <w:rFonts w:hint="eastAsia" w:ascii="宋体" w:hAnsi="宋体" w:eastAsia="宋体" w:cs="宋体"/>
          <w:sz w:val="24"/>
          <w:szCs w:val="24"/>
        </w:rPr>
      </w:pPr>
    </w:p>
    <w:p>
      <w:pPr>
        <w:pStyle w:val="20"/>
        <w:spacing w:line="360" w:lineRule="auto"/>
        <w:ind w:firstLine="480" w:firstLineChars="200"/>
        <w:rPr>
          <w:rFonts w:hint="eastAsia" w:ascii="宋体" w:hAnsi="宋体" w:eastAsia="宋体" w:cs="宋体"/>
          <w:sz w:val="24"/>
          <w:szCs w:val="24"/>
        </w:rPr>
      </w:pPr>
    </w:p>
    <w:p>
      <w:pPr>
        <w:pStyle w:val="20"/>
        <w:spacing w:line="360" w:lineRule="auto"/>
        <w:ind w:firstLine="480" w:firstLineChars="200"/>
        <w:rPr>
          <w:rFonts w:hint="eastAsia" w:ascii="宋体" w:hAnsi="宋体" w:eastAsia="宋体" w:cs="宋体"/>
          <w:sz w:val="24"/>
          <w:szCs w:val="24"/>
        </w:rPr>
      </w:pPr>
    </w:p>
    <w:p>
      <w:pPr>
        <w:pStyle w:val="20"/>
        <w:spacing w:line="360" w:lineRule="auto"/>
        <w:ind w:firstLine="480" w:firstLineChars="200"/>
        <w:rPr>
          <w:rFonts w:hint="eastAsia" w:ascii="宋体" w:hAnsi="宋体" w:eastAsia="宋体" w:cs="宋体"/>
          <w:sz w:val="24"/>
          <w:szCs w:val="24"/>
        </w:rPr>
      </w:pPr>
    </w:p>
    <w:p>
      <w:pPr>
        <w:spacing w:line="360" w:lineRule="auto"/>
        <w:jc w:val="center"/>
        <w:rPr>
          <w:rFonts w:hint="eastAsia" w:ascii="宋体" w:hAnsi="宋体" w:eastAsia="宋体" w:cs="宋体"/>
          <w:b/>
          <w:bCs/>
          <w:sz w:val="30"/>
          <w:szCs w:val="30"/>
        </w:rPr>
      </w:pPr>
      <w:r>
        <w:rPr>
          <w:rFonts w:hint="eastAsia" w:ascii="宋体" w:hAnsi="宋体" w:eastAsia="宋体" w:cs="宋体"/>
          <w:b/>
          <w:sz w:val="30"/>
          <w:szCs w:val="30"/>
        </w:rPr>
        <w:t>服务采购合同书（格式）</w:t>
      </w:r>
    </w:p>
    <w:p>
      <w:pPr>
        <w:pStyle w:val="20"/>
        <w:spacing w:line="360" w:lineRule="auto"/>
        <w:rPr>
          <w:rFonts w:hint="eastAsia" w:ascii="宋体" w:hAnsi="宋体" w:eastAsia="宋体" w:cs="宋体"/>
        </w:rPr>
      </w:pPr>
    </w:p>
    <w:p>
      <w:pPr>
        <w:pStyle w:val="20"/>
        <w:spacing w:line="440" w:lineRule="exact"/>
        <w:rPr>
          <w:rFonts w:hint="eastAsia" w:ascii="宋体" w:hAnsi="宋体" w:eastAsia="宋体" w:cs="宋体"/>
          <w:sz w:val="21"/>
          <w:szCs w:val="21"/>
        </w:rPr>
      </w:pPr>
      <w:r>
        <w:rPr>
          <w:rFonts w:hint="eastAsia" w:ascii="宋体" w:hAnsi="宋体" w:eastAsia="宋体" w:cs="宋体"/>
          <w:sz w:val="21"/>
          <w:szCs w:val="21"/>
        </w:rPr>
        <w:t>合同名称：</w:t>
      </w:r>
      <w:r>
        <w:rPr>
          <w:rFonts w:hint="eastAsia" w:ascii="宋体" w:hAnsi="宋体" w:eastAsia="宋体" w:cs="宋体"/>
          <w:sz w:val="21"/>
          <w:szCs w:val="21"/>
          <w:u w:val="single"/>
        </w:rPr>
        <w:t xml:space="preserve">                                                                           </w:t>
      </w:r>
    </w:p>
    <w:p>
      <w:pPr>
        <w:pStyle w:val="20"/>
        <w:spacing w:line="440" w:lineRule="exact"/>
        <w:rPr>
          <w:rFonts w:hint="eastAsia" w:ascii="宋体" w:hAnsi="宋体" w:eastAsia="宋体" w:cs="宋体"/>
          <w:sz w:val="21"/>
          <w:szCs w:val="21"/>
        </w:rPr>
      </w:pPr>
      <w:r>
        <w:rPr>
          <w:rFonts w:hint="eastAsia" w:ascii="宋体" w:hAnsi="宋体" w:eastAsia="宋体" w:cs="宋体"/>
          <w:sz w:val="21"/>
          <w:szCs w:val="21"/>
        </w:rPr>
        <w:t>合同编号：</w:t>
      </w:r>
      <w:r>
        <w:rPr>
          <w:rFonts w:hint="eastAsia" w:ascii="宋体" w:hAnsi="宋体" w:eastAsia="宋体" w:cs="宋体"/>
          <w:sz w:val="21"/>
          <w:szCs w:val="21"/>
          <w:u w:val="single"/>
        </w:rPr>
        <w:t xml:space="preserve">                                        </w:t>
      </w:r>
    </w:p>
    <w:p>
      <w:pPr>
        <w:pStyle w:val="20"/>
        <w:spacing w:line="440" w:lineRule="exact"/>
        <w:rPr>
          <w:rFonts w:hint="eastAsia" w:ascii="宋体" w:hAnsi="宋体" w:eastAsia="宋体" w:cs="宋体"/>
          <w:sz w:val="21"/>
          <w:szCs w:val="21"/>
        </w:rPr>
      </w:pPr>
      <w:r>
        <w:rPr>
          <w:rFonts w:hint="eastAsia" w:ascii="宋体" w:hAnsi="宋体" w:eastAsia="宋体" w:cs="宋体"/>
          <w:sz w:val="21"/>
          <w:szCs w:val="21"/>
        </w:rPr>
        <w:t>分标号（有分标时填写）：</w:t>
      </w:r>
      <w:r>
        <w:rPr>
          <w:rFonts w:hint="eastAsia" w:ascii="宋体" w:hAnsi="宋体" w:eastAsia="宋体" w:cs="宋体"/>
          <w:sz w:val="21"/>
          <w:szCs w:val="21"/>
          <w:u w:val="single"/>
        </w:rPr>
        <w:t xml:space="preserve">                           </w:t>
      </w:r>
    </w:p>
    <w:p>
      <w:pPr>
        <w:pStyle w:val="20"/>
        <w:spacing w:line="440" w:lineRule="exact"/>
        <w:rPr>
          <w:rFonts w:hint="eastAsia" w:ascii="宋体" w:hAnsi="宋体" w:eastAsia="宋体" w:cs="宋体"/>
          <w:sz w:val="21"/>
          <w:szCs w:val="21"/>
        </w:rPr>
      </w:pPr>
      <w:r>
        <w:rPr>
          <w:rFonts w:hint="eastAsia" w:ascii="宋体" w:hAnsi="宋体" w:eastAsia="宋体" w:cs="宋体"/>
          <w:sz w:val="21"/>
          <w:szCs w:val="21"/>
        </w:rPr>
        <w:t>政府采购计划编号：</w:t>
      </w:r>
      <w:r>
        <w:rPr>
          <w:rFonts w:hint="eastAsia" w:ascii="宋体" w:hAnsi="宋体" w:eastAsia="宋体" w:cs="宋体"/>
          <w:sz w:val="21"/>
          <w:szCs w:val="21"/>
          <w:u w:val="single"/>
        </w:rPr>
        <w:t xml:space="preserve">                           </w:t>
      </w:r>
    </w:p>
    <w:p>
      <w:pPr>
        <w:pStyle w:val="20"/>
        <w:spacing w:line="440" w:lineRule="exact"/>
        <w:rPr>
          <w:rFonts w:hint="eastAsia" w:ascii="宋体" w:hAnsi="宋体" w:eastAsia="宋体" w:cs="宋体"/>
          <w:sz w:val="21"/>
          <w:szCs w:val="21"/>
        </w:rPr>
      </w:pPr>
      <w:r>
        <w:rPr>
          <w:rFonts w:hint="eastAsia" w:ascii="宋体" w:hAnsi="宋体" w:eastAsia="宋体" w:cs="宋体"/>
          <w:sz w:val="21"/>
          <w:szCs w:val="21"/>
        </w:rPr>
        <w:t xml:space="preserve">采购人（甲方）： </w:t>
      </w:r>
      <w:r>
        <w:rPr>
          <w:rFonts w:hint="eastAsia" w:ascii="宋体" w:hAnsi="宋体" w:eastAsia="宋体" w:cs="宋体"/>
          <w:sz w:val="21"/>
          <w:szCs w:val="21"/>
          <w:u w:val="single"/>
        </w:rPr>
        <w:t xml:space="preserve">                                                                   </w:t>
      </w:r>
    </w:p>
    <w:p>
      <w:pPr>
        <w:pStyle w:val="20"/>
        <w:spacing w:line="440" w:lineRule="exact"/>
        <w:rPr>
          <w:rFonts w:hint="eastAsia" w:ascii="宋体" w:hAnsi="宋体" w:eastAsia="宋体" w:cs="宋体"/>
          <w:b/>
          <w:sz w:val="21"/>
          <w:szCs w:val="21"/>
        </w:rPr>
      </w:pPr>
      <w:r>
        <w:rPr>
          <w:rFonts w:hint="eastAsia" w:ascii="宋体" w:hAnsi="宋体" w:eastAsia="宋体" w:cs="宋体"/>
          <w:sz w:val="21"/>
          <w:szCs w:val="21"/>
        </w:rPr>
        <w:t>成交供应商（乙方）：</w:t>
      </w:r>
      <w:r>
        <w:rPr>
          <w:rFonts w:hint="eastAsia" w:ascii="宋体" w:hAnsi="宋体" w:eastAsia="宋体" w:cs="宋体"/>
          <w:b/>
          <w:sz w:val="21"/>
          <w:szCs w:val="21"/>
        </w:rPr>
        <w:t xml:space="preserve"> </w:t>
      </w:r>
      <w:r>
        <w:rPr>
          <w:rFonts w:hint="eastAsia" w:ascii="宋体" w:hAnsi="宋体" w:eastAsia="宋体" w:cs="宋体"/>
          <w:sz w:val="21"/>
          <w:szCs w:val="21"/>
          <w:u w:val="single"/>
        </w:rPr>
        <w:t xml:space="preserve">                                                               </w:t>
      </w:r>
    </w:p>
    <w:p>
      <w:pPr>
        <w:pStyle w:val="20"/>
        <w:spacing w:line="440" w:lineRule="exact"/>
        <w:ind w:firstLine="420" w:firstLineChars="200"/>
        <w:rPr>
          <w:rFonts w:hint="eastAsia" w:ascii="宋体" w:hAnsi="宋体" w:eastAsia="宋体" w:cs="宋体"/>
          <w:b/>
          <w:sz w:val="21"/>
          <w:szCs w:val="21"/>
        </w:rPr>
      </w:pPr>
      <w:r>
        <w:rPr>
          <w:rFonts w:hint="eastAsia" w:ascii="宋体" w:hAnsi="宋体" w:eastAsia="宋体" w:cs="宋体"/>
          <w:sz w:val="21"/>
          <w:szCs w:val="21"/>
        </w:rPr>
        <w:t>根据</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日采购项目的采购结果，甲方接受乙方对本项目的响应并经磋商，甲、乙双方同意签署本合同（以下简称合同）。</w:t>
      </w:r>
    </w:p>
    <w:p>
      <w:pPr>
        <w:pStyle w:val="20"/>
        <w:spacing w:line="440" w:lineRule="exact"/>
        <w:rPr>
          <w:rFonts w:hint="eastAsia" w:ascii="宋体" w:hAnsi="宋体" w:eastAsia="宋体" w:cs="宋体"/>
          <w:b/>
          <w:sz w:val="21"/>
          <w:szCs w:val="21"/>
        </w:rPr>
      </w:pPr>
    </w:p>
    <w:p>
      <w:pPr>
        <w:pStyle w:val="20"/>
        <w:spacing w:line="440" w:lineRule="exact"/>
        <w:rPr>
          <w:rFonts w:hint="eastAsia" w:ascii="宋体" w:hAnsi="宋体" w:eastAsia="宋体" w:cs="宋体"/>
          <w:b/>
          <w:bCs/>
          <w:sz w:val="21"/>
          <w:szCs w:val="21"/>
        </w:rPr>
      </w:pPr>
      <w:r>
        <w:rPr>
          <w:rFonts w:hint="eastAsia" w:ascii="宋体" w:hAnsi="宋体" w:eastAsia="宋体" w:cs="宋体"/>
          <w:b/>
          <w:bCs/>
          <w:sz w:val="21"/>
          <w:szCs w:val="21"/>
        </w:rPr>
        <w:t>1.  中标（成交）内容</w:t>
      </w:r>
    </w:p>
    <w:p>
      <w:pPr>
        <w:pStyle w:val="20"/>
        <w:tabs>
          <w:tab w:val="left" w:pos="5220"/>
        </w:tabs>
        <w:spacing w:line="44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1.1 服务名称：</w:t>
      </w:r>
      <w:r>
        <w:rPr>
          <w:rFonts w:hint="eastAsia" w:ascii="宋体" w:hAnsi="宋体" w:eastAsia="宋体" w:cs="宋体"/>
          <w:sz w:val="21"/>
          <w:szCs w:val="21"/>
          <w:u w:val="single"/>
        </w:rPr>
        <w:t xml:space="preserve">详见合同附件中最后报价表   </w:t>
      </w:r>
    </w:p>
    <w:p>
      <w:pPr>
        <w:pStyle w:val="20"/>
        <w:tabs>
          <w:tab w:val="left" w:pos="5220"/>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 数量：</w:t>
      </w:r>
      <w:r>
        <w:rPr>
          <w:rFonts w:hint="eastAsia" w:ascii="宋体" w:hAnsi="宋体" w:eastAsia="宋体" w:cs="宋体"/>
          <w:sz w:val="21"/>
          <w:szCs w:val="21"/>
          <w:u w:val="single"/>
        </w:rPr>
        <w:t xml:space="preserve">详见合同附件中最后报价表   </w:t>
      </w:r>
    </w:p>
    <w:p>
      <w:pPr>
        <w:pStyle w:val="20"/>
        <w:tabs>
          <w:tab w:val="left" w:pos="5145"/>
        </w:tabs>
        <w:spacing w:line="440" w:lineRule="exact"/>
        <w:rPr>
          <w:rFonts w:hint="eastAsia" w:ascii="宋体" w:hAnsi="宋体" w:eastAsia="宋体" w:cs="宋体"/>
          <w:b/>
          <w:bCs/>
          <w:sz w:val="21"/>
          <w:szCs w:val="21"/>
        </w:rPr>
      </w:pPr>
      <w:r>
        <w:rPr>
          <w:rFonts w:hint="eastAsia" w:ascii="宋体" w:hAnsi="宋体" w:eastAsia="宋体" w:cs="宋体"/>
          <w:b/>
          <w:bCs/>
          <w:sz w:val="21"/>
          <w:szCs w:val="21"/>
        </w:rPr>
        <w:t>2.  合同金额</w:t>
      </w:r>
    </w:p>
    <w:p>
      <w:pPr>
        <w:pStyle w:val="20"/>
        <w:spacing w:line="440" w:lineRule="exact"/>
        <w:ind w:firstLine="411" w:firstLineChars="196"/>
        <w:rPr>
          <w:rFonts w:hint="eastAsia" w:ascii="宋体" w:hAnsi="宋体" w:eastAsia="宋体" w:cs="宋体"/>
          <w:sz w:val="21"/>
          <w:szCs w:val="21"/>
          <w:u w:val="single"/>
        </w:rPr>
      </w:pPr>
      <w:r>
        <w:rPr>
          <w:rFonts w:hint="eastAsia" w:ascii="宋体" w:hAnsi="宋体" w:eastAsia="宋体" w:cs="宋体"/>
          <w:sz w:val="21"/>
          <w:szCs w:val="21"/>
        </w:rPr>
        <w:t>2.1 本合同金额为（大写）人民币</w:t>
      </w:r>
      <w:r>
        <w:rPr>
          <w:rFonts w:hint="eastAsia" w:ascii="宋体" w:hAnsi="宋体" w:eastAsia="宋体" w:cs="宋体"/>
          <w:sz w:val="21"/>
          <w:szCs w:val="21"/>
          <w:u w:val="single"/>
        </w:rPr>
        <w:t xml:space="preserve">                                             </w:t>
      </w:r>
    </w:p>
    <w:p>
      <w:pPr>
        <w:pStyle w:val="20"/>
        <w:spacing w:line="440" w:lineRule="exact"/>
        <w:ind w:firstLine="411" w:firstLineChars="196"/>
        <w:rPr>
          <w:rFonts w:hint="eastAsia" w:ascii="宋体" w:hAnsi="宋体" w:eastAsia="宋体" w:cs="宋体"/>
          <w:sz w:val="21"/>
          <w:szCs w:val="21"/>
          <w:u w:val="single"/>
        </w:rPr>
      </w:pP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pPr>
        <w:pStyle w:val="20"/>
        <w:tabs>
          <w:tab w:val="left" w:pos="5940"/>
        </w:tabs>
        <w:spacing w:line="440" w:lineRule="exact"/>
        <w:rPr>
          <w:rFonts w:hint="eastAsia" w:ascii="宋体" w:hAnsi="宋体" w:eastAsia="宋体" w:cs="宋体"/>
          <w:b/>
          <w:bCs/>
          <w:sz w:val="21"/>
          <w:szCs w:val="21"/>
        </w:rPr>
      </w:pPr>
      <w:r>
        <w:rPr>
          <w:rFonts w:hint="eastAsia" w:ascii="宋体" w:hAnsi="宋体" w:eastAsia="宋体" w:cs="宋体"/>
          <w:b/>
          <w:bCs/>
          <w:sz w:val="21"/>
          <w:szCs w:val="21"/>
        </w:rPr>
        <w:t>3.  合同履行期限和地点</w:t>
      </w:r>
    </w:p>
    <w:p>
      <w:pPr>
        <w:pStyle w:val="20"/>
        <w:tabs>
          <w:tab w:val="left" w:pos="5250"/>
          <w:tab w:val="left" w:pos="5940"/>
        </w:tabs>
        <w:spacing w:line="440" w:lineRule="exact"/>
        <w:ind w:firstLine="411" w:firstLineChars="196"/>
        <w:rPr>
          <w:rFonts w:hint="eastAsia" w:ascii="宋体" w:hAnsi="宋体" w:eastAsia="宋体" w:cs="宋体"/>
          <w:sz w:val="21"/>
          <w:szCs w:val="21"/>
          <w:u w:val="single"/>
        </w:rPr>
      </w:pPr>
      <w:r>
        <w:rPr>
          <w:rFonts w:hint="eastAsia" w:ascii="宋体" w:hAnsi="宋体" w:eastAsia="宋体" w:cs="宋体"/>
          <w:bCs/>
          <w:sz w:val="21"/>
          <w:szCs w:val="21"/>
        </w:rPr>
        <w:t>3.1 合同履行期限：</w:t>
      </w:r>
      <w:r>
        <w:rPr>
          <w:rFonts w:hint="eastAsia" w:ascii="宋体" w:hAnsi="宋体" w:eastAsia="宋体" w:cs="宋体"/>
          <w:sz w:val="21"/>
          <w:szCs w:val="21"/>
          <w:u w:val="single"/>
        </w:rPr>
        <w:t xml:space="preserve">                                                             </w:t>
      </w:r>
    </w:p>
    <w:p>
      <w:pPr>
        <w:pStyle w:val="20"/>
        <w:tabs>
          <w:tab w:val="left" w:pos="5250"/>
          <w:tab w:val="left" w:pos="5940"/>
        </w:tabs>
        <w:spacing w:line="440" w:lineRule="exact"/>
        <w:ind w:firstLine="411" w:firstLineChars="196"/>
        <w:rPr>
          <w:rFonts w:hint="eastAsia" w:ascii="宋体" w:hAnsi="宋体" w:eastAsia="宋体" w:cs="宋体"/>
          <w:b/>
          <w:bCs/>
          <w:sz w:val="21"/>
          <w:szCs w:val="21"/>
        </w:rPr>
      </w:pPr>
      <w:r>
        <w:rPr>
          <w:rFonts w:hint="eastAsia" w:ascii="宋体" w:hAnsi="宋体" w:eastAsia="宋体" w:cs="宋体"/>
          <w:sz w:val="21"/>
          <w:szCs w:val="21"/>
          <w:u w:val="single"/>
        </w:rPr>
        <w:t xml:space="preserve">                                                                                   </w:t>
      </w:r>
    </w:p>
    <w:p>
      <w:pPr>
        <w:pStyle w:val="20"/>
        <w:tabs>
          <w:tab w:val="left" w:pos="5940"/>
        </w:tabs>
        <w:spacing w:line="440" w:lineRule="exact"/>
        <w:ind w:firstLine="411" w:firstLineChars="196"/>
        <w:rPr>
          <w:rFonts w:hint="eastAsia" w:ascii="宋体" w:hAnsi="宋体" w:eastAsia="宋体" w:cs="宋体"/>
          <w:b/>
          <w:bCs/>
          <w:sz w:val="21"/>
          <w:szCs w:val="21"/>
        </w:rPr>
      </w:pPr>
      <w:r>
        <w:rPr>
          <w:rFonts w:hint="eastAsia" w:ascii="宋体" w:hAnsi="宋体" w:eastAsia="宋体" w:cs="宋体"/>
          <w:bCs/>
          <w:sz w:val="21"/>
          <w:szCs w:val="21"/>
        </w:rPr>
        <w:t>3.2 提交服务成果地点：</w:t>
      </w:r>
      <w:r>
        <w:rPr>
          <w:rFonts w:hint="eastAsia" w:ascii="宋体" w:hAnsi="宋体" w:eastAsia="宋体" w:cs="宋体"/>
          <w:sz w:val="21"/>
          <w:szCs w:val="21"/>
          <w:u w:val="single"/>
        </w:rPr>
        <w:t xml:space="preserve">                                                             </w:t>
      </w:r>
    </w:p>
    <w:p>
      <w:pPr>
        <w:pStyle w:val="20"/>
        <w:tabs>
          <w:tab w:val="left" w:pos="5940"/>
        </w:tabs>
        <w:spacing w:line="440" w:lineRule="exact"/>
        <w:ind w:firstLine="411" w:firstLineChars="196"/>
        <w:rPr>
          <w:rFonts w:hint="eastAsia" w:ascii="宋体" w:hAnsi="宋体" w:eastAsia="宋体" w:cs="宋体"/>
          <w:b/>
          <w:bCs/>
          <w:sz w:val="21"/>
          <w:szCs w:val="21"/>
        </w:rPr>
      </w:pPr>
      <w:r>
        <w:rPr>
          <w:rFonts w:hint="eastAsia" w:ascii="宋体" w:hAnsi="宋体" w:eastAsia="宋体" w:cs="宋体"/>
          <w:bCs/>
          <w:sz w:val="21"/>
          <w:szCs w:val="21"/>
        </w:rPr>
        <w:t xml:space="preserve">3.3 </w:t>
      </w:r>
      <w:r>
        <w:rPr>
          <w:rFonts w:hint="eastAsia" w:ascii="宋体" w:hAnsi="宋体" w:eastAsia="宋体" w:cs="宋体"/>
          <w:sz w:val="21"/>
          <w:szCs w:val="21"/>
        </w:rPr>
        <w:t>乙方必须按响应文件承诺的服务响应条款向甲方提供服务。</w:t>
      </w:r>
    </w:p>
    <w:p>
      <w:pPr>
        <w:pStyle w:val="20"/>
        <w:spacing w:line="440" w:lineRule="exact"/>
        <w:ind w:left="412" w:hanging="361" w:hangingChars="171"/>
        <w:rPr>
          <w:rFonts w:hint="eastAsia" w:ascii="宋体" w:hAnsi="宋体" w:eastAsia="宋体" w:cs="宋体"/>
          <w:b/>
          <w:sz w:val="21"/>
          <w:szCs w:val="21"/>
        </w:rPr>
      </w:pPr>
      <w:r>
        <w:rPr>
          <w:rFonts w:hint="eastAsia" w:ascii="宋体" w:hAnsi="宋体" w:eastAsia="宋体" w:cs="宋体"/>
          <w:b/>
          <w:bCs/>
          <w:sz w:val="21"/>
          <w:szCs w:val="21"/>
        </w:rPr>
        <w:t>5.  产权</w:t>
      </w:r>
    </w:p>
    <w:p>
      <w:pPr>
        <w:pStyle w:val="20"/>
        <w:spacing w:line="440" w:lineRule="exact"/>
        <w:ind w:firstLine="420" w:firstLineChars="200"/>
        <w:rPr>
          <w:rFonts w:hint="eastAsia" w:ascii="宋体" w:hAnsi="宋体" w:eastAsia="宋体" w:cs="宋体"/>
          <w:b/>
          <w:sz w:val="21"/>
          <w:szCs w:val="21"/>
        </w:rPr>
      </w:pPr>
      <w:r>
        <w:rPr>
          <w:rFonts w:hint="eastAsia" w:ascii="宋体" w:hAnsi="宋体" w:eastAsia="宋体" w:cs="宋体"/>
          <w:sz w:val="21"/>
          <w:szCs w:val="21"/>
        </w:rPr>
        <w:t>5.1 乙方应保证所提供的服务或其任何一部分均不侵犯任何第三方的专利权、商标权、著作权及其它权利</w:t>
      </w:r>
      <w:r>
        <w:rPr>
          <w:rFonts w:hint="eastAsia" w:ascii="宋体" w:hAnsi="宋体" w:eastAsia="宋体" w:cs="宋体"/>
          <w:bCs/>
          <w:sz w:val="21"/>
          <w:szCs w:val="21"/>
        </w:rPr>
        <w:t>。</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5.2 乙方保证所交付服务成果的所有权在交付甲方前完全属于乙方、未被任何第三方采取法律行动追索且无任何抵押、查封等产权瑕疵。服务成果交付甲方后，该成果所有权属于甲方，未经甲方书面同意，乙方或该服务成果的实际完成人不得自己使用或者许可第三方使用该成果。如乙方所交付服务有产权瑕疵的，视为乙方违约，按照本合同第11.3项的约定处理。但在已经全部支付完合同款后才发现有产权瑕疵的，乙方除了支付违约金还应负担甲方由此产生的一切损失。</w:t>
      </w:r>
    </w:p>
    <w:p>
      <w:pPr>
        <w:pStyle w:val="20"/>
        <w:spacing w:line="440" w:lineRule="exact"/>
        <w:ind w:firstLine="420" w:firstLineChars="200"/>
        <w:rPr>
          <w:rFonts w:hint="eastAsia" w:ascii="宋体" w:hAnsi="宋体" w:eastAsia="宋体" w:cs="宋体"/>
          <w:b/>
          <w:sz w:val="21"/>
          <w:szCs w:val="21"/>
        </w:rPr>
      </w:pPr>
      <w:r>
        <w:rPr>
          <w:rFonts w:hint="eastAsia" w:ascii="宋体" w:hAnsi="宋体" w:eastAsia="宋体" w:cs="宋体"/>
          <w:sz w:val="21"/>
          <w:szCs w:val="21"/>
        </w:rPr>
        <w:t>5.2乙方所交付的服务成果的整体署名权属于甲方，乙方对此表示同意并确保实际完成该服务成果的人员对此不持异议。实际完成该服务成果的人员可以作为编写者在服务成果的序文中载明。</w:t>
      </w:r>
    </w:p>
    <w:p>
      <w:pPr>
        <w:pStyle w:val="20"/>
        <w:spacing w:line="440" w:lineRule="exact"/>
        <w:rPr>
          <w:rFonts w:hint="eastAsia" w:ascii="宋体" w:hAnsi="宋体" w:eastAsia="宋体" w:cs="宋体"/>
          <w:b/>
          <w:sz w:val="21"/>
          <w:szCs w:val="21"/>
        </w:rPr>
      </w:pPr>
      <w:r>
        <w:rPr>
          <w:rFonts w:hint="eastAsia" w:ascii="宋体" w:hAnsi="宋体" w:eastAsia="宋体" w:cs="宋体"/>
          <w:b/>
          <w:bCs/>
          <w:sz w:val="21"/>
          <w:szCs w:val="21"/>
        </w:rPr>
        <w:t>6.  技术资料</w:t>
      </w:r>
    </w:p>
    <w:p>
      <w:pPr>
        <w:pStyle w:val="20"/>
        <w:tabs>
          <w:tab w:val="left" w:pos="0"/>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6.1 甲方应向乙方提供提交服务成果所必需的有关数据、资料等。</w:t>
      </w:r>
    </w:p>
    <w:p>
      <w:pPr>
        <w:pStyle w:val="20"/>
        <w:tabs>
          <w:tab w:val="left" w:pos="0"/>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0"/>
        <w:spacing w:line="440" w:lineRule="exact"/>
        <w:rPr>
          <w:rFonts w:hint="eastAsia" w:ascii="宋体" w:hAnsi="宋体" w:eastAsia="宋体" w:cs="宋体"/>
          <w:b/>
          <w:bCs/>
          <w:sz w:val="21"/>
          <w:szCs w:val="21"/>
        </w:rPr>
      </w:pPr>
      <w:r>
        <w:rPr>
          <w:rFonts w:hint="eastAsia" w:ascii="宋体" w:hAnsi="宋体" w:eastAsia="宋体" w:cs="宋体"/>
          <w:b/>
          <w:bCs/>
          <w:sz w:val="21"/>
          <w:szCs w:val="21"/>
        </w:rPr>
        <w:t>7.  验收</w:t>
      </w:r>
    </w:p>
    <w:p>
      <w:pPr>
        <w:pStyle w:val="20"/>
        <w:tabs>
          <w:tab w:val="left" w:pos="0"/>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7.1 乙方应对提交的服务成果作出全面检查和整理，并列出清单，作为甲方验收和使用的技术条件依据，清单应随提交的服务成果交给甲方。</w:t>
      </w:r>
    </w:p>
    <w:p>
      <w:pPr>
        <w:pStyle w:val="20"/>
        <w:tabs>
          <w:tab w:val="left" w:pos="0"/>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7.2 乙方在指定地点提交服务成果后，甲方应在五个工作日内依据本合同、采购文件、乙方的响应文件等组织验收，验收完毕后作出书面验收报告。验收时乙方必须在现场。</w:t>
      </w:r>
    </w:p>
    <w:p>
      <w:pPr>
        <w:pStyle w:val="20"/>
        <w:tabs>
          <w:tab w:val="left" w:pos="0"/>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7.3 对复杂的服务，甲方可请国家认可的专业机构参与验收，并由其出具验收报告，相关费用由甲方承担。</w:t>
      </w:r>
    </w:p>
    <w:p>
      <w:pPr>
        <w:pStyle w:val="20"/>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8 .履约保证金</w:t>
      </w:r>
    </w:p>
    <w:p>
      <w:pPr>
        <w:pStyle w:val="20"/>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无。</w:t>
      </w:r>
    </w:p>
    <w:p>
      <w:pPr>
        <w:pStyle w:val="20"/>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9.  合同款支付</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9.1 付款方式：合同生效以及具备实施条件后15日内，甲方向乙方支付合同金额30%的预付款，软件安装部署，试运行稳定后，甲方向乙方支付合同金额的50%；验收合格之后，甲方向乙方支付合同金额的20%；乙方收到合同款后5个工作日内开具发票给采购方。</w:t>
      </w:r>
    </w:p>
    <w:p>
      <w:pPr>
        <w:pStyle w:val="20"/>
        <w:keepNext w:val="0"/>
        <w:keepLines w:val="0"/>
        <w:pageBreakBefore w:val="0"/>
        <w:tabs>
          <w:tab w:val="left" w:pos="5145"/>
          <w:tab w:val="left" w:pos="5355"/>
          <w:tab w:val="left" w:pos="619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u w:val="single"/>
        </w:rPr>
      </w:pPr>
      <w:r>
        <w:rPr>
          <w:rFonts w:hint="eastAsia" w:ascii="宋体" w:hAnsi="宋体" w:eastAsia="宋体" w:cs="宋体"/>
          <w:sz w:val="21"/>
          <w:szCs w:val="21"/>
        </w:rPr>
        <w:t>9.2政府采购监督管理部门在处理投诉事项期间，可以视具体情况书面通知采购人暂停采购活动</w:t>
      </w:r>
      <w:r>
        <w:rPr>
          <w:rFonts w:hint="eastAsia" w:ascii="宋体" w:hAnsi="宋体" w:eastAsia="宋体" w:cs="宋体"/>
          <w:bCs/>
          <w:sz w:val="21"/>
          <w:szCs w:val="21"/>
        </w:rPr>
        <w:t>，并延期支付合同款。</w:t>
      </w:r>
    </w:p>
    <w:p>
      <w:pPr>
        <w:pStyle w:val="20"/>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10.  售后服务要求</w:t>
      </w:r>
    </w:p>
    <w:p>
      <w:pPr>
        <w:pStyle w:val="20"/>
        <w:tabs>
          <w:tab w:val="left" w:pos="5250"/>
        </w:tabs>
        <w:spacing w:line="44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10.1 乙方提供的售后服务要求：</w:t>
      </w:r>
      <w:r>
        <w:rPr>
          <w:rFonts w:hint="eastAsia" w:ascii="宋体" w:hAnsi="宋体" w:eastAsia="宋体" w:cs="宋体"/>
          <w:sz w:val="21"/>
          <w:szCs w:val="21"/>
          <w:u w:val="single"/>
        </w:rPr>
        <w:t xml:space="preserve">                                                                </w:t>
      </w:r>
    </w:p>
    <w:p>
      <w:pPr>
        <w:pStyle w:val="20"/>
        <w:spacing w:line="440" w:lineRule="exact"/>
        <w:rPr>
          <w:rFonts w:hint="eastAsia" w:ascii="宋体" w:hAnsi="宋体" w:eastAsia="宋体" w:cs="宋体"/>
          <w:b/>
          <w:bCs/>
          <w:sz w:val="21"/>
          <w:szCs w:val="21"/>
        </w:rPr>
      </w:pPr>
      <w:r>
        <w:rPr>
          <w:rFonts w:hint="eastAsia" w:ascii="宋体" w:hAnsi="宋体" w:eastAsia="宋体" w:cs="宋体"/>
          <w:b/>
          <w:bCs/>
          <w:sz w:val="21"/>
          <w:szCs w:val="21"/>
        </w:rPr>
        <w:t>11.  违约责任</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11.1 甲方无正当理由拒收服务的，甲方向乙方偿付拒收服务费总值的百分之五违约金。</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11.2 甲方无故逾期验收或办理合同款支付手续的，甲方应按逾期付款总额每日万分之五向乙方支付违约金。</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20"/>
        <w:spacing w:line="440" w:lineRule="exact"/>
        <w:rPr>
          <w:rFonts w:hint="eastAsia" w:ascii="宋体" w:hAnsi="宋体" w:eastAsia="宋体" w:cs="宋体"/>
          <w:b/>
          <w:bCs/>
          <w:sz w:val="21"/>
          <w:szCs w:val="21"/>
        </w:rPr>
      </w:pPr>
      <w:r>
        <w:rPr>
          <w:rFonts w:hint="eastAsia" w:ascii="宋体" w:hAnsi="宋体" w:eastAsia="宋体" w:cs="宋体"/>
          <w:b/>
          <w:bCs/>
          <w:sz w:val="21"/>
          <w:szCs w:val="21"/>
        </w:rPr>
        <w:t>12.  不可抗力事件处理</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12.1 在合同有效期内，任何一方因不可抗力事件导致不能履行合同，则合同履行期可延长，其延长期与不可抗力影响期相同。</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12.2 不可抗力事件发生后，应立即通知对方，并寄送有关权威机构出具的证明。</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12.3 不可抗力事件延续120天以上，双方应通过友好协商，确定是否继续履行合同。</w:t>
      </w:r>
    </w:p>
    <w:p>
      <w:pPr>
        <w:pStyle w:val="20"/>
        <w:spacing w:line="440" w:lineRule="exact"/>
        <w:rPr>
          <w:rFonts w:hint="eastAsia" w:ascii="宋体" w:hAnsi="宋体" w:eastAsia="宋体" w:cs="宋体"/>
          <w:b/>
          <w:bCs/>
          <w:sz w:val="21"/>
          <w:szCs w:val="21"/>
        </w:rPr>
      </w:pPr>
      <w:r>
        <w:rPr>
          <w:rFonts w:hint="eastAsia" w:ascii="宋体" w:hAnsi="宋体" w:eastAsia="宋体" w:cs="宋体"/>
          <w:b/>
          <w:bCs/>
          <w:sz w:val="21"/>
          <w:szCs w:val="21"/>
        </w:rPr>
        <w:t>13.  诉讼</w:t>
      </w:r>
    </w:p>
    <w:p>
      <w:pPr>
        <w:pStyle w:val="20"/>
        <w:tabs>
          <w:tab w:val="left" w:pos="0"/>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13.1 双方在执行合同中所发生的一切争议，应通过协商解决。如协商不成，可向合同签订地法院起诉，合同签订地在此约定为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20"/>
        <w:spacing w:line="440" w:lineRule="exact"/>
        <w:rPr>
          <w:rFonts w:hint="eastAsia" w:ascii="宋体" w:hAnsi="宋体" w:eastAsia="宋体" w:cs="宋体"/>
          <w:b/>
          <w:bCs/>
          <w:sz w:val="21"/>
          <w:szCs w:val="21"/>
        </w:rPr>
      </w:pPr>
      <w:r>
        <w:rPr>
          <w:rFonts w:hint="eastAsia" w:ascii="宋体" w:hAnsi="宋体" w:eastAsia="宋体" w:cs="宋体"/>
          <w:b/>
          <w:bCs/>
          <w:sz w:val="21"/>
          <w:szCs w:val="21"/>
        </w:rPr>
        <w:t>14.  合同生效及其它</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14.1 合同经双方法定代表人或授权委托代理人签字并加盖单位公章后生效。</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14.2下述合同附件为本合同不可分割的部分，与本合同约定不一致的，以本合同为准：</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（1）成交通知书</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（2）竞争性磋商采购文件项目需求和说明</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（3）竞争性磋商采购文件的澄清和修改（如有请提供）</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（4）磋商报价函</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（5）最后报价表</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（6）磋商记录等</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（7）其他与本合同相关的资料（如有请提供）</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14.3 本合同未尽事宜，遵照《中华人民共和国合同法》有关条文执行。</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14.4本合同正本一式两份，具有同等法律效力，甲乙双方各执一份；副本两份，采购代理机构存副本一份，并报同级政府采购监督管理部门备案副本一份。</w:t>
      </w:r>
    </w:p>
    <w:p>
      <w:pPr>
        <w:pStyle w:val="20"/>
        <w:spacing w:line="440" w:lineRule="exact"/>
        <w:rPr>
          <w:rFonts w:hint="eastAsia" w:ascii="宋体" w:hAnsi="宋体" w:eastAsia="宋体" w:cs="宋体"/>
          <w:sz w:val="21"/>
          <w:szCs w:val="21"/>
          <w:u w:val="single"/>
        </w:rPr>
      </w:pPr>
      <w:r>
        <w:rPr>
          <w:rFonts w:hint="eastAsia" w:ascii="宋体" w:hAnsi="宋体" w:eastAsia="宋体" w:cs="宋体"/>
          <w:sz w:val="21"/>
          <w:szCs w:val="21"/>
        </w:rPr>
        <w:t>甲方：</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乙方：</w:t>
      </w:r>
      <w:r>
        <w:rPr>
          <w:rFonts w:hint="eastAsia" w:ascii="宋体" w:hAnsi="宋体" w:eastAsia="宋体" w:cs="宋体"/>
          <w:sz w:val="21"/>
          <w:szCs w:val="21"/>
          <w:u w:val="single"/>
        </w:rPr>
        <w:t xml:space="preserve">                                    </w:t>
      </w:r>
    </w:p>
    <w:p>
      <w:pPr>
        <w:pStyle w:val="20"/>
        <w:spacing w:line="440" w:lineRule="exact"/>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地址：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pStyle w:val="20"/>
        <w:spacing w:line="440" w:lineRule="exact"/>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法定代表人：</w:t>
      </w:r>
      <w:r>
        <w:rPr>
          <w:rFonts w:hint="eastAsia" w:ascii="宋体" w:hAnsi="宋体" w:eastAsia="宋体" w:cs="宋体"/>
          <w:sz w:val="21"/>
          <w:szCs w:val="21"/>
          <w:u w:val="single"/>
        </w:rPr>
        <w:t xml:space="preserve">                              </w:t>
      </w:r>
    </w:p>
    <w:p>
      <w:pPr>
        <w:pStyle w:val="20"/>
        <w:spacing w:line="440" w:lineRule="exact"/>
        <w:rPr>
          <w:rFonts w:hint="eastAsia" w:ascii="宋体" w:hAnsi="宋体" w:eastAsia="宋体" w:cs="宋体"/>
          <w:sz w:val="21"/>
          <w:szCs w:val="21"/>
        </w:rPr>
      </w:pPr>
      <w:r>
        <w:rPr>
          <w:rFonts w:hint="eastAsia" w:ascii="宋体" w:hAnsi="宋体" w:eastAsia="宋体" w:cs="宋体"/>
          <w:sz w:val="21"/>
          <w:szCs w:val="21"/>
        </w:rPr>
        <w:t>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委托代理人：</w:t>
      </w:r>
      <w:r>
        <w:rPr>
          <w:rFonts w:hint="eastAsia" w:ascii="宋体" w:hAnsi="宋体" w:eastAsia="宋体" w:cs="宋体"/>
          <w:sz w:val="21"/>
          <w:szCs w:val="21"/>
          <w:u w:val="single"/>
        </w:rPr>
        <w:t xml:space="preserve">                              </w:t>
      </w:r>
    </w:p>
    <w:p>
      <w:pPr>
        <w:pStyle w:val="20"/>
        <w:spacing w:line="440" w:lineRule="exact"/>
        <w:rPr>
          <w:rFonts w:hint="eastAsia" w:ascii="宋体" w:hAnsi="宋体" w:eastAsia="宋体" w:cs="宋体"/>
          <w:sz w:val="21"/>
          <w:szCs w:val="21"/>
        </w:rPr>
      </w:pPr>
      <w:r>
        <w:rPr>
          <w:rFonts w:hint="eastAsia" w:ascii="宋体" w:hAnsi="宋体" w:eastAsia="宋体" w:cs="宋体"/>
          <w:sz w:val="21"/>
          <w:szCs w:val="21"/>
        </w:rPr>
        <w:t>电话：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电话：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pStyle w:val="20"/>
        <w:spacing w:line="440" w:lineRule="exact"/>
        <w:rPr>
          <w:rFonts w:hint="eastAsia" w:ascii="宋体" w:hAnsi="宋体" w:eastAsia="宋体" w:cs="宋体"/>
          <w:sz w:val="21"/>
          <w:szCs w:val="21"/>
        </w:rPr>
      </w:pPr>
      <w:r>
        <w:rPr>
          <w:rFonts w:hint="eastAsia" w:ascii="宋体" w:hAnsi="宋体" w:eastAsia="宋体" w:cs="宋体"/>
          <w:sz w:val="21"/>
          <w:szCs w:val="21"/>
        </w:rPr>
        <w:t>传真：</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传真：</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pStyle w:val="20"/>
        <w:spacing w:line="440" w:lineRule="exact"/>
        <w:rPr>
          <w:rFonts w:hint="eastAsia" w:ascii="宋体" w:hAnsi="宋体" w:eastAsia="宋体" w:cs="宋体"/>
          <w:sz w:val="21"/>
          <w:szCs w:val="21"/>
        </w:rPr>
      </w:pPr>
      <w:r>
        <w:rPr>
          <w:rFonts w:hint="eastAsia" w:ascii="宋体" w:hAnsi="宋体" w:eastAsia="宋体" w:cs="宋体"/>
          <w:sz w:val="21"/>
          <w:szCs w:val="21"/>
        </w:rPr>
        <w:t>邮政编码：</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邮政编码：</w:t>
      </w:r>
      <w:r>
        <w:rPr>
          <w:rFonts w:hint="eastAsia" w:ascii="宋体" w:hAnsi="宋体" w:eastAsia="宋体" w:cs="宋体"/>
          <w:sz w:val="21"/>
          <w:szCs w:val="21"/>
          <w:u w:val="single"/>
        </w:rPr>
        <w:t xml:space="preserve">                                </w:t>
      </w:r>
    </w:p>
    <w:p>
      <w:pPr>
        <w:pStyle w:val="20"/>
        <w:spacing w:line="440" w:lineRule="exact"/>
        <w:rPr>
          <w:rFonts w:hint="eastAsia" w:ascii="宋体" w:hAnsi="宋体" w:eastAsia="宋体" w:cs="宋体"/>
          <w:sz w:val="21"/>
          <w:szCs w:val="21"/>
          <w:u w:val="single"/>
        </w:rPr>
      </w:pPr>
      <w:r>
        <w:rPr>
          <w:rFonts w:hint="eastAsia" w:ascii="宋体" w:hAnsi="宋体" w:eastAsia="宋体" w:cs="宋体"/>
          <w:sz w:val="21"/>
          <w:szCs w:val="21"/>
        </w:rPr>
        <w:t xml:space="preserve">                                              开户银行：</w:t>
      </w:r>
      <w:r>
        <w:rPr>
          <w:rFonts w:hint="eastAsia" w:ascii="宋体" w:hAnsi="宋体" w:eastAsia="宋体" w:cs="宋体"/>
          <w:sz w:val="21"/>
          <w:szCs w:val="21"/>
          <w:u w:val="single"/>
        </w:rPr>
        <w:t xml:space="preserve">                                </w:t>
      </w:r>
    </w:p>
    <w:p>
      <w:pPr>
        <w:pStyle w:val="20"/>
        <w:spacing w:line="440" w:lineRule="exact"/>
        <w:rPr>
          <w:rFonts w:hint="eastAsia" w:ascii="宋体" w:hAnsi="宋体" w:eastAsia="宋体" w:cs="宋体"/>
          <w:sz w:val="21"/>
          <w:szCs w:val="21"/>
          <w:u w:val="single"/>
        </w:rPr>
      </w:pPr>
      <w:r>
        <w:rPr>
          <w:rFonts w:hint="eastAsia" w:ascii="宋体" w:hAnsi="宋体" w:eastAsia="宋体" w:cs="宋体"/>
          <w:sz w:val="21"/>
          <w:szCs w:val="21"/>
        </w:rPr>
        <w:t xml:space="preserve">                                              开户名称：</w:t>
      </w:r>
      <w:r>
        <w:rPr>
          <w:rFonts w:hint="eastAsia" w:ascii="宋体" w:hAnsi="宋体" w:eastAsia="宋体" w:cs="宋体"/>
          <w:sz w:val="21"/>
          <w:szCs w:val="21"/>
          <w:u w:val="single"/>
        </w:rPr>
        <w:t xml:space="preserve">                                </w:t>
      </w:r>
    </w:p>
    <w:p>
      <w:pPr>
        <w:pStyle w:val="20"/>
        <w:spacing w:line="440" w:lineRule="exact"/>
        <w:rPr>
          <w:rFonts w:hint="eastAsia" w:ascii="宋体" w:hAnsi="宋体" w:eastAsia="宋体" w:cs="宋体"/>
          <w:sz w:val="21"/>
          <w:szCs w:val="21"/>
          <w:u w:val="single"/>
        </w:rPr>
      </w:pPr>
      <w:r>
        <w:rPr>
          <w:rFonts w:hint="eastAsia" w:ascii="宋体" w:hAnsi="宋体" w:eastAsia="宋体" w:cs="宋体"/>
          <w:sz w:val="21"/>
          <w:szCs w:val="21"/>
        </w:rPr>
        <w:t xml:space="preserve">                                              银行账号：</w:t>
      </w:r>
      <w:r>
        <w:rPr>
          <w:rFonts w:hint="eastAsia" w:ascii="宋体" w:hAnsi="宋体" w:eastAsia="宋体" w:cs="宋体"/>
          <w:sz w:val="21"/>
          <w:szCs w:val="21"/>
          <w:u w:val="single"/>
        </w:rPr>
        <w:t xml:space="preserve">                                </w:t>
      </w:r>
    </w:p>
    <w:p>
      <w:pPr>
        <w:snapToGrid w:val="0"/>
        <w:spacing w:line="440" w:lineRule="exact"/>
        <w:jc w:val="center"/>
        <w:outlineLvl w:val="0"/>
        <w:rPr>
          <w:rFonts w:hint="eastAsia" w:ascii="宋体" w:hAnsi="宋体" w:eastAsia="宋体" w:cs="宋体"/>
          <w:b/>
          <w:bCs/>
          <w:sz w:val="21"/>
          <w:szCs w:val="21"/>
        </w:rPr>
      </w:pPr>
      <w:bookmarkStart w:id="507" w:name="_Toc5979"/>
      <w:r>
        <w:rPr>
          <w:rFonts w:hint="eastAsia" w:ascii="宋体" w:hAnsi="宋体" w:eastAsia="宋体" w:cs="宋体"/>
          <w:sz w:val="21"/>
          <w:szCs w:val="21"/>
        </w:rPr>
        <w:t>合同签订日期：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         合同签订地点：</w:t>
      </w:r>
      <w:bookmarkEnd w:id="507"/>
      <w:r>
        <w:rPr>
          <w:rFonts w:hint="eastAsia" w:ascii="宋体" w:hAnsi="宋体" w:eastAsia="宋体" w:cs="宋体"/>
          <w:b/>
          <w:bCs/>
          <w:sz w:val="21"/>
          <w:szCs w:val="21"/>
        </w:rPr>
        <w:t xml:space="preserve"> </w:t>
      </w:r>
    </w:p>
    <w:p>
      <w:pPr>
        <w:pStyle w:val="20"/>
        <w:spacing w:line="360" w:lineRule="auto"/>
        <w:rPr>
          <w:rFonts w:hint="eastAsia" w:ascii="宋体" w:hAnsi="宋体" w:eastAsia="宋体" w:cs="宋体"/>
          <w:sz w:val="21"/>
          <w:szCs w:val="21"/>
        </w:rPr>
      </w:pPr>
    </w:p>
    <w:p>
      <w:pPr>
        <w:pStyle w:val="20"/>
        <w:spacing w:line="360" w:lineRule="auto"/>
        <w:ind w:firstLine="420" w:firstLineChars="200"/>
        <w:rPr>
          <w:rFonts w:hint="eastAsia" w:ascii="宋体" w:hAnsi="宋体" w:eastAsia="宋体" w:cs="宋体"/>
          <w:sz w:val="21"/>
          <w:szCs w:val="21"/>
        </w:rPr>
      </w:pPr>
    </w:p>
    <w:p>
      <w:pPr>
        <w:spacing w:line="360" w:lineRule="auto"/>
        <w:ind w:firstLine="1581" w:firstLineChars="750"/>
        <w:outlineLvl w:val="9"/>
        <w:rPr>
          <w:rFonts w:hint="eastAsia" w:ascii="宋体" w:hAnsi="宋体" w:eastAsia="宋体" w:cs="宋体"/>
          <w:b/>
          <w:sz w:val="21"/>
          <w:szCs w:val="21"/>
        </w:rPr>
      </w:pPr>
    </w:p>
    <w:p>
      <w:pPr>
        <w:pStyle w:val="2"/>
        <w:rPr>
          <w:rFonts w:hint="eastAsia" w:ascii="宋体" w:hAnsi="宋体" w:eastAsia="宋体" w:cs="宋体"/>
          <w:b/>
          <w:sz w:val="21"/>
          <w:szCs w:val="21"/>
        </w:rPr>
      </w:pPr>
    </w:p>
    <w:p>
      <w:pPr>
        <w:rPr>
          <w:rFonts w:hint="eastAsia" w:ascii="宋体" w:hAnsi="宋体" w:eastAsia="宋体" w:cs="宋体"/>
          <w:b/>
          <w:sz w:val="21"/>
          <w:szCs w:val="21"/>
        </w:rPr>
      </w:pPr>
    </w:p>
    <w:p>
      <w:pPr>
        <w:pStyle w:val="2"/>
        <w:rPr>
          <w:rFonts w:hint="eastAsia"/>
        </w:rPr>
      </w:pPr>
    </w:p>
    <w:p>
      <w:pPr>
        <w:spacing w:line="360" w:lineRule="auto"/>
        <w:ind w:firstLine="3463" w:firstLineChars="1150"/>
        <w:jc w:val="both"/>
        <w:outlineLvl w:val="0"/>
        <w:rPr>
          <w:rFonts w:hint="eastAsia" w:ascii="宋体" w:hAnsi="宋体" w:eastAsia="宋体" w:cs="宋体"/>
          <w:b/>
          <w:sz w:val="30"/>
          <w:szCs w:val="30"/>
        </w:rPr>
      </w:pPr>
      <w:bookmarkStart w:id="508" w:name="_Toc13233"/>
      <w:r>
        <w:rPr>
          <w:rFonts w:hint="eastAsia" w:ascii="宋体" w:hAnsi="宋体" w:eastAsia="宋体" w:cs="宋体"/>
          <w:b/>
          <w:sz w:val="30"/>
          <w:szCs w:val="30"/>
        </w:rPr>
        <w:t>第四章 评审办法</w:t>
      </w:r>
      <w:bookmarkEnd w:id="508"/>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综合评分法</w:t>
      </w:r>
    </w:p>
    <w:p>
      <w:pPr>
        <w:spacing w:line="360" w:lineRule="auto"/>
        <w:ind w:firstLine="422" w:firstLineChars="200"/>
        <w:jc w:val="center"/>
        <w:rPr>
          <w:rFonts w:hint="eastAsia" w:ascii="宋体" w:hAnsi="宋体" w:eastAsia="宋体" w:cs="宋体"/>
          <w:b/>
          <w:sz w:val="21"/>
          <w:szCs w:val="21"/>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一、磋商小组组成：本采购项目的磋商小组分别由依法组成的评审专家、采购人代表等三人组成，其中专家人数不少于成员总数的三分之二。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二、磋商小组以</w:t>
      </w:r>
      <w:r>
        <w:rPr>
          <w:rFonts w:hint="eastAsia" w:ascii="宋体" w:hAnsi="宋体" w:eastAsia="宋体" w:cs="宋体"/>
          <w:sz w:val="21"/>
          <w:szCs w:val="21"/>
          <w:lang w:eastAsia="zh-CN"/>
        </w:rPr>
        <w:t>竞争性磋商采购文件</w:t>
      </w:r>
      <w:r>
        <w:rPr>
          <w:rFonts w:hint="eastAsia" w:ascii="宋体" w:hAnsi="宋体" w:eastAsia="宋体" w:cs="宋体"/>
          <w:sz w:val="21"/>
          <w:szCs w:val="21"/>
        </w:rPr>
        <w:t>为依据，对响应文件进行评审，对供应商的商务文件和技术文件两部分内容按百分制打分，其中价格分10分，技术分77分、信誉业绩分13。</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三、评分细则：（按四舍五入取至小数点后两位）</w:t>
      </w:r>
    </w:p>
    <w:p>
      <w:pPr>
        <w:spacing w:line="44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（一）价格分………………………………………………………………………………10分</w:t>
      </w:r>
    </w:p>
    <w:p>
      <w:pPr>
        <w:pStyle w:val="105"/>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1.磋商报价有效范围：为磋商总报价低于或等于</w:t>
      </w:r>
      <w:r>
        <w:rPr>
          <w:rFonts w:hint="eastAsia" w:ascii="宋体" w:hAnsi="宋体" w:eastAsia="宋体" w:cs="宋体"/>
          <w:kern w:val="2"/>
          <w:sz w:val="21"/>
          <w:szCs w:val="21"/>
          <w:highlight w:val="none"/>
        </w:rPr>
        <w:t>预算金额，</w:t>
      </w:r>
      <w:r>
        <w:rPr>
          <w:rFonts w:hint="eastAsia" w:ascii="宋体" w:hAnsi="宋体" w:eastAsia="宋体" w:cs="宋体"/>
          <w:kern w:val="2"/>
          <w:sz w:val="21"/>
          <w:szCs w:val="21"/>
        </w:rPr>
        <w:t>且经</w:t>
      </w:r>
      <w:r>
        <w:rPr>
          <w:rFonts w:hint="eastAsia" w:ascii="宋体" w:hAnsi="宋体" w:eastAsia="宋体" w:cs="宋体"/>
          <w:sz w:val="21"/>
          <w:szCs w:val="21"/>
        </w:rPr>
        <w:t>磋商小组</w:t>
      </w:r>
      <w:r>
        <w:rPr>
          <w:rFonts w:hint="eastAsia" w:ascii="宋体" w:hAnsi="宋体" w:eastAsia="宋体" w:cs="宋体"/>
          <w:kern w:val="2"/>
          <w:sz w:val="21"/>
          <w:szCs w:val="21"/>
        </w:rPr>
        <w:t>审定为合理的磋商报价。磋商报价不在有效报价范围内的，报价无效，不再进行详细评审。</w:t>
      </w:r>
    </w:p>
    <w:p>
      <w:pPr>
        <w:pStyle w:val="105"/>
        <w:snapToGrid w:val="0"/>
        <w:spacing w:line="440" w:lineRule="exact"/>
        <w:ind w:firstLine="357"/>
        <w:rPr>
          <w:rFonts w:hint="eastAsia" w:ascii="宋体" w:hAnsi="宋体" w:eastAsia="宋体" w:cs="宋体"/>
          <w:kern w:val="2"/>
          <w:sz w:val="21"/>
          <w:szCs w:val="21"/>
        </w:rPr>
      </w:pPr>
      <w:r>
        <w:rPr>
          <w:rFonts w:hint="eastAsia" w:ascii="宋体" w:hAnsi="宋体" w:eastAsia="宋体" w:cs="宋体"/>
          <w:kern w:val="2"/>
          <w:sz w:val="21"/>
          <w:szCs w:val="21"/>
        </w:rPr>
        <w:t>2.报价合理性评审：</w:t>
      </w:r>
      <w:r>
        <w:rPr>
          <w:rFonts w:hint="eastAsia" w:ascii="宋体" w:hAnsi="宋体" w:eastAsia="宋体" w:cs="宋体"/>
          <w:sz w:val="21"/>
          <w:szCs w:val="21"/>
        </w:rPr>
        <w:t>磋商小组</w:t>
      </w:r>
      <w:r>
        <w:rPr>
          <w:rFonts w:hint="eastAsia" w:ascii="宋体" w:hAnsi="宋体" w:eastAsia="宋体" w:cs="宋体"/>
          <w:kern w:val="2"/>
          <w:sz w:val="21"/>
          <w:szCs w:val="21"/>
        </w:rPr>
        <w:t>认为供应商的报价明显低于其他供应商的报价，有可能影响服务质量或者不能诚信履约的，应当要求其在</w:t>
      </w:r>
      <w:r>
        <w:rPr>
          <w:rFonts w:hint="eastAsia" w:ascii="宋体" w:hAnsi="宋体" w:eastAsia="宋体" w:cs="宋体"/>
          <w:sz w:val="21"/>
          <w:szCs w:val="21"/>
        </w:rPr>
        <w:t>磋商</w:t>
      </w:r>
      <w:r>
        <w:rPr>
          <w:rFonts w:hint="eastAsia" w:ascii="宋体" w:hAnsi="宋体" w:eastAsia="宋体" w:cs="宋体"/>
          <w:kern w:val="2"/>
          <w:sz w:val="21"/>
          <w:szCs w:val="21"/>
        </w:rPr>
        <w:t>现场合理的时间内提供书面说明，必要时提交相关证明材料；供应商不能证明其报价合理性的，</w:t>
      </w:r>
      <w:r>
        <w:rPr>
          <w:rFonts w:hint="eastAsia" w:ascii="宋体" w:hAnsi="宋体" w:eastAsia="宋体" w:cs="宋体"/>
          <w:sz w:val="21"/>
          <w:szCs w:val="21"/>
        </w:rPr>
        <w:t>磋商小组</w:t>
      </w:r>
      <w:r>
        <w:rPr>
          <w:rFonts w:hint="eastAsia" w:ascii="宋体" w:hAnsi="宋体" w:eastAsia="宋体" w:cs="宋体"/>
          <w:kern w:val="2"/>
          <w:sz w:val="21"/>
          <w:szCs w:val="21"/>
        </w:rPr>
        <w:t>应当将其作为无效投标处理。</w:t>
      </w:r>
    </w:p>
    <w:p>
      <w:pPr>
        <w:pStyle w:val="20"/>
        <w:spacing w:line="440" w:lineRule="exact"/>
        <w:ind w:firstLine="315" w:firstLineChars="150"/>
        <w:rPr>
          <w:rFonts w:hint="eastAsia" w:ascii="宋体" w:hAnsi="宋体" w:eastAsia="宋体" w:cs="宋体"/>
          <w:sz w:val="21"/>
          <w:szCs w:val="21"/>
        </w:rPr>
      </w:pPr>
      <w:r>
        <w:rPr>
          <w:rFonts w:hint="eastAsia" w:ascii="宋体" w:hAnsi="宋体" w:eastAsia="宋体" w:cs="宋体"/>
          <w:sz w:val="21"/>
          <w:szCs w:val="21"/>
        </w:rPr>
        <w:t>3.按《政府采购促进中小企业发展暂行办法》（财库[2011]181号）认定为小型和微型企业提供服务的（以竞争性磋商响应文件提供的符合规定有关证明材料为准），对其最后磋商报价给予10%的扣除，扣除后的价格为评审价，即评审价=最后磋商报价×（1-10%）；大中型企业与小型、微型企业组成联合体磋商，其中小型、微型企业的协议合同金额占到联合体协议合同总金额30%以上的，联合体最后磋商报价给予2%的扣除，扣除后的价格为评审价，即评审价=最后磋商报价×（1-2%）。</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依据《关于政府采购支持监狱企业发展有关问题的通知》（财库[2014]68号），在政府采购活动中，监狱企业视同小型、微型企业。</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依据《关于促进残疾人就业政府采购政策的通知》（财库[2017]141号），残疾人福利性单位参加政府采购活动的，视同小型、微型企业。</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除上述情况外，评审价=最后磋商报价。</w:t>
      </w:r>
    </w:p>
    <w:p>
      <w:pPr>
        <w:pStyle w:val="105"/>
        <w:snapToGrid w:val="0"/>
        <w:spacing w:line="4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4.以进入评标的最低的评审价为10分。</w:t>
      </w:r>
    </w:p>
    <w:p>
      <w:pPr>
        <w:pStyle w:val="18"/>
        <w:spacing w:line="440" w:lineRule="exact"/>
        <w:ind w:firstLine="404" w:firstLineChars="200"/>
        <w:rPr>
          <w:rFonts w:hint="eastAsia" w:ascii="宋体" w:hAnsi="宋体" w:eastAsia="宋体" w:cs="宋体"/>
          <w:sz w:val="21"/>
          <w:szCs w:val="21"/>
        </w:rPr>
      </w:pPr>
      <w:r>
        <w:rPr>
          <w:rFonts w:hint="eastAsia" w:ascii="宋体" w:hAnsi="宋体" w:eastAsia="宋体" w:cs="宋体"/>
          <w:sz w:val="21"/>
          <w:szCs w:val="21"/>
        </w:rPr>
        <w:t xml:space="preserve">                         有效供应商最低评审价金额</w:t>
      </w:r>
    </w:p>
    <w:p>
      <w:pPr>
        <w:pStyle w:val="18"/>
        <w:spacing w:line="440" w:lineRule="exact"/>
        <w:ind w:firstLine="404" w:firstLineChars="200"/>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59264" behindDoc="0" locked="0" layoutInCell="1" allowOverlap="1">
                <wp:simplePos x="0" y="0"/>
                <wp:positionH relativeFrom="column">
                  <wp:posOffset>1960245</wp:posOffset>
                </wp:positionH>
                <wp:positionV relativeFrom="paragraph">
                  <wp:posOffset>147955</wp:posOffset>
                </wp:positionV>
                <wp:extent cx="2131695" cy="6985"/>
                <wp:effectExtent l="13335" t="13335" r="7620" b="825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2131695" cy="698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4.35pt;margin-top:11.65pt;height:0.55pt;width:167.85pt;z-index:251659264;mso-width-relative:page;mso-height-relative:page;" filled="f" stroked="t" coordsize="21600,21600" o:gfxdata="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i5G49cAAAAJAQAADwAAAAAAAAABACAAAAAiAAAAZHJzL2Rvd25yZXYueG1sUEsBAhQAFAAAAAgA&#10;h07iQGMUq+7tAQAAtwMAAA4AAAAAAAAAAQAgAAAAJg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sz w:val="21"/>
          <w:szCs w:val="21"/>
        </w:rPr>
        <w:t>5.某供应商价格分  =                                   ×10分</w:t>
      </w:r>
    </w:p>
    <w:p>
      <w:pPr>
        <w:pStyle w:val="18"/>
        <w:spacing w:line="440" w:lineRule="exact"/>
        <w:ind w:firstLine="404" w:firstLineChars="200"/>
        <w:rPr>
          <w:rFonts w:hint="eastAsia" w:ascii="宋体" w:hAnsi="宋体" w:eastAsia="宋体" w:cs="宋体"/>
          <w:sz w:val="21"/>
          <w:szCs w:val="21"/>
        </w:rPr>
      </w:pPr>
      <w:r>
        <w:rPr>
          <w:rFonts w:hint="eastAsia" w:ascii="宋体" w:hAnsi="宋体" w:eastAsia="宋体" w:cs="宋体"/>
          <w:sz w:val="21"/>
          <w:szCs w:val="21"/>
        </w:rPr>
        <w:t xml:space="preserve">                             某供应商评审价金额</w:t>
      </w:r>
    </w:p>
    <w:p>
      <w:pPr>
        <w:adjustRightInd w:val="0"/>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2. 技术分…………………………………………………………………………77分</w:t>
      </w:r>
    </w:p>
    <w:p>
      <w:pPr>
        <w:spacing w:line="360" w:lineRule="auto"/>
        <w:ind w:firstLine="422" w:firstLineChars="200"/>
        <w:textAlignment w:val="top"/>
        <w:rPr>
          <w:rFonts w:hint="eastAsia" w:ascii="宋体" w:hAnsi="宋体" w:eastAsia="宋体" w:cs="宋体"/>
          <w:b/>
          <w:bCs/>
          <w:sz w:val="21"/>
          <w:szCs w:val="21"/>
        </w:rPr>
      </w:pPr>
      <w:r>
        <w:rPr>
          <w:rFonts w:hint="eastAsia" w:ascii="宋体" w:hAnsi="宋体" w:eastAsia="宋体" w:cs="宋体"/>
          <w:b/>
          <w:bCs/>
          <w:sz w:val="21"/>
          <w:szCs w:val="21"/>
        </w:rPr>
        <w:t>（1）项目理解和现状与问题分析(满分8分)</w:t>
      </w:r>
    </w:p>
    <w:p>
      <w:pPr>
        <w:spacing w:line="360" w:lineRule="auto"/>
        <w:ind w:firstLine="420" w:firstLineChars="200"/>
        <w:textAlignment w:val="top"/>
        <w:rPr>
          <w:rFonts w:hint="eastAsia" w:ascii="宋体" w:hAnsi="宋体" w:eastAsia="宋体" w:cs="宋体"/>
          <w:sz w:val="21"/>
          <w:szCs w:val="21"/>
        </w:rPr>
      </w:pPr>
      <w:r>
        <w:rPr>
          <w:rFonts w:hint="eastAsia" w:ascii="宋体" w:hAnsi="宋体" w:eastAsia="宋体" w:cs="宋体"/>
          <w:sz w:val="21"/>
          <w:szCs w:val="21"/>
        </w:rPr>
        <w:t>一档（0-2分）：供应商提供的响应文件针对项目总体现状与问题内容分析不完善的，或对项目总体及现状有认识，解决方案内容齐全，但可操作性差，不满足项目要求；</w:t>
      </w:r>
    </w:p>
    <w:p>
      <w:pPr>
        <w:spacing w:line="360" w:lineRule="auto"/>
        <w:ind w:firstLine="420" w:firstLineChars="200"/>
        <w:textAlignment w:val="top"/>
        <w:rPr>
          <w:rFonts w:hint="eastAsia" w:ascii="宋体" w:hAnsi="宋体" w:eastAsia="宋体" w:cs="宋体"/>
          <w:sz w:val="21"/>
          <w:szCs w:val="21"/>
        </w:rPr>
      </w:pPr>
      <w:r>
        <w:rPr>
          <w:rFonts w:hint="eastAsia" w:ascii="宋体" w:hAnsi="宋体" w:eastAsia="宋体" w:cs="宋体"/>
          <w:sz w:val="21"/>
          <w:szCs w:val="21"/>
        </w:rPr>
        <w:t>二档（2.1-5分）：对项目总体及现状有一定认识，解决难点方案可操作性一般，内容齐全、建议基本可行，基本满足项目要求；</w:t>
      </w:r>
    </w:p>
    <w:p>
      <w:pPr>
        <w:pStyle w:val="2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三档（5.1-8分）：对项目总体及现状有深刻认识，解决难点方案可操作性强，建议可行，完全满足项目要求。</w:t>
      </w:r>
    </w:p>
    <w:p>
      <w:pPr>
        <w:spacing w:line="360" w:lineRule="auto"/>
        <w:ind w:firstLine="422" w:firstLineChars="200"/>
        <w:textAlignment w:val="top"/>
        <w:rPr>
          <w:rFonts w:hint="eastAsia" w:ascii="宋体" w:hAnsi="宋体" w:eastAsia="宋体" w:cs="宋体"/>
          <w:b/>
          <w:bCs/>
          <w:sz w:val="21"/>
          <w:szCs w:val="21"/>
        </w:rPr>
      </w:pPr>
      <w:r>
        <w:rPr>
          <w:rFonts w:hint="eastAsia" w:ascii="宋体" w:hAnsi="宋体" w:eastAsia="宋体" w:cs="宋体"/>
          <w:b/>
          <w:bCs/>
          <w:sz w:val="21"/>
          <w:szCs w:val="21"/>
        </w:rPr>
        <w:t>（2）技术方案 (满分25分)</w:t>
      </w:r>
    </w:p>
    <w:p>
      <w:pPr>
        <w:spacing w:line="360" w:lineRule="auto"/>
        <w:ind w:firstLine="420" w:firstLineChars="200"/>
        <w:textAlignment w:val="top"/>
        <w:rPr>
          <w:rFonts w:hint="eastAsia" w:ascii="宋体" w:hAnsi="宋体" w:eastAsia="宋体" w:cs="宋体"/>
          <w:sz w:val="21"/>
          <w:szCs w:val="21"/>
        </w:rPr>
      </w:pPr>
      <w:r>
        <w:rPr>
          <w:rFonts w:hint="eastAsia" w:ascii="宋体" w:hAnsi="宋体" w:eastAsia="宋体" w:cs="宋体"/>
          <w:sz w:val="21"/>
          <w:szCs w:val="21"/>
        </w:rPr>
        <w:t>一档（0-8分）：了解采购人现状肤浅，技术方案基本完整合理，可行性尚可，可操作性较差，应用效果一般，能满足采购人部分实际业务需求的，进入一档；</w:t>
      </w:r>
    </w:p>
    <w:p>
      <w:pPr>
        <w:spacing w:line="360" w:lineRule="auto"/>
        <w:ind w:firstLine="420" w:firstLineChars="200"/>
        <w:textAlignment w:val="top"/>
        <w:rPr>
          <w:rFonts w:hint="eastAsia" w:ascii="宋体" w:hAnsi="宋体" w:eastAsia="宋体" w:cs="宋体"/>
          <w:sz w:val="21"/>
          <w:szCs w:val="21"/>
        </w:rPr>
      </w:pPr>
      <w:r>
        <w:rPr>
          <w:rFonts w:hint="eastAsia" w:ascii="宋体" w:hAnsi="宋体" w:eastAsia="宋体" w:cs="宋体"/>
          <w:sz w:val="21"/>
          <w:szCs w:val="21"/>
        </w:rPr>
        <w:t xml:space="preserve">二档（8.1-16分）：基本了解采购人现状，方案可行性尚可，可操作性尚可，可获得较好的应用效果，基本能满足采购人实际业务需求的，进入二档； </w:t>
      </w:r>
    </w:p>
    <w:p>
      <w:pPr>
        <w:pStyle w:val="2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三档（16.1-25分）：充分了解采购人现状并提出完整合理的方案，方案切实可行，可操作性强</w:t>
      </w:r>
      <w:r>
        <w:rPr>
          <w:rFonts w:hint="eastAsia" w:ascii="宋体" w:hAnsi="宋体" w:eastAsia="宋体" w:cs="宋体"/>
          <w:kern w:val="2"/>
          <w:sz w:val="21"/>
          <w:szCs w:val="21"/>
          <w:lang w:val="en-US" w:eastAsia="zh-CN" w:bidi="ar-SA"/>
        </w:rPr>
        <w:t>，可获得理想的应用效果，根据“横向到边纵向到底”的建设目标对系统的衔接和兼容性的可靠性、先进性进行打分，对于财政、审计等横向部门专项业务系统的衔接能够提供与各部门的数据对接方案，包括对接流程、对接方式等内容，对数据资源目录规划有详细说明；纵向上贯通，遵循全区人大系统一张网，一盘棋的指导思想，市本级人大预算联网监督系统，满足采购人信息化建设规划对于业务系统衔接及兼容设计要求，完全能实现采购人实际业务需求的进入三档。</w:t>
      </w:r>
    </w:p>
    <w:p>
      <w:pPr>
        <w:spacing w:line="360" w:lineRule="auto"/>
        <w:textAlignment w:val="top"/>
        <w:rPr>
          <w:rFonts w:hint="eastAsia" w:ascii="宋体" w:hAnsi="宋体" w:eastAsia="宋体" w:cs="宋体"/>
          <w:b/>
          <w:bCs/>
          <w:sz w:val="21"/>
          <w:szCs w:val="21"/>
        </w:rPr>
      </w:pPr>
      <w:r>
        <w:rPr>
          <w:rFonts w:hint="eastAsia" w:ascii="宋体" w:hAnsi="宋体" w:eastAsia="宋体" w:cs="宋体"/>
          <w:b/>
          <w:bCs/>
          <w:sz w:val="21"/>
          <w:szCs w:val="21"/>
        </w:rPr>
        <w:t xml:space="preserve">    （3）实施方案 (满分24分)</w:t>
      </w:r>
    </w:p>
    <w:p>
      <w:pPr>
        <w:spacing w:line="360" w:lineRule="auto"/>
        <w:ind w:firstLine="420" w:firstLineChars="200"/>
        <w:textAlignment w:val="top"/>
        <w:rPr>
          <w:rFonts w:hint="eastAsia" w:ascii="宋体" w:hAnsi="宋体" w:eastAsia="宋体" w:cs="宋体"/>
          <w:sz w:val="21"/>
          <w:szCs w:val="21"/>
        </w:rPr>
      </w:pPr>
      <w:r>
        <w:rPr>
          <w:rFonts w:hint="eastAsia" w:ascii="宋体" w:hAnsi="宋体" w:eastAsia="宋体" w:cs="宋体"/>
          <w:sz w:val="21"/>
          <w:szCs w:val="21"/>
        </w:rPr>
        <w:t xml:space="preserve">一档（0-8分）：基本满足采购人需求，有基本的实施日程表和人员安排，具体实施步骤和要求描述较简单，各项实施工作内容描述简单，为本项目投入的技术人员不足5人。同比一般，综合评价一般； </w:t>
      </w:r>
    </w:p>
    <w:p>
      <w:pPr>
        <w:spacing w:line="360" w:lineRule="auto"/>
        <w:ind w:firstLine="420" w:firstLineChars="200"/>
        <w:textAlignment w:val="top"/>
        <w:rPr>
          <w:rFonts w:hint="eastAsia" w:ascii="宋体" w:hAnsi="宋体" w:eastAsia="宋体" w:cs="宋体"/>
          <w:sz w:val="21"/>
          <w:szCs w:val="21"/>
        </w:rPr>
      </w:pPr>
      <w:r>
        <w:rPr>
          <w:rFonts w:hint="eastAsia" w:ascii="宋体" w:hAnsi="宋体" w:eastAsia="宋体" w:cs="宋体"/>
          <w:sz w:val="21"/>
          <w:szCs w:val="21"/>
        </w:rPr>
        <w:t xml:space="preserve">二档（8.1-16分）在满足一档的基础上，满足采购人需求，有基本的实施日程表和人员安排，具体实施步骤和要求描述全面，实施方案较完整、描述较详细，拟投入项目配备有足够的技术人员，为本项目投入的技术人员大于等于5人但不足10人，有1名高级信息系统项目管理师资质，1名高级系统架构设计师资质，1名高级软件工程师资质，1名高级信息安全管理师资质，并能及时响应并到达采购人办公地点。各项内容完整，同比较好，综合评价良好； </w:t>
      </w:r>
    </w:p>
    <w:p>
      <w:pPr>
        <w:pStyle w:val="2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档（16.1-24分）：在满足二档的基础上，完全或优于满足采购人需求条件，有详尽的实施日程表和人员安排，为本项目投入的技术人员超过10人，2名高级信息系统项目管理师资质，2名高级系统架构设计师资质，2名高级软件工程师资质，1名高级信息安全管理师资质，提供规范的项目及质量管理体系。具体实施步骤和要求描述全面，职责分工明确，进度安排合理，可行性较强，可以能迅速响应并到达采购人办公地点。各项内容详细详实完整，同比良好，综合评价优秀。</w:t>
      </w:r>
    </w:p>
    <w:p>
      <w:pPr>
        <w:pStyle w:val="2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注：需提供相应人员</w:t>
      </w:r>
      <w:r>
        <w:rPr>
          <w:rFonts w:hint="eastAsia" w:hAnsi="宋体" w:cs="宋体"/>
          <w:b/>
          <w:bCs/>
          <w:sz w:val="21"/>
          <w:szCs w:val="21"/>
          <w:lang w:val="en-US" w:eastAsia="zh-CN"/>
        </w:rPr>
        <w:t>竞</w:t>
      </w:r>
      <w:r>
        <w:rPr>
          <w:rFonts w:hint="eastAsia" w:ascii="宋体" w:hAnsi="宋体" w:eastAsia="宋体" w:cs="宋体"/>
          <w:b/>
          <w:bCs/>
          <w:sz w:val="21"/>
          <w:szCs w:val="21"/>
        </w:rPr>
        <w:t>标截止之日前半年内连续三个月的社保记录和资格证书复印件并加盖供应商公章。</w:t>
      </w:r>
    </w:p>
    <w:p>
      <w:pPr>
        <w:spacing w:line="360" w:lineRule="auto"/>
        <w:textAlignment w:val="top"/>
        <w:rPr>
          <w:rFonts w:hint="eastAsia" w:ascii="宋体" w:hAnsi="宋体" w:eastAsia="宋体" w:cs="宋体"/>
          <w:b/>
          <w:bCs/>
          <w:sz w:val="21"/>
          <w:szCs w:val="21"/>
        </w:rPr>
      </w:pPr>
      <w:r>
        <w:rPr>
          <w:rFonts w:hint="eastAsia" w:ascii="宋体" w:hAnsi="宋体" w:eastAsia="宋体" w:cs="宋体"/>
          <w:b/>
          <w:bCs/>
          <w:sz w:val="21"/>
          <w:szCs w:val="21"/>
        </w:rPr>
        <w:t xml:space="preserve">    （4）售后服务 (满分20分)</w:t>
      </w:r>
    </w:p>
    <w:p>
      <w:pPr>
        <w:pStyle w:val="20"/>
        <w:spacing w:line="360" w:lineRule="auto"/>
        <w:ind w:firstLine="420" w:firstLineChars="200"/>
        <w:textAlignment w:val="top"/>
        <w:rPr>
          <w:rFonts w:hint="eastAsia" w:ascii="宋体" w:hAnsi="宋体" w:eastAsia="宋体" w:cs="宋体"/>
          <w:sz w:val="21"/>
          <w:szCs w:val="21"/>
        </w:rPr>
      </w:pPr>
      <w:r>
        <w:rPr>
          <w:rFonts w:hint="eastAsia" w:ascii="宋体" w:hAnsi="宋体" w:eastAsia="宋体" w:cs="宋体"/>
          <w:sz w:val="21"/>
          <w:szCs w:val="21"/>
        </w:rPr>
        <w:t>售后服务方案在满足招标文件要求的前提下，根据服务期、售后服务承诺及质量保证、解决问题时间、回访计划、完成进度、成果质量、技术服务、成果保密等实际情况提出具体的售后服务方案等，由评委独立定档和打分。</w:t>
      </w:r>
    </w:p>
    <w:p>
      <w:pPr>
        <w:pStyle w:val="20"/>
        <w:spacing w:line="360" w:lineRule="auto"/>
        <w:ind w:firstLine="420" w:firstLineChars="200"/>
        <w:textAlignment w:val="top"/>
        <w:rPr>
          <w:rFonts w:hint="eastAsia" w:ascii="宋体" w:hAnsi="宋体" w:eastAsia="宋体" w:cs="宋体"/>
          <w:sz w:val="21"/>
          <w:szCs w:val="21"/>
        </w:rPr>
      </w:pPr>
      <w:r>
        <w:rPr>
          <w:rFonts w:hint="eastAsia" w:ascii="宋体" w:hAnsi="宋体" w:eastAsia="宋体" w:cs="宋体"/>
          <w:sz w:val="21"/>
          <w:szCs w:val="21"/>
        </w:rPr>
        <w:t>一档（0-6分）：供应商承诺对本项目的服务有正确理解与认识，售后服务方案表述清晰、完整，有定期回访计划且方案一般，售后服务承诺及质量保证表述清晰，基本满足项目要求，售后服务团队人员≤2人；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二档（6.1-13分）：供应商承诺对本项目的服务有正确理解与认识，售后服务方案表述</w:t>
      </w:r>
    </w:p>
    <w:p>
      <w:pPr>
        <w:spacing w:line="360" w:lineRule="auto"/>
        <w:rPr>
          <w:rFonts w:hint="eastAsia" w:ascii="宋体" w:hAnsi="宋体" w:eastAsia="宋体" w:cs="宋体"/>
          <w:sz w:val="21"/>
          <w:szCs w:val="21"/>
        </w:rPr>
      </w:pPr>
      <w:r>
        <w:rPr>
          <w:rFonts w:hint="eastAsia" w:ascii="宋体" w:hAnsi="宋体" w:eastAsia="宋体" w:cs="宋体"/>
          <w:sz w:val="21"/>
          <w:szCs w:val="21"/>
        </w:rPr>
        <w:t>清晰、完整、严谨、合理，有定期回访计划且方案良好，售后服务承诺及质量保证表述清晰，且能提供本地化服务，售后服务团队＞2人但≤4人；</w:t>
      </w:r>
    </w:p>
    <w:p>
      <w:pPr>
        <w:pStyle w:val="2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档（13.1-20分）：供应商承诺对本项目的服务有正确深刻理解与充分认识，售后服务方案表述清晰、完整、严谨、合理、有效、成熟，有定期回访计划且方案详细合理，售后服务承诺及质量保证完全满足且部分条款优于项目要求，且能提供本地化服务，售后服务团队＞4人，且具有软件设计师中级资质或以上的人员≥4人。</w:t>
      </w:r>
    </w:p>
    <w:p>
      <w:pPr>
        <w:pStyle w:val="2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注：需提供相应人员</w:t>
      </w:r>
      <w:r>
        <w:rPr>
          <w:rFonts w:hint="eastAsia" w:hAnsi="宋体" w:cs="宋体"/>
          <w:b/>
          <w:bCs/>
          <w:sz w:val="21"/>
          <w:szCs w:val="21"/>
          <w:lang w:val="en-US" w:eastAsia="zh-CN"/>
        </w:rPr>
        <w:t>竞标</w:t>
      </w:r>
      <w:r>
        <w:rPr>
          <w:rFonts w:hint="eastAsia" w:ascii="宋体" w:hAnsi="宋体" w:eastAsia="宋体" w:cs="宋体"/>
          <w:b/>
          <w:bCs/>
          <w:sz w:val="21"/>
          <w:szCs w:val="21"/>
        </w:rPr>
        <w:t>截止之日前半年内连续三个月的社保记录和资格证书复印件并加盖供应商公章，与实施人员不可复用。</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3.信誉业绩分……………………………………………………………………………13分</w:t>
      </w:r>
    </w:p>
    <w:p>
      <w:pPr>
        <w:pStyle w:val="2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（1）供应商2019年1月1日以来承担过市级以上（含市级）的同类预算联网信息化项目或大数据项目开发的项目案例业绩（以中标/成交通知书或合同复印件为准），每个得2分，满分4分。</w:t>
      </w:r>
    </w:p>
    <w:p>
      <w:pPr>
        <w:pStyle w:val="20"/>
        <w:spacing w:line="360" w:lineRule="auto"/>
        <w:ind w:firstLine="480"/>
        <w:rPr>
          <w:rFonts w:hint="eastAsia" w:ascii="宋体" w:hAnsi="宋体" w:eastAsia="宋体" w:cs="宋体"/>
          <w:sz w:val="21"/>
          <w:szCs w:val="21"/>
        </w:rPr>
      </w:pPr>
      <w:r>
        <w:rPr>
          <w:rFonts w:hint="eastAsia" w:ascii="宋体" w:hAnsi="宋体" w:eastAsia="宋体" w:cs="宋体"/>
          <w:sz w:val="21"/>
          <w:szCs w:val="21"/>
        </w:rPr>
        <w:t>（2）供应商具备IS09001（质量管理体系）、ISO27001(信息安全体系)和ISO20000(信息技术服务管理体系)，提供有效证书复印件加盖供应商公章，每项得1分，满分3分。</w:t>
      </w:r>
    </w:p>
    <w:p>
      <w:pPr>
        <w:pStyle w:val="20"/>
        <w:spacing w:line="360" w:lineRule="auto"/>
        <w:ind w:firstLine="420"/>
        <w:rPr>
          <w:rFonts w:hint="eastAsia" w:ascii="宋体" w:hAnsi="宋体" w:eastAsia="宋体" w:cs="宋体"/>
          <w:sz w:val="21"/>
          <w:szCs w:val="21"/>
        </w:rPr>
      </w:pPr>
      <w:r>
        <w:rPr>
          <w:rFonts w:hint="eastAsia" w:ascii="宋体" w:hAnsi="宋体" w:eastAsia="宋体" w:cs="宋体"/>
          <w:sz w:val="21"/>
          <w:szCs w:val="21"/>
        </w:rPr>
        <w:t>（3）供应商的系统能力成熟度达CMMI1-CMMI3的，得1分，系统能力成熟度达CMMI4的，得3分，系统能力成熟度达CMMI5的，得6分，提供有效证书复印件并加盖供应商公章，满分6分。</w:t>
      </w:r>
    </w:p>
    <w:p>
      <w:pPr>
        <w:pStyle w:val="2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4. 综合得分＝价格分+技术分+信誉业绩分</w:t>
      </w:r>
    </w:p>
    <w:p>
      <w:pPr>
        <w:adjustRightIn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四、成交候选供应商推荐原则</w:t>
      </w:r>
    </w:p>
    <w:p>
      <w:pPr>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磋商小组将根据总得分由高到低排列次序（总得分相同时，依次按磋商报价低优先、技术分高优先、信誉业绩分高优先）并依照次序推荐三名成交候选供应商。采购人应当确定排名第一的成交候选供应商为成交人。除非有法定事由，如排名第一的成交候选供应商放弃中标、因不可抗力不能履行合同，或者被查实存在影响成交结果的违法行为等情形，不符合成交条件的，采购人可以按照磋商小组提出的成交候选供应商名单排序依次确定其他成交候选人为成交人，也可以重新招标。</w:t>
      </w:r>
    </w:p>
    <w:p>
      <w:pPr>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磋商小组认为，某供应商的有效磋商报价或者某些分项报价明显不合理或者低于成本，有可能影响服务质量和不能诚信履约的，应要求其在规定的期限内提供书面文件予以解释说明，并提交相关证明材料，否则，磋商小组不推荐该供应商为成交候选人。</w:t>
      </w:r>
    </w:p>
    <w:p>
      <w:pPr>
        <w:spacing w:line="360" w:lineRule="auto"/>
        <w:jc w:val="left"/>
        <w:outlineLvl w:val="9"/>
        <w:rPr>
          <w:rFonts w:hint="eastAsia" w:ascii="宋体" w:hAnsi="宋体" w:eastAsia="宋体" w:cs="宋体"/>
          <w:b/>
          <w:sz w:val="44"/>
        </w:rPr>
      </w:pPr>
    </w:p>
    <w:p>
      <w:pPr>
        <w:pStyle w:val="74"/>
        <w:ind w:firstLine="883"/>
        <w:rPr>
          <w:rFonts w:hint="eastAsia" w:ascii="宋体" w:hAnsi="宋体" w:eastAsia="宋体" w:cs="宋体"/>
          <w:b/>
          <w:sz w:val="44"/>
        </w:rPr>
      </w:pPr>
    </w:p>
    <w:p>
      <w:pPr>
        <w:pStyle w:val="75"/>
        <w:ind w:firstLine="883"/>
        <w:rPr>
          <w:rFonts w:hint="eastAsia" w:ascii="宋体" w:hAnsi="宋体" w:eastAsia="宋体" w:cs="宋体"/>
          <w:b/>
          <w:sz w:val="44"/>
        </w:rPr>
      </w:pPr>
    </w:p>
    <w:p>
      <w:pPr>
        <w:pStyle w:val="75"/>
        <w:ind w:firstLine="883"/>
        <w:rPr>
          <w:rFonts w:hint="eastAsia" w:ascii="宋体" w:hAnsi="宋体" w:eastAsia="宋体" w:cs="宋体"/>
          <w:b/>
          <w:sz w:val="44"/>
        </w:rPr>
      </w:pPr>
    </w:p>
    <w:p>
      <w:pPr>
        <w:pStyle w:val="75"/>
        <w:ind w:firstLine="883"/>
        <w:rPr>
          <w:rFonts w:hint="eastAsia" w:ascii="宋体" w:hAnsi="宋体" w:eastAsia="宋体" w:cs="宋体"/>
          <w:b/>
          <w:sz w:val="44"/>
        </w:rPr>
      </w:pPr>
    </w:p>
    <w:p>
      <w:pPr>
        <w:rPr>
          <w:rFonts w:hint="eastAsia" w:ascii="宋体" w:hAnsi="宋体" w:eastAsia="宋体" w:cs="宋体"/>
          <w:b/>
          <w:sz w:val="44"/>
        </w:rPr>
      </w:pPr>
    </w:p>
    <w:p>
      <w:pPr>
        <w:pStyle w:val="74"/>
        <w:rPr>
          <w:rFonts w:hint="eastAsia" w:ascii="宋体" w:hAnsi="宋体" w:eastAsia="宋体" w:cs="宋体"/>
        </w:rPr>
      </w:pPr>
    </w:p>
    <w:p>
      <w:pPr>
        <w:spacing w:line="360" w:lineRule="auto"/>
        <w:ind w:firstLine="2650" w:firstLineChars="600"/>
        <w:jc w:val="left"/>
        <w:outlineLvl w:val="0"/>
        <w:rPr>
          <w:rFonts w:hint="eastAsia" w:ascii="宋体" w:hAnsi="宋体" w:eastAsia="宋体" w:cs="宋体"/>
          <w:b/>
          <w:sz w:val="44"/>
        </w:rPr>
      </w:pPr>
      <w:bookmarkStart w:id="509" w:name="_Toc23136"/>
      <w:r>
        <w:rPr>
          <w:rFonts w:hint="eastAsia" w:ascii="宋体" w:hAnsi="宋体" w:eastAsia="宋体" w:cs="宋体"/>
          <w:b/>
          <w:sz w:val="44"/>
        </w:rPr>
        <w:t>第五章  响应文件（格式）</w:t>
      </w:r>
      <w:bookmarkEnd w:id="509"/>
    </w:p>
    <w:p>
      <w:pPr>
        <w:pStyle w:val="20"/>
        <w:spacing w:line="360" w:lineRule="auto"/>
        <w:jc w:val="center"/>
        <w:rPr>
          <w:rFonts w:hint="eastAsia" w:ascii="宋体" w:hAnsi="宋体" w:eastAsia="宋体" w:cs="宋体"/>
          <w:sz w:val="36"/>
          <w:szCs w:val="36"/>
        </w:rPr>
      </w:pPr>
    </w:p>
    <w:p>
      <w:pPr>
        <w:pStyle w:val="20"/>
        <w:spacing w:line="360" w:lineRule="auto"/>
        <w:jc w:val="center"/>
        <w:rPr>
          <w:rFonts w:hint="eastAsia" w:ascii="宋体" w:hAnsi="宋体" w:eastAsia="宋体" w:cs="宋体"/>
          <w:sz w:val="36"/>
          <w:szCs w:val="36"/>
        </w:rPr>
      </w:pPr>
    </w:p>
    <w:p>
      <w:pPr>
        <w:pStyle w:val="20"/>
        <w:spacing w:line="360" w:lineRule="auto"/>
        <w:jc w:val="center"/>
        <w:rPr>
          <w:rFonts w:hint="eastAsia" w:ascii="宋体" w:hAnsi="宋体" w:eastAsia="宋体" w:cs="宋体"/>
          <w:sz w:val="36"/>
          <w:szCs w:val="36"/>
        </w:rPr>
      </w:pPr>
    </w:p>
    <w:p>
      <w:pPr>
        <w:pStyle w:val="20"/>
        <w:spacing w:line="360" w:lineRule="auto"/>
        <w:jc w:val="center"/>
        <w:rPr>
          <w:rFonts w:hint="eastAsia" w:ascii="宋体" w:hAnsi="宋体" w:eastAsia="宋体" w:cs="宋体"/>
          <w:sz w:val="36"/>
          <w:szCs w:val="36"/>
        </w:rPr>
      </w:pPr>
      <w:r>
        <w:rPr>
          <w:rFonts w:hint="eastAsia" w:ascii="宋体" w:hAnsi="宋体" w:eastAsia="宋体" w:cs="宋体"/>
          <w:sz w:val="36"/>
          <w:szCs w:val="36"/>
        </w:rPr>
        <w:t>（响应文件袋封面格式）</w:t>
      </w:r>
    </w:p>
    <w:p>
      <w:pPr>
        <w:pStyle w:val="20"/>
        <w:spacing w:line="360" w:lineRule="auto"/>
        <w:jc w:val="center"/>
        <w:rPr>
          <w:rFonts w:hint="eastAsia" w:ascii="宋体" w:hAnsi="宋体" w:eastAsia="宋体" w:cs="宋体"/>
          <w:sz w:val="36"/>
          <w:szCs w:val="36"/>
        </w:rPr>
      </w:pPr>
    </w:p>
    <w:p>
      <w:pPr>
        <w:pStyle w:val="20"/>
        <w:spacing w:line="360" w:lineRule="auto"/>
        <w:jc w:val="center"/>
        <w:rPr>
          <w:rFonts w:hint="eastAsia" w:ascii="宋体" w:hAnsi="宋体" w:eastAsia="宋体" w:cs="宋体"/>
          <w:sz w:val="72"/>
          <w:szCs w:val="72"/>
        </w:rPr>
      </w:pPr>
      <w:r>
        <w:rPr>
          <w:rFonts w:hint="eastAsia" w:ascii="宋体" w:hAnsi="宋体" w:eastAsia="宋体" w:cs="宋体"/>
          <w:sz w:val="72"/>
          <w:szCs w:val="72"/>
        </w:rPr>
        <w:t>响应文件</w:t>
      </w:r>
    </w:p>
    <w:p>
      <w:pPr>
        <w:pStyle w:val="20"/>
        <w:spacing w:line="360" w:lineRule="auto"/>
        <w:ind w:firstLine="442" w:firstLineChars="170"/>
        <w:rPr>
          <w:rFonts w:hint="eastAsia" w:ascii="宋体" w:hAnsi="宋体" w:eastAsia="宋体" w:cs="宋体"/>
          <w:spacing w:val="-10"/>
          <w:sz w:val="28"/>
        </w:rPr>
      </w:pPr>
    </w:p>
    <w:p>
      <w:pPr>
        <w:pStyle w:val="20"/>
        <w:spacing w:line="360" w:lineRule="auto"/>
        <w:ind w:firstLine="442" w:firstLineChars="170"/>
        <w:rPr>
          <w:rFonts w:hint="eastAsia" w:ascii="宋体" w:hAnsi="宋体" w:eastAsia="宋体" w:cs="宋体"/>
          <w:spacing w:val="-10"/>
          <w:sz w:val="28"/>
        </w:rPr>
      </w:pPr>
    </w:p>
    <w:p>
      <w:pPr>
        <w:pStyle w:val="20"/>
        <w:spacing w:line="360" w:lineRule="auto"/>
        <w:ind w:firstLine="442" w:firstLineChars="170"/>
        <w:rPr>
          <w:rFonts w:hint="eastAsia" w:ascii="宋体" w:hAnsi="宋体" w:eastAsia="宋体" w:cs="宋体"/>
          <w:spacing w:val="-10"/>
          <w:sz w:val="28"/>
        </w:rPr>
      </w:pPr>
    </w:p>
    <w:p>
      <w:pPr>
        <w:pStyle w:val="20"/>
        <w:spacing w:line="360" w:lineRule="auto"/>
        <w:ind w:firstLine="442" w:firstLineChars="170"/>
        <w:rPr>
          <w:rFonts w:hint="eastAsia" w:ascii="宋体" w:hAnsi="宋体" w:eastAsia="宋体" w:cs="宋体"/>
          <w:spacing w:val="-10"/>
          <w:sz w:val="28"/>
        </w:rPr>
      </w:pPr>
      <w:r>
        <w:rPr>
          <w:rFonts w:hint="eastAsia" w:ascii="宋体" w:hAnsi="宋体" w:eastAsia="宋体" w:cs="宋体"/>
          <w:spacing w:val="-10"/>
          <w:sz w:val="28"/>
        </w:rPr>
        <w:t>⑴ 采购代理机构：</w:t>
      </w:r>
      <w:r>
        <w:rPr>
          <w:rFonts w:hint="eastAsia" w:ascii="宋体" w:hAnsi="宋体" w:eastAsia="宋体" w:cs="宋体"/>
          <w:spacing w:val="-10"/>
          <w:sz w:val="28"/>
          <w:u w:val="single"/>
        </w:rPr>
        <w:t xml:space="preserve">                       </w:t>
      </w:r>
    </w:p>
    <w:p>
      <w:pPr>
        <w:pStyle w:val="20"/>
        <w:spacing w:line="360" w:lineRule="auto"/>
        <w:ind w:firstLine="442" w:firstLineChars="170"/>
        <w:rPr>
          <w:rFonts w:hint="eastAsia" w:ascii="宋体" w:hAnsi="宋体" w:eastAsia="宋体" w:cs="宋体"/>
          <w:spacing w:val="-10"/>
          <w:sz w:val="28"/>
          <w:u w:val="single"/>
        </w:rPr>
      </w:pPr>
      <w:r>
        <w:rPr>
          <w:rFonts w:hint="eastAsia" w:ascii="宋体" w:hAnsi="宋体" w:eastAsia="宋体" w:cs="宋体"/>
          <w:spacing w:val="-10"/>
          <w:sz w:val="28"/>
        </w:rPr>
        <w:t>⑵ 项目名称：</w:t>
      </w:r>
      <w:r>
        <w:rPr>
          <w:rFonts w:hint="eastAsia" w:ascii="宋体" w:hAnsi="宋体" w:eastAsia="宋体" w:cs="宋体"/>
          <w:spacing w:val="-10"/>
          <w:sz w:val="28"/>
          <w:u w:val="single"/>
        </w:rPr>
        <w:t xml:space="preserve">                           </w:t>
      </w:r>
    </w:p>
    <w:p>
      <w:pPr>
        <w:pStyle w:val="20"/>
        <w:spacing w:line="360" w:lineRule="auto"/>
        <w:ind w:firstLine="442" w:firstLineChars="170"/>
        <w:rPr>
          <w:rFonts w:hint="eastAsia" w:ascii="宋体" w:hAnsi="宋体" w:eastAsia="宋体" w:cs="宋体"/>
          <w:spacing w:val="-10"/>
          <w:sz w:val="28"/>
          <w:u w:val="single"/>
        </w:rPr>
      </w:pPr>
      <w:r>
        <w:rPr>
          <w:rFonts w:hint="eastAsia" w:ascii="宋体" w:hAnsi="宋体" w:eastAsia="宋体" w:cs="宋体"/>
          <w:spacing w:val="-10"/>
          <w:sz w:val="28"/>
        </w:rPr>
        <w:t>⑶ 采购项目编号：</w:t>
      </w:r>
      <w:r>
        <w:rPr>
          <w:rFonts w:hint="eastAsia" w:ascii="宋体" w:hAnsi="宋体" w:eastAsia="宋体" w:cs="宋体"/>
          <w:spacing w:val="-10"/>
          <w:sz w:val="28"/>
          <w:u w:val="single"/>
        </w:rPr>
        <w:t xml:space="preserve">                       </w:t>
      </w:r>
    </w:p>
    <w:p>
      <w:pPr>
        <w:pStyle w:val="20"/>
        <w:spacing w:line="360" w:lineRule="auto"/>
        <w:ind w:firstLine="442" w:firstLineChars="170"/>
        <w:rPr>
          <w:rFonts w:hint="eastAsia" w:ascii="宋体" w:hAnsi="宋体" w:eastAsia="宋体" w:cs="宋体"/>
          <w:spacing w:val="-10"/>
          <w:sz w:val="28"/>
          <w:u w:val="single"/>
        </w:rPr>
      </w:pPr>
      <w:r>
        <w:rPr>
          <w:rFonts w:hint="eastAsia" w:ascii="宋体" w:hAnsi="宋体" w:eastAsia="宋体" w:cs="宋体"/>
          <w:spacing w:val="-10"/>
          <w:sz w:val="28"/>
        </w:rPr>
        <w:t>⑷ 供应商名称：</w:t>
      </w:r>
      <w:r>
        <w:rPr>
          <w:rFonts w:hint="eastAsia" w:ascii="宋体" w:hAnsi="宋体" w:eastAsia="宋体" w:cs="宋体"/>
          <w:spacing w:val="-10"/>
          <w:sz w:val="28"/>
          <w:u w:val="single"/>
        </w:rPr>
        <w:t xml:space="preserve">                              </w:t>
      </w:r>
    </w:p>
    <w:p>
      <w:pPr>
        <w:pStyle w:val="20"/>
        <w:spacing w:line="360" w:lineRule="auto"/>
        <w:ind w:firstLine="442" w:firstLineChars="170"/>
        <w:rPr>
          <w:rFonts w:hint="eastAsia" w:ascii="宋体" w:hAnsi="宋体" w:eastAsia="宋体" w:cs="宋体"/>
          <w:spacing w:val="-10"/>
          <w:sz w:val="28"/>
        </w:rPr>
      </w:pPr>
      <w:r>
        <w:rPr>
          <w:rFonts w:hint="eastAsia" w:ascii="宋体" w:hAnsi="宋体" w:eastAsia="宋体" w:cs="宋体"/>
          <w:spacing w:val="-10"/>
          <w:sz w:val="28"/>
        </w:rPr>
        <w:t>⑸ 注明“截标时才能启封”</w:t>
      </w:r>
    </w:p>
    <w:p>
      <w:pPr>
        <w:pStyle w:val="20"/>
        <w:spacing w:line="360" w:lineRule="auto"/>
        <w:ind w:firstLine="442" w:firstLineChars="170"/>
        <w:rPr>
          <w:rFonts w:hint="eastAsia" w:ascii="宋体" w:hAnsi="宋体" w:eastAsia="宋体" w:cs="宋体"/>
          <w:spacing w:val="-10"/>
          <w:sz w:val="28"/>
        </w:rPr>
      </w:pPr>
    </w:p>
    <w:p>
      <w:pPr>
        <w:pStyle w:val="20"/>
        <w:spacing w:line="360" w:lineRule="auto"/>
        <w:ind w:firstLine="442" w:firstLineChars="170"/>
        <w:rPr>
          <w:rFonts w:hint="eastAsia" w:ascii="宋体" w:hAnsi="宋体" w:eastAsia="宋体" w:cs="宋体"/>
          <w:spacing w:val="-10"/>
          <w:sz w:val="28"/>
        </w:rPr>
      </w:pPr>
    </w:p>
    <w:p>
      <w:pPr>
        <w:pStyle w:val="20"/>
        <w:spacing w:line="360" w:lineRule="auto"/>
        <w:ind w:firstLine="442" w:firstLineChars="170"/>
        <w:rPr>
          <w:rFonts w:hint="eastAsia" w:ascii="宋体" w:hAnsi="宋体" w:eastAsia="宋体" w:cs="宋体"/>
          <w:spacing w:val="-10"/>
          <w:sz w:val="28"/>
        </w:rPr>
      </w:pPr>
    </w:p>
    <w:p>
      <w:pPr>
        <w:pStyle w:val="20"/>
        <w:spacing w:line="360" w:lineRule="auto"/>
        <w:ind w:firstLine="442" w:firstLineChars="170"/>
        <w:rPr>
          <w:rFonts w:hint="eastAsia" w:ascii="宋体" w:hAnsi="宋体" w:eastAsia="宋体" w:cs="宋体"/>
          <w:spacing w:val="-10"/>
          <w:sz w:val="28"/>
        </w:rPr>
      </w:pPr>
    </w:p>
    <w:p>
      <w:pPr>
        <w:pStyle w:val="20"/>
        <w:spacing w:line="360" w:lineRule="auto"/>
        <w:ind w:firstLine="442" w:firstLineChars="170"/>
        <w:rPr>
          <w:rFonts w:hint="eastAsia" w:ascii="宋体" w:hAnsi="宋体" w:eastAsia="宋体" w:cs="宋体"/>
          <w:spacing w:val="-10"/>
          <w:sz w:val="28"/>
        </w:rPr>
      </w:pPr>
    </w:p>
    <w:p>
      <w:pPr>
        <w:pStyle w:val="20"/>
        <w:spacing w:line="360" w:lineRule="auto"/>
        <w:ind w:firstLine="442" w:firstLineChars="170"/>
        <w:rPr>
          <w:rFonts w:hint="eastAsia" w:ascii="宋体" w:hAnsi="宋体" w:eastAsia="宋体" w:cs="宋体"/>
          <w:spacing w:val="-10"/>
          <w:sz w:val="28"/>
        </w:rPr>
      </w:pPr>
    </w:p>
    <w:p>
      <w:pPr>
        <w:pStyle w:val="20"/>
        <w:spacing w:line="360" w:lineRule="auto"/>
        <w:ind w:firstLine="442" w:firstLineChars="170"/>
        <w:rPr>
          <w:rFonts w:hint="eastAsia" w:ascii="宋体" w:hAnsi="宋体" w:eastAsia="宋体" w:cs="宋体"/>
          <w:spacing w:val="-10"/>
          <w:sz w:val="28"/>
        </w:rPr>
      </w:pPr>
    </w:p>
    <w:p>
      <w:pPr>
        <w:pStyle w:val="20"/>
        <w:spacing w:line="360" w:lineRule="auto"/>
        <w:ind w:firstLine="442" w:firstLineChars="170"/>
        <w:rPr>
          <w:rFonts w:hint="eastAsia" w:ascii="宋体" w:hAnsi="宋体" w:eastAsia="宋体" w:cs="宋体"/>
          <w:spacing w:val="-10"/>
          <w:sz w:val="28"/>
        </w:rPr>
      </w:pPr>
    </w:p>
    <w:p>
      <w:pPr>
        <w:pStyle w:val="20"/>
        <w:spacing w:line="360" w:lineRule="auto"/>
        <w:rPr>
          <w:rFonts w:hint="eastAsia" w:ascii="宋体" w:hAnsi="宋体" w:eastAsia="宋体" w:cs="宋体"/>
          <w:b/>
          <w:bCs/>
          <w:sz w:val="24"/>
          <w:szCs w:val="24"/>
        </w:rPr>
      </w:pPr>
      <w:r>
        <w:rPr>
          <w:rFonts w:hint="eastAsia" w:ascii="宋体" w:hAnsi="宋体" w:eastAsia="宋体" w:cs="宋体"/>
          <w:b/>
          <w:bCs/>
          <w:sz w:val="24"/>
          <w:szCs w:val="24"/>
        </w:rPr>
        <w:t>格式1：</w:t>
      </w:r>
    </w:p>
    <w:p>
      <w:pPr>
        <w:pStyle w:val="20"/>
        <w:spacing w:line="360" w:lineRule="auto"/>
        <w:jc w:val="center"/>
        <w:rPr>
          <w:rFonts w:hint="eastAsia" w:ascii="宋体" w:hAnsi="宋体" w:eastAsia="宋体" w:cs="宋体"/>
          <w:sz w:val="36"/>
          <w:szCs w:val="36"/>
        </w:rPr>
      </w:pPr>
    </w:p>
    <w:p>
      <w:pPr>
        <w:pStyle w:val="20"/>
        <w:spacing w:line="360" w:lineRule="auto"/>
        <w:jc w:val="center"/>
        <w:rPr>
          <w:rFonts w:hint="eastAsia" w:ascii="宋体" w:hAnsi="宋体" w:eastAsia="宋体" w:cs="宋体"/>
          <w:sz w:val="36"/>
          <w:szCs w:val="36"/>
        </w:rPr>
      </w:pPr>
      <w:r>
        <w:rPr>
          <w:rFonts w:hint="eastAsia" w:ascii="宋体" w:hAnsi="宋体" w:eastAsia="宋体" w:cs="宋体"/>
          <w:sz w:val="36"/>
          <w:szCs w:val="36"/>
        </w:rPr>
        <w:t>（封面格式）</w:t>
      </w:r>
    </w:p>
    <w:p>
      <w:pPr>
        <w:pStyle w:val="20"/>
        <w:spacing w:line="360" w:lineRule="auto"/>
        <w:jc w:val="center"/>
        <w:rPr>
          <w:rFonts w:hint="eastAsia" w:ascii="宋体" w:hAnsi="宋体" w:eastAsia="宋体" w:cs="宋体"/>
          <w:sz w:val="36"/>
          <w:szCs w:val="36"/>
        </w:rPr>
      </w:pPr>
    </w:p>
    <w:p>
      <w:pPr>
        <w:pStyle w:val="20"/>
        <w:spacing w:line="360" w:lineRule="auto"/>
        <w:ind w:firstLine="2160" w:firstLineChars="600"/>
        <w:rPr>
          <w:rFonts w:hint="eastAsia" w:ascii="宋体" w:hAnsi="宋体" w:eastAsia="宋体" w:cs="宋体"/>
          <w:sz w:val="36"/>
          <w:szCs w:val="36"/>
        </w:rPr>
      </w:pPr>
      <w:r>
        <w:rPr>
          <w:rFonts w:hint="eastAsia" w:ascii="宋体" w:hAnsi="宋体" w:eastAsia="宋体" w:cs="宋体"/>
          <w:sz w:val="36"/>
          <w:szCs w:val="36"/>
        </w:rPr>
        <w:t xml:space="preserve">                            </w:t>
      </w:r>
      <w:r>
        <w:rPr>
          <w:rFonts w:hint="eastAsia" w:ascii="宋体" w:hAnsi="宋体" w:eastAsia="宋体" w:cs="宋体"/>
          <w:sz w:val="36"/>
          <w:szCs w:val="36"/>
          <w:u w:val="single"/>
        </w:rPr>
        <w:t xml:space="preserve"> 正/副 </w:t>
      </w:r>
      <w:r>
        <w:rPr>
          <w:rFonts w:hint="eastAsia" w:ascii="宋体" w:hAnsi="宋体" w:eastAsia="宋体" w:cs="宋体"/>
          <w:sz w:val="36"/>
          <w:szCs w:val="36"/>
        </w:rPr>
        <w:t>本</w:t>
      </w:r>
    </w:p>
    <w:p>
      <w:pPr>
        <w:pStyle w:val="20"/>
        <w:spacing w:line="360" w:lineRule="auto"/>
        <w:jc w:val="center"/>
        <w:rPr>
          <w:rFonts w:hint="eastAsia" w:ascii="宋体" w:hAnsi="宋体" w:eastAsia="宋体" w:cs="宋体"/>
          <w:sz w:val="36"/>
          <w:szCs w:val="36"/>
        </w:rPr>
      </w:pPr>
    </w:p>
    <w:p>
      <w:pPr>
        <w:pStyle w:val="20"/>
        <w:spacing w:line="360" w:lineRule="auto"/>
        <w:jc w:val="center"/>
        <w:rPr>
          <w:rFonts w:hint="eastAsia" w:ascii="宋体" w:hAnsi="宋体" w:eastAsia="宋体" w:cs="宋体"/>
          <w:sz w:val="36"/>
          <w:szCs w:val="36"/>
        </w:rPr>
      </w:pPr>
      <w:r>
        <w:rPr>
          <w:rFonts w:hint="eastAsia" w:ascii="宋体" w:hAnsi="宋体" w:eastAsia="宋体" w:cs="宋体"/>
          <w:sz w:val="36"/>
          <w:szCs w:val="36"/>
        </w:rPr>
        <w:t xml:space="preserve">    </w:t>
      </w:r>
      <w:r>
        <w:rPr>
          <w:rFonts w:hint="eastAsia" w:ascii="宋体" w:hAnsi="宋体" w:eastAsia="宋体" w:cs="宋体"/>
          <w:sz w:val="36"/>
          <w:szCs w:val="36"/>
          <w:u w:val="single"/>
        </w:rPr>
        <w:t xml:space="preserve">                      </w:t>
      </w:r>
      <w:r>
        <w:rPr>
          <w:rFonts w:hint="eastAsia" w:ascii="宋体" w:hAnsi="宋体" w:eastAsia="宋体" w:cs="宋体"/>
          <w:sz w:val="36"/>
          <w:szCs w:val="36"/>
        </w:rPr>
        <w:t>（项目名称）</w:t>
      </w:r>
    </w:p>
    <w:p>
      <w:pPr>
        <w:pStyle w:val="20"/>
        <w:spacing w:line="360" w:lineRule="auto"/>
        <w:jc w:val="center"/>
        <w:rPr>
          <w:rFonts w:hint="eastAsia" w:ascii="宋体" w:hAnsi="宋体" w:eastAsia="宋体" w:cs="宋体"/>
          <w:sz w:val="36"/>
          <w:szCs w:val="36"/>
        </w:rPr>
      </w:pPr>
    </w:p>
    <w:p>
      <w:pPr>
        <w:pStyle w:val="20"/>
        <w:spacing w:line="360" w:lineRule="auto"/>
        <w:jc w:val="center"/>
        <w:rPr>
          <w:rFonts w:hint="eastAsia" w:ascii="宋体" w:hAnsi="宋体" w:eastAsia="宋体" w:cs="宋体"/>
          <w:sz w:val="36"/>
          <w:szCs w:val="36"/>
        </w:rPr>
      </w:pPr>
    </w:p>
    <w:p>
      <w:pPr>
        <w:pStyle w:val="20"/>
        <w:spacing w:line="360" w:lineRule="auto"/>
        <w:jc w:val="center"/>
        <w:rPr>
          <w:rFonts w:hint="eastAsia" w:ascii="宋体" w:hAnsi="宋体" w:eastAsia="宋体" w:cs="宋体"/>
          <w:sz w:val="72"/>
          <w:szCs w:val="72"/>
        </w:rPr>
      </w:pPr>
      <w:r>
        <w:rPr>
          <w:rFonts w:hint="eastAsia" w:ascii="宋体" w:hAnsi="宋体" w:eastAsia="宋体" w:cs="宋体"/>
          <w:sz w:val="72"/>
          <w:szCs w:val="72"/>
        </w:rPr>
        <w:t>响 应 文 件</w:t>
      </w:r>
    </w:p>
    <w:p>
      <w:pPr>
        <w:pStyle w:val="20"/>
        <w:spacing w:line="360" w:lineRule="auto"/>
        <w:jc w:val="center"/>
        <w:rPr>
          <w:rFonts w:hint="eastAsia" w:ascii="宋体" w:hAnsi="宋体" w:eastAsia="宋体" w:cs="宋体"/>
          <w:sz w:val="36"/>
          <w:szCs w:val="36"/>
        </w:rPr>
      </w:pPr>
    </w:p>
    <w:p>
      <w:pPr>
        <w:pStyle w:val="20"/>
        <w:spacing w:line="360" w:lineRule="auto"/>
        <w:jc w:val="center"/>
        <w:rPr>
          <w:rFonts w:hint="eastAsia" w:ascii="宋体" w:hAnsi="宋体" w:eastAsia="宋体" w:cs="宋体"/>
          <w:sz w:val="36"/>
          <w:szCs w:val="36"/>
        </w:rPr>
      </w:pPr>
    </w:p>
    <w:p>
      <w:pPr>
        <w:pStyle w:val="20"/>
        <w:spacing w:line="360" w:lineRule="auto"/>
        <w:ind w:firstLine="3200" w:firstLineChars="1000"/>
        <w:outlineLvl w:val="0"/>
        <w:rPr>
          <w:rFonts w:hint="eastAsia" w:ascii="宋体" w:hAnsi="宋体" w:eastAsia="宋体" w:cs="宋体"/>
          <w:sz w:val="32"/>
          <w:szCs w:val="32"/>
          <w:u w:val="single"/>
        </w:rPr>
      </w:pPr>
      <w:bookmarkStart w:id="510" w:name="_Toc3762"/>
      <w:r>
        <w:rPr>
          <w:rFonts w:hint="eastAsia" w:ascii="宋体" w:hAnsi="宋体" w:eastAsia="宋体" w:cs="宋体"/>
          <w:sz w:val="32"/>
          <w:szCs w:val="32"/>
        </w:rPr>
        <w:t>采购项目编号：</w:t>
      </w:r>
      <w:bookmarkEnd w:id="510"/>
      <w:r>
        <w:rPr>
          <w:rFonts w:hint="eastAsia" w:ascii="宋体" w:hAnsi="宋体" w:eastAsia="宋体" w:cs="宋体"/>
          <w:sz w:val="32"/>
          <w:szCs w:val="32"/>
          <w:u w:val="single"/>
        </w:rPr>
        <w:t xml:space="preserve">               </w:t>
      </w:r>
    </w:p>
    <w:p>
      <w:pPr>
        <w:pStyle w:val="20"/>
        <w:spacing w:line="360" w:lineRule="auto"/>
        <w:ind w:firstLine="2560" w:firstLineChars="800"/>
        <w:rPr>
          <w:rFonts w:hint="eastAsia" w:ascii="宋体" w:hAnsi="宋体" w:eastAsia="宋体" w:cs="宋体"/>
          <w:sz w:val="32"/>
          <w:szCs w:val="32"/>
          <w:u w:val="single"/>
        </w:rPr>
      </w:pPr>
    </w:p>
    <w:p>
      <w:pPr>
        <w:pStyle w:val="20"/>
        <w:spacing w:line="360" w:lineRule="auto"/>
        <w:rPr>
          <w:rFonts w:hint="eastAsia" w:ascii="宋体" w:hAnsi="宋体" w:eastAsia="宋体" w:cs="宋体"/>
          <w:sz w:val="32"/>
          <w:szCs w:val="32"/>
          <w:u w:val="single"/>
        </w:rPr>
      </w:pPr>
    </w:p>
    <w:p>
      <w:pPr>
        <w:pStyle w:val="20"/>
        <w:spacing w:line="360" w:lineRule="auto"/>
        <w:rPr>
          <w:rFonts w:hint="eastAsia" w:ascii="宋体" w:hAnsi="宋体" w:eastAsia="宋体" w:cs="宋体"/>
          <w:sz w:val="32"/>
          <w:szCs w:val="32"/>
          <w:u w:val="single"/>
        </w:rPr>
      </w:pPr>
    </w:p>
    <w:p>
      <w:pPr>
        <w:pStyle w:val="20"/>
        <w:spacing w:line="360" w:lineRule="auto"/>
        <w:ind w:firstLine="480" w:firstLineChars="150"/>
        <w:outlineLvl w:val="0"/>
        <w:rPr>
          <w:rFonts w:hint="eastAsia" w:ascii="宋体" w:hAnsi="宋体" w:eastAsia="宋体" w:cs="宋体"/>
          <w:sz w:val="32"/>
          <w:szCs w:val="32"/>
          <w:u w:val="single"/>
        </w:rPr>
      </w:pPr>
      <w:bookmarkStart w:id="511" w:name="_Toc26190"/>
      <w:r>
        <w:rPr>
          <w:rFonts w:hint="eastAsia" w:ascii="宋体" w:hAnsi="宋体" w:eastAsia="宋体" w:cs="宋体"/>
          <w:sz w:val="32"/>
          <w:szCs w:val="32"/>
        </w:rPr>
        <w:t>供应商：</w:t>
      </w:r>
      <w:r>
        <w:rPr>
          <w:rFonts w:hint="eastAsia" w:ascii="宋体" w:hAnsi="宋体" w:eastAsia="宋体" w:cs="宋体"/>
          <w:sz w:val="32"/>
          <w:szCs w:val="32"/>
          <w:u w:val="single"/>
        </w:rPr>
        <w:t xml:space="preserve">                             （盖单位公章）</w:t>
      </w:r>
      <w:bookmarkEnd w:id="511"/>
    </w:p>
    <w:p>
      <w:pPr>
        <w:pStyle w:val="20"/>
        <w:spacing w:line="360" w:lineRule="auto"/>
        <w:ind w:firstLine="480" w:firstLineChars="150"/>
        <w:outlineLvl w:val="0"/>
        <w:rPr>
          <w:rFonts w:hint="eastAsia" w:ascii="宋体" w:hAnsi="宋体" w:eastAsia="宋体" w:cs="宋体"/>
          <w:sz w:val="32"/>
          <w:szCs w:val="32"/>
        </w:rPr>
      </w:pPr>
      <w:bookmarkStart w:id="512" w:name="_Toc30902"/>
      <w:r>
        <w:rPr>
          <w:rFonts w:hint="eastAsia" w:ascii="宋体" w:hAnsi="宋体" w:eastAsia="宋体" w:cs="宋体"/>
          <w:sz w:val="32"/>
          <w:szCs w:val="32"/>
        </w:rPr>
        <w:t>法定代表人或其委托代理人：</w:t>
      </w:r>
      <w:r>
        <w:rPr>
          <w:rFonts w:hint="eastAsia" w:ascii="宋体" w:hAnsi="宋体" w:eastAsia="宋体" w:cs="宋体"/>
          <w:sz w:val="32"/>
          <w:szCs w:val="32"/>
          <w:u w:val="single"/>
        </w:rPr>
        <w:t xml:space="preserve">                 （签名）</w:t>
      </w:r>
      <w:bookmarkEnd w:id="512"/>
    </w:p>
    <w:p>
      <w:pPr>
        <w:pStyle w:val="20"/>
        <w:spacing w:line="360" w:lineRule="auto"/>
        <w:ind w:firstLine="1760" w:firstLineChars="550"/>
        <w:outlineLvl w:val="0"/>
        <w:rPr>
          <w:rFonts w:hint="eastAsia" w:ascii="宋体" w:hAnsi="宋体" w:eastAsia="宋体" w:cs="宋体"/>
          <w:sz w:val="32"/>
          <w:szCs w:val="32"/>
        </w:rPr>
      </w:pPr>
      <w:bookmarkStart w:id="513" w:name="_Toc20726"/>
      <w:r>
        <w:rPr>
          <w:rFonts w:hint="eastAsia" w:ascii="宋体" w:hAnsi="宋体" w:eastAsia="宋体" w:cs="宋体"/>
          <w:sz w:val="32"/>
          <w:szCs w:val="32"/>
        </w:rPr>
        <w:t>日期：</w:t>
      </w:r>
      <w:r>
        <w:rPr>
          <w:rFonts w:hint="eastAsia" w:ascii="宋体" w:hAnsi="宋体" w:eastAsia="宋体" w:cs="宋体"/>
          <w:sz w:val="32"/>
          <w:szCs w:val="32"/>
          <w:u w:val="single"/>
        </w:rPr>
        <w:t xml:space="preserve">         </w:t>
      </w:r>
      <w:r>
        <w:rPr>
          <w:rFonts w:hint="eastAsia" w:ascii="宋体" w:hAnsi="宋体" w:eastAsia="宋体" w:cs="宋体"/>
          <w:sz w:val="32"/>
          <w:szCs w:val="32"/>
        </w:rPr>
        <w:t>年</w:t>
      </w:r>
      <w:r>
        <w:rPr>
          <w:rFonts w:hint="eastAsia" w:ascii="宋体" w:hAnsi="宋体" w:eastAsia="宋体" w:cs="宋体"/>
          <w:sz w:val="32"/>
          <w:szCs w:val="32"/>
          <w:u w:val="single"/>
        </w:rPr>
        <w:t xml:space="preserve">     </w:t>
      </w:r>
      <w:r>
        <w:rPr>
          <w:rFonts w:hint="eastAsia" w:ascii="宋体" w:hAnsi="宋体" w:eastAsia="宋体" w:cs="宋体"/>
          <w:sz w:val="32"/>
          <w:szCs w:val="32"/>
        </w:rPr>
        <w:t>月</w:t>
      </w:r>
      <w:r>
        <w:rPr>
          <w:rFonts w:hint="eastAsia" w:ascii="宋体" w:hAnsi="宋体" w:eastAsia="宋体" w:cs="宋体"/>
          <w:sz w:val="32"/>
          <w:szCs w:val="32"/>
          <w:u w:val="single"/>
        </w:rPr>
        <w:t xml:space="preserve">     </w:t>
      </w:r>
      <w:r>
        <w:rPr>
          <w:rFonts w:hint="eastAsia" w:ascii="宋体" w:hAnsi="宋体" w:eastAsia="宋体" w:cs="宋体"/>
          <w:sz w:val="32"/>
          <w:szCs w:val="32"/>
        </w:rPr>
        <w:t>日</w:t>
      </w:r>
      <w:bookmarkEnd w:id="513"/>
    </w:p>
    <w:p>
      <w:pPr>
        <w:pStyle w:val="20"/>
        <w:adjustRightInd w:val="0"/>
        <w:spacing w:line="360" w:lineRule="auto"/>
        <w:ind w:firstLine="480" w:firstLineChars="200"/>
        <w:rPr>
          <w:rFonts w:hint="eastAsia" w:ascii="宋体" w:hAnsi="宋体" w:eastAsia="宋体" w:cs="宋体"/>
          <w:sz w:val="24"/>
        </w:rPr>
      </w:pPr>
    </w:p>
    <w:p>
      <w:pPr>
        <w:autoSpaceDE w:val="0"/>
        <w:autoSpaceDN w:val="0"/>
        <w:adjustRightInd w:val="0"/>
        <w:spacing w:line="360" w:lineRule="auto"/>
        <w:rPr>
          <w:rFonts w:hint="eastAsia" w:ascii="宋体" w:hAnsi="宋体" w:eastAsia="宋体" w:cs="宋体"/>
          <w:b/>
          <w:sz w:val="24"/>
          <w:szCs w:val="24"/>
        </w:rPr>
      </w:pPr>
    </w:p>
    <w:p>
      <w:pPr>
        <w:autoSpaceDE w:val="0"/>
        <w:autoSpaceDN w:val="0"/>
        <w:adjustRightInd w:val="0"/>
        <w:spacing w:line="360" w:lineRule="auto"/>
        <w:rPr>
          <w:rFonts w:hint="eastAsia" w:ascii="宋体" w:hAnsi="宋体" w:eastAsia="宋体" w:cs="宋体"/>
          <w:b/>
          <w:sz w:val="24"/>
          <w:szCs w:val="24"/>
        </w:rPr>
      </w:pPr>
    </w:p>
    <w:p>
      <w:pPr>
        <w:autoSpaceDE w:val="0"/>
        <w:autoSpaceDN w:val="0"/>
        <w:adjustRightInd w:val="0"/>
        <w:spacing w:line="360" w:lineRule="auto"/>
        <w:outlineLvl w:val="0"/>
        <w:rPr>
          <w:rFonts w:hint="eastAsia" w:ascii="宋体" w:hAnsi="宋体" w:eastAsia="宋体" w:cs="宋体"/>
          <w:b/>
          <w:sz w:val="24"/>
          <w:szCs w:val="24"/>
        </w:rPr>
      </w:pPr>
      <w:bookmarkStart w:id="514" w:name="_Toc18493"/>
      <w:r>
        <w:rPr>
          <w:rFonts w:hint="eastAsia" w:ascii="宋体" w:hAnsi="宋体" w:eastAsia="宋体" w:cs="宋体"/>
          <w:b/>
          <w:sz w:val="24"/>
          <w:szCs w:val="24"/>
        </w:rPr>
        <w:t>格式2：</w:t>
      </w:r>
      <w:bookmarkEnd w:id="514"/>
    </w:p>
    <w:p>
      <w:pPr>
        <w:autoSpaceDE w:val="0"/>
        <w:autoSpaceDN w:val="0"/>
        <w:adjustRightInd w:val="0"/>
        <w:spacing w:line="360" w:lineRule="auto"/>
        <w:jc w:val="center"/>
        <w:outlineLvl w:val="1"/>
        <w:rPr>
          <w:rFonts w:hint="eastAsia" w:ascii="宋体" w:hAnsi="宋体" w:eastAsia="宋体" w:cs="宋体"/>
          <w:b/>
          <w:kern w:val="0"/>
          <w:sz w:val="32"/>
          <w:szCs w:val="32"/>
        </w:rPr>
      </w:pPr>
      <w:r>
        <w:rPr>
          <w:rFonts w:hint="eastAsia" w:ascii="宋体" w:hAnsi="宋体" w:eastAsia="宋体" w:cs="宋体"/>
          <w:b/>
          <w:kern w:val="0"/>
          <w:sz w:val="32"/>
          <w:szCs w:val="32"/>
        </w:rPr>
        <w:t>磋 商 报 价 函</w:t>
      </w:r>
    </w:p>
    <w:p>
      <w:pPr>
        <w:pStyle w:val="20"/>
        <w:adjustRightInd w:val="0"/>
        <w:snapToGrid w:val="0"/>
        <w:spacing w:line="360" w:lineRule="auto"/>
        <w:rPr>
          <w:rFonts w:hint="eastAsia" w:ascii="宋体" w:hAnsi="宋体" w:eastAsia="宋体" w:cs="宋体"/>
          <w:szCs w:val="21"/>
        </w:rPr>
      </w:pPr>
    </w:p>
    <w:p>
      <w:pPr>
        <w:pStyle w:val="20"/>
        <w:adjustRightInd w:val="0"/>
        <w:snapToGrid w:val="0"/>
        <w:spacing w:line="440" w:lineRule="exact"/>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 xml:space="preserve">                              </w:t>
      </w:r>
      <w:r>
        <w:rPr>
          <w:rFonts w:hint="eastAsia" w:ascii="宋体" w:hAnsi="宋体" w:eastAsia="宋体" w:cs="宋体"/>
          <w:sz w:val="21"/>
          <w:szCs w:val="21"/>
        </w:rPr>
        <w:t>(采购人)</w:t>
      </w:r>
    </w:p>
    <w:p>
      <w:pPr>
        <w:pStyle w:val="20"/>
        <w:adjustRightInd w:val="0"/>
        <w:snapToGrid w:val="0"/>
        <w:spacing w:line="440" w:lineRule="exact"/>
        <w:textAlignment w:val="baseline"/>
        <w:rPr>
          <w:rFonts w:hint="eastAsia" w:ascii="宋体" w:hAnsi="宋体" w:eastAsia="宋体" w:cs="宋体"/>
          <w:sz w:val="21"/>
          <w:szCs w:val="21"/>
        </w:rPr>
      </w:pPr>
      <w:r>
        <w:rPr>
          <w:rFonts w:hint="eastAsia" w:ascii="宋体" w:hAnsi="宋体" w:eastAsia="宋体" w:cs="宋体"/>
          <w:sz w:val="21"/>
          <w:szCs w:val="21"/>
        </w:rPr>
        <w:t xml:space="preserve">    根据贵方</w:t>
      </w:r>
      <w:r>
        <w:rPr>
          <w:rFonts w:hint="eastAsia" w:ascii="宋体" w:hAnsi="宋体" w:eastAsia="宋体" w:cs="宋体"/>
          <w:sz w:val="21"/>
          <w:szCs w:val="21"/>
          <w:u w:val="single"/>
        </w:rPr>
        <w:t xml:space="preserve">             </w:t>
      </w:r>
      <w:r>
        <w:rPr>
          <w:rFonts w:hint="eastAsia" w:ascii="宋体" w:hAnsi="宋体" w:eastAsia="宋体" w:cs="宋体"/>
          <w:sz w:val="21"/>
          <w:szCs w:val="21"/>
        </w:rPr>
        <w:t>项目的</w:t>
      </w:r>
      <w:r>
        <w:rPr>
          <w:rFonts w:hint="eastAsia" w:ascii="宋体" w:hAnsi="宋体" w:eastAsia="宋体" w:cs="宋体"/>
          <w:sz w:val="21"/>
          <w:szCs w:val="21"/>
          <w:lang w:eastAsia="zh-CN"/>
        </w:rPr>
        <w:t>竞争性磋商采购文件</w:t>
      </w:r>
      <w:r>
        <w:rPr>
          <w:rFonts w:hint="eastAsia" w:ascii="宋体" w:hAnsi="宋体" w:eastAsia="宋体" w:cs="宋体"/>
          <w:sz w:val="21"/>
          <w:szCs w:val="21"/>
        </w:rPr>
        <w:t>要求，正式授权下述签字人</w:t>
      </w:r>
      <w:r>
        <w:rPr>
          <w:rFonts w:hint="eastAsia" w:ascii="宋体" w:hAnsi="宋体" w:eastAsia="宋体" w:cs="宋体"/>
          <w:sz w:val="21"/>
          <w:szCs w:val="21"/>
          <w:u w:val="single"/>
        </w:rPr>
        <w:t xml:space="preserve">      </w:t>
      </w:r>
      <w:r>
        <w:rPr>
          <w:rFonts w:hint="eastAsia" w:ascii="宋体" w:hAnsi="宋体" w:eastAsia="宋体" w:cs="宋体"/>
          <w:sz w:val="21"/>
          <w:szCs w:val="21"/>
        </w:rPr>
        <w:t>（姓名 ）代表</w:t>
      </w:r>
      <w:r>
        <w:rPr>
          <w:rFonts w:hint="eastAsia" w:ascii="宋体" w:hAnsi="宋体" w:eastAsia="宋体" w:cs="宋体"/>
          <w:sz w:val="21"/>
          <w:szCs w:val="21"/>
          <w:u w:val="single"/>
        </w:rPr>
        <w:t xml:space="preserve">             </w:t>
      </w:r>
      <w:r>
        <w:rPr>
          <w:rFonts w:hint="eastAsia" w:ascii="宋体" w:hAnsi="宋体" w:eastAsia="宋体" w:cs="宋体"/>
          <w:sz w:val="21"/>
          <w:szCs w:val="21"/>
        </w:rPr>
        <w:t>（供应商名称），提交下述文件正本壹本，副本叁本。</w:t>
      </w:r>
    </w:p>
    <w:p>
      <w:pPr>
        <w:pStyle w:val="20"/>
        <w:adjustRightInd w:val="0"/>
        <w:snapToGrid w:val="0"/>
        <w:spacing w:line="44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据此函，签字人宣布同意如下：</w:t>
      </w:r>
    </w:p>
    <w:p>
      <w:pPr>
        <w:pStyle w:val="20"/>
        <w:adjustRightInd w:val="0"/>
        <w:snapToGrid w:val="0"/>
        <w:spacing w:line="440" w:lineRule="exact"/>
        <w:ind w:firstLine="420" w:firstLineChars="200"/>
        <w:textAlignment w:val="baseline"/>
        <w:rPr>
          <w:rFonts w:hint="eastAsia" w:ascii="宋体" w:hAnsi="宋体" w:eastAsia="宋体" w:cs="宋体"/>
          <w:b/>
          <w:sz w:val="21"/>
          <w:szCs w:val="21"/>
          <w:u w:val="single"/>
        </w:rPr>
      </w:pPr>
      <w:r>
        <w:rPr>
          <w:rFonts w:hint="eastAsia" w:ascii="宋体" w:hAnsi="宋体" w:eastAsia="宋体" w:cs="宋体"/>
          <w:sz w:val="21"/>
          <w:szCs w:val="21"/>
        </w:rPr>
        <w:t>1.我们将按</w:t>
      </w:r>
      <w:r>
        <w:rPr>
          <w:rFonts w:hint="eastAsia" w:ascii="宋体" w:hAnsi="宋体" w:eastAsia="宋体" w:cs="宋体"/>
          <w:sz w:val="21"/>
          <w:szCs w:val="21"/>
          <w:lang w:eastAsia="zh-CN"/>
        </w:rPr>
        <w:t>竞争性磋商采购文件</w:t>
      </w:r>
      <w:r>
        <w:rPr>
          <w:rFonts w:hint="eastAsia" w:ascii="宋体" w:hAnsi="宋体" w:eastAsia="宋体" w:cs="宋体"/>
          <w:sz w:val="21"/>
          <w:szCs w:val="21"/>
        </w:rPr>
        <w:t>的规定及响应文件承诺提供</w:t>
      </w:r>
      <w:r>
        <w:rPr>
          <w:rFonts w:hint="eastAsia" w:ascii="宋体" w:hAnsi="宋体" w:eastAsia="宋体" w:cs="宋体"/>
          <w:sz w:val="21"/>
          <w:szCs w:val="21"/>
          <w:u w:val="single"/>
          <w:lang w:eastAsia="zh-CN"/>
        </w:rPr>
        <w:t>预算联网监督系统二期项目软件开发</w:t>
      </w:r>
      <w:r>
        <w:rPr>
          <w:rFonts w:hint="eastAsia" w:ascii="宋体" w:hAnsi="宋体" w:eastAsia="宋体" w:cs="宋体"/>
          <w:sz w:val="21"/>
          <w:szCs w:val="21"/>
        </w:rPr>
        <w:t>，我方报价如下：磋商总报价人民币（大写）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bCs/>
          <w:sz w:val="21"/>
          <w:szCs w:val="21"/>
        </w:rPr>
        <w:t>合同履行期限</w:t>
      </w:r>
      <w:r>
        <w:rPr>
          <w:rFonts w:hint="eastAsia" w:ascii="宋体" w:hAnsi="宋体" w:eastAsia="宋体" w:cs="宋体"/>
          <w:sz w:val="21"/>
          <w:szCs w:val="21"/>
        </w:rPr>
        <w:t>：</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pPr>
        <w:pStyle w:val="20"/>
        <w:adjustRightInd w:val="0"/>
        <w:snapToGrid w:val="0"/>
        <w:spacing w:line="44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2.我方同意在供应商须知规定的时间起遵循本响应文件，并在供应商须知规定的</w:t>
      </w:r>
      <w:r>
        <w:rPr>
          <w:rFonts w:hint="eastAsia" w:ascii="宋体" w:hAnsi="宋体" w:eastAsia="宋体" w:cs="宋体"/>
          <w:kern w:val="0"/>
          <w:sz w:val="21"/>
          <w:szCs w:val="21"/>
        </w:rPr>
        <w:t>磋商</w:t>
      </w:r>
      <w:r>
        <w:rPr>
          <w:rFonts w:hint="eastAsia" w:ascii="宋体" w:hAnsi="宋体" w:eastAsia="宋体" w:cs="宋体"/>
          <w:sz w:val="21"/>
          <w:szCs w:val="21"/>
        </w:rPr>
        <w:t>有效期满之前均具有约束力，并有可能成交。</w:t>
      </w:r>
    </w:p>
    <w:p>
      <w:pPr>
        <w:pStyle w:val="20"/>
        <w:spacing w:line="44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3.我方承诺已经具备《中华人民共和国政府采购法》中规定的参加政府采购活动的供应商应当具备的条件：</w:t>
      </w:r>
    </w:p>
    <w:p>
      <w:pPr>
        <w:pStyle w:val="20"/>
        <w:adjustRightInd w:val="0"/>
        <w:snapToGrid w:val="0"/>
        <w:spacing w:line="440" w:lineRule="exact"/>
        <w:ind w:left="420"/>
        <w:textAlignment w:val="baseline"/>
        <w:rPr>
          <w:rFonts w:hint="eastAsia" w:ascii="宋体" w:hAnsi="宋体" w:eastAsia="宋体" w:cs="宋体"/>
          <w:sz w:val="21"/>
          <w:szCs w:val="21"/>
        </w:rPr>
      </w:pPr>
      <w:r>
        <w:rPr>
          <w:rFonts w:hint="eastAsia" w:ascii="宋体" w:hAnsi="宋体" w:eastAsia="宋体" w:cs="宋体"/>
          <w:sz w:val="21"/>
          <w:szCs w:val="21"/>
        </w:rPr>
        <w:t>（1）具有独立承担民事责任的能力；</w:t>
      </w:r>
    </w:p>
    <w:p>
      <w:pPr>
        <w:pStyle w:val="20"/>
        <w:adjustRightInd w:val="0"/>
        <w:snapToGrid w:val="0"/>
        <w:spacing w:line="440" w:lineRule="exact"/>
        <w:ind w:firstLine="420"/>
        <w:textAlignment w:val="baseline"/>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w:t>
      </w:r>
    </w:p>
    <w:p>
      <w:pPr>
        <w:pStyle w:val="20"/>
        <w:adjustRightInd w:val="0"/>
        <w:snapToGrid w:val="0"/>
        <w:spacing w:line="440" w:lineRule="exact"/>
        <w:ind w:firstLine="420"/>
        <w:textAlignment w:val="baseline"/>
        <w:rPr>
          <w:rFonts w:hint="eastAsia" w:ascii="宋体" w:hAnsi="宋体" w:eastAsia="宋体" w:cs="宋体"/>
          <w:sz w:val="21"/>
          <w:szCs w:val="21"/>
        </w:rPr>
      </w:pPr>
      <w:r>
        <w:rPr>
          <w:rFonts w:hint="eastAsia" w:ascii="宋体" w:hAnsi="宋体" w:eastAsia="宋体" w:cs="宋体"/>
          <w:sz w:val="21"/>
          <w:szCs w:val="21"/>
        </w:rPr>
        <w:t>（3）具有履行合同所必需专业技术能力；</w:t>
      </w:r>
    </w:p>
    <w:p>
      <w:pPr>
        <w:pStyle w:val="20"/>
        <w:adjustRightInd w:val="0"/>
        <w:snapToGrid w:val="0"/>
        <w:spacing w:line="440" w:lineRule="exact"/>
        <w:ind w:firstLine="420"/>
        <w:textAlignment w:val="baseline"/>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w:t>
      </w:r>
    </w:p>
    <w:p>
      <w:pPr>
        <w:pStyle w:val="20"/>
        <w:adjustRightInd w:val="0"/>
        <w:snapToGrid w:val="0"/>
        <w:spacing w:line="440" w:lineRule="exact"/>
        <w:ind w:firstLine="420"/>
        <w:textAlignment w:val="baseline"/>
        <w:rPr>
          <w:rFonts w:hint="eastAsia" w:ascii="宋体" w:hAnsi="宋体" w:eastAsia="宋体" w:cs="宋体"/>
          <w:sz w:val="21"/>
          <w:szCs w:val="21"/>
        </w:rPr>
      </w:pPr>
      <w:r>
        <w:rPr>
          <w:rFonts w:hint="eastAsia" w:ascii="宋体" w:hAnsi="宋体" w:eastAsia="宋体" w:cs="宋体"/>
          <w:sz w:val="21"/>
          <w:szCs w:val="21"/>
        </w:rPr>
        <w:t>（5）参加此项</w:t>
      </w:r>
      <w:r>
        <w:rPr>
          <w:rFonts w:hint="eastAsia" w:ascii="宋体" w:hAnsi="宋体" w:eastAsia="宋体" w:cs="宋体"/>
          <w:kern w:val="0"/>
          <w:sz w:val="21"/>
          <w:szCs w:val="21"/>
        </w:rPr>
        <w:t>磋商</w:t>
      </w:r>
      <w:r>
        <w:rPr>
          <w:rFonts w:hint="eastAsia" w:ascii="宋体" w:hAnsi="宋体" w:eastAsia="宋体" w:cs="宋体"/>
          <w:sz w:val="21"/>
          <w:szCs w:val="21"/>
        </w:rPr>
        <w:t>活动前三年内，在经营活动中没有重大违法记录。</w:t>
      </w:r>
    </w:p>
    <w:p>
      <w:pPr>
        <w:pStyle w:val="20"/>
        <w:adjustRightInd w:val="0"/>
        <w:snapToGrid w:val="0"/>
        <w:spacing w:line="440" w:lineRule="exact"/>
        <w:ind w:firstLine="420"/>
        <w:textAlignment w:val="baseline"/>
        <w:rPr>
          <w:rFonts w:hint="eastAsia" w:ascii="宋体" w:hAnsi="宋体" w:eastAsia="宋体" w:cs="宋体"/>
          <w:sz w:val="21"/>
          <w:szCs w:val="21"/>
        </w:rPr>
      </w:pPr>
      <w:r>
        <w:rPr>
          <w:rFonts w:hint="eastAsia" w:ascii="宋体" w:hAnsi="宋体" w:eastAsia="宋体" w:cs="宋体"/>
          <w:sz w:val="21"/>
          <w:szCs w:val="21"/>
        </w:rPr>
        <w:t>4.我方根据竞争性磋商条件书的规定，承担完成合同的责任和义务。</w:t>
      </w:r>
    </w:p>
    <w:p>
      <w:pPr>
        <w:pStyle w:val="20"/>
        <w:adjustRightInd w:val="0"/>
        <w:snapToGrid w:val="0"/>
        <w:spacing w:line="440" w:lineRule="exact"/>
        <w:ind w:firstLine="420"/>
        <w:textAlignment w:val="baseline"/>
        <w:rPr>
          <w:rFonts w:hint="eastAsia" w:ascii="宋体" w:hAnsi="宋体" w:eastAsia="宋体" w:cs="宋体"/>
          <w:sz w:val="21"/>
          <w:szCs w:val="21"/>
        </w:rPr>
      </w:pPr>
      <w:r>
        <w:rPr>
          <w:rFonts w:hint="eastAsia" w:ascii="宋体" w:hAnsi="宋体" w:eastAsia="宋体" w:cs="宋体"/>
          <w:sz w:val="21"/>
          <w:szCs w:val="21"/>
        </w:rPr>
        <w:t>5.我方已详细审核竞争性磋商条件书，放弃提出含糊不清或误解问题的权利。</w:t>
      </w:r>
    </w:p>
    <w:p>
      <w:pPr>
        <w:pStyle w:val="20"/>
        <w:adjustRightInd w:val="0"/>
        <w:snapToGrid w:val="0"/>
        <w:spacing w:line="440" w:lineRule="exact"/>
        <w:ind w:firstLine="420"/>
        <w:textAlignment w:val="baseline"/>
        <w:rPr>
          <w:rFonts w:hint="eastAsia" w:ascii="宋体" w:hAnsi="宋体" w:eastAsia="宋体" w:cs="宋体"/>
          <w:sz w:val="21"/>
          <w:szCs w:val="21"/>
        </w:rPr>
      </w:pPr>
      <w:r>
        <w:rPr>
          <w:rFonts w:hint="eastAsia" w:ascii="宋体" w:hAnsi="宋体" w:eastAsia="宋体" w:cs="宋体"/>
          <w:sz w:val="21"/>
          <w:szCs w:val="21"/>
        </w:rPr>
        <w:t>6.如果在磋商截止时间后的磋商有效期内撤回响应或者有其他违法行为，我方的磋商保证金可被贵方全部没收。</w:t>
      </w:r>
    </w:p>
    <w:p>
      <w:pPr>
        <w:pStyle w:val="20"/>
        <w:adjustRightInd w:val="0"/>
        <w:snapToGrid w:val="0"/>
        <w:spacing w:line="440" w:lineRule="exact"/>
        <w:ind w:firstLine="420"/>
        <w:textAlignment w:val="baseline"/>
        <w:rPr>
          <w:rFonts w:hint="eastAsia" w:ascii="宋体" w:hAnsi="宋体" w:eastAsia="宋体" w:cs="宋体"/>
          <w:sz w:val="21"/>
          <w:szCs w:val="21"/>
        </w:rPr>
      </w:pPr>
      <w:r>
        <w:rPr>
          <w:rFonts w:hint="eastAsia" w:ascii="宋体" w:hAnsi="宋体" w:eastAsia="宋体" w:cs="宋体"/>
          <w:sz w:val="21"/>
          <w:szCs w:val="21"/>
        </w:rPr>
        <w:t>7.同意向贵方提供贵方可能要求的与本</w:t>
      </w:r>
      <w:r>
        <w:rPr>
          <w:rFonts w:hint="eastAsia" w:ascii="宋体" w:hAnsi="宋体" w:eastAsia="宋体" w:cs="宋体"/>
          <w:kern w:val="0"/>
          <w:sz w:val="21"/>
          <w:szCs w:val="21"/>
        </w:rPr>
        <w:t>磋商</w:t>
      </w:r>
      <w:r>
        <w:rPr>
          <w:rFonts w:hint="eastAsia" w:ascii="宋体" w:hAnsi="宋体" w:eastAsia="宋体" w:cs="宋体"/>
          <w:sz w:val="21"/>
          <w:szCs w:val="21"/>
        </w:rPr>
        <w:t>有关的任何数据和资料。</w:t>
      </w:r>
    </w:p>
    <w:p>
      <w:pPr>
        <w:pStyle w:val="20"/>
        <w:adjustRightInd w:val="0"/>
        <w:snapToGrid w:val="0"/>
        <w:spacing w:line="440" w:lineRule="exact"/>
        <w:ind w:firstLine="420"/>
        <w:textAlignment w:val="baseline"/>
        <w:rPr>
          <w:rFonts w:hint="eastAsia" w:ascii="宋体" w:hAnsi="宋体" w:eastAsia="宋体" w:cs="宋体"/>
          <w:sz w:val="21"/>
          <w:szCs w:val="21"/>
        </w:rPr>
      </w:pPr>
      <w:r>
        <w:rPr>
          <w:rFonts w:hint="eastAsia" w:ascii="宋体" w:hAnsi="宋体" w:eastAsia="宋体" w:cs="宋体"/>
          <w:sz w:val="21"/>
          <w:szCs w:val="21"/>
        </w:rPr>
        <w:t>8.我方完全理解并同意贵方不一定要接受最低报价的供应商为成交人。</w:t>
      </w:r>
    </w:p>
    <w:p>
      <w:pPr>
        <w:pStyle w:val="20"/>
        <w:adjustRightInd w:val="0"/>
        <w:snapToGrid w:val="0"/>
        <w:spacing w:line="440" w:lineRule="exact"/>
        <w:ind w:firstLine="420"/>
        <w:textAlignment w:val="baseline"/>
        <w:rPr>
          <w:rFonts w:hint="eastAsia" w:ascii="宋体" w:hAnsi="宋体" w:eastAsia="宋体" w:cs="宋体"/>
          <w:sz w:val="21"/>
          <w:szCs w:val="21"/>
        </w:rPr>
      </w:pPr>
      <w:r>
        <w:rPr>
          <w:rFonts w:hint="eastAsia" w:ascii="宋体" w:hAnsi="宋体" w:eastAsia="宋体" w:cs="宋体"/>
          <w:sz w:val="21"/>
          <w:szCs w:val="21"/>
        </w:rPr>
        <w:t>9.若贵方需要，我方愿意提供我方作出的一切承诺的证明材料。</w:t>
      </w:r>
    </w:p>
    <w:p>
      <w:pPr>
        <w:pStyle w:val="20"/>
        <w:adjustRightInd w:val="0"/>
        <w:snapToGrid w:val="0"/>
        <w:spacing w:line="440" w:lineRule="exact"/>
        <w:ind w:firstLine="420"/>
        <w:textAlignment w:val="baseline"/>
        <w:rPr>
          <w:rFonts w:hint="eastAsia" w:ascii="宋体" w:hAnsi="宋体" w:eastAsia="宋体" w:cs="宋体"/>
          <w:sz w:val="21"/>
          <w:szCs w:val="21"/>
        </w:rPr>
      </w:pPr>
      <w:r>
        <w:rPr>
          <w:rFonts w:hint="eastAsia" w:ascii="宋体" w:hAnsi="宋体" w:eastAsia="宋体" w:cs="宋体"/>
          <w:sz w:val="21"/>
          <w:szCs w:val="21"/>
        </w:rPr>
        <w:t>10.我方将严格遵守《中华人民共和国政府采购法》的有关规定，如有下列违法行为的，将处没收违法所得，情节严重的，由工商行政管理机关吊销营业执照；构成犯罪的，依法追究刑事责任：</w:t>
      </w:r>
    </w:p>
    <w:p>
      <w:pPr>
        <w:pStyle w:val="20"/>
        <w:adjustRightInd w:val="0"/>
        <w:snapToGrid w:val="0"/>
        <w:spacing w:line="440" w:lineRule="exact"/>
        <w:ind w:left="420"/>
        <w:textAlignment w:val="baseline"/>
        <w:rPr>
          <w:rFonts w:hint="eastAsia" w:ascii="宋体" w:hAnsi="宋体" w:eastAsia="宋体" w:cs="宋体"/>
          <w:sz w:val="21"/>
          <w:szCs w:val="21"/>
        </w:rPr>
      </w:pPr>
      <w:r>
        <w:rPr>
          <w:rFonts w:hint="eastAsia" w:ascii="宋体" w:hAnsi="宋体" w:eastAsia="宋体" w:cs="宋体"/>
          <w:sz w:val="21"/>
          <w:szCs w:val="21"/>
        </w:rPr>
        <w:t>（1）提供虚假材料谋取成交的；</w:t>
      </w:r>
    </w:p>
    <w:p>
      <w:pPr>
        <w:pStyle w:val="20"/>
        <w:adjustRightInd w:val="0"/>
        <w:snapToGrid w:val="0"/>
        <w:spacing w:line="440" w:lineRule="exact"/>
        <w:ind w:left="420"/>
        <w:textAlignment w:val="baseline"/>
        <w:rPr>
          <w:rFonts w:hint="eastAsia" w:ascii="宋体" w:hAnsi="宋体" w:eastAsia="宋体" w:cs="宋体"/>
          <w:sz w:val="21"/>
          <w:szCs w:val="21"/>
        </w:rPr>
      </w:pPr>
      <w:r>
        <w:rPr>
          <w:rFonts w:hint="eastAsia" w:ascii="宋体" w:hAnsi="宋体" w:eastAsia="宋体" w:cs="宋体"/>
          <w:sz w:val="21"/>
          <w:szCs w:val="21"/>
        </w:rPr>
        <w:t>（2）采取不正当手段诋毁、排挤其他供应商的；</w:t>
      </w:r>
    </w:p>
    <w:p>
      <w:pPr>
        <w:pStyle w:val="20"/>
        <w:adjustRightInd w:val="0"/>
        <w:snapToGrid w:val="0"/>
        <w:spacing w:line="440" w:lineRule="exact"/>
        <w:ind w:left="420"/>
        <w:textAlignment w:val="baseline"/>
        <w:rPr>
          <w:rFonts w:hint="eastAsia" w:ascii="宋体" w:hAnsi="宋体" w:eastAsia="宋体" w:cs="宋体"/>
          <w:sz w:val="21"/>
          <w:szCs w:val="21"/>
        </w:rPr>
      </w:pPr>
      <w:r>
        <w:rPr>
          <w:rFonts w:hint="eastAsia" w:ascii="宋体" w:hAnsi="宋体" w:eastAsia="宋体" w:cs="宋体"/>
          <w:sz w:val="21"/>
          <w:szCs w:val="21"/>
        </w:rPr>
        <w:t>（3）与采购人、其他供应商或者采购代理单位恶意串通的；</w:t>
      </w:r>
    </w:p>
    <w:p>
      <w:pPr>
        <w:pStyle w:val="20"/>
        <w:adjustRightInd w:val="0"/>
        <w:snapToGrid w:val="0"/>
        <w:spacing w:line="440" w:lineRule="exact"/>
        <w:ind w:left="420"/>
        <w:textAlignment w:val="baseline"/>
        <w:rPr>
          <w:rFonts w:hint="eastAsia" w:ascii="宋体" w:hAnsi="宋体" w:eastAsia="宋体" w:cs="宋体"/>
          <w:sz w:val="21"/>
          <w:szCs w:val="21"/>
        </w:rPr>
      </w:pPr>
      <w:r>
        <w:rPr>
          <w:rFonts w:hint="eastAsia" w:ascii="宋体" w:hAnsi="宋体" w:eastAsia="宋体" w:cs="宋体"/>
          <w:sz w:val="21"/>
          <w:szCs w:val="21"/>
        </w:rPr>
        <w:t xml:space="preserve">（4）拒绝有关部门监督检查或提供虚假情况的。 </w:t>
      </w:r>
    </w:p>
    <w:p>
      <w:pPr>
        <w:pStyle w:val="20"/>
        <w:adjustRightInd w:val="0"/>
        <w:snapToGrid w:val="0"/>
        <w:spacing w:line="440" w:lineRule="exact"/>
        <w:ind w:firstLine="420"/>
        <w:textAlignment w:val="baseline"/>
        <w:rPr>
          <w:rFonts w:hint="eastAsia" w:ascii="宋体" w:hAnsi="宋体" w:eastAsia="宋体" w:cs="宋体"/>
          <w:sz w:val="21"/>
          <w:szCs w:val="21"/>
        </w:rPr>
      </w:pPr>
      <w:r>
        <w:rPr>
          <w:rFonts w:hint="eastAsia" w:ascii="宋体" w:hAnsi="宋体" w:eastAsia="宋体" w:cs="宋体"/>
          <w:sz w:val="21"/>
          <w:szCs w:val="21"/>
        </w:rPr>
        <w:t>与本磋商有关的正式通讯地址为：</w:t>
      </w:r>
    </w:p>
    <w:p>
      <w:pPr>
        <w:pStyle w:val="20"/>
        <w:adjustRightInd w:val="0"/>
        <w:snapToGrid w:val="0"/>
        <w:spacing w:line="440" w:lineRule="exact"/>
        <w:ind w:firstLine="420"/>
        <w:textAlignment w:val="baseline"/>
        <w:rPr>
          <w:rFonts w:hint="eastAsia" w:ascii="宋体" w:hAnsi="宋体" w:eastAsia="宋体" w:cs="宋体"/>
          <w:sz w:val="21"/>
          <w:szCs w:val="21"/>
        </w:rPr>
      </w:pPr>
    </w:p>
    <w:p>
      <w:pPr>
        <w:pStyle w:val="20"/>
        <w:adjustRightInd w:val="0"/>
        <w:snapToGrid w:val="0"/>
        <w:spacing w:line="440" w:lineRule="exact"/>
        <w:ind w:firstLine="420"/>
        <w:textAlignment w:val="baseline"/>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邮政编码：</w:t>
      </w:r>
      <w:r>
        <w:rPr>
          <w:rFonts w:hint="eastAsia" w:ascii="宋体" w:hAnsi="宋体" w:eastAsia="宋体" w:cs="宋体"/>
          <w:sz w:val="21"/>
          <w:szCs w:val="21"/>
          <w:u w:val="single"/>
        </w:rPr>
        <w:t xml:space="preserve">                  </w:t>
      </w:r>
    </w:p>
    <w:p>
      <w:pPr>
        <w:pStyle w:val="20"/>
        <w:adjustRightInd w:val="0"/>
        <w:snapToGrid w:val="0"/>
        <w:spacing w:line="440" w:lineRule="exact"/>
        <w:ind w:firstLine="420"/>
        <w:textAlignment w:val="baseline"/>
        <w:rPr>
          <w:rFonts w:hint="eastAsia" w:ascii="宋体" w:hAnsi="宋体" w:eastAsia="宋体" w:cs="宋体"/>
          <w:sz w:val="21"/>
          <w:szCs w:val="21"/>
          <w:u w:val="single"/>
        </w:rPr>
      </w:pPr>
      <w:r>
        <w:rPr>
          <w:rFonts w:hint="eastAsia" w:ascii="宋体" w:hAnsi="宋体" w:eastAsia="宋体" w:cs="宋体"/>
          <w:sz w:val="21"/>
          <w:szCs w:val="21"/>
        </w:rPr>
        <w:t>电话/传真：</w:t>
      </w:r>
      <w:r>
        <w:rPr>
          <w:rFonts w:hint="eastAsia" w:ascii="宋体" w:hAnsi="宋体" w:eastAsia="宋体" w:cs="宋体"/>
          <w:sz w:val="21"/>
          <w:szCs w:val="21"/>
          <w:u w:val="single"/>
        </w:rPr>
        <w:t xml:space="preserve">                                                        </w:t>
      </w:r>
    </w:p>
    <w:p>
      <w:pPr>
        <w:pStyle w:val="20"/>
        <w:adjustRightInd w:val="0"/>
        <w:snapToGrid w:val="0"/>
        <w:spacing w:line="44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kern w:val="0"/>
          <w:sz w:val="21"/>
          <w:szCs w:val="21"/>
        </w:rPr>
        <w:t>法定代表人或授权委托代理人：（签字）</w:t>
      </w:r>
      <w:r>
        <w:rPr>
          <w:rFonts w:hint="eastAsia" w:ascii="宋体" w:hAnsi="宋体" w:eastAsia="宋体" w:cs="宋体"/>
          <w:sz w:val="21"/>
          <w:szCs w:val="21"/>
        </w:rPr>
        <w:t>：</w:t>
      </w:r>
      <w:r>
        <w:rPr>
          <w:rFonts w:hint="eastAsia" w:ascii="宋体" w:hAnsi="宋体" w:eastAsia="宋体" w:cs="宋体"/>
          <w:sz w:val="21"/>
          <w:szCs w:val="21"/>
          <w:u w:val="single"/>
        </w:rPr>
        <w:t xml:space="preserve">                             </w:t>
      </w:r>
    </w:p>
    <w:p>
      <w:pPr>
        <w:pStyle w:val="20"/>
        <w:adjustRightInd w:val="0"/>
        <w:snapToGrid w:val="0"/>
        <w:spacing w:line="440" w:lineRule="exact"/>
        <w:ind w:firstLine="420"/>
        <w:textAlignment w:val="baseline"/>
        <w:rPr>
          <w:rFonts w:hint="eastAsia" w:ascii="宋体" w:hAnsi="宋体" w:eastAsia="宋体" w:cs="宋体"/>
          <w:sz w:val="21"/>
          <w:szCs w:val="21"/>
          <w:u w:val="single"/>
        </w:rPr>
      </w:pPr>
      <w:r>
        <w:rPr>
          <w:rFonts w:hint="eastAsia" w:ascii="宋体" w:hAnsi="宋体" w:eastAsia="宋体" w:cs="宋体"/>
          <w:sz w:val="21"/>
          <w:szCs w:val="21"/>
        </w:rPr>
        <w:t>磋商供应商（盖章）：</w:t>
      </w:r>
      <w:r>
        <w:rPr>
          <w:rFonts w:hint="eastAsia" w:ascii="宋体" w:hAnsi="宋体" w:eastAsia="宋体" w:cs="宋体"/>
          <w:sz w:val="21"/>
          <w:szCs w:val="21"/>
          <w:u w:val="single"/>
        </w:rPr>
        <w:t xml:space="preserve">                                                    </w:t>
      </w:r>
    </w:p>
    <w:p>
      <w:pPr>
        <w:pStyle w:val="20"/>
        <w:adjustRightInd w:val="0"/>
        <w:snapToGrid w:val="0"/>
        <w:spacing w:line="440" w:lineRule="exact"/>
        <w:ind w:firstLine="420"/>
        <w:textAlignment w:val="baseline"/>
        <w:rPr>
          <w:rFonts w:hint="eastAsia" w:ascii="宋体" w:hAnsi="宋体" w:eastAsia="宋体" w:cs="宋体"/>
          <w:sz w:val="21"/>
          <w:szCs w:val="21"/>
          <w:u w:val="single"/>
        </w:rPr>
      </w:pPr>
      <w:r>
        <w:rPr>
          <w:rFonts w:hint="eastAsia" w:ascii="宋体" w:hAnsi="宋体" w:eastAsia="宋体" w:cs="宋体"/>
          <w:sz w:val="21"/>
          <w:szCs w:val="21"/>
        </w:rPr>
        <w:t>磋商日期：</w:t>
      </w:r>
      <w:r>
        <w:rPr>
          <w:rFonts w:hint="eastAsia" w:ascii="宋体" w:hAnsi="宋体" w:eastAsia="宋体" w:cs="宋体"/>
          <w:sz w:val="21"/>
          <w:szCs w:val="21"/>
          <w:u w:val="single"/>
        </w:rPr>
        <w:t xml:space="preserve">                                                         </w:t>
      </w:r>
    </w:p>
    <w:p>
      <w:pPr>
        <w:autoSpaceDE w:val="0"/>
        <w:autoSpaceDN w:val="0"/>
        <w:adjustRightInd w:val="0"/>
        <w:spacing w:line="360" w:lineRule="auto"/>
        <w:ind w:firstLine="241" w:firstLineChars="100"/>
        <w:jc w:val="left"/>
        <w:rPr>
          <w:rFonts w:hint="eastAsia" w:ascii="宋体" w:hAnsi="宋体" w:eastAsia="宋体" w:cs="宋体"/>
          <w:b/>
          <w:sz w:val="24"/>
          <w:szCs w:val="24"/>
        </w:rPr>
      </w:pPr>
    </w:p>
    <w:p>
      <w:pPr>
        <w:autoSpaceDE w:val="0"/>
        <w:autoSpaceDN w:val="0"/>
        <w:adjustRightInd w:val="0"/>
        <w:spacing w:line="360" w:lineRule="auto"/>
        <w:ind w:firstLine="241" w:firstLineChars="100"/>
        <w:jc w:val="left"/>
        <w:rPr>
          <w:rFonts w:hint="eastAsia" w:ascii="宋体" w:hAnsi="宋体" w:eastAsia="宋体" w:cs="宋体"/>
          <w:b/>
          <w:sz w:val="24"/>
          <w:szCs w:val="24"/>
        </w:rPr>
      </w:pPr>
    </w:p>
    <w:p>
      <w:pPr>
        <w:autoSpaceDE w:val="0"/>
        <w:autoSpaceDN w:val="0"/>
        <w:adjustRightInd w:val="0"/>
        <w:spacing w:line="360" w:lineRule="auto"/>
        <w:ind w:firstLine="241" w:firstLineChars="100"/>
        <w:jc w:val="left"/>
        <w:rPr>
          <w:rFonts w:hint="eastAsia" w:ascii="宋体" w:hAnsi="宋体" w:eastAsia="宋体" w:cs="宋体"/>
          <w:b/>
          <w:sz w:val="24"/>
          <w:szCs w:val="24"/>
        </w:rPr>
      </w:pPr>
    </w:p>
    <w:p>
      <w:pPr>
        <w:autoSpaceDE w:val="0"/>
        <w:autoSpaceDN w:val="0"/>
        <w:adjustRightInd w:val="0"/>
        <w:spacing w:line="360" w:lineRule="auto"/>
        <w:ind w:firstLine="241" w:firstLineChars="100"/>
        <w:jc w:val="left"/>
        <w:rPr>
          <w:rFonts w:hint="eastAsia" w:ascii="宋体" w:hAnsi="宋体" w:eastAsia="宋体" w:cs="宋体"/>
          <w:b/>
          <w:sz w:val="24"/>
          <w:szCs w:val="24"/>
        </w:rPr>
      </w:pPr>
    </w:p>
    <w:p>
      <w:pPr>
        <w:autoSpaceDE w:val="0"/>
        <w:autoSpaceDN w:val="0"/>
        <w:adjustRightInd w:val="0"/>
        <w:spacing w:line="360" w:lineRule="auto"/>
        <w:ind w:firstLine="241" w:firstLineChars="100"/>
        <w:jc w:val="left"/>
        <w:rPr>
          <w:rFonts w:hint="eastAsia" w:ascii="宋体" w:hAnsi="宋体" w:eastAsia="宋体" w:cs="宋体"/>
          <w:b/>
          <w:sz w:val="24"/>
          <w:szCs w:val="24"/>
        </w:rPr>
      </w:pPr>
    </w:p>
    <w:p>
      <w:pPr>
        <w:autoSpaceDE w:val="0"/>
        <w:autoSpaceDN w:val="0"/>
        <w:adjustRightInd w:val="0"/>
        <w:spacing w:line="360" w:lineRule="auto"/>
        <w:ind w:firstLine="241" w:firstLineChars="100"/>
        <w:jc w:val="left"/>
        <w:rPr>
          <w:rFonts w:hint="eastAsia" w:ascii="宋体" w:hAnsi="宋体" w:eastAsia="宋体" w:cs="宋体"/>
          <w:b/>
          <w:sz w:val="24"/>
          <w:szCs w:val="24"/>
        </w:rPr>
      </w:pPr>
    </w:p>
    <w:p>
      <w:pPr>
        <w:autoSpaceDE w:val="0"/>
        <w:autoSpaceDN w:val="0"/>
        <w:adjustRightInd w:val="0"/>
        <w:spacing w:line="360" w:lineRule="auto"/>
        <w:ind w:firstLine="241" w:firstLineChars="100"/>
        <w:jc w:val="left"/>
        <w:rPr>
          <w:rFonts w:hint="eastAsia" w:ascii="宋体" w:hAnsi="宋体" w:eastAsia="宋体" w:cs="宋体"/>
          <w:b/>
          <w:sz w:val="24"/>
          <w:szCs w:val="24"/>
        </w:rPr>
      </w:pPr>
    </w:p>
    <w:p>
      <w:pPr>
        <w:autoSpaceDE w:val="0"/>
        <w:autoSpaceDN w:val="0"/>
        <w:adjustRightInd w:val="0"/>
        <w:spacing w:line="360" w:lineRule="auto"/>
        <w:ind w:firstLine="241" w:firstLineChars="100"/>
        <w:jc w:val="left"/>
        <w:rPr>
          <w:rFonts w:hint="eastAsia" w:ascii="宋体" w:hAnsi="宋体" w:eastAsia="宋体" w:cs="宋体"/>
          <w:b/>
          <w:sz w:val="24"/>
          <w:szCs w:val="24"/>
        </w:rPr>
      </w:pPr>
    </w:p>
    <w:p>
      <w:pPr>
        <w:autoSpaceDE w:val="0"/>
        <w:autoSpaceDN w:val="0"/>
        <w:adjustRightInd w:val="0"/>
        <w:spacing w:line="360" w:lineRule="auto"/>
        <w:ind w:firstLine="241" w:firstLineChars="100"/>
        <w:jc w:val="left"/>
        <w:rPr>
          <w:rFonts w:hint="eastAsia" w:ascii="宋体" w:hAnsi="宋体" w:eastAsia="宋体" w:cs="宋体"/>
          <w:b/>
          <w:sz w:val="24"/>
          <w:szCs w:val="24"/>
        </w:rPr>
      </w:pPr>
    </w:p>
    <w:p>
      <w:pPr>
        <w:autoSpaceDE w:val="0"/>
        <w:autoSpaceDN w:val="0"/>
        <w:adjustRightInd w:val="0"/>
        <w:spacing w:line="360" w:lineRule="auto"/>
        <w:ind w:firstLine="241" w:firstLineChars="100"/>
        <w:jc w:val="left"/>
        <w:rPr>
          <w:rFonts w:hint="eastAsia" w:ascii="宋体" w:hAnsi="宋体" w:eastAsia="宋体" w:cs="宋体"/>
          <w:b/>
          <w:sz w:val="24"/>
          <w:szCs w:val="24"/>
        </w:rPr>
      </w:pPr>
    </w:p>
    <w:p>
      <w:pPr>
        <w:autoSpaceDE w:val="0"/>
        <w:autoSpaceDN w:val="0"/>
        <w:adjustRightInd w:val="0"/>
        <w:spacing w:line="360" w:lineRule="auto"/>
        <w:ind w:firstLine="241" w:firstLineChars="100"/>
        <w:jc w:val="left"/>
        <w:rPr>
          <w:rFonts w:hint="eastAsia" w:ascii="宋体" w:hAnsi="宋体" w:eastAsia="宋体" w:cs="宋体"/>
          <w:b/>
          <w:sz w:val="24"/>
          <w:szCs w:val="24"/>
        </w:rPr>
      </w:pPr>
    </w:p>
    <w:p>
      <w:pPr>
        <w:autoSpaceDE w:val="0"/>
        <w:autoSpaceDN w:val="0"/>
        <w:adjustRightInd w:val="0"/>
        <w:spacing w:line="360" w:lineRule="auto"/>
        <w:ind w:firstLine="241" w:firstLineChars="100"/>
        <w:jc w:val="left"/>
        <w:rPr>
          <w:rFonts w:hint="eastAsia" w:ascii="宋体" w:hAnsi="宋体" w:eastAsia="宋体" w:cs="宋体"/>
          <w:b/>
          <w:sz w:val="24"/>
          <w:szCs w:val="24"/>
        </w:rPr>
      </w:pPr>
    </w:p>
    <w:p>
      <w:pPr>
        <w:autoSpaceDE w:val="0"/>
        <w:autoSpaceDN w:val="0"/>
        <w:adjustRightInd w:val="0"/>
        <w:spacing w:line="360" w:lineRule="auto"/>
        <w:ind w:firstLine="241" w:firstLineChars="100"/>
        <w:jc w:val="left"/>
        <w:rPr>
          <w:rFonts w:hint="eastAsia" w:ascii="宋体" w:hAnsi="宋体" w:eastAsia="宋体" w:cs="宋体"/>
          <w:b/>
          <w:sz w:val="24"/>
          <w:szCs w:val="24"/>
        </w:rPr>
      </w:pPr>
    </w:p>
    <w:p>
      <w:pPr>
        <w:autoSpaceDE w:val="0"/>
        <w:autoSpaceDN w:val="0"/>
        <w:adjustRightInd w:val="0"/>
        <w:spacing w:line="360" w:lineRule="auto"/>
        <w:ind w:firstLine="241" w:firstLineChars="100"/>
        <w:jc w:val="left"/>
        <w:rPr>
          <w:rFonts w:hint="eastAsia" w:ascii="宋体" w:hAnsi="宋体" w:eastAsia="宋体" w:cs="宋体"/>
          <w:b/>
          <w:sz w:val="24"/>
          <w:szCs w:val="24"/>
        </w:rPr>
      </w:pPr>
    </w:p>
    <w:p>
      <w:pPr>
        <w:autoSpaceDE w:val="0"/>
        <w:autoSpaceDN w:val="0"/>
        <w:adjustRightInd w:val="0"/>
        <w:spacing w:line="360" w:lineRule="auto"/>
        <w:ind w:firstLine="241" w:firstLineChars="100"/>
        <w:jc w:val="left"/>
        <w:rPr>
          <w:rFonts w:hint="eastAsia" w:ascii="宋体" w:hAnsi="宋体" w:eastAsia="宋体" w:cs="宋体"/>
          <w:b/>
          <w:sz w:val="24"/>
          <w:szCs w:val="24"/>
        </w:rPr>
      </w:pPr>
    </w:p>
    <w:p>
      <w:pPr>
        <w:autoSpaceDE w:val="0"/>
        <w:autoSpaceDN w:val="0"/>
        <w:adjustRightInd w:val="0"/>
        <w:spacing w:line="360" w:lineRule="auto"/>
        <w:ind w:firstLine="241" w:firstLineChars="100"/>
        <w:jc w:val="left"/>
        <w:rPr>
          <w:rFonts w:hint="eastAsia" w:ascii="宋体" w:hAnsi="宋体" w:eastAsia="宋体" w:cs="宋体"/>
          <w:b/>
          <w:sz w:val="24"/>
          <w:szCs w:val="24"/>
        </w:rPr>
      </w:pPr>
    </w:p>
    <w:p>
      <w:pPr>
        <w:autoSpaceDE w:val="0"/>
        <w:autoSpaceDN w:val="0"/>
        <w:adjustRightInd w:val="0"/>
        <w:spacing w:line="360" w:lineRule="auto"/>
        <w:ind w:firstLine="241" w:firstLineChars="100"/>
        <w:jc w:val="left"/>
        <w:rPr>
          <w:rFonts w:hint="eastAsia" w:ascii="宋体" w:hAnsi="宋体" w:eastAsia="宋体" w:cs="宋体"/>
          <w:b/>
          <w:sz w:val="24"/>
          <w:szCs w:val="24"/>
        </w:rPr>
      </w:pPr>
    </w:p>
    <w:p>
      <w:pPr>
        <w:autoSpaceDE w:val="0"/>
        <w:autoSpaceDN w:val="0"/>
        <w:adjustRightInd w:val="0"/>
        <w:spacing w:line="360" w:lineRule="auto"/>
        <w:ind w:firstLine="241" w:firstLineChars="100"/>
        <w:jc w:val="left"/>
        <w:rPr>
          <w:rFonts w:hint="eastAsia" w:ascii="宋体" w:hAnsi="宋体" w:eastAsia="宋体" w:cs="宋体"/>
          <w:b/>
          <w:sz w:val="24"/>
          <w:szCs w:val="24"/>
        </w:rPr>
      </w:pPr>
    </w:p>
    <w:p>
      <w:pPr>
        <w:autoSpaceDE w:val="0"/>
        <w:autoSpaceDN w:val="0"/>
        <w:adjustRightInd w:val="0"/>
        <w:spacing w:line="360" w:lineRule="auto"/>
        <w:ind w:firstLine="241" w:firstLineChars="100"/>
        <w:jc w:val="left"/>
        <w:rPr>
          <w:rFonts w:hint="eastAsia" w:ascii="宋体" w:hAnsi="宋体" w:eastAsia="宋体" w:cs="宋体"/>
          <w:b/>
          <w:sz w:val="24"/>
          <w:szCs w:val="24"/>
        </w:rPr>
      </w:pPr>
    </w:p>
    <w:p>
      <w:pPr>
        <w:autoSpaceDE w:val="0"/>
        <w:autoSpaceDN w:val="0"/>
        <w:adjustRightInd w:val="0"/>
        <w:spacing w:line="360" w:lineRule="auto"/>
        <w:ind w:firstLine="241" w:firstLineChars="100"/>
        <w:jc w:val="left"/>
        <w:rPr>
          <w:rFonts w:hint="eastAsia" w:ascii="宋体" w:hAnsi="宋体" w:eastAsia="宋体" w:cs="宋体"/>
          <w:b/>
          <w:sz w:val="24"/>
          <w:szCs w:val="24"/>
        </w:rPr>
      </w:pPr>
    </w:p>
    <w:p>
      <w:pPr>
        <w:pStyle w:val="43"/>
        <w:rPr>
          <w:rFonts w:hint="eastAsia" w:ascii="宋体" w:hAnsi="宋体" w:eastAsia="宋体" w:cs="宋体"/>
          <w:b/>
          <w:sz w:val="24"/>
          <w:szCs w:val="24"/>
        </w:rPr>
      </w:pPr>
    </w:p>
    <w:p>
      <w:pPr>
        <w:pStyle w:val="43"/>
        <w:rPr>
          <w:rFonts w:hint="eastAsia" w:ascii="宋体" w:hAnsi="宋体" w:eastAsia="宋体" w:cs="宋体"/>
          <w:b/>
          <w:sz w:val="24"/>
          <w:szCs w:val="24"/>
        </w:rPr>
      </w:pPr>
    </w:p>
    <w:p>
      <w:pPr>
        <w:pStyle w:val="43"/>
        <w:rPr>
          <w:rFonts w:hint="eastAsia" w:ascii="宋体" w:hAnsi="宋体" w:eastAsia="宋体" w:cs="宋体"/>
          <w:b/>
          <w:sz w:val="24"/>
          <w:szCs w:val="24"/>
        </w:rPr>
      </w:pPr>
    </w:p>
    <w:p>
      <w:pPr>
        <w:pStyle w:val="43"/>
        <w:rPr>
          <w:rFonts w:hint="eastAsia" w:ascii="宋体" w:hAnsi="宋体" w:eastAsia="宋体" w:cs="宋体"/>
          <w:b/>
          <w:sz w:val="24"/>
          <w:szCs w:val="24"/>
        </w:rPr>
      </w:pPr>
    </w:p>
    <w:p>
      <w:pPr>
        <w:pStyle w:val="43"/>
        <w:rPr>
          <w:rFonts w:hint="eastAsia" w:ascii="宋体" w:hAnsi="宋体" w:eastAsia="宋体" w:cs="宋体"/>
          <w:b/>
          <w:sz w:val="24"/>
          <w:szCs w:val="24"/>
        </w:rPr>
      </w:pPr>
    </w:p>
    <w:p>
      <w:pPr>
        <w:pStyle w:val="43"/>
        <w:rPr>
          <w:rFonts w:hint="eastAsia" w:ascii="宋体" w:hAnsi="宋体" w:eastAsia="宋体" w:cs="宋体"/>
          <w:b/>
          <w:sz w:val="24"/>
          <w:szCs w:val="24"/>
        </w:rPr>
      </w:pPr>
    </w:p>
    <w:p>
      <w:pPr>
        <w:pStyle w:val="43"/>
        <w:rPr>
          <w:rFonts w:hint="eastAsia" w:ascii="宋体" w:hAnsi="宋体" w:eastAsia="宋体" w:cs="宋体"/>
          <w:b/>
          <w:sz w:val="24"/>
          <w:szCs w:val="24"/>
        </w:rPr>
      </w:pPr>
    </w:p>
    <w:p>
      <w:pPr>
        <w:pStyle w:val="43"/>
        <w:rPr>
          <w:rFonts w:hint="eastAsia" w:ascii="宋体" w:hAnsi="宋体" w:eastAsia="宋体" w:cs="宋体"/>
          <w:b/>
          <w:sz w:val="24"/>
          <w:szCs w:val="24"/>
        </w:rPr>
      </w:pPr>
    </w:p>
    <w:p>
      <w:pPr>
        <w:pStyle w:val="2"/>
        <w:ind w:left="0" w:leftChars="0" w:firstLine="0" w:firstLineChars="0"/>
        <w:rPr>
          <w:rFonts w:hint="eastAsia" w:ascii="宋体" w:hAnsi="宋体" w:eastAsia="宋体" w:cs="宋体"/>
        </w:rPr>
      </w:pPr>
    </w:p>
    <w:p>
      <w:pPr>
        <w:autoSpaceDE w:val="0"/>
        <w:autoSpaceDN w:val="0"/>
        <w:adjustRightInd w:val="0"/>
        <w:spacing w:line="360" w:lineRule="auto"/>
        <w:ind w:firstLine="241" w:firstLineChars="100"/>
        <w:jc w:val="left"/>
        <w:outlineLvl w:val="0"/>
        <w:rPr>
          <w:rFonts w:hint="eastAsia" w:ascii="宋体" w:hAnsi="宋体" w:eastAsia="宋体" w:cs="宋体"/>
          <w:b/>
          <w:sz w:val="24"/>
          <w:szCs w:val="24"/>
        </w:rPr>
      </w:pPr>
      <w:bookmarkStart w:id="515" w:name="_Toc5896"/>
      <w:r>
        <w:rPr>
          <w:rFonts w:hint="eastAsia" w:ascii="宋体" w:hAnsi="宋体" w:eastAsia="宋体" w:cs="宋体"/>
          <w:b/>
          <w:sz w:val="24"/>
          <w:szCs w:val="24"/>
        </w:rPr>
        <w:t>格式3：</w:t>
      </w:r>
      <w:bookmarkEnd w:id="515"/>
    </w:p>
    <w:p>
      <w:pPr>
        <w:autoSpaceDE w:val="0"/>
        <w:autoSpaceDN w:val="0"/>
        <w:adjustRightInd w:val="0"/>
        <w:spacing w:line="360" w:lineRule="auto"/>
        <w:jc w:val="center"/>
        <w:outlineLvl w:val="1"/>
        <w:rPr>
          <w:rFonts w:hint="eastAsia" w:ascii="宋体" w:hAnsi="宋体" w:eastAsia="宋体" w:cs="宋体"/>
          <w:b/>
          <w:kern w:val="0"/>
          <w:sz w:val="32"/>
          <w:szCs w:val="32"/>
        </w:rPr>
      </w:pPr>
      <w:r>
        <w:rPr>
          <w:rFonts w:hint="eastAsia" w:ascii="宋体" w:hAnsi="宋体" w:eastAsia="宋体" w:cs="宋体"/>
          <w:b/>
          <w:kern w:val="0"/>
          <w:sz w:val="32"/>
          <w:szCs w:val="32"/>
        </w:rPr>
        <w:t>磋商报价一览表（格式）</w:t>
      </w:r>
    </w:p>
    <w:p>
      <w:pPr>
        <w:pStyle w:val="20"/>
        <w:spacing w:line="360" w:lineRule="auto"/>
        <w:rPr>
          <w:rFonts w:hint="eastAsia" w:ascii="宋体" w:hAnsi="宋体" w:eastAsia="宋体" w:cs="宋体"/>
          <w:b/>
          <w:sz w:val="24"/>
        </w:rPr>
      </w:pPr>
    </w:p>
    <w:p>
      <w:pPr>
        <w:pStyle w:val="20"/>
        <w:spacing w:line="360" w:lineRule="auto"/>
        <w:ind w:left="630" w:leftChars="200" w:hanging="210" w:hangingChars="100"/>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eastAsia="宋体" w:cs="宋体"/>
          <w:sz w:val="21"/>
          <w:szCs w:val="21"/>
          <w:u w:val="single"/>
        </w:rPr>
        <w:t xml:space="preserve">                                  </w:t>
      </w:r>
    </w:p>
    <w:p>
      <w:pPr>
        <w:pStyle w:val="20"/>
        <w:spacing w:line="360" w:lineRule="auto"/>
        <w:ind w:left="630" w:leftChars="200" w:hanging="210" w:hangingChars="100"/>
        <w:rPr>
          <w:rFonts w:hint="eastAsia" w:ascii="宋体" w:hAnsi="宋体" w:eastAsia="宋体" w:cs="宋体"/>
          <w:sz w:val="21"/>
          <w:szCs w:val="21"/>
          <w:u w:val="single"/>
        </w:rPr>
      </w:pPr>
      <w:r>
        <w:rPr>
          <w:rFonts w:hint="eastAsia" w:ascii="宋体" w:hAnsi="宋体" w:eastAsia="宋体" w:cs="宋体"/>
          <w:sz w:val="21"/>
          <w:szCs w:val="21"/>
        </w:rPr>
        <w:t>采购编号：</w:t>
      </w:r>
      <w:r>
        <w:rPr>
          <w:rFonts w:hint="eastAsia" w:ascii="宋体" w:hAnsi="宋体" w:eastAsia="宋体" w:cs="宋体"/>
          <w:sz w:val="21"/>
          <w:szCs w:val="21"/>
          <w:u w:val="single"/>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731"/>
        <w:gridCol w:w="442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828" w:type="dxa"/>
            <w:vAlign w:val="center"/>
          </w:tcPr>
          <w:p>
            <w:pPr>
              <w:spacing w:line="360" w:lineRule="auto"/>
              <w:rPr>
                <w:rFonts w:hint="eastAsia" w:ascii="宋体" w:hAnsi="宋体" w:eastAsia="宋体" w:cs="宋体"/>
                <w:b/>
                <w:sz w:val="21"/>
                <w:szCs w:val="21"/>
              </w:rPr>
            </w:pPr>
            <w:r>
              <w:rPr>
                <w:rFonts w:hint="eastAsia" w:ascii="宋体" w:hAnsi="宋体" w:eastAsia="宋体" w:cs="宋体"/>
                <w:b/>
                <w:sz w:val="21"/>
                <w:szCs w:val="21"/>
              </w:rPr>
              <w:t>项号</w:t>
            </w:r>
          </w:p>
        </w:tc>
        <w:tc>
          <w:tcPr>
            <w:tcW w:w="2731" w:type="dxa"/>
            <w:vAlign w:val="center"/>
          </w:tcPr>
          <w:p>
            <w:pPr>
              <w:spacing w:line="360" w:lineRule="auto"/>
              <w:ind w:left="141" w:leftChars="67" w:firstLine="103" w:firstLineChars="49"/>
              <w:jc w:val="center"/>
              <w:rPr>
                <w:rFonts w:hint="eastAsia" w:ascii="宋体" w:hAnsi="宋体" w:eastAsia="宋体" w:cs="宋体"/>
                <w:b/>
                <w:sz w:val="21"/>
                <w:szCs w:val="21"/>
              </w:rPr>
            </w:pPr>
            <w:r>
              <w:rPr>
                <w:rFonts w:hint="eastAsia" w:ascii="宋体" w:hAnsi="宋体" w:eastAsia="宋体" w:cs="宋体"/>
                <w:b/>
                <w:sz w:val="21"/>
                <w:szCs w:val="21"/>
              </w:rPr>
              <w:t>服务名称</w:t>
            </w:r>
          </w:p>
        </w:tc>
        <w:tc>
          <w:tcPr>
            <w:tcW w:w="4429" w:type="dxa"/>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磋商报价</w:t>
            </w:r>
          </w:p>
        </w:tc>
        <w:tc>
          <w:tcPr>
            <w:tcW w:w="1260" w:type="dxa"/>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828" w:type="dxa"/>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1</w:t>
            </w:r>
          </w:p>
        </w:tc>
        <w:tc>
          <w:tcPr>
            <w:tcW w:w="2731" w:type="dxa"/>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预算联网监督系统二期项目软件开发</w:t>
            </w:r>
          </w:p>
        </w:tc>
        <w:tc>
          <w:tcPr>
            <w:tcW w:w="4429" w:type="dxa"/>
            <w:vAlign w:val="center"/>
          </w:tcPr>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（大写）人民币</w:t>
            </w:r>
            <w:r>
              <w:rPr>
                <w:rFonts w:hint="eastAsia" w:ascii="宋体" w:hAnsi="宋体" w:eastAsia="宋体" w:cs="宋体"/>
                <w:sz w:val="21"/>
                <w:szCs w:val="21"/>
                <w:u w:val="single"/>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tc>
        <w:tc>
          <w:tcPr>
            <w:tcW w:w="1260" w:type="dxa"/>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9248" w:type="dxa"/>
            <w:gridSpan w:val="4"/>
            <w:vAlign w:val="center"/>
          </w:tcPr>
          <w:p>
            <w:pPr>
              <w:spacing w:line="360" w:lineRule="auto"/>
              <w:jc w:val="left"/>
              <w:rPr>
                <w:rFonts w:hint="eastAsia" w:ascii="宋体" w:hAnsi="宋体" w:eastAsia="宋体" w:cs="宋体"/>
                <w:sz w:val="21"/>
                <w:szCs w:val="21"/>
                <w:u w:val="single"/>
              </w:rPr>
            </w:pPr>
            <w:r>
              <w:rPr>
                <w:rFonts w:hint="eastAsia" w:ascii="宋体" w:hAnsi="宋体" w:eastAsia="宋体" w:cs="宋体"/>
                <w:sz w:val="21"/>
                <w:szCs w:val="21"/>
              </w:rPr>
              <w:t>磋商总报价：（大写）人民币</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9248" w:type="dxa"/>
            <w:gridSpan w:val="4"/>
            <w:vAlign w:val="center"/>
          </w:tcPr>
          <w:p>
            <w:pPr>
              <w:spacing w:line="360" w:lineRule="auto"/>
              <w:jc w:val="left"/>
              <w:rPr>
                <w:rFonts w:hint="eastAsia" w:ascii="宋体" w:hAnsi="宋体" w:eastAsia="宋体" w:cs="宋体"/>
                <w:b/>
                <w:sz w:val="21"/>
                <w:szCs w:val="21"/>
              </w:rPr>
            </w:pPr>
            <w:r>
              <w:rPr>
                <w:rFonts w:hint="eastAsia" w:ascii="宋体" w:hAnsi="宋体" w:eastAsia="宋体" w:cs="宋体"/>
                <w:b/>
                <w:sz w:val="21"/>
                <w:szCs w:val="21"/>
              </w:rPr>
              <w:t>合同签订期：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9248" w:type="dxa"/>
            <w:gridSpan w:val="4"/>
            <w:vAlign w:val="center"/>
          </w:tcPr>
          <w:p>
            <w:pPr>
              <w:spacing w:line="360" w:lineRule="auto"/>
              <w:jc w:val="left"/>
              <w:rPr>
                <w:rFonts w:hint="eastAsia" w:ascii="宋体" w:hAnsi="宋体" w:eastAsia="宋体" w:cs="宋体"/>
                <w:sz w:val="21"/>
                <w:szCs w:val="21"/>
              </w:rPr>
            </w:pPr>
            <w:r>
              <w:rPr>
                <w:rFonts w:hint="eastAsia" w:ascii="宋体" w:hAnsi="宋体" w:eastAsia="宋体" w:cs="宋体"/>
                <w:b/>
                <w:sz w:val="21"/>
                <w:szCs w:val="21"/>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9248" w:type="dxa"/>
            <w:gridSpan w:val="4"/>
            <w:vAlign w:val="center"/>
          </w:tcPr>
          <w:p>
            <w:pPr>
              <w:spacing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rPr>
              <w:t>备注：磋商报价为本项目《</w:t>
            </w:r>
            <w:r>
              <w:rPr>
                <w:rFonts w:hint="eastAsia" w:ascii="宋体" w:hAnsi="宋体" w:eastAsia="宋体" w:cs="宋体"/>
                <w:b/>
                <w:bCs/>
                <w:sz w:val="21"/>
                <w:szCs w:val="21"/>
                <w:lang w:eastAsia="zh-CN"/>
              </w:rPr>
              <w:t>预算联网监督系统二期项目软件开发</w:t>
            </w:r>
            <w:r>
              <w:rPr>
                <w:rFonts w:hint="eastAsia" w:ascii="宋体" w:hAnsi="宋体" w:eastAsia="宋体" w:cs="宋体"/>
                <w:b/>
                <w:bCs/>
                <w:sz w:val="21"/>
                <w:szCs w:val="21"/>
              </w:rPr>
              <w:t>》服务费，包括服务的费用、必要的保险费用和各项税金、技术服务费及其他费用（如管理费、交通费、办公场地费等）等一切费用。</w:t>
            </w:r>
          </w:p>
        </w:tc>
      </w:tr>
    </w:tbl>
    <w:p>
      <w:pPr>
        <w:pStyle w:val="20"/>
        <w:spacing w:line="360" w:lineRule="auto"/>
        <w:rPr>
          <w:rFonts w:hint="eastAsia" w:ascii="宋体" w:hAnsi="宋体" w:eastAsia="宋体" w:cs="宋体"/>
          <w:sz w:val="21"/>
          <w:szCs w:val="21"/>
        </w:rPr>
      </w:pPr>
    </w:p>
    <w:p>
      <w:pPr>
        <w:pStyle w:val="20"/>
        <w:spacing w:line="360" w:lineRule="auto"/>
        <w:ind w:firstLine="2520" w:firstLineChars="1200"/>
        <w:rPr>
          <w:rFonts w:hint="eastAsia" w:ascii="宋体" w:hAnsi="宋体" w:eastAsia="宋体" w:cs="宋体"/>
          <w:sz w:val="21"/>
          <w:szCs w:val="21"/>
        </w:rPr>
      </w:pPr>
      <w:r>
        <w:rPr>
          <w:rFonts w:hint="eastAsia" w:ascii="宋体" w:hAnsi="宋体" w:eastAsia="宋体" w:cs="宋体"/>
          <w:sz w:val="21"/>
          <w:szCs w:val="21"/>
        </w:rPr>
        <w:t>磋商供应商（盖公章）：</w:t>
      </w:r>
      <w:r>
        <w:rPr>
          <w:rFonts w:hint="eastAsia" w:ascii="宋体" w:hAnsi="宋体" w:eastAsia="宋体" w:cs="宋体"/>
          <w:sz w:val="21"/>
          <w:szCs w:val="21"/>
          <w:u w:val="single"/>
        </w:rPr>
        <w:t xml:space="preserve">                                 </w:t>
      </w:r>
    </w:p>
    <w:p>
      <w:pPr>
        <w:pStyle w:val="20"/>
        <w:spacing w:line="360" w:lineRule="auto"/>
        <w:rPr>
          <w:rFonts w:hint="eastAsia" w:ascii="宋体" w:hAnsi="宋体" w:eastAsia="宋体" w:cs="宋体"/>
          <w:sz w:val="21"/>
          <w:szCs w:val="21"/>
        </w:rPr>
      </w:pPr>
    </w:p>
    <w:p>
      <w:pPr>
        <w:pStyle w:val="20"/>
        <w:spacing w:line="360" w:lineRule="auto"/>
        <w:ind w:firstLine="2520" w:firstLineChars="1200"/>
        <w:rPr>
          <w:rFonts w:hint="eastAsia" w:ascii="宋体" w:hAnsi="宋体" w:eastAsia="宋体" w:cs="宋体"/>
          <w:sz w:val="21"/>
          <w:szCs w:val="21"/>
          <w:u w:val="single"/>
        </w:rPr>
      </w:pPr>
      <w:r>
        <w:rPr>
          <w:rFonts w:hint="eastAsia" w:ascii="宋体" w:hAnsi="宋体" w:eastAsia="宋体" w:cs="宋体"/>
          <w:sz w:val="21"/>
          <w:szCs w:val="21"/>
        </w:rPr>
        <w:t>法定代表人或委托代理人（签字）：</w:t>
      </w:r>
      <w:r>
        <w:rPr>
          <w:rFonts w:hint="eastAsia" w:ascii="宋体" w:hAnsi="宋体" w:eastAsia="宋体" w:cs="宋体"/>
          <w:sz w:val="21"/>
          <w:szCs w:val="21"/>
          <w:u w:val="single"/>
        </w:rPr>
        <w:t xml:space="preserve">                   </w:t>
      </w:r>
    </w:p>
    <w:p>
      <w:pPr>
        <w:pStyle w:val="20"/>
        <w:spacing w:line="360" w:lineRule="auto"/>
        <w:ind w:firstLine="3360" w:firstLineChars="1600"/>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pStyle w:val="20"/>
        <w:spacing w:line="360" w:lineRule="auto"/>
        <w:jc w:val="left"/>
        <w:rPr>
          <w:rFonts w:hint="eastAsia" w:ascii="宋体" w:hAnsi="宋体" w:eastAsia="宋体" w:cs="宋体"/>
          <w:b/>
          <w:sz w:val="24"/>
          <w:szCs w:val="24"/>
        </w:rPr>
      </w:pPr>
    </w:p>
    <w:p>
      <w:pPr>
        <w:pStyle w:val="20"/>
        <w:spacing w:line="360" w:lineRule="auto"/>
        <w:jc w:val="left"/>
        <w:rPr>
          <w:rFonts w:hint="eastAsia" w:ascii="宋体" w:hAnsi="宋体" w:eastAsia="宋体" w:cs="宋体"/>
          <w:b/>
          <w:sz w:val="24"/>
          <w:szCs w:val="24"/>
        </w:rPr>
      </w:pPr>
    </w:p>
    <w:p>
      <w:pPr>
        <w:pStyle w:val="20"/>
        <w:spacing w:line="360" w:lineRule="auto"/>
        <w:jc w:val="left"/>
        <w:rPr>
          <w:rFonts w:hint="eastAsia" w:ascii="宋体" w:hAnsi="宋体" w:eastAsia="宋体" w:cs="宋体"/>
          <w:b/>
          <w:sz w:val="24"/>
          <w:szCs w:val="24"/>
        </w:rPr>
      </w:pPr>
    </w:p>
    <w:p>
      <w:pPr>
        <w:pStyle w:val="20"/>
        <w:spacing w:line="360" w:lineRule="auto"/>
        <w:jc w:val="left"/>
        <w:rPr>
          <w:rFonts w:hint="eastAsia" w:ascii="宋体" w:hAnsi="宋体" w:eastAsia="宋体" w:cs="宋体"/>
          <w:b/>
          <w:sz w:val="24"/>
          <w:szCs w:val="24"/>
        </w:rPr>
      </w:pPr>
    </w:p>
    <w:p>
      <w:pPr>
        <w:pStyle w:val="20"/>
        <w:spacing w:line="360" w:lineRule="auto"/>
        <w:jc w:val="left"/>
        <w:rPr>
          <w:rFonts w:hint="eastAsia" w:ascii="宋体" w:hAnsi="宋体" w:eastAsia="宋体" w:cs="宋体"/>
          <w:b/>
          <w:sz w:val="24"/>
          <w:szCs w:val="24"/>
        </w:rPr>
      </w:pPr>
    </w:p>
    <w:p>
      <w:pPr>
        <w:pStyle w:val="20"/>
        <w:spacing w:line="360" w:lineRule="auto"/>
        <w:jc w:val="left"/>
        <w:rPr>
          <w:rFonts w:hint="eastAsia" w:ascii="宋体" w:hAnsi="宋体" w:eastAsia="宋体" w:cs="宋体"/>
          <w:b/>
          <w:sz w:val="24"/>
          <w:szCs w:val="24"/>
        </w:rPr>
      </w:pPr>
    </w:p>
    <w:p>
      <w:pPr>
        <w:pStyle w:val="20"/>
        <w:spacing w:line="360" w:lineRule="auto"/>
        <w:jc w:val="left"/>
        <w:rPr>
          <w:rFonts w:hint="eastAsia" w:ascii="宋体" w:hAnsi="宋体" w:eastAsia="宋体" w:cs="宋体"/>
          <w:b/>
          <w:sz w:val="24"/>
          <w:szCs w:val="24"/>
        </w:rPr>
      </w:pPr>
    </w:p>
    <w:p>
      <w:pPr>
        <w:rPr>
          <w:rFonts w:hint="eastAsia" w:ascii="宋体" w:hAnsi="宋体" w:eastAsia="宋体" w:cs="宋体"/>
          <w:b/>
          <w:sz w:val="24"/>
          <w:szCs w:val="24"/>
        </w:rPr>
      </w:pPr>
    </w:p>
    <w:p>
      <w:pPr>
        <w:pStyle w:val="2"/>
        <w:rPr>
          <w:rFonts w:hint="eastAsia"/>
        </w:rPr>
      </w:pPr>
    </w:p>
    <w:p>
      <w:pPr>
        <w:pStyle w:val="43"/>
        <w:rPr>
          <w:rFonts w:hint="eastAsia" w:ascii="宋体" w:hAnsi="宋体" w:eastAsia="宋体" w:cs="宋体"/>
          <w:b/>
          <w:sz w:val="24"/>
          <w:szCs w:val="24"/>
        </w:rPr>
      </w:pPr>
    </w:p>
    <w:p>
      <w:pPr>
        <w:pStyle w:val="43"/>
        <w:rPr>
          <w:rFonts w:hint="eastAsia" w:ascii="宋体" w:hAnsi="宋体" w:eastAsia="宋体" w:cs="宋体"/>
          <w:b/>
          <w:sz w:val="24"/>
          <w:szCs w:val="24"/>
        </w:rPr>
      </w:pPr>
    </w:p>
    <w:p>
      <w:pPr>
        <w:pStyle w:val="20"/>
        <w:spacing w:line="360" w:lineRule="auto"/>
        <w:jc w:val="left"/>
        <w:outlineLvl w:val="0"/>
        <w:rPr>
          <w:rFonts w:hint="eastAsia" w:ascii="宋体" w:hAnsi="宋体" w:eastAsia="宋体" w:cs="宋体"/>
          <w:b/>
          <w:sz w:val="24"/>
          <w:szCs w:val="24"/>
        </w:rPr>
      </w:pPr>
      <w:bookmarkStart w:id="516" w:name="_Toc11959"/>
      <w:r>
        <w:rPr>
          <w:rFonts w:hint="eastAsia" w:ascii="宋体" w:hAnsi="宋体" w:eastAsia="宋体" w:cs="宋体"/>
          <w:b/>
          <w:sz w:val="24"/>
          <w:szCs w:val="24"/>
        </w:rPr>
        <w:t>格式4：</w:t>
      </w:r>
      <w:bookmarkEnd w:id="516"/>
    </w:p>
    <w:p>
      <w:pPr>
        <w:pStyle w:val="20"/>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法定代表人资格证明书</w:t>
      </w:r>
    </w:p>
    <w:p>
      <w:pPr>
        <w:autoSpaceDE w:val="0"/>
        <w:autoSpaceDN w:val="0"/>
        <w:adjustRightInd w:val="0"/>
        <w:spacing w:line="360" w:lineRule="auto"/>
        <w:ind w:firstLine="420" w:firstLineChars="200"/>
        <w:jc w:val="left"/>
        <w:rPr>
          <w:rFonts w:hint="eastAsia" w:ascii="宋体" w:hAnsi="宋体" w:eastAsia="宋体" w:cs="宋体"/>
          <w:kern w:val="0"/>
          <w:sz w:val="21"/>
          <w:szCs w:val="21"/>
          <w:u w:val="single"/>
        </w:rPr>
      </w:pPr>
      <w:r>
        <w:rPr>
          <w:rFonts w:hint="eastAsia" w:ascii="宋体" w:hAnsi="宋体" w:eastAsia="宋体" w:cs="宋体"/>
          <w:kern w:val="0"/>
          <w:sz w:val="21"/>
          <w:szCs w:val="21"/>
        </w:rPr>
        <w:t>单位名称：</w:t>
      </w:r>
      <w:r>
        <w:rPr>
          <w:rFonts w:hint="eastAsia" w:ascii="宋体" w:hAnsi="宋体" w:eastAsia="宋体" w:cs="宋体"/>
          <w:kern w:val="0"/>
          <w:sz w:val="21"/>
          <w:szCs w:val="21"/>
          <w:u w:val="single"/>
        </w:rPr>
        <w:t xml:space="preserve">                                   </w:t>
      </w:r>
    </w:p>
    <w:p>
      <w:pPr>
        <w:autoSpaceDE w:val="0"/>
        <w:autoSpaceDN w:val="0"/>
        <w:adjustRightInd w:val="0"/>
        <w:spacing w:line="360" w:lineRule="auto"/>
        <w:jc w:val="left"/>
        <w:rPr>
          <w:rFonts w:hint="eastAsia" w:ascii="宋体" w:hAnsi="宋体" w:eastAsia="宋体" w:cs="宋体"/>
          <w:kern w:val="0"/>
          <w:sz w:val="21"/>
          <w:szCs w:val="21"/>
          <w:u w:val="single"/>
        </w:rPr>
      </w:pPr>
      <w:r>
        <w:rPr>
          <w:rFonts w:hint="eastAsia" w:ascii="宋体" w:hAnsi="宋体" w:eastAsia="宋体" w:cs="宋体"/>
          <w:kern w:val="0"/>
          <w:sz w:val="21"/>
          <w:szCs w:val="21"/>
        </w:rPr>
        <w:t xml:space="preserve">    单位性质：</w:t>
      </w:r>
      <w:r>
        <w:rPr>
          <w:rFonts w:hint="eastAsia" w:ascii="宋体" w:hAnsi="宋体" w:eastAsia="宋体" w:cs="宋体"/>
          <w:kern w:val="0"/>
          <w:sz w:val="21"/>
          <w:szCs w:val="21"/>
          <w:u w:val="single"/>
        </w:rPr>
        <w:t xml:space="preserve">                                   </w:t>
      </w:r>
    </w:p>
    <w:p>
      <w:pPr>
        <w:autoSpaceDE w:val="0"/>
        <w:autoSpaceDN w:val="0"/>
        <w:adjustRightInd w:val="0"/>
        <w:spacing w:line="360" w:lineRule="auto"/>
        <w:ind w:firstLine="420" w:firstLineChars="200"/>
        <w:jc w:val="left"/>
        <w:rPr>
          <w:rFonts w:hint="eastAsia" w:ascii="宋体" w:hAnsi="宋体" w:eastAsia="宋体" w:cs="宋体"/>
          <w:kern w:val="0"/>
          <w:sz w:val="21"/>
          <w:szCs w:val="21"/>
          <w:u w:val="single"/>
        </w:rPr>
      </w:pPr>
      <w:r>
        <w:rPr>
          <w:rFonts w:hint="eastAsia" w:ascii="宋体" w:hAnsi="宋体" w:eastAsia="宋体" w:cs="宋体"/>
          <w:kern w:val="0"/>
          <w:sz w:val="21"/>
          <w:szCs w:val="21"/>
        </w:rPr>
        <w:t>地    址：</w:t>
      </w:r>
      <w:r>
        <w:rPr>
          <w:rFonts w:hint="eastAsia" w:ascii="宋体" w:hAnsi="宋体" w:eastAsia="宋体" w:cs="宋体"/>
          <w:kern w:val="0"/>
          <w:sz w:val="21"/>
          <w:szCs w:val="21"/>
          <w:u w:val="single"/>
        </w:rPr>
        <w:t xml:space="preserve">                                   </w:t>
      </w:r>
    </w:p>
    <w:p>
      <w:pPr>
        <w:autoSpaceDE w:val="0"/>
        <w:autoSpaceDN w:val="0"/>
        <w:adjustRightInd w:val="0"/>
        <w:spacing w:line="360" w:lineRule="auto"/>
        <w:jc w:val="left"/>
        <w:rPr>
          <w:rFonts w:hint="eastAsia" w:ascii="宋体" w:hAnsi="宋体" w:eastAsia="宋体" w:cs="宋体"/>
          <w:kern w:val="0"/>
          <w:sz w:val="21"/>
          <w:szCs w:val="21"/>
          <w:u w:val="single"/>
        </w:rPr>
      </w:pPr>
      <w:r>
        <w:rPr>
          <w:rFonts w:hint="eastAsia" w:ascii="宋体" w:hAnsi="宋体" w:eastAsia="宋体" w:cs="宋体"/>
          <w:kern w:val="0"/>
          <w:sz w:val="21"/>
          <w:szCs w:val="21"/>
        </w:rPr>
        <w:t xml:space="preserve">    成立时间：</w:t>
      </w:r>
      <w:r>
        <w:rPr>
          <w:rFonts w:hint="eastAsia" w:ascii="宋体" w:hAnsi="宋体" w:eastAsia="宋体" w:cs="宋体"/>
          <w:kern w:val="0"/>
          <w:sz w:val="21"/>
          <w:szCs w:val="21"/>
          <w:u w:val="single"/>
        </w:rPr>
        <w:t xml:space="preserve">                                   </w:t>
      </w:r>
    </w:p>
    <w:p>
      <w:pPr>
        <w:autoSpaceDE w:val="0"/>
        <w:autoSpaceDN w:val="0"/>
        <w:adjustRightInd w:val="0"/>
        <w:spacing w:line="360" w:lineRule="auto"/>
        <w:jc w:val="left"/>
        <w:rPr>
          <w:rFonts w:hint="eastAsia" w:ascii="宋体" w:hAnsi="宋体" w:eastAsia="宋体" w:cs="宋体"/>
          <w:kern w:val="0"/>
          <w:sz w:val="21"/>
          <w:szCs w:val="21"/>
          <w:u w:val="single"/>
        </w:rPr>
      </w:pPr>
      <w:r>
        <w:rPr>
          <w:rFonts w:hint="eastAsia" w:ascii="宋体" w:hAnsi="宋体" w:eastAsia="宋体" w:cs="宋体"/>
          <w:kern w:val="0"/>
          <w:sz w:val="21"/>
          <w:szCs w:val="21"/>
        </w:rPr>
        <w:t xml:space="preserve">    经营期限：</w:t>
      </w:r>
      <w:r>
        <w:rPr>
          <w:rFonts w:hint="eastAsia" w:ascii="宋体" w:hAnsi="宋体" w:eastAsia="宋体" w:cs="宋体"/>
          <w:kern w:val="0"/>
          <w:sz w:val="21"/>
          <w:szCs w:val="21"/>
          <w:u w:val="single"/>
        </w:rPr>
        <w:t xml:space="preserve">                                   </w:t>
      </w:r>
    </w:p>
    <w:p>
      <w:pPr>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姓    名：</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性别：</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年龄：</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职务：</w:t>
      </w:r>
      <w:r>
        <w:rPr>
          <w:rFonts w:hint="eastAsia" w:ascii="宋体" w:hAnsi="宋体" w:eastAsia="宋体" w:cs="宋体"/>
          <w:kern w:val="0"/>
          <w:sz w:val="21"/>
          <w:szCs w:val="21"/>
          <w:u w:val="single"/>
        </w:rPr>
        <w:t xml:space="preserve">           </w:t>
      </w:r>
    </w:p>
    <w:p>
      <w:pPr>
        <w:autoSpaceDE w:val="0"/>
        <w:autoSpaceDN w:val="0"/>
        <w:adjustRightIn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系</w:t>
      </w:r>
      <w:r>
        <w:rPr>
          <w:rFonts w:hint="eastAsia" w:ascii="宋体" w:hAnsi="宋体" w:eastAsia="宋体" w:cs="宋体"/>
          <w:kern w:val="0"/>
          <w:sz w:val="21"/>
          <w:szCs w:val="21"/>
          <w:u w:val="single"/>
        </w:rPr>
        <w:t xml:space="preserve">          （供应商名称）        </w:t>
      </w:r>
      <w:r>
        <w:rPr>
          <w:rFonts w:hint="eastAsia" w:ascii="宋体" w:hAnsi="宋体" w:eastAsia="宋体" w:cs="宋体"/>
          <w:kern w:val="0"/>
          <w:sz w:val="21"/>
          <w:szCs w:val="21"/>
        </w:rPr>
        <w:t>的法定代表人。</w:t>
      </w:r>
    </w:p>
    <w:p>
      <w:pPr>
        <w:autoSpaceDE w:val="0"/>
        <w:autoSpaceDN w:val="0"/>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 xml:space="preserve">    </w:t>
      </w:r>
    </w:p>
    <w:p>
      <w:pPr>
        <w:autoSpaceDE w:val="0"/>
        <w:autoSpaceDN w:val="0"/>
        <w:adjustRightIn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特此证明。</w:t>
      </w:r>
    </w:p>
    <w:p>
      <w:pPr>
        <w:autoSpaceDE w:val="0"/>
        <w:autoSpaceDN w:val="0"/>
        <w:adjustRightInd w:val="0"/>
        <w:spacing w:line="360" w:lineRule="auto"/>
        <w:jc w:val="left"/>
        <w:rPr>
          <w:rFonts w:hint="eastAsia" w:ascii="宋体" w:hAnsi="宋体" w:eastAsia="宋体" w:cs="宋体"/>
          <w:kern w:val="0"/>
          <w:sz w:val="21"/>
          <w:szCs w:val="21"/>
        </w:rPr>
      </w:pPr>
    </w:p>
    <w:p>
      <w:pPr>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磋商供应商</w:t>
      </w:r>
      <w:r>
        <w:rPr>
          <w:rFonts w:hint="eastAsia" w:ascii="宋体" w:hAnsi="宋体" w:eastAsia="宋体" w:cs="宋体"/>
          <w:kern w:val="0"/>
          <w:sz w:val="21"/>
          <w:szCs w:val="21"/>
        </w:rPr>
        <w:t>（盖单位公章）：</w:t>
      </w:r>
      <w:r>
        <w:rPr>
          <w:rFonts w:hint="eastAsia" w:ascii="宋体" w:hAnsi="宋体" w:eastAsia="宋体" w:cs="宋体"/>
          <w:kern w:val="0"/>
          <w:sz w:val="21"/>
          <w:szCs w:val="21"/>
          <w:u w:val="single"/>
        </w:rPr>
        <w:t xml:space="preserve">                                 </w:t>
      </w:r>
    </w:p>
    <w:p>
      <w:pPr>
        <w:pStyle w:val="20"/>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225425</wp:posOffset>
                </wp:positionV>
                <wp:extent cx="5724525" cy="3248025"/>
                <wp:effectExtent l="8255" t="8255" r="10795" b="1079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5724525" cy="3248025"/>
                        </a:xfrm>
                        <a:prstGeom prst="rect">
                          <a:avLst/>
                        </a:prstGeom>
                        <a:solidFill>
                          <a:srgbClr val="FFFFFF"/>
                        </a:solidFill>
                        <a:ln w="12700">
                          <a:solidFill>
                            <a:srgbClr val="000000"/>
                          </a:solidFill>
                          <a:prstDash val="dash"/>
                          <a:miter lim="800000"/>
                        </a:ln>
                      </wps:spPr>
                      <wps:txbx>
                        <w:txbxContent>
                          <w:p/>
                          <w:p/>
                          <w:p/>
                          <w:p/>
                          <w:p/>
                          <w:p/>
                          <w:p>
                            <w:pPr>
                              <w:ind w:firstLine="2160" w:firstLineChars="900"/>
                              <w:rPr>
                                <w:sz w:val="24"/>
                              </w:rPr>
                            </w:pPr>
                            <w:r>
                              <w:rPr>
                                <w:rFonts w:hint="eastAsia"/>
                                <w:sz w:val="24"/>
                              </w:rPr>
                              <w:t>法定代表人有效的居民身份证复印件（正面、背面）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05pt;margin-top:17.75pt;height:255.75pt;width:450.75pt;z-index:251660288;mso-width-relative:page;mso-height-relative:page;" fillcolor="#FFFFFF" filled="t" stroked="t" coordsize="21600,21600" o:gfxdata="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6AlO9kAAAAKAQAADwAAAAAAAAABACAAAAAi&#10;AAAAZHJzL2Rvd25yZXYueG1sUEsBAhQAFAAAAAgAh07iQKgpBfVCAgAAlAQAAA4AAAAAAAAAAQAg&#10;AAAAKAEAAGRycy9lMm9Eb2MueG1sUEsFBgAAAAAGAAYAWQEAANwFAAAAAA==&#10;">
                <v:fill on="t" focussize="0,0"/>
                <v:stroke weight="1pt" color="#000000" miterlimit="8" joinstyle="miter" dashstyle="dash"/>
                <v:imagedata o:title=""/>
                <o:lock v:ext="edit" aspectratio="f"/>
                <v:textbox>
                  <w:txbxContent>
                    <w:p/>
                    <w:p/>
                    <w:p/>
                    <w:p/>
                    <w:p/>
                    <w:p/>
                    <w:p>
                      <w:pPr>
                        <w:ind w:firstLine="2160" w:firstLineChars="900"/>
                        <w:rPr>
                          <w:sz w:val="24"/>
                        </w:rPr>
                      </w:pPr>
                      <w:r>
                        <w:rPr>
                          <w:rFonts w:hint="eastAsia"/>
                          <w:sz w:val="24"/>
                        </w:rPr>
                        <w:t>法定代表人有效的居民身份证复印件（正面、背面）</w:t>
                      </w:r>
                    </w:p>
                  </w:txbxContent>
                </v:textbox>
              </v:rect>
            </w:pict>
          </mc:Fallback>
        </mc:AlternateContent>
      </w:r>
      <w:r>
        <w:rPr>
          <w:rFonts w:hint="eastAsia" w:ascii="宋体" w:hAnsi="宋体" w:eastAsia="宋体" w:cs="宋体"/>
          <w:kern w:val="0"/>
          <w:sz w:val="21"/>
          <w:szCs w:val="21"/>
        </w:rPr>
        <w:t>法定代表人或其委托代理人（签字）</w:t>
      </w:r>
      <w:r>
        <w:rPr>
          <w:rFonts w:hint="eastAsia" w:ascii="宋体" w:hAnsi="宋体" w:eastAsia="宋体" w:cs="宋体"/>
          <w:sz w:val="21"/>
          <w:szCs w:val="21"/>
        </w:rPr>
        <w:t>：</w:t>
      </w:r>
      <w:r>
        <w:rPr>
          <w:rFonts w:hint="eastAsia" w:ascii="宋体" w:hAnsi="宋体" w:eastAsia="宋体" w:cs="宋体"/>
          <w:sz w:val="21"/>
          <w:szCs w:val="21"/>
          <w:u w:val="single"/>
        </w:rPr>
        <w:t xml:space="preserve">                     </w:t>
      </w:r>
    </w:p>
    <w:p>
      <w:pPr>
        <w:autoSpaceDE w:val="0"/>
        <w:autoSpaceDN w:val="0"/>
        <w:adjustRightInd w:val="0"/>
        <w:spacing w:line="360" w:lineRule="auto"/>
        <w:jc w:val="left"/>
        <w:rPr>
          <w:rFonts w:hint="eastAsia" w:ascii="宋体" w:hAnsi="宋体" w:eastAsia="宋体" w:cs="宋体"/>
          <w:kern w:val="0"/>
          <w:sz w:val="21"/>
          <w:szCs w:val="21"/>
        </w:rPr>
      </w:pPr>
    </w:p>
    <w:p>
      <w:pPr>
        <w:autoSpaceDE w:val="0"/>
        <w:autoSpaceDN w:val="0"/>
        <w:adjustRightIn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日    期：      年      月      日</w:t>
      </w:r>
    </w:p>
    <w:p>
      <w:pPr>
        <w:autoSpaceDE w:val="0"/>
        <w:autoSpaceDN w:val="0"/>
        <w:adjustRightInd w:val="0"/>
        <w:spacing w:line="360" w:lineRule="auto"/>
        <w:jc w:val="left"/>
        <w:rPr>
          <w:rFonts w:hint="eastAsia" w:ascii="宋体" w:hAnsi="宋体" w:eastAsia="宋体" w:cs="宋体"/>
          <w:kern w:val="0"/>
          <w:sz w:val="21"/>
          <w:szCs w:val="21"/>
          <w:u w:val="dash"/>
        </w:rPr>
      </w:pPr>
      <w:r>
        <w:rPr>
          <w:rFonts w:hint="eastAsia" w:ascii="宋体" w:hAnsi="宋体" w:eastAsia="宋体" w:cs="宋体"/>
          <w:kern w:val="0"/>
          <w:sz w:val="21"/>
          <w:szCs w:val="21"/>
          <w:u w:val="dash"/>
        </w:rPr>
        <w:t xml:space="preserve">                                                                            </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pStyle w:val="20"/>
        <w:spacing w:line="360" w:lineRule="auto"/>
        <w:rPr>
          <w:rFonts w:hint="eastAsia" w:ascii="宋体" w:hAnsi="宋体" w:eastAsia="宋体" w:cs="宋体"/>
          <w:b/>
          <w:sz w:val="21"/>
          <w:szCs w:val="21"/>
        </w:rPr>
      </w:pPr>
    </w:p>
    <w:p>
      <w:pPr>
        <w:pStyle w:val="20"/>
        <w:spacing w:line="360" w:lineRule="auto"/>
        <w:outlineLvl w:val="0"/>
        <w:rPr>
          <w:rFonts w:hint="eastAsia" w:ascii="宋体" w:hAnsi="宋体" w:eastAsia="宋体" w:cs="宋体"/>
          <w:sz w:val="21"/>
          <w:szCs w:val="21"/>
        </w:rPr>
      </w:pPr>
      <w:bookmarkStart w:id="517" w:name="_Toc13736"/>
      <w:r>
        <w:rPr>
          <w:rFonts w:hint="eastAsia" w:ascii="宋体" w:hAnsi="宋体" w:eastAsia="宋体" w:cs="宋体"/>
          <w:b/>
          <w:sz w:val="21"/>
          <w:szCs w:val="21"/>
        </w:rPr>
        <w:t>格式5：</w:t>
      </w:r>
      <w:bookmarkEnd w:id="517"/>
    </w:p>
    <w:p>
      <w:pPr>
        <w:autoSpaceDE w:val="0"/>
        <w:autoSpaceDN w:val="0"/>
        <w:adjustRightInd w:val="0"/>
        <w:spacing w:line="360" w:lineRule="auto"/>
        <w:jc w:val="center"/>
        <w:outlineLvl w:val="9"/>
        <w:rPr>
          <w:rFonts w:hint="eastAsia" w:ascii="宋体" w:hAnsi="宋体" w:eastAsia="宋体" w:cs="宋体"/>
          <w:b/>
          <w:kern w:val="0"/>
          <w:sz w:val="32"/>
          <w:szCs w:val="32"/>
        </w:rPr>
      </w:pPr>
    </w:p>
    <w:p>
      <w:pPr>
        <w:autoSpaceDE w:val="0"/>
        <w:autoSpaceDN w:val="0"/>
        <w:adjustRightInd w:val="0"/>
        <w:spacing w:line="360" w:lineRule="auto"/>
        <w:jc w:val="center"/>
        <w:outlineLvl w:val="9"/>
        <w:rPr>
          <w:rFonts w:hint="eastAsia" w:ascii="宋体" w:hAnsi="宋体" w:eastAsia="宋体" w:cs="宋体"/>
          <w:b/>
          <w:kern w:val="0"/>
          <w:sz w:val="32"/>
          <w:szCs w:val="32"/>
        </w:rPr>
      </w:pPr>
    </w:p>
    <w:p>
      <w:pPr>
        <w:autoSpaceDE w:val="0"/>
        <w:autoSpaceDN w:val="0"/>
        <w:adjustRightInd w:val="0"/>
        <w:spacing w:line="360" w:lineRule="auto"/>
        <w:jc w:val="center"/>
        <w:outlineLvl w:val="9"/>
        <w:rPr>
          <w:rFonts w:hint="eastAsia" w:ascii="宋体" w:hAnsi="宋体" w:eastAsia="宋体" w:cs="宋体"/>
          <w:b/>
          <w:kern w:val="0"/>
          <w:sz w:val="32"/>
          <w:szCs w:val="32"/>
        </w:rPr>
      </w:pPr>
    </w:p>
    <w:p>
      <w:pPr>
        <w:autoSpaceDE w:val="0"/>
        <w:autoSpaceDN w:val="0"/>
        <w:adjustRightInd w:val="0"/>
        <w:spacing w:line="360" w:lineRule="auto"/>
        <w:jc w:val="center"/>
        <w:outlineLvl w:val="9"/>
        <w:rPr>
          <w:rFonts w:hint="eastAsia" w:ascii="宋体" w:hAnsi="宋体" w:eastAsia="宋体" w:cs="宋体"/>
          <w:b/>
          <w:kern w:val="0"/>
          <w:sz w:val="32"/>
          <w:szCs w:val="32"/>
        </w:rPr>
      </w:pPr>
    </w:p>
    <w:p>
      <w:pPr>
        <w:pStyle w:val="2"/>
        <w:rPr>
          <w:rFonts w:hint="eastAsia" w:ascii="宋体" w:hAnsi="宋体" w:eastAsia="宋体" w:cs="宋体"/>
          <w:b/>
          <w:kern w:val="0"/>
          <w:sz w:val="32"/>
          <w:szCs w:val="32"/>
        </w:rPr>
      </w:pPr>
    </w:p>
    <w:p>
      <w:pPr>
        <w:rPr>
          <w:rFonts w:hint="eastAsia"/>
        </w:rPr>
      </w:pPr>
    </w:p>
    <w:p>
      <w:pPr>
        <w:pStyle w:val="74"/>
        <w:rPr>
          <w:rFonts w:hint="eastAsia" w:ascii="宋体" w:hAnsi="宋体" w:eastAsia="宋体" w:cs="宋体"/>
        </w:rPr>
      </w:pPr>
    </w:p>
    <w:p>
      <w:pPr>
        <w:autoSpaceDE w:val="0"/>
        <w:autoSpaceDN w:val="0"/>
        <w:adjustRightInd w:val="0"/>
        <w:spacing w:line="360" w:lineRule="auto"/>
        <w:jc w:val="center"/>
        <w:outlineLvl w:val="1"/>
        <w:rPr>
          <w:rFonts w:hint="eastAsia" w:ascii="宋体" w:hAnsi="宋体" w:eastAsia="宋体" w:cs="宋体"/>
          <w:b/>
          <w:kern w:val="0"/>
          <w:sz w:val="32"/>
          <w:szCs w:val="32"/>
        </w:rPr>
      </w:pPr>
      <w:r>
        <w:rPr>
          <w:rFonts w:hint="eastAsia" w:ascii="宋体" w:hAnsi="宋体" w:eastAsia="宋体" w:cs="宋体"/>
          <w:b/>
          <w:kern w:val="0"/>
          <w:sz w:val="32"/>
          <w:szCs w:val="32"/>
        </w:rPr>
        <w:t>法定代表人授权委托书（格式）</w:t>
      </w:r>
    </w:p>
    <w:p>
      <w:pPr>
        <w:pStyle w:val="20"/>
        <w:spacing w:line="360" w:lineRule="auto"/>
        <w:ind w:firstLine="480" w:firstLineChars="200"/>
        <w:rPr>
          <w:rFonts w:hint="eastAsia" w:ascii="宋体" w:hAnsi="宋体" w:eastAsia="宋体" w:cs="宋体"/>
          <w:sz w:val="24"/>
          <w:szCs w:val="24"/>
          <w:u w:val="single"/>
        </w:rPr>
      </w:pPr>
    </w:p>
    <w:p>
      <w:pPr>
        <w:pStyle w:val="20"/>
        <w:spacing w:line="360" w:lineRule="auto"/>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 xml:space="preserve">                      </w:t>
      </w:r>
      <w:r>
        <w:rPr>
          <w:rFonts w:hint="eastAsia" w:ascii="宋体" w:hAnsi="宋体" w:eastAsia="宋体" w:cs="宋体"/>
          <w:sz w:val="21"/>
          <w:szCs w:val="21"/>
        </w:rPr>
        <w:t>（采购人名称）</w:t>
      </w:r>
    </w:p>
    <w:p>
      <w:pPr>
        <w:pStyle w:val="20"/>
        <w:spacing w:line="360" w:lineRule="auto"/>
        <w:ind w:firstLine="420" w:firstLineChars="200"/>
        <w:rPr>
          <w:rFonts w:hint="eastAsia" w:ascii="宋体" w:hAnsi="宋体" w:eastAsia="宋体" w:cs="宋体"/>
          <w:sz w:val="21"/>
          <w:szCs w:val="21"/>
        </w:rPr>
      </w:pPr>
    </w:p>
    <w:p>
      <w:pPr>
        <w:pStyle w:val="2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本人</w:t>
      </w:r>
      <w:r>
        <w:rPr>
          <w:rFonts w:hint="eastAsia" w:ascii="宋体" w:hAnsi="宋体" w:eastAsia="宋体" w:cs="宋体"/>
          <w:sz w:val="21"/>
          <w:szCs w:val="21"/>
          <w:u w:val="single"/>
        </w:rPr>
        <w:t xml:space="preserve">        </w:t>
      </w:r>
      <w:r>
        <w:rPr>
          <w:rFonts w:hint="eastAsia" w:ascii="宋体" w:hAnsi="宋体" w:eastAsia="宋体" w:cs="宋体"/>
          <w:sz w:val="21"/>
          <w:szCs w:val="21"/>
        </w:rPr>
        <w:t>（姓名）系</w:t>
      </w:r>
      <w:r>
        <w:rPr>
          <w:rFonts w:hint="eastAsia" w:ascii="宋体" w:hAnsi="宋体" w:eastAsia="宋体" w:cs="宋体"/>
          <w:sz w:val="21"/>
          <w:szCs w:val="21"/>
          <w:u w:val="single"/>
        </w:rPr>
        <w:t xml:space="preserve">                 </w:t>
      </w:r>
      <w:r>
        <w:rPr>
          <w:rFonts w:hint="eastAsia" w:ascii="宋体" w:hAnsi="宋体" w:eastAsia="宋体" w:cs="宋体"/>
          <w:sz w:val="21"/>
          <w:szCs w:val="21"/>
        </w:rPr>
        <w:t>（供应商名称）的法定代表人，现授权</w:t>
      </w:r>
      <w:r>
        <w:rPr>
          <w:rFonts w:hint="eastAsia" w:ascii="宋体" w:hAnsi="宋体" w:eastAsia="宋体" w:cs="宋体"/>
          <w:sz w:val="21"/>
          <w:szCs w:val="21"/>
          <w:u w:val="single"/>
        </w:rPr>
        <w:t xml:space="preserve">        </w:t>
      </w:r>
      <w:r>
        <w:rPr>
          <w:rFonts w:hint="eastAsia" w:ascii="宋体" w:hAnsi="宋体" w:eastAsia="宋体" w:cs="宋体"/>
          <w:sz w:val="21"/>
          <w:szCs w:val="21"/>
        </w:rPr>
        <w:t>（姓名和职务）为我方代理人。代理人根据授权，以我方名义签署、澄清、说明、补正、递交、撤回、修改贵方组织的</w:t>
      </w:r>
      <w:r>
        <w:rPr>
          <w:rFonts w:hint="eastAsia" w:ascii="宋体" w:hAnsi="宋体" w:eastAsia="宋体" w:cs="宋体"/>
          <w:sz w:val="21"/>
          <w:szCs w:val="21"/>
          <w:u w:val="single"/>
        </w:rPr>
        <w:t xml:space="preserve">                </w:t>
      </w:r>
      <w:r>
        <w:rPr>
          <w:rFonts w:hint="eastAsia" w:ascii="宋体" w:hAnsi="宋体" w:eastAsia="宋体" w:cs="宋体"/>
          <w:sz w:val="21"/>
          <w:szCs w:val="21"/>
        </w:rPr>
        <w:t>项目（项目编号：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）的响应文件、签订合同和处理一切有关事宜，其法律后果由我方承担。</w:t>
      </w:r>
    </w:p>
    <w:p>
      <w:pPr>
        <w:pStyle w:val="2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本授权书于</w:t>
      </w:r>
      <w:r>
        <w:rPr>
          <w:rFonts w:hint="eastAsia" w:ascii="宋体" w:hAnsi="宋体" w:eastAsia="宋体" w:cs="宋体"/>
          <w:spacing w:val="10"/>
          <w:sz w:val="21"/>
          <w:szCs w:val="21"/>
          <w:u w:val="single"/>
        </w:rPr>
        <w:t xml:space="preserve">    </w:t>
      </w:r>
      <w:r>
        <w:rPr>
          <w:rFonts w:hint="eastAsia" w:ascii="宋体" w:hAnsi="宋体" w:eastAsia="宋体" w:cs="宋体"/>
          <w:sz w:val="21"/>
          <w:szCs w:val="21"/>
        </w:rPr>
        <w:t>年</w:t>
      </w:r>
      <w:r>
        <w:rPr>
          <w:rFonts w:hint="eastAsia" w:ascii="宋体" w:hAnsi="宋体" w:eastAsia="宋体" w:cs="宋体"/>
          <w:spacing w:val="10"/>
          <w:sz w:val="21"/>
          <w:szCs w:val="21"/>
          <w:u w:val="single"/>
        </w:rPr>
        <w:t xml:space="preserve">    </w:t>
      </w:r>
      <w:r>
        <w:rPr>
          <w:rFonts w:hint="eastAsia" w:ascii="宋体" w:hAnsi="宋体" w:eastAsia="宋体" w:cs="宋体"/>
          <w:sz w:val="21"/>
          <w:szCs w:val="21"/>
        </w:rPr>
        <w:t>月</w:t>
      </w:r>
      <w:r>
        <w:rPr>
          <w:rFonts w:hint="eastAsia" w:ascii="宋体" w:hAnsi="宋体" w:eastAsia="宋体" w:cs="宋体"/>
          <w:spacing w:val="10"/>
          <w:sz w:val="21"/>
          <w:szCs w:val="21"/>
          <w:u w:val="single"/>
        </w:rPr>
        <w:t xml:space="preserve">    </w:t>
      </w:r>
      <w:r>
        <w:rPr>
          <w:rFonts w:hint="eastAsia" w:ascii="宋体" w:hAnsi="宋体" w:eastAsia="宋体" w:cs="宋体"/>
          <w:sz w:val="21"/>
          <w:szCs w:val="21"/>
        </w:rPr>
        <w:t>日签字生效，委托期限：</w:t>
      </w:r>
      <w:r>
        <w:rPr>
          <w:rFonts w:hint="eastAsia" w:ascii="宋体" w:hAnsi="宋体" w:eastAsia="宋体" w:cs="宋体"/>
          <w:spacing w:val="10"/>
          <w:sz w:val="21"/>
          <w:szCs w:val="21"/>
          <w:u w:val="single"/>
        </w:rPr>
        <w:t xml:space="preserve">    </w:t>
      </w:r>
      <w:r>
        <w:rPr>
          <w:rFonts w:hint="eastAsia" w:ascii="宋体" w:hAnsi="宋体" w:eastAsia="宋体" w:cs="宋体"/>
          <w:sz w:val="21"/>
          <w:szCs w:val="21"/>
        </w:rPr>
        <w:t>。</w:t>
      </w:r>
    </w:p>
    <w:p>
      <w:pPr>
        <w:pStyle w:val="20"/>
        <w:spacing w:line="360" w:lineRule="auto"/>
        <w:ind w:firstLine="420"/>
        <w:rPr>
          <w:rFonts w:hint="eastAsia" w:ascii="宋体" w:hAnsi="宋体" w:eastAsia="宋体" w:cs="宋体"/>
          <w:sz w:val="21"/>
          <w:szCs w:val="21"/>
        </w:rPr>
      </w:pPr>
      <w:r>
        <w:rPr>
          <w:rFonts w:hint="eastAsia" w:ascii="宋体" w:hAnsi="宋体" w:eastAsia="宋体" w:cs="宋体"/>
          <w:sz w:val="21"/>
          <w:szCs w:val="21"/>
        </w:rPr>
        <w:t>代理人无转委托权。</w:t>
      </w:r>
    </w:p>
    <w:p>
      <w:pPr>
        <w:pStyle w:val="20"/>
        <w:spacing w:line="360" w:lineRule="auto"/>
        <w:ind w:firstLine="420"/>
        <w:rPr>
          <w:rFonts w:hint="eastAsia" w:ascii="宋体" w:hAnsi="宋体" w:eastAsia="宋体" w:cs="宋体"/>
          <w:sz w:val="21"/>
          <w:szCs w:val="21"/>
        </w:rPr>
      </w:pPr>
    </w:p>
    <w:p>
      <w:pPr>
        <w:pStyle w:val="20"/>
        <w:spacing w:line="360" w:lineRule="auto"/>
        <w:ind w:firstLine="420"/>
        <w:rPr>
          <w:rFonts w:hint="eastAsia" w:ascii="宋体" w:hAnsi="宋体" w:eastAsia="宋体" w:cs="宋体"/>
          <w:sz w:val="21"/>
          <w:szCs w:val="21"/>
          <w:u w:val="single"/>
        </w:rPr>
      </w:pPr>
      <w:r>
        <w:rPr>
          <w:rFonts w:hint="eastAsia" w:ascii="宋体" w:hAnsi="宋体" w:eastAsia="宋体" w:cs="宋体"/>
          <w:sz w:val="21"/>
          <w:szCs w:val="21"/>
        </w:rPr>
        <w:t>磋商供应商（盖单位公章）：</w:t>
      </w:r>
      <w:r>
        <w:rPr>
          <w:rFonts w:hint="eastAsia" w:ascii="宋体" w:hAnsi="宋体" w:eastAsia="宋体" w:cs="宋体"/>
          <w:sz w:val="21"/>
          <w:szCs w:val="21"/>
          <w:u w:val="single"/>
        </w:rPr>
        <w:t xml:space="preserve">                                    </w:t>
      </w:r>
    </w:p>
    <w:p>
      <w:pPr>
        <w:pStyle w:val="20"/>
        <w:spacing w:line="360" w:lineRule="auto"/>
        <w:ind w:firstLine="420"/>
        <w:rPr>
          <w:rFonts w:hint="eastAsia" w:ascii="宋体" w:hAnsi="宋体" w:eastAsia="宋体" w:cs="宋体"/>
          <w:sz w:val="21"/>
          <w:szCs w:val="21"/>
          <w:u w:val="single"/>
        </w:rPr>
      </w:pPr>
      <w:r>
        <w:rPr>
          <w:rFonts w:hint="eastAsia" w:ascii="宋体" w:hAnsi="宋体" w:eastAsia="宋体" w:cs="宋体"/>
          <w:sz w:val="21"/>
          <w:szCs w:val="21"/>
        </w:rPr>
        <w:t>法定代表人（签字或盖章）：</w:t>
      </w:r>
      <w:r>
        <w:rPr>
          <w:rFonts w:hint="eastAsia" w:ascii="宋体" w:hAnsi="宋体" w:eastAsia="宋体" w:cs="宋体"/>
          <w:sz w:val="21"/>
          <w:szCs w:val="21"/>
          <w:u w:val="single"/>
        </w:rPr>
        <w:t xml:space="preserve">                                </w:t>
      </w:r>
    </w:p>
    <w:p>
      <w:pPr>
        <w:pStyle w:val="20"/>
        <w:spacing w:line="360" w:lineRule="auto"/>
        <w:ind w:firstLine="420"/>
        <w:rPr>
          <w:rFonts w:hint="eastAsia" w:ascii="宋体" w:hAnsi="宋体" w:eastAsia="宋体" w:cs="宋体"/>
          <w:sz w:val="21"/>
          <w:szCs w:val="21"/>
          <w:u w:val="single"/>
        </w:rPr>
      </w:pPr>
      <w:r>
        <w:rPr>
          <w:rFonts w:hint="eastAsia" w:ascii="宋体" w:hAnsi="宋体" w:eastAsia="宋体" w:cs="宋体"/>
          <w:sz w:val="21"/>
          <w:szCs w:val="21"/>
        </w:rPr>
        <w:t>法定代表人身份证号码：</w:t>
      </w:r>
      <w:r>
        <w:rPr>
          <w:rFonts w:hint="eastAsia" w:ascii="宋体" w:hAnsi="宋体" w:eastAsia="宋体" w:cs="宋体"/>
          <w:sz w:val="21"/>
          <w:szCs w:val="21"/>
          <w:u w:val="single"/>
        </w:rPr>
        <w:t xml:space="preserve">                                   </w:t>
      </w:r>
    </w:p>
    <w:p>
      <w:pPr>
        <w:pStyle w:val="2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委托代理人（签字或盖章）：</w:t>
      </w:r>
      <w:r>
        <w:rPr>
          <w:rFonts w:hint="eastAsia" w:ascii="宋体" w:hAnsi="宋体" w:eastAsia="宋体" w:cs="宋体"/>
          <w:sz w:val="21"/>
          <w:szCs w:val="21"/>
          <w:u w:val="single"/>
        </w:rPr>
        <w:t xml:space="preserve">                                </w:t>
      </w:r>
    </w:p>
    <w:p>
      <w:pPr>
        <w:pStyle w:val="20"/>
        <w:spacing w:line="360" w:lineRule="auto"/>
        <w:ind w:firstLine="420"/>
        <w:rPr>
          <w:rFonts w:hint="eastAsia" w:ascii="宋体" w:hAnsi="宋体" w:eastAsia="宋体" w:cs="宋体"/>
          <w:sz w:val="21"/>
          <w:szCs w:val="21"/>
          <w:u w:val="single"/>
        </w:rPr>
      </w:pPr>
      <w:r>
        <w:rPr>
          <w:rFonts w:hint="eastAsia" w:ascii="宋体" w:hAnsi="宋体" w:eastAsia="宋体" w:cs="宋体"/>
          <w:sz w:val="21"/>
          <w:szCs w:val="21"/>
        </w:rPr>
        <w:t>委托代理人身份证号码：</w:t>
      </w:r>
      <w:r>
        <w:rPr>
          <w:rFonts w:hint="eastAsia" w:ascii="宋体" w:hAnsi="宋体" w:eastAsia="宋体" w:cs="宋体"/>
          <w:sz w:val="21"/>
          <w:szCs w:val="21"/>
          <w:u w:val="single"/>
        </w:rPr>
        <w:t xml:space="preserve">                                   </w:t>
      </w:r>
    </w:p>
    <w:p>
      <w:pPr>
        <w:autoSpaceDE w:val="0"/>
        <w:autoSpaceDN w:val="0"/>
        <w:adjustRightInd w:val="0"/>
        <w:spacing w:line="360" w:lineRule="auto"/>
        <w:jc w:val="left"/>
        <w:rPr>
          <w:rFonts w:hint="eastAsia" w:ascii="宋体" w:hAnsi="宋体" w:eastAsia="宋体" w:cs="宋体"/>
          <w:kern w:val="0"/>
          <w:sz w:val="21"/>
          <w:szCs w:val="21"/>
        </w:rPr>
      </w:pPr>
    </w:p>
    <w:p>
      <w:pPr>
        <w:autoSpaceDE w:val="0"/>
        <w:autoSpaceDN w:val="0"/>
        <w:adjustRightInd w:val="0"/>
        <w:spacing w:line="360" w:lineRule="auto"/>
        <w:jc w:val="left"/>
        <w:rPr>
          <w:rFonts w:hint="eastAsia" w:ascii="宋体" w:hAnsi="宋体" w:eastAsia="宋体" w:cs="宋体"/>
          <w:kern w:val="0"/>
          <w:sz w:val="21"/>
          <w:szCs w:val="21"/>
        </w:rPr>
      </w:pPr>
    </w:p>
    <w:p>
      <w:pPr>
        <w:autoSpaceDE w:val="0"/>
        <w:autoSpaceDN w:val="0"/>
        <w:adjustRightIn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附：委托代理人有效的居民身份证正、反面复印件</w:t>
      </w:r>
    </w:p>
    <w:p>
      <w:pPr>
        <w:autoSpaceDE w:val="0"/>
        <w:autoSpaceDN w:val="0"/>
        <w:adjustRightInd w:val="0"/>
        <w:spacing w:line="360" w:lineRule="auto"/>
        <w:jc w:val="left"/>
        <w:rPr>
          <w:rFonts w:hint="eastAsia" w:ascii="宋体" w:hAnsi="宋体" w:eastAsia="宋体" w:cs="宋体"/>
          <w:kern w:val="0"/>
          <w:sz w:val="24"/>
          <w:szCs w:val="24"/>
        </w:rPr>
      </w:pPr>
    </w:p>
    <w:p>
      <w:pPr>
        <w:autoSpaceDE w:val="0"/>
        <w:autoSpaceDN w:val="0"/>
        <w:adjustRightInd w:val="0"/>
        <w:spacing w:line="360" w:lineRule="auto"/>
        <w:jc w:val="left"/>
        <w:rPr>
          <w:rFonts w:hint="eastAsia" w:ascii="宋体" w:hAnsi="宋体" w:eastAsia="宋体" w:cs="宋体"/>
          <w:kern w:val="0"/>
          <w:sz w:val="24"/>
          <w:szCs w:val="24"/>
        </w:rPr>
      </w:pPr>
    </w:p>
    <w:p>
      <w:pPr>
        <w:autoSpaceDE w:val="0"/>
        <w:autoSpaceDN w:val="0"/>
        <w:adjustRightInd w:val="0"/>
        <w:spacing w:line="360" w:lineRule="auto"/>
        <w:jc w:val="left"/>
        <w:rPr>
          <w:rFonts w:hint="eastAsia" w:ascii="宋体" w:hAnsi="宋体" w:eastAsia="宋体" w:cs="宋体"/>
          <w:kern w:val="0"/>
          <w:sz w:val="24"/>
          <w:szCs w:val="24"/>
        </w:rPr>
      </w:pPr>
    </w:p>
    <w:p>
      <w:pPr>
        <w:autoSpaceDE w:val="0"/>
        <w:autoSpaceDN w:val="0"/>
        <w:adjustRightInd w:val="0"/>
        <w:spacing w:line="360" w:lineRule="auto"/>
        <w:jc w:val="left"/>
        <w:rPr>
          <w:rFonts w:hint="eastAsia" w:ascii="宋体" w:hAnsi="宋体" w:eastAsia="宋体" w:cs="宋体"/>
          <w:kern w:val="0"/>
          <w:sz w:val="24"/>
          <w:szCs w:val="24"/>
        </w:rPr>
      </w:pPr>
    </w:p>
    <w:p>
      <w:pPr>
        <w:autoSpaceDE w:val="0"/>
        <w:autoSpaceDN w:val="0"/>
        <w:adjustRightInd w:val="0"/>
        <w:spacing w:line="360" w:lineRule="auto"/>
        <w:jc w:val="left"/>
        <w:rPr>
          <w:rFonts w:hint="eastAsia" w:ascii="宋体" w:hAnsi="宋体" w:eastAsia="宋体" w:cs="宋体"/>
          <w:kern w:val="0"/>
          <w:sz w:val="24"/>
        </w:rPr>
      </w:pPr>
    </w:p>
    <w:p>
      <w:pPr>
        <w:autoSpaceDE w:val="0"/>
        <w:autoSpaceDN w:val="0"/>
        <w:adjustRightInd w:val="0"/>
        <w:spacing w:line="360" w:lineRule="auto"/>
        <w:jc w:val="left"/>
        <w:rPr>
          <w:rFonts w:hint="eastAsia" w:ascii="宋体" w:hAnsi="宋体" w:eastAsia="宋体" w:cs="宋体"/>
          <w:kern w:val="0"/>
          <w:sz w:val="24"/>
        </w:rPr>
      </w:pPr>
    </w:p>
    <w:p>
      <w:pPr>
        <w:autoSpaceDE w:val="0"/>
        <w:autoSpaceDN w:val="0"/>
        <w:adjustRightInd w:val="0"/>
        <w:spacing w:line="360" w:lineRule="auto"/>
        <w:jc w:val="left"/>
        <w:rPr>
          <w:rFonts w:hint="eastAsia" w:ascii="宋体" w:hAnsi="宋体" w:eastAsia="宋体" w:cs="宋体"/>
          <w:kern w:val="0"/>
          <w:sz w:val="24"/>
        </w:rPr>
      </w:pPr>
    </w:p>
    <w:p>
      <w:pPr>
        <w:autoSpaceDE w:val="0"/>
        <w:autoSpaceDN w:val="0"/>
        <w:adjustRightInd w:val="0"/>
        <w:spacing w:line="360" w:lineRule="auto"/>
        <w:jc w:val="left"/>
        <w:rPr>
          <w:rFonts w:hint="eastAsia" w:ascii="宋体" w:hAnsi="宋体" w:eastAsia="宋体" w:cs="宋体"/>
          <w:kern w:val="0"/>
          <w:sz w:val="24"/>
        </w:rPr>
      </w:pPr>
    </w:p>
    <w:p>
      <w:pPr>
        <w:autoSpaceDE w:val="0"/>
        <w:autoSpaceDN w:val="0"/>
        <w:adjustRightInd w:val="0"/>
        <w:spacing w:line="360" w:lineRule="auto"/>
        <w:jc w:val="left"/>
        <w:rPr>
          <w:rFonts w:hint="eastAsia" w:ascii="宋体" w:hAnsi="宋体" w:eastAsia="宋体" w:cs="宋体"/>
          <w:kern w:val="0"/>
          <w:sz w:val="24"/>
        </w:rPr>
      </w:pPr>
    </w:p>
    <w:p>
      <w:pPr>
        <w:pStyle w:val="2"/>
        <w:ind w:firstLine="480"/>
        <w:rPr>
          <w:rFonts w:hint="eastAsia" w:ascii="宋体" w:hAnsi="宋体" w:eastAsia="宋体" w:cs="宋体"/>
        </w:rPr>
      </w:pPr>
    </w:p>
    <w:p>
      <w:pPr>
        <w:autoSpaceDE w:val="0"/>
        <w:autoSpaceDN w:val="0"/>
        <w:adjustRightInd w:val="0"/>
        <w:spacing w:line="360" w:lineRule="auto"/>
        <w:jc w:val="left"/>
        <w:rPr>
          <w:rFonts w:hint="eastAsia" w:ascii="宋体" w:hAnsi="宋体" w:eastAsia="宋体" w:cs="宋体"/>
          <w:kern w:val="0"/>
          <w:sz w:val="24"/>
        </w:rPr>
      </w:pPr>
    </w:p>
    <w:p>
      <w:pPr>
        <w:pStyle w:val="2"/>
        <w:rPr>
          <w:rFonts w:hint="eastAsia" w:ascii="宋体" w:hAnsi="宋体" w:eastAsia="宋体" w:cs="宋体"/>
          <w:kern w:val="0"/>
          <w:sz w:val="24"/>
        </w:rPr>
      </w:pPr>
    </w:p>
    <w:p>
      <w:pPr>
        <w:rPr>
          <w:rFonts w:hint="eastAsia" w:ascii="宋体" w:hAnsi="宋体" w:eastAsia="宋体" w:cs="宋体"/>
          <w:kern w:val="0"/>
          <w:sz w:val="24"/>
        </w:rPr>
      </w:pPr>
    </w:p>
    <w:p>
      <w:pPr>
        <w:pStyle w:val="2"/>
        <w:rPr>
          <w:rFonts w:hint="eastAsia"/>
        </w:rPr>
      </w:pPr>
    </w:p>
    <w:p>
      <w:pPr>
        <w:pStyle w:val="2"/>
        <w:ind w:firstLine="480"/>
        <w:rPr>
          <w:rFonts w:hint="eastAsia" w:ascii="宋体" w:hAnsi="宋体" w:eastAsia="宋体" w:cs="宋体"/>
        </w:rPr>
      </w:pPr>
    </w:p>
    <w:p>
      <w:pPr>
        <w:pStyle w:val="20"/>
        <w:spacing w:line="360" w:lineRule="auto"/>
        <w:outlineLvl w:val="0"/>
        <w:rPr>
          <w:rFonts w:hint="eastAsia" w:ascii="宋体" w:hAnsi="宋体" w:eastAsia="宋体" w:cs="宋体"/>
          <w:b/>
          <w:sz w:val="24"/>
          <w:szCs w:val="24"/>
        </w:rPr>
      </w:pPr>
      <w:bookmarkStart w:id="518" w:name="_Toc26699"/>
      <w:r>
        <w:rPr>
          <w:rFonts w:hint="eastAsia" w:ascii="宋体" w:hAnsi="宋体" w:eastAsia="宋体" w:cs="宋体"/>
          <w:b/>
          <w:sz w:val="24"/>
          <w:szCs w:val="24"/>
        </w:rPr>
        <w:t>格式6：</w:t>
      </w:r>
      <w:bookmarkEnd w:id="518"/>
    </w:p>
    <w:p>
      <w:pPr>
        <w:autoSpaceDE w:val="0"/>
        <w:autoSpaceDN w:val="0"/>
        <w:adjustRightInd w:val="0"/>
        <w:spacing w:line="360" w:lineRule="auto"/>
        <w:jc w:val="center"/>
        <w:outlineLvl w:val="1"/>
        <w:rPr>
          <w:rFonts w:hint="eastAsia" w:ascii="宋体" w:hAnsi="宋体" w:eastAsia="宋体" w:cs="宋体"/>
          <w:b/>
          <w:sz w:val="21"/>
          <w:szCs w:val="21"/>
        </w:rPr>
      </w:pPr>
      <w:r>
        <w:rPr>
          <w:rFonts w:hint="eastAsia" w:ascii="宋体" w:hAnsi="宋体" w:eastAsia="宋体" w:cs="宋体"/>
          <w:b/>
          <w:kern w:val="0"/>
          <w:sz w:val="21"/>
          <w:szCs w:val="21"/>
        </w:rPr>
        <w:t>商务条款偏离表（格式）</w:t>
      </w:r>
    </w:p>
    <w:p>
      <w:pPr>
        <w:pStyle w:val="20"/>
        <w:spacing w:line="360" w:lineRule="auto"/>
        <w:ind w:firstLine="420" w:firstLineChars="200"/>
        <w:outlineLvl w:val="0"/>
        <w:rPr>
          <w:rFonts w:hint="eastAsia" w:ascii="宋体" w:hAnsi="宋体" w:eastAsia="宋体" w:cs="宋体"/>
          <w:sz w:val="21"/>
          <w:szCs w:val="21"/>
        </w:rPr>
      </w:pPr>
      <w:bookmarkStart w:id="519" w:name="_Toc9643"/>
      <w:r>
        <w:rPr>
          <w:rFonts w:hint="eastAsia" w:ascii="宋体" w:hAnsi="宋体" w:eastAsia="宋体" w:cs="宋体"/>
          <w:sz w:val="21"/>
          <w:szCs w:val="21"/>
        </w:rPr>
        <w:t>请</w:t>
      </w:r>
      <w:r>
        <w:rPr>
          <w:rFonts w:hint="eastAsia" w:ascii="宋体" w:hAnsi="宋体" w:eastAsia="宋体" w:cs="宋体"/>
          <w:b/>
          <w:sz w:val="21"/>
          <w:szCs w:val="21"/>
        </w:rPr>
        <w:t>逐条对应</w:t>
      </w:r>
      <w:r>
        <w:rPr>
          <w:rFonts w:hint="eastAsia" w:ascii="宋体" w:hAnsi="宋体" w:eastAsia="宋体" w:cs="宋体"/>
          <w:sz w:val="21"/>
          <w:szCs w:val="21"/>
        </w:rPr>
        <w:t>本项目</w:t>
      </w:r>
      <w:r>
        <w:rPr>
          <w:rFonts w:hint="eastAsia" w:ascii="宋体" w:hAnsi="宋体" w:eastAsia="宋体" w:cs="宋体"/>
          <w:sz w:val="21"/>
          <w:szCs w:val="21"/>
          <w:lang w:eastAsia="zh-CN"/>
        </w:rPr>
        <w:t>竞争性磋商采购文件</w:t>
      </w:r>
      <w:r>
        <w:rPr>
          <w:rFonts w:hint="eastAsia" w:ascii="宋体" w:hAnsi="宋体" w:eastAsia="宋体" w:cs="宋体"/>
          <w:sz w:val="21"/>
          <w:szCs w:val="21"/>
        </w:rPr>
        <w:t>“ 第二章 项目需求和说明”中商务条款的要求，认真填写该表，“偏离说明”一栏选择“正偏离”、“负偏离”或“无偏离”进行填写，应逐页加盖磋商供应商公章并由法定代表人或授权代表签名,</w:t>
      </w:r>
      <w:r>
        <w:rPr>
          <w:rFonts w:hint="eastAsia" w:ascii="宋体" w:hAnsi="宋体" w:eastAsia="宋体" w:cs="宋体"/>
          <w:b/>
          <w:sz w:val="21"/>
          <w:szCs w:val="21"/>
        </w:rPr>
        <w:t>否则投标无效</w:t>
      </w:r>
      <w:r>
        <w:rPr>
          <w:rFonts w:hint="eastAsia" w:ascii="宋体" w:hAnsi="宋体" w:eastAsia="宋体" w:cs="宋体"/>
          <w:sz w:val="21"/>
          <w:szCs w:val="21"/>
        </w:rPr>
        <w:t>。</w:t>
      </w:r>
      <w:bookmarkEnd w:id="519"/>
    </w:p>
    <w:p>
      <w:pPr>
        <w:pStyle w:val="20"/>
        <w:spacing w:line="480" w:lineRule="exact"/>
        <w:rPr>
          <w:rFonts w:hint="eastAsia" w:ascii="宋体" w:hAnsi="宋体" w:eastAsia="宋体" w:cs="宋体"/>
          <w:sz w:val="21"/>
          <w:szCs w:val="21"/>
          <w:u w:val="single"/>
        </w:rPr>
      </w:pPr>
    </w:p>
    <w:p>
      <w:pPr>
        <w:pStyle w:val="20"/>
        <w:spacing w:line="480" w:lineRule="exact"/>
        <w:rPr>
          <w:rFonts w:hint="eastAsia" w:ascii="宋体" w:hAnsi="宋体" w:eastAsia="宋体" w:cs="宋体"/>
          <w:sz w:val="21"/>
          <w:szCs w:val="21"/>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960"/>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20"/>
              <w:spacing w:line="480" w:lineRule="exact"/>
              <w:jc w:val="center"/>
              <w:rPr>
                <w:rFonts w:hint="eastAsia" w:ascii="宋体" w:hAnsi="宋体" w:eastAsia="宋体" w:cs="宋体"/>
                <w:sz w:val="21"/>
                <w:szCs w:val="21"/>
              </w:rPr>
            </w:pPr>
            <w:r>
              <w:rPr>
                <w:rFonts w:hint="eastAsia" w:ascii="宋体" w:hAnsi="宋体" w:eastAsia="宋体" w:cs="宋体"/>
                <w:sz w:val="21"/>
                <w:szCs w:val="21"/>
              </w:rPr>
              <w:t>项号</w:t>
            </w:r>
          </w:p>
        </w:tc>
        <w:tc>
          <w:tcPr>
            <w:tcW w:w="4071" w:type="dxa"/>
            <w:vAlign w:val="center"/>
          </w:tcPr>
          <w:p>
            <w:pPr>
              <w:pStyle w:val="20"/>
              <w:spacing w:line="480" w:lineRule="exact"/>
              <w:jc w:val="center"/>
              <w:rPr>
                <w:rFonts w:hint="eastAsia" w:ascii="宋体" w:hAnsi="宋体" w:eastAsia="宋体" w:cs="宋体"/>
                <w:sz w:val="21"/>
                <w:szCs w:val="21"/>
              </w:rPr>
            </w:pPr>
            <w:r>
              <w:rPr>
                <w:rFonts w:hint="eastAsia" w:ascii="宋体" w:hAnsi="宋体" w:eastAsia="宋体" w:cs="宋体"/>
                <w:sz w:val="21"/>
                <w:szCs w:val="21"/>
                <w:lang w:eastAsia="zh-CN"/>
              </w:rPr>
              <w:t>竞争性磋商采购文件</w:t>
            </w:r>
            <w:r>
              <w:rPr>
                <w:rFonts w:hint="eastAsia" w:ascii="宋体" w:hAnsi="宋体" w:eastAsia="宋体" w:cs="宋体"/>
                <w:sz w:val="21"/>
                <w:szCs w:val="21"/>
              </w:rPr>
              <w:t>的商务条款</w:t>
            </w:r>
          </w:p>
        </w:tc>
        <w:tc>
          <w:tcPr>
            <w:tcW w:w="3960" w:type="dxa"/>
            <w:vAlign w:val="center"/>
          </w:tcPr>
          <w:p>
            <w:pPr>
              <w:pStyle w:val="20"/>
              <w:spacing w:line="480" w:lineRule="exact"/>
              <w:jc w:val="center"/>
              <w:rPr>
                <w:rFonts w:hint="eastAsia" w:ascii="宋体" w:hAnsi="宋体" w:eastAsia="宋体" w:cs="宋体"/>
                <w:sz w:val="21"/>
                <w:szCs w:val="21"/>
              </w:rPr>
            </w:pPr>
            <w:r>
              <w:rPr>
                <w:rFonts w:hint="eastAsia" w:ascii="宋体" w:hAnsi="宋体" w:eastAsia="宋体" w:cs="宋体"/>
                <w:sz w:val="21"/>
                <w:szCs w:val="21"/>
              </w:rPr>
              <w:t>响应文件承诺的商务条款</w:t>
            </w:r>
          </w:p>
        </w:tc>
        <w:tc>
          <w:tcPr>
            <w:tcW w:w="999" w:type="dxa"/>
            <w:vAlign w:val="center"/>
          </w:tcPr>
          <w:p>
            <w:pPr>
              <w:pStyle w:val="20"/>
              <w:spacing w:line="480" w:lineRule="exact"/>
              <w:jc w:val="center"/>
              <w:rPr>
                <w:rFonts w:hint="eastAsia" w:ascii="宋体" w:hAnsi="宋体" w:eastAsia="宋体" w:cs="宋体"/>
                <w:sz w:val="21"/>
                <w:szCs w:val="21"/>
              </w:rPr>
            </w:pPr>
            <w:r>
              <w:rPr>
                <w:rFonts w:hint="eastAsia" w:ascii="宋体" w:hAnsi="宋体" w:eastAsia="宋体" w:cs="宋体"/>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20"/>
              <w:spacing w:line="480" w:lineRule="exact"/>
              <w:rPr>
                <w:rFonts w:hint="eastAsia" w:ascii="宋体" w:hAnsi="宋体" w:eastAsia="宋体" w:cs="宋体"/>
                <w:sz w:val="21"/>
                <w:szCs w:val="21"/>
              </w:rPr>
            </w:pPr>
          </w:p>
        </w:tc>
        <w:tc>
          <w:tcPr>
            <w:tcW w:w="4071" w:type="dxa"/>
          </w:tcPr>
          <w:p>
            <w:pPr>
              <w:pStyle w:val="20"/>
              <w:spacing w:line="480" w:lineRule="exact"/>
              <w:rPr>
                <w:rFonts w:hint="eastAsia" w:ascii="宋体" w:hAnsi="宋体" w:eastAsia="宋体" w:cs="宋体"/>
                <w:sz w:val="21"/>
                <w:szCs w:val="21"/>
              </w:rPr>
            </w:pPr>
          </w:p>
        </w:tc>
        <w:tc>
          <w:tcPr>
            <w:tcW w:w="3960" w:type="dxa"/>
          </w:tcPr>
          <w:p>
            <w:pPr>
              <w:pStyle w:val="20"/>
              <w:spacing w:line="480" w:lineRule="exact"/>
              <w:rPr>
                <w:rFonts w:hint="eastAsia" w:ascii="宋体" w:hAnsi="宋体" w:eastAsia="宋体" w:cs="宋体"/>
                <w:sz w:val="21"/>
                <w:szCs w:val="21"/>
              </w:rPr>
            </w:pPr>
          </w:p>
        </w:tc>
        <w:tc>
          <w:tcPr>
            <w:tcW w:w="999" w:type="dxa"/>
          </w:tcPr>
          <w:p>
            <w:pPr>
              <w:pStyle w:val="20"/>
              <w:spacing w:line="4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20"/>
              <w:spacing w:line="480" w:lineRule="exact"/>
              <w:rPr>
                <w:rFonts w:hint="eastAsia" w:ascii="宋体" w:hAnsi="宋体" w:eastAsia="宋体" w:cs="宋体"/>
                <w:sz w:val="21"/>
                <w:szCs w:val="21"/>
              </w:rPr>
            </w:pPr>
          </w:p>
        </w:tc>
        <w:tc>
          <w:tcPr>
            <w:tcW w:w="4071" w:type="dxa"/>
          </w:tcPr>
          <w:p>
            <w:pPr>
              <w:pStyle w:val="20"/>
              <w:spacing w:line="480" w:lineRule="exact"/>
              <w:rPr>
                <w:rFonts w:hint="eastAsia" w:ascii="宋体" w:hAnsi="宋体" w:eastAsia="宋体" w:cs="宋体"/>
                <w:sz w:val="21"/>
                <w:szCs w:val="21"/>
              </w:rPr>
            </w:pPr>
          </w:p>
        </w:tc>
        <w:tc>
          <w:tcPr>
            <w:tcW w:w="3960" w:type="dxa"/>
          </w:tcPr>
          <w:p>
            <w:pPr>
              <w:pStyle w:val="20"/>
              <w:spacing w:line="480" w:lineRule="exact"/>
              <w:rPr>
                <w:rFonts w:hint="eastAsia" w:ascii="宋体" w:hAnsi="宋体" w:eastAsia="宋体" w:cs="宋体"/>
                <w:sz w:val="21"/>
                <w:szCs w:val="21"/>
              </w:rPr>
            </w:pPr>
          </w:p>
        </w:tc>
        <w:tc>
          <w:tcPr>
            <w:tcW w:w="999" w:type="dxa"/>
          </w:tcPr>
          <w:p>
            <w:pPr>
              <w:pStyle w:val="20"/>
              <w:spacing w:line="4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20"/>
              <w:spacing w:line="480" w:lineRule="exact"/>
              <w:rPr>
                <w:rFonts w:hint="eastAsia" w:ascii="宋体" w:hAnsi="宋体" w:eastAsia="宋体" w:cs="宋体"/>
                <w:sz w:val="21"/>
                <w:szCs w:val="21"/>
              </w:rPr>
            </w:pPr>
          </w:p>
        </w:tc>
        <w:tc>
          <w:tcPr>
            <w:tcW w:w="4071" w:type="dxa"/>
          </w:tcPr>
          <w:p>
            <w:pPr>
              <w:pStyle w:val="20"/>
              <w:spacing w:line="480" w:lineRule="exact"/>
              <w:rPr>
                <w:rFonts w:hint="eastAsia" w:ascii="宋体" w:hAnsi="宋体" w:eastAsia="宋体" w:cs="宋体"/>
                <w:sz w:val="21"/>
                <w:szCs w:val="21"/>
              </w:rPr>
            </w:pPr>
          </w:p>
        </w:tc>
        <w:tc>
          <w:tcPr>
            <w:tcW w:w="3960" w:type="dxa"/>
          </w:tcPr>
          <w:p>
            <w:pPr>
              <w:pStyle w:val="20"/>
              <w:spacing w:line="480" w:lineRule="exact"/>
              <w:rPr>
                <w:rFonts w:hint="eastAsia" w:ascii="宋体" w:hAnsi="宋体" w:eastAsia="宋体" w:cs="宋体"/>
                <w:sz w:val="21"/>
                <w:szCs w:val="21"/>
              </w:rPr>
            </w:pPr>
          </w:p>
        </w:tc>
        <w:tc>
          <w:tcPr>
            <w:tcW w:w="999" w:type="dxa"/>
          </w:tcPr>
          <w:p>
            <w:pPr>
              <w:pStyle w:val="20"/>
              <w:spacing w:line="4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20"/>
              <w:spacing w:line="480" w:lineRule="exact"/>
              <w:rPr>
                <w:rFonts w:hint="eastAsia" w:ascii="宋体" w:hAnsi="宋体" w:eastAsia="宋体" w:cs="宋体"/>
                <w:sz w:val="21"/>
                <w:szCs w:val="21"/>
              </w:rPr>
            </w:pPr>
          </w:p>
        </w:tc>
        <w:tc>
          <w:tcPr>
            <w:tcW w:w="4071" w:type="dxa"/>
          </w:tcPr>
          <w:p>
            <w:pPr>
              <w:pStyle w:val="20"/>
              <w:spacing w:line="480" w:lineRule="exact"/>
              <w:rPr>
                <w:rFonts w:hint="eastAsia" w:ascii="宋体" w:hAnsi="宋体" w:eastAsia="宋体" w:cs="宋体"/>
                <w:sz w:val="21"/>
                <w:szCs w:val="21"/>
              </w:rPr>
            </w:pPr>
          </w:p>
        </w:tc>
        <w:tc>
          <w:tcPr>
            <w:tcW w:w="3960" w:type="dxa"/>
          </w:tcPr>
          <w:p>
            <w:pPr>
              <w:pStyle w:val="20"/>
              <w:spacing w:line="480" w:lineRule="exact"/>
              <w:rPr>
                <w:rFonts w:hint="eastAsia" w:ascii="宋体" w:hAnsi="宋体" w:eastAsia="宋体" w:cs="宋体"/>
                <w:sz w:val="21"/>
                <w:szCs w:val="21"/>
              </w:rPr>
            </w:pPr>
          </w:p>
        </w:tc>
        <w:tc>
          <w:tcPr>
            <w:tcW w:w="999" w:type="dxa"/>
          </w:tcPr>
          <w:p>
            <w:pPr>
              <w:pStyle w:val="20"/>
              <w:spacing w:line="4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20"/>
              <w:spacing w:line="480" w:lineRule="exact"/>
              <w:rPr>
                <w:rFonts w:hint="eastAsia" w:ascii="宋体" w:hAnsi="宋体" w:eastAsia="宋体" w:cs="宋体"/>
                <w:sz w:val="21"/>
                <w:szCs w:val="21"/>
              </w:rPr>
            </w:pPr>
          </w:p>
        </w:tc>
        <w:tc>
          <w:tcPr>
            <w:tcW w:w="4071" w:type="dxa"/>
          </w:tcPr>
          <w:p>
            <w:pPr>
              <w:pStyle w:val="20"/>
              <w:spacing w:line="480" w:lineRule="exact"/>
              <w:rPr>
                <w:rFonts w:hint="eastAsia" w:ascii="宋体" w:hAnsi="宋体" w:eastAsia="宋体" w:cs="宋体"/>
                <w:sz w:val="21"/>
                <w:szCs w:val="21"/>
              </w:rPr>
            </w:pPr>
          </w:p>
        </w:tc>
        <w:tc>
          <w:tcPr>
            <w:tcW w:w="3960" w:type="dxa"/>
          </w:tcPr>
          <w:p>
            <w:pPr>
              <w:pStyle w:val="20"/>
              <w:spacing w:line="480" w:lineRule="exact"/>
              <w:rPr>
                <w:rFonts w:hint="eastAsia" w:ascii="宋体" w:hAnsi="宋体" w:eastAsia="宋体" w:cs="宋体"/>
                <w:sz w:val="21"/>
                <w:szCs w:val="21"/>
              </w:rPr>
            </w:pPr>
          </w:p>
        </w:tc>
        <w:tc>
          <w:tcPr>
            <w:tcW w:w="999" w:type="dxa"/>
          </w:tcPr>
          <w:p>
            <w:pPr>
              <w:pStyle w:val="20"/>
              <w:spacing w:line="4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20"/>
              <w:spacing w:line="480" w:lineRule="exact"/>
              <w:rPr>
                <w:rFonts w:hint="eastAsia" w:ascii="宋体" w:hAnsi="宋体" w:eastAsia="宋体" w:cs="宋体"/>
                <w:sz w:val="21"/>
                <w:szCs w:val="21"/>
              </w:rPr>
            </w:pPr>
          </w:p>
        </w:tc>
        <w:tc>
          <w:tcPr>
            <w:tcW w:w="4071" w:type="dxa"/>
          </w:tcPr>
          <w:p>
            <w:pPr>
              <w:pStyle w:val="20"/>
              <w:spacing w:line="480" w:lineRule="exact"/>
              <w:rPr>
                <w:rFonts w:hint="eastAsia" w:ascii="宋体" w:hAnsi="宋体" w:eastAsia="宋体" w:cs="宋体"/>
                <w:sz w:val="21"/>
                <w:szCs w:val="21"/>
              </w:rPr>
            </w:pPr>
          </w:p>
        </w:tc>
        <w:tc>
          <w:tcPr>
            <w:tcW w:w="3960" w:type="dxa"/>
          </w:tcPr>
          <w:p>
            <w:pPr>
              <w:pStyle w:val="20"/>
              <w:spacing w:line="480" w:lineRule="exact"/>
              <w:rPr>
                <w:rFonts w:hint="eastAsia" w:ascii="宋体" w:hAnsi="宋体" w:eastAsia="宋体" w:cs="宋体"/>
                <w:sz w:val="21"/>
                <w:szCs w:val="21"/>
              </w:rPr>
            </w:pPr>
          </w:p>
        </w:tc>
        <w:tc>
          <w:tcPr>
            <w:tcW w:w="999" w:type="dxa"/>
          </w:tcPr>
          <w:p>
            <w:pPr>
              <w:pStyle w:val="20"/>
              <w:spacing w:line="4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20"/>
              <w:spacing w:line="480" w:lineRule="exact"/>
              <w:rPr>
                <w:rFonts w:hint="eastAsia" w:ascii="宋体" w:hAnsi="宋体" w:eastAsia="宋体" w:cs="宋体"/>
                <w:sz w:val="21"/>
                <w:szCs w:val="21"/>
              </w:rPr>
            </w:pPr>
          </w:p>
        </w:tc>
        <w:tc>
          <w:tcPr>
            <w:tcW w:w="4071" w:type="dxa"/>
          </w:tcPr>
          <w:p>
            <w:pPr>
              <w:pStyle w:val="20"/>
              <w:spacing w:line="480" w:lineRule="exact"/>
              <w:rPr>
                <w:rFonts w:hint="eastAsia" w:ascii="宋体" w:hAnsi="宋体" w:eastAsia="宋体" w:cs="宋体"/>
                <w:sz w:val="21"/>
                <w:szCs w:val="21"/>
              </w:rPr>
            </w:pPr>
          </w:p>
        </w:tc>
        <w:tc>
          <w:tcPr>
            <w:tcW w:w="3960" w:type="dxa"/>
          </w:tcPr>
          <w:p>
            <w:pPr>
              <w:pStyle w:val="20"/>
              <w:spacing w:line="480" w:lineRule="exact"/>
              <w:rPr>
                <w:rFonts w:hint="eastAsia" w:ascii="宋体" w:hAnsi="宋体" w:eastAsia="宋体" w:cs="宋体"/>
                <w:sz w:val="21"/>
                <w:szCs w:val="21"/>
              </w:rPr>
            </w:pPr>
          </w:p>
        </w:tc>
        <w:tc>
          <w:tcPr>
            <w:tcW w:w="999" w:type="dxa"/>
          </w:tcPr>
          <w:p>
            <w:pPr>
              <w:pStyle w:val="20"/>
              <w:spacing w:line="4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20"/>
              <w:spacing w:line="480" w:lineRule="exact"/>
              <w:rPr>
                <w:rFonts w:hint="eastAsia" w:ascii="宋体" w:hAnsi="宋体" w:eastAsia="宋体" w:cs="宋体"/>
                <w:sz w:val="21"/>
                <w:szCs w:val="21"/>
              </w:rPr>
            </w:pPr>
          </w:p>
        </w:tc>
        <w:tc>
          <w:tcPr>
            <w:tcW w:w="4071" w:type="dxa"/>
          </w:tcPr>
          <w:p>
            <w:pPr>
              <w:pStyle w:val="20"/>
              <w:spacing w:line="480" w:lineRule="exact"/>
              <w:rPr>
                <w:rFonts w:hint="eastAsia" w:ascii="宋体" w:hAnsi="宋体" w:eastAsia="宋体" w:cs="宋体"/>
                <w:sz w:val="21"/>
                <w:szCs w:val="21"/>
              </w:rPr>
            </w:pPr>
          </w:p>
        </w:tc>
        <w:tc>
          <w:tcPr>
            <w:tcW w:w="3960" w:type="dxa"/>
          </w:tcPr>
          <w:p>
            <w:pPr>
              <w:pStyle w:val="20"/>
              <w:spacing w:line="480" w:lineRule="exact"/>
              <w:rPr>
                <w:rFonts w:hint="eastAsia" w:ascii="宋体" w:hAnsi="宋体" w:eastAsia="宋体" w:cs="宋体"/>
                <w:sz w:val="21"/>
                <w:szCs w:val="21"/>
              </w:rPr>
            </w:pPr>
          </w:p>
        </w:tc>
        <w:tc>
          <w:tcPr>
            <w:tcW w:w="999" w:type="dxa"/>
          </w:tcPr>
          <w:p>
            <w:pPr>
              <w:pStyle w:val="20"/>
              <w:spacing w:line="4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20"/>
              <w:spacing w:line="480" w:lineRule="exact"/>
              <w:rPr>
                <w:rFonts w:hint="eastAsia" w:ascii="宋体" w:hAnsi="宋体" w:eastAsia="宋体" w:cs="宋体"/>
                <w:sz w:val="21"/>
                <w:szCs w:val="21"/>
              </w:rPr>
            </w:pPr>
          </w:p>
        </w:tc>
        <w:tc>
          <w:tcPr>
            <w:tcW w:w="4071" w:type="dxa"/>
          </w:tcPr>
          <w:p>
            <w:pPr>
              <w:pStyle w:val="20"/>
              <w:spacing w:line="480" w:lineRule="exact"/>
              <w:rPr>
                <w:rFonts w:hint="eastAsia" w:ascii="宋体" w:hAnsi="宋体" w:eastAsia="宋体" w:cs="宋体"/>
                <w:sz w:val="21"/>
                <w:szCs w:val="21"/>
              </w:rPr>
            </w:pPr>
          </w:p>
        </w:tc>
        <w:tc>
          <w:tcPr>
            <w:tcW w:w="3960" w:type="dxa"/>
          </w:tcPr>
          <w:p>
            <w:pPr>
              <w:pStyle w:val="20"/>
              <w:spacing w:line="480" w:lineRule="exact"/>
              <w:rPr>
                <w:rFonts w:hint="eastAsia" w:ascii="宋体" w:hAnsi="宋体" w:eastAsia="宋体" w:cs="宋体"/>
                <w:sz w:val="21"/>
                <w:szCs w:val="21"/>
              </w:rPr>
            </w:pPr>
          </w:p>
        </w:tc>
        <w:tc>
          <w:tcPr>
            <w:tcW w:w="999" w:type="dxa"/>
          </w:tcPr>
          <w:p>
            <w:pPr>
              <w:pStyle w:val="20"/>
              <w:spacing w:line="4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20"/>
              <w:spacing w:line="480" w:lineRule="exact"/>
              <w:rPr>
                <w:rFonts w:hint="eastAsia" w:ascii="宋体" w:hAnsi="宋体" w:eastAsia="宋体" w:cs="宋体"/>
                <w:sz w:val="21"/>
                <w:szCs w:val="21"/>
              </w:rPr>
            </w:pPr>
          </w:p>
        </w:tc>
        <w:tc>
          <w:tcPr>
            <w:tcW w:w="4071" w:type="dxa"/>
          </w:tcPr>
          <w:p>
            <w:pPr>
              <w:pStyle w:val="20"/>
              <w:spacing w:line="480" w:lineRule="exact"/>
              <w:rPr>
                <w:rFonts w:hint="eastAsia" w:ascii="宋体" w:hAnsi="宋体" w:eastAsia="宋体" w:cs="宋体"/>
                <w:sz w:val="21"/>
                <w:szCs w:val="21"/>
              </w:rPr>
            </w:pPr>
          </w:p>
        </w:tc>
        <w:tc>
          <w:tcPr>
            <w:tcW w:w="3960" w:type="dxa"/>
          </w:tcPr>
          <w:p>
            <w:pPr>
              <w:pStyle w:val="20"/>
              <w:spacing w:line="480" w:lineRule="exact"/>
              <w:rPr>
                <w:rFonts w:hint="eastAsia" w:ascii="宋体" w:hAnsi="宋体" w:eastAsia="宋体" w:cs="宋体"/>
                <w:sz w:val="21"/>
                <w:szCs w:val="21"/>
              </w:rPr>
            </w:pPr>
          </w:p>
        </w:tc>
        <w:tc>
          <w:tcPr>
            <w:tcW w:w="999" w:type="dxa"/>
          </w:tcPr>
          <w:p>
            <w:pPr>
              <w:pStyle w:val="20"/>
              <w:spacing w:line="480" w:lineRule="exact"/>
              <w:rPr>
                <w:rFonts w:hint="eastAsia" w:ascii="宋体" w:hAnsi="宋体" w:eastAsia="宋体" w:cs="宋体"/>
                <w:sz w:val="21"/>
                <w:szCs w:val="21"/>
              </w:rPr>
            </w:pPr>
          </w:p>
        </w:tc>
      </w:tr>
    </w:tbl>
    <w:p>
      <w:pPr>
        <w:pStyle w:val="20"/>
        <w:spacing w:line="480" w:lineRule="exact"/>
        <w:rPr>
          <w:rFonts w:hint="eastAsia" w:ascii="宋体" w:hAnsi="宋体" w:eastAsia="宋体" w:cs="宋体"/>
          <w:sz w:val="21"/>
          <w:szCs w:val="21"/>
        </w:rPr>
      </w:pPr>
      <w:r>
        <w:rPr>
          <w:rFonts w:hint="eastAsia" w:ascii="宋体" w:hAnsi="宋体" w:eastAsia="宋体" w:cs="宋体"/>
          <w:sz w:val="21"/>
          <w:szCs w:val="21"/>
        </w:rPr>
        <w:t>......</w:t>
      </w:r>
    </w:p>
    <w:p>
      <w:pPr>
        <w:pStyle w:val="20"/>
        <w:spacing w:line="480" w:lineRule="exact"/>
        <w:rPr>
          <w:rFonts w:hint="eastAsia" w:ascii="宋体" w:hAnsi="宋体" w:eastAsia="宋体" w:cs="宋体"/>
          <w:sz w:val="21"/>
          <w:szCs w:val="21"/>
        </w:rPr>
      </w:pPr>
    </w:p>
    <w:p>
      <w:pPr>
        <w:pStyle w:val="20"/>
        <w:spacing w:line="480" w:lineRule="exact"/>
        <w:rPr>
          <w:rFonts w:hint="eastAsia" w:ascii="宋体" w:hAnsi="宋体" w:eastAsia="宋体" w:cs="宋体"/>
          <w:sz w:val="21"/>
          <w:szCs w:val="21"/>
          <w:u w:val="single"/>
        </w:rPr>
      </w:pPr>
      <w:r>
        <w:rPr>
          <w:rFonts w:hint="eastAsia" w:ascii="宋体" w:hAnsi="宋体" w:eastAsia="宋体" w:cs="宋体"/>
          <w:sz w:val="21"/>
          <w:szCs w:val="21"/>
        </w:rPr>
        <w:t>磋商供应商（盖单位公章）：</w:t>
      </w:r>
      <w:r>
        <w:rPr>
          <w:rFonts w:hint="eastAsia" w:ascii="宋体" w:hAnsi="宋体" w:eastAsia="宋体" w:cs="宋体"/>
          <w:sz w:val="21"/>
          <w:szCs w:val="21"/>
          <w:u w:val="single"/>
        </w:rPr>
        <w:t xml:space="preserve">                                    </w:t>
      </w:r>
    </w:p>
    <w:p>
      <w:pPr>
        <w:pStyle w:val="20"/>
        <w:spacing w:line="480" w:lineRule="exact"/>
        <w:rPr>
          <w:rFonts w:hint="eastAsia" w:ascii="宋体" w:hAnsi="宋体" w:eastAsia="宋体" w:cs="宋体"/>
          <w:sz w:val="21"/>
          <w:szCs w:val="21"/>
          <w:u w:val="single"/>
        </w:rPr>
      </w:pPr>
    </w:p>
    <w:p>
      <w:pPr>
        <w:pStyle w:val="20"/>
        <w:spacing w:line="480" w:lineRule="exact"/>
        <w:rPr>
          <w:rFonts w:hint="eastAsia" w:ascii="宋体" w:hAnsi="宋体" w:eastAsia="宋体" w:cs="宋体"/>
          <w:sz w:val="21"/>
          <w:szCs w:val="21"/>
          <w:u w:val="single"/>
        </w:rPr>
      </w:pPr>
      <w:r>
        <w:rPr>
          <w:rFonts w:hint="eastAsia" w:ascii="宋体" w:hAnsi="宋体" w:eastAsia="宋体" w:cs="宋体"/>
          <w:sz w:val="21"/>
          <w:szCs w:val="21"/>
        </w:rPr>
        <w:t>法定代表人或其委托代理人（签字或盖章）：</w:t>
      </w:r>
      <w:r>
        <w:rPr>
          <w:rFonts w:hint="eastAsia" w:ascii="宋体" w:hAnsi="宋体" w:eastAsia="宋体" w:cs="宋体"/>
          <w:sz w:val="21"/>
          <w:szCs w:val="21"/>
          <w:u w:val="single"/>
        </w:rPr>
        <w:t xml:space="preserve">                  </w:t>
      </w:r>
    </w:p>
    <w:p>
      <w:pPr>
        <w:pStyle w:val="20"/>
        <w:spacing w:line="480" w:lineRule="exact"/>
        <w:jc w:val="left"/>
        <w:rPr>
          <w:rFonts w:hint="eastAsia" w:ascii="宋体" w:hAnsi="宋体" w:eastAsia="宋体" w:cs="宋体"/>
          <w:b/>
          <w:sz w:val="21"/>
          <w:szCs w:val="21"/>
        </w:rPr>
      </w:pPr>
    </w:p>
    <w:p>
      <w:pPr>
        <w:pStyle w:val="20"/>
        <w:spacing w:line="420" w:lineRule="exact"/>
        <w:ind w:firstLine="420"/>
        <w:jc w:val="right"/>
        <w:rPr>
          <w:rFonts w:hint="eastAsia" w:ascii="宋体" w:hAnsi="宋体" w:eastAsia="宋体" w:cs="宋体"/>
          <w:sz w:val="21"/>
          <w:szCs w:val="21"/>
          <w:u w:val="single"/>
        </w:rPr>
      </w:pPr>
      <w:r>
        <w:rPr>
          <w:rFonts w:hint="eastAsia" w:ascii="宋体" w:hAnsi="宋体" w:eastAsia="宋体" w:cs="宋体"/>
          <w:bCs/>
          <w:sz w:val="21"/>
          <w:szCs w:val="21"/>
          <w:u w:val="single"/>
        </w:rPr>
        <w:t xml:space="preserve">    </w:t>
      </w:r>
      <w:r>
        <w:rPr>
          <w:rFonts w:hint="eastAsia" w:ascii="宋体" w:hAnsi="宋体" w:eastAsia="宋体" w:cs="宋体"/>
          <w:bCs/>
          <w:sz w:val="21"/>
          <w:szCs w:val="21"/>
        </w:rPr>
        <w:t>年</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月</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日</w:t>
      </w:r>
    </w:p>
    <w:p>
      <w:pPr>
        <w:pStyle w:val="20"/>
        <w:spacing w:line="360" w:lineRule="auto"/>
        <w:rPr>
          <w:rFonts w:hint="eastAsia" w:ascii="宋体" w:hAnsi="宋体" w:eastAsia="宋体" w:cs="宋体"/>
          <w:b/>
          <w:sz w:val="24"/>
          <w:szCs w:val="24"/>
        </w:rPr>
      </w:pPr>
    </w:p>
    <w:p>
      <w:pPr>
        <w:pStyle w:val="20"/>
        <w:spacing w:line="360" w:lineRule="auto"/>
        <w:rPr>
          <w:rFonts w:hint="eastAsia" w:ascii="宋体" w:hAnsi="宋体" w:eastAsia="宋体" w:cs="宋体"/>
          <w:b/>
          <w:sz w:val="24"/>
          <w:szCs w:val="24"/>
        </w:rPr>
      </w:pPr>
    </w:p>
    <w:p>
      <w:pPr>
        <w:pStyle w:val="20"/>
        <w:spacing w:line="360" w:lineRule="auto"/>
        <w:rPr>
          <w:rFonts w:hint="eastAsia" w:ascii="宋体" w:hAnsi="宋体" w:eastAsia="宋体" w:cs="宋体"/>
          <w:b/>
          <w:sz w:val="24"/>
          <w:szCs w:val="24"/>
        </w:rPr>
      </w:pPr>
    </w:p>
    <w:p>
      <w:pPr>
        <w:pStyle w:val="20"/>
        <w:spacing w:line="360" w:lineRule="auto"/>
        <w:rPr>
          <w:rFonts w:hint="eastAsia" w:ascii="宋体" w:hAnsi="宋体" w:eastAsia="宋体" w:cs="宋体"/>
          <w:b/>
          <w:sz w:val="24"/>
          <w:szCs w:val="24"/>
        </w:rPr>
      </w:pPr>
    </w:p>
    <w:p>
      <w:pPr>
        <w:pStyle w:val="20"/>
        <w:spacing w:line="360" w:lineRule="auto"/>
        <w:rPr>
          <w:rFonts w:hint="eastAsia" w:ascii="宋体" w:hAnsi="宋体" w:eastAsia="宋体" w:cs="宋体"/>
          <w:b/>
          <w:sz w:val="24"/>
          <w:szCs w:val="24"/>
        </w:rPr>
      </w:pPr>
    </w:p>
    <w:p>
      <w:pPr>
        <w:pStyle w:val="20"/>
        <w:spacing w:line="360" w:lineRule="auto"/>
        <w:rPr>
          <w:rFonts w:hint="eastAsia" w:ascii="宋体" w:hAnsi="宋体" w:eastAsia="宋体" w:cs="宋体"/>
          <w:b/>
          <w:sz w:val="24"/>
          <w:szCs w:val="24"/>
        </w:rPr>
      </w:pPr>
      <w:r>
        <w:rPr>
          <w:rFonts w:hint="eastAsia" w:ascii="宋体" w:hAnsi="宋体" w:eastAsia="宋体" w:cs="宋体"/>
          <w:b/>
          <w:sz w:val="24"/>
          <w:szCs w:val="24"/>
        </w:rPr>
        <w:t>格式7</w:t>
      </w:r>
    </w:p>
    <w:p>
      <w:pPr>
        <w:autoSpaceDE w:val="0"/>
        <w:autoSpaceDN w:val="0"/>
        <w:adjustRightInd w:val="0"/>
        <w:spacing w:line="360" w:lineRule="auto"/>
        <w:jc w:val="center"/>
        <w:outlineLvl w:val="1"/>
        <w:rPr>
          <w:rFonts w:hint="eastAsia" w:ascii="宋体" w:hAnsi="宋体" w:eastAsia="宋体" w:cs="宋体"/>
          <w:b/>
          <w:kern w:val="0"/>
          <w:sz w:val="28"/>
          <w:szCs w:val="28"/>
        </w:rPr>
      </w:pPr>
      <w:r>
        <w:rPr>
          <w:rFonts w:hint="eastAsia" w:ascii="宋体" w:hAnsi="宋体" w:eastAsia="宋体" w:cs="宋体"/>
          <w:b/>
          <w:kern w:val="0"/>
          <w:sz w:val="28"/>
          <w:szCs w:val="28"/>
        </w:rPr>
        <w:t>项目技术团队配备</w:t>
      </w:r>
    </w:p>
    <w:p>
      <w:pPr>
        <w:spacing w:line="360" w:lineRule="auto"/>
        <w:ind w:firstLine="420" w:firstLineChars="200"/>
        <w:rPr>
          <w:rFonts w:hint="eastAsia" w:ascii="宋体" w:hAnsi="宋体" w:eastAsia="宋体" w:cs="宋体"/>
          <w:kern w:val="0"/>
          <w:sz w:val="21"/>
          <w:szCs w:val="21"/>
        </w:rPr>
      </w:pPr>
    </w:p>
    <w:p>
      <w:pPr>
        <w:tabs>
          <w:tab w:val="left" w:pos="3525"/>
        </w:tabs>
        <w:autoSpaceDE w:val="0"/>
        <w:autoSpaceDN w:val="0"/>
        <w:spacing w:line="360" w:lineRule="auto"/>
        <w:jc w:val="left"/>
        <w:rPr>
          <w:rFonts w:hint="eastAsia" w:ascii="宋体" w:hAnsi="宋体" w:eastAsia="宋体" w:cs="宋体"/>
          <w:kern w:val="0"/>
          <w:sz w:val="21"/>
          <w:szCs w:val="21"/>
        </w:rPr>
      </w:pPr>
    </w:p>
    <w:p>
      <w:pPr>
        <w:autoSpaceDE w:val="0"/>
        <w:autoSpaceDN w:val="0"/>
        <w:adjustRightIn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主要技术人员表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992"/>
        <w:gridCol w:w="1023"/>
        <w:gridCol w:w="1198"/>
        <w:gridCol w:w="1348"/>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4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84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姓 名</w:t>
            </w:r>
          </w:p>
        </w:tc>
        <w:tc>
          <w:tcPr>
            <w:tcW w:w="992"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年龄</w:t>
            </w:r>
          </w:p>
        </w:tc>
        <w:tc>
          <w:tcPr>
            <w:tcW w:w="102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性别</w:t>
            </w:r>
          </w:p>
        </w:tc>
        <w:tc>
          <w:tcPr>
            <w:tcW w:w="1198"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职称</w:t>
            </w:r>
          </w:p>
        </w:tc>
        <w:tc>
          <w:tcPr>
            <w:tcW w:w="1348"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从事相关工作年限</w:t>
            </w:r>
          </w:p>
        </w:tc>
        <w:tc>
          <w:tcPr>
            <w:tcW w:w="216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46" w:type="dxa"/>
            <w:vAlign w:val="center"/>
          </w:tcPr>
          <w:p>
            <w:pPr>
              <w:spacing w:line="360" w:lineRule="auto"/>
              <w:jc w:val="center"/>
              <w:rPr>
                <w:rFonts w:hint="eastAsia" w:ascii="宋体" w:hAnsi="宋体" w:eastAsia="宋体" w:cs="宋体"/>
                <w:sz w:val="21"/>
                <w:szCs w:val="21"/>
              </w:rPr>
            </w:pPr>
          </w:p>
        </w:tc>
        <w:tc>
          <w:tcPr>
            <w:tcW w:w="1843" w:type="dxa"/>
            <w:vAlign w:val="center"/>
          </w:tcPr>
          <w:p>
            <w:pPr>
              <w:spacing w:line="360" w:lineRule="auto"/>
              <w:jc w:val="center"/>
              <w:rPr>
                <w:rFonts w:hint="eastAsia" w:ascii="宋体" w:hAnsi="宋体" w:eastAsia="宋体" w:cs="宋体"/>
                <w:sz w:val="21"/>
                <w:szCs w:val="21"/>
              </w:rPr>
            </w:pPr>
          </w:p>
        </w:tc>
        <w:tc>
          <w:tcPr>
            <w:tcW w:w="992" w:type="dxa"/>
            <w:vAlign w:val="center"/>
          </w:tcPr>
          <w:p>
            <w:pPr>
              <w:spacing w:line="360" w:lineRule="auto"/>
              <w:jc w:val="center"/>
              <w:rPr>
                <w:rFonts w:hint="eastAsia" w:ascii="宋体" w:hAnsi="宋体" w:eastAsia="宋体" w:cs="宋体"/>
                <w:sz w:val="21"/>
                <w:szCs w:val="21"/>
              </w:rPr>
            </w:pPr>
          </w:p>
        </w:tc>
        <w:tc>
          <w:tcPr>
            <w:tcW w:w="1023" w:type="dxa"/>
            <w:vAlign w:val="center"/>
          </w:tcPr>
          <w:p>
            <w:pPr>
              <w:spacing w:line="360" w:lineRule="auto"/>
              <w:jc w:val="center"/>
              <w:rPr>
                <w:rFonts w:hint="eastAsia" w:ascii="宋体" w:hAnsi="宋体" w:eastAsia="宋体" w:cs="宋体"/>
                <w:sz w:val="21"/>
                <w:szCs w:val="21"/>
              </w:rPr>
            </w:pPr>
          </w:p>
        </w:tc>
        <w:tc>
          <w:tcPr>
            <w:tcW w:w="1198" w:type="dxa"/>
            <w:vAlign w:val="center"/>
          </w:tcPr>
          <w:p>
            <w:pPr>
              <w:spacing w:line="360" w:lineRule="auto"/>
              <w:jc w:val="center"/>
              <w:rPr>
                <w:rFonts w:hint="eastAsia" w:ascii="宋体" w:hAnsi="宋体" w:eastAsia="宋体" w:cs="宋体"/>
                <w:sz w:val="21"/>
                <w:szCs w:val="21"/>
              </w:rPr>
            </w:pPr>
          </w:p>
        </w:tc>
        <w:tc>
          <w:tcPr>
            <w:tcW w:w="1348" w:type="dxa"/>
            <w:vAlign w:val="center"/>
          </w:tcPr>
          <w:p>
            <w:pPr>
              <w:spacing w:line="360" w:lineRule="auto"/>
              <w:jc w:val="center"/>
              <w:rPr>
                <w:rFonts w:hint="eastAsia" w:ascii="宋体" w:hAnsi="宋体" w:eastAsia="宋体" w:cs="宋体"/>
                <w:sz w:val="21"/>
                <w:szCs w:val="21"/>
              </w:rPr>
            </w:pPr>
          </w:p>
        </w:tc>
        <w:tc>
          <w:tcPr>
            <w:tcW w:w="2163" w:type="dxa"/>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46" w:type="dxa"/>
            <w:vAlign w:val="center"/>
          </w:tcPr>
          <w:p>
            <w:pPr>
              <w:spacing w:line="360" w:lineRule="auto"/>
              <w:jc w:val="center"/>
              <w:rPr>
                <w:rFonts w:hint="eastAsia" w:ascii="宋体" w:hAnsi="宋体" w:eastAsia="宋体" w:cs="宋体"/>
                <w:sz w:val="21"/>
                <w:szCs w:val="21"/>
              </w:rPr>
            </w:pPr>
          </w:p>
        </w:tc>
        <w:tc>
          <w:tcPr>
            <w:tcW w:w="1843" w:type="dxa"/>
            <w:vAlign w:val="center"/>
          </w:tcPr>
          <w:p>
            <w:pPr>
              <w:spacing w:line="360" w:lineRule="auto"/>
              <w:jc w:val="center"/>
              <w:rPr>
                <w:rFonts w:hint="eastAsia" w:ascii="宋体" w:hAnsi="宋体" w:eastAsia="宋体" w:cs="宋体"/>
                <w:sz w:val="21"/>
                <w:szCs w:val="21"/>
              </w:rPr>
            </w:pPr>
          </w:p>
        </w:tc>
        <w:tc>
          <w:tcPr>
            <w:tcW w:w="992" w:type="dxa"/>
            <w:vAlign w:val="center"/>
          </w:tcPr>
          <w:p>
            <w:pPr>
              <w:spacing w:line="360" w:lineRule="auto"/>
              <w:jc w:val="center"/>
              <w:rPr>
                <w:rFonts w:hint="eastAsia" w:ascii="宋体" w:hAnsi="宋体" w:eastAsia="宋体" w:cs="宋体"/>
                <w:sz w:val="21"/>
                <w:szCs w:val="21"/>
              </w:rPr>
            </w:pPr>
          </w:p>
        </w:tc>
        <w:tc>
          <w:tcPr>
            <w:tcW w:w="1023" w:type="dxa"/>
            <w:vAlign w:val="center"/>
          </w:tcPr>
          <w:p>
            <w:pPr>
              <w:spacing w:line="360" w:lineRule="auto"/>
              <w:jc w:val="center"/>
              <w:rPr>
                <w:rFonts w:hint="eastAsia" w:ascii="宋体" w:hAnsi="宋体" w:eastAsia="宋体" w:cs="宋体"/>
                <w:sz w:val="21"/>
                <w:szCs w:val="21"/>
              </w:rPr>
            </w:pPr>
          </w:p>
        </w:tc>
        <w:tc>
          <w:tcPr>
            <w:tcW w:w="1198" w:type="dxa"/>
            <w:vAlign w:val="center"/>
          </w:tcPr>
          <w:p>
            <w:pPr>
              <w:spacing w:line="360" w:lineRule="auto"/>
              <w:jc w:val="center"/>
              <w:rPr>
                <w:rFonts w:hint="eastAsia" w:ascii="宋体" w:hAnsi="宋体" w:eastAsia="宋体" w:cs="宋体"/>
                <w:sz w:val="21"/>
                <w:szCs w:val="21"/>
              </w:rPr>
            </w:pPr>
          </w:p>
        </w:tc>
        <w:tc>
          <w:tcPr>
            <w:tcW w:w="1348" w:type="dxa"/>
            <w:vAlign w:val="center"/>
          </w:tcPr>
          <w:p>
            <w:pPr>
              <w:spacing w:line="360" w:lineRule="auto"/>
              <w:jc w:val="center"/>
              <w:rPr>
                <w:rFonts w:hint="eastAsia" w:ascii="宋体" w:hAnsi="宋体" w:eastAsia="宋体" w:cs="宋体"/>
                <w:sz w:val="21"/>
                <w:szCs w:val="21"/>
              </w:rPr>
            </w:pPr>
          </w:p>
        </w:tc>
        <w:tc>
          <w:tcPr>
            <w:tcW w:w="2163" w:type="dxa"/>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6" w:type="dxa"/>
            <w:vAlign w:val="center"/>
          </w:tcPr>
          <w:p>
            <w:pPr>
              <w:spacing w:line="360" w:lineRule="auto"/>
              <w:jc w:val="center"/>
              <w:rPr>
                <w:rFonts w:hint="eastAsia" w:ascii="宋体" w:hAnsi="宋体" w:eastAsia="宋体" w:cs="宋体"/>
                <w:sz w:val="21"/>
                <w:szCs w:val="21"/>
              </w:rPr>
            </w:pPr>
          </w:p>
        </w:tc>
        <w:tc>
          <w:tcPr>
            <w:tcW w:w="1843" w:type="dxa"/>
            <w:vAlign w:val="center"/>
          </w:tcPr>
          <w:p>
            <w:pPr>
              <w:spacing w:line="360" w:lineRule="auto"/>
              <w:jc w:val="center"/>
              <w:rPr>
                <w:rFonts w:hint="eastAsia" w:ascii="宋体" w:hAnsi="宋体" w:eastAsia="宋体" w:cs="宋体"/>
                <w:sz w:val="21"/>
                <w:szCs w:val="21"/>
              </w:rPr>
            </w:pPr>
          </w:p>
        </w:tc>
        <w:tc>
          <w:tcPr>
            <w:tcW w:w="992" w:type="dxa"/>
            <w:vAlign w:val="center"/>
          </w:tcPr>
          <w:p>
            <w:pPr>
              <w:spacing w:line="360" w:lineRule="auto"/>
              <w:jc w:val="center"/>
              <w:rPr>
                <w:rFonts w:hint="eastAsia" w:ascii="宋体" w:hAnsi="宋体" w:eastAsia="宋体" w:cs="宋体"/>
                <w:sz w:val="21"/>
                <w:szCs w:val="21"/>
              </w:rPr>
            </w:pPr>
          </w:p>
        </w:tc>
        <w:tc>
          <w:tcPr>
            <w:tcW w:w="1023" w:type="dxa"/>
            <w:vAlign w:val="center"/>
          </w:tcPr>
          <w:p>
            <w:pPr>
              <w:spacing w:line="360" w:lineRule="auto"/>
              <w:jc w:val="center"/>
              <w:rPr>
                <w:rFonts w:hint="eastAsia" w:ascii="宋体" w:hAnsi="宋体" w:eastAsia="宋体" w:cs="宋体"/>
                <w:sz w:val="21"/>
                <w:szCs w:val="21"/>
              </w:rPr>
            </w:pPr>
          </w:p>
        </w:tc>
        <w:tc>
          <w:tcPr>
            <w:tcW w:w="1198" w:type="dxa"/>
            <w:vAlign w:val="center"/>
          </w:tcPr>
          <w:p>
            <w:pPr>
              <w:spacing w:line="360" w:lineRule="auto"/>
              <w:jc w:val="center"/>
              <w:rPr>
                <w:rFonts w:hint="eastAsia" w:ascii="宋体" w:hAnsi="宋体" w:eastAsia="宋体" w:cs="宋体"/>
                <w:sz w:val="21"/>
                <w:szCs w:val="21"/>
              </w:rPr>
            </w:pPr>
          </w:p>
        </w:tc>
        <w:tc>
          <w:tcPr>
            <w:tcW w:w="1348" w:type="dxa"/>
            <w:vAlign w:val="center"/>
          </w:tcPr>
          <w:p>
            <w:pPr>
              <w:spacing w:line="360" w:lineRule="auto"/>
              <w:jc w:val="center"/>
              <w:rPr>
                <w:rFonts w:hint="eastAsia" w:ascii="宋体" w:hAnsi="宋体" w:eastAsia="宋体" w:cs="宋体"/>
                <w:sz w:val="21"/>
                <w:szCs w:val="21"/>
              </w:rPr>
            </w:pPr>
          </w:p>
        </w:tc>
        <w:tc>
          <w:tcPr>
            <w:tcW w:w="2163" w:type="dxa"/>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46" w:type="dxa"/>
            <w:vAlign w:val="center"/>
          </w:tcPr>
          <w:p>
            <w:pPr>
              <w:spacing w:line="360" w:lineRule="auto"/>
              <w:jc w:val="center"/>
              <w:rPr>
                <w:rFonts w:hint="eastAsia" w:ascii="宋体" w:hAnsi="宋体" w:eastAsia="宋体" w:cs="宋体"/>
                <w:sz w:val="21"/>
                <w:szCs w:val="21"/>
              </w:rPr>
            </w:pPr>
          </w:p>
        </w:tc>
        <w:tc>
          <w:tcPr>
            <w:tcW w:w="1843" w:type="dxa"/>
            <w:vAlign w:val="center"/>
          </w:tcPr>
          <w:p>
            <w:pPr>
              <w:spacing w:line="360" w:lineRule="auto"/>
              <w:jc w:val="center"/>
              <w:rPr>
                <w:rFonts w:hint="eastAsia" w:ascii="宋体" w:hAnsi="宋体" w:eastAsia="宋体" w:cs="宋体"/>
                <w:sz w:val="21"/>
                <w:szCs w:val="21"/>
              </w:rPr>
            </w:pPr>
          </w:p>
        </w:tc>
        <w:tc>
          <w:tcPr>
            <w:tcW w:w="992" w:type="dxa"/>
            <w:vAlign w:val="center"/>
          </w:tcPr>
          <w:p>
            <w:pPr>
              <w:spacing w:line="360" w:lineRule="auto"/>
              <w:jc w:val="center"/>
              <w:rPr>
                <w:rFonts w:hint="eastAsia" w:ascii="宋体" w:hAnsi="宋体" w:eastAsia="宋体" w:cs="宋体"/>
                <w:sz w:val="21"/>
                <w:szCs w:val="21"/>
              </w:rPr>
            </w:pPr>
          </w:p>
        </w:tc>
        <w:tc>
          <w:tcPr>
            <w:tcW w:w="1023" w:type="dxa"/>
            <w:vAlign w:val="center"/>
          </w:tcPr>
          <w:p>
            <w:pPr>
              <w:spacing w:line="360" w:lineRule="auto"/>
              <w:jc w:val="center"/>
              <w:rPr>
                <w:rFonts w:hint="eastAsia" w:ascii="宋体" w:hAnsi="宋体" w:eastAsia="宋体" w:cs="宋体"/>
                <w:sz w:val="21"/>
                <w:szCs w:val="21"/>
              </w:rPr>
            </w:pPr>
          </w:p>
        </w:tc>
        <w:tc>
          <w:tcPr>
            <w:tcW w:w="1198" w:type="dxa"/>
            <w:vAlign w:val="center"/>
          </w:tcPr>
          <w:p>
            <w:pPr>
              <w:spacing w:line="360" w:lineRule="auto"/>
              <w:jc w:val="center"/>
              <w:rPr>
                <w:rFonts w:hint="eastAsia" w:ascii="宋体" w:hAnsi="宋体" w:eastAsia="宋体" w:cs="宋体"/>
                <w:sz w:val="21"/>
                <w:szCs w:val="21"/>
              </w:rPr>
            </w:pPr>
          </w:p>
        </w:tc>
        <w:tc>
          <w:tcPr>
            <w:tcW w:w="1348" w:type="dxa"/>
            <w:vAlign w:val="center"/>
          </w:tcPr>
          <w:p>
            <w:pPr>
              <w:spacing w:line="360" w:lineRule="auto"/>
              <w:jc w:val="center"/>
              <w:rPr>
                <w:rFonts w:hint="eastAsia" w:ascii="宋体" w:hAnsi="宋体" w:eastAsia="宋体" w:cs="宋体"/>
                <w:sz w:val="21"/>
                <w:szCs w:val="21"/>
              </w:rPr>
            </w:pPr>
          </w:p>
        </w:tc>
        <w:tc>
          <w:tcPr>
            <w:tcW w:w="2163" w:type="dxa"/>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46" w:type="dxa"/>
            <w:vAlign w:val="center"/>
          </w:tcPr>
          <w:p>
            <w:pPr>
              <w:spacing w:line="360" w:lineRule="auto"/>
              <w:jc w:val="center"/>
              <w:rPr>
                <w:rFonts w:hint="eastAsia" w:ascii="宋体" w:hAnsi="宋体" w:eastAsia="宋体" w:cs="宋体"/>
                <w:sz w:val="21"/>
                <w:szCs w:val="21"/>
              </w:rPr>
            </w:pPr>
          </w:p>
        </w:tc>
        <w:tc>
          <w:tcPr>
            <w:tcW w:w="1843" w:type="dxa"/>
            <w:vAlign w:val="center"/>
          </w:tcPr>
          <w:p>
            <w:pPr>
              <w:spacing w:line="360" w:lineRule="auto"/>
              <w:jc w:val="center"/>
              <w:rPr>
                <w:rFonts w:hint="eastAsia" w:ascii="宋体" w:hAnsi="宋体" w:eastAsia="宋体" w:cs="宋体"/>
                <w:sz w:val="21"/>
                <w:szCs w:val="21"/>
              </w:rPr>
            </w:pPr>
          </w:p>
        </w:tc>
        <w:tc>
          <w:tcPr>
            <w:tcW w:w="992" w:type="dxa"/>
            <w:vAlign w:val="center"/>
          </w:tcPr>
          <w:p>
            <w:pPr>
              <w:spacing w:line="360" w:lineRule="auto"/>
              <w:jc w:val="center"/>
              <w:rPr>
                <w:rFonts w:hint="eastAsia" w:ascii="宋体" w:hAnsi="宋体" w:eastAsia="宋体" w:cs="宋体"/>
                <w:sz w:val="21"/>
                <w:szCs w:val="21"/>
              </w:rPr>
            </w:pPr>
          </w:p>
        </w:tc>
        <w:tc>
          <w:tcPr>
            <w:tcW w:w="1023" w:type="dxa"/>
            <w:vAlign w:val="center"/>
          </w:tcPr>
          <w:p>
            <w:pPr>
              <w:spacing w:line="360" w:lineRule="auto"/>
              <w:jc w:val="center"/>
              <w:rPr>
                <w:rFonts w:hint="eastAsia" w:ascii="宋体" w:hAnsi="宋体" w:eastAsia="宋体" w:cs="宋体"/>
                <w:sz w:val="21"/>
                <w:szCs w:val="21"/>
              </w:rPr>
            </w:pPr>
          </w:p>
        </w:tc>
        <w:tc>
          <w:tcPr>
            <w:tcW w:w="1198" w:type="dxa"/>
            <w:vAlign w:val="center"/>
          </w:tcPr>
          <w:p>
            <w:pPr>
              <w:spacing w:line="360" w:lineRule="auto"/>
              <w:jc w:val="center"/>
              <w:rPr>
                <w:rFonts w:hint="eastAsia" w:ascii="宋体" w:hAnsi="宋体" w:eastAsia="宋体" w:cs="宋体"/>
                <w:sz w:val="21"/>
                <w:szCs w:val="21"/>
              </w:rPr>
            </w:pPr>
          </w:p>
        </w:tc>
        <w:tc>
          <w:tcPr>
            <w:tcW w:w="1348" w:type="dxa"/>
            <w:vAlign w:val="center"/>
          </w:tcPr>
          <w:p>
            <w:pPr>
              <w:spacing w:line="360" w:lineRule="auto"/>
              <w:jc w:val="center"/>
              <w:rPr>
                <w:rFonts w:hint="eastAsia" w:ascii="宋体" w:hAnsi="宋体" w:eastAsia="宋体" w:cs="宋体"/>
                <w:sz w:val="21"/>
                <w:szCs w:val="21"/>
              </w:rPr>
            </w:pPr>
          </w:p>
        </w:tc>
        <w:tc>
          <w:tcPr>
            <w:tcW w:w="2163" w:type="dxa"/>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46" w:type="dxa"/>
            <w:vAlign w:val="center"/>
          </w:tcPr>
          <w:p>
            <w:pPr>
              <w:spacing w:line="360" w:lineRule="auto"/>
              <w:jc w:val="center"/>
              <w:rPr>
                <w:rFonts w:hint="eastAsia" w:ascii="宋体" w:hAnsi="宋体" w:eastAsia="宋体" w:cs="宋体"/>
                <w:sz w:val="21"/>
                <w:szCs w:val="21"/>
              </w:rPr>
            </w:pPr>
          </w:p>
        </w:tc>
        <w:tc>
          <w:tcPr>
            <w:tcW w:w="1843" w:type="dxa"/>
            <w:vAlign w:val="center"/>
          </w:tcPr>
          <w:p>
            <w:pPr>
              <w:spacing w:before="48" w:beforeLines="20" w:after="48" w:afterLines="20" w:line="360" w:lineRule="auto"/>
              <w:jc w:val="center"/>
              <w:rPr>
                <w:rFonts w:hint="eastAsia" w:ascii="宋体" w:hAnsi="宋体" w:eastAsia="宋体" w:cs="宋体"/>
                <w:sz w:val="21"/>
                <w:szCs w:val="21"/>
              </w:rPr>
            </w:pPr>
          </w:p>
        </w:tc>
        <w:tc>
          <w:tcPr>
            <w:tcW w:w="992" w:type="dxa"/>
            <w:vAlign w:val="center"/>
          </w:tcPr>
          <w:p>
            <w:pPr>
              <w:spacing w:before="72" w:beforeLines="30" w:after="72" w:afterLines="30" w:line="360" w:lineRule="auto"/>
              <w:jc w:val="center"/>
              <w:rPr>
                <w:rFonts w:hint="eastAsia" w:ascii="宋体" w:hAnsi="宋体" w:eastAsia="宋体" w:cs="宋体"/>
                <w:sz w:val="21"/>
                <w:szCs w:val="21"/>
              </w:rPr>
            </w:pPr>
          </w:p>
        </w:tc>
        <w:tc>
          <w:tcPr>
            <w:tcW w:w="1023" w:type="dxa"/>
            <w:vAlign w:val="center"/>
          </w:tcPr>
          <w:p>
            <w:pPr>
              <w:spacing w:before="72" w:beforeLines="30" w:after="72" w:afterLines="30" w:line="360" w:lineRule="auto"/>
              <w:jc w:val="center"/>
              <w:rPr>
                <w:rFonts w:hint="eastAsia" w:ascii="宋体" w:hAnsi="宋体" w:eastAsia="宋体" w:cs="宋体"/>
                <w:sz w:val="21"/>
                <w:szCs w:val="21"/>
              </w:rPr>
            </w:pPr>
          </w:p>
        </w:tc>
        <w:tc>
          <w:tcPr>
            <w:tcW w:w="1198" w:type="dxa"/>
            <w:vAlign w:val="center"/>
          </w:tcPr>
          <w:p>
            <w:pPr>
              <w:spacing w:before="48" w:beforeLines="20" w:after="48" w:afterLines="20" w:line="360" w:lineRule="auto"/>
              <w:jc w:val="center"/>
              <w:rPr>
                <w:rFonts w:hint="eastAsia" w:ascii="宋体" w:hAnsi="宋体" w:eastAsia="宋体" w:cs="宋体"/>
                <w:sz w:val="21"/>
                <w:szCs w:val="21"/>
              </w:rPr>
            </w:pPr>
          </w:p>
        </w:tc>
        <w:tc>
          <w:tcPr>
            <w:tcW w:w="1348" w:type="dxa"/>
            <w:vAlign w:val="center"/>
          </w:tcPr>
          <w:p>
            <w:pPr>
              <w:spacing w:before="48" w:beforeLines="20" w:after="48" w:afterLines="20" w:line="360" w:lineRule="auto"/>
              <w:jc w:val="center"/>
              <w:rPr>
                <w:rFonts w:hint="eastAsia" w:ascii="宋体" w:hAnsi="宋体" w:eastAsia="宋体" w:cs="宋体"/>
                <w:sz w:val="21"/>
                <w:szCs w:val="21"/>
              </w:rPr>
            </w:pPr>
          </w:p>
        </w:tc>
        <w:tc>
          <w:tcPr>
            <w:tcW w:w="2163" w:type="dxa"/>
            <w:vAlign w:val="center"/>
          </w:tcPr>
          <w:p>
            <w:pPr>
              <w:spacing w:before="72" w:beforeLines="30" w:after="72" w:afterLines="30" w:line="360" w:lineRule="auto"/>
              <w:jc w:val="center"/>
              <w:rPr>
                <w:rFonts w:hint="eastAsia" w:ascii="宋体" w:hAnsi="宋体" w:eastAsia="宋体" w:cs="宋体"/>
                <w:sz w:val="21"/>
                <w:szCs w:val="21"/>
              </w:rPr>
            </w:pPr>
          </w:p>
        </w:tc>
      </w:tr>
    </w:tbl>
    <w:p>
      <w:pPr>
        <w:autoSpaceDE w:val="0"/>
        <w:autoSpaceDN w:val="0"/>
        <w:spacing w:line="400" w:lineRule="exac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附：身份证、</w:t>
      </w:r>
      <w:r>
        <w:rPr>
          <w:rFonts w:hint="eastAsia" w:ascii="仿宋" w:hAnsi="仿宋" w:eastAsia="仿宋" w:cs="仿宋"/>
          <w:color w:val="auto"/>
          <w:kern w:val="0"/>
          <w:szCs w:val="21"/>
          <w:highlight w:val="none"/>
          <w:lang w:val="en-US" w:eastAsia="zh-CN"/>
        </w:rPr>
        <w:t>毕业证、资格</w:t>
      </w:r>
      <w:r>
        <w:rPr>
          <w:rFonts w:hint="eastAsia" w:ascii="仿宋" w:hAnsi="仿宋" w:eastAsia="仿宋" w:cs="仿宋"/>
          <w:color w:val="auto"/>
          <w:kern w:val="0"/>
          <w:szCs w:val="21"/>
          <w:highlight w:val="none"/>
        </w:rPr>
        <w:t>证书、社保证明复印件</w:t>
      </w:r>
      <w:r>
        <w:rPr>
          <w:rFonts w:hint="eastAsia" w:ascii="仿宋" w:hAnsi="仿宋" w:eastAsia="仿宋" w:cs="仿宋"/>
          <w:color w:val="auto"/>
          <w:szCs w:val="21"/>
          <w:highlight w:val="none"/>
        </w:rPr>
        <w:t>等。</w:t>
      </w:r>
    </w:p>
    <w:p>
      <w:pPr>
        <w:autoSpaceDE w:val="0"/>
        <w:autoSpaceDN w:val="0"/>
        <w:adjustRightInd w:val="0"/>
        <w:spacing w:line="360" w:lineRule="auto"/>
        <w:jc w:val="left"/>
        <w:rPr>
          <w:rFonts w:hint="eastAsia" w:ascii="宋体" w:hAnsi="宋体" w:eastAsia="宋体" w:cs="宋体"/>
          <w:kern w:val="0"/>
          <w:sz w:val="24"/>
          <w:szCs w:val="24"/>
        </w:rPr>
      </w:pPr>
    </w:p>
    <w:bookmarkEnd w:id="499"/>
    <w:bookmarkEnd w:id="500"/>
    <w:bookmarkEnd w:id="501"/>
    <w:p>
      <w:pPr>
        <w:snapToGrid w:val="0"/>
        <w:spacing w:before="120" w:beforeLines="50" w:after="50" w:line="360" w:lineRule="auto"/>
        <w:jc w:val="left"/>
        <w:rPr>
          <w:rFonts w:hint="eastAsia" w:ascii="宋体" w:hAnsi="宋体" w:eastAsia="宋体" w:cs="宋体"/>
          <w:b/>
          <w:sz w:val="24"/>
          <w:szCs w:val="24"/>
        </w:rPr>
      </w:pPr>
    </w:p>
    <w:p>
      <w:pPr>
        <w:snapToGrid w:val="0"/>
        <w:spacing w:before="120" w:beforeLines="50" w:after="50" w:line="360" w:lineRule="auto"/>
        <w:jc w:val="left"/>
        <w:rPr>
          <w:rFonts w:hint="eastAsia" w:ascii="宋体" w:hAnsi="宋体" w:eastAsia="宋体" w:cs="宋体"/>
          <w:b/>
          <w:sz w:val="24"/>
          <w:szCs w:val="24"/>
        </w:rPr>
      </w:pPr>
    </w:p>
    <w:p>
      <w:pPr>
        <w:snapToGrid w:val="0"/>
        <w:spacing w:before="120" w:beforeLines="50" w:after="50" w:line="360" w:lineRule="auto"/>
        <w:jc w:val="left"/>
        <w:rPr>
          <w:rFonts w:hint="eastAsia" w:ascii="宋体" w:hAnsi="宋体" w:eastAsia="宋体" w:cs="宋体"/>
          <w:b/>
          <w:sz w:val="24"/>
          <w:szCs w:val="24"/>
        </w:rPr>
      </w:pPr>
    </w:p>
    <w:p>
      <w:pPr>
        <w:pStyle w:val="43"/>
        <w:rPr>
          <w:rFonts w:hint="eastAsia" w:ascii="宋体" w:hAnsi="宋体" w:eastAsia="宋体" w:cs="宋体"/>
          <w:b/>
          <w:sz w:val="24"/>
          <w:szCs w:val="24"/>
        </w:rPr>
      </w:pPr>
    </w:p>
    <w:p>
      <w:pPr>
        <w:pStyle w:val="43"/>
        <w:rPr>
          <w:rFonts w:hint="eastAsia" w:ascii="宋体" w:hAnsi="宋体" w:eastAsia="宋体" w:cs="宋体"/>
          <w:b/>
          <w:sz w:val="24"/>
          <w:szCs w:val="24"/>
        </w:rPr>
      </w:pPr>
    </w:p>
    <w:p>
      <w:pPr>
        <w:pStyle w:val="43"/>
        <w:rPr>
          <w:rFonts w:hint="eastAsia" w:ascii="宋体" w:hAnsi="宋体" w:eastAsia="宋体" w:cs="宋体"/>
          <w:b/>
          <w:sz w:val="24"/>
          <w:szCs w:val="24"/>
        </w:rPr>
      </w:pPr>
    </w:p>
    <w:p>
      <w:pPr>
        <w:pStyle w:val="43"/>
        <w:rPr>
          <w:rFonts w:hint="eastAsia" w:ascii="宋体" w:hAnsi="宋体" w:eastAsia="宋体" w:cs="宋体"/>
          <w:b/>
          <w:sz w:val="24"/>
          <w:szCs w:val="24"/>
        </w:rPr>
      </w:pPr>
    </w:p>
    <w:p>
      <w:pPr>
        <w:pStyle w:val="43"/>
        <w:rPr>
          <w:rFonts w:hint="eastAsia" w:ascii="宋体" w:hAnsi="宋体" w:eastAsia="宋体" w:cs="宋体"/>
          <w:b/>
          <w:sz w:val="24"/>
          <w:szCs w:val="24"/>
        </w:rPr>
      </w:pPr>
    </w:p>
    <w:p>
      <w:pPr>
        <w:pStyle w:val="43"/>
        <w:rPr>
          <w:rFonts w:hint="eastAsia" w:ascii="宋体" w:hAnsi="宋体" w:eastAsia="宋体" w:cs="宋体"/>
          <w:b/>
          <w:sz w:val="24"/>
          <w:szCs w:val="24"/>
        </w:rPr>
      </w:pPr>
    </w:p>
    <w:p>
      <w:pPr>
        <w:pStyle w:val="43"/>
        <w:rPr>
          <w:rFonts w:hint="eastAsia" w:ascii="宋体" w:hAnsi="宋体" w:eastAsia="宋体" w:cs="宋体"/>
          <w:b/>
          <w:sz w:val="24"/>
          <w:szCs w:val="24"/>
        </w:rPr>
      </w:pPr>
    </w:p>
    <w:p>
      <w:pPr>
        <w:pStyle w:val="43"/>
        <w:rPr>
          <w:rFonts w:hint="eastAsia" w:ascii="宋体" w:hAnsi="宋体" w:eastAsia="宋体" w:cs="宋体"/>
          <w:b/>
          <w:sz w:val="24"/>
          <w:szCs w:val="24"/>
        </w:rPr>
      </w:pPr>
    </w:p>
    <w:p>
      <w:pPr>
        <w:pStyle w:val="43"/>
        <w:rPr>
          <w:rFonts w:hint="eastAsia" w:ascii="宋体" w:hAnsi="宋体" w:eastAsia="宋体" w:cs="宋体"/>
          <w:b/>
          <w:sz w:val="24"/>
          <w:szCs w:val="24"/>
        </w:rPr>
      </w:pPr>
    </w:p>
    <w:p>
      <w:pPr>
        <w:pStyle w:val="43"/>
        <w:rPr>
          <w:rFonts w:hint="eastAsia" w:ascii="宋体" w:hAnsi="宋体" w:eastAsia="宋体" w:cs="宋体"/>
          <w:b/>
          <w:sz w:val="24"/>
          <w:szCs w:val="24"/>
        </w:rPr>
      </w:pPr>
    </w:p>
    <w:p>
      <w:pPr>
        <w:pStyle w:val="43"/>
        <w:rPr>
          <w:rFonts w:hint="eastAsia" w:ascii="宋体" w:hAnsi="宋体" w:eastAsia="宋体" w:cs="宋体"/>
          <w:b/>
          <w:sz w:val="24"/>
          <w:szCs w:val="24"/>
        </w:rPr>
      </w:pPr>
    </w:p>
    <w:p>
      <w:pPr>
        <w:pStyle w:val="43"/>
        <w:rPr>
          <w:rFonts w:hint="eastAsia" w:ascii="宋体" w:hAnsi="宋体" w:eastAsia="宋体" w:cs="宋体"/>
          <w:b/>
          <w:sz w:val="24"/>
          <w:szCs w:val="24"/>
        </w:rPr>
      </w:pPr>
    </w:p>
    <w:p>
      <w:pPr>
        <w:pStyle w:val="43"/>
        <w:rPr>
          <w:rFonts w:hint="eastAsia" w:ascii="宋体" w:hAnsi="宋体" w:eastAsia="宋体" w:cs="宋体"/>
          <w:b/>
          <w:sz w:val="24"/>
          <w:szCs w:val="24"/>
        </w:rPr>
      </w:pPr>
    </w:p>
    <w:p>
      <w:pPr>
        <w:snapToGrid w:val="0"/>
        <w:spacing w:before="120" w:beforeLines="50" w:after="50" w:line="360" w:lineRule="auto"/>
        <w:jc w:val="left"/>
        <w:rPr>
          <w:rFonts w:hint="eastAsia" w:ascii="宋体" w:hAnsi="宋体" w:eastAsia="宋体" w:cs="宋体"/>
          <w:b/>
          <w:sz w:val="24"/>
          <w:szCs w:val="24"/>
        </w:rPr>
      </w:pPr>
    </w:p>
    <w:p>
      <w:pPr>
        <w:pStyle w:val="20"/>
        <w:spacing w:line="360" w:lineRule="auto"/>
        <w:rPr>
          <w:rFonts w:hint="eastAsia" w:ascii="宋体" w:hAnsi="宋体" w:eastAsia="宋体" w:cs="宋体"/>
          <w:b/>
          <w:sz w:val="24"/>
          <w:szCs w:val="24"/>
        </w:rPr>
      </w:pPr>
      <w:r>
        <w:rPr>
          <w:rFonts w:hint="eastAsia" w:ascii="宋体" w:hAnsi="宋体" w:eastAsia="宋体" w:cs="宋体"/>
          <w:b/>
          <w:sz w:val="24"/>
          <w:szCs w:val="24"/>
        </w:rPr>
        <w:t>格式8</w:t>
      </w:r>
    </w:p>
    <w:p>
      <w:pPr>
        <w:pStyle w:val="20"/>
        <w:jc w:val="center"/>
        <w:rPr>
          <w:rFonts w:hint="eastAsia" w:ascii="宋体" w:hAnsi="宋体" w:eastAsia="宋体" w:cs="宋体"/>
          <w:b/>
          <w:bCs/>
          <w:sz w:val="30"/>
          <w:szCs w:val="30"/>
        </w:rPr>
      </w:pPr>
      <w:r>
        <w:rPr>
          <w:rFonts w:hint="eastAsia" w:ascii="宋体" w:hAnsi="宋体" w:eastAsia="宋体" w:cs="宋体"/>
          <w:b/>
          <w:bCs/>
          <w:sz w:val="30"/>
          <w:szCs w:val="30"/>
        </w:rPr>
        <w:t>信用声明函（格式）</w:t>
      </w:r>
    </w:p>
    <w:p>
      <w:pPr>
        <w:pStyle w:val="20"/>
        <w:jc w:val="center"/>
        <w:rPr>
          <w:rFonts w:hint="eastAsia" w:ascii="宋体" w:hAnsi="宋体" w:eastAsia="宋体" w:cs="宋体"/>
          <w:b/>
          <w:bCs/>
          <w:sz w:val="30"/>
          <w:szCs w:val="30"/>
        </w:rPr>
      </w:pPr>
    </w:p>
    <w:p>
      <w:pPr>
        <w:tabs>
          <w:tab w:val="left" w:pos="7200"/>
        </w:tabs>
        <w:spacing w:line="360" w:lineRule="auto"/>
        <w:rPr>
          <w:rFonts w:hint="eastAsia" w:ascii="宋体" w:hAnsi="宋体" w:eastAsia="宋体" w:cs="宋体"/>
          <w:sz w:val="21"/>
          <w:szCs w:val="21"/>
        </w:rPr>
      </w:pPr>
      <w:r>
        <w:rPr>
          <w:rFonts w:hint="eastAsia" w:ascii="宋体" w:hAnsi="宋体" w:eastAsia="宋体" w:cs="宋体"/>
          <w:sz w:val="21"/>
          <w:szCs w:val="21"/>
        </w:rPr>
        <w:t>致：_</w:t>
      </w:r>
      <w:r>
        <w:rPr>
          <w:rFonts w:hint="eastAsia" w:ascii="宋体" w:hAnsi="宋体" w:eastAsia="宋体" w:cs="宋体"/>
          <w:sz w:val="21"/>
          <w:szCs w:val="21"/>
          <w:u w:val="single"/>
        </w:rPr>
        <w:t xml:space="preserve">                      </w:t>
      </w:r>
      <w:r>
        <w:rPr>
          <w:rFonts w:hint="eastAsia" w:ascii="宋体" w:hAnsi="宋体" w:eastAsia="宋体" w:cs="宋体"/>
          <w:sz w:val="21"/>
          <w:szCs w:val="21"/>
        </w:rPr>
        <w:t>（采购代理机构名称）</w:t>
      </w:r>
    </w:p>
    <w:p>
      <w:pPr>
        <w:tabs>
          <w:tab w:val="left" w:pos="720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我方愿意参加贵方组织的_</w:t>
      </w:r>
      <w:r>
        <w:rPr>
          <w:rFonts w:hint="eastAsia" w:ascii="宋体" w:hAnsi="宋体" w:eastAsia="宋体" w:cs="宋体"/>
          <w:sz w:val="21"/>
          <w:szCs w:val="21"/>
          <w:u w:val="single"/>
        </w:rPr>
        <w:t xml:space="preserve">     （项目名称）        </w:t>
      </w:r>
      <w:r>
        <w:rPr>
          <w:rFonts w:hint="eastAsia" w:ascii="宋体" w:hAnsi="宋体" w:eastAsia="宋体" w:cs="宋体"/>
          <w:sz w:val="21"/>
          <w:szCs w:val="21"/>
        </w:rPr>
        <w:t>（项目编号：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）项目的磋商，为便于贵方公正、择优地确定成交人及其磋商服务成果和服务，我方就本次磋商有关事项郑重声明如下：</w:t>
      </w:r>
    </w:p>
    <w:p>
      <w:pPr>
        <w:tabs>
          <w:tab w:val="left" w:pos="7200"/>
        </w:tabs>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 经查询，在“信用中国”和“中国政府采购网”网站我方未被列入失信被执行人、重大税收违法案件当事人名单、政府采购严重违法失信行为记录名单。</w:t>
      </w:r>
    </w:p>
    <w:p>
      <w:pPr>
        <w:tabs>
          <w:tab w:val="left" w:pos="720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 以上事项如有虚假或隐瞒，我方愿意承担一切后果，并不再寻求任何旨在减轻或免除法律责任的辩解。</w:t>
      </w:r>
    </w:p>
    <w:p>
      <w:pPr>
        <w:tabs>
          <w:tab w:val="left" w:pos="7200"/>
        </w:tabs>
        <w:spacing w:line="360" w:lineRule="auto"/>
        <w:rPr>
          <w:rFonts w:hint="eastAsia" w:ascii="宋体" w:hAnsi="宋体" w:eastAsia="宋体" w:cs="宋体"/>
          <w:sz w:val="21"/>
          <w:szCs w:val="21"/>
        </w:rPr>
      </w:pPr>
    </w:p>
    <w:p>
      <w:pPr>
        <w:spacing w:line="440" w:lineRule="exact"/>
        <w:ind w:firstLine="420" w:firstLineChars="200"/>
        <w:jc w:val="left"/>
        <w:rPr>
          <w:rFonts w:hint="eastAsia" w:ascii="宋体" w:hAnsi="宋体" w:eastAsia="宋体" w:cs="宋体"/>
          <w:sz w:val="21"/>
          <w:szCs w:val="21"/>
        </w:rPr>
      </w:pPr>
    </w:p>
    <w:p>
      <w:pPr>
        <w:spacing w:line="440" w:lineRule="exact"/>
        <w:ind w:firstLine="420" w:firstLineChars="200"/>
        <w:jc w:val="left"/>
        <w:rPr>
          <w:rFonts w:hint="eastAsia" w:ascii="宋体" w:hAnsi="宋体" w:eastAsia="宋体" w:cs="宋体"/>
          <w:sz w:val="21"/>
          <w:szCs w:val="21"/>
        </w:rPr>
      </w:pPr>
    </w:p>
    <w:p>
      <w:pPr>
        <w:tabs>
          <w:tab w:val="left" w:pos="7200"/>
        </w:tabs>
        <w:spacing w:line="360" w:lineRule="auto"/>
        <w:ind w:firstLine="839" w:firstLineChars="398"/>
        <w:rPr>
          <w:rFonts w:hint="eastAsia" w:ascii="宋体" w:hAnsi="宋体" w:eastAsia="宋体" w:cs="宋体"/>
          <w:sz w:val="21"/>
          <w:szCs w:val="21"/>
          <w:u w:val="single"/>
        </w:rPr>
      </w:pPr>
      <w:r>
        <w:rPr>
          <w:rFonts w:hint="eastAsia" w:ascii="宋体" w:hAnsi="宋体" w:eastAsia="宋体" w:cs="宋体"/>
          <w:b/>
          <w:bCs/>
          <w:sz w:val="21"/>
          <w:szCs w:val="21"/>
        </w:rPr>
        <w:t xml:space="preserve">                                  </w:t>
      </w:r>
      <w:r>
        <w:rPr>
          <w:rFonts w:hint="eastAsia" w:ascii="宋体" w:hAnsi="宋体" w:eastAsia="宋体" w:cs="宋体"/>
          <w:sz w:val="21"/>
          <w:szCs w:val="21"/>
        </w:rPr>
        <w:t>法定代表人或委托代理人签字：</w:t>
      </w:r>
      <w:r>
        <w:rPr>
          <w:rFonts w:hint="eastAsia" w:ascii="宋体" w:hAnsi="宋体" w:eastAsia="宋体" w:cs="宋体"/>
          <w:sz w:val="21"/>
          <w:szCs w:val="21"/>
          <w:u w:val="single"/>
        </w:rPr>
        <w:t xml:space="preserve">             </w:t>
      </w:r>
    </w:p>
    <w:p>
      <w:pPr>
        <w:tabs>
          <w:tab w:val="left" w:pos="7200"/>
        </w:tabs>
        <w:spacing w:line="360" w:lineRule="auto"/>
        <w:ind w:firstLine="4084" w:firstLineChars="1945"/>
        <w:rPr>
          <w:rFonts w:hint="eastAsia" w:ascii="宋体" w:hAnsi="宋体" w:eastAsia="宋体" w:cs="宋体"/>
          <w:sz w:val="21"/>
          <w:szCs w:val="21"/>
        </w:rPr>
      </w:pPr>
      <w:r>
        <w:rPr>
          <w:rFonts w:hint="eastAsia" w:ascii="宋体" w:hAnsi="宋体" w:eastAsia="宋体" w:cs="宋体"/>
          <w:sz w:val="21"/>
          <w:szCs w:val="21"/>
        </w:rPr>
        <w:t xml:space="preserve">        供应商（盖章）：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pStyle w:val="20"/>
        <w:spacing w:line="360" w:lineRule="auto"/>
        <w:ind w:firstLine="420"/>
        <w:jc w:val="right"/>
        <w:rPr>
          <w:rFonts w:hint="eastAsia" w:ascii="宋体" w:hAnsi="宋体" w:eastAsia="宋体" w:cs="宋体"/>
          <w:kern w:val="0"/>
          <w:sz w:val="21"/>
          <w:szCs w:val="21"/>
        </w:rPr>
      </w:pPr>
      <w:r>
        <w:rPr>
          <w:rFonts w:hint="eastAsia" w:ascii="宋体" w:hAnsi="宋体" w:eastAsia="宋体" w:cs="宋体"/>
          <w:kern w:val="0"/>
          <w:sz w:val="21"/>
          <w:szCs w:val="21"/>
        </w:rPr>
        <w:t xml:space="preserve">                                               年    月    日</w:t>
      </w:r>
    </w:p>
    <w:p>
      <w:pPr>
        <w:snapToGrid w:val="0"/>
        <w:spacing w:before="120" w:beforeLines="50" w:after="50" w:line="360" w:lineRule="auto"/>
        <w:jc w:val="left"/>
        <w:rPr>
          <w:rFonts w:hint="eastAsia" w:ascii="宋体" w:hAnsi="宋体" w:eastAsia="宋体" w:cs="宋体"/>
          <w:b/>
          <w:sz w:val="24"/>
          <w:szCs w:val="24"/>
        </w:rPr>
      </w:pPr>
      <w:r>
        <w:rPr>
          <w:rFonts w:hint="eastAsia" w:ascii="宋体" w:hAnsi="宋体" w:eastAsia="宋体" w:cs="宋体"/>
          <w:b/>
          <w:bCs/>
          <w:sz w:val="36"/>
          <w:szCs w:val="36"/>
        </w:rPr>
        <w:br w:type="page"/>
      </w:r>
    </w:p>
    <w:p>
      <w:pPr>
        <w:snapToGrid w:val="0"/>
        <w:spacing w:before="120" w:beforeLines="50" w:after="50" w:line="360" w:lineRule="auto"/>
        <w:jc w:val="left"/>
        <w:rPr>
          <w:rFonts w:hint="eastAsia" w:ascii="宋体" w:hAnsi="宋体" w:eastAsia="宋体" w:cs="宋体"/>
          <w:b/>
          <w:sz w:val="24"/>
          <w:szCs w:val="24"/>
        </w:rPr>
      </w:pPr>
      <w:r>
        <w:rPr>
          <w:rFonts w:hint="eastAsia" w:ascii="宋体" w:hAnsi="宋体" w:eastAsia="宋体" w:cs="宋体"/>
          <w:b/>
          <w:sz w:val="24"/>
          <w:szCs w:val="24"/>
        </w:rPr>
        <w:t>格式9</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中小企业声明函</w:t>
      </w: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本公司郑重声明，根据《政府采购促进中小企业发展暂行办法》（财库【2011】181号）的规定，本公司为</w:t>
      </w:r>
      <w:r>
        <w:rPr>
          <w:rFonts w:hint="eastAsia" w:ascii="宋体" w:hAnsi="宋体" w:eastAsia="宋体" w:cs="宋体"/>
          <w:sz w:val="21"/>
          <w:szCs w:val="21"/>
          <w:u w:val="single"/>
        </w:rPr>
        <w:t xml:space="preserve">             </w:t>
      </w:r>
      <w:r>
        <w:rPr>
          <w:rFonts w:hint="eastAsia" w:ascii="宋体" w:hAnsi="宋体" w:eastAsia="宋体" w:cs="宋体"/>
          <w:sz w:val="21"/>
          <w:szCs w:val="21"/>
        </w:rPr>
        <w:t>（请填写：中型、小型、微型）企业。即本公司同时满足以下条件：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1.根据《工业和信息化部、国家统计局、国家发展和改革委员会、财政部关于印发中小企业划型标准规定的通知》（工信部联企业【2011】300号）规定的划分标准，本公司为为</w:t>
      </w:r>
      <w:r>
        <w:rPr>
          <w:rFonts w:hint="eastAsia" w:ascii="宋体" w:hAnsi="宋体" w:eastAsia="宋体" w:cs="宋体"/>
          <w:sz w:val="21"/>
          <w:szCs w:val="21"/>
          <w:u w:val="single"/>
        </w:rPr>
        <w:t xml:space="preserve">             </w:t>
      </w:r>
      <w:r>
        <w:rPr>
          <w:rFonts w:hint="eastAsia" w:ascii="宋体" w:hAnsi="宋体" w:eastAsia="宋体" w:cs="宋体"/>
          <w:sz w:val="21"/>
          <w:szCs w:val="21"/>
        </w:rPr>
        <w:t>（请填写：中型、小型、微型）企业。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2.本公司参加</w:t>
      </w:r>
      <w:r>
        <w:rPr>
          <w:rFonts w:hint="eastAsia" w:ascii="宋体" w:hAnsi="宋体" w:eastAsia="宋体" w:cs="宋体"/>
          <w:sz w:val="21"/>
          <w:szCs w:val="21"/>
          <w:u w:val="single"/>
        </w:rPr>
        <w:t xml:space="preserve">        </w:t>
      </w:r>
      <w:r>
        <w:rPr>
          <w:rFonts w:hint="eastAsia" w:ascii="宋体" w:hAnsi="宋体" w:eastAsia="宋体" w:cs="宋体"/>
          <w:sz w:val="21"/>
          <w:szCs w:val="21"/>
        </w:rPr>
        <w:t>单位的</w:t>
      </w:r>
      <w:r>
        <w:rPr>
          <w:rFonts w:hint="eastAsia" w:ascii="宋体" w:hAnsi="宋体" w:eastAsia="宋体" w:cs="宋体"/>
          <w:sz w:val="21"/>
          <w:szCs w:val="21"/>
          <w:u w:val="single"/>
        </w:rPr>
        <w:t xml:space="preserve">          </w:t>
      </w:r>
      <w:r>
        <w:rPr>
          <w:rFonts w:hint="eastAsia" w:ascii="宋体" w:hAnsi="宋体" w:eastAsia="宋体" w:cs="宋体"/>
          <w:sz w:val="21"/>
          <w:szCs w:val="21"/>
        </w:rPr>
        <w:t>项目采购活动提供本企业制造的货物，由本企承担工程，提供服务，或者提供其他</w:t>
      </w:r>
      <w:r>
        <w:rPr>
          <w:rFonts w:hint="eastAsia" w:ascii="宋体" w:hAnsi="宋体" w:eastAsia="宋体" w:cs="宋体"/>
          <w:sz w:val="21"/>
          <w:szCs w:val="21"/>
          <w:u w:val="single"/>
        </w:rPr>
        <w:t xml:space="preserve">      （</w:t>
      </w:r>
      <w:r>
        <w:rPr>
          <w:rFonts w:hint="eastAsia" w:ascii="宋体" w:hAnsi="宋体" w:eastAsia="宋体" w:cs="宋体"/>
          <w:sz w:val="21"/>
          <w:szCs w:val="21"/>
        </w:rPr>
        <w:t>请填写：中型、小型、微型）企业制造的货物。本条所称货物不包括使用大型企业注册商标的货物。</w:t>
      </w:r>
    </w:p>
    <w:p>
      <w:pPr>
        <w:pStyle w:val="2"/>
        <w:ind w:firstLine="480"/>
        <w:rPr>
          <w:rFonts w:hint="eastAsia" w:ascii="宋体" w:hAnsi="宋体" w:eastAsia="宋体" w:cs="宋体"/>
          <w:sz w:val="21"/>
          <w:szCs w:val="21"/>
        </w:rPr>
      </w:pPr>
      <w:r>
        <w:rPr>
          <w:rFonts w:hint="eastAsia" w:ascii="宋体" w:hAnsi="宋体" w:eastAsia="宋体" w:cs="宋体"/>
          <w:sz w:val="21"/>
          <w:szCs w:val="21"/>
        </w:rPr>
        <w:t>本公司对上述声明的真实性负责。如有虚假，将依法承担相应责任。</w:t>
      </w:r>
    </w:p>
    <w:p>
      <w:pPr>
        <w:spacing w:line="360" w:lineRule="auto"/>
        <w:ind w:firstLine="3570" w:firstLineChars="1700"/>
        <w:rPr>
          <w:rFonts w:hint="eastAsia" w:ascii="宋体" w:hAnsi="宋体" w:eastAsia="宋体" w:cs="宋体"/>
          <w:sz w:val="21"/>
          <w:szCs w:val="21"/>
        </w:rPr>
      </w:pPr>
    </w:p>
    <w:p>
      <w:pPr>
        <w:spacing w:line="360" w:lineRule="auto"/>
        <w:ind w:firstLine="3780" w:firstLineChars="1800"/>
        <w:rPr>
          <w:rFonts w:hint="eastAsia" w:ascii="宋体" w:hAnsi="宋体" w:eastAsia="宋体" w:cs="宋体"/>
          <w:sz w:val="21"/>
          <w:szCs w:val="21"/>
        </w:rPr>
      </w:pPr>
      <w:r>
        <w:rPr>
          <w:rFonts w:hint="eastAsia" w:ascii="宋体" w:hAnsi="宋体" w:eastAsia="宋体" w:cs="宋体"/>
          <w:sz w:val="21"/>
          <w:szCs w:val="21"/>
        </w:rPr>
        <w:t xml:space="preserve">企业名称（盖章）：   </w:t>
      </w:r>
    </w:p>
    <w:p>
      <w:pPr>
        <w:snapToGrid w:val="0"/>
        <w:spacing w:before="120" w:beforeLines="50" w:after="50" w:line="360" w:lineRule="auto"/>
        <w:jc w:val="left"/>
        <w:rPr>
          <w:rFonts w:hint="eastAsia" w:ascii="宋体" w:hAnsi="宋体" w:eastAsia="宋体" w:cs="宋体"/>
          <w:b/>
          <w:sz w:val="21"/>
          <w:szCs w:val="21"/>
        </w:rPr>
      </w:pPr>
      <w:r>
        <w:rPr>
          <w:rFonts w:hint="eastAsia" w:ascii="宋体" w:hAnsi="宋体" w:eastAsia="宋体" w:cs="宋体"/>
          <w:sz w:val="21"/>
          <w:szCs w:val="21"/>
        </w:rPr>
        <w:t xml:space="preserve">                                           日 期：</w:t>
      </w:r>
    </w:p>
    <w:p>
      <w:pPr>
        <w:spacing w:line="360" w:lineRule="auto"/>
        <w:rPr>
          <w:rFonts w:hint="eastAsia" w:ascii="宋体" w:hAnsi="宋体" w:eastAsia="宋体" w:cs="宋体"/>
          <w:b/>
          <w:spacing w:val="6"/>
          <w:sz w:val="24"/>
          <w:szCs w:val="24"/>
        </w:rPr>
      </w:pPr>
      <w:bookmarkStart w:id="520" w:name="OLE_LINK14"/>
      <w:bookmarkStart w:id="521" w:name="OLE_LINK13"/>
    </w:p>
    <w:p>
      <w:pPr>
        <w:pStyle w:val="22"/>
        <w:rPr>
          <w:rFonts w:hint="eastAsia" w:ascii="宋体" w:hAnsi="宋体" w:eastAsia="宋体" w:cs="宋体"/>
        </w:rPr>
      </w:pPr>
    </w:p>
    <w:p>
      <w:pPr>
        <w:spacing w:line="360" w:lineRule="auto"/>
        <w:jc w:val="center"/>
        <w:rPr>
          <w:rFonts w:hint="eastAsia" w:ascii="宋体" w:hAnsi="宋体" w:eastAsia="宋体" w:cs="宋体"/>
          <w:b/>
          <w:spacing w:val="6"/>
          <w:sz w:val="24"/>
          <w:szCs w:val="24"/>
        </w:rPr>
      </w:pPr>
      <w:r>
        <w:rPr>
          <w:rFonts w:hint="eastAsia" w:ascii="宋体" w:hAnsi="宋体" w:eastAsia="宋体" w:cs="宋体"/>
          <w:b/>
          <w:spacing w:val="6"/>
          <w:sz w:val="24"/>
          <w:szCs w:val="24"/>
        </w:rPr>
        <w:t>残疾人福利性单位声明函</w:t>
      </w:r>
    </w:p>
    <w:bookmarkEnd w:id="520"/>
    <w:bookmarkEnd w:id="521"/>
    <w:p>
      <w:pPr>
        <w:spacing w:line="360" w:lineRule="auto"/>
        <w:rPr>
          <w:rFonts w:hint="eastAsia" w:ascii="宋体" w:hAnsi="宋体" w:eastAsia="宋体" w:cs="宋体"/>
          <w:b/>
          <w:spacing w:val="6"/>
          <w:sz w:val="24"/>
          <w:szCs w:val="24"/>
        </w:rPr>
      </w:pPr>
    </w:p>
    <w:p>
      <w:pPr>
        <w:spacing w:line="360" w:lineRule="auto"/>
        <w:ind w:firstLine="444" w:firstLineChars="200"/>
        <w:rPr>
          <w:rFonts w:hint="eastAsia" w:ascii="宋体" w:hAnsi="宋体" w:eastAsia="宋体" w:cs="宋体"/>
          <w:spacing w:val="6"/>
          <w:sz w:val="21"/>
          <w:szCs w:val="21"/>
        </w:rPr>
      </w:pPr>
      <w:r>
        <w:rPr>
          <w:rFonts w:hint="eastAsia" w:ascii="宋体" w:hAnsi="宋体" w:eastAsia="宋体" w:cs="宋体"/>
          <w:spacing w:val="6"/>
          <w:sz w:val="21"/>
          <w:szCs w:val="21"/>
        </w:rPr>
        <w:t>本单位郑重声明，根据《财政部 民政部 中国残疾人联合会关于促进残疾人就业政府采购政策的通知》（财库</w:t>
      </w:r>
      <w:r>
        <w:rPr>
          <w:rFonts w:hint="eastAsia" w:ascii="宋体" w:hAnsi="宋体" w:eastAsia="宋体" w:cs="宋体"/>
          <w:sz w:val="21"/>
          <w:szCs w:val="21"/>
        </w:rPr>
        <w:t>〔2017〕 141</w:t>
      </w:r>
      <w:r>
        <w:rPr>
          <w:rFonts w:hint="eastAsia" w:ascii="宋体" w:hAnsi="宋体" w:eastAsia="宋体" w:cs="宋体"/>
          <w:spacing w:val="6"/>
          <w:sz w:val="21"/>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hint="eastAsia" w:ascii="宋体" w:hAnsi="宋体" w:eastAsia="宋体" w:cs="宋体"/>
          <w:spacing w:val="6"/>
          <w:sz w:val="21"/>
          <w:szCs w:val="21"/>
        </w:rPr>
      </w:pPr>
      <w:r>
        <w:rPr>
          <w:rFonts w:hint="eastAsia" w:ascii="宋体" w:hAnsi="宋体" w:eastAsia="宋体" w:cs="宋体"/>
          <w:spacing w:val="6"/>
          <w:sz w:val="21"/>
          <w:szCs w:val="21"/>
        </w:rPr>
        <w:t>本单位对上述声明的真实性负责。如有虚假，将依法承担相应责任。</w:t>
      </w:r>
    </w:p>
    <w:p>
      <w:pPr>
        <w:spacing w:line="360" w:lineRule="auto"/>
        <w:ind w:firstLine="444" w:firstLineChars="200"/>
        <w:rPr>
          <w:rFonts w:hint="eastAsia" w:ascii="宋体" w:hAnsi="宋体" w:eastAsia="宋体" w:cs="宋体"/>
          <w:spacing w:val="6"/>
          <w:sz w:val="21"/>
          <w:szCs w:val="21"/>
        </w:rPr>
      </w:pPr>
    </w:p>
    <w:p>
      <w:pPr>
        <w:spacing w:line="360" w:lineRule="auto"/>
        <w:ind w:firstLine="444" w:firstLineChars="200"/>
        <w:rPr>
          <w:rFonts w:hint="eastAsia" w:ascii="宋体" w:hAnsi="宋体" w:eastAsia="宋体" w:cs="宋体"/>
          <w:spacing w:val="6"/>
          <w:sz w:val="21"/>
          <w:szCs w:val="21"/>
        </w:rPr>
      </w:pPr>
    </w:p>
    <w:p>
      <w:pPr>
        <w:tabs>
          <w:tab w:val="left" w:pos="4860"/>
        </w:tabs>
        <w:spacing w:line="360" w:lineRule="auto"/>
        <w:ind w:right="1560" w:firstLine="444" w:firstLineChars="200"/>
        <w:jc w:val="center"/>
        <w:outlineLvl w:val="0"/>
        <w:rPr>
          <w:rFonts w:hint="eastAsia" w:ascii="宋体" w:hAnsi="宋体" w:eastAsia="宋体" w:cs="宋体"/>
          <w:spacing w:val="6"/>
          <w:sz w:val="21"/>
          <w:szCs w:val="21"/>
        </w:rPr>
      </w:pPr>
      <w:r>
        <w:rPr>
          <w:rFonts w:hint="eastAsia" w:ascii="宋体" w:hAnsi="宋体" w:eastAsia="宋体" w:cs="宋体"/>
          <w:spacing w:val="6"/>
          <w:sz w:val="21"/>
          <w:szCs w:val="21"/>
        </w:rPr>
        <w:t xml:space="preserve">                             </w:t>
      </w:r>
      <w:bookmarkStart w:id="522" w:name="_Toc10908"/>
      <w:r>
        <w:rPr>
          <w:rFonts w:hint="eastAsia" w:ascii="宋体" w:hAnsi="宋体" w:eastAsia="宋体" w:cs="宋体"/>
          <w:spacing w:val="6"/>
          <w:sz w:val="21"/>
          <w:szCs w:val="21"/>
        </w:rPr>
        <w:t>企业名称（盖章）：</w:t>
      </w:r>
      <w:bookmarkEnd w:id="522"/>
    </w:p>
    <w:p>
      <w:pPr>
        <w:tabs>
          <w:tab w:val="left" w:pos="4860"/>
        </w:tabs>
        <w:spacing w:line="360" w:lineRule="auto"/>
        <w:ind w:right="1560" w:firstLine="444" w:firstLineChars="200"/>
        <w:jc w:val="center"/>
        <w:outlineLvl w:val="0"/>
        <w:rPr>
          <w:rFonts w:hint="eastAsia" w:ascii="宋体" w:hAnsi="宋体" w:eastAsia="宋体" w:cs="宋体"/>
          <w:spacing w:val="6"/>
          <w:sz w:val="21"/>
          <w:szCs w:val="21"/>
        </w:rPr>
      </w:pPr>
      <w:r>
        <w:rPr>
          <w:rFonts w:hint="eastAsia" w:ascii="宋体" w:hAnsi="宋体" w:eastAsia="宋体" w:cs="宋体"/>
          <w:spacing w:val="6"/>
          <w:sz w:val="21"/>
          <w:szCs w:val="21"/>
        </w:rPr>
        <w:t xml:space="preserve">                             </w:t>
      </w:r>
      <w:bookmarkStart w:id="523" w:name="_Toc28105"/>
      <w:r>
        <w:rPr>
          <w:rFonts w:hint="eastAsia" w:ascii="宋体" w:hAnsi="宋体" w:eastAsia="宋体" w:cs="宋体"/>
          <w:spacing w:val="6"/>
          <w:sz w:val="21"/>
          <w:szCs w:val="21"/>
        </w:rPr>
        <w:t>日  期：</w:t>
      </w:r>
      <w:bookmarkEnd w:id="523"/>
    </w:p>
    <w:p>
      <w:pPr>
        <w:pStyle w:val="20"/>
        <w:spacing w:line="360" w:lineRule="auto"/>
        <w:rPr>
          <w:rFonts w:hint="eastAsia" w:ascii="宋体" w:hAnsi="宋体" w:eastAsia="宋体" w:cs="宋体"/>
          <w:sz w:val="21"/>
          <w:szCs w:val="21"/>
        </w:rPr>
      </w:pPr>
    </w:p>
    <w:p>
      <w:pPr>
        <w:rPr>
          <w:rFonts w:hint="eastAsia" w:ascii="宋体" w:hAnsi="宋体" w:eastAsia="宋体" w:cs="宋体"/>
        </w:rPr>
      </w:pPr>
    </w:p>
    <w:sectPr>
      <w:footerReference r:id="rId7" w:type="default"/>
      <w:pgSz w:w="11906" w:h="16838"/>
      <w:pgMar w:top="1134" w:right="1134" w:bottom="567" w:left="1134" w:header="720" w:footer="720" w:gutter="0"/>
      <w:pgNumType w:start="1"/>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align>top</wp:align>
              </wp:positionV>
              <wp:extent cx="114935" cy="147955"/>
              <wp:effectExtent l="0" t="0" r="635" b="444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height:11.65pt;width:9.05pt;mso-position-horizontal:center;mso-position-horizontal-relative:margin;mso-position-vertical:top;mso-wrap-style:none;z-index:251656192;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6W/D9EAAAADAQAADwAAAAAAAAABACAAAAAiAAAAZHJz&#10;L2Rvd25yZXYueG1sUEsBAhQAFAAAAAgAh07iQFXzIxELAgAAAgQAAA4AAAAAAAAAAQAgAAAAIAEA&#10;AGRycy9lMm9Eb2MueG1sUEsFBgAAAAAGAAYAWQEAAJ0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340360" cy="172720"/>
              <wp:effectExtent l="0" t="0" r="381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40360" cy="172720"/>
                      </a:xfrm>
                      <a:prstGeom prst="rect">
                        <a:avLst/>
                      </a:prstGeom>
                      <a:noFill/>
                      <a:ln>
                        <a:noFill/>
                      </a:ln>
                    </wps:spPr>
                    <wps:txbx>
                      <w:txbxContent>
                        <w:p>
                          <w:pPr>
                            <w:pStyle w:val="24"/>
                            <w:jc w:val="center"/>
                            <w:rPr>
                              <w:rStyle w:val="39"/>
                              <w:rFonts w:hAnsi="宋体"/>
                            </w:rPr>
                          </w:pPr>
                          <w:r>
                            <w:rPr>
                              <w:rFonts w:hAnsi="宋体"/>
                              <w:sz w:val="21"/>
                              <w:szCs w:val="21"/>
                            </w:rPr>
                            <w:fldChar w:fldCharType="begin"/>
                          </w:r>
                          <w:r>
                            <w:rPr>
                              <w:rStyle w:val="39"/>
                              <w:rFonts w:hAnsi="宋体"/>
                            </w:rPr>
                            <w:instrText xml:space="preserve">PAGE  </w:instrText>
                          </w:r>
                          <w:r>
                            <w:rPr>
                              <w:rFonts w:hAnsi="宋体"/>
                              <w:sz w:val="21"/>
                              <w:szCs w:val="21"/>
                            </w:rPr>
                            <w:fldChar w:fldCharType="separate"/>
                          </w:r>
                          <w:r>
                            <w:rPr>
                              <w:rStyle w:val="39"/>
                              <w:rFonts w:hAnsi="宋体"/>
                            </w:rPr>
                            <w:t>2</w:t>
                          </w:r>
                          <w:r>
                            <w:rPr>
                              <w:rFonts w:hAnsi="宋体"/>
                              <w:sz w:val="21"/>
                              <w:szCs w:val="21"/>
                            </w:rPr>
                            <w:fldChar w:fldCharType="end"/>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height:13.6pt;width:26.8pt;mso-position-horizontal:center;mso-position-horizontal-relative:margin;mso-position-vertical:top;z-index:251659264;mso-width-relative:page;mso-height-relative:page;" filled="f" stroked="f" coordsize="21600,21600" o:gfxdata="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&#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ZwgxQ0gAAAAMBAAAPAAAAAAAAAAEAIAAAACIAAABk&#10;cnMvZG93bnJldi54bWxQSwECFAAUAAAACACHTuJAWq9TwwwCAAAEBAAADgAAAAAAAAABACAAAAAh&#10;AQAAZHJzL2Uyb0RvYy54bWxQSwUGAAAAAAYABgBZAQAAnwUAAAAA&#10;">
              <v:fill on="f" focussize="0,0"/>
              <v:stroke on="f"/>
              <v:imagedata o:title=""/>
              <o:lock v:ext="edit" aspectratio="f"/>
              <v:textbox inset="0mm,0mm,0mm,0mm" style="mso-fit-shape-to-text:t;">
                <w:txbxContent>
                  <w:p>
                    <w:pPr>
                      <w:pStyle w:val="24"/>
                      <w:jc w:val="center"/>
                      <w:rPr>
                        <w:rStyle w:val="39"/>
                        <w:rFonts w:hAnsi="宋体"/>
                      </w:rPr>
                    </w:pPr>
                    <w:r>
                      <w:rPr>
                        <w:rFonts w:hAnsi="宋体"/>
                        <w:sz w:val="21"/>
                        <w:szCs w:val="21"/>
                      </w:rPr>
                      <w:fldChar w:fldCharType="begin"/>
                    </w:r>
                    <w:r>
                      <w:rPr>
                        <w:rStyle w:val="39"/>
                        <w:rFonts w:hAnsi="宋体"/>
                      </w:rPr>
                      <w:instrText xml:space="preserve">PAGE  </w:instrText>
                    </w:r>
                    <w:r>
                      <w:rPr>
                        <w:rFonts w:hAnsi="宋体"/>
                        <w:sz w:val="21"/>
                        <w:szCs w:val="21"/>
                      </w:rPr>
                      <w:fldChar w:fldCharType="separate"/>
                    </w:r>
                    <w:r>
                      <w:rPr>
                        <w:rStyle w:val="39"/>
                        <w:rFonts w:hAnsi="宋体"/>
                      </w:rPr>
                      <w:t>2</w:t>
                    </w:r>
                    <w:r>
                      <w:rPr>
                        <w:rFonts w:hAnsi="宋体"/>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align>top</wp:align>
              </wp:positionV>
              <wp:extent cx="340360" cy="172720"/>
              <wp:effectExtent l="0" t="0" r="381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40360" cy="172720"/>
                      </a:xfrm>
                      <a:prstGeom prst="rect">
                        <a:avLst/>
                      </a:prstGeom>
                      <a:noFill/>
                      <a:ln>
                        <a:noFill/>
                      </a:ln>
                    </wps:spPr>
                    <wps:txbx>
                      <w:txbxContent>
                        <w:p>
                          <w:pPr>
                            <w:pStyle w:val="24"/>
                            <w:jc w:val="center"/>
                            <w:rPr>
                              <w:rStyle w:val="39"/>
                              <w:rFonts w:hAnsi="宋体"/>
                            </w:rPr>
                          </w:pPr>
                          <w:r>
                            <w:rPr>
                              <w:rFonts w:hAnsi="宋体"/>
                              <w:sz w:val="21"/>
                              <w:szCs w:val="21"/>
                            </w:rPr>
                            <w:fldChar w:fldCharType="begin"/>
                          </w:r>
                          <w:r>
                            <w:rPr>
                              <w:rStyle w:val="39"/>
                              <w:rFonts w:hAnsi="宋体"/>
                            </w:rPr>
                            <w:instrText xml:space="preserve">PAGE  </w:instrText>
                          </w:r>
                          <w:r>
                            <w:rPr>
                              <w:rFonts w:hAnsi="宋体"/>
                              <w:sz w:val="21"/>
                              <w:szCs w:val="21"/>
                            </w:rPr>
                            <w:fldChar w:fldCharType="separate"/>
                          </w:r>
                          <w:r>
                            <w:rPr>
                              <w:rStyle w:val="39"/>
                              <w:rFonts w:hAnsi="宋体"/>
                            </w:rPr>
                            <w:t>22</w:t>
                          </w:r>
                          <w:r>
                            <w:rPr>
                              <w:rFonts w:hAnsi="宋体"/>
                              <w:sz w:val="21"/>
                              <w:szCs w:val="21"/>
                            </w:rPr>
                            <w:fldChar w:fldCharType="end"/>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height:13.6pt;width:26.8pt;mso-position-horizontal:center;mso-position-horizontal-relative:margin;mso-position-vertical:top;z-index:251657216;mso-width-relative:page;mso-height-relative:page;" filled="f" stroked="f" coordsize="21600,21600" o:gfxdata="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nCDFDSAAAAAwEAAA8AAAAAAAAAAQAgAAAAIgAAAGRy&#10;cy9kb3ducmV2LnhtbFBLAQIUABQAAAAIAIdO4kDxaqOOCwIAAAQEAAAOAAAAAAAAAAEAIAAAACEB&#10;AABkcnMvZTJvRG9jLnhtbFBLBQYAAAAABgAGAFkBAACeBQAAAAA=&#10;">
              <v:fill on="f" focussize="0,0"/>
              <v:stroke on="f"/>
              <v:imagedata o:title=""/>
              <o:lock v:ext="edit" aspectratio="f"/>
              <v:textbox inset="0mm,0mm,0mm,0mm" style="mso-fit-shape-to-text:t;">
                <w:txbxContent>
                  <w:p>
                    <w:pPr>
                      <w:pStyle w:val="24"/>
                      <w:jc w:val="center"/>
                      <w:rPr>
                        <w:rStyle w:val="39"/>
                        <w:rFonts w:hAnsi="宋体"/>
                      </w:rPr>
                    </w:pPr>
                    <w:r>
                      <w:rPr>
                        <w:rFonts w:hAnsi="宋体"/>
                        <w:sz w:val="21"/>
                        <w:szCs w:val="21"/>
                      </w:rPr>
                      <w:fldChar w:fldCharType="begin"/>
                    </w:r>
                    <w:r>
                      <w:rPr>
                        <w:rStyle w:val="39"/>
                        <w:rFonts w:hAnsi="宋体"/>
                      </w:rPr>
                      <w:instrText xml:space="preserve">PAGE  </w:instrText>
                    </w:r>
                    <w:r>
                      <w:rPr>
                        <w:rFonts w:hAnsi="宋体"/>
                        <w:sz w:val="21"/>
                        <w:szCs w:val="21"/>
                      </w:rPr>
                      <w:fldChar w:fldCharType="separate"/>
                    </w:r>
                    <w:r>
                      <w:rPr>
                        <w:rStyle w:val="39"/>
                        <w:rFonts w:hAnsi="宋体"/>
                      </w:rPr>
                      <w:t>22</w:t>
                    </w:r>
                    <w:r>
                      <w:rPr>
                        <w:rFonts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1230"/>
        <w:tab w:val="clear" w:pos="8306"/>
      </w:tabs>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13F54D"/>
    <w:multiLevelType w:val="singleLevel"/>
    <w:tmpl w:val="8513F54D"/>
    <w:lvl w:ilvl="0" w:tentative="0">
      <w:start w:val="1"/>
      <w:numFmt w:val="decimal"/>
      <w:suff w:val="nothing"/>
      <w:lvlText w:val="（%1）"/>
      <w:lvlJc w:val="left"/>
    </w:lvl>
  </w:abstractNum>
  <w:abstractNum w:abstractNumId="1">
    <w:nsid w:val="A44E4256"/>
    <w:multiLevelType w:val="singleLevel"/>
    <w:tmpl w:val="A44E4256"/>
    <w:lvl w:ilvl="0" w:tentative="0">
      <w:start w:val="2"/>
      <w:numFmt w:val="decimal"/>
      <w:suff w:val="nothing"/>
      <w:lvlText w:val="%1、"/>
      <w:lvlJc w:val="left"/>
      <w:pPr>
        <w:ind w:left="420" w:firstLine="0"/>
      </w:pPr>
    </w:lvl>
  </w:abstractNum>
  <w:abstractNum w:abstractNumId="2">
    <w:nsid w:val="ED4B93EE"/>
    <w:multiLevelType w:val="singleLevel"/>
    <w:tmpl w:val="ED4B93EE"/>
    <w:lvl w:ilvl="0" w:tentative="0">
      <w:start w:val="2"/>
      <w:numFmt w:val="chineseCounting"/>
      <w:suff w:val="space"/>
      <w:lvlText w:val="第%1章"/>
      <w:lvlJc w:val="left"/>
      <w:rPr>
        <w:rFonts w:hint="eastAsia"/>
      </w:rPr>
    </w:lvl>
  </w:abstractNum>
  <w:abstractNum w:abstractNumId="3">
    <w:nsid w:val="42350E38"/>
    <w:multiLevelType w:val="singleLevel"/>
    <w:tmpl w:val="42350E38"/>
    <w:lvl w:ilvl="0" w:tentative="0">
      <w:start w:val="1"/>
      <w:numFmt w:val="decimal"/>
      <w:suff w:val="nothing"/>
      <w:lvlText w:val="%1）"/>
      <w:lvlJc w:val="left"/>
    </w:lvl>
  </w:abstractNum>
  <w:abstractNum w:abstractNumId="4">
    <w:nsid w:val="45F0992A"/>
    <w:multiLevelType w:val="singleLevel"/>
    <w:tmpl w:val="45F0992A"/>
    <w:lvl w:ilvl="0" w:tentative="0">
      <w:start w:val="1"/>
      <w:numFmt w:val="chineseCounting"/>
      <w:suff w:val="nothing"/>
      <w:lvlText w:val="%1、"/>
      <w:lvlJc w:val="left"/>
      <w:rPr>
        <w:rFonts w:hint="eastAsia"/>
      </w:rPr>
    </w:lvl>
  </w:abstractNum>
  <w:abstractNum w:abstractNumId="5">
    <w:nsid w:val="54C5F09A"/>
    <w:multiLevelType w:val="singleLevel"/>
    <w:tmpl w:val="54C5F09A"/>
    <w:lvl w:ilvl="0" w:tentative="0">
      <w:start w:val="5"/>
      <w:numFmt w:val="chineseCounting"/>
      <w:pStyle w:val="94"/>
      <w:suff w:val="nothing"/>
      <w:lvlText w:val="%1、"/>
      <w:lvlJc w:val="left"/>
    </w:lvl>
  </w:abstractNum>
  <w:abstractNum w:abstractNumId="6">
    <w:nsid w:val="56814A4F"/>
    <w:multiLevelType w:val="multilevel"/>
    <w:tmpl w:val="56814A4F"/>
    <w:lvl w:ilvl="0" w:tentative="0">
      <w:start w:val="1"/>
      <w:numFmt w:val="decimal"/>
      <w:lvlText w:val="(%1)"/>
      <w:lvlJc w:val="left"/>
      <w:pPr>
        <w:tabs>
          <w:tab w:val="left" w:pos="644"/>
        </w:tabs>
        <w:ind w:left="644"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5C82B9C6"/>
    <w:multiLevelType w:val="singleLevel"/>
    <w:tmpl w:val="5C82B9C6"/>
    <w:lvl w:ilvl="0" w:tentative="0">
      <w:start w:val="3"/>
      <w:numFmt w:val="decimal"/>
      <w:suff w:val="nothing"/>
      <w:lvlText w:val="（%1）"/>
      <w:lvlJc w:val="left"/>
      <w:pPr>
        <w:ind w:left="420" w:firstLine="0"/>
      </w:pPr>
    </w:lvl>
  </w:abstractNum>
  <w:num w:numId="1">
    <w:abstractNumId w:val="5"/>
  </w:num>
  <w:num w:numId="2">
    <w:abstractNumId w:val="0"/>
  </w:num>
  <w:num w:numId="3">
    <w:abstractNumId w:val="6"/>
  </w:num>
  <w:num w:numId="4">
    <w:abstractNumId w:val="2"/>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15"/>
    <w:rsid w:val="000118BE"/>
    <w:rsid w:val="00085644"/>
    <w:rsid w:val="000E16A2"/>
    <w:rsid w:val="00130319"/>
    <w:rsid w:val="00262FDF"/>
    <w:rsid w:val="002869CD"/>
    <w:rsid w:val="00375AC0"/>
    <w:rsid w:val="005150F4"/>
    <w:rsid w:val="0085776B"/>
    <w:rsid w:val="00872B15"/>
    <w:rsid w:val="008C2511"/>
    <w:rsid w:val="008C65A9"/>
    <w:rsid w:val="00A6657C"/>
    <w:rsid w:val="00B26454"/>
    <w:rsid w:val="00BC4B01"/>
    <w:rsid w:val="00BC7790"/>
    <w:rsid w:val="00C46846"/>
    <w:rsid w:val="00C92F0C"/>
    <w:rsid w:val="00CF32B5"/>
    <w:rsid w:val="00D57787"/>
    <w:rsid w:val="00D942BC"/>
    <w:rsid w:val="00DF2183"/>
    <w:rsid w:val="00E8296A"/>
    <w:rsid w:val="00FC5FCE"/>
    <w:rsid w:val="02470A19"/>
    <w:rsid w:val="034C15AF"/>
    <w:rsid w:val="03FC7261"/>
    <w:rsid w:val="04DF2073"/>
    <w:rsid w:val="055E0374"/>
    <w:rsid w:val="070E56D3"/>
    <w:rsid w:val="08CC51AC"/>
    <w:rsid w:val="09051A05"/>
    <w:rsid w:val="0909652E"/>
    <w:rsid w:val="09544317"/>
    <w:rsid w:val="0AA235D9"/>
    <w:rsid w:val="0B0D6676"/>
    <w:rsid w:val="0B320A3C"/>
    <w:rsid w:val="0C7F181B"/>
    <w:rsid w:val="0EFF7408"/>
    <w:rsid w:val="0FFA56B4"/>
    <w:rsid w:val="10260538"/>
    <w:rsid w:val="118A2279"/>
    <w:rsid w:val="133E6C1F"/>
    <w:rsid w:val="134C4432"/>
    <w:rsid w:val="13D80487"/>
    <w:rsid w:val="148B1229"/>
    <w:rsid w:val="1491671B"/>
    <w:rsid w:val="165B0525"/>
    <w:rsid w:val="18574B8C"/>
    <w:rsid w:val="198411F0"/>
    <w:rsid w:val="1A5E1841"/>
    <w:rsid w:val="1AA96C2C"/>
    <w:rsid w:val="1ABB2E23"/>
    <w:rsid w:val="1B695273"/>
    <w:rsid w:val="1BC01986"/>
    <w:rsid w:val="1C9112BB"/>
    <w:rsid w:val="1EC421B6"/>
    <w:rsid w:val="1F007B15"/>
    <w:rsid w:val="20940373"/>
    <w:rsid w:val="20DF48C8"/>
    <w:rsid w:val="215E3A4E"/>
    <w:rsid w:val="21611488"/>
    <w:rsid w:val="217C5C95"/>
    <w:rsid w:val="21992004"/>
    <w:rsid w:val="2265390A"/>
    <w:rsid w:val="22CB7201"/>
    <w:rsid w:val="22CF44BA"/>
    <w:rsid w:val="22DA62F5"/>
    <w:rsid w:val="25992066"/>
    <w:rsid w:val="262C3F29"/>
    <w:rsid w:val="26AD2C2C"/>
    <w:rsid w:val="27321B39"/>
    <w:rsid w:val="28CA22AA"/>
    <w:rsid w:val="2BBE72DB"/>
    <w:rsid w:val="2C843C50"/>
    <w:rsid w:val="2D2562F4"/>
    <w:rsid w:val="2D580155"/>
    <w:rsid w:val="2DD12789"/>
    <w:rsid w:val="2E36266D"/>
    <w:rsid w:val="2F1220AF"/>
    <w:rsid w:val="2FFF557B"/>
    <w:rsid w:val="310C57BE"/>
    <w:rsid w:val="316631EE"/>
    <w:rsid w:val="340F1BA4"/>
    <w:rsid w:val="35601951"/>
    <w:rsid w:val="36BB0519"/>
    <w:rsid w:val="39E003DF"/>
    <w:rsid w:val="3A7542BD"/>
    <w:rsid w:val="3BA47F7B"/>
    <w:rsid w:val="3BBB5CE6"/>
    <w:rsid w:val="3BF50D48"/>
    <w:rsid w:val="3D602E99"/>
    <w:rsid w:val="3EAF1A4B"/>
    <w:rsid w:val="3F4834A1"/>
    <w:rsid w:val="415F02A6"/>
    <w:rsid w:val="41EB62A3"/>
    <w:rsid w:val="42012641"/>
    <w:rsid w:val="42AA49ED"/>
    <w:rsid w:val="435D4BC7"/>
    <w:rsid w:val="437630C5"/>
    <w:rsid w:val="441E02D5"/>
    <w:rsid w:val="44C30F92"/>
    <w:rsid w:val="46206D49"/>
    <w:rsid w:val="475423A9"/>
    <w:rsid w:val="47F00CAA"/>
    <w:rsid w:val="493D45D4"/>
    <w:rsid w:val="4ABD446D"/>
    <w:rsid w:val="4B3C46EA"/>
    <w:rsid w:val="4EAF3680"/>
    <w:rsid w:val="4F4156EF"/>
    <w:rsid w:val="4FB867DC"/>
    <w:rsid w:val="4FEB6E4F"/>
    <w:rsid w:val="551969D8"/>
    <w:rsid w:val="55296430"/>
    <w:rsid w:val="55AB59D5"/>
    <w:rsid w:val="55B420B6"/>
    <w:rsid w:val="564D0152"/>
    <w:rsid w:val="56C6215C"/>
    <w:rsid w:val="572B57DC"/>
    <w:rsid w:val="5797592B"/>
    <w:rsid w:val="58535A2C"/>
    <w:rsid w:val="58814328"/>
    <w:rsid w:val="58F50C7D"/>
    <w:rsid w:val="5A1B4B4C"/>
    <w:rsid w:val="5A3732FF"/>
    <w:rsid w:val="5B2B6F6F"/>
    <w:rsid w:val="5B4B45A8"/>
    <w:rsid w:val="5B8C4BFD"/>
    <w:rsid w:val="5E6A307F"/>
    <w:rsid w:val="5F8D5156"/>
    <w:rsid w:val="600A3D71"/>
    <w:rsid w:val="608E2BC9"/>
    <w:rsid w:val="60F71870"/>
    <w:rsid w:val="613F6C7D"/>
    <w:rsid w:val="62B7309A"/>
    <w:rsid w:val="63001EDA"/>
    <w:rsid w:val="64FE2543"/>
    <w:rsid w:val="66B54339"/>
    <w:rsid w:val="66CE35BE"/>
    <w:rsid w:val="672F2AB8"/>
    <w:rsid w:val="6873535F"/>
    <w:rsid w:val="69100A12"/>
    <w:rsid w:val="692558B9"/>
    <w:rsid w:val="69DE1800"/>
    <w:rsid w:val="6B6632CB"/>
    <w:rsid w:val="6BDC6D60"/>
    <w:rsid w:val="6CF21BF1"/>
    <w:rsid w:val="6DA052B8"/>
    <w:rsid w:val="6E442146"/>
    <w:rsid w:val="6E90118B"/>
    <w:rsid w:val="6EBE6769"/>
    <w:rsid w:val="6EF04033"/>
    <w:rsid w:val="70616821"/>
    <w:rsid w:val="706D6A73"/>
    <w:rsid w:val="70D33781"/>
    <w:rsid w:val="72780AF5"/>
    <w:rsid w:val="73353CF2"/>
    <w:rsid w:val="736E70D0"/>
    <w:rsid w:val="74827832"/>
    <w:rsid w:val="7546614B"/>
    <w:rsid w:val="7610563D"/>
    <w:rsid w:val="76A84336"/>
    <w:rsid w:val="774B0124"/>
    <w:rsid w:val="77533860"/>
    <w:rsid w:val="77B02875"/>
    <w:rsid w:val="78CB456D"/>
    <w:rsid w:val="78E0127D"/>
    <w:rsid w:val="79354B49"/>
    <w:rsid w:val="7938702D"/>
    <w:rsid w:val="79B265C7"/>
    <w:rsid w:val="7AF0381C"/>
    <w:rsid w:val="7BD10683"/>
    <w:rsid w:val="7BDE1362"/>
    <w:rsid w:val="7D420336"/>
    <w:rsid w:val="7DD045B6"/>
    <w:rsid w:val="7F6A0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宋体" w:cs="Times New Roman"/>
      <w:kern w:val="2"/>
      <w:sz w:val="21"/>
      <w:lang w:val="en-US" w:eastAsia="zh-CN" w:bidi="ar-SA"/>
    </w:rPr>
  </w:style>
  <w:style w:type="paragraph" w:styleId="3">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8"/>
    <w:qFormat/>
    <w:uiPriority w:val="0"/>
    <w:pPr>
      <w:keepNext/>
      <w:keepLines/>
      <w:spacing w:before="260" w:after="260" w:line="416" w:lineRule="auto"/>
      <w:outlineLvl w:val="2"/>
    </w:pPr>
    <w:rPr>
      <w:b/>
      <w:bCs/>
      <w:sz w:val="32"/>
      <w:szCs w:val="32"/>
    </w:rPr>
  </w:style>
  <w:style w:type="paragraph" w:styleId="6">
    <w:name w:val="heading 4"/>
    <w:basedOn w:val="1"/>
    <w:next w:val="1"/>
    <w:link w:val="4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52"/>
    <w:qFormat/>
    <w:uiPriority w:val="0"/>
    <w:pPr>
      <w:keepNext/>
      <w:keepLines/>
      <w:spacing w:before="240" w:after="64" w:line="320" w:lineRule="auto"/>
      <w:outlineLvl w:val="6"/>
    </w:pPr>
    <w:rPr>
      <w:b/>
      <w:bCs/>
      <w:sz w:val="24"/>
      <w:szCs w:val="24"/>
    </w:rPr>
  </w:style>
  <w:style w:type="character" w:default="1" w:styleId="37">
    <w:name w:val="Default Paragraph Font"/>
    <w:semiHidden/>
    <w:unhideWhenUsed/>
    <w:qFormat/>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0">
    <w:name w:val="List 3"/>
    <w:basedOn w:val="1"/>
    <w:qFormat/>
    <w:uiPriority w:val="0"/>
    <w:pPr>
      <w:ind w:left="100" w:leftChars="400" w:hanging="200" w:hangingChars="200"/>
    </w:pPr>
  </w:style>
  <w:style w:type="paragraph" w:styleId="11">
    <w:name w:val="index 8"/>
    <w:basedOn w:val="1"/>
    <w:next w:val="1"/>
    <w:qFormat/>
    <w:uiPriority w:val="0"/>
    <w:pPr>
      <w:ind w:left="2940"/>
    </w:pPr>
    <w:rPr>
      <w:rFonts w:ascii="Times New Roman" w:hAnsi="Times New Roman"/>
    </w:rPr>
  </w:style>
  <w:style w:type="paragraph" w:styleId="12">
    <w:name w:val="Normal Indent"/>
    <w:basedOn w:val="1"/>
    <w:qFormat/>
    <w:uiPriority w:val="0"/>
    <w:pPr>
      <w:ind w:firstLine="420"/>
    </w:pPr>
  </w:style>
  <w:style w:type="paragraph" w:styleId="13">
    <w:name w:val="caption"/>
    <w:basedOn w:val="1"/>
    <w:next w:val="1"/>
    <w:qFormat/>
    <w:uiPriority w:val="0"/>
    <w:pPr>
      <w:spacing w:before="152" w:after="160"/>
    </w:pPr>
    <w:rPr>
      <w:rFonts w:ascii="Arial" w:hAnsi="Arial" w:eastAsia="黑体" w:cs="Arial"/>
      <w:sz w:val="20"/>
    </w:rPr>
  </w:style>
  <w:style w:type="paragraph" w:styleId="14">
    <w:name w:val="Document Map"/>
    <w:basedOn w:val="1"/>
    <w:link w:val="54"/>
    <w:semiHidden/>
    <w:qFormat/>
    <w:uiPriority w:val="0"/>
    <w:pPr>
      <w:shd w:val="clear" w:color="auto" w:fill="000080"/>
    </w:pPr>
    <w:rPr>
      <w:rFonts w:ascii="Times New Roman" w:hAnsi="Times New Roman"/>
      <w:szCs w:val="24"/>
    </w:rPr>
  </w:style>
  <w:style w:type="paragraph" w:styleId="15">
    <w:name w:val="annotation text"/>
    <w:basedOn w:val="1"/>
    <w:link w:val="55"/>
    <w:semiHidden/>
    <w:unhideWhenUsed/>
    <w:qFormat/>
    <w:uiPriority w:val="0"/>
    <w:pPr>
      <w:jc w:val="left"/>
    </w:pPr>
  </w:style>
  <w:style w:type="paragraph" w:styleId="16">
    <w:name w:val="Body Text 3"/>
    <w:basedOn w:val="1"/>
    <w:link w:val="56"/>
    <w:qFormat/>
    <w:uiPriority w:val="0"/>
    <w:pPr>
      <w:ind w:right="-26"/>
      <w:jc w:val="center"/>
    </w:pPr>
    <w:rPr>
      <w:b/>
      <w:bCs/>
      <w:color w:val="3366FF"/>
      <w:sz w:val="52"/>
      <w:szCs w:val="52"/>
      <w:lang w:val="zh-CN"/>
    </w:rPr>
  </w:style>
  <w:style w:type="paragraph" w:styleId="17">
    <w:name w:val="Body Text"/>
    <w:basedOn w:val="1"/>
    <w:link w:val="57"/>
    <w:qFormat/>
    <w:uiPriority w:val="0"/>
    <w:rPr>
      <w:rFonts w:ascii="金山简黑体" w:eastAsia="金山简黑体"/>
      <w:b/>
      <w:spacing w:val="-8"/>
      <w:sz w:val="44"/>
    </w:rPr>
  </w:style>
  <w:style w:type="paragraph" w:styleId="18">
    <w:name w:val="Body Text Indent"/>
    <w:basedOn w:val="1"/>
    <w:link w:val="58"/>
    <w:qFormat/>
    <w:uiPriority w:val="0"/>
    <w:pPr>
      <w:spacing w:line="200" w:lineRule="exact"/>
      <w:ind w:firstLine="301"/>
    </w:pPr>
    <w:rPr>
      <w:spacing w:val="-4"/>
      <w:sz w:val="18"/>
    </w:rPr>
  </w:style>
  <w:style w:type="paragraph" w:styleId="19">
    <w:name w:val="List 2"/>
    <w:basedOn w:val="1"/>
    <w:qFormat/>
    <w:uiPriority w:val="0"/>
    <w:pPr>
      <w:ind w:left="100" w:leftChars="200" w:hanging="200" w:hangingChars="200"/>
    </w:pPr>
  </w:style>
  <w:style w:type="paragraph" w:styleId="20">
    <w:name w:val="Plain Text"/>
    <w:basedOn w:val="1"/>
    <w:next w:val="1"/>
    <w:link w:val="67"/>
    <w:qFormat/>
    <w:uiPriority w:val="0"/>
    <w:rPr>
      <w:rFonts w:cstheme="minorBidi"/>
      <w:szCs w:val="22"/>
    </w:rPr>
  </w:style>
  <w:style w:type="paragraph" w:styleId="21">
    <w:name w:val="Date"/>
    <w:basedOn w:val="1"/>
    <w:next w:val="1"/>
    <w:link w:val="60"/>
    <w:qFormat/>
    <w:uiPriority w:val="0"/>
    <w:pPr>
      <w:ind w:left="100" w:leftChars="2500"/>
    </w:pPr>
    <w:rPr>
      <w:bCs/>
      <w:sz w:val="24"/>
    </w:rPr>
  </w:style>
  <w:style w:type="paragraph" w:styleId="22">
    <w:name w:val="Body Text Indent 2"/>
    <w:basedOn w:val="1"/>
    <w:link w:val="53"/>
    <w:qFormat/>
    <w:uiPriority w:val="0"/>
    <w:pPr>
      <w:ind w:firstLine="480" w:firstLineChars="200"/>
      <w:jc w:val="left"/>
    </w:pPr>
    <w:rPr>
      <w:rFonts w:hAnsi="宋体"/>
      <w:sz w:val="24"/>
      <w:szCs w:val="24"/>
    </w:rPr>
  </w:style>
  <w:style w:type="paragraph" w:styleId="23">
    <w:name w:val="Balloon Text"/>
    <w:basedOn w:val="1"/>
    <w:link w:val="61"/>
    <w:semiHidden/>
    <w:qFormat/>
    <w:uiPriority w:val="0"/>
    <w:rPr>
      <w:sz w:val="18"/>
      <w:szCs w:val="18"/>
    </w:rPr>
  </w:style>
  <w:style w:type="paragraph" w:styleId="24">
    <w:name w:val="footer"/>
    <w:basedOn w:val="1"/>
    <w:link w:val="45"/>
    <w:unhideWhenUsed/>
    <w:qFormat/>
    <w:uiPriority w:val="0"/>
    <w:pPr>
      <w:tabs>
        <w:tab w:val="center" w:pos="4153"/>
        <w:tab w:val="right" w:pos="8306"/>
      </w:tabs>
      <w:snapToGrid w:val="0"/>
      <w:jc w:val="left"/>
    </w:pPr>
    <w:rPr>
      <w:sz w:val="18"/>
      <w:szCs w:val="18"/>
    </w:rPr>
  </w:style>
  <w:style w:type="paragraph" w:styleId="25">
    <w:name w:val="header"/>
    <w:basedOn w:val="1"/>
    <w:link w:val="44"/>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Subtitle"/>
    <w:basedOn w:val="1"/>
    <w:next w:val="1"/>
    <w:link w:val="69"/>
    <w:qFormat/>
    <w:uiPriority w:val="0"/>
    <w:pPr>
      <w:adjustRightInd w:val="0"/>
      <w:spacing w:before="240" w:after="60" w:line="312" w:lineRule="atLeast"/>
      <w:jc w:val="center"/>
      <w:textAlignment w:val="baseline"/>
      <w:outlineLvl w:val="1"/>
    </w:pPr>
    <w:rPr>
      <w:rFonts w:cstheme="minorBidi"/>
      <w:szCs w:val="22"/>
    </w:rPr>
  </w:style>
  <w:style w:type="paragraph" w:styleId="27">
    <w:name w:val="List"/>
    <w:basedOn w:val="1"/>
    <w:qFormat/>
    <w:uiPriority w:val="0"/>
    <w:pPr>
      <w:ind w:left="200" w:hanging="200" w:hangingChars="200"/>
    </w:pPr>
  </w:style>
  <w:style w:type="paragraph" w:styleId="28">
    <w:name w:val="Body Text Indent 3"/>
    <w:basedOn w:val="1"/>
    <w:link w:val="63"/>
    <w:qFormat/>
    <w:uiPriority w:val="0"/>
    <w:pPr>
      <w:ind w:firstLine="420" w:firstLineChars="200"/>
      <w:jc w:val="left"/>
    </w:pPr>
    <w:rPr>
      <w:rFonts w:hAnsi="宋体"/>
      <w:szCs w:val="24"/>
    </w:rPr>
  </w:style>
  <w:style w:type="paragraph" w:styleId="29">
    <w:name w:val="List 4"/>
    <w:basedOn w:val="1"/>
    <w:qFormat/>
    <w:uiPriority w:val="0"/>
    <w:pPr>
      <w:ind w:left="100" w:leftChars="600" w:hanging="200" w:hangingChars="200"/>
    </w:pPr>
    <w:rPr>
      <w:rFonts w:ascii="Times New Roman" w:hAnsi="Times New Roman"/>
      <w:szCs w:val="24"/>
    </w:rPr>
  </w:style>
  <w:style w:type="paragraph" w:styleId="30">
    <w:name w:val="List Continue 2"/>
    <w:basedOn w:val="1"/>
    <w:qFormat/>
    <w:uiPriority w:val="0"/>
    <w:pPr>
      <w:spacing w:after="120"/>
      <w:ind w:left="840" w:leftChars="400"/>
    </w:pPr>
  </w:style>
  <w:style w:type="paragraph" w:styleId="31">
    <w:name w:val="Normal (Web)"/>
    <w:basedOn w:val="1"/>
    <w:link w:val="70"/>
    <w:qFormat/>
    <w:uiPriority w:val="0"/>
    <w:pPr>
      <w:widowControl/>
      <w:spacing w:before="100" w:beforeAutospacing="1" w:after="100" w:afterAutospacing="1"/>
      <w:jc w:val="left"/>
    </w:pPr>
    <w:rPr>
      <w:rFonts w:hAnsi="宋体" w:eastAsiaTheme="minorEastAsia" w:cstheme="minorBidi"/>
      <w:sz w:val="24"/>
      <w:szCs w:val="24"/>
    </w:rPr>
  </w:style>
  <w:style w:type="paragraph" w:styleId="32">
    <w:name w:val="index 1"/>
    <w:basedOn w:val="1"/>
    <w:next w:val="1"/>
    <w:semiHidden/>
    <w:qFormat/>
    <w:uiPriority w:val="0"/>
  </w:style>
  <w:style w:type="paragraph" w:styleId="33">
    <w:name w:val="annotation subject"/>
    <w:basedOn w:val="15"/>
    <w:next w:val="15"/>
    <w:link w:val="66"/>
    <w:qFormat/>
    <w:uiPriority w:val="0"/>
    <w:rPr>
      <w:rFonts w:cstheme="minorBidi"/>
      <w:b/>
      <w:bCs/>
      <w:szCs w:val="22"/>
    </w:rPr>
  </w:style>
  <w:style w:type="paragraph" w:styleId="34">
    <w:name w:val="Body Text First Indent 2"/>
    <w:basedOn w:val="1"/>
    <w:next w:val="1"/>
    <w:link w:val="65"/>
    <w:unhideWhenUsed/>
    <w:qFormat/>
    <w:uiPriority w:val="99"/>
    <w:pPr>
      <w:spacing w:line="360" w:lineRule="auto"/>
      <w:ind w:firstLine="420" w:firstLineChars="200"/>
    </w:pPr>
    <w:rPr>
      <w:rFonts w:hAnsi="等线"/>
      <w:szCs w:val="21"/>
    </w:rPr>
  </w:style>
  <w:style w:type="table" w:styleId="36">
    <w:name w:val="Table Grid"/>
    <w:basedOn w:val="3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rFonts w:ascii="Times New Roman" w:hAnsi="Times New Roman"/>
      <w:b/>
      <w:bCs/>
      <w:kern w:val="0"/>
    </w:rPr>
  </w:style>
  <w:style w:type="character" w:styleId="39">
    <w:name w:val="page number"/>
    <w:qFormat/>
    <w:uiPriority w:val="0"/>
    <w:rPr>
      <w:rFonts w:ascii="Arial" w:hAnsi="Arial" w:eastAsia="黑体"/>
      <w:kern w:val="2"/>
      <w:sz w:val="21"/>
      <w:szCs w:val="21"/>
      <w:lang w:val="en-US" w:eastAsia="zh-CN" w:bidi="ar-SA"/>
    </w:rPr>
  </w:style>
  <w:style w:type="character" w:styleId="40">
    <w:name w:val="FollowedHyperlink"/>
    <w:qFormat/>
    <w:uiPriority w:val="0"/>
    <w:rPr>
      <w:rFonts w:ascii="Times New Roman" w:hAnsi="Times New Roman"/>
      <w:color w:val="800080"/>
      <w:kern w:val="0"/>
      <w:u w:val="single"/>
    </w:rPr>
  </w:style>
  <w:style w:type="character" w:styleId="41">
    <w:name w:val="Hyperlink"/>
    <w:qFormat/>
    <w:uiPriority w:val="99"/>
    <w:rPr>
      <w:rFonts w:ascii="Times New Roman" w:hAnsi="Times New Roman"/>
      <w:color w:val="0000FF"/>
      <w:kern w:val="0"/>
      <w:u w:val="single"/>
    </w:rPr>
  </w:style>
  <w:style w:type="character" w:styleId="42">
    <w:name w:val="annotation reference"/>
    <w:qFormat/>
    <w:uiPriority w:val="0"/>
    <w:rPr>
      <w:rFonts w:ascii="Times New Roman" w:hAnsi="Times New Roman"/>
      <w:kern w:val="0"/>
      <w:sz w:val="21"/>
      <w:szCs w:val="21"/>
    </w:rPr>
  </w:style>
  <w:style w:type="paragraph" w:customStyle="1" w:styleId="4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4">
    <w:name w:val="页眉 字符"/>
    <w:basedOn w:val="37"/>
    <w:link w:val="25"/>
    <w:qFormat/>
    <w:uiPriority w:val="99"/>
    <w:rPr>
      <w:sz w:val="18"/>
      <w:szCs w:val="18"/>
    </w:rPr>
  </w:style>
  <w:style w:type="character" w:customStyle="1" w:styleId="45">
    <w:name w:val="页脚 字符1"/>
    <w:basedOn w:val="37"/>
    <w:link w:val="24"/>
    <w:qFormat/>
    <w:uiPriority w:val="99"/>
    <w:rPr>
      <w:sz w:val="18"/>
      <w:szCs w:val="18"/>
    </w:rPr>
  </w:style>
  <w:style w:type="character" w:customStyle="1" w:styleId="46">
    <w:name w:val="标题 1 字符"/>
    <w:basedOn w:val="37"/>
    <w:link w:val="3"/>
    <w:qFormat/>
    <w:uiPriority w:val="0"/>
    <w:rPr>
      <w:rFonts w:ascii="宋体" w:hAnsi="Courier New" w:eastAsia="宋体" w:cs="Times New Roman"/>
      <w:b/>
      <w:bCs/>
      <w:kern w:val="44"/>
      <w:sz w:val="44"/>
      <w:szCs w:val="44"/>
    </w:rPr>
  </w:style>
  <w:style w:type="character" w:customStyle="1" w:styleId="47">
    <w:name w:val="标题 2 字符"/>
    <w:basedOn w:val="37"/>
    <w:link w:val="4"/>
    <w:qFormat/>
    <w:uiPriority w:val="0"/>
    <w:rPr>
      <w:rFonts w:ascii="Arial" w:hAnsi="Arial" w:eastAsia="黑体" w:cs="Times New Roman"/>
      <w:b/>
      <w:bCs/>
      <w:sz w:val="32"/>
      <w:szCs w:val="32"/>
    </w:rPr>
  </w:style>
  <w:style w:type="character" w:customStyle="1" w:styleId="48">
    <w:name w:val="标题 3 字符"/>
    <w:basedOn w:val="37"/>
    <w:link w:val="5"/>
    <w:qFormat/>
    <w:uiPriority w:val="0"/>
    <w:rPr>
      <w:rFonts w:ascii="宋体" w:hAnsi="Courier New" w:eastAsia="宋体" w:cs="Times New Roman"/>
      <w:b/>
      <w:bCs/>
      <w:sz w:val="32"/>
      <w:szCs w:val="32"/>
    </w:rPr>
  </w:style>
  <w:style w:type="character" w:customStyle="1" w:styleId="49">
    <w:name w:val="标题 4 字符"/>
    <w:basedOn w:val="37"/>
    <w:link w:val="6"/>
    <w:qFormat/>
    <w:uiPriority w:val="0"/>
    <w:rPr>
      <w:rFonts w:ascii="Arial" w:hAnsi="Arial" w:eastAsia="黑体" w:cs="Times New Roman"/>
      <w:b/>
      <w:bCs/>
      <w:sz w:val="28"/>
      <w:szCs w:val="28"/>
    </w:rPr>
  </w:style>
  <w:style w:type="character" w:customStyle="1" w:styleId="50">
    <w:name w:val="标题 5 字符"/>
    <w:basedOn w:val="37"/>
    <w:link w:val="7"/>
    <w:qFormat/>
    <w:uiPriority w:val="0"/>
    <w:rPr>
      <w:rFonts w:ascii="宋体" w:hAnsi="Courier New" w:eastAsia="宋体" w:cs="Times New Roman"/>
      <w:b/>
      <w:bCs/>
      <w:sz w:val="28"/>
      <w:szCs w:val="28"/>
    </w:rPr>
  </w:style>
  <w:style w:type="character" w:customStyle="1" w:styleId="51">
    <w:name w:val="标题 6 字符"/>
    <w:basedOn w:val="37"/>
    <w:link w:val="8"/>
    <w:qFormat/>
    <w:uiPriority w:val="0"/>
    <w:rPr>
      <w:rFonts w:ascii="Arial" w:hAnsi="Arial" w:eastAsia="黑体" w:cs="Times New Roman"/>
      <w:b/>
      <w:bCs/>
      <w:sz w:val="24"/>
      <w:szCs w:val="24"/>
    </w:rPr>
  </w:style>
  <w:style w:type="character" w:customStyle="1" w:styleId="52">
    <w:name w:val="标题 7 字符"/>
    <w:basedOn w:val="37"/>
    <w:link w:val="9"/>
    <w:qFormat/>
    <w:uiPriority w:val="0"/>
    <w:rPr>
      <w:rFonts w:ascii="宋体" w:hAnsi="Courier New" w:eastAsia="宋体" w:cs="Times New Roman"/>
      <w:b/>
      <w:bCs/>
      <w:sz w:val="24"/>
      <w:szCs w:val="24"/>
    </w:rPr>
  </w:style>
  <w:style w:type="character" w:customStyle="1" w:styleId="53">
    <w:name w:val="正文文本缩进 2 字符"/>
    <w:basedOn w:val="37"/>
    <w:link w:val="22"/>
    <w:qFormat/>
    <w:uiPriority w:val="0"/>
    <w:rPr>
      <w:rFonts w:ascii="宋体" w:hAnsi="宋体" w:eastAsia="宋体" w:cs="Times New Roman"/>
      <w:sz w:val="24"/>
      <w:szCs w:val="24"/>
    </w:rPr>
  </w:style>
  <w:style w:type="character" w:customStyle="1" w:styleId="54">
    <w:name w:val="文档结构图 字符"/>
    <w:basedOn w:val="37"/>
    <w:link w:val="14"/>
    <w:semiHidden/>
    <w:qFormat/>
    <w:uiPriority w:val="0"/>
    <w:rPr>
      <w:rFonts w:ascii="Times New Roman" w:hAnsi="Times New Roman" w:eastAsia="宋体" w:cs="Times New Roman"/>
      <w:szCs w:val="24"/>
      <w:shd w:val="clear" w:color="auto" w:fill="000080"/>
    </w:rPr>
  </w:style>
  <w:style w:type="character" w:customStyle="1" w:styleId="55">
    <w:name w:val="批注文字 字符1"/>
    <w:basedOn w:val="37"/>
    <w:link w:val="15"/>
    <w:semiHidden/>
    <w:qFormat/>
    <w:uiPriority w:val="0"/>
    <w:rPr>
      <w:rFonts w:ascii="宋体" w:hAnsi="Courier New" w:eastAsia="宋体" w:cs="Times New Roman"/>
      <w:szCs w:val="20"/>
    </w:rPr>
  </w:style>
  <w:style w:type="character" w:customStyle="1" w:styleId="56">
    <w:name w:val="正文文本 3 字符"/>
    <w:basedOn w:val="37"/>
    <w:link w:val="16"/>
    <w:qFormat/>
    <w:uiPriority w:val="0"/>
    <w:rPr>
      <w:rFonts w:ascii="宋体" w:hAnsi="Courier New" w:eastAsia="宋体" w:cs="Times New Roman"/>
      <w:b/>
      <w:bCs/>
      <w:color w:val="3366FF"/>
      <w:sz w:val="52"/>
      <w:szCs w:val="52"/>
      <w:lang w:val="zh-CN"/>
    </w:rPr>
  </w:style>
  <w:style w:type="character" w:customStyle="1" w:styleId="57">
    <w:name w:val="正文文本 字符"/>
    <w:basedOn w:val="37"/>
    <w:link w:val="17"/>
    <w:qFormat/>
    <w:uiPriority w:val="0"/>
    <w:rPr>
      <w:rFonts w:ascii="金山简黑体" w:hAnsi="Courier New" w:eastAsia="金山简黑体" w:cs="Times New Roman"/>
      <w:b/>
      <w:spacing w:val="-8"/>
      <w:sz w:val="44"/>
      <w:szCs w:val="20"/>
    </w:rPr>
  </w:style>
  <w:style w:type="character" w:customStyle="1" w:styleId="58">
    <w:name w:val="正文文本缩进 字符"/>
    <w:basedOn w:val="37"/>
    <w:link w:val="18"/>
    <w:qFormat/>
    <w:uiPriority w:val="0"/>
    <w:rPr>
      <w:rFonts w:ascii="宋体" w:hAnsi="Courier New" w:eastAsia="宋体" w:cs="Times New Roman"/>
      <w:spacing w:val="-4"/>
      <w:sz w:val="18"/>
      <w:szCs w:val="20"/>
    </w:rPr>
  </w:style>
  <w:style w:type="character" w:customStyle="1" w:styleId="59">
    <w:name w:val="纯文本 Char"/>
    <w:basedOn w:val="37"/>
    <w:semiHidden/>
    <w:qFormat/>
    <w:uiPriority w:val="99"/>
    <w:rPr>
      <w:rFonts w:ascii="宋体" w:hAnsi="Courier New" w:eastAsia="宋体" w:cs="Courier New"/>
      <w:szCs w:val="21"/>
    </w:rPr>
  </w:style>
  <w:style w:type="character" w:customStyle="1" w:styleId="60">
    <w:name w:val="日期 字符"/>
    <w:basedOn w:val="37"/>
    <w:link w:val="21"/>
    <w:qFormat/>
    <w:uiPriority w:val="0"/>
    <w:rPr>
      <w:rFonts w:ascii="宋体" w:hAnsi="Courier New" w:eastAsia="宋体" w:cs="Times New Roman"/>
      <w:bCs/>
      <w:sz w:val="24"/>
      <w:szCs w:val="20"/>
    </w:rPr>
  </w:style>
  <w:style w:type="character" w:customStyle="1" w:styleId="61">
    <w:name w:val="批注框文本 字符"/>
    <w:basedOn w:val="37"/>
    <w:link w:val="23"/>
    <w:semiHidden/>
    <w:qFormat/>
    <w:uiPriority w:val="0"/>
    <w:rPr>
      <w:rFonts w:ascii="宋体" w:hAnsi="Courier New" w:eastAsia="宋体" w:cs="Times New Roman"/>
      <w:sz w:val="18"/>
      <w:szCs w:val="18"/>
    </w:rPr>
  </w:style>
  <w:style w:type="character" w:customStyle="1" w:styleId="62">
    <w:name w:val="副标题 Char"/>
    <w:basedOn w:val="37"/>
    <w:qFormat/>
    <w:uiPriority w:val="11"/>
    <w:rPr>
      <w:rFonts w:eastAsia="宋体" w:asciiTheme="majorHAnsi" w:hAnsiTheme="majorHAnsi" w:cstheme="majorBidi"/>
      <w:b/>
      <w:bCs/>
      <w:kern w:val="28"/>
      <w:sz w:val="32"/>
      <w:szCs w:val="32"/>
    </w:rPr>
  </w:style>
  <w:style w:type="character" w:customStyle="1" w:styleId="63">
    <w:name w:val="正文文本缩进 3 字符"/>
    <w:basedOn w:val="37"/>
    <w:link w:val="28"/>
    <w:qFormat/>
    <w:uiPriority w:val="0"/>
    <w:rPr>
      <w:rFonts w:ascii="宋体" w:hAnsi="宋体" w:eastAsia="宋体" w:cs="Times New Roman"/>
      <w:szCs w:val="24"/>
    </w:rPr>
  </w:style>
  <w:style w:type="character" w:customStyle="1" w:styleId="64">
    <w:name w:val="批注主题 Char"/>
    <w:basedOn w:val="55"/>
    <w:semiHidden/>
    <w:qFormat/>
    <w:uiPriority w:val="99"/>
    <w:rPr>
      <w:rFonts w:ascii="宋体" w:hAnsi="Courier New" w:eastAsia="宋体" w:cs="Times New Roman"/>
      <w:b/>
      <w:bCs/>
      <w:szCs w:val="20"/>
    </w:rPr>
  </w:style>
  <w:style w:type="character" w:customStyle="1" w:styleId="65">
    <w:name w:val="正文文本首行缩进 2 字符"/>
    <w:basedOn w:val="58"/>
    <w:link w:val="34"/>
    <w:qFormat/>
    <w:uiPriority w:val="99"/>
    <w:rPr>
      <w:rFonts w:ascii="宋体" w:hAnsi="等线" w:eastAsia="宋体" w:cs="Times New Roman"/>
      <w:spacing w:val="-4"/>
      <w:sz w:val="18"/>
      <w:szCs w:val="21"/>
    </w:rPr>
  </w:style>
  <w:style w:type="character" w:customStyle="1" w:styleId="66">
    <w:name w:val="批注主题 字符"/>
    <w:link w:val="33"/>
    <w:qFormat/>
    <w:uiPriority w:val="0"/>
    <w:rPr>
      <w:rFonts w:ascii="宋体" w:hAnsi="Courier New" w:eastAsia="宋体"/>
      <w:b/>
      <w:bCs/>
    </w:rPr>
  </w:style>
  <w:style w:type="character" w:customStyle="1" w:styleId="67">
    <w:name w:val="纯文本 字符"/>
    <w:link w:val="20"/>
    <w:qFormat/>
    <w:uiPriority w:val="0"/>
    <w:rPr>
      <w:rFonts w:ascii="宋体" w:hAnsi="Courier New" w:eastAsia="宋体"/>
    </w:rPr>
  </w:style>
  <w:style w:type="character" w:customStyle="1" w:styleId="68">
    <w:name w:val="纯文本 Char1"/>
    <w:qFormat/>
    <w:uiPriority w:val="0"/>
    <w:rPr>
      <w:rFonts w:ascii="宋体" w:hAnsi="Courier New" w:eastAsia="宋体"/>
      <w:kern w:val="2"/>
      <w:sz w:val="21"/>
      <w:lang w:val="en-US" w:eastAsia="zh-CN" w:bidi="ar-SA"/>
    </w:rPr>
  </w:style>
  <w:style w:type="character" w:customStyle="1" w:styleId="69">
    <w:name w:val="副标题 字符"/>
    <w:link w:val="26"/>
    <w:qFormat/>
    <w:uiPriority w:val="0"/>
    <w:rPr>
      <w:rFonts w:ascii="宋体" w:hAnsi="Courier New" w:eastAsia="宋体"/>
    </w:rPr>
  </w:style>
  <w:style w:type="character" w:customStyle="1" w:styleId="70">
    <w:name w:val="普通(网站) 字符"/>
    <w:link w:val="31"/>
    <w:qFormat/>
    <w:uiPriority w:val="0"/>
    <w:rPr>
      <w:rFonts w:ascii="宋体" w:hAnsi="宋体"/>
      <w:sz w:val="24"/>
      <w:szCs w:val="24"/>
    </w:rPr>
  </w:style>
  <w:style w:type="character" w:customStyle="1" w:styleId="71">
    <w:name w:val="页脚 字符"/>
    <w:qFormat/>
    <w:uiPriority w:val="0"/>
    <w:rPr>
      <w:rFonts w:ascii="宋体" w:hAnsi="Courier New" w:eastAsia="宋体"/>
      <w:kern w:val="2"/>
      <w:sz w:val="18"/>
      <w:lang w:val="en-US" w:eastAsia="zh-CN" w:bidi="ar-SA"/>
    </w:rPr>
  </w:style>
  <w:style w:type="character" w:customStyle="1" w:styleId="72">
    <w:name w:val="contentheaderrev1"/>
    <w:qFormat/>
    <w:uiPriority w:val="0"/>
    <w:rPr>
      <w:rFonts w:hint="default" w:ascii="Arial" w:hAnsi="Arial" w:cs="Arial"/>
      <w:b/>
      <w:bCs/>
      <w:color w:val="FFFFFF"/>
      <w:kern w:val="0"/>
      <w:sz w:val="18"/>
      <w:szCs w:val="18"/>
      <w:u w:val="none"/>
    </w:rPr>
  </w:style>
  <w:style w:type="character" w:customStyle="1" w:styleId="73">
    <w:name w:val="批注文字 字符"/>
    <w:qFormat/>
    <w:uiPriority w:val="0"/>
    <w:rPr>
      <w:rFonts w:ascii="宋体" w:hAnsi="Courier New" w:eastAsia="宋体"/>
      <w:kern w:val="2"/>
      <w:sz w:val="21"/>
      <w:lang w:val="en-US" w:eastAsia="zh-CN" w:bidi="ar-SA"/>
    </w:rPr>
  </w:style>
  <w:style w:type="paragraph" w:customStyle="1" w:styleId="74">
    <w:name w:val="_Style 35"/>
    <w:basedOn w:val="1"/>
    <w:next w:val="75"/>
    <w:qFormat/>
    <w:uiPriority w:val="0"/>
    <w:pPr>
      <w:ind w:firstLine="420" w:firstLineChars="200"/>
    </w:pPr>
    <w:rPr>
      <w:rFonts w:ascii="Calibri" w:hAnsi="Calibri"/>
      <w:szCs w:val="22"/>
    </w:rPr>
  </w:style>
  <w:style w:type="paragraph" w:styleId="75">
    <w:name w:val="List Paragraph"/>
    <w:basedOn w:val="1"/>
    <w:qFormat/>
    <w:uiPriority w:val="34"/>
    <w:pPr>
      <w:ind w:firstLine="420" w:firstLineChars="200"/>
    </w:pPr>
  </w:style>
  <w:style w:type="paragraph" w:customStyle="1" w:styleId="76">
    <w:name w:val="2"/>
    <w:basedOn w:val="1"/>
    <w:next w:val="20"/>
    <w:qFormat/>
    <w:uiPriority w:val="0"/>
  </w:style>
  <w:style w:type="paragraph" w:customStyle="1" w:styleId="77">
    <w:name w:val="5 Char Char Char Char Char Char Char Char Char Char"/>
    <w:basedOn w:val="1"/>
    <w:semiHidden/>
    <w:qFormat/>
    <w:uiPriority w:val="0"/>
  </w:style>
  <w:style w:type="paragraph" w:customStyle="1" w:styleId="78">
    <w:name w:val="段落"/>
    <w:basedOn w:val="1"/>
    <w:qFormat/>
    <w:uiPriority w:val="0"/>
    <w:pPr>
      <w:adjustRightInd w:val="0"/>
      <w:snapToGrid w:val="0"/>
      <w:spacing w:line="440" w:lineRule="exact"/>
      <w:ind w:firstLine="420" w:firstLineChars="200"/>
      <w:outlineLvl w:val="0"/>
    </w:pPr>
    <w:rPr>
      <w:rFonts w:hAnsi="宋体"/>
      <w:bCs/>
      <w:snapToGrid w:val="0"/>
      <w:color w:val="000000"/>
      <w:kern w:val="0"/>
      <w:szCs w:val="21"/>
    </w:rPr>
  </w:style>
  <w:style w:type="paragraph" w:customStyle="1" w:styleId="7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80">
    <w:name w:val="bb"/>
    <w:basedOn w:val="1"/>
    <w:qFormat/>
    <w:uiPriority w:val="0"/>
    <w:pPr>
      <w:widowControl/>
      <w:spacing w:before="100" w:beforeAutospacing="1" w:after="100" w:afterAutospacing="1"/>
      <w:jc w:val="left"/>
    </w:pPr>
    <w:rPr>
      <w:rFonts w:hint="eastAsia" w:hAnsi="宋体"/>
      <w:kern w:val="0"/>
      <w:sz w:val="24"/>
      <w:szCs w:val="24"/>
    </w:rPr>
  </w:style>
  <w:style w:type="paragraph" w:customStyle="1" w:styleId="81">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rPr>
  </w:style>
  <w:style w:type="paragraph" w:customStyle="1" w:styleId="8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Cs w:val="21"/>
    </w:rPr>
  </w:style>
  <w:style w:type="paragraph" w:customStyle="1" w:styleId="83">
    <w:name w:val="font6"/>
    <w:basedOn w:val="1"/>
    <w:qFormat/>
    <w:uiPriority w:val="0"/>
    <w:pPr>
      <w:widowControl/>
      <w:spacing w:before="100" w:beforeAutospacing="1" w:after="100" w:afterAutospacing="1"/>
      <w:jc w:val="left"/>
    </w:pPr>
    <w:rPr>
      <w:rFonts w:hint="eastAsia" w:hAnsi="宋体"/>
      <w:kern w:val="0"/>
      <w:sz w:val="18"/>
      <w:szCs w:val="18"/>
    </w:rPr>
  </w:style>
  <w:style w:type="paragraph" w:customStyle="1" w:styleId="84">
    <w:name w:val="Char Char Char Char Char Char Char"/>
    <w:basedOn w:val="1"/>
    <w:qFormat/>
    <w:uiPriority w:val="0"/>
    <w:rPr>
      <w:rFonts w:ascii="Times New Roman" w:hAnsi="Times New Roman" w:eastAsia="Times New Roman"/>
      <w:kern w:val="0"/>
      <w:sz w:val="20"/>
    </w:rPr>
  </w:style>
  <w:style w:type="paragraph" w:customStyle="1" w:styleId="85">
    <w:name w:val="Char1"/>
    <w:basedOn w:val="1"/>
    <w:qFormat/>
    <w:uiPriority w:val="0"/>
    <w:pPr>
      <w:widowControl/>
      <w:tabs>
        <w:tab w:val="left" w:pos="509"/>
      </w:tabs>
      <w:spacing w:after="160" w:line="240" w:lineRule="exact"/>
      <w:ind w:left="252"/>
      <w:jc w:val="left"/>
    </w:pPr>
    <w:rPr>
      <w:rFonts w:ascii="Verdana" w:hAnsi="Verdana" w:eastAsia="仿宋_GB2312"/>
      <w:kern w:val="0"/>
      <w:sz w:val="24"/>
      <w:lang w:eastAsia="en-US"/>
    </w:rPr>
  </w:style>
  <w:style w:type="paragraph" w:customStyle="1" w:styleId="8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b/>
      <w:bCs/>
      <w:kern w:val="0"/>
      <w:sz w:val="24"/>
      <w:szCs w:val="24"/>
    </w:rPr>
  </w:style>
  <w:style w:type="paragraph" w:customStyle="1" w:styleId="87">
    <w:name w:val="4"/>
    <w:basedOn w:val="1"/>
    <w:next w:val="20"/>
    <w:qFormat/>
    <w:uiPriority w:val="0"/>
  </w:style>
  <w:style w:type="paragraph" w:customStyle="1" w:styleId="88">
    <w:name w:val="Char Char Char Char Char Char Char Char Char Char"/>
    <w:basedOn w:val="14"/>
    <w:qFormat/>
    <w:uiPriority w:val="0"/>
    <w:pPr>
      <w:keepNext/>
      <w:tabs>
        <w:tab w:val="left" w:pos="840"/>
      </w:tabs>
      <w:spacing w:before="312" w:beforeLines="100"/>
      <w:ind w:hanging="420"/>
    </w:pPr>
    <w:rPr>
      <w:rFonts w:ascii="Tahoma" w:hAnsi="Tahoma"/>
      <w:sz w:val="24"/>
      <w:szCs w:val="20"/>
    </w:rPr>
  </w:style>
  <w:style w:type="paragraph" w:customStyle="1" w:styleId="89">
    <w:name w:val="Char2"/>
    <w:basedOn w:val="1"/>
    <w:qFormat/>
    <w:uiPriority w:val="0"/>
    <w:pPr>
      <w:widowControl/>
      <w:spacing w:after="160" w:line="240" w:lineRule="exact"/>
      <w:jc w:val="left"/>
    </w:pPr>
    <w:rPr>
      <w:rFonts w:ascii="Times New Roman" w:hAnsi="Times New Roman" w:eastAsia="Times New Roman"/>
      <w:kern w:val="0"/>
      <w:sz w:val="20"/>
    </w:rPr>
  </w:style>
  <w:style w:type="paragraph" w:customStyle="1" w:styleId="90">
    <w:name w:val="3"/>
    <w:basedOn w:val="1"/>
    <w:next w:val="20"/>
    <w:qFormat/>
    <w:uiPriority w:val="0"/>
  </w:style>
  <w:style w:type="paragraph" w:customStyle="1" w:styleId="91">
    <w:name w:val="Char Char Char"/>
    <w:basedOn w:val="1"/>
    <w:qFormat/>
    <w:uiPriority w:val="0"/>
    <w:rPr>
      <w:rFonts w:ascii="Tahoma" w:hAnsi="Tahoma"/>
      <w:sz w:val="24"/>
    </w:rPr>
  </w:style>
  <w:style w:type="paragraph" w:customStyle="1" w:styleId="92">
    <w:name w:val="1"/>
    <w:basedOn w:val="1"/>
    <w:next w:val="20"/>
    <w:qFormat/>
    <w:uiPriority w:val="0"/>
  </w:style>
  <w:style w:type="paragraph" w:customStyle="1" w:styleId="9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kern w:val="0"/>
      <w:sz w:val="24"/>
      <w:szCs w:val="24"/>
    </w:rPr>
  </w:style>
  <w:style w:type="paragraph" w:customStyle="1" w:styleId="94">
    <w:name w:val="样式1"/>
    <w:basedOn w:val="1"/>
    <w:qFormat/>
    <w:uiPriority w:val="0"/>
    <w:pPr>
      <w:numPr>
        <w:ilvl w:val="0"/>
        <w:numId w:val="1"/>
      </w:numPr>
      <w:adjustRightInd w:val="0"/>
    </w:pPr>
    <w:rPr>
      <w:rFonts w:hAnsi="宋体"/>
      <w:kern w:val="0"/>
      <w:szCs w:val="21"/>
    </w:rPr>
  </w:style>
  <w:style w:type="paragraph" w:customStyle="1" w:styleId="95">
    <w:name w:val="font11"/>
    <w:basedOn w:val="1"/>
    <w:qFormat/>
    <w:uiPriority w:val="0"/>
    <w:pPr>
      <w:widowControl/>
      <w:spacing w:before="100" w:beforeAutospacing="1" w:after="100" w:afterAutospacing="1"/>
      <w:jc w:val="left"/>
    </w:pPr>
    <w:rPr>
      <w:rFonts w:hint="eastAsia" w:hAnsi="宋体"/>
      <w:b/>
      <w:bCs/>
      <w:color w:val="000000"/>
      <w:kern w:val="0"/>
      <w:sz w:val="18"/>
      <w:szCs w:val="18"/>
    </w:rPr>
  </w:style>
  <w:style w:type="paragraph" w:customStyle="1" w:styleId="96">
    <w:name w:val="font14"/>
    <w:basedOn w:val="1"/>
    <w:qFormat/>
    <w:uiPriority w:val="0"/>
    <w:pPr>
      <w:widowControl/>
      <w:spacing w:before="100" w:beforeAutospacing="1" w:after="100" w:afterAutospacing="1"/>
      <w:jc w:val="left"/>
    </w:pPr>
    <w:rPr>
      <w:rFonts w:hint="eastAsia" w:hAnsi="宋体"/>
      <w:color w:val="000000"/>
      <w:kern w:val="0"/>
      <w:sz w:val="18"/>
      <w:szCs w:val="18"/>
    </w:rPr>
  </w:style>
  <w:style w:type="paragraph" w:customStyle="1" w:styleId="97">
    <w:name w:val="Char"/>
    <w:basedOn w:val="1"/>
    <w:qFormat/>
    <w:uiPriority w:val="0"/>
    <w:pPr>
      <w:widowControl/>
      <w:spacing w:after="160" w:line="240" w:lineRule="exact"/>
      <w:jc w:val="left"/>
    </w:pPr>
    <w:rPr>
      <w:rFonts w:ascii="Verdana" w:hAnsi="Verdana"/>
      <w:kern w:val="0"/>
      <w:lang w:eastAsia="en-US"/>
    </w:rPr>
  </w:style>
  <w:style w:type="paragraph" w:customStyle="1" w:styleId="9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9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hAnsi="宋体"/>
      <w:kern w:val="0"/>
      <w:szCs w:val="21"/>
    </w:rPr>
  </w:style>
  <w:style w:type="paragraph" w:customStyle="1" w:styleId="100">
    <w:name w:val="简单回函地址"/>
    <w:basedOn w:val="1"/>
    <w:qFormat/>
    <w:uiPriority w:val="0"/>
  </w:style>
  <w:style w:type="paragraph" w:customStyle="1" w:styleId="101">
    <w:name w:val="font10"/>
    <w:basedOn w:val="1"/>
    <w:qFormat/>
    <w:uiPriority w:val="0"/>
    <w:pPr>
      <w:widowControl/>
      <w:spacing w:before="100" w:beforeAutospacing="1" w:after="100" w:afterAutospacing="1"/>
      <w:jc w:val="left"/>
    </w:pPr>
    <w:rPr>
      <w:rFonts w:ascii="Arial" w:hAnsi="Arial" w:cs="Arial"/>
      <w:kern w:val="0"/>
      <w:sz w:val="19"/>
      <w:szCs w:val="19"/>
    </w:rPr>
  </w:style>
  <w:style w:type="paragraph" w:customStyle="1" w:styleId="102">
    <w:name w:val="p0"/>
    <w:basedOn w:val="1"/>
    <w:qFormat/>
    <w:uiPriority w:val="0"/>
    <w:pPr>
      <w:widowControl/>
    </w:pPr>
    <w:rPr>
      <w:rFonts w:ascii="Times New Roman" w:hAnsi="Times New Roman"/>
      <w:kern w:val="0"/>
      <w:szCs w:val="21"/>
    </w:rPr>
  </w:style>
  <w:style w:type="paragraph" w:customStyle="1" w:styleId="103">
    <w:name w:val="Table Text"/>
    <w:qFormat/>
    <w:uiPriority w:val="0"/>
    <w:pPr>
      <w:snapToGrid w:val="0"/>
      <w:spacing w:before="80" w:after="80"/>
    </w:pPr>
    <w:rPr>
      <w:rFonts w:ascii="Arial" w:hAnsi="Arial" w:eastAsia="宋体" w:cs="Times New Roman"/>
      <w:sz w:val="18"/>
      <w:lang w:val="en-US" w:eastAsia="en-US" w:bidi="ar-SA"/>
    </w:rPr>
  </w:style>
  <w:style w:type="paragraph" w:customStyle="1" w:styleId="1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kern w:val="0"/>
      <w:sz w:val="24"/>
      <w:szCs w:val="24"/>
    </w:rPr>
  </w:style>
  <w:style w:type="paragraph" w:customStyle="1" w:styleId="105">
    <w:name w:val="p15"/>
    <w:basedOn w:val="1"/>
    <w:qFormat/>
    <w:uiPriority w:val="0"/>
    <w:pPr>
      <w:widowControl/>
    </w:pPr>
    <w:rPr>
      <w:kern w:val="0"/>
      <w:szCs w:val="21"/>
    </w:rPr>
  </w:style>
  <w:style w:type="paragraph" w:customStyle="1" w:styleId="106">
    <w:name w:val="font9"/>
    <w:basedOn w:val="1"/>
    <w:qFormat/>
    <w:uiPriority w:val="0"/>
    <w:pPr>
      <w:widowControl/>
      <w:spacing w:before="100" w:beforeAutospacing="1" w:after="100" w:afterAutospacing="1"/>
      <w:jc w:val="left"/>
    </w:pPr>
    <w:rPr>
      <w:rFonts w:hint="eastAsia" w:hAnsi="宋体"/>
      <w:kern w:val="0"/>
      <w:szCs w:val="21"/>
    </w:rPr>
  </w:style>
  <w:style w:type="paragraph" w:customStyle="1" w:styleId="107">
    <w:name w:val="Char Char Char Char"/>
    <w:basedOn w:val="1"/>
    <w:qFormat/>
    <w:uiPriority w:val="0"/>
    <w:rPr>
      <w:rFonts w:ascii="Times New Roman" w:hAnsi="Times New Roman"/>
      <w:kern w:val="0"/>
    </w:rPr>
  </w:style>
  <w:style w:type="paragraph" w:customStyle="1" w:styleId="108">
    <w:name w:val="xl2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hAnsi="宋体"/>
      <w:kern w:val="0"/>
      <w:szCs w:val="21"/>
    </w:rPr>
  </w:style>
  <w:style w:type="paragraph" w:customStyle="1" w:styleId="109">
    <w:name w:val="font13"/>
    <w:basedOn w:val="1"/>
    <w:qFormat/>
    <w:uiPriority w:val="0"/>
    <w:pPr>
      <w:widowControl/>
      <w:spacing w:before="100" w:beforeAutospacing="1" w:after="100" w:afterAutospacing="1"/>
      <w:jc w:val="left"/>
    </w:pPr>
    <w:rPr>
      <w:rFonts w:hint="eastAsia" w:hAnsi="宋体"/>
      <w:b/>
      <w:bCs/>
      <w:color w:val="000000"/>
      <w:kern w:val="0"/>
      <w:sz w:val="18"/>
      <w:szCs w:val="18"/>
    </w:rPr>
  </w:style>
  <w:style w:type="paragraph" w:customStyle="1" w:styleId="110">
    <w:name w:val="font5"/>
    <w:basedOn w:val="1"/>
    <w:qFormat/>
    <w:uiPriority w:val="0"/>
    <w:pPr>
      <w:widowControl/>
      <w:spacing w:before="100" w:beforeAutospacing="1" w:after="100" w:afterAutospacing="1"/>
      <w:jc w:val="left"/>
    </w:pPr>
    <w:rPr>
      <w:rFonts w:hint="eastAsia" w:hAnsi="宋体"/>
      <w:kern w:val="0"/>
      <w:sz w:val="24"/>
      <w:szCs w:val="24"/>
    </w:rPr>
  </w:style>
  <w:style w:type="paragraph" w:customStyle="1" w:styleId="111">
    <w:name w:val="font7"/>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1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11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kern w:val="0"/>
      <w:sz w:val="24"/>
      <w:szCs w:val="24"/>
    </w:rPr>
  </w:style>
  <w:style w:type="paragraph" w:customStyle="1" w:styleId="11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116">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hAnsi="宋体"/>
      <w:kern w:val="0"/>
      <w:szCs w:val="21"/>
    </w:rPr>
  </w:style>
  <w:style w:type="paragraph" w:customStyle="1" w:styleId="11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b/>
      <w:bCs/>
      <w:kern w:val="0"/>
      <w:sz w:val="24"/>
      <w:szCs w:val="24"/>
    </w:rPr>
  </w:style>
  <w:style w:type="paragraph" w:customStyle="1" w:styleId="118">
    <w:name w:val="font0"/>
    <w:basedOn w:val="1"/>
    <w:qFormat/>
    <w:uiPriority w:val="0"/>
    <w:pPr>
      <w:widowControl/>
      <w:spacing w:before="100" w:beforeAutospacing="1" w:after="100" w:afterAutospacing="1"/>
      <w:jc w:val="left"/>
    </w:pPr>
    <w:rPr>
      <w:rFonts w:hint="eastAsia" w:hAnsi="宋体"/>
      <w:kern w:val="0"/>
      <w:sz w:val="24"/>
      <w:szCs w:val="24"/>
    </w:rPr>
  </w:style>
  <w:style w:type="paragraph" w:customStyle="1" w:styleId="119">
    <w:name w:val="font12"/>
    <w:basedOn w:val="1"/>
    <w:qFormat/>
    <w:uiPriority w:val="0"/>
    <w:pPr>
      <w:widowControl/>
      <w:spacing w:before="100" w:beforeAutospacing="1" w:after="100" w:afterAutospacing="1"/>
      <w:jc w:val="left"/>
    </w:pPr>
    <w:rPr>
      <w:rFonts w:hint="eastAsia" w:hAnsi="宋体"/>
      <w:color w:val="000000"/>
      <w:kern w:val="0"/>
      <w:sz w:val="18"/>
      <w:szCs w:val="18"/>
    </w:rPr>
  </w:style>
  <w:style w:type="paragraph" w:customStyle="1" w:styleId="120">
    <w:name w:val="默认段落字体 Para Char Char Char Char Char Char Char Char Char1 Char Char Char Char Char Char Char"/>
    <w:basedOn w:val="1"/>
    <w:qFormat/>
    <w:uiPriority w:val="0"/>
    <w:rPr>
      <w:rFonts w:ascii="Times New Roman" w:hAnsi="Times New Roman"/>
      <w:b/>
      <w:bCs/>
      <w:sz w:val="36"/>
      <w:szCs w:val="32"/>
    </w:rPr>
  </w:style>
  <w:style w:type="paragraph" w:customStyle="1" w:styleId="121">
    <w:name w:val="WPSOffice手动目录 1"/>
    <w:qFormat/>
    <w:uiPriority w:val="0"/>
    <w:rPr>
      <w:rFonts w:ascii="Times New Roman" w:hAnsi="Times New Roman" w:eastAsia="宋体" w:cs="Times New Roman"/>
      <w:lang w:val="en-US" w:eastAsia="zh-CN" w:bidi="ar-SA"/>
    </w:rPr>
  </w:style>
  <w:style w:type="paragraph" w:customStyle="1" w:styleId="122">
    <w:name w:val="保留正文"/>
    <w:qFormat/>
    <w:uiPriority w:val="0"/>
    <w:pPr>
      <w:keepNext/>
      <w:spacing w:after="160"/>
      <w:jc w:val="both"/>
    </w:pPr>
    <w:rPr>
      <w:rFonts w:ascii="Times New Roman" w:hAnsi="Times New Roman" w:eastAsia="宋体" w:cs="Times New Roman"/>
      <w:b/>
      <w:bCs/>
      <w:sz w:val="21"/>
      <w:szCs w:val="24"/>
      <w:lang w:val="en-US" w:eastAsia="zh-CN" w:bidi="ar-SA"/>
    </w:rPr>
  </w:style>
  <w:style w:type="paragraph" w:customStyle="1" w:styleId="123">
    <w:name w:val="font8"/>
    <w:basedOn w:val="1"/>
    <w:qFormat/>
    <w:uiPriority w:val="0"/>
    <w:pPr>
      <w:widowControl/>
      <w:spacing w:before="100" w:beforeAutospacing="1" w:after="100" w:afterAutospacing="1"/>
      <w:jc w:val="left"/>
    </w:pPr>
    <w:rPr>
      <w:rFonts w:ascii="Times New Roman" w:hAnsi="Times New Roman"/>
      <w:kern w:val="0"/>
      <w:szCs w:val="21"/>
    </w:rPr>
  </w:style>
  <w:style w:type="paragraph" w:customStyle="1" w:styleId="124">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Ansi="宋体"/>
      <w:kern w:val="0"/>
      <w:sz w:val="24"/>
      <w:szCs w:val="24"/>
    </w:rPr>
  </w:style>
  <w:style w:type="paragraph" w:customStyle="1" w:styleId="125">
    <w:name w:val="xl2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126">
    <w:name w:val="默认段落字体 Para Char Char Char Char Char Char Char Char Char Char"/>
    <w:basedOn w:val="1"/>
    <w:qFormat/>
    <w:uiPriority w:val="0"/>
    <w:rPr>
      <w:rFonts w:ascii="Times New Roman" w:hAnsi="Times New Roman"/>
      <w:kern w:val="0"/>
    </w:rPr>
  </w:style>
  <w:style w:type="paragraph" w:customStyle="1" w:styleId="127">
    <w:name w:val="Char1 Char Char Char"/>
    <w:basedOn w:val="1"/>
    <w:qFormat/>
    <w:uiPriority w:val="0"/>
    <w:rPr>
      <w:rFonts w:ascii="Tahoma" w:hAnsi="Tahoma"/>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6778</Words>
  <Characters>38636</Characters>
  <Lines>321</Lines>
  <Paragraphs>90</Paragraphs>
  <TotalTime>41</TotalTime>
  <ScaleCrop>false</ScaleCrop>
  <LinksUpToDate>false</LinksUpToDate>
  <CharactersWithSpaces>45324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2020-12-01T09:28:00Z</dcterms:created>
  <dc:creator>thechosenone</dc:creator>
  <cp:lastModifiedBy>芳</cp:lastModifiedBy>
  <dcterms:modified xsi:type="dcterms:W3CDTF">2020-12-03T09:53:08Z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