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06"/>
        </w:tabs>
        <w:spacing w:before="22"/>
        <w:ind w:right="238"/>
        <w:jc w:val="center"/>
        <w:rPr>
          <w:b/>
          <w:color w:val="auto"/>
          <w:sz w:val="44"/>
        </w:rPr>
      </w:pPr>
      <w:r>
        <w:rPr>
          <w:rFonts w:hint="eastAsia"/>
          <w:color w:val="auto"/>
          <w:spacing w:val="57"/>
          <w:sz w:val="52"/>
          <w:szCs w:val="52"/>
          <w:lang w:eastAsia="zh-CN"/>
        </w:rPr>
        <w:t>巴马瑶族自治县财政投资评审中心造价咨询服务机构采购</w:t>
      </w:r>
    </w:p>
    <w:p>
      <w:pPr>
        <w:tabs>
          <w:tab w:val="left" w:pos="1106"/>
        </w:tabs>
        <w:spacing w:before="22"/>
        <w:ind w:right="238"/>
        <w:jc w:val="both"/>
        <w:rPr>
          <w:b/>
          <w:color w:val="auto"/>
          <w:sz w:val="44"/>
        </w:rPr>
      </w:pPr>
      <w:r>
        <w:rPr>
          <w:color w:val="auto"/>
          <w:sz w:val="24"/>
          <w:szCs w:val="24"/>
        </w:rPr>
        <w:fldChar w:fldCharType="begin"/>
      </w:r>
      <w:r>
        <w:rPr>
          <w:color w:val="auto"/>
          <w:sz w:val="24"/>
          <w:szCs w:val="24"/>
        </w:rPr>
        <w:instrText xml:space="preserve">INCLUDEPICTURE \d "C:\\Users\\Administrator\\Documents\\Tencent Files\\1050430535\\Image\\C2C\\FPD}DM$[XAO(VHEDO_8P20E.png" \* MERGEFORMATINET </w:instrText>
      </w:r>
      <w:r>
        <w:rPr>
          <w:color w:val="auto"/>
          <w:sz w:val="24"/>
          <w:szCs w:val="24"/>
        </w:rPr>
        <w:fldChar w:fldCharType="separate"/>
      </w:r>
      <w:r>
        <w:rPr>
          <w:rFonts w:hint="eastAsia"/>
          <w:color w:val="auto"/>
          <w:sz w:val="24"/>
          <w:szCs w:val="24"/>
        </w:rPr>
        <w:t xml:space="preserve">                           </w:t>
      </w:r>
      <w:r>
        <w:rPr>
          <w:color w:val="auto"/>
          <w:sz w:val="24"/>
          <w:szCs w:val="24"/>
        </w:rPr>
        <w:drawing>
          <wp:inline distT="0" distB="0" distL="114300" distR="114300">
            <wp:extent cx="1567815" cy="1461135"/>
            <wp:effectExtent l="0" t="0" r="13335" b="571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7" cstate="print"/>
                    <a:stretch>
                      <a:fillRect/>
                    </a:stretch>
                  </pic:blipFill>
                  <pic:spPr>
                    <a:xfrm>
                      <a:off x="0" y="0"/>
                      <a:ext cx="1567815" cy="1461135"/>
                    </a:xfrm>
                    <a:prstGeom prst="rect">
                      <a:avLst/>
                    </a:prstGeom>
                    <a:noFill/>
                    <a:ln>
                      <a:noFill/>
                    </a:ln>
                  </pic:spPr>
                </pic:pic>
              </a:graphicData>
            </a:graphic>
          </wp:inline>
        </w:drawing>
      </w:r>
      <w:r>
        <w:rPr>
          <w:color w:val="auto"/>
          <w:sz w:val="24"/>
          <w:szCs w:val="24"/>
        </w:rPr>
        <w:fldChar w:fldCharType="end"/>
      </w:r>
    </w:p>
    <w:p>
      <w:pPr>
        <w:tabs>
          <w:tab w:val="left" w:pos="1106"/>
        </w:tabs>
        <w:spacing w:before="22"/>
        <w:ind w:right="238"/>
        <w:rPr>
          <w:b/>
          <w:color w:val="auto"/>
          <w:sz w:val="72"/>
          <w:szCs w:val="72"/>
        </w:rPr>
      </w:pPr>
    </w:p>
    <w:p>
      <w:pPr>
        <w:tabs>
          <w:tab w:val="left" w:pos="1106"/>
        </w:tabs>
        <w:spacing w:before="22"/>
        <w:ind w:right="238" w:firstLine="1680" w:firstLineChars="200"/>
        <w:rPr>
          <w:bCs/>
          <w:color w:val="auto"/>
          <w:sz w:val="84"/>
          <w:szCs w:val="84"/>
        </w:rPr>
      </w:pPr>
      <w:r>
        <w:rPr>
          <w:rFonts w:hint="eastAsia"/>
          <w:bCs/>
          <w:color w:val="auto"/>
          <w:sz w:val="84"/>
          <w:szCs w:val="84"/>
        </w:rPr>
        <w:t>公开招标文件</w:t>
      </w:r>
    </w:p>
    <w:p>
      <w:pPr>
        <w:pStyle w:val="5"/>
        <w:outlineLvl w:val="9"/>
        <w:rPr>
          <w:color w:val="auto"/>
        </w:rPr>
      </w:pPr>
    </w:p>
    <w:p>
      <w:pPr>
        <w:pStyle w:val="5"/>
        <w:ind w:left="0"/>
        <w:jc w:val="both"/>
        <w:outlineLvl w:val="9"/>
        <w:rPr>
          <w:color w:val="auto"/>
        </w:rPr>
      </w:pPr>
    </w:p>
    <w:p>
      <w:pPr>
        <w:rPr>
          <w:color w:val="auto"/>
        </w:rPr>
      </w:pPr>
    </w:p>
    <w:p>
      <w:pPr>
        <w:tabs>
          <w:tab w:val="left" w:pos="1106"/>
        </w:tabs>
        <w:spacing w:before="22" w:line="360" w:lineRule="auto"/>
        <w:ind w:left="-2" w:leftChars="0" w:right="-274" w:firstLine="0" w:firstLineChars="0"/>
        <w:rPr>
          <w:rFonts w:hint="eastAsia" w:eastAsia="宋体"/>
          <w:color w:val="auto"/>
          <w:lang w:eastAsia="zh-CN"/>
        </w:rPr>
      </w:pPr>
      <w:r>
        <w:rPr>
          <w:rFonts w:hint="eastAsia"/>
          <w:b/>
          <w:color w:val="auto"/>
          <w:sz w:val="32"/>
          <w:szCs w:val="32"/>
        </w:rPr>
        <w:t>项目名称：</w:t>
      </w:r>
      <w:r>
        <w:rPr>
          <w:rFonts w:hint="eastAsia"/>
          <w:b/>
          <w:color w:val="auto"/>
          <w:sz w:val="32"/>
          <w:szCs w:val="32"/>
          <w:lang w:eastAsia="zh-CN"/>
        </w:rPr>
        <w:t>巴马瑶族自治县财政投资评审中心造价咨询服务机构采购项目</w:t>
      </w:r>
      <w:r>
        <w:rPr>
          <w:rFonts w:hint="eastAsia"/>
          <w:b/>
          <w:color w:val="auto"/>
          <w:sz w:val="32"/>
          <w:szCs w:val="32"/>
        </w:rPr>
        <w:t>编号：</w:t>
      </w:r>
      <w:r>
        <w:rPr>
          <w:rFonts w:hint="eastAsia"/>
          <w:b/>
          <w:color w:val="auto"/>
          <w:sz w:val="32"/>
          <w:szCs w:val="32"/>
          <w:lang w:eastAsia="zh-CN"/>
        </w:rPr>
        <w:t>HCZC2020-G3-270071-DBXM</w:t>
      </w:r>
    </w:p>
    <w:p>
      <w:pPr>
        <w:pStyle w:val="22"/>
        <w:ind w:left="440" w:firstLine="602"/>
        <w:rPr>
          <w:rFonts w:ascii="宋体"/>
          <w:b/>
          <w:color w:val="auto"/>
          <w:sz w:val="32"/>
          <w:szCs w:val="32"/>
        </w:rPr>
      </w:pPr>
      <w:r>
        <w:rPr>
          <w:rFonts w:ascii="宋体"/>
          <w:b/>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243840</wp:posOffset>
                </wp:positionV>
                <wp:extent cx="5915025" cy="19685"/>
                <wp:effectExtent l="0" t="28575" r="9525" b="46990"/>
                <wp:wrapNone/>
                <wp:docPr id="10" name="直接连接符 2"/>
                <wp:cNvGraphicFramePr/>
                <a:graphic xmlns:a="http://schemas.openxmlformats.org/drawingml/2006/main">
                  <a:graphicData uri="http://schemas.microsoft.com/office/word/2010/wordprocessingShape">
                    <wps:wsp>
                      <wps:cNvCnPr/>
                      <wps:spPr>
                        <a:xfrm>
                          <a:off x="0" y="0"/>
                          <a:ext cx="5915025" cy="1968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2.25pt;margin-top:19.2pt;height:1.55pt;width:465.75pt;z-index:251660288;mso-width-relative:page;mso-height-relative:page;" filled="f" stroked="t" coordsize="21600,21600" o:gfxdata="UEsDBAoAAAAAAIdO4kAAAAAAAAAAAAAAAAAEAAAAZHJzL1BLAwQUAAAACACHTuJAGwV9v9gAAAAH&#10;AQAADwAAAGRycy9kb3ducmV2LnhtbE2PMU/DMBCFdyT+g3VILBV1QtoqhDgdKlgYkNoywObGRxIR&#10;n1PbbQK/nmMq47v39N535XqyvTijD50jBek8AYFUO9NRo+Bt/3yXgwhRk9G9I1TwjQHW1fVVqQvj&#10;RtrieRcbwSUUCq2gjXEopAx1i1aHuRuQ2Pt03urI0jfSeD1yue3lfZKspNUd8UKrB9y0WH/tTlaB&#10;2YbwtJnyn+zVvxyP7/nsY9zPlLq9SZNHEBGneAnDHz6jQ8VMB3ciE0SvYLHkoIIsX4Bg+yFb8WsH&#10;vqdLkFUp//NXv1BLAwQUAAAACACHTuJAQ+RNm+IBAACiAwAADgAAAGRycy9lMm9Eb2MueG1srVPN&#10;bhMxEL4j9R0s35vdjZTSrrLpoWm5IIhEeYCJf3at+k+2m01eghdA4gYnjtx5m5bHYOyElJ8LQuxh&#10;duwZf57vm/H8cms02YgQlbMdbSY1JcIyx5XtO/r29ub0nJKYwHLQzoqO7kSkl4uTZ/PRt2LqBqe5&#10;CARBbGxH39EhJd9WVWSDMBAnzguLQemCgYTL0Fc8wIjoRlfTuj6rRhe4D46JGHF3uQ/SRcGXUrD0&#10;WsooEtEdxdpSsaHYdbbVYg5tH8APih3KgH+owoCyeOkRagkJyH1Qf0AZxYKLTqYJc6ZyUiomCgdk&#10;09S/sXkzgBeFC4oT/VGm+P9g2avNKhDFsXcojwWDPXp8/+Xh3cdvXz+gffz8iUyzSqOPLSZf2VU4&#10;rKJfhUx5K4PJfyRDtkXZ3VFZsU2E4ebsopnV0xklDGPNxdn5LGNWT4d9iOmFcIZkp6Na2UwcWti8&#10;jGmf+iMlb2tLRkR9jqiICTg4UkNC13ikkgZlb7GhdwUiOq34jdI6H4yhX1/pQDaQB6J8h0p+Sct3&#10;LSEO+7wSymnQDgL4teUk7TwqZXGmaa7ECE6JFvgEslcyEyj9N5kograoRRZ4L2n21o7vsDH3Pqh+&#10;QEGaUmWO4CAU5Q5Dmyft53VBenpa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BX2/2AAAAAcB&#10;AAAPAAAAAAAAAAEAIAAAACIAAABkcnMvZG93bnJldi54bWxQSwECFAAUAAAACACHTuJAQ+RNm+IB&#10;AACiAwAADgAAAAAAAAABACAAAAAnAQAAZHJzL2Uyb0RvYy54bWxQSwUGAAAAAAYABgBZAQAAewUA&#10;AAAA&#10;">
                <v:fill on="f" focussize="0,0"/>
                <v:stroke weight="4.5pt" color="#000000" linestyle="thinThick" joinstyle="round"/>
                <v:imagedata o:title=""/>
                <o:lock v:ext="edit" aspectratio="f"/>
              </v:line>
            </w:pict>
          </mc:Fallback>
        </mc:AlternateContent>
      </w:r>
    </w:p>
    <w:p>
      <w:pPr>
        <w:tabs>
          <w:tab w:val="left" w:pos="1106"/>
        </w:tabs>
        <w:spacing w:before="22" w:line="800" w:lineRule="exact"/>
        <w:ind w:right="238" w:firstLine="321" w:firstLineChars="100"/>
        <w:rPr>
          <w:rFonts w:hint="eastAsia" w:eastAsia="宋体"/>
          <w:b/>
          <w:color w:val="auto"/>
          <w:sz w:val="32"/>
          <w:szCs w:val="32"/>
          <w:lang w:eastAsia="zh-CN"/>
        </w:rPr>
      </w:pPr>
      <w:r>
        <w:rPr>
          <w:rFonts w:hint="eastAsia"/>
          <w:b/>
          <w:color w:val="auto"/>
          <w:sz w:val="32"/>
          <w:szCs w:val="32"/>
        </w:rPr>
        <w:t>采购单位</w:t>
      </w:r>
      <w:r>
        <w:rPr>
          <w:rFonts w:hint="eastAsia"/>
          <w:b/>
          <w:color w:val="auto"/>
          <w:sz w:val="32"/>
          <w:szCs w:val="32"/>
          <w:lang w:eastAsia="zh-CN"/>
        </w:rPr>
        <w:t>（公章）</w:t>
      </w:r>
      <w:r>
        <w:rPr>
          <w:rFonts w:hint="eastAsia"/>
          <w:b/>
          <w:color w:val="auto"/>
          <w:sz w:val="32"/>
          <w:szCs w:val="32"/>
        </w:rPr>
        <w:t>：</w:t>
      </w:r>
      <w:r>
        <w:rPr>
          <w:rFonts w:hint="eastAsia"/>
          <w:b/>
          <w:color w:val="auto"/>
          <w:sz w:val="32"/>
          <w:szCs w:val="32"/>
          <w:lang w:eastAsia="zh-CN"/>
        </w:rPr>
        <w:t>巴马瑶族自治县财政局</w:t>
      </w:r>
    </w:p>
    <w:p>
      <w:pPr>
        <w:tabs>
          <w:tab w:val="left" w:pos="1106"/>
        </w:tabs>
        <w:spacing w:before="22" w:line="800" w:lineRule="exact"/>
        <w:ind w:right="238" w:firstLine="321" w:firstLineChars="100"/>
        <w:rPr>
          <w:b/>
          <w:color w:val="auto"/>
          <w:sz w:val="32"/>
          <w:szCs w:val="32"/>
        </w:rPr>
      </w:pPr>
      <w:r>
        <w:rPr>
          <w:rFonts w:hint="eastAsia"/>
          <w:b/>
          <w:color w:val="auto"/>
          <w:sz w:val="32"/>
          <w:szCs w:val="32"/>
        </w:rPr>
        <w:t>采购代理机构</w:t>
      </w:r>
      <w:r>
        <w:rPr>
          <w:rFonts w:hint="eastAsia"/>
          <w:b/>
          <w:color w:val="auto"/>
          <w:sz w:val="32"/>
          <w:szCs w:val="32"/>
          <w:lang w:eastAsia="zh-CN"/>
        </w:rPr>
        <w:t>（公章）</w:t>
      </w:r>
      <w:r>
        <w:rPr>
          <w:rFonts w:hint="eastAsia"/>
          <w:b/>
          <w:color w:val="auto"/>
          <w:sz w:val="32"/>
          <w:szCs w:val="32"/>
        </w:rPr>
        <w:t>：广西盾邦工程项目管理有限公司</w:t>
      </w:r>
    </w:p>
    <w:p>
      <w:pPr>
        <w:tabs>
          <w:tab w:val="left" w:pos="1106"/>
        </w:tabs>
        <w:spacing w:before="22"/>
        <w:ind w:right="238" w:firstLine="2891" w:firstLineChars="900"/>
        <w:jc w:val="both"/>
        <w:rPr>
          <w:b/>
          <w:color w:val="auto"/>
          <w:sz w:val="32"/>
          <w:szCs w:val="32"/>
        </w:rPr>
        <w:sectPr>
          <w:headerReference r:id="rId4" w:type="first"/>
          <w:footerReference r:id="rId6" w:type="first"/>
          <w:headerReference r:id="rId3" w:type="default"/>
          <w:footerReference r:id="rId5" w:type="default"/>
          <w:pgSz w:w="11906" w:h="16838"/>
          <w:pgMar w:top="1134" w:right="1134" w:bottom="1134" w:left="1360" w:header="851" w:footer="992" w:gutter="0"/>
          <w:cols w:space="720" w:num="1"/>
          <w:titlePg/>
          <w:rtlGutter w:val="0"/>
          <w:docGrid w:type="lines" w:linePitch="312" w:charSpace="0"/>
        </w:sectPr>
      </w:pPr>
      <w:r>
        <w:rPr>
          <w:rFonts w:hint="eastAsia"/>
          <w:b/>
          <w:color w:val="auto"/>
          <w:sz w:val="32"/>
          <w:szCs w:val="32"/>
        </w:rPr>
        <w:t>二O二O年</w:t>
      </w:r>
      <w:r>
        <w:rPr>
          <w:rFonts w:hint="eastAsia"/>
          <w:b/>
          <w:color w:val="auto"/>
          <w:sz w:val="32"/>
          <w:szCs w:val="32"/>
          <w:lang w:eastAsia="zh-CN"/>
        </w:rPr>
        <w:t>十一</w:t>
      </w:r>
      <w:r>
        <w:rPr>
          <w:rFonts w:hint="eastAsia"/>
          <w:b/>
          <w:color w:val="auto"/>
          <w:sz w:val="32"/>
          <w:szCs w:val="32"/>
        </w:rPr>
        <w:t>月</w:t>
      </w:r>
    </w:p>
    <w:p>
      <w:pPr>
        <w:rPr>
          <w:b/>
          <w:color w:val="auto"/>
          <w:sz w:val="48"/>
        </w:rPr>
      </w:pPr>
    </w:p>
    <w:p>
      <w:pPr>
        <w:pStyle w:val="5"/>
        <w:ind w:left="660"/>
        <w:outlineLvl w:val="9"/>
        <w:rPr>
          <w:color w:val="auto"/>
        </w:rPr>
      </w:pPr>
    </w:p>
    <w:sdt>
      <w:sdtPr>
        <w:rPr>
          <w:rFonts w:hint="eastAsia"/>
          <w:color w:val="auto"/>
        </w:rPr>
        <w:id w:val="1481652"/>
      </w:sdtPr>
      <w:sdtEndPr>
        <w:rPr>
          <w:rFonts w:hint="eastAsia"/>
          <w:color w:val="auto"/>
        </w:rPr>
      </w:sdtEndPr>
      <w:sdtContent>
        <w:p>
          <w:pPr>
            <w:pStyle w:val="19"/>
            <w:tabs>
              <w:tab w:val="right" w:leader="dot" w:pos="9609"/>
            </w:tabs>
            <w:spacing w:line="300" w:lineRule="exact"/>
            <w:ind w:left="449" w:leftChars="204" w:firstLine="209"/>
            <w:rPr>
              <w:rFonts w:hint="eastAsia"/>
              <w:color w:val="auto"/>
            </w:rPr>
          </w:pPr>
        </w:p>
        <w:sdt>
          <w:sdtPr>
            <w:rPr>
              <w:rFonts w:ascii="宋体" w:hAnsi="宋体" w:eastAsia="宋体" w:cs="宋体"/>
              <w:color w:val="auto"/>
              <w:sz w:val="48"/>
              <w:szCs w:val="48"/>
              <w:lang w:val="en-US" w:eastAsia="zh-CN" w:bidi="ar-SA"/>
            </w:rPr>
            <w:id w:val="147476957"/>
            <w15:color w:val="DBDBDB"/>
            <w:docPartObj>
              <w:docPartGallery w:val="Table of Contents"/>
              <w:docPartUnique/>
            </w:docPartObj>
          </w:sdtPr>
          <w:sdtEndPr>
            <w:rPr>
              <w:rFonts w:ascii="宋体" w:hAnsi="宋体" w:eastAsia="宋体" w:cs="宋体"/>
              <w:color w:val="auto"/>
              <w:sz w:val="22"/>
              <w:szCs w:val="22"/>
              <w:lang w:val="en-US" w:eastAsia="zh-CN" w:bidi="ar-SA"/>
            </w:rPr>
          </w:sdtEndPr>
          <w:sdtContent>
            <w:p>
              <w:pPr>
                <w:keepNext w:val="0"/>
                <w:keepLines w:val="0"/>
                <w:pageBreakBefore w:val="0"/>
                <w:kinsoku/>
                <w:wordWrap/>
                <w:overflowPunct/>
                <w:topLinePunct w:val="0"/>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color w:val="auto"/>
                  <w:sz w:val="48"/>
                  <w:szCs w:val="48"/>
                </w:rPr>
              </w:pPr>
              <w:r>
                <w:rPr>
                  <w:rFonts w:hint="eastAsia" w:ascii="宋体" w:hAnsi="宋体" w:eastAsia="宋体" w:cs="宋体"/>
                  <w:color w:val="auto"/>
                  <w:sz w:val="48"/>
                  <w:szCs w:val="48"/>
                </w:rPr>
                <w:t>目</w:t>
              </w:r>
              <w:r>
                <w:rPr>
                  <w:rFonts w:hint="eastAsia" w:cs="宋体"/>
                  <w:color w:val="auto"/>
                  <w:sz w:val="48"/>
                  <w:szCs w:val="48"/>
                  <w:lang w:val="en-US" w:eastAsia="zh-CN"/>
                </w:rPr>
                <w:t xml:space="preserve">  </w:t>
              </w:r>
              <w:r>
                <w:rPr>
                  <w:rFonts w:hint="eastAsia" w:ascii="宋体" w:hAnsi="宋体" w:eastAsia="宋体" w:cs="宋体"/>
                  <w:color w:val="auto"/>
                  <w:sz w:val="48"/>
                  <w:szCs w:val="48"/>
                </w:rPr>
                <w:t>录</w:t>
              </w:r>
            </w:p>
            <w:p>
              <w:pPr>
                <w:pStyle w:val="43"/>
                <w:keepNext w:val="0"/>
                <w:keepLines w:val="0"/>
                <w:pageBreakBefore w:val="0"/>
                <w:tabs>
                  <w:tab w:val="right" w:pos="36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_Toc32702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公开招标公告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_Toc32702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pos="24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_Toc32407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w:t>
              </w:r>
              <w:r>
                <w:rPr>
                  <w:rFonts w:hint="eastAsia" w:ascii="宋体" w:hAnsi="宋体" w:eastAsia="宋体" w:cs="宋体"/>
                  <w:color w:val="auto"/>
                  <w:sz w:val="28"/>
                  <w:szCs w:val="28"/>
                </w:rPr>
                <w:tab/>
              </w:r>
              <w:r>
                <w:rPr>
                  <w:rFonts w:hint="eastAsia" w:ascii="宋体" w:hAnsi="宋体" w:eastAsia="宋体" w:cs="宋体"/>
                  <w:color w:val="auto"/>
                  <w:sz w:val="28"/>
                  <w:szCs w:val="28"/>
                </w:rPr>
                <w:t>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_Toc32407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pos="24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_Toc13647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ab/>
              </w:r>
              <w:r>
                <w:rPr>
                  <w:rFonts w:hint="eastAsia" w:ascii="宋体" w:hAnsi="宋体" w:eastAsia="宋体" w:cs="宋体"/>
                  <w:color w:val="auto"/>
                  <w:sz w:val="28"/>
                  <w:szCs w:val="28"/>
                </w:rPr>
                <w:t>项目需求和说明</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_Toc13647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_Toc13203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_Toc13203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pos="2400"/>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_Toc14959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合同主要条款及格式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_Toc14959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_Toc9745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_Toc9745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3"/>
                <w:keepNext w:val="0"/>
                <w:keepLines w:val="0"/>
                <w:pageBreakBefore w:val="0"/>
                <w:tabs>
                  <w:tab w:val="right" w:leader="dot" w:pos="9596"/>
                </w:tabs>
                <w:kinsoku/>
                <w:wordWrap/>
                <w:overflowPunct/>
                <w:topLinePunct w:val="0"/>
                <w:bidi w:val="0"/>
                <w:adjustRightInd/>
                <w:snapToGrid/>
                <w:spacing w:line="480" w:lineRule="auto"/>
                <w:textAlignment w:val="auto"/>
                <w:rPr>
                  <w:rFonts w:hint="eastAsia" w:ascii="宋体" w:hAnsi="宋体" w:eastAsia="宋体" w:cs="宋体"/>
                  <w:color w:val="auto"/>
                  <w:sz w:val="28"/>
                  <w:szCs w:val="28"/>
                </w:rPr>
              </w:pPr>
            </w:p>
            <w:p>
              <w:pPr>
                <w:keepNext w:val="0"/>
                <w:keepLines w:val="0"/>
                <w:pageBreakBefore w:val="0"/>
                <w:kinsoku/>
                <w:wordWrap/>
                <w:overflowPunct/>
                <w:topLinePunct w:val="0"/>
                <w:bidi w:val="0"/>
                <w:adjustRightInd/>
                <w:snapToGrid/>
                <w:spacing w:line="480" w:lineRule="auto"/>
                <w:textAlignment w:val="auto"/>
                <w:rPr>
                  <w:color w:val="auto"/>
                </w:rPr>
              </w:pPr>
              <w:r>
                <w:rPr>
                  <w:rFonts w:hint="eastAsia" w:ascii="宋体" w:hAnsi="宋体" w:eastAsia="宋体" w:cs="宋体"/>
                  <w:color w:val="auto"/>
                  <w:sz w:val="28"/>
                  <w:szCs w:val="28"/>
                </w:rPr>
                <w:fldChar w:fldCharType="end"/>
              </w:r>
            </w:p>
          </w:sdtContent>
        </w:sdt>
        <w:p>
          <w:pPr>
            <w:pStyle w:val="18"/>
            <w:tabs>
              <w:tab w:val="right" w:leader="dot" w:pos="9609"/>
            </w:tabs>
            <w:spacing w:line="300" w:lineRule="exact"/>
            <w:ind w:left="449" w:leftChars="204" w:firstLine="209"/>
            <w:outlineLvl w:val="0"/>
            <w:rPr>
              <w:color w:val="auto"/>
            </w:rPr>
          </w:pPr>
          <w:bookmarkStart w:id="0" w:name="_Toc18248"/>
          <w:bookmarkEnd w:id="0"/>
        </w:p>
      </w:sdtContent>
    </w:sdt>
    <w:p>
      <w:pPr>
        <w:spacing w:line="400" w:lineRule="exact"/>
        <w:rPr>
          <w:color w:val="auto"/>
        </w:rPr>
        <w:sectPr>
          <w:headerReference r:id="rId7" w:type="default"/>
          <w:footerReference r:id="rId8" w:type="default"/>
          <w:pgSz w:w="11910" w:h="16840"/>
          <w:pgMar w:top="1134" w:right="1134" w:bottom="1134" w:left="1180" w:header="964" w:footer="894" w:gutter="0"/>
          <w:pgNumType w:fmt="decimal" w:start="1"/>
          <w:cols w:equalWidth="0" w:num="1">
            <w:col w:w="10250"/>
          </w:cols>
          <w:rtlGutter w:val="0"/>
        </w:sectPr>
      </w:pPr>
    </w:p>
    <w:p>
      <w:pPr>
        <w:pStyle w:val="3"/>
        <w:numPr>
          <w:ilvl w:val="0"/>
          <w:numId w:val="1"/>
        </w:numPr>
        <w:tabs>
          <w:tab w:val="left" w:pos="1286"/>
        </w:tabs>
        <w:spacing w:before="34"/>
        <w:ind w:left="0" w:right="130" w:firstLine="2891" w:firstLineChars="900"/>
        <w:jc w:val="both"/>
        <w:rPr>
          <w:color w:val="auto"/>
        </w:rPr>
      </w:pPr>
      <w:bookmarkStart w:id="1" w:name="_TOC_250012"/>
      <w:bookmarkEnd w:id="1"/>
      <w:bookmarkStart w:id="2" w:name="_Toc32702"/>
      <w:r>
        <w:rPr>
          <w:rFonts w:hint="eastAsia"/>
          <w:color w:val="auto"/>
        </w:rPr>
        <w:t>公开招标公告</w:t>
      </w:r>
      <w:bookmarkEnd w:id="2"/>
      <w:bookmarkStart w:id="44" w:name="_GoBack"/>
      <w:bookmarkEnd w:id="44"/>
    </w:p>
    <w:p>
      <w:pPr>
        <w:rPr>
          <w:color w:val="auto"/>
        </w:rPr>
      </w:pPr>
    </w:p>
    <w:p>
      <w:pPr>
        <w:pStyle w:val="5"/>
        <w:spacing w:line="460" w:lineRule="exact"/>
        <w:ind w:left="881" w:leftChars="126" w:right="277" w:hanging="604" w:hangingChars="215"/>
        <w:jc w:val="center"/>
        <w:rPr>
          <w:rFonts w:hint="eastAsia"/>
          <w:color w:val="auto"/>
        </w:rPr>
      </w:pPr>
      <w:r>
        <w:rPr>
          <w:rFonts w:hint="eastAsia"/>
          <w:color w:val="auto"/>
        </w:rPr>
        <w:t>广西盾邦工程项目管理有限公司</w:t>
      </w:r>
    </w:p>
    <w:p>
      <w:pPr>
        <w:pStyle w:val="5"/>
        <w:spacing w:line="460" w:lineRule="exact"/>
        <w:ind w:left="881" w:leftChars="126" w:right="277" w:hanging="604" w:hangingChars="215"/>
        <w:jc w:val="center"/>
        <w:rPr>
          <w:color w:val="auto"/>
        </w:rPr>
      </w:pPr>
      <w:r>
        <w:rPr>
          <w:rFonts w:hint="eastAsia"/>
          <w:color w:val="auto"/>
          <w:lang w:eastAsia="zh-CN"/>
        </w:rPr>
        <w:t>巴马瑶族自治县财政投资评审中心造价咨询服务机构采购</w:t>
      </w:r>
      <w:r>
        <w:rPr>
          <w:rFonts w:hint="eastAsia"/>
          <w:color w:val="auto"/>
        </w:rPr>
        <w:t>招标公告（</w:t>
      </w:r>
      <w:r>
        <w:rPr>
          <w:rFonts w:hint="eastAsia"/>
          <w:color w:val="auto"/>
          <w:lang w:eastAsia="zh-CN"/>
        </w:rPr>
        <w:t>项目编号：HCZC2020-G3-270071-DBXM</w:t>
      </w:r>
      <w:r>
        <w:rPr>
          <w:rFonts w:hint="eastAsia"/>
          <w:color w:val="auto"/>
        </w:rPr>
        <w:t>）</w:t>
      </w:r>
    </w:p>
    <w:p>
      <w:pPr>
        <w:keepNext w:val="0"/>
        <w:keepLines w:val="0"/>
        <w:pageBreakBefore w:val="0"/>
        <w:kinsoku/>
        <w:wordWrap/>
        <w:overflowPunct/>
        <w:topLinePunct w:val="0"/>
        <w:autoSpaceDE w:val="0"/>
        <w:autoSpaceDN w:val="0"/>
        <w:bidi w:val="0"/>
        <w:adjustRightInd/>
        <w:snapToGrid/>
        <w:spacing w:line="350" w:lineRule="exact"/>
        <w:textAlignment w:val="auto"/>
        <w:rPr>
          <w:color w:val="auto"/>
        </w:rPr>
      </w:pPr>
    </w:p>
    <w:p>
      <w:pPr>
        <w:pStyle w:val="20"/>
        <w:keepNext w:val="0"/>
        <w:keepLines w:val="0"/>
        <w:pageBreakBefore w:val="0"/>
        <w:widowControl/>
        <w:pBdr>
          <w:top w:val="single" w:color="auto" w:sz="6" w:space="0"/>
          <w:left w:val="single" w:color="auto" w:sz="6" w:space="3"/>
          <w:bottom w:val="single" w:color="auto" w:sz="6" w:space="0"/>
          <w:right w:val="single" w:color="auto" w:sz="6" w:space="3"/>
        </w:pBdr>
        <w:kinsoku/>
        <w:wordWrap/>
        <w:overflowPunct/>
        <w:topLinePunct w:val="0"/>
        <w:autoSpaceDE w:val="0"/>
        <w:autoSpaceDN w:val="0"/>
        <w:bidi w:val="0"/>
        <w:adjustRightInd/>
        <w:snapToGrid/>
        <w:spacing w:before="75" w:beforeAutospacing="0" w:after="75" w:afterAutospacing="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pStyle w:val="20"/>
        <w:keepNext w:val="0"/>
        <w:keepLines w:val="0"/>
        <w:pageBreakBefore w:val="0"/>
        <w:widowControl/>
        <w:pBdr>
          <w:top w:val="single" w:color="auto" w:sz="6" w:space="0"/>
          <w:left w:val="single" w:color="auto" w:sz="6" w:space="3"/>
          <w:bottom w:val="single" w:color="auto" w:sz="6" w:space="0"/>
          <w:right w:val="single" w:color="auto" w:sz="6" w:space="3"/>
        </w:pBdr>
        <w:kinsoku/>
        <w:wordWrap/>
        <w:overflowPunct/>
        <w:topLinePunct w:val="0"/>
        <w:autoSpaceDE w:val="0"/>
        <w:autoSpaceDN w:val="0"/>
        <w:bidi w:val="0"/>
        <w:adjustRightInd/>
        <w:snapToGrid/>
        <w:spacing w:before="75" w:beforeAutospacing="0" w:after="75" w:afterAutospacing="0" w:line="360" w:lineRule="auto"/>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lang w:eastAsia="zh-CN"/>
        </w:rPr>
        <w:t>巴马瑶族自治县财政投资评审中心造价咨询服务机构采购</w:t>
      </w:r>
      <w:r>
        <w:rPr>
          <w:rFonts w:hint="eastAsia" w:ascii="宋体" w:hAnsi="宋体" w:eastAsia="宋体" w:cs="宋体"/>
          <w:color w:val="auto"/>
          <w:sz w:val="21"/>
          <w:szCs w:val="21"/>
        </w:rPr>
        <w:t>招标项目的潜在投标人应</w:t>
      </w:r>
      <w:r>
        <w:rPr>
          <w:rFonts w:hint="eastAsia" w:ascii="宋体" w:hAnsi="宋体" w:eastAsia="宋体" w:cs="宋体"/>
          <w:color w:val="auto"/>
          <w:sz w:val="21"/>
          <w:szCs w:val="21"/>
          <w:lang w:eastAsia="zh-CN"/>
        </w:rPr>
        <w:t>同时</w:t>
      </w:r>
      <w:r>
        <w:rPr>
          <w:rFonts w:hint="eastAsia" w:ascii="宋体" w:hAnsi="宋体" w:eastAsia="宋体" w:cs="宋体"/>
          <w:color w:val="auto"/>
          <w:sz w:val="21"/>
          <w:szCs w:val="21"/>
        </w:rPr>
        <w:t>在</w:t>
      </w:r>
      <w:r>
        <w:rPr>
          <w:rFonts w:hint="eastAsia" w:ascii="宋体" w:hAnsi="宋体" w:eastAsia="宋体" w:cs="宋体"/>
          <w:color w:val="auto"/>
          <w:sz w:val="21"/>
          <w:szCs w:val="21"/>
          <w:u w:val="single"/>
        </w:rPr>
        <w:t>政采云平</w:t>
      </w:r>
      <w:r>
        <w:rPr>
          <w:rFonts w:hint="eastAsia" w:ascii="宋体" w:hAnsi="宋体" w:eastAsia="宋体" w:cs="宋体"/>
          <w:color w:val="auto"/>
          <w:sz w:val="21"/>
          <w:szCs w:val="21"/>
          <w:u w:val="single"/>
          <w:lang w:eastAsia="zh-CN"/>
        </w:rPr>
        <w:t>台</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"http://www.zcygov.cn/"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u w:val="single"/>
        </w:rPr>
        <w:t>http://www.zcygov.cn/</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w:t>
      </w:r>
      <w:r>
        <w:rPr>
          <w:rFonts w:hint="eastAsia" w:cs="宋体"/>
          <w:color w:val="auto"/>
          <w:sz w:val="21"/>
          <w:szCs w:val="21"/>
          <w:u w:val="single"/>
          <w:lang w:eastAsia="zh-CN"/>
        </w:rPr>
        <w:t>和</w:t>
      </w:r>
      <w:r>
        <w:rPr>
          <w:rFonts w:hint="eastAsia" w:ascii="宋体" w:hAnsi="宋体" w:eastAsia="宋体" w:cs="宋体"/>
          <w:color w:val="auto"/>
          <w:sz w:val="21"/>
          <w:szCs w:val="21"/>
          <w:u w:val="single"/>
          <w:lang w:eastAsia="zh-CN"/>
        </w:rPr>
        <w:t>巴马瑶族自治县公共资源交易中心网</w:t>
      </w:r>
      <w:r>
        <w:rPr>
          <w:rFonts w:hint="eastAsia" w:ascii="宋体" w:hAnsi="宋体" w:eastAsia="宋体" w:cs="宋体"/>
          <w:color w:val="auto"/>
          <w:sz w:val="21"/>
          <w:szCs w:val="21"/>
          <w:u w:val="single"/>
        </w:rPr>
        <w:t>（http://www.bmggzy.org.cn/gxbmzbw/）</w:t>
      </w:r>
      <w:r>
        <w:rPr>
          <w:rFonts w:hint="eastAsia" w:ascii="宋体" w:hAnsi="宋体" w:eastAsia="宋体" w:cs="宋体"/>
          <w:color w:val="auto"/>
          <w:sz w:val="21"/>
          <w:szCs w:val="21"/>
        </w:rPr>
        <w:t>获取招标文件，并于</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2020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12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16 </w:t>
      </w:r>
      <w:r>
        <w:rPr>
          <w:rFonts w:hint="eastAsia" w:ascii="宋体" w:hAnsi="宋体" w:eastAsia="宋体" w:cs="宋体"/>
          <w:color w:val="auto"/>
          <w:sz w:val="21"/>
          <w:szCs w:val="21"/>
          <w:highlight w:val="none"/>
        </w:rPr>
        <w:t>日</w:t>
      </w:r>
      <w:r>
        <w:rPr>
          <w:rFonts w:hint="eastAsia" w:cs="宋体"/>
          <w:color w:val="auto"/>
          <w:sz w:val="21"/>
          <w:szCs w:val="21"/>
          <w:highlight w:val="none"/>
          <w:u w:val="single"/>
          <w:lang w:val="en-US" w:eastAsia="zh-CN"/>
        </w:rPr>
        <w:t xml:space="preserve"> 09 </w:t>
      </w:r>
      <w:r>
        <w:rPr>
          <w:rFonts w:hint="eastAsia" w:ascii="宋体" w:hAnsi="宋体" w:eastAsia="宋体" w:cs="宋体"/>
          <w:color w:val="auto"/>
          <w:sz w:val="21"/>
          <w:szCs w:val="21"/>
          <w:highlight w:val="none"/>
          <w:u w:val="none"/>
        </w:rPr>
        <w:t>点</w:t>
      </w:r>
      <w:r>
        <w:rPr>
          <w:rFonts w:hint="eastAsia"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rPr>
        <w:t>北京时间）前递交投标文件。</w:t>
      </w:r>
    </w:p>
    <w:p>
      <w:pPr>
        <w:pStyle w:val="4"/>
        <w:keepNext w:val="0"/>
        <w:keepLines w:val="0"/>
        <w:pageBreakBefore w:val="0"/>
        <w:widowControl/>
        <w:kinsoku/>
        <w:wordWrap/>
        <w:overflowPunct/>
        <w:topLinePunct w:val="0"/>
        <w:autoSpaceDE w:val="0"/>
        <w:autoSpaceDN w:val="0"/>
        <w:bidi w:val="0"/>
        <w:adjustRightInd/>
        <w:snapToGrid/>
        <w:spacing w:line="360" w:lineRule="auto"/>
        <w:ind w:left="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一、项目基本情况</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HCZC2020-G3-270071-DBXM</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巴马瑶族自治县财政投资评审中心造价咨询服务机构采购</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采购需求：通过公开招标10家具备乙级以上资质的工程造价咨询机构作为评审中心的评审服务机构。如需进一步了解详细内容，详见招标文件。</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合同履行期限：本次服务采购有效期为两年，具体时间以签订合同时间为准。</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二、投标人的资格要求：</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2.落实政府采购政策需满足的资格要求：《政府采购促进中小企业发展暂行办法》（财库[2011]181 号）、《财政部、司法部关于政府采购支持监狱企业发展有关问题的通知》（财库〔2014〕68 号）、《财政部民政部中国残疾人联合会关于促进残疾人就业政府采购政策的通知》（财库〔2017〕141 号）等政府采购相关政策。</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3.1国内注册（指按国家有关规定要求注册的），具有提供本次招标采购服务能力的合法供应商；</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3.2在中国境内注册，具有建设行政主管部门颁发的工程造价咨询企业乙级及以上资质；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3.3具有良好的商业信誉和健全的财务会计制度，良好的财务状况；</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3.4具有履行合同所必须的设备和专业技术能力</w:t>
      </w:r>
      <w:r>
        <w:rPr>
          <w:rFonts w:hint="eastAsia" w:cs="宋体"/>
          <w:color w:val="auto"/>
          <w:sz w:val="21"/>
          <w:szCs w:val="21"/>
          <w:lang w:eastAsia="zh-CN"/>
        </w:rPr>
        <w:t>；</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3.5有依法缴纳税收和社会保障资金的良好记录；</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3.6本项目不接受未成功报名的供应商投标；</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3.7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三、获取招标文件</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时间：</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本项目招标公告发布之日起</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eastAsia="zh-CN"/>
        </w:rPr>
        <w:t>投标截止时间</w:t>
      </w:r>
      <w:r>
        <w:rPr>
          <w:rFonts w:hint="eastAsia" w:ascii="宋体" w:hAnsi="宋体" w:eastAsia="宋体" w:cs="宋体"/>
          <w:color w:val="auto"/>
          <w:sz w:val="21"/>
          <w:szCs w:val="21"/>
          <w:highlight w:val="none"/>
        </w:rPr>
        <w:t>止</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地点：政采云平台（</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"http://www.zcygov.cn/"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http://www.zcygov.cn/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w:t>
      </w:r>
      <w:r>
        <w:rPr>
          <w:rFonts w:hint="eastAsia" w:cs="宋体"/>
          <w:color w:val="auto"/>
          <w:sz w:val="21"/>
          <w:szCs w:val="21"/>
          <w:lang w:eastAsia="zh-CN"/>
        </w:rPr>
        <w:t>和</w:t>
      </w:r>
      <w:r>
        <w:rPr>
          <w:rFonts w:hint="eastAsia" w:ascii="宋体" w:hAnsi="宋体" w:eastAsia="宋体" w:cs="宋体"/>
          <w:color w:val="auto"/>
          <w:sz w:val="21"/>
          <w:szCs w:val="21"/>
          <w:lang w:eastAsia="zh-CN"/>
        </w:rPr>
        <w:t>巴马瑶族自治县公共资源交易中心网</w:t>
      </w:r>
      <w:r>
        <w:rPr>
          <w:rFonts w:hint="eastAsia" w:ascii="宋体" w:hAnsi="宋体" w:eastAsia="宋体" w:cs="宋体"/>
          <w:color w:val="auto"/>
          <w:sz w:val="21"/>
          <w:szCs w:val="21"/>
        </w:rPr>
        <w:t>（http://www.bmggzy.org.cn/gxbmzbw/）</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4" w:rightChars="-20" w:firstLine="5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方式：本项目为网上免费下载招标文件，</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本项目招标公告发布之日起</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eastAsia="zh-CN"/>
        </w:rPr>
        <w:t>投标截止时间</w:t>
      </w:r>
      <w:r>
        <w:rPr>
          <w:rFonts w:hint="eastAsia" w:ascii="宋体" w:hAnsi="宋体" w:eastAsia="宋体" w:cs="宋体"/>
          <w:color w:val="auto"/>
          <w:sz w:val="21"/>
          <w:szCs w:val="21"/>
          <w:highlight w:val="none"/>
        </w:rPr>
        <w:t>止</w:t>
      </w:r>
      <w:r>
        <w:rPr>
          <w:rFonts w:hint="eastAsia" w:ascii="宋体" w:hAnsi="宋体" w:eastAsia="宋体" w:cs="宋体"/>
          <w:color w:val="auto"/>
          <w:sz w:val="21"/>
          <w:szCs w:val="21"/>
        </w:rPr>
        <w:t>，潜在投标人可以登录</w:t>
      </w:r>
      <w:r>
        <w:rPr>
          <w:rFonts w:hint="eastAsia" w:ascii="宋体" w:hAnsi="宋体" w:eastAsia="宋体" w:cs="宋体"/>
          <w:color w:val="auto"/>
          <w:sz w:val="21"/>
          <w:szCs w:val="21"/>
          <w:lang w:eastAsia="zh-CN"/>
        </w:rPr>
        <w:t>巴马瑶族自治县公共资源交易中心网</w:t>
      </w:r>
      <w:r>
        <w:rPr>
          <w:rFonts w:hint="eastAsia" w:ascii="宋体" w:hAnsi="宋体" w:eastAsia="宋体" w:cs="宋体"/>
          <w:color w:val="auto"/>
          <w:sz w:val="21"/>
          <w:szCs w:val="21"/>
        </w:rPr>
        <w:t>（http://www.bmggzy.org.cn/gxbmzbw/），在</w:t>
      </w:r>
      <w:r>
        <w:rPr>
          <w:rFonts w:hint="eastAsia" w:ascii="宋体" w:hAnsi="宋体" w:eastAsia="宋体" w:cs="宋体"/>
          <w:color w:val="auto"/>
          <w:sz w:val="21"/>
          <w:szCs w:val="21"/>
          <w:lang w:eastAsia="zh-CN"/>
        </w:rPr>
        <w:t>巴马瑶族自治县</w:t>
      </w:r>
      <w:r>
        <w:rPr>
          <w:rFonts w:hint="eastAsia" w:ascii="宋体" w:hAnsi="宋体" w:eastAsia="宋体" w:cs="宋体"/>
          <w:color w:val="auto"/>
          <w:sz w:val="21"/>
          <w:szCs w:val="21"/>
        </w:rPr>
        <w:t>公共资源交易中心电子交易平台注册，并在系统上下载招标文件，逾期下载无效。同时在政采云平台（</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"https://www.zcygov.cn/"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https://www.zcygov.cn/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）下载招标文件电子版。</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售价：0元</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四、提交投标文件截止时间、开标时间和地点</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截止时间</w:t>
      </w:r>
      <w:r>
        <w:rPr>
          <w:rFonts w:hint="eastAsia" w:ascii="宋体" w:hAnsi="宋体" w:eastAsia="宋体" w:cs="宋体"/>
          <w:color w:val="auto"/>
          <w:sz w:val="21"/>
          <w:szCs w:val="21"/>
          <w:highlight w:val="none"/>
        </w:rPr>
        <w:t>：</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2020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12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16 </w:t>
      </w:r>
      <w:r>
        <w:rPr>
          <w:rFonts w:hint="eastAsia" w:ascii="宋体" w:hAnsi="宋体" w:eastAsia="宋体" w:cs="宋体"/>
          <w:color w:val="auto"/>
          <w:sz w:val="21"/>
          <w:szCs w:val="21"/>
          <w:highlight w:val="none"/>
        </w:rPr>
        <w:t>日</w:t>
      </w:r>
      <w:r>
        <w:rPr>
          <w:rFonts w:hint="eastAsia" w:cs="宋体"/>
          <w:color w:val="auto"/>
          <w:sz w:val="21"/>
          <w:szCs w:val="21"/>
          <w:highlight w:val="none"/>
          <w:u w:val="single"/>
          <w:lang w:val="en-US" w:eastAsia="zh-CN"/>
        </w:rPr>
        <w:t xml:space="preserve"> 09 </w:t>
      </w:r>
      <w:r>
        <w:rPr>
          <w:rFonts w:hint="eastAsia" w:ascii="宋体" w:hAnsi="宋体" w:eastAsia="宋体" w:cs="宋体"/>
          <w:color w:val="auto"/>
          <w:sz w:val="21"/>
          <w:szCs w:val="21"/>
          <w:highlight w:val="none"/>
          <w:u w:val="none"/>
        </w:rPr>
        <w:t>点</w:t>
      </w:r>
      <w:r>
        <w:rPr>
          <w:rFonts w:hint="eastAsia"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北京时间）（自招标文件开始发出之日起至投标人提交投标文件截止之日止，不得少于20日），逾期送达的将予以拒收。</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开标时间：</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2020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12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16 </w:t>
      </w:r>
      <w:r>
        <w:rPr>
          <w:rFonts w:hint="eastAsia" w:ascii="宋体" w:hAnsi="宋体" w:eastAsia="宋体" w:cs="宋体"/>
          <w:color w:val="auto"/>
          <w:sz w:val="21"/>
          <w:szCs w:val="21"/>
          <w:highlight w:val="none"/>
        </w:rPr>
        <w:t>日</w:t>
      </w:r>
      <w:r>
        <w:rPr>
          <w:rFonts w:hint="eastAsia" w:cs="宋体"/>
          <w:color w:val="auto"/>
          <w:sz w:val="21"/>
          <w:szCs w:val="21"/>
          <w:highlight w:val="none"/>
          <w:u w:val="single"/>
          <w:lang w:val="en-US" w:eastAsia="zh-CN"/>
        </w:rPr>
        <w:t xml:space="preserve"> 09 </w:t>
      </w:r>
      <w:r>
        <w:rPr>
          <w:rFonts w:hint="eastAsia" w:ascii="宋体" w:hAnsi="宋体" w:eastAsia="宋体" w:cs="宋体"/>
          <w:color w:val="auto"/>
          <w:sz w:val="21"/>
          <w:szCs w:val="21"/>
          <w:highlight w:val="none"/>
          <w:u w:val="none"/>
        </w:rPr>
        <w:t>点</w:t>
      </w:r>
      <w:r>
        <w:rPr>
          <w:rFonts w:hint="eastAsia"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（北京时间）</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地点：巴马瑶族自治县公共资源交易管理局三楼开标厅。</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五、公告期限</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自本公告发布之日起5个工作日。</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六、其他补充事宜</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Style w:val="26"/>
          <w:rFonts w:hint="eastAsia" w:ascii="宋体" w:hAnsi="宋体" w:eastAsia="宋体" w:cs="宋体"/>
          <w:color w:val="auto"/>
          <w:sz w:val="21"/>
          <w:szCs w:val="21"/>
        </w:rPr>
        <w:t>投标保证金(人民币)：</w:t>
      </w:r>
      <w:r>
        <w:rPr>
          <w:rFonts w:hint="eastAsia" w:ascii="宋体" w:hAnsi="宋体" w:eastAsia="宋体" w:cs="宋体"/>
          <w:color w:val="auto"/>
          <w:sz w:val="21"/>
          <w:szCs w:val="21"/>
          <w:u w:val="single"/>
        </w:rPr>
        <w:t>壹万元整（¥10000.00）</w:t>
      </w:r>
      <w:r>
        <w:rPr>
          <w:rStyle w:val="26"/>
          <w:rFonts w:hint="eastAsia" w:ascii="宋体" w:hAnsi="宋体" w:eastAsia="宋体" w:cs="宋体"/>
          <w:color w:val="auto"/>
          <w:sz w:val="21"/>
          <w:szCs w:val="21"/>
        </w:rPr>
        <w:t>。</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投标人应于投标截止时间前将投标保证金以电汇、转帐、汇票等非现金形式（必须从投标人银行基本账户转出，否则视为无效投标保证金）交至</w:t>
      </w:r>
      <w:r>
        <w:rPr>
          <w:rFonts w:hint="eastAsia" w:ascii="宋体" w:hAnsi="宋体" w:eastAsia="宋体" w:cs="宋体"/>
          <w:color w:val="auto"/>
          <w:sz w:val="21"/>
          <w:szCs w:val="21"/>
          <w:lang w:eastAsia="zh-CN"/>
        </w:rPr>
        <w:t>巴马瑶族自治县</w:t>
      </w:r>
      <w:r>
        <w:rPr>
          <w:rFonts w:hint="eastAsia" w:ascii="宋体" w:hAnsi="宋体" w:eastAsia="宋体" w:cs="宋体"/>
          <w:color w:val="auto"/>
          <w:sz w:val="21"/>
          <w:szCs w:val="21"/>
        </w:rPr>
        <w:t>公共资源交易中心账户</w:t>
      </w:r>
      <w:r>
        <w:rPr>
          <w:rFonts w:hint="eastAsia" w:cs="宋体"/>
          <w:color w:val="auto"/>
          <w:sz w:val="21"/>
          <w:szCs w:val="21"/>
          <w:lang w:eastAsia="zh-CN"/>
        </w:rPr>
        <w:t>（投标人自行在巴马交易平台系统中查询账户信息）</w:t>
      </w:r>
      <w:r>
        <w:rPr>
          <w:rFonts w:hint="eastAsia" w:ascii="宋体" w:hAnsi="宋体" w:eastAsia="宋体" w:cs="宋体"/>
          <w:color w:val="auto"/>
          <w:sz w:val="21"/>
          <w:szCs w:val="21"/>
        </w:rPr>
        <w:t>。</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七、对本次招标提出询问，请按以下方式联系。</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1.采购人信息</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巴马瑶族自治县</w:t>
      </w:r>
      <w:r>
        <w:rPr>
          <w:rFonts w:hint="eastAsia" w:ascii="宋体" w:hAnsi="宋体" w:eastAsia="宋体" w:cs="宋体"/>
          <w:color w:val="auto"/>
          <w:sz w:val="21"/>
          <w:szCs w:val="21"/>
        </w:rPr>
        <w:t>财政局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val="en-US" w:eastAsia="zh-CN"/>
        </w:rPr>
        <w:t>巴马镇寿乡大道120号</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cs="宋体"/>
          <w:color w:val="auto"/>
          <w:sz w:val="21"/>
          <w:szCs w:val="21"/>
          <w:lang w:eastAsia="zh-CN"/>
        </w:rPr>
        <w:t>卢金山</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联系方式：</w:t>
      </w:r>
      <w:r>
        <w:rPr>
          <w:rFonts w:hint="eastAsia" w:cs="宋体"/>
          <w:color w:val="auto"/>
          <w:sz w:val="21"/>
          <w:szCs w:val="21"/>
          <w:lang w:val="en-US" w:eastAsia="zh-CN"/>
        </w:rPr>
        <w:t>18176168663</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称：广西盾邦工程项目管理有限公司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址：河池市任香路旁市体育训练北面金旅国际投资大厦2单元14层1403号</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3.项目联系方式</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eastAsia="zh-CN"/>
        </w:rPr>
        <w:t>韦姣</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话：</w:t>
      </w:r>
      <w:r>
        <w:rPr>
          <w:rFonts w:hint="eastAsia" w:ascii="宋体" w:hAnsi="宋体" w:eastAsia="宋体" w:cs="宋体"/>
          <w:color w:val="auto"/>
          <w:sz w:val="21"/>
          <w:szCs w:val="21"/>
          <w:lang w:val="en-US" w:eastAsia="zh-CN"/>
        </w:rPr>
        <w:t>0778-2777722</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50" w:lineRule="exact"/>
        <w:textAlignment w:val="auto"/>
        <w:rPr>
          <w:rFonts w:cs="宋体"/>
          <w:color w:val="auto"/>
          <w:szCs w:val="24"/>
        </w:rPr>
      </w:pPr>
      <w:r>
        <w:rPr>
          <w:rFonts w:hint="eastAsia" w:cs="宋体"/>
          <w:color w:val="auto"/>
          <w:sz w:val="21"/>
          <w:szCs w:val="21"/>
        </w:rPr>
        <w:t>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50" w:lineRule="exact"/>
        <w:ind w:left="240"/>
        <w:jc w:val="center"/>
        <w:textAlignment w:val="auto"/>
        <w:rPr>
          <w:rFonts w:cs="宋体"/>
          <w:color w:val="auto"/>
          <w:szCs w:val="24"/>
          <w:highlight w:val="yellow"/>
        </w:rPr>
      </w:pPr>
      <w:r>
        <w:rPr>
          <w:rFonts w:hint="eastAsia" w:cs="宋体"/>
          <w:color w:val="auto"/>
          <w:sz w:val="21"/>
          <w:szCs w:val="21"/>
        </w:rPr>
        <w:t xml:space="preserve">                                              </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40" w:lineRule="exact"/>
        <w:ind w:left="240"/>
        <w:jc w:val="center"/>
        <w:textAlignment w:val="auto"/>
        <w:rPr>
          <w:rFonts w:cs="宋体"/>
          <w:color w:val="auto"/>
          <w:szCs w:val="24"/>
        </w:rPr>
      </w:pPr>
      <w:r>
        <w:rPr>
          <w:rFonts w:hint="eastAsia" w:cs="宋体"/>
          <w:color w:val="auto"/>
          <w:sz w:val="21"/>
          <w:szCs w:val="21"/>
        </w:rPr>
        <w:t xml:space="preserve">                                                   </w:t>
      </w:r>
    </w:p>
    <w:p>
      <w:pPr>
        <w:pStyle w:val="5"/>
        <w:ind w:right="277" w:firstLine="1687" w:firstLineChars="600"/>
        <w:jc w:val="both"/>
        <w:outlineLvl w:val="9"/>
        <w:rPr>
          <w:color w:val="auto"/>
        </w:rPr>
      </w:pPr>
    </w:p>
    <w:p>
      <w:pPr>
        <w:pStyle w:val="5"/>
        <w:ind w:right="277" w:firstLine="1687" w:firstLineChars="600"/>
        <w:jc w:val="both"/>
        <w:outlineLvl w:val="9"/>
        <w:rPr>
          <w:color w:val="auto"/>
        </w:rPr>
      </w:pPr>
    </w:p>
    <w:p>
      <w:pPr>
        <w:rPr>
          <w:color w:val="auto"/>
        </w:rPr>
      </w:pPr>
    </w:p>
    <w:p>
      <w:pPr>
        <w:pStyle w:val="5"/>
        <w:outlineLvl w:val="9"/>
        <w:rPr>
          <w:color w:val="auto"/>
        </w:rPr>
      </w:pPr>
    </w:p>
    <w:p>
      <w:pPr>
        <w:rPr>
          <w:color w:val="auto"/>
        </w:rPr>
      </w:pPr>
    </w:p>
    <w:p>
      <w:pPr>
        <w:pStyle w:val="5"/>
        <w:outlineLvl w:val="9"/>
        <w:rPr>
          <w:color w:val="auto"/>
        </w:rPr>
      </w:pPr>
    </w:p>
    <w:p>
      <w:pPr>
        <w:rPr>
          <w:color w:val="auto"/>
        </w:rPr>
      </w:pPr>
    </w:p>
    <w:p>
      <w:pPr>
        <w:pStyle w:val="5"/>
        <w:outlineLvl w:val="9"/>
        <w:rPr>
          <w:color w:val="auto"/>
        </w:rPr>
      </w:pPr>
    </w:p>
    <w:p>
      <w:pPr>
        <w:ind w:right="88" w:rightChars="40"/>
        <w:rPr>
          <w:color w:val="auto"/>
        </w:rPr>
      </w:pPr>
    </w:p>
    <w:p>
      <w:pPr>
        <w:pStyle w:val="5"/>
        <w:outlineLvl w:val="9"/>
        <w:rPr>
          <w:color w:val="auto"/>
        </w:rPr>
      </w:pPr>
    </w:p>
    <w:p>
      <w:pPr>
        <w:rPr>
          <w:color w:val="auto"/>
        </w:rPr>
      </w:pPr>
    </w:p>
    <w:p>
      <w:pPr>
        <w:rPr>
          <w:color w:val="auto"/>
        </w:rPr>
      </w:pPr>
    </w:p>
    <w:p>
      <w:pPr>
        <w:pStyle w:val="5"/>
        <w:outlineLvl w:val="9"/>
        <w:rPr>
          <w:color w:val="auto"/>
        </w:rPr>
      </w:pPr>
    </w:p>
    <w:p>
      <w:pPr>
        <w:ind w:right="350" w:rightChars="159"/>
        <w:rPr>
          <w:color w:val="auto"/>
        </w:rPr>
      </w:pPr>
    </w:p>
    <w:p>
      <w:pPr>
        <w:spacing w:line="417" w:lineRule="auto"/>
        <w:rPr>
          <w:color w:val="auto"/>
        </w:rPr>
        <w:sectPr>
          <w:footerReference r:id="rId9" w:type="default"/>
          <w:pgSz w:w="11910" w:h="16840"/>
          <w:pgMar w:top="1134" w:right="1134" w:bottom="1134" w:left="1180" w:header="1020" w:footer="850" w:gutter="0"/>
          <w:pgNumType w:fmt="decimal" w:start="1"/>
          <w:cols w:equalWidth="0" w:num="1">
            <w:col w:w="10250"/>
          </w:cols>
          <w:rtlGutter w:val="0"/>
        </w:sectPr>
      </w:pPr>
    </w:p>
    <w:p>
      <w:pPr>
        <w:pStyle w:val="12"/>
        <w:spacing w:before="5"/>
        <w:rPr>
          <w:color w:val="auto"/>
          <w:sz w:val="12"/>
        </w:rPr>
      </w:pPr>
    </w:p>
    <w:p>
      <w:pPr>
        <w:pStyle w:val="3"/>
        <w:tabs>
          <w:tab w:val="left" w:pos="1286"/>
        </w:tabs>
        <w:spacing w:before="54"/>
        <w:ind w:left="0" w:right="7"/>
        <w:jc w:val="center"/>
        <w:rPr>
          <w:color w:val="auto"/>
        </w:rPr>
      </w:pPr>
      <w:bookmarkStart w:id="3" w:name="_TOC_250011"/>
      <w:bookmarkEnd w:id="3"/>
      <w:bookmarkStart w:id="4" w:name="_Toc32407"/>
      <w:r>
        <w:rPr>
          <w:rFonts w:hint="eastAsia"/>
          <w:color w:val="auto"/>
        </w:rPr>
        <w:t>第二章</w:t>
      </w:r>
      <w:r>
        <w:rPr>
          <w:rFonts w:hint="eastAsia"/>
          <w:color w:val="auto"/>
        </w:rPr>
        <w:tab/>
      </w:r>
      <w:r>
        <w:rPr>
          <w:rFonts w:hint="eastAsia"/>
          <w:color w:val="auto"/>
        </w:rPr>
        <w:t>投标人须知</w:t>
      </w:r>
      <w:bookmarkEnd w:id="4"/>
    </w:p>
    <w:p>
      <w:pPr>
        <w:pStyle w:val="7"/>
        <w:ind w:firstLine="2891" w:firstLineChars="1200"/>
        <w:jc w:val="both"/>
        <w:rPr>
          <w:color w:val="auto"/>
        </w:rPr>
      </w:pPr>
      <w:r>
        <w:rPr>
          <w:rFonts w:hint="eastAsia"/>
          <w:color w:val="auto"/>
        </w:rPr>
        <w:t>投 标 人 须 知 前 附 表</w:t>
      </w:r>
    </w:p>
    <w:tbl>
      <w:tblPr>
        <w:tblStyle w:val="23"/>
        <w:tblW w:w="9831"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915"/>
        <w:gridCol w:w="1566"/>
        <w:gridCol w:w="6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tcPr>
          <w:p>
            <w:pPr>
              <w:pStyle w:val="32"/>
              <w:spacing w:before="94" w:line="360" w:lineRule="auto"/>
              <w:ind w:left="129" w:right="12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915" w:type="dxa"/>
          </w:tcPr>
          <w:p>
            <w:pPr>
              <w:pStyle w:val="32"/>
              <w:spacing w:before="94" w:line="360" w:lineRule="auto"/>
              <w:ind w:left="123" w:right="114"/>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566" w:type="dxa"/>
          </w:tcPr>
          <w:p>
            <w:pPr>
              <w:pStyle w:val="32"/>
              <w:spacing w:before="116" w:line="360" w:lineRule="auto"/>
              <w:ind w:left="132"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条款名称</w:t>
            </w:r>
          </w:p>
        </w:tc>
        <w:tc>
          <w:tcPr>
            <w:tcW w:w="6633" w:type="dxa"/>
          </w:tcPr>
          <w:p>
            <w:pPr>
              <w:pStyle w:val="32"/>
              <w:spacing w:before="116" w:line="360" w:lineRule="auto"/>
              <w:ind w:right="2858" w:firstLine="2100" w:firstLineChars="1000"/>
              <w:jc w:val="both"/>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17" w:type="dxa"/>
          </w:tcPr>
          <w:p>
            <w:pPr>
              <w:pStyle w:val="32"/>
              <w:spacing w:before="2" w:line="360" w:lineRule="auto"/>
              <w:rPr>
                <w:rFonts w:hint="eastAsia" w:ascii="宋体" w:hAnsi="宋体" w:eastAsia="宋体" w:cs="宋体"/>
                <w:b/>
                <w:color w:val="auto"/>
                <w:sz w:val="21"/>
                <w:szCs w:val="21"/>
              </w:rPr>
            </w:pPr>
          </w:p>
          <w:p>
            <w:pPr>
              <w:pStyle w:val="32"/>
              <w:spacing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15" w:type="dxa"/>
          </w:tcPr>
          <w:p>
            <w:pPr>
              <w:pStyle w:val="32"/>
              <w:spacing w:before="2" w:line="360" w:lineRule="auto"/>
              <w:rPr>
                <w:rFonts w:hint="eastAsia" w:ascii="宋体" w:hAnsi="宋体" w:eastAsia="宋体" w:cs="宋体"/>
                <w:b/>
                <w:color w:val="auto"/>
                <w:sz w:val="21"/>
                <w:szCs w:val="21"/>
              </w:rPr>
            </w:pPr>
          </w:p>
          <w:p>
            <w:pPr>
              <w:pStyle w:val="32"/>
              <w:spacing w:line="360" w:lineRule="auto"/>
              <w:ind w:left="4"/>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6" w:type="dxa"/>
          </w:tcPr>
          <w:p>
            <w:pPr>
              <w:pStyle w:val="32"/>
              <w:spacing w:before="41" w:line="360" w:lineRule="auto"/>
              <w:ind w:left="134"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项目名称及项</w:t>
            </w:r>
          </w:p>
          <w:p>
            <w:pPr>
              <w:pStyle w:val="32"/>
              <w:spacing w:before="53" w:line="360" w:lineRule="auto"/>
              <w:ind w:left="134"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目编号</w:t>
            </w:r>
          </w:p>
        </w:tc>
        <w:tc>
          <w:tcPr>
            <w:tcW w:w="6633" w:type="dxa"/>
          </w:tcPr>
          <w:p>
            <w:pPr>
              <w:pStyle w:val="32"/>
              <w:keepNext w:val="0"/>
              <w:keepLines w:val="0"/>
              <w:pageBreakBefore w:val="0"/>
              <w:widowControl w:val="0"/>
              <w:kinsoku/>
              <w:wordWrap/>
              <w:overflowPunct/>
              <w:topLinePunct w:val="0"/>
              <w:autoSpaceDE w:val="0"/>
              <w:autoSpaceDN w:val="0"/>
              <w:bidi w:val="0"/>
              <w:adjustRightInd/>
              <w:snapToGrid/>
              <w:spacing w:before="41" w:line="360" w:lineRule="auto"/>
              <w:ind w:left="108"/>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巴马瑶族自治县财政投资评审中心造价咨询服务机构采购</w:t>
            </w:r>
          </w:p>
          <w:p>
            <w:pPr>
              <w:pStyle w:val="32"/>
              <w:spacing w:before="53" w:line="360" w:lineRule="auto"/>
              <w:ind w:left="10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HCZC2020-G3-270071-DBXM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0" w:hRule="atLeast"/>
        </w:trPr>
        <w:tc>
          <w:tcPr>
            <w:tcW w:w="717" w:type="dxa"/>
            <w:vAlign w:val="center"/>
          </w:tcPr>
          <w:p>
            <w:pPr>
              <w:pStyle w:val="32"/>
              <w:spacing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15" w:type="dxa"/>
            <w:vAlign w:val="center"/>
          </w:tcPr>
          <w:p>
            <w:pPr>
              <w:pStyle w:val="32"/>
              <w:spacing w:line="360" w:lineRule="auto"/>
              <w:ind w:left="4"/>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566" w:type="dxa"/>
            <w:vAlign w:val="center"/>
          </w:tcPr>
          <w:p>
            <w:pPr>
              <w:pStyle w:val="32"/>
              <w:spacing w:line="360" w:lineRule="auto"/>
              <w:ind w:left="132"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投标人资格</w:t>
            </w:r>
          </w:p>
        </w:tc>
        <w:tc>
          <w:tcPr>
            <w:tcW w:w="6633" w:type="dxa"/>
          </w:tcPr>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2.落实政府采购政策需满足的资格要求：《政府采购促进中小企业发展暂行办法》（财库[2011]181 号）、《财政部、司法部关于政府采购支持监狱企业发展有关问题的通知》（财库〔2014〕68号）、《财政部民政部中国残疾人联合会关于促进残疾人就业政府采购政策的通知》（财库〔2017〕141 号）、等政府采购相关政策。</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3.1国内注册（指按国家有关规定要求注册的），具有提供本次招标采购服务能力的合法供应商；</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3.2在中国境内注册，具有建设行政主管部门颁发的工程造价咨询企业乙级及以上资质；</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3.3具有良好的商业信誉和健全的财务会计制度，良好的财务状况；</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3.4具有履行合同所必须的设备和专业技术能力，</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3.5有依法缴纳税收和社会保障资金的良好记录；</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3.6本项目不接受未成功报名的供应商投标；</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3.7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widowControl/>
              <w:spacing w:before="75" w:beforeAutospacing="0" w:after="75" w:afterAutospacing="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7" w:type="dxa"/>
          </w:tcPr>
          <w:p>
            <w:pPr>
              <w:pStyle w:val="32"/>
              <w:spacing w:before="58"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915" w:type="dxa"/>
          </w:tcPr>
          <w:p>
            <w:pPr>
              <w:pStyle w:val="32"/>
              <w:spacing w:before="58" w:line="360" w:lineRule="auto"/>
              <w:ind w:left="4"/>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566" w:type="dxa"/>
          </w:tcPr>
          <w:p>
            <w:pPr>
              <w:pStyle w:val="32"/>
              <w:spacing w:before="53" w:line="360" w:lineRule="auto"/>
              <w:ind w:left="132"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投标费用</w:t>
            </w:r>
          </w:p>
        </w:tc>
        <w:tc>
          <w:tcPr>
            <w:tcW w:w="6633" w:type="dxa"/>
          </w:tcPr>
          <w:p>
            <w:pPr>
              <w:pStyle w:val="32"/>
              <w:spacing w:before="53" w:line="360" w:lineRule="auto"/>
              <w:ind w:left="105"/>
              <w:rPr>
                <w:rFonts w:hint="eastAsia" w:ascii="宋体" w:hAnsi="宋体" w:eastAsia="宋体" w:cs="宋体"/>
                <w:color w:val="auto"/>
                <w:sz w:val="21"/>
                <w:szCs w:val="21"/>
              </w:rPr>
            </w:pPr>
            <w:r>
              <w:rPr>
                <w:rFonts w:hint="eastAsia" w:ascii="宋体" w:hAnsi="宋体" w:eastAsia="宋体" w:cs="宋体"/>
                <w:color w:val="auto"/>
                <w:sz w:val="21"/>
                <w:szCs w:val="21"/>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17" w:type="dxa"/>
          </w:tcPr>
          <w:p>
            <w:pPr>
              <w:pStyle w:val="32"/>
              <w:spacing w:before="2" w:line="360" w:lineRule="auto"/>
              <w:rPr>
                <w:rFonts w:hint="eastAsia" w:ascii="宋体" w:hAnsi="宋体" w:eastAsia="宋体" w:cs="宋体"/>
                <w:b/>
                <w:color w:val="auto"/>
                <w:sz w:val="21"/>
                <w:szCs w:val="21"/>
              </w:rPr>
            </w:pPr>
          </w:p>
          <w:p>
            <w:pPr>
              <w:pStyle w:val="32"/>
              <w:spacing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915" w:type="dxa"/>
          </w:tcPr>
          <w:p>
            <w:pPr>
              <w:pStyle w:val="32"/>
              <w:spacing w:before="8" w:line="360" w:lineRule="auto"/>
              <w:rPr>
                <w:rFonts w:hint="eastAsia" w:ascii="宋体" w:hAnsi="宋体" w:eastAsia="宋体" w:cs="宋体"/>
                <w:b/>
                <w:color w:val="auto"/>
                <w:sz w:val="21"/>
                <w:szCs w:val="21"/>
              </w:rPr>
            </w:pPr>
          </w:p>
          <w:p>
            <w:pPr>
              <w:pStyle w:val="32"/>
              <w:spacing w:line="360" w:lineRule="auto"/>
              <w:ind w:left="118" w:right="114"/>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566" w:type="dxa"/>
          </w:tcPr>
          <w:p>
            <w:pPr>
              <w:pStyle w:val="32"/>
              <w:spacing w:before="10" w:line="360" w:lineRule="auto"/>
              <w:rPr>
                <w:rFonts w:hint="eastAsia" w:ascii="宋体" w:hAnsi="宋体" w:eastAsia="宋体" w:cs="宋体"/>
                <w:b/>
                <w:color w:val="auto"/>
                <w:sz w:val="21"/>
                <w:szCs w:val="21"/>
              </w:rPr>
            </w:pPr>
          </w:p>
          <w:p>
            <w:pPr>
              <w:pStyle w:val="32"/>
              <w:spacing w:line="360" w:lineRule="auto"/>
              <w:ind w:left="132"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6633" w:type="dxa"/>
          </w:tcPr>
          <w:p>
            <w:pPr>
              <w:pStyle w:val="32"/>
              <w:spacing w:before="41" w:line="360" w:lineRule="auto"/>
              <w:ind w:left="160"/>
              <w:rPr>
                <w:rFonts w:hint="eastAsia" w:ascii="宋体" w:hAnsi="宋体" w:eastAsia="宋体" w:cs="宋体"/>
                <w:color w:val="auto"/>
                <w:sz w:val="21"/>
                <w:szCs w:val="21"/>
              </w:rPr>
            </w:pPr>
            <w:r>
              <w:rPr>
                <w:rFonts w:hint="eastAsia" w:ascii="宋体" w:hAnsi="宋体" w:eastAsia="宋体" w:cs="宋体"/>
                <w:color w:val="auto"/>
                <w:sz w:val="21"/>
                <w:szCs w:val="21"/>
              </w:rPr>
              <w:t>1.本项目投标应以</w:t>
            </w:r>
            <w:r>
              <w:rPr>
                <w:rFonts w:hint="eastAsia" w:ascii="宋体" w:hAnsi="宋体" w:eastAsia="宋体" w:cs="宋体"/>
                <w:b/>
                <w:bCs/>
                <w:color w:val="auto"/>
                <w:sz w:val="21"/>
                <w:szCs w:val="21"/>
              </w:rPr>
              <w:t>费率报价</w:t>
            </w:r>
            <w:r>
              <w:rPr>
                <w:rFonts w:hint="eastAsia" w:ascii="宋体" w:hAnsi="宋体" w:eastAsia="宋体" w:cs="宋体"/>
                <w:color w:val="auto"/>
                <w:sz w:val="21"/>
                <w:szCs w:val="21"/>
              </w:rPr>
              <w:t>；2.不论投标结果如何，投标人均应自行承担所有与投标有关的全部费用。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17" w:type="dxa"/>
          </w:tcPr>
          <w:p>
            <w:pPr>
              <w:pStyle w:val="32"/>
              <w:spacing w:before="56"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915" w:type="dxa"/>
          </w:tcPr>
          <w:p>
            <w:pPr>
              <w:pStyle w:val="32"/>
              <w:spacing w:before="56" w:line="360" w:lineRule="auto"/>
              <w:ind w:left="123" w:right="114"/>
              <w:jc w:val="center"/>
              <w:rPr>
                <w:rFonts w:hint="eastAsia" w:ascii="宋体" w:hAnsi="宋体" w:eastAsia="宋体" w:cs="宋体"/>
                <w:color w:val="auto"/>
                <w:sz w:val="21"/>
                <w:szCs w:val="21"/>
              </w:rPr>
            </w:pPr>
            <w:r>
              <w:rPr>
                <w:rFonts w:hint="eastAsia" w:ascii="宋体" w:hAnsi="宋体" w:eastAsia="宋体" w:cs="宋体"/>
                <w:color w:val="auto"/>
                <w:sz w:val="21"/>
                <w:szCs w:val="21"/>
              </w:rPr>
              <w:t>16.1</w:t>
            </w:r>
          </w:p>
        </w:tc>
        <w:tc>
          <w:tcPr>
            <w:tcW w:w="1566" w:type="dxa"/>
          </w:tcPr>
          <w:p>
            <w:pPr>
              <w:pStyle w:val="32"/>
              <w:spacing w:before="51" w:line="360" w:lineRule="auto"/>
              <w:ind w:left="132"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tcPr>
          <w:p>
            <w:pPr>
              <w:pStyle w:val="32"/>
              <w:spacing w:before="51" w:line="360" w:lineRule="auto"/>
              <w:ind w:left="10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717"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before="11" w:line="360" w:lineRule="auto"/>
              <w:jc w:val="center"/>
              <w:rPr>
                <w:rFonts w:hint="eastAsia" w:ascii="宋体" w:hAnsi="宋体" w:eastAsia="宋体" w:cs="宋体"/>
                <w:b/>
                <w:color w:val="auto"/>
                <w:sz w:val="21"/>
                <w:szCs w:val="21"/>
              </w:rPr>
            </w:pPr>
          </w:p>
          <w:p>
            <w:pPr>
              <w:pStyle w:val="32"/>
              <w:spacing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915"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before="11" w:line="360" w:lineRule="auto"/>
              <w:jc w:val="center"/>
              <w:rPr>
                <w:rFonts w:hint="eastAsia" w:ascii="宋体" w:hAnsi="宋体" w:eastAsia="宋体" w:cs="宋体"/>
                <w:b/>
                <w:color w:val="auto"/>
                <w:sz w:val="21"/>
                <w:szCs w:val="21"/>
              </w:rPr>
            </w:pPr>
          </w:p>
          <w:p>
            <w:pPr>
              <w:pStyle w:val="32"/>
              <w:spacing w:line="360" w:lineRule="auto"/>
              <w:ind w:left="118" w:right="114"/>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566" w:type="dxa"/>
            <w:vAlign w:val="center"/>
          </w:tcPr>
          <w:p>
            <w:pPr>
              <w:pStyle w:val="32"/>
              <w:spacing w:before="1" w:line="360" w:lineRule="auto"/>
              <w:ind w:left="132"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6633" w:type="dxa"/>
            <w:vAlign w:val="center"/>
          </w:tcPr>
          <w:p>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投标保证金：</w:t>
            </w:r>
            <w:r>
              <w:rPr>
                <w:rFonts w:hint="eastAsia" w:ascii="宋体" w:hAnsi="宋体" w:eastAsia="宋体" w:cs="宋体"/>
                <w:color w:val="auto"/>
                <w:kern w:val="0"/>
                <w:sz w:val="21"/>
                <w:szCs w:val="21"/>
                <w:u w:val="single"/>
              </w:rPr>
              <w:t xml:space="preserve"> 壹 </w:t>
            </w:r>
            <w:r>
              <w:rPr>
                <w:rFonts w:hint="eastAsia" w:ascii="宋体" w:hAnsi="宋体" w:eastAsia="宋体" w:cs="宋体"/>
                <w:color w:val="auto"/>
                <w:kern w:val="0"/>
                <w:sz w:val="21"/>
                <w:szCs w:val="21"/>
              </w:rPr>
              <w:t>万元整</w:t>
            </w:r>
          </w:p>
          <w:p>
            <w:pPr>
              <w:pStyle w:val="2"/>
              <w:spacing w:line="360" w:lineRule="auto"/>
              <w:ind w:left="0" w:leftChars="0"/>
              <w:rPr>
                <w:rFonts w:hint="eastAsia" w:ascii="宋体" w:hAnsi="宋体" w:eastAsia="宋体" w:cs="宋体"/>
                <w:color w:val="auto"/>
                <w:sz w:val="21"/>
                <w:szCs w:val="21"/>
              </w:rPr>
            </w:pPr>
            <w:r>
              <w:rPr>
                <w:rFonts w:hint="eastAsia" w:ascii="宋体" w:hAnsi="宋体" w:eastAsia="宋体" w:cs="宋体"/>
                <w:color w:val="auto"/>
                <w:sz w:val="21"/>
                <w:szCs w:val="21"/>
              </w:rPr>
              <w:t>投标保证金的形式：银行转账、电汇或网上支付、银行保函。禁止采用现钞交纳方式。</w:t>
            </w:r>
          </w:p>
          <w:p>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shd w:val="clear" w:color="auto" w:fill="FFFFFF"/>
              </w:rPr>
              <w:t>本项目不接受现金形式或从个人账户转出的投标保证金，投标人必须将投标保证金从投标人的基本账户以转账或电汇形式转出，注明项目编号，并于截标日期前到达</w:t>
            </w:r>
            <w:r>
              <w:rPr>
                <w:rFonts w:hint="eastAsia" w:ascii="宋体" w:hAnsi="宋体" w:eastAsia="宋体" w:cs="宋体"/>
                <w:color w:val="auto"/>
                <w:sz w:val="21"/>
                <w:szCs w:val="21"/>
                <w:shd w:val="clear" w:color="auto" w:fill="FFFFFF"/>
                <w:lang w:val="en-US" w:eastAsia="zh-CN"/>
              </w:rPr>
              <w:t>指定</w:t>
            </w:r>
            <w:r>
              <w:rPr>
                <w:rFonts w:hint="eastAsia" w:ascii="宋体" w:hAnsi="宋体" w:eastAsia="宋体" w:cs="宋体"/>
                <w:color w:val="auto"/>
                <w:sz w:val="21"/>
                <w:szCs w:val="21"/>
                <w:shd w:val="clear" w:color="auto" w:fill="FFFFFF"/>
              </w:rPr>
              <w:t>账户</w:t>
            </w:r>
            <w:r>
              <w:rPr>
                <w:rFonts w:hint="eastAsia" w:ascii="宋体" w:hAnsi="宋体" w:eastAsia="宋体" w:cs="宋体"/>
                <w:color w:val="auto"/>
                <w:sz w:val="21"/>
                <w:szCs w:val="21"/>
                <w:shd w:val="clear" w:color="auto" w:fill="FFFFFF"/>
                <w:lang w:eastAsia="zh-CN"/>
              </w:rPr>
              <w:t>。</w:t>
            </w:r>
            <w:r>
              <w:rPr>
                <w:rFonts w:hint="eastAsia" w:cs="宋体"/>
                <w:color w:val="auto"/>
                <w:sz w:val="21"/>
                <w:szCs w:val="21"/>
                <w:shd w:val="clear" w:color="auto" w:fill="FFFFFF"/>
                <w:lang w:eastAsia="zh-CN"/>
              </w:rPr>
              <w:t>（检查保证金缴纳情况时，除采用银行保函的形式外，其余形式均以交易中心实际到账为准）</w:t>
            </w:r>
          </w:p>
          <w:p>
            <w:pPr>
              <w:spacing w:line="36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b/>
                <w:color w:val="auto"/>
                <w:sz w:val="21"/>
                <w:szCs w:val="21"/>
                <w:lang w:bidi="ar"/>
              </w:rPr>
              <w:t>银行账号：投标人在</w:t>
            </w:r>
            <w:r>
              <w:rPr>
                <w:rFonts w:hint="eastAsia" w:ascii="宋体" w:hAnsi="宋体" w:eastAsia="宋体" w:cs="宋体"/>
                <w:b/>
                <w:color w:val="auto"/>
                <w:sz w:val="21"/>
                <w:szCs w:val="21"/>
                <w:lang w:eastAsia="zh-CN" w:bidi="ar"/>
              </w:rPr>
              <w:t>巴马瑶族自治县</w:t>
            </w:r>
            <w:r>
              <w:rPr>
                <w:rFonts w:hint="eastAsia" w:ascii="宋体" w:hAnsi="宋体" w:eastAsia="宋体" w:cs="宋体"/>
                <w:b/>
                <w:color w:val="auto"/>
                <w:sz w:val="21"/>
                <w:szCs w:val="21"/>
                <w:lang w:bidi="ar"/>
              </w:rPr>
              <w:t>公共资源交易中心电子交易平台</w:t>
            </w:r>
            <w:r>
              <w:rPr>
                <w:rFonts w:hint="eastAsia" w:ascii="宋体" w:hAnsi="宋体" w:eastAsia="宋体" w:cs="宋体"/>
                <w:b/>
                <w:color w:val="auto"/>
                <w:sz w:val="21"/>
                <w:szCs w:val="21"/>
                <w:lang w:eastAsia="zh-CN" w:bidi="ar"/>
              </w:rPr>
              <w:t>系统内</w:t>
            </w:r>
            <w:r>
              <w:rPr>
                <w:rFonts w:hint="eastAsia" w:ascii="宋体" w:hAnsi="宋体" w:eastAsia="宋体" w:cs="宋体"/>
                <w:b/>
                <w:color w:val="auto"/>
                <w:sz w:val="21"/>
                <w:szCs w:val="21"/>
                <w:lang w:bidi="ar"/>
              </w:rPr>
              <w:t>自行查询本项目相应的保证金账户信息</w:t>
            </w:r>
            <w:r>
              <w:rPr>
                <w:rFonts w:hint="eastAsia" w:cs="宋体"/>
                <w:b/>
                <w:color w:val="auto"/>
                <w:sz w:val="21"/>
                <w:szCs w:val="21"/>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7" w:type="dxa"/>
            <w:vAlign w:val="center"/>
          </w:tcPr>
          <w:p>
            <w:pPr>
              <w:pStyle w:val="32"/>
              <w:spacing w:before="56"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915" w:type="dxa"/>
            <w:vAlign w:val="center"/>
          </w:tcPr>
          <w:p>
            <w:pPr>
              <w:pStyle w:val="32"/>
              <w:spacing w:before="56" w:line="360" w:lineRule="auto"/>
              <w:ind w:left="123" w:right="114"/>
              <w:jc w:val="center"/>
              <w:rPr>
                <w:rFonts w:hint="eastAsia" w:ascii="宋体" w:hAnsi="宋体" w:eastAsia="宋体" w:cs="宋体"/>
                <w:color w:val="auto"/>
                <w:sz w:val="21"/>
                <w:szCs w:val="21"/>
              </w:rPr>
            </w:pPr>
            <w:r>
              <w:rPr>
                <w:rFonts w:hint="eastAsia" w:ascii="宋体" w:hAnsi="宋体" w:eastAsia="宋体" w:cs="宋体"/>
                <w:color w:val="auto"/>
                <w:sz w:val="21"/>
                <w:szCs w:val="21"/>
              </w:rPr>
              <w:t>18.1</w:t>
            </w:r>
          </w:p>
        </w:tc>
        <w:tc>
          <w:tcPr>
            <w:tcW w:w="1566" w:type="dxa"/>
            <w:vAlign w:val="center"/>
          </w:tcPr>
          <w:p>
            <w:pPr>
              <w:pStyle w:val="32"/>
              <w:spacing w:before="51" w:line="360" w:lineRule="auto"/>
              <w:ind w:left="134"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633" w:type="dxa"/>
            <w:vAlign w:val="center"/>
          </w:tcPr>
          <w:p>
            <w:pPr>
              <w:pStyle w:val="32"/>
              <w:spacing w:before="51" w:line="360" w:lineRule="auto"/>
              <w:ind w:left="105"/>
              <w:jc w:val="both"/>
              <w:rPr>
                <w:rFonts w:hint="eastAsia" w:ascii="宋体" w:hAnsi="宋体" w:eastAsia="宋体" w:cs="宋体"/>
                <w:color w:val="auto"/>
                <w:sz w:val="21"/>
                <w:szCs w:val="21"/>
              </w:rPr>
            </w:pPr>
            <w:r>
              <w:rPr>
                <w:rFonts w:hint="eastAsia" w:ascii="宋体" w:hAnsi="宋体" w:eastAsia="宋体" w:cs="宋体"/>
                <w:color w:val="auto"/>
                <w:sz w:val="21"/>
                <w:szCs w:val="21"/>
              </w:rPr>
              <w:t>投标文件：正本壹册，副本</w:t>
            </w:r>
            <w:r>
              <w:rPr>
                <w:rFonts w:hint="eastAsia" w:ascii="宋体" w:hAnsi="宋体" w:eastAsia="宋体" w:cs="宋体"/>
                <w:color w:val="auto"/>
                <w:sz w:val="21"/>
                <w:szCs w:val="21"/>
                <w:lang w:eastAsia="zh-CN"/>
              </w:rPr>
              <w:t>肆</w:t>
            </w:r>
            <w:r>
              <w:rPr>
                <w:rFonts w:hint="eastAsia" w:ascii="宋体" w:hAnsi="宋体" w:eastAsia="宋体" w:cs="宋体"/>
                <w:color w:val="auto"/>
                <w:sz w:val="21"/>
                <w:szCs w:val="21"/>
              </w:rPr>
              <w:t>册及</w:t>
            </w:r>
            <w:r>
              <w:rPr>
                <w:rFonts w:hint="eastAsia" w:ascii="宋体" w:hAnsi="宋体" w:eastAsia="宋体" w:cs="宋体"/>
                <w:color w:val="auto"/>
                <w:spacing w:val="-6"/>
                <w:sz w:val="21"/>
                <w:szCs w:val="21"/>
              </w:rPr>
              <w:t xml:space="preserve">电子版投标文件 </w:t>
            </w:r>
            <w:r>
              <w:rPr>
                <w:rFonts w:hint="eastAsia" w:ascii="宋体" w:hAnsi="宋体" w:eastAsia="宋体" w:cs="宋体"/>
                <w:color w:val="auto"/>
                <w:sz w:val="21"/>
                <w:szCs w:val="21"/>
              </w:rPr>
              <w:t xml:space="preserve">1 </w:t>
            </w:r>
            <w:r>
              <w:rPr>
                <w:rFonts w:hint="eastAsia" w:ascii="宋体" w:hAnsi="宋体" w:eastAsia="宋体" w:cs="宋体"/>
                <w:color w:val="auto"/>
                <w:spacing w:val="-17"/>
                <w:sz w:val="21"/>
                <w:szCs w:val="21"/>
              </w:rPr>
              <w:t>份</w:t>
            </w:r>
            <w:r>
              <w:rPr>
                <w:rFonts w:hint="eastAsia" w:ascii="宋体" w:hAnsi="宋体" w:eastAsia="宋体" w:cs="宋体"/>
                <w:color w:val="auto"/>
                <w:sz w:val="21"/>
                <w:szCs w:val="21"/>
              </w:rPr>
              <w:t>（U 盘），须完整提交。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717"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before="174"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915"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before="174" w:line="360" w:lineRule="auto"/>
              <w:ind w:left="123" w:right="114"/>
              <w:jc w:val="center"/>
              <w:rPr>
                <w:rFonts w:hint="eastAsia" w:ascii="宋体" w:hAnsi="宋体" w:eastAsia="宋体" w:cs="宋体"/>
                <w:color w:val="auto"/>
                <w:sz w:val="21"/>
                <w:szCs w:val="21"/>
              </w:rPr>
            </w:pPr>
            <w:r>
              <w:rPr>
                <w:rFonts w:hint="eastAsia" w:ascii="宋体" w:hAnsi="宋体" w:eastAsia="宋体" w:cs="宋体"/>
                <w:color w:val="auto"/>
                <w:sz w:val="21"/>
                <w:szCs w:val="21"/>
              </w:rPr>
              <w:t>18.2</w:t>
            </w:r>
          </w:p>
        </w:tc>
        <w:tc>
          <w:tcPr>
            <w:tcW w:w="1566"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before="169" w:line="360" w:lineRule="auto"/>
              <w:ind w:left="134"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投标文件装订</w:t>
            </w:r>
          </w:p>
        </w:tc>
        <w:tc>
          <w:tcPr>
            <w:tcW w:w="6633" w:type="dxa"/>
            <w:vAlign w:val="center"/>
          </w:tcPr>
          <w:p>
            <w:pPr>
              <w:pStyle w:val="32"/>
              <w:spacing w:before="41" w:line="360" w:lineRule="auto"/>
              <w:ind w:left="105" w:right="-15"/>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 xml:space="preserve">投标人应按投标人须知第 </w:t>
            </w:r>
            <w:r>
              <w:rPr>
                <w:rFonts w:hint="eastAsia" w:ascii="宋体" w:hAnsi="宋体" w:eastAsia="宋体" w:cs="宋体"/>
                <w:color w:val="auto"/>
                <w:sz w:val="21"/>
                <w:szCs w:val="21"/>
              </w:rPr>
              <w:t>13.1</w:t>
            </w:r>
            <w:r>
              <w:rPr>
                <w:rFonts w:hint="eastAsia" w:ascii="宋体" w:hAnsi="宋体" w:eastAsia="宋体" w:cs="宋体"/>
                <w:color w:val="auto"/>
                <w:spacing w:val="-9"/>
                <w:sz w:val="21"/>
                <w:szCs w:val="21"/>
              </w:rPr>
              <w:t xml:space="preserve"> 条“投标文件的组成”规定的顺序自编目</w:t>
            </w:r>
            <w:r>
              <w:rPr>
                <w:rFonts w:hint="eastAsia" w:ascii="宋体" w:hAnsi="宋体" w:eastAsia="宋体" w:cs="宋体"/>
                <w:color w:val="auto"/>
                <w:spacing w:val="-19"/>
                <w:sz w:val="21"/>
                <w:szCs w:val="21"/>
              </w:rPr>
              <w:t xml:space="preserve">录及页码，投标文件的“正本”、“副本”应当单独装订成册并标注页码， </w:t>
            </w:r>
            <w:r>
              <w:rPr>
                <w:rFonts w:hint="eastAsia" w:ascii="宋体" w:hAnsi="宋体" w:eastAsia="宋体" w:cs="宋体"/>
                <w:color w:val="auto"/>
                <w:spacing w:val="-15"/>
                <w:sz w:val="21"/>
                <w:szCs w:val="21"/>
              </w:rPr>
              <w:t>胶装装订应牢固，不易拆散和换页</w:t>
            </w:r>
            <w:r>
              <w:rPr>
                <w:rFonts w:hint="eastAsia" w:ascii="宋体" w:hAnsi="宋体" w:eastAsia="宋体" w:cs="宋体"/>
                <w:color w:val="auto"/>
                <w:sz w:val="21"/>
                <w:szCs w:val="21"/>
              </w:rPr>
              <w:t>（A4</w:t>
            </w:r>
            <w:r>
              <w:rPr>
                <w:rFonts w:hint="eastAsia" w:ascii="宋体" w:hAnsi="宋体" w:eastAsia="宋体" w:cs="宋体"/>
                <w:color w:val="auto"/>
                <w:spacing w:val="-6"/>
                <w:sz w:val="21"/>
                <w:szCs w:val="21"/>
              </w:rPr>
              <w:t xml:space="preserve"> 标准纸装订</w:t>
            </w:r>
            <w:r>
              <w:rPr>
                <w:rFonts w:hint="eastAsia" w:ascii="宋体" w:hAnsi="宋体" w:eastAsia="宋体" w:cs="宋体"/>
                <w:color w:val="auto"/>
                <w:spacing w:val="-106"/>
                <w:sz w:val="21"/>
                <w:szCs w:val="21"/>
              </w:rPr>
              <w:t>）</w:t>
            </w:r>
            <w:r>
              <w:rPr>
                <w:rFonts w:hint="eastAsia" w:ascii="宋体" w:hAnsi="宋体" w:eastAsia="宋体" w:cs="宋体"/>
                <w:color w:val="auto"/>
                <w:spacing w:val="-26"/>
                <w:sz w:val="21"/>
                <w:szCs w:val="21"/>
              </w:rPr>
              <w:t>。封面应注明“正本”、“副本”字样</w:t>
            </w:r>
            <w:r>
              <w:rPr>
                <w:rFonts w:hint="eastAsia" w:ascii="宋体" w:hAnsi="宋体" w:eastAsia="宋体" w:cs="宋体"/>
                <w:color w:val="auto"/>
                <w:spacing w:val="-26"/>
                <w:sz w:val="21"/>
                <w:szCs w:val="21"/>
                <w:lang w:eastAsia="zh-CN"/>
              </w:rPr>
              <w:t>，封面内容见招标文件</w:t>
            </w: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6" w:line="360" w:lineRule="auto"/>
              <w:jc w:val="center"/>
              <w:rPr>
                <w:rFonts w:hint="eastAsia" w:ascii="宋体" w:hAnsi="宋体" w:eastAsia="宋体" w:cs="宋体"/>
                <w:b/>
                <w:color w:val="auto"/>
                <w:sz w:val="21"/>
                <w:szCs w:val="21"/>
              </w:rPr>
            </w:pPr>
          </w:p>
          <w:p>
            <w:pPr>
              <w:pStyle w:val="32"/>
              <w:spacing w:line="360" w:lineRule="auto"/>
              <w:ind w:left="9"/>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915" w:type="dxa"/>
            <w:vAlign w:val="center"/>
          </w:tcPr>
          <w:p>
            <w:pPr>
              <w:pStyle w:val="32"/>
              <w:spacing w:before="6" w:line="360" w:lineRule="auto"/>
              <w:jc w:val="center"/>
              <w:rPr>
                <w:rFonts w:hint="eastAsia" w:ascii="宋体" w:hAnsi="宋体" w:eastAsia="宋体" w:cs="宋体"/>
                <w:b/>
                <w:color w:val="auto"/>
                <w:sz w:val="21"/>
                <w:szCs w:val="21"/>
              </w:rPr>
            </w:pPr>
          </w:p>
          <w:p>
            <w:pPr>
              <w:pStyle w:val="32"/>
              <w:spacing w:line="360" w:lineRule="auto"/>
              <w:ind w:left="123" w:right="114"/>
              <w:jc w:val="center"/>
              <w:rPr>
                <w:rFonts w:hint="eastAsia" w:ascii="宋体" w:hAnsi="宋体" w:eastAsia="宋体" w:cs="宋体"/>
                <w:color w:val="auto"/>
                <w:sz w:val="21"/>
                <w:szCs w:val="21"/>
              </w:rPr>
            </w:pPr>
            <w:r>
              <w:rPr>
                <w:rFonts w:hint="eastAsia" w:ascii="宋体" w:hAnsi="宋体" w:eastAsia="宋体" w:cs="宋体"/>
                <w:color w:val="auto"/>
                <w:sz w:val="21"/>
                <w:szCs w:val="21"/>
              </w:rPr>
              <w:t>18.6</w:t>
            </w:r>
          </w:p>
        </w:tc>
        <w:tc>
          <w:tcPr>
            <w:tcW w:w="1566" w:type="dxa"/>
            <w:vAlign w:val="center"/>
          </w:tcPr>
          <w:p>
            <w:pPr>
              <w:pStyle w:val="32"/>
              <w:spacing w:before="1" w:line="360" w:lineRule="auto"/>
              <w:jc w:val="center"/>
              <w:rPr>
                <w:rFonts w:hint="eastAsia" w:ascii="宋体" w:hAnsi="宋体" w:eastAsia="宋体" w:cs="宋体"/>
                <w:b/>
                <w:color w:val="auto"/>
                <w:sz w:val="21"/>
                <w:szCs w:val="21"/>
              </w:rPr>
            </w:pPr>
          </w:p>
          <w:p>
            <w:pPr>
              <w:pStyle w:val="32"/>
              <w:spacing w:before="1" w:line="360" w:lineRule="auto"/>
              <w:ind w:left="132" w:right="126"/>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投标人公章</w:t>
            </w:r>
          </w:p>
        </w:tc>
        <w:tc>
          <w:tcPr>
            <w:tcW w:w="6633" w:type="dxa"/>
            <w:vAlign w:val="center"/>
          </w:tcPr>
          <w:p>
            <w:pPr>
              <w:pStyle w:val="32"/>
              <w:spacing w:before="41" w:line="360" w:lineRule="auto"/>
              <w:ind w:left="105" w:right="98"/>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本招标文件中描述投标人的“公章”是指根据我国对公章的管理规定， 用投标人法定主体行为名称制作的印章，除本招标文件有特殊规定外，</w:t>
            </w:r>
            <w:r>
              <w:rPr>
                <w:rFonts w:hint="eastAsia" w:ascii="宋体" w:hAnsi="宋体" w:eastAsia="宋体" w:cs="宋体"/>
                <w:color w:val="auto"/>
                <w:sz w:val="21"/>
                <w:szCs w:val="21"/>
              </w:rPr>
              <w:t>投标人的财务章、部门章、分公司章、工会章、合同章、投标专用章、业务专用章等其它形式印章均不能代替公章。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line="360" w:lineRule="auto"/>
              <w:ind w:left="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15" w:type="dxa"/>
            <w:vAlign w:val="center"/>
          </w:tcPr>
          <w:p>
            <w:pPr>
              <w:pStyle w:val="32"/>
              <w:spacing w:line="360" w:lineRule="auto"/>
              <w:jc w:val="center"/>
              <w:rPr>
                <w:rFonts w:hint="eastAsia" w:ascii="宋体" w:hAnsi="宋体" w:eastAsia="宋体" w:cs="宋体"/>
                <w:b/>
                <w:color w:val="auto"/>
                <w:sz w:val="21"/>
                <w:szCs w:val="21"/>
              </w:rPr>
            </w:pPr>
          </w:p>
          <w:p>
            <w:pPr>
              <w:pStyle w:val="32"/>
              <w:spacing w:before="6" w:line="360" w:lineRule="auto"/>
              <w:jc w:val="center"/>
              <w:rPr>
                <w:rFonts w:hint="eastAsia" w:ascii="宋体" w:hAnsi="宋体" w:eastAsia="宋体" w:cs="宋体"/>
                <w:b/>
                <w:color w:val="auto"/>
                <w:sz w:val="21"/>
                <w:szCs w:val="21"/>
              </w:rPr>
            </w:pPr>
          </w:p>
          <w:p>
            <w:pPr>
              <w:pStyle w:val="32"/>
              <w:spacing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18.7</w:t>
            </w:r>
          </w:p>
        </w:tc>
        <w:tc>
          <w:tcPr>
            <w:tcW w:w="1566" w:type="dxa"/>
            <w:vAlign w:val="center"/>
          </w:tcPr>
          <w:p>
            <w:pPr>
              <w:pStyle w:val="32"/>
              <w:spacing w:before="7" w:line="360" w:lineRule="auto"/>
              <w:jc w:val="center"/>
              <w:rPr>
                <w:rFonts w:hint="eastAsia" w:ascii="宋体" w:hAnsi="宋体" w:eastAsia="宋体" w:cs="宋体"/>
                <w:b/>
                <w:color w:val="auto"/>
                <w:sz w:val="21"/>
                <w:szCs w:val="21"/>
              </w:rPr>
            </w:pPr>
          </w:p>
          <w:p>
            <w:pPr>
              <w:pStyle w:val="32"/>
              <w:spacing w:line="360" w:lineRule="auto"/>
              <w:ind w:left="256" w:leftChars="0" w:right="248"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投标文件包装、密封、</w:t>
            </w:r>
          </w:p>
        </w:tc>
        <w:tc>
          <w:tcPr>
            <w:tcW w:w="6633" w:type="dxa"/>
            <w:vAlign w:val="center"/>
          </w:tcPr>
          <w:p>
            <w:pPr>
              <w:pStyle w:val="32"/>
              <w:spacing w:before="47" w:line="360" w:lineRule="auto"/>
              <w:ind w:left="105" w:leftChars="0" w:right="-15" w:rightChars="0"/>
              <w:jc w:val="both"/>
              <w:rPr>
                <w:rFonts w:hint="eastAsia" w:ascii="宋体" w:hAnsi="宋体" w:eastAsia="宋体" w:cs="宋体"/>
                <w:color w:val="auto"/>
                <w:spacing w:val="-1"/>
                <w:sz w:val="21"/>
                <w:szCs w:val="21"/>
              </w:rPr>
            </w:pPr>
            <w:r>
              <w:rPr>
                <w:rFonts w:hint="eastAsia" w:ascii="宋体" w:hAnsi="宋体" w:eastAsia="宋体" w:cs="宋体"/>
                <w:color w:val="auto"/>
                <w:spacing w:val="-15"/>
                <w:sz w:val="21"/>
                <w:szCs w:val="21"/>
              </w:rPr>
              <w:t>将投标文件“正本”、“副本”一并装入并密封在一个投标文件袋</w:t>
            </w:r>
            <w:r>
              <w:rPr>
                <w:rFonts w:hint="eastAsia" w:ascii="宋体" w:hAnsi="宋体" w:eastAsia="宋体" w:cs="宋体"/>
                <w:color w:val="auto"/>
                <w:sz w:val="21"/>
                <w:szCs w:val="21"/>
              </w:rPr>
              <w:t>（盒、箱）中，并在密封处密封签章（公章、密封章、法定代表人（企业负责人</w:t>
            </w:r>
            <w:r>
              <w:rPr>
                <w:rFonts w:hint="eastAsia" w:ascii="宋体" w:hAnsi="宋体" w:eastAsia="宋体" w:cs="宋体"/>
                <w:color w:val="auto"/>
                <w:spacing w:val="-60"/>
                <w:sz w:val="21"/>
                <w:szCs w:val="21"/>
              </w:rPr>
              <w:t>）</w:t>
            </w:r>
            <w:r>
              <w:rPr>
                <w:rFonts w:hint="eastAsia" w:ascii="宋体" w:hAnsi="宋体" w:eastAsia="宋体" w:cs="宋体"/>
                <w:color w:val="auto"/>
                <w:spacing w:val="-3"/>
                <w:sz w:val="21"/>
                <w:szCs w:val="21"/>
              </w:rPr>
              <w:t>或其授权委托代理人签字均可</w:t>
            </w:r>
            <w:r>
              <w:rPr>
                <w:rFonts w:hint="eastAsia" w:ascii="宋体" w:hAnsi="宋体" w:eastAsia="宋体" w:cs="宋体"/>
                <w:color w:val="auto"/>
                <w:spacing w:val="-84"/>
                <w:sz w:val="21"/>
                <w:szCs w:val="21"/>
              </w:rPr>
              <w:t>）</w:t>
            </w:r>
            <w:r>
              <w:rPr>
                <w:rFonts w:hint="eastAsia" w:ascii="宋体" w:hAnsi="宋体" w:eastAsia="宋体" w:cs="宋体"/>
                <w:color w:val="auto"/>
                <w:spacing w:val="-11"/>
                <w:sz w:val="21"/>
                <w:szCs w:val="21"/>
              </w:rPr>
              <w:t>，所有投标密封文件应保证其密封性，</w:t>
            </w:r>
            <w:r>
              <w:rPr>
                <w:rFonts w:hint="eastAsia" w:ascii="宋体" w:hAnsi="宋体" w:eastAsia="宋体" w:cs="宋体"/>
                <w:color w:val="auto"/>
                <w:sz w:val="21"/>
                <w:szCs w:val="21"/>
              </w:rPr>
              <w:t>并在骑缝处加盖投标人单位公章。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line="360" w:lineRule="auto"/>
              <w:ind w:left="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915"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18.8</w:t>
            </w:r>
          </w:p>
        </w:tc>
        <w:tc>
          <w:tcPr>
            <w:tcW w:w="1566"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ind w:right="95"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投标文件袋标记</w:t>
            </w:r>
          </w:p>
        </w:tc>
        <w:tc>
          <w:tcPr>
            <w:tcW w:w="6633" w:type="dxa"/>
            <w:vAlign w:val="top"/>
          </w:tcPr>
          <w:p>
            <w:pPr>
              <w:pStyle w:val="32"/>
              <w:tabs>
                <w:tab w:val="left" w:pos="1458"/>
                <w:tab w:val="left" w:pos="1984"/>
                <w:tab w:val="left" w:pos="2661"/>
              </w:tabs>
              <w:spacing w:line="360" w:lineRule="auto"/>
              <w:ind w:left="105"/>
              <w:rPr>
                <w:rFonts w:hint="eastAsia" w:ascii="宋体" w:hAnsi="宋体" w:eastAsia="宋体" w:cs="宋体"/>
                <w:color w:val="auto"/>
                <w:sz w:val="21"/>
                <w:szCs w:val="21"/>
                <w:lang w:eastAsia="zh-CN"/>
              </w:rPr>
            </w:pPr>
          </w:p>
          <w:p>
            <w:pPr>
              <w:pStyle w:val="32"/>
              <w:tabs>
                <w:tab w:val="left" w:pos="1458"/>
                <w:tab w:val="left" w:pos="1984"/>
                <w:tab w:val="left" w:pos="2661"/>
              </w:tabs>
              <w:spacing w:line="360" w:lineRule="auto"/>
              <w:ind w:left="105" w:leftChars="0"/>
              <w:rPr>
                <w:rFonts w:hint="eastAsia" w:ascii="宋体" w:hAnsi="宋体" w:eastAsia="宋体" w:cs="宋体"/>
                <w:color w:val="auto"/>
                <w:spacing w:val="-15"/>
                <w:sz w:val="21"/>
                <w:szCs w:val="21"/>
              </w:rPr>
            </w:pPr>
            <w:r>
              <w:rPr>
                <w:rFonts w:hint="eastAsia" w:ascii="宋体" w:hAnsi="宋体" w:eastAsia="宋体" w:cs="宋体"/>
                <w:color w:val="auto"/>
                <w:sz w:val="21"/>
                <w:szCs w:val="21"/>
                <w:lang w:eastAsia="zh-CN"/>
              </w:rPr>
              <w:t>详见招标文件第六章格式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line="360" w:lineRule="auto"/>
              <w:ind w:left="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915" w:type="dxa"/>
            <w:vAlign w:val="center"/>
          </w:tcPr>
          <w:p>
            <w:pPr>
              <w:pStyle w:val="32"/>
              <w:spacing w:before="9" w:line="360" w:lineRule="auto"/>
              <w:jc w:val="center"/>
              <w:rPr>
                <w:rFonts w:hint="eastAsia" w:ascii="宋体" w:hAnsi="宋体" w:eastAsia="宋体" w:cs="宋体"/>
                <w:b/>
                <w:color w:val="auto"/>
                <w:sz w:val="21"/>
                <w:szCs w:val="21"/>
              </w:rPr>
            </w:pPr>
          </w:p>
          <w:p>
            <w:pPr>
              <w:pStyle w:val="32"/>
              <w:spacing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20.1</w:t>
            </w:r>
          </w:p>
        </w:tc>
        <w:tc>
          <w:tcPr>
            <w:tcW w:w="1566" w:type="dxa"/>
            <w:vAlign w:val="center"/>
          </w:tcPr>
          <w:p>
            <w:pPr>
              <w:pStyle w:val="32"/>
              <w:spacing w:before="44" w:line="360" w:lineRule="auto"/>
              <w:ind w:left="153" w:right="142"/>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投标文件递交时间及投标截</w:t>
            </w:r>
          </w:p>
          <w:p>
            <w:pPr>
              <w:pStyle w:val="32"/>
              <w:spacing w:line="360" w:lineRule="auto"/>
              <w:ind w:left="134" w:leftChars="0" w:right="12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止时间</w:t>
            </w:r>
          </w:p>
        </w:tc>
        <w:tc>
          <w:tcPr>
            <w:tcW w:w="6633" w:type="dxa"/>
            <w:vAlign w:val="top"/>
          </w:tcPr>
          <w:p>
            <w:pPr>
              <w:pStyle w:val="32"/>
              <w:spacing w:line="360" w:lineRule="auto"/>
              <w:rPr>
                <w:rFonts w:hint="eastAsia" w:ascii="宋体" w:hAnsi="宋体" w:eastAsia="宋体" w:cs="宋体"/>
                <w:b/>
                <w:color w:val="auto"/>
                <w:sz w:val="21"/>
                <w:szCs w:val="21"/>
                <w:highlight w:val="none"/>
              </w:rPr>
            </w:pPr>
          </w:p>
          <w:p>
            <w:pPr>
              <w:pStyle w:val="32"/>
              <w:spacing w:line="360" w:lineRule="auto"/>
              <w:ind w:left="10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投标文件递交时间：</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2020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cs="宋体"/>
                <w:color w:val="auto"/>
                <w:sz w:val="21"/>
                <w:szCs w:val="21"/>
                <w:highlight w:val="none"/>
                <w:u w:val="single"/>
                <w:lang w:val="en-US" w:eastAsia="zh-CN"/>
              </w:rPr>
              <w:t xml:space="preserve"> 09 </w:t>
            </w:r>
            <w:r>
              <w:rPr>
                <w:rFonts w:hint="eastAsia" w:ascii="宋体" w:hAnsi="宋体" w:eastAsia="宋体" w:cs="宋体"/>
                <w:color w:val="auto"/>
                <w:sz w:val="21"/>
                <w:szCs w:val="21"/>
                <w:highlight w:val="none"/>
                <w:u w:val="none"/>
              </w:rPr>
              <w:t>点</w:t>
            </w:r>
            <w:r>
              <w:rPr>
                <w:rFonts w:hint="eastAsia"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w:t>
            </w:r>
          </w:p>
          <w:p>
            <w:pPr>
              <w:pStyle w:val="32"/>
              <w:spacing w:before="50" w:line="360" w:lineRule="auto"/>
              <w:ind w:left="105" w:leftChars="0"/>
              <w:rPr>
                <w:rFonts w:hint="eastAsia" w:ascii="宋体" w:hAnsi="宋体" w:eastAsia="宋体" w:cs="宋体"/>
                <w:color w:val="auto"/>
                <w:sz w:val="21"/>
                <w:szCs w:val="21"/>
                <w:lang w:eastAsia="zh-CN"/>
              </w:rPr>
            </w:pPr>
            <w:r>
              <w:rPr>
                <w:rFonts w:hint="eastAsia" w:ascii="宋体" w:hAnsi="宋体" w:eastAsia="宋体" w:cs="宋体"/>
                <w:b/>
                <w:color w:val="auto"/>
                <w:sz w:val="21"/>
                <w:szCs w:val="21"/>
                <w:highlight w:val="none"/>
              </w:rPr>
              <w:t>投标截止时间：</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2020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12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16 </w:t>
            </w:r>
            <w:r>
              <w:rPr>
                <w:rFonts w:hint="eastAsia" w:ascii="宋体" w:hAnsi="宋体" w:eastAsia="宋体" w:cs="宋体"/>
                <w:color w:val="auto"/>
                <w:sz w:val="21"/>
                <w:szCs w:val="21"/>
                <w:highlight w:val="none"/>
              </w:rPr>
              <w:t>日</w:t>
            </w:r>
            <w:r>
              <w:rPr>
                <w:rFonts w:hint="eastAsia" w:cs="宋体"/>
                <w:color w:val="auto"/>
                <w:sz w:val="21"/>
                <w:szCs w:val="21"/>
                <w:highlight w:val="none"/>
                <w:u w:val="single"/>
                <w:lang w:val="en-US" w:eastAsia="zh-CN"/>
              </w:rPr>
              <w:t xml:space="preserve"> 09 </w:t>
            </w:r>
            <w:r>
              <w:rPr>
                <w:rFonts w:hint="eastAsia" w:ascii="宋体" w:hAnsi="宋体" w:eastAsia="宋体" w:cs="宋体"/>
                <w:color w:val="auto"/>
                <w:sz w:val="21"/>
                <w:szCs w:val="21"/>
                <w:highlight w:val="none"/>
                <w:u w:val="none"/>
              </w:rPr>
              <w:t>点</w:t>
            </w:r>
            <w:r>
              <w:rPr>
                <w:rFonts w:hint="eastAsia"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line="360" w:lineRule="auto"/>
              <w:ind w:left="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915" w:type="dxa"/>
            <w:vAlign w:val="center"/>
          </w:tcPr>
          <w:p>
            <w:pPr>
              <w:pStyle w:val="32"/>
              <w:spacing w:before="7" w:line="360" w:lineRule="auto"/>
              <w:jc w:val="center"/>
              <w:rPr>
                <w:rFonts w:hint="eastAsia" w:ascii="宋体" w:hAnsi="宋体" w:eastAsia="宋体" w:cs="宋体"/>
                <w:b/>
                <w:color w:val="auto"/>
                <w:sz w:val="21"/>
                <w:szCs w:val="21"/>
              </w:rPr>
            </w:pPr>
          </w:p>
          <w:p>
            <w:pPr>
              <w:pStyle w:val="32"/>
              <w:spacing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p>
        </w:tc>
        <w:tc>
          <w:tcPr>
            <w:tcW w:w="1566" w:type="dxa"/>
            <w:vAlign w:val="center"/>
          </w:tcPr>
          <w:p>
            <w:pPr>
              <w:pStyle w:val="32"/>
              <w:spacing w:line="360" w:lineRule="auto"/>
              <w:ind w:left="573" w:leftChars="0" w:right="142" w:rightChars="0" w:hanging="42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投标文件递交地点</w:t>
            </w:r>
          </w:p>
        </w:tc>
        <w:tc>
          <w:tcPr>
            <w:tcW w:w="6633" w:type="dxa"/>
            <w:vAlign w:val="center"/>
          </w:tcPr>
          <w:p>
            <w:pPr>
              <w:pStyle w:val="32"/>
              <w:keepNext w:val="0"/>
              <w:keepLines w:val="0"/>
              <w:pageBreakBefore w:val="0"/>
              <w:widowControl w:val="0"/>
              <w:kinsoku/>
              <w:wordWrap/>
              <w:overflowPunct/>
              <w:topLinePunct w:val="0"/>
              <w:autoSpaceDE w:val="0"/>
              <w:autoSpaceDN w:val="0"/>
              <w:bidi w:val="0"/>
              <w:adjustRightInd/>
              <w:snapToGrid/>
              <w:spacing w:line="360" w:lineRule="auto"/>
              <w:ind w:left="105" w:leftChars="0" w:right="102" w:rightChars="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巴马瑶族自治县公共资源交易管理局三楼开标厅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5" w:line="360" w:lineRule="auto"/>
              <w:jc w:val="center"/>
              <w:rPr>
                <w:rFonts w:hint="eastAsia" w:ascii="宋体" w:hAnsi="宋体" w:eastAsia="宋体" w:cs="宋体"/>
                <w:b/>
                <w:color w:val="auto"/>
                <w:sz w:val="21"/>
                <w:szCs w:val="21"/>
              </w:rPr>
            </w:pPr>
          </w:p>
          <w:p>
            <w:pPr>
              <w:pStyle w:val="32"/>
              <w:spacing w:line="360" w:lineRule="auto"/>
              <w:ind w:left="129" w:leftChars="0" w:right="12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14</w:t>
            </w:r>
          </w:p>
        </w:tc>
        <w:tc>
          <w:tcPr>
            <w:tcW w:w="915" w:type="dxa"/>
            <w:vAlign w:val="center"/>
          </w:tcPr>
          <w:p>
            <w:pPr>
              <w:pStyle w:val="32"/>
              <w:spacing w:before="5" w:line="360" w:lineRule="auto"/>
              <w:jc w:val="center"/>
              <w:rPr>
                <w:rFonts w:hint="eastAsia" w:ascii="宋体" w:hAnsi="宋体" w:eastAsia="宋体" w:cs="宋体"/>
                <w:b/>
                <w:color w:val="auto"/>
                <w:sz w:val="21"/>
                <w:szCs w:val="21"/>
              </w:rPr>
            </w:pPr>
          </w:p>
          <w:p>
            <w:pPr>
              <w:pStyle w:val="32"/>
              <w:spacing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566" w:type="dxa"/>
            <w:vAlign w:val="center"/>
          </w:tcPr>
          <w:p>
            <w:pPr>
              <w:pStyle w:val="32"/>
              <w:spacing w:before="6" w:line="360" w:lineRule="auto"/>
              <w:jc w:val="center"/>
              <w:rPr>
                <w:rFonts w:hint="eastAsia" w:ascii="宋体" w:hAnsi="宋体" w:eastAsia="宋体" w:cs="宋体"/>
                <w:b/>
                <w:color w:val="auto"/>
                <w:sz w:val="21"/>
                <w:szCs w:val="21"/>
              </w:rPr>
            </w:pPr>
          </w:p>
          <w:p>
            <w:pPr>
              <w:pStyle w:val="32"/>
              <w:spacing w:line="360" w:lineRule="auto"/>
              <w:ind w:left="467" w:leftChars="0" w:right="142" w:rightChars="0" w:hanging="315"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开标时间及开标地点</w:t>
            </w:r>
          </w:p>
        </w:tc>
        <w:tc>
          <w:tcPr>
            <w:tcW w:w="6633"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46" w:line="360" w:lineRule="auto"/>
              <w:ind w:left="105"/>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2020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12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16 </w:t>
            </w:r>
            <w:r>
              <w:rPr>
                <w:rFonts w:hint="eastAsia" w:ascii="宋体" w:hAnsi="宋体" w:eastAsia="宋体" w:cs="宋体"/>
                <w:color w:val="auto"/>
                <w:sz w:val="21"/>
                <w:szCs w:val="21"/>
                <w:highlight w:val="none"/>
              </w:rPr>
              <w:t>日</w:t>
            </w:r>
            <w:r>
              <w:rPr>
                <w:rFonts w:hint="eastAsia" w:cs="宋体"/>
                <w:color w:val="auto"/>
                <w:sz w:val="21"/>
                <w:szCs w:val="21"/>
                <w:highlight w:val="none"/>
                <w:u w:val="single"/>
                <w:lang w:val="en-US" w:eastAsia="zh-CN"/>
              </w:rPr>
              <w:t xml:space="preserve"> 09 </w:t>
            </w:r>
            <w:r>
              <w:rPr>
                <w:rFonts w:hint="eastAsia" w:ascii="宋体" w:hAnsi="宋体" w:eastAsia="宋体" w:cs="宋体"/>
                <w:color w:val="auto"/>
                <w:sz w:val="21"/>
                <w:szCs w:val="21"/>
                <w:highlight w:val="none"/>
                <w:u w:val="none"/>
              </w:rPr>
              <w:t>点</w:t>
            </w:r>
            <w:r>
              <w:rPr>
                <w:rFonts w:hint="eastAsia"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w:t>
            </w:r>
          </w:p>
          <w:p>
            <w:pPr>
              <w:pStyle w:val="32"/>
              <w:keepNext w:val="0"/>
              <w:keepLines w:val="0"/>
              <w:pageBreakBefore w:val="0"/>
              <w:widowControl w:val="0"/>
              <w:kinsoku/>
              <w:wordWrap/>
              <w:overflowPunct/>
              <w:topLinePunct w:val="0"/>
              <w:autoSpaceDE w:val="0"/>
              <w:autoSpaceDN w:val="0"/>
              <w:bidi w:val="0"/>
              <w:adjustRightInd/>
              <w:snapToGrid/>
              <w:spacing w:before="3" w:line="360" w:lineRule="auto"/>
              <w:ind w:left="1142" w:leftChars="0" w:right="185" w:rightChars="0" w:hanging="1037"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开标地点：巴马瑶族自治县公共资源交易管理局三楼开标厅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4" w:line="360" w:lineRule="auto"/>
              <w:jc w:val="center"/>
              <w:rPr>
                <w:rFonts w:hint="eastAsia" w:ascii="宋体" w:hAnsi="宋体" w:eastAsia="宋体" w:cs="宋体"/>
                <w:b/>
                <w:color w:val="auto"/>
                <w:sz w:val="21"/>
                <w:szCs w:val="21"/>
              </w:rPr>
            </w:pPr>
          </w:p>
          <w:p>
            <w:pPr>
              <w:pStyle w:val="32"/>
              <w:spacing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915" w:type="dxa"/>
            <w:vAlign w:val="center"/>
          </w:tcPr>
          <w:p>
            <w:pPr>
              <w:pStyle w:val="32"/>
              <w:spacing w:before="4" w:line="360" w:lineRule="auto"/>
              <w:jc w:val="center"/>
              <w:rPr>
                <w:rFonts w:hint="eastAsia" w:ascii="宋体" w:hAnsi="宋体" w:eastAsia="宋体" w:cs="宋体"/>
                <w:b/>
                <w:color w:val="auto"/>
                <w:sz w:val="21"/>
                <w:szCs w:val="21"/>
              </w:rPr>
            </w:pPr>
          </w:p>
          <w:p>
            <w:pPr>
              <w:pStyle w:val="32"/>
              <w:spacing w:line="360" w:lineRule="auto"/>
              <w:ind w:left="118"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1566" w:type="dxa"/>
            <w:vAlign w:val="center"/>
          </w:tcPr>
          <w:p>
            <w:pPr>
              <w:pStyle w:val="32"/>
              <w:spacing w:before="123" w:line="360" w:lineRule="auto"/>
              <w:ind w:left="107" w:leftChars="0" w:right="97"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评标委员会组成</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123" w:line="360" w:lineRule="auto"/>
              <w:ind w:left="313" w:leftChars="47" w:right="96" w:rightChars="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评标委员会由采购单位代表和有关技术、经济等方面的专家共</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 xml:space="preserve">人组成，其中采购单位代表 </w:t>
            </w:r>
            <w:r>
              <w:rPr>
                <w:rFonts w:hint="eastAsia" w:ascii="宋体" w:hAnsi="宋体" w:eastAsia="宋体" w:cs="宋体"/>
                <w:color w:val="auto"/>
                <w:sz w:val="21"/>
                <w:szCs w:val="21"/>
                <w:u w:val="single"/>
              </w:rPr>
              <w:t>1</w:t>
            </w:r>
            <w:r>
              <w:rPr>
                <w:rFonts w:hint="eastAsia" w:ascii="宋体" w:hAnsi="宋体" w:eastAsia="宋体" w:cs="宋体"/>
                <w:color w:val="auto"/>
                <w:sz w:val="21"/>
                <w:szCs w:val="21"/>
              </w:rPr>
              <w:t xml:space="preserve"> 人，技术、经济等专家</w:t>
            </w:r>
            <w:r>
              <w:rPr>
                <w:rFonts w:hint="eastAsia" w:ascii="宋体" w:hAnsi="宋体" w:eastAsia="宋体" w:cs="宋体"/>
                <w:color w:val="auto"/>
                <w:sz w:val="21"/>
                <w:szCs w:val="21"/>
                <w:u w:val="single"/>
              </w:rPr>
              <w:t xml:space="preserve"> 4 </w:t>
            </w:r>
            <w:r>
              <w:rPr>
                <w:rFonts w:hint="eastAsia" w:ascii="宋体" w:hAnsi="宋体" w:eastAsia="宋体" w:cs="宋体"/>
                <w:color w:val="auto"/>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128"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915" w:type="dxa"/>
            <w:vAlign w:val="center"/>
          </w:tcPr>
          <w:p>
            <w:pPr>
              <w:pStyle w:val="32"/>
              <w:spacing w:before="128"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24.2</w:t>
            </w:r>
          </w:p>
        </w:tc>
        <w:tc>
          <w:tcPr>
            <w:tcW w:w="1566" w:type="dxa"/>
            <w:vAlign w:val="center"/>
          </w:tcPr>
          <w:p>
            <w:pPr>
              <w:pStyle w:val="32"/>
              <w:spacing w:before="123" w:line="360" w:lineRule="auto"/>
              <w:ind w:left="132" w:leftChars="0" w:right="12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123" w:line="360" w:lineRule="auto"/>
              <w:ind w:left="105"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综合评分法，具体评标内容及标准详见第四章：评标办法。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before="147"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915" w:type="dxa"/>
            <w:vAlign w:val="center"/>
          </w:tcPr>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line="360" w:lineRule="auto"/>
              <w:jc w:val="center"/>
              <w:rPr>
                <w:rFonts w:hint="eastAsia" w:ascii="宋体" w:hAnsi="宋体" w:eastAsia="宋体" w:cs="宋体"/>
                <w:b/>
                <w:color w:val="auto"/>
                <w:sz w:val="21"/>
                <w:szCs w:val="21"/>
              </w:rPr>
            </w:pPr>
          </w:p>
          <w:p>
            <w:pPr>
              <w:pStyle w:val="32"/>
              <w:spacing w:before="147" w:line="360" w:lineRule="auto"/>
              <w:ind w:left="118"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566" w:type="dxa"/>
            <w:vAlign w:val="center"/>
          </w:tcPr>
          <w:p>
            <w:pPr>
              <w:pStyle w:val="32"/>
              <w:spacing w:line="360" w:lineRule="auto"/>
              <w:ind w:left="0" w:leftChars="0" w:right="142" w:righ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中标公告及中标通知书</w:t>
            </w:r>
          </w:p>
        </w:tc>
        <w:tc>
          <w:tcPr>
            <w:tcW w:w="6633" w:type="dxa"/>
            <w:vAlign w:val="top"/>
          </w:tcPr>
          <w:p>
            <w:pPr>
              <w:pStyle w:val="3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108" w:right="-15"/>
              <w:textAlignment w:val="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招标代理机构于评标结束后</w:t>
            </w:r>
            <w:r>
              <w:rPr>
                <w:rFonts w:hint="eastAsia" w:ascii="宋体" w:hAnsi="宋体" w:eastAsia="宋体" w:cs="宋体"/>
                <w:color w:val="auto"/>
                <w:spacing w:val="-5"/>
                <w:sz w:val="21"/>
                <w:szCs w:val="21"/>
                <w:lang w:eastAsia="zh-CN"/>
              </w:rPr>
              <w:t>两</w:t>
            </w:r>
            <w:r>
              <w:rPr>
                <w:rFonts w:hint="eastAsia" w:ascii="宋体" w:hAnsi="宋体" w:eastAsia="宋体" w:cs="宋体"/>
                <w:color w:val="auto"/>
                <w:spacing w:val="-5"/>
                <w:sz w:val="21"/>
                <w:szCs w:val="21"/>
              </w:rPr>
              <w:t>个工作日内将</w:t>
            </w:r>
            <w:r>
              <w:rPr>
                <w:rFonts w:hint="eastAsia" w:ascii="宋体" w:hAnsi="宋体" w:eastAsia="宋体" w:cs="宋体"/>
                <w:color w:val="auto"/>
                <w:spacing w:val="-5"/>
                <w:sz w:val="21"/>
                <w:szCs w:val="21"/>
                <w:lang w:eastAsia="zh-CN"/>
              </w:rPr>
              <w:t>审核</w:t>
            </w:r>
            <w:r>
              <w:rPr>
                <w:rFonts w:hint="eastAsia" w:ascii="宋体" w:hAnsi="宋体" w:eastAsia="宋体" w:cs="宋体"/>
                <w:color w:val="auto"/>
                <w:spacing w:val="-5"/>
                <w:sz w:val="21"/>
                <w:szCs w:val="21"/>
              </w:rPr>
              <w:t>报告送交</w:t>
            </w:r>
            <w:r>
              <w:rPr>
                <w:rFonts w:hint="eastAsia" w:ascii="宋体" w:hAnsi="宋体" w:eastAsia="宋体" w:cs="宋体"/>
                <w:color w:val="auto"/>
                <w:spacing w:val="-5"/>
                <w:sz w:val="21"/>
                <w:szCs w:val="21"/>
                <w:lang w:eastAsia="zh-CN"/>
              </w:rPr>
              <w:t>采购</w:t>
            </w:r>
            <w:r>
              <w:rPr>
                <w:rFonts w:hint="eastAsia" w:ascii="宋体" w:hAnsi="宋体" w:eastAsia="宋体" w:cs="宋体"/>
                <w:color w:val="auto"/>
                <w:spacing w:val="-5"/>
                <w:sz w:val="21"/>
                <w:szCs w:val="21"/>
              </w:rPr>
              <w:t>单位，</w:t>
            </w:r>
            <w:r>
              <w:rPr>
                <w:rFonts w:hint="eastAsia" w:ascii="宋体" w:hAnsi="宋体" w:eastAsia="宋体" w:cs="宋体"/>
                <w:color w:val="auto"/>
                <w:spacing w:val="-5"/>
                <w:sz w:val="21"/>
                <w:szCs w:val="21"/>
                <w:lang w:eastAsia="zh-CN"/>
              </w:rPr>
              <w:t>采购</w:t>
            </w:r>
            <w:r>
              <w:rPr>
                <w:rFonts w:hint="eastAsia" w:ascii="宋体" w:hAnsi="宋体" w:eastAsia="宋体" w:cs="宋体"/>
                <w:color w:val="auto"/>
                <w:spacing w:val="-5"/>
                <w:sz w:val="21"/>
                <w:szCs w:val="21"/>
              </w:rPr>
              <w:t>单位应当自收到</w:t>
            </w:r>
            <w:r>
              <w:rPr>
                <w:rFonts w:hint="eastAsia" w:ascii="宋体" w:hAnsi="宋体" w:eastAsia="宋体" w:cs="宋体"/>
                <w:color w:val="auto"/>
                <w:spacing w:val="-5"/>
                <w:sz w:val="21"/>
                <w:szCs w:val="21"/>
                <w:lang w:eastAsia="zh-CN"/>
              </w:rPr>
              <w:t>审核</w:t>
            </w:r>
            <w:r>
              <w:rPr>
                <w:rFonts w:hint="eastAsia" w:ascii="宋体" w:hAnsi="宋体" w:eastAsia="宋体" w:cs="宋体"/>
                <w:color w:val="auto"/>
                <w:spacing w:val="-5"/>
                <w:sz w:val="21"/>
                <w:szCs w:val="21"/>
              </w:rPr>
              <w:t>报告五个工作日内在</w:t>
            </w:r>
            <w:r>
              <w:rPr>
                <w:rFonts w:hint="eastAsia" w:ascii="宋体" w:hAnsi="宋体" w:eastAsia="宋体" w:cs="宋体"/>
                <w:color w:val="auto"/>
                <w:spacing w:val="-5"/>
                <w:sz w:val="21"/>
                <w:szCs w:val="21"/>
                <w:lang w:eastAsia="zh-CN"/>
              </w:rPr>
              <w:t>审核</w:t>
            </w:r>
            <w:r>
              <w:rPr>
                <w:rFonts w:hint="eastAsia" w:ascii="宋体" w:hAnsi="宋体" w:eastAsia="宋体" w:cs="宋体"/>
                <w:color w:val="auto"/>
                <w:spacing w:val="-5"/>
                <w:sz w:val="21"/>
                <w:szCs w:val="21"/>
              </w:rPr>
              <w:t>报告推荐的中标候选供应商中按顺序确定中标人，招标代理机构在中标人确定之日起两个工作日内发出中标通知书，并在指定媒体上公告中标信息。</w:t>
            </w:r>
          </w:p>
          <w:p>
            <w:pPr>
              <w:pStyle w:val="3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108" w:leftChars="0" w:right="-15" w:rightChars="0"/>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在发布中标公告的同时，招标代理机构向中标人发出中标通知书。如中标人自接到通知之日起</w:t>
            </w:r>
            <w:r>
              <w:rPr>
                <w:rFonts w:hint="eastAsia" w:ascii="宋体" w:hAnsi="宋体" w:eastAsia="宋体" w:cs="宋体"/>
                <w:color w:val="auto"/>
                <w:spacing w:val="-5"/>
                <w:sz w:val="21"/>
                <w:szCs w:val="21"/>
                <w:lang w:eastAsia="zh-CN"/>
              </w:rPr>
              <w:t>五</w:t>
            </w:r>
            <w:r>
              <w:rPr>
                <w:rFonts w:hint="eastAsia" w:ascii="宋体" w:hAnsi="宋体" w:eastAsia="宋体" w:cs="宋体"/>
                <w:color w:val="auto"/>
                <w:spacing w:val="-5"/>
                <w:sz w:val="21"/>
                <w:szCs w:val="21"/>
              </w:rPr>
              <w:t>个工作日内，不办理中标通知书领取手续的， 按违约处理。招标单位将取消其中标资格，不予退还中标人所投标的投标保证金，从评标委员会推荐的中标候选供应商中按顺序重新确定中标</w:t>
            </w:r>
            <w:r>
              <w:rPr>
                <w:rFonts w:hint="eastAsia" w:ascii="宋体" w:hAnsi="宋体" w:eastAsia="宋体" w:cs="宋体"/>
                <w:color w:val="auto"/>
                <w:sz w:val="21"/>
                <w:szCs w:val="21"/>
              </w:rPr>
              <w:t>人，组织供需双方签订合同。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12" w:line="360" w:lineRule="auto"/>
              <w:jc w:val="center"/>
              <w:rPr>
                <w:rFonts w:hint="eastAsia" w:ascii="宋体" w:hAnsi="宋体" w:eastAsia="宋体" w:cs="宋体"/>
                <w:b/>
                <w:color w:val="auto"/>
                <w:sz w:val="21"/>
                <w:szCs w:val="21"/>
              </w:rPr>
            </w:pPr>
          </w:p>
          <w:p>
            <w:pPr>
              <w:pStyle w:val="32"/>
              <w:spacing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915" w:type="dxa"/>
            <w:vAlign w:val="center"/>
          </w:tcPr>
          <w:p>
            <w:pPr>
              <w:pStyle w:val="32"/>
              <w:spacing w:before="12" w:line="360" w:lineRule="auto"/>
              <w:jc w:val="center"/>
              <w:rPr>
                <w:rFonts w:hint="eastAsia" w:ascii="宋体" w:hAnsi="宋体" w:eastAsia="宋体" w:cs="宋体"/>
                <w:b/>
                <w:color w:val="auto"/>
                <w:sz w:val="21"/>
                <w:szCs w:val="21"/>
              </w:rPr>
            </w:pPr>
          </w:p>
          <w:p>
            <w:pPr>
              <w:pStyle w:val="32"/>
              <w:spacing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32.1</w:t>
            </w:r>
          </w:p>
        </w:tc>
        <w:tc>
          <w:tcPr>
            <w:tcW w:w="1566" w:type="dxa"/>
            <w:vAlign w:val="center"/>
          </w:tcPr>
          <w:p>
            <w:pPr>
              <w:pStyle w:val="32"/>
              <w:spacing w:before="7" w:line="360" w:lineRule="auto"/>
              <w:jc w:val="center"/>
              <w:rPr>
                <w:rFonts w:hint="eastAsia" w:ascii="宋体" w:hAnsi="宋体" w:eastAsia="宋体" w:cs="宋体"/>
                <w:b/>
                <w:color w:val="auto"/>
                <w:sz w:val="21"/>
                <w:szCs w:val="21"/>
              </w:rPr>
            </w:pPr>
          </w:p>
          <w:p>
            <w:pPr>
              <w:pStyle w:val="32"/>
              <w:spacing w:line="360" w:lineRule="auto"/>
              <w:ind w:left="132" w:leftChars="0" w:right="12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46" w:line="360" w:lineRule="auto"/>
              <w:ind w:left="108" w:leftChars="0" w:right="102" w:rightChars="0"/>
              <w:textAlignment w:val="auto"/>
              <w:rPr>
                <w:rFonts w:hint="eastAsia" w:ascii="宋体" w:hAnsi="宋体" w:eastAsia="宋体" w:cs="宋体"/>
                <w:color w:val="auto"/>
                <w:spacing w:val="-5"/>
                <w:sz w:val="21"/>
                <w:szCs w:val="21"/>
              </w:rPr>
            </w:pPr>
            <w:r>
              <w:rPr>
                <w:rFonts w:hint="eastAsia" w:ascii="宋体" w:hAnsi="宋体" w:eastAsia="宋体" w:cs="宋体"/>
                <w:color w:val="auto"/>
                <w:sz w:val="21"/>
                <w:szCs w:val="21"/>
              </w:rPr>
              <w:t>履约保证金的形式：转账、电汇形式；履约保证金额为人民币</w:t>
            </w:r>
            <w:r>
              <w:rPr>
                <w:rFonts w:hint="eastAsia" w:ascii="宋体" w:hAnsi="宋体" w:eastAsia="宋体" w:cs="宋体"/>
                <w:color w:val="auto"/>
                <w:sz w:val="21"/>
                <w:szCs w:val="21"/>
                <w:u w:val="single"/>
              </w:rPr>
              <w:t>壹万元</w:t>
            </w:r>
            <w:r>
              <w:rPr>
                <w:rFonts w:hint="eastAsia" w:ascii="宋体" w:hAnsi="宋体" w:eastAsia="宋体" w:cs="宋体"/>
                <w:color w:val="auto"/>
                <w:sz w:val="21"/>
                <w:szCs w:val="21"/>
                <w:u w:val="single"/>
                <w:lang w:eastAsia="zh-CN"/>
              </w:rPr>
              <w:t>整</w:t>
            </w:r>
            <w:r>
              <w:rPr>
                <w:rFonts w:hint="eastAsia" w:ascii="宋体" w:hAnsi="宋体" w:eastAsia="宋体" w:cs="宋体"/>
                <w:color w:val="auto"/>
                <w:sz w:val="21"/>
                <w:szCs w:val="21"/>
              </w:rPr>
              <w:t>，中标人在收到中标通知书后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日内向采购人指定账户缴纳，否则采购人将取消其中标资格。履约保证金在合同期内中标人提供的服务无违约情况，待合同期满后，中标人提出退付申请经采购人按有关规定审核同意后无息退还。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top"/>
          </w:tcPr>
          <w:p>
            <w:pPr>
              <w:pStyle w:val="32"/>
              <w:spacing w:before="7" w:line="360" w:lineRule="auto"/>
              <w:rPr>
                <w:rFonts w:hint="eastAsia" w:ascii="宋体" w:hAnsi="宋体" w:eastAsia="宋体" w:cs="宋体"/>
                <w:b/>
                <w:color w:val="auto"/>
                <w:sz w:val="21"/>
                <w:szCs w:val="21"/>
              </w:rPr>
            </w:pPr>
          </w:p>
          <w:p>
            <w:pPr>
              <w:pStyle w:val="32"/>
              <w:spacing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915" w:type="dxa"/>
            <w:vAlign w:val="top"/>
          </w:tcPr>
          <w:p>
            <w:pPr>
              <w:pStyle w:val="32"/>
              <w:spacing w:before="7" w:line="360" w:lineRule="auto"/>
              <w:rPr>
                <w:rFonts w:hint="eastAsia" w:ascii="宋体" w:hAnsi="宋体" w:eastAsia="宋体" w:cs="宋体"/>
                <w:b/>
                <w:color w:val="auto"/>
                <w:sz w:val="21"/>
                <w:szCs w:val="21"/>
              </w:rPr>
            </w:pPr>
          </w:p>
          <w:p>
            <w:pPr>
              <w:pStyle w:val="32"/>
              <w:spacing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33.1</w:t>
            </w:r>
          </w:p>
        </w:tc>
        <w:tc>
          <w:tcPr>
            <w:tcW w:w="1566" w:type="dxa"/>
            <w:vAlign w:val="top"/>
          </w:tcPr>
          <w:p>
            <w:pPr>
              <w:pStyle w:val="32"/>
              <w:spacing w:before="2" w:line="360" w:lineRule="auto"/>
              <w:rPr>
                <w:rFonts w:hint="eastAsia" w:ascii="宋体" w:hAnsi="宋体" w:eastAsia="宋体" w:cs="宋体"/>
                <w:b/>
                <w:color w:val="auto"/>
                <w:sz w:val="21"/>
                <w:szCs w:val="21"/>
              </w:rPr>
            </w:pPr>
          </w:p>
          <w:p>
            <w:pPr>
              <w:pStyle w:val="32"/>
              <w:spacing w:line="360" w:lineRule="auto"/>
              <w:ind w:left="132" w:leftChars="0" w:right="12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w:t>
            </w:r>
          </w:p>
        </w:tc>
        <w:tc>
          <w:tcPr>
            <w:tcW w:w="6633" w:type="dxa"/>
            <w:vAlign w:val="top"/>
          </w:tcPr>
          <w:p>
            <w:pPr>
              <w:pStyle w:val="12"/>
              <w:tabs>
                <w:tab w:val="left" w:pos="220"/>
              </w:tabs>
              <w:spacing w:before="71" w:line="360" w:lineRule="auto"/>
              <w:ind w:left="10" w:leftChars="0" w:right="180" w:rightChars="82" w:hanging="1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SA"/>
              </w:rPr>
              <w:t>中标通知书发出后15日内。中标人领取中标通知书后，应按规定与采购单位签订合同。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top"/>
          </w:tcPr>
          <w:p>
            <w:pPr>
              <w:pStyle w:val="32"/>
              <w:spacing w:before="11" w:line="360" w:lineRule="auto"/>
              <w:rPr>
                <w:rFonts w:hint="eastAsia" w:ascii="宋体" w:hAnsi="宋体" w:eastAsia="宋体" w:cs="宋体"/>
                <w:b/>
                <w:color w:val="auto"/>
                <w:sz w:val="21"/>
                <w:szCs w:val="21"/>
              </w:rPr>
            </w:pPr>
          </w:p>
          <w:p>
            <w:pPr>
              <w:pStyle w:val="32"/>
              <w:spacing w:before="1"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915" w:type="dxa"/>
            <w:vAlign w:val="top"/>
          </w:tcPr>
          <w:p>
            <w:pPr>
              <w:pStyle w:val="32"/>
              <w:spacing w:before="11" w:line="360" w:lineRule="auto"/>
              <w:rPr>
                <w:rFonts w:hint="eastAsia" w:ascii="宋体" w:hAnsi="宋体" w:eastAsia="宋体" w:cs="宋体"/>
                <w:b/>
                <w:color w:val="auto"/>
                <w:sz w:val="21"/>
                <w:szCs w:val="21"/>
              </w:rPr>
            </w:pPr>
          </w:p>
          <w:p>
            <w:pPr>
              <w:pStyle w:val="32"/>
              <w:spacing w:before="1" w:line="360" w:lineRule="auto"/>
              <w:ind w:left="123"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33.5</w:t>
            </w:r>
          </w:p>
        </w:tc>
        <w:tc>
          <w:tcPr>
            <w:tcW w:w="1566" w:type="dxa"/>
            <w:vAlign w:val="top"/>
          </w:tcPr>
          <w:p>
            <w:pPr>
              <w:pStyle w:val="32"/>
              <w:spacing w:before="7" w:line="360" w:lineRule="auto"/>
              <w:rPr>
                <w:rFonts w:hint="eastAsia" w:ascii="宋体" w:hAnsi="宋体" w:eastAsia="宋体" w:cs="宋体"/>
                <w:b/>
                <w:color w:val="auto"/>
                <w:sz w:val="21"/>
                <w:szCs w:val="21"/>
              </w:rPr>
            </w:pPr>
          </w:p>
          <w:p>
            <w:pPr>
              <w:pStyle w:val="32"/>
              <w:spacing w:line="360" w:lineRule="auto"/>
              <w:ind w:left="134" w:leftChars="0" w:right="12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合同备案存档</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46" w:line="360" w:lineRule="auto"/>
              <w:ind w:left="105" w:leftChars="0" w:right="102"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政府采购合同双方自签订之日起</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个工作日内将合同原件</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份交招标代理机构。招标代理机构将</w:t>
            </w:r>
            <w:r>
              <w:rPr>
                <w:rFonts w:hint="eastAsia" w:ascii="宋体" w:hAnsi="宋体" w:eastAsia="宋体" w:cs="宋体"/>
                <w:color w:val="auto"/>
                <w:sz w:val="21"/>
                <w:szCs w:val="21"/>
                <w:lang w:eastAsia="zh-CN"/>
              </w:rPr>
              <w:t>依据有关规定发布合同公告</w:t>
            </w: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top"/>
          </w:tcPr>
          <w:p>
            <w:pPr>
              <w:pStyle w:val="32"/>
              <w:spacing w:line="360" w:lineRule="auto"/>
              <w:rPr>
                <w:rFonts w:hint="eastAsia" w:ascii="宋体" w:hAnsi="宋体" w:eastAsia="宋体" w:cs="宋体"/>
                <w:b/>
                <w:color w:val="auto"/>
                <w:sz w:val="21"/>
                <w:szCs w:val="21"/>
              </w:rPr>
            </w:pPr>
          </w:p>
          <w:p>
            <w:pPr>
              <w:pStyle w:val="32"/>
              <w:spacing w:before="6" w:line="360" w:lineRule="auto"/>
              <w:rPr>
                <w:rFonts w:hint="eastAsia" w:ascii="宋体" w:hAnsi="宋体" w:eastAsia="宋体" w:cs="宋体"/>
                <w:b/>
                <w:color w:val="auto"/>
                <w:sz w:val="21"/>
                <w:szCs w:val="21"/>
              </w:rPr>
            </w:pPr>
          </w:p>
          <w:p>
            <w:pPr>
              <w:pStyle w:val="32"/>
              <w:spacing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915" w:type="dxa"/>
            <w:vAlign w:val="top"/>
          </w:tcPr>
          <w:p>
            <w:pPr>
              <w:pStyle w:val="32"/>
              <w:spacing w:line="360" w:lineRule="auto"/>
              <w:rPr>
                <w:rFonts w:hint="eastAsia" w:ascii="宋体" w:hAnsi="宋体" w:eastAsia="宋体" w:cs="宋体"/>
                <w:b/>
                <w:color w:val="auto"/>
                <w:sz w:val="21"/>
                <w:szCs w:val="21"/>
              </w:rPr>
            </w:pPr>
          </w:p>
          <w:p>
            <w:pPr>
              <w:pStyle w:val="32"/>
              <w:spacing w:before="6" w:line="360" w:lineRule="auto"/>
              <w:rPr>
                <w:rFonts w:hint="eastAsia" w:ascii="宋体" w:hAnsi="宋体" w:eastAsia="宋体" w:cs="宋体"/>
                <w:b/>
                <w:color w:val="auto"/>
                <w:sz w:val="21"/>
                <w:szCs w:val="21"/>
              </w:rPr>
            </w:pPr>
          </w:p>
          <w:p>
            <w:pPr>
              <w:pStyle w:val="32"/>
              <w:spacing w:line="360" w:lineRule="auto"/>
              <w:ind w:left="118" w:leftChars="0" w:right="114"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566" w:type="dxa"/>
            <w:vAlign w:val="top"/>
          </w:tcPr>
          <w:p>
            <w:pPr>
              <w:pStyle w:val="32"/>
              <w:spacing w:before="7" w:line="360" w:lineRule="auto"/>
              <w:rPr>
                <w:rFonts w:hint="eastAsia" w:ascii="宋体" w:hAnsi="宋体" w:eastAsia="宋体" w:cs="宋体"/>
                <w:b/>
                <w:color w:val="auto"/>
                <w:sz w:val="21"/>
                <w:szCs w:val="21"/>
              </w:rPr>
            </w:pPr>
          </w:p>
          <w:p>
            <w:pPr>
              <w:pStyle w:val="32"/>
              <w:spacing w:line="360" w:lineRule="auto"/>
              <w:ind w:left="676" w:leftChars="0" w:right="142" w:rightChars="0" w:hanging="524" w:firstLineChars="0"/>
              <w:rPr>
                <w:rFonts w:hint="eastAsia" w:ascii="宋体" w:hAnsi="宋体" w:eastAsia="宋体" w:cs="宋体"/>
                <w:color w:val="auto"/>
                <w:sz w:val="21"/>
                <w:szCs w:val="21"/>
              </w:rPr>
            </w:pPr>
            <w:r>
              <w:rPr>
                <w:rFonts w:hint="eastAsia" w:ascii="宋体" w:hAnsi="宋体" w:eastAsia="宋体" w:cs="宋体"/>
                <w:color w:val="auto"/>
                <w:sz w:val="21"/>
                <w:szCs w:val="21"/>
              </w:rPr>
              <w:t>招标代理服务费</w:t>
            </w:r>
          </w:p>
        </w:tc>
        <w:tc>
          <w:tcPr>
            <w:tcW w:w="6633" w:type="dxa"/>
            <w:vAlign w:val="top"/>
          </w:tcPr>
          <w:p>
            <w:pPr>
              <w:pStyle w:val="32"/>
              <w:keepNext w:val="0"/>
              <w:keepLines w:val="0"/>
              <w:pageBreakBefore w:val="0"/>
              <w:widowControl w:val="0"/>
              <w:kinsoku/>
              <w:wordWrap/>
              <w:overflowPunct/>
              <w:topLinePunct w:val="0"/>
              <w:autoSpaceDE w:val="0"/>
              <w:autoSpaceDN w:val="0"/>
              <w:bidi w:val="0"/>
              <w:adjustRightInd/>
              <w:snapToGrid/>
              <w:spacing w:before="46" w:line="360" w:lineRule="auto"/>
              <w:ind w:left="105" w:leftChars="0" w:right="94" w:right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3"/>
                <w:sz w:val="21"/>
                <w:szCs w:val="21"/>
              </w:rPr>
              <w:t>本项目的招标代理服务费</w:t>
            </w:r>
            <w:r>
              <w:rPr>
                <w:rFonts w:hint="eastAsia" w:cs="宋体"/>
                <w:color w:val="auto"/>
                <w:spacing w:val="-3"/>
                <w:sz w:val="21"/>
                <w:szCs w:val="21"/>
                <w:lang w:eastAsia="zh-CN"/>
              </w:rPr>
              <w:t>由</w:t>
            </w:r>
            <w:r>
              <w:rPr>
                <w:rFonts w:hint="eastAsia" w:ascii="宋体" w:hAnsi="宋体" w:eastAsia="宋体" w:cs="宋体"/>
                <w:color w:val="auto"/>
                <w:spacing w:val="-2"/>
                <w:sz w:val="21"/>
                <w:szCs w:val="21"/>
              </w:rPr>
              <w:t>中标人</w:t>
            </w:r>
            <w:r>
              <w:rPr>
                <w:rFonts w:hint="eastAsia" w:cs="宋体"/>
                <w:color w:val="auto"/>
                <w:spacing w:val="-2"/>
                <w:sz w:val="21"/>
                <w:szCs w:val="21"/>
                <w:lang w:eastAsia="zh-CN"/>
              </w:rPr>
              <w:t>支付</w:t>
            </w:r>
            <w:r>
              <w:rPr>
                <w:rFonts w:hint="eastAsia" w:ascii="宋体" w:hAnsi="宋体" w:eastAsia="宋体" w:cs="宋体"/>
                <w:color w:val="auto"/>
                <w:spacing w:val="-2"/>
                <w:sz w:val="21"/>
                <w:szCs w:val="21"/>
              </w:rPr>
              <w:t>，在领取中</w:t>
            </w:r>
            <w:r>
              <w:rPr>
                <w:rFonts w:hint="eastAsia" w:ascii="宋体" w:hAnsi="宋体" w:eastAsia="宋体" w:cs="宋体"/>
                <w:color w:val="auto"/>
                <w:sz w:val="21"/>
                <w:szCs w:val="21"/>
              </w:rPr>
              <w:t>标通知书前，每个中标人须一次性向招标代理机构交纳中标服务费人民币</w:t>
            </w:r>
            <w:r>
              <w:rPr>
                <w:rFonts w:hint="eastAsia" w:ascii="宋体" w:hAnsi="宋体" w:eastAsia="宋体" w:cs="宋体"/>
                <w:b/>
                <w:bCs/>
                <w:color w:val="auto"/>
                <w:sz w:val="21"/>
                <w:szCs w:val="21"/>
                <w:u w:val="single"/>
              </w:rPr>
              <w:t>壹万元整（¥10000.00）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89"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915" w:type="dxa"/>
            <w:vAlign w:val="center"/>
          </w:tcPr>
          <w:p>
            <w:pPr>
              <w:pStyle w:val="32"/>
              <w:spacing w:before="89" w:line="360" w:lineRule="auto"/>
              <w:ind w:left="35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1566" w:type="dxa"/>
            <w:vAlign w:val="center"/>
          </w:tcPr>
          <w:p>
            <w:pPr>
              <w:pStyle w:val="32"/>
              <w:spacing w:before="85" w:line="360" w:lineRule="auto"/>
              <w:ind w:left="134" w:leftChars="0" w:right="12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解释权</w:t>
            </w:r>
          </w:p>
        </w:tc>
        <w:tc>
          <w:tcPr>
            <w:tcW w:w="6633"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85" w:line="360" w:lineRule="auto"/>
              <w:ind w:left="105"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本招标文件的解释权属于招标代理机构。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17" w:type="dxa"/>
            <w:vAlign w:val="center"/>
          </w:tcPr>
          <w:p>
            <w:pPr>
              <w:pStyle w:val="32"/>
              <w:spacing w:before="124" w:line="360" w:lineRule="auto"/>
              <w:ind w:left="129" w:leftChars="0" w:right="12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915" w:type="dxa"/>
            <w:vAlign w:val="center"/>
          </w:tcPr>
          <w:p>
            <w:pPr>
              <w:pStyle w:val="32"/>
              <w:spacing w:before="124" w:line="360" w:lineRule="auto"/>
              <w:ind w:left="35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1566" w:type="dxa"/>
            <w:vAlign w:val="center"/>
          </w:tcPr>
          <w:p>
            <w:pPr>
              <w:pStyle w:val="32"/>
              <w:spacing w:before="119" w:line="360" w:lineRule="auto"/>
              <w:ind w:left="134" w:leftChars="0" w:right="126"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监督管理机构</w:t>
            </w:r>
          </w:p>
        </w:tc>
        <w:tc>
          <w:tcPr>
            <w:tcW w:w="6633" w:type="dxa"/>
            <w:vAlign w:val="center"/>
          </w:tcPr>
          <w:p>
            <w:pPr>
              <w:pStyle w:val="32"/>
              <w:keepNext w:val="0"/>
              <w:keepLines w:val="0"/>
              <w:pageBreakBefore w:val="0"/>
              <w:widowControl w:val="0"/>
              <w:tabs>
                <w:tab w:val="left" w:pos="4308"/>
              </w:tabs>
              <w:kinsoku/>
              <w:wordWrap/>
              <w:overflowPunct/>
              <w:topLinePunct w:val="0"/>
              <w:autoSpaceDE w:val="0"/>
              <w:autoSpaceDN w:val="0"/>
              <w:bidi w:val="0"/>
              <w:adjustRightInd/>
              <w:snapToGrid/>
              <w:spacing w:before="119" w:line="360" w:lineRule="auto"/>
              <w:ind w:left="105"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巴马瑶族自治县政府采购管理办公室</w:t>
            </w:r>
          </w:p>
          <w:p>
            <w:pPr>
              <w:pStyle w:val="32"/>
              <w:keepNext w:val="0"/>
              <w:keepLines w:val="0"/>
              <w:pageBreakBefore w:val="0"/>
              <w:widowControl w:val="0"/>
              <w:tabs>
                <w:tab w:val="left" w:pos="4308"/>
              </w:tabs>
              <w:kinsoku/>
              <w:wordWrap/>
              <w:overflowPunct/>
              <w:topLinePunct w:val="0"/>
              <w:autoSpaceDE w:val="0"/>
              <w:autoSpaceDN w:val="0"/>
              <w:bidi w:val="0"/>
              <w:adjustRightInd/>
              <w:snapToGrid/>
              <w:spacing w:before="119" w:line="360" w:lineRule="auto"/>
              <w:ind w:left="105"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0778-6221733</w:t>
            </w:r>
            <w:r>
              <w:rPr>
                <w:rFonts w:hint="eastAsia" w:ascii="宋体" w:hAnsi="宋体" w:eastAsia="宋体" w:cs="宋体"/>
                <w:color w:val="auto"/>
                <w:sz w:val="21"/>
                <w:szCs w:val="21"/>
                <w:lang w:val="en-US" w:eastAsia="zh-CN"/>
              </w:rPr>
              <w:t xml:space="preserve"> </w:t>
            </w:r>
          </w:p>
        </w:tc>
      </w:tr>
    </w:tbl>
    <w:p>
      <w:pPr>
        <w:spacing w:line="257" w:lineRule="exact"/>
        <w:rPr>
          <w:color w:val="auto"/>
          <w:sz w:val="21"/>
        </w:rPr>
        <w:sectPr>
          <w:pgSz w:w="11910" w:h="16840"/>
          <w:pgMar w:top="1134" w:right="1134" w:bottom="1134" w:left="1180" w:header="1191" w:footer="894" w:gutter="0"/>
          <w:pgNumType w:fmt="decimal"/>
          <w:cols w:equalWidth="0" w:num="1">
            <w:col w:w="10250"/>
          </w:cols>
          <w:rtlGutter w:val="0"/>
        </w:sectPr>
      </w:pPr>
    </w:p>
    <w:p>
      <w:pPr>
        <w:pStyle w:val="4"/>
        <w:spacing w:before="44"/>
        <w:ind w:left="0" w:firstLine="3614" w:firstLineChars="1200"/>
        <w:jc w:val="both"/>
        <w:rPr>
          <w:rFonts w:ascii="宋体" w:hAnsi="宋体" w:eastAsia="宋体" w:cs="宋体"/>
          <w:b/>
          <w:bCs/>
          <w:color w:val="auto"/>
          <w:sz w:val="38"/>
        </w:rPr>
      </w:pPr>
      <w:bookmarkStart w:id="5" w:name="_TOC_250010"/>
      <w:bookmarkEnd w:id="5"/>
      <w:r>
        <w:rPr>
          <w:rFonts w:hint="eastAsia" w:ascii="宋体" w:hAnsi="宋体" w:eastAsia="宋体" w:cs="宋体"/>
          <w:b/>
          <w:bCs/>
          <w:color w:val="auto"/>
        </w:rPr>
        <w:t>一、总则</w:t>
      </w:r>
    </w:p>
    <w:p>
      <w:pPr>
        <w:pStyle w:val="9"/>
        <w:ind w:left="1030"/>
        <w:outlineLvl w:val="9"/>
        <w:rPr>
          <w:color w:val="auto"/>
        </w:rPr>
      </w:pPr>
    </w:p>
    <w:p>
      <w:pPr>
        <w:pStyle w:val="9"/>
        <w:ind w:left="0"/>
        <w:outlineLvl w:val="9"/>
        <w:rPr>
          <w:color w:val="auto"/>
        </w:rPr>
      </w:pPr>
    </w:p>
    <w:p>
      <w:pPr>
        <w:pStyle w:val="9"/>
        <w:tabs>
          <w:tab w:val="left" w:pos="1320"/>
        </w:tabs>
        <w:spacing w:line="360" w:lineRule="auto"/>
        <w:ind w:left="0" w:right="-128" w:rightChars="-58"/>
        <w:rPr>
          <w:color w:val="auto"/>
          <w:sz w:val="21"/>
          <w:szCs w:val="21"/>
        </w:rPr>
      </w:pPr>
      <w:r>
        <w:rPr>
          <w:rFonts w:hint="eastAsia"/>
          <w:color w:val="auto"/>
          <w:sz w:val="21"/>
          <w:szCs w:val="21"/>
        </w:rPr>
        <w:t>1、项目名称及项目编号</w:t>
      </w:r>
    </w:p>
    <w:p>
      <w:pPr>
        <w:pStyle w:val="12"/>
        <w:tabs>
          <w:tab w:val="left" w:pos="1320"/>
        </w:tabs>
        <w:spacing w:before="130" w:line="360" w:lineRule="auto"/>
        <w:ind w:right="-128" w:rightChars="-58" w:firstLine="420" w:firstLineChars="200"/>
        <w:rPr>
          <w:color w:val="auto"/>
          <w:sz w:val="21"/>
          <w:szCs w:val="21"/>
        </w:rPr>
      </w:pPr>
      <w:r>
        <w:rPr>
          <w:rFonts w:hint="eastAsia"/>
          <w:color w:val="auto"/>
          <w:sz w:val="21"/>
          <w:szCs w:val="21"/>
        </w:rPr>
        <w:t xml:space="preserve">项目名称： </w:t>
      </w:r>
      <w:r>
        <w:rPr>
          <w:rFonts w:hint="eastAsia"/>
          <w:color w:val="auto"/>
          <w:sz w:val="21"/>
          <w:szCs w:val="21"/>
          <w:lang w:eastAsia="zh-CN"/>
        </w:rPr>
        <w:t>巴马瑶族自治县财政投资评审中心造价咨询服务机构采购</w:t>
      </w:r>
      <w:r>
        <w:rPr>
          <w:rFonts w:hint="eastAsia"/>
          <w:color w:val="auto"/>
          <w:sz w:val="21"/>
          <w:szCs w:val="21"/>
        </w:rPr>
        <w:t xml:space="preserve">； </w:t>
      </w:r>
    </w:p>
    <w:p>
      <w:pPr>
        <w:pStyle w:val="12"/>
        <w:tabs>
          <w:tab w:val="left" w:pos="1320"/>
        </w:tabs>
        <w:spacing w:before="130" w:line="360" w:lineRule="auto"/>
        <w:ind w:right="-128" w:rightChars="-58" w:firstLine="420" w:firstLineChars="200"/>
        <w:rPr>
          <w:rFonts w:hint="eastAsia" w:eastAsia="宋体"/>
          <w:color w:val="auto"/>
          <w:sz w:val="21"/>
          <w:szCs w:val="21"/>
          <w:lang w:eastAsia="zh-CN"/>
        </w:rPr>
      </w:pPr>
      <w:r>
        <w:rPr>
          <w:rFonts w:hint="eastAsia"/>
          <w:color w:val="auto"/>
          <w:sz w:val="21"/>
          <w:szCs w:val="21"/>
        </w:rPr>
        <w:t xml:space="preserve">项目编号： </w:t>
      </w:r>
      <w:r>
        <w:rPr>
          <w:rFonts w:hint="eastAsia"/>
          <w:color w:val="auto"/>
          <w:sz w:val="21"/>
          <w:szCs w:val="21"/>
          <w:lang w:eastAsia="zh-CN"/>
        </w:rPr>
        <w:t>HCZC2020-G3-270071-DBXM</w:t>
      </w:r>
    </w:p>
    <w:p>
      <w:pPr>
        <w:pStyle w:val="9"/>
        <w:tabs>
          <w:tab w:val="left" w:pos="1320"/>
        </w:tabs>
        <w:spacing w:line="360" w:lineRule="auto"/>
        <w:ind w:left="0" w:right="-128" w:rightChars="-58"/>
        <w:rPr>
          <w:color w:val="auto"/>
          <w:sz w:val="21"/>
          <w:szCs w:val="21"/>
        </w:rPr>
      </w:pPr>
      <w:r>
        <w:rPr>
          <w:rFonts w:hint="eastAsia"/>
          <w:color w:val="auto"/>
          <w:sz w:val="21"/>
          <w:szCs w:val="21"/>
        </w:rPr>
        <w:t>2、适应范围</w:t>
      </w:r>
    </w:p>
    <w:p>
      <w:pPr>
        <w:pStyle w:val="12"/>
        <w:tabs>
          <w:tab w:val="left" w:pos="1320"/>
        </w:tabs>
        <w:spacing w:before="129" w:line="360" w:lineRule="auto"/>
        <w:ind w:right="-128" w:rightChars="-58" w:firstLine="408" w:firstLineChars="200"/>
        <w:rPr>
          <w:color w:val="auto"/>
          <w:sz w:val="21"/>
          <w:szCs w:val="21"/>
        </w:rPr>
      </w:pPr>
      <w:r>
        <w:rPr>
          <w:rFonts w:hint="eastAsia"/>
          <w:color w:val="auto"/>
          <w:spacing w:val="-3"/>
          <w:sz w:val="21"/>
          <w:szCs w:val="21"/>
        </w:rPr>
        <w:t>本招标文件适用本招标采购项目的招标、投标、评标、合同履约、验收、付款等行为（</w:t>
      </w:r>
      <w:r>
        <w:rPr>
          <w:rFonts w:hint="eastAsia"/>
          <w:color w:val="auto"/>
          <w:spacing w:val="-2"/>
          <w:sz w:val="21"/>
          <w:szCs w:val="21"/>
        </w:rPr>
        <w:t>法律、</w:t>
      </w:r>
      <w:r>
        <w:rPr>
          <w:rFonts w:hint="eastAsia"/>
          <w:color w:val="auto"/>
          <w:spacing w:val="-3"/>
          <w:sz w:val="21"/>
          <w:szCs w:val="21"/>
        </w:rPr>
        <w:t>法规另有规定的，从其规定</w:t>
      </w:r>
      <w:r>
        <w:rPr>
          <w:rFonts w:hint="eastAsia"/>
          <w:color w:val="auto"/>
          <w:spacing w:val="-106"/>
          <w:sz w:val="21"/>
          <w:szCs w:val="21"/>
        </w:rPr>
        <w:t>）</w:t>
      </w:r>
      <w:r>
        <w:rPr>
          <w:rFonts w:hint="eastAsia"/>
          <w:color w:val="auto"/>
          <w:sz w:val="21"/>
          <w:szCs w:val="21"/>
        </w:rPr>
        <w:t>。</w:t>
      </w:r>
    </w:p>
    <w:p>
      <w:pPr>
        <w:pStyle w:val="9"/>
        <w:tabs>
          <w:tab w:val="left" w:pos="1320"/>
        </w:tabs>
        <w:spacing w:line="360" w:lineRule="auto"/>
        <w:ind w:left="0" w:right="-128" w:rightChars="-58"/>
        <w:rPr>
          <w:color w:val="auto"/>
          <w:sz w:val="21"/>
          <w:szCs w:val="21"/>
        </w:rPr>
      </w:pPr>
      <w:r>
        <w:rPr>
          <w:rFonts w:hint="eastAsia"/>
          <w:color w:val="auto"/>
          <w:sz w:val="21"/>
          <w:szCs w:val="21"/>
        </w:rPr>
        <w:t>3、定义</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eastAsia="宋体"/>
          <w:color w:val="auto"/>
          <w:spacing w:val="-3"/>
          <w:lang w:eastAsia="zh-CN"/>
        </w:rPr>
      </w:pPr>
      <w:r>
        <w:rPr>
          <w:rFonts w:hint="eastAsia"/>
          <w:color w:val="auto"/>
          <w:spacing w:val="-3"/>
        </w:rPr>
        <w:t>3.1、“招标单位”是指组织本次招标的采购人及招标代理机构</w:t>
      </w:r>
      <w:r>
        <w:rPr>
          <w:rFonts w:hint="eastAsia"/>
          <w:color w:val="auto"/>
          <w:spacing w:val="-3"/>
          <w:lang w:eastAsia="zh-CN"/>
        </w:rPr>
        <w:t>。</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2、</w:t>
      </w:r>
      <w:r>
        <w:rPr>
          <w:rFonts w:hint="eastAsia"/>
          <w:color w:val="auto"/>
          <w:spacing w:val="-3"/>
        </w:rPr>
        <w:t>“采购人”是指本次项目的</w:t>
      </w:r>
      <w:r>
        <w:rPr>
          <w:rFonts w:hint="eastAsia"/>
          <w:color w:val="auto"/>
          <w:spacing w:val="-3"/>
          <w:lang w:eastAsia="zh-CN"/>
        </w:rPr>
        <w:t>采购方</w:t>
      </w:r>
      <w:r>
        <w:rPr>
          <w:rFonts w:hint="eastAsia"/>
          <w:color w:val="auto"/>
          <w:spacing w:val="-3"/>
        </w:rPr>
        <w:t>。</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3</w:t>
      </w:r>
      <w:r>
        <w:rPr>
          <w:rFonts w:hint="eastAsia"/>
          <w:color w:val="auto"/>
          <w:spacing w:val="-3"/>
        </w:rPr>
        <w:t>、“投标人”是指向</w:t>
      </w:r>
      <w:r>
        <w:rPr>
          <w:rFonts w:hint="eastAsia"/>
          <w:color w:val="auto"/>
          <w:spacing w:val="-3"/>
          <w:lang w:eastAsia="zh-CN"/>
        </w:rPr>
        <w:t>采购</w:t>
      </w:r>
      <w:r>
        <w:rPr>
          <w:rFonts w:hint="eastAsia"/>
          <w:color w:val="auto"/>
          <w:spacing w:val="-3"/>
        </w:rPr>
        <w:t>方提交投标文件的供应商。</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4</w:t>
      </w:r>
      <w:r>
        <w:rPr>
          <w:rFonts w:hint="eastAsia"/>
          <w:color w:val="auto"/>
          <w:spacing w:val="-3"/>
        </w:rPr>
        <w:t>、“货物”系指按招标文件规定，投标人须向招标单位提供的一切设备、保险、税金、备品备件、工具、手册及其它有关技术资料和材料。</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5</w:t>
      </w:r>
      <w:r>
        <w:rPr>
          <w:rFonts w:hint="eastAsia"/>
          <w:color w:val="auto"/>
          <w:spacing w:val="-3"/>
        </w:rPr>
        <w:t>、“服务”系指招标文件规定，投标人须承担的安装、调试、技术协助、校准、培训、技术指导以及其他类似的义务。</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6</w:t>
      </w:r>
      <w:r>
        <w:rPr>
          <w:rFonts w:hint="eastAsia"/>
          <w:color w:val="auto"/>
          <w:spacing w:val="-3"/>
        </w:rPr>
        <w:t>、“项目”系指投标人按招标文件规定向招标单位提供的货物和服务。</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7</w:t>
      </w:r>
      <w:r>
        <w:rPr>
          <w:rFonts w:hint="eastAsia"/>
          <w:color w:val="auto"/>
          <w:spacing w:val="-3"/>
        </w:rPr>
        <w:t>、“书面形式”包括信函、传真、电报。</w:t>
      </w:r>
    </w:p>
    <w:p>
      <w:pPr>
        <w:pStyle w:val="12"/>
        <w:keepNext w:val="0"/>
        <w:keepLines w:val="0"/>
        <w:pageBreakBefore w:val="0"/>
        <w:widowControl w:val="0"/>
        <w:tabs>
          <w:tab w:val="left" w:pos="1320"/>
        </w:tabs>
        <w:kinsoku/>
        <w:wordWrap/>
        <w:overflowPunct/>
        <w:topLinePunct w:val="0"/>
        <w:autoSpaceDE w:val="0"/>
        <w:autoSpaceDN w:val="0"/>
        <w:bidi w:val="0"/>
        <w:adjustRightInd/>
        <w:snapToGrid/>
        <w:spacing w:before="129" w:line="300" w:lineRule="exact"/>
        <w:ind w:right="-128" w:rightChars="-58" w:firstLine="408" w:firstLineChars="200"/>
        <w:textAlignment w:val="auto"/>
        <w:rPr>
          <w:rFonts w:hint="eastAsia"/>
          <w:color w:val="auto"/>
          <w:spacing w:val="-3"/>
        </w:rPr>
      </w:pPr>
      <w:r>
        <w:rPr>
          <w:rFonts w:hint="eastAsia"/>
          <w:color w:val="auto"/>
          <w:spacing w:val="-3"/>
        </w:rPr>
        <w:t>3.</w:t>
      </w:r>
      <w:r>
        <w:rPr>
          <w:rFonts w:hint="eastAsia"/>
          <w:color w:val="auto"/>
          <w:spacing w:val="-3"/>
          <w:lang w:val="en-US" w:eastAsia="zh-CN"/>
        </w:rPr>
        <w:t>8</w:t>
      </w:r>
      <w:r>
        <w:rPr>
          <w:rFonts w:hint="eastAsia"/>
          <w:color w:val="auto"/>
          <w:spacing w:val="-3"/>
        </w:rPr>
        <w:t>、“★”系指实质性要求条款。</w:t>
      </w:r>
    </w:p>
    <w:p>
      <w:pPr>
        <w:tabs>
          <w:tab w:val="left" w:pos="1320"/>
        </w:tabs>
        <w:spacing w:before="130" w:line="360" w:lineRule="auto"/>
        <w:ind w:right="-128" w:rightChars="-58"/>
        <w:rPr>
          <w:rFonts w:hint="eastAsia"/>
          <w:color w:val="auto"/>
          <w:spacing w:val="-4"/>
          <w:sz w:val="21"/>
          <w:szCs w:val="21"/>
        </w:rPr>
      </w:pPr>
      <w:r>
        <w:rPr>
          <w:rFonts w:hint="eastAsia"/>
          <w:b/>
          <w:color w:val="auto"/>
          <w:sz w:val="21"/>
          <w:szCs w:val="21"/>
        </w:rPr>
        <w:t xml:space="preserve">4、招标方式  </w:t>
      </w:r>
      <w:r>
        <w:rPr>
          <w:rFonts w:hint="eastAsia"/>
          <w:color w:val="auto"/>
          <w:spacing w:val="-4"/>
          <w:sz w:val="21"/>
          <w:szCs w:val="21"/>
        </w:rPr>
        <w:t>公开招标方式。</w:t>
      </w:r>
    </w:p>
    <w:p>
      <w:pPr>
        <w:tabs>
          <w:tab w:val="left" w:pos="1320"/>
        </w:tabs>
        <w:spacing w:before="130" w:line="360" w:lineRule="auto"/>
        <w:ind w:right="-128" w:rightChars="-58"/>
        <w:rPr>
          <w:b/>
          <w:color w:val="auto"/>
          <w:sz w:val="21"/>
          <w:szCs w:val="21"/>
        </w:rPr>
      </w:pPr>
      <w:r>
        <w:rPr>
          <w:rFonts w:hint="eastAsia"/>
          <w:b/>
          <w:color w:val="auto"/>
          <w:sz w:val="21"/>
          <w:szCs w:val="21"/>
        </w:rPr>
        <w:t>5、投标人资格</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5.1、</w:t>
      </w:r>
      <w:r>
        <w:rPr>
          <w:rFonts w:hint="eastAsia" w:cs="宋体"/>
          <w:color w:val="auto"/>
          <w:sz w:val="21"/>
          <w:szCs w:val="21"/>
        </w:rPr>
        <w:t>满足《中华人民共和国政府采购法》第二十二条规定；</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5.2、</w:t>
      </w:r>
      <w:r>
        <w:rPr>
          <w:rFonts w:hint="eastAsia" w:cs="宋体"/>
          <w:color w:val="auto"/>
          <w:sz w:val="21"/>
          <w:szCs w:val="21"/>
        </w:rPr>
        <w:t>落实政府采购政策需满足的资格要求：《政府采购促进中小企业发展暂行办法》（财库[2011]181 号）、《财政部、司法部关于政府采购支持监狱企业发展有关问题的通知》（财库〔2014〕68 号）、《财政部民政部中国残疾人联合会关于促进残疾人就业政府采购政策的通知》（财库〔2017〕141 号）等政府采购相关政策。</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本项目的特定资格要求：</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5.3、</w:t>
      </w:r>
      <w:r>
        <w:rPr>
          <w:rFonts w:hint="eastAsia" w:cs="宋体"/>
          <w:color w:val="auto"/>
          <w:sz w:val="21"/>
          <w:szCs w:val="21"/>
        </w:rPr>
        <w:t>国内注册（指按国家有关规定要求注册的），具有提供本次招标采购服务能力的合法供应商；</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5.4、</w:t>
      </w:r>
      <w:r>
        <w:rPr>
          <w:rFonts w:hint="eastAsia" w:cs="宋体"/>
          <w:color w:val="auto"/>
          <w:sz w:val="21"/>
          <w:szCs w:val="21"/>
        </w:rPr>
        <w:t>在中国境内注册，具有建设行政主管部门颁发的工程造价咨询企业乙级及以上资质；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5.5、</w:t>
      </w:r>
      <w:r>
        <w:rPr>
          <w:rFonts w:hint="eastAsia" w:cs="宋体"/>
          <w:color w:val="auto"/>
          <w:sz w:val="21"/>
          <w:szCs w:val="21"/>
        </w:rPr>
        <w:t>具有良好的商业信誉和健全的财务会计制度，良好的财务状况；</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5.6、</w:t>
      </w:r>
      <w:r>
        <w:rPr>
          <w:rFonts w:hint="eastAsia" w:cs="宋体"/>
          <w:color w:val="auto"/>
          <w:sz w:val="21"/>
          <w:szCs w:val="21"/>
        </w:rPr>
        <w:t>具有履行合同所必须的设备和专业技术能力，</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5.7、</w:t>
      </w:r>
      <w:r>
        <w:rPr>
          <w:rFonts w:hint="eastAsia" w:cs="宋体"/>
          <w:color w:val="auto"/>
          <w:sz w:val="21"/>
          <w:szCs w:val="21"/>
        </w:rPr>
        <w:t>有依法缴纳税收和社会保障资金的良好记录；</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lang w:val="en-US" w:eastAsia="zh-CN"/>
        </w:rPr>
        <w:t>5.8、</w:t>
      </w:r>
      <w:r>
        <w:rPr>
          <w:rFonts w:hint="eastAsia" w:cs="宋体"/>
          <w:color w:val="auto"/>
          <w:sz w:val="21"/>
          <w:szCs w:val="21"/>
        </w:rPr>
        <w:t>本项目不接受未成功报名的供应商投标；</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cs="宋体"/>
          <w:color w:val="auto"/>
          <w:sz w:val="21"/>
          <w:szCs w:val="21"/>
        </w:rPr>
      </w:pPr>
      <w:r>
        <w:rPr>
          <w:rFonts w:hint="eastAsia" w:cs="宋体"/>
          <w:color w:val="auto"/>
          <w:sz w:val="21"/>
          <w:szCs w:val="21"/>
          <w:lang w:val="en-US" w:eastAsia="zh-CN"/>
        </w:rPr>
        <w:t>5.9、</w:t>
      </w:r>
      <w:r>
        <w:rPr>
          <w:rFonts w:hint="eastAsia" w:cs="宋体"/>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hint="eastAsia" w:cs="宋体"/>
          <w:color w:val="auto"/>
          <w:sz w:val="21"/>
          <w:szCs w:val="21"/>
        </w:rPr>
      </w:pPr>
      <w:r>
        <w:rPr>
          <w:rFonts w:hint="eastAsia" w:cs="宋体"/>
          <w:color w:val="auto"/>
          <w:sz w:val="21"/>
          <w:szCs w:val="21"/>
          <w:lang w:val="en-US" w:eastAsia="zh-CN"/>
        </w:rPr>
        <w:t>5.10、</w:t>
      </w:r>
      <w:r>
        <w:rPr>
          <w:rFonts w:hint="eastAsia" w:cs="宋体"/>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9"/>
        <w:tabs>
          <w:tab w:val="left" w:pos="1320"/>
        </w:tabs>
        <w:spacing w:before="130" w:line="360" w:lineRule="auto"/>
        <w:ind w:left="479" w:right="-128" w:rightChars="-58" w:hanging="479" w:hangingChars="227"/>
        <w:rPr>
          <w:color w:val="auto"/>
          <w:sz w:val="21"/>
          <w:szCs w:val="21"/>
        </w:rPr>
      </w:pPr>
      <w:r>
        <w:rPr>
          <w:rFonts w:hint="eastAsia"/>
          <w:color w:val="auto"/>
          <w:sz w:val="21"/>
          <w:szCs w:val="21"/>
        </w:rPr>
        <w:t>6、投标费用</w:t>
      </w:r>
    </w:p>
    <w:p>
      <w:pPr>
        <w:tabs>
          <w:tab w:val="left" w:pos="1320"/>
        </w:tabs>
        <w:spacing w:before="131" w:line="360" w:lineRule="auto"/>
        <w:ind w:left="454" w:leftChars="183" w:right="-128" w:rightChars="-58" w:hanging="51" w:hangingChars="25"/>
        <w:rPr>
          <w:color w:val="auto"/>
          <w:spacing w:val="-3"/>
          <w:sz w:val="21"/>
          <w:szCs w:val="21"/>
        </w:rPr>
      </w:pPr>
      <w:r>
        <w:rPr>
          <w:rFonts w:hint="eastAsia"/>
          <w:color w:val="auto"/>
          <w:spacing w:val="-3"/>
          <w:sz w:val="21"/>
          <w:szCs w:val="21"/>
        </w:rPr>
        <w:t>不论投标结果如何，投标人均应自行承担所有与投标有关的全部费用。</w:t>
      </w:r>
    </w:p>
    <w:p>
      <w:pPr>
        <w:tabs>
          <w:tab w:val="left" w:pos="1320"/>
        </w:tabs>
        <w:spacing w:before="131" w:line="360" w:lineRule="auto"/>
        <w:ind w:left="472" w:right="-128" w:rightChars="-58" w:hanging="465" w:hangingChars="227"/>
        <w:rPr>
          <w:b/>
          <w:color w:val="auto"/>
          <w:sz w:val="21"/>
          <w:szCs w:val="21"/>
        </w:rPr>
      </w:pPr>
      <w:r>
        <w:rPr>
          <w:rFonts w:hint="eastAsia"/>
          <w:b/>
          <w:color w:val="auto"/>
          <w:spacing w:val="-3"/>
          <w:sz w:val="21"/>
          <w:szCs w:val="21"/>
        </w:rPr>
        <w:t>7、联合体投标要求</w:t>
      </w:r>
    </w:p>
    <w:p>
      <w:pPr>
        <w:tabs>
          <w:tab w:val="left" w:pos="1320"/>
        </w:tabs>
        <w:spacing w:line="360" w:lineRule="auto"/>
        <w:ind w:left="470" w:leftChars="190" w:right="-128" w:rightChars="-58" w:hanging="52" w:hangingChars="25"/>
        <w:rPr>
          <w:color w:val="auto"/>
          <w:sz w:val="21"/>
          <w:szCs w:val="21"/>
        </w:rPr>
      </w:pPr>
      <w:r>
        <w:rPr>
          <w:rFonts w:hint="eastAsia"/>
          <w:color w:val="auto"/>
          <w:sz w:val="21"/>
          <w:szCs w:val="21"/>
        </w:rPr>
        <w:t>本项目不接受联合体投标</w:t>
      </w:r>
    </w:p>
    <w:p>
      <w:pPr>
        <w:tabs>
          <w:tab w:val="left" w:pos="1320"/>
        </w:tabs>
        <w:spacing w:line="360" w:lineRule="auto"/>
        <w:ind w:left="479" w:right="-128" w:rightChars="-58" w:hanging="479" w:hangingChars="227"/>
        <w:rPr>
          <w:b/>
          <w:color w:val="auto"/>
          <w:sz w:val="21"/>
          <w:szCs w:val="21"/>
        </w:rPr>
      </w:pPr>
      <w:r>
        <w:rPr>
          <w:rFonts w:hint="eastAsia"/>
          <w:b/>
          <w:color w:val="auto"/>
          <w:sz w:val="21"/>
          <w:szCs w:val="21"/>
        </w:rPr>
        <w:t>8、转包与分包</w:t>
      </w:r>
    </w:p>
    <w:p>
      <w:pPr>
        <w:pStyle w:val="12"/>
        <w:tabs>
          <w:tab w:val="left" w:pos="1320"/>
        </w:tabs>
        <w:spacing w:before="129" w:line="360" w:lineRule="auto"/>
        <w:ind w:right="-128" w:rightChars="-58" w:firstLine="408" w:firstLineChars="200"/>
        <w:rPr>
          <w:rFonts w:hint="eastAsia"/>
          <w:color w:val="auto"/>
          <w:spacing w:val="-3"/>
          <w:sz w:val="21"/>
          <w:szCs w:val="21"/>
        </w:rPr>
      </w:pPr>
      <w:r>
        <w:rPr>
          <w:rFonts w:hint="eastAsia"/>
          <w:color w:val="auto"/>
          <w:spacing w:val="-3"/>
          <w:sz w:val="21"/>
          <w:szCs w:val="21"/>
          <w:lang w:val="en-US" w:eastAsia="zh-CN"/>
        </w:rPr>
        <w:t>8.1</w:t>
      </w:r>
      <w:r>
        <w:rPr>
          <w:rFonts w:hint="eastAsia"/>
          <w:color w:val="auto"/>
          <w:spacing w:val="-3"/>
          <w:sz w:val="21"/>
          <w:szCs w:val="21"/>
        </w:rPr>
        <w:t>、本项目不允许转包。</w:t>
      </w:r>
    </w:p>
    <w:p>
      <w:pPr>
        <w:pStyle w:val="12"/>
        <w:tabs>
          <w:tab w:val="left" w:pos="1320"/>
        </w:tabs>
        <w:spacing w:before="129" w:line="360" w:lineRule="auto"/>
        <w:ind w:right="-128" w:rightChars="-58" w:firstLine="408" w:firstLineChars="200"/>
        <w:rPr>
          <w:rFonts w:hint="eastAsia"/>
          <w:color w:val="auto"/>
          <w:spacing w:val="-3"/>
          <w:sz w:val="21"/>
          <w:szCs w:val="21"/>
        </w:rPr>
      </w:pPr>
      <w:r>
        <w:rPr>
          <w:rFonts w:hint="eastAsia"/>
          <w:color w:val="auto"/>
          <w:spacing w:val="-3"/>
          <w:sz w:val="21"/>
          <w:szCs w:val="21"/>
          <w:lang w:val="en-US" w:eastAsia="zh-CN"/>
        </w:rPr>
        <w:t>8.2</w:t>
      </w:r>
      <w:r>
        <w:rPr>
          <w:rFonts w:hint="eastAsia"/>
          <w:color w:val="auto"/>
          <w:spacing w:val="-3"/>
          <w:sz w:val="21"/>
          <w:szCs w:val="21"/>
        </w:rPr>
        <w:t>、本项目不可以分包。</w:t>
      </w:r>
    </w:p>
    <w:p>
      <w:pPr>
        <w:pStyle w:val="9"/>
        <w:tabs>
          <w:tab w:val="left" w:pos="1320"/>
        </w:tabs>
        <w:spacing w:before="132" w:line="360" w:lineRule="auto"/>
        <w:ind w:left="470" w:right="-128" w:rightChars="-58" w:hanging="470" w:hangingChars="223"/>
        <w:rPr>
          <w:color w:val="auto"/>
          <w:sz w:val="21"/>
          <w:szCs w:val="21"/>
        </w:rPr>
      </w:pPr>
      <w:r>
        <w:rPr>
          <w:rFonts w:hint="eastAsia"/>
          <w:color w:val="auto"/>
          <w:sz w:val="21"/>
          <w:szCs w:val="21"/>
        </w:rPr>
        <w:t>9、特别说明</w:t>
      </w:r>
    </w:p>
    <w:p>
      <w:pPr>
        <w:pStyle w:val="12"/>
        <w:tabs>
          <w:tab w:val="left" w:pos="1320"/>
        </w:tabs>
        <w:spacing w:before="129" w:line="360" w:lineRule="auto"/>
        <w:ind w:right="-128" w:rightChars="-58" w:firstLine="408" w:firstLineChars="200"/>
        <w:rPr>
          <w:rFonts w:hint="eastAsia"/>
          <w:color w:val="auto"/>
          <w:spacing w:val="-3"/>
          <w:sz w:val="21"/>
          <w:szCs w:val="21"/>
          <w:lang w:val="en-US" w:eastAsia="zh-CN"/>
        </w:rPr>
      </w:pPr>
      <w:r>
        <w:rPr>
          <w:rFonts w:hint="eastAsia"/>
          <w:color w:val="auto"/>
          <w:spacing w:val="-3"/>
          <w:sz w:val="21"/>
          <w:szCs w:val="21"/>
          <w:lang w:val="en-US" w:eastAsia="zh-CN"/>
        </w:rPr>
        <w:t>9.1、单位负责人为同一人或者存在直接控股、管理关系的，不得参加同一分标投标或未划分分标的同一招标项目投标，否则，投标无效。除单一来源采购项目外，为采购项目提供整体设计、规范编制或者项目管理、监理、检测等服务的供应商，不得再参加该采购项目的其他采购活动，否则投标无效。多家代理商或经销商参加投标，如其中两家或两家以上供应商存在分级代理或代销关系，且提供的是其所代理品牌产品的，审核时，取其中通过资格审查后的报价最低一方为有效供应商；当报价相同时，则以售后服务最优一家为有效供应商；均相同时，由评标委员会决定。</w:t>
      </w:r>
    </w:p>
    <w:p>
      <w:pPr>
        <w:pStyle w:val="12"/>
        <w:tabs>
          <w:tab w:val="left" w:pos="1320"/>
        </w:tabs>
        <w:spacing w:before="129" w:line="360" w:lineRule="auto"/>
        <w:ind w:right="-128" w:rightChars="-58" w:firstLine="408" w:firstLineChars="200"/>
        <w:rPr>
          <w:rFonts w:hint="eastAsia"/>
          <w:color w:val="auto"/>
          <w:spacing w:val="-3"/>
          <w:sz w:val="21"/>
          <w:szCs w:val="21"/>
          <w:lang w:val="en-US" w:eastAsia="zh-CN"/>
        </w:rPr>
      </w:pPr>
      <w:r>
        <w:rPr>
          <w:rFonts w:hint="eastAsia"/>
          <w:color w:val="auto"/>
          <w:spacing w:val="-3"/>
          <w:sz w:val="21"/>
          <w:szCs w:val="21"/>
          <w:lang w:val="en-US" w:eastAsia="zh-CN"/>
        </w:rPr>
        <w:t>多家供应商投同一品牌同一型号的，应当按一个供应商认定（如果某一分标为多项号货物组成的，所有项号货物均为同一品牌同一型号的，应当按一个供应商认定），审核时，按上述规定确定其中一家为有效供应商。同一家原生产厂商授权多家代理商参加投标的，审核时，按上述规定确定其中一家为有效供应商。</w:t>
      </w:r>
    </w:p>
    <w:p>
      <w:pPr>
        <w:pStyle w:val="12"/>
        <w:tabs>
          <w:tab w:val="left" w:pos="1320"/>
        </w:tabs>
        <w:spacing w:before="129" w:line="360" w:lineRule="auto"/>
        <w:ind w:right="-128" w:rightChars="-58" w:firstLine="408" w:firstLineChars="200"/>
        <w:rPr>
          <w:rFonts w:hint="eastAsia"/>
          <w:color w:val="auto"/>
          <w:spacing w:val="-3"/>
          <w:sz w:val="21"/>
          <w:szCs w:val="21"/>
          <w:lang w:val="en-US" w:eastAsia="zh-CN"/>
        </w:rPr>
      </w:pPr>
      <w:r>
        <w:rPr>
          <w:rFonts w:hint="eastAsia"/>
          <w:color w:val="auto"/>
          <w:spacing w:val="-3"/>
          <w:sz w:val="21"/>
          <w:szCs w:val="21"/>
          <w:lang w:val="en-US" w:eastAsia="zh-CN"/>
        </w:rPr>
        <w:t>9.2、投标人投标所使用的资格、信誉、荣誉、业绩与企业认证必须为本企业所拥有，投标人</w:t>
      </w:r>
    </w:p>
    <w:p>
      <w:pPr>
        <w:pStyle w:val="12"/>
        <w:tabs>
          <w:tab w:val="left" w:pos="1320"/>
        </w:tabs>
        <w:spacing w:before="129" w:line="360" w:lineRule="auto"/>
        <w:ind w:right="-128" w:rightChars="-58" w:firstLine="408" w:firstLineChars="200"/>
        <w:rPr>
          <w:rFonts w:hint="eastAsia"/>
          <w:color w:val="auto"/>
          <w:spacing w:val="-3"/>
          <w:sz w:val="21"/>
          <w:szCs w:val="21"/>
          <w:lang w:val="en-US" w:eastAsia="zh-CN"/>
        </w:rPr>
      </w:pPr>
      <w:r>
        <w:rPr>
          <w:rFonts w:hint="eastAsia"/>
          <w:color w:val="auto"/>
          <w:spacing w:val="-3"/>
          <w:sz w:val="21"/>
          <w:szCs w:val="21"/>
          <w:lang w:val="en-US" w:eastAsia="zh-CN"/>
        </w:rPr>
        <w:t>投标所使用的采购项目实施人员必须为本企业员工。</w:t>
      </w:r>
    </w:p>
    <w:p>
      <w:pPr>
        <w:pStyle w:val="12"/>
        <w:tabs>
          <w:tab w:val="left" w:pos="1320"/>
        </w:tabs>
        <w:spacing w:before="129" w:line="360" w:lineRule="auto"/>
        <w:ind w:right="-128" w:rightChars="-58" w:firstLine="408" w:firstLineChars="200"/>
        <w:rPr>
          <w:rFonts w:hint="eastAsia"/>
          <w:color w:val="auto"/>
          <w:spacing w:val="-3"/>
          <w:sz w:val="21"/>
          <w:szCs w:val="21"/>
          <w:lang w:val="en-US" w:eastAsia="zh-CN"/>
        </w:rPr>
      </w:pPr>
      <w:r>
        <w:rPr>
          <w:rFonts w:hint="eastAsia"/>
          <w:color w:val="auto"/>
          <w:spacing w:val="-3"/>
          <w:sz w:val="21"/>
          <w:szCs w:val="21"/>
          <w:lang w:val="en-US" w:eastAsia="zh-CN"/>
        </w:rPr>
        <w:t>9.3、投标人应仔细阅读招标文件的所有内容，按照招标文件的要求提交投标文件，并对所提供的全部资料的真实性承担法律责任。</w:t>
      </w:r>
    </w:p>
    <w:p>
      <w:pPr>
        <w:pStyle w:val="12"/>
        <w:tabs>
          <w:tab w:val="left" w:pos="1320"/>
        </w:tabs>
        <w:spacing w:before="129" w:line="360" w:lineRule="auto"/>
        <w:ind w:right="-128" w:rightChars="-58" w:firstLine="408" w:firstLineChars="200"/>
        <w:rPr>
          <w:rFonts w:hint="eastAsia"/>
          <w:color w:val="auto"/>
          <w:spacing w:val="-3"/>
          <w:sz w:val="21"/>
          <w:szCs w:val="21"/>
          <w:lang w:val="en-US" w:eastAsia="zh-CN"/>
        </w:rPr>
      </w:pPr>
      <w:r>
        <w:rPr>
          <w:rFonts w:hint="eastAsia"/>
          <w:color w:val="auto"/>
          <w:spacing w:val="-3"/>
          <w:sz w:val="21"/>
          <w:szCs w:val="21"/>
          <w:lang w:val="en-US" w:eastAsia="zh-CN"/>
        </w:rPr>
        <w:t>9.4、投标人在投标活动中提供任何虚假材料，其投标无效，并报监管部门查处；中标后发现的，中标人须依照《中华人民共和国消费者权益保护法》第49 条之规定双倍赔偿招标单位，且民事赔偿并不免除违法投标人的行政与刑事责任。</w:t>
      </w:r>
    </w:p>
    <w:p>
      <w:pPr>
        <w:pStyle w:val="9"/>
        <w:tabs>
          <w:tab w:val="left" w:pos="1320"/>
        </w:tabs>
        <w:spacing w:line="360" w:lineRule="auto"/>
        <w:ind w:left="470" w:right="-128" w:rightChars="-58" w:hanging="470" w:hangingChars="223"/>
        <w:rPr>
          <w:color w:val="auto"/>
          <w:sz w:val="21"/>
          <w:szCs w:val="21"/>
        </w:rPr>
      </w:pPr>
      <w:r>
        <w:rPr>
          <w:rFonts w:hint="eastAsia"/>
          <w:color w:val="auto"/>
          <w:sz w:val="21"/>
          <w:szCs w:val="21"/>
        </w:rPr>
        <w:t>10、质疑和投诉</w:t>
      </w:r>
    </w:p>
    <w:p>
      <w:pPr>
        <w:pStyle w:val="31"/>
        <w:tabs>
          <w:tab w:val="left" w:pos="1320"/>
          <w:tab w:val="left" w:pos="1371"/>
        </w:tabs>
        <w:spacing w:before="130" w:line="360" w:lineRule="auto"/>
        <w:ind w:left="0" w:right="-128" w:rightChars="-58" w:firstLine="368" w:firstLineChars="200"/>
        <w:rPr>
          <w:color w:val="auto"/>
          <w:spacing w:val="-13"/>
          <w:sz w:val="21"/>
          <w:szCs w:val="21"/>
        </w:rPr>
      </w:pPr>
      <w:r>
        <w:rPr>
          <w:rFonts w:hint="eastAsia"/>
          <w:color w:val="auto"/>
          <w:spacing w:val="-13"/>
          <w:sz w:val="21"/>
          <w:szCs w:val="21"/>
        </w:rPr>
        <w:t>10.1</w:t>
      </w:r>
      <w:r>
        <w:rPr>
          <w:rFonts w:hint="eastAsia"/>
          <w:color w:val="auto"/>
          <w:spacing w:val="-13"/>
          <w:sz w:val="21"/>
          <w:szCs w:val="21"/>
          <w:lang w:val="en-US" w:eastAsia="zh-CN"/>
        </w:rPr>
        <w:t xml:space="preserve"> </w:t>
      </w:r>
      <w:r>
        <w:rPr>
          <w:rFonts w:hint="eastAsia"/>
          <w:color w:val="auto"/>
          <w:spacing w:val="-13"/>
          <w:sz w:val="21"/>
          <w:szCs w:val="21"/>
          <w:lang w:eastAsia="zh-CN"/>
        </w:rPr>
        <w:t>、</w:t>
      </w:r>
      <w:r>
        <w:rPr>
          <w:rFonts w:hint="eastAsia"/>
          <w:color w:val="auto"/>
          <w:spacing w:val="-13"/>
          <w:sz w:val="21"/>
          <w:szCs w:val="21"/>
        </w:rPr>
        <w:t>投标人认为招标文件、招标过程或中标结果使自己的合法权益受到损害的，应当在知道或者应知其权益受到损害之日起七个工作日内，以书面形式向招标代理机构提出质疑。招标代理机构应认真做好质疑处理工作。</w:t>
      </w:r>
    </w:p>
    <w:p>
      <w:pPr>
        <w:pStyle w:val="31"/>
        <w:tabs>
          <w:tab w:val="left" w:pos="1320"/>
          <w:tab w:val="left" w:pos="1371"/>
        </w:tabs>
        <w:spacing w:before="130" w:line="360" w:lineRule="auto"/>
        <w:ind w:left="0" w:right="-128" w:rightChars="-58" w:firstLine="368" w:firstLineChars="200"/>
        <w:rPr>
          <w:color w:val="auto"/>
          <w:spacing w:val="-13"/>
          <w:sz w:val="21"/>
          <w:szCs w:val="21"/>
        </w:rPr>
      </w:pPr>
      <w:r>
        <w:rPr>
          <w:rFonts w:hint="eastAsia"/>
          <w:color w:val="auto"/>
          <w:spacing w:val="-13"/>
          <w:sz w:val="21"/>
          <w:szCs w:val="21"/>
        </w:rPr>
        <w:t>10.2</w:t>
      </w:r>
      <w:r>
        <w:rPr>
          <w:rFonts w:hint="eastAsia"/>
          <w:color w:val="auto"/>
          <w:spacing w:val="-13"/>
          <w:sz w:val="21"/>
          <w:szCs w:val="21"/>
          <w:lang w:val="en-US" w:eastAsia="zh-CN"/>
        </w:rPr>
        <w:t xml:space="preserve"> </w:t>
      </w:r>
      <w:r>
        <w:rPr>
          <w:rFonts w:hint="eastAsia"/>
          <w:color w:val="auto"/>
          <w:spacing w:val="-13"/>
          <w:sz w:val="21"/>
          <w:szCs w:val="21"/>
        </w:rPr>
        <w:t>、投标人对招标代理机构的答复不满意或者招标代理机构未在规定的时间内作出答复的，可以在答复期满后十五个工作日内向</w:t>
      </w:r>
      <w:r>
        <w:rPr>
          <w:rFonts w:hint="eastAsia"/>
          <w:color w:val="auto"/>
          <w:spacing w:val="-13"/>
          <w:sz w:val="21"/>
          <w:szCs w:val="21"/>
          <w:lang w:eastAsia="zh-CN"/>
        </w:rPr>
        <w:t>巴马瑶族自治县</w:t>
      </w:r>
      <w:r>
        <w:rPr>
          <w:rFonts w:hint="eastAsia"/>
          <w:color w:val="auto"/>
          <w:spacing w:val="-13"/>
          <w:sz w:val="21"/>
          <w:szCs w:val="21"/>
        </w:rPr>
        <w:t>政府采购监督管理机构投诉。</w:t>
      </w:r>
    </w:p>
    <w:p>
      <w:pPr>
        <w:pStyle w:val="31"/>
        <w:tabs>
          <w:tab w:val="left" w:pos="1320"/>
          <w:tab w:val="left" w:pos="1371"/>
        </w:tabs>
        <w:spacing w:before="130" w:line="360" w:lineRule="auto"/>
        <w:ind w:left="0" w:right="-128" w:rightChars="-58" w:firstLine="368" w:firstLineChars="200"/>
        <w:rPr>
          <w:color w:val="auto"/>
          <w:spacing w:val="-13"/>
          <w:sz w:val="21"/>
          <w:szCs w:val="21"/>
        </w:rPr>
      </w:pPr>
      <w:r>
        <w:rPr>
          <w:rFonts w:hint="eastAsia"/>
          <w:color w:val="auto"/>
          <w:spacing w:val="-13"/>
          <w:sz w:val="21"/>
          <w:szCs w:val="21"/>
        </w:rPr>
        <w:t>10.3、投标人提出质疑、投诉，应当遵守中华人民共和国财政部令第 94 号《政府采购质疑和投诉办法》的相关规定，且采用书面形式。质疑书、投诉书实行实名制，均应明确阐述招标文件、招标过程或中标结果中使自己合法权益受到损害的实质性内容，并提供相关事实、依据和证据及其来源。</w:t>
      </w:r>
    </w:p>
    <w:p>
      <w:pPr>
        <w:pStyle w:val="31"/>
        <w:tabs>
          <w:tab w:val="left" w:pos="1320"/>
          <w:tab w:val="left" w:pos="1371"/>
        </w:tabs>
        <w:spacing w:before="130" w:line="360" w:lineRule="auto"/>
        <w:ind w:left="0" w:right="-128" w:rightChars="-58" w:firstLine="368" w:firstLineChars="200"/>
        <w:rPr>
          <w:color w:val="auto"/>
          <w:spacing w:val="-13"/>
          <w:sz w:val="21"/>
          <w:szCs w:val="21"/>
        </w:rPr>
      </w:pPr>
      <w:r>
        <w:rPr>
          <w:rFonts w:hint="eastAsia"/>
          <w:color w:val="auto"/>
          <w:spacing w:val="-13"/>
          <w:sz w:val="21"/>
          <w:szCs w:val="21"/>
        </w:rPr>
        <w:t>10.4、供应商应在法定质疑期内一次性提出针对同一采购程序环节的质疑。</w:t>
      </w:r>
    </w:p>
    <w:p>
      <w:pPr>
        <w:pStyle w:val="31"/>
        <w:tabs>
          <w:tab w:val="left" w:pos="1320"/>
          <w:tab w:val="left" w:pos="1371"/>
        </w:tabs>
        <w:spacing w:before="130" w:line="360" w:lineRule="auto"/>
        <w:ind w:left="0" w:right="-128" w:rightChars="-58" w:firstLine="368" w:firstLineChars="200"/>
        <w:rPr>
          <w:color w:val="auto"/>
          <w:spacing w:val="-13"/>
          <w:sz w:val="21"/>
          <w:szCs w:val="21"/>
        </w:rPr>
      </w:pPr>
      <w:r>
        <w:rPr>
          <w:rFonts w:hint="eastAsia"/>
          <w:color w:val="auto"/>
          <w:spacing w:val="-13"/>
          <w:sz w:val="21"/>
          <w:szCs w:val="21"/>
        </w:rPr>
        <w:t>10.5、接收质疑函方式：供应商递交质疑函应以书面形式现场递交到广西盾邦工程项目管理有限公司。</w:t>
      </w:r>
    </w:p>
    <w:p>
      <w:pPr>
        <w:pStyle w:val="31"/>
        <w:numPr>
          <w:ilvl w:val="0"/>
          <w:numId w:val="0"/>
        </w:numPr>
        <w:tabs>
          <w:tab w:val="left" w:pos="1320"/>
          <w:tab w:val="left" w:pos="1462"/>
        </w:tabs>
        <w:spacing w:before="52" w:line="360" w:lineRule="auto"/>
        <w:ind w:leftChars="-223" w:right="-128" w:rightChars="-58" w:firstLine="1020" w:firstLineChars="500"/>
        <w:jc w:val="left"/>
        <w:rPr>
          <w:color w:val="auto"/>
          <w:sz w:val="21"/>
          <w:szCs w:val="21"/>
        </w:rPr>
      </w:pPr>
      <w:r>
        <w:rPr>
          <w:rFonts w:hint="eastAsia"/>
          <w:color w:val="auto"/>
          <w:spacing w:val="-3"/>
          <w:sz w:val="21"/>
          <w:szCs w:val="21"/>
          <w:lang w:val="en-US" w:eastAsia="zh-CN"/>
        </w:rPr>
        <w:t>10.6</w:t>
      </w:r>
      <w:r>
        <w:rPr>
          <w:rFonts w:hint="eastAsia"/>
          <w:color w:val="auto"/>
          <w:spacing w:val="-3"/>
          <w:sz w:val="21"/>
          <w:szCs w:val="21"/>
        </w:rPr>
        <w:t>、递交质疑函的联系方式：</w:t>
      </w:r>
    </w:p>
    <w:p>
      <w:pPr>
        <w:pStyle w:val="31"/>
        <w:tabs>
          <w:tab w:val="left" w:pos="1320"/>
          <w:tab w:val="left" w:pos="1371"/>
        </w:tabs>
        <w:spacing w:before="130" w:line="360" w:lineRule="auto"/>
        <w:ind w:left="0" w:right="-128" w:rightChars="-58" w:firstLine="420" w:firstLineChars="200"/>
        <w:rPr>
          <w:rFonts w:hint="eastAsia"/>
          <w:color w:val="auto"/>
          <w:spacing w:val="-7"/>
          <w:sz w:val="21"/>
          <w:szCs w:val="21"/>
        </w:rPr>
      </w:pPr>
      <w:r>
        <w:rPr>
          <w:rFonts w:hint="eastAsia"/>
          <w:color w:val="auto"/>
          <w:sz w:val="21"/>
          <w:szCs w:val="21"/>
        </w:rPr>
        <w:t>广西盾邦工程项目管理有限公司（招标代理</w:t>
      </w:r>
      <w:r>
        <w:rPr>
          <w:rFonts w:hint="eastAsia"/>
          <w:color w:val="auto"/>
          <w:sz w:val="21"/>
          <w:szCs w:val="21"/>
          <w:lang w:eastAsia="zh-CN"/>
        </w:rPr>
        <w:t>机构）</w:t>
      </w:r>
      <w:r>
        <w:rPr>
          <w:rFonts w:hint="eastAsia"/>
          <w:color w:val="auto"/>
          <w:sz w:val="21"/>
          <w:szCs w:val="21"/>
        </w:rPr>
        <w:t xml:space="preserve">  </w:t>
      </w:r>
      <w:r>
        <w:rPr>
          <w:rFonts w:hint="eastAsia"/>
          <w:color w:val="auto"/>
          <w:spacing w:val="-7"/>
          <w:sz w:val="21"/>
          <w:szCs w:val="21"/>
        </w:rPr>
        <w:t xml:space="preserve"> </w:t>
      </w:r>
    </w:p>
    <w:p>
      <w:pPr>
        <w:pStyle w:val="31"/>
        <w:tabs>
          <w:tab w:val="left" w:pos="1320"/>
          <w:tab w:val="left" w:pos="1371"/>
        </w:tabs>
        <w:spacing w:before="130" w:line="360" w:lineRule="auto"/>
        <w:ind w:left="0" w:right="-128" w:rightChars="-58" w:firstLine="392" w:firstLineChars="200"/>
        <w:rPr>
          <w:color w:val="auto"/>
          <w:spacing w:val="-13"/>
          <w:sz w:val="21"/>
          <w:szCs w:val="21"/>
        </w:rPr>
      </w:pPr>
      <w:r>
        <w:rPr>
          <w:rFonts w:hint="eastAsia"/>
          <w:color w:val="auto"/>
          <w:spacing w:val="-7"/>
          <w:sz w:val="21"/>
          <w:szCs w:val="21"/>
        </w:rPr>
        <w:t>联系地址：</w:t>
      </w:r>
      <w:r>
        <w:rPr>
          <w:rFonts w:hint="eastAsia"/>
          <w:color w:val="auto"/>
          <w:spacing w:val="-13"/>
          <w:sz w:val="21"/>
          <w:szCs w:val="21"/>
        </w:rPr>
        <w:t>河池市任香路旁市体育训练北面金旅国际投资大厦2单元14层1403号</w:t>
      </w:r>
    </w:p>
    <w:p>
      <w:pPr>
        <w:pStyle w:val="31"/>
        <w:tabs>
          <w:tab w:val="left" w:pos="1320"/>
          <w:tab w:val="left" w:pos="1371"/>
        </w:tabs>
        <w:spacing w:before="130" w:line="360" w:lineRule="auto"/>
        <w:ind w:left="0" w:leftChars="0" w:right="-128" w:rightChars="-58" w:firstLine="368" w:firstLineChars="200"/>
        <w:rPr>
          <w:rFonts w:hint="default" w:eastAsia="宋体"/>
          <w:color w:val="auto"/>
          <w:spacing w:val="-13"/>
          <w:sz w:val="21"/>
          <w:szCs w:val="21"/>
          <w:lang w:val="en-US" w:eastAsia="zh-CN"/>
        </w:rPr>
      </w:pPr>
      <w:r>
        <w:rPr>
          <w:rFonts w:hint="eastAsia"/>
          <w:color w:val="auto"/>
          <w:spacing w:val="-13"/>
          <w:sz w:val="21"/>
          <w:szCs w:val="21"/>
        </w:rPr>
        <w:t>联系电话：</w:t>
      </w:r>
      <w:r>
        <w:rPr>
          <w:rFonts w:hint="eastAsia"/>
          <w:color w:val="auto"/>
          <w:spacing w:val="-13"/>
          <w:sz w:val="21"/>
          <w:szCs w:val="21"/>
          <w:lang w:val="en-US" w:eastAsia="zh-CN"/>
        </w:rPr>
        <w:t>0778-2777722</w:t>
      </w:r>
    </w:p>
    <w:p>
      <w:pPr>
        <w:pStyle w:val="31"/>
        <w:tabs>
          <w:tab w:val="left" w:pos="1320"/>
          <w:tab w:val="left" w:pos="1371"/>
        </w:tabs>
        <w:spacing w:before="130" w:line="360" w:lineRule="auto"/>
        <w:ind w:left="0" w:right="-128" w:rightChars="-58" w:firstLine="0"/>
        <w:rPr>
          <w:color w:val="auto"/>
          <w:spacing w:val="-13"/>
          <w:sz w:val="21"/>
        </w:rPr>
      </w:pPr>
    </w:p>
    <w:p>
      <w:pPr>
        <w:pStyle w:val="31"/>
        <w:tabs>
          <w:tab w:val="left" w:pos="1320"/>
          <w:tab w:val="left" w:pos="1371"/>
        </w:tabs>
        <w:spacing w:before="130" w:line="360" w:lineRule="auto"/>
        <w:ind w:left="0" w:right="-128" w:rightChars="-58" w:firstLine="0"/>
        <w:rPr>
          <w:color w:val="auto"/>
          <w:spacing w:val="-13"/>
          <w:sz w:val="21"/>
        </w:rPr>
        <w:sectPr>
          <w:pgSz w:w="11910" w:h="16840"/>
          <w:pgMar w:top="1134" w:right="1134" w:bottom="1134" w:left="1400" w:header="964" w:footer="894" w:gutter="0"/>
          <w:pgNumType w:fmt="decimal"/>
          <w:cols w:equalWidth="0" w:num="1">
            <w:col w:w="10250"/>
          </w:cols>
          <w:rtlGutter w:val="0"/>
        </w:sectPr>
      </w:pPr>
    </w:p>
    <w:p>
      <w:pPr>
        <w:pStyle w:val="31"/>
        <w:numPr>
          <w:ilvl w:val="1"/>
          <w:numId w:val="3"/>
        </w:numPr>
        <w:tabs>
          <w:tab w:val="left" w:pos="1320"/>
          <w:tab w:val="left" w:pos="1462"/>
        </w:tabs>
        <w:spacing w:before="52"/>
        <w:ind w:left="462" w:right="-128" w:rightChars="-58" w:hanging="454" w:hangingChars="223"/>
        <w:jc w:val="center"/>
        <w:rPr>
          <w:color w:val="auto"/>
          <w:sz w:val="21"/>
        </w:rPr>
      </w:pPr>
      <w:r>
        <w:rPr>
          <w:rFonts w:hint="eastAsia"/>
          <w:color w:val="auto"/>
          <w:spacing w:val="-3"/>
          <w:sz w:val="21"/>
          <w:lang w:val="en-US" w:eastAsia="zh-CN"/>
        </w:rPr>
        <w:t xml:space="preserve"> </w:t>
      </w:r>
      <w:r>
        <w:rPr>
          <w:rFonts w:hint="eastAsia"/>
          <w:color w:val="auto"/>
          <w:spacing w:val="-3"/>
          <w:sz w:val="21"/>
        </w:rPr>
        <w:t>、递交质疑函的联系方式：</w:t>
      </w:r>
    </w:p>
    <w:p>
      <w:pPr>
        <w:pStyle w:val="31"/>
        <w:tabs>
          <w:tab w:val="left" w:pos="1320"/>
          <w:tab w:val="left" w:pos="1371"/>
        </w:tabs>
        <w:spacing w:before="130" w:line="360" w:lineRule="auto"/>
        <w:ind w:left="0" w:right="-128" w:rightChars="-58" w:firstLine="220" w:firstLineChars="100"/>
        <w:rPr>
          <w:color w:val="auto"/>
        </w:rPr>
      </w:pPr>
      <w:r>
        <w:rPr>
          <w:rFonts w:hint="eastAsia"/>
          <w:color w:val="auto"/>
        </w:rPr>
        <w:t>广西</w:t>
      </w:r>
      <w:r>
        <w:rPr>
          <w:rFonts w:hint="eastAsia"/>
          <w:color w:val="auto"/>
          <w:lang w:val="en-US" w:eastAsia="zh-CN"/>
        </w:rPr>
        <w:t xml:space="preserve">     </w:t>
      </w:r>
      <w:r>
        <w:rPr>
          <w:rFonts w:hint="eastAsia"/>
          <w:color w:val="auto"/>
        </w:rPr>
        <w:t>盾邦工程项目管理有限公司</w:t>
      </w:r>
      <w:r>
        <w:rPr>
          <w:rFonts w:hint="eastAsia"/>
          <w:color w:val="auto"/>
          <w:lang w:val="en-US" w:eastAsia="zh-CN"/>
        </w:rPr>
        <w:t xml:space="preserve">  </w:t>
      </w:r>
      <w:r>
        <w:rPr>
          <w:rFonts w:hint="eastAsia"/>
          <w:color w:val="auto"/>
        </w:rPr>
        <w:t xml:space="preserve">（招标代理宁       联  </w:t>
      </w:r>
      <w:r>
        <w:rPr>
          <w:rFonts w:hint="eastAsia"/>
          <w:color w:val="auto"/>
          <w:spacing w:val="-7"/>
          <w:sz w:val="21"/>
        </w:rPr>
        <w:t xml:space="preserve"> </w:t>
      </w:r>
      <w:r>
        <w:rPr>
          <w:rFonts w:hint="eastAsia"/>
          <w:color w:val="auto"/>
          <w:spacing w:val="-7"/>
          <w:sz w:val="21"/>
          <w:lang w:val="en-US" w:eastAsia="zh-CN"/>
        </w:rPr>
        <w:t xml:space="preserve">  </w:t>
      </w:r>
    </w:p>
    <w:p>
      <w:pPr>
        <w:pStyle w:val="4"/>
        <w:ind w:right="-128" w:rightChars="-58" w:firstLine="2711" w:firstLineChars="900"/>
        <w:jc w:val="both"/>
        <w:rPr>
          <w:rFonts w:ascii="宋体" w:hAnsi="宋体" w:eastAsia="宋体" w:cs="宋体"/>
          <w:b/>
          <w:bCs/>
          <w:color w:val="auto"/>
        </w:rPr>
      </w:pPr>
      <w:bookmarkStart w:id="6" w:name="_TOC_250009"/>
      <w:bookmarkEnd w:id="6"/>
      <w:r>
        <w:rPr>
          <w:rFonts w:hint="eastAsia" w:ascii="宋体" w:hAnsi="宋体" w:eastAsia="宋体" w:cs="宋体"/>
          <w:b/>
          <w:bCs/>
          <w:color w:val="auto"/>
        </w:rPr>
        <w:t>二、招标文件</w:t>
      </w:r>
    </w:p>
    <w:p>
      <w:pPr>
        <w:pStyle w:val="12"/>
        <w:spacing w:before="4"/>
        <w:ind w:right="-128" w:rightChars="-58"/>
        <w:rPr>
          <w:color w:val="auto"/>
          <w:sz w:val="38"/>
        </w:rPr>
      </w:pPr>
    </w:p>
    <w:p>
      <w:pPr>
        <w:pStyle w:val="9"/>
        <w:spacing w:line="360" w:lineRule="auto"/>
        <w:ind w:left="13" w:right="-128" w:rightChars="-58" w:hanging="13" w:hangingChars="6"/>
        <w:rPr>
          <w:color w:val="auto"/>
        </w:rPr>
      </w:pPr>
      <w:r>
        <w:rPr>
          <w:rFonts w:hint="eastAsia"/>
          <w:color w:val="auto"/>
        </w:rPr>
        <w:t>11、招标文件的构成</w:t>
      </w:r>
    </w:p>
    <w:p>
      <w:pPr>
        <w:pStyle w:val="31"/>
        <w:numPr>
          <w:ilvl w:val="0"/>
          <w:numId w:val="4"/>
        </w:numPr>
        <w:spacing w:before="129" w:line="360" w:lineRule="auto"/>
        <w:ind w:left="11" w:leftChars="5" w:right="-128" w:rightChars="-58" w:firstLine="191" w:firstLineChars="94"/>
        <w:rPr>
          <w:color w:val="auto"/>
          <w:sz w:val="21"/>
        </w:rPr>
      </w:pPr>
      <w:r>
        <w:rPr>
          <w:rFonts w:hint="eastAsia"/>
          <w:color w:val="auto"/>
          <w:spacing w:val="-3"/>
          <w:sz w:val="21"/>
        </w:rPr>
        <w:t>招标公告；</w:t>
      </w:r>
    </w:p>
    <w:p>
      <w:pPr>
        <w:pStyle w:val="31"/>
        <w:numPr>
          <w:ilvl w:val="0"/>
          <w:numId w:val="4"/>
        </w:numPr>
        <w:spacing w:before="133" w:line="360" w:lineRule="auto"/>
        <w:ind w:left="11" w:leftChars="5" w:right="-128" w:rightChars="-58" w:firstLine="191" w:firstLineChars="94"/>
        <w:rPr>
          <w:color w:val="auto"/>
          <w:sz w:val="21"/>
        </w:rPr>
      </w:pPr>
      <w:r>
        <w:rPr>
          <w:rFonts w:hint="eastAsia"/>
          <w:color w:val="auto"/>
          <w:spacing w:val="-3"/>
          <w:sz w:val="21"/>
        </w:rPr>
        <w:t>投标人须知；</w:t>
      </w:r>
    </w:p>
    <w:p>
      <w:pPr>
        <w:pStyle w:val="31"/>
        <w:numPr>
          <w:ilvl w:val="0"/>
          <w:numId w:val="4"/>
        </w:numPr>
        <w:spacing w:before="131" w:line="360" w:lineRule="auto"/>
        <w:ind w:left="11" w:leftChars="5" w:right="-128" w:rightChars="-58" w:firstLine="191" w:firstLineChars="94"/>
        <w:rPr>
          <w:color w:val="auto"/>
          <w:sz w:val="21"/>
        </w:rPr>
      </w:pPr>
      <w:r>
        <w:rPr>
          <w:rFonts w:hint="eastAsia"/>
          <w:color w:val="auto"/>
          <w:spacing w:val="-3"/>
          <w:sz w:val="21"/>
        </w:rPr>
        <w:t>项目需求和说明</w:t>
      </w:r>
      <w:r>
        <w:rPr>
          <w:rFonts w:hint="eastAsia"/>
          <w:color w:val="auto"/>
          <w:spacing w:val="-106"/>
          <w:sz w:val="21"/>
        </w:rPr>
        <w:t>（</w:t>
      </w:r>
      <w:r>
        <w:rPr>
          <w:rFonts w:hint="eastAsia"/>
          <w:color w:val="auto"/>
          <w:spacing w:val="-3"/>
          <w:sz w:val="21"/>
        </w:rPr>
        <w:t>“项目需求和说明”中标注★号项的要求为实质性要求</w:t>
      </w:r>
      <w:r>
        <w:rPr>
          <w:rFonts w:hint="eastAsia"/>
          <w:color w:val="auto"/>
          <w:spacing w:val="-106"/>
          <w:sz w:val="21"/>
        </w:rPr>
        <w:t>）</w:t>
      </w:r>
      <w:r>
        <w:rPr>
          <w:rFonts w:hint="eastAsia"/>
          <w:color w:val="auto"/>
          <w:sz w:val="21"/>
        </w:rPr>
        <w:t>；</w:t>
      </w:r>
    </w:p>
    <w:p>
      <w:pPr>
        <w:pStyle w:val="31"/>
        <w:numPr>
          <w:ilvl w:val="0"/>
          <w:numId w:val="4"/>
        </w:numPr>
        <w:spacing w:before="130" w:line="360" w:lineRule="auto"/>
        <w:ind w:left="11" w:leftChars="5" w:right="-128" w:rightChars="-58" w:firstLine="191" w:firstLineChars="94"/>
        <w:rPr>
          <w:color w:val="auto"/>
          <w:sz w:val="21"/>
        </w:rPr>
      </w:pPr>
      <w:r>
        <w:rPr>
          <w:rFonts w:hint="eastAsia"/>
          <w:color w:val="auto"/>
          <w:spacing w:val="-3"/>
          <w:sz w:val="21"/>
        </w:rPr>
        <w:t>评标办法；</w:t>
      </w:r>
    </w:p>
    <w:p>
      <w:pPr>
        <w:pStyle w:val="31"/>
        <w:numPr>
          <w:ilvl w:val="0"/>
          <w:numId w:val="4"/>
        </w:numPr>
        <w:spacing w:before="131" w:line="360" w:lineRule="auto"/>
        <w:ind w:left="11" w:leftChars="5" w:right="-128" w:rightChars="-58" w:firstLine="191" w:firstLineChars="94"/>
        <w:rPr>
          <w:color w:val="auto"/>
          <w:sz w:val="21"/>
        </w:rPr>
      </w:pPr>
      <w:r>
        <w:rPr>
          <w:rFonts w:hint="eastAsia"/>
          <w:color w:val="auto"/>
          <w:spacing w:val="-3"/>
          <w:sz w:val="21"/>
        </w:rPr>
        <w:t>合同主要条款及格式；</w:t>
      </w:r>
    </w:p>
    <w:p>
      <w:pPr>
        <w:pStyle w:val="31"/>
        <w:numPr>
          <w:ilvl w:val="0"/>
          <w:numId w:val="4"/>
        </w:numPr>
        <w:spacing w:before="132" w:line="360" w:lineRule="auto"/>
        <w:ind w:left="11" w:leftChars="5" w:right="-128" w:rightChars="-58" w:firstLine="191" w:firstLineChars="94"/>
        <w:rPr>
          <w:color w:val="auto"/>
          <w:sz w:val="21"/>
        </w:rPr>
      </w:pPr>
      <w:r>
        <w:rPr>
          <w:rFonts w:hint="eastAsia"/>
          <w:color w:val="auto"/>
          <w:spacing w:val="-3"/>
          <w:sz w:val="21"/>
        </w:rPr>
        <w:t>投标文件格式。</w:t>
      </w:r>
    </w:p>
    <w:p>
      <w:pPr>
        <w:pStyle w:val="9"/>
        <w:spacing w:before="129" w:line="360" w:lineRule="auto"/>
        <w:ind w:left="13" w:right="-128" w:rightChars="-58" w:hanging="13" w:hangingChars="6"/>
        <w:rPr>
          <w:color w:val="auto"/>
        </w:rPr>
      </w:pPr>
      <w:r>
        <w:rPr>
          <w:rFonts w:hint="eastAsia"/>
          <w:color w:val="auto"/>
        </w:rPr>
        <w:t>12、招标文件的澄清与修改</w:t>
      </w:r>
    </w:p>
    <w:p>
      <w:pPr>
        <w:pStyle w:val="31"/>
        <w:numPr>
          <w:ilvl w:val="1"/>
          <w:numId w:val="5"/>
        </w:numPr>
        <w:tabs>
          <w:tab w:val="left" w:pos="440"/>
        </w:tabs>
        <w:spacing w:before="132" w:line="360" w:lineRule="auto"/>
        <w:ind w:left="11" w:leftChars="5" w:right="-128" w:rightChars="-58" w:firstLine="243" w:firstLineChars="124"/>
        <w:jc w:val="both"/>
        <w:rPr>
          <w:color w:val="auto"/>
          <w:sz w:val="21"/>
        </w:rPr>
      </w:pPr>
      <w:r>
        <w:rPr>
          <w:rFonts w:hint="eastAsia"/>
          <w:color w:val="auto"/>
          <w:spacing w:val="-7"/>
          <w:sz w:val="21"/>
        </w:rPr>
        <w:t>、投标人应认真阅读招标文件，发现其中有误或有不合理要求的，投标人必须在招标文件</w:t>
      </w:r>
      <w:r>
        <w:rPr>
          <w:rFonts w:hint="eastAsia"/>
          <w:color w:val="auto"/>
          <w:spacing w:val="-13"/>
          <w:sz w:val="21"/>
        </w:rPr>
        <w:t xml:space="preserve">购买之日起 </w:t>
      </w:r>
      <w:r>
        <w:rPr>
          <w:rFonts w:hint="eastAsia"/>
          <w:color w:val="auto"/>
          <w:sz w:val="21"/>
        </w:rPr>
        <w:t>7</w:t>
      </w:r>
      <w:r>
        <w:rPr>
          <w:rFonts w:hint="eastAsia"/>
          <w:color w:val="auto"/>
          <w:spacing w:val="-9"/>
          <w:sz w:val="21"/>
        </w:rPr>
        <w:t xml:space="preserve"> 个工作日内以书面形式要求招标代理机构澄清。</w:t>
      </w:r>
    </w:p>
    <w:p>
      <w:pPr>
        <w:pStyle w:val="31"/>
        <w:numPr>
          <w:ilvl w:val="1"/>
          <w:numId w:val="5"/>
        </w:numPr>
        <w:tabs>
          <w:tab w:val="left" w:pos="440"/>
        </w:tabs>
        <w:spacing w:line="360" w:lineRule="auto"/>
        <w:ind w:left="11" w:leftChars="5" w:right="-128" w:rightChars="-58" w:firstLine="243" w:firstLineChars="124"/>
        <w:jc w:val="both"/>
        <w:rPr>
          <w:color w:val="auto"/>
          <w:sz w:val="21"/>
        </w:rPr>
      </w:pPr>
      <w:r>
        <w:rPr>
          <w:rFonts w:hint="eastAsia"/>
          <w:color w:val="auto"/>
          <w:spacing w:val="-7"/>
          <w:sz w:val="21"/>
        </w:rPr>
        <w:t>、招标代理机构可以对已发出的招标文件进行必要澄清、修改。澄清或者修改的内容可能</w:t>
      </w:r>
      <w:r>
        <w:rPr>
          <w:rFonts w:hint="eastAsia"/>
          <w:color w:val="auto"/>
          <w:spacing w:val="-8"/>
          <w:sz w:val="21"/>
        </w:rPr>
        <w:t>影响投标文件编制的，代理机构应当在投标截止时间至少十五日前在本招标项目招标公告发布的同一媒体上发布更正公告，并以书面形式通知所有获取招标文件的潜在投标人；不足十五日的，招标</w:t>
      </w:r>
      <w:r>
        <w:rPr>
          <w:rFonts w:hint="eastAsia"/>
          <w:color w:val="auto"/>
          <w:spacing w:val="-5"/>
          <w:sz w:val="21"/>
        </w:rPr>
        <w:t>代理机构应当顺延投标文件的截止时间。</w:t>
      </w:r>
    </w:p>
    <w:p>
      <w:pPr>
        <w:pStyle w:val="31"/>
        <w:numPr>
          <w:ilvl w:val="1"/>
          <w:numId w:val="5"/>
        </w:numPr>
        <w:tabs>
          <w:tab w:val="left" w:pos="440"/>
        </w:tabs>
        <w:spacing w:line="360" w:lineRule="auto"/>
        <w:ind w:left="11" w:leftChars="5" w:right="-128" w:rightChars="-58" w:firstLine="238" w:firstLineChars="124"/>
        <w:rPr>
          <w:color w:val="auto"/>
          <w:sz w:val="21"/>
        </w:rPr>
      </w:pPr>
      <w:r>
        <w:rPr>
          <w:rFonts w:hint="eastAsia"/>
          <w:color w:val="auto"/>
          <w:spacing w:val="-9"/>
          <w:sz w:val="21"/>
        </w:rPr>
        <w:t>、必要的澄清、修改的内容为招标文件的组成部分。当澄清、修改通知就同一内容的表述</w:t>
      </w:r>
      <w:r>
        <w:rPr>
          <w:rFonts w:hint="eastAsia"/>
          <w:color w:val="auto"/>
          <w:spacing w:val="-5"/>
          <w:sz w:val="21"/>
        </w:rPr>
        <w:t>不一致时，以最后发出的书面文件为准。</w:t>
      </w:r>
    </w:p>
    <w:p>
      <w:pPr>
        <w:pStyle w:val="31"/>
        <w:numPr>
          <w:ilvl w:val="1"/>
          <w:numId w:val="5"/>
        </w:numPr>
        <w:tabs>
          <w:tab w:val="left" w:pos="440"/>
        </w:tabs>
        <w:spacing w:line="360" w:lineRule="auto"/>
        <w:ind w:left="11" w:leftChars="5" w:right="-128" w:rightChars="-58" w:firstLine="240" w:firstLineChars="124"/>
        <w:rPr>
          <w:color w:val="auto"/>
          <w:sz w:val="21"/>
        </w:rPr>
      </w:pPr>
      <w:r>
        <w:rPr>
          <w:rFonts w:hint="eastAsia"/>
          <w:color w:val="auto"/>
          <w:spacing w:val="-8"/>
          <w:sz w:val="21"/>
        </w:rPr>
        <w:t>、招标文件的澄清、修改都应该通过招标代理机构以法定形式发布，招标单位非通过本机</w:t>
      </w:r>
      <w:r>
        <w:rPr>
          <w:rFonts w:hint="eastAsia"/>
          <w:color w:val="auto"/>
          <w:spacing w:val="-5"/>
          <w:sz w:val="21"/>
        </w:rPr>
        <w:t>构，不得擅自澄清、修改招标文件。</w:t>
      </w:r>
    </w:p>
    <w:p>
      <w:pPr>
        <w:pStyle w:val="12"/>
        <w:spacing w:before="6"/>
        <w:ind w:right="-128" w:rightChars="-58"/>
        <w:rPr>
          <w:color w:val="auto"/>
          <w:sz w:val="19"/>
        </w:rPr>
      </w:pPr>
    </w:p>
    <w:p>
      <w:pPr>
        <w:spacing w:before="1"/>
        <w:ind w:left="830" w:right="-128" w:rightChars="-58"/>
        <w:jc w:val="center"/>
        <w:rPr>
          <w:b/>
          <w:bCs/>
          <w:color w:val="auto"/>
          <w:sz w:val="30"/>
          <w:szCs w:val="30"/>
        </w:rPr>
      </w:pPr>
      <w:bookmarkStart w:id="7" w:name="_TOC_250008"/>
      <w:bookmarkEnd w:id="7"/>
      <w:r>
        <w:rPr>
          <w:rFonts w:hint="eastAsia"/>
          <w:b/>
          <w:bCs/>
          <w:color w:val="auto"/>
          <w:sz w:val="30"/>
          <w:szCs w:val="30"/>
        </w:rPr>
        <w:t>三、投标文件的编制</w:t>
      </w:r>
    </w:p>
    <w:p>
      <w:pPr>
        <w:pStyle w:val="12"/>
        <w:spacing w:before="1"/>
        <w:ind w:right="-128" w:rightChars="-58"/>
        <w:rPr>
          <w:color w:val="auto"/>
          <w:sz w:val="37"/>
        </w:rPr>
      </w:pPr>
    </w:p>
    <w:p>
      <w:pPr>
        <w:pStyle w:val="9"/>
        <w:spacing w:line="360" w:lineRule="auto"/>
        <w:ind w:left="0" w:right="-128" w:rightChars="-58"/>
        <w:rPr>
          <w:rFonts w:hint="eastAsia" w:ascii="宋体" w:hAnsi="宋体" w:eastAsia="宋体" w:cs="宋体"/>
          <w:color w:val="auto"/>
          <w:sz w:val="21"/>
          <w:szCs w:val="21"/>
        </w:rPr>
      </w:pPr>
      <w:r>
        <w:rPr>
          <w:rFonts w:hint="eastAsia"/>
          <w:color w:val="auto"/>
        </w:rPr>
        <w:t>13、</w:t>
      </w:r>
      <w:r>
        <w:rPr>
          <w:rFonts w:hint="eastAsia" w:ascii="宋体" w:hAnsi="宋体" w:eastAsia="宋体" w:cs="宋体"/>
          <w:color w:val="auto"/>
          <w:sz w:val="21"/>
          <w:szCs w:val="21"/>
        </w:rPr>
        <w:t>投标文件的组成</w:t>
      </w:r>
    </w:p>
    <w:p>
      <w:pPr>
        <w:pStyle w:val="12"/>
        <w:spacing w:before="132" w:line="360" w:lineRule="auto"/>
        <w:ind w:left="0" w:leftChars="0" w:right="-128" w:rightChars="-58" w:firstLine="379" w:firstLineChars="180"/>
        <w:rPr>
          <w:rFonts w:hint="eastAsia" w:ascii="宋体" w:hAnsi="宋体" w:eastAsia="宋体" w:cs="宋体"/>
          <w:b/>
          <w:bCs/>
          <w:color w:val="auto"/>
          <w:sz w:val="21"/>
          <w:szCs w:val="21"/>
        </w:rPr>
      </w:pPr>
      <w:r>
        <w:rPr>
          <w:rFonts w:hint="eastAsia" w:ascii="宋体" w:hAnsi="宋体" w:eastAsia="宋体" w:cs="宋体"/>
          <w:b/>
          <w:bCs/>
          <w:color w:val="auto"/>
          <w:sz w:val="21"/>
          <w:szCs w:val="21"/>
        </w:rPr>
        <w:t>13.1</w:t>
      </w:r>
      <w:r>
        <w:rPr>
          <w:rFonts w:hint="eastAsia" w:ascii="宋体" w:hAnsi="宋体" w:eastAsia="宋体" w:cs="宋体"/>
          <w:b/>
          <w:bCs/>
          <w:color w:val="auto"/>
          <w:spacing w:val="-3"/>
          <w:sz w:val="21"/>
          <w:szCs w:val="21"/>
        </w:rPr>
        <w:t>、开标一览表（装进开标一览表文件袋内</w:t>
      </w:r>
      <w:r>
        <w:rPr>
          <w:rFonts w:hint="eastAsia" w:ascii="宋体" w:hAnsi="宋体" w:eastAsia="宋体" w:cs="宋体"/>
          <w:b/>
          <w:bCs/>
          <w:color w:val="auto"/>
          <w:spacing w:val="-106"/>
          <w:sz w:val="21"/>
          <w:szCs w:val="21"/>
        </w:rPr>
        <w:t>）</w:t>
      </w:r>
      <w:r>
        <w:rPr>
          <w:rFonts w:hint="eastAsia" w:ascii="宋体" w:hAnsi="宋体" w:eastAsia="宋体" w:cs="宋体"/>
          <w:b/>
          <w:bCs/>
          <w:color w:val="auto"/>
          <w:sz w:val="21"/>
          <w:szCs w:val="21"/>
        </w:rPr>
        <w:t>：</w:t>
      </w:r>
    </w:p>
    <w:p>
      <w:pPr>
        <w:pStyle w:val="12"/>
        <w:spacing w:before="131" w:line="360" w:lineRule="auto"/>
        <w:ind w:left="0" w:leftChars="0" w:right="-128" w:rightChars="-58" w:firstLine="378" w:firstLineChars="180"/>
        <w:rPr>
          <w:rFonts w:hint="eastAsia" w:ascii="宋体" w:hAnsi="宋体" w:eastAsia="宋体" w:cs="宋体"/>
          <w:color w:val="auto"/>
          <w:spacing w:val="-3"/>
          <w:sz w:val="21"/>
          <w:szCs w:val="21"/>
        </w:rPr>
      </w:pPr>
      <w:r>
        <w:rPr>
          <w:rFonts w:hint="eastAsia" w:ascii="宋体" w:hAnsi="宋体" w:eastAsia="宋体" w:cs="宋体"/>
          <w:color w:val="auto"/>
          <w:sz w:val="21"/>
          <w:szCs w:val="21"/>
        </w:rPr>
        <w:t>★13.1.1</w:t>
      </w:r>
      <w:r>
        <w:rPr>
          <w:rFonts w:hint="eastAsia" w:ascii="宋体" w:hAnsi="宋体" w:eastAsia="宋体" w:cs="宋体"/>
          <w:color w:val="auto"/>
          <w:spacing w:val="-3"/>
          <w:sz w:val="21"/>
          <w:szCs w:val="21"/>
        </w:rPr>
        <w:t xml:space="preserve">、 开标一览表(按招标文件第六章《开标一览表》格式要求填写)； </w:t>
      </w:r>
    </w:p>
    <w:p>
      <w:pPr>
        <w:pStyle w:val="12"/>
        <w:spacing w:before="131" w:line="360" w:lineRule="auto"/>
        <w:ind w:left="0" w:leftChars="0" w:right="-128" w:rightChars="-58" w:firstLine="369" w:firstLineChars="180"/>
        <w:rPr>
          <w:rFonts w:hint="eastAsia" w:ascii="宋体" w:hAnsi="宋体" w:eastAsia="宋体" w:cs="宋体"/>
          <w:b/>
          <w:bCs/>
          <w:color w:val="auto"/>
          <w:sz w:val="21"/>
          <w:szCs w:val="21"/>
        </w:rPr>
      </w:pPr>
      <w:r>
        <w:rPr>
          <w:rFonts w:hint="eastAsia" w:ascii="宋体" w:hAnsi="宋体" w:eastAsia="宋体" w:cs="宋体"/>
          <w:b/>
          <w:bCs/>
          <w:color w:val="auto"/>
          <w:spacing w:val="-3"/>
          <w:sz w:val="21"/>
          <w:szCs w:val="21"/>
        </w:rPr>
        <w:t>13.2、投标文件</w:t>
      </w:r>
      <w:r>
        <w:rPr>
          <w:rFonts w:hint="eastAsia" w:ascii="宋体" w:hAnsi="宋体" w:eastAsia="宋体" w:cs="宋体"/>
          <w:b/>
          <w:bCs/>
          <w:color w:val="auto"/>
          <w:sz w:val="21"/>
          <w:szCs w:val="21"/>
        </w:rPr>
        <w:t>（</w:t>
      </w:r>
      <w:r>
        <w:rPr>
          <w:rFonts w:hint="eastAsia" w:ascii="宋体" w:hAnsi="宋体" w:eastAsia="宋体" w:cs="宋体"/>
          <w:b/>
          <w:bCs/>
          <w:color w:val="auto"/>
          <w:spacing w:val="-3"/>
          <w:sz w:val="21"/>
          <w:szCs w:val="21"/>
        </w:rPr>
        <w:t>装进投标文件袋内</w:t>
      </w:r>
      <w:r>
        <w:rPr>
          <w:rFonts w:hint="eastAsia" w:ascii="宋体" w:hAnsi="宋体" w:eastAsia="宋体" w:cs="宋体"/>
          <w:b/>
          <w:bCs/>
          <w:color w:val="auto"/>
          <w:spacing w:val="-106"/>
          <w:sz w:val="21"/>
          <w:szCs w:val="21"/>
        </w:rPr>
        <w:t>）</w:t>
      </w:r>
      <w:r>
        <w:rPr>
          <w:rFonts w:hint="eastAsia" w:ascii="宋体" w:hAnsi="宋体" w:eastAsia="宋体" w:cs="宋体"/>
          <w:b/>
          <w:bCs/>
          <w:color w:val="auto"/>
          <w:sz w:val="21"/>
          <w:szCs w:val="21"/>
        </w:rPr>
        <w:t>：</w:t>
      </w:r>
    </w:p>
    <w:p>
      <w:pPr>
        <w:pStyle w:val="12"/>
        <w:spacing w:before="3" w:line="360" w:lineRule="auto"/>
        <w:ind w:left="0" w:leftChars="0" w:right="-128" w:rightChars="-58" w:firstLine="378" w:firstLineChars="180"/>
        <w:rPr>
          <w:rFonts w:hint="eastAsia" w:ascii="宋体" w:hAnsi="宋体" w:eastAsia="宋体" w:cs="宋体"/>
          <w:color w:val="auto"/>
          <w:sz w:val="21"/>
          <w:szCs w:val="21"/>
        </w:rPr>
      </w:pPr>
      <w:r>
        <w:rPr>
          <w:rFonts w:hint="eastAsia" w:ascii="宋体" w:hAnsi="宋体" w:eastAsia="宋体" w:cs="宋体"/>
          <w:color w:val="auto"/>
          <w:sz w:val="21"/>
          <w:szCs w:val="21"/>
        </w:rPr>
        <w:t>★ 13.2.1 投标文件分为两册。第一册为资格审查部分，第二册为商务及技术部分</w:t>
      </w:r>
    </w:p>
    <w:p>
      <w:pPr>
        <w:pStyle w:val="12"/>
        <w:spacing w:before="3" w:line="360" w:lineRule="auto"/>
        <w:ind w:left="0" w:leftChars="0" w:right="-128" w:rightChars="-58" w:firstLine="379" w:firstLineChars="180"/>
        <w:rPr>
          <w:rFonts w:hint="eastAsia" w:ascii="宋体" w:hAnsi="宋体" w:eastAsia="宋体" w:cs="宋体"/>
          <w:color w:val="auto"/>
          <w:sz w:val="21"/>
          <w:szCs w:val="21"/>
        </w:rPr>
      </w:pPr>
      <w:r>
        <w:rPr>
          <w:rFonts w:hint="eastAsia" w:ascii="宋体" w:hAnsi="宋体" w:eastAsia="宋体" w:cs="宋体"/>
          <w:b/>
          <w:bCs/>
          <w:color w:val="auto"/>
          <w:sz w:val="21"/>
          <w:szCs w:val="21"/>
        </w:rPr>
        <w:t>13.2.2、资格审查部分 ：</w:t>
      </w:r>
    </w:p>
    <w:p>
      <w:pPr>
        <w:pStyle w:val="12"/>
        <w:spacing w:line="360" w:lineRule="auto"/>
        <w:ind w:left="0" w:leftChars="0" w:right="-128" w:rightChars="-58" w:firstLine="378" w:firstLineChars="180"/>
        <w:rPr>
          <w:rFonts w:hint="eastAsia" w:ascii="宋体" w:hAnsi="宋体" w:eastAsia="宋体" w:cs="宋体"/>
          <w:color w:val="auto"/>
          <w:sz w:val="21"/>
          <w:szCs w:val="21"/>
        </w:rPr>
      </w:pPr>
      <w:r>
        <w:rPr>
          <w:rFonts w:hint="eastAsia" w:ascii="宋体" w:hAnsi="宋体" w:eastAsia="宋体" w:cs="宋体"/>
          <w:color w:val="auto"/>
          <w:sz w:val="21"/>
          <w:szCs w:val="21"/>
        </w:rPr>
        <w:t>★（1）投标保证金声明(格式见第六章)；</w:t>
      </w:r>
    </w:p>
    <w:p>
      <w:pPr>
        <w:spacing w:line="360" w:lineRule="auto"/>
        <w:ind w:right="-128" w:rightChars="-58"/>
        <w:rPr>
          <w:rFonts w:hint="eastAsia" w:ascii="宋体" w:hAnsi="宋体" w:eastAsia="宋体" w:cs="宋体"/>
          <w:color w:val="auto"/>
          <w:sz w:val="21"/>
          <w:szCs w:val="21"/>
        </w:rPr>
        <w:sectPr>
          <w:pgSz w:w="11910" w:h="16840"/>
          <w:pgMar w:top="1134" w:right="1134" w:bottom="1134" w:left="1180" w:header="1020" w:footer="896" w:gutter="0"/>
          <w:pgNumType w:fmt="decimal"/>
          <w:cols w:equalWidth="0" w:num="2">
            <w:col w:w="0" w:space="0"/>
            <w:col w:w="9596"/>
          </w:cols>
          <w:rtlGutter w:val="0"/>
        </w:sectPr>
      </w:pPr>
    </w:p>
    <w:p>
      <w:pPr>
        <w:pStyle w:val="12"/>
        <w:keepNext w:val="0"/>
        <w:keepLines w:val="0"/>
        <w:pageBreakBefore w:val="0"/>
        <w:widowControl w:val="0"/>
        <w:kinsoku/>
        <w:wordWrap/>
        <w:overflowPunct/>
        <w:topLinePunct w:val="0"/>
        <w:autoSpaceDE w:val="0"/>
        <w:autoSpaceDN w:val="0"/>
        <w:bidi w:val="0"/>
        <w:adjustRightInd/>
        <w:snapToGrid/>
        <w:spacing w:before="54"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★（2）有效的营业执照副本或具有独立承担民事责任能力的注册登记证书的证明文件复印件；</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128" w:rightChars="-58"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★（3）2020</w:t>
      </w:r>
      <w:r>
        <w:rPr>
          <w:rFonts w:hint="eastAsia" w:ascii="宋体" w:hAnsi="宋体" w:eastAsia="宋体" w:cs="宋体"/>
          <w:color w:val="auto"/>
          <w:spacing w:val="-30"/>
          <w:sz w:val="21"/>
          <w:szCs w:val="21"/>
        </w:rPr>
        <w:t xml:space="preserve"> 年 </w:t>
      </w:r>
      <w:r>
        <w:rPr>
          <w:rFonts w:hint="eastAsia" w:ascii="宋体" w:hAnsi="宋体" w:eastAsia="宋体" w:cs="宋体"/>
          <w:color w:val="auto"/>
          <w:sz w:val="21"/>
          <w:szCs w:val="21"/>
        </w:rPr>
        <w:t>1</w:t>
      </w:r>
      <w:r>
        <w:rPr>
          <w:rFonts w:hint="eastAsia" w:ascii="宋体" w:hAnsi="宋体" w:eastAsia="宋体" w:cs="宋体"/>
          <w:color w:val="auto"/>
          <w:spacing w:val="-30"/>
          <w:sz w:val="21"/>
          <w:szCs w:val="21"/>
        </w:rPr>
        <w:t xml:space="preserve"> 月 </w:t>
      </w:r>
      <w:r>
        <w:rPr>
          <w:rFonts w:hint="eastAsia" w:ascii="宋体" w:hAnsi="宋体" w:eastAsia="宋体" w:cs="宋体"/>
          <w:color w:val="auto"/>
          <w:sz w:val="21"/>
          <w:szCs w:val="21"/>
        </w:rPr>
        <w:t>1</w:t>
      </w:r>
      <w:r>
        <w:rPr>
          <w:rFonts w:hint="eastAsia" w:ascii="宋体" w:hAnsi="宋体" w:eastAsia="宋体" w:cs="宋体"/>
          <w:color w:val="auto"/>
          <w:spacing w:val="-8"/>
          <w:sz w:val="21"/>
          <w:szCs w:val="21"/>
        </w:rPr>
        <w:t xml:space="preserve"> 日以来，投标人连续三个月</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如属新成立的公司不足三个月的递交工商注册之月起的纳税证明</w:t>
      </w:r>
      <w:r>
        <w:rPr>
          <w:rFonts w:hint="eastAsia" w:ascii="宋体" w:hAnsi="宋体" w:eastAsia="宋体" w:cs="宋体"/>
          <w:color w:val="auto"/>
          <w:spacing w:val="-10"/>
          <w:sz w:val="21"/>
          <w:szCs w:val="21"/>
        </w:rPr>
        <w:t>）</w:t>
      </w:r>
      <w:r>
        <w:rPr>
          <w:rFonts w:hint="eastAsia" w:ascii="宋体" w:hAnsi="宋体" w:eastAsia="宋体" w:cs="宋体"/>
          <w:color w:val="auto"/>
          <w:spacing w:val="-4"/>
          <w:sz w:val="21"/>
          <w:szCs w:val="21"/>
        </w:rPr>
        <w:t>依法缴纳税收</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国税或地税</w:t>
      </w:r>
      <w:r>
        <w:rPr>
          <w:rFonts w:hint="eastAsia" w:ascii="宋体" w:hAnsi="宋体" w:eastAsia="宋体" w:cs="宋体"/>
          <w:color w:val="auto"/>
          <w:spacing w:val="-10"/>
          <w:sz w:val="21"/>
          <w:szCs w:val="21"/>
        </w:rPr>
        <w:t>）</w:t>
      </w:r>
      <w:r>
        <w:rPr>
          <w:rFonts w:hint="eastAsia" w:ascii="宋体" w:hAnsi="宋体" w:eastAsia="宋体" w:cs="宋体"/>
          <w:color w:val="auto"/>
          <w:spacing w:val="-5"/>
          <w:sz w:val="21"/>
          <w:szCs w:val="21"/>
        </w:rPr>
        <w:t>的凭证复印件</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如税务机关开具的完</w:t>
      </w:r>
      <w:r>
        <w:rPr>
          <w:rFonts w:hint="eastAsia" w:ascii="宋体" w:hAnsi="宋体" w:eastAsia="宋体" w:cs="宋体"/>
          <w:color w:val="auto"/>
          <w:spacing w:val="-8"/>
          <w:sz w:val="21"/>
          <w:szCs w:val="21"/>
        </w:rPr>
        <w:t>税证、银行缴税付款凭证或缴款回单等；如为非税务机关开具的凭证或回单的，应清晰反映：付款人名称、帐号，征收机关名称，缴款金额，税种名称，所属时期等内容</w:t>
      </w:r>
      <w:r>
        <w:rPr>
          <w:rFonts w:hint="eastAsia" w:ascii="宋体" w:hAnsi="宋体" w:eastAsia="宋体" w:cs="宋体"/>
          <w:color w:val="auto"/>
          <w:spacing w:val="-106"/>
          <w:sz w:val="21"/>
          <w:szCs w:val="21"/>
        </w:rPr>
        <w:t>）</w:t>
      </w:r>
      <w:r>
        <w:rPr>
          <w:rFonts w:hint="eastAsia" w:ascii="宋体" w:hAnsi="宋体" w:eastAsia="宋体" w:cs="宋体"/>
          <w:color w:val="auto"/>
          <w:spacing w:val="-1"/>
          <w:sz w:val="21"/>
          <w:szCs w:val="21"/>
        </w:rPr>
        <w:t>。无纳税记录的，应提供</w:t>
      </w:r>
      <w:r>
        <w:rPr>
          <w:rFonts w:hint="eastAsia" w:ascii="宋体" w:hAnsi="宋体" w:eastAsia="宋体" w:cs="宋体"/>
          <w:color w:val="auto"/>
          <w:spacing w:val="-3"/>
          <w:sz w:val="21"/>
          <w:szCs w:val="21"/>
        </w:rPr>
        <w:t>投标人所在地的税务部门出具的《依法纳税或依法免税证明》复印件；</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128" w:rightChars="-58" w:firstLine="384"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9"/>
          <w:sz w:val="21"/>
          <w:szCs w:val="21"/>
        </w:rPr>
        <w:t>★（4）2020</w:t>
      </w:r>
      <w:r>
        <w:rPr>
          <w:rFonts w:hint="eastAsia" w:ascii="宋体" w:hAnsi="宋体" w:eastAsia="宋体" w:cs="宋体"/>
          <w:color w:val="auto"/>
          <w:spacing w:val="-30"/>
          <w:sz w:val="21"/>
          <w:szCs w:val="21"/>
        </w:rPr>
        <w:t xml:space="preserve"> 年 </w:t>
      </w:r>
      <w:r>
        <w:rPr>
          <w:rFonts w:hint="eastAsia" w:ascii="宋体" w:hAnsi="宋体" w:eastAsia="宋体" w:cs="宋体"/>
          <w:color w:val="auto"/>
          <w:sz w:val="21"/>
          <w:szCs w:val="21"/>
        </w:rPr>
        <w:t>1</w:t>
      </w:r>
      <w:r>
        <w:rPr>
          <w:rFonts w:hint="eastAsia" w:ascii="宋体" w:hAnsi="宋体" w:eastAsia="宋体" w:cs="宋体"/>
          <w:color w:val="auto"/>
          <w:spacing w:val="-30"/>
          <w:sz w:val="21"/>
          <w:szCs w:val="21"/>
        </w:rPr>
        <w:t xml:space="preserve"> 月 </w:t>
      </w:r>
      <w:r>
        <w:rPr>
          <w:rFonts w:hint="eastAsia" w:ascii="宋体" w:hAnsi="宋体" w:eastAsia="宋体" w:cs="宋体"/>
          <w:color w:val="auto"/>
          <w:sz w:val="21"/>
          <w:szCs w:val="21"/>
        </w:rPr>
        <w:t>1</w:t>
      </w:r>
      <w:r>
        <w:rPr>
          <w:rFonts w:hint="eastAsia" w:ascii="宋体" w:hAnsi="宋体" w:eastAsia="宋体" w:cs="宋体"/>
          <w:color w:val="auto"/>
          <w:spacing w:val="-11"/>
          <w:sz w:val="21"/>
          <w:szCs w:val="21"/>
        </w:rPr>
        <w:t xml:space="preserve"> 日以来，投标人连续三个月(如属新成立的公司不足三个月的递交工商注册之月起的社保证明)依法缴纳社会保障资金的凭证复印件（</w:t>
      </w:r>
      <w:r>
        <w:rPr>
          <w:rFonts w:hint="eastAsia" w:ascii="宋体" w:hAnsi="宋体" w:eastAsia="宋体" w:cs="宋体"/>
          <w:color w:val="auto"/>
          <w:spacing w:val="-12"/>
          <w:sz w:val="21"/>
          <w:szCs w:val="21"/>
        </w:rPr>
        <w:t>如社保部门开具的证明、收款</w:t>
      </w:r>
      <w:r>
        <w:rPr>
          <w:rFonts w:hint="eastAsia" w:ascii="宋体" w:hAnsi="宋体" w:eastAsia="宋体" w:cs="宋体"/>
          <w:color w:val="auto"/>
          <w:spacing w:val="-7"/>
          <w:sz w:val="21"/>
          <w:szCs w:val="21"/>
        </w:rPr>
        <w:t>收据等，或银行缴款凭证、回单等；如为非社保部门开具的凭证或回单的，应清晰反映：缴款单位名称、社保单位名称、保险险种名称、缴款金额等内容</w:t>
      </w:r>
      <w:r>
        <w:rPr>
          <w:rFonts w:hint="eastAsia" w:ascii="宋体" w:hAnsi="宋体" w:eastAsia="宋体" w:cs="宋体"/>
          <w:color w:val="auto"/>
          <w:spacing w:val="-106"/>
          <w:sz w:val="21"/>
          <w:szCs w:val="21"/>
        </w:rPr>
        <w:t>）</w:t>
      </w:r>
      <w:r>
        <w:rPr>
          <w:rFonts w:hint="eastAsia" w:ascii="宋体" w:hAnsi="宋体" w:eastAsia="宋体" w:cs="宋体"/>
          <w:color w:val="auto"/>
          <w:spacing w:val="-1"/>
          <w:sz w:val="21"/>
          <w:szCs w:val="21"/>
        </w:rPr>
        <w:t>。无缴费记录的，应提供投标人所在地社</w:t>
      </w:r>
      <w:r>
        <w:rPr>
          <w:rFonts w:hint="eastAsia" w:ascii="宋体" w:hAnsi="宋体" w:eastAsia="宋体" w:cs="宋体"/>
          <w:color w:val="auto"/>
          <w:spacing w:val="-3"/>
          <w:sz w:val="21"/>
          <w:szCs w:val="21"/>
        </w:rPr>
        <w:t>保部门出具的《依法缴纳或依法免缴社保费证明》复印件；</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128" w:rightChars="-58" w:firstLine="388"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8"/>
          <w:sz w:val="21"/>
          <w:szCs w:val="21"/>
        </w:rPr>
        <w:t>★（5）</w:t>
      </w:r>
      <w:r>
        <w:rPr>
          <w:rFonts w:hint="eastAsia" w:ascii="宋体" w:hAnsi="宋体" w:eastAsia="宋体" w:cs="宋体"/>
          <w:color w:val="auto"/>
          <w:spacing w:val="-10"/>
          <w:sz w:val="21"/>
          <w:szCs w:val="21"/>
        </w:rPr>
        <w:t xml:space="preserve">投标人 </w:t>
      </w:r>
      <w:r>
        <w:rPr>
          <w:rFonts w:hint="eastAsia" w:ascii="宋体" w:hAnsi="宋体" w:eastAsia="宋体" w:cs="宋体"/>
          <w:color w:val="auto"/>
          <w:sz w:val="21"/>
          <w:szCs w:val="21"/>
        </w:rPr>
        <w:t>2019</w:t>
      </w:r>
      <w:r>
        <w:rPr>
          <w:rFonts w:hint="eastAsia" w:ascii="宋体" w:hAnsi="宋体" w:eastAsia="宋体" w:cs="宋体"/>
          <w:color w:val="auto"/>
          <w:spacing w:val="-9"/>
          <w:sz w:val="21"/>
          <w:szCs w:val="21"/>
        </w:rPr>
        <w:t xml:space="preserve"> 年度财务报表</w:t>
      </w:r>
      <w:r>
        <w:rPr>
          <w:rFonts w:hint="eastAsia" w:ascii="宋体" w:hAnsi="宋体" w:eastAsia="宋体" w:cs="宋体"/>
          <w:color w:val="auto"/>
          <w:spacing w:val="-3"/>
          <w:sz w:val="21"/>
          <w:szCs w:val="21"/>
        </w:rPr>
        <w:t>（至少包括：资产负债表、利润表、现金流量表）复印件（新成立的公司递交注册后最近投标截止期一个月度的月度财务报表</w:t>
      </w:r>
      <w:r>
        <w:rPr>
          <w:rFonts w:hint="eastAsia" w:ascii="宋体" w:hAnsi="宋体" w:eastAsia="宋体" w:cs="宋体"/>
          <w:color w:val="auto"/>
          <w:spacing w:val="-108"/>
          <w:sz w:val="21"/>
          <w:szCs w:val="21"/>
        </w:rPr>
        <w:t>）</w:t>
      </w:r>
      <w:r>
        <w:rPr>
          <w:rFonts w:hint="eastAsia" w:ascii="宋体" w:hAnsi="宋体" w:eastAsia="宋体" w:cs="宋体"/>
          <w:color w:val="auto"/>
          <w:sz w:val="21"/>
          <w:szCs w:val="21"/>
        </w:rPr>
        <w:t>；</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pacing w:val="-3"/>
          <w:sz w:val="21"/>
          <w:szCs w:val="21"/>
        </w:rPr>
        <w:t>参加政府采购活动前</w:t>
      </w:r>
      <w:r>
        <w:rPr>
          <w:rFonts w:hint="eastAsia" w:ascii="宋体" w:hAnsi="宋体" w:eastAsia="宋体" w:cs="宋体"/>
          <w:color w:val="auto"/>
          <w:sz w:val="21"/>
          <w:szCs w:val="21"/>
        </w:rPr>
        <w:t>3</w:t>
      </w:r>
      <w:r>
        <w:rPr>
          <w:rFonts w:hint="eastAsia" w:ascii="宋体" w:hAnsi="宋体" w:eastAsia="宋体" w:cs="宋体"/>
          <w:color w:val="auto"/>
          <w:spacing w:val="-3"/>
          <w:sz w:val="21"/>
          <w:szCs w:val="21"/>
        </w:rPr>
        <w:t>年内在经营活动中没有重大违法记录的书面声明</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格式见第六章</w:t>
      </w:r>
      <w:r>
        <w:rPr>
          <w:rFonts w:hint="eastAsia" w:ascii="宋体" w:hAnsi="宋体" w:eastAsia="宋体" w:cs="宋体"/>
          <w:color w:val="auto"/>
          <w:spacing w:val="-106"/>
          <w:sz w:val="21"/>
          <w:szCs w:val="21"/>
        </w:rPr>
        <w:t>）</w:t>
      </w:r>
      <w:r>
        <w:rPr>
          <w:rFonts w:hint="eastAsia" w:ascii="宋体" w:hAnsi="宋体" w:eastAsia="宋体" w:cs="宋体"/>
          <w:color w:val="auto"/>
          <w:sz w:val="21"/>
          <w:szCs w:val="21"/>
        </w:rPr>
        <w:t>；</w:t>
      </w:r>
    </w:p>
    <w:p>
      <w:pPr>
        <w:pStyle w:val="12"/>
        <w:keepNext w:val="0"/>
        <w:keepLines w:val="0"/>
        <w:pageBreakBefore w:val="0"/>
        <w:widowControl w:val="0"/>
        <w:kinsoku/>
        <w:wordWrap/>
        <w:overflowPunct/>
        <w:topLinePunct w:val="0"/>
        <w:autoSpaceDE w:val="0"/>
        <w:autoSpaceDN w:val="0"/>
        <w:bidi w:val="0"/>
        <w:adjustRightInd/>
        <w:snapToGrid/>
        <w:spacing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★（7）特殊资质要求：工程造价咨询资质证书复印件。</w:t>
      </w:r>
    </w:p>
    <w:p>
      <w:pPr>
        <w:pStyle w:val="12"/>
        <w:keepNext w:val="0"/>
        <w:keepLines w:val="0"/>
        <w:pageBreakBefore w:val="0"/>
        <w:widowControl w:val="0"/>
        <w:kinsoku/>
        <w:wordWrap/>
        <w:overflowPunct/>
        <w:topLinePunct w:val="0"/>
        <w:autoSpaceDE w:val="0"/>
        <w:autoSpaceDN w:val="0"/>
        <w:bidi w:val="0"/>
        <w:adjustRightInd/>
        <w:snapToGrid/>
        <w:spacing w:before="119"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pacing w:val="-3"/>
          <w:sz w:val="21"/>
          <w:szCs w:val="21"/>
        </w:rPr>
        <w:t>）投标人营业场所的相关证明复印件</w:t>
      </w:r>
      <w:r>
        <w:rPr>
          <w:rFonts w:hint="eastAsia" w:ascii="宋体" w:hAnsi="宋体" w:eastAsia="宋体" w:cs="宋体"/>
          <w:color w:val="auto"/>
          <w:sz w:val="21"/>
          <w:szCs w:val="21"/>
        </w:rPr>
        <w:t>；</w:t>
      </w:r>
    </w:p>
    <w:p>
      <w:pPr>
        <w:pStyle w:val="12"/>
        <w:keepNext w:val="0"/>
        <w:keepLines w:val="0"/>
        <w:pageBreakBefore w:val="0"/>
        <w:widowControl w:val="0"/>
        <w:kinsoku/>
        <w:wordWrap/>
        <w:overflowPunct/>
        <w:topLinePunct w:val="0"/>
        <w:autoSpaceDE w:val="0"/>
        <w:autoSpaceDN w:val="0"/>
        <w:bidi w:val="0"/>
        <w:adjustRightInd/>
        <w:snapToGrid/>
        <w:spacing w:before="132"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pacing w:val="-13"/>
          <w:sz w:val="21"/>
          <w:szCs w:val="21"/>
        </w:rPr>
        <w:t xml:space="preserve"> 投标人符合中小企业划型标准的，按《政府采购促进中小企业发展暂行办法</w:t>
      </w:r>
      <w:r>
        <w:rPr>
          <w:rFonts w:hint="eastAsia" w:ascii="宋体" w:hAnsi="宋体" w:eastAsia="宋体" w:cs="宋体"/>
          <w:color w:val="auto"/>
          <w:spacing w:val="-195"/>
          <w:sz w:val="21"/>
          <w:szCs w:val="21"/>
        </w:rPr>
        <w:t>》</w:t>
      </w:r>
      <w:r>
        <w:rPr>
          <w:rFonts w:hint="eastAsia" w:ascii="宋体" w:hAnsi="宋体" w:eastAsia="宋体" w:cs="宋体"/>
          <w:color w:val="auto"/>
          <w:spacing w:val="-3"/>
          <w:sz w:val="21"/>
          <w:szCs w:val="21"/>
        </w:rPr>
        <w:t>（</w:t>
      </w:r>
      <w:r>
        <w:rPr>
          <w:rFonts w:hint="eastAsia" w:ascii="宋体" w:hAnsi="宋体" w:eastAsia="宋体" w:cs="宋体"/>
          <w:color w:val="auto"/>
          <w:spacing w:val="-31"/>
          <w:sz w:val="21"/>
          <w:szCs w:val="21"/>
        </w:rPr>
        <w:t>财库〔</w:t>
      </w:r>
      <w:r>
        <w:rPr>
          <w:rFonts w:hint="eastAsia" w:ascii="宋体" w:hAnsi="宋体" w:eastAsia="宋体" w:cs="宋体"/>
          <w:color w:val="auto"/>
          <w:sz w:val="21"/>
          <w:szCs w:val="21"/>
        </w:rPr>
        <w:t>2011〕181</w:t>
      </w:r>
      <w:r>
        <w:rPr>
          <w:rFonts w:hint="eastAsia" w:ascii="宋体" w:hAnsi="宋体" w:eastAsia="宋体" w:cs="宋体"/>
          <w:color w:val="auto"/>
          <w:spacing w:val="-5"/>
          <w:sz w:val="21"/>
          <w:szCs w:val="21"/>
        </w:rPr>
        <w:t xml:space="preserve"> 号</w:t>
      </w:r>
      <w:r>
        <w:rPr>
          <w:rFonts w:hint="eastAsia" w:ascii="宋体" w:hAnsi="宋体" w:eastAsia="宋体" w:cs="宋体"/>
          <w:color w:val="auto"/>
          <w:spacing w:val="-3"/>
          <w:sz w:val="21"/>
          <w:szCs w:val="21"/>
        </w:rPr>
        <w:t>）要求，提供中小企业声明函。监狱企业参加政府采购活动时，应当提供由省级以上监狱管理局、戒毒管理局（含新疆生产建设兵团）</w:t>
      </w:r>
      <w:r>
        <w:rPr>
          <w:rFonts w:hint="eastAsia" w:ascii="宋体" w:hAnsi="宋体" w:eastAsia="宋体" w:cs="宋体"/>
          <w:color w:val="auto"/>
          <w:spacing w:val="-10"/>
          <w:sz w:val="21"/>
          <w:szCs w:val="21"/>
        </w:rPr>
        <w:t>出具的属于监狱企业的证明文件。</w:t>
      </w:r>
      <w:r>
        <w:rPr>
          <w:rFonts w:hint="eastAsia" w:ascii="宋体" w:hAnsi="宋体" w:eastAsia="宋体" w:cs="宋体"/>
          <w:color w:val="auto"/>
          <w:sz w:val="21"/>
          <w:szCs w:val="21"/>
        </w:rPr>
        <w:t>（证明文件在有效期</w:t>
      </w:r>
      <w:r>
        <w:rPr>
          <w:rFonts w:hint="eastAsia" w:ascii="宋体" w:hAnsi="宋体" w:eastAsia="宋体" w:cs="宋体"/>
          <w:color w:val="auto"/>
          <w:spacing w:val="-10"/>
          <w:sz w:val="21"/>
          <w:szCs w:val="21"/>
        </w:rPr>
        <w:t xml:space="preserve">内或注明为 </w:t>
      </w:r>
      <w:r>
        <w:rPr>
          <w:rFonts w:hint="eastAsia" w:ascii="宋体" w:hAnsi="宋体" w:eastAsia="宋体" w:cs="宋体"/>
          <w:color w:val="auto"/>
          <w:sz w:val="21"/>
          <w:szCs w:val="21"/>
        </w:rPr>
        <w:t>2019</w:t>
      </w:r>
      <w:r>
        <w:rPr>
          <w:rFonts w:hint="eastAsia" w:ascii="宋体" w:hAnsi="宋体" w:eastAsia="宋体" w:cs="宋体"/>
          <w:color w:val="auto"/>
          <w:spacing w:val="-12"/>
          <w:sz w:val="21"/>
          <w:szCs w:val="21"/>
        </w:rPr>
        <w:t xml:space="preserve"> 年度的为有效；未注明有效期或 </w:t>
      </w:r>
      <w:r>
        <w:rPr>
          <w:rFonts w:hint="eastAsia" w:ascii="宋体" w:hAnsi="宋体" w:eastAsia="宋体" w:cs="宋体"/>
          <w:color w:val="auto"/>
          <w:sz w:val="21"/>
          <w:szCs w:val="21"/>
        </w:rPr>
        <w:t>2019</w:t>
      </w:r>
      <w:r>
        <w:rPr>
          <w:rFonts w:hint="eastAsia" w:ascii="宋体" w:hAnsi="宋体" w:eastAsia="宋体" w:cs="宋体"/>
          <w:color w:val="auto"/>
          <w:spacing w:val="-10"/>
          <w:sz w:val="21"/>
          <w:szCs w:val="21"/>
        </w:rPr>
        <w:t xml:space="preserve"> 年度的，开具时间在一年内的为有效，其余</w:t>
      </w:r>
      <w:r>
        <w:rPr>
          <w:rFonts w:hint="eastAsia" w:ascii="宋体" w:hAnsi="宋体" w:eastAsia="宋体" w:cs="宋体"/>
          <w:color w:val="auto"/>
          <w:spacing w:val="-5"/>
          <w:sz w:val="21"/>
          <w:szCs w:val="21"/>
        </w:rPr>
        <w:t>由评标委员会认定，原件备查</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(格式见第</w:t>
      </w:r>
      <w:r>
        <w:rPr>
          <w:rFonts w:hint="eastAsia" w:ascii="宋体" w:hAnsi="宋体" w:eastAsia="宋体" w:cs="宋体"/>
          <w:color w:val="auto"/>
          <w:spacing w:val="-3"/>
          <w:sz w:val="21"/>
          <w:szCs w:val="21"/>
          <w:lang w:eastAsia="zh-CN"/>
        </w:rPr>
        <w:t>六</w:t>
      </w:r>
      <w:r>
        <w:rPr>
          <w:rFonts w:hint="eastAsia" w:ascii="宋体" w:hAnsi="宋体" w:eastAsia="宋体" w:cs="宋体"/>
          <w:color w:val="auto"/>
          <w:spacing w:val="-3"/>
          <w:sz w:val="21"/>
          <w:szCs w:val="21"/>
        </w:rPr>
        <w:t>章)；</w:t>
      </w:r>
    </w:p>
    <w:p>
      <w:pPr>
        <w:pStyle w:val="9"/>
        <w:spacing w:line="360" w:lineRule="auto"/>
        <w:ind w:left="0" w:right="-128" w:rightChars="-58"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注：上述（1）-（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）项材料必须提交并加盖投标人单位公章。</w:t>
      </w:r>
    </w:p>
    <w:p>
      <w:pPr>
        <w:pStyle w:val="12"/>
        <w:spacing w:before="132" w:line="360" w:lineRule="auto"/>
        <w:ind w:right="-128" w:rightChars="-58"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13.2.3 商务及技术部分</w:t>
      </w:r>
    </w:p>
    <w:p>
      <w:pPr>
        <w:pStyle w:val="12"/>
        <w:spacing w:before="132" w:line="360" w:lineRule="auto"/>
        <w:ind w:right="-128" w:rightChars="-5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★（1）投标函(格式见第六章)；</w:t>
      </w:r>
    </w:p>
    <w:p>
      <w:pPr>
        <w:pStyle w:val="12"/>
        <w:spacing w:before="129" w:line="360" w:lineRule="auto"/>
        <w:ind w:right="-128" w:rightChars="-58" w:firstLine="416" w:firstLineChars="200"/>
        <w:rPr>
          <w:rFonts w:hint="eastAsia" w:ascii="宋体" w:hAnsi="宋体" w:eastAsia="宋体" w:cs="宋体"/>
          <w:color w:val="auto"/>
          <w:spacing w:val="-3"/>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pacing w:val="-3"/>
          <w:sz w:val="21"/>
          <w:szCs w:val="21"/>
        </w:rPr>
        <w:t>投标声明书(格式见第六章)；</w:t>
      </w:r>
    </w:p>
    <w:p>
      <w:pPr>
        <w:pStyle w:val="12"/>
        <w:spacing w:before="132" w:line="360" w:lineRule="auto"/>
        <w:ind w:right="-128" w:rightChars="-58" w:firstLine="380" w:firstLineChars="200"/>
        <w:jc w:val="both"/>
        <w:rPr>
          <w:rFonts w:hint="eastAsia" w:ascii="宋体" w:hAnsi="宋体" w:eastAsia="宋体" w:cs="宋体"/>
          <w:color w:val="auto"/>
          <w:spacing w:val="-3"/>
          <w:sz w:val="21"/>
          <w:szCs w:val="21"/>
        </w:rPr>
      </w:pPr>
      <w:r>
        <w:rPr>
          <w:rFonts w:hint="eastAsia" w:ascii="宋体" w:hAnsi="宋体" w:eastAsia="宋体" w:cs="宋体"/>
          <w:color w:val="auto"/>
          <w:spacing w:val="-10"/>
          <w:sz w:val="21"/>
          <w:szCs w:val="21"/>
        </w:rPr>
        <w:t>★</w:t>
      </w:r>
      <w:r>
        <w:rPr>
          <w:rFonts w:hint="eastAsia" w:ascii="宋体" w:hAnsi="宋体" w:eastAsia="宋体" w:cs="宋体"/>
          <w:color w:val="auto"/>
          <w:spacing w:val="-3"/>
          <w:sz w:val="21"/>
          <w:szCs w:val="21"/>
        </w:rPr>
        <w:t>（</w:t>
      </w:r>
      <w:r>
        <w:rPr>
          <w:rFonts w:hint="eastAsia" w:ascii="宋体" w:hAnsi="宋体" w:eastAsia="宋体" w:cs="宋体"/>
          <w:color w:val="auto"/>
          <w:sz w:val="21"/>
          <w:szCs w:val="21"/>
        </w:rPr>
        <w:t>3</w:t>
      </w:r>
      <w:r>
        <w:rPr>
          <w:rFonts w:hint="eastAsia" w:ascii="宋体" w:hAnsi="宋体" w:eastAsia="宋体" w:cs="宋体"/>
          <w:color w:val="auto"/>
          <w:spacing w:val="-13"/>
          <w:sz w:val="21"/>
          <w:szCs w:val="21"/>
        </w:rPr>
        <w:t>）法定代表人授权委托书；</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委托代理时必须提供）</w:t>
      </w:r>
    </w:p>
    <w:p>
      <w:pPr>
        <w:pStyle w:val="12"/>
        <w:spacing w:before="132" w:line="360" w:lineRule="auto"/>
        <w:ind w:right="-128" w:rightChars="-58" w:firstLine="416" w:firstLineChars="200"/>
        <w:rPr>
          <w:rFonts w:hint="eastAsia" w:ascii="宋体" w:hAnsi="宋体" w:eastAsia="宋体" w:cs="宋体"/>
          <w:color w:val="auto"/>
          <w:sz w:val="21"/>
          <w:szCs w:val="21"/>
        </w:rPr>
      </w:pPr>
      <w:r>
        <w:rPr>
          <w:rFonts w:hint="eastAsia" w:ascii="宋体" w:hAnsi="宋体" w:eastAsia="宋体" w:cs="宋体"/>
          <w:color w:val="auto"/>
          <w:spacing w:val="-1"/>
          <w:sz w:val="21"/>
          <w:szCs w:val="21"/>
        </w:rPr>
        <w:t>★（4）</w:t>
      </w:r>
      <w:r>
        <w:rPr>
          <w:rFonts w:hint="eastAsia" w:ascii="宋体" w:hAnsi="宋体" w:eastAsia="宋体" w:cs="宋体"/>
          <w:color w:val="auto"/>
          <w:spacing w:val="-3"/>
          <w:sz w:val="21"/>
          <w:szCs w:val="21"/>
        </w:rPr>
        <w:t>投标报价表(格式见第六章)；</w:t>
      </w:r>
    </w:p>
    <w:p>
      <w:pPr>
        <w:pStyle w:val="12"/>
        <w:spacing w:before="131" w:line="360" w:lineRule="auto"/>
        <w:ind w:right="-128" w:rightChars="-5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★（5）服务方案(格式见第六章)；</w:t>
      </w:r>
    </w:p>
    <w:p>
      <w:pPr>
        <w:pStyle w:val="12"/>
        <w:spacing w:before="130" w:line="360" w:lineRule="auto"/>
        <w:ind w:right="-128" w:rightChars="-5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★（6）承诺书(格式见第六章)；</w:t>
      </w:r>
    </w:p>
    <w:p>
      <w:pPr>
        <w:pStyle w:val="12"/>
        <w:spacing w:before="130" w:line="360" w:lineRule="auto"/>
        <w:ind w:right="-128" w:rightChars="-58"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项目拟投入服务团队人员一览表</w:t>
      </w:r>
      <w:r>
        <w:rPr>
          <w:rFonts w:hint="eastAsia" w:ascii="宋体" w:hAnsi="宋体" w:eastAsia="宋体" w:cs="宋体"/>
          <w:color w:val="auto"/>
          <w:sz w:val="21"/>
          <w:szCs w:val="21"/>
        </w:rPr>
        <w:t>(格式见第六章)</w:t>
      </w:r>
      <w:r>
        <w:rPr>
          <w:rFonts w:hint="eastAsia" w:ascii="宋体" w:hAnsi="宋体" w:eastAsia="宋体" w:cs="宋体"/>
          <w:color w:val="auto"/>
          <w:sz w:val="21"/>
          <w:szCs w:val="21"/>
          <w:lang w:val="en-US" w:eastAsia="zh-CN"/>
        </w:rPr>
        <w:t>；</w:t>
      </w:r>
    </w:p>
    <w:p>
      <w:pPr>
        <w:pStyle w:val="12"/>
        <w:spacing w:before="132" w:line="360" w:lineRule="auto"/>
        <w:ind w:right="-128" w:rightChars="-58" w:firstLine="420" w:firstLineChars="200"/>
        <w:jc w:val="both"/>
        <w:rPr>
          <w:rFonts w:hint="eastAsia" w:ascii="宋体" w:hAnsi="宋体" w:eastAsia="宋体" w:cs="宋体"/>
          <w:color w:val="auto"/>
          <w:spacing w:val="-13"/>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pacing w:val="-13"/>
          <w:sz w:val="21"/>
          <w:szCs w:val="21"/>
        </w:rPr>
        <w:t>投标人承接的项目业绩一览表</w:t>
      </w:r>
      <w:r>
        <w:rPr>
          <w:rFonts w:hint="eastAsia" w:ascii="宋体" w:hAnsi="宋体" w:eastAsia="宋体" w:cs="宋体"/>
          <w:color w:val="auto"/>
          <w:sz w:val="21"/>
          <w:szCs w:val="21"/>
        </w:rPr>
        <w:t>(格式见第六章)</w:t>
      </w:r>
      <w:r>
        <w:rPr>
          <w:rFonts w:hint="eastAsia" w:ascii="宋体" w:hAnsi="宋体" w:eastAsia="宋体" w:cs="宋体"/>
          <w:color w:val="auto"/>
          <w:spacing w:val="-13"/>
          <w:sz w:val="21"/>
          <w:szCs w:val="21"/>
        </w:rPr>
        <w:t>；</w:t>
      </w:r>
    </w:p>
    <w:p>
      <w:pPr>
        <w:pStyle w:val="12"/>
        <w:spacing w:before="132" w:line="360" w:lineRule="auto"/>
        <w:ind w:right="-128" w:rightChars="-58" w:firstLine="368" w:firstLineChars="200"/>
        <w:jc w:val="both"/>
        <w:rPr>
          <w:rFonts w:hint="eastAsia" w:ascii="宋体" w:hAnsi="宋体" w:eastAsia="宋体" w:cs="宋体"/>
          <w:color w:val="auto"/>
          <w:sz w:val="21"/>
          <w:szCs w:val="21"/>
        </w:rPr>
      </w:pPr>
      <w:r>
        <w:rPr>
          <w:rFonts w:hint="eastAsia" w:ascii="宋体" w:hAnsi="宋体" w:eastAsia="宋体" w:cs="宋体"/>
          <w:color w:val="auto"/>
          <w:spacing w:val="-13"/>
          <w:sz w:val="21"/>
          <w:szCs w:val="21"/>
          <w:lang w:eastAsia="zh-CN"/>
        </w:rPr>
        <w:t>（</w:t>
      </w:r>
      <w:r>
        <w:rPr>
          <w:rFonts w:hint="eastAsia" w:ascii="宋体" w:hAnsi="宋体" w:eastAsia="宋体" w:cs="宋体"/>
          <w:color w:val="auto"/>
          <w:spacing w:val="-13"/>
          <w:sz w:val="21"/>
          <w:szCs w:val="21"/>
          <w:lang w:val="en-US" w:eastAsia="zh-CN"/>
        </w:rPr>
        <w:t>9</w:t>
      </w:r>
      <w:r>
        <w:rPr>
          <w:rFonts w:hint="eastAsia" w:ascii="宋体" w:hAnsi="宋体" w:eastAsia="宋体" w:cs="宋体"/>
          <w:color w:val="auto"/>
          <w:spacing w:val="-13"/>
          <w:sz w:val="21"/>
          <w:szCs w:val="21"/>
          <w:lang w:eastAsia="zh-CN"/>
        </w:rPr>
        <w:t>）</w:t>
      </w:r>
      <w:r>
        <w:rPr>
          <w:rFonts w:hint="eastAsia" w:ascii="宋体" w:hAnsi="宋体" w:eastAsia="宋体" w:cs="宋体"/>
          <w:color w:val="auto"/>
          <w:spacing w:val="-13"/>
          <w:sz w:val="21"/>
          <w:szCs w:val="21"/>
        </w:rPr>
        <w:t>投标人需要说明的其他</w:t>
      </w:r>
      <w:r>
        <w:rPr>
          <w:rFonts w:hint="eastAsia" w:ascii="宋体" w:hAnsi="宋体" w:eastAsia="宋体" w:cs="宋体"/>
          <w:color w:val="auto"/>
          <w:spacing w:val="-3"/>
          <w:sz w:val="21"/>
          <w:szCs w:val="21"/>
        </w:rPr>
        <w:t>文件和说明。</w:t>
      </w:r>
    </w:p>
    <w:p>
      <w:pPr>
        <w:pStyle w:val="12"/>
        <w:spacing w:before="131" w:line="360" w:lineRule="auto"/>
        <w:ind w:right="-128" w:rightChars="-58"/>
        <w:jc w:val="both"/>
        <w:rPr>
          <w:rFonts w:hint="eastAsia" w:ascii="宋体" w:hAnsi="宋体" w:eastAsia="宋体" w:cs="宋体"/>
          <w:color w:val="auto"/>
          <w:sz w:val="21"/>
          <w:szCs w:val="21"/>
        </w:rPr>
      </w:pPr>
      <w:r>
        <w:rPr>
          <w:rFonts w:hint="eastAsia" w:ascii="宋体" w:hAnsi="宋体" w:eastAsia="宋体" w:cs="宋体"/>
          <w:color w:val="auto"/>
          <w:sz w:val="21"/>
          <w:szCs w:val="21"/>
        </w:rPr>
        <w:t>注：上述（1）-（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项材料必须提交，并加盖投标人单位公章。</w:t>
      </w:r>
    </w:p>
    <w:p>
      <w:pPr>
        <w:pStyle w:val="9"/>
        <w:spacing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14、投标文件的语言及计量</w:t>
      </w:r>
    </w:p>
    <w:p>
      <w:pPr>
        <w:pStyle w:val="12"/>
        <w:spacing w:before="130" w:line="360" w:lineRule="auto"/>
        <w:ind w:right="-128" w:rightChars="-5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★14.1</w:t>
      </w:r>
      <w:r>
        <w:rPr>
          <w:rFonts w:hint="eastAsia" w:ascii="宋体" w:hAnsi="宋体" w:eastAsia="宋体" w:cs="宋体"/>
          <w:color w:val="auto"/>
          <w:spacing w:val="-13"/>
          <w:sz w:val="21"/>
          <w:szCs w:val="21"/>
        </w:rPr>
        <w:t>、投标文件以及投标方与招标方就有关投标事宜的所有来往函电，均应以中文汉语书写。</w:t>
      </w:r>
      <w:r>
        <w:rPr>
          <w:rFonts w:hint="eastAsia" w:ascii="宋体" w:hAnsi="宋体" w:eastAsia="宋体" w:cs="宋体"/>
          <w:color w:val="auto"/>
          <w:spacing w:val="-6"/>
          <w:sz w:val="21"/>
          <w:szCs w:val="21"/>
        </w:rPr>
        <w:t>除签名、盖章、专用名称等特殊情形外，以中文汉语以外的文字表述的投标文件视同未提供。</w:t>
      </w:r>
    </w:p>
    <w:p>
      <w:pPr>
        <w:pStyle w:val="12"/>
        <w:spacing w:line="360" w:lineRule="auto"/>
        <w:ind w:right="-128" w:rightChars="-5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pacing w:val="-3"/>
          <w:sz w:val="21"/>
          <w:szCs w:val="21"/>
        </w:rPr>
        <w:t>2、投标计量单位，招标文件已有明确规定的，使用招标文件规定的计量单位；招标文件没有规定的，应采用中华人民共和国法定计量单位</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货币单位：人民币</w:t>
      </w:r>
      <w:r>
        <w:rPr>
          <w:rFonts w:hint="eastAsia" w:ascii="宋体" w:hAnsi="宋体" w:eastAsia="宋体" w:cs="宋体"/>
          <w:color w:val="auto"/>
          <w:spacing w:val="-108"/>
          <w:sz w:val="21"/>
          <w:szCs w:val="21"/>
        </w:rPr>
        <w:t>）</w:t>
      </w:r>
      <w:r>
        <w:rPr>
          <w:rFonts w:hint="eastAsia" w:ascii="宋体" w:hAnsi="宋体" w:eastAsia="宋体" w:cs="宋体"/>
          <w:color w:val="auto"/>
          <w:spacing w:val="-3"/>
          <w:sz w:val="21"/>
          <w:szCs w:val="21"/>
        </w:rPr>
        <w:t>，否则视同未响应。</w:t>
      </w:r>
    </w:p>
    <w:p>
      <w:pPr>
        <w:pStyle w:val="9"/>
        <w:spacing w:before="3"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15、投标报价</w:t>
      </w:r>
    </w:p>
    <w:p>
      <w:pPr>
        <w:pStyle w:val="31"/>
        <w:numPr>
          <w:ilvl w:val="1"/>
          <w:numId w:val="6"/>
        </w:numPr>
        <w:tabs>
          <w:tab w:val="left" w:pos="440"/>
        </w:tabs>
        <w:spacing w:before="132" w:line="360" w:lineRule="auto"/>
        <w:ind w:left="0" w:leftChars="0" w:right="-128" w:rightChars="-58" w:firstLine="326" w:firstLineChars="160"/>
        <w:rPr>
          <w:rFonts w:hint="eastAsia" w:ascii="宋体" w:hAnsi="宋体" w:eastAsia="宋体" w:cs="宋体"/>
          <w:color w:val="auto"/>
          <w:sz w:val="21"/>
          <w:szCs w:val="21"/>
        </w:rPr>
      </w:pPr>
      <w:r>
        <w:rPr>
          <w:rFonts w:hint="eastAsia" w:ascii="宋体" w:hAnsi="宋体" w:eastAsia="宋体" w:cs="宋体"/>
          <w:color w:val="auto"/>
          <w:spacing w:val="-3"/>
          <w:sz w:val="21"/>
          <w:szCs w:val="21"/>
        </w:rPr>
        <w:t>、本项目以</w:t>
      </w:r>
      <w:r>
        <w:rPr>
          <w:rFonts w:hint="eastAsia" w:ascii="宋体" w:hAnsi="宋体" w:eastAsia="宋体" w:cs="宋体"/>
          <w:b/>
          <w:color w:val="auto"/>
          <w:spacing w:val="-1"/>
          <w:sz w:val="21"/>
          <w:szCs w:val="21"/>
        </w:rPr>
        <w:t>投标费率</w:t>
      </w:r>
      <w:r>
        <w:rPr>
          <w:rFonts w:hint="eastAsia" w:ascii="宋体" w:hAnsi="宋体" w:eastAsia="宋体" w:cs="宋体"/>
          <w:color w:val="auto"/>
          <w:spacing w:val="-3"/>
          <w:sz w:val="21"/>
          <w:szCs w:val="21"/>
        </w:rPr>
        <w:t>的形式进行投标报价。对不同文字文本投标文件的解释发生异议的， 以中文文本为准。如果投标人不接受对其错误的更正，其投标报价无效。</w:t>
      </w:r>
    </w:p>
    <w:p>
      <w:pPr>
        <w:pStyle w:val="31"/>
        <w:numPr>
          <w:ilvl w:val="1"/>
          <w:numId w:val="6"/>
        </w:numPr>
        <w:tabs>
          <w:tab w:val="left" w:pos="440"/>
        </w:tabs>
        <w:spacing w:before="2" w:line="360" w:lineRule="auto"/>
        <w:ind w:left="0" w:leftChars="0" w:right="-128" w:rightChars="-58" w:firstLine="326" w:firstLineChars="16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、投标人必须就《项目需求和说明》中的全部服务内容作完整唯一的报价。</w:t>
      </w:r>
    </w:p>
    <w:p>
      <w:pPr>
        <w:pStyle w:val="31"/>
        <w:numPr>
          <w:ilvl w:val="1"/>
          <w:numId w:val="6"/>
        </w:numPr>
        <w:tabs>
          <w:tab w:val="left" w:pos="440"/>
        </w:tabs>
        <w:spacing w:before="132" w:line="360" w:lineRule="auto"/>
        <w:ind w:left="0" w:leftChars="0" w:right="-128" w:rightChars="-58" w:firstLine="310" w:firstLineChars="160"/>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、投标人的报价已包括了实施和完成服务所需的劳务费、技术服务费、交通、通讯、办公场地、管理费、税费和利润等费用和政策性文件规定及合同包含的所有风险、责任等各项应有的费</w:t>
      </w:r>
      <w:r>
        <w:rPr>
          <w:rFonts w:hint="eastAsia" w:ascii="宋体" w:hAnsi="宋体" w:eastAsia="宋体" w:cs="宋体"/>
          <w:color w:val="auto"/>
          <w:spacing w:val="-5"/>
          <w:sz w:val="21"/>
          <w:szCs w:val="21"/>
        </w:rPr>
        <w:t>用，除非上述费用在合同中另有说明。除有特殊项目另外约定外，合同期内，费率不再调整。</w:t>
      </w:r>
    </w:p>
    <w:p>
      <w:pPr>
        <w:pStyle w:val="31"/>
        <w:numPr>
          <w:ilvl w:val="1"/>
          <w:numId w:val="6"/>
        </w:numPr>
        <w:tabs>
          <w:tab w:val="left" w:pos="440"/>
        </w:tabs>
        <w:spacing w:line="360" w:lineRule="auto"/>
        <w:ind w:left="0" w:leftChars="0" w:right="-128" w:rightChars="-58" w:firstLine="326" w:firstLineChars="160"/>
        <w:rPr>
          <w:rFonts w:hint="eastAsia" w:ascii="宋体" w:hAnsi="宋体" w:eastAsia="宋体" w:cs="宋体"/>
          <w:color w:val="auto"/>
          <w:sz w:val="21"/>
          <w:szCs w:val="21"/>
        </w:rPr>
      </w:pPr>
      <w:r>
        <w:rPr>
          <w:rFonts w:hint="eastAsia" w:ascii="宋体" w:hAnsi="宋体" w:eastAsia="宋体" w:cs="宋体"/>
          <w:color w:val="auto"/>
          <w:spacing w:val="-3"/>
          <w:sz w:val="21"/>
          <w:szCs w:val="21"/>
        </w:rPr>
        <w:t>、不论投标结果如何，投标人均应自行承担与编制和递交投标文件有关的全部费用。</w:t>
      </w:r>
    </w:p>
    <w:p>
      <w:pPr>
        <w:pStyle w:val="9"/>
        <w:spacing w:before="129"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16、投标有效期</w:t>
      </w:r>
    </w:p>
    <w:p>
      <w:pPr>
        <w:pStyle w:val="12"/>
        <w:spacing w:before="101" w:line="360" w:lineRule="auto"/>
        <w:ind w:right="-128" w:rightChars="-58" w:firstLine="420" w:firstLineChars="200"/>
        <w:rPr>
          <w:rFonts w:hint="eastAsia" w:ascii="宋体" w:hAnsi="宋体" w:eastAsia="宋体" w:cs="宋体"/>
          <w:color w:val="auto"/>
          <w:spacing w:val="-9"/>
          <w:sz w:val="21"/>
          <w:szCs w:val="21"/>
        </w:rPr>
      </w:pPr>
      <w:r>
        <w:rPr>
          <w:rFonts w:hint="eastAsia" w:ascii="宋体" w:hAnsi="宋体" w:eastAsia="宋体" w:cs="宋体"/>
          <w:color w:val="auto"/>
          <w:sz w:val="21"/>
          <w:szCs w:val="21"/>
        </w:rPr>
        <w:t>★16.1</w:t>
      </w:r>
      <w:r>
        <w:rPr>
          <w:rFonts w:hint="eastAsia" w:ascii="宋体" w:hAnsi="宋体" w:eastAsia="宋体" w:cs="宋体"/>
          <w:color w:val="auto"/>
          <w:spacing w:val="-7"/>
          <w:sz w:val="21"/>
          <w:szCs w:val="21"/>
        </w:rPr>
        <w:t xml:space="preserve">、 自投标截止日起 </w:t>
      </w:r>
      <w:r>
        <w:rPr>
          <w:rFonts w:hint="eastAsia" w:ascii="宋体" w:hAnsi="宋体" w:eastAsia="宋体" w:cs="宋体"/>
          <w:color w:val="auto"/>
          <w:sz w:val="21"/>
          <w:szCs w:val="21"/>
        </w:rPr>
        <w:t>60</w:t>
      </w:r>
      <w:r>
        <w:rPr>
          <w:rFonts w:hint="eastAsia" w:ascii="宋体" w:hAnsi="宋体" w:eastAsia="宋体" w:cs="宋体"/>
          <w:color w:val="auto"/>
          <w:spacing w:val="-9"/>
          <w:sz w:val="21"/>
          <w:szCs w:val="21"/>
        </w:rPr>
        <w:t xml:space="preserve"> 天投标文件应保持有效。有效期不足的投标文件将被拒绝。</w:t>
      </w:r>
    </w:p>
    <w:p>
      <w:pPr>
        <w:pStyle w:val="12"/>
        <w:spacing w:before="101" w:line="360" w:lineRule="auto"/>
        <w:ind w:right="-128" w:rightChars="-58" w:firstLine="384" w:firstLineChars="200"/>
        <w:rPr>
          <w:rFonts w:hint="eastAsia" w:ascii="宋体" w:hAnsi="宋体" w:eastAsia="宋体" w:cs="宋体"/>
          <w:color w:val="auto"/>
          <w:sz w:val="21"/>
          <w:szCs w:val="21"/>
        </w:rPr>
      </w:pPr>
      <w:r>
        <w:rPr>
          <w:rFonts w:hint="eastAsia" w:ascii="宋体" w:hAnsi="宋体" w:eastAsia="宋体" w:cs="宋体"/>
          <w:color w:val="auto"/>
          <w:spacing w:val="-9"/>
          <w:sz w:val="21"/>
          <w:szCs w:val="21"/>
        </w:rPr>
        <w:t>16.2</w:t>
      </w:r>
      <w:r>
        <w:rPr>
          <w:rFonts w:hint="eastAsia" w:ascii="宋体" w:hAnsi="宋体" w:eastAsia="宋体" w:cs="宋体"/>
          <w:color w:val="auto"/>
          <w:spacing w:val="-6"/>
          <w:sz w:val="21"/>
          <w:szCs w:val="21"/>
        </w:rPr>
        <w:t>、在特殊情况下，招标采购单位可与投标人协商延长投标书的有效期，这种要求和答复均</w:t>
      </w:r>
    </w:p>
    <w:p>
      <w:pPr>
        <w:pStyle w:val="12"/>
        <w:spacing w:line="360" w:lineRule="auto"/>
        <w:ind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以书面形式进行。</w:t>
      </w:r>
    </w:p>
    <w:p>
      <w:pPr>
        <w:pStyle w:val="31"/>
        <w:numPr>
          <w:ilvl w:val="1"/>
          <w:numId w:val="7"/>
        </w:numPr>
        <w:tabs>
          <w:tab w:val="left" w:pos="440"/>
        </w:tabs>
        <w:spacing w:before="91" w:line="360" w:lineRule="auto"/>
        <w:ind w:left="0" w:leftChars="0" w:right="-128" w:rightChars="-58" w:firstLine="297" w:firstLineChars="150"/>
        <w:rPr>
          <w:rFonts w:hint="eastAsia" w:ascii="宋体" w:hAnsi="宋体" w:eastAsia="宋体" w:cs="宋体"/>
          <w:color w:val="auto"/>
          <w:sz w:val="21"/>
          <w:szCs w:val="21"/>
        </w:rPr>
      </w:pPr>
      <w:r>
        <w:rPr>
          <w:rFonts w:hint="eastAsia" w:ascii="宋体" w:hAnsi="宋体" w:eastAsia="宋体" w:cs="宋体"/>
          <w:color w:val="auto"/>
          <w:spacing w:val="-6"/>
          <w:sz w:val="21"/>
          <w:szCs w:val="21"/>
        </w:rPr>
        <w:t>、投标人可拒绝接受延期要求而不会导致投标保证金被没收。同意延长有效期的投标人需</w:t>
      </w:r>
      <w:r>
        <w:rPr>
          <w:rFonts w:hint="eastAsia" w:ascii="宋体" w:hAnsi="宋体" w:eastAsia="宋体" w:cs="宋体"/>
          <w:color w:val="auto"/>
          <w:spacing w:val="-4"/>
          <w:sz w:val="21"/>
          <w:szCs w:val="21"/>
        </w:rPr>
        <w:t>要相应延长投标保证金的有效期，但不能修改投标文件。</w:t>
      </w:r>
    </w:p>
    <w:p>
      <w:pPr>
        <w:pStyle w:val="31"/>
        <w:numPr>
          <w:ilvl w:val="1"/>
          <w:numId w:val="7"/>
        </w:numPr>
        <w:tabs>
          <w:tab w:val="left" w:pos="440"/>
        </w:tabs>
        <w:spacing w:line="360" w:lineRule="auto"/>
        <w:ind w:left="0" w:leftChars="0" w:right="-128" w:rightChars="-58" w:firstLine="306" w:firstLineChars="150"/>
        <w:rPr>
          <w:rFonts w:hint="eastAsia" w:ascii="宋体" w:hAnsi="宋体" w:eastAsia="宋体" w:cs="宋体"/>
          <w:color w:val="auto"/>
          <w:sz w:val="21"/>
          <w:szCs w:val="21"/>
        </w:rPr>
      </w:pPr>
      <w:r>
        <w:rPr>
          <w:rFonts w:hint="eastAsia" w:ascii="宋体" w:hAnsi="宋体" w:eastAsia="宋体" w:cs="宋体"/>
          <w:color w:val="auto"/>
          <w:spacing w:val="-3"/>
          <w:sz w:val="21"/>
          <w:szCs w:val="21"/>
        </w:rPr>
        <w:t>、中标人的投标文件自开标之日起至合同履行完毕止均应保持有效。</w:t>
      </w:r>
    </w:p>
    <w:p>
      <w:pPr>
        <w:pStyle w:val="9"/>
        <w:spacing w:before="91"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17、投标保证金</w:t>
      </w:r>
    </w:p>
    <w:p>
      <w:pPr>
        <w:pStyle w:val="12"/>
        <w:spacing w:before="54" w:line="360" w:lineRule="auto"/>
        <w:ind w:left="0" w:leftChars="0" w:right="-128" w:rightChars="-58" w:firstLine="359" w:firstLineChars="17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17.1  </w:t>
      </w:r>
      <w:r>
        <w:rPr>
          <w:rFonts w:hint="eastAsia" w:ascii="宋体" w:hAnsi="宋体" w:eastAsia="宋体" w:cs="宋体"/>
          <w:color w:val="auto"/>
          <w:sz w:val="21"/>
          <w:szCs w:val="21"/>
          <w:lang w:eastAsia="zh-CN"/>
        </w:rPr>
        <w:t>详见投标人须知前附表</w:t>
      </w:r>
    </w:p>
    <w:p>
      <w:pPr>
        <w:pStyle w:val="12"/>
        <w:spacing w:before="54" w:line="360" w:lineRule="auto"/>
        <w:ind w:left="0" w:leftChars="0" w:right="-128" w:rightChars="-58"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w:t>17.2、凡未在规定时间内足额交纳或以其它方式交纳的投标保证金均视为无效，其投标文件一律作无投标人应按上述要求交纳投标保证金，并自行考虑到账时间，妥善安排投标保证金交纳工作， 确保按时到账。投标人应将投标保证金交纳凭证复印件放入投标文件中，确保按时递交投标文件。</w:t>
      </w:r>
    </w:p>
    <w:p>
      <w:pPr>
        <w:pStyle w:val="12"/>
        <w:spacing w:before="54" w:line="360" w:lineRule="auto"/>
        <w:ind w:left="0" w:leftChars="0" w:right="-128" w:rightChars="-58"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w:t>17.3、对未足额、按时交纳投标保证金的，均按未交纳投标保证金处理，并由评标委员会现场核定该投标无效。</w:t>
      </w:r>
    </w:p>
    <w:p>
      <w:pPr>
        <w:pStyle w:val="31"/>
        <w:numPr>
          <w:ilvl w:val="1"/>
          <w:numId w:val="8"/>
        </w:numPr>
        <w:tabs>
          <w:tab w:val="left" w:pos="420"/>
          <w:tab w:val="left" w:pos="720"/>
          <w:tab w:val="left" w:pos="880"/>
        </w:tabs>
        <w:spacing w:before="131" w:line="360" w:lineRule="auto"/>
        <w:ind w:left="0" w:leftChars="0" w:right="-128" w:rightChars="-58" w:firstLine="340" w:firstLineChars="170"/>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、投标保证金的退还均以转账形式</w:t>
      </w:r>
      <w:r>
        <w:rPr>
          <w:rFonts w:hint="eastAsia" w:ascii="宋体" w:hAnsi="宋体" w:eastAsia="宋体" w:cs="宋体"/>
          <w:color w:val="auto"/>
          <w:spacing w:val="-3"/>
          <w:sz w:val="21"/>
          <w:szCs w:val="21"/>
        </w:rPr>
        <w:t>（</w:t>
      </w:r>
      <w:r>
        <w:rPr>
          <w:rFonts w:hint="eastAsia" w:ascii="宋体" w:hAnsi="宋体" w:eastAsia="宋体" w:cs="宋体"/>
          <w:color w:val="auto"/>
          <w:spacing w:val="-2"/>
          <w:sz w:val="21"/>
          <w:szCs w:val="21"/>
        </w:rPr>
        <w:t>无息</w:t>
      </w:r>
      <w:r>
        <w:rPr>
          <w:rFonts w:hint="eastAsia" w:ascii="宋体" w:hAnsi="宋体" w:eastAsia="宋体" w:cs="宋体"/>
          <w:color w:val="auto"/>
          <w:spacing w:val="-8"/>
          <w:sz w:val="21"/>
          <w:szCs w:val="21"/>
        </w:rPr>
        <w:t>）</w:t>
      </w:r>
      <w:r>
        <w:rPr>
          <w:rFonts w:hint="eastAsia" w:ascii="宋体" w:hAnsi="宋体" w:eastAsia="宋体" w:cs="宋体"/>
          <w:color w:val="auto"/>
          <w:spacing w:val="-4"/>
          <w:sz w:val="21"/>
          <w:szCs w:val="21"/>
        </w:rPr>
        <w:t>退回到投标人银行账户。除招标文件规定不予</w:t>
      </w:r>
      <w:r>
        <w:rPr>
          <w:rFonts w:hint="eastAsia" w:ascii="宋体" w:hAnsi="宋体" w:eastAsia="宋体" w:cs="宋体"/>
          <w:color w:val="auto"/>
          <w:spacing w:val="-6"/>
          <w:sz w:val="21"/>
          <w:szCs w:val="21"/>
        </w:rPr>
        <w:t>退还保证金的情形外，未中标人的投标保证金在中标通知书发出后五个工作日内</w:t>
      </w:r>
      <w:r>
        <w:rPr>
          <w:rFonts w:hint="eastAsia" w:ascii="宋体" w:hAnsi="宋体" w:eastAsia="宋体" w:cs="宋体"/>
          <w:color w:val="auto"/>
          <w:spacing w:val="-7"/>
          <w:sz w:val="21"/>
          <w:szCs w:val="21"/>
        </w:rPr>
        <w:t>退还。中标人将政府采购合同一式两份送招标代理机构备案并通过验收完毕后，招标</w:t>
      </w:r>
      <w:r>
        <w:rPr>
          <w:rFonts w:hint="eastAsia" w:ascii="宋体" w:hAnsi="宋体" w:eastAsia="宋体" w:cs="宋体"/>
          <w:color w:val="auto"/>
          <w:spacing w:val="-13"/>
          <w:sz w:val="21"/>
          <w:szCs w:val="21"/>
        </w:rPr>
        <w:t xml:space="preserve">代理机构在 </w:t>
      </w:r>
      <w:r>
        <w:rPr>
          <w:rFonts w:hint="eastAsia" w:ascii="宋体" w:hAnsi="宋体" w:eastAsia="宋体" w:cs="宋体"/>
          <w:color w:val="auto"/>
          <w:sz w:val="21"/>
          <w:szCs w:val="21"/>
        </w:rPr>
        <w:t>5</w:t>
      </w:r>
      <w:r>
        <w:rPr>
          <w:rFonts w:hint="eastAsia" w:ascii="宋体" w:hAnsi="宋体" w:eastAsia="宋体" w:cs="宋体"/>
          <w:color w:val="auto"/>
          <w:spacing w:val="-9"/>
          <w:sz w:val="21"/>
          <w:szCs w:val="21"/>
        </w:rPr>
        <w:t xml:space="preserve"> 个工作日内予以退还其投标保证金。</w:t>
      </w:r>
    </w:p>
    <w:p>
      <w:pPr>
        <w:pStyle w:val="31"/>
        <w:numPr>
          <w:ilvl w:val="1"/>
          <w:numId w:val="8"/>
        </w:numPr>
        <w:tabs>
          <w:tab w:val="left" w:pos="420"/>
          <w:tab w:val="left" w:pos="720"/>
          <w:tab w:val="left" w:pos="880"/>
        </w:tabs>
        <w:spacing w:line="360" w:lineRule="auto"/>
        <w:ind w:left="0" w:leftChars="0" w:right="-128" w:rightChars="-58" w:firstLine="346" w:firstLineChars="17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、投标人有下列情形之一的，投标保证金将不予退还：</w:t>
      </w:r>
    </w:p>
    <w:p>
      <w:pPr>
        <w:pStyle w:val="31"/>
        <w:numPr>
          <w:ilvl w:val="0"/>
          <w:numId w:val="9"/>
        </w:numPr>
        <w:tabs>
          <w:tab w:val="left" w:pos="420"/>
          <w:tab w:val="left" w:pos="720"/>
          <w:tab w:val="left" w:pos="880"/>
        </w:tabs>
        <w:spacing w:before="130" w:line="360" w:lineRule="auto"/>
        <w:ind w:left="0" w:leftChars="0" w:right="-128" w:rightChars="-58" w:firstLine="346" w:firstLineChars="17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投标人在投标有效期内撤回投标文件的；</w:t>
      </w:r>
    </w:p>
    <w:p>
      <w:pPr>
        <w:pStyle w:val="31"/>
        <w:numPr>
          <w:ilvl w:val="0"/>
          <w:numId w:val="9"/>
        </w:numPr>
        <w:tabs>
          <w:tab w:val="left" w:pos="420"/>
          <w:tab w:val="left" w:pos="720"/>
          <w:tab w:val="left" w:pos="880"/>
        </w:tabs>
        <w:spacing w:before="132" w:line="360" w:lineRule="auto"/>
        <w:ind w:left="0" w:leftChars="0" w:right="-128" w:rightChars="-58" w:firstLine="346" w:firstLineChars="170"/>
        <w:rPr>
          <w:rFonts w:hint="eastAsia" w:ascii="宋体" w:hAnsi="宋体" w:eastAsia="宋体" w:cs="宋体"/>
          <w:color w:val="auto"/>
          <w:sz w:val="21"/>
          <w:szCs w:val="21"/>
        </w:rPr>
      </w:pPr>
      <w:r>
        <w:rPr>
          <w:rFonts w:hint="eastAsia" w:ascii="宋体" w:hAnsi="宋体" w:eastAsia="宋体" w:cs="宋体"/>
          <w:color w:val="auto"/>
          <w:spacing w:val="-3"/>
          <w:sz w:val="21"/>
          <w:szCs w:val="21"/>
        </w:rPr>
        <w:t>中标人未按规定提交履约保证金的；</w:t>
      </w:r>
    </w:p>
    <w:p>
      <w:pPr>
        <w:pStyle w:val="31"/>
        <w:numPr>
          <w:ilvl w:val="0"/>
          <w:numId w:val="9"/>
        </w:numPr>
        <w:tabs>
          <w:tab w:val="left" w:pos="420"/>
          <w:tab w:val="left" w:pos="720"/>
          <w:tab w:val="left" w:pos="880"/>
        </w:tabs>
        <w:spacing w:before="132" w:line="360" w:lineRule="auto"/>
        <w:ind w:left="0" w:leftChars="0" w:right="-128" w:rightChars="-58" w:firstLine="346" w:firstLineChars="17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投标人在投标过程中弄虚作假，提供虚假材料的；</w:t>
      </w:r>
    </w:p>
    <w:p>
      <w:pPr>
        <w:pStyle w:val="31"/>
        <w:numPr>
          <w:ilvl w:val="0"/>
          <w:numId w:val="9"/>
        </w:numPr>
        <w:tabs>
          <w:tab w:val="left" w:pos="420"/>
          <w:tab w:val="left" w:pos="720"/>
          <w:tab w:val="left" w:pos="880"/>
        </w:tabs>
        <w:spacing w:before="129" w:line="360" w:lineRule="auto"/>
        <w:ind w:left="0" w:leftChars="0" w:right="-128" w:rightChars="-58" w:firstLine="346" w:firstLineChars="170"/>
        <w:rPr>
          <w:rFonts w:hint="eastAsia" w:ascii="宋体" w:hAnsi="宋体" w:eastAsia="宋体" w:cs="宋体"/>
          <w:color w:val="auto"/>
          <w:sz w:val="21"/>
          <w:szCs w:val="21"/>
        </w:rPr>
      </w:pPr>
      <w:r>
        <w:rPr>
          <w:rFonts w:hint="eastAsia" w:ascii="宋体" w:hAnsi="宋体" w:eastAsia="宋体" w:cs="宋体"/>
          <w:color w:val="auto"/>
          <w:spacing w:val="-3"/>
          <w:sz w:val="21"/>
          <w:szCs w:val="21"/>
        </w:rPr>
        <w:t>中标人不与招标单位签订合同的</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不可抗力除外</w:t>
      </w:r>
      <w:r>
        <w:rPr>
          <w:rFonts w:hint="eastAsia" w:ascii="宋体" w:hAnsi="宋体" w:eastAsia="宋体" w:cs="宋体"/>
          <w:color w:val="auto"/>
          <w:spacing w:val="-106"/>
          <w:sz w:val="21"/>
          <w:szCs w:val="21"/>
        </w:rPr>
        <w:t>）</w:t>
      </w:r>
      <w:r>
        <w:rPr>
          <w:rFonts w:hint="eastAsia" w:ascii="宋体" w:hAnsi="宋体" w:eastAsia="宋体" w:cs="宋体"/>
          <w:color w:val="auto"/>
          <w:sz w:val="21"/>
          <w:szCs w:val="21"/>
        </w:rPr>
        <w:t>；</w:t>
      </w:r>
    </w:p>
    <w:p>
      <w:pPr>
        <w:pStyle w:val="31"/>
        <w:numPr>
          <w:ilvl w:val="0"/>
          <w:numId w:val="9"/>
        </w:numPr>
        <w:tabs>
          <w:tab w:val="left" w:pos="420"/>
          <w:tab w:val="left" w:pos="720"/>
          <w:tab w:val="left" w:pos="880"/>
        </w:tabs>
        <w:spacing w:before="132" w:line="360" w:lineRule="auto"/>
        <w:ind w:left="0" w:leftChars="0" w:right="-128" w:rightChars="-58" w:firstLine="353" w:firstLineChars="170"/>
        <w:rPr>
          <w:rFonts w:hint="eastAsia" w:ascii="宋体" w:hAnsi="宋体" w:eastAsia="宋体" w:cs="宋体"/>
          <w:color w:val="auto"/>
          <w:sz w:val="21"/>
          <w:szCs w:val="21"/>
        </w:rPr>
      </w:pPr>
      <w:r>
        <w:rPr>
          <w:rFonts w:hint="eastAsia" w:ascii="宋体" w:hAnsi="宋体" w:eastAsia="宋体" w:cs="宋体"/>
          <w:color w:val="auto"/>
          <w:spacing w:val="-1"/>
          <w:sz w:val="21"/>
          <w:szCs w:val="21"/>
        </w:rPr>
        <w:t>将中标项目转让给他人或者在投标文件中未说明且未经招标单位同意，将中标项目分包给他人的；</w:t>
      </w:r>
    </w:p>
    <w:p>
      <w:pPr>
        <w:pStyle w:val="31"/>
        <w:numPr>
          <w:ilvl w:val="0"/>
          <w:numId w:val="9"/>
        </w:numPr>
        <w:tabs>
          <w:tab w:val="left" w:pos="420"/>
          <w:tab w:val="left" w:pos="720"/>
          <w:tab w:val="left" w:pos="880"/>
        </w:tabs>
        <w:spacing w:line="360" w:lineRule="auto"/>
        <w:ind w:left="0" w:leftChars="0" w:right="-128" w:rightChars="-58" w:firstLine="346" w:firstLineChars="170"/>
        <w:rPr>
          <w:rFonts w:hint="eastAsia" w:ascii="宋体" w:hAnsi="宋体" w:eastAsia="宋体" w:cs="宋体"/>
          <w:color w:val="auto"/>
          <w:sz w:val="21"/>
          <w:szCs w:val="21"/>
        </w:rPr>
      </w:pPr>
      <w:r>
        <w:rPr>
          <w:rFonts w:hint="eastAsia" w:ascii="宋体" w:hAnsi="宋体" w:eastAsia="宋体" w:cs="宋体"/>
          <w:color w:val="auto"/>
          <w:spacing w:val="-3"/>
          <w:sz w:val="21"/>
          <w:szCs w:val="21"/>
        </w:rPr>
        <w:t>拒绝履行合同义务的；</w:t>
      </w:r>
    </w:p>
    <w:p>
      <w:pPr>
        <w:pStyle w:val="31"/>
        <w:numPr>
          <w:ilvl w:val="0"/>
          <w:numId w:val="9"/>
        </w:numPr>
        <w:tabs>
          <w:tab w:val="left" w:pos="420"/>
          <w:tab w:val="left" w:pos="720"/>
          <w:tab w:val="left" w:pos="880"/>
        </w:tabs>
        <w:spacing w:before="132" w:line="360" w:lineRule="auto"/>
        <w:ind w:left="0" w:leftChars="0" w:right="-128" w:rightChars="-58" w:firstLine="346" w:firstLineChars="170"/>
        <w:rPr>
          <w:rFonts w:hint="eastAsia" w:ascii="宋体" w:hAnsi="宋体" w:eastAsia="宋体" w:cs="宋体"/>
          <w:color w:val="auto"/>
          <w:sz w:val="21"/>
          <w:szCs w:val="21"/>
        </w:rPr>
      </w:pPr>
      <w:r>
        <w:rPr>
          <w:rFonts w:hint="eastAsia" w:ascii="宋体" w:hAnsi="宋体" w:eastAsia="宋体" w:cs="宋体"/>
          <w:color w:val="auto"/>
          <w:spacing w:val="-3"/>
          <w:sz w:val="21"/>
          <w:szCs w:val="21"/>
        </w:rPr>
        <w:t>其他严重扰乱招标程序的。</w:t>
      </w:r>
    </w:p>
    <w:p>
      <w:pPr>
        <w:pStyle w:val="9"/>
        <w:spacing w:before="131"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18、投标文件的份数、装订、签署和包装、密封</w:t>
      </w:r>
    </w:p>
    <w:p>
      <w:pPr>
        <w:pStyle w:val="31"/>
        <w:numPr>
          <w:ilvl w:val="1"/>
          <w:numId w:val="10"/>
        </w:numPr>
        <w:tabs>
          <w:tab w:val="left" w:pos="420"/>
          <w:tab w:val="left" w:pos="880"/>
        </w:tabs>
        <w:spacing w:before="130" w:line="360" w:lineRule="auto"/>
        <w:ind w:left="0" w:leftChars="0" w:right="-128" w:rightChars="-58" w:firstLine="426" w:firstLineChars="209"/>
        <w:rPr>
          <w:rFonts w:hint="eastAsia" w:ascii="宋体" w:hAnsi="宋体" w:eastAsia="宋体" w:cs="宋体"/>
          <w:color w:val="auto"/>
          <w:sz w:val="21"/>
          <w:szCs w:val="21"/>
        </w:rPr>
      </w:pPr>
      <w:r>
        <w:rPr>
          <w:rFonts w:hint="eastAsia" w:ascii="宋体" w:hAnsi="宋体" w:eastAsia="宋体" w:cs="宋体"/>
          <w:color w:val="auto"/>
          <w:spacing w:val="-3"/>
          <w:sz w:val="21"/>
          <w:szCs w:val="21"/>
        </w:rPr>
        <w:t>、</w:t>
      </w:r>
      <w:r>
        <w:rPr>
          <w:rFonts w:hint="eastAsia" w:ascii="宋体" w:hAnsi="宋体" w:eastAsia="宋体" w:cs="宋体"/>
          <w:b/>
          <w:color w:val="auto"/>
          <w:spacing w:val="-1"/>
          <w:sz w:val="21"/>
          <w:szCs w:val="21"/>
        </w:rPr>
        <w:t>投标文件份数：</w:t>
      </w:r>
      <w:r>
        <w:rPr>
          <w:rFonts w:hint="eastAsia" w:ascii="宋体" w:hAnsi="宋体" w:eastAsia="宋体" w:cs="宋体"/>
          <w:color w:val="auto"/>
          <w:sz w:val="21"/>
          <w:szCs w:val="21"/>
        </w:rPr>
        <w:t>正本壹册，副本</w:t>
      </w:r>
      <w:r>
        <w:rPr>
          <w:rFonts w:hint="eastAsia" w:ascii="宋体" w:hAnsi="宋体" w:eastAsia="宋体" w:cs="宋体"/>
          <w:color w:val="auto"/>
          <w:sz w:val="21"/>
          <w:szCs w:val="21"/>
          <w:lang w:eastAsia="zh-CN"/>
        </w:rPr>
        <w:t>肆</w:t>
      </w:r>
      <w:r>
        <w:rPr>
          <w:rFonts w:hint="eastAsia" w:ascii="宋体" w:hAnsi="宋体" w:eastAsia="宋体" w:cs="宋体"/>
          <w:color w:val="auto"/>
          <w:sz w:val="21"/>
          <w:szCs w:val="21"/>
        </w:rPr>
        <w:t>册及</w:t>
      </w:r>
      <w:r>
        <w:rPr>
          <w:rFonts w:hint="eastAsia" w:ascii="宋体" w:hAnsi="宋体" w:eastAsia="宋体" w:cs="宋体"/>
          <w:color w:val="auto"/>
          <w:spacing w:val="-6"/>
          <w:sz w:val="21"/>
          <w:szCs w:val="21"/>
        </w:rPr>
        <w:t xml:space="preserve">电子版投标文件 </w:t>
      </w:r>
      <w:r>
        <w:rPr>
          <w:rFonts w:hint="eastAsia" w:ascii="宋体" w:hAnsi="宋体" w:eastAsia="宋体" w:cs="宋体"/>
          <w:color w:val="auto"/>
          <w:sz w:val="21"/>
          <w:szCs w:val="21"/>
        </w:rPr>
        <w:t xml:space="preserve">1 </w:t>
      </w:r>
      <w:r>
        <w:rPr>
          <w:rFonts w:hint="eastAsia" w:ascii="宋体" w:hAnsi="宋体" w:eastAsia="宋体" w:cs="宋体"/>
          <w:color w:val="auto"/>
          <w:spacing w:val="-17"/>
          <w:sz w:val="21"/>
          <w:szCs w:val="21"/>
        </w:rPr>
        <w:t>份</w:t>
      </w:r>
      <w:r>
        <w:rPr>
          <w:rFonts w:hint="eastAsia" w:ascii="宋体" w:hAnsi="宋体" w:eastAsia="宋体" w:cs="宋体"/>
          <w:color w:val="auto"/>
          <w:sz w:val="21"/>
          <w:szCs w:val="21"/>
        </w:rPr>
        <w:t>（U 盘），须完整提交（</w:t>
      </w:r>
      <w:r>
        <w:rPr>
          <w:rFonts w:hint="eastAsia" w:ascii="宋体" w:hAnsi="宋体" w:eastAsia="宋体" w:cs="宋体"/>
          <w:b/>
          <w:color w:val="auto"/>
          <w:spacing w:val="-1"/>
          <w:sz w:val="21"/>
          <w:szCs w:val="21"/>
        </w:rPr>
        <w:t>投标</w:t>
      </w:r>
    </w:p>
    <w:p>
      <w:pPr>
        <w:pStyle w:val="31"/>
        <w:tabs>
          <w:tab w:val="left" w:pos="420"/>
          <w:tab w:val="left" w:pos="1462"/>
        </w:tabs>
        <w:spacing w:before="130" w:line="360" w:lineRule="auto"/>
        <w:ind w:left="0" w:leftChars="0" w:right="-128" w:rightChars="-58" w:firstLine="436" w:firstLineChars="209"/>
        <w:rPr>
          <w:rFonts w:hint="eastAsia" w:ascii="宋体" w:hAnsi="宋体" w:eastAsia="宋体" w:cs="宋体"/>
          <w:color w:val="auto"/>
          <w:sz w:val="21"/>
          <w:szCs w:val="21"/>
        </w:rPr>
      </w:pPr>
      <w:r>
        <w:rPr>
          <w:rFonts w:hint="eastAsia" w:ascii="宋体" w:hAnsi="宋体" w:eastAsia="宋体" w:cs="宋体"/>
          <w:b/>
          <w:color w:val="auto"/>
          <w:spacing w:val="-1"/>
          <w:sz w:val="21"/>
          <w:szCs w:val="21"/>
        </w:rPr>
        <w:t>文件分为两册：第一册为资格审查部分，第二册为商务及技术部分）</w:t>
      </w:r>
      <w:r>
        <w:rPr>
          <w:rFonts w:hint="eastAsia" w:ascii="宋体" w:hAnsi="宋体" w:eastAsia="宋体" w:cs="宋体"/>
          <w:color w:val="auto"/>
          <w:spacing w:val="-3"/>
          <w:sz w:val="21"/>
          <w:szCs w:val="21"/>
        </w:rPr>
        <w:t>。</w:t>
      </w:r>
    </w:p>
    <w:p>
      <w:pPr>
        <w:pStyle w:val="31"/>
        <w:numPr>
          <w:ilvl w:val="0"/>
          <w:numId w:val="0"/>
        </w:numPr>
        <w:tabs>
          <w:tab w:val="left" w:pos="420"/>
          <w:tab w:val="left" w:pos="1462"/>
        </w:tabs>
        <w:spacing w:before="132" w:line="360" w:lineRule="auto"/>
        <w:ind w:right="-128" w:rightChars="-58" w:firstLine="408" w:firstLineChars="200"/>
        <w:jc w:val="both"/>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18.2</w:t>
      </w:r>
      <w:r>
        <w:rPr>
          <w:rFonts w:hint="eastAsia" w:ascii="宋体" w:hAnsi="宋体" w:eastAsia="宋体" w:cs="宋体"/>
          <w:color w:val="auto"/>
          <w:spacing w:val="-3"/>
          <w:sz w:val="21"/>
          <w:szCs w:val="21"/>
        </w:rPr>
        <w:t>、</w:t>
      </w:r>
      <w:r>
        <w:rPr>
          <w:rFonts w:hint="eastAsia" w:ascii="宋体" w:hAnsi="宋体" w:eastAsia="宋体" w:cs="宋体"/>
          <w:b/>
          <w:color w:val="auto"/>
          <w:spacing w:val="-1"/>
          <w:sz w:val="21"/>
          <w:szCs w:val="21"/>
        </w:rPr>
        <w:t>投标文件装订：</w:t>
      </w:r>
      <w:r>
        <w:rPr>
          <w:rFonts w:hint="eastAsia" w:ascii="宋体" w:hAnsi="宋体" w:eastAsia="宋体" w:cs="宋体"/>
          <w:color w:val="auto"/>
          <w:spacing w:val="-3"/>
          <w:sz w:val="21"/>
          <w:szCs w:val="21"/>
        </w:rPr>
        <w:t xml:space="preserve">投标人应按投标人须知第 </w:t>
      </w:r>
      <w:r>
        <w:rPr>
          <w:rFonts w:hint="eastAsia" w:ascii="宋体" w:hAnsi="宋体" w:eastAsia="宋体" w:cs="宋体"/>
          <w:color w:val="auto"/>
          <w:sz w:val="21"/>
          <w:szCs w:val="21"/>
        </w:rPr>
        <w:t>13.1</w:t>
      </w:r>
      <w:r>
        <w:rPr>
          <w:rFonts w:hint="eastAsia" w:ascii="宋体" w:hAnsi="宋体" w:eastAsia="宋体" w:cs="宋体"/>
          <w:color w:val="auto"/>
          <w:spacing w:val="-3"/>
          <w:sz w:val="21"/>
          <w:szCs w:val="21"/>
        </w:rPr>
        <w:t xml:space="preserve"> 条“投标文件的组成”规定的顺序自编</w:t>
      </w:r>
      <w:r>
        <w:rPr>
          <w:rFonts w:hint="eastAsia" w:ascii="宋体" w:hAnsi="宋体" w:eastAsia="宋体" w:cs="宋体"/>
          <w:color w:val="auto"/>
          <w:spacing w:val="-18"/>
          <w:sz w:val="21"/>
          <w:szCs w:val="21"/>
        </w:rPr>
        <w:t>目录及页码。投标文件的“正本”、“副本”应当单独装订成册并标注页码，胶装装订应牢固，不易</w:t>
      </w:r>
      <w:r>
        <w:rPr>
          <w:rFonts w:hint="eastAsia" w:ascii="宋体" w:hAnsi="宋体" w:eastAsia="宋体" w:cs="宋体"/>
          <w:color w:val="auto"/>
          <w:spacing w:val="-9"/>
          <w:sz w:val="21"/>
          <w:szCs w:val="21"/>
        </w:rPr>
        <w:t>拆散和换页</w:t>
      </w:r>
      <w:r>
        <w:rPr>
          <w:rFonts w:hint="eastAsia" w:ascii="宋体" w:hAnsi="宋体" w:eastAsia="宋体" w:cs="宋体"/>
          <w:color w:val="auto"/>
          <w:sz w:val="21"/>
          <w:szCs w:val="21"/>
        </w:rPr>
        <w:t>（A4</w:t>
      </w:r>
      <w:r>
        <w:rPr>
          <w:rFonts w:hint="eastAsia" w:ascii="宋体" w:hAnsi="宋体" w:eastAsia="宋体" w:cs="宋体"/>
          <w:color w:val="auto"/>
          <w:spacing w:val="-1"/>
          <w:sz w:val="21"/>
          <w:szCs w:val="21"/>
        </w:rPr>
        <w:t xml:space="preserve"> 标准纸装订</w:t>
      </w:r>
      <w:r>
        <w:rPr>
          <w:rFonts w:hint="eastAsia" w:ascii="宋体" w:hAnsi="宋体" w:eastAsia="宋体" w:cs="宋体"/>
          <w:color w:val="auto"/>
          <w:spacing w:val="-106"/>
          <w:sz w:val="21"/>
          <w:szCs w:val="21"/>
        </w:rPr>
        <w:t>）</w:t>
      </w:r>
      <w:r>
        <w:rPr>
          <w:rFonts w:hint="eastAsia" w:ascii="宋体" w:hAnsi="宋体" w:eastAsia="宋体" w:cs="宋体"/>
          <w:color w:val="auto"/>
          <w:spacing w:val="-17"/>
          <w:sz w:val="21"/>
          <w:szCs w:val="21"/>
        </w:rPr>
        <w:t>。封面应注明“正本”、“副本”字样，封面</w:t>
      </w:r>
      <w:r>
        <w:rPr>
          <w:rFonts w:hint="eastAsia" w:ascii="宋体" w:hAnsi="宋体" w:eastAsia="宋体" w:cs="宋体"/>
          <w:color w:val="auto"/>
          <w:spacing w:val="-17"/>
          <w:sz w:val="21"/>
          <w:szCs w:val="21"/>
          <w:lang w:eastAsia="zh-CN"/>
        </w:rPr>
        <w:t>格式按第六章</w:t>
      </w:r>
      <w:r>
        <w:rPr>
          <w:rFonts w:hint="eastAsia" w:ascii="宋体" w:hAnsi="宋体" w:eastAsia="宋体" w:cs="宋体"/>
          <w:color w:val="auto"/>
          <w:spacing w:val="-7"/>
          <w:sz w:val="21"/>
          <w:szCs w:val="21"/>
        </w:rPr>
        <w:t>。</w:t>
      </w:r>
    </w:p>
    <w:p>
      <w:pPr>
        <w:pStyle w:val="31"/>
        <w:numPr>
          <w:ilvl w:val="0"/>
          <w:numId w:val="0"/>
        </w:numPr>
        <w:tabs>
          <w:tab w:val="left" w:pos="420"/>
          <w:tab w:val="left" w:pos="1462"/>
        </w:tabs>
        <w:spacing w:line="360" w:lineRule="auto"/>
        <w:ind w:right="-128" w:rightChars="-58" w:firstLine="396" w:firstLineChars="200"/>
        <w:rPr>
          <w:rFonts w:hint="eastAsia" w:ascii="宋体" w:hAnsi="宋体" w:eastAsia="宋体" w:cs="宋体"/>
          <w:color w:val="auto"/>
          <w:sz w:val="21"/>
          <w:szCs w:val="21"/>
        </w:rPr>
      </w:pPr>
      <w:r>
        <w:rPr>
          <w:rFonts w:hint="eastAsia" w:ascii="宋体" w:hAnsi="宋体" w:eastAsia="宋体" w:cs="宋体"/>
          <w:color w:val="auto"/>
          <w:spacing w:val="-6"/>
          <w:sz w:val="21"/>
          <w:szCs w:val="21"/>
          <w:lang w:val="en-US" w:eastAsia="zh-CN"/>
        </w:rPr>
        <w:t>18.2</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 xml:space="preserve"> </w:t>
      </w:r>
      <w:r>
        <w:rPr>
          <w:rFonts w:hint="eastAsia" w:ascii="宋体" w:hAnsi="宋体" w:eastAsia="宋体" w:cs="宋体"/>
          <w:color w:val="auto"/>
          <w:spacing w:val="-6"/>
          <w:sz w:val="21"/>
          <w:szCs w:val="21"/>
        </w:rPr>
        <w:t>投标文件的正本需打印或用不褪色的墨水填写，投标文件正本除本招标文件中规定的可</w:t>
      </w:r>
      <w:r>
        <w:rPr>
          <w:rFonts w:hint="eastAsia" w:ascii="宋体" w:hAnsi="宋体" w:eastAsia="宋体" w:cs="宋体"/>
          <w:color w:val="auto"/>
          <w:spacing w:val="-4"/>
          <w:sz w:val="21"/>
          <w:szCs w:val="21"/>
        </w:rPr>
        <w:t>提供复印件外均须提供原件。副本为正本的复印件。</w:t>
      </w:r>
    </w:p>
    <w:p>
      <w:pPr>
        <w:pStyle w:val="31"/>
        <w:numPr>
          <w:ilvl w:val="0"/>
          <w:numId w:val="0"/>
        </w:numPr>
        <w:tabs>
          <w:tab w:val="left" w:pos="420"/>
          <w:tab w:val="left" w:pos="1462"/>
        </w:tabs>
        <w:spacing w:line="360" w:lineRule="auto"/>
        <w:ind w:right="-128" w:rightChars="-58" w:firstLine="368" w:firstLineChars="200"/>
        <w:jc w:val="both"/>
        <w:rPr>
          <w:rFonts w:hint="eastAsia" w:ascii="宋体" w:hAnsi="宋体" w:eastAsia="宋体" w:cs="宋体"/>
          <w:color w:val="auto"/>
          <w:sz w:val="21"/>
          <w:szCs w:val="21"/>
        </w:rPr>
      </w:pPr>
      <w:r>
        <w:rPr>
          <w:rFonts w:hint="eastAsia" w:ascii="宋体" w:hAnsi="宋体" w:eastAsia="宋体" w:cs="宋体"/>
          <w:color w:val="auto"/>
          <w:spacing w:val="-13"/>
          <w:sz w:val="21"/>
          <w:szCs w:val="21"/>
          <w:lang w:val="en-US" w:eastAsia="zh-CN"/>
        </w:rPr>
        <w:t>18.3</w:t>
      </w:r>
      <w:r>
        <w:rPr>
          <w:rFonts w:hint="eastAsia" w:ascii="宋体" w:hAnsi="宋体" w:eastAsia="宋体" w:cs="宋体"/>
          <w:color w:val="auto"/>
          <w:spacing w:val="-13"/>
          <w:sz w:val="21"/>
          <w:szCs w:val="21"/>
        </w:rPr>
        <w:t>、投标文件正本须由投标人在规定位置盖投标人公章</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扫描公章无效</w:t>
      </w:r>
      <w:r>
        <w:rPr>
          <w:rFonts w:hint="eastAsia" w:ascii="宋体" w:hAnsi="宋体" w:eastAsia="宋体" w:cs="宋体"/>
          <w:color w:val="auto"/>
          <w:spacing w:val="-60"/>
          <w:sz w:val="21"/>
          <w:szCs w:val="21"/>
        </w:rPr>
        <w:t>）</w:t>
      </w:r>
      <w:r>
        <w:rPr>
          <w:rFonts w:hint="eastAsia" w:ascii="宋体" w:hAnsi="宋体" w:eastAsia="宋体" w:cs="宋体"/>
          <w:color w:val="auto"/>
          <w:spacing w:val="-12"/>
          <w:sz w:val="21"/>
          <w:szCs w:val="21"/>
        </w:rPr>
        <w:t>并由法定代表人</w:t>
      </w:r>
      <w:r>
        <w:rPr>
          <w:rFonts w:hint="eastAsia" w:ascii="宋体" w:hAnsi="宋体" w:eastAsia="宋体" w:cs="宋体"/>
          <w:color w:val="auto"/>
          <w:spacing w:val="-3"/>
          <w:sz w:val="21"/>
          <w:szCs w:val="21"/>
        </w:rPr>
        <w:t>（</w:t>
      </w:r>
      <w:r>
        <w:rPr>
          <w:rFonts w:hint="eastAsia" w:ascii="宋体" w:hAnsi="宋体" w:eastAsia="宋体" w:cs="宋体"/>
          <w:color w:val="auto"/>
          <w:sz w:val="21"/>
          <w:szCs w:val="21"/>
        </w:rPr>
        <w:t>企</w:t>
      </w:r>
      <w:r>
        <w:rPr>
          <w:rFonts w:hint="eastAsia" w:ascii="宋体" w:hAnsi="宋体" w:eastAsia="宋体" w:cs="宋体"/>
          <w:color w:val="auto"/>
          <w:spacing w:val="-1"/>
          <w:sz w:val="21"/>
          <w:szCs w:val="21"/>
        </w:rPr>
        <w:t>业负责人</w:t>
      </w:r>
      <w:r>
        <w:rPr>
          <w:rFonts w:hint="eastAsia" w:ascii="宋体" w:hAnsi="宋体" w:eastAsia="宋体" w:cs="宋体"/>
          <w:color w:val="auto"/>
          <w:spacing w:val="-10"/>
          <w:sz w:val="21"/>
          <w:szCs w:val="21"/>
        </w:rPr>
        <w:t>）</w:t>
      </w:r>
      <w:r>
        <w:rPr>
          <w:rFonts w:hint="eastAsia" w:ascii="宋体" w:hAnsi="宋体" w:eastAsia="宋体" w:cs="宋体"/>
          <w:color w:val="auto"/>
          <w:spacing w:val="-6"/>
          <w:sz w:val="21"/>
          <w:szCs w:val="21"/>
        </w:rPr>
        <w:t>或授权委托代理人签署，投标人应写全称，投标文件副本可以是正本的复印件，当正本</w:t>
      </w:r>
      <w:r>
        <w:rPr>
          <w:rFonts w:hint="eastAsia" w:ascii="宋体" w:hAnsi="宋体" w:eastAsia="宋体" w:cs="宋体"/>
          <w:color w:val="auto"/>
          <w:spacing w:val="-4"/>
          <w:sz w:val="21"/>
          <w:szCs w:val="21"/>
        </w:rPr>
        <w:t>与副本不一致时，以正本为准。</w:t>
      </w:r>
    </w:p>
    <w:p>
      <w:pPr>
        <w:pStyle w:val="31"/>
        <w:numPr>
          <w:ilvl w:val="0"/>
          <w:numId w:val="0"/>
        </w:numPr>
        <w:tabs>
          <w:tab w:val="left" w:pos="420"/>
          <w:tab w:val="left" w:pos="1462"/>
        </w:tabs>
        <w:spacing w:line="360" w:lineRule="auto"/>
        <w:ind w:right="-128" w:rightChars="-58" w:firstLine="408" w:firstLineChars="200"/>
        <w:jc w:val="both"/>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18.4</w:t>
      </w:r>
      <w:r>
        <w:rPr>
          <w:rFonts w:hint="eastAsia" w:ascii="宋体" w:hAnsi="宋体" w:eastAsia="宋体" w:cs="宋体"/>
          <w:color w:val="auto"/>
          <w:spacing w:val="-3"/>
          <w:sz w:val="21"/>
          <w:szCs w:val="21"/>
        </w:rPr>
        <w:t>、投标文件不得涂改，若有修改错漏处，须加盖投标人公章及法定代表人</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企业负责人</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或授权委托代理人签字或盖法定代表人</w:t>
      </w:r>
      <w:r>
        <w:rPr>
          <w:rFonts w:hint="eastAsia" w:ascii="宋体" w:hAnsi="宋体" w:eastAsia="宋体" w:cs="宋体"/>
          <w:color w:val="auto"/>
          <w:spacing w:val="-3"/>
          <w:sz w:val="21"/>
          <w:szCs w:val="21"/>
        </w:rPr>
        <w:t>（企业负责人</w:t>
      </w:r>
      <w:r>
        <w:rPr>
          <w:rFonts w:hint="eastAsia" w:ascii="宋体" w:hAnsi="宋体" w:eastAsia="宋体" w:cs="宋体"/>
          <w:color w:val="auto"/>
          <w:spacing w:val="-10"/>
          <w:sz w:val="21"/>
          <w:szCs w:val="21"/>
        </w:rPr>
        <w:t>）</w:t>
      </w:r>
      <w:r>
        <w:rPr>
          <w:rFonts w:hint="eastAsia" w:ascii="宋体" w:hAnsi="宋体" w:eastAsia="宋体" w:cs="宋体"/>
          <w:color w:val="auto"/>
          <w:spacing w:val="-4"/>
          <w:sz w:val="21"/>
          <w:szCs w:val="21"/>
        </w:rPr>
        <w:t>印章。投标文件因字迹潦草或表达不清所引</w:t>
      </w:r>
      <w:r>
        <w:rPr>
          <w:rFonts w:hint="eastAsia" w:ascii="宋体" w:hAnsi="宋体" w:eastAsia="宋体" w:cs="宋体"/>
          <w:color w:val="auto"/>
          <w:spacing w:val="-3"/>
          <w:sz w:val="21"/>
          <w:szCs w:val="21"/>
        </w:rPr>
        <w:t>起的后果由投标人负责。</w:t>
      </w:r>
    </w:p>
    <w:p>
      <w:pPr>
        <w:pStyle w:val="31"/>
        <w:numPr>
          <w:ilvl w:val="0"/>
          <w:numId w:val="0"/>
        </w:numPr>
        <w:tabs>
          <w:tab w:val="left" w:pos="420"/>
          <w:tab w:val="left" w:pos="1462"/>
        </w:tabs>
        <w:spacing w:line="360" w:lineRule="auto"/>
        <w:ind w:right="-128" w:rightChars="-58" w:firstLine="408" w:firstLineChars="200"/>
        <w:jc w:val="both"/>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18.5</w:t>
      </w:r>
      <w:r>
        <w:rPr>
          <w:rFonts w:hint="eastAsia" w:ascii="宋体" w:hAnsi="宋体" w:eastAsia="宋体" w:cs="宋体"/>
          <w:color w:val="auto"/>
          <w:spacing w:val="-3"/>
          <w:sz w:val="21"/>
          <w:szCs w:val="21"/>
        </w:rPr>
        <w:t>、</w:t>
      </w:r>
      <w:r>
        <w:rPr>
          <w:rFonts w:hint="eastAsia" w:ascii="宋体" w:hAnsi="宋体" w:eastAsia="宋体" w:cs="宋体"/>
          <w:b/>
          <w:color w:val="auto"/>
          <w:spacing w:val="-1"/>
          <w:sz w:val="21"/>
          <w:szCs w:val="21"/>
        </w:rPr>
        <w:t>投标人的公章：</w:t>
      </w:r>
      <w:r>
        <w:rPr>
          <w:rFonts w:hint="eastAsia" w:ascii="宋体" w:hAnsi="宋体" w:eastAsia="宋体" w:cs="宋体"/>
          <w:color w:val="auto"/>
          <w:spacing w:val="-3"/>
          <w:sz w:val="21"/>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32"/>
        <w:tabs>
          <w:tab w:val="left" w:pos="420"/>
          <w:tab w:val="left" w:pos="1462"/>
        </w:tabs>
        <w:spacing w:before="31" w:line="360" w:lineRule="auto"/>
        <w:ind w:left="0" w:leftChars="0" w:right="-128" w:rightChars="-58" w:firstLine="426" w:firstLineChars="209"/>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18.</w:t>
      </w:r>
      <w:r>
        <w:rPr>
          <w:rFonts w:hint="eastAsia" w:ascii="宋体" w:hAnsi="宋体" w:eastAsia="宋体" w:cs="宋体"/>
          <w:color w:val="auto"/>
          <w:spacing w:val="-3"/>
          <w:sz w:val="21"/>
          <w:szCs w:val="21"/>
          <w:lang w:val="en-US" w:eastAsia="zh-CN"/>
        </w:rPr>
        <w:t>6</w:t>
      </w:r>
      <w:r>
        <w:rPr>
          <w:rFonts w:hint="eastAsia" w:ascii="宋体" w:hAnsi="宋体" w:eastAsia="宋体" w:cs="宋体"/>
          <w:color w:val="auto"/>
          <w:spacing w:val="-3"/>
          <w:sz w:val="21"/>
          <w:szCs w:val="21"/>
        </w:rPr>
        <w:t>、</w:t>
      </w:r>
      <w:r>
        <w:rPr>
          <w:rFonts w:hint="eastAsia" w:ascii="宋体" w:hAnsi="宋体" w:eastAsia="宋体" w:cs="宋体"/>
          <w:color w:val="auto"/>
          <w:spacing w:val="-3"/>
          <w:sz w:val="21"/>
          <w:szCs w:val="21"/>
          <w:lang w:val="en-US" w:eastAsia="zh-CN"/>
        </w:rPr>
        <w:t xml:space="preserve"> </w:t>
      </w:r>
      <w:r>
        <w:rPr>
          <w:rFonts w:hint="eastAsia" w:ascii="宋体" w:hAnsi="宋体" w:eastAsia="宋体" w:cs="宋体"/>
          <w:b/>
          <w:bCs/>
          <w:color w:val="auto"/>
          <w:spacing w:val="-3"/>
          <w:sz w:val="21"/>
          <w:szCs w:val="21"/>
        </w:rPr>
        <w:t>投标文件包装、密封：</w:t>
      </w:r>
      <w:r>
        <w:rPr>
          <w:rFonts w:hint="eastAsia" w:ascii="宋体" w:hAnsi="宋体" w:eastAsia="宋体" w:cs="宋体"/>
          <w:color w:val="auto"/>
          <w:spacing w:val="-3"/>
          <w:sz w:val="21"/>
          <w:szCs w:val="21"/>
        </w:rPr>
        <w:t>所有投标文件应包装为两个密封袋，密封后应保证投标文件内容不外露。</w:t>
      </w:r>
    </w:p>
    <w:p>
      <w:pPr>
        <w:pStyle w:val="32"/>
        <w:tabs>
          <w:tab w:val="left" w:pos="420"/>
          <w:tab w:val="left" w:pos="1462"/>
        </w:tabs>
        <w:spacing w:before="3" w:line="360" w:lineRule="auto"/>
        <w:ind w:left="0" w:leftChars="0" w:right="-128" w:rightChars="-58" w:firstLine="426" w:firstLineChars="209"/>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①第 1 个密封袋：包括纸质版投标文件第一册资格审查部分、第二册商务及技术部分、电子版投标文件 1 份（U 盘）。</w:t>
      </w:r>
    </w:p>
    <w:p>
      <w:pPr>
        <w:pStyle w:val="32"/>
        <w:tabs>
          <w:tab w:val="left" w:pos="420"/>
          <w:tab w:val="left" w:pos="1462"/>
        </w:tabs>
        <w:spacing w:before="2" w:line="360" w:lineRule="auto"/>
        <w:ind w:left="0" w:leftChars="0" w:right="-128" w:rightChars="-58" w:firstLine="426" w:firstLineChars="209"/>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②第 2 个密封袋：包括开标一览表 1 份。</w:t>
      </w:r>
    </w:p>
    <w:p>
      <w:pPr>
        <w:pStyle w:val="12"/>
        <w:tabs>
          <w:tab w:val="left" w:pos="420"/>
          <w:tab w:val="left" w:pos="1462"/>
        </w:tabs>
        <w:spacing w:before="54" w:line="360" w:lineRule="auto"/>
        <w:ind w:left="0" w:leftChars="0" w:right="-128" w:rightChars="-58" w:firstLine="426" w:firstLineChars="209"/>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注：密封袋的封面标识详见第六章投标文件格式要求，并加盖供应商公章。封贴处须盖章（公章或密封章）或法定代表人或其授权代表签字。并在密封处密封签章（公章、密封章、法定代表人（企业负责人）或其授权委托代理人签字均可），所有投标密封文件应保证其密封性，并在骑缝处加盖投标人单位公章。</w:t>
      </w:r>
    </w:p>
    <w:p>
      <w:pPr>
        <w:pStyle w:val="12"/>
        <w:tabs>
          <w:tab w:val="left" w:pos="420"/>
          <w:tab w:val="left" w:pos="1462"/>
        </w:tabs>
        <w:spacing w:before="54" w:line="360" w:lineRule="auto"/>
        <w:ind w:left="0" w:leftChars="0" w:right="-128" w:rightChars="-58" w:firstLine="426" w:firstLineChars="209"/>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投标文件电子版外包装封面格式：</w:t>
      </w:r>
    </w:p>
    <w:p>
      <w:pPr>
        <w:pStyle w:val="12"/>
        <w:tabs>
          <w:tab w:val="left" w:pos="420"/>
          <w:tab w:val="left" w:pos="1462"/>
        </w:tabs>
        <w:spacing w:before="54" w:line="360" w:lineRule="auto"/>
        <w:ind w:left="0" w:leftChars="0" w:right="-128" w:rightChars="-58" w:firstLine="0" w:firstLineChars="0"/>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投 标 文 件</w:t>
      </w:r>
    </w:p>
    <w:p>
      <w:pPr>
        <w:pStyle w:val="12"/>
        <w:tabs>
          <w:tab w:val="left" w:pos="420"/>
          <w:tab w:val="left" w:pos="1462"/>
        </w:tabs>
        <w:spacing w:before="54" w:line="360" w:lineRule="auto"/>
        <w:ind w:right="-128" w:rightChars="-58" w:firstLine="612" w:firstLineChars="3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 xml:space="preserve">项目名称： </w:t>
      </w:r>
    </w:p>
    <w:p>
      <w:pPr>
        <w:pStyle w:val="12"/>
        <w:tabs>
          <w:tab w:val="left" w:pos="420"/>
          <w:tab w:val="left" w:pos="1462"/>
        </w:tabs>
        <w:spacing w:before="54" w:line="360" w:lineRule="auto"/>
        <w:ind w:right="-128" w:rightChars="-58" w:firstLine="612" w:firstLineChars="3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项目编号：</w:t>
      </w:r>
    </w:p>
    <w:p>
      <w:pPr>
        <w:pStyle w:val="12"/>
        <w:tabs>
          <w:tab w:val="left" w:pos="420"/>
          <w:tab w:val="left" w:pos="1462"/>
        </w:tabs>
        <w:spacing w:before="54" w:line="360" w:lineRule="auto"/>
        <w:ind w:right="-128" w:rightChars="-58" w:firstLine="612" w:firstLineChars="3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投标文件名称：投标文件电子版</w:t>
      </w:r>
    </w:p>
    <w:p>
      <w:pPr>
        <w:pStyle w:val="12"/>
        <w:tabs>
          <w:tab w:val="left" w:pos="420"/>
          <w:tab w:val="left" w:pos="1462"/>
        </w:tabs>
        <w:spacing w:before="54" w:line="360" w:lineRule="auto"/>
        <w:ind w:right="-128" w:rightChars="-58" w:firstLine="612" w:firstLineChars="3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投标人名称（加盖单位公章）：</w:t>
      </w:r>
    </w:p>
    <w:p>
      <w:pPr>
        <w:pStyle w:val="12"/>
        <w:tabs>
          <w:tab w:val="left" w:pos="420"/>
          <w:tab w:val="left" w:pos="1462"/>
        </w:tabs>
        <w:spacing w:before="54" w:line="360" w:lineRule="auto"/>
        <w:ind w:right="-128" w:rightChars="-58" w:firstLine="612" w:firstLineChars="3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投标人地址：</w:t>
      </w:r>
    </w:p>
    <w:p>
      <w:pPr>
        <w:pStyle w:val="12"/>
        <w:tabs>
          <w:tab w:val="left" w:pos="420"/>
          <w:tab w:val="left" w:pos="1462"/>
        </w:tabs>
        <w:spacing w:before="54" w:line="360" w:lineRule="auto"/>
        <w:ind w:right="-128" w:rightChars="-58" w:firstLine="612" w:firstLineChars="30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开 标 时 启 封</w:t>
      </w:r>
    </w:p>
    <w:p>
      <w:pPr>
        <w:pStyle w:val="9"/>
        <w:tabs>
          <w:tab w:val="left" w:pos="420"/>
          <w:tab w:val="left" w:pos="1462"/>
        </w:tabs>
        <w:spacing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19、投标文件的修改和撤回</w:t>
      </w:r>
    </w:p>
    <w:p>
      <w:pPr>
        <w:pStyle w:val="12"/>
        <w:tabs>
          <w:tab w:val="left" w:pos="420"/>
          <w:tab w:val="left" w:pos="1462"/>
        </w:tabs>
        <w:spacing w:before="129" w:line="360" w:lineRule="auto"/>
        <w:ind w:right="-128" w:rightChars="-5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19.1</w:t>
      </w:r>
      <w:r>
        <w:rPr>
          <w:rFonts w:hint="eastAsia" w:ascii="宋体" w:hAnsi="宋体" w:eastAsia="宋体" w:cs="宋体"/>
          <w:color w:val="auto"/>
          <w:spacing w:val="-7"/>
          <w:sz w:val="21"/>
          <w:szCs w:val="21"/>
        </w:rPr>
        <w:t>、投标人在投标截止时间之前，可以对已递交的投标文件进行修改或撤回，并书面通知招</w:t>
      </w:r>
      <w:r>
        <w:rPr>
          <w:rFonts w:hint="eastAsia" w:ascii="宋体" w:hAnsi="宋体" w:eastAsia="宋体" w:cs="宋体"/>
          <w:color w:val="auto"/>
          <w:spacing w:val="-5"/>
          <w:sz w:val="21"/>
          <w:szCs w:val="21"/>
        </w:rPr>
        <w:t>标代理机构。</w:t>
      </w:r>
    </w:p>
    <w:p>
      <w:pPr>
        <w:pStyle w:val="9"/>
        <w:tabs>
          <w:tab w:val="left" w:pos="420"/>
          <w:tab w:val="left" w:pos="1462"/>
        </w:tabs>
        <w:spacing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20、投标文件的递交</w:t>
      </w:r>
    </w:p>
    <w:p>
      <w:pPr>
        <w:pStyle w:val="31"/>
        <w:numPr>
          <w:ilvl w:val="0"/>
          <w:numId w:val="0"/>
        </w:numPr>
        <w:tabs>
          <w:tab w:val="left" w:pos="420"/>
          <w:tab w:val="left" w:pos="1462"/>
        </w:tabs>
        <w:spacing w:before="130" w:line="360" w:lineRule="auto"/>
        <w:ind w:leftChars="220" w:right="-128" w:rightChars="-58"/>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20.1</w:t>
      </w:r>
      <w:r>
        <w:rPr>
          <w:rFonts w:hint="eastAsia" w:ascii="宋体" w:hAnsi="宋体" w:eastAsia="宋体" w:cs="宋体"/>
          <w:color w:val="auto"/>
          <w:spacing w:val="-3"/>
          <w:sz w:val="21"/>
          <w:szCs w:val="21"/>
        </w:rPr>
        <w:t>、投标人应按投标人须知前附表规定的投标文件截止时间前递交投标文件。</w:t>
      </w:r>
    </w:p>
    <w:p>
      <w:pPr>
        <w:pStyle w:val="31"/>
        <w:numPr>
          <w:ilvl w:val="0"/>
          <w:numId w:val="0"/>
        </w:numPr>
        <w:tabs>
          <w:tab w:val="left" w:pos="420"/>
          <w:tab w:val="left" w:pos="1462"/>
        </w:tabs>
        <w:spacing w:before="131" w:line="360" w:lineRule="auto"/>
        <w:ind w:leftChars="220" w:right="-128" w:rightChars="-58"/>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20.2</w:t>
      </w:r>
      <w:r>
        <w:rPr>
          <w:rFonts w:hint="eastAsia" w:ascii="宋体" w:hAnsi="宋体" w:eastAsia="宋体" w:cs="宋体"/>
          <w:color w:val="auto"/>
          <w:spacing w:val="-3"/>
          <w:sz w:val="21"/>
          <w:szCs w:val="21"/>
        </w:rPr>
        <w:t>、投标人递交投标文件的地点：见投标人须知前附表</w:t>
      </w:r>
    </w:p>
    <w:p>
      <w:pPr>
        <w:pStyle w:val="31"/>
        <w:numPr>
          <w:ilvl w:val="0"/>
          <w:numId w:val="0"/>
        </w:numPr>
        <w:tabs>
          <w:tab w:val="left" w:pos="420"/>
          <w:tab w:val="left" w:pos="1462"/>
        </w:tabs>
        <w:spacing w:before="132" w:line="360" w:lineRule="auto"/>
        <w:ind w:leftChars="220" w:right="-128" w:rightChars="-58"/>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20.3</w:t>
      </w:r>
      <w:r>
        <w:rPr>
          <w:rFonts w:hint="eastAsia" w:ascii="宋体" w:hAnsi="宋体" w:eastAsia="宋体" w:cs="宋体"/>
          <w:color w:val="auto"/>
          <w:spacing w:val="-3"/>
          <w:sz w:val="21"/>
          <w:szCs w:val="21"/>
        </w:rPr>
        <w:t>、除投标人须知前附表另有规定外，投标人所递交的投标文件不予退还。</w:t>
      </w:r>
    </w:p>
    <w:p>
      <w:pPr>
        <w:pStyle w:val="31"/>
        <w:numPr>
          <w:ilvl w:val="0"/>
          <w:numId w:val="0"/>
        </w:numPr>
        <w:tabs>
          <w:tab w:val="left" w:pos="420"/>
          <w:tab w:val="left" w:pos="1462"/>
        </w:tabs>
        <w:spacing w:before="130" w:line="360" w:lineRule="auto"/>
        <w:ind w:leftChars="220" w:right="-128" w:rightChars="-58"/>
        <w:rPr>
          <w:color w:val="auto"/>
          <w:sz w:val="21"/>
        </w:rPr>
      </w:pPr>
      <w:r>
        <w:rPr>
          <w:rFonts w:hint="eastAsia" w:ascii="宋体" w:hAnsi="宋体" w:eastAsia="宋体" w:cs="宋体"/>
          <w:color w:val="auto"/>
          <w:spacing w:val="-3"/>
          <w:sz w:val="21"/>
          <w:szCs w:val="21"/>
          <w:lang w:val="en-US" w:eastAsia="zh-CN"/>
        </w:rPr>
        <w:t>20.4</w:t>
      </w:r>
      <w:r>
        <w:rPr>
          <w:rFonts w:hint="eastAsia" w:ascii="宋体" w:hAnsi="宋体" w:eastAsia="宋体" w:cs="宋体"/>
          <w:color w:val="auto"/>
          <w:spacing w:val="-3"/>
          <w:sz w:val="21"/>
          <w:szCs w:val="21"/>
        </w:rPr>
        <w:t>、逾期送达的或者未送达指定地点的投标文件，招标代理机构不予受理</w:t>
      </w:r>
      <w:r>
        <w:rPr>
          <w:rFonts w:hint="eastAsia"/>
          <w:color w:val="auto"/>
          <w:spacing w:val="-3"/>
          <w:sz w:val="21"/>
        </w:rPr>
        <w:t>。</w:t>
      </w:r>
    </w:p>
    <w:p>
      <w:pPr>
        <w:pStyle w:val="4"/>
        <w:spacing w:before="145"/>
        <w:ind w:left="0" w:right="-128" w:rightChars="-58"/>
        <w:rPr>
          <w:rFonts w:ascii="宋体" w:hAnsi="宋体" w:eastAsia="宋体" w:cs="宋体"/>
          <w:b/>
          <w:bCs/>
          <w:color w:val="auto"/>
        </w:rPr>
      </w:pPr>
      <w:r>
        <w:rPr>
          <w:rFonts w:hint="eastAsia" w:ascii="宋体" w:hAnsi="宋体" w:eastAsia="宋体" w:cs="宋体"/>
          <w:b/>
          <w:bCs/>
          <w:color w:val="auto"/>
        </w:rPr>
        <w:t>四、开标</w:t>
      </w:r>
    </w:p>
    <w:p>
      <w:pPr>
        <w:pStyle w:val="12"/>
        <w:spacing w:before="4"/>
        <w:ind w:right="-128" w:rightChars="-58"/>
        <w:rPr>
          <w:color w:val="auto"/>
          <w:sz w:val="38"/>
        </w:rPr>
      </w:pPr>
    </w:p>
    <w:p>
      <w:pPr>
        <w:pStyle w:val="9"/>
        <w:tabs>
          <w:tab w:val="left" w:pos="420"/>
          <w:tab w:val="left" w:pos="660"/>
        </w:tabs>
        <w:spacing w:line="360" w:lineRule="auto"/>
        <w:ind w:left="0" w:right="-128" w:rightChars="-58"/>
        <w:rPr>
          <w:rFonts w:hint="eastAsia" w:ascii="宋体" w:hAnsi="宋体" w:eastAsia="宋体" w:cs="宋体"/>
          <w:color w:val="auto"/>
        </w:rPr>
      </w:pPr>
      <w:r>
        <w:rPr>
          <w:rFonts w:hint="eastAsia" w:ascii="宋体" w:hAnsi="宋体" w:eastAsia="宋体" w:cs="宋体"/>
          <w:color w:val="auto"/>
        </w:rPr>
        <w:t>21、开标的时间和地点</w:t>
      </w:r>
    </w:p>
    <w:p>
      <w:pPr>
        <w:pStyle w:val="31"/>
        <w:numPr>
          <w:ilvl w:val="0"/>
          <w:numId w:val="0"/>
        </w:numPr>
        <w:tabs>
          <w:tab w:val="left" w:pos="420"/>
          <w:tab w:val="left" w:pos="660"/>
        </w:tabs>
        <w:spacing w:before="129" w:line="360" w:lineRule="auto"/>
        <w:ind w:leftChars="0" w:right="-128" w:rightChars="-58" w:firstLine="396" w:firstLineChars="200"/>
        <w:rPr>
          <w:rFonts w:hint="eastAsia" w:ascii="宋体" w:hAnsi="宋体" w:eastAsia="宋体" w:cs="宋体"/>
          <w:color w:val="auto"/>
          <w:sz w:val="21"/>
        </w:rPr>
      </w:pPr>
      <w:r>
        <w:rPr>
          <w:rFonts w:hint="eastAsia" w:ascii="宋体" w:hAnsi="宋体" w:eastAsia="宋体" w:cs="宋体"/>
          <w:color w:val="auto"/>
          <w:spacing w:val="-6"/>
          <w:sz w:val="21"/>
          <w:lang w:val="en-US" w:eastAsia="zh-CN"/>
        </w:rPr>
        <w:t>21.1</w:t>
      </w:r>
      <w:r>
        <w:rPr>
          <w:rFonts w:hint="eastAsia" w:ascii="宋体" w:hAnsi="宋体" w:eastAsia="宋体" w:cs="宋体"/>
          <w:color w:val="auto"/>
          <w:spacing w:val="-6"/>
          <w:sz w:val="21"/>
        </w:rPr>
        <w:t>、招标代理机构按投标人须知前附表规定的时间和地点公开开标，投标人按前附表所列相</w:t>
      </w:r>
      <w:r>
        <w:rPr>
          <w:rFonts w:hint="eastAsia" w:ascii="宋体" w:hAnsi="宋体" w:eastAsia="宋体" w:cs="宋体"/>
          <w:color w:val="auto"/>
          <w:spacing w:val="-4"/>
          <w:sz w:val="21"/>
        </w:rPr>
        <w:t>关人员准时参加开标会并签到，如未按时签到的，视同放弃开标监督权利，认可开标结果。</w:t>
      </w:r>
    </w:p>
    <w:p>
      <w:pPr>
        <w:pStyle w:val="31"/>
        <w:numPr>
          <w:ilvl w:val="0"/>
          <w:numId w:val="0"/>
        </w:numPr>
        <w:tabs>
          <w:tab w:val="left" w:pos="420"/>
          <w:tab w:val="left" w:pos="660"/>
        </w:tabs>
        <w:spacing w:line="360" w:lineRule="auto"/>
        <w:ind w:leftChars="0" w:right="-128" w:rightChars="-58" w:firstLine="388" w:firstLineChars="200"/>
        <w:rPr>
          <w:rFonts w:hint="eastAsia" w:ascii="宋体" w:hAnsi="宋体" w:eastAsia="宋体" w:cs="宋体"/>
          <w:color w:val="auto"/>
          <w:sz w:val="21"/>
        </w:rPr>
      </w:pPr>
      <w:r>
        <w:rPr>
          <w:rFonts w:hint="eastAsia" w:ascii="宋体" w:hAnsi="宋体" w:eastAsia="宋体" w:cs="宋体"/>
          <w:color w:val="auto"/>
          <w:spacing w:val="-8"/>
          <w:sz w:val="21"/>
          <w:lang w:val="en-US" w:eastAsia="zh-CN"/>
        </w:rPr>
        <w:t>21.2</w:t>
      </w:r>
      <w:r>
        <w:rPr>
          <w:rFonts w:hint="eastAsia" w:ascii="宋体" w:hAnsi="宋体" w:eastAsia="宋体" w:cs="宋体"/>
          <w:color w:val="auto"/>
          <w:spacing w:val="-8"/>
          <w:sz w:val="21"/>
        </w:rPr>
        <w:t xml:space="preserve">、投标人少于 </w:t>
      </w:r>
      <w:r>
        <w:rPr>
          <w:rFonts w:hint="eastAsia" w:ascii="宋体" w:hAnsi="宋体" w:eastAsia="宋体" w:cs="宋体"/>
          <w:color w:val="auto"/>
          <w:sz w:val="21"/>
        </w:rPr>
        <w:t>3</w:t>
      </w:r>
      <w:r>
        <w:rPr>
          <w:rFonts w:hint="eastAsia" w:ascii="宋体" w:hAnsi="宋体" w:eastAsia="宋体" w:cs="宋体"/>
          <w:color w:val="auto"/>
          <w:spacing w:val="-8"/>
          <w:sz w:val="21"/>
        </w:rPr>
        <w:t xml:space="preserve"> 家的，不得开标，招标单位应当重新组织采购。</w:t>
      </w:r>
    </w:p>
    <w:p>
      <w:pPr>
        <w:pStyle w:val="9"/>
        <w:tabs>
          <w:tab w:val="left" w:pos="420"/>
          <w:tab w:val="left" w:pos="660"/>
        </w:tabs>
        <w:spacing w:before="130" w:line="360" w:lineRule="auto"/>
        <w:ind w:left="0" w:right="-128" w:rightChars="-58"/>
        <w:rPr>
          <w:rFonts w:hint="eastAsia" w:ascii="宋体" w:hAnsi="宋体" w:eastAsia="宋体" w:cs="宋体"/>
          <w:color w:val="auto"/>
        </w:rPr>
      </w:pPr>
      <w:r>
        <w:rPr>
          <w:rFonts w:hint="eastAsia" w:ascii="宋体" w:hAnsi="宋体" w:eastAsia="宋体" w:cs="宋体"/>
          <w:color w:val="auto"/>
        </w:rPr>
        <w:t>22、开标程序</w:t>
      </w:r>
    </w:p>
    <w:p>
      <w:pPr>
        <w:pStyle w:val="9"/>
        <w:tabs>
          <w:tab w:val="left" w:pos="420"/>
          <w:tab w:val="left" w:pos="660"/>
        </w:tabs>
        <w:spacing w:before="131" w:line="360" w:lineRule="auto"/>
        <w:ind w:left="0" w:leftChars="0" w:right="-128" w:rightChars="-58" w:firstLine="394" w:firstLineChars="200"/>
        <w:jc w:val="both"/>
        <w:rPr>
          <w:rFonts w:hint="eastAsia" w:ascii="宋体" w:hAnsi="宋体" w:eastAsia="宋体" w:cs="宋体"/>
          <w:color w:val="auto"/>
        </w:rPr>
      </w:pPr>
      <w:r>
        <w:rPr>
          <w:rFonts w:hint="eastAsia" w:ascii="宋体" w:hAnsi="宋体" w:eastAsia="宋体" w:cs="宋体"/>
          <w:color w:val="auto"/>
          <w:spacing w:val="-7"/>
        </w:rPr>
        <w:t>投标人代表应携带如下资料参加开标会，否则，作无效投标处理：①</w:t>
      </w:r>
      <w:r>
        <w:rPr>
          <w:rFonts w:hint="eastAsia" w:ascii="宋体" w:hAnsi="宋体" w:eastAsia="宋体" w:cs="宋体"/>
          <w:color w:val="auto"/>
          <w:sz w:val="21"/>
          <w:szCs w:val="21"/>
        </w:rPr>
        <w:t>法定代表人</w:t>
      </w:r>
      <w:r>
        <w:rPr>
          <w:rFonts w:hint="eastAsia" w:cs="宋体"/>
          <w:color w:val="auto"/>
          <w:sz w:val="21"/>
          <w:szCs w:val="21"/>
          <w:lang w:eastAsia="zh-CN"/>
        </w:rPr>
        <w:t>参加投标时提供</w:t>
      </w:r>
      <w:r>
        <w:rPr>
          <w:rFonts w:hint="eastAsia" w:ascii="宋体" w:hAnsi="宋体" w:eastAsia="宋体" w:cs="宋体"/>
          <w:color w:val="auto"/>
          <w:sz w:val="21"/>
          <w:szCs w:val="21"/>
        </w:rPr>
        <w:t>法定代表人身份证明和身份证</w:t>
      </w:r>
      <w:r>
        <w:rPr>
          <w:rFonts w:hint="eastAsia" w:cs="宋体"/>
          <w:color w:val="auto"/>
          <w:sz w:val="21"/>
          <w:szCs w:val="21"/>
          <w:lang w:eastAsia="zh-CN"/>
        </w:rPr>
        <w:t>原件，</w:t>
      </w:r>
      <w:r>
        <w:rPr>
          <w:rFonts w:hint="eastAsia" w:ascii="宋体" w:hAnsi="宋体" w:eastAsia="宋体" w:cs="宋体"/>
          <w:color w:val="auto"/>
          <w:sz w:val="21"/>
          <w:szCs w:val="21"/>
        </w:rPr>
        <w:t>委托代理人</w:t>
      </w:r>
      <w:r>
        <w:rPr>
          <w:rFonts w:hint="eastAsia" w:cs="宋体"/>
          <w:color w:val="auto"/>
          <w:sz w:val="21"/>
          <w:szCs w:val="21"/>
          <w:lang w:eastAsia="zh-CN"/>
        </w:rPr>
        <w:t>参加投标时提供</w:t>
      </w:r>
      <w:r>
        <w:rPr>
          <w:rFonts w:hint="eastAsia" w:ascii="宋体" w:hAnsi="宋体" w:eastAsia="宋体" w:cs="宋体"/>
          <w:color w:val="auto"/>
          <w:sz w:val="21"/>
          <w:szCs w:val="21"/>
        </w:rPr>
        <w:t>法人授权委托书原件和身份证原件</w:t>
      </w:r>
      <w:r>
        <w:rPr>
          <w:rFonts w:hint="eastAsia" w:cs="宋体"/>
          <w:color w:val="auto"/>
          <w:sz w:val="21"/>
          <w:szCs w:val="21"/>
          <w:lang w:eastAsia="zh-CN"/>
        </w:rPr>
        <w:t>；</w:t>
      </w:r>
      <w:r>
        <w:rPr>
          <w:rFonts w:hint="eastAsia" w:ascii="宋体" w:hAnsi="宋体" w:eastAsia="宋体" w:cs="宋体"/>
          <w:color w:val="auto"/>
          <w:spacing w:val="-7"/>
        </w:rPr>
        <w:t>②营业执照副本复印件</w:t>
      </w:r>
      <w:r>
        <w:rPr>
          <w:rFonts w:hint="eastAsia" w:cs="宋体"/>
          <w:color w:val="auto"/>
          <w:spacing w:val="-7"/>
          <w:lang w:eastAsia="zh-CN"/>
        </w:rPr>
        <w:t>（加盖公章）</w:t>
      </w:r>
      <w:r>
        <w:rPr>
          <w:rFonts w:hint="eastAsia" w:ascii="宋体" w:hAnsi="宋体" w:eastAsia="宋体" w:cs="宋体"/>
          <w:color w:val="auto"/>
          <w:spacing w:val="-7"/>
          <w:lang w:eastAsia="zh-CN"/>
        </w:rPr>
        <w:t>；③</w:t>
      </w:r>
      <w:r>
        <w:rPr>
          <w:rFonts w:hint="eastAsia" w:cs="宋体"/>
          <w:color w:val="auto"/>
          <w:spacing w:val="-7"/>
          <w:lang w:eastAsia="zh-CN"/>
        </w:rPr>
        <w:t>投标</w:t>
      </w:r>
      <w:r>
        <w:rPr>
          <w:rFonts w:hint="eastAsia" w:ascii="宋体" w:hAnsi="宋体" w:eastAsia="宋体" w:cs="宋体"/>
          <w:color w:val="auto"/>
          <w:spacing w:val="-7"/>
          <w:lang w:eastAsia="zh-CN"/>
        </w:rPr>
        <w:t>保证金缴纳</w:t>
      </w:r>
      <w:r>
        <w:rPr>
          <w:rFonts w:hint="eastAsia" w:cs="宋体"/>
          <w:color w:val="auto"/>
          <w:spacing w:val="-7"/>
          <w:lang w:eastAsia="zh-CN"/>
        </w:rPr>
        <w:t>凭证（加盖公章）</w:t>
      </w:r>
      <w:r>
        <w:rPr>
          <w:rFonts w:hint="eastAsia" w:ascii="宋体" w:hAnsi="宋体" w:eastAsia="宋体" w:cs="宋体"/>
          <w:color w:val="auto"/>
          <w:spacing w:val="-7"/>
          <w:lang w:eastAsia="zh-CN"/>
        </w:rPr>
        <w:t>。</w:t>
      </w:r>
      <w:r>
        <w:rPr>
          <w:rFonts w:hint="eastAsia" w:ascii="宋体" w:hAnsi="宋体" w:eastAsia="宋体" w:cs="宋体"/>
          <w:color w:val="auto"/>
          <w:spacing w:val="-7"/>
        </w:rPr>
        <w:t>开标时将上述材料交由采购单位代表及监督人员验证，不能提供</w:t>
      </w:r>
      <w:r>
        <w:rPr>
          <w:rFonts w:hint="eastAsia" w:ascii="宋体" w:hAnsi="宋体" w:eastAsia="宋体" w:cs="宋体"/>
          <w:color w:val="auto"/>
          <w:spacing w:val="-10"/>
        </w:rPr>
        <w:t>上述资格证明文件或资格证明文件审核不通过的，作无效投标处理。材料不齐全或不符合招标要求</w:t>
      </w:r>
      <w:r>
        <w:rPr>
          <w:rFonts w:hint="eastAsia" w:ascii="宋体" w:hAnsi="宋体" w:eastAsia="宋体" w:cs="宋体"/>
          <w:color w:val="auto"/>
          <w:spacing w:val="-9"/>
        </w:rPr>
        <w:t>的，审核不能通过，作无效投标处理。开标会结束后退还。</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开标会由招标代理机构主持，主持人宣布开标程序、开标纪律；</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主持人介绍参加开标会的人员名单；</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主持人宣布评标期间的有关事项；</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投标人全体代表或投标人推选的代表检查投标文件密封性并签字确认；</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经投标人确认投标文件密封无误后，由现场的监督及采购单位代表检查各投标单位开标现场携带的授权委托书、身份证原件等资格证件；资格证件审查后由采购代理机构工作人员当众拆封，宣布 “开标一览表（报价表）”的投标人名称、投标价格和其他需要宣布的内容；</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0"/>
          <w:numId w:val="0"/>
        </w:numPr>
        <w:tabs>
          <w:tab w:val="left" w:pos="420"/>
          <w:tab w:val="left" w:pos="660"/>
        </w:tabs>
        <w:spacing w:line="360" w:lineRule="auto"/>
        <w:ind w:right="-128" w:rightChars="-58"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勘误修正原则</w:t>
      </w:r>
    </w:p>
    <w:p>
      <w:pPr>
        <w:numPr>
          <w:ilvl w:val="0"/>
          <w:numId w:val="0"/>
        </w:numPr>
        <w:tabs>
          <w:tab w:val="left" w:pos="420"/>
          <w:tab w:val="left" w:pos="660"/>
        </w:tabs>
        <w:spacing w:line="360" w:lineRule="auto"/>
        <w:ind w:right="-9" w:righ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投标文件如果出现计算或表达上的错误，修正错误的原则如下：投标文件中投标函内容与投标文件中投标报价明细表内容不一致的，以投标函为准；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投标文件的大写金额和小写金额不一致的， 以大写金额为准；总价金额与按单价汇总金额不一致的，以单价金额计算结果为准；单价金额小数点明显错位的，应以总价为准，并修改单价；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对不同文字文本投标文件的解释发生异议的，以中文文本为准。</w:t>
      </w:r>
    </w:p>
    <w:p>
      <w:pPr>
        <w:numPr>
          <w:ilvl w:val="0"/>
          <w:numId w:val="0"/>
        </w:numPr>
        <w:tabs>
          <w:tab w:val="left" w:pos="420"/>
          <w:tab w:val="left" w:pos="660"/>
        </w:tabs>
        <w:spacing w:line="360" w:lineRule="auto"/>
        <w:ind w:right="-128" w:rightChars="-58" w:firstLine="420" w:firstLineChars="200"/>
        <w:jc w:val="left"/>
        <w:rPr>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按上述勘误修正原则及方法调整或修正投标文件的投标报价，投标人签字确认。</w:t>
      </w:r>
    </w:p>
    <w:p>
      <w:pPr>
        <w:numPr>
          <w:ilvl w:val="0"/>
          <w:numId w:val="0"/>
        </w:numPr>
        <w:tabs>
          <w:tab w:val="left" w:pos="420"/>
          <w:tab w:val="left" w:pos="660"/>
        </w:tabs>
        <w:spacing w:line="360" w:lineRule="auto"/>
        <w:ind w:right="-128" w:rightChars="-58" w:firstLine="420" w:firstLineChars="200"/>
        <w:jc w:val="left"/>
        <w:rPr>
          <w:color w:val="auto"/>
          <w:sz w:val="21"/>
          <w:szCs w:val="21"/>
        </w:rPr>
      </w:pPr>
      <w:r>
        <w:rPr>
          <w:rFonts w:hint="eastAsia"/>
          <w:color w:val="auto"/>
          <w:sz w:val="21"/>
          <w:szCs w:val="21"/>
          <w:lang w:eastAsia="zh-CN"/>
        </w:rPr>
        <w:t>（</w:t>
      </w:r>
      <w:r>
        <w:rPr>
          <w:rFonts w:hint="eastAsia"/>
          <w:color w:val="auto"/>
          <w:sz w:val="21"/>
          <w:szCs w:val="21"/>
          <w:lang w:val="en-US" w:eastAsia="zh-CN"/>
        </w:rPr>
        <w:t>11</w:t>
      </w:r>
      <w:r>
        <w:rPr>
          <w:rFonts w:hint="eastAsia"/>
          <w:color w:val="auto"/>
          <w:sz w:val="21"/>
          <w:szCs w:val="21"/>
          <w:lang w:eastAsia="zh-CN"/>
        </w:rPr>
        <w:t>）</w:t>
      </w:r>
      <w:r>
        <w:rPr>
          <w:rFonts w:hint="eastAsia"/>
          <w:color w:val="auto"/>
          <w:sz w:val="21"/>
          <w:szCs w:val="21"/>
        </w:rPr>
        <w:t>开标会议结束。</w:t>
      </w:r>
    </w:p>
    <w:p>
      <w:pPr>
        <w:pStyle w:val="4"/>
        <w:tabs>
          <w:tab w:val="left" w:pos="420"/>
          <w:tab w:val="left" w:pos="660"/>
        </w:tabs>
        <w:ind w:left="0" w:right="-128" w:rightChars="-58"/>
        <w:rPr>
          <w:rFonts w:ascii="宋体" w:hAnsi="宋体" w:eastAsia="宋体" w:cs="宋体"/>
          <w:b/>
          <w:bCs/>
          <w:color w:val="auto"/>
        </w:rPr>
      </w:pPr>
      <w:bookmarkStart w:id="8" w:name="_TOC_250006"/>
      <w:bookmarkEnd w:id="8"/>
      <w:r>
        <w:rPr>
          <w:rFonts w:hint="eastAsia" w:ascii="宋体" w:hAnsi="宋体" w:eastAsia="宋体" w:cs="宋体"/>
          <w:b/>
          <w:bCs/>
          <w:color w:val="auto"/>
        </w:rPr>
        <w:t>五、评标</w:t>
      </w:r>
    </w:p>
    <w:p>
      <w:pPr>
        <w:pStyle w:val="12"/>
        <w:tabs>
          <w:tab w:val="left" w:pos="420"/>
          <w:tab w:val="left" w:pos="660"/>
        </w:tabs>
        <w:ind w:right="-128" w:rightChars="-58"/>
        <w:rPr>
          <w:color w:val="auto"/>
          <w:sz w:val="37"/>
        </w:rPr>
      </w:pPr>
    </w:p>
    <w:p>
      <w:pPr>
        <w:pStyle w:val="9"/>
        <w:tabs>
          <w:tab w:val="left" w:pos="420"/>
          <w:tab w:val="left" w:pos="660"/>
        </w:tabs>
        <w:spacing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23、评标委员会组成</w:t>
      </w:r>
    </w:p>
    <w:p>
      <w:pPr>
        <w:pStyle w:val="12"/>
        <w:tabs>
          <w:tab w:val="left" w:pos="420"/>
          <w:tab w:val="left" w:pos="660"/>
        </w:tabs>
        <w:spacing w:before="113" w:line="360" w:lineRule="auto"/>
        <w:ind w:right="-128" w:rightChars="-58" w:firstLine="400" w:firstLineChars="200"/>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评标工作由招标单位负责组织，具体评标工作由依法组建的评标委员会负责，评标委员会由采购</w:t>
      </w:r>
      <w:r>
        <w:rPr>
          <w:rFonts w:hint="eastAsia" w:ascii="宋体" w:hAnsi="宋体" w:eastAsia="宋体" w:cs="宋体"/>
          <w:color w:val="auto"/>
          <w:spacing w:val="-4"/>
          <w:sz w:val="21"/>
          <w:szCs w:val="21"/>
        </w:rPr>
        <w:t>单位代表和有关技术、经济等方面的专家共</w:t>
      </w:r>
      <w:r>
        <w:rPr>
          <w:rFonts w:hint="eastAsia" w:ascii="宋体" w:hAnsi="宋体" w:eastAsia="宋体" w:cs="宋体"/>
          <w:color w:val="auto"/>
          <w:spacing w:val="-4"/>
          <w:sz w:val="21"/>
          <w:szCs w:val="21"/>
          <w:u w:val="single"/>
        </w:rPr>
        <w:t xml:space="preserve"> 5 </w:t>
      </w:r>
      <w:r>
        <w:rPr>
          <w:rFonts w:hint="eastAsia" w:ascii="宋体" w:hAnsi="宋体" w:eastAsia="宋体" w:cs="宋体"/>
          <w:color w:val="auto"/>
          <w:spacing w:val="-4"/>
          <w:sz w:val="21"/>
          <w:szCs w:val="21"/>
        </w:rPr>
        <w:t>人组成，其中采购单位代表</w:t>
      </w:r>
      <w:r>
        <w:rPr>
          <w:rFonts w:hint="eastAsia" w:ascii="宋体" w:hAnsi="宋体" w:eastAsia="宋体" w:cs="宋体"/>
          <w:color w:val="auto"/>
          <w:spacing w:val="-4"/>
          <w:sz w:val="21"/>
          <w:szCs w:val="21"/>
          <w:u w:val="single"/>
        </w:rPr>
        <w:t xml:space="preserve"> </w:t>
      </w:r>
      <w:r>
        <w:rPr>
          <w:rFonts w:hint="eastAsia" w:ascii="宋体" w:hAnsi="宋体" w:eastAsia="宋体" w:cs="宋体"/>
          <w:color w:val="auto"/>
          <w:sz w:val="21"/>
          <w:szCs w:val="21"/>
          <w:u w:val="single"/>
        </w:rPr>
        <w:t xml:space="preserve">1 </w:t>
      </w:r>
      <w:r>
        <w:rPr>
          <w:rFonts w:hint="eastAsia" w:ascii="宋体" w:hAnsi="宋体" w:eastAsia="宋体" w:cs="宋体"/>
          <w:color w:val="auto"/>
          <w:sz w:val="21"/>
          <w:szCs w:val="21"/>
        </w:rPr>
        <w:t>人，技术、经济等专家</w:t>
      </w:r>
      <w:r>
        <w:rPr>
          <w:rFonts w:hint="eastAsia" w:ascii="宋体" w:hAnsi="宋体" w:eastAsia="宋体" w:cs="宋体"/>
          <w:color w:val="auto"/>
          <w:sz w:val="21"/>
          <w:szCs w:val="21"/>
          <w:u w:val="single"/>
        </w:rPr>
        <w:t>4</w:t>
      </w:r>
      <w:r>
        <w:rPr>
          <w:rFonts w:hint="eastAsia" w:ascii="宋体" w:hAnsi="宋体" w:eastAsia="宋体" w:cs="宋体"/>
          <w:color w:val="auto"/>
          <w:spacing w:val="-15"/>
          <w:sz w:val="21"/>
          <w:szCs w:val="21"/>
          <w:u w:val="single"/>
        </w:rPr>
        <w:t xml:space="preserve"> </w:t>
      </w:r>
      <w:r>
        <w:rPr>
          <w:rFonts w:hint="eastAsia" w:ascii="宋体" w:hAnsi="宋体" w:eastAsia="宋体" w:cs="宋体"/>
          <w:color w:val="auto"/>
          <w:sz w:val="21"/>
          <w:szCs w:val="21"/>
        </w:rPr>
        <w:t>人。</w:t>
      </w:r>
    </w:p>
    <w:p>
      <w:pPr>
        <w:pStyle w:val="9"/>
        <w:tabs>
          <w:tab w:val="left" w:pos="420"/>
          <w:tab w:val="left" w:pos="660"/>
        </w:tabs>
        <w:spacing w:before="1"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24、评标原则和评标办法</w:t>
      </w:r>
    </w:p>
    <w:p>
      <w:pPr>
        <w:pStyle w:val="31"/>
        <w:numPr>
          <w:ilvl w:val="1"/>
          <w:numId w:val="11"/>
        </w:numPr>
        <w:tabs>
          <w:tab w:val="left" w:pos="420"/>
          <w:tab w:val="left" w:pos="660"/>
        </w:tabs>
        <w:spacing w:before="111" w:line="360" w:lineRule="auto"/>
        <w:ind w:left="0" w:leftChars="0" w:right="-128" w:rightChars="-58" w:firstLine="306" w:firstLineChars="150"/>
        <w:rPr>
          <w:rFonts w:hint="eastAsia" w:ascii="宋体" w:hAnsi="宋体" w:eastAsia="宋体" w:cs="宋体"/>
          <w:color w:val="auto"/>
          <w:sz w:val="21"/>
          <w:szCs w:val="21"/>
        </w:rPr>
      </w:pPr>
      <w:r>
        <w:rPr>
          <w:rFonts w:hint="eastAsia" w:ascii="宋体" w:hAnsi="宋体" w:eastAsia="宋体" w:cs="宋体"/>
          <w:color w:val="auto"/>
          <w:spacing w:val="-3"/>
          <w:sz w:val="21"/>
          <w:szCs w:val="21"/>
        </w:rPr>
        <w:t>、评标委员会必须坚持公平、公正、科学和择优的原则。</w:t>
      </w:r>
    </w:p>
    <w:p>
      <w:pPr>
        <w:pStyle w:val="31"/>
        <w:numPr>
          <w:ilvl w:val="1"/>
          <w:numId w:val="11"/>
        </w:numPr>
        <w:tabs>
          <w:tab w:val="left" w:pos="420"/>
          <w:tab w:val="left" w:pos="660"/>
        </w:tabs>
        <w:spacing w:before="110" w:line="360" w:lineRule="auto"/>
        <w:ind w:left="0" w:leftChars="0" w:right="-128" w:rightChars="-58" w:firstLine="306" w:firstLineChars="150"/>
        <w:rPr>
          <w:rFonts w:hint="eastAsia" w:ascii="宋体" w:hAnsi="宋体" w:eastAsia="宋体" w:cs="宋体"/>
          <w:color w:val="auto"/>
          <w:sz w:val="21"/>
          <w:szCs w:val="21"/>
        </w:rPr>
      </w:pPr>
      <w:r>
        <w:rPr>
          <w:rFonts w:hint="eastAsia" w:ascii="宋体" w:hAnsi="宋体" w:eastAsia="宋体" w:cs="宋体"/>
          <w:color w:val="auto"/>
          <w:spacing w:val="-3"/>
          <w:sz w:val="21"/>
          <w:szCs w:val="21"/>
        </w:rPr>
        <w:t>、评标办法：综合评分法，具体评标内容及标准详见第四章：评标办法。</w:t>
      </w:r>
    </w:p>
    <w:p>
      <w:pPr>
        <w:pStyle w:val="31"/>
        <w:numPr>
          <w:ilvl w:val="1"/>
          <w:numId w:val="11"/>
        </w:numPr>
        <w:tabs>
          <w:tab w:val="left" w:pos="420"/>
          <w:tab w:val="left" w:pos="660"/>
        </w:tabs>
        <w:spacing w:before="112" w:line="360" w:lineRule="auto"/>
        <w:ind w:left="0" w:leftChars="0" w:right="-128" w:rightChars="-58" w:firstLine="306" w:firstLineChars="150"/>
        <w:rPr>
          <w:rFonts w:hint="eastAsia" w:ascii="宋体" w:hAnsi="宋体" w:eastAsia="宋体" w:cs="宋体"/>
          <w:color w:val="auto"/>
          <w:sz w:val="21"/>
          <w:szCs w:val="21"/>
        </w:rPr>
      </w:pPr>
      <w:r>
        <w:rPr>
          <w:rFonts w:hint="eastAsia" w:ascii="宋体" w:hAnsi="宋体" w:eastAsia="宋体" w:cs="宋体"/>
          <w:color w:val="auto"/>
          <w:spacing w:val="-3"/>
          <w:sz w:val="21"/>
          <w:szCs w:val="21"/>
        </w:rPr>
        <w:t>、评标委员会应按招标文件进行评标，不得擅自更改评标办法。</w:t>
      </w:r>
    </w:p>
    <w:p>
      <w:pPr>
        <w:pStyle w:val="31"/>
        <w:numPr>
          <w:ilvl w:val="1"/>
          <w:numId w:val="11"/>
        </w:numPr>
        <w:tabs>
          <w:tab w:val="left" w:pos="420"/>
          <w:tab w:val="left" w:pos="660"/>
        </w:tabs>
        <w:spacing w:before="110" w:line="360" w:lineRule="auto"/>
        <w:ind w:left="0" w:leftChars="0" w:right="-128" w:rightChars="-58" w:firstLine="294" w:firstLineChars="150"/>
        <w:rPr>
          <w:rFonts w:hint="eastAsia" w:ascii="宋体" w:hAnsi="宋体" w:eastAsia="宋体" w:cs="宋体"/>
          <w:color w:val="auto"/>
          <w:sz w:val="21"/>
          <w:szCs w:val="21"/>
        </w:rPr>
      </w:pPr>
      <w:r>
        <w:rPr>
          <w:rFonts w:hint="eastAsia" w:ascii="宋体" w:hAnsi="宋体" w:eastAsia="宋体" w:cs="宋体"/>
          <w:color w:val="auto"/>
          <w:spacing w:val="-7"/>
          <w:sz w:val="21"/>
          <w:szCs w:val="21"/>
        </w:rPr>
        <w:t>、在</w:t>
      </w:r>
      <w:r>
        <w:rPr>
          <w:rFonts w:hint="eastAsia" w:ascii="宋体" w:hAnsi="宋体" w:eastAsia="宋体" w:cs="宋体"/>
          <w:color w:val="auto"/>
          <w:spacing w:val="-7"/>
          <w:sz w:val="21"/>
          <w:szCs w:val="21"/>
          <w:lang w:eastAsia="zh-CN"/>
        </w:rPr>
        <w:t>审核</w:t>
      </w:r>
      <w:r>
        <w:rPr>
          <w:rFonts w:hint="eastAsia" w:ascii="宋体" w:hAnsi="宋体" w:eastAsia="宋体" w:cs="宋体"/>
          <w:color w:val="auto"/>
          <w:spacing w:val="-7"/>
          <w:sz w:val="21"/>
          <w:szCs w:val="21"/>
        </w:rPr>
        <w:t>过程中，评标委员会任何人不得对某个投标人发表任何倾向性意见，不得向其他</w:t>
      </w:r>
      <w:r>
        <w:rPr>
          <w:rFonts w:hint="eastAsia" w:ascii="宋体" w:hAnsi="宋体" w:eastAsia="宋体" w:cs="宋体"/>
          <w:color w:val="auto"/>
          <w:spacing w:val="-5"/>
          <w:sz w:val="21"/>
          <w:szCs w:val="21"/>
        </w:rPr>
        <w:t>专家评委明示或者暗示自己的</w:t>
      </w:r>
      <w:r>
        <w:rPr>
          <w:rFonts w:hint="eastAsia" w:ascii="宋体" w:hAnsi="宋体" w:eastAsia="宋体" w:cs="宋体"/>
          <w:color w:val="auto"/>
          <w:spacing w:val="-5"/>
          <w:sz w:val="21"/>
          <w:szCs w:val="21"/>
          <w:lang w:eastAsia="zh-CN"/>
        </w:rPr>
        <w:t>审核</w:t>
      </w:r>
      <w:r>
        <w:rPr>
          <w:rFonts w:hint="eastAsia" w:ascii="宋体" w:hAnsi="宋体" w:eastAsia="宋体" w:cs="宋体"/>
          <w:color w:val="auto"/>
          <w:spacing w:val="-5"/>
          <w:sz w:val="21"/>
          <w:szCs w:val="21"/>
        </w:rPr>
        <w:t>意见。</w:t>
      </w:r>
    </w:p>
    <w:p>
      <w:pPr>
        <w:pStyle w:val="31"/>
        <w:numPr>
          <w:ilvl w:val="1"/>
          <w:numId w:val="11"/>
        </w:numPr>
        <w:tabs>
          <w:tab w:val="left" w:pos="420"/>
          <w:tab w:val="left" w:pos="660"/>
        </w:tabs>
        <w:spacing w:before="3" w:line="360" w:lineRule="auto"/>
        <w:ind w:left="0" w:leftChars="0" w:right="-128" w:rightChars="-58" w:firstLine="276" w:firstLineChars="150"/>
        <w:rPr>
          <w:rFonts w:hint="eastAsia" w:ascii="宋体" w:hAnsi="宋体" w:eastAsia="宋体" w:cs="宋体"/>
          <w:color w:val="auto"/>
          <w:sz w:val="21"/>
          <w:szCs w:val="21"/>
        </w:rPr>
      </w:pPr>
      <w:r>
        <w:rPr>
          <w:rFonts w:hint="eastAsia" w:ascii="宋体" w:hAnsi="宋体" w:eastAsia="宋体" w:cs="宋体"/>
          <w:color w:val="auto"/>
          <w:spacing w:val="-13"/>
          <w:sz w:val="21"/>
          <w:szCs w:val="21"/>
        </w:rPr>
        <w:t>、</w:t>
      </w:r>
      <w:r>
        <w:rPr>
          <w:rFonts w:hint="eastAsia" w:ascii="宋体" w:hAnsi="宋体" w:eastAsia="宋体" w:cs="宋体"/>
          <w:color w:val="auto"/>
          <w:spacing w:val="-13"/>
          <w:sz w:val="21"/>
          <w:szCs w:val="21"/>
          <w:lang w:val="en-US" w:eastAsia="zh-CN"/>
        </w:rPr>
        <w:t xml:space="preserve"> </w:t>
      </w:r>
      <w:r>
        <w:rPr>
          <w:rFonts w:hint="eastAsia" w:ascii="宋体" w:hAnsi="宋体" w:eastAsia="宋体" w:cs="宋体"/>
          <w:color w:val="auto"/>
          <w:spacing w:val="-13"/>
          <w:sz w:val="21"/>
          <w:szCs w:val="21"/>
        </w:rPr>
        <w:t>评标委员会成员对需要共同认定的事项存在争议的，按照少数服从多数的原则作出结论。</w:t>
      </w:r>
      <w:r>
        <w:rPr>
          <w:rFonts w:hint="eastAsia" w:ascii="宋体" w:hAnsi="宋体" w:eastAsia="宋体" w:cs="宋体"/>
          <w:color w:val="auto"/>
          <w:spacing w:val="-6"/>
          <w:sz w:val="21"/>
          <w:szCs w:val="21"/>
        </w:rPr>
        <w:t>持不同意见的评标委员会成员应当在</w:t>
      </w:r>
      <w:r>
        <w:rPr>
          <w:rFonts w:hint="eastAsia" w:ascii="宋体" w:hAnsi="宋体" w:eastAsia="宋体" w:cs="宋体"/>
          <w:color w:val="auto"/>
          <w:spacing w:val="-6"/>
          <w:sz w:val="21"/>
          <w:szCs w:val="21"/>
          <w:lang w:eastAsia="zh-CN"/>
        </w:rPr>
        <w:t>审核</w:t>
      </w:r>
      <w:r>
        <w:rPr>
          <w:rFonts w:hint="eastAsia" w:ascii="宋体" w:hAnsi="宋体" w:eastAsia="宋体" w:cs="宋体"/>
          <w:color w:val="auto"/>
          <w:spacing w:val="-6"/>
          <w:sz w:val="21"/>
          <w:szCs w:val="21"/>
        </w:rPr>
        <w:t>报告上签署不同意见并说明理由，否则视为同意。</w:t>
      </w:r>
    </w:p>
    <w:p>
      <w:pPr>
        <w:pStyle w:val="9"/>
        <w:tabs>
          <w:tab w:val="left" w:pos="420"/>
          <w:tab w:val="left" w:pos="660"/>
        </w:tabs>
        <w:spacing w:line="360" w:lineRule="auto"/>
        <w:ind w:left="0" w:right="-128" w:rightChars="-58"/>
        <w:rPr>
          <w:rFonts w:hint="eastAsia" w:ascii="宋体" w:hAnsi="宋体" w:eastAsia="宋体" w:cs="宋体"/>
          <w:color w:val="auto"/>
          <w:sz w:val="21"/>
          <w:szCs w:val="21"/>
        </w:rPr>
      </w:pPr>
      <w:r>
        <w:rPr>
          <w:rFonts w:hint="eastAsia" w:ascii="宋体" w:hAnsi="宋体" w:eastAsia="宋体" w:cs="宋体"/>
          <w:color w:val="auto"/>
          <w:sz w:val="21"/>
          <w:szCs w:val="21"/>
        </w:rPr>
        <w:t>25、评标程序及要求</w:t>
      </w:r>
    </w:p>
    <w:p>
      <w:pPr>
        <w:pStyle w:val="31"/>
        <w:numPr>
          <w:ilvl w:val="0"/>
          <w:numId w:val="0"/>
        </w:numPr>
        <w:tabs>
          <w:tab w:val="left" w:pos="420"/>
          <w:tab w:val="left" w:pos="660"/>
        </w:tabs>
        <w:spacing w:before="113" w:line="360" w:lineRule="auto"/>
        <w:ind w:leftChars="0" w:right="-128" w:rightChars="-58"/>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bidi="ar-SA"/>
        </w:rPr>
        <w:t>25.1 评</w:t>
      </w:r>
      <w:r>
        <w:rPr>
          <w:rFonts w:hint="eastAsia" w:ascii="宋体" w:hAnsi="宋体" w:eastAsia="宋体" w:cs="宋体"/>
          <w:b w:val="0"/>
          <w:bCs/>
          <w:color w:val="auto"/>
          <w:sz w:val="21"/>
          <w:szCs w:val="21"/>
        </w:rPr>
        <w:t>标程序：</w:t>
      </w:r>
      <w:r>
        <w:rPr>
          <w:rFonts w:hint="eastAsia" w:ascii="宋体" w:hAnsi="宋体" w:eastAsia="宋体" w:cs="宋体"/>
          <w:color w:val="auto"/>
          <w:sz w:val="21"/>
          <w:szCs w:val="21"/>
        </w:rPr>
        <w:t xml:space="preserve"> 资格审查。由采购人和招标代理机构依法对投标人的资格进行审查。</w:t>
      </w:r>
    </w:p>
    <w:p>
      <w:pPr>
        <w:pStyle w:val="12"/>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3"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1、初步</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：初步</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包括资格检查及符合性检查。</w:t>
      </w:r>
    </w:p>
    <w:p>
      <w:pPr>
        <w:pStyle w:val="12"/>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0"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2、澄清（如需要）。</w:t>
      </w:r>
    </w:p>
    <w:p>
      <w:pPr>
        <w:pStyle w:val="12"/>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0"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3、详细</w:t>
      </w:r>
      <w:r>
        <w:rPr>
          <w:rFonts w:hint="eastAsia" w:ascii="宋体" w:hAnsi="宋体" w:eastAsia="宋体" w:cs="宋体"/>
          <w:color w:val="auto"/>
          <w:sz w:val="21"/>
          <w:szCs w:val="21"/>
          <w:lang w:eastAsia="zh-CN"/>
        </w:rPr>
        <w:t>评审</w:t>
      </w:r>
      <w:r>
        <w:rPr>
          <w:rFonts w:hint="eastAsia" w:ascii="宋体" w:hAnsi="宋体" w:eastAsia="宋体" w:cs="宋体"/>
          <w:color w:val="auto"/>
          <w:sz w:val="21"/>
          <w:szCs w:val="21"/>
        </w:rPr>
        <w:t>。</w:t>
      </w:r>
    </w:p>
    <w:p>
      <w:pPr>
        <w:keepNext w:val="0"/>
        <w:keepLines w:val="0"/>
        <w:pageBreakBefore w:val="0"/>
        <w:widowControl w:val="0"/>
        <w:tabs>
          <w:tab w:val="left" w:pos="420"/>
          <w:tab w:val="left" w:pos="660"/>
        </w:tabs>
        <w:kinsoku/>
        <w:wordWrap/>
        <w:overflowPunct/>
        <w:topLinePunct w:val="0"/>
        <w:autoSpaceDE w:val="0"/>
        <w:autoSpaceDN w:val="0"/>
        <w:bidi w:val="0"/>
        <w:adjustRightInd/>
        <w:snapToGrid/>
        <w:spacing w:before="172" w:line="360" w:lineRule="auto"/>
        <w:ind w:right="-128" w:rightChars="-58"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4、推荐中标候选人。</w:t>
      </w:r>
      <w:bookmarkStart w:id="9" w:name="三、评标内容"/>
      <w:bookmarkEnd w:id="9"/>
    </w:p>
    <w:p>
      <w:pPr>
        <w:tabs>
          <w:tab w:val="left" w:pos="420"/>
          <w:tab w:val="left" w:pos="660"/>
        </w:tabs>
        <w:spacing w:before="172" w:line="360" w:lineRule="auto"/>
        <w:ind w:right="-128" w:rightChars="-58"/>
        <w:rPr>
          <w:rFonts w:hint="eastAsia" w:ascii="宋体" w:hAnsi="宋体" w:eastAsia="宋体" w:cs="宋体"/>
          <w:b/>
          <w:color w:val="auto"/>
          <w:sz w:val="21"/>
          <w:szCs w:val="21"/>
        </w:rPr>
      </w:pPr>
      <w:r>
        <w:rPr>
          <w:rFonts w:hint="eastAsia" w:ascii="宋体" w:hAnsi="宋体" w:eastAsia="宋体" w:cs="宋体"/>
          <w:b w:val="0"/>
          <w:bCs/>
          <w:color w:val="auto"/>
          <w:sz w:val="21"/>
          <w:szCs w:val="21"/>
        </w:rPr>
        <w:t>25.2</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初步审核的</w:t>
      </w:r>
      <w:r>
        <w:rPr>
          <w:rFonts w:hint="eastAsia" w:ascii="宋体" w:hAnsi="宋体" w:eastAsia="宋体" w:cs="宋体"/>
          <w:b w:val="0"/>
          <w:bCs/>
          <w:color w:val="auto"/>
          <w:sz w:val="21"/>
          <w:szCs w:val="21"/>
        </w:rPr>
        <w:t>内容</w:t>
      </w:r>
    </w:p>
    <w:p>
      <w:pPr>
        <w:pStyle w:val="8"/>
        <w:tabs>
          <w:tab w:val="left" w:pos="420"/>
          <w:tab w:val="left" w:pos="660"/>
        </w:tabs>
        <w:spacing w:before="2" w:line="360" w:lineRule="auto"/>
        <w:ind w:left="0" w:right="-128" w:rightChars="-58" w:firstLine="420" w:firstLineChars="200"/>
        <w:rPr>
          <w:rFonts w:hint="eastAsia" w:ascii="宋体" w:hAnsi="宋体" w:eastAsia="宋体" w:cs="宋体"/>
          <w:color w:val="auto"/>
          <w:sz w:val="21"/>
          <w:szCs w:val="21"/>
        </w:rPr>
      </w:pPr>
      <w:bookmarkStart w:id="10" w:name="1、资格审查"/>
      <w:bookmarkEnd w:id="10"/>
      <w:r>
        <w:rPr>
          <w:rFonts w:hint="eastAsia" w:ascii="宋体" w:hAnsi="宋体" w:eastAsia="宋体" w:cs="宋体"/>
          <w:color w:val="auto"/>
          <w:sz w:val="21"/>
          <w:szCs w:val="21"/>
        </w:rPr>
        <w:t>1、资格审查</w:t>
      </w:r>
    </w:p>
    <w:p>
      <w:pPr>
        <w:spacing w:line="360" w:lineRule="auto"/>
        <w:ind w:right="-84" w:rightChars="-38"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采购人和采购代理机构对所有供应商的投标文件进行资格审查。以确定供应商是否具备投标资格。资格审查表如下，缺少任何一项或有任何一项不合格者，其资格审查视为不合格。</w:t>
      </w:r>
    </w:p>
    <w:tbl>
      <w:tblPr>
        <w:tblStyle w:val="23"/>
        <w:tblpPr w:leftFromText="180" w:rightFromText="180" w:vertAnchor="text" w:horzAnchor="page" w:tblpX="1309" w:tblpY="742"/>
        <w:tblOverlap w:val="never"/>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51"/>
        <w:gridCol w:w="1843"/>
        <w:gridCol w:w="6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75" w:type="dxa"/>
          </w:tcPr>
          <w:p>
            <w:pPr>
              <w:pStyle w:val="32"/>
              <w:spacing w:before="96"/>
              <w:ind w:left="127"/>
              <w:rPr>
                <w:b/>
                <w:color w:val="auto"/>
                <w:sz w:val="21"/>
              </w:rPr>
            </w:pPr>
            <w:r>
              <w:rPr>
                <w:b/>
                <w:color w:val="auto"/>
                <w:sz w:val="21"/>
              </w:rPr>
              <w:t>序号</w:t>
            </w:r>
          </w:p>
        </w:tc>
        <w:tc>
          <w:tcPr>
            <w:tcW w:w="2694" w:type="dxa"/>
            <w:gridSpan w:val="2"/>
          </w:tcPr>
          <w:p>
            <w:pPr>
              <w:pStyle w:val="32"/>
              <w:spacing w:before="96"/>
              <w:ind w:left="905" w:right="895"/>
              <w:jc w:val="center"/>
              <w:rPr>
                <w:b/>
                <w:color w:val="auto"/>
                <w:sz w:val="21"/>
              </w:rPr>
            </w:pPr>
            <w:r>
              <w:rPr>
                <w:b/>
                <w:color w:val="auto"/>
                <w:sz w:val="21"/>
              </w:rPr>
              <w:t>评标因素</w:t>
            </w:r>
          </w:p>
        </w:tc>
        <w:tc>
          <w:tcPr>
            <w:tcW w:w="6027" w:type="dxa"/>
          </w:tcPr>
          <w:p>
            <w:pPr>
              <w:pStyle w:val="32"/>
              <w:spacing w:before="96"/>
              <w:ind w:right="1837" w:rightChars="0" w:firstLine="1897" w:firstLineChars="900"/>
              <w:jc w:val="both"/>
              <w:rPr>
                <w:b/>
                <w:color w:val="auto"/>
                <w:sz w:val="21"/>
              </w:rPr>
            </w:pPr>
            <w:r>
              <w:rPr>
                <w:b/>
                <w:color w:val="auto"/>
                <w:sz w:val="21"/>
              </w:rPr>
              <w:t>评标内容及评标标准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5" w:type="dxa"/>
            <w:vMerge w:val="restart"/>
            <w:vAlign w:val="center"/>
          </w:tcPr>
          <w:p>
            <w:pPr>
              <w:pStyle w:val="32"/>
              <w:spacing w:line="280" w:lineRule="exact"/>
              <w:jc w:val="center"/>
              <w:rPr>
                <w:rFonts w:ascii="Times New Roman"/>
                <w:color w:val="auto"/>
                <w:sz w:val="21"/>
              </w:rPr>
            </w:pPr>
            <w:r>
              <w:rPr>
                <w:rFonts w:hint="eastAsia" w:ascii="Times New Roman"/>
                <w:color w:val="auto"/>
                <w:sz w:val="21"/>
              </w:rPr>
              <w:t>1</w:t>
            </w:r>
          </w:p>
        </w:tc>
        <w:tc>
          <w:tcPr>
            <w:tcW w:w="851" w:type="dxa"/>
            <w:vMerge w:val="restart"/>
          </w:tcPr>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p>
          <w:p>
            <w:pPr>
              <w:pStyle w:val="32"/>
              <w:spacing w:line="280" w:lineRule="exact"/>
              <w:ind w:left="107" w:right="97"/>
              <w:jc w:val="both"/>
              <w:rPr>
                <w:color w:val="auto"/>
                <w:sz w:val="21"/>
              </w:rPr>
            </w:pPr>
            <w:r>
              <w:rPr>
                <w:color w:val="auto"/>
                <w:sz w:val="21"/>
              </w:rPr>
              <w:t>供应商应符合的基本资格条件</w:t>
            </w:r>
          </w:p>
        </w:tc>
        <w:tc>
          <w:tcPr>
            <w:tcW w:w="1843" w:type="dxa"/>
          </w:tcPr>
          <w:p>
            <w:pPr>
              <w:pStyle w:val="32"/>
              <w:spacing w:line="280" w:lineRule="exact"/>
              <w:ind w:left="108" w:right="28"/>
              <w:rPr>
                <w:color w:val="auto"/>
                <w:sz w:val="21"/>
              </w:rPr>
            </w:pPr>
          </w:p>
          <w:p>
            <w:pPr>
              <w:pStyle w:val="32"/>
              <w:spacing w:line="280" w:lineRule="exact"/>
              <w:ind w:left="108" w:right="28"/>
              <w:rPr>
                <w:color w:val="auto"/>
                <w:sz w:val="21"/>
              </w:rPr>
            </w:pPr>
          </w:p>
          <w:p>
            <w:pPr>
              <w:pStyle w:val="32"/>
              <w:spacing w:line="280" w:lineRule="exact"/>
              <w:ind w:left="108" w:right="28"/>
              <w:rPr>
                <w:color w:val="auto"/>
                <w:sz w:val="21"/>
              </w:rPr>
            </w:pPr>
            <w:r>
              <w:rPr>
                <w:color w:val="auto"/>
                <w:sz w:val="21"/>
              </w:rPr>
              <w:t>（1）</w:t>
            </w:r>
            <w:r>
              <w:rPr>
                <w:rFonts w:hint="eastAsia"/>
                <w:color w:val="auto"/>
                <w:sz w:val="21"/>
                <w:szCs w:val="21"/>
              </w:rPr>
              <w:t>具有提供本次招标采购服务能力的合法供应商</w:t>
            </w:r>
          </w:p>
        </w:tc>
        <w:tc>
          <w:tcPr>
            <w:tcW w:w="6027" w:type="dxa"/>
          </w:tcPr>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审查</w:t>
            </w:r>
            <w:r>
              <w:rPr>
                <w:rFonts w:hint="eastAsia"/>
                <w:color w:val="auto"/>
                <w:sz w:val="21"/>
              </w:rPr>
              <w:t>有效的营业执照副本或具有独立承担民事责任能力的注册登记证书的证明文件复印件</w:t>
            </w:r>
            <w:r>
              <w:rPr>
                <w:color w:val="auto"/>
                <w:sz w:val="21"/>
              </w:rPr>
              <w:t>。须按以下要求提供，材料须有效。</w:t>
            </w: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 自然人的，则提供国家规定的相关证明材料。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75" w:type="dxa"/>
            <w:vMerge w:val="continue"/>
          </w:tcPr>
          <w:p>
            <w:pPr>
              <w:spacing w:line="280" w:lineRule="exact"/>
              <w:jc w:val="both"/>
              <w:rPr>
                <w:color w:val="auto"/>
                <w:sz w:val="2"/>
                <w:szCs w:val="2"/>
              </w:rPr>
            </w:pPr>
          </w:p>
        </w:tc>
        <w:tc>
          <w:tcPr>
            <w:tcW w:w="851" w:type="dxa"/>
            <w:vMerge w:val="continue"/>
          </w:tcPr>
          <w:p>
            <w:pPr>
              <w:spacing w:line="280" w:lineRule="exact"/>
              <w:jc w:val="both"/>
              <w:rPr>
                <w:color w:val="auto"/>
                <w:sz w:val="2"/>
                <w:szCs w:val="2"/>
              </w:rPr>
            </w:pPr>
          </w:p>
        </w:tc>
        <w:tc>
          <w:tcPr>
            <w:tcW w:w="1843" w:type="dxa"/>
          </w:tcPr>
          <w:p>
            <w:pPr>
              <w:pStyle w:val="32"/>
              <w:spacing w:line="280" w:lineRule="exact"/>
              <w:ind w:left="108" w:right="28"/>
              <w:rPr>
                <w:color w:val="auto"/>
                <w:sz w:val="21"/>
              </w:rPr>
            </w:pPr>
          </w:p>
          <w:p>
            <w:pPr>
              <w:pStyle w:val="32"/>
              <w:spacing w:line="280" w:lineRule="exact"/>
              <w:ind w:left="108" w:right="28"/>
              <w:rPr>
                <w:color w:val="auto"/>
                <w:sz w:val="21"/>
              </w:rPr>
            </w:pPr>
            <w:r>
              <w:rPr>
                <w:color w:val="auto"/>
                <w:sz w:val="21"/>
              </w:rPr>
              <w:t>（2）具有良好的商业信誉和健全的财务会计制度</w:t>
            </w:r>
          </w:p>
        </w:tc>
        <w:tc>
          <w:tcPr>
            <w:tcW w:w="6027" w:type="dxa"/>
          </w:tcPr>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①审查经第三方审计 2019 年度财务状况报告（表）复印件或银行出具的资信证明复印件，对于从取得营业执照时间起到投标文件递交截止时间为止不足 1 年的供应商，只需提交投标文件递交截止时间前一个月的财务状况报告（表）复印件。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pStyle w:val="32"/>
              <w:spacing w:line="280" w:lineRule="exact"/>
              <w:ind w:left="108" w:right="28"/>
              <w:rPr>
                <w:color w:val="auto"/>
                <w:sz w:val="21"/>
              </w:rPr>
            </w:pPr>
            <w:r>
              <w:rPr>
                <w:color w:val="auto"/>
                <w:sz w:val="21"/>
              </w:rPr>
              <w:t>（3）具有履行合同所必需的设备和专业技术能力</w:t>
            </w:r>
          </w:p>
        </w:tc>
        <w:tc>
          <w:tcPr>
            <w:tcW w:w="6027" w:type="dxa"/>
          </w:tcPr>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①审查供应商营业执照，须有效；</w:t>
            </w: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rFonts w:hint="eastAsia" w:eastAsia="宋体"/>
                <w:color w:val="auto"/>
                <w:sz w:val="21"/>
                <w:lang w:eastAsia="zh-CN"/>
              </w:rPr>
            </w:pPr>
            <w:r>
              <w:rPr>
                <w:color w:val="auto"/>
                <w:sz w:val="21"/>
              </w:rPr>
              <w:t>②审查</w:t>
            </w:r>
            <w:r>
              <w:rPr>
                <w:rFonts w:hint="eastAsia"/>
                <w:color w:val="auto"/>
                <w:sz w:val="21"/>
              </w:rPr>
              <w:t>承诺书</w:t>
            </w:r>
            <w:r>
              <w:rPr>
                <w:color w:val="auto"/>
                <w:sz w:val="21"/>
              </w:rPr>
              <w:t>。须提供，格式</w:t>
            </w:r>
            <w:r>
              <w:rPr>
                <w:rFonts w:hint="eastAsia"/>
                <w:color w:val="auto"/>
                <w:sz w:val="21"/>
              </w:rPr>
              <w:t>自拟</w:t>
            </w:r>
            <w:r>
              <w:rPr>
                <w:rFonts w:hint="eastAsia"/>
                <w:color w:val="auto"/>
                <w:sz w:val="21"/>
                <w:lang w:eastAsia="zh-CN"/>
              </w:rPr>
              <w:t>；</w:t>
            </w:r>
          </w:p>
          <w:p>
            <w:pPr>
              <w:pStyle w:val="32"/>
              <w:keepNext w:val="0"/>
              <w:keepLines w:val="0"/>
              <w:pageBreakBefore w:val="0"/>
              <w:widowControl w:val="0"/>
              <w:kinsoku/>
              <w:wordWrap/>
              <w:overflowPunct/>
              <w:topLinePunct w:val="0"/>
              <w:autoSpaceDE w:val="0"/>
              <w:autoSpaceDN w:val="0"/>
              <w:bidi w:val="0"/>
              <w:adjustRightInd/>
              <w:snapToGrid/>
              <w:spacing w:line="320" w:lineRule="exact"/>
              <w:ind w:left="108" w:right="28"/>
              <w:textAlignment w:val="auto"/>
              <w:rPr>
                <w:color w:val="auto"/>
                <w:sz w:val="21"/>
              </w:rPr>
            </w:pPr>
            <w:r>
              <w:rPr>
                <w:color w:val="auto"/>
                <w:sz w:val="21"/>
              </w:rPr>
              <w:t>审查①或②，满足其一，即为符合要求。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r>
              <w:rPr>
                <w:color w:val="auto"/>
                <w:sz w:val="21"/>
                <w:szCs w:val="21"/>
              </w:rPr>
              <w:t>（4）</w:t>
            </w:r>
            <w:r>
              <w:rPr>
                <w:rFonts w:hint="eastAsia"/>
                <w:color w:val="auto"/>
                <w:sz w:val="21"/>
                <w:szCs w:val="21"/>
              </w:rPr>
              <w:t>有依法缴纳税收和社会保障资金的良好记录</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rFonts w:hint="eastAsia"/>
                <w:color w:val="auto"/>
                <w:sz w:val="21"/>
                <w:szCs w:val="21"/>
              </w:rPr>
              <w:t>①2020 年 1 月 1 日以来，投标人连续三个月（如属新成立的公司不足三个月的递交工商注册之月起的纳税证明）依法缴纳税收（国税或地税）的凭证复印件加盖供应商公章。</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rFonts w:hint="eastAsia"/>
                <w:color w:val="auto"/>
                <w:sz w:val="21"/>
                <w:szCs w:val="21"/>
              </w:rPr>
              <w:t>②2020 年 1 月 1 日以来，投标人连续三个月(如属新成立的公司不足三个月的递交工商注册之月起的社保证明)依法缴纳社会保障资金的凭证复印件加盖供应商公章。</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rFonts w:hint="eastAsia"/>
                <w:color w:val="auto"/>
                <w:sz w:val="21"/>
                <w:szCs w:val="21"/>
              </w:rPr>
              <w:t>注：依法免税或不需要缴纳社会保障资金的供应商，须提供相应文件证明其依法免税或不需要缴纳社会保障资金。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（5）参加政府采购活动前三年内， 在经营活动中没有重大违法记录及不良信用记录</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审查无重大违法记录声明。须提供，格式见第六章投标文件格式“声明书”。一旦发现供应商提供的投标声明书不实时，则按照《政府采购法》有关提供虚假材料的规定给予处罚。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（6）诚信要求</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①审核标准：供应商如被列入失信被执行人、重大税收违法案件当  事人名单、政府采购严重违法失信行为记录名单，则资格审查不予 通过，其投标被否决。</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eastAsia="宋体"/>
                <w:color w:val="auto"/>
                <w:sz w:val="21"/>
                <w:szCs w:val="21"/>
                <w:lang w:eastAsia="zh-CN"/>
              </w:rPr>
            </w:pPr>
            <w:r>
              <w:rPr>
                <w:color w:val="auto"/>
                <w:sz w:val="21"/>
                <w:szCs w:val="21"/>
              </w:rPr>
              <w:t>②信用信息查询渠道：中国政府采购网 “政府采购严重违法失信行为记录名单” 信用中国网：“失信被执行人”、“重大税收违法案件当事人名单”</w:t>
            </w:r>
            <w:r>
              <w:rPr>
                <w:rFonts w:hint="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③查询方式：资格审查时，</w:t>
            </w:r>
            <w:r>
              <w:rPr>
                <w:rFonts w:hint="eastAsia"/>
                <w:color w:val="auto"/>
                <w:sz w:val="21"/>
                <w:szCs w:val="21"/>
              </w:rPr>
              <w:t>采购人或采购</w:t>
            </w:r>
            <w:r>
              <w:rPr>
                <w:color w:val="auto"/>
                <w:sz w:val="21"/>
                <w:szCs w:val="21"/>
              </w:rPr>
              <w:t>代理机构通过上述渠道查 询供应商的信用记录供评委审核。</w:t>
            </w:r>
          </w:p>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④信用信息查询记录和证据留存的具体方式：通过上述查询渠道查询的供应商信用记录查询结果，将作为政府采购活动档案留存</w:t>
            </w:r>
            <w:r>
              <w:rPr>
                <w:rFonts w:hint="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pStyle w:val="32"/>
              <w:spacing w:line="280" w:lineRule="exact"/>
              <w:jc w:val="both"/>
              <w:rPr>
                <w:rFonts w:ascii="Times New Roman"/>
                <w:color w:val="auto"/>
                <w:sz w:val="20"/>
              </w:rPr>
            </w:pPr>
          </w:p>
        </w:tc>
        <w:tc>
          <w:tcPr>
            <w:tcW w:w="851" w:type="dxa"/>
            <w:vMerge w:val="continue"/>
          </w:tcPr>
          <w:p>
            <w:pPr>
              <w:pStyle w:val="32"/>
              <w:spacing w:line="280" w:lineRule="exact"/>
              <w:jc w:val="both"/>
              <w:rPr>
                <w:rFonts w:ascii="Times New Roman"/>
                <w:color w:val="auto"/>
                <w:sz w:val="20"/>
              </w:rPr>
            </w:pPr>
          </w:p>
        </w:tc>
        <w:tc>
          <w:tcPr>
            <w:tcW w:w="1843" w:type="dxa"/>
          </w:tcPr>
          <w:p>
            <w:pPr>
              <w:spacing w:line="280" w:lineRule="exact"/>
              <w:rPr>
                <w:color w:val="auto"/>
                <w:sz w:val="21"/>
                <w:szCs w:val="21"/>
              </w:rPr>
            </w:pPr>
            <w:r>
              <w:rPr>
                <w:color w:val="auto"/>
                <w:sz w:val="21"/>
                <w:szCs w:val="21"/>
              </w:rPr>
              <w:t>（7）具备法律、行政法规规定的其他要求</w:t>
            </w:r>
          </w:p>
        </w:tc>
        <w:tc>
          <w:tcPr>
            <w:tcW w:w="6027" w:type="dxa"/>
          </w:tcPr>
          <w:p>
            <w:pPr>
              <w:spacing w:line="280" w:lineRule="exact"/>
              <w:rPr>
                <w:color w:val="auto"/>
                <w:sz w:val="21"/>
                <w:szCs w:val="21"/>
              </w:rPr>
            </w:pPr>
          </w:p>
          <w:p>
            <w:pPr>
              <w:spacing w:line="280" w:lineRule="exact"/>
              <w:rPr>
                <w:color w:val="auto"/>
                <w:sz w:val="21"/>
                <w:szCs w:val="21"/>
              </w:rPr>
            </w:pPr>
            <w:r>
              <w:rPr>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tcPr>
          <w:p>
            <w:pPr>
              <w:spacing w:line="280" w:lineRule="exact"/>
              <w:jc w:val="center"/>
              <w:rPr>
                <w:color w:val="auto"/>
                <w:sz w:val="21"/>
                <w:szCs w:val="21"/>
              </w:rPr>
            </w:pPr>
          </w:p>
          <w:p>
            <w:pPr>
              <w:spacing w:line="280" w:lineRule="exact"/>
              <w:jc w:val="center"/>
              <w:rPr>
                <w:color w:val="auto"/>
                <w:sz w:val="21"/>
                <w:szCs w:val="21"/>
              </w:rPr>
            </w:pPr>
          </w:p>
          <w:p>
            <w:pPr>
              <w:spacing w:line="280" w:lineRule="exact"/>
              <w:jc w:val="center"/>
              <w:rPr>
                <w:rFonts w:ascii="Times New Roman"/>
                <w:color w:val="auto"/>
                <w:sz w:val="21"/>
                <w:szCs w:val="21"/>
              </w:rPr>
            </w:pPr>
            <w:r>
              <w:rPr>
                <w:color w:val="auto"/>
                <w:sz w:val="21"/>
                <w:szCs w:val="21"/>
              </w:rPr>
              <w:t>2</w:t>
            </w:r>
          </w:p>
        </w:tc>
        <w:tc>
          <w:tcPr>
            <w:tcW w:w="851" w:type="dxa"/>
            <w:vAlign w:val="center"/>
          </w:tcPr>
          <w:p>
            <w:pPr>
              <w:spacing w:line="280" w:lineRule="exact"/>
              <w:jc w:val="center"/>
              <w:rPr>
                <w:rFonts w:ascii="Times New Roman"/>
                <w:color w:val="auto"/>
                <w:sz w:val="21"/>
                <w:szCs w:val="21"/>
              </w:rPr>
            </w:pPr>
            <w:r>
              <w:rPr>
                <w:color w:val="auto"/>
                <w:sz w:val="21"/>
                <w:szCs w:val="21"/>
              </w:rPr>
              <w:t>供应商应符合的特定资格条件</w:t>
            </w:r>
          </w:p>
        </w:tc>
        <w:tc>
          <w:tcPr>
            <w:tcW w:w="1843" w:type="dxa"/>
            <w:vAlign w:val="center"/>
          </w:tcPr>
          <w:p>
            <w:pPr>
              <w:spacing w:line="280" w:lineRule="exact"/>
              <w:rPr>
                <w:color w:val="auto"/>
                <w:sz w:val="21"/>
                <w:szCs w:val="21"/>
              </w:rPr>
            </w:pPr>
            <w:r>
              <w:rPr>
                <w:color w:val="auto"/>
                <w:sz w:val="21"/>
                <w:szCs w:val="21"/>
              </w:rPr>
              <w:t>（1）资质条件</w:t>
            </w:r>
          </w:p>
        </w:tc>
        <w:tc>
          <w:tcPr>
            <w:tcW w:w="6027" w:type="dxa"/>
            <w:vAlign w:val="center"/>
          </w:tcPr>
          <w:p>
            <w:pPr>
              <w:spacing w:line="280" w:lineRule="exact"/>
              <w:rPr>
                <w:color w:val="auto"/>
                <w:sz w:val="21"/>
                <w:szCs w:val="21"/>
              </w:rPr>
            </w:pPr>
            <w:r>
              <w:rPr>
                <w:color w:val="auto"/>
                <w:sz w:val="21"/>
                <w:szCs w:val="21"/>
              </w:rPr>
              <w:t>须符合“招标公告”的要求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restart"/>
          </w:tcPr>
          <w:p>
            <w:pPr>
              <w:spacing w:line="280" w:lineRule="exact"/>
              <w:jc w:val="center"/>
              <w:rPr>
                <w:color w:val="auto"/>
              </w:rPr>
            </w:pPr>
          </w:p>
          <w:p>
            <w:pPr>
              <w:spacing w:line="280" w:lineRule="exact"/>
              <w:jc w:val="center"/>
              <w:rPr>
                <w:color w:val="auto"/>
              </w:rPr>
            </w:pPr>
          </w:p>
          <w:p>
            <w:pPr>
              <w:spacing w:line="280" w:lineRule="exact"/>
              <w:jc w:val="center"/>
              <w:rPr>
                <w:color w:val="auto"/>
              </w:rPr>
            </w:pPr>
          </w:p>
          <w:p>
            <w:pPr>
              <w:spacing w:line="280" w:lineRule="exact"/>
              <w:jc w:val="center"/>
              <w:rPr>
                <w:color w:val="auto"/>
              </w:rPr>
            </w:pPr>
          </w:p>
          <w:p>
            <w:pPr>
              <w:spacing w:line="280" w:lineRule="exact"/>
              <w:jc w:val="center"/>
              <w:rPr>
                <w:color w:val="auto"/>
              </w:rPr>
            </w:pPr>
          </w:p>
          <w:p>
            <w:pPr>
              <w:spacing w:line="280" w:lineRule="exact"/>
              <w:jc w:val="center"/>
              <w:rPr>
                <w:rFonts w:ascii="Times New Roman"/>
                <w:color w:val="auto"/>
                <w:sz w:val="20"/>
              </w:rPr>
            </w:pPr>
            <w:r>
              <w:rPr>
                <w:color w:val="auto"/>
              </w:rPr>
              <w:t>3</w:t>
            </w:r>
          </w:p>
        </w:tc>
        <w:tc>
          <w:tcPr>
            <w:tcW w:w="2694" w:type="dxa"/>
            <w:gridSpan w:val="2"/>
            <w:vMerge w:val="restart"/>
          </w:tcPr>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p>
          <w:p>
            <w:pPr>
              <w:spacing w:line="280" w:lineRule="exact"/>
              <w:rPr>
                <w:color w:val="auto"/>
                <w:sz w:val="21"/>
                <w:szCs w:val="21"/>
              </w:rPr>
            </w:pPr>
            <w:r>
              <w:rPr>
                <w:color w:val="auto"/>
                <w:sz w:val="21"/>
                <w:szCs w:val="21"/>
              </w:rPr>
              <w:t>供应商不得参加资格性审查的情形</w:t>
            </w: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spacing w:line="280" w:lineRule="exact"/>
              <w:jc w:val="center"/>
              <w:rPr>
                <w:rFonts w:ascii="Times New Roman"/>
                <w:color w:val="auto"/>
                <w:sz w:val="20"/>
              </w:rPr>
            </w:pPr>
          </w:p>
        </w:tc>
        <w:tc>
          <w:tcPr>
            <w:tcW w:w="2694" w:type="dxa"/>
            <w:gridSpan w:val="2"/>
            <w:vMerge w:val="continue"/>
          </w:tcPr>
          <w:p>
            <w:pPr>
              <w:spacing w:line="280" w:lineRule="exact"/>
              <w:rPr>
                <w:color w:val="auto"/>
                <w:sz w:val="21"/>
                <w:szCs w:val="21"/>
              </w:rPr>
            </w:pP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（2）因违法经营受到刑事处罚或者责令停产停业、吊销许可证或者执照、较大数额罚款等行政处罚，或者存在财政部门认定的其他 重大违法记录，以及在财政部门禁止参加政府采购活动期限以内的。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Merge w:val="continue"/>
          </w:tcPr>
          <w:p>
            <w:pPr>
              <w:spacing w:line="280" w:lineRule="exact"/>
              <w:jc w:val="center"/>
              <w:rPr>
                <w:rFonts w:ascii="Times New Roman"/>
                <w:color w:val="auto"/>
                <w:sz w:val="20"/>
              </w:rPr>
            </w:pPr>
          </w:p>
        </w:tc>
        <w:tc>
          <w:tcPr>
            <w:tcW w:w="2694" w:type="dxa"/>
            <w:gridSpan w:val="2"/>
            <w:vMerge w:val="continue"/>
          </w:tcPr>
          <w:p>
            <w:pPr>
              <w:spacing w:line="280" w:lineRule="exact"/>
              <w:rPr>
                <w:color w:val="auto"/>
                <w:sz w:val="21"/>
                <w:szCs w:val="21"/>
              </w:rPr>
            </w:pPr>
          </w:p>
        </w:tc>
        <w:tc>
          <w:tcPr>
            <w:tcW w:w="6027" w:type="dxa"/>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auto"/>
                <w:sz w:val="21"/>
                <w:szCs w:val="21"/>
              </w:rPr>
            </w:pPr>
            <w:r>
              <w:rPr>
                <w:color w:val="auto"/>
                <w:sz w:val="21"/>
                <w:szCs w:val="21"/>
              </w:rPr>
              <w:t>（3）公益一类事业单位、使用事业编制且由财政拨款保障的群团 组织，不得参加本项目的采购活动。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75" w:type="dxa"/>
            <w:vAlign w:val="center"/>
          </w:tcPr>
          <w:p>
            <w:pPr>
              <w:spacing w:line="280" w:lineRule="exact"/>
              <w:jc w:val="center"/>
              <w:rPr>
                <w:rFonts w:ascii="Times New Roman"/>
                <w:color w:val="auto"/>
                <w:sz w:val="20"/>
              </w:rPr>
            </w:pPr>
            <w:r>
              <w:rPr>
                <w:color w:val="auto"/>
              </w:rPr>
              <w:t>4</w:t>
            </w:r>
          </w:p>
        </w:tc>
        <w:tc>
          <w:tcPr>
            <w:tcW w:w="2694" w:type="dxa"/>
            <w:gridSpan w:val="2"/>
            <w:vAlign w:val="center"/>
          </w:tcPr>
          <w:p>
            <w:pPr>
              <w:spacing w:line="280" w:lineRule="exact"/>
              <w:ind w:firstLine="210" w:firstLineChars="100"/>
              <w:jc w:val="center"/>
              <w:rPr>
                <w:color w:val="auto"/>
                <w:sz w:val="21"/>
                <w:szCs w:val="21"/>
              </w:rPr>
            </w:pPr>
            <w:r>
              <w:rPr>
                <w:color w:val="auto"/>
                <w:sz w:val="21"/>
                <w:szCs w:val="21"/>
              </w:rPr>
              <w:t>投标保证金</w:t>
            </w:r>
          </w:p>
        </w:tc>
        <w:tc>
          <w:tcPr>
            <w:tcW w:w="6027"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color w:val="auto"/>
                <w:sz w:val="21"/>
                <w:szCs w:val="21"/>
              </w:rPr>
            </w:pPr>
            <w:r>
              <w:rPr>
                <w:color w:val="auto"/>
                <w:sz w:val="21"/>
                <w:szCs w:val="21"/>
              </w:rPr>
              <w:t>足额、及时缴纳投标保证金</w:t>
            </w:r>
          </w:p>
        </w:tc>
      </w:tr>
    </w:tbl>
    <w:p>
      <w:pPr>
        <w:spacing w:line="360" w:lineRule="auto"/>
        <w:rPr>
          <w:color w:val="auto"/>
          <w:sz w:val="21"/>
          <w:szCs w:val="21"/>
        </w:rPr>
      </w:pPr>
      <w:r>
        <w:rPr>
          <w:color w:val="auto"/>
          <w:sz w:val="21"/>
          <w:szCs w:val="21"/>
        </w:rPr>
        <w:t>2、符合性检查</w:t>
      </w:r>
    </w:p>
    <w:p>
      <w:pPr>
        <w:spacing w:line="360" w:lineRule="auto"/>
        <w:ind w:right="134" w:rightChars="61" w:firstLine="420" w:firstLineChars="200"/>
        <w:rPr>
          <w:color w:val="auto"/>
          <w:sz w:val="21"/>
          <w:szCs w:val="21"/>
        </w:rPr>
      </w:pPr>
      <w:r>
        <w:rPr>
          <w:color w:val="auto"/>
          <w:sz w:val="21"/>
          <w:szCs w:val="21"/>
        </w:rPr>
        <w:t>资格审查结束后，由评标委员会对通过资格审查的供应商的投标文件进行符合性审查，以确定其是否满足招标文件的实质性要求。符合性检查表如下，缺少任何一项或有任何一项不合格者，其符合性检查视为不合格。</w:t>
      </w:r>
    </w:p>
    <w:tbl>
      <w:tblPr>
        <w:tblStyle w:val="23"/>
        <w:tblW w:w="9421"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806"/>
        <w:gridCol w:w="2000"/>
        <w:gridCol w:w="4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5" w:type="dxa"/>
            <w:vAlign w:val="center"/>
          </w:tcPr>
          <w:p>
            <w:pPr>
              <w:pStyle w:val="32"/>
              <w:spacing w:before="22"/>
              <w:ind w:left="127"/>
              <w:jc w:val="center"/>
              <w:rPr>
                <w:b/>
                <w:color w:val="auto"/>
                <w:sz w:val="21"/>
              </w:rPr>
            </w:pPr>
            <w:r>
              <w:rPr>
                <w:b/>
                <w:color w:val="auto"/>
                <w:sz w:val="21"/>
              </w:rPr>
              <w:t>序号</w:t>
            </w:r>
          </w:p>
        </w:tc>
        <w:tc>
          <w:tcPr>
            <w:tcW w:w="3806" w:type="dxa"/>
            <w:gridSpan w:val="2"/>
            <w:vAlign w:val="center"/>
          </w:tcPr>
          <w:p>
            <w:pPr>
              <w:pStyle w:val="32"/>
              <w:spacing w:before="22"/>
              <w:ind w:left="1330" w:right="1320"/>
              <w:jc w:val="center"/>
              <w:rPr>
                <w:b/>
                <w:color w:val="auto"/>
                <w:sz w:val="21"/>
              </w:rPr>
            </w:pPr>
            <w:r>
              <w:rPr>
                <w:b/>
                <w:color w:val="auto"/>
                <w:sz w:val="21"/>
              </w:rPr>
              <w:t>评标因素</w:t>
            </w:r>
          </w:p>
        </w:tc>
        <w:tc>
          <w:tcPr>
            <w:tcW w:w="4910" w:type="dxa"/>
            <w:vAlign w:val="center"/>
          </w:tcPr>
          <w:p>
            <w:pPr>
              <w:pStyle w:val="32"/>
              <w:spacing w:before="22"/>
              <w:ind w:left="164" w:right="155"/>
              <w:jc w:val="center"/>
              <w:rPr>
                <w:b/>
                <w:color w:val="auto"/>
                <w:sz w:val="21"/>
              </w:rPr>
            </w:pPr>
            <w:r>
              <w:rPr>
                <w:b/>
                <w:color w:val="auto"/>
                <w:sz w:val="21"/>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05" w:type="dxa"/>
            <w:vMerge w:val="restart"/>
            <w:vAlign w:val="center"/>
          </w:tcPr>
          <w:p>
            <w:pPr>
              <w:pStyle w:val="32"/>
              <w:jc w:val="center"/>
              <w:rPr>
                <w:color w:val="auto"/>
                <w:sz w:val="24"/>
              </w:rPr>
            </w:pPr>
          </w:p>
          <w:p>
            <w:pPr>
              <w:pStyle w:val="32"/>
              <w:spacing w:before="1"/>
              <w:ind w:left="108"/>
              <w:jc w:val="center"/>
              <w:rPr>
                <w:color w:val="auto"/>
                <w:sz w:val="21"/>
              </w:rPr>
            </w:pPr>
            <w:r>
              <w:rPr>
                <w:color w:val="auto"/>
                <w:sz w:val="21"/>
              </w:rPr>
              <w:t>（</w:t>
            </w:r>
            <w:r>
              <w:rPr>
                <w:rFonts w:ascii="Times New Roman" w:eastAsia="Times New Roman"/>
                <w:color w:val="auto"/>
                <w:sz w:val="21"/>
              </w:rPr>
              <w:t>1</w:t>
            </w:r>
            <w:r>
              <w:rPr>
                <w:color w:val="auto"/>
                <w:sz w:val="21"/>
              </w:rPr>
              <w:t>）</w:t>
            </w:r>
          </w:p>
        </w:tc>
        <w:tc>
          <w:tcPr>
            <w:tcW w:w="1806" w:type="dxa"/>
            <w:vMerge w:val="restart"/>
            <w:vAlign w:val="center"/>
          </w:tcPr>
          <w:p>
            <w:pPr>
              <w:pStyle w:val="32"/>
              <w:jc w:val="center"/>
              <w:rPr>
                <w:color w:val="auto"/>
                <w:sz w:val="24"/>
              </w:rPr>
            </w:pPr>
          </w:p>
          <w:p>
            <w:pPr>
              <w:pStyle w:val="32"/>
              <w:spacing w:before="1"/>
              <w:ind w:left="107"/>
              <w:jc w:val="center"/>
              <w:rPr>
                <w:color w:val="auto"/>
                <w:sz w:val="21"/>
              </w:rPr>
            </w:pPr>
            <w:r>
              <w:rPr>
                <w:color w:val="auto"/>
                <w:sz w:val="21"/>
              </w:rPr>
              <w:t>有效性审查</w:t>
            </w:r>
          </w:p>
        </w:tc>
        <w:tc>
          <w:tcPr>
            <w:tcW w:w="2000" w:type="dxa"/>
            <w:vAlign w:val="center"/>
          </w:tcPr>
          <w:p>
            <w:pPr>
              <w:pStyle w:val="32"/>
              <w:spacing w:before="166"/>
              <w:ind w:left="107"/>
              <w:jc w:val="center"/>
              <w:rPr>
                <w:color w:val="auto"/>
                <w:sz w:val="21"/>
              </w:rPr>
            </w:pPr>
            <w:r>
              <w:rPr>
                <w:color w:val="auto"/>
                <w:sz w:val="21"/>
              </w:rPr>
              <w:t>投标文件签署</w:t>
            </w:r>
          </w:p>
        </w:tc>
        <w:tc>
          <w:tcPr>
            <w:tcW w:w="4910" w:type="dxa"/>
          </w:tcPr>
          <w:p>
            <w:pPr>
              <w:pStyle w:val="32"/>
              <w:spacing w:before="166"/>
              <w:ind w:left="107"/>
              <w:jc w:val="center"/>
              <w:rPr>
                <w:color w:val="auto"/>
                <w:sz w:val="21"/>
              </w:rPr>
            </w:pPr>
            <w:r>
              <w:rPr>
                <w:color w:val="auto"/>
                <w:sz w:val="21"/>
              </w:rPr>
              <w:t>投标文件上法定代表人或其授权代表人已按要求签字盖 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line="252" w:lineRule="exact"/>
              <w:ind w:left="107"/>
              <w:jc w:val="center"/>
              <w:rPr>
                <w:color w:val="auto"/>
                <w:sz w:val="21"/>
              </w:rPr>
            </w:pPr>
            <w:r>
              <w:rPr>
                <w:color w:val="auto"/>
                <w:sz w:val="21"/>
              </w:rPr>
              <w:t>法定代表人身份证</w:t>
            </w:r>
          </w:p>
          <w:p>
            <w:pPr>
              <w:pStyle w:val="32"/>
              <w:spacing w:line="252" w:lineRule="exact"/>
              <w:ind w:left="107"/>
              <w:jc w:val="center"/>
              <w:rPr>
                <w:color w:val="auto"/>
                <w:sz w:val="21"/>
              </w:rPr>
            </w:pPr>
            <w:r>
              <w:rPr>
                <w:color w:val="auto"/>
                <w:sz w:val="21"/>
              </w:rPr>
              <w:t>明及授权委托书</w:t>
            </w:r>
          </w:p>
        </w:tc>
        <w:tc>
          <w:tcPr>
            <w:tcW w:w="4910" w:type="dxa"/>
          </w:tcPr>
          <w:p>
            <w:pPr>
              <w:pStyle w:val="32"/>
              <w:spacing w:before="166"/>
              <w:ind w:left="107"/>
              <w:jc w:val="both"/>
              <w:rPr>
                <w:color w:val="auto"/>
                <w:sz w:val="21"/>
              </w:rPr>
            </w:pPr>
            <w:r>
              <w:rPr>
                <w:color w:val="auto"/>
                <w:sz w:val="21"/>
              </w:rPr>
              <w:t>授权代表参加投标时审查：法定代表人授权委托书及附件，格式及附件见第六章投标文件格式要求；法定代表人直接参加投标时审查：法定代表人身份证明及</w:t>
            </w:r>
            <w:r>
              <w:rPr>
                <w:rFonts w:hint="eastAsia"/>
                <w:color w:val="auto"/>
                <w:sz w:val="21"/>
              </w:rPr>
              <w:t>身份证复印件</w:t>
            </w:r>
            <w:r>
              <w:rPr>
                <w:color w:val="auto"/>
                <w:sz w:val="21"/>
              </w:rPr>
              <w:t>，格式</w:t>
            </w:r>
            <w:r>
              <w:rPr>
                <w:rFonts w:hint="eastAsia"/>
                <w:color w:val="auto"/>
                <w:sz w:val="21"/>
              </w:rPr>
              <w:t>自拟</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line="240" w:lineRule="exact"/>
              <w:ind w:left="107" w:right="97"/>
              <w:jc w:val="center"/>
              <w:rPr>
                <w:color w:val="auto"/>
                <w:sz w:val="21"/>
              </w:rPr>
            </w:pPr>
            <w:r>
              <w:rPr>
                <w:color w:val="auto"/>
                <w:sz w:val="21"/>
              </w:rPr>
              <w:t>投标文件或者投标报价唯一性</w:t>
            </w:r>
          </w:p>
        </w:tc>
        <w:tc>
          <w:tcPr>
            <w:tcW w:w="4910" w:type="dxa"/>
          </w:tcPr>
          <w:p>
            <w:pPr>
              <w:pStyle w:val="32"/>
              <w:spacing w:before="166"/>
              <w:ind w:left="107"/>
              <w:jc w:val="center"/>
              <w:rPr>
                <w:color w:val="auto"/>
                <w:sz w:val="21"/>
              </w:rPr>
            </w:pPr>
            <w:r>
              <w:rPr>
                <w:color w:val="auto"/>
                <w:sz w:val="21"/>
              </w:rPr>
              <w:t>同一供应商不得提交两个以上不同的投标文件或者投标 报价，但招标文件要求提交备选投标的除外。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before="169"/>
              <w:ind w:left="107"/>
              <w:jc w:val="center"/>
              <w:rPr>
                <w:color w:val="auto"/>
                <w:sz w:val="21"/>
              </w:rPr>
            </w:pPr>
            <w:r>
              <w:rPr>
                <w:color w:val="auto"/>
                <w:sz w:val="21"/>
              </w:rPr>
              <w:t>投标报价</w:t>
            </w:r>
          </w:p>
        </w:tc>
        <w:tc>
          <w:tcPr>
            <w:tcW w:w="4910" w:type="dxa"/>
          </w:tcPr>
          <w:p>
            <w:pPr>
              <w:pStyle w:val="32"/>
              <w:spacing w:before="166"/>
              <w:ind w:left="107"/>
              <w:jc w:val="center"/>
              <w:rPr>
                <w:color w:val="auto"/>
                <w:sz w:val="21"/>
              </w:rPr>
            </w:pPr>
            <w:r>
              <w:rPr>
                <w:color w:val="auto"/>
                <w:sz w:val="21"/>
              </w:rPr>
              <w:t>报价超出采购预算金额或最高限价（如有）的，否决其投标。提交选择性报价的，否决其投标。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5" w:type="dxa"/>
            <w:vMerge w:val="continue"/>
          </w:tcPr>
          <w:p>
            <w:pPr>
              <w:rPr>
                <w:color w:val="auto"/>
                <w:sz w:val="2"/>
                <w:szCs w:val="2"/>
              </w:rPr>
            </w:pPr>
          </w:p>
        </w:tc>
        <w:tc>
          <w:tcPr>
            <w:tcW w:w="1806" w:type="dxa"/>
            <w:vMerge w:val="continue"/>
          </w:tcPr>
          <w:p>
            <w:pPr>
              <w:rPr>
                <w:color w:val="auto"/>
                <w:sz w:val="2"/>
                <w:szCs w:val="2"/>
              </w:rPr>
            </w:pPr>
          </w:p>
        </w:tc>
        <w:tc>
          <w:tcPr>
            <w:tcW w:w="2000" w:type="dxa"/>
            <w:vAlign w:val="center"/>
          </w:tcPr>
          <w:p>
            <w:pPr>
              <w:pStyle w:val="32"/>
              <w:spacing w:before="166"/>
              <w:ind w:left="107"/>
              <w:jc w:val="center"/>
              <w:rPr>
                <w:color w:val="auto"/>
                <w:sz w:val="21"/>
              </w:rPr>
            </w:pPr>
            <w:r>
              <w:rPr>
                <w:color w:val="auto"/>
                <w:sz w:val="21"/>
              </w:rPr>
              <w:t>联合体供应商</w:t>
            </w:r>
          </w:p>
        </w:tc>
        <w:tc>
          <w:tcPr>
            <w:tcW w:w="4910" w:type="dxa"/>
          </w:tcPr>
          <w:p>
            <w:pPr>
              <w:pStyle w:val="32"/>
              <w:spacing w:before="166"/>
              <w:ind w:left="107"/>
              <w:jc w:val="center"/>
              <w:rPr>
                <w:color w:val="auto"/>
                <w:sz w:val="21"/>
              </w:rPr>
            </w:pPr>
            <w:r>
              <w:rPr>
                <w:color w:val="auto"/>
                <w:sz w:val="21"/>
              </w:rPr>
              <w:t>不接受联合体。联合体投标的，作无效投标处理。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5" w:type="dxa"/>
            <w:vMerge w:val="continue"/>
            <w:tcBorders>
              <w:bottom w:val="single" w:color="auto" w:sz="4" w:space="0"/>
            </w:tcBorders>
          </w:tcPr>
          <w:p>
            <w:pPr>
              <w:rPr>
                <w:color w:val="auto"/>
                <w:sz w:val="2"/>
                <w:szCs w:val="2"/>
              </w:rPr>
            </w:pPr>
          </w:p>
        </w:tc>
        <w:tc>
          <w:tcPr>
            <w:tcW w:w="1806" w:type="dxa"/>
            <w:vMerge w:val="continue"/>
            <w:tcBorders>
              <w:bottom w:val="single" w:color="auto" w:sz="4" w:space="0"/>
            </w:tcBorders>
          </w:tcPr>
          <w:p>
            <w:pPr>
              <w:rPr>
                <w:color w:val="auto"/>
                <w:sz w:val="2"/>
                <w:szCs w:val="2"/>
              </w:rPr>
            </w:pPr>
          </w:p>
        </w:tc>
        <w:tc>
          <w:tcPr>
            <w:tcW w:w="2000" w:type="dxa"/>
            <w:vAlign w:val="center"/>
          </w:tcPr>
          <w:p>
            <w:pPr>
              <w:pStyle w:val="32"/>
              <w:spacing w:before="163"/>
              <w:ind w:left="107"/>
              <w:jc w:val="center"/>
              <w:rPr>
                <w:color w:val="auto"/>
                <w:sz w:val="21"/>
              </w:rPr>
            </w:pPr>
            <w:r>
              <w:rPr>
                <w:color w:val="auto"/>
                <w:sz w:val="21"/>
              </w:rPr>
              <w:t>转包及分包</w:t>
            </w:r>
          </w:p>
        </w:tc>
        <w:tc>
          <w:tcPr>
            <w:tcW w:w="4910" w:type="dxa"/>
          </w:tcPr>
          <w:p>
            <w:pPr>
              <w:pStyle w:val="32"/>
              <w:spacing w:before="166"/>
              <w:ind w:left="107"/>
              <w:jc w:val="center"/>
              <w:rPr>
                <w:color w:val="auto"/>
                <w:sz w:val="21"/>
              </w:rPr>
            </w:pPr>
            <w:r>
              <w:rPr>
                <w:color w:val="auto"/>
                <w:sz w:val="21"/>
              </w:rP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05" w:type="dxa"/>
            <w:vMerge w:val="restart"/>
            <w:tcBorders>
              <w:top w:val="single" w:color="auto" w:sz="4" w:space="0"/>
              <w:left w:val="single" w:color="auto" w:sz="4" w:space="0"/>
              <w:right w:val="single" w:color="auto" w:sz="4" w:space="0"/>
            </w:tcBorders>
          </w:tcPr>
          <w:p>
            <w:pPr>
              <w:pStyle w:val="32"/>
              <w:rPr>
                <w:color w:val="auto"/>
              </w:rPr>
            </w:pPr>
          </w:p>
          <w:p>
            <w:pPr>
              <w:pStyle w:val="32"/>
              <w:spacing w:before="154"/>
              <w:ind w:left="108"/>
              <w:rPr>
                <w:color w:val="auto"/>
                <w:sz w:val="2"/>
                <w:szCs w:val="2"/>
              </w:rPr>
            </w:pPr>
            <w:r>
              <w:rPr>
                <w:color w:val="auto"/>
                <w:sz w:val="21"/>
              </w:rPr>
              <w:t>（</w:t>
            </w:r>
            <w:r>
              <w:rPr>
                <w:rFonts w:ascii="Times New Roman" w:eastAsia="Times New Roman"/>
                <w:color w:val="auto"/>
                <w:sz w:val="21"/>
              </w:rPr>
              <w:t>2</w:t>
            </w:r>
            <w:r>
              <w:rPr>
                <w:color w:val="auto"/>
                <w:sz w:val="21"/>
              </w:rPr>
              <w:t>）</w:t>
            </w:r>
          </w:p>
        </w:tc>
        <w:tc>
          <w:tcPr>
            <w:tcW w:w="1806" w:type="dxa"/>
            <w:vMerge w:val="restart"/>
            <w:tcBorders>
              <w:top w:val="single" w:color="auto" w:sz="4" w:space="0"/>
              <w:left w:val="single" w:color="auto" w:sz="4" w:space="0"/>
              <w:right w:val="single" w:color="auto" w:sz="4" w:space="0"/>
            </w:tcBorders>
          </w:tcPr>
          <w:p>
            <w:pPr>
              <w:pStyle w:val="32"/>
              <w:spacing w:before="6"/>
              <w:rPr>
                <w:color w:val="auto"/>
                <w:sz w:val="26"/>
              </w:rPr>
            </w:pPr>
          </w:p>
          <w:p>
            <w:pPr>
              <w:pStyle w:val="32"/>
              <w:spacing w:line="213" w:lineRule="auto"/>
              <w:ind w:left="107" w:right="98"/>
              <w:rPr>
                <w:color w:val="auto"/>
                <w:sz w:val="2"/>
                <w:szCs w:val="2"/>
              </w:rPr>
            </w:pPr>
            <w:r>
              <w:rPr>
                <w:color w:val="auto"/>
                <w:sz w:val="21"/>
              </w:rPr>
              <w:t>对招标文件的响应程度审查</w:t>
            </w:r>
          </w:p>
        </w:tc>
        <w:tc>
          <w:tcPr>
            <w:tcW w:w="2000" w:type="dxa"/>
            <w:tcBorders>
              <w:left w:val="single" w:color="auto" w:sz="4" w:space="0"/>
            </w:tcBorders>
            <w:vAlign w:val="center"/>
          </w:tcPr>
          <w:p>
            <w:pPr>
              <w:pStyle w:val="32"/>
              <w:spacing w:before="167"/>
              <w:ind w:left="107"/>
              <w:jc w:val="center"/>
              <w:rPr>
                <w:color w:val="auto"/>
                <w:sz w:val="21"/>
              </w:rPr>
            </w:pPr>
            <w:r>
              <w:rPr>
                <w:color w:val="auto"/>
                <w:sz w:val="21"/>
              </w:rPr>
              <w:t>实质性条款响应</w:t>
            </w:r>
          </w:p>
        </w:tc>
        <w:tc>
          <w:tcPr>
            <w:tcW w:w="4910" w:type="dxa"/>
          </w:tcPr>
          <w:p>
            <w:pPr>
              <w:pStyle w:val="32"/>
              <w:spacing w:before="166"/>
              <w:ind w:left="107"/>
              <w:jc w:val="center"/>
              <w:rPr>
                <w:color w:val="auto"/>
                <w:sz w:val="21"/>
              </w:rPr>
            </w:pPr>
            <w:r>
              <w:rPr>
                <w:color w:val="auto"/>
                <w:sz w:val="21"/>
              </w:rPr>
              <w:t>对招标文件中所有标注</w:t>
            </w:r>
            <w:r>
              <w:rPr>
                <w:rFonts w:hint="eastAsia"/>
                <w:color w:val="auto"/>
                <w:spacing w:val="-1"/>
                <w:sz w:val="21"/>
              </w:rPr>
              <w:t>★</w:t>
            </w:r>
            <w:r>
              <w:rPr>
                <w:color w:val="auto"/>
                <w:sz w:val="21"/>
              </w:rPr>
              <w:t>号的实质性条款要求响应均无负偏离。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5" w:type="dxa"/>
            <w:vMerge w:val="continue"/>
            <w:tcBorders>
              <w:left w:val="single" w:color="auto" w:sz="4" w:space="0"/>
              <w:bottom w:val="single" w:color="auto" w:sz="4" w:space="0"/>
              <w:right w:val="single" w:color="auto" w:sz="4" w:space="0"/>
            </w:tcBorders>
          </w:tcPr>
          <w:p>
            <w:pPr>
              <w:rPr>
                <w:color w:val="auto"/>
                <w:sz w:val="2"/>
                <w:szCs w:val="2"/>
              </w:rPr>
            </w:pPr>
          </w:p>
        </w:tc>
        <w:tc>
          <w:tcPr>
            <w:tcW w:w="1806" w:type="dxa"/>
            <w:vMerge w:val="continue"/>
            <w:tcBorders>
              <w:left w:val="single" w:color="auto" w:sz="4" w:space="0"/>
              <w:bottom w:val="single" w:color="auto" w:sz="4" w:space="0"/>
              <w:right w:val="single" w:color="auto" w:sz="4" w:space="0"/>
            </w:tcBorders>
          </w:tcPr>
          <w:p>
            <w:pPr>
              <w:rPr>
                <w:color w:val="auto"/>
                <w:sz w:val="2"/>
                <w:szCs w:val="2"/>
              </w:rPr>
            </w:pPr>
          </w:p>
        </w:tc>
        <w:tc>
          <w:tcPr>
            <w:tcW w:w="2000" w:type="dxa"/>
            <w:tcBorders>
              <w:left w:val="single" w:color="auto" w:sz="4" w:space="0"/>
            </w:tcBorders>
            <w:vAlign w:val="center"/>
          </w:tcPr>
          <w:p>
            <w:pPr>
              <w:pStyle w:val="32"/>
              <w:spacing w:before="128"/>
              <w:ind w:left="107"/>
              <w:jc w:val="center"/>
              <w:rPr>
                <w:color w:val="auto"/>
                <w:sz w:val="21"/>
              </w:rPr>
            </w:pPr>
            <w:r>
              <w:rPr>
                <w:color w:val="auto"/>
                <w:sz w:val="21"/>
              </w:rPr>
              <w:t>投标有效期</w:t>
            </w:r>
          </w:p>
        </w:tc>
        <w:tc>
          <w:tcPr>
            <w:tcW w:w="4910" w:type="dxa"/>
            <w:vAlign w:val="center"/>
          </w:tcPr>
          <w:p>
            <w:pPr>
              <w:pStyle w:val="32"/>
              <w:spacing w:before="166"/>
              <w:ind w:left="107"/>
              <w:jc w:val="center"/>
              <w:rPr>
                <w:color w:val="auto"/>
                <w:sz w:val="21"/>
              </w:rPr>
            </w:pPr>
            <w:r>
              <w:rPr>
                <w:color w:val="auto"/>
                <w:sz w:val="21"/>
              </w:rPr>
              <w:t>满足招标文件规定。</w:t>
            </w:r>
          </w:p>
        </w:tc>
      </w:tr>
    </w:tbl>
    <w:p>
      <w:pPr>
        <w:pStyle w:val="31"/>
        <w:numPr>
          <w:ilvl w:val="0"/>
          <w:numId w:val="0"/>
        </w:numPr>
        <w:tabs>
          <w:tab w:val="left" w:pos="0"/>
        </w:tabs>
        <w:spacing w:before="110" w:line="360" w:lineRule="auto"/>
        <w:ind w:leftChars="-5" w:right="180" w:rightChars="82"/>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 xml:space="preserve">25.3 </w:t>
      </w:r>
      <w:r>
        <w:rPr>
          <w:rFonts w:hint="eastAsia" w:ascii="宋体" w:hAnsi="宋体" w:eastAsia="宋体" w:cs="宋体"/>
          <w:b w:val="0"/>
          <w:bCs/>
          <w:color w:val="auto"/>
          <w:sz w:val="21"/>
          <w:szCs w:val="21"/>
          <w:lang w:val="en-US" w:eastAsia="zh-CN" w:bidi="ar-SA"/>
        </w:rPr>
        <w:t>实质审查与比较</w:t>
      </w:r>
    </w:p>
    <w:p>
      <w:pPr>
        <w:pStyle w:val="31"/>
        <w:numPr>
          <w:ilvl w:val="0"/>
          <w:numId w:val="0"/>
        </w:numPr>
        <w:spacing w:before="110" w:line="360" w:lineRule="auto"/>
        <w:ind w:right="180" w:rightChars="82" w:firstLine="396" w:firstLineChars="200"/>
        <w:rPr>
          <w:rFonts w:hint="eastAsia" w:ascii="宋体" w:hAnsi="宋体" w:eastAsia="宋体" w:cs="宋体"/>
          <w:color w:val="auto"/>
          <w:sz w:val="21"/>
          <w:szCs w:val="21"/>
        </w:rPr>
      </w:pPr>
      <w:r>
        <w:rPr>
          <w:rFonts w:hint="eastAsia" w:ascii="宋体" w:hAnsi="宋体" w:eastAsia="宋体" w:cs="宋体"/>
          <w:color w:val="auto"/>
          <w:spacing w:val="-6"/>
          <w:sz w:val="21"/>
          <w:szCs w:val="21"/>
          <w:lang w:val="en-US" w:eastAsia="zh-CN"/>
        </w:rPr>
        <w:t xml:space="preserve">25.3.1 </w:t>
      </w:r>
      <w:r>
        <w:rPr>
          <w:rFonts w:hint="eastAsia" w:ascii="宋体" w:hAnsi="宋体" w:eastAsia="宋体" w:cs="宋体"/>
          <w:color w:val="auto"/>
          <w:spacing w:val="-6"/>
          <w:sz w:val="21"/>
          <w:szCs w:val="21"/>
        </w:rPr>
        <w:t>评标委员会应当对符合资格要求的投标人的投标文件进行商务及技术审查，以确定其</w:t>
      </w:r>
      <w:r>
        <w:rPr>
          <w:rFonts w:hint="eastAsia" w:ascii="宋体" w:hAnsi="宋体" w:eastAsia="宋体" w:cs="宋体"/>
          <w:color w:val="auto"/>
          <w:spacing w:val="-4"/>
          <w:sz w:val="21"/>
          <w:szCs w:val="21"/>
        </w:rPr>
        <w:t>是否满足招标文件的实质性要求。</w:t>
      </w:r>
    </w:p>
    <w:p>
      <w:pPr>
        <w:pStyle w:val="31"/>
        <w:numPr>
          <w:ilvl w:val="0"/>
          <w:numId w:val="0"/>
        </w:numPr>
        <w:spacing w:line="360" w:lineRule="auto"/>
        <w:ind w:right="180" w:rightChars="82" w:firstLine="396" w:firstLineChars="200"/>
        <w:rPr>
          <w:rFonts w:hint="eastAsia" w:ascii="宋体" w:hAnsi="宋体" w:eastAsia="宋体" w:cs="宋体"/>
          <w:color w:val="auto"/>
          <w:sz w:val="21"/>
          <w:szCs w:val="21"/>
        </w:rPr>
      </w:pPr>
      <w:r>
        <w:rPr>
          <w:rFonts w:hint="eastAsia" w:ascii="宋体" w:hAnsi="宋体" w:eastAsia="宋体" w:cs="宋体"/>
          <w:color w:val="auto"/>
          <w:spacing w:val="-6"/>
          <w:sz w:val="21"/>
          <w:szCs w:val="21"/>
          <w:lang w:val="en-US" w:eastAsia="zh-CN"/>
        </w:rPr>
        <w:t>25.3.2</w:t>
      </w:r>
      <w:r>
        <w:rPr>
          <w:rFonts w:hint="eastAsia" w:ascii="宋体" w:hAnsi="宋体" w:eastAsia="宋体" w:cs="宋体"/>
          <w:color w:val="auto"/>
          <w:spacing w:val="-6"/>
          <w:sz w:val="21"/>
          <w:szCs w:val="21"/>
        </w:rPr>
        <w:t>评标委员会应当按照招标文件第四章规定的评标原则和评标标准，对商务和技术审查</w:t>
      </w:r>
      <w:r>
        <w:rPr>
          <w:rFonts w:hint="eastAsia" w:ascii="宋体" w:hAnsi="宋体" w:eastAsia="宋体" w:cs="宋体"/>
          <w:color w:val="auto"/>
          <w:spacing w:val="-4"/>
          <w:sz w:val="21"/>
          <w:szCs w:val="21"/>
        </w:rPr>
        <w:t>合格的投标文件进行</w:t>
      </w:r>
      <w:r>
        <w:rPr>
          <w:rFonts w:hint="eastAsia" w:ascii="宋体" w:hAnsi="宋体" w:eastAsia="宋体" w:cs="宋体"/>
          <w:color w:val="auto"/>
          <w:spacing w:val="-4"/>
          <w:sz w:val="21"/>
          <w:szCs w:val="21"/>
          <w:lang w:eastAsia="zh-CN"/>
        </w:rPr>
        <w:t>审核</w:t>
      </w:r>
      <w:r>
        <w:rPr>
          <w:rFonts w:hint="eastAsia" w:ascii="宋体" w:hAnsi="宋体" w:eastAsia="宋体" w:cs="宋体"/>
          <w:color w:val="auto"/>
          <w:spacing w:val="-4"/>
          <w:sz w:val="21"/>
          <w:szCs w:val="21"/>
        </w:rPr>
        <w:t>，综合比较与评价。</w:t>
      </w:r>
    </w:p>
    <w:p>
      <w:pPr>
        <w:pStyle w:val="31"/>
        <w:numPr>
          <w:ilvl w:val="0"/>
          <w:numId w:val="0"/>
        </w:numPr>
        <w:spacing w:before="59" w:line="360" w:lineRule="auto"/>
        <w:ind w:right="180" w:rightChars="82" w:firstLine="360" w:firstLineChars="200"/>
        <w:rPr>
          <w:rFonts w:hint="eastAsia" w:ascii="宋体" w:hAnsi="宋体" w:eastAsia="宋体" w:cs="宋体"/>
          <w:color w:val="auto"/>
          <w:sz w:val="21"/>
          <w:szCs w:val="21"/>
        </w:rPr>
      </w:pPr>
      <w:r>
        <w:rPr>
          <w:rFonts w:hint="eastAsia" w:ascii="宋体" w:hAnsi="宋体" w:eastAsia="宋体" w:cs="宋体"/>
          <w:color w:val="auto"/>
          <w:spacing w:val="-15"/>
          <w:sz w:val="21"/>
          <w:szCs w:val="21"/>
          <w:lang w:val="en-US" w:eastAsia="zh-CN"/>
        </w:rPr>
        <w:t xml:space="preserve">25.3. 3 </w:t>
      </w:r>
      <w:r>
        <w:rPr>
          <w:rFonts w:hint="eastAsia" w:ascii="宋体" w:hAnsi="宋体" w:eastAsia="宋体" w:cs="宋体"/>
          <w:color w:val="auto"/>
          <w:spacing w:val="-15"/>
          <w:sz w:val="21"/>
          <w:szCs w:val="21"/>
        </w:rPr>
        <w:t xml:space="preserve">对于投标文件中含义不明确、同类问题表述不一致或者有明显文字和计算错误的内容， </w:t>
      </w:r>
      <w:r>
        <w:rPr>
          <w:rFonts w:hint="eastAsia" w:ascii="宋体" w:hAnsi="宋体" w:eastAsia="宋体" w:cs="宋体"/>
          <w:color w:val="auto"/>
          <w:spacing w:val="-10"/>
          <w:sz w:val="21"/>
          <w:szCs w:val="21"/>
        </w:rPr>
        <w:t>评标委员会应当以书面形式要求投标人作出必要的澄清、说明或者补正</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。投标人的澄清、说明或者</w:t>
      </w:r>
      <w:r>
        <w:rPr>
          <w:rFonts w:hint="eastAsia" w:ascii="宋体" w:hAnsi="宋体" w:eastAsia="宋体" w:cs="宋体"/>
          <w:color w:val="auto"/>
          <w:spacing w:val="-9"/>
          <w:sz w:val="21"/>
          <w:szCs w:val="21"/>
        </w:rPr>
        <w:t>补正应当采用书面形式，并加盖公章</w:t>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9"/>
          <w:sz w:val="21"/>
          <w:szCs w:val="21"/>
        </w:rPr>
        <w:t>，或者由法定代表人或其授权的代表签字。投标人的澄清、说</w:t>
      </w:r>
      <w:r>
        <w:rPr>
          <w:rFonts w:hint="eastAsia" w:ascii="宋体" w:hAnsi="宋体" w:eastAsia="宋体" w:cs="宋体"/>
          <w:color w:val="auto"/>
          <w:spacing w:val="-6"/>
          <w:sz w:val="21"/>
          <w:szCs w:val="21"/>
        </w:rPr>
        <w:t>明或者补正不得超出投标文件的范围或者改变投标文件的实质性内容</w:t>
      </w:r>
      <w:r>
        <w:rPr>
          <w:rFonts w:hint="eastAsia" w:ascii="宋体" w:hAnsi="宋体" w:eastAsia="宋体" w:cs="宋体"/>
          <w:color w:val="auto"/>
          <w:spacing w:val="-6"/>
          <w:sz w:val="21"/>
          <w:szCs w:val="21"/>
          <w:lang w:val="en-US" w:eastAsia="zh-CN"/>
        </w:rPr>
        <w:t xml:space="preserve"> </w:t>
      </w:r>
      <w:r>
        <w:rPr>
          <w:rFonts w:hint="eastAsia" w:ascii="宋体" w:hAnsi="宋体" w:eastAsia="宋体" w:cs="宋体"/>
          <w:color w:val="auto"/>
          <w:spacing w:val="-6"/>
          <w:sz w:val="21"/>
          <w:szCs w:val="21"/>
        </w:rPr>
        <w:t>。投标人代表未到场或者拒绝</w:t>
      </w:r>
      <w:r>
        <w:rPr>
          <w:rFonts w:hint="eastAsia" w:ascii="宋体" w:hAnsi="宋体" w:eastAsia="宋体" w:cs="宋体"/>
          <w:color w:val="auto"/>
          <w:spacing w:val="-4"/>
          <w:sz w:val="21"/>
          <w:szCs w:val="21"/>
        </w:rPr>
        <w:t>澄清或者澄清的内容改变了投标文件的实质性内容的，评标委员会有权视该投标文件为无效。</w:t>
      </w:r>
    </w:p>
    <w:p>
      <w:pPr>
        <w:pStyle w:val="31"/>
        <w:numPr>
          <w:ilvl w:val="0"/>
          <w:numId w:val="0"/>
        </w:numPr>
        <w:spacing w:before="5" w:line="360" w:lineRule="auto"/>
        <w:ind w:right="180" w:rightChars="82" w:firstLine="396" w:firstLineChars="200"/>
        <w:rPr>
          <w:rFonts w:hint="eastAsia" w:ascii="宋体" w:hAnsi="宋体" w:eastAsia="宋体" w:cs="宋体"/>
          <w:color w:val="auto"/>
          <w:sz w:val="21"/>
          <w:szCs w:val="21"/>
        </w:rPr>
      </w:pPr>
      <w:r>
        <w:rPr>
          <w:rFonts w:hint="eastAsia" w:ascii="宋体" w:hAnsi="宋体" w:eastAsia="宋体" w:cs="宋体"/>
          <w:color w:val="auto"/>
          <w:spacing w:val="-6"/>
          <w:sz w:val="21"/>
          <w:szCs w:val="21"/>
          <w:lang w:val="en-US" w:eastAsia="zh-CN"/>
        </w:rPr>
        <w:t xml:space="preserve">25.3.4 </w:t>
      </w:r>
      <w:r>
        <w:rPr>
          <w:rFonts w:hint="eastAsia" w:ascii="宋体" w:hAnsi="宋体" w:eastAsia="宋体" w:cs="宋体"/>
          <w:color w:val="auto"/>
          <w:spacing w:val="-6"/>
          <w:sz w:val="21"/>
          <w:szCs w:val="21"/>
        </w:rPr>
        <w:t>评标委员会完成评标后，评委对各部分得分汇总，计算出本项目进入详评的所有投标</w:t>
      </w:r>
      <w:r>
        <w:rPr>
          <w:rFonts w:hint="eastAsia" w:ascii="宋体" w:hAnsi="宋体" w:eastAsia="宋体" w:cs="宋体"/>
          <w:color w:val="auto"/>
          <w:spacing w:val="-4"/>
          <w:sz w:val="21"/>
          <w:szCs w:val="21"/>
        </w:rPr>
        <w:t>人的最终得分。评标委员会按中标候选供应商推荐原则推荐中标候选供应商同时起草评标报告。</w:t>
      </w:r>
    </w:p>
    <w:p>
      <w:pPr>
        <w:pStyle w:val="31"/>
        <w:numPr>
          <w:ilvl w:val="0"/>
          <w:numId w:val="0"/>
        </w:numPr>
        <w:tabs>
          <w:tab w:val="left" w:pos="220"/>
        </w:tabs>
        <w:spacing w:before="2" w:line="360" w:lineRule="auto"/>
        <w:ind w:leftChars="-5" w:right="180" w:rightChars="82"/>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 xml:space="preserve">25.4 </w:t>
      </w:r>
      <w:r>
        <w:rPr>
          <w:rFonts w:hint="eastAsia" w:ascii="宋体" w:hAnsi="宋体" w:eastAsia="宋体" w:cs="宋体"/>
          <w:color w:val="auto"/>
          <w:spacing w:val="-3"/>
          <w:sz w:val="21"/>
          <w:szCs w:val="21"/>
        </w:rPr>
        <w:t>错误修正</w:t>
      </w:r>
    </w:p>
    <w:p>
      <w:pPr>
        <w:pStyle w:val="12"/>
        <w:tabs>
          <w:tab w:val="left" w:pos="220"/>
        </w:tabs>
        <w:spacing w:before="110" w:line="360" w:lineRule="auto"/>
        <w:ind w:right="180" w:rightChars="8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投标文件如果出现计算或表达上的错误，修正错误的原则如下：</w:t>
      </w:r>
    </w:p>
    <w:p>
      <w:pPr>
        <w:pStyle w:val="31"/>
        <w:numPr>
          <w:ilvl w:val="0"/>
          <w:numId w:val="0"/>
        </w:numPr>
        <w:tabs>
          <w:tab w:val="left" w:pos="220"/>
        </w:tabs>
        <w:spacing w:before="110" w:line="360" w:lineRule="auto"/>
        <w:ind w:leftChars="-5" w:right="180" w:rightChars="82" w:firstLine="432" w:firstLineChars="200"/>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 xml:space="preserve">25.4.1 </w:t>
      </w:r>
      <w:r>
        <w:rPr>
          <w:rFonts w:hint="eastAsia" w:ascii="宋体" w:hAnsi="宋体" w:eastAsia="宋体" w:cs="宋体"/>
          <w:color w:val="auto"/>
          <w:spacing w:val="3"/>
          <w:sz w:val="21"/>
          <w:szCs w:val="21"/>
        </w:rPr>
        <w:t>投标文件中开标一览表</w:t>
      </w:r>
      <w:r>
        <w:rPr>
          <w:rFonts w:hint="eastAsia" w:ascii="宋体" w:hAnsi="宋体" w:eastAsia="宋体" w:cs="宋体"/>
          <w:color w:val="auto"/>
          <w:sz w:val="21"/>
          <w:szCs w:val="21"/>
        </w:rPr>
        <w:t>（报价表）</w:t>
      </w:r>
      <w:r>
        <w:rPr>
          <w:rFonts w:hint="eastAsia" w:ascii="宋体" w:hAnsi="宋体" w:eastAsia="宋体" w:cs="宋体"/>
          <w:color w:val="auto"/>
          <w:spacing w:val="-1"/>
          <w:sz w:val="21"/>
          <w:szCs w:val="21"/>
        </w:rPr>
        <w:t>内容与投标文件中相应内容不一致的</w:t>
      </w:r>
      <w:r>
        <w:rPr>
          <w:rFonts w:hint="eastAsia" w:ascii="宋体" w:hAnsi="宋体" w:eastAsia="宋体" w:cs="宋体"/>
          <w:color w:val="auto"/>
          <w:spacing w:val="-1"/>
          <w:sz w:val="21"/>
          <w:szCs w:val="21"/>
          <w:lang w:val="en-US" w:eastAsia="zh-CN"/>
        </w:rPr>
        <w:t xml:space="preserve"> </w:t>
      </w:r>
      <w:r>
        <w:rPr>
          <w:rFonts w:hint="eastAsia" w:ascii="宋体" w:hAnsi="宋体" w:eastAsia="宋体" w:cs="宋体"/>
          <w:color w:val="auto"/>
          <w:spacing w:val="-1"/>
          <w:sz w:val="21"/>
          <w:szCs w:val="21"/>
        </w:rPr>
        <w:t>，以开标一</w:t>
      </w:r>
      <w:r>
        <w:rPr>
          <w:rFonts w:hint="eastAsia" w:ascii="宋体" w:hAnsi="宋体" w:eastAsia="宋体" w:cs="宋体"/>
          <w:color w:val="auto"/>
          <w:sz w:val="21"/>
          <w:szCs w:val="21"/>
        </w:rPr>
        <w:t>览表</w:t>
      </w:r>
      <w:r>
        <w:rPr>
          <w:rFonts w:hint="eastAsia" w:ascii="宋体" w:hAnsi="宋体" w:eastAsia="宋体" w:cs="宋体"/>
          <w:color w:val="auto"/>
          <w:spacing w:val="-3"/>
          <w:sz w:val="21"/>
          <w:szCs w:val="21"/>
        </w:rPr>
        <w:t>（</w:t>
      </w:r>
      <w:r>
        <w:rPr>
          <w:rFonts w:hint="eastAsia" w:ascii="宋体" w:hAnsi="宋体" w:eastAsia="宋体" w:cs="宋体"/>
          <w:color w:val="auto"/>
          <w:spacing w:val="-2"/>
          <w:sz w:val="21"/>
          <w:szCs w:val="21"/>
        </w:rPr>
        <w:t>报价表</w:t>
      </w:r>
      <w:r>
        <w:rPr>
          <w:rFonts w:hint="eastAsia" w:ascii="宋体" w:hAnsi="宋体" w:eastAsia="宋体" w:cs="宋体"/>
          <w:color w:val="auto"/>
          <w:spacing w:val="-3"/>
          <w:sz w:val="21"/>
          <w:szCs w:val="21"/>
        </w:rPr>
        <w:t>）</w:t>
      </w:r>
      <w:r>
        <w:rPr>
          <w:rFonts w:hint="eastAsia" w:ascii="宋体" w:hAnsi="宋体" w:eastAsia="宋体" w:cs="宋体"/>
          <w:color w:val="auto"/>
          <w:spacing w:val="-2"/>
          <w:sz w:val="21"/>
          <w:szCs w:val="21"/>
        </w:rPr>
        <w:t>为准；</w:t>
      </w:r>
    </w:p>
    <w:p>
      <w:pPr>
        <w:pStyle w:val="31"/>
        <w:numPr>
          <w:ilvl w:val="0"/>
          <w:numId w:val="0"/>
        </w:numPr>
        <w:tabs>
          <w:tab w:val="left" w:pos="220"/>
        </w:tabs>
        <w:spacing w:line="360" w:lineRule="auto"/>
        <w:ind w:leftChars="-5" w:right="180" w:rightChars="82" w:firstLine="408" w:firstLineChars="200"/>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 xml:space="preserve">25.4.2 </w:t>
      </w:r>
      <w:r>
        <w:rPr>
          <w:rFonts w:hint="eastAsia" w:ascii="宋体" w:hAnsi="宋体" w:eastAsia="宋体" w:cs="宋体"/>
          <w:color w:val="auto"/>
          <w:spacing w:val="-3"/>
          <w:sz w:val="21"/>
          <w:szCs w:val="21"/>
        </w:rPr>
        <w:t>大写金额和小写金额不一致的，以大写金额为准；</w:t>
      </w:r>
    </w:p>
    <w:p>
      <w:pPr>
        <w:pStyle w:val="31"/>
        <w:numPr>
          <w:ilvl w:val="0"/>
          <w:numId w:val="0"/>
        </w:numPr>
        <w:tabs>
          <w:tab w:val="left" w:pos="220"/>
        </w:tabs>
        <w:spacing w:before="110" w:line="360" w:lineRule="auto"/>
        <w:ind w:leftChars="-5" w:right="180" w:rightChars="82" w:firstLine="400" w:firstLineChars="200"/>
        <w:rPr>
          <w:rFonts w:hint="eastAsia" w:ascii="宋体" w:hAnsi="宋体" w:eastAsia="宋体" w:cs="宋体"/>
          <w:color w:val="auto"/>
          <w:sz w:val="21"/>
          <w:szCs w:val="21"/>
        </w:rPr>
      </w:pPr>
      <w:r>
        <w:rPr>
          <w:rFonts w:hint="eastAsia" w:ascii="宋体" w:hAnsi="宋体" w:eastAsia="宋体" w:cs="宋体"/>
          <w:color w:val="auto"/>
          <w:spacing w:val="-5"/>
          <w:sz w:val="21"/>
          <w:szCs w:val="21"/>
          <w:lang w:val="en-US" w:eastAsia="zh-CN"/>
        </w:rPr>
        <w:t xml:space="preserve">25.4.3 </w:t>
      </w:r>
      <w:r>
        <w:rPr>
          <w:rFonts w:hint="eastAsia" w:ascii="宋体" w:hAnsi="宋体" w:eastAsia="宋体" w:cs="宋体"/>
          <w:color w:val="auto"/>
          <w:spacing w:val="-5"/>
          <w:sz w:val="21"/>
          <w:szCs w:val="21"/>
        </w:rPr>
        <w:t>单价金额小数点或者百分比有明显错位的，以开标一览表的总价为准，并修改单价；</w:t>
      </w:r>
    </w:p>
    <w:p>
      <w:pPr>
        <w:pStyle w:val="31"/>
        <w:numPr>
          <w:ilvl w:val="0"/>
          <w:numId w:val="0"/>
        </w:numPr>
        <w:tabs>
          <w:tab w:val="left" w:pos="220"/>
        </w:tabs>
        <w:spacing w:before="113" w:line="360" w:lineRule="auto"/>
        <w:ind w:leftChars="-5" w:right="180" w:rightChars="82" w:firstLine="408" w:firstLineChars="200"/>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 xml:space="preserve">25.4.4 </w:t>
      </w:r>
      <w:r>
        <w:rPr>
          <w:rFonts w:hint="eastAsia" w:ascii="宋体" w:hAnsi="宋体" w:eastAsia="宋体" w:cs="宋体"/>
          <w:color w:val="auto"/>
          <w:spacing w:val="-3"/>
          <w:sz w:val="21"/>
          <w:szCs w:val="21"/>
        </w:rPr>
        <w:t>总价金额与按单价汇总金额不一致的，以单价金额计算结果为准；</w:t>
      </w:r>
    </w:p>
    <w:p>
      <w:pPr>
        <w:pStyle w:val="31"/>
        <w:numPr>
          <w:ilvl w:val="0"/>
          <w:numId w:val="0"/>
        </w:numPr>
        <w:tabs>
          <w:tab w:val="left" w:pos="220"/>
        </w:tabs>
        <w:spacing w:before="110" w:line="360" w:lineRule="auto"/>
        <w:ind w:right="180" w:rightChars="82" w:firstLine="408" w:firstLineChars="200"/>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 xml:space="preserve">25.4.5 </w:t>
      </w:r>
      <w:r>
        <w:rPr>
          <w:rFonts w:hint="eastAsia" w:ascii="宋体" w:hAnsi="宋体" w:eastAsia="宋体" w:cs="宋体"/>
          <w:color w:val="auto"/>
          <w:spacing w:val="-3"/>
          <w:sz w:val="21"/>
          <w:szCs w:val="21"/>
        </w:rPr>
        <w:t>对不同文字文本投标文件的解释发生异议的，以中文文本为准。</w:t>
      </w:r>
    </w:p>
    <w:p>
      <w:pPr>
        <w:pStyle w:val="12"/>
        <w:tabs>
          <w:tab w:val="left" w:pos="220"/>
        </w:tabs>
        <w:spacing w:before="110" w:line="360" w:lineRule="auto"/>
        <w:ind w:left="10" w:right="180" w:rightChars="82" w:hanging="10" w:hangingChars="5"/>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。修正后的报价经投标人确认后产生约束力，投标人不确认的，其投标无效。</w:t>
      </w:r>
    </w:p>
    <w:p>
      <w:pPr>
        <w:pStyle w:val="31"/>
        <w:numPr>
          <w:ilvl w:val="0"/>
          <w:numId w:val="0"/>
        </w:numPr>
        <w:tabs>
          <w:tab w:val="left" w:pos="220"/>
        </w:tabs>
        <w:spacing w:line="360" w:lineRule="auto"/>
        <w:ind w:leftChars="-5" w:right="180" w:rightChars="82"/>
        <w:rPr>
          <w:rFonts w:hint="eastAsia" w:ascii="宋体" w:hAnsi="宋体" w:eastAsia="宋体" w:cs="宋体"/>
          <w:color w:val="auto"/>
          <w:sz w:val="21"/>
          <w:szCs w:val="21"/>
        </w:rPr>
      </w:pPr>
      <w:r>
        <w:rPr>
          <w:rFonts w:hint="eastAsia" w:ascii="宋体" w:hAnsi="宋体" w:eastAsia="宋体" w:cs="宋体"/>
          <w:color w:val="auto"/>
          <w:spacing w:val="-3"/>
          <w:sz w:val="21"/>
          <w:szCs w:val="21"/>
          <w:lang w:val="en-US" w:eastAsia="zh-CN"/>
        </w:rPr>
        <w:t xml:space="preserve">25.5 </w:t>
      </w:r>
      <w:r>
        <w:rPr>
          <w:rFonts w:hint="eastAsia" w:ascii="宋体" w:hAnsi="宋体" w:eastAsia="宋体" w:cs="宋体"/>
          <w:color w:val="auto"/>
          <w:spacing w:val="-3"/>
          <w:sz w:val="21"/>
          <w:szCs w:val="21"/>
        </w:rPr>
        <w:t>评标过程的监控</w:t>
      </w:r>
    </w:p>
    <w:p>
      <w:pPr>
        <w:pStyle w:val="12"/>
        <w:tabs>
          <w:tab w:val="left" w:pos="220"/>
        </w:tabs>
        <w:spacing w:before="110" w:line="360" w:lineRule="auto"/>
        <w:ind w:right="180" w:rightChars="8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本项目评标过程实行全程录音、录像监控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，投标人在评标过程中所进行的试图影响评标结果的不公正活动，可能导致其投标被拒绝。</w:t>
      </w:r>
    </w:p>
    <w:p>
      <w:pPr>
        <w:pStyle w:val="9"/>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z w:val="21"/>
          <w:szCs w:val="21"/>
        </w:rPr>
        <w:t>26</w:t>
      </w:r>
      <w:r>
        <w:rPr>
          <w:rFonts w:hint="eastAsia" w:ascii="宋体" w:hAnsi="宋体" w:eastAsia="宋体" w:cs="宋体"/>
          <w:b w:val="0"/>
          <w:color w:val="auto"/>
          <w:sz w:val="21"/>
          <w:szCs w:val="21"/>
        </w:rPr>
        <w:t>、</w:t>
      </w:r>
      <w:r>
        <w:rPr>
          <w:rFonts w:hint="eastAsia" w:ascii="宋体" w:hAnsi="宋体" w:eastAsia="宋体" w:cs="宋体"/>
          <w:color w:val="auto"/>
          <w:sz w:val="21"/>
          <w:szCs w:val="21"/>
        </w:rPr>
        <w:t>澄清问题的形式</w:t>
      </w:r>
    </w:p>
    <w:p>
      <w:pPr>
        <w:pStyle w:val="12"/>
        <w:tabs>
          <w:tab w:val="left" w:pos="220"/>
        </w:tabs>
        <w:spacing w:before="110" w:line="360" w:lineRule="auto"/>
        <w:ind w:right="180" w:rightChars="82" w:firstLine="400" w:firstLineChars="200"/>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lang w:val="en-US" w:eastAsia="zh-CN"/>
        </w:rPr>
        <w:t xml:space="preserve">26.1 </w:t>
      </w:r>
      <w:r>
        <w:rPr>
          <w:rFonts w:hint="eastAsia" w:ascii="宋体" w:hAnsi="宋体" w:eastAsia="宋体" w:cs="宋体"/>
          <w:color w:val="auto"/>
          <w:spacing w:val="-5"/>
          <w:sz w:val="21"/>
          <w:szCs w:val="21"/>
        </w:rPr>
        <w:t>对投标文件中含义不明确、同类问题表述不一致或者有明显文字和计算错误的内容，评标委员</w:t>
      </w:r>
      <w:r>
        <w:rPr>
          <w:rFonts w:hint="eastAsia" w:ascii="宋体" w:hAnsi="宋体" w:eastAsia="宋体" w:cs="宋体"/>
          <w:color w:val="auto"/>
          <w:spacing w:val="-7"/>
          <w:sz w:val="21"/>
          <w:szCs w:val="21"/>
        </w:rPr>
        <w:t>会应当要求投标人作出必要的澄清、说明或者纠正。投标人的澄清、说明或者补正应当采用书面形</w:t>
      </w:r>
      <w:r>
        <w:rPr>
          <w:rFonts w:hint="eastAsia" w:ascii="宋体" w:hAnsi="宋体" w:eastAsia="宋体" w:cs="宋体"/>
          <w:color w:val="auto"/>
          <w:spacing w:val="-5"/>
          <w:sz w:val="21"/>
          <w:szCs w:val="21"/>
        </w:rPr>
        <w:t>式，由其授权代表签字或盖章确认，并不得超出投标文件的范围或者改变投标文件的实质性内容。</w:t>
      </w:r>
    </w:p>
    <w:p>
      <w:pPr>
        <w:pStyle w:val="9"/>
        <w:tabs>
          <w:tab w:val="left" w:pos="220"/>
        </w:tabs>
        <w:spacing w:before="2"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z w:val="21"/>
          <w:szCs w:val="21"/>
        </w:rPr>
        <w:t>27、推荐中标候选供应商原则</w:t>
      </w:r>
    </w:p>
    <w:p>
      <w:pPr>
        <w:pStyle w:val="12"/>
        <w:tabs>
          <w:tab w:val="left" w:pos="220"/>
        </w:tabs>
        <w:spacing w:before="110" w:line="360" w:lineRule="auto"/>
        <w:ind w:right="180" w:rightChars="82" w:firstLine="400" w:firstLineChars="200"/>
        <w:jc w:val="both"/>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lang w:val="en-US" w:eastAsia="zh-CN"/>
        </w:rPr>
        <w:t xml:space="preserve">27.1 </w:t>
      </w:r>
      <w:r>
        <w:rPr>
          <w:rFonts w:hint="eastAsia" w:ascii="宋体" w:hAnsi="宋体" w:eastAsia="宋体" w:cs="宋体"/>
          <w:color w:val="auto"/>
          <w:spacing w:val="-5"/>
          <w:sz w:val="21"/>
          <w:szCs w:val="21"/>
        </w:rPr>
        <w:t>评标委员会将根据得分由高到低排列次序（得分相同时，以投标报价由低到高顺序排列； 得分相同且投标报价相同的按服务方案优劣顺序排列）并推荐中标候选供应商，中标候选供应商为具有乙级及以上工程造价咨询资质的协审机构 10 家。</w:t>
      </w:r>
    </w:p>
    <w:p>
      <w:pPr>
        <w:pStyle w:val="12"/>
        <w:tabs>
          <w:tab w:val="left" w:pos="220"/>
        </w:tabs>
        <w:spacing w:before="110" w:line="360" w:lineRule="auto"/>
        <w:ind w:right="180" w:rightChars="82" w:firstLine="400" w:firstLineChars="200"/>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lang w:val="en-US" w:eastAsia="zh-CN"/>
        </w:rPr>
        <w:t xml:space="preserve">27.2 </w:t>
      </w:r>
      <w:r>
        <w:rPr>
          <w:rFonts w:hint="eastAsia" w:ascii="宋体" w:hAnsi="宋体" w:eastAsia="宋体" w:cs="宋体"/>
          <w:color w:val="auto"/>
          <w:spacing w:val="-5"/>
          <w:sz w:val="21"/>
          <w:szCs w:val="21"/>
        </w:rPr>
        <w:t>中标候选供应商放弃中标、因不可抗力提出</w:t>
      </w:r>
      <w:r>
        <w:rPr>
          <w:rFonts w:hint="eastAsia" w:ascii="宋体" w:hAnsi="宋体" w:eastAsia="宋体" w:cs="宋体"/>
          <w:color w:val="auto"/>
          <w:sz w:val="21"/>
          <w:szCs w:val="21"/>
        </w:rPr>
        <w:t>不能履行合同，或者招标文件规定应当提交</w:t>
      </w:r>
      <w:r>
        <w:rPr>
          <w:rFonts w:hint="eastAsia" w:ascii="宋体" w:hAnsi="宋体" w:eastAsia="宋体" w:cs="宋体"/>
          <w:color w:val="auto"/>
          <w:spacing w:val="-5"/>
          <w:sz w:val="21"/>
          <w:szCs w:val="21"/>
        </w:rPr>
        <w:t>履约保证金而在规定的期限内未能提交的，招标单位可以确定中标人之后排名第一的中标候选供应</w:t>
      </w:r>
      <w:r>
        <w:rPr>
          <w:rFonts w:hint="eastAsia" w:ascii="宋体" w:hAnsi="宋体" w:eastAsia="宋体" w:cs="宋体"/>
          <w:color w:val="auto"/>
          <w:spacing w:val="-4"/>
          <w:sz w:val="21"/>
          <w:szCs w:val="21"/>
        </w:rPr>
        <w:t>商签订采购合同，以此类推。</w:t>
      </w:r>
    </w:p>
    <w:p>
      <w:pPr>
        <w:pStyle w:val="9"/>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z w:val="21"/>
          <w:szCs w:val="21"/>
        </w:rPr>
        <w:t>28、属于下列情况之一者，投标无效：</w:t>
      </w:r>
    </w:p>
    <w:p>
      <w:pPr>
        <w:pStyle w:val="31"/>
        <w:numPr>
          <w:ilvl w:val="1"/>
          <w:numId w:val="12"/>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在资格审查时，如发现下列情形之一的，投标文件将被视为无效：</w:t>
      </w:r>
    </w:p>
    <w:p>
      <w:pPr>
        <w:pStyle w:val="31"/>
        <w:numPr>
          <w:ilvl w:val="0"/>
          <w:numId w:val="13"/>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不具备招标文件中规定的资格要求的；</w:t>
      </w:r>
    </w:p>
    <w:p>
      <w:pPr>
        <w:pStyle w:val="31"/>
        <w:numPr>
          <w:ilvl w:val="0"/>
          <w:numId w:val="13"/>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招标文件要求必须提供的资格部分文件不齐全或者内容虚假的；</w:t>
      </w:r>
    </w:p>
    <w:p>
      <w:pPr>
        <w:pStyle w:val="31"/>
        <w:numPr>
          <w:ilvl w:val="0"/>
          <w:numId w:val="13"/>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法律、法规和招标文件规定的其他无效情形。</w:t>
      </w:r>
    </w:p>
    <w:p>
      <w:pPr>
        <w:pStyle w:val="31"/>
        <w:numPr>
          <w:ilvl w:val="1"/>
          <w:numId w:val="12"/>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在商务性及技术</w:t>
      </w:r>
      <w:r>
        <w:rPr>
          <w:rFonts w:hint="eastAsia" w:ascii="宋体" w:hAnsi="宋体" w:eastAsia="宋体" w:cs="宋体"/>
          <w:color w:val="auto"/>
          <w:spacing w:val="-3"/>
          <w:sz w:val="21"/>
          <w:szCs w:val="21"/>
          <w:lang w:eastAsia="zh-CN"/>
        </w:rPr>
        <w:t>审核</w:t>
      </w:r>
      <w:r>
        <w:rPr>
          <w:rFonts w:hint="eastAsia" w:ascii="宋体" w:hAnsi="宋体" w:eastAsia="宋体" w:cs="宋体"/>
          <w:color w:val="auto"/>
          <w:spacing w:val="-3"/>
          <w:sz w:val="21"/>
          <w:szCs w:val="21"/>
        </w:rPr>
        <w:t>时，如发现下列情形之一的，投标文件将被视为无效：</w:t>
      </w:r>
    </w:p>
    <w:p>
      <w:pPr>
        <w:pStyle w:val="31"/>
        <w:numPr>
          <w:ilvl w:val="0"/>
          <w:numId w:val="14"/>
        </w:numPr>
        <w:tabs>
          <w:tab w:val="left" w:pos="220"/>
        </w:tabs>
        <w:spacing w:before="43"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未按照招标文件的规定提交投标保证金的；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未按照招标文件的规定提交投标声明书的；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投标文件未按招标文件要求签署、盖章的；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招标文件要求必须提供的商务及技术部分的文件不齐全或者内容虚假的；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
          <w:sz w:val="21"/>
          <w:szCs w:val="21"/>
        </w:rPr>
        <w:t>投标文件的实质性内容未使用中文表述、意思表述不明确、前后矛盾或者使用计量单位</w:t>
      </w:r>
      <w:r>
        <w:rPr>
          <w:rFonts w:hint="eastAsia" w:ascii="宋体" w:hAnsi="宋体" w:eastAsia="宋体" w:cs="宋体"/>
          <w:color w:val="auto"/>
          <w:spacing w:val="-3"/>
          <w:sz w:val="21"/>
          <w:szCs w:val="21"/>
        </w:rPr>
        <w:t>不符合招标文件要求的（经评标委员会认定并允许其当场更正的笔误除外</w:t>
      </w:r>
      <w:r>
        <w:rPr>
          <w:rFonts w:hint="eastAsia" w:ascii="宋体" w:hAnsi="宋体" w:eastAsia="宋体" w:cs="宋体"/>
          <w:color w:val="auto"/>
          <w:sz w:val="21"/>
          <w:szCs w:val="21"/>
        </w:rPr>
        <w:t>）</w:t>
      </w:r>
    </w:p>
    <w:p>
      <w:pPr>
        <w:pStyle w:val="31"/>
        <w:numPr>
          <w:ilvl w:val="0"/>
          <w:numId w:val="14"/>
        </w:numPr>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投标有效期、交货时间、质保期等商务条款不能满足招标文件要求的；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投标文件有采购人不能接受的附加条件的；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
          <w:sz w:val="21"/>
          <w:szCs w:val="21"/>
        </w:rPr>
        <w:t>未提供或未如实提供投标货物的技术参数，或者投标文件标明的响应或偏离与事实不符</w:t>
      </w:r>
      <w:r>
        <w:rPr>
          <w:rFonts w:hint="eastAsia" w:ascii="宋体" w:hAnsi="宋体" w:eastAsia="宋体" w:cs="宋体"/>
          <w:color w:val="auto"/>
          <w:spacing w:val="-2"/>
          <w:sz w:val="21"/>
          <w:szCs w:val="21"/>
        </w:rPr>
        <w:t>或虚假投标的；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
          <w:sz w:val="21"/>
          <w:szCs w:val="21"/>
        </w:rPr>
        <w:t>明显不符合招标文件要求的规格型号、质量标准，或者与招标文件中标“★”的技术指</w:t>
      </w:r>
      <w:r>
        <w:rPr>
          <w:rFonts w:hint="eastAsia" w:ascii="宋体" w:hAnsi="宋体" w:eastAsia="宋体" w:cs="宋体"/>
          <w:color w:val="auto"/>
          <w:spacing w:val="-3"/>
          <w:sz w:val="21"/>
          <w:szCs w:val="21"/>
        </w:rPr>
        <w:t>标、主要功能项目、商务条款要求发生实质性偏离的；</w:t>
      </w:r>
    </w:p>
    <w:p>
      <w:pPr>
        <w:pStyle w:val="31"/>
        <w:numPr>
          <w:ilvl w:val="0"/>
          <w:numId w:val="14"/>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7"/>
          <w:sz w:val="21"/>
          <w:szCs w:val="21"/>
        </w:rPr>
        <w:t xml:space="preserve">经评委评定，允许偏离的技术、性能指标或者辅助功能项目发生负偏离的项数达 </w:t>
      </w:r>
      <w:r>
        <w:rPr>
          <w:rFonts w:hint="eastAsia" w:ascii="宋体" w:hAnsi="宋体" w:eastAsia="宋体" w:cs="宋体"/>
          <w:color w:val="auto"/>
          <w:sz w:val="21"/>
          <w:szCs w:val="21"/>
        </w:rPr>
        <w:t>3</w:t>
      </w:r>
      <w:r>
        <w:rPr>
          <w:rFonts w:hint="eastAsia" w:ascii="宋体" w:hAnsi="宋体" w:eastAsia="宋体" w:cs="宋体"/>
          <w:color w:val="auto"/>
          <w:spacing w:val="-65"/>
          <w:sz w:val="21"/>
          <w:szCs w:val="21"/>
        </w:rPr>
        <w:t xml:space="preserve"> 项</w:t>
      </w:r>
      <w:r>
        <w:rPr>
          <w:rFonts w:hint="eastAsia" w:ascii="宋体" w:hAnsi="宋体" w:eastAsia="宋体" w:cs="宋体"/>
          <w:color w:val="auto"/>
          <w:sz w:val="21"/>
          <w:szCs w:val="21"/>
        </w:rPr>
        <w:t>（含）</w:t>
      </w:r>
      <w:r>
        <w:rPr>
          <w:rFonts w:hint="eastAsia" w:ascii="宋体" w:hAnsi="宋体" w:eastAsia="宋体" w:cs="宋体"/>
          <w:color w:val="auto"/>
          <w:spacing w:val="-1"/>
          <w:sz w:val="21"/>
          <w:szCs w:val="21"/>
        </w:rPr>
        <w:t>以上的；</w:t>
      </w:r>
    </w:p>
    <w:p>
      <w:pPr>
        <w:pStyle w:val="31"/>
        <w:numPr>
          <w:ilvl w:val="0"/>
          <w:numId w:val="14"/>
        </w:numPr>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投标技术方案不明确，存在一个或一个以上备选（</w:t>
      </w:r>
      <w:r>
        <w:rPr>
          <w:rFonts w:hint="eastAsia" w:ascii="宋体" w:hAnsi="宋体" w:eastAsia="宋体" w:cs="宋体"/>
          <w:color w:val="auto"/>
          <w:spacing w:val="-2"/>
          <w:sz w:val="21"/>
          <w:szCs w:val="21"/>
        </w:rPr>
        <w:t>替代</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投标方案的；</w:t>
      </w:r>
    </w:p>
    <w:p>
      <w:pPr>
        <w:pStyle w:val="31"/>
        <w:numPr>
          <w:ilvl w:val="0"/>
          <w:numId w:val="0"/>
        </w:numPr>
        <w:tabs>
          <w:tab w:val="left" w:pos="220"/>
        </w:tabs>
        <w:spacing w:line="360" w:lineRule="auto"/>
        <w:ind w:leftChars="0" w:right="180" w:rightChars="82"/>
        <w:rPr>
          <w:rFonts w:hint="eastAsia" w:ascii="宋体" w:hAnsi="宋体" w:eastAsia="宋体" w:cs="宋体"/>
          <w:color w:val="auto"/>
          <w:sz w:val="21"/>
          <w:szCs w:val="21"/>
        </w:rPr>
      </w:pPr>
      <w:r>
        <w:rPr>
          <w:rFonts w:hint="eastAsia" w:ascii="宋体" w:hAnsi="宋体" w:eastAsia="宋体" w:cs="宋体"/>
          <w:color w:val="auto"/>
          <w:spacing w:val="-3"/>
          <w:sz w:val="21"/>
          <w:szCs w:val="21"/>
        </w:rPr>
        <w:t xml:space="preserve"> 28.3.</w:t>
      </w:r>
      <w:r>
        <w:rPr>
          <w:rFonts w:hint="eastAsia" w:cs="宋体"/>
          <w:color w:val="auto"/>
          <w:spacing w:val="-3"/>
          <w:sz w:val="21"/>
          <w:szCs w:val="21"/>
          <w:lang w:val="en-US" w:eastAsia="zh-CN"/>
        </w:rPr>
        <w:t xml:space="preserve"> </w:t>
      </w:r>
      <w:r>
        <w:rPr>
          <w:rFonts w:hint="eastAsia" w:ascii="宋体" w:hAnsi="宋体" w:eastAsia="宋体" w:cs="宋体"/>
          <w:color w:val="auto"/>
          <w:spacing w:val="-3"/>
          <w:sz w:val="21"/>
          <w:szCs w:val="21"/>
        </w:rPr>
        <w:t>在报价</w:t>
      </w:r>
      <w:r>
        <w:rPr>
          <w:rFonts w:hint="eastAsia" w:ascii="宋体" w:hAnsi="宋体" w:eastAsia="宋体" w:cs="宋体"/>
          <w:color w:val="auto"/>
          <w:spacing w:val="-3"/>
          <w:sz w:val="21"/>
          <w:szCs w:val="21"/>
          <w:lang w:eastAsia="zh-CN"/>
        </w:rPr>
        <w:t>审核</w:t>
      </w:r>
      <w:r>
        <w:rPr>
          <w:rFonts w:hint="eastAsia" w:ascii="宋体" w:hAnsi="宋体" w:eastAsia="宋体" w:cs="宋体"/>
          <w:color w:val="auto"/>
          <w:spacing w:val="-3"/>
          <w:sz w:val="21"/>
          <w:szCs w:val="21"/>
        </w:rPr>
        <w:t>时，如发现下列情形之一的，投标文件将被视为无效：</w:t>
      </w:r>
    </w:p>
    <w:p>
      <w:pPr>
        <w:pStyle w:val="31"/>
        <w:numPr>
          <w:ilvl w:val="0"/>
          <w:numId w:val="15"/>
        </w:numPr>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未按照招标文件的规定提交投标函的；</w:t>
      </w:r>
    </w:p>
    <w:p>
      <w:pPr>
        <w:pStyle w:val="31"/>
        <w:numPr>
          <w:ilvl w:val="0"/>
          <w:numId w:val="15"/>
        </w:numPr>
        <w:tabs>
          <w:tab w:val="left" w:pos="220"/>
        </w:tabs>
        <w:spacing w:before="88"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未采用人民币报价或者未按照招标文件标明的币种报价的；</w:t>
      </w:r>
    </w:p>
    <w:p>
      <w:pPr>
        <w:pStyle w:val="31"/>
        <w:numPr>
          <w:ilvl w:val="0"/>
          <w:numId w:val="15"/>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报价超出最高限价，或者超出采购预算金额，采购人不能支付的；</w:t>
      </w:r>
    </w:p>
    <w:p>
      <w:pPr>
        <w:pStyle w:val="31"/>
        <w:numPr>
          <w:ilvl w:val="0"/>
          <w:numId w:val="15"/>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投标报价不是唯一报价，具有选择性。</w:t>
      </w:r>
    </w:p>
    <w:p>
      <w:pPr>
        <w:pStyle w:val="12"/>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z w:val="21"/>
          <w:szCs w:val="21"/>
        </w:rPr>
        <w:t>28.4.</w:t>
      </w:r>
      <w:r>
        <w:rPr>
          <w:rFonts w:hint="eastAsia" w:cs="宋体"/>
          <w:color w:val="auto"/>
          <w:sz w:val="21"/>
          <w:szCs w:val="21"/>
          <w:lang w:val="en-US" w:eastAsia="zh-CN"/>
        </w:rPr>
        <w:t xml:space="preserve"> </w:t>
      </w:r>
      <w:r>
        <w:rPr>
          <w:rFonts w:hint="eastAsia" w:ascii="宋体" w:hAnsi="宋体" w:eastAsia="宋体" w:cs="宋体"/>
          <w:color w:val="auto"/>
          <w:sz w:val="21"/>
          <w:szCs w:val="21"/>
        </w:rPr>
        <w:t>有下列情形之一的视为投标人相互串通投标，投标文件将被视为无效：</w:t>
      </w:r>
    </w:p>
    <w:p>
      <w:pPr>
        <w:pStyle w:val="31"/>
        <w:numPr>
          <w:ilvl w:val="0"/>
          <w:numId w:val="16"/>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5"/>
          <w:sz w:val="21"/>
          <w:szCs w:val="21"/>
        </w:rPr>
        <w:t xml:space="preserve">不同投标人的投标文件由同一单位或者个人编制；或不同投标人报名的 </w:t>
      </w:r>
      <w:r>
        <w:rPr>
          <w:rFonts w:hint="eastAsia" w:ascii="宋体" w:hAnsi="宋体" w:eastAsia="宋体" w:cs="宋体"/>
          <w:color w:val="auto"/>
          <w:sz w:val="21"/>
          <w:szCs w:val="21"/>
        </w:rPr>
        <w:t>IP</w:t>
      </w:r>
      <w:r>
        <w:rPr>
          <w:rFonts w:hint="eastAsia" w:ascii="宋体" w:hAnsi="宋体" w:eastAsia="宋体" w:cs="宋体"/>
          <w:color w:val="auto"/>
          <w:spacing w:val="-10"/>
          <w:sz w:val="21"/>
          <w:szCs w:val="21"/>
        </w:rPr>
        <w:t xml:space="preserve"> 地址一致的；</w:t>
      </w:r>
    </w:p>
    <w:p>
      <w:pPr>
        <w:pStyle w:val="31"/>
        <w:numPr>
          <w:ilvl w:val="0"/>
          <w:numId w:val="16"/>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不同投标人委托同一单位或者个人办理投标事宜；</w:t>
      </w:r>
    </w:p>
    <w:p>
      <w:pPr>
        <w:pStyle w:val="31"/>
        <w:numPr>
          <w:ilvl w:val="0"/>
          <w:numId w:val="16"/>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不同的投标人的投标文件载明的项目管理员为同一个人；</w:t>
      </w:r>
    </w:p>
    <w:p>
      <w:pPr>
        <w:pStyle w:val="31"/>
        <w:numPr>
          <w:ilvl w:val="0"/>
          <w:numId w:val="16"/>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不同投标人的投标文件异常一致或投标报价呈规律性差异；</w:t>
      </w:r>
    </w:p>
    <w:p>
      <w:pPr>
        <w:pStyle w:val="31"/>
        <w:numPr>
          <w:ilvl w:val="0"/>
          <w:numId w:val="16"/>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不同投标人的投标文件相互混装；</w:t>
      </w:r>
    </w:p>
    <w:p>
      <w:pPr>
        <w:pStyle w:val="31"/>
        <w:numPr>
          <w:ilvl w:val="0"/>
          <w:numId w:val="16"/>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不同投标人的投标保证金从同一单位或者个人账户转出。28.5.服务商有下列情形之一的，</w:t>
      </w:r>
      <w:r>
        <w:rPr>
          <w:rFonts w:hint="eastAsia" w:cs="宋体"/>
          <w:color w:val="auto"/>
          <w:spacing w:val="-3"/>
          <w:sz w:val="21"/>
          <w:szCs w:val="21"/>
          <w:lang w:val="en-US" w:eastAsia="zh-CN"/>
        </w:rPr>
        <w:t xml:space="preserve">28.5. </w:t>
      </w:r>
      <w:r>
        <w:rPr>
          <w:rFonts w:hint="eastAsia" w:ascii="宋体" w:hAnsi="宋体" w:eastAsia="宋体" w:cs="宋体"/>
          <w:color w:val="auto"/>
          <w:spacing w:val="-3"/>
          <w:sz w:val="21"/>
          <w:szCs w:val="21"/>
        </w:rPr>
        <w:t>属于恶意串通行为：</w:t>
      </w:r>
    </w:p>
    <w:p>
      <w:pPr>
        <w:pStyle w:val="31"/>
        <w:numPr>
          <w:ilvl w:val="0"/>
          <w:numId w:val="17"/>
        </w:numPr>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
          <w:sz w:val="21"/>
          <w:szCs w:val="21"/>
        </w:rPr>
        <w:t>服务商直接或者间接从采购人或者采购代理机构处获得其他服务商的相关信息并修改其</w:t>
      </w:r>
      <w:r>
        <w:rPr>
          <w:rFonts w:hint="eastAsia" w:ascii="宋体" w:hAnsi="宋体" w:eastAsia="宋体" w:cs="宋体"/>
          <w:color w:val="auto"/>
          <w:spacing w:val="-3"/>
          <w:sz w:val="21"/>
          <w:szCs w:val="21"/>
        </w:rPr>
        <w:t>投标文件或者响应文件;</w:t>
      </w:r>
    </w:p>
    <w:p>
      <w:pPr>
        <w:pStyle w:val="31"/>
        <w:numPr>
          <w:ilvl w:val="0"/>
          <w:numId w:val="17"/>
        </w:numPr>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服务商按照采购人或者采购代理机构的授意撤换、修改投标文件或者响应文件;</w:t>
      </w:r>
    </w:p>
    <w:p>
      <w:pPr>
        <w:pStyle w:val="31"/>
        <w:numPr>
          <w:ilvl w:val="0"/>
          <w:numId w:val="17"/>
        </w:numPr>
        <w:tabs>
          <w:tab w:val="left" w:pos="220"/>
        </w:tabs>
        <w:spacing w:before="89"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服务商之间协商报价、技术方案等投标文件或者响应文件的实质性内容;</w:t>
      </w:r>
    </w:p>
    <w:p>
      <w:pPr>
        <w:pStyle w:val="31"/>
        <w:numPr>
          <w:ilvl w:val="0"/>
          <w:numId w:val="17"/>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5"/>
          <w:sz w:val="21"/>
          <w:szCs w:val="21"/>
        </w:rPr>
        <w:t>属于同一集团、协会、商会等组织成员的服务商按照该组织要求协同参加政府采购活动;</w:t>
      </w:r>
    </w:p>
    <w:p>
      <w:pPr>
        <w:pStyle w:val="31"/>
        <w:numPr>
          <w:ilvl w:val="0"/>
          <w:numId w:val="17"/>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服务商之间事先约定一致抬高或者压低投标报价,或者在招标项目中事先约定轮流以高价位或者低价位中标,或者事先约定由某一特定服务商中标,然后再参加投标;</w:t>
      </w:r>
    </w:p>
    <w:p>
      <w:pPr>
        <w:pStyle w:val="31"/>
        <w:numPr>
          <w:ilvl w:val="0"/>
          <w:numId w:val="17"/>
        </w:numPr>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服务商之间商定部分服务商放弃参加政府采购活动或者放弃中标;</w:t>
      </w:r>
    </w:p>
    <w:p>
      <w:pPr>
        <w:pStyle w:val="31"/>
        <w:numPr>
          <w:ilvl w:val="0"/>
          <w:numId w:val="17"/>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
          <w:sz w:val="21"/>
          <w:szCs w:val="21"/>
        </w:rPr>
        <w:t>服务商与采购人或者采购代理机构之间、服务商相互之间，为谋求特定服务商中标或者</w:t>
      </w:r>
      <w:r>
        <w:rPr>
          <w:rFonts w:hint="eastAsia" w:ascii="宋体" w:hAnsi="宋体" w:eastAsia="宋体" w:cs="宋体"/>
          <w:color w:val="auto"/>
          <w:spacing w:val="-3"/>
          <w:sz w:val="21"/>
          <w:szCs w:val="21"/>
        </w:rPr>
        <w:t>排斥其他服务商的其他串通行为。</w:t>
      </w:r>
    </w:p>
    <w:p>
      <w:pPr>
        <w:pStyle w:val="31"/>
        <w:numPr>
          <w:ilvl w:val="0"/>
          <w:numId w:val="17"/>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关联服务商不得参加同一合同项下政府采购活动，否则投标文件将被视为无</w:t>
      </w:r>
      <w:r>
        <w:rPr>
          <w:rFonts w:hint="eastAsia" w:ascii="宋体" w:hAnsi="宋体" w:eastAsia="宋体" w:cs="宋体"/>
          <w:color w:val="auto"/>
          <w:sz w:val="21"/>
          <w:szCs w:val="21"/>
        </w:rPr>
        <w:t>效处理。</w:t>
      </w:r>
    </w:p>
    <w:p>
      <w:pPr>
        <w:pStyle w:val="31"/>
        <w:numPr>
          <w:ilvl w:val="0"/>
          <w:numId w:val="17"/>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
          <w:sz w:val="21"/>
          <w:szCs w:val="21"/>
        </w:rPr>
        <w:t>单位负责人为同一人或者存在直接控股、管理关系的不同的服务商，不得参加同一合同</w:t>
      </w:r>
      <w:r>
        <w:rPr>
          <w:rFonts w:hint="eastAsia" w:ascii="宋体" w:hAnsi="宋体" w:eastAsia="宋体" w:cs="宋体"/>
          <w:color w:val="auto"/>
          <w:spacing w:val="-3"/>
          <w:sz w:val="21"/>
          <w:szCs w:val="21"/>
        </w:rPr>
        <w:t>项下的政府采购活动</w:t>
      </w:r>
    </w:p>
    <w:p>
      <w:pPr>
        <w:pStyle w:val="31"/>
        <w:numPr>
          <w:ilvl w:val="0"/>
          <w:numId w:val="17"/>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1"/>
          <w:sz w:val="21"/>
          <w:szCs w:val="21"/>
        </w:rPr>
        <w:t>生产厂商授权给服务商后自己不得参加同一合同项下的政府采购活动；生产厂商对同一</w:t>
      </w:r>
      <w:r>
        <w:rPr>
          <w:rFonts w:hint="eastAsia" w:ascii="宋体" w:hAnsi="宋体" w:eastAsia="宋体" w:cs="宋体"/>
          <w:color w:val="auto"/>
          <w:spacing w:val="-3"/>
          <w:sz w:val="21"/>
          <w:szCs w:val="21"/>
        </w:rPr>
        <w:t>品牌同一型号的货物，仅能委托一个代理商参加投标。</w:t>
      </w:r>
    </w:p>
    <w:p>
      <w:pPr>
        <w:pStyle w:val="31"/>
        <w:numPr>
          <w:ilvl w:val="1"/>
          <w:numId w:val="18"/>
        </w:numPr>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被拒绝的投标文件为无效。</w:t>
      </w:r>
    </w:p>
    <w:p>
      <w:pPr>
        <w:pStyle w:val="9"/>
        <w:tabs>
          <w:tab w:val="left" w:pos="220"/>
        </w:tabs>
        <w:spacing w:before="90"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z w:val="21"/>
          <w:szCs w:val="21"/>
        </w:rPr>
        <w:t>29、属于下列情形之一的，应予废标：</w:t>
      </w:r>
    </w:p>
    <w:p>
      <w:pPr>
        <w:pStyle w:val="31"/>
        <w:numPr>
          <w:ilvl w:val="0"/>
          <w:numId w:val="19"/>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5"/>
          <w:sz w:val="21"/>
          <w:szCs w:val="21"/>
        </w:rPr>
        <w:t xml:space="preserve">符合专业条件的供应商或者对招标文件作实质响应的供应商不足 </w:t>
      </w:r>
      <w:r>
        <w:rPr>
          <w:rFonts w:hint="eastAsia" w:ascii="宋体" w:hAnsi="宋体" w:eastAsia="宋体" w:cs="宋体"/>
          <w:color w:val="auto"/>
          <w:sz w:val="21"/>
          <w:szCs w:val="21"/>
        </w:rPr>
        <w:t>3</w:t>
      </w:r>
      <w:r>
        <w:rPr>
          <w:rFonts w:hint="eastAsia" w:ascii="宋体" w:hAnsi="宋体" w:eastAsia="宋体" w:cs="宋体"/>
          <w:color w:val="auto"/>
          <w:spacing w:val="-15"/>
          <w:sz w:val="21"/>
          <w:szCs w:val="21"/>
        </w:rPr>
        <w:t xml:space="preserve"> 家的；</w:t>
      </w:r>
    </w:p>
    <w:p>
      <w:pPr>
        <w:pStyle w:val="31"/>
        <w:numPr>
          <w:ilvl w:val="0"/>
          <w:numId w:val="19"/>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出现影响采购公正的违法、违规行为的；</w:t>
      </w:r>
    </w:p>
    <w:p>
      <w:pPr>
        <w:pStyle w:val="31"/>
        <w:numPr>
          <w:ilvl w:val="0"/>
          <w:numId w:val="19"/>
        </w:numPr>
        <w:tabs>
          <w:tab w:val="left" w:pos="220"/>
        </w:tabs>
        <w:spacing w:before="91"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投标人的报价均超过了政府采购预算的，招标单位不能支付的；</w:t>
      </w:r>
    </w:p>
    <w:p>
      <w:pPr>
        <w:pStyle w:val="31"/>
        <w:numPr>
          <w:ilvl w:val="0"/>
          <w:numId w:val="19"/>
        </w:numPr>
        <w:tabs>
          <w:tab w:val="left" w:pos="220"/>
        </w:tabs>
        <w:spacing w:before="90"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pacing w:val="-3"/>
          <w:sz w:val="21"/>
          <w:szCs w:val="21"/>
        </w:rPr>
        <w:t>采购文件内容违反国家有关强制性规定的；</w:t>
      </w:r>
    </w:p>
    <w:p>
      <w:pPr>
        <w:pStyle w:val="31"/>
        <w:numPr>
          <w:ilvl w:val="0"/>
          <w:numId w:val="19"/>
        </w:numPr>
        <w:tabs>
          <w:tab w:val="left" w:pos="220"/>
        </w:tabs>
        <w:spacing w:before="90" w:line="360" w:lineRule="auto"/>
        <w:ind w:left="10" w:right="180" w:rightChars="82" w:hanging="10"/>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因重大变故，采购任务取消的。</w:t>
      </w:r>
    </w:p>
    <w:p>
      <w:pPr>
        <w:pStyle w:val="31"/>
        <w:tabs>
          <w:tab w:val="left" w:pos="220"/>
        </w:tabs>
        <w:spacing w:before="92" w:line="360" w:lineRule="auto"/>
        <w:ind w:left="0" w:right="180" w:rightChars="82" w:firstLine="0"/>
        <w:rPr>
          <w:rFonts w:hint="eastAsia" w:ascii="宋体" w:hAnsi="宋体" w:eastAsia="宋体" w:cs="宋体"/>
          <w:b/>
          <w:color w:val="auto"/>
          <w:sz w:val="21"/>
          <w:szCs w:val="21"/>
        </w:rPr>
      </w:pPr>
      <w:r>
        <w:rPr>
          <w:rFonts w:hint="eastAsia" w:ascii="宋体" w:hAnsi="宋体" w:eastAsia="宋体" w:cs="宋体"/>
          <w:b/>
          <w:color w:val="auto"/>
          <w:sz w:val="21"/>
          <w:szCs w:val="21"/>
        </w:rPr>
        <w:t>30、评标过程的监控</w:t>
      </w:r>
    </w:p>
    <w:p>
      <w:pPr>
        <w:pStyle w:val="12"/>
        <w:tabs>
          <w:tab w:val="left" w:pos="220"/>
        </w:tabs>
        <w:spacing w:line="360" w:lineRule="auto"/>
        <w:ind w:right="180" w:rightChars="8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本项目评标过程实行全程录音、录像监控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，投标人在评标过程中所进行的试图影响评标结果的不公正活动，可能导致其投标被拒绝。</w:t>
      </w:r>
    </w:p>
    <w:p>
      <w:pPr>
        <w:pStyle w:val="9"/>
        <w:tabs>
          <w:tab w:val="left" w:pos="220"/>
        </w:tabs>
        <w:spacing w:line="360" w:lineRule="auto"/>
        <w:ind w:left="10" w:right="180" w:rightChars="82" w:hanging="10"/>
        <w:rPr>
          <w:rFonts w:hint="eastAsia" w:ascii="宋体" w:hAnsi="宋体" w:eastAsia="宋体" w:cs="宋体"/>
          <w:color w:val="auto"/>
          <w:sz w:val="21"/>
          <w:szCs w:val="21"/>
        </w:rPr>
      </w:pPr>
      <w:r>
        <w:rPr>
          <w:rFonts w:hint="eastAsia" w:ascii="宋体" w:hAnsi="宋体" w:eastAsia="宋体" w:cs="宋体"/>
          <w:color w:val="auto"/>
          <w:sz w:val="21"/>
          <w:szCs w:val="21"/>
        </w:rPr>
        <w:t>31、中标公告及中标通知书</w:t>
      </w:r>
    </w:p>
    <w:p>
      <w:pPr>
        <w:pStyle w:val="31"/>
        <w:numPr>
          <w:ilvl w:val="1"/>
          <w:numId w:val="20"/>
        </w:numPr>
        <w:tabs>
          <w:tab w:val="left" w:pos="220"/>
        </w:tabs>
        <w:spacing w:before="90" w:line="360" w:lineRule="auto"/>
        <w:ind w:left="10" w:right="180" w:rightChars="82" w:hanging="1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、招标代理机构于评标结束后</w:t>
      </w:r>
      <w:r>
        <w:rPr>
          <w:rFonts w:hint="eastAsia" w:ascii="宋体" w:hAnsi="宋体" w:eastAsia="宋体" w:cs="宋体"/>
          <w:color w:val="auto"/>
          <w:spacing w:val="-6"/>
          <w:sz w:val="21"/>
          <w:szCs w:val="21"/>
          <w:highlight w:val="none"/>
          <w:lang w:eastAsia="zh-CN"/>
        </w:rPr>
        <w:t>两</w:t>
      </w:r>
      <w:r>
        <w:rPr>
          <w:rFonts w:hint="eastAsia" w:ascii="宋体" w:hAnsi="宋体" w:eastAsia="宋体" w:cs="宋体"/>
          <w:color w:val="auto"/>
          <w:spacing w:val="-6"/>
          <w:sz w:val="21"/>
          <w:szCs w:val="21"/>
          <w:highlight w:val="none"/>
        </w:rPr>
        <w:t>个工作日内将</w:t>
      </w:r>
      <w:r>
        <w:rPr>
          <w:rFonts w:hint="eastAsia" w:ascii="宋体" w:hAnsi="宋体" w:eastAsia="宋体" w:cs="宋体"/>
          <w:color w:val="auto"/>
          <w:spacing w:val="-6"/>
          <w:sz w:val="21"/>
          <w:szCs w:val="21"/>
          <w:highlight w:val="none"/>
          <w:lang w:eastAsia="zh-CN"/>
        </w:rPr>
        <w:t>审核</w:t>
      </w:r>
      <w:r>
        <w:rPr>
          <w:rFonts w:hint="eastAsia" w:ascii="宋体" w:hAnsi="宋体" w:eastAsia="宋体" w:cs="宋体"/>
          <w:color w:val="auto"/>
          <w:spacing w:val="-6"/>
          <w:sz w:val="21"/>
          <w:szCs w:val="21"/>
          <w:highlight w:val="none"/>
        </w:rPr>
        <w:t>报告送交</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单位，</w:t>
      </w: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rPr>
        <w:t>单位应当自收</w:t>
      </w:r>
      <w:r>
        <w:rPr>
          <w:rFonts w:hint="eastAsia" w:ascii="宋体" w:hAnsi="宋体" w:eastAsia="宋体" w:cs="宋体"/>
          <w:color w:val="auto"/>
          <w:spacing w:val="-5"/>
          <w:sz w:val="21"/>
          <w:szCs w:val="21"/>
          <w:highlight w:val="none"/>
        </w:rPr>
        <w:t>到</w:t>
      </w:r>
      <w:r>
        <w:rPr>
          <w:rFonts w:hint="eastAsia" w:ascii="宋体" w:hAnsi="宋体" w:eastAsia="宋体" w:cs="宋体"/>
          <w:color w:val="auto"/>
          <w:spacing w:val="-5"/>
          <w:sz w:val="21"/>
          <w:szCs w:val="21"/>
          <w:highlight w:val="none"/>
          <w:lang w:eastAsia="zh-CN"/>
        </w:rPr>
        <w:t>审核</w:t>
      </w:r>
      <w:r>
        <w:rPr>
          <w:rFonts w:hint="eastAsia" w:ascii="宋体" w:hAnsi="宋体" w:eastAsia="宋体" w:cs="宋体"/>
          <w:color w:val="auto"/>
          <w:spacing w:val="-5"/>
          <w:sz w:val="21"/>
          <w:szCs w:val="21"/>
          <w:highlight w:val="none"/>
        </w:rPr>
        <w:t>报告五个工作日内在</w:t>
      </w:r>
      <w:r>
        <w:rPr>
          <w:rFonts w:hint="eastAsia" w:ascii="宋体" w:hAnsi="宋体" w:eastAsia="宋体" w:cs="宋体"/>
          <w:color w:val="auto"/>
          <w:spacing w:val="-5"/>
          <w:sz w:val="21"/>
          <w:szCs w:val="21"/>
          <w:highlight w:val="none"/>
          <w:lang w:eastAsia="zh-CN"/>
        </w:rPr>
        <w:t>审核</w:t>
      </w:r>
      <w:r>
        <w:rPr>
          <w:rFonts w:hint="eastAsia" w:ascii="宋体" w:hAnsi="宋体" w:eastAsia="宋体" w:cs="宋体"/>
          <w:color w:val="auto"/>
          <w:spacing w:val="-5"/>
          <w:sz w:val="21"/>
          <w:szCs w:val="21"/>
          <w:highlight w:val="none"/>
        </w:rPr>
        <w:t>报告推荐的中标候选供应商中按顺序确定中标人，招标代理机构在</w:t>
      </w:r>
      <w:r>
        <w:rPr>
          <w:rFonts w:hint="eastAsia" w:ascii="宋体" w:hAnsi="宋体" w:eastAsia="宋体" w:cs="宋体"/>
          <w:color w:val="auto"/>
          <w:spacing w:val="-4"/>
          <w:sz w:val="21"/>
          <w:szCs w:val="21"/>
          <w:highlight w:val="none"/>
        </w:rPr>
        <w:t>中标人确定之日起两个工作日内发出中标通知书，并在指定媒体上公告中标信息。</w:t>
      </w:r>
    </w:p>
    <w:p>
      <w:pPr>
        <w:pStyle w:val="31"/>
        <w:numPr>
          <w:ilvl w:val="1"/>
          <w:numId w:val="20"/>
        </w:numPr>
        <w:tabs>
          <w:tab w:val="left" w:pos="220"/>
        </w:tabs>
        <w:spacing w:line="360" w:lineRule="auto"/>
        <w:ind w:left="10" w:right="180" w:rightChars="82" w:hanging="1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、中标人应自接到通知之日起</w:t>
      </w:r>
      <w:r>
        <w:rPr>
          <w:rFonts w:hint="eastAsia" w:ascii="宋体" w:hAnsi="宋体" w:eastAsia="宋体" w:cs="宋体"/>
          <w:color w:val="auto"/>
          <w:spacing w:val="-7"/>
          <w:sz w:val="21"/>
          <w:szCs w:val="21"/>
          <w:highlight w:val="none"/>
          <w:lang w:eastAsia="zh-CN"/>
        </w:rPr>
        <w:t>五</w:t>
      </w:r>
      <w:r>
        <w:rPr>
          <w:rFonts w:hint="eastAsia" w:ascii="宋体" w:hAnsi="宋体" w:eastAsia="宋体" w:cs="宋体"/>
          <w:color w:val="auto"/>
          <w:spacing w:val="-7"/>
          <w:sz w:val="21"/>
          <w:szCs w:val="21"/>
          <w:highlight w:val="none"/>
        </w:rPr>
        <w:t>个工作日内，办理中标通知书领取手续，如不按期办理领</w:t>
      </w:r>
      <w:r>
        <w:rPr>
          <w:rFonts w:hint="eastAsia" w:ascii="宋体" w:hAnsi="宋体" w:eastAsia="宋体" w:cs="宋体"/>
          <w:color w:val="auto"/>
          <w:spacing w:val="-8"/>
          <w:sz w:val="21"/>
          <w:szCs w:val="21"/>
          <w:highlight w:val="none"/>
        </w:rPr>
        <w:t>取手续，按违约处理，</w:t>
      </w:r>
      <w:r>
        <w:rPr>
          <w:rFonts w:hint="eastAsia" w:ascii="宋体" w:hAnsi="宋体" w:eastAsia="宋体" w:cs="宋体"/>
          <w:color w:val="auto"/>
          <w:spacing w:val="-8"/>
          <w:sz w:val="21"/>
          <w:szCs w:val="21"/>
          <w:highlight w:val="none"/>
          <w:lang w:eastAsia="zh-CN"/>
        </w:rPr>
        <w:t>采购</w:t>
      </w:r>
      <w:r>
        <w:rPr>
          <w:rFonts w:hint="eastAsia" w:ascii="宋体" w:hAnsi="宋体" w:eastAsia="宋体" w:cs="宋体"/>
          <w:color w:val="auto"/>
          <w:spacing w:val="-8"/>
          <w:sz w:val="21"/>
          <w:szCs w:val="21"/>
          <w:highlight w:val="none"/>
        </w:rPr>
        <w:t>单位将取消其中标资格，没收中标人所有投标的全部投标保证金，从评</w:t>
      </w:r>
      <w:r>
        <w:rPr>
          <w:rFonts w:hint="eastAsia" w:ascii="宋体" w:hAnsi="宋体" w:eastAsia="宋体" w:cs="宋体"/>
          <w:color w:val="auto"/>
          <w:spacing w:val="-5"/>
          <w:sz w:val="21"/>
          <w:szCs w:val="21"/>
          <w:highlight w:val="none"/>
        </w:rPr>
        <w:t>标委员会推荐的中标候选供应商中按顺序重新确定中标人，组织供需双方签订合同。</w:t>
      </w:r>
    </w:p>
    <w:p>
      <w:pPr>
        <w:pStyle w:val="31"/>
        <w:numPr>
          <w:ilvl w:val="1"/>
          <w:numId w:val="20"/>
        </w:numPr>
        <w:tabs>
          <w:tab w:val="left" w:pos="220"/>
        </w:tabs>
        <w:spacing w:line="360" w:lineRule="auto"/>
        <w:ind w:left="10" w:right="180" w:rightChars="82" w:hanging="10"/>
        <w:rPr>
          <w:color w:val="auto"/>
          <w:sz w:val="21"/>
          <w:highlight w:val="none"/>
        </w:rPr>
      </w:pPr>
      <w:r>
        <w:rPr>
          <w:rFonts w:hint="eastAsia" w:ascii="宋体" w:hAnsi="宋体" w:eastAsia="宋体" w:cs="宋体"/>
          <w:color w:val="auto"/>
          <w:spacing w:val="-3"/>
          <w:sz w:val="21"/>
          <w:szCs w:val="21"/>
          <w:highlight w:val="none"/>
        </w:rPr>
        <w:t>、招标代理机构无义务向未中标投标人退还投标文件</w:t>
      </w:r>
      <w:r>
        <w:rPr>
          <w:rFonts w:hint="eastAsia"/>
          <w:color w:val="auto"/>
          <w:spacing w:val="-3"/>
          <w:sz w:val="21"/>
          <w:highlight w:val="none"/>
        </w:rPr>
        <w:t>。</w:t>
      </w:r>
    </w:p>
    <w:p>
      <w:pPr>
        <w:pStyle w:val="12"/>
        <w:tabs>
          <w:tab w:val="left" w:pos="220"/>
        </w:tabs>
        <w:spacing w:before="7"/>
        <w:ind w:left="10" w:right="180" w:rightChars="82" w:hanging="10"/>
        <w:rPr>
          <w:color w:val="auto"/>
          <w:sz w:val="18"/>
        </w:rPr>
      </w:pPr>
    </w:p>
    <w:p>
      <w:pPr>
        <w:pStyle w:val="4"/>
        <w:tabs>
          <w:tab w:val="left" w:pos="220"/>
        </w:tabs>
        <w:ind w:left="10" w:right="180" w:rightChars="82" w:hanging="10"/>
        <w:rPr>
          <w:rFonts w:ascii="宋体" w:hAnsi="宋体" w:eastAsia="宋体" w:cs="宋体"/>
          <w:color w:val="auto"/>
        </w:rPr>
      </w:pPr>
      <w:bookmarkStart w:id="11" w:name="_TOC_250005"/>
      <w:bookmarkEnd w:id="11"/>
      <w:r>
        <w:rPr>
          <w:rFonts w:hint="eastAsia" w:ascii="宋体" w:hAnsi="宋体" w:eastAsia="宋体" w:cs="宋体"/>
          <w:b/>
          <w:bCs/>
          <w:color w:val="auto"/>
        </w:rPr>
        <w:t>六、履约保证金及签订合同</w:t>
      </w:r>
    </w:p>
    <w:p>
      <w:pPr>
        <w:pStyle w:val="12"/>
        <w:tabs>
          <w:tab w:val="left" w:pos="220"/>
        </w:tabs>
        <w:spacing w:before="11"/>
        <w:ind w:left="10" w:right="180" w:rightChars="82" w:hanging="10"/>
        <w:rPr>
          <w:color w:val="auto"/>
          <w:sz w:val="35"/>
        </w:rPr>
      </w:pPr>
    </w:p>
    <w:p>
      <w:pPr>
        <w:pStyle w:val="9"/>
        <w:tabs>
          <w:tab w:val="left" w:pos="220"/>
        </w:tabs>
        <w:spacing w:line="360" w:lineRule="auto"/>
        <w:ind w:left="10" w:right="180" w:rightChars="82" w:hanging="10"/>
        <w:rPr>
          <w:color w:val="auto"/>
        </w:rPr>
      </w:pPr>
      <w:r>
        <w:rPr>
          <w:rFonts w:hint="eastAsia"/>
          <w:color w:val="auto"/>
        </w:rPr>
        <w:t>32、履约保证金</w:t>
      </w:r>
    </w:p>
    <w:p>
      <w:pPr>
        <w:pStyle w:val="9"/>
        <w:tabs>
          <w:tab w:val="left" w:pos="220"/>
        </w:tabs>
        <w:spacing w:before="1" w:line="360" w:lineRule="auto"/>
        <w:ind w:left="209" w:leftChars="95" w:right="180" w:rightChars="82" w:firstLine="409" w:firstLineChars="195"/>
        <w:rPr>
          <w:b w:val="0"/>
          <w:bCs w:val="0"/>
          <w:color w:val="auto"/>
        </w:rPr>
      </w:pPr>
      <w:r>
        <w:rPr>
          <w:rFonts w:hint="eastAsia"/>
          <w:b w:val="0"/>
          <w:bCs w:val="0"/>
          <w:color w:val="auto"/>
        </w:rPr>
        <w:t>履约保证金的形式：转账、电汇形式；履约保证金额为人民币壹万元，中标人在收到中标通知书后十日内向采购人指定账户缴纳，否则采购人将取消其中标资格。如中标人在协议期内提供的项目造价</w:t>
      </w:r>
      <w:r>
        <w:rPr>
          <w:rFonts w:hint="eastAsia"/>
          <w:b w:val="0"/>
          <w:bCs w:val="0"/>
          <w:color w:val="auto"/>
          <w:lang w:eastAsia="zh-CN"/>
        </w:rPr>
        <w:t>审核</w:t>
      </w:r>
      <w:r>
        <w:rPr>
          <w:rFonts w:hint="eastAsia"/>
          <w:b w:val="0"/>
          <w:bCs w:val="0"/>
          <w:color w:val="auto"/>
        </w:rPr>
        <w:t>服务无违约情况，待协议期满15个工作日后，中标人提出退付申请，经采购人按有关规定审核同意后无息退还。</w:t>
      </w:r>
    </w:p>
    <w:p>
      <w:pPr>
        <w:pStyle w:val="9"/>
        <w:tabs>
          <w:tab w:val="left" w:pos="220"/>
        </w:tabs>
        <w:spacing w:before="1" w:line="360" w:lineRule="auto"/>
        <w:ind w:left="10" w:right="180" w:rightChars="82" w:hanging="10"/>
        <w:rPr>
          <w:color w:val="auto"/>
        </w:rPr>
      </w:pPr>
      <w:r>
        <w:rPr>
          <w:rFonts w:hint="eastAsia"/>
          <w:color w:val="auto"/>
        </w:rPr>
        <w:t>33、签订合同</w:t>
      </w:r>
    </w:p>
    <w:p>
      <w:pPr>
        <w:pStyle w:val="12"/>
        <w:tabs>
          <w:tab w:val="left" w:pos="220"/>
        </w:tabs>
        <w:spacing w:before="71" w:line="360" w:lineRule="auto"/>
        <w:ind w:left="10" w:right="180" w:rightChars="82" w:hanging="10"/>
        <w:rPr>
          <w:color w:val="auto"/>
          <w:highlight w:val="none"/>
        </w:rPr>
      </w:pPr>
      <w:r>
        <w:rPr>
          <w:rFonts w:hint="eastAsia"/>
          <w:color w:val="auto"/>
          <w:highlight w:val="none"/>
        </w:rPr>
        <w:t>33.1、签订合同时间：中标通知书发出后</w:t>
      </w:r>
      <w:r>
        <w:rPr>
          <w:rFonts w:hint="eastAsia"/>
          <w:color w:val="auto"/>
          <w:highlight w:val="none"/>
          <w:lang w:eastAsia="zh-CN"/>
        </w:rPr>
        <w:t>十五</w:t>
      </w:r>
      <w:r>
        <w:rPr>
          <w:rFonts w:hint="eastAsia"/>
          <w:color w:val="auto"/>
          <w:highlight w:val="none"/>
        </w:rPr>
        <w:t>日内。中标人领取中标通知书后，应按规定与采购单位签订合同。</w:t>
      </w:r>
    </w:p>
    <w:p>
      <w:pPr>
        <w:pStyle w:val="12"/>
        <w:tabs>
          <w:tab w:val="left" w:pos="220"/>
        </w:tabs>
        <w:spacing w:before="71" w:line="360" w:lineRule="auto"/>
        <w:ind w:left="10" w:right="180" w:rightChars="82" w:hanging="10"/>
        <w:rPr>
          <w:color w:val="auto"/>
        </w:rPr>
      </w:pPr>
      <w:r>
        <w:rPr>
          <w:rFonts w:hint="eastAsia"/>
          <w:color w:val="auto"/>
        </w:rPr>
        <w:t>33.2、如中标人有下列情形之一的，招标代理机构将没收中标人投标的全部投标保证金，并上缴同级财政国库，情节严重的，由财政部门将其列入不良行为记录名单，在一至三年内禁止参加政府采购活动，并予以通报。招标代理机构可从评标委员会推荐的中标候选供应商中按顺序重新确定中标人，组织供需双方签订合同或重新组织招标。</w:t>
      </w:r>
    </w:p>
    <w:p>
      <w:pPr>
        <w:pStyle w:val="31"/>
        <w:numPr>
          <w:ilvl w:val="0"/>
          <w:numId w:val="21"/>
        </w:numPr>
        <w:tabs>
          <w:tab w:val="left" w:pos="220"/>
        </w:tabs>
        <w:spacing w:before="5" w:line="360" w:lineRule="auto"/>
        <w:ind w:left="10" w:right="180" w:rightChars="82" w:hanging="10"/>
        <w:rPr>
          <w:color w:val="auto"/>
          <w:sz w:val="21"/>
        </w:rPr>
      </w:pPr>
      <w:r>
        <w:rPr>
          <w:rFonts w:hint="eastAsia"/>
          <w:color w:val="auto"/>
          <w:spacing w:val="-3"/>
          <w:sz w:val="21"/>
        </w:rPr>
        <w:t>中标后不与采购单位签订合同的</w:t>
      </w:r>
      <w:r>
        <w:rPr>
          <w:rFonts w:hint="eastAsia"/>
          <w:color w:val="auto"/>
          <w:sz w:val="21"/>
        </w:rPr>
        <w:t>（</w:t>
      </w:r>
      <w:r>
        <w:rPr>
          <w:rFonts w:hint="eastAsia"/>
          <w:color w:val="auto"/>
          <w:spacing w:val="-3"/>
          <w:sz w:val="21"/>
        </w:rPr>
        <w:t>不可抗力除外</w:t>
      </w:r>
      <w:r>
        <w:rPr>
          <w:rFonts w:hint="eastAsia"/>
          <w:color w:val="auto"/>
          <w:spacing w:val="-106"/>
          <w:sz w:val="21"/>
        </w:rPr>
        <w:t>）</w:t>
      </w:r>
      <w:r>
        <w:rPr>
          <w:rFonts w:hint="eastAsia"/>
          <w:color w:val="auto"/>
          <w:sz w:val="21"/>
        </w:rPr>
        <w:t>；</w:t>
      </w:r>
    </w:p>
    <w:p>
      <w:pPr>
        <w:pStyle w:val="31"/>
        <w:numPr>
          <w:ilvl w:val="0"/>
          <w:numId w:val="21"/>
        </w:numPr>
        <w:tabs>
          <w:tab w:val="left" w:pos="220"/>
        </w:tabs>
        <w:spacing w:before="72" w:line="360" w:lineRule="auto"/>
        <w:ind w:left="10" w:right="180" w:rightChars="82" w:hanging="10"/>
        <w:rPr>
          <w:color w:val="auto"/>
          <w:sz w:val="21"/>
        </w:rPr>
      </w:pPr>
      <w:r>
        <w:rPr>
          <w:rFonts w:hint="eastAsia"/>
          <w:color w:val="auto"/>
          <w:spacing w:val="-3"/>
          <w:sz w:val="21"/>
        </w:rPr>
        <w:t>将中标项目转让给他人，或者在投标文件中未说明，且未经招标单位同意，将中标项目分包给他人的；</w:t>
      </w:r>
    </w:p>
    <w:p>
      <w:pPr>
        <w:pStyle w:val="31"/>
        <w:numPr>
          <w:ilvl w:val="0"/>
          <w:numId w:val="21"/>
        </w:numPr>
        <w:tabs>
          <w:tab w:val="left" w:pos="220"/>
        </w:tabs>
        <w:spacing w:before="1" w:line="360" w:lineRule="auto"/>
        <w:ind w:left="10" w:right="180" w:rightChars="82" w:hanging="10"/>
        <w:rPr>
          <w:color w:val="auto"/>
          <w:sz w:val="21"/>
        </w:rPr>
      </w:pPr>
      <w:r>
        <w:rPr>
          <w:rFonts w:hint="eastAsia"/>
          <w:color w:val="auto"/>
          <w:spacing w:val="-3"/>
          <w:sz w:val="21"/>
        </w:rPr>
        <w:t>拒绝履行合同义务的。</w:t>
      </w:r>
    </w:p>
    <w:p>
      <w:pPr>
        <w:pStyle w:val="12"/>
        <w:tabs>
          <w:tab w:val="left" w:pos="220"/>
        </w:tabs>
        <w:spacing w:before="71" w:line="360" w:lineRule="auto"/>
        <w:ind w:right="180" w:rightChars="82"/>
        <w:rPr>
          <w:color w:val="auto"/>
        </w:rPr>
      </w:pPr>
      <w:r>
        <w:rPr>
          <w:rFonts w:hint="eastAsia"/>
          <w:color w:val="auto"/>
        </w:rPr>
        <w:t>33.3</w:t>
      </w:r>
      <w:r>
        <w:rPr>
          <w:rFonts w:hint="eastAsia"/>
          <w:color w:val="auto"/>
          <w:spacing w:val="-3"/>
        </w:rPr>
        <w:t>、</w:t>
      </w:r>
      <w:r>
        <w:rPr>
          <w:rFonts w:hint="eastAsia"/>
          <w:color w:val="auto"/>
          <w:sz w:val="21"/>
        </w:rPr>
        <w:t>政府采购合同双方自签订之日起</w:t>
      </w:r>
      <w:r>
        <w:rPr>
          <w:rFonts w:hint="eastAsia"/>
          <w:color w:val="auto"/>
          <w:sz w:val="21"/>
          <w:lang w:val="en-US" w:eastAsia="zh-CN"/>
        </w:rPr>
        <w:t>2</w:t>
      </w:r>
      <w:r>
        <w:rPr>
          <w:rFonts w:hint="eastAsia"/>
          <w:color w:val="auto"/>
          <w:sz w:val="21"/>
        </w:rPr>
        <w:t>个工作日内将合同原件</w:t>
      </w:r>
      <w:r>
        <w:rPr>
          <w:rFonts w:hint="eastAsia"/>
          <w:color w:val="auto"/>
          <w:sz w:val="21"/>
          <w:lang w:eastAsia="zh-CN"/>
        </w:rPr>
        <w:t>一</w:t>
      </w:r>
      <w:r>
        <w:rPr>
          <w:rFonts w:hint="eastAsia"/>
          <w:color w:val="auto"/>
          <w:sz w:val="21"/>
        </w:rPr>
        <w:t>份交招标代理机构。招标代理机构将</w:t>
      </w:r>
      <w:r>
        <w:rPr>
          <w:rFonts w:hint="eastAsia"/>
          <w:color w:val="auto"/>
          <w:sz w:val="21"/>
          <w:lang w:eastAsia="zh-CN"/>
        </w:rPr>
        <w:t>依据有关规定发布合同公告</w:t>
      </w:r>
      <w:r>
        <w:rPr>
          <w:rFonts w:hint="eastAsia"/>
          <w:color w:val="auto"/>
          <w:sz w:val="21"/>
        </w:rPr>
        <w:t>。</w:t>
      </w:r>
    </w:p>
    <w:p>
      <w:pPr>
        <w:pStyle w:val="12"/>
        <w:tabs>
          <w:tab w:val="left" w:pos="220"/>
        </w:tabs>
        <w:spacing w:before="3"/>
        <w:ind w:left="10" w:right="180" w:rightChars="82" w:hanging="10"/>
        <w:rPr>
          <w:color w:val="auto"/>
          <w:sz w:val="16"/>
        </w:rPr>
      </w:pPr>
    </w:p>
    <w:p>
      <w:pPr>
        <w:pStyle w:val="4"/>
        <w:tabs>
          <w:tab w:val="left" w:pos="220"/>
        </w:tabs>
        <w:ind w:left="10" w:right="180" w:rightChars="82" w:hanging="10"/>
        <w:rPr>
          <w:rFonts w:ascii="宋体" w:hAnsi="宋体" w:eastAsia="宋体" w:cs="宋体"/>
          <w:b/>
          <w:bCs/>
          <w:color w:val="auto"/>
        </w:rPr>
      </w:pPr>
      <w:bookmarkStart w:id="12" w:name="_TOC_250004"/>
      <w:bookmarkEnd w:id="12"/>
      <w:r>
        <w:rPr>
          <w:rFonts w:hint="eastAsia" w:ascii="宋体" w:hAnsi="宋体" w:eastAsia="宋体" w:cs="宋体"/>
          <w:b/>
          <w:bCs/>
          <w:color w:val="auto"/>
        </w:rPr>
        <w:t>七 、其他事项</w:t>
      </w:r>
    </w:p>
    <w:p>
      <w:pPr>
        <w:pStyle w:val="12"/>
        <w:tabs>
          <w:tab w:val="left" w:pos="220"/>
        </w:tabs>
        <w:spacing w:before="3"/>
        <w:ind w:left="10" w:right="180" w:rightChars="82" w:hanging="10"/>
        <w:rPr>
          <w:color w:val="auto"/>
          <w:sz w:val="38"/>
        </w:rPr>
      </w:pPr>
    </w:p>
    <w:p>
      <w:pPr>
        <w:pStyle w:val="9"/>
        <w:tabs>
          <w:tab w:val="left" w:pos="220"/>
        </w:tabs>
        <w:spacing w:line="360" w:lineRule="auto"/>
        <w:ind w:left="10" w:right="180" w:rightChars="82" w:hanging="10"/>
        <w:rPr>
          <w:color w:val="auto"/>
        </w:rPr>
      </w:pPr>
      <w:r>
        <w:rPr>
          <w:rFonts w:hint="eastAsia"/>
          <w:color w:val="auto"/>
        </w:rPr>
        <w:t>34、招标代理服务费</w:t>
      </w:r>
    </w:p>
    <w:p>
      <w:pPr>
        <w:pStyle w:val="12"/>
        <w:tabs>
          <w:tab w:val="left" w:pos="220"/>
        </w:tabs>
        <w:spacing w:before="132" w:line="360" w:lineRule="auto"/>
        <w:ind w:left="10" w:right="180" w:rightChars="82" w:hanging="10"/>
        <w:jc w:val="both"/>
        <w:rPr>
          <w:rFonts w:hint="eastAsia"/>
          <w:color w:val="auto"/>
          <w:spacing w:val="-4"/>
        </w:rPr>
      </w:pPr>
      <w:r>
        <w:rPr>
          <w:rFonts w:hint="eastAsia"/>
          <w:color w:val="auto"/>
          <w:spacing w:val="-5"/>
        </w:rPr>
        <w:t>34.1、中标人领取中标通知书前，向广西盾邦工程项目管理有限公司一次性付清招标代理服务费，本项目</w:t>
      </w:r>
      <w:r>
        <w:rPr>
          <w:rFonts w:hint="eastAsia"/>
          <w:color w:val="auto"/>
          <w:spacing w:val="-4"/>
        </w:rPr>
        <w:t>的招标代理服务收费标准参照桂价费〔2011〕55号文件收费标准（服务招标类型）</w:t>
      </w:r>
      <w:r>
        <w:rPr>
          <w:rFonts w:hint="eastAsia"/>
          <w:color w:val="auto"/>
          <w:spacing w:val="-6"/>
        </w:rPr>
        <w:t>的规定向中</w:t>
      </w:r>
      <w:r>
        <w:rPr>
          <w:rFonts w:hint="eastAsia"/>
          <w:color w:val="auto"/>
          <w:spacing w:val="-4"/>
        </w:rPr>
        <w:t>标人收取。</w:t>
      </w:r>
    </w:p>
    <w:p>
      <w:pPr>
        <w:pStyle w:val="12"/>
        <w:tabs>
          <w:tab w:val="left" w:pos="220"/>
        </w:tabs>
        <w:spacing w:before="132" w:line="360" w:lineRule="auto"/>
        <w:ind w:left="10" w:right="180" w:rightChars="82" w:hanging="10"/>
        <w:jc w:val="both"/>
        <w:rPr>
          <w:rFonts w:hint="eastAsia"/>
          <w:color w:val="auto"/>
          <w:spacing w:val="-4"/>
        </w:rPr>
      </w:pPr>
      <w:r>
        <w:rPr>
          <w:rFonts w:hint="eastAsia"/>
          <w:color w:val="auto"/>
          <w:spacing w:val="-4"/>
        </w:rPr>
        <w:t>34.2、本项目的招标代理服务</w:t>
      </w:r>
      <w:r>
        <w:rPr>
          <w:rFonts w:hint="eastAsia"/>
          <w:color w:val="auto"/>
          <w:spacing w:val="-4"/>
          <w:lang w:eastAsia="zh-CN"/>
        </w:rPr>
        <w:t>费由</w:t>
      </w:r>
      <w:r>
        <w:rPr>
          <w:rFonts w:hint="eastAsia"/>
          <w:color w:val="auto"/>
          <w:spacing w:val="-4"/>
        </w:rPr>
        <w:t>中标人</w:t>
      </w:r>
      <w:r>
        <w:rPr>
          <w:rFonts w:hint="eastAsia"/>
          <w:color w:val="auto"/>
          <w:spacing w:val="-4"/>
          <w:lang w:eastAsia="zh-CN"/>
        </w:rPr>
        <w:t>支付</w:t>
      </w:r>
      <w:r>
        <w:rPr>
          <w:rFonts w:hint="eastAsia"/>
          <w:color w:val="auto"/>
          <w:spacing w:val="-4"/>
        </w:rPr>
        <w:t>，在领取中标通知书前，每个中标人须一次性向招标代理机构交纳中标服务费人民币壹万元整（</w:t>
      </w:r>
      <w:r>
        <w:rPr>
          <w:rFonts w:hint="default"/>
          <w:color w:val="auto"/>
          <w:spacing w:val="-4"/>
        </w:rPr>
        <w:t>¥</w:t>
      </w:r>
      <w:r>
        <w:rPr>
          <w:rFonts w:hint="eastAsia"/>
          <w:color w:val="auto"/>
          <w:spacing w:val="-4"/>
        </w:rPr>
        <w:t>10000.00）。</w:t>
      </w:r>
    </w:p>
    <w:p>
      <w:pPr>
        <w:pStyle w:val="12"/>
        <w:tabs>
          <w:tab w:val="left" w:pos="220"/>
        </w:tabs>
        <w:spacing w:before="132" w:line="360" w:lineRule="auto"/>
        <w:ind w:left="10" w:right="180" w:rightChars="82" w:hanging="10"/>
        <w:jc w:val="both"/>
        <w:rPr>
          <w:rFonts w:hint="eastAsia"/>
          <w:color w:val="auto"/>
          <w:spacing w:val="-4"/>
        </w:rPr>
      </w:pPr>
      <w:r>
        <w:rPr>
          <w:rFonts w:hint="eastAsia"/>
          <w:color w:val="auto"/>
          <w:spacing w:val="-4"/>
        </w:rPr>
        <w:t>开户名称：广西盾邦工程项目管理有限公司</w:t>
      </w:r>
    </w:p>
    <w:p>
      <w:pPr>
        <w:pStyle w:val="12"/>
        <w:tabs>
          <w:tab w:val="left" w:pos="220"/>
        </w:tabs>
        <w:spacing w:before="132" w:line="360" w:lineRule="auto"/>
        <w:ind w:left="10" w:right="180" w:rightChars="82" w:hanging="10"/>
        <w:jc w:val="both"/>
        <w:rPr>
          <w:rFonts w:hint="eastAsia"/>
          <w:color w:val="auto"/>
          <w:spacing w:val="-4"/>
        </w:rPr>
      </w:pPr>
      <w:r>
        <w:rPr>
          <w:rFonts w:hint="eastAsia"/>
          <w:color w:val="auto"/>
          <w:spacing w:val="-4"/>
        </w:rPr>
        <w:t>开户银行：中国建设银行股份有限公司南宁安吉路支行</w:t>
      </w:r>
    </w:p>
    <w:p>
      <w:pPr>
        <w:pStyle w:val="12"/>
        <w:tabs>
          <w:tab w:val="left" w:pos="220"/>
        </w:tabs>
        <w:spacing w:before="132" w:line="360" w:lineRule="auto"/>
        <w:ind w:left="10" w:right="180" w:rightChars="82" w:hanging="10"/>
        <w:jc w:val="both"/>
        <w:rPr>
          <w:rFonts w:hint="eastAsia"/>
          <w:color w:val="auto"/>
          <w:spacing w:val="-4"/>
        </w:rPr>
      </w:pPr>
      <w:r>
        <w:rPr>
          <w:rFonts w:hint="eastAsia"/>
          <w:color w:val="auto"/>
          <w:spacing w:val="-4"/>
        </w:rPr>
        <w:t>帐号：45050160477100000300</w:t>
      </w:r>
    </w:p>
    <w:p>
      <w:pPr>
        <w:pStyle w:val="12"/>
        <w:tabs>
          <w:tab w:val="left" w:pos="220"/>
        </w:tabs>
        <w:spacing w:before="132" w:line="360" w:lineRule="auto"/>
        <w:ind w:left="10" w:right="180" w:rightChars="82" w:hanging="10"/>
        <w:jc w:val="both"/>
        <w:rPr>
          <w:rFonts w:hint="eastAsia"/>
          <w:color w:val="auto"/>
          <w:spacing w:val="-4"/>
        </w:rPr>
      </w:pPr>
      <w:r>
        <w:rPr>
          <w:rFonts w:hint="eastAsia"/>
          <w:color w:val="auto"/>
          <w:spacing w:val="-4"/>
        </w:rPr>
        <w:t>35、解释权：本招标文件是根据《中华人民共和国政府采购法》和政府采购管理有关规定编制，本招标文件的解释权属于招标代理机构。</w:t>
      </w:r>
    </w:p>
    <w:p>
      <w:pPr>
        <w:pStyle w:val="12"/>
        <w:tabs>
          <w:tab w:val="left" w:pos="220"/>
        </w:tabs>
        <w:spacing w:before="132" w:line="360" w:lineRule="auto"/>
        <w:ind w:left="10" w:right="180" w:rightChars="82" w:hanging="10"/>
        <w:jc w:val="both"/>
        <w:rPr>
          <w:rFonts w:hint="eastAsia"/>
          <w:color w:val="auto"/>
          <w:spacing w:val="-4"/>
        </w:rPr>
        <w:sectPr>
          <w:headerReference r:id="rId10" w:type="default"/>
          <w:footerReference r:id="rId11" w:type="default"/>
          <w:pgSz w:w="11910" w:h="16840"/>
          <w:pgMar w:top="1134" w:right="1134" w:bottom="1134" w:left="1620" w:header="964" w:footer="894" w:gutter="0"/>
          <w:pgNumType w:fmt="decimal"/>
          <w:cols w:equalWidth="0" w:num="1">
            <w:col w:w="10250"/>
          </w:cols>
          <w:rtlGutter w:val="0"/>
        </w:sectPr>
      </w:pPr>
      <w:r>
        <w:rPr>
          <w:rFonts w:hint="eastAsia"/>
          <w:color w:val="auto"/>
          <w:spacing w:val="-4"/>
        </w:rPr>
        <w:t>36、监督管理机构：</w:t>
      </w:r>
      <w:r>
        <w:rPr>
          <w:rFonts w:hint="eastAsia"/>
          <w:color w:val="auto"/>
          <w:spacing w:val="-4"/>
          <w:lang w:eastAsia="zh-CN"/>
        </w:rPr>
        <w:t>巴马瑶族自治县</w:t>
      </w:r>
      <w:r>
        <w:rPr>
          <w:rFonts w:hint="eastAsia"/>
          <w:color w:val="auto"/>
          <w:spacing w:val="-4"/>
        </w:rPr>
        <w:t xml:space="preserve">政府采购管理办公室 </w:t>
      </w:r>
      <w:r>
        <w:rPr>
          <w:rFonts w:hint="eastAsia"/>
          <w:color w:val="auto"/>
          <w:spacing w:val="-4"/>
          <w:lang w:val="en-US" w:eastAsia="zh-CN"/>
        </w:rPr>
        <w:t>:</w:t>
      </w:r>
      <w:r>
        <w:rPr>
          <w:rFonts w:hint="eastAsia"/>
          <w:color w:val="auto"/>
          <w:spacing w:val="-4"/>
        </w:rPr>
        <w:t>0778-6221733。</w:t>
      </w:r>
    </w:p>
    <w:p>
      <w:pPr>
        <w:pStyle w:val="31"/>
        <w:tabs>
          <w:tab w:val="left" w:pos="420"/>
          <w:tab w:val="left" w:pos="1462"/>
        </w:tabs>
        <w:spacing w:before="130"/>
        <w:ind w:left="0" w:right="180" w:rightChars="82" w:firstLine="0"/>
        <w:rPr>
          <w:color w:val="auto"/>
          <w:spacing w:val="-3"/>
          <w:sz w:val="21"/>
        </w:rPr>
      </w:pPr>
    </w:p>
    <w:p>
      <w:pPr>
        <w:pStyle w:val="3"/>
        <w:tabs>
          <w:tab w:val="left" w:pos="0"/>
        </w:tabs>
        <w:spacing w:before="54"/>
        <w:ind w:left="0" w:right="180" w:rightChars="82" w:firstLine="2891" w:firstLineChars="900"/>
        <w:jc w:val="both"/>
        <w:rPr>
          <w:color w:val="auto"/>
        </w:rPr>
      </w:pPr>
      <w:bookmarkStart w:id="13" w:name="_TOC_250003"/>
      <w:bookmarkEnd w:id="13"/>
      <w:bookmarkStart w:id="14" w:name="_TOC_250007"/>
      <w:bookmarkEnd w:id="14"/>
      <w:bookmarkStart w:id="15" w:name="_Toc13647"/>
      <w:r>
        <w:rPr>
          <w:rFonts w:hint="eastAsia"/>
          <w:color w:val="auto"/>
        </w:rPr>
        <w:t>第三章</w:t>
      </w:r>
      <w:r>
        <w:rPr>
          <w:rFonts w:hint="eastAsia"/>
          <w:color w:val="auto"/>
        </w:rPr>
        <w:tab/>
      </w:r>
      <w:r>
        <w:rPr>
          <w:rFonts w:hint="eastAsia"/>
          <w:color w:val="auto"/>
        </w:rPr>
        <w:t>项目需求和说明</w:t>
      </w:r>
      <w:bookmarkEnd w:id="15"/>
    </w:p>
    <w:p>
      <w:pPr>
        <w:pStyle w:val="12"/>
        <w:ind w:right="180" w:rightChars="82"/>
        <w:rPr>
          <w:b/>
          <w:color w:val="auto"/>
          <w:sz w:val="32"/>
        </w:rPr>
      </w:pPr>
    </w:p>
    <w:p>
      <w:pPr>
        <w:pStyle w:val="9"/>
        <w:tabs>
          <w:tab w:val="left" w:pos="660"/>
          <w:tab w:val="left" w:pos="8580"/>
        </w:tabs>
        <w:spacing w:line="460" w:lineRule="exact"/>
        <w:ind w:left="0" w:leftChars="0" w:right="134" w:rightChars="61" w:firstLine="0" w:firstLineChars="0"/>
        <w:rPr>
          <w:color w:val="auto"/>
          <w:sz w:val="24"/>
          <w:szCs w:val="24"/>
        </w:rPr>
      </w:pPr>
      <w:r>
        <w:rPr>
          <w:rFonts w:hint="eastAsia"/>
          <w:color w:val="auto"/>
          <w:sz w:val="24"/>
          <w:szCs w:val="24"/>
        </w:rPr>
        <w:t>一、项目概况</w:t>
      </w:r>
    </w:p>
    <w:p>
      <w:pPr>
        <w:pStyle w:val="12"/>
        <w:tabs>
          <w:tab w:val="left" w:pos="660"/>
          <w:tab w:val="left" w:pos="8580"/>
        </w:tabs>
        <w:spacing w:before="91" w:line="360" w:lineRule="auto"/>
        <w:ind w:left="0" w:leftChars="0" w:right="134" w:rightChars="61" w:firstLine="404" w:firstLineChars="200"/>
        <w:jc w:val="both"/>
        <w:rPr>
          <w:color w:val="auto"/>
          <w:spacing w:val="-4"/>
        </w:rPr>
      </w:pPr>
      <w:r>
        <w:rPr>
          <w:rFonts w:hint="eastAsia"/>
          <w:color w:val="auto"/>
          <w:spacing w:val="-4"/>
        </w:rPr>
        <w:t>为加强</w:t>
      </w:r>
      <w:r>
        <w:rPr>
          <w:rFonts w:hint="eastAsia"/>
          <w:color w:val="auto"/>
          <w:spacing w:val="-4"/>
          <w:lang w:eastAsia="zh-CN"/>
        </w:rPr>
        <w:t>巴马瑶族自治县政府</w:t>
      </w:r>
      <w:r>
        <w:rPr>
          <w:rFonts w:hint="eastAsia"/>
          <w:color w:val="auto"/>
          <w:spacing w:val="-4"/>
        </w:rPr>
        <w:t>投资</w:t>
      </w:r>
      <w:r>
        <w:rPr>
          <w:rFonts w:hint="eastAsia"/>
          <w:color w:val="auto"/>
          <w:spacing w:val="-4"/>
          <w:lang w:eastAsia="zh-CN"/>
        </w:rPr>
        <w:t>预算评审</w:t>
      </w:r>
      <w:r>
        <w:rPr>
          <w:rFonts w:hint="eastAsia"/>
          <w:color w:val="auto"/>
          <w:spacing w:val="-4"/>
        </w:rPr>
        <w:t>项目前期服务工作的监督管理，规范政府采购行为，降低采购成本，提高采购效益</w:t>
      </w:r>
      <w:r>
        <w:rPr>
          <w:rFonts w:hint="eastAsia"/>
          <w:color w:val="auto"/>
          <w:spacing w:val="-4"/>
          <w:lang w:val="en-US" w:eastAsia="zh-CN"/>
        </w:rPr>
        <w:t xml:space="preserve"> </w:t>
      </w:r>
      <w:r>
        <w:rPr>
          <w:rFonts w:hint="eastAsia"/>
          <w:color w:val="auto"/>
          <w:spacing w:val="-4"/>
        </w:rPr>
        <w:t>，根据有关规定</w:t>
      </w:r>
      <w:r>
        <w:rPr>
          <w:rFonts w:hint="eastAsia"/>
          <w:color w:val="auto"/>
          <w:spacing w:val="-4"/>
          <w:lang w:val="en-US" w:eastAsia="zh-CN"/>
        </w:rPr>
        <w:t xml:space="preserve"> </w:t>
      </w:r>
      <w:r>
        <w:rPr>
          <w:rFonts w:hint="eastAsia"/>
          <w:color w:val="auto"/>
          <w:spacing w:val="-4"/>
        </w:rPr>
        <w:t>，对我县政府投资项目预算</w:t>
      </w:r>
      <w:r>
        <w:rPr>
          <w:rFonts w:hint="eastAsia"/>
          <w:color w:val="auto"/>
          <w:spacing w:val="-4"/>
          <w:lang w:eastAsia="zh-CN"/>
        </w:rPr>
        <w:t>审核</w:t>
      </w:r>
      <w:r>
        <w:rPr>
          <w:rFonts w:hint="eastAsia"/>
          <w:color w:val="auto"/>
          <w:spacing w:val="-4"/>
        </w:rPr>
        <w:t>工程造价咨询服务采购进行国内公开招标，确定符合条件的造价咨询中介机构</w:t>
      </w:r>
      <w:r>
        <w:rPr>
          <w:rFonts w:hint="eastAsia"/>
          <w:color w:val="auto"/>
          <w:sz w:val="21"/>
          <w:szCs w:val="21"/>
        </w:rPr>
        <w:t>协助</w:t>
      </w:r>
      <w:r>
        <w:rPr>
          <w:rFonts w:hint="eastAsia"/>
          <w:color w:val="auto"/>
          <w:sz w:val="21"/>
          <w:szCs w:val="21"/>
          <w:lang w:eastAsia="zh-CN"/>
        </w:rPr>
        <w:t>巴马瑶族自治县</w:t>
      </w:r>
      <w:r>
        <w:rPr>
          <w:rFonts w:hint="eastAsia"/>
          <w:color w:val="auto"/>
          <w:sz w:val="21"/>
          <w:szCs w:val="21"/>
        </w:rPr>
        <w:t>财政局进行</w:t>
      </w:r>
      <w:r>
        <w:rPr>
          <w:rFonts w:hint="eastAsia"/>
          <w:color w:val="auto"/>
          <w:sz w:val="21"/>
          <w:szCs w:val="21"/>
          <w:lang w:eastAsia="zh-CN"/>
        </w:rPr>
        <w:t>政府</w:t>
      </w:r>
      <w:r>
        <w:rPr>
          <w:rFonts w:hint="eastAsia"/>
          <w:color w:val="auto"/>
          <w:sz w:val="21"/>
          <w:szCs w:val="21"/>
        </w:rPr>
        <w:t>投资</w:t>
      </w:r>
      <w:r>
        <w:rPr>
          <w:rFonts w:hint="eastAsia"/>
          <w:color w:val="auto"/>
          <w:sz w:val="21"/>
          <w:szCs w:val="21"/>
          <w:lang w:eastAsia="zh-CN"/>
        </w:rPr>
        <w:t>预算评审</w:t>
      </w:r>
      <w:r>
        <w:rPr>
          <w:rFonts w:hint="eastAsia"/>
          <w:color w:val="auto"/>
          <w:sz w:val="21"/>
          <w:szCs w:val="21"/>
        </w:rPr>
        <w:t>工作</w:t>
      </w:r>
      <w:r>
        <w:rPr>
          <w:rFonts w:hint="eastAsia"/>
          <w:color w:val="auto"/>
          <w:spacing w:val="-4"/>
        </w:rPr>
        <w:t>。</w:t>
      </w:r>
    </w:p>
    <w:p>
      <w:pPr>
        <w:pStyle w:val="9"/>
        <w:tabs>
          <w:tab w:val="left" w:pos="660"/>
          <w:tab w:val="left" w:pos="8580"/>
        </w:tabs>
        <w:spacing w:line="460" w:lineRule="exact"/>
        <w:ind w:left="0" w:leftChars="0" w:right="134" w:rightChars="61" w:firstLine="0" w:firstLineChars="0"/>
        <w:jc w:val="both"/>
        <w:rPr>
          <w:color w:val="auto"/>
          <w:sz w:val="24"/>
          <w:szCs w:val="24"/>
        </w:rPr>
      </w:pPr>
      <w:r>
        <w:rPr>
          <w:rFonts w:hint="eastAsia"/>
          <w:color w:val="auto"/>
          <w:sz w:val="24"/>
          <w:szCs w:val="24"/>
        </w:rPr>
        <w:t>二、招标内容及主要业务</w:t>
      </w:r>
    </w:p>
    <w:p>
      <w:pPr>
        <w:pStyle w:val="31"/>
        <w:tabs>
          <w:tab w:val="left" w:pos="660"/>
          <w:tab w:val="left" w:pos="8580"/>
        </w:tabs>
        <w:spacing w:before="91" w:line="360" w:lineRule="auto"/>
        <w:ind w:left="0" w:leftChars="0" w:right="134" w:rightChars="61" w:firstLine="408" w:firstLineChars="200"/>
        <w:jc w:val="both"/>
        <w:rPr>
          <w:color w:val="auto"/>
          <w:sz w:val="21"/>
        </w:rPr>
      </w:pPr>
      <w:r>
        <w:rPr>
          <w:rFonts w:hint="eastAsia"/>
          <w:color w:val="auto"/>
          <w:spacing w:val="-3"/>
          <w:sz w:val="21"/>
        </w:rPr>
        <w:t>1、</w:t>
      </w:r>
      <w:r>
        <w:rPr>
          <w:rFonts w:hint="eastAsia"/>
          <w:color w:val="auto"/>
          <w:sz w:val="21"/>
          <w:szCs w:val="21"/>
        </w:rPr>
        <w:t>通过公开招标，按综合评分排名确定10家具备乙级及以上资质的工程造价咨询中介机构作为</w:t>
      </w:r>
      <w:r>
        <w:rPr>
          <w:rFonts w:hint="eastAsia"/>
          <w:color w:val="auto"/>
          <w:sz w:val="21"/>
          <w:szCs w:val="21"/>
          <w:lang w:eastAsia="zh-CN"/>
        </w:rPr>
        <w:t>巴马瑶族自治县政府</w:t>
      </w:r>
      <w:r>
        <w:rPr>
          <w:rFonts w:hint="eastAsia"/>
          <w:color w:val="auto"/>
          <w:sz w:val="21"/>
          <w:szCs w:val="21"/>
        </w:rPr>
        <w:t>投资评审中心造价咨询服务机构（如少于10家，按实际情况确定），协助</w:t>
      </w:r>
      <w:r>
        <w:rPr>
          <w:rFonts w:hint="eastAsia"/>
          <w:color w:val="auto"/>
          <w:sz w:val="21"/>
          <w:szCs w:val="21"/>
          <w:lang w:eastAsia="zh-CN"/>
        </w:rPr>
        <w:t>巴马瑶族自治县</w:t>
      </w:r>
      <w:r>
        <w:rPr>
          <w:rFonts w:hint="eastAsia"/>
          <w:color w:val="auto"/>
          <w:sz w:val="21"/>
          <w:szCs w:val="21"/>
        </w:rPr>
        <w:t>财政局进行</w:t>
      </w:r>
      <w:r>
        <w:rPr>
          <w:rFonts w:hint="eastAsia"/>
          <w:color w:val="auto"/>
          <w:sz w:val="21"/>
          <w:szCs w:val="21"/>
          <w:lang w:eastAsia="zh-CN"/>
        </w:rPr>
        <w:t>政府</w:t>
      </w:r>
      <w:r>
        <w:rPr>
          <w:rFonts w:hint="eastAsia"/>
          <w:color w:val="auto"/>
          <w:sz w:val="21"/>
          <w:szCs w:val="21"/>
        </w:rPr>
        <w:t>投资</w:t>
      </w:r>
      <w:r>
        <w:rPr>
          <w:rFonts w:hint="eastAsia"/>
          <w:color w:val="auto"/>
          <w:sz w:val="21"/>
          <w:szCs w:val="21"/>
          <w:lang w:eastAsia="zh-CN"/>
        </w:rPr>
        <w:t>预算评审</w:t>
      </w:r>
      <w:r>
        <w:rPr>
          <w:rFonts w:hint="eastAsia"/>
          <w:color w:val="auto"/>
          <w:sz w:val="21"/>
          <w:szCs w:val="21"/>
        </w:rPr>
        <w:t>工作。</w:t>
      </w:r>
    </w:p>
    <w:p>
      <w:pPr>
        <w:pStyle w:val="31"/>
        <w:tabs>
          <w:tab w:val="left" w:pos="660"/>
          <w:tab w:val="left" w:pos="8580"/>
        </w:tabs>
        <w:spacing w:before="91" w:line="360" w:lineRule="auto"/>
        <w:ind w:left="0" w:leftChars="0" w:right="134" w:rightChars="61" w:firstLine="420" w:firstLineChars="200"/>
        <w:jc w:val="both"/>
        <w:rPr>
          <w:color w:val="auto"/>
          <w:sz w:val="21"/>
          <w:szCs w:val="21"/>
        </w:rPr>
      </w:pPr>
      <w:r>
        <w:rPr>
          <w:rFonts w:hint="eastAsia"/>
          <w:color w:val="auto"/>
          <w:sz w:val="21"/>
          <w:szCs w:val="21"/>
        </w:rPr>
        <w:t>2、协审机构在</w:t>
      </w:r>
      <w:r>
        <w:rPr>
          <w:rFonts w:hint="eastAsia"/>
          <w:color w:val="auto"/>
          <w:sz w:val="21"/>
          <w:szCs w:val="21"/>
          <w:lang w:eastAsia="zh-CN"/>
        </w:rPr>
        <w:t>审核巴马瑶族自治县</w:t>
      </w:r>
      <w:r>
        <w:rPr>
          <w:rFonts w:hint="eastAsia"/>
          <w:color w:val="auto"/>
          <w:sz w:val="21"/>
          <w:szCs w:val="21"/>
        </w:rPr>
        <w:t>财政局委托</w:t>
      </w:r>
      <w:r>
        <w:rPr>
          <w:rFonts w:hint="eastAsia"/>
          <w:color w:val="auto"/>
          <w:sz w:val="21"/>
          <w:szCs w:val="21"/>
          <w:lang w:eastAsia="zh-CN"/>
        </w:rPr>
        <w:t>审核</w:t>
      </w:r>
      <w:r>
        <w:rPr>
          <w:rFonts w:hint="eastAsia"/>
          <w:color w:val="auto"/>
          <w:sz w:val="21"/>
          <w:szCs w:val="21"/>
        </w:rPr>
        <w:t>的项目时，必须从协审机构拟投入的</w:t>
      </w:r>
      <w:r>
        <w:rPr>
          <w:rFonts w:hint="eastAsia"/>
          <w:color w:val="auto"/>
          <w:sz w:val="21"/>
          <w:szCs w:val="21"/>
          <w:lang w:eastAsia="zh-CN"/>
        </w:rPr>
        <w:t>审核</w:t>
      </w:r>
      <w:r>
        <w:rPr>
          <w:rFonts w:hint="eastAsia"/>
          <w:color w:val="auto"/>
          <w:sz w:val="21"/>
          <w:szCs w:val="21"/>
        </w:rPr>
        <w:t>人员中安排。在有效服务期内，协审机构委派的技术负责人和协审人员必须与投标时承诺的人员一致（增加不限，但不增加服务报酬），未经</w:t>
      </w:r>
      <w:r>
        <w:rPr>
          <w:rFonts w:hint="eastAsia"/>
          <w:color w:val="auto"/>
          <w:sz w:val="21"/>
          <w:szCs w:val="21"/>
          <w:lang w:eastAsia="zh-CN"/>
        </w:rPr>
        <w:t>巴马瑶族自治县</w:t>
      </w:r>
      <w:r>
        <w:rPr>
          <w:rFonts w:hint="eastAsia"/>
          <w:color w:val="auto"/>
          <w:sz w:val="21"/>
          <w:szCs w:val="21"/>
        </w:rPr>
        <w:t>财政局同意，擅自更换投标时承诺的技术负责人和协审人员的，</w:t>
      </w:r>
      <w:r>
        <w:rPr>
          <w:rFonts w:hint="eastAsia"/>
          <w:color w:val="auto"/>
          <w:sz w:val="21"/>
          <w:szCs w:val="21"/>
          <w:lang w:eastAsia="zh-CN"/>
        </w:rPr>
        <w:t>巴马瑶族自治县</w:t>
      </w:r>
      <w:r>
        <w:rPr>
          <w:rFonts w:hint="eastAsia"/>
          <w:color w:val="auto"/>
          <w:sz w:val="21"/>
          <w:szCs w:val="21"/>
        </w:rPr>
        <w:t>财政局有权终止合同。</w:t>
      </w:r>
    </w:p>
    <w:p>
      <w:pPr>
        <w:pStyle w:val="31"/>
        <w:tabs>
          <w:tab w:val="left" w:pos="660"/>
          <w:tab w:val="left" w:pos="8580"/>
        </w:tabs>
        <w:spacing w:before="91" w:line="360" w:lineRule="auto"/>
        <w:ind w:left="0" w:leftChars="0" w:right="134" w:rightChars="61" w:firstLine="420" w:firstLineChars="200"/>
        <w:jc w:val="both"/>
        <w:rPr>
          <w:color w:val="auto"/>
          <w:sz w:val="21"/>
          <w:szCs w:val="21"/>
        </w:rPr>
      </w:pPr>
      <w:r>
        <w:rPr>
          <w:rFonts w:hint="eastAsia"/>
          <w:color w:val="auto"/>
          <w:sz w:val="21"/>
          <w:szCs w:val="21"/>
        </w:rPr>
        <w:t>3、采购人对中标后的技术负责人和协审人员实行登记备案管理。投标人中标后，须将本单位拟投入技术负责人和协审服务人员的花名册以及个人详细资料(附身份证、学历、资质证明文件的复印件)通过书面和电子文档形式报采购人登记备案，并向采购人及时上报合作过程中本单位</w:t>
      </w:r>
      <w:r>
        <w:rPr>
          <w:rFonts w:hint="eastAsia"/>
          <w:color w:val="auto"/>
          <w:sz w:val="21"/>
          <w:szCs w:val="21"/>
          <w:lang w:eastAsia="zh-CN"/>
        </w:rPr>
        <w:t>审核</w:t>
      </w:r>
      <w:r>
        <w:rPr>
          <w:rFonts w:hint="eastAsia"/>
          <w:color w:val="auto"/>
          <w:sz w:val="21"/>
          <w:szCs w:val="21"/>
        </w:rPr>
        <w:t>员的变动情况。</w:t>
      </w:r>
    </w:p>
    <w:p>
      <w:pPr>
        <w:pStyle w:val="31"/>
        <w:tabs>
          <w:tab w:val="left" w:pos="660"/>
          <w:tab w:val="left" w:pos="8580"/>
        </w:tabs>
        <w:spacing w:before="91" w:line="360" w:lineRule="auto"/>
        <w:ind w:left="0" w:leftChars="0" w:right="134" w:rightChars="61" w:firstLine="420" w:firstLineChars="200"/>
        <w:jc w:val="both"/>
        <w:rPr>
          <w:color w:val="auto"/>
          <w:sz w:val="21"/>
          <w:szCs w:val="21"/>
        </w:rPr>
      </w:pPr>
      <w:r>
        <w:rPr>
          <w:rFonts w:hint="eastAsia"/>
          <w:color w:val="auto"/>
          <w:sz w:val="21"/>
          <w:szCs w:val="21"/>
        </w:rPr>
        <w:t xml:space="preserve">4、如投标人拟投入的人员中出现人员重复的，以提供原件的为准。  </w:t>
      </w:r>
    </w:p>
    <w:p>
      <w:pPr>
        <w:pStyle w:val="31"/>
        <w:tabs>
          <w:tab w:val="left" w:pos="660"/>
          <w:tab w:val="left" w:pos="8580"/>
        </w:tabs>
        <w:spacing w:line="360" w:lineRule="auto"/>
        <w:ind w:left="0" w:leftChars="0" w:right="134" w:rightChars="61" w:firstLine="408" w:firstLineChars="200"/>
        <w:jc w:val="both"/>
        <w:rPr>
          <w:color w:val="auto"/>
          <w:sz w:val="21"/>
        </w:rPr>
      </w:pPr>
      <w:r>
        <w:rPr>
          <w:rFonts w:hint="eastAsia"/>
          <w:color w:val="auto"/>
          <w:spacing w:val="-3"/>
          <w:sz w:val="21"/>
        </w:rPr>
        <w:t>5、回避原则：协审机构参与所</w:t>
      </w:r>
      <w:r>
        <w:rPr>
          <w:rFonts w:hint="eastAsia"/>
          <w:color w:val="auto"/>
          <w:spacing w:val="-3"/>
          <w:sz w:val="21"/>
          <w:lang w:eastAsia="zh-CN"/>
        </w:rPr>
        <w:t>审核</w:t>
      </w:r>
      <w:r>
        <w:rPr>
          <w:rFonts w:hint="eastAsia"/>
          <w:color w:val="auto"/>
          <w:spacing w:val="-3"/>
          <w:sz w:val="21"/>
        </w:rPr>
        <w:t>项目的工程造价编制、设计、施工、监理等相关业务，则不得参与所</w:t>
      </w:r>
      <w:r>
        <w:rPr>
          <w:rFonts w:hint="eastAsia"/>
          <w:color w:val="auto"/>
          <w:spacing w:val="-3"/>
          <w:sz w:val="21"/>
          <w:lang w:eastAsia="zh-CN"/>
        </w:rPr>
        <w:t>审核</w:t>
      </w:r>
      <w:r>
        <w:rPr>
          <w:rFonts w:hint="eastAsia"/>
          <w:color w:val="auto"/>
          <w:spacing w:val="-3"/>
          <w:sz w:val="21"/>
        </w:rPr>
        <w:t>项目的协审工作。</w:t>
      </w:r>
    </w:p>
    <w:p>
      <w:pPr>
        <w:pStyle w:val="31"/>
        <w:tabs>
          <w:tab w:val="left" w:pos="660"/>
          <w:tab w:val="left" w:pos="8580"/>
        </w:tabs>
        <w:spacing w:line="360" w:lineRule="auto"/>
        <w:ind w:left="0" w:leftChars="0" w:right="134" w:rightChars="61" w:firstLine="408" w:firstLineChars="200"/>
        <w:jc w:val="both"/>
        <w:rPr>
          <w:color w:val="auto"/>
          <w:sz w:val="21"/>
        </w:rPr>
      </w:pPr>
      <w:r>
        <w:rPr>
          <w:rFonts w:hint="eastAsia"/>
          <w:color w:val="auto"/>
          <w:spacing w:val="-3"/>
          <w:sz w:val="21"/>
        </w:rPr>
        <w:t>6、</w:t>
      </w:r>
      <w:r>
        <w:rPr>
          <w:rFonts w:hint="eastAsia"/>
          <w:color w:val="auto"/>
          <w:spacing w:val="-3"/>
          <w:sz w:val="21"/>
          <w:lang w:eastAsia="zh-CN"/>
        </w:rPr>
        <w:t>巴马瑶族自治县</w:t>
      </w:r>
      <w:r>
        <w:rPr>
          <w:rFonts w:hint="eastAsia"/>
          <w:color w:val="auto"/>
          <w:spacing w:val="-3"/>
          <w:sz w:val="21"/>
        </w:rPr>
        <w:t>财政局对市内外单位进行财政专项资金使用情况专项检查，或进行其他与财</w:t>
      </w:r>
      <w:r>
        <w:rPr>
          <w:rFonts w:hint="eastAsia"/>
          <w:color w:val="auto"/>
          <w:spacing w:val="-3"/>
          <w:sz w:val="21"/>
          <w:lang w:eastAsia="zh-CN"/>
        </w:rPr>
        <w:t>审</w:t>
      </w:r>
      <w:r>
        <w:rPr>
          <w:rFonts w:hint="eastAsia"/>
          <w:color w:val="auto"/>
          <w:spacing w:val="-3"/>
          <w:sz w:val="21"/>
        </w:rPr>
        <w:t>相关的工作需要以上协审机构协助或参与时，协审机构应给予大力支持，费用另行商议支付。</w:t>
      </w:r>
    </w:p>
    <w:p>
      <w:pPr>
        <w:pStyle w:val="9"/>
        <w:tabs>
          <w:tab w:val="left" w:pos="660"/>
          <w:tab w:val="left" w:pos="8580"/>
        </w:tabs>
        <w:spacing w:line="460" w:lineRule="exact"/>
        <w:ind w:left="0" w:leftChars="0" w:right="134" w:rightChars="61" w:firstLine="0" w:firstLineChars="0"/>
        <w:jc w:val="both"/>
        <w:rPr>
          <w:color w:val="auto"/>
          <w:sz w:val="24"/>
          <w:szCs w:val="24"/>
        </w:rPr>
      </w:pPr>
      <w:r>
        <w:rPr>
          <w:rFonts w:hint="eastAsia"/>
          <w:color w:val="auto"/>
          <w:sz w:val="24"/>
          <w:szCs w:val="24"/>
        </w:rPr>
        <w:t>三、服务有效期</w:t>
      </w:r>
    </w:p>
    <w:p>
      <w:pPr>
        <w:pStyle w:val="31"/>
        <w:tabs>
          <w:tab w:val="left" w:pos="660"/>
          <w:tab w:val="left" w:pos="8580"/>
        </w:tabs>
        <w:spacing w:line="360" w:lineRule="auto"/>
        <w:ind w:left="0" w:leftChars="0" w:right="134" w:rightChars="61" w:firstLine="408" w:firstLineChars="200"/>
        <w:jc w:val="both"/>
        <w:rPr>
          <w:color w:val="auto"/>
          <w:spacing w:val="-3"/>
          <w:sz w:val="21"/>
        </w:rPr>
      </w:pPr>
      <w:r>
        <w:rPr>
          <w:rFonts w:hint="eastAsia"/>
          <w:color w:val="auto"/>
          <w:spacing w:val="-3"/>
          <w:sz w:val="21"/>
        </w:rPr>
        <w:t>1、本次服务采购有效期为两年，具体时间以签订合同时间为准。</w:t>
      </w:r>
    </w:p>
    <w:p>
      <w:pPr>
        <w:pStyle w:val="9"/>
        <w:tabs>
          <w:tab w:val="left" w:pos="8580"/>
        </w:tabs>
        <w:spacing w:line="460" w:lineRule="exact"/>
        <w:ind w:left="0" w:leftChars="0" w:right="134" w:rightChars="61" w:firstLine="0" w:firstLineChars="0"/>
        <w:jc w:val="both"/>
        <w:rPr>
          <w:color w:val="auto"/>
          <w:sz w:val="24"/>
          <w:szCs w:val="24"/>
        </w:rPr>
      </w:pPr>
      <w:r>
        <w:rPr>
          <w:rFonts w:hint="eastAsia"/>
          <w:color w:val="auto"/>
          <w:sz w:val="24"/>
          <w:szCs w:val="24"/>
        </w:rPr>
        <w:t>四、</w:t>
      </w:r>
      <w:r>
        <w:rPr>
          <w:rFonts w:hint="eastAsia"/>
          <w:color w:val="auto"/>
          <w:sz w:val="24"/>
          <w:szCs w:val="24"/>
          <w:lang w:eastAsia="zh-CN"/>
        </w:rPr>
        <w:t>审核</w:t>
      </w:r>
      <w:r>
        <w:rPr>
          <w:rFonts w:hint="eastAsia"/>
          <w:color w:val="auto"/>
          <w:sz w:val="24"/>
          <w:szCs w:val="24"/>
        </w:rPr>
        <w:t>服务费费率要求</w:t>
      </w:r>
    </w:p>
    <w:p>
      <w:pPr>
        <w:pStyle w:val="12"/>
        <w:spacing w:line="360" w:lineRule="auto"/>
        <w:ind w:left="0" w:leftChars="0" w:right="134" w:rightChars="61" w:firstLine="563" w:firstLineChars="275"/>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1、本项目投标报价：工程</w:t>
      </w:r>
      <w:r>
        <w:rPr>
          <w:rFonts w:hint="eastAsia" w:cs="宋体"/>
          <w:b/>
          <w:bCs/>
          <w:color w:val="auto"/>
          <w:spacing w:val="-3"/>
          <w:sz w:val="21"/>
          <w:szCs w:val="22"/>
          <w:lang w:val="en-US" w:eastAsia="zh-CN" w:bidi="ar-SA"/>
        </w:rPr>
        <w:t>预算评审</w:t>
      </w:r>
      <w:r>
        <w:rPr>
          <w:rFonts w:hint="eastAsia" w:ascii="宋体" w:hAnsi="宋体" w:eastAsia="宋体" w:cs="宋体"/>
          <w:b/>
          <w:bCs/>
          <w:color w:val="auto"/>
          <w:spacing w:val="-3"/>
          <w:sz w:val="21"/>
          <w:szCs w:val="22"/>
          <w:lang w:val="en-US" w:eastAsia="zh-CN" w:bidi="ar-SA"/>
        </w:rPr>
        <w:t>基本费部分和审核效益费部分均采用</w:t>
      </w:r>
      <w:r>
        <w:rPr>
          <w:rFonts w:hint="eastAsia" w:cs="宋体"/>
          <w:b/>
          <w:bCs/>
          <w:color w:val="auto"/>
          <w:spacing w:val="-3"/>
          <w:sz w:val="21"/>
          <w:szCs w:val="22"/>
          <w:lang w:val="en-US" w:eastAsia="zh-CN" w:bidi="ar-SA"/>
        </w:rPr>
        <w:t>系数</w:t>
      </w:r>
      <w:r>
        <w:rPr>
          <w:rFonts w:hint="eastAsia" w:ascii="宋体" w:hAnsi="宋体" w:eastAsia="宋体" w:cs="宋体"/>
          <w:b/>
          <w:bCs/>
          <w:color w:val="auto"/>
          <w:spacing w:val="-3"/>
          <w:sz w:val="21"/>
          <w:szCs w:val="22"/>
          <w:lang w:val="en-US" w:eastAsia="zh-CN" w:bidi="ar-SA"/>
        </w:rPr>
        <w:t>报价。（报价取小数点后2位）</w:t>
      </w:r>
    </w:p>
    <w:p>
      <w:pPr>
        <w:pStyle w:val="12"/>
        <w:spacing w:line="360" w:lineRule="auto"/>
        <w:ind w:left="0" w:leftChars="0" w:right="134" w:rightChars="61" w:firstLine="563" w:firstLineChars="275"/>
        <w:jc w:val="both"/>
        <w:rPr>
          <w:rFonts w:hint="eastAsia" w:ascii="宋体" w:hAnsi="宋体" w:eastAsia="宋体" w:cs="宋体"/>
          <w:b/>
          <w:bCs/>
          <w:color w:val="auto"/>
          <w:spacing w:val="-3"/>
          <w:sz w:val="21"/>
          <w:szCs w:val="22"/>
          <w:lang w:val="en-US" w:eastAsia="zh-CN" w:bidi="ar-SA"/>
        </w:rPr>
      </w:pPr>
      <w:r>
        <w:rPr>
          <w:rFonts w:hint="eastAsia" w:cs="宋体"/>
          <w:b/>
          <w:bCs/>
          <w:color w:val="auto"/>
          <w:spacing w:val="-3"/>
          <w:sz w:val="21"/>
          <w:szCs w:val="22"/>
          <w:lang w:val="en-US" w:eastAsia="zh-CN" w:bidi="ar-SA"/>
        </w:rPr>
        <w:t>2、</w:t>
      </w:r>
      <w:r>
        <w:rPr>
          <w:rFonts w:hint="eastAsia" w:ascii="宋体" w:hAnsi="宋体" w:eastAsia="宋体" w:cs="宋体"/>
          <w:b/>
          <w:bCs/>
          <w:color w:val="auto"/>
          <w:spacing w:val="-3"/>
          <w:sz w:val="21"/>
          <w:szCs w:val="22"/>
          <w:lang w:val="en-US" w:eastAsia="zh-CN" w:bidi="ar-SA"/>
        </w:rPr>
        <w:t>有效报价范围为：工程</w:t>
      </w:r>
      <w:r>
        <w:rPr>
          <w:rFonts w:hint="eastAsia" w:cs="宋体"/>
          <w:b/>
          <w:bCs/>
          <w:color w:val="auto"/>
          <w:spacing w:val="-3"/>
          <w:sz w:val="21"/>
          <w:szCs w:val="22"/>
          <w:lang w:val="en-US" w:eastAsia="zh-CN" w:bidi="ar-SA"/>
        </w:rPr>
        <w:t>预算评审</w:t>
      </w:r>
      <w:r>
        <w:rPr>
          <w:rFonts w:hint="eastAsia" w:ascii="宋体" w:hAnsi="宋体" w:eastAsia="宋体" w:cs="宋体"/>
          <w:b/>
          <w:bCs/>
          <w:color w:val="auto"/>
          <w:spacing w:val="-3"/>
          <w:sz w:val="21"/>
          <w:szCs w:val="22"/>
          <w:lang w:val="en-US" w:eastAsia="zh-CN" w:bidi="ar-SA"/>
        </w:rPr>
        <w:t>基本费部分下浮系数(a):</w:t>
      </w:r>
      <w:r>
        <w:rPr>
          <w:rFonts w:hint="eastAsia" w:cs="宋体"/>
          <w:b/>
          <w:bCs/>
          <w:color w:val="auto"/>
          <w:spacing w:val="-3"/>
          <w:sz w:val="21"/>
          <w:szCs w:val="22"/>
          <w:lang w:val="en-US" w:eastAsia="zh-CN" w:bidi="ar-SA"/>
        </w:rPr>
        <w:t>4</w:t>
      </w:r>
      <w:r>
        <w:rPr>
          <w:rFonts w:hint="eastAsia" w:ascii="宋体" w:hAnsi="宋体" w:eastAsia="宋体" w:cs="宋体"/>
          <w:b/>
          <w:bCs/>
          <w:color w:val="auto"/>
          <w:spacing w:val="-3"/>
          <w:sz w:val="21"/>
          <w:szCs w:val="22"/>
          <w:lang w:val="en-US" w:eastAsia="zh-CN" w:bidi="ar-SA"/>
        </w:rPr>
        <w:t>0%≤a＜</w:t>
      </w:r>
      <w:r>
        <w:rPr>
          <w:rFonts w:hint="eastAsia" w:cs="宋体"/>
          <w:b/>
          <w:bCs/>
          <w:color w:val="auto"/>
          <w:spacing w:val="-3"/>
          <w:sz w:val="21"/>
          <w:szCs w:val="22"/>
          <w:lang w:val="en-US" w:eastAsia="zh-CN" w:bidi="ar-SA"/>
        </w:rPr>
        <w:t>5</w:t>
      </w:r>
      <w:r>
        <w:rPr>
          <w:rFonts w:hint="eastAsia" w:ascii="宋体" w:hAnsi="宋体" w:eastAsia="宋体" w:cs="宋体"/>
          <w:b/>
          <w:bCs/>
          <w:color w:val="auto"/>
          <w:spacing w:val="-3"/>
          <w:sz w:val="21"/>
          <w:szCs w:val="22"/>
          <w:lang w:val="en-US" w:eastAsia="zh-CN" w:bidi="ar-SA"/>
        </w:rPr>
        <w:t xml:space="preserve">0%，工程预算评审效益费部分费率(b): </w:t>
      </w:r>
      <w:r>
        <w:rPr>
          <w:rFonts w:hint="eastAsia" w:cs="宋体"/>
          <w:b/>
          <w:bCs/>
          <w:color w:val="auto"/>
          <w:spacing w:val="-3"/>
          <w:sz w:val="21"/>
          <w:szCs w:val="22"/>
          <w:lang w:val="en-US" w:eastAsia="zh-CN" w:bidi="ar-SA"/>
        </w:rPr>
        <w:t>1</w:t>
      </w:r>
      <w:r>
        <w:rPr>
          <w:rFonts w:hint="eastAsia" w:ascii="宋体" w:hAnsi="宋体" w:eastAsia="宋体" w:cs="宋体"/>
          <w:b/>
          <w:bCs/>
          <w:color w:val="auto"/>
          <w:spacing w:val="-3"/>
          <w:sz w:val="21"/>
          <w:szCs w:val="22"/>
          <w:lang w:val="en-US" w:eastAsia="zh-CN" w:bidi="ar-SA"/>
        </w:rPr>
        <w:t>%≤b＜</w:t>
      </w:r>
      <w:r>
        <w:rPr>
          <w:rFonts w:hint="eastAsia" w:cs="宋体"/>
          <w:b/>
          <w:bCs/>
          <w:color w:val="auto"/>
          <w:spacing w:val="-3"/>
          <w:sz w:val="21"/>
          <w:szCs w:val="22"/>
          <w:lang w:val="en-US" w:eastAsia="zh-CN" w:bidi="ar-SA"/>
        </w:rPr>
        <w:t>2</w:t>
      </w:r>
      <w:r>
        <w:rPr>
          <w:rFonts w:hint="eastAsia" w:ascii="宋体" w:hAnsi="宋体" w:eastAsia="宋体" w:cs="宋体"/>
          <w:b/>
          <w:bCs/>
          <w:color w:val="auto"/>
          <w:spacing w:val="-3"/>
          <w:sz w:val="21"/>
          <w:szCs w:val="22"/>
          <w:lang w:val="en-US" w:eastAsia="zh-CN" w:bidi="ar-SA"/>
        </w:rPr>
        <w:t>%，不在有效折扣范围</w:t>
      </w:r>
      <w:r>
        <w:rPr>
          <w:rFonts w:hint="eastAsia" w:cs="宋体"/>
          <w:b/>
          <w:bCs/>
          <w:color w:val="auto"/>
          <w:spacing w:val="-3"/>
          <w:sz w:val="21"/>
          <w:szCs w:val="22"/>
          <w:lang w:val="en-US" w:eastAsia="zh-CN" w:bidi="ar-SA"/>
        </w:rPr>
        <w:t>、费率范围</w:t>
      </w:r>
      <w:r>
        <w:rPr>
          <w:rFonts w:hint="eastAsia" w:ascii="宋体" w:hAnsi="宋体" w:eastAsia="宋体" w:cs="宋体"/>
          <w:b/>
          <w:bCs/>
          <w:color w:val="auto"/>
          <w:spacing w:val="-3"/>
          <w:sz w:val="21"/>
          <w:szCs w:val="22"/>
          <w:lang w:val="en-US" w:eastAsia="zh-CN" w:bidi="ar-SA"/>
        </w:rPr>
        <w:t>内的投标报价按无效投标处理。</w:t>
      </w:r>
    </w:p>
    <w:p>
      <w:pPr>
        <w:pStyle w:val="12"/>
        <w:spacing w:line="360" w:lineRule="auto"/>
        <w:ind w:left="0" w:leftChars="0" w:right="134" w:rightChars="61" w:firstLine="563" w:firstLineChars="275"/>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3、投标报价由投标人结合工程</w:t>
      </w:r>
      <w:r>
        <w:rPr>
          <w:rFonts w:hint="eastAsia" w:cs="宋体"/>
          <w:b/>
          <w:bCs/>
          <w:color w:val="auto"/>
          <w:spacing w:val="-3"/>
          <w:sz w:val="21"/>
          <w:szCs w:val="22"/>
          <w:lang w:val="en-US" w:eastAsia="zh-CN" w:bidi="ar-SA"/>
        </w:rPr>
        <w:t>预</w:t>
      </w:r>
      <w:r>
        <w:rPr>
          <w:rFonts w:hint="eastAsia" w:ascii="宋体" w:hAnsi="宋体" w:eastAsia="宋体" w:cs="宋体"/>
          <w:b/>
          <w:bCs/>
          <w:color w:val="auto"/>
          <w:spacing w:val="-3"/>
          <w:sz w:val="21"/>
          <w:szCs w:val="22"/>
          <w:lang w:val="en-US" w:eastAsia="zh-CN" w:bidi="ar-SA"/>
        </w:rPr>
        <w:t>算审计编制服务市场情况以及套用国家及项目所在地现行收费标准为计费基础进行报价。</w:t>
      </w:r>
    </w:p>
    <w:p>
      <w:pPr>
        <w:pStyle w:val="12"/>
        <w:spacing w:before="2" w:line="360" w:lineRule="auto"/>
        <w:ind w:left="0" w:leftChars="0" w:right="134" w:rightChars="61" w:firstLine="563" w:firstLineChars="275"/>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4、投标人的报价已包括了实施和完成服务所需的劳务费、技术服务费、交通、通讯、办公场地、管理费、税费和利润等费用和政策性文件规定及合同包含的所有风险、责任等各项应有的费用，除非上述费用在合同中另有说明。</w:t>
      </w:r>
    </w:p>
    <w:p>
      <w:pPr>
        <w:pStyle w:val="12"/>
        <w:spacing w:line="360" w:lineRule="auto"/>
        <w:ind w:left="0" w:leftChars="0" w:right="134" w:rightChars="61" w:firstLine="563" w:firstLineChars="275"/>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5、工程</w:t>
      </w:r>
      <w:r>
        <w:rPr>
          <w:rFonts w:hint="eastAsia" w:cs="宋体"/>
          <w:b/>
          <w:bCs/>
          <w:color w:val="auto"/>
          <w:spacing w:val="-3"/>
          <w:sz w:val="21"/>
          <w:szCs w:val="22"/>
          <w:lang w:val="en-US" w:eastAsia="zh-CN" w:bidi="ar-SA"/>
        </w:rPr>
        <w:t>预算评审</w:t>
      </w:r>
      <w:r>
        <w:rPr>
          <w:rFonts w:hint="eastAsia" w:ascii="宋体" w:hAnsi="宋体" w:eastAsia="宋体" w:cs="宋体"/>
          <w:b/>
          <w:bCs/>
          <w:color w:val="auto"/>
          <w:spacing w:val="-3"/>
          <w:sz w:val="21"/>
          <w:szCs w:val="22"/>
          <w:lang w:val="en-US" w:eastAsia="zh-CN" w:bidi="ar-SA"/>
        </w:rPr>
        <w:t>服务费=送审造价×所有中标单位基本费费率报价的平均值+核增（减）造价×所有中标单位投标的效益费费率报价的平均值。</w:t>
      </w:r>
    </w:p>
    <w:p>
      <w:pPr>
        <w:pStyle w:val="12"/>
        <w:spacing w:before="4" w:line="360" w:lineRule="auto"/>
        <w:ind w:left="0" w:leftChars="0" w:right="134" w:rightChars="61" w:firstLine="563" w:firstLineChars="275"/>
        <w:jc w:val="both"/>
        <w:rPr>
          <w:rFonts w:hint="eastAsia" w:ascii="宋体" w:hAnsi="宋体" w:eastAsia="宋体" w:cs="宋体"/>
          <w:b/>
          <w:bCs/>
          <w:color w:val="auto"/>
          <w:spacing w:val="-3"/>
          <w:sz w:val="21"/>
          <w:szCs w:val="22"/>
          <w:lang w:val="en-US" w:eastAsia="zh-CN" w:bidi="ar-SA"/>
        </w:rPr>
      </w:pPr>
      <w:r>
        <w:rPr>
          <w:rFonts w:hint="eastAsia" w:ascii="宋体" w:hAnsi="宋体" w:eastAsia="宋体" w:cs="宋体"/>
          <w:b/>
          <w:bCs/>
          <w:color w:val="auto"/>
          <w:spacing w:val="-3"/>
          <w:sz w:val="21"/>
          <w:szCs w:val="22"/>
          <w:lang w:val="en-US" w:eastAsia="zh-CN" w:bidi="ar-SA"/>
        </w:rPr>
        <w:t>6、如单项工程</w:t>
      </w:r>
      <w:r>
        <w:rPr>
          <w:rFonts w:hint="eastAsia" w:cs="宋体"/>
          <w:b/>
          <w:bCs/>
          <w:color w:val="auto"/>
          <w:spacing w:val="-3"/>
          <w:sz w:val="21"/>
          <w:szCs w:val="22"/>
          <w:lang w:val="en-US" w:eastAsia="zh-CN" w:bidi="ar-SA"/>
        </w:rPr>
        <w:t>预算评审</w:t>
      </w:r>
      <w:r>
        <w:rPr>
          <w:rFonts w:hint="eastAsia" w:ascii="宋体" w:hAnsi="宋体" w:eastAsia="宋体" w:cs="宋体"/>
          <w:b/>
          <w:bCs/>
          <w:color w:val="auto"/>
          <w:spacing w:val="-3"/>
          <w:sz w:val="21"/>
          <w:szCs w:val="22"/>
          <w:lang w:val="en-US" w:eastAsia="zh-CN" w:bidi="ar-SA"/>
        </w:rPr>
        <w:t>服务费按以上收费标准计费不足 3000 元的，按 3000 元计算。</w:t>
      </w:r>
    </w:p>
    <w:p>
      <w:pPr>
        <w:pStyle w:val="12"/>
        <w:spacing w:before="12"/>
        <w:rPr>
          <w:rFonts w:hint="eastAsia" w:ascii="宋体" w:hAnsi="宋体" w:eastAsia="宋体" w:cs="宋体"/>
          <w:b/>
          <w:bCs/>
          <w:color w:val="auto"/>
          <w:spacing w:val="-3"/>
          <w:sz w:val="21"/>
          <w:szCs w:val="22"/>
          <w:lang w:val="en-US" w:eastAsia="zh-CN" w:bidi="ar-SA"/>
        </w:rPr>
      </w:pPr>
    </w:p>
    <w:p>
      <w:pPr>
        <w:widowControl/>
        <w:spacing w:line="360" w:lineRule="auto"/>
        <w:jc w:val="center"/>
        <w:rPr>
          <w:rFonts w:hint="eastAsia" w:ascii="宋体" w:hAnsi="宋体" w:eastAsia="宋体" w:cs="宋体"/>
          <w:color w:val="auto"/>
          <w:sz w:val="21"/>
          <w:szCs w:val="21"/>
          <w:lang w:eastAsia="zh-CN"/>
        </w:rPr>
      </w:pPr>
    </w:p>
    <w:p>
      <w:pPr>
        <w:widowControl/>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附：</w:t>
      </w:r>
      <w:r>
        <w:rPr>
          <w:rFonts w:hint="eastAsia" w:ascii="宋体" w:hAnsi="宋体" w:eastAsia="宋体" w:cs="宋体"/>
          <w:b/>
          <w:bCs/>
          <w:color w:val="auto"/>
          <w:sz w:val="21"/>
          <w:szCs w:val="21"/>
        </w:rPr>
        <w:t>广西建设工程造价咨询</w:t>
      </w:r>
      <w:r>
        <w:rPr>
          <w:rFonts w:hint="eastAsia" w:ascii="宋体" w:hAnsi="宋体" w:eastAsia="宋体" w:cs="宋体"/>
          <w:b/>
          <w:bCs/>
          <w:color w:val="auto"/>
          <w:kern w:val="0"/>
          <w:sz w:val="21"/>
          <w:szCs w:val="21"/>
        </w:rPr>
        <w:t>服务行业收费参考标准</w:t>
      </w:r>
    </w:p>
    <w:tbl>
      <w:tblPr>
        <w:tblStyle w:val="23"/>
        <w:tblpPr w:leftFromText="180" w:rightFromText="180" w:vertAnchor="text" w:horzAnchor="page" w:tblpX="1108" w:tblpY="689"/>
        <w:tblOverlap w:val="never"/>
        <w:tblW w:w="9889" w:type="dxa"/>
        <w:tblInd w:w="0" w:type="dxa"/>
        <w:tblLayout w:type="fixed"/>
        <w:tblCellMar>
          <w:top w:w="0" w:type="dxa"/>
          <w:left w:w="108" w:type="dxa"/>
          <w:bottom w:w="0" w:type="dxa"/>
          <w:right w:w="108" w:type="dxa"/>
        </w:tblCellMar>
      </w:tblPr>
      <w:tblGrid>
        <w:gridCol w:w="392"/>
        <w:gridCol w:w="583"/>
        <w:gridCol w:w="649"/>
        <w:gridCol w:w="611"/>
        <w:gridCol w:w="1134"/>
        <w:gridCol w:w="1984"/>
        <w:gridCol w:w="738"/>
        <w:gridCol w:w="1024"/>
        <w:gridCol w:w="993"/>
        <w:gridCol w:w="850"/>
        <w:gridCol w:w="931"/>
      </w:tblGrid>
      <w:tr>
        <w:tblPrEx>
          <w:tblCellMar>
            <w:top w:w="0" w:type="dxa"/>
            <w:left w:w="108" w:type="dxa"/>
            <w:bottom w:w="0" w:type="dxa"/>
            <w:right w:w="108" w:type="dxa"/>
          </w:tblCellMar>
        </w:tblPrEx>
        <w:trPr>
          <w:trHeight w:val="374" w:hRule="atLeast"/>
        </w:trPr>
        <w:tc>
          <w:tcPr>
            <w:tcW w:w="39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序号</w:t>
            </w:r>
          </w:p>
        </w:tc>
        <w:tc>
          <w:tcPr>
            <w:tcW w:w="2977" w:type="dxa"/>
            <w:gridSpan w:val="4"/>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咨询项目名称</w:t>
            </w:r>
          </w:p>
        </w:tc>
        <w:tc>
          <w:tcPr>
            <w:tcW w:w="1984"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费用基数</w:t>
            </w:r>
          </w:p>
        </w:tc>
        <w:tc>
          <w:tcPr>
            <w:tcW w:w="4536" w:type="dxa"/>
            <w:gridSpan w:val="5"/>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按差额定率分档累进方法计算（费率单位：‰）</w:t>
            </w:r>
          </w:p>
        </w:tc>
      </w:tr>
      <w:tr>
        <w:tblPrEx>
          <w:tblCellMar>
            <w:top w:w="0" w:type="dxa"/>
            <w:left w:w="108" w:type="dxa"/>
            <w:bottom w:w="0" w:type="dxa"/>
            <w:right w:w="108" w:type="dxa"/>
          </w:tblCellMar>
        </w:tblPrEx>
        <w:trPr>
          <w:trHeight w:val="374" w:hRule="atLeast"/>
        </w:trPr>
        <w:tc>
          <w:tcPr>
            <w:tcW w:w="392" w:type="dxa"/>
            <w:vMerge w:val="continue"/>
            <w:tcBorders>
              <w:left w:val="single" w:color="auto" w:sz="4" w:space="0"/>
              <w:bottom w:val="single" w:color="auto" w:sz="4" w:space="0"/>
              <w:right w:val="single" w:color="auto" w:sz="4" w:space="0"/>
            </w:tcBorders>
            <w:noWrap w:val="0"/>
            <w:vAlign w:val="top"/>
          </w:tcPr>
          <w:p>
            <w:pPr>
              <w:widowControl/>
              <w:spacing w:line="240" w:lineRule="exact"/>
              <w:jc w:val="left"/>
              <w:rPr>
                <w:rFonts w:hint="eastAsia" w:ascii="宋体" w:hAnsi="宋体" w:eastAsia="宋体" w:cs="宋体"/>
                <w:color w:val="auto"/>
                <w:spacing w:val="-2"/>
                <w:w w:val="90"/>
                <w:kern w:val="0"/>
                <w:sz w:val="21"/>
                <w:szCs w:val="21"/>
              </w:rPr>
            </w:pPr>
          </w:p>
        </w:tc>
        <w:tc>
          <w:tcPr>
            <w:tcW w:w="2977" w:type="dxa"/>
            <w:gridSpan w:val="4"/>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left"/>
              <w:rPr>
                <w:rFonts w:hint="eastAsia" w:ascii="宋体" w:hAnsi="宋体" w:eastAsia="宋体" w:cs="宋体"/>
                <w:color w:val="auto"/>
                <w:spacing w:val="-2"/>
                <w:w w:val="90"/>
                <w:kern w:val="0"/>
                <w:sz w:val="21"/>
                <w:szCs w:val="21"/>
              </w:rPr>
            </w:pPr>
          </w:p>
        </w:tc>
        <w:tc>
          <w:tcPr>
            <w:tcW w:w="1984"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left"/>
              <w:rPr>
                <w:rFonts w:hint="eastAsia" w:ascii="宋体" w:hAnsi="宋体" w:eastAsia="宋体" w:cs="宋体"/>
                <w:color w:val="auto"/>
                <w:spacing w:val="-2"/>
                <w:w w:val="90"/>
                <w:kern w:val="0"/>
                <w:sz w:val="21"/>
                <w:szCs w:val="21"/>
              </w:rPr>
            </w:pPr>
          </w:p>
        </w:tc>
        <w:tc>
          <w:tcPr>
            <w:tcW w:w="738"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1000万元以下</w:t>
            </w:r>
          </w:p>
        </w:tc>
        <w:tc>
          <w:tcPr>
            <w:tcW w:w="1024"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1000-5000万元（含）</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5000万元-2亿元（含）</w:t>
            </w:r>
          </w:p>
        </w:tc>
        <w:tc>
          <w:tcPr>
            <w:tcW w:w="85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2亿元-5亿元</w:t>
            </w:r>
          </w:p>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（含）</w:t>
            </w:r>
          </w:p>
        </w:tc>
        <w:tc>
          <w:tcPr>
            <w:tcW w:w="93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5亿元以</w:t>
            </w:r>
          </w:p>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上</w:t>
            </w:r>
          </w:p>
        </w:tc>
      </w:tr>
      <w:tr>
        <w:tblPrEx>
          <w:tblCellMar>
            <w:top w:w="0" w:type="dxa"/>
            <w:left w:w="108" w:type="dxa"/>
            <w:bottom w:w="0" w:type="dxa"/>
            <w:right w:w="108" w:type="dxa"/>
          </w:tblCellMar>
        </w:tblPrEx>
        <w:trPr>
          <w:trHeight w:val="553"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投资估算编制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建设项目总投资</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0.7</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0.5</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0.3</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0.2</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0.12</w:t>
            </w:r>
          </w:p>
        </w:tc>
      </w:tr>
      <w:tr>
        <w:tblPrEx>
          <w:tblCellMar>
            <w:top w:w="0" w:type="dxa"/>
            <w:left w:w="108" w:type="dxa"/>
            <w:bottom w:w="0" w:type="dxa"/>
            <w:right w:w="108" w:type="dxa"/>
          </w:tblCellMar>
        </w:tblPrEx>
        <w:trPr>
          <w:trHeight w:val="456"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工程概算编制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建设项目总投资</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1.7</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1.4</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1.2</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0.8</w:t>
            </w:r>
          </w:p>
        </w:tc>
      </w:tr>
      <w:tr>
        <w:tblPrEx>
          <w:tblCellMar>
            <w:top w:w="0" w:type="dxa"/>
            <w:left w:w="108" w:type="dxa"/>
            <w:bottom w:w="0" w:type="dxa"/>
            <w:right w:w="108" w:type="dxa"/>
          </w:tblCellMar>
        </w:tblPrEx>
        <w:trPr>
          <w:trHeight w:val="563"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施工图预算编制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3.5</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2.5</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1.6</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1.3</w:t>
            </w:r>
          </w:p>
        </w:tc>
      </w:tr>
      <w:tr>
        <w:tblPrEx>
          <w:tblCellMar>
            <w:top w:w="0" w:type="dxa"/>
            <w:left w:w="108" w:type="dxa"/>
            <w:bottom w:w="0" w:type="dxa"/>
            <w:right w:w="108" w:type="dxa"/>
          </w:tblCellMar>
        </w:tblPrEx>
        <w:trPr>
          <w:trHeight w:val="558"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工程量清单及招标控制价编制</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3.9</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2.6</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2.2</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1.8</w:t>
            </w:r>
          </w:p>
        </w:tc>
      </w:tr>
      <w:tr>
        <w:tblPrEx>
          <w:tblCellMar>
            <w:top w:w="0" w:type="dxa"/>
            <w:left w:w="108" w:type="dxa"/>
            <w:bottom w:w="0" w:type="dxa"/>
            <w:right w:w="108" w:type="dxa"/>
          </w:tblCellMar>
        </w:tblPrEx>
        <w:trPr>
          <w:trHeight w:val="540"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施工过程造价咨询</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5.2</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3.4</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2.8</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2.4</w:t>
            </w:r>
          </w:p>
        </w:tc>
      </w:tr>
      <w:tr>
        <w:tblPrEx>
          <w:tblCellMar>
            <w:top w:w="0" w:type="dxa"/>
            <w:left w:w="108" w:type="dxa"/>
            <w:bottom w:w="0" w:type="dxa"/>
            <w:right w:w="108" w:type="dxa"/>
          </w:tblCellMar>
        </w:tblPrEx>
        <w:trPr>
          <w:trHeight w:val="476" w:hRule="atLeast"/>
        </w:trPr>
        <w:tc>
          <w:tcPr>
            <w:tcW w:w="39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w:t>
            </w:r>
          </w:p>
        </w:tc>
        <w:tc>
          <w:tcPr>
            <w:tcW w:w="583" w:type="dxa"/>
            <w:vMerge w:val="restart"/>
            <w:tcBorders>
              <w:top w:val="single" w:color="auto" w:sz="4" w:space="0"/>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lang w:eastAsia="zh-CN"/>
              </w:rPr>
            </w:pPr>
            <w:r>
              <w:rPr>
                <w:rFonts w:hint="eastAsia" w:ascii="宋体" w:hAnsi="宋体" w:eastAsia="宋体" w:cs="宋体"/>
                <w:color w:val="auto"/>
                <w:spacing w:val="-2"/>
                <w:w w:val="90"/>
                <w:kern w:val="0"/>
                <w:sz w:val="21"/>
                <w:szCs w:val="21"/>
              </w:rPr>
              <w:t>竣工</w:t>
            </w:r>
            <w:r>
              <w:rPr>
                <w:rFonts w:hint="eastAsia" w:cs="宋体"/>
                <w:color w:val="auto"/>
                <w:spacing w:val="-2"/>
                <w:w w:val="90"/>
                <w:kern w:val="0"/>
                <w:sz w:val="21"/>
                <w:szCs w:val="21"/>
                <w:lang w:eastAsia="zh-CN"/>
              </w:rPr>
              <w:t>预算评审</w:t>
            </w:r>
          </w:p>
        </w:tc>
        <w:tc>
          <w:tcPr>
            <w:tcW w:w="1260" w:type="dxa"/>
            <w:gridSpan w:val="2"/>
            <w:vMerge w:val="restart"/>
            <w:tcBorders>
              <w:top w:val="single" w:color="auto" w:sz="4" w:space="0"/>
              <w:left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6.1按“基本费+效益费”计费</w:t>
            </w:r>
          </w:p>
        </w:tc>
        <w:tc>
          <w:tcPr>
            <w:tcW w:w="113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（1）基本费</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送审工程造价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1.5</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1.2</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w:t>
            </w:r>
          </w:p>
        </w:tc>
      </w:tr>
      <w:tr>
        <w:tblPrEx>
          <w:tblCellMar>
            <w:top w:w="0" w:type="dxa"/>
            <w:left w:w="108" w:type="dxa"/>
            <w:bottom w:w="0" w:type="dxa"/>
            <w:right w:w="108" w:type="dxa"/>
          </w:tblCellMar>
        </w:tblPrEx>
        <w:trPr>
          <w:trHeight w:val="476" w:hRule="atLeast"/>
        </w:trPr>
        <w:tc>
          <w:tcPr>
            <w:tcW w:w="392" w:type="dxa"/>
            <w:vMerge w:val="continue"/>
            <w:tcBorders>
              <w:left w:val="single" w:color="auto" w:sz="4" w:space="0"/>
              <w:right w:val="single" w:color="auto" w:sz="4" w:space="0"/>
            </w:tcBorders>
            <w:noWrap w:val="0"/>
            <w:vAlign w:val="center"/>
          </w:tcPr>
          <w:p>
            <w:pPr>
              <w:widowControl/>
              <w:spacing w:line="240" w:lineRule="exact"/>
              <w:rPr>
                <w:rFonts w:hint="eastAsia" w:ascii="宋体" w:hAnsi="宋体" w:eastAsia="宋体" w:cs="宋体"/>
                <w:color w:val="auto"/>
                <w:spacing w:val="-2"/>
                <w:w w:val="90"/>
                <w:kern w:val="0"/>
                <w:sz w:val="21"/>
                <w:szCs w:val="21"/>
              </w:rPr>
            </w:pPr>
          </w:p>
        </w:tc>
        <w:tc>
          <w:tcPr>
            <w:tcW w:w="583" w:type="dxa"/>
            <w:vMerge w:val="continue"/>
            <w:tcBorders>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1260" w:type="dxa"/>
            <w:gridSpan w:val="2"/>
            <w:vMerge w:val="continue"/>
            <w:tcBorders>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（2）效益费</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︱核减额︱+核增额</w:t>
            </w:r>
          </w:p>
        </w:tc>
        <w:tc>
          <w:tcPr>
            <w:tcW w:w="4536" w:type="dxa"/>
            <w:gridSpan w:val="5"/>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(5～8)%</w:t>
            </w:r>
          </w:p>
        </w:tc>
      </w:tr>
      <w:tr>
        <w:tblPrEx>
          <w:tblCellMar>
            <w:top w:w="0" w:type="dxa"/>
            <w:left w:w="108" w:type="dxa"/>
            <w:bottom w:w="0" w:type="dxa"/>
            <w:right w:w="108" w:type="dxa"/>
          </w:tblCellMar>
        </w:tblPrEx>
        <w:trPr>
          <w:trHeight w:val="862" w:hRule="atLeast"/>
        </w:trPr>
        <w:tc>
          <w:tcPr>
            <w:tcW w:w="39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p>
        </w:tc>
        <w:tc>
          <w:tcPr>
            <w:tcW w:w="583" w:type="dxa"/>
            <w:vMerge w:val="continue"/>
            <w:tcBorders>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2394" w:type="dxa"/>
            <w:gridSpan w:val="3"/>
            <w:tcBorders>
              <w:top w:val="single" w:color="auto" w:sz="4" w:space="0"/>
              <w:left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6.2按送审工程造价计费</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送审工程造价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5.4</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4.2</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3.5</w:t>
            </w:r>
          </w:p>
        </w:tc>
        <w:tc>
          <w:tcPr>
            <w:tcW w:w="850" w:type="dxa"/>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2.9</w:t>
            </w:r>
          </w:p>
        </w:tc>
        <w:tc>
          <w:tcPr>
            <w:tcW w:w="9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2.5</w:t>
            </w:r>
          </w:p>
        </w:tc>
      </w:tr>
      <w:tr>
        <w:tblPrEx>
          <w:tblCellMar>
            <w:top w:w="0" w:type="dxa"/>
            <w:left w:w="108" w:type="dxa"/>
            <w:bottom w:w="0" w:type="dxa"/>
            <w:right w:w="108" w:type="dxa"/>
          </w:tblCellMar>
        </w:tblPrEx>
        <w:trPr>
          <w:trHeight w:val="487" w:hRule="atLeast"/>
        </w:trPr>
        <w:tc>
          <w:tcPr>
            <w:tcW w:w="39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w:t>
            </w:r>
          </w:p>
        </w:tc>
        <w:tc>
          <w:tcPr>
            <w:tcW w:w="1232" w:type="dxa"/>
            <w:gridSpan w:val="2"/>
            <w:vMerge w:val="restart"/>
            <w:tcBorders>
              <w:top w:val="single" w:color="auto" w:sz="4" w:space="0"/>
              <w:left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全过程造价咨询</w:t>
            </w:r>
          </w:p>
        </w:tc>
        <w:tc>
          <w:tcPr>
            <w:tcW w:w="1745"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8"/>
                <w:w w:val="90"/>
                <w:kern w:val="0"/>
                <w:sz w:val="21"/>
                <w:szCs w:val="21"/>
              </w:rPr>
            </w:pPr>
            <w:r>
              <w:rPr>
                <w:rFonts w:hint="eastAsia" w:ascii="宋体" w:hAnsi="宋体" w:eastAsia="宋体" w:cs="宋体"/>
                <w:color w:val="auto"/>
                <w:spacing w:val="-8"/>
                <w:w w:val="90"/>
                <w:kern w:val="0"/>
                <w:sz w:val="21"/>
                <w:szCs w:val="21"/>
              </w:rPr>
              <w:t>从项目立项阶段起</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15</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12</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8.5</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w:t>
            </w:r>
          </w:p>
        </w:tc>
      </w:tr>
      <w:tr>
        <w:tblPrEx>
          <w:tblCellMar>
            <w:top w:w="0" w:type="dxa"/>
            <w:left w:w="108" w:type="dxa"/>
            <w:bottom w:w="0" w:type="dxa"/>
            <w:right w:w="108" w:type="dxa"/>
          </w:tblCellMar>
        </w:tblPrEx>
        <w:trPr>
          <w:trHeight w:val="487" w:hRule="atLeast"/>
        </w:trPr>
        <w:tc>
          <w:tcPr>
            <w:tcW w:w="392" w:type="dxa"/>
            <w:vMerge w:val="continue"/>
            <w:tcBorders>
              <w:left w:val="single" w:color="auto" w:sz="4" w:space="0"/>
              <w:bottom w:val="single" w:color="auto" w:sz="4" w:space="0"/>
              <w:right w:val="single" w:color="auto" w:sz="4" w:space="0"/>
            </w:tcBorders>
            <w:noWrap w:val="0"/>
            <w:vAlign w:val="top"/>
          </w:tcPr>
          <w:p>
            <w:pPr>
              <w:widowControl/>
              <w:spacing w:line="240" w:lineRule="exact"/>
              <w:jc w:val="center"/>
              <w:rPr>
                <w:rFonts w:hint="eastAsia" w:ascii="宋体" w:hAnsi="宋体" w:eastAsia="宋体" w:cs="宋体"/>
                <w:color w:val="auto"/>
                <w:spacing w:val="-2"/>
                <w:w w:val="90"/>
                <w:kern w:val="0"/>
                <w:sz w:val="21"/>
                <w:szCs w:val="21"/>
              </w:rPr>
            </w:pPr>
          </w:p>
        </w:tc>
        <w:tc>
          <w:tcPr>
            <w:tcW w:w="1232"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p>
        </w:tc>
        <w:tc>
          <w:tcPr>
            <w:tcW w:w="1745"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rPr>
                <w:rFonts w:hint="eastAsia" w:ascii="宋体" w:hAnsi="宋体" w:eastAsia="宋体" w:cs="宋体"/>
                <w:color w:val="auto"/>
                <w:spacing w:val="-8"/>
                <w:w w:val="90"/>
                <w:kern w:val="0"/>
                <w:sz w:val="21"/>
                <w:szCs w:val="21"/>
              </w:rPr>
            </w:pPr>
            <w:r>
              <w:rPr>
                <w:rFonts w:hint="eastAsia" w:ascii="宋体" w:hAnsi="宋体" w:eastAsia="宋体" w:cs="宋体"/>
                <w:color w:val="auto"/>
                <w:spacing w:val="-8"/>
                <w:w w:val="90"/>
                <w:kern w:val="0"/>
                <w:sz w:val="21"/>
                <w:szCs w:val="21"/>
              </w:rPr>
              <w:t>从项目实施阶段起</w:t>
            </w:r>
          </w:p>
        </w:tc>
        <w:tc>
          <w:tcPr>
            <w:tcW w:w="1984" w:type="dxa"/>
            <w:tcBorders>
              <w:top w:val="nil"/>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建筑安装工程造价</w:t>
            </w:r>
          </w:p>
        </w:tc>
        <w:tc>
          <w:tcPr>
            <w:tcW w:w="738"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13</w:t>
            </w:r>
          </w:p>
        </w:tc>
        <w:tc>
          <w:tcPr>
            <w:tcW w:w="1024"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10</w:t>
            </w:r>
          </w:p>
        </w:tc>
        <w:tc>
          <w:tcPr>
            <w:tcW w:w="993"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8.5</w:t>
            </w:r>
          </w:p>
        </w:tc>
        <w:tc>
          <w:tcPr>
            <w:tcW w:w="850" w:type="dxa"/>
            <w:tcBorders>
              <w:top w:val="nil"/>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7.5</w:t>
            </w:r>
          </w:p>
        </w:tc>
        <w:tc>
          <w:tcPr>
            <w:tcW w:w="93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w:t>
            </w:r>
          </w:p>
        </w:tc>
      </w:tr>
      <w:tr>
        <w:tblPrEx>
          <w:tblCellMar>
            <w:top w:w="0" w:type="dxa"/>
            <w:left w:w="108" w:type="dxa"/>
            <w:bottom w:w="0" w:type="dxa"/>
            <w:right w:w="108" w:type="dxa"/>
          </w:tblCellMar>
        </w:tblPrEx>
        <w:trPr>
          <w:trHeight w:val="487"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8</w:t>
            </w:r>
          </w:p>
        </w:tc>
        <w:tc>
          <w:tcPr>
            <w:tcW w:w="2977"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8"/>
                <w:w w:val="90"/>
                <w:kern w:val="0"/>
                <w:sz w:val="21"/>
                <w:szCs w:val="21"/>
              </w:rPr>
            </w:pPr>
            <w:r>
              <w:rPr>
                <w:rFonts w:hint="eastAsia" w:ascii="宋体" w:hAnsi="宋体" w:eastAsia="宋体" w:cs="宋体"/>
                <w:color w:val="auto"/>
                <w:spacing w:val="-8"/>
                <w:w w:val="90"/>
                <w:kern w:val="0"/>
                <w:sz w:val="21"/>
                <w:szCs w:val="21"/>
              </w:rPr>
              <w:t>工程造价鉴定</w:t>
            </w:r>
          </w:p>
        </w:tc>
        <w:tc>
          <w:tcPr>
            <w:tcW w:w="1984" w:type="dxa"/>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鉴定标的额</w:t>
            </w:r>
          </w:p>
        </w:tc>
        <w:tc>
          <w:tcPr>
            <w:tcW w:w="738"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9</w:t>
            </w:r>
          </w:p>
        </w:tc>
        <w:tc>
          <w:tcPr>
            <w:tcW w:w="1024"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7</w:t>
            </w:r>
          </w:p>
        </w:tc>
        <w:tc>
          <w:tcPr>
            <w:tcW w:w="993"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6</w:t>
            </w:r>
          </w:p>
        </w:tc>
        <w:tc>
          <w:tcPr>
            <w:tcW w:w="850" w:type="dxa"/>
            <w:tcBorders>
              <w:top w:val="single" w:color="auto" w:sz="4" w:space="0"/>
              <w:left w:val="nil"/>
              <w:bottom w:val="single" w:color="auto" w:sz="4" w:space="0"/>
              <w:right w:val="single" w:color="auto" w:sz="4" w:space="0"/>
            </w:tcBorders>
            <w:noWrap w:val="0"/>
            <w:tcMar>
              <w:left w:w="28" w:type="dxa"/>
              <w:right w:w="28" w:type="dxa"/>
            </w:tcMar>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5</w:t>
            </w:r>
          </w:p>
        </w:tc>
        <w:tc>
          <w:tcPr>
            <w:tcW w:w="93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pacing w:val="-2"/>
                <w:w w:val="90"/>
                <w:kern w:val="0"/>
                <w:sz w:val="21"/>
                <w:szCs w:val="21"/>
              </w:rPr>
            </w:pPr>
            <w:r>
              <w:rPr>
                <w:rFonts w:hint="eastAsia" w:ascii="宋体" w:hAnsi="宋体" w:eastAsia="宋体" w:cs="宋体"/>
                <w:color w:val="auto"/>
                <w:spacing w:val="-2"/>
                <w:w w:val="90"/>
                <w:kern w:val="0"/>
                <w:sz w:val="21"/>
                <w:szCs w:val="21"/>
              </w:rPr>
              <w:t>4</w:t>
            </w:r>
          </w:p>
        </w:tc>
      </w:tr>
    </w:tbl>
    <w:p>
      <w:pPr>
        <w:spacing w:line="440" w:lineRule="exact"/>
        <w:rPr>
          <w:rFonts w:hint="eastAsia" w:ascii="宋体" w:hAnsi="宋体" w:eastAsia="宋体" w:cs="宋体"/>
          <w:b/>
          <w:bCs/>
          <w:color w:val="auto"/>
          <w:sz w:val="21"/>
          <w:szCs w:val="21"/>
        </w:rPr>
      </w:pPr>
    </w:p>
    <w:p>
      <w:pPr>
        <w:spacing w:line="360" w:lineRule="auto"/>
        <w:ind w:left="-440" w:leftChars="-200" w:right="134" w:rightChars="61"/>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注：1.工程造价咨询服务收费根据不同咨询项目的性质、内容采取差额定率分档累进方法计算。</w:t>
      </w:r>
    </w:p>
    <w:p>
      <w:pPr>
        <w:spacing w:line="360" w:lineRule="auto"/>
        <w:ind w:right="134" w:rightChars="61"/>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2.工程主材无论是否计入工程造价，均应计入取费基数。</w:t>
      </w:r>
    </w:p>
    <w:p>
      <w:pPr>
        <w:spacing w:line="360" w:lineRule="auto"/>
        <w:ind w:right="134" w:rightChars="61"/>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3.单独编制工程量清单按第4项收费的60%计算。</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4.竣工</w:t>
      </w:r>
      <w:r>
        <w:rPr>
          <w:rFonts w:hint="eastAsia" w:cs="宋体"/>
          <w:color w:val="auto"/>
          <w:spacing w:val="-3"/>
          <w:sz w:val="21"/>
          <w:szCs w:val="21"/>
          <w:lang w:val="en-US" w:eastAsia="zh-CN" w:bidi="ar-SA"/>
        </w:rPr>
        <w:t>预算评审</w:t>
      </w:r>
      <w:r>
        <w:rPr>
          <w:rFonts w:hint="eastAsia" w:ascii="宋体" w:hAnsi="宋体" w:eastAsia="宋体" w:cs="宋体"/>
          <w:color w:val="auto"/>
          <w:spacing w:val="-3"/>
          <w:sz w:val="21"/>
          <w:szCs w:val="21"/>
          <w:lang w:val="en-US" w:eastAsia="zh-CN" w:bidi="ar-SA"/>
        </w:rPr>
        <w:t>项目分6.1和6.2两种计费方式，由甲乙双方自行选择其中一种。 6.1的计费方式按“基本费+效益费”计算。</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 xml:space="preserve">5. 施工过程造价咨询主要工作内容为：进度款审核、工程变更价款审核、工程索赔审核、现场签证审核、材料设备询价与核价等。施工过程造价咨询需要提供全程驻场服务时，驻场人员另行增加费用10000～20000元/人·月。 </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6．全过程造价咨询主要工作内容为：（1）从项目立项阶段起：投资估算、初步设计概算、施工图预算、工程量清单及招标控制价编制或审核，施工过程造价咨询，竣工结算编制与审核等。（2）从项目实施阶段起：工程量清单及招标控制价编制或审核，施工过程造价咨询，竣工结算编制与审核等。全过程造价咨询需要提供全程驻场服务时，驻场人员另行增加费用10000～20000元/人·月。</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7.单独委托的装饰工程、安装工程、修缮工程和园林景观应在上述费用的基础上乘以1.2的系数。</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8.投资估算、工程概算、施工图预算、工程量清单及招标控制价的审核费用应在上述编制费用的基础上乘以0.8的系数。</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9.单项建设工程造价咨询收费按行业收费参考标准计算不足3000元的，按3000元计费。</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10.单独委托抽钢筋计算，按钢筋重量以12元／吨，另计费用。</w:t>
      </w:r>
    </w:p>
    <w:p>
      <w:pPr>
        <w:spacing w:line="360" w:lineRule="auto"/>
        <w:ind w:left="0" w:leftChars="0" w:right="134" w:rightChars="61" w:firstLine="0" w:firstLineChars="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11.因委托方原因造成同一项目重复进行咨询，工作量增加或服务期限延长，委托方应增加补偿费用。</w:t>
      </w:r>
    </w:p>
    <w:p>
      <w:pPr>
        <w:pStyle w:val="9"/>
        <w:tabs>
          <w:tab w:val="left" w:pos="660"/>
        </w:tabs>
        <w:spacing w:line="460" w:lineRule="exact"/>
        <w:ind w:left="1" w:leftChars="-99" w:right="134" w:rightChars="61" w:hanging="219" w:hangingChars="91"/>
        <w:jc w:val="both"/>
        <w:rPr>
          <w:color w:val="auto"/>
          <w:sz w:val="24"/>
          <w:szCs w:val="24"/>
        </w:rPr>
      </w:pPr>
      <w:r>
        <w:rPr>
          <w:rFonts w:hint="eastAsia"/>
          <w:color w:val="auto"/>
          <w:sz w:val="24"/>
          <w:szCs w:val="24"/>
        </w:rPr>
        <w:t>五、造价审核质量管理</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color w:val="auto"/>
          <w:spacing w:val="-3"/>
        </w:rPr>
      </w:pPr>
      <w:r>
        <w:rPr>
          <w:rFonts w:hint="eastAsia"/>
          <w:color w:val="auto"/>
          <w:spacing w:val="-3"/>
          <w:lang w:eastAsia="zh-CN"/>
        </w:rPr>
        <w:t>造价咨询</w:t>
      </w:r>
      <w:r>
        <w:rPr>
          <w:rFonts w:hint="eastAsia"/>
          <w:color w:val="auto"/>
          <w:spacing w:val="-3"/>
        </w:rPr>
        <w:t>机构承揽的委托审核项目，必须安排本单位的造价师和造价员完成，不得将受托审核项目转包或分包给其他工程造价咨询机构或个人。否则，采购人有权取消受托方的审核资格并拒绝支付委托项目的审核费。</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 xml:space="preserve">1、 </w:t>
      </w:r>
      <w:r>
        <w:rPr>
          <w:rFonts w:hint="eastAsia"/>
          <w:color w:val="auto"/>
          <w:spacing w:val="-3"/>
          <w:lang w:eastAsia="zh-CN"/>
        </w:rPr>
        <w:t>造价咨询</w:t>
      </w:r>
      <w:r>
        <w:rPr>
          <w:rFonts w:hint="eastAsia"/>
          <w:color w:val="auto"/>
          <w:spacing w:val="-3"/>
        </w:rPr>
        <w:t>在审核过程中如需项目业主或承包单位增补资料的，应通过委托单位索要。</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2、</w:t>
      </w:r>
      <w:r>
        <w:rPr>
          <w:rFonts w:hint="eastAsia"/>
          <w:color w:val="auto"/>
          <w:spacing w:val="-3"/>
          <w:lang w:eastAsia="zh-CN"/>
        </w:rPr>
        <w:t>造价咨询</w:t>
      </w:r>
      <w:r>
        <w:rPr>
          <w:rFonts w:hint="eastAsia"/>
          <w:color w:val="auto"/>
          <w:spacing w:val="-3"/>
        </w:rPr>
        <w:t>不得承揽同一个项目的预(概)算控制价编审工作又承揽该项目的结算委托审核工作。</w:t>
      </w:r>
    </w:p>
    <w:p>
      <w:pPr>
        <w:pStyle w:val="12"/>
        <w:keepNext w:val="0"/>
        <w:keepLines w:val="0"/>
        <w:pageBreakBefore w:val="0"/>
        <w:widowControl w:val="0"/>
        <w:tabs>
          <w:tab w:val="left" w:pos="660"/>
          <w:tab w:val="left" w:pos="1100"/>
          <w:tab w:val="left" w:pos="902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3、</w:t>
      </w:r>
      <w:r>
        <w:rPr>
          <w:rFonts w:hint="eastAsia"/>
          <w:color w:val="auto"/>
          <w:spacing w:val="-3"/>
          <w:lang w:eastAsia="zh-CN"/>
        </w:rPr>
        <w:t>造价咨询</w:t>
      </w:r>
      <w:r>
        <w:rPr>
          <w:rFonts w:hint="eastAsia"/>
          <w:color w:val="auto"/>
          <w:spacing w:val="-3"/>
        </w:rPr>
        <w:t>接受委托审核项目后，应根据项目特点及专业情况，配置专业胜任、能力胜任、在委托单位留存备案的工程造价审核人员。</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4、在项目审核过程中，</w:t>
      </w:r>
      <w:r>
        <w:rPr>
          <w:rFonts w:hint="eastAsia"/>
          <w:color w:val="auto"/>
          <w:spacing w:val="-3"/>
          <w:lang w:eastAsia="zh-CN"/>
        </w:rPr>
        <w:t>造价咨询</w:t>
      </w:r>
      <w:r>
        <w:rPr>
          <w:rFonts w:hint="eastAsia"/>
          <w:color w:val="auto"/>
          <w:spacing w:val="-3"/>
        </w:rPr>
        <w:t>如需更换造价审核人员需向采购人提出书面申请并得到批准后方可更换。项目采购人也可以向</w:t>
      </w:r>
      <w:r>
        <w:rPr>
          <w:rFonts w:hint="eastAsia"/>
          <w:color w:val="auto"/>
          <w:spacing w:val="-3"/>
          <w:lang w:eastAsia="zh-CN"/>
        </w:rPr>
        <w:t>造价咨询</w:t>
      </w:r>
      <w:r>
        <w:rPr>
          <w:rFonts w:hint="eastAsia"/>
          <w:color w:val="auto"/>
          <w:spacing w:val="-3"/>
        </w:rPr>
        <w:t>提出更换不称职的造价审核人员。</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5、</w:t>
      </w:r>
      <w:r>
        <w:rPr>
          <w:rFonts w:hint="eastAsia"/>
          <w:color w:val="auto"/>
          <w:spacing w:val="-3"/>
          <w:lang w:eastAsia="zh-CN"/>
        </w:rPr>
        <w:t>造价咨询</w:t>
      </w:r>
      <w:r>
        <w:rPr>
          <w:rFonts w:hint="eastAsia"/>
          <w:color w:val="auto"/>
          <w:spacing w:val="-3"/>
        </w:rPr>
        <w:t>接收审核资料后，应根据项目特点编制项目造价《审核实施方案》，其主要内容包括：分析项目造价主要费用构成</w:t>
      </w:r>
      <w:r>
        <w:rPr>
          <w:rFonts w:hint="eastAsia"/>
          <w:color w:val="auto"/>
          <w:spacing w:val="-3"/>
          <w:lang w:val="en-US" w:eastAsia="zh-CN"/>
        </w:rPr>
        <w:t xml:space="preserve"> </w:t>
      </w:r>
      <w:r>
        <w:rPr>
          <w:rFonts w:hint="eastAsia"/>
          <w:color w:val="auto"/>
          <w:spacing w:val="-3"/>
        </w:rPr>
        <w:t>、概</w:t>
      </w:r>
      <w:r>
        <w:rPr>
          <w:rFonts w:hint="eastAsia"/>
          <w:color w:val="auto"/>
          <w:spacing w:val="-3"/>
          <w:lang w:val="en-US" w:eastAsia="zh-CN"/>
        </w:rPr>
        <w:t xml:space="preserve"> </w:t>
      </w:r>
      <w:r>
        <w:rPr>
          <w:rFonts w:hint="eastAsia"/>
          <w:color w:val="auto"/>
          <w:spacing w:val="-3"/>
        </w:rPr>
        <w:t>（预）</w:t>
      </w:r>
      <w:r>
        <w:rPr>
          <w:rFonts w:hint="eastAsia"/>
          <w:color w:val="auto"/>
          <w:spacing w:val="-3"/>
          <w:lang w:val="en-US" w:eastAsia="zh-CN"/>
        </w:rPr>
        <w:t xml:space="preserve"> </w:t>
      </w:r>
      <w:r>
        <w:rPr>
          <w:rFonts w:hint="eastAsia"/>
          <w:color w:val="auto"/>
          <w:spacing w:val="-3"/>
        </w:rPr>
        <w:t>算价增减变动情况，提出造价审核重点与方法；拟订项目审核质量控制措施，其内容包含：审核程序与流程，量、价、费审核质量控制措施与重点，现场踏勘程序与方法、争议问题协调处理机制；组建项目审核组，审核组应由组长、复核员、专业审核员构成，并明确其任务分工；审核方案应报委托方审批。</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6、造价审核质量要求：工程造价审核人应识别或质疑项目建设预算资料的真实性、有效性、合规性，重点关注变更签证费用；审核人员必须根据施工图纸对工程量、清单价格、及各项费用的真实性、准确性进行复核；审核人员应分析并找出工程造价变动的原因。审核程序和质量标准应符合相关法律、法规规定和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7、</w:t>
      </w:r>
      <w:r>
        <w:rPr>
          <w:rFonts w:hint="eastAsia"/>
          <w:color w:val="auto"/>
          <w:spacing w:val="-3"/>
          <w:lang w:eastAsia="zh-CN"/>
        </w:rPr>
        <w:t>造价咨询</w:t>
      </w:r>
      <w:r>
        <w:rPr>
          <w:rFonts w:hint="eastAsia"/>
          <w:color w:val="auto"/>
          <w:spacing w:val="-3"/>
        </w:rPr>
        <w:t>在审核中遇到项目所在地《造价信息》没有刊登价格的特殊材料和设备应进行市场询价， 询价对象不少于三家，将询价过程及结果形成询价记录表。</w:t>
      </w:r>
    </w:p>
    <w:p>
      <w:pPr>
        <w:pStyle w:val="12"/>
        <w:keepNext w:val="0"/>
        <w:keepLines w:val="0"/>
        <w:pageBreakBefore w:val="0"/>
        <w:widowControl w:val="0"/>
        <w:tabs>
          <w:tab w:val="left" w:pos="660"/>
          <w:tab w:val="left" w:pos="1100"/>
          <w:tab w:val="left" w:pos="876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eastAsia="宋体"/>
          <w:color w:val="auto"/>
          <w:spacing w:val="-3"/>
          <w:lang w:val="en-US" w:eastAsia="zh-CN"/>
        </w:rPr>
      </w:pPr>
      <w:r>
        <w:rPr>
          <w:rFonts w:hint="eastAsia"/>
          <w:color w:val="auto"/>
          <w:spacing w:val="-3"/>
        </w:rPr>
        <w:t>8、</w:t>
      </w:r>
      <w:r>
        <w:rPr>
          <w:rFonts w:hint="eastAsia"/>
          <w:color w:val="auto"/>
          <w:spacing w:val="-3"/>
          <w:lang w:val="en-US" w:eastAsia="zh-CN"/>
        </w:rPr>
        <w:t xml:space="preserve"> </w:t>
      </w:r>
      <w:r>
        <w:rPr>
          <w:rFonts w:hint="eastAsia"/>
          <w:color w:val="auto"/>
          <w:spacing w:val="-3"/>
          <w:lang w:eastAsia="zh-CN"/>
        </w:rPr>
        <w:t>造价咨询</w:t>
      </w:r>
      <w:r>
        <w:rPr>
          <w:rFonts w:hint="eastAsia"/>
          <w:color w:val="auto"/>
          <w:spacing w:val="-3"/>
        </w:rPr>
        <w:t>内部质量复核中介机构应建立有效的内部复核制度</w:t>
      </w:r>
      <w:r>
        <w:rPr>
          <w:rFonts w:hint="eastAsia"/>
          <w:color w:val="auto"/>
          <w:spacing w:val="-3"/>
          <w:lang w:val="en-US" w:eastAsia="zh-CN"/>
        </w:rPr>
        <w:t xml:space="preserve"> </w:t>
      </w:r>
      <w:r>
        <w:rPr>
          <w:rFonts w:hint="eastAsia"/>
          <w:color w:val="auto"/>
          <w:spacing w:val="-3"/>
        </w:rPr>
        <w:t>；复核人员应采取有效的技术方法复核各项取费计算的正确性</w:t>
      </w:r>
      <w:r>
        <w:rPr>
          <w:rFonts w:hint="eastAsia"/>
          <w:color w:val="auto"/>
          <w:spacing w:val="-3"/>
          <w:lang w:val="en-US" w:eastAsia="zh-CN"/>
        </w:rPr>
        <w:t xml:space="preserve"> </w:t>
      </w:r>
      <w:r>
        <w:rPr>
          <w:rFonts w:hint="eastAsia"/>
          <w:color w:val="auto"/>
          <w:spacing w:val="-3"/>
        </w:rPr>
        <w:t>；造价复核应有书面记录</w:t>
      </w:r>
      <w:r>
        <w:rPr>
          <w:rFonts w:hint="eastAsia"/>
          <w:color w:val="auto"/>
          <w:spacing w:val="-3"/>
          <w:lang w:val="en-US" w:eastAsia="zh-CN"/>
        </w:rPr>
        <w:t>,</w:t>
      </w:r>
      <w:r>
        <w:rPr>
          <w:rFonts w:hint="eastAsia"/>
          <w:color w:val="auto"/>
          <w:spacing w:val="-3"/>
        </w:rPr>
        <w:t>并作为项目档案的必存材料收归档</w:t>
      </w:r>
      <w:r>
        <w:rPr>
          <w:rFonts w:hint="eastAsia"/>
          <w:color w:val="auto"/>
          <w:spacing w:val="-3"/>
          <w:lang w:eastAsia="zh-CN"/>
        </w:rPr>
        <w:t>案</w:t>
      </w:r>
      <w:r>
        <w:rPr>
          <w:rFonts w:hint="eastAsia"/>
          <w:color w:val="auto"/>
          <w:spacing w:val="-3"/>
          <w:lang w:val="en-US" w:eastAsia="zh-CN"/>
        </w:rPr>
        <w:t>。</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textAlignment w:val="auto"/>
        <w:rPr>
          <w:rFonts w:hint="eastAsia"/>
          <w:color w:val="auto"/>
          <w:spacing w:val="-3"/>
        </w:rPr>
      </w:pPr>
      <w:r>
        <w:rPr>
          <w:rFonts w:hint="eastAsia"/>
          <w:color w:val="auto"/>
          <w:spacing w:val="-3"/>
        </w:rPr>
        <w:t>9、接受委托的</w:t>
      </w:r>
      <w:r>
        <w:rPr>
          <w:rFonts w:hint="eastAsia"/>
          <w:color w:val="auto"/>
          <w:spacing w:val="-3"/>
          <w:lang w:eastAsia="zh-CN"/>
        </w:rPr>
        <w:t>造价咨询</w:t>
      </w:r>
      <w:r>
        <w:rPr>
          <w:rFonts w:hint="eastAsia"/>
          <w:color w:val="auto"/>
          <w:spacing w:val="-3"/>
        </w:rPr>
        <w:t>，其审核程序和质量标准还应遵守相关法规的要求。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textAlignment w:val="auto"/>
        <w:rPr>
          <w:rFonts w:hint="eastAsia"/>
          <w:color w:val="auto"/>
          <w:spacing w:val="-3"/>
        </w:rPr>
      </w:pPr>
      <w:r>
        <w:rPr>
          <w:rFonts w:hint="eastAsia"/>
          <w:color w:val="auto"/>
          <w:spacing w:val="-3"/>
        </w:rPr>
        <w:t>10、</w:t>
      </w:r>
      <w:r>
        <w:rPr>
          <w:rFonts w:hint="eastAsia"/>
          <w:color w:val="auto"/>
          <w:spacing w:val="-3"/>
          <w:lang w:eastAsia="zh-CN"/>
        </w:rPr>
        <w:t>造价咨询</w:t>
      </w:r>
      <w:r>
        <w:rPr>
          <w:rFonts w:hint="eastAsia"/>
          <w:color w:val="auto"/>
          <w:spacing w:val="-3"/>
        </w:rPr>
        <w:t>应在合同协议规定时间内完成项目造价审核工作并形成审核结论，由编制人、复核人、建设单位、</w:t>
      </w:r>
      <w:r>
        <w:rPr>
          <w:rFonts w:hint="eastAsia"/>
          <w:color w:val="auto"/>
          <w:spacing w:val="-3"/>
          <w:lang w:eastAsia="zh-CN"/>
        </w:rPr>
        <w:t>造价咨询</w:t>
      </w:r>
      <w:r>
        <w:rPr>
          <w:rFonts w:hint="eastAsia"/>
          <w:color w:val="auto"/>
          <w:spacing w:val="-3"/>
        </w:rPr>
        <w:t>签字盖章并出具审核报告。</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textAlignment w:val="auto"/>
        <w:rPr>
          <w:rFonts w:hint="eastAsia"/>
          <w:color w:val="auto"/>
          <w:spacing w:val="-3"/>
        </w:rPr>
      </w:pPr>
      <w:r>
        <w:rPr>
          <w:rFonts w:hint="eastAsia"/>
          <w:color w:val="auto"/>
          <w:spacing w:val="-3"/>
        </w:rPr>
        <w:t>11、 审核工作结束后，</w:t>
      </w:r>
      <w:r>
        <w:rPr>
          <w:rFonts w:hint="eastAsia"/>
          <w:color w:val="auto"/>
          <w:spacing w:val="-3"/>
          <w:lang w:eastAsia="zh-CN"/>
        </w:rPr>
        <w:t>造价咨询</w:t>
      </w:r>
      <w:r>
        <w:rPr>
          <w:rFonts w:hint="eastAsia"/>
          <w:color w:val="auto"/>
          <w:spacing w:val="-3"/>
        </w:rPr>
        <w:t>须向委托单位提供完整详细的项目造价审核档案资料（含书面的和电子版）。</w:t>
      </w:r>
    </w:p>
    <w:p>
      <w:pPr>
        <w:pStyle w:val="9"/>
        <w:tabs>
          <w:tab w:val="left" w:pos="440"/>
          <w:tab w:val="left" w:pos="660"/>
          <w:tab w:val="left" w:pos="1100"/>
        </w:tabs>
        <w:spacing w:line="460" w:lineRule="exact"/>
        <w:ind w:left="1" w:leftChars="-99" w:right="134" w:rightChars="61" w:hanging="219" w:hangingChars="91"/>
        <w:rPr>
          <w:color w:val="auto"/>
          <w:sz w:val="24"/>
          <w:szCs w:val="24"/>
        </w:rPr>
      </w:pPr>
      <w:r>
        <w:rPr>
          <w:rFonts w:hint="eastAsia"/>
          <w:color w:val="auto"/>
          <w:sz w:val="24"/>
          <w:szCs w:val="24"/>
        </w:rPr>
        <w:t>六、人员稳定性要求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left"/>
        <w:textAlignment w:val="auto"/>
        <w:rPr>
          <w:rFonts w:hint="eastAsia"/>
          <w:color w:val="auto"/>
          <w:spacing w:val="-3"/>
        </w:rPr>
      </w:pPr>
      <w:r>
        <w:rPr>
          <w:rFonts w:hint="eastAsia"/>
          <w:color w:val="auto"/>
          <w:spacing w:val="-3"/>
        </w:rPr>
        <w:t>1、协审机构的协审人员在项目</w:t>
      </w:r>
      <w:r>
        <w:rPr>
          <w:rFonts w:hint="eastAsia"/>
          <w:color w:val="auto"/>
          <w:spacing w:val="-3"/>
          <w:lang w:eastAsia="zh-CN"/>
        </w:rPr>
        <w:t>审核</w:t>
      </w:r>
      <w:r>
        <w:rPr>
          <w:rFonts w:hint="eastAsia"/>
          <w:color w:val="auto"/>
          <w:spacing w:val="-3"/>
        </w:rPr>
        <w:t>工程中，应该恪守客观公正、实事求是的原则，确保</w:t>
      </w:r>
      <w:r>
        <w:rPr>
          <w:rFonts w:hint="eastAsia"/>
          <w:color w:val="auto"/>
          <w:spacing w:val="-3"/>
          <w:lang w:eastAsia="zh-CN"/>
        </w:rPr>
        <w:t>审核</w:t>
      </w:r>
      <w:r>
        <w:rPr>
          <w:rFonts w:hint="eastAsia"/>
          <w:color w:val="auto"/>
          <w:spacing w:val="-3"/>
        </w:rPr>
        <w:t>工作的真实完整和准确，保证</w:t>
      </w:r>
      <w:r>
        <w:rPr>
          <w:rFonts w:hint="eastAsia"/>
          <w:color w:val="auto"/>
          <w:spacing w:val="-3"/>
          <w:lang w:eastAsia="zh-CN"/>
        </w:rPr>
        <w:t>审核</w:t>
      </w:r>
      <w:r>
        <w:rPr>
          <w:rFonts w:hint="eastAsia"/>
          <w:color w:val="auto"/>
          <w:spacing w:val="-3"/>
        </w:rPr>
        <w:t>质量。协审机构委派的技术负责人和</w:t>
      </w:r>
      <w:r>
        <w:rPr>
          <w:rFonts w:hint="eastAsia"/>
          <w:color w:val="auto"/>
          <w:spacing w:val="-3"/>
          <w:lang w:eastAsia="zh-CN"/>
        </w:rPr>
        <w:t>审核</w:t>
      </w:r>
      <w:r>
        <w:rPr>
          <w:rFonts w:hint="eastAsia"/>
          <w:color w:val="auto"/>
          <w:spacing w:val="-3"/>
        </w:rPr>
        <w:t>协审人员，必须与投标时和报名参加项目</w:t>
      </w:r>
      <w:r>
        <w:rPr>
          <w:rFonts w:hint="eastAsia"/>
          <w:color w:val="auto"/>
          <w:spacing w:val="-3"/>
          <w:lang w:eastAsia="zh-CN"/>
        </w:rPr>
        <w:t>审核</w:t>
      </w:r>
      <w:r>
        <w:rPr>
          <w:rFonts w:hint="eastAsia"/>
          <w:color w:val="auto"/>
          <w:spacing w:val="-3"/>
        </w:rPr>
        <w:t>方案承诺的人员一致</w:t>
      </w:r>
      <w:r>
        <w:rPr>
          <w:rFonts w:hint="eastAsia"/>
          <w:color w:val="auto"/>
          <w:spacing w:val="-3"/>
          <w:lang w:val="en-US" w:eastAsia="zh-CN"/>
        </w:rPr>
        <w:t xml:space="preserve"> </w:t>
      </w:r>
      <w:r>
        <w:rPr>
          <w:rFonts w:hint="eastAsia"/>
          <w:color w:val="auto"/>
          <w:spacing w:val="-3"/>
        </w:rPr>
        <w:t>，如协审机构要更换技术负责人和协审人员， 必须向</w:t>
      </w:r>
      <w:r>
        <w:rPr>
          <w:rFonts w:hint="eastAsia"/>
          <w:color w:val="auto"/>
          <w:spacing w:val="-3"/>
          <w:lang w:eastAsia="zh-CN"/>
        </w:rPr>
        <w:t>巴马瑶族自治县</w:t>
      </w:r>
      <w:r>
        <w:rPr>
          <w:rFonts w:hint="eastAsia"/>
          <w:color w:val="auto"/>
          <w:spacing w:val="-3"/>
        </w:rPr>
        <w:t>财政局提出申请并得到</w:t>
      </w:r>
      <w:r>
        <w:rPr>
          <w:rFonts w:hint="eastAsia"/>
          <w:color w:val="auto"/>
          <w:spacing w:val="-3"/>
          <w:lang w:eastAsia="zh-CN"/>
        </w:rPr>
        <w:t>巴马瑶族自治县</w:t>
      </w:r>
      <w:r>
        <w:rPr>
          <w:rFonts w:hint="eastAsia"/>
          <w:color w:val="auto"/>
          <w:spacing w:val="-3"/>
        </w:rPr>
        <w:t>财政局的批准。</w:t>
      </w:r>
      <w:r>
        <w:rPr>
          <w:rFonts w:hint="eastAsia"/>
          <w:color w:val="auto"/>
          <w:spacing w:val="-3"/>
          <w:lang w:eastAsia="zh-CN"/>
        </w:rPr>
        <w:t>巴马瑶族自治县</w:t>
      </w:r>
      <w:r>
        <w:rPr>
          <w:rFonts w:hint="eastAsia"/>
          <w:color w:val="auto"/>
          <w:spacing w:val="-3"/>
        </w:rPr>
        <w:t>财政局认为协审机构实际投入的协审人员不足以满足任务需要或认为协审人员不称职时，可向协审机构发出要求增加或更换协审人员的通知，协审机构在收到通知后的 1 天内应增加或更换相应的协审人员， 由此产生的费用由协审机构自行承担。</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textAlignment w:val="auto"/>
        <w:rPr>
          <w:rFonts w:hint="eastAsia"/>
          <w:color w:val="auto"/>
          <w:spacing w:val="-3"/>
        </w:rPr>
      </w:pPr>
      <w:r>
        <w:rPr>
          <w:rFonts w:hint="eastAsia"/>
          <w:color w:val="auto"/>
          <w:spacing w:val="-3"/>
        </w:rPr>
        <w:t>2、如协审机构不按投标时承诺投入人员标准和数量，</w:t>
      </w:r>
      <w:r>
        <w:rPr>
          <w:rFonts w:hint="eastAsia"/>
          <w:color w:val="auto"/>
          <w:spacing w:val="-3"/>
          <w:lang w:eastAsia="zh-CN"/>
        </w:rPr>
        <w:t>巴马瑶族自治县</w:t>
      </w:r>
      <w:r>
        <w:rPr>
          <w:rFonts w:hint="eastAsia"/>
          <w:color w:val="auto"/>
          <w:spacing w:val="-3"/>
        </w:rPr>
        <w:t>财政局有权取消协审机构的协审资格。</w:t>
      </w:r>
    </w:p>
    <w:p>
      <w:pPr>
        <w:pStyle w:val="9"/>
        <w:tabs>
          <w:tab w:val="left" w:pos="660"/>
          <w:tab w:val="left" w:pos="1100"/>
        </w:tabs>
        <w:spacing w:line="460" w:lineRule="exact"/>
        <w:ind w:left="1" w:leftChars="-99" w:right="134" w:rightChars="61" w:hanging="219" w:hangingChars="91"/>
        <w:rPr>
          <w:color w:val="auto"/>
          <w:sz w:val="24"/>
          <w:szCs w:val="24"/>
        </w:rPr>
      </w:pPr>
      <w:r>
        <w:rPr>
          <w:rFonts w:hint="eastAsia"/>
          <w:color w:val="auto"/>
          <w:sz w:val="24"/>
          <w:szCs w:val="24"/>
        </w:rPr>
        <w:t>七、廉洁自律要求</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textAlignment w:val="auto"/>
        <w:rPr>
          <w:rFonts w:hint="eastAsia"/>
          <w:color w:val="auto"/>
          <w:spacing w:val="-3"/>
        </w:rPr>
      </w:pPr>
      <w:r>
        <w:rPr>
          <w:rFonts w:hint="eastAsia"/>
          <w:color w:val="auto"/>
          <w:spacing w:val="-3"/>
        </w:rPr>
        <w:t>协审机构不得泄露被</w:t>
      </w:r>
      <w:r>
        <w:rPr>
          <w:rFonts w:hint="eastAsia"/>
          <w:color w:val="auto"/>
          <w:spacing w:val="-3"/>
          <w:lang w:eastAsia="zh-CN"/>
        </w:rPr>
        <w:t>审核</w:t>
      </w:r>
      <w:r>
        <w:rPr>
          <w:rFonts w:hint="eastAsia"/>
          <w:color w:val="auto"/>
          <w:spacing w:val="-3"/>
        </w:rPr>
        <w:t>单位的任何商业机密，不得未经</w:t>
      </w:r>
      <w:r>
        <w:rPr>
          <w:rFonts w:hint="eastAsia"/>
          <w:color w:val="auto"/>
          <w:spacing w:val="-3"/>
          <w:lang w:eastAsia="zh-CN"/>
        </w:rPr>
        <w:t>巴马瑶族自治县</w:t>
      </w:r>
      <w:r>
        <w:rPr>
          <w:rFonts w:hint="eastAsia"/>
          <w:color w:val="auto"/>
          <w:spacing w:val="-3"/>
        </w:rPr>
        <w:t>财政局同意擅自对外公开</w:t>
      </w:r>
      <w:r>
        <w:rPr>
          <w:rFonts w:hint="eastAsia"/>
          <w:color w:val="auto"/>
          <w:spacing w:val="-3"/>
          <w:lang w:eastAsia="zh-CN"/>
        </w:rPr>
        <w:t>审核</w:t>
      </w:r>
      <w:r>
        <w:rPr>
          <w:rFonts w:hint="eastAsia"/>
          <w:color w:val="auto"/>
          <w:spacing w:val="-3"/>
        </w:rPr>
        <w:t>结论。协审机构应遵守国家的法律、法规和有关规章制度，遵守《工程造价咨询单位行为准则》和《造价工程师职业道德行为准则》，对</w:t>
      </w:r>
      <w:r>
        <w:rPr>
          <w:rFonts w:hint="eastAsia"/>
          <w:color w:val="auto"/>
          <w:spacing w:val="-3"/>
          <w:lang w:eastAsia="zh-CN"/>
        </w:rPr>
        <w:t>巴马瑶族自治县</w:t>
      </w:r>
      <w:r>
        <w:rPr>
          <w:rFonts w:hint="eastAsia"/>
          <w:color w:val="auto"/>
          <w:spacing w:val="-3"/>
        </w:rPr>
        <w:t>财政局的有关业务规定作出实质性承诺。协审人员应严格遵守廉洁自律的有关规定，客观公正地实施各项</w:t>
      </w:r>
      <w:r>
        <w:rPr>
          <w:rFonts w:hint="eastAsia"/>
          <w:color w:val="auto"/>
          <w:spacing w:val="-3"/>
          <w:lang w:eastAsia="zh-CN"/>
        </w:rPr>
        <w:t>审核</w:t>
      </w:r>
      <w:r>
        <w:rPr>
          <w:rFonts w:hint="eastAsia"/>
          <w:color w:val="auto"/>
          <w:spacing w:val="-3"/>
        </w:rPr>
        <w:t>任务，坚决抵制各种可能影响客观公正</w:t>
      </w:r>
      <w:r>
        <w:rPr>
          <w:rFonts w:hint="eastAsia"/>
          <w:color w:val="auto"/>
          <w:spacing w:val="-3"/>
          <w:lang w:eastAsia="zh-CN"/>
        </w:rPr>
        <w:t>审核</w:t>
      </w:r>
      <w:r>
        <w:rPr>
          <w:rFonts w:hint="eastAsia"/>
          <w:color w:val="auto"/>
          <w:spacing w:val="-3"/>
        </w:rPr>
        <w:t>的商业贿赂，坚决不搞人情</w:t>
      </w:r>
      <w:r>
        <w:rPr>
          <w:rFonts w:hint="eastAsia"/>
          <w:color w:val="auto"/>
          <w:spacing w:val="-3"/>
          <w:lang w:eastAsia="zh-CN"/>
        </w:rPr>
        <w:t>审核</w:t>
      </w:r>
      <w:r>
        <w:rPr>
          <w:rFonts w:hint="eastAsia"/>
          <w:color w:val="auto"/>
          <w:spacing w:val="-3"/>
        </w:rPr>
        <w:t>，避免和杜绝吃拿卡要的不良行为。如因协审人员原因出现违规违纪行为，应及时处理并承担相应法律责任，</w:t>
      </w:r>
      <w:r>
        <w:rPr>
          <w:rFonts w:hint="eastAsia"/>
          <w:color w:val="auto"/>
          <w:spacing w:val="-3"/>
          <w:lang w:eastAsia="zh-CN"/>
        </w:rPr>
        <w:t>巴马瑶族自治县</w:t>
      </w:r>
      <w:r>
        <w:rPr>
          <w:rFonts w:hint="eastAsia"/>
          <w:color w:val="auto"/>
          <w:spacing w:val="-3"/>
        </w:rPr>
        <w:t>财政局有权追究其相关责任。</w:t>
      </w:r>
    </w:p>
    <w:p>
      <w:pPr>
        <w:pStyle w:val="9"/>
        <w:tabs>
          <w:tab w:val="left" w:pos="660"/>
          <w:tab w:val="left" w:pos="1100"/>
        </w:tabs>
        <w:spacing w:line="460" w:lineRule="exact"/>
        <w:ind w:left="1" w:leftChars="-99" w:right="134" w:rightChars="61" w:hanging="219" w:hangingChars="91"/>
        <w:rPr>
          <w:color w:val="auto"/>
          <w:sz w:val="24"/>
          <w:szCs w:val="24"/>
        </w:rPr>
      </w:pPr>
      <w:r>
        <w:rPr>
          <w:rFonts w:hint="eastAsia"/>
          <w:color w:val="auto"/>
          <w:sz w:val="24"/>
          <w:szCs w:val="24"/>
        </w:rPr>
        <w:t>八、考核机制要求</w:t>
      </w:r>
    </w:p>
    <w:p>
      <w:pPr>
        <w:pStyle w:val="31"/>
        <w:tabs>
          <w:tab w:val="left" w:pos="660"/>
          <w:tab w:val="left" w:pos="1100"/>
          <w:tab w:val="left" w:pos="1201"/>
        </w:tabs>
        <w:spacing w:after="11" w:line="360" w:lineRule="auto"/>
        <w:ind w:left="-33" w:leftChars="-99" w:right="134" w:rightChars="61" w:hanging="185" w:hangingChars="91"/>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1、项目审核的时限要求</w:t>
      </w:r>
    </w:p>
    <w:p>
      <w:pPr>
        <w:spacing w:line="360" w:lineRule="auto"/>
        <w:ind w:right="134" w:rightChars="61" w:firstLine="408" w:firstLineChars="20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一、审核时间考评</w:t>
      </w:r>
    </w:p>
    <w:p>
      <w:pPr>
        <w:spacing w:line="360" w:lineRule="auto"/>
        <w:ind w:right="134" w:rightChars="61" w:firstLine="306" w:firstLineChars="150"/>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（一）项目审核的时限要求：（以接受项目委托之日算起）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65"/>
        <w:gridCol w:w="1265"/>
        <w:gridCol w:w="1265"/>
        <w:gridCol w:w="1265"/>
        <w:gridCol w:w="155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送审项目</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初审及现场复核工作时限</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出具初审报告工作时限</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对数工作时限</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二次复核工作时限</w:t>
            </w:r>
          </w:p>
        </w:tc>
        <w:tc>
          <w:tcPr>
            <w:tcW w:w="1553"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出具定案表工作时限及审核报告</w:t>
            </w:r>
          </w:p>
        </w:tc>
        <w:tc>
          <w:tcPr>
            <w:tcW w:w="1071"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总审核工作时限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500万元以下</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3</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w:t>
            </w:r>
          </w:p>
        </w:tc>
        <w:tc>
          <w:tcPr>
            <w:tcW w:w="1553"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w:t>
            </w:r>
          </w:p>
        </w:tc>
        <w:tc>
          <w:tcPr>
            <w:tcW w:w="1071"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500-2000万元以下</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3</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4</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3</w:t>
            </w:r>
          </w:p>
        </w:tc>
        <w:tc>
          <w:tcPr>
            <w:tcW w:w="1553"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w:t>
            </w:r>
          </w:p>
        </w:tc>
        <w:tc>
          <w:tcPr>
            <w:tcW w:w="1071"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2000-5000万元以下</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3</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6</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3</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4</w:t>
            </w:r>
          </w:p>
        </w:tc>
        <w:tc>
          <w:tcPr>
            <w:tcW w:w="1553"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w:t>
            </w:r>
          </w:p>
        </w:tc>
        <w:tc>
          <w:tcPr>
            <w:tcW w:w="1071"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5000万元以上</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4</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6</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4</w:t>
            </w:r>
          </w:p>
        </w:tc>
        <w:tc>
          <w:tcPr>
            <w:tcW w:w="1265"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7</w:t>
            </w:r>
          </w:p>
        </w:tc>
        <w:tc>
          <w:tcPr>
            <w:tcW w:w="1553"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w:t>
            </w:r>
          </w:p>
        </w:tc>
        <w:tc>
          <w:tcPr>
            <w:tcW w:w="1071" w:type="dxa"/>
            <w:noWrap w:val="0"/>
            <w:vAlign w:val="center"/>
          </w:tcPr>
          <w:p>
            <w:pPr>
              <w:spacing w:before="240"/>
              <w:jc w:val="center"/>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23</w:t>
            </w:r>
          </w:p>
        </w:tc>
      </w:tr>
    </w:tbl>
    <w:p>
      <w:pPr>
        <w:spacing w:line="360" w:lineRule="auto"/>
        <w:ind w:right="134" w:rightChars="61" w:firstLine="306" w:firstLineChars="15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（二）中介机构在计算核对过程中因争议问题不能形成审核结论的，应做好书面记录报审核组长，经审核组长批准可延长审核时间。</w:t>
      </w:r>
    </w:p>
    <w:p>
      <w:pPr>
        <w:pStyle w:val="31"/>
        <w:tabs>
          <w:tab w:val="left" w:pos="660"/>
          <w:tab w:val="left" w:pos="1100"/>
          <w:tab w:val="left" w:pos="1201"/>
        </w:tabs>
        <w:spacing w:before="91" w:line="360" w:lineRule="auto"/>
        <w:ind w:left="-7" w:leftChars="-3" w:right="134" w:rightChars="61" w:firstLine="220" w:firstLineChars="108"/>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三）中介机构无故延长审核时间，委托方除扣减委托审核费（按每逾期一天扣减该项目委托审核费的5%计算）外，并将暂停委托项目审核；审核时间延迟15天以上的视为受托方无法完成该项目审核工作，委托方有权收回工程预算资料并扣除该项目的委托审核业务费，当年累计有两项无法完成的审核项目，委托方有权取消受托方的受托审核资格。</w:t>
      </w:r>
    </w:p>
    <w:p>
      <w:pPr>
        <w:pStyle w:val="31"/>
        <w:tabs>
          <w:tab w:val="left" w:pos="660"/>
          <w:tab w:val="left" w:pos="1100"/>
          <w:tab w:val="left" w:pos="1201"/>
        </w:tabs>
        <w:spacing w:before="91" w:line="360" w:lineRule="auto"/>
        <w:ind w:left="-32" w:leftChars="-99" w:right="134" w:rightChars="61" w:hanging="186" w:hangingChars="91"/>
        <w:jc w:val="both"/>
        <w:rPr>
          <w:b/>
          <w:bCs/>
          <w:color w:val="auto"/>
          <w:spacing w:val="-3"/>
          <w:sz w:val="21"/>
        </w:rPr>
      </w:pPr>
      <w:r>
        <w:rPr>
          <w:rFonts w:hint="eastAsia"/>
          <w:b/>
          <w:bCs/>
          <w:color w:val="auto"/>
          <w:spacing w:val="-3"/>
          <w:sz w:val="21"/>
        </w:rPr>
        <w:t>2、审核质量控制</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（1）协审机构要严格遵守国家的法律、法规和有关规章制度，严格遵守《工程造价咨询单位行为准则》、《造价工程师职业道德行为准则》，</w:t>
      </w:r>
      <w:r>
        <w:rPr>
          <w:rFonts w:hint="eastAsia"/>
          <w:color w:val="auto"/>
          <w:spacing w:val="-3"/>
          <w:lang w:eastAsia="zh-CN"/>
        </w:rPr>
        <w:t>审核</w:t>
      </w:r>
      <w:r>
        <w:rPr>
          <w:rFonts w:hint="eastAsia"/>
          <w:color w:val="auto"/>
          <w:spacing w:val="-3"/>
        </w:rPr>
        <w:t>规程及质量要求执行财政部办公厅印发的《财政投资项目</w:t>
      </w:r>
      <w:r>
        <w:rPr>
          <w:rFonts w:hint="eastAsia"/>
          <w:color w:val="auto"/>
          <w:spacing w:val="-3"/>
          <w:lang w:eastAsia="zh-CN"/>
        </w:rPr>
        <w:t>审核</w:t>
      </w:r>
      <w:r>
        <w:rPr>
          <w:rFonts w:hint="eastAsia"/>
          <w:color w:val="auto"/>
          <w:spacing w:val="-3"/>
        </w:rPr>
        <w:t>操作规程》（财办建〔2002〕619号）、《财政投资</w:t>
      </w:r>
      <w:r>
        <w:rPr>
          <w:rFonts w:hint="eastAsia"/>
          <w:color w:val="auto"/>
          <w:spacing w:val="-3"/>
          <w:lang w:eastAsia="zh-CN"/>
        </w:rPr>
        <w:t>审核</w:t>
      </w:r>
      <w:r>
        <w:rPr>
          <w:rFonts w:hint="eastAsia"/>
          <w:color w:val="auto"/>
          <w:spacing w:val="-3"/>
        </w:rPr>
        <w:t>质量控制办法（试行）》（财办建〔2005〕1065号）。</w:t>
      </w:r>
    </w:p>
    <w:p>
      <w:pPr>
        <w:spacing w:line="360" w:lineRule="auto"/>
        <w:ind w:right="134" w:rightChars="61" w:firstLine="306" w:firstLineChars="15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（一）造价审核质量在同一口径下误差不得超过3％(含3％)，经委托方复核如超出误差范围，中介机构应按委托方的复核意见调整项目审核结论，项目重审不计算第二次委托代理业务费。</w:t>
      </w:r>
    </w:p>
    <w:p>
      <w:pPr>
        <w:spacing w:line="360" w:lineRule="auto"/>
        <w:ind w:right="134" w:rightChars="61" w:firstLine="306" w:firstLineChars="15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二）委托方对审核结论进行复核，复核审定项目与中介机构审定项目误差在3%－7%的，扣减委托代理业务费的20%～50%；误差在7%以上的，扣减委托代理业务费的50%～80%；在委托协议期间内有两次误差率超过7%或有一次误差率超过10%以上的，委托方有权取消中介机构受托审核资格。</w:t>
      </w:r>
    </w:p>
    <w:p>
      <w:pPr>
        <w:spacing w:line="360" w:lineRule="auto"/>
        <w:ind w:right="134" w:rightChars="61" w:firstLine="408" w:firstLineChars="200"/>
        <w:jc w:val="both"/>
        <w:rPr>
          <w:rFonts w:hint="eastAsia" w:ascii="宋体" w:hAnsi="宋体" w:eastAsia="宋体" w:cs="宋体"/>
          <w:color w:val="auto"/>
          <w:spacing w:val="-3"/>
          <w:sz w:val="21"/>
          <w:szCs w:val="21"/>
          <w:lang w:val="en-US" w:eastAsia="zh-CN" w:bidi="ar-SA"/>
        </w:rPr>
      </w:pPr>
      <w:r>
        <w:rPr>
          <w:rFonts w:hint="eastAsia" w:ascii="宋体" w:hAnsi="宋体" w:eastAsia="宋体" w:cs="宋体"/>
          <w:color w:val="auto"/>
          <w:spacing w:val="-3"/>
          <w:sz w:val="21"/>
          <w:szCs w:val="21"/>
          <w:lang w:val="en-US" w:eastAsia="zh-CN" w:bidi="ar-SA"/>
        </w:rPr>
        <w:t>三、委托方对中介机构受托审核项目的审核准确性及廉政情况进行考评，其考评成果将存档，以备查验，作为评定中介机构业务质量和执业道德的依据。</w:t>
      </w:r>
    </w:p>
    <w:p>
      <w:pPr>
        <w:pStyle w:val="9"/>
        <w:tabs>
          <w:tab w:val="left" w:pos="660"/>
          <w:tab w:val="left" w:pos="1100"/>
        </w:tabs>
        <w:spacing w:line="460" w:lineRule="exact"/>
        <w:ind w:left="1" w:leftChars="-99" w:right="134" w:rightChars="61" w:hanging="219" w:hangingChars="91"/>
        <w:jc w:val="both"/>
        <w:rPr>
          <w:color w:val="auto"/>
          <w:spacing w:val="-3"/>
          <w:sz w:val="24"/>
          <w:szCs w:val="24"/>
        </w:rPr>
      </w:pPr>
      <w:r>
        <w:rPr>
          <w:rFonts w:hint="eastAsia"/>
          <w:color w:val="auto"/>
          <w:sz w:val="24"/>
          <w:szCs w:val="24"/>
        </w:rPr>
        <w:t>九、本项目</w:t>
      </w:r>
      <w:r>
        <w:rPr>
          <w:rFonts w:hint="eastAsia"/>
          <w:color w:val="auto"/>
          <w:sz w:val="24"/>
          <w:szCs w:val="24"/>
          <w:lang w:eastAsia="zh-CN"/>
        </w:rPr>
        <w:t>审核</w:t>
      </w:r>
      <w:r>
        <w:rPr>
          <w:rFonts w:hint="eastAsia"/>
          <w:color w:val="auto"/>
          <w:sz w:val="24"/>
          <w:szCs w:val="24"/>
        </w:rPr>
        <w:t>费按以下办法支付</w:t>
      </w:r>
      <w:r>
        <w:rPr>
          <w:rFonts w:hint="eastAsia"/>
          <w:color w:val="auto"/>
          <w:spacing w:val="-3"/>
          <w:sz w:val="24"/>
          <w:szCs w:val="24"/>
        </w:rPr>
        <w:t>：</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bookmarkStart w:id="16" w:name="_TOC_250002"/>
      <w:bookmarkEnd w:id="16"/>
      <w:r>
        <w:rPr>
          <w:rFonts w:hint="eastAsia"/>
          <w:color w:val="auto"/>
          <w:spacing w:val="-3"/>
        </w:rPr>
        <w:t>1、本项目</w:t>
      </w:r>
      <w:r>
        <w:rPr>
          <w:rFonts w:hint="eastAsia"/>
          <w:color w:val="auto"/>
          <w:spacing w:val="-3"/>
          <w:lang w:eastAsia="zh-CN"/>
        </w:rPr>
        <w:t>审核</w:t>
      </w:r>
      <w:r>
        <w:rPr>
          <w:rFonts w:hint="eastAsia"/>
          <w:color w:val="auto"/>
          <w:spacing w:val="-3"/>
        </w:rPr>
        <w:t>服务费费率计算方法确定：本项目工程预算审核基本费部分及工程预算审核效益费部分最终的中标的费率按所有中标单位费率去掉一个最高值和一个最低值后的平均值确定，中标后招标人和中标人不得以任何理由调整中标人的报价。</w:t>
      </w:r>
    </w:p>
    <w:p>
      <w:pPr>
        <w:pStyle w:val="12"/>
        <w:keepNext w:val="0"/>
        <w:keepLines w:val="0"/>
        <w:pageBreakBefore w:val="0"/>
        <w:widowControl w:val="0"/>
        <w:tabs>
          <w:tab w:val="left" w:pos="660"/>
          <w:tab w:val="left" w:pos="1100"/>
          <w:tab w:val="left" w:pos="9240"/>
        </w:tabs>
        <w:kinsoku/>
        <w:wordWrap/>
        <w:overflowPunct/>
        <w:topLinePunct w:val="0"/>
        <w:autoSpaceDE w:val="0"/>
        <w:autoSpaceDN w:val="0"/>
        <w:bidi w:val="0"/>
        <w:adjustRightInd/>
        <w:snapToGrid/>
        <w:spacing w:line="360" w:lineRule="auto"/>
        <w:ind w:left="-7" w:leftChars="-3" w:right="134" w:rightChars="61" w:firstLine="408" w:firstLineChars="200"/>
        <w:jc w:val="both"/>
        <w:textAlignment w:val="auto"/>
        <w:rPr>
          <w:rFonts w:hint="eastAsia"/>
          <w:color w:val="auto"/>
          <w:spacing w:val="-3"/>
        </w:rPr>
      </w:pPr>
      <w:r>
        <w:rPr>
          <w:rFonts w:hint="eastAsia"/>
          <w:color w:val="auto"/>
          <w:spacing w:val="-3"/>
        </w:rPr>
        <w:t>2、本项目无预付款，服务费按项目申请支付。中标人在完成</w:t>
      </w:r>
      <w:r>
        <w:rPr>
          <w:rFonts w:hint="eastAsia"/>
          <w:color w:val="auto"/>
          <w:spacing w:val="-3"/>
          <w:lang w:eastAsia="zh-CN"/>
        </w:rPr>
        <w:t>审核</w:t>
      </w:r>
      <w:r>
        <w:rPr>
          <w:rFonts w:hint="eastAsia"/>
          <w:color w:val="auto"/>
          <w:spacing w:val="-3"/>
        </w:rPr>
        <w:t>工作后应上报支付申请并加盖公章后送采购人签认</w:t>
      </w:r>
      <w:r>
        <w:rPr>
          <w:rFonts w:hint="eastAsia"/>
          <w:color w:val="auto"/>
          <w:spacing w:val="-3"/>
          <w:lang w:val="en-US" w:eastAsia="zh-CN"/>
        </w:rPr>
        <w:t xml:space="preserve"> </w:t>
      </w:r>
      <w:r>
        <w:rPr>
          <w:rFonts w:hint="eastAsia"/>
          <w:color w:val="auto"/>
          <w:spacing w:val="-3"/>
        </w:rPr>
        <w:t>，采购人在审核确认后中标人开具票据由采购人直接向中标人支付服务费。</w:t>
      </w:r>
    </w:p>
    <w:p>
      <w:pPr>
        <w:rPr>
          <w:rFonts w:ascii="宋体"/>
          <w:color w:val="auto"/>
        </w:rPr>
      </w:pPr>
      <w:r>
        <w:rPr>
          <w:rFonts w:ascii="宋体"/>
          <w:color w:val="auto"/>
        </w:rPr>
        <w:br w:type="page"/>
      </w:r>
    </w:p>
    <w:p>
      <w:pPr>
        <w:pStyle w:val="22"/>
        <w:ind w:left="0" w:leftChars="0" w:firstLine="0" w:firstLineChars="0"/>
        <w:rPr>
          <w:rFonts w:ascii="宋体"/>
          <w:color w:val="auto"/>
        </w:rPr>
      </w:pPr>
    </w:p>
    <w:p>
      <w:pPr>
        <w:pStyle w:val="3"/>
        <w:spacing w:before="32"/>
        <w:ind w:right="834" w:firstLine="2570" w:firstLineChars="800"/>
        <w:jc w:val="both"/>
        <w:rPr>
          <w:color w:val="auto"/>
        </w:rPr>
      </w:pPr>
      <w:bookmarkStart w:id="17" w:name="_Toc13203"/>
      <w:r>
        <w:rPr>
          <w:rFonts w:hint="eastAsia"/>
          <w:color w:val="auto"/>
        </w:rPr>
        <w:t>第四章 评标办法</w:t>
      </w:r>
      <w:bookmarkEnd w:id="17"/>
    </w:p>
    <w:p>
      <w:pPr>
        <w:pStyle w:val="12"/>
        <w:spacing w:before="12"/>
        <w:rPr>
          <w:b/>
          <w:color w:val="auto"/>
          <w:sz w:val="35"/>
        </w:rPr>
      </w:pPr>
    </w:p>
    <w:p>
      <w:pPr>
        <w:pStyle w:val="12"/>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right="400" w:rightChars="182" w:firstLine="438" w:firstLineChars="209"/>
        <w:textAlignment w:val="auto"/>
        <w:rPr>
          <w:color w:val="auto"/>
        </w:rPr>
      </w:pPr>
      <w:r>
        <w:rPr>
          <w:rFonts w:hint="eastAsia"/>
          <w:color w:val="auto"/>
        </w:rPr>
        <w:t>采用综合评分法</w:t>
      </w:r>
      <w:r>
        <w:rPr>
          <w:rFonts w:hint="eastAsia"/>
          <w:color w:val="auto"/>
          <w:lang w:val="en-US" w:eastAsia="zh-CN"/>
        </w:rPr>
        <w:t xml:space="preserve"> </w:t>
      </w:r>
      <w:r>
        <w:rPr>
          <w:rFonts w:hint="eastAsia"/>
          <w:color w:val="auto"/>
        </w:rPr>
        <w:t>，评委将以招投标文件为评标依据，对投标人的投标报价、服务方案、本地化服务、人员素质、业绩和信誉等四方面内容按百分制打分，其中：价格分20分；服务方案</w:t>
      </w:r>
      <w:r>
        <w:rPr>
          <w:rFonts w:hint="eastAsia"/>
          <w:color w:val="auto"/>
          <w:spacing w:val="-24"/>
        </w:rPr>
        <w:t>分</w:t>
      </w:r>
      <w:r>
        <w:rPr>
          <w:rFonts w:hint="eastAsia"/>
          <w:color w:val="auto"/>
          <w:spacing w:val="-24"/>
          <w:lang w:val="en-US" w:eastAsia="zh-CN"/>
        </w:rPr>
        <w:t>40</w:t>
      </w:r>
      <w:r>
        <w:rPr>
          <w:rFonts w:hint="eastAsia"/>
          <w:color w:val="auto"/>
          <w:spacing w:val="-12"/>
        </w:rPr>
        <w:t>分；拟投入本项目人员配置分</w:t>
      </w:r>
      <w:r>
        <w:rPr>
          <w:rFonts w:hint="eastAsia"/>
          <w:color w:val="auto"/>
          <w:spacing w:val="-12"/>
          <w:lang w:val="en-US" w:eastAsia="zh-CN"/>
        </w:rPr>
        <w:t>30</w:t>
      </w:r>
      <w:r>
        <w:rPr>
          <w:rFonts w:hint="eastAsia"/>
          <w:color w:val="auto"/>
          <w:spacing w:val="-12"/>
        </w:rPr>
        <w:t>分；业绩和信誉分</w:t>
      </w:r>
      <w:r>
        <w:rPr>
          <w:rFonts w:hint="eastAsia"/>
          <w:color w:val="auto"/>
          <w:spacing w:val="-12"/>
          <w:lang w:val="en-US" w:eastAsia="zh-CN"/>
        </w:rPr>
        <w:t>10</w:t>
      </w:r>
      <w:r>
        <w:rPr>
          <w:rFonts w:hint="eastAsia"/>
          <w:color w:val="auto"/>
          <w:spacing w:val="-54"/>
        </w:rPr>
        <w:t xml:space="preserve"> 分。</w:t>
      </w:r>
      <w:r>
        <w:rPr>
          <w:rFonts w:hint="eastAsia"/>
          <w:color w:val="auto"/>
        </w:rPr>
        <w:t>（</w:t>
      </w:r>
      <w:r>
        <w:rPr>
          <w:rFonts w:hint="eastAsia"/>
          <w:color w:val="auto"/>
          <w:spacing w:val="-5"/>
        </w:rPr>
        <w:t>评标时，对于带有主观因素的评</w:t>
      </w:r>
      <w:r>
        <w:rPr>
          <w:rFonts w:hint="eastAsia"/>
          <w:color w:val="auto"/>
          <w:spacing w:val="-4"/>
        </w:rPr>
        <w:t>分，由各评委独立进行评价、打分，不允许讨论</w:t>
      </w:r>
      <w:r>
        <w:rPr>
          <w:rFonts w:hint="eastAsia"/>
          <w:color w:val="auto"/>
        </w:rPr>
        <w:t>）</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400" w:rightChars="182" w:firstLine="438" w:firstLineChars="209"/>
        <w:textAlignment w:val="auto"/>
        <w:rPr>
          <w:color w:val="auto"/>
        </w:rPr>
      </w:pPr>
      <w:r>
        <w:rPr>
          <w:rFonts w:hint="eastAsia"/>
          <w:color w:val="auto"/>
        </w:rPr>
        <w:t>（二</w:t>
      </w:r>
      <w:r>
        <w:rPr>
          <w:rFonts w:hint="eastAsia"/>
          <w:color w:val="auto"/>
          <w:spacing w:val="-3"/>
        </w:rPr>
        <w:t>）</w:t>
      </w:r>
      <w:r>
        <w:rPr>
          <w:rFonts w:hint="eastAsia"/>
          <w:color w:val="auto"/>
          <w:spacing w:val="-24"/>
        </w:rPr>
        <w:t>评分细则：</w:t>
      </w:r>
      <w:r>
        <w:rPr>
          <w:rFonts w:hint="eastAsia"/>
          <w:color w:val="auto"/>
          <w:spacing w:val="-3"/>
        </w:rPr>
        <w:t>（按四舍五入取至小数点后四位</w:t>
      </w:r>
      <w:r>
        <w:rPr>
          <w:rFonts w:hint="eastAsia"/>
          <w:color w:val="auto"/>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400" w:rightChars="182" w:firstLine="504" w:firstLineChars="209"/>
        <w:textAlignment w:val="auto"/>
        <w:rPr>
          <w:color w:val="auto"/>
          <w:sz w:val="24"/>
          <w:szCs w:val="24"/>
        </w:rPr>
      </w:pPr>
      <w:r>
        <w:rPr>
          <w:rFonts w:hint="eastAsia"/>
          <w:color w:val="auto"/>
          <w:sz w:val="24"/>
          <w:szCs w:val="24"/>
        </w:rPr>
        <w:t>1、价格分</w:t>
      </w:r>
      <w:r>
        <w:rPr>
          <w:rFonts w:hint="default" w:ascii="Arial" w:hAnsi="Arial" w:cs="Arial"/>
          <w:color w:val="auto"/>
          <w:sz w:val="24"/>
          <w:szCs w:val="24"/>
        </w:rPr>
        <w:t>…………………………………………………………………</w:t>
      </w:r>
      <w:r>
        <w:rPr>
          <w:rFonts w:hint="eastAsia"/>
          <w:color w:val="auto"/>
          <w:sz w:val="24"/>
          <w:szCs w:val="24"/>
        </w:rPr>
        <w:t>20分</w:t>
      </w:r>
    </w:p>
    <w:p>
      <w:pPr>
        <w:pStyle w:val="31"/>
        <w:keepNext w:val="0"/>
        <w:keepLines w:val="0"/>
        <w:pageBreakBefore w:val="0"/>
        <w:widowControl w:val="0"/>
        <w:numPr>
          <w:ilvl w:val="0"/>
          <w:numId w:val="23"/>
        </w:numPr>
        <w:tabs>
          <w:tab w:val="left" w:pos="1100"/>
        </w:tabs>
        <w:kinsoku/>
        <w:wordWrap/>
        <w:overflowPunct/>
        <w:topLinePunct w:val="0"/>
        <w:autoSpaceDE w:val="0"/>
        <w:autoSpaceDN w:val="0"/>
        <w:bidi w:val="0"/>
        <w:adjustRightInd/>
        <w:snapToGrid/>
        <w:spacing w:line="360" w:lineRule="auto"/>
        <w:ind w:left="0" w:leftChars="0" w:right="400" w:rightChars="182" w:firstLine="422" w:firstLineChars="209"/>
        <w:jc w:val="left"/>
        <w:textAlignment w:val="auto"/>
        <w:rPr>
          <w:color w:val="auto"/>
          <w:spacing w:val="-3"/>
          <w:sz w:val="21"/>
          <w:szCs w:val="21"/>
        </w:rPr>
      </w:pPr>
      <w:r>
        <w:rPr>
          <w:rFonts w:hint="eastAsia"/>
          <w:color w:val="auto"/>
          <w:spacing w:val="-4"/>
          <w:sz w:val="21"/>
          <w:szCs w:val="21"/>
        </w:rPr>
        <w:t>评标费率为投标</w:t>
      </w:r>
      <w:r>
        <w:rPr>
          <w:rFonts w:hint="eastAsia"/>
          <w:color w:val="auto"/>
          <w:sz w:val="21"/>
          <w:szCs w:val="21"/>
        </w:rPr>
        <w:t>人的投标费率</w:t>
      </w:r>
      <w:r>
        <w:rPr>
          <w:rFonts w:hint="eastAsia"/>
          <w:color w:val="auto"/>
          <w:spacing w:val="-1"/>
          <w:sz w:val="21"/>
          <w:szCs w:val="21"/>
        </w:rPr>
        <w:t>进行政策性扣除后的费率，只是作为价格分计算使</w:t>
      </w:r>
      <w:r>
        <w:rPr>
          <w:rFonts w:hint="eastAsia"/>
          <w:color w:val="auto"/>
          <w:spacing w:val="-3"/>
          <w:sz w:val="21"/>
          <w:szCs w:val="21"/>
        </w:rPr>
        <w:t>用。本项目工程预算审核基本费部分及工程预算审核效益费部分最终的中标的费率按所有中标单位费率去掉一个最高值和一个最低值后的平均值</w:t>
      </w:r>
      <w:r>
        <w:rPr>
          <w:color w:val="auto"/>
          <w:spacing w:val="-3"/>
          <w:sz w:val="21"/>
          <w:szCs w:val="21"/>
        </w:rPr>
        <w:t>确定，中标后招标人和中标人不得以任何理由调整中标人的报价</w:t>
      </w:r>
      <w:r>
        <w:rPr>
          <w:rFonts w:hint="eastAsia"/>
          <w:color w:val="auto"/>
          <w:spacing w:val="-3"/>
          <w:sz w:val="21"/>
          <w:szCs w:val="21"/>
        </w:rPr>
        <w:t>。</w:t>
      </w:r>
    </w:p>
    <w:p>
      <w:pPr>
        <w:pStyle w:val="31"/>
        <w:keepNext w:val="0"/>
        <w:keepLines w:val="0"/>
        <w:pageBreakBefore w:val="0"/>
        <w:widowControl w:val="0"/>
        <w:numPr>
          <w:ilvl w:val="0"/>
          <w:numId w:val="23"/>
        </w:numPr>
        <w:tabs>
          <w:tab w:val="left" w:pos="1100"/>
        </w:tabs>
        <w:kinsoku/>
        <w:wordWrap/>
        <w:overflowPunct/>
        <w:topLinePunct w:val="0"/>
        <w:autoSpaceDE w:val="0"/>
        <w:autoSpaceDN w:val="0"/>
        <w:bidi w:val="0"/>
        <w:adjustRightInd/>
        <w:snapToGrid/>
        <w:spacing w:line="360" w:lineRule="auto"/>
        <w:ind w:left="0" w:leftChars="0" w:right="400" w:rightChars="182" w:firstLine="426" w:firstLineChars="209"/>
        <w:jc w:val="left"/>
        <w:textAlignment w:val="auto"/>
        <w:rPr>
          <w:color w:val="auto"/>
          <w:sz w:val="21"/>
          <w:szCs w:val="21"/>
        </w:rPr>
      </w:pPr>
      <w:r>
        <w:rPr>
          <w:rFonts w:hint="eastAsia"/>
          <w:color w:val="auto"/>
          <w:spacing w:val="-3"/>
          <w:sz w:val="21"/>
          <w:szCs w:val="21"/>
        </w:rPr>
        <w:t>政策性扣除计算方法。</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400" w:rightChars="182" w:firstLine="413" w:firstLineChars="209"/>
        <w:textAlignment w:val="auto"/>
        <w:rPr>
          <w:color w:val="auto"/>
        </w:rPr>
      </w:pPr>
      <w:r>
        <w:rPr>
          <w:rFonts w:hint="eastAsia"/>
          <w:color w:val="auto"/>
          <w:spacing w:val="-6"/>
        </w:rPr>
        <w:t>投标人符合小型、微型企业或监狱企业条件的，其投标报价</w:t>
      </w:r>
      <w:r>
        <w:rPr>
          <w:rFonts w:hint="eastAsia"/>
          <w:color w:val="auto"/>
          <w:spacing w:val="-3"/>
        </w:rPr>
        <w:t>（</w:t>
      </w:r>
      <w:r>
        <w:rPr>
          <w:rFonts w:hint="eastAsia"/>
          <w:color w:val="auto"/>
          <w:spacing w:val="-4"/>
        </w:rPr>
        <w:t>注：本项目为投标费率</w:t>
      </w:r>
      <w:r>
        <w:rPr>
          <w:rFonts w:hint="eastAsia"/>
          <w:color w:val="auto"/>
          <w:spacing w:val="-10"/>
        </w:rPr>
        <w:t>）</w:t>
      </w:r>
      <w:r>
        <w:rPr>
          <w:rFonts w:hint="eastAsia"/>
          <w:color w:val="auto"/>
        </w:rPr>
        <w:t>将</w:t>
      </w:r>
      <w:r>
        <w:rPr>
          <w:rFonts w:hint="eastAsia"/>
          <w:color w:val="auto"/>
          <w:spacing w:val="-5"/>
        </w:rPr>
        <w:t>按相应比例进行扣除，用扣除后的价格</w:t>
      </w:r>
      <w:r>
        <w:rPr>
          <w:rFonts w:hint="eastAsia"/>
          <w:color w:val="auto"/>
          <w:spacing w:val="-3"/>
        </w:rPr>
        <w:t>（注：本项目为评标费率</w:t>
      </w:r>
      <w:r>
        <w:rPr>
          <w:rFonts w:hint="eastAsia"/>
          <w:color w:val="auto"/>
          <w:spacing w:val="-8"/>
        </w:rPr>
        <w:t>）</w:t>
      </w:r>
      <w:r>
        <w:rPr>
          <w:rFonts w:hint="eastAsia"/>
          <w:color w:val="auto"/>
          <w:spacing w:val="-4"/>
        </w:rPr>
        <w:t>参与</w:t>
      </w:r>
      <w:r>
        <w:rPr>
          <w:rFonts w:hint="eastAsia"/>
          <w:color w:val="auto"/>
          <w:spacing w:val="-4"/>
          <w:lang w:eastAsia="zh-CN"/>
        </w:rPr>
        <w:t>审核</w:t>
      </w:r>
      <w:r>
        <w:rPr>
          <w:rFonts w:hint="eastAsia"/>
          <w:color w:val="auto"/>
        </w:rPr>
        <w:t>（</w:t>
      </w:r>
      <w:r>
        <w:rPr>
          <w:rFonts w:hint="eastAsia"/>
          <w:color w:val="auto"/>
          <w:spacing w:val="-3"/>
        </w:rPr>
        <w:t>计算价格分</w:t>
      </w:r>
      <w:r>
        <w:rPr>
          <w:rFonts w:hint="eastAsia"/>
          <w:color w:val="auto"/>
          <w:spacing w:val="-106"/>
        </w:rPr>
        <w:t>）</w:t>
      </w:r>
      <w:r>
        <w:rPr>
          <w:rFonts w:hint="eastAsia"/>
          <w:color w:val="auto"/>
          <w:spacing w:val="-3"/>
        </w:rPr>
        <w:t>。小型、微型企业组成联合体参加投标的，联合体视同为小型、微型企业享受扶持政策。</w:t>
      </w:r>
    </w:p>
    <w:p>
      <w:pPr>
        <w:pStyle w:val="31"/>
        <w:keepNext w:val="0"/>
        <w:keepLines w:val="0"/>
        <w:pageBreakBefore w:val="0"/>
        <w:widowControl w:val="0"/>
        <w:numPr>
          <w:ilvl w:val="0"/>
          <w:numId w:val="23"/>
        </w:numPr>
        <w:tabs>
          <w:tab w:val="left" w:pos="1100"/>
        </w:tabs>
        <w:kinsoku/>
        <w:wordWrap/>
        <w:overflowPunct/>
        <w:topLinePunct w:val="0"/>
        <w:autoSpaceDE w:val="0"/>
        <w:autoSpaceDN w:val="0"/>
        <w:bidi w:val="0"/>
        <w:adjustRightInd/>
        <w:snapToGrid/>
        <w:spacing w:line="360" w:lineRule="auto"/>
        <w:ind w:left="0" w:leftChars="0" w:right="400" w:rightChars="182" w:firstLine="418" w:firstLineChars="209"/>
        <w:jc w:val="left"/>
        <w:textAlignment w:val="auto"/>
        <w:rPr>
          <w:color w:val="auto"/>
          <w:sz w:val="21"/>
          <w:szCs w:val="21"/>
        </w:rPr>
      </w:pPr>
      <w:r>
        <w:rPr>
          <w:rFonts w:hint="eastAsia"/>
          <w:color w:val="auto"/>
          <w:spacing w:val="-5"/>
          <w:sz w:val="21"/>
          <w:szCs w:val="21"/>
        </w:rPr>
        <w:t>按照《财政部、司法部关于政府采购支持监狱企业发展有关问题的通知</w:t>
      </w:r>
      <w:r>
        <w:rPr>
          <w:rFonts w:hint="eastAsia"/>
          <w:color w:val="auto"/>
          <w:spacing w:val="-116"/>
          <w:sz w:val="21"/>
          <w:szCs w:val="21"/>
        </w:rPr>
        <w:t>》</w:t>
      </w:r>
      <w:r>
        <w:rPr>
          <w:rFonts w:hint="eastAsia"/>
          <w:color w:val="auto"/>
          <w:sz w:val="21"/>
          <w:szCs w:val="21"/>
        </w:rPr>
        <w:t>（</w:t>
      </w:r>
      <w:r>
        <w:rPr>
          <w:rFonts w:hint="eastAsia"/>
          <w:color w:val="auto"/>
          <w:spacing w:val="-4"/>
          <w:sz w:val="21"/>
          <w:szCs w:val="21"/>
        </w:rPr>
        <w:t>财库〔</w:t>
      </w:r>
      <w:r>
        <w:rPr>
          <w:rFonts w:hint="eastAsia"/>
          <w:color w:val="auto"/>
          <w:sz w:val="21"/>
          <w:szCs w:val="21"/>
        </w:rPr>
        <w:t>2014〕68</w:t>
      </w:r>
      <w:r>
        <w:rPr>
          <w:rFonts w:hint="eastAsia"/>
          <w:color w:val="auto"/>
          <w:spacing w:val="-28"/>
          <w:sz w:val="21"/>
          <w:szCs w:val="21"/>
        </w:rPr>
        <w:t xml:space="preserve"> 号</w:t>
      </w:r>
      <w:r>
        <w:rPr>
          <w:rFonts w:hint="eastAsia"/>
          <w:color w:val="auto"/>
          <w:sz w:val="21"/>
          <w:szCs w:val="21"/>
        </w:rPr>
        <w:t>）</w:t>
      </w:r>
      <w:r>
        <w:rPr>
          <w:rFonts w:hint="eastAsia"/>
          <w:color w:val="auto"/>
          <w:spacing w:val="-3"/>
          <w:sz w:val="21"/>
          <w:szCs w:val="21"/>
        </w:rPr>
        <w:t>之规定，监狱企业视同小型、微型企业。</w:t>
      </w:r>
    </w:p>
    <w:p>
      <w:pPr>
        <w:pStyle w:val="31"/>
        <w:keepNext w:val="0"/>
        <w:keepLines w:val="0"/>
        <w:pageBreakBefore w:val="0"/>
        <w:widowControl w:val="0"/>
        <w:numPr>
          <w:ilvl w:val="0"/>
          <w:numId w:val="23"/>
        </w:numPr>
        <w:tabs>
          <w:tab w:val="left" w:pos="1100"/>
        </w:tabs>
        <w:kinsoku/>
        <w:wordWrap/>
        <w:overflowPunct/>
        <w:topLinePunct w:val="0"/>
        <w:autoSpaceDE w:val="0"/>
        <w:autoSpaceDN w:val="0"/>
        <w:bidi w:val="0"/>
        <w:adjustRightInd/>
        <w:snapToGrid/>
        <w:spacing w:line="360" w:lineRule="auto"/>
        <w:ind w:left="0" w:leftChars="0" w:right="400" w:rightChars="182" w:firstLine="438" w:firstLineChars="209"/>
        <w:jc w:val="left"/>
        <w:textAlignment w:val="auto"/>
        <w:rPr>
          <w:color w:val="auto"/>
        </w:rPr>
      </w:pPr>
      <w:r>
        <w:rPr>
          <w:rFonts w:hint="eastAsia"/>
          <w:color w:val="auto"/>
          <w:sz w:val="21"/>
          <w:szCs w:val="21"/>
        </w:rPr>
        <w:t>按照《财政部、民政部、中国残疾人联合会关于促进残疾人就业政府采购政策的通知》</w:t>
      </w:r>
      <w:r>
        <w:rPr>
          <w:rFonts w:hint="eastAsia"/>
          <w:color w:val="auto"/>
        </w:rPr>
        <w:t>（财库〔2017〕141 号）之规定的残疾人福利性单位视同小型、微型企业。</w:t>
      </w:r>
    </w:p>
    <w:p>
      <w:pPr>
        <w:pStyle w:val="31"/>
        <w:keepNext w:val="0"/>
        <w:keepLines w:val="0"/>
        <w:pageBreakBefore w:val="0"/>
        <w:widowControl w:val="0"/>
        <w:numPr>
          <w:ilvl w:val="0"/>
          <w:numId w:val="23"/>
        </w:numPr>
        <w:tabs>
          <w:tab w:val="left" w:pos="1100"/>
        </w:tabs>
        <w:kinsoku/>
        <w:wordWrap/>
        <w:overflowPunct/>
        <w:topLinePunct w:val="0"/>
        <w:autoSpaceDE w:val="0"/>
        <w:autoSpaceDN w:val="0"/>
        <w:bidi w:val="0"/>
        <w:adjustRightInd/>
        <w:snapToGrid/>
        <w:spacing w:line="360" w:lineRule="auto"/>
        <w:ind w:left="0" w:leftChars="0" w:right="400" w:rightChars="182" w:firstLine="413" w:firstLineChars="209"/>
        <w:jc w:val="left"/>
        <w:textAlignment w:val="auto"/>
        <w:rPr>
          <w:color w:val="auto"/>
          <w:sz w:val="21"/>
          <w:szCs w:val="21"/>
        </w:rPr>
      </w:pPr>
      <w:r>
        <w:rPr>
          <w:rFonts w:hint="eastAsia"/>
          <w:color w:val="auto"/>
          <w:spacing w:val="-6"/>
          <w:sz w:val="21"/>
          <w:szCs w:val="21"/>
        </w:rPr>
        <w:t>按照《政府采购促进中小企业发展暂行办法</w:t>
      </w:r>
      <w:r>
        <w:rPr>
          <w:rFonts w:hint="eastAsia"/>
          <w:color w:val="auto"/>
          <w:spacing w:val="-125"/>
          <w:sz w:val="21"/>
          <w:szCs w:val="21"/>
        </w:rPr>
        <w:t>》</w:t>
      </w:r>
      <w:r>
        <w:rPr>
          <w:rFonts w:hint="eastAsia"/>
          <w:color w:val="auto"/>
          <w:spacing w:val="-125"/>
          <w:sz w:val="21"/>
          <w:szCs w:val="21"/>
          <w:lang w:val="en-US" w:eastAsia="zh-CN"/>
        </w:rPr>
        <w:t xml:space="preserve">  </w:t>
      </w:r>
      <w:r>
        <w:rPr>
          <w:rFonts w:hint="eastAsia"/>
          <w:color w:val="auto"/>
          <w:spacing w:val="-3"/>
          <w:sz w:val="21"/>
          <w:szCs w:val="21"/>
        </w:rPr>
        <w:t>（</w:t>
      </w:r>
      <w:r>
        <w:rPr>
          <w:rFonts w:hint="eastAsia"/>
          <w:color w:val="auto"/>
          <w:sz w:val="21"/>
          <w:szCs w:val="21"/>
        </w:rPr>
        <w:t>财库[2011]181</w:t>
      </w:r>
      <w:r>
        <w:rPr>
          <w:rFonts w:hint="eastAsia"/>
          <w:color w:val="auto"/>
          <w:spacing w:val="-22"/>
          <w:sz w:val="21"/>
          <w:szCs w:val="21"/>
        </w:rPr>
        <w:t xml:space="preserve"> 号</w:t>
      </w:r>
      <w:r>
        <w:rPr>
          <w:rFonts w:hint="eastAsia"/>
          <w:color w:val="auto"/>
          <w:spacing w:val="-17"/>
          <w:sz w:val="21"/>
          <w:szCs w:val="21"/>
        </w:rPr>
        <w:t>）</w:t>
      </w:r>
      <w:r>
        <w:rPr>
          <w:rFonts w:hint="eastAsia"/>
          <w:color w:val="auto"/>
          <w:spacing w:val="-17"/>
          <w:sz w:val="21"/>
          <w:szCs w:val="21"/>
          <w:lang w:val="en-US" w:eastAsia="zh-CN"/>
        </w:rPr>
        <w:t xml:space="preserve"> </w:t>
      </w:r>
      <w:r>
        <w:rPr>
          <w:rFonts w:hint="eastAsia"/>
          <w:color w:val="auto"/>
          <w:spacing w:val="-6"/>
          <w:sz w:val="21"/>
          <w:szCs w:val="21"/>
        </w:rPr>
        <w:t>之规定，投标产品被</w:t>
      </w:r>
      <w:r>
        <w:rPr>
          <w:rFonts w:hint="eastAsia"/>
          <w:color w:val="auto"/>
          <w:spacing w:val="-5"/>
          <w:sz w:val="21"/>
          <w:szCs w:val="21"/>
        </w:rPr>
        <w:t>认定为小型和微型企业产品</w:t>
      </w:r>
      <w:r>
        <w:rPr>
          <w:rFonts w:hint="eastAsia"/>
          <w:color w:val="auto"/>
          <w:sz w:val="21"/>
          <w:szCs w:val="21"/>
        </w:rPr>
        <w:t>（</w:t>
      </w:r>
      <w:r>
        <w:rPr>
          <w:rFonts w:hint="eastAsia"/>
          <w:color w:val="auto"/>
          <w:spacing w:val="-3"/>
          <w:sz w:val="21"/>
          <w:szCs w:val="21"/>
        </w:rPr>
        <w:t>以具有认定职能的部门出具的证明材料为准</w:t>
      </w:r>
      <w:r>
        <w:rPr>
          <w:rFonts w:hint="eastAsia"/>
          <w:color w:val="auto"/>
          <w:spacing w:val="-13"/>
          <w:sz w:val="21"/>
          <w:szCs w:val="21"/>
        </w:rPr>
        <w:t>）</w:t>
      </w:r>
      <w:r>
        <w:rPr>
          <w:rFonts w:hint="eastAsia"/>
          <w:color w:val="auto"/>
          <w:spacing w:val="-4"/>
          <w:sz w:val="21"/>
          <w:szCs w:val="21"/>
        </w:rPr>
        <w:t>的，对小型和微型企业</w:t>
      </w:r>
      <w:r>
        <w:rPr>
          <w:rFonts w:hint="eastAsia"/>
          <w:color w:val="auto"/>
          <w:spacing w:val="-3"/>
          <w:sz w:val="21"/>
          <w:szCs w:val="21"/>
        </w:rPr>
        <w:t>产品的价格</w:t>
      </w:r>
      <w:r>
        <w:rPr>
          <w:rFonts w:hint="eastAsia"/>
          <w:color w:val="auto"/>
          <w:sz w:val="21"/>
          <w:szCs w:val="21"/>
        </w:rPr>
        <w:t>（</w:t>
      </w:r>
      <w:r>
        <w:rPr>
          <w:rFonts w:hint="eastAsia"/>
          <w:color w:val="auto"/>
          <w:spacing w:val="-3"/>
          <w:sz w:val="21"/>
          <w:szCs w:val="21"/>
        </w:rPr>
        <w:t>注：本项目为投标费率，以下相同）</w:t>
      </w:r>
      <w:r>
        <w:rPr>
          <w:rFonts w:hint="eastAsia"/>
          <w:color w:val="auto"/>
          <w:spacing w:val="-7"/>
          <w:sz w:val="21"/>
          <w:szCs w:val="21"/>
        </w:rPr>
        <w:t xml:space="preserve">给予 </w:t>
      </w:r>
      <w:r>
        <w:rPr>
          <w:rFonts w:hint="eastAsia"/>
          <w:color w:val="auto"/>
          <w:sz w:val="21"/>
          <w:szCs w:val="21"/>
          <w:lang w:val="en-US" w:eastAsia="zh-CN"/>
        </w:rPr>
        <w:t>10</w:t>
      </w:r>
      <w:r>
        <w:rPr>
          <w:rFonts w:hint="eastAsia"/>
          <w:color w:val="auto"/>
          <w:spacing w:val="-3"/>
          <w:sz w:val="21"/>
          <w:szCs w:val="21"/>
        </w:rPr>
        <w:t>%的扣除，扣除后的价格为评标报价</w:t>
      </w:r>
      <w:r>
        <w:rPr>
          <w:rFonts w:hint="eastAsia"/>
          <w:color w:val="auto"/>
          <w:sz w:val="21"/>
          <w:szCs w:val="21"/>
        </w:rPr>
        <w:t>（</w:t>
      </w:r>
      <w:r>
        <w:rPr>
          <w:rFonts w:hint="eastAsia"/>
          <w:color w:val="auto"/>
          <w:spacing w:val="-2"/>
          <w:sz w:val="21"/>
          <w:szCs w:val="21"/>
        </w:rPr>
        <w:t xml:space="preserve">注： </w:t>
      </w:r>
      <w:r>
        <w:rPr>
          <w:rFonts w:hint="eastAsia"/>
          <w:color w:val="auto"/>
          <w:sz w:val="21"/>
          <w:szCs w:val="21"/>
        </w:rPr>
        <w:t>本项目为评标费率，以下相同</w:t>
      </w:r>
      <w:r>
        <w:rPr>
          <w:rFonts w:hint="eastAsia"/>
          <w:color w:val="auto"/>
          <w:spacing w:val="-106"/>
          <w:sz w:val="21"/>
          <w:szCs w:val="21"/>
        </w:rPr>
        <w:t>）</w:t>
      </w:r>
      <w:r>
        <w:rPr>
          <w:rFonts w:hint="eastAsia"/>
          <w:color w:val="auto"/>
          <w:sz w:val="21"/>
          <w:szCs w:val="21"/>
        </w:rPr>
        <w:t>，即评标报价=投标报价×</w:t>
      </w:r>
      <w:r>
        <w:rPr>
          <w:rFonts w:hint="eastAsia"/>
          <w:color w:val="auto"/>
          <w:spacing w:val="2"/>
          <w:sz w:val="21"/>
          <w:szCs w:val="21"/>
        </w:rPr>
        <w:t>（</w:t>
      </w:r>
      <w:r>
        <w:rPr>
          <w:rFonts w:hint="eastAsia"/>
          <w:color w:val="auto"/>
          <w:sz w:val="21"/>
          <w:szCs w:val="21"/>
        </w:rPr>
        <w:t>1</w:t>
      </w:r>
      <w:r>
        <w:rPr>
          <w:rFonts w:hint="eastAsia"/>
          <w:color w:val="auto"/>
          <w:spacing w:val="-3"/>
          <w:sz w:val="21"/>
          <w:szCs w:val="21"/>
        </w:rPr>
        <w:t>-</w:t>
      </w:r>
      <w:r>
        <w:rPr>
          <w:rFonts w:hint="eastAsia"/>
          <w:color w:val="auto"/>
          <w:spacing w:val="-3"/>
          <w:sz w:val="21"/>
          <w:szCs w:val="21"/>
          <w:lang w:val="en-US" w:eastAsia="zh-CN"/>
        </w:rPr>
        <w:t>10</w:t>
      </w:r>
      <w:r>
        <w:rPr>
          <w:rFonts w:hint="eastAsia"/>
          <w:color w:val="auto"/>
          <w:sz w:val="21"/>
          <w:szCs w:val="21"/>
        </w:rPr>
        <w:t>%</w:t>
      </w:r>
      <w:r>
        <w:rPr>
          <w:rFonts w:hint="eastAsia"/>
          <w:color w:val="auto"/>
          <w:spacing w:val="-104"/>
          <w:sz w:val="21"/>
          <w:szCs w:val="21"/>
        </w:rPr>
        <w:t>）</w:t>
      </w:r>
      <w:r>
        <w:rPr>
          <w:rFonts w:hint="eastAsia"/>
          <w:color w:val="auto"/>
          <w:sz w:val="21"/>
          <w:szCs w:val="21"/>
        </w:rPr>
        <w:t>。对大中型企业和其他自然人、</w:t>
      </w:r>
      <w:r>
        <w:rPr>
          <w:rFonts w:hint="eastAsia"/>
          <w:color w:val="auto"/>
          <w:spacing w:val="-6"/>
          <w:sz w:val="21"/>
          <w:szCs w:val="21"/>
        </w:rPr>
        <w:t>法人或者其他组织与小型、微型企业组成联合体，且联合体协议中约定小型、微型企业的协议合同</w:t>
      </w:r>
      <w:r>
        <w:rPr>
          <w:rFonts w:hint="eastAsia"/>
          <w:color w:val="auto"/>
          <w:spacing w:val="-7"/>
          <w:sz w:val="21"/>
          <w:szCs w:val="21"/>
        </w:rPr>
        <w:t xml:space="preserve">金额占到联合体协议合同总金额 </w:t>
      </w:r>
      <w:r>
        <w:rPr>
          <w:rFonts w:hint="eastAsia"/>
          <w:color w:val="auto"/>
          <w:sz w:val="21"/>
          <w:szCs w:val="21"/>
        </w:rPr>
        <w:t>30</w:t>
      </w:r>
      <w:r>
        <w:rPr>
          <w:rFonts w:hint="eastAsia"/>
          <w:color w:val="auto"/>
          <w:spacing w:val="-9"/>
          <w:sz w:val="21"/>
          <w:szCs w:val="21"/>
        </w:rPr>
        <w:t xml:space="preserve">%以上的，给予 </w:t>
      </w:r>
      <w:r>
        <w:rPr>
          <w:rFonts w:hint="eastAsia"/>
          <w:color w:val="auto"/>
          <w:sz w:val="21"/>
          <w:szCs w:val="21"/>
        </w:rPr>
        <w:t>2</w:t>
      </w:r>
      <w:r>
        <w:rPr>
          <w:rFonts w:hint="eastAsia"/>
          <w:color w:val="auto"/>
          <w:spacing w:val="-5"/>
          <w:sz w:val="21"/>
          <w:szCs w:val="21"/>
        </w:rPr>
        <w:t>%的价格扣除，扣除后的价格为评标报价，即评</w:t>
      </w:r>
      <w:r>
        <w:rPr>
          <w:rFonts w:hint="eastAsia"/>
          <w:color w:val="auto"/>
          <w:sz w:val="21"/>
          <w:szCs w:val="21"/>
        </w:rPr>
        <w:t>标报价＝投标费率×</w:t>
      </w:r>
      <w:r>
        <w:rPr>
          <w:rFonts w:hint="eastAsia"/>
          <w:color w:val="auto"/>
          <w:spacing w:val="3"/>
          <w:sz w:val="21"/>
          <w:szCs w:val="21"/>
        </w:rPr>
        <w:t>（</w:t>
      </w:r>
      <w:r>
        <w:rPr>
          <w:rFonts w:hint="eastAsia"/>
          <w:color w:val="auto"/>
          <w:spacing w:val="-3"/>
          <w:sz w:val="21"/>
          <w:szCs w:val="21"/>
        </w:rPr>
        <w:t>1</w:t>
      </w:r>
      <w:r>
        <w:rPr>
          <w:rFonts w:hint="eastAsia"/>
          <w:color w:val="auto"/>
          <w:sz w:val="21"/>
          <w:szCs w:val="21"/>
        </w:rPr>
        <w:t>-</w:t>
      </w:r>
      <w:r>
        <w:rPr>
          <w:rFonts w:hint="eastAsia"/>
          <w:color w:val="auto"/>
          <w:spacing w:val="-3"/>
          <w:sz w:val="21"/>
          <w:szCs w:val="21"/>
        </w:rPr>
        <w:t>2</w:t>
      </w:r>
      <w:r>
        <w:rPr>
          <w:rFonts w:hint="eastAsia"/>
          <w:color w:val="auto"/>
          <w:spacing w:val="2"/>
          <w:sz w:val="21"/>
          <w:szCs w:val="21"/>
        </w:rPr>
        <w:t>%</w:t>
      </w:r>
      <w:r>
        <w:rPr>
          <w:rFonts w:hint="eastAsia"/>
          <w:color w:val="auto"/>
          <w:spacing w:val="-106"/>
          <w:sz w:val="21"/>
          <w:szCs w:val="21"/>
        </w:rPr>
        <w:t>）</w:t>
      </w:r>
      <w:r>
        <w:rPr>
          <w:rFonts w:hint="eastAsia"/>
          <w:color w:val="auto"/>
          <w:spacing w:val="-6"/>
          <w:sz w:val="21"/>
          <w:szCs w:val="21"/>
        </w:rPr>
        <w:t>。除上述情况外，评标报价=投标报价。【注：投标人在投标文件中需</w:t>
      </w:r>
      <w:r>
        <w:rPr>
          <w:rFonts w:hint="eastAsia"/>
          <w:color w:val="auto"/>
          <w:spacing w:val="-4"/>
          <w:sz w:val="21"/>
          <w:szCs w:val="21"/>
        </w:rPr>
        <w:t>提供《中小企业声明函》为评分依据】</w:t>
      </w:r>
    </w:p>
    <w:p>
      <w:pPr>
        <w:pStyle w:val="31"/>
        <w:keepNext w:val="0"/>
        <w:keepLines w:val="0"/>
        <w:pageBreakBefore w:val="0"/>
        <w:widowControl w:val="0"/>
        <w:numPr>
          <w:ilvl w:val="0"/>
          <w:numId w:val="23"/>
        </w:numPr>
        <w:tabs>
          <w:tab w:val="left" w:pos="1100"/>
        </w:tabs>
        <w:kinsoku/>
        <w:wordWrap/>
        <w:overflowPunct/>
        <w:topLinePunct w:val="0"/>
        <w:autoSpaceDE w:val="0"/>
        <w:autoSpaceDN w:val="0"/>
        <w:bidi w:val="0"/>
        <w:adjustRightInd/>
        <w:snapToGrid/>
        <w:spacing w:line="360" w:lineRule="auto"/>
        <w:ind w:left="0" w:leftChars="0" w:right="400" w:rightChars="182" w:firstLine="434" w:firstLineChars="209"/>
        <w:jc w:val="left"/>
        <w:textAlignment w:val="auto"/>
        <w:rPr>
          <w:color w:val="auto"/>
          <w:sz w:val="21"/>
          <w:szCs w:val="21"/>
        </w:rPr>
      </w:pPr>
      <w:r>
        <w:rPr>
          <w:rFonts w:hint="eastAsia"/>
          <w:color w:val="auto"/>
          <w:spacing w:val="-1"/>
          <w:sz w:val="21"/>
          <w:szCs w:val="21"/>
        </w:rPr>
        <w:t>以进入综合评分环节的并且在投标费率有效范围的最低评标费率为基准价</w:t>
      </w:r>
      <w:r>
        <w:rPr>
          <w:rFonts w:hint="eastAsia"/>
          <w:color w:val="auto"/>
          <w:spacing w:val="-1"/>
          <w:sz w:val="21"/>
          <w:szCs w:val="21"/>
          <w:lang w:val="zh-CN"/>
        </w:rPr>
        <w:t>（工程预算审核基本费率下浮系数最高报价、评审效益费率最低报价）</w:t>
      </w:r>
      <w:r>
        <w:rPr>
          <w:rFonts w:hint="eastAsia"/>
          <w:color w:val="auto"/>
          <w:spacing w:val="-1"/>
          <w:sz w:val="21"/>
          <w:szCs w:val="21"/>
        </w:rPr>
        <w:t>，其价格分为</w:t>
      </w:r>
      <w:r>
        <w:rPr>
          <w:rFonts w:hint="eastAsia"/>
          <w:color w:val="auto"/>
          <w:sz w:val="21"/>
          <w:szCs w:val="21"/>
        </w:rPr>
        <w:t>满分。</w:t>
      </w:r>
    </w:p>
    <w:p>
      <w:pPr>
        <w:pStyle w:val="10"/>
        <w:keepNext w:val="0"/>
        <w:keepLines w:val="0"/>
        <w:pageBreakBefore w:val="0"/>
        <w:widowControl w:val="0"/>
        <w:numPr>
          <w:ilvl w:val="0"/>
          <w:numId w:val="24"/>
        </w:numPr>
        <w:tabs>
          <w:tab w:val="left" w:pos="1161"/>
        </w:tabs>
        <w:kinsoku/>
        <w:wordWrap/>
        <w:overflowPunct/>
        <w:topLinePunct w:val="0"/>
        <w:autoSpaceDE w:val="0"/>
        <w:autoSpaceDN w:val="0"/>
        <w:bidi w:val="0"/>
        <w:adjustRightInd/>
        <w:snapToGrid/>
        <w:spacing w:before="192" w:after="34" w:line="360" w:lineRule="auto"/>
        <w:ind w:hanging="529"/>
        <w:textAlignment w:val="auto"/>
        <w:rPr>
          <w:color w:val="auto"/>
        </w:rPr>
      </w:pPr>
      <w:r>
        <w:rPr>
          <w:rFonts w:hint="eastAsia"/>
          <w:color w:val="auto"/>
          <w:spacing w:val="-3"/>
        </w:rPr>
        <w:t xml:space="preserve">某投标人工程预算审核基本费部分报价分 </w:t>
      </w:r>
      <w:r>
        <w:rPr>
          <w:rFonts w:hint="eastAsia"/>
          <w:color w:val="auto"/>
        </w:rPr>
        <w:t>A（</w:t>
      </w:r>
      <w:r>
        <w:rPr>
          <w:rFonts w:hint="eastAsia"/>
          <w:color w:val="auto"/>
          <w:spacing w:val="-17"/>
        </w:rPr>
        <w:t>满分</w:t>
      </w:r>
      <w:r>
        <w:rPr>
          <w:rFonts w:hint="eastAsia"/>
          <w:color w:val="auto"/>
          <w:spacing w:val="-17"/>
          <w:lang w:val="en-US"/>
        </w:rPr>
        <w:t>14</w:t>
      </w:r>
      <w:r>
        <w:rPr>
          <w:rFonts w:hint="eastAsia"/>
          <w:color w:val="auto"/>
          <w:spacing w:val="-26"/>
        </w:rPr>
        <w:t xml:space="preserve"> 分</w:t>
      </w:r>
      <w:r>
        <w:rPr>
          <w:rFonts w:hint="eastAsia"/>
          <w:color w:val="auto"/>
        </w:rPr>
        <w:t>）</w:t>
      </w:r>
    </w:p>
    <w:p>
      <w:pPr>
        <w:pStyle w:val="10"/>
        <w:keepNext w:val="0"/>
        <w:keepLines w:val="0"/>
        <w:pageBreakBefore w:val="0"/>
        <w:widowControl w:val="0"/>
        <w:tabs>
          <w:tab w:val="left" w:pos="1161"/>
        </w:tabs>
        <w:kinsoku/>
        <w:wordWrap/>
        <w:overflowPunct/>
        <w:topLinePunct w:val="0"/>
        <w:autoSpaceDE w:val="0"/>
        <w:autoSpaceDN w:val="0"/>
        <w:bidi w:val="0"/>
        <w:adjustRightInd/>
        <w:snapToGrid/>
        <w:spacing w:line="360" w:lineRule="auto"/>
        <w:ind w:left="0" w:leftChars="0" w:right="356" w:rightChars="0" w:firstLine="4080" w:firstLineChars="2000"/>
        <w:jc w:val="both"/>
        <w:textAlignment w:val="auto"/>
        <w:outlineLvl w:val="9"/>
        <w:rPr>
          <w:color w:val="auto"/>
        </w:rPr>
      </w:pPr>
      <w:r>
        <w:rPr>
          <w:rFonts w:hint="eastAsia" w:ascii="宋体" w:hAnsi="Courier New" w:eastAsiaTheme="minorEastAsia" w:cstheme="minorBidi"/>
          <w:b w:val="0"/>
          <w:bCs w:val="0"/>
          <w:color w:val="auto"/>
          <w:spacing w:val="-3"/>
          <w:sz w:val="21"/>
          <w:szCs w:val="21"/>
          <w:highlight w:val="none"/>
          <w:lang w:val="zh-CN" w:eastAsia="zh-CN" w:bidi="ar-SA"/>
        </w:rPr>
        <w:t>（1-有效投标人最高下浮系数）</w:t>
      </w:r>
    </w:p>
    <w:p>
      <w:pPr>
        <w:pStyle w:val="13"/>
        <w:spacing w:line="360" w:lineRule="auto"/>
        <w:ind w:left="4" w:leftChars="-100" w:hanging="224" w:hangingChars="110"/>
        <w:outlineLvl w:val="0"/>
        <w:rPr>
          <w:rFonts w:hint="eastAsia" w:ascii="宋体" w:hAnsi="宋体" w:eastAsia="宋体"/>
          <w:color w:val="auto"/>
          <w:sz w:val="21"/>
          <w:szCs w:val="21"/>
          <w:lang w:val="zh-CN"/>
        </w:rPr>
      </w:pPr>
      <w:r>
        <w:rPr>
          <w:rFonts w:hint="eastAsia"/>
          <w:color w:val="auto"/>
          <w:spacing w:val="-3"/>
          <w:sz w:val="21"/>
          <w:szCs w:val="21"/>
          <w:highlight w:val="none"/>
        </w:rPr>
        <w:t>某投标人工程预算审核基本费报价分</w:t>
      </w:r>
      <w:r>
        <w:rPr>
          <w:rFonts w:hint="eastAsia" w:ascii="宋体" w:hAnsi="宋体" w:eastAsia="宋体"/>
          <w:color w:val="auto"/>
          <w:sz w:val="21"/>
          <w:szCs w:val="21"/>
          <w:lang w:val="zh-CN"/>
        </w:rPr>
        <w:t>A</w:t>
      </w:r>
      <w:r>
        <w:rPr>
          <w:rFonts w:hint="eastAsia"/>
          <w:color w:val="auto"/>
          <w:spacing w:val="-3"/>
          <w:sz w:val="21"/>
          <w:szCs w:val="21"/>
          <w:highlight w:val="none"/>
          <w:lang w:eastAsia="zh-CN"/>
        </w:rPr>
        <w:t>：</w:t>
      </w:r>
      <w:r>
        <w:rPr>
          <w:rFonts w:hint="eastAsia" w:ascii="宋体" w:hAnsi="宋体" w:eastAsia="宋体"/>
          <w:color w:val="auto"/>
          <w:sz w:val="21"/>
          <w:szCs w:val="21"/>
          <w:lang w:val="zh-CN"/>
        </w:rPr>
        <w:t xml:space="preserve">= </w:t>
      </w:r>
      <w:r>
        <w:rPr>
          <w:rFonts w:hint="eastAsia" w:ascii="宋体" w:hAnsi="宋体" w:eastAsia="宋体"/>
          <w:color w:val="auto"/>
          <w:sz w:val="21"/>
          <w:szCs w:val="21"/>
          <w:u w:val="single"/>
          <w:lang w:val="zh-CN"/>
        </w:rPr>
        <w:t xml:space="preserve">                              </w:t>
      </w:r>
      <w:r>
        <w:rPr>
          <w:rFonts w:hint="eastAsia" w:ascii="宋体" w:hAnsi="宋体" w:eastAsia="宋体"/>
          <w:color w:val="auto"/>
          <w:sz w:val="21"/>
          <w:szCs w:val="21"/>
          <w:lang w:val="zh-CN"/>
        </w:rPr>
        <w:t>×</w:t>
      </w:r>
      <w:r>
        <w:rPr>
          <w:rFonts w:hint="eastAsia" w:hAnsi="宋体" w:eastAsia="宋体"/>
          <w:color w:val="auto"/>
          <w:sz w:val="21"/>
          <w:szCs w:val="21"/>
          <w:lang w:val="en-US" w:eastAsia="zh-CN"/>
        </w:rPr>
        <w:t>14</w:t>
      </w:r>
      <w:r>
        <w:rPr>
          <w:rFonts w:hint="eastAsia" w:ascii="宋体" w:hAnsi="宋体" w:eastAsia="宋体"/>
          <w:color w:val="auto"/>
          <w:sz w:val="21"/>
          <w:szCs w:val="21"/>
          <w:lang w:val="zh-CN"/>
        </w:rPr>
        <w:t>分</w:t>
      </w:r>
    </w:p>
    <w:p>
      <w:pPr>
        <w:pStyle w:val="13"/>
        <w:spacing w:line="360" w:lineRule="auto"/>
        <w:ind w:firstLine="417" w:firstLineChars="199"/>
        <w:outlineLvl w:val="0"/>
        <w:rPr>
          <w:rFonts w:hint="eastAsia" w:ascii="宋体" w:hAnsi="宋体" w:eastAsia="宋体"/>
          <w:color w:val="auto"/>
          <w:sz w:val="21"/>
          <w:szCs w:val="21"/>
          <w:lang w:val="zh-CN"/>
        </w:rPr>
      </w:pPr>
      <w:r>
        <w:rPr>
          <w:rFonts w:hint="eastAsia" w:ascii="宋体" w:hAnsi="宋体" w:eastAsia="宋体"/>
          <w:color w:val="auto"/>
          <w:sz w:val="21"/>
          <w:szCs w:val="21"/>
          <w:lang w:val="zh-CN"/>
        </w:rPr>
        <w:t xml:space="preserve">                       </w:t>
      </w:r>
      <w:r>
        <w:rPr>
          <w:rFonts w:hint="eastAsia" w:hAnsi="宋体" w:eastAsia="宋体"/>
          <w:color w:val="auto"/>
          <w:sz w:val="21"/>
          <w:szCs w:val="21"/>
          <w:lang w:val="en-US" w:eastAsia="zh-CN"/>
        </w:rPr>
        <w:t xml:space="preserve">             </w:t>
      </w:r>
      <w:r>
        <w:rPr>
          <w:rFonts w:hint="eastAsia" w:ascii="宋体" w:hAnsi="宋体" w:eastAsia="宋体"/>
          <w:color w:val="auto"/>
          <w:sz w:val="21"/>
          <w:szCs w:val="21"/>
          <w:lang w:val="zh-CN"/>
        </w:rPr>
        <w:t>（1-有效某投标人下浮系数）</w:t>
      </w:r>
    </w:p>
    <w:p>
      <w:pPr>
        <w:pStyle w:val="10"/>
        <w:numPr>
          <w:ilvl w:val="0"/>
          <w:numId w:val="24"/>
        </w:numPr>
        <w:tabs>
          <w:tab w:val="left" w:pos="0"/>
        </w:tabs>
        <w:spacing w:line="360" w:lineRule="auto"/>
        <w:ind w:left="225" w:leftChars="0" w:right="2610" w:hanging="225" w:hangingChars="110"/>
        <w:jc w:val="right"/>
        <w:rPr>
          <w:color w:val="auto"/>
        </w:rPr>
      </w:pPr>
      <w:r>
        <w:rPr>
          <w:rFonts w:hint="eastAsia"/>
          <w:color w:val="auto"/>
          <w:spacing w:val="-3"/>
        </w:rPr>
        <w:t xml:space="preserve">某投标人工程预算审核效益费部分报价分 </w:t>
      </w:r>
      <w:r>
        <w:rPr>
          <w:rFonts w:hint="eastAsia"/>
          <w:color w:val="auto"/>
        </w:rPr>
        <w:t>B（</w:t>
      </w:r>
      <w:r>
        <w:rPr>
          <w:rFonts w:hint="eastAsia"/>
          <w:color w:val="auto"/>
          <w:spacing w:val="-19"/>
        </w:rPr>
        <w:t xml:space="preserve">满分 </w:t>
      </w:r>
      <w:r>
        <w:rPr>
          <w:rFonts w:hint="eastAsia"/>
          <w:color w:val="auto"/>
          <w:lang w:val="en-US"/>
        </w:rPr>
        <w:t>6.0</w:t>
      </w:r>
      <w:r>
        <w:rPr>
          <w:rFonts w:hint="eastAsia"/>
          <w:color w:val="auto"/>
          <w:spacing w:val="-29"/>
        </w:rPr>
        <w:t>分</w:t>
      </w:r>
      <w:r>
        <w:rPr>
          <w:rFonts w:hint="eastAsia"/>
          <w:color w:val="auto"/>
        </w:rPr>
        <w:t>）</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3793" w:firstLine="0" w:firstLineChars="0"/>
        <w:jc w:val="right"/>
        <w:textAlignment w:val="auto"/>
        <w:rPr>
          <w:color w:val="auto"/>
          <w:spacing w:val="-5"/>
        </w:rPr>
      </w:pPr>
      <w:r>
        <w:rPr>
          <w:rFonts w:hint="eastAsia"/>
          <w:color w:val="auto"/>
          <w:spacing w:val="-5"/>
          <w:lang w:val="en-US" w:eastAsia="zh-CN"/>
        </w:rPr>
        <w:t xml:space="preserve">   </w:t>
      </w:r>
      <w:r>
        <w:rPr>
          <w:rFonts w:hint="eastAsia"/>
          <w:color w:val="auto"/>
          <w:spacing w:val="-5"/>
        </w:rPr>
        <w:t>有效投标人效益费最低报价费率</w:t>
      </w:r>
    </w:p>
    <w:p>
      <w:pPr>
        <w:pStyle w:val="12"/>
        <w:keepNext w:val="0"/>
        <w:keepLines w:val="0"/>
        <w:pageBreakBefore w:val="0"/>
        <w:widowControl w:val="0"/>
        <w:tabs>
          <w:tab w:val="left" w:pos="7405"/>
        </w:tabs>
        <w:kinsoku/>
        <w:wordWrap/>
        <w:overflowPunct/>
        <w:topLinePunct w:val="0"/>
        <w:autoSpaceDE w:val="0"/>
        <w:autoSpaceDN w:val="0"/>
        <w:bidi w:val="0"/>
        <w:adjustRightInd/>
        <w:snapToGrid/>
        <w:spacing w:line="360" w:lineRule="auto"/>
        <w:ind w:left="0" w:leftChars="0" w:firstLine="200" w:firstLineChars="100"/>
        <w:textAlignment w:val="auto"/>
        <w:rPr>
          <w:color w:val="auto"/>
          <w:spacing w:val="-5"/>
        </w:rPr>
      </w:pPr>
      <w:r>
        <w:rPr>
          <w:color w:val="auto"/>
          <w:spacing w:val="-5"/>
        </w:rPr>
        <mc:AlternateContent>
          <mc:Choice Requires="wps">
            <w:drawing>
              <wp:anchor distT="0" distB="0" distL="114300" distR="114300" simplePos="0" relativeHeight="249080832" behindDoc="1" locked="0" layoutInCell="1" allowOverlap="1">
                <wp:simplePos x="0" y="0"/>
                <wp:positionH relativeFrom="page">
                  <wp:posOffset>2662555</wp:posOffset>
                </wp:positionH>
                <wp:positionV relativeFrom="paragraph">
                  <wp:posOffset>137160</wp:posOffset>
                </wp:positionV>
                <wp:extent cx="2266950" cy="0"/>
                <wp:effectExtent l="0" t="0" r="0" b="0"/>
                <wp:wrapNone/>
                <wp:docPr id="1" name="直线 11"/>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09.65pt;margin-top:10.8pt;height:0pt;width:178.5pt;mso-position-horizontal-relative:page;z-index:-254235648;mso-width-relative:page;mso-height-relative:page;" filled="f" stroked="t" coordsize="21600,21600" o:gfxdata="UEsDBAoAAAAAAIdO4kAAAAAAAAAAAAAAAAAEAAAAZHJzL1BLAwQUAAAACACHTuJAPrg47tYAAAAJ&#10;AQAADwAAAGRycy9kb3ducmV2LnhtbE2PPU/DQAyGdyT+w8lILBW9JEUphFw6ANlYKCBWN2eSiJwv&#10;zV0/4Ndj1AFGv370+nG5OrpB7WkKvWcD6TwBRdx423Nr4PWlvroBFSKyxcEzGfiiAKvq/KzEwvoD&#10;P9N+HVslJRwKNNDFOBZah6Yjh2HuR2LZffjJYZRxarWd8CDlbtBZkuTaYc9yocOR7jtqPtc7ZyDU&#10;b7Stv2fNLHlftJ6y7cPTIxpzeZEmd6AiHeMfDL/6og6VOG38jm1Qg4Hr9HYhqIEszUEJsFzmEmxO&#10;ga5K/f+D6gdQSwMEFAAAAAgAh07iQLekRdLNAQAAjgMAAA4AAABkcnMvZTJvRG9jLnhtbK1TS44T&#10;MRDdI3EHy3vSSUuJmFY6s5gwbBBEAg5Q8afbkn9yedLJWbgGKzYcZ65B2clk+GwQohfusqv8qt6r&#10;8vr26Cw7qIQm+J4vZnPOlBdBGj/0/POn+1evOcMMXoINXvX8pJDfbl6+WE+xU20Yg5UqMQLx2E2x&#10;52POsWsaFKNygLMQlSenDslBpm0aGplgInRnm3Y+XzVTSDKmIBQinW7PTr6p+ForkT9ojSoz23Oq&#10;Ldc11XVf1mazhm5IEEcjLmXAP1ThwHhKeoXaQgb2kMwfUM6IFDDoPBPBNUFrI1TlQGwW89/YfBwh&#10;qsqFxMF4lQn/H6x4f9glZiT1jjMPjlr0+OXr47fvbLEo4kwRO4q587t02WHcpcL0qJMrf+LAjlXQ&#10;01VQdcxM0GHbrlY3S9JdPPma54sxYX6rgmPF6Lk1vnCFDg7vMFMyCn0KKcfWs6nnN8t2SXBAo6It&#10;ZDJdpOLRD/UuBmvkvbG23MA07O9sYgcoza9foUS4v4SVJFvA8RxXXeexGBXIN16yfIoki6f55aUE&#10;pyRnVtG4F4sAoctg7N9EUmrrqYKi6lnHYu2DPFETHmIyw0hKVOFrDDW91nsZ0DJVP+8r0vMz2v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rg47tYAAAAJAQAADwAAAAAAAAABACAAAAAiAAAAZHJz&#10;L2Rvd25yZXYueG1sUEsBAhQAFAAAAAgAh07iQLekRdLNAQAAjgMAAA4AAAAAAAAAAQAgAAAAJQEA&#10;AGRycy9lMm9Eb2MueG1sUEsFBgAAAAAGAAYAWQEAAGQFAAAAAA==&#10;">
                <v:fill on="f" focussize="0,0"/>
                <v:stroke color="#000000" joinstyle="round"/>
                <v:imagedata o:title=""/>
                <o:lock v:ext="edit" aspectratio="f"/>
              </v:line>
            </w:pict>
          </mc:Fallback>
        </mc:AlternateContent>
      </w:r>
      <w:r>
        <w:rPr>
          <w:rFonts w:hint="eastAsia"/>
          <w:color w:val="auto"/>
          <w:spacing w:val="-5"/>
        </w:rPr>
        <w:t xml:space="preserve">某投标人效益费报价分 </w:t>
      </w:r>
      <w:r>
        <w:rPr>
          <w:rFonts w:hint="eastAsia"/>
          <w:color w:val="auto"/>
          <w:spacing w:val="-5"/>
          <w:lang w:val="en-US" w:eastAsia="zh-CN"/>
        </w:rPr>
        <w:t>B=</w:t>
      </w:r>
      <w:r>
        <w:rPr>
          <w:rFonts w:hint="eastAsia"/>
          <w:color w:val="auto"/>
          <w:spacing w:val="-5"/>
          <w:u w:val="none"/>
          <w:lang w:val="en-US" w:eastAsia="zh-CN"/>
        </w:rPr>
        <w:t xml:space="preserve">   </w:t>
      </w:r>
      <w:r>
        <w:rPr>
          <w:rFonts w:hint="eastAsia"/>
          <w:color w:val="auto"/>
          <w:spacing w:val="-5"/>
        </w:rPr>
        <w:tab/>
      </w:r>
      <w:r>
        <w:rPr>
          <w:rFonts w:hint="eastAsia"/>
          <w:color w:val="auto"/>
          <w:spacing w:val="-5"/>
        </w:rPr>
        <w:t>×6.0分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05" w:firstLine="0" w:firstLineChars="0"/>
        <w:jc w:val="center"/>
        <w:textAlignment w:val="auto"/>
        <w:rPr>
          <w:color w:val="auto"/>
          <w:spacing w:val="-5"/>
        </w:rPr>
      </w:pPr>
      <w:r>
        <w:rPr>
          <w:rFonts w:hint="eastAsia"/>
          <w:color w:val="auto"/>
          <w:spacing w:val="-5"/>
        </w:rPr>
        <w:t>有效某投标人效益费报价费率</w:t>
      </w:r>
    </w:p>
    <w:p>
      <w:pPr>
        <w:pStyle w:val="12"/>
        <w:keepNext w:val="0"/>
        <w:keepLines w:val="0"/>
        <w:pageBreakBefore w:val="0"/>
        <w:widowControl w:val="0"/>
        <w:tabs>
          <w:tab w:val="left" w:pos="9460"/>
        </w:tabs>
        <w:kinsoku/>
        <w:wordWrap/>
        <w:overflowPunct/>
        <w:topLinePunct w:val="0"/>
        <w:autoSpaceDE w:val="0"/>
        <w:autoSpaceDN w:val="0"/>
        <w:bidi w:val="0"/>
        <w:adjustRightInd/>
        <w:snapToGrid/>
        <w:spacing w:line="360" w:lineRule="auto"/>
        <w:ind w:right="502" w:rightChars="228" w:firstLine="416" w:firstLineChars="200"/>
        <w:jc w:val="both"/>
        <w:textAlignment w:val="auto"/>
        <w:rPr>
          <w:color w:val="auto"/>
          <w:spacing w:val="-1"/>
        </w:rPr>
      </w:pPr>
      <w:r>
        <w:rPr>
          <w:rFonts w:hint="eastAsia"/>
          <w:color w:val="auto"/>
          <w:spacing w:val="-1"/>
        </w:rPr>
        <w:t>（3）有效报价范围说明：①上述任何一项投标报价大于“投标报价上限控制费率”的，该投标报价文件视为不响应招标文件要求，作无效投标文件处理；②上述任何一项投标报价低于投标报价下限参考费率或明显低于其他投标人报价的，评标委员会认为投标人的报价明显低于其他通过符合性审查投标人的报价，有可能影响</w:t>
      </w:r>
      <w:r>
        <w:rPr>
          <w:rFonts w:hint="eastAsia"/>
          <w:color w:val="auto"/>
          <w:spacing w:val="-1"/>
          <w:lang w:eastAsia="zh-CN"/>
        </w:rPr>
        <w:t>服务</w:t>
      </w:r>
      <w:r>
        <w:rPr>
          <w:rFonts w:hint="eastAsia"/>
          <w:color w:val="auto"/>
          <w:spacing w:val="-1"/>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601" w:rightChars="273" w:firstLine="420" w:firstLineChars="200"/>
        <w:textAlignment w:val="auto"/>
        <w:rPr>
          <w:b w:val="0"/>
          <w:bCs w:val="0"/>
          <w:color w:val="auto"/>
        </w:rPr>
      </w:pPr>
      <w:r>
        <w:rPr>
          <w:rFonts w:hint="eastAsia"/>
          <w:b w:val="0"/>
          <w:bCs w:val="0"/>
          <w:color w:val="auto"/>
        </w:rPr>
        <w:t>（4）某投标人报价总得分=各项报价得分之和。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color w:val="auto"/>
          <w:sz w:val="21"/>
          <w:szCs w:val="2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265" w:leftChars="0" w:hanging="265" w:hangingChars="110"/>
        <w:textAlignment w:val="auto"/>
        <w:rPr>
          <w:color w:val="auto"/>
          <w:sz w:val="24"/>
          <w:szCs w:val="24"/>
        </w:rPr>
      </w:pPr>
      <w:r>
        <w:rPr>
          <w:rFonts w:hint="eastAsia"/>
          <w:color w:val="auto"/>
          <w:sz w:val="24"/>
          <w:szCs w:val="24"/>
        </w:rPr>
        <w:t>2</w:t>
      </w:r>
      <w:r>
        <w:rPr>
          <w:rFonts w:hint="eastAsia"/>
          <w:color w:val="auto"/>
          <w:sz w:val="24"/>
          <w:szCs w:val="24"/>
          <w:lang w:eastAsia="zh-CN"/>
        </w:rPr>
        <w:t>、</w:t>
      </w:r>
      <w:r>
        <w:rPr>
          <w:rFonts w:hint="eastAsia"/>
          <w:color w:val="auto"/>
          <w:sz w:val="24"/>
          <w:szCs w:val="24"/>
        </w:rPr>
        <w:t>服务方案分</w:t>
      </w:r>
      <w:r>
        <w:rPr>
          <w:rFonts w:hint="default" w:ascii="Arial" w:hAnsi="Arial" w:cs="Arial"/>
          <w:color w:val="auto"/>
          <w:sz w:val="24"/>
          <w:szCs w:val="24"/>
        </w:rPr>
        <w:t>…………………………………………………………………</w:t>
      </w:r>
      <w:r>
        <w:rPr>
          <w:rFonts w:hint="eastAsia"/>
          <w:color w:val="auto"/>
          <w:sz w:val="24"/>
          <w:szCs w:val="24"/>
          <w:lang w:val="en-US" w:eastAsia="zh-CN"/>
        </w:rPr>
        <w:t>40</w:t>
      </w:r>
      <w:r>
        <w:rPr>
          <w:rFonts w:hint="eastAsia"/>
          <w:color w:val="auto"/>
          <w:sz w:val="24"/>
          <w:szCs w:val="24"/>
        </w:rPr>
        <w:t xml:space="preserve"> 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228" w:leftChars="0" w:hanging="228" w:hangingChars="110"/>
        <w:textAlignment w:val="auto"/>
        <w:rPr>
          <w:color w:val="auto"/>
          <w:highlight w:val="none"/>
        </w:rPr>
      </w:pPr>
      <w:r>
        <w:rPr>
          <w:rFonts w:hint="eastAsia"/>
          <w:color w:val="auto"/>
          <w:spacing w:val="-1"/>
          <w:highlight w:val="none"/>
        </w:rPr>
        <w:t>服务方案</w:t>
      </w:r>
      <w:r>
        <w:rPr>
          <w:rFonts w:hint="eastAsia"/>
          <w:color w:val="auto"/>
          <w:spacing w:val="-3"/>
          <w:highlight w:val="none"/>
        </w:rPr>
        <w:t>（包含但不限于</w:t>
      </w:r>
      <w:r>
        <w:rPr>
          <w:rFonts w:hint="eastAsia"/>
          <w:color w:val="auto"/>
          <w:spacing w:val="-108"/>
          <w:highlight w:val="none"/>
        </w:rPr>
        <w:t>）</w:t>
      </w:r>
      <w:r>
        <w:rPr>
          <w:rFonts w:hint="eastAsia"/>
          <w:color w:val="auto"/>
          <w:highlight w:val="none"/>
        </w:rPr>
        <w:t>：</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17" w:firstLine="416" w:firstLineChars="200"/>
        <w:jc w:val="both"/>
        <w:textAlignment w:val="auto"/>
        <w:rPr>
          <w:color w:val="auto"/>
          <w:highlight w:val="none"/>
        </w:rPr>
      </w:pPr>
      <w:r>
        <w:rPr>
          <w:rFonts w:hint="eastAsia"/>
          <w:color w:val="auto"/>
          <w:spacing w:val="-1"/>
          <w:highlight w:val="none"/>
        </w:rPr>
        <w:t>①投标人实力；②项目组织计划；③拟投入本项目的</w:t>
      </w:r>
      <w:r>
        <w:rPr>
          <w:rFonts w:hint="eastAsia"/>
          <w:color w:val="auto"/>
          <w:spacing w:val="-1"/>
          <w:highlight w:val="none"/>
          <w:lang w:eastAsia="zh-CN"/>
        </w:rPr>
        <w:t>审核</w:t>
      </w:r>
      <w:r>
        <w:rPr>
          <w:rFonts w:hint="eastAsia"/>
          <w:color w:val="auto"/>
          <w:spacing w:val="-1"/>
          <w:highlight w:val="none"/>
        </w:rPr>
        <w:t>服务；④审核时间控制和质量控制的措施</w:t>
      </w:r>
      <w:r>
        <w:rPr>
          <w:rFonts w:hint="eastAsia"/>
          <w:color w:val="auto"/>
          <w:spacing w:val="-7"/>
          <w:highlight w:val="none"/>
        </w:rPr>
        <w:t>；⑤如何建立和完善内部管理机制；⑥制订内部防范和控制风险制度；⑦接受委托项目时，应遵循什么原则和依据；⑧提出</w:t>
      </w:r>
      <w:r>
        <w:rPr>
          <w:rFonts w:hint="eastAsia"/>
          <w:color w:val="auto"/>
          <w:spacing w:val="-7"/>
          <w:highlight w:val="none"/>
          <w:lang w:eastAsia="zh-CN"/>
        </w:rPr>
        <w:t>审核</w:t>
      </w:r>
      <w:r>
        <w:rPr>
          <w:rFonts w:hint="eastAsia"/>
          <w:color w:val="auto"/>
          <w:spacing w:val="-7"/>
          <w:highlight w:val="none"/>
        </w:rPr>
        <w:t>项目时应实施的程序；⑨</w:t>
      </w:r>
      <w:r>
        <w:rPr>
          <w:rFonts w:hint="eastAsia"/>
          <w:color w:val="auto"/>
          <w:spacing w:val="-7"/>
          <w:highlight w:val="none"/>
          <w:lang w:eastAsia="zh-CN"/>
        </w:rPr>
        <w:t>审核</w:t>
      </w:r>
      <w:r>
        <w:rPr>
          <w:rFonts w:hint="eastAsia"/>
          <w:color w:val="auto"/>
          <w:spacing w:val="-7"/>
          <w:highlight w:val="none"/>
        </w:rPr>
        <w:t>工作人员的廉政要求，廉洁自律</w:t>
      </w:r>
      <w:r>
        <w:rPr>
          <w:rFonts w:hint="eastAsia"/>
          <w:color w:val="auto"/>
          <w:spacing w:val="-7"/>
          <w:highlight w:val="none"/>
          <w:lang w:eastAsia="zh-CN"/>
        </w:rPr>
        <w:t>，</w:t>
      </w:r>
      <w:r>
        <w:rPr>
          <w:rFonts w:hint="eastAsia"/>
          <w:color w:val="auto"/>
          <w:spacing w:val="-7"/>
          <w:highlight w:val="none"/>
        </w:rPr>
        <w:t xml:space="preserve"> </w:t>
      </w:r>
      <w:r>
        <w:rPr>
          <w:rFonts w:hint="eastAsia"/>
          <w:color w:val="auto"/>
          <w:spacing w:val="-3"/>
          <w:highlight w:val="none"/>
        </w:rPr>
        <w:t>避免和杜绝吃拿卡要的不良行为。</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22" w:firstLine="420" w:firstLineChars="200"/>
        <w:textAlignment w:val="auto"/>
        <w:rPr>
          <w:color w:val="auto"/>
          <w:highlight w:val="none"/>
        </w:rPr>
      </w:pPr>
      <w:r>
        <w:rPr>
          <w:rFonts w:hint="eastAsia"/>
          <w:color w:val="auto"/>
          <w:highlight w:val="none"/>
        </w:rPr>
        <w:t>评价标准：是否缺项、内容不完整、没有针对性、没有按照采购单位实际需求制定、没有满足招标文件要求。</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17" w:firstLine="416" w:firstLineChars="200"/>
        <w:jc w:val="both"/>
        <w:textAlignment w:val="auto"/>
        <w:rPr>
          <w:rFonts w:hint="eastAsia"/>
          <w:color w:val="auto"/>
          <w:spacing w:val="-1"/>
          <w:highlight w:val="none"/>
          <w:lang w:eastAsia="zh-CN"/>
        </w:rPr>
      </w:pPr>
      <w:r>
        <w:rPr>
          <w:rFonts w:hint="eastAsia"/>
          <w:color w:val="auto"/>
          <w:spacing w:val="-1"/>
          <w:highlight w:val="none"/>
          <w:lang w:eastAsia="zh-CN"/>
        </w:rPr>
        <w:t>一档（</w:t>
      </w:r>
      <w:r>
        <w:rPr>
          <w:rFonts w:hint="eastAsia"/>
          <w:color w:val="auto"/>
          <w:spacing w:val="-1"/>
          <w:highlight w:val="none"/>
          <w:lang w:val="en-US" w:eastAsia="zh-CN"/>
        </w:rPr>
        <w:t>0分</w:t>
      </w:r>
      <w:r>
        <w:rPr>
          <w:rFonts w:hint="eastAsia"/>
          <w:color w:val="auto"/>
          <w:spacing w:val="-1"/>
          <w:highlight w:val="none"/>
          <w:lang w:eastAsia="zh-CN"/>
        </w:rPr>
        <w:t>）：无项目组织计划，无</w:t>
      </w:r>
      <w:r>
        <w:rPr>
          <w:rFonts w:hint="eastAsia"/>
          <w:color w:val="auto"/>
          <w:spacing w:val="-1"/>
          <w:highlight w:val="none"/>
        </w:rPr>
        <w:t>审核时间控制和质量控制的措施</w:t>
      </w:r>
      <w:r>
        <w:rPr>
          <w:rFonts w:hint="eastAsia"/>
          <w:color w:val="auto"/>
          <w:spacing w:val="-1"/>
          <w:highlight w:val="none"/>
          <w:lang w:eastAsia="zh-CN"/>
        </w:rPr>
        <w:t>，无内部管理机制，无内部防范和控制风险制度，接受委托项目时不明确应遵循的原则和依据，提出审核项目时应实施的程序不明确，无审核工作人员的廉政要求。或投标文件内包含以上内容但是不满足项目要求。</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17" w:firstLine="416" w:firstLineChars="200"/>
        <w:jc w:val="both"/>
        <w:textAlignment w:val="auto"/>
        <w:rPr>
          <w:rFonts w:hint="eastAsia" w:eastAsia="宋体"/>
          <w:color w:val="auto"/>
          <w:spacing w:val="-1"/>
          <w:highlight w:val="none"/>
          <w:lang w:eastAsia="zh-CN"/>
        </w:rPr>
      </w:pPr>
      <w:r>
        <w:rPr>
          <w:rFonts w:hint="eastAsia"/>
          <w:color w:val="auto"/>
          <w:spacing w:val="-1"/>
          <w:highlight w:val="none"/>
          <w:lang w:eastAsia="zh-CN"/>
        </w:rPr>
        <w:t>二档（</w:t>
      </w:r>
      <w:r>
        <w:rPr>
          <w:rFonts w:hint="eastAsia"/>
          <w:color w:val="auto"/>
          <w:spacing w:val="-1"/>
          <w:highlight w:val="none"/>
          <w:lang w:val="en-US" w:eastAsia="zh-CN"/>
        </w:rPr>
        <w:t>10分</w:t>
      </w:r>
      <w:r>
        <w:rPr>
          <w:rFonts w:hint="eastAsia"/>
          <w:color w:val="auto"/>
          <w:spacing w:val="-1"/>
          <w:highlight w:val="none"/>
          <w:lang w:eastAsia="zh-CN"/>
        </w:rPr>
        <w:t>）：项目组织计划、内部管理机制、防范和控制风险制度内容较简单，审核时间、质量控制措施、廉洁自律措施</w:t>
      </w:r>
      <w:r>
        <w:rPr>
          <w:rFonts w:hint="eastAsia"/>
          <w:bCs/>
          <w:color w:val="auto"/>
          <w:highlight w:val="none"/>
        </w:rPr>
        <w:t>先进性、合理性、可行性一般</w:t>
      </w:r>
      <w:r>
        <w:rPr>
          <w:rFonts w:hint="eastAsia"/>
          <w:bCs/>
          <w:color w:val="auto"/>
          <w:highlight w:val="none"/>
          <w:lang w:eastAsia="zh-CN"/>
        </w:rPr>
        <w:t>，对接受委托项目理解程度一般，不能做出正确有效的实施程序。</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17" w:firstLine="416" w:firstLineChars="200"/>
        <w:jc w:val="both"/>
        <w:textAlignment w:val="auto"/>
        <w:rPr>
          <w:rFonts w:hint="eastAsia"/>
          <w:color w:val="auto"/>
          <w:spacing w:val="-1"/>
          <w:highlight w:val="none"/>
          <w:lang w:eastAsia="zh-CN"/>
        </w:rPr>
      </w:pPr>
      <w:r>
        <w:rPr>
          <w:rFonts w:hint="eastAsia"/>
          <w:color w:val="auto"/>
          <w:spacing w:val="-1"/>
          <w:highlight w:val="none"/>
          <w:lang w:eastAsia="zh-CN"/>
        </w:rPr>
        <w:t>三挡（</w:t>
      </w:r>
      <w:r>
        <w:rPr>
          <w:rFonts w:hint="eastAsia"/>
          <w:color w:val="auto"/>
          <w:spacing w:val="-1"/>
          <w:highlight w:val="none"/>
          <w:lang w:val="en-US" w:eastAsia="zh-CN"/>
        </w:rPr>
        <w:t>20分</w:t>
      </w:r>
      <w:r>
        <w:rPr>
          <w:rFonts w:hint="eastAsia"/>
          <w:color w:val="auto"/>
          <w:spacing w:val="-1"/>
          <w:highlight w:val="none"/>
          <w:lang w:eastAsia="zh-CN"/>
        </w:rPr>
        <w:t>）：项目组织计划、内部管理机制、防范和控制风险制度、审核时间、质量控制措施、廉洁自律措施</w:t>
      </w:r>
      <w:r>
        <w:rPr>
          <w:rFonts w:hint="eastAsia"/>
          <w:bCs/>
          <w:color w:val="auto"/>
          <w:highlight w:val="none"/>
        </w:rPr>
        <w:t>先进性、合理性、可行性</w:t>
      </w:r>
      <w:r>
        <w:rPr>
          <w:rFonts w:hint="eastAsia"/>
          <w:bCs/>
          <w:color w:val="auto"/>
          <w:highlight w:val="none"/>
          <w:lang w:eastAsia="zh-CN"/>
        </w:rPr>
        <w:t>良好，对接受委托项目有较好的理解，实施程序良好。</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17" w:firstLine="416" w:firstLineChars="200"/>
        <w:jc w:val="both"/>
        <w:textAlignment w:val="auto"/>
        <w:rPr>
          <w:rFonts w:hint="eastAsia"/>
          <w:color w:val="auto"/>
          <w:spacing w:val="-1"/>
          <w:highlight w:val="none"/>
          <w:lang w:eastAsia="zh-CN"/>
        </w:rPr>
      </w:pPr>
      <w:r>
        <w:rPr>
          <w:rFonts w:hint="eastAsia"/>
          <w:color w:val="auto"/>
          <w:spacing w:val="-1"/>
          <w:highlight w:val="none"/>
          <w:lang w:eastAsia="zh-CN"/>
        </w:rPr>
        <w:t>四挡（</w:t>
      </w:r>
      <w:r>
        <w:rPr>
          <w:rFonts w:hint="eastAsia"/>
          <w:color w:val="auto"/>
          <w:spacing w:val="-1"/>
          <w:highlight w:val="none"/>
          <w:lang w:val="en-US" w:eastAsia="zh-CN"/>
        </w:rPr>
        <w:t>30分</w:t>
      </w:r>
      <w:r>
        <w:rPr>
          <w:rFonts w:hint="eastAsia"/>
          <w:color w:val="auto"/>
          <w:spacing w:val="-1"/>
          <w:highlight w:val="none"/>
          <w:lang w:eastAsia="zh-CN"/>
        </w:rPr>
        <w:t>）：项目组织计划、内部管理机制、防范和控制风险制度、审核时间、质量控制措施、廉洁自律措施内容完整且有针对性，</w:t>
      </w:r>
      <w:r>
        <w:rPr>
          <w:rFonts w:hint="eastAsia"/>
          <w:bCs/>
          <w:color w:val="auto"/>
          <w:highlight w:val="none"/>
        </w:rPr>
        <w:t>先进性、合理性、可行性</w:t>
      </w:r>
      <w:r>
        <w:rPr>
          <w:rFonts w:hint="eastAsia"/>
          <w:bCs/>
          <w:color w:val="auto"/>
          <w:highlight w:val="none"/>
          <w:lang w:eastAsia="zh-CN"/>
        </w:rPr>
        <w:t>较好，对接受委托项目有很好的理解，实施程序较好。</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617" w:firstLine="416" w:firstLineChars="200"/>
        <w:jc w:val="both"/>
        <w:textAlignment w:val="auto"/>
        <w:rPr>
          <w:rFonts w:hint="eastAsia" w:eastAsia="宋体"/>
          <w:color w:val="auto"/>
          <w:spacing w:val="-1"/>
          <w:highlight w:val="none"/>
          <w:lang w:val="en-US" w:eastAsia="zh-CN"/>
        </w:rPr>
      </w:pPr>
      <w:r>
        <w:rPr>
          <w:rFonts w:hint="eastAsia"/>
          <w:color w:val="auto"/>
          <w:spacing w:val="-1"/>
          <w:highlight w:val="none"/>
          <w:lang w:val="en-US" w:eastAsia="zh-CN"/>
        </w:rPr>
        <w:t>五档（40分）：</w:t>
      </w:r>
      <w:r>
        <w:rPr>
          <w:rFonts w:hint="eastAsia"/>
          <w:color w:val="auto"/>
          <w:spacing w:val="-1"/>
          <w:highlight w:val="none"/>
          <w:lang w:eastAsia="zh-CN"/>
        </w:rPr>
        <w:t>项目组织计划、内部管理机制、防范和控制风险制度、审核时间、质量控制措施、廉洁自律措施内容完整且有针对性，</w:t>
      </w:r>
      <w:r>
        <w:rPr>
          <w:rFonts w:hint="eastAsia"/>
          <w:bCs/>
          <w:color w:val="auto"/>
          <w:highlight w:val="none"/>
        </w:rPr>
        <w:t>先进性、合理性、可行性</w:t>
      </w:r>
      <w:r>
        <w:rPr>
          <w:rFonts w:hint="eastAsia"/>
          <w:bCs/>
          <w:color w:val="auto"/>
          <w:highlight w:val="none"/>
          <w:lang w:eastAsia="zh-CN"/>
        </w:rPr>
        <w:t>优秀，对接受委托项目理解透彻，并能</w:t>
      </w:r>
      <w:r>
        <w:rPr>
          <w:rFonts w:hint="eastAsia"/>
          <w:color w:val="auto"/>
          <w:highlight w:val="none"/>
        </w:rPr>
        <w:t>作出建设性的建议</w:t>
      </w:r>
      <w:r>
        <w:rPr>
          <w:rFonts w:hint="eastAsia"/>
          <w:color w:val="auto"/>
          <w:highlight w:val="none"/>
          <w:lang w:eastAsia="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8" w:leftChars="8" w:firstLine="202" w:firstLineChars="84"/>
        <w:textAlignment w:val="auto"/>
        <w:rPr>
          <w:color w:val="auto"/>
          <w:sz w:val="24"/>
          <w:szCs w:val="24"/>
        </w:rPr>
      </w:pPr>
      <w:r>
        <w:rPr>
          <w:rFonts w:hint="eastAsia"/>
          <w:color w:val="auto"/>
          <w:sz w:val="24"/>
          <w:szCs w:val="24"/>
        </w:rPr>
        <w:t>3</w:t>
      </w:r>
      <w:r>
        <w:rPr>
          <w:rFonts w:hint="eastAsia"/>
          <w:color w:val="auto"/>
          <w:sz w:val="24"/>
          <w:szCs w:val="24"/>
          <w:lang w:eastAsia="zh-CN"/>
        </w:rPr>
        <w:t>、</w:t>
      </w:r>
      <w:r>
        <w:rPr>
          <w:rFonts w:hint="eastAsia"/>
          <w:color w:val="auto"/>
          <w:sz w:val="24"/>
          <w:szCs w:val="24"/>
        </w:rPr>
        <w:t>拟投入本项目人员配置分</w:t>
      </w:r>
      <w:r>
        <w:rPr>
          <w:rFonts w:hint="default" w:ascii="Arial" w:hAnsi="Arial" w:cs="Arial"/>
          <w:color w:val="auto"/>
          <w:sz w:val="24"/>
          <w:szCs w:val="24"/>
        </w:rPr>
        <w:t>……………………………………………………</w:t>
      </w:r>
      <w:r>
        <w:rPr>
          <w:rFonts w:hint="eastAsia"/>
          <w:color w:val="auto"/>
          <w:sz w:val="24"/>
          <w:szCs w:val="24"/>
          <w:lang w:val="en-US" w:eastAsia="zh-CN"/>
        </w:rPr>
        <w:t>30</w:t>
      </w:r>
      <w:r>
        <w:rPr>
          <w:rFonts w:hint="eastAsia"/>
          <w:color w:val="auto"/>
          <w:sz w:val="24"/>
          <w:szCs w:val="24"/>
        </w:rPr>
        <w:t xml:space="preserve"> 分</w:t>
      </w:r>
    </w:p>
    <w:p>
      <w:pPr>
        <w:pStyle w:val="13"/>
        <w:spacing w:line="360" w:lineRule="auto"/>
        <w:ind w:firstLine="623" w:firstLineChars="297"/>
        <w:rPr>
          <w:rFonts w:hint="eastAsia"/>
          <w:bCs/>
          <w:color w:val="auto"/>
          <w:sz w:val="21"/>
          <w:szCs w:val="21"/>
        </w:rPr>
      </w:pPr>
      <w:r>
        <w:rPr>
          <w:rFonts w:hint="eastAsia"/>
          <w:bCs/>
          <w:color w:val="auto"/>
          <w:sz w:val="21"/>
          <w:szCs w:val="21"/>
        </w:rPr>
        <w:t>评标委员会依据投标人拟投入的人员的专业类别、结构、人员数量进行评审。以资格证书和职称为准，所配备的人员必须为本单位注册人员</w:t>
      </w:r>
      <w:r>
        <w:rPr>
          <w:rFonts w:hint="eastAsia"/>
          <w:bCs/>
          <w:color w:val="auto"/>
          <w:sz w:val="21"/>
          <w:szCs w:val="21"/>
          <w:lang w:eastAsia="zh-CN"/>
        </w:rPr>
        <w:t>（提供注册单位</w:t>
      </w:r>
      <w:r>
        <w:rPr>
          <w:rFonts w:hint="eastAsia"/>
          <w:bCs/>
          <w:color w:val="auto"/>
          <w:sz w:val="21"/>
          <w:szCs w:val="21"/>
          <w:lang w:val="en-US" w:eastAsia="zh-CN"/>
        </w:rPr>
        <w:t>2020年1月以来连续三个月为注册人员缴纳社保证明复印件</w:t>
      </w:r>
      <w:r>
        <w:rPr>
          <w:rFonts w:hint="eastAsia"/>
          <w:bCs/>
          <w:color w:val="auto"/>
          <w:sz w:val="21"/>
          <w:szCs w:val="21"/>
          <w:lang w:eastAsia="zh-CN"/>
        </w:rPr>
        <w:t>）</w:t>
      </w:r>
      <w:r>
        <w:rPr>
          <w:rFonts w:hint="eastAsia"/>
          <w:bCs/>
          <w:color w:val="auto"/>
          <w:sz w:val="21"/>
          <w:szCs w:val="21"/>
        </w:rPr>
        <w:t>，必须提交在本单位登记的造价工程师证书或造价员证书、职称证书、学历证书、社保缴纳证明等相关材料复印件。</w:t>
      </w:r>
    </w:p>
    <w:p>
      <w:pPr>
        <w:pStyle w:val="13"/>
        <w:spacing w:line="360" w:lineRule="auto"/>
        <w:ind w:firstLine="623" w:firstLineChars="297"/>
        <w:rPr>
          <w:bCs/>
          <w:color w:val="auto"/>
          <w:sz w:val="21"/>
          <w:szCs w:val="21"/>
        </w:rPr>
      </w:pPr>
      <w:r>
        <w:rPr>
          <w:rFonts w:hint="eastAsia" w:hAnsi="宋体"/>
          <w:bCs/>
          <w:color w:val="auto"/>
          <w:sz w:val="21"/>
          <w:szCs w:val="21"/>
        </w:rPr>
        <w:t>（1）拟投入本项目</w:t>
      </w:r>
      <w:r>
        <w:rPr>
          <w:rFonts w:hint="eastAsia" w:hAnsi="宋体"/>
          <w:bCs/>
          <w:color w:val="auto"/>
          <w:sz w:val="21"/>
          <w:szCs w:val="21"/>
          <w:lang w:eastAsia="zh-CN"/>
        </w:rPr>
        <w:t>造价</w:t>
      </w:r>
      <w:r>
        <w:rPr>
          <w:rFonts w:hint="eastAsia" w:hAnsi="宋体"/>
          <w:bCs/>
          <w:color w:val="auto"/>
          <w:sz w:val="21"/>
          <w:szCs w:val="21"/>
        </w:rPr>
        <w:t>人员 6 人以下（含 6 人），得5分；拟投入本项目</w:t>
      </w:r>
      <w:r>
        <w:rPr>
          <w:rFonts w:hint="eastAsia" w:hAnsi="宋体"/>
          <w:bCs/>
          <w:color w:val="auto"/>
          <w:sz w:val="21"/>
          <w:szCs w:val="21"/>
          <w:lang w:eastAsia="zh-CN"/>
        </w:rPr>
        <w:t>造价</w:t>
      </w:r>
      <w:r>
        <w:rPr>
          <w:rFonts w:hint="eastAsia" w:hAnsi="宋体"/>
          <w:bCs/>
          <w:color w:val="auto"/>
          <w:sz w:val="21"/>
          <w:szCs w:val="21"/>
        </w:rPr>
        <w:t>人员 6人（含）-12 (不含) 人，得8分；拟投入本项目</w:t>
      </w:r>
      <w:r>
        <w:rPr>
          <w:rFonts w:hint="eastAsia" w:hAnsi="宋体"/>
          <w:bCs/>
          <w:color w:val="auto"/>
          <w:sz w:val="21"/>
          <w:szCs w:val="21"/>
          <w:lang w:eastAsia="zh-CN"/>
        </w:rPr>
        <w:t>造价</w:t>
      </w:r>
      <w:r>
        <w:rPr>
          <w:rFonts w:hint="eastAsia" w:hAnsi="宋体"/>
          <w:bCs/>
          <w:color w:val="auto"/>
          <w:sz w:val="21"/>
          <w:szCs w:val="21"/>
        </w:rPr>
        <w:t>人员 12 人以上（含 12 人），得10分</w:t>
      </w:r>
      <w:r>
        <w:rPr>
          <w:rFonts w:hint="eastAsia" w:hAnsi="宋体"/>
          <w:bCs/>
          <w:color w:val="auto"/>
          <w:sz w:val="21"/>
          <w:szCs w:val="21"/>
          <w:lang w:eastAsia="zh-CN"/>
        </w:rPr>
        <w:t>（审核人员需具有住房和城乡建设部颁发的一级注册工程造价师证书（注册工程造价师证书）或全国建设工程造价员资格证书或者取得二级造价工程师证书</w:t>
      </w:r>
      <w:r>
        <w:rPr>
          <w:rFonts w:hint="eastAsia" w:hAnsi="宋体"/>
          <w:bCs/>
          <w:color w:val="auto"/>
          <w:sz w:val="21"/>
          <w:szCs w:val="21"/>
        </w:rPr>
        <w:t>；</w:t>
      </w:r>
    </w:p>
    <w:p>
      <w:pPr>
        <w:pStyle w:val="13"/>
        <w:spacing w:line="360" w:lineRule="auto"/>
        <w:ind w:firstLine="623" w:firstLineChars="297"/>
        <w:rPr>
          <w:bCs/>
          <w:color w:val="auto"/>
          <w:sz w:val="21"/>
          <w:szCs w:val="21"/>
        </w:rPr>
      </w:pPr>
      <w:r>
        <w:rPr>
          <w:rFonts w:hint="eastAsia" w:hAnsi="宋体"/>
          <w:bCs/>
          <w:color w:val="auto"/>
          <w:sz w:val="21"/>
          <w:szCs w:val="21"/>
        </w:rPr>
        <w:t>（2）</w:t>
      </w:r>
      <w:r>
        <w:rPr>
          <w:rFonts w:hint="eastAsia"/>
          <w:bCs/>
          <w:color w:val="auto"/>
          <w:sz w:val="21"/>
          <w:szCs w:val="21"/>
        </w:rPr>
        <w:t>投入人员中具有有效</w:t>
      </w:r>
      <w:r>
        <w:rPr>
          <w:rFonts w:hint="eastAsia" w:hAnsi="宋体"/>
          <w:bCs/>
          <w:color w:val="auto"/>
          <w:sz w:val="21"/>
          <w:szCs w:val="21"/>
          <w:lang w:eastAsia="zh-CN"/>
        </w:rPr>
        <w:t>一级注册工程造价师证书（注册工程造价师证书）</w:t>
      </w:r>
      <w:r>
        <w:rPr>
          <w:rFonts w:hint="eastAsia"/>
          <w:bCs/>
          <w:color w:val="auto"/>
          <w:sz w:val="21"/>
          <w:szCs w:val="21"/>
        </w:rPr>
        <w:t>的，每有1人得2分。（此项满分1</w:t>
      </w:r>
      <w:r>
        <w:rPr>
          <w:rFonts w:hint="eastAsia"/>
          <w:bCs/>
          <w:color w:val="auto"/>
          <w:sz w:val="21"/>
          <w:szCs w:val="21"/>
          <w:lang w:val="en-US" w:eastAsia="zh-CN"/>
        </w:rPr>
        <w:t>0</w:t>
      </w:r>
      <w:r>
        <w:rPr>
          <w:rFonts w:hint="eastAsia"/>
          <w:bCs/>
          <w:color w:val="auto"/>
          <w:sz w:val="21"/>
          <w:szCs w:val="21"/>
        </w:rPr>
        <w:t>分）；</w:t>
      </w:r>
    </w:p>
    <w:p>
      <w:pPr>
        <w:pStyle w:val="13"/>
        <w:spacing w:line="360" w:lineRule="auto"/>
        <w:ind w:firstLine="623" w:firstLineChars="297"/>
        <w:rPr>
          <w:rFonts w:hint="eastAsia"/>
          <w:bCs/>
          <w:color w:val="auto"/>
          <w:sz w:val="21"/>
          <w:szCs w:val="21"/>
        </w:rPr>
      </w:pPr>
      <w:r>
        <w:rPr>
          <w:rFonts w:hint="eastAsia" w:hAnsi="宋体"/>
          <w:bCs/>
          <w:color w:val="auto"/>
          <w:sz w:val="21"/>
          <w:szCs w:val="21"/>
        </w:rPr>
        <w:t>（3）拟投入人员中具有高级工程师及以上职称的每人得2分，具有工程师职称的每人得1分；</w:t>
      </w:r>
      <w:r>
        <w:rPr>
          <w:rFonts w:hint="eastAsia"/>
          <w:bCs/>
          <w:color w:val="auto"/>
          <w:sz w:val="21"/>
          <w:szCs w:val="21"/>
        </w:rPr>
        <w:t>（此项满分</w:t>
      </w:r>
      <w:r>
        <w:rPr>
          <w:rFonts w:hint="eastAsia"/>
          <w:bCs/>
          <w:color w:val="auto"/>
          <w:sz w:val="21"/>
          <w:szCs w:val="21"/>
          <w:lang w:val="en-US" w:eastAsia="zh-CN"/>
        </w:rPr>
        <w:t>10</w:t>
      </w:r>
      <w:r>
        <w:rPr>
          <w:rFonts w:hint="eastAsia"/>
          <w:bCs/>
          <w:color w:val="auto"/>
          <w:sz w:val="21"/>
          <w:szCs w:val="21"/>
        </w:rPr>
        <w:t>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 w:leftChars="-6" w:hanging="14" w:hangingChars="6"/>
        <w:textAlignment w:val="auto"/>
        <w:rPr>
          <w:color w:val="auto"/>
          <w:sz w:val="24"/>
          <w:szCs w:val="24"/>
        </w:rPr>
      </w:pPr>
      <w:r>
        <w:rPr>
          <w:rFonts w:hint="eastAsia"/>
          <w:color w:val="auto"/>
          <w:sz w:val="24"/>
          <w:szCs w:val="24"/>
        </w:rPr>
        <w:t>4</w:t>
      </w:r>
      <w:r>
        <w:rPr>
          <w:rFonts w:hint="eastAsia"/>
          <w:color w:val="auto"/>
          <w:sz w:val="24"/>
          <w:szCs w:val="24"/>
          <w:lang w:eastAsia="zh-CN"/>
        </w:rPr>
        <w:t>、</w:t>
      </w:r>
      <w:r>
        <w:rPr>
          <w:rFonts w:hint="eastAsia"/>
          <w:color w:val="auto"/>
          <w:sz w:val="24"/>
          <w:szCs w:val="24"/>
        </w:rPr>
        <w:t>业绩和信誉分</w:t>
      </w:r>
      <w:r>
        <w:rPr>
          <w:rFonts w:hint="default" w:ascii="Arial" w:hAnsi="Arial" w:cs="Arial"/>
          <w:color w:val="auto"/>
          <w:sz w:val="24"/>
          <w:szCs w:val="24"/>
        </w:rPr>
        <w:t>…………………………………………………………………</w:t>
      </w:r>
      <w:r>
        <w:rPr>
          <w:rFonts w:hint="eastAsia"/>
          <w:color w:val="auto"/>
          <w:sz w:val="24"/>
          <w:szCs w:val="24"/>
          <w:lang w:val="en-US" w:eastAsia="zh-CN"/>
        </w:rPr>
        <w:t>1</w:t>
      </w:r>
      <w:r>
        <w:rPr>
          <w:rFonts w:hint="eastAsia"/>
          <w:color w:val="auto"/>
          <w:sz w:val="24"/>
          <w:szCs w:val="24"/>
        </w:rPr>
        <w:t>0分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1" w:leftChars="-6" w:right="502" w:rightChars="228" w:hanging="12" w:hangingChars="6"/>
        <w:jc w:val="both"/>
        <w:textAlignment w:val="auto"/>
        <w:rPr>
          <w:color w:val="auto"/>
        </w:rPr>
      </w:pPr>
      <w:r>
        <w:rPr>
          <w:rFonts w:hint="eastAsia"/>
          <w:color w:val="auto"/>
        </w:rPr>
        <w:t>（1）投标人承接完成编制或审核过政府投资工程</w:t>
      </w:r>
      <w:r>
        <w:rPr>
          <w:rFonts w:hint="eastAsia"/>
          <w:color w:val="auto"/>
          <w:lang w:eastAsia="zh-CN"/>
        </w:rPr>
        <w:t>预算评审或者审核</w:t>
      </w:r>
      <w:r>
        <w:rPr>
          <w:rFonts w:hint="eastAsia"/>
          <w:color w:val="auto"/>
        </w:rPr>
        <w:t>项目每个项目得</w:t>
      </w:r>
      <w:r>
        <w:rPr>
          <w:rFonts w:hint="eastAsia"/>
          <w:color w:val="auto"/>
          <w:lang w:val="en-US" w:eastAsia="zh-CN"/>
        </w:rPr>
        <w:t>1</w:t>
      </w:r>
      <w:r>
        <w:rPr>
          <w:rFonts w:hint="eastAsia"/>
          <w:color w:val="auto"/>
        </w:rPr>
        <w:t xml:space="preserve"> 分。（此项考核期为 2017 年 1 月至 2019 年 12 月，考核项目为承接完成编制或审核过政府投资工程预算项目，以委托书复印件和审定单复印件或</w:t>
      </w:r>
      <w:r>
        <w:rPr>
          <w:rFonts w:hint="eastAsia"/>
          <w:color w:val="auto"/>
          <w:lang w:eastAsia="zh-CN"/>
        </w:rPr>
        <w:t>审核</w:t>
      </w:r>
      <w:r>
        <w:rPr>
          <w:rFonts w:hint="eastAsia"/>
          <w:color w:val="auto"/>
        </w:rPr>
        <w:t xml:space="preserve">结论报告复印件为准，原件备查）此项满分 </w:t>
      </w:r>
      <w:r>
        <w:rPr>
          <w:rFonts w:hint="eastAsia"/>
          <w:color w:val="auto"/>
          <w:lang w:val="en-US" w:eastAsia="zh-CN"/>
        </w:rPr>
        <w:t>1</w:t>
      </w:r>
      <w:r>
        <w:rPr>
          <w:rFonts w:hint="eastAsia"/>
          <w:color w:val="auto"/>
        </w:rPr>
        <w:t>0 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6" w:right="502" w:rightChars="228" w:hanging="13" w:hangingChars="6"/>
        <w:jc w:val="both"/>
        <w:textAlignment w:val="auto"/>
        <w:rPr>
          <w:rFonts w:hint="eastAsia"/>
          <w:b/>
          <w:bCs/>
          <w:color w:val="auto"/>
        </w:rPr>
      </w:pPr>
      <w:r>
        <w:rPr>
          <w:rFonts w:hint="eastAsia"/>
          <w:b/>
          <w:bCs/>
          <w:color w:val="auto"/>
        </w:rPr>
        <w:t>总得分 = 1 + 2 + 3 + 4</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6" w:right="502" w:rightChars="228" w:hanging="13" w:hangingChars="6"/>
        <w:jc w:val="both"/>
        <w:textAlignment w:val="auto"/>
        <w:rPr>
          <w:rFonts w:hint="eastAsia"/>
          <w:color w:val="auto"/>
          <w:lang w:eastAsia="zh-CN"/>
        </w:rPr>
      </w:pPr>
      <w:r>
        <w:rPr>
          <w:rFonts w:hint="eastAsia"/>
          <w:b/>
          <w:bCs/>
          <w:color w:val="auto"/>
        </w:rPr>
        <w:t>（</w:t>
      </w:r>
      <w:r>
        <w:rPr>
          <w:rFonts w:hint="eastAsia"/>
          <w:b/>
          <w:bCs/>
          <w:color w:val="auto"/>
          <w:lang w:eastAsia="zh-CN"/>
        </w:rPr>
        <w:t>三</w:t>
      </w:r>
      <w:r>
        <w:rPr>
          <w:rFonts w:hint="eastAsia"/>
          <w:b/>
          <w:bCs/>
          <w:color w:val="auto"/>
        </w:rPr>
        <w:t>）、中标候选人推荐原则</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right="502" w:rightChars="228" w:firstLine="403" w:firstLineChars="192"/>
        <w:jc w:val="both"/>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评标委员会将根据得分由高到低排列次序（得分相同</w:t>
      </w:r>
      <w:r>
        <w:rPr>
          <w:rFonts w:hint="eastAsia"/>
          <w:b w:val="0"/>
          <w:bCs w:val="0"/>
          <w:color w:val="auto"/>
        </w:rPr>
        <w:t>时，以</w:t>
      </w:r>
      <w:r>
        <w:rPr>
          <w:rFonts w:hint="eastAsia" w:ascii="宋体" w:hAnsi="宋体" w:eastAsia="宋体" w:cs="宋体"/>
          <w:b w:val="0"/>
          <w:bCs w:val="0"/>
          <w:color w:val="auto"/>
          <w:spacing w:val="-3"/>
          <w:sz w:val="21"/>
          <w:szCs w:val="22"/>
          <w:lang w:val="en-US" w:eastAsia="zh-CN" w:bidi="ar-SA"/>
        </w:rPr>
        <w:t>工程</w:t>
      </w:r>
      <w:r>
        <w:rPr>
          <w:rFonts w:hint="eastAsia" w:cs="宋体"/>
          <w:b w:val="0"/>
          <w:bCs w:val="0"/>
          <w:color w:val="auto"/>
          <w:spacing w:val="-3"/>
          <w:sz w:val="21"/>
          <w:szCs w:val="22"/>
          <w:lang w:val="en-US" w:eastAsia="zh-CN" w:bidi="ar-SA"/>
        </w:rPr>
        <w:t>预算评审</w:t>
      </w:r>
      <w:r>
        <w:rPr>
          <w:rFonts w:hint="eastAsia" w:ascii="宋体" w:hAnsi="宋体" w:eastAsia="宋体" w:cs="宋体"/>
          <w:b w:val="0"/>
          <w:bCs w:val="0"/>
          <w:color w:val="auto"/>
          <w:spacing w:val="-3"/>
          <w:sz w:val="21"/>
          <w:szCs w:val="22"/>
          <w:lang w:val="en-US" w:eastAsia="zh-CN" w:bidi="ar-SA"/>
        </w:rPr>
        <w:t>基本费</w:t>
      </w:r>
      <w:r>
        <w:rPr>
          <w:rFonts w:hint="eastAsia" w:cs="宋体"/>
          <w:b w:val="0"/>
          <w:bCs w:val="0"/>
          <w:color w:val="auto"/>
          <w:spacing w:val="-3"/>
          <w:sz w:val="21"/>
          <w:szCs w:val="22"/>
          <w:lang w:val="en-US" w:eastAsia="zh-CN" w:bidi="ar-SA"/>
        </w:rPr>
        <w:t>报价</w:t>
      </w:r>
      <w:r>
        <w:rPr>
          <w:rFonts w:hint="eastAsia"/>
          <w:b w:val="0"/>
          <w:bCs w:val="0"/>
          <w:color w:val="auto"/>
        </w:rPr>
        <w:t>由低到高顺序排列；得分相同且</w:t>
      </w:r>
      <w:r>
        <w:rPr>
          <w:rFonts w:hint="eastAsia" w:ascii="宋体" w:hAnsi="宋体" w:eastAsia="宋体" w:cs="宋体"/>
          <w:b w:val="0"/>
          <w:bCs w:val="0"/>
          <w:color w:val="auto"/>
          <w:spacing w:val="-3"/>
          <w:sz w:val="21"/>
          <w:szCs w:val="22"/>
          <w:lang w:val="en-US" w:eastAsia="zh-CN" w:bidi="ar-SA"/>
        </w:rPr>
        <w:t>工程</w:t>
      </w:r>
      <w:r>
        <w:rPr>
          <w:rFonts w:hint="eastAsia" w:cs="宋体"/>
          <w:b w:val="0"/>
          <w:bCs w:val="0"/>
          <w:color w:val="auto"/>
          <w:spacing w:val="-3"/>
          <w:sz w:val="21"/>
          <w:szCs w:val="22"/>
          <w:lang w:val="en-US" w:eastAsia="zh-CN" w:bidi="ar-SA"/>
        </w:rPr>
        <w:t>预算评审</w:t>
      </w:r>
      <w:r>
        <w:rPr>
          <w:rFonts w:hint="eastAsia" w:ascii="宋体" w:hAnsi="宋体" w:eastAsia="宋体" w:cs="宋体"/>
          <w:b w:val="0"/>
          <w:bCs w:val="0"/>
          <w:color w:val="auto"/>
          <w:spacing w:val="-3"/>
          <w:sz w:val="21"/>
          <w:szCs w:val="22"/>
          <w:lang w:val="en-US" w:eastAsia="zh-CN" w:bidi="ar-SA"/>
        </w:rPr>
        <w:t>基本费</w:t>
      </w:r>
      <w:r>
        <w:rPr>
          <w:rFonts w:hint="eastAsia" w:cs="宋体"/>
          <w:b w:val="0"/>
          <w:bCs w:val="0"/>
          <w:color w:val="auto"/>
          <w:spacing w:val="-3"/>
          <w:sz w:val="21"/>
          <w:szCs w:val="22"/>
          <w:lang w:val="en-US" w:eastAsia="zh-CN" w:bidi="ar-SA"/>
        </w:rPr>
        <w:t>报价</w:t>
      </w:r>
      <w:r>
        <w:rPr>
          <w:rFonts w:hint="eastAsia"/>
          <w:b w:val="0"/>
          <w:bCs w:val="0"/>
          <w:color w:val="auto"/>
        </w:rPr>
        <w:t>相同的</w:t>
      </w:r>
      <w:r>
        <w:rPr>
          <w:rFonts w:hint="eastAsia"/>
          <w:color w:val="auto"/>
        </w:rPr>
        <w:t>按服务方案优劣顺序排列）并推荐中标候选人，中标候选人数量具有乙级及以上工程造价咨询资质的协审机构 10 家。</w:t>
      </w:r>
    </w:p>
    <w:p>
      <w:pPr>
        <w:pStyle w:val="12"/>
        <w:keepNext w:val="0"/>
        <w:keepLines w:val="0"/>
        <w:pageBreakBefore w:val="0"/>
        <w:widowControl w:val="0"/>
        <w:tabs>
          <w:tab w:val="left" w:pos="9460"/>
        </w:tabs>
        <w:kinsoku/>
        <w:wordWrap/>
        <w:overflowPunct/>
        <w:topLinePunct w:val="0"/>
        <w:autoSpaceDE w:val="0"/>
        <w:autoSpaceDN w:val="0"/>
        <w:bidi w:val="0"/>
        <w:adjustRightInd/>
        <w:snapToGrid/>
        <w:spacing w:line="360" w:lineRule="auto"/>
        <w:ind w:right="502" w:rightChars="228" w:firstLine="420" w:firstLineChars="200"/>
        <w:jc w:val="both"/>
        <w:textAlignment w:val="auto"/>
        <w:rPr>
          <w:rFonts w:hint="eastAsia"/>
          <w:color w:val="auto"/>
          <w:sz w:val="36"/>
          <w:szCs w:val="36"/>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评标委员会认为投标人的报价明显低于其他通过符合性审查投标人的报价，有可能影响</w:t>
      </w:r>
      <w:r>
        <w:rPr>
          <w:rFonts w:hint="eastAsia"/>
          <w:color w:val="auto"/>
          <w:lang w:eastAsia="zh-CN"/>
        </w:rPr>
        <w:t>服务</w:t>
      </w:r>
      <w:r>
        <w:rPr>
          <w:rFonts w:hint="eastAsia"/>
          <w:color w:val="auto"/>
        </w:rPr>
        <w:t xml:space="preserve">质量或者不能诚信履约的，应当要求其在评标现场合理的时间内提供书面说明，必要时提交相关证明材料（包含但不限于人员工资组成、经营成本核算、估计营利分析报告）；投标人不能证明其报价合理性的，评标委员会应当将其作为无效投标处理。 </w:t>
      </w:r>
      <w:bookmarkStart w:id="18" w:name="_TOC_250001"/>
      <w:bookmarkEnd w:id="18"/>
      <w:bookmarkStart w:id="19" w:name="_Toc14959"/>
      <w:r>
        <w:rPr>
          <w:rFonts w:hint="eastAsia"/>
          <w:color w:val="auto"/>
          <w:sz w:val="36"/>
          <w:szCs w:val="36"/>
        </w:rPr>
        <w:br w:type="page"/>
      </w:r>
    </w:p>
    <w:p>
      <w:pPr>
        <w:rPr>
          <w:rFonts w:hint="eastAsia"/>
          <w:color w:val="auto"/>
        </w:rPr>
      </w:pPr>
    </w:p>
    <w:p>
      <w:pPr>
        <w:pStyle w:val="3"/>
        <w:tabs>
          <w:tab w:val="left" w:pos="1286"/>
          <w:tab w:val="left" w:pos="2091"/>
        </w:tabs>
        <w:spacing w:before="34"/>
        <w:ind w:left="0" w:leftChars="0" w:right="8" w:firstLine="0" w:firstLineChars="0"/>
        <w:jc w:val="center"/>
        <w:rPr>
          <w:color w:val="auto"/>
          <w:sz w:val="36"/>
          <w:szCs w:val="36"/>
        </w:rPr>
      </w:pPr>
      <w:r>
        <w:rPr>
          <w:rFonts w:hint="eastAsia"/>
          <w:color w:val="auto"/>
          <w:sz w:val="36"/>
          <w:szCs w:val="36"/>
        </w:rPr>
        <w:t>第五章</w:t>
      </w:r>
      <w:r>
        <w:rPr>
          <w:rFonts w:hint="eastAsia"/>
          <w:color w:val="auto"/>
          <w:sz w:val="36"/>
          <w:szCs w:val="36"/>
        </w:rPr>
        <w:tab/>
      </w:r>
      <w:r>
        <w:rPr>
          <w:rFonts w:hint="eastAsia"/>
          <w:color w:val="auto"/>
          <w:sz w:val="36"/>
          <w:szCs w:val="36"/>
        </w:rPr>
        <w:t>合同主要条款及格式</w:t>
      </w:r>
      <w:bookmarkEnd w:id="19"/>
    </w:p>
    <w:p>
      <w:pPr>
        <w:pStyle w:val="3"/>
        <w:tabs>
          <w:tab w:val="left" w:pos="1286"/>
          <w:tab w:val="left" w:pos="2091"/>
        </w:tabs>
        <w:spacing w:before="34"/>
        <w:ind w:right="8" w:firstLine="1285" w:firstLineChars="400"/>
        <w:jc w:val="both"/>
        <w:outlineLvl w:val="9"/>
        <w:rPr>
          <w:rFonts w:hint="eastAsia"/>
          <w:color w:val="auto"/>
          <w:sz w:val="44"/>
        </w:rPr>
      </w:pPr>
      <w:r>
        <w:rPr>
          <w:rFonts w:hint="eastAsia"/>
          <w:color w:val="auto"/>
        </w:rPr>
        <w:tab/>
      </w:r>
      <w:bookmarkStart w:id="20" w:name="_Toc155493659"/>
    </w:p>
    <w:p>
      <w:pPr>
        <w:pStyle w:val="3"/>
        <w:ind w:firstLine="2209" w:firstLineChars="500"/>
        <w:rPr>
          <w:color w:val="auto"/>
        </w:rPr>
      </w:pPr>
      <w:bookmarkStart w:id="21" w:name="_Toc18810"/>
      <w:r>
        <w:rPr>
          <w:rFonts w:hint="eastAsia"/>
          <w:color w:val="auto"/>
          <w:sz w:val="44"/>
        </w:rPr>
        <w:t>政府采购</w:t>
      </w:r>
      <w:bookmarkEnd w:id="20"/>
      <w:r>
        <w:rPr>
          <w:rFonts w:hint="eastAsia"/>
          <w:color w:val="auto"/>
          <w:sz w:val="44"/>
        </w:rPr>
        <w:t>合同</w:t>
      </w:r>
      <w:bookmarkEnd w:id="21"/>
      <w:r>
        <w:rPr>
          <w:rFonts w:hint="eastAsia"/>
          <w:color w:val="auto"/>
          <w:sz w:val="44"/>
        </w:rPr>
        <w:t xml:space="preserve"> </w:t>
      </w:r>
    </w:p>
    <w:p>
      <w:pPr>
        <w:rPr>
          <w:color w:val="auto"/>
          <w:sz w:val="24"/>
          <w:szCs w:val="24"/>
        </w:rPr>
      </w:pPr>
    </w:p>
    <w:p>
      <w:pPr>
        <w:ind w:firstLine="720" w:firstLineChars="300"/>
        <w:rPr>
          <w:rFonts w:hint="eastAsia"/>
          <w:color w:val="auto"/>
          <w:sz w:val="24"/>
          <w:szCs w:val="24"/>
        </w:rPr>
      </w:pPr>
    </w:p>
    <w:p>
      <w:pPr>
        <w:ind w:firstLine="720" w:firstLineChars="300"/>
        <w:rPr>
          <w:rFonts w:hint="eastAsia"/>
          <w:color w:val="auto"/>
          <w:sz w:val="24"/>
          <w:szCs w:val="24"/>
        </w:rPr>
      </w:pPr>
    </w:p>
    <w:p>
      <w:pPr>
        <w:snapToGrid w:val="0"/>
        <w:spacing w:line="500" w:lineRule="exact"/>
        <w:ind w:firstLine="480" w:firstLineChars="200"/>
        <w:rPr>
          <w:rFonts w:hint="eastAsia" w:ascii="宋体" w:hAnsi="宋体"/>
          <w:color w:val="auto"/>
          <w:sz w:val="24"/>
          <w:u w:val="single"/>
        </w:rPr>
      </w:pPr>
      <w:r>
        <w:rPr>
          <w:rFonts w:hint="eastAsia" w:ascii="宋体" w:hAnsi="宋体"/>
          <w:color w:val="auto"/>
          <w:sz w:val="24"/>
        </w:rPr>
        <w:t>采购单位（甲方）</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line="500" w:lineRule="exact"/>
        <w:ind w:firstLine="480" w:firstLineChars="200"/>
        <w:rPr>
          <w:rFonts w:hint="eastAsia" w:ascii="宋体" w:hAnsi="宋体"/>
          <w:color w:val="auto"/>
          <w:sz w:val="24"/>
          <w:u w:val="single"/>
        </w:rPr>
      </w:pPr>
      <w:r>
        <w:rPr>
          <w:rFonts w:hint="eastAsia" w:ascii="宋体" w:hAnsi="宋体"/>
          <w:color w:val="auto"/>
          <w:sz w:val="24"/>
        </w:rPr>
        <w:t>供 应 商（乙方）</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line="500" w:lineRule="exact"/>
        <w:ind w:firstLine="480" w:firstLineChars="200"/>
        <w:rPr>
          <w:rFonts w:hint="eastAsia" w:ascii="宋体" w:hAnsi="宋体"/>
          <w:color w:val="auto"/>
          <w:sz w:val="24"/>
        </w:rPr>
      </w:pPr>
      <w:r>
        <w:rPr>
          <w:rFonts w:hint="eastAsia" w:ascii="宋体" w:hAnsi="宋体"/>
          <w:color w:val="auto"/>
          <w:sz w:val="24"/>
        </w:rPr>
        <w:t xml:space="preserve">签  订  地  点  </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line="500" w:lineRule="exact"/>
        <w:ind w:firstLine="480" w:firstLineChars="200"/>
        <w:rPr>
          <w:rFonts w:hint="eastAsia" w:ascii="宋体" w:hAnsi="宋体"/>
          <w:color w:val="auto"/>
          <w:sz w:val="24"/>
          <w:u w:val="single"/>
        </w:rPr>
      </w:pPr>
      <w:r>
        <w:rPr>
          <w:rFonts w:hint="eastAsia" w:ascii="宋体" w:hAnsi="宋体"/>
          <w:color w:val="auto"/>
          <w:sz w:val="24"/>
        </w:rPr>
        <w:t xml:space="preserve">签  订  时  间  </w:t>
      </w:r>
      <w:r>
        <w:rPr>
          <w:rFonts w:hint="eastAsia" w:ascii="宋体" w:hAnsi="宋体"/>
          <w:color w:val="auto"/>
          <w:sz w:val="24"/>
          <w:u w:val="single"/>
        </w:rPr>
        <w:t xml:space="preserve">                          </w:t>
      </w:r>
    </w:p>
    <w:p>
      <w:pPr>
        <w:snapToGrid w:val="0"/>
        <w:spacing w:line="500" w:lineRule="exact"/>
        <w:ind w:firstLine="480" w:firstLineChars="200"/>
        <w:rPr>
          <w:rFonts w:hint="eastAsia" w:ascii="宋体" w:hAnsi="宋体"/>
          <w:color w:val="auto"/>
          <w:sz w:val="24"/>
        </w:rPr>
      </w:pPr>
    </w:p>
    <w:p>
      <w:pPr>
        <w:snapToGrid w:val="0"/>
        <w:spacing w:line="500" w:lineRule="exact"/>
        <w:ind w:firstLine="480" w:firstLineChars="200"/>
        <w:rPr>
          <w:rFonts w:hint="eastAsia" w:ascii="宋体" w:hAnsi="宋体"/>
          <w:color w:val="auto"/>
          <w:sz w:val="24"/>
        </w:rPr>
      </w:pPr>
      <w:r>
        <w:rPr>
          <w:rFonts w:hint="eastAsia" w:ascii="宋体" w:hAnsi="宋体"/>
          <w:color w:val="auto"/>
          <w:sz w:val="24"/>
        </w:rPr>
        <w:t>根据《中华人民共和国合同法》、《中华人民共和国政府采购法》、《政府采购货物和服务招标投标管理办法》、</w:t>
      </w:r>
      <w:r>
        <w:rPr>
          <w:rFonts w:ascii="宋体" w:hAnsi="宋体"/>
          <w:color w:val="auto"/>
          <w:sz w:val="24"/>
        </w:rPr>
        <w:t>《财政投资评审管理规定》</w:t>
      </w:r>
      <w:r>
        <w:rPr>
          <w:rFonts w:hint="eastAsia" w:ascii="宋体" w:hAnsi="宋体"/>
          <w:color w:val="auto"/>
          <w:sz w:val="24"/>
        </w:rPr>
        <w:t>（财建〔2009〕648号）、《工程造价咨询单位管理办法》（建设部令第149号）、《工程造价咨询业务操作指导规程》（中价协[2002]第016号文）、《广西壮族自治区财政投资评审管理办法》（桂财办〔2012〕98号）、《广西壮族自治区物价局关于我区工程造价咨询服务收费标准的通知》（桂价费 [2013]88号）等法律、法规及规定，按照采购文件、投标文件规定条款和中标供应商承诺，甲乙双方签订本合同。</w:t>
      </w:r>
    </w:p>
    <w:p>
      <w:pPr>
        <w:snapToGrid w:val="0"/>
        <w:spacing w:line="500" w:lineRule="exact"/>
        <w:jc w:val="center"/>
        <w:rPr>
          <w:rFonts w:hint="eastAsia" w:ascii="宋体" w:hAnsi="宋体"/>
          <w:b/>
          <w:color w:val="auto"/>
          <w:sz w:val="24"/>
        </w:rPr>
      </w:pPr>
    </w:p>
    <w:p>
      <w:pPr>
        <w:snapToGrid w:val="0"/>
        <w:spacing w:line="500" w:lineRule="exact"/>
        <w:jc w:val="center"/>
        <w:rPr>
          <w:rFonts w:hint="eastAsia" w:ascii="宋体" w:hAnsi="宋体"/>
          <w:color w:val="auto"/>
          <w:sz w:val="24"/>
        </w:rPr>
      </w:pPr>
      <w:r>
        <w:rPr>
          <w:rFonts w:hint="eastAsia"/>
          <w:b/>
          <w:color w:val="auto"/>
          <w:sz w:val="24"/>
          <w:lang w:eastAsia="zh-CN"/>
        </w:rPr>
        <w:t>一、</w:t>
      </w:r>
      <w:r>
        <w:rPr>
          <w:rFonts w:hint="eastAsia" w:ascii="宋体" w:hAnsi="宋体"/>
          <w:b/>
          <w:color w:val="auto"/>
          <w:sz w:val="24"/>
        </w:rPr>
        <w:t>　服务内容</w:t>
      </w:r>
    </w:p>
    <w:p>
      <w:pPr>
        <w:spacing w:line="500" w:lineRule="exact"/>
        <w:ind w:firstLine="482" w:firstLineChars="200"/>
        <w:rPr>
          <w:rFonts w:hint="eastAsia" w:ascii="宋体" w:hAnsi="宋体"/>
          <w:color w:val="auto"/>
          <w:sz w:val="24"/>
        </w:rPr>
      </w:pPr>
      <w:r>
        <w:rPr>
          <w:rFonts w:hint="eastAsia" w:ascii="宋体" w:hAnsi="宋体"/>
          <w:b/>
          <w:color w:val="auto"/>
          <w:sz w:val="24"/>
        </w:rPr>
        <w:t>一、</w:t>
      </w:r>
      <w:r>
        <w:rPr>
          <w:rFonts w:hint="eastAsia" w:ascii="宋体" w:hAnsi="宋体"/>
          <w:color w:val="auto"/>
          <w:sz w:val="24"/>
        </w:rPr>
        <w:t>委托审核责任主体：</w:t>
      </w:r>
      <w:r>
        <w:rPr>
          <w:rFonts w:hint="eastAsia" w:ascii="宋体" w:hAnsi="宋体"/>
          <w:color w:val="auto"/>
          <w:sz w:val="24"/>
          <w:lang w:eastAsia="zh-CN"/>
        </w:rPr>
        <w:t>巴马瑶族自治县财政局</w:t>
      </w:r>
      <w:r>
        <w:rPr>
          <w:rFonts w:hint="eastAsia" w:ascii="宋体" w:hAnsi="宋体"/>
          <w:color w:val="auto"/>
          <w:sz w:val="24"/>
        </w:rPr>
        <w:t>。</w:t>
      </w:r>
    </w:p>
    <w:p>
      <w:pPr>
        <w:spacing w:line="500" w:lineRule="exact"/>
        <w:ind w:firstLine="482" w:firstLineChars="200"/>
        <w:rPr>
          <w:rFonts w:hint="eastAsia" w:ascii="宋体" w:hAnsi="宋体"/>
          <w:color w:val="auto"/>
          <w:sz w:val="24"/>
        </w:rPr>
      </w:pPr>
      <w:r>
        <w:rPr>
          <w:rFonts w:hint="eastAsia" w:ascii="宋体" w:hAnsi="宋体"/>
          <w:b/>
          <w:color w:val="auto"/>
          <w:sz w:val="24"/>
        </w:rPr>
        <w:t>二、</w:t>
      </w:r>
      <w:r>
        <w:rPr>
          <w:rFonts w:hint="eastAsia" w:ascii="宋体" w:hAnsi="宋体"/>
          <w:color w:val="auto"/>
          <w:sz w:val="24"/>
        </w:rPr>
        <w:t>委托审核范围：</w:t>
      </w:r>
      <w:r>
        <w:rPr>
          <w:rFonts w:hint="eastAsia" w:ascii="宋体" w:hAnsi="宋体"/>
          <w:color w:val="auto"/>
          <w:sz w:val="24"/>
          <w:u w:val="single"/>
        </w:rPr>
        <w:t xml:space="preserve">                          </w:t>
      </w:r>
      <w:r>
        <w:rPr>
          <w:rFonts w:hint="eastAsia" w:ascii="宋体" w:hAnsi="宋体"/>
          <w:color w:val="auto"/>
          <w:sz w:val="24"/>
        </w:rPr>
        <w:t>。</w:t>
      </w:r>
    </w:p>
    <w:p>
      <w:pPr>
        <w:spacing w:line="500" w:lineRule="exact"/>
        <w:ind w:firstLine="480" w:firstLineChars="200"/>
        <w:rPr>
          <w:rFonts w:hint="eastAsia" w:ascii="宋体" w:hAnsi="宋体"/>
          <w:color w:val="auto"/>
          <w:sz w:val="24"/>
        </w:rPr>
      </w:pPr>
      <w:r>
        <w:rPr>
          <w:rFonts w:hint="eastAsia" w:ascii="宋体" w:hAnsi="宋体"/>
          <w:color w:val="auto"/>
          <w:sz w:val="24"/>
        </w:rPr>
        <w:t>三、服务有效期：</w:t>
      </w:r>
      <w:r>
        <w:rPr>
          <w:rFonts w:hint="eastAsia" w:ascii="宋体" w:hAnsi="宋体"/>
          <w:color w:val="auto"/>
          <w:sz w:val="24"/>
          <w:u w:val="single"/>
        </w:rPr>
        <w:t xml:space="preserve"> </w:t>
      </w:r>
      <w:r>
        <w:rPr>
          <w:rFonts w:hint="eastAsia" w:ascii="宋体" w:hAnsi="宋体"/>
          <w:color w:val="auto"/>
          <w:sz w:val="24"/>
          <w:u w:val="single"/>
          <w:lang w:eastAsia="zh-CN"/>
        </w:rPr>
        <w:t>自合同签订之日起</w:t>
      </w:r>
      <w:r>
        <w:rPr>
          <w:rFonts w:hint="eastAsia" w:ascii="宋体" w:hAnsi="宋体"/>
          <w:color w:val="auto"/>
          <w:sz w:val="24"/>
          <w:u w:val="single"/>
          <w:lang w:val="en-US" w:eastAsia="zh-CN"/>
        </w:rPr>
        <w:t>2年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w:t>
      </w:r>
    </w:p>
    <w:p>
      <w:pPr>
        <w:spacing w:line="500" w:lineRule="exact"/>
        <w:jc w:val="center"/>
        <w:rPr>
          <w:rFonts w:hint="eastAsia" w:ascii="宋体" w:hAnsi="宋体"/>
          <w:b/>
          <w:color w:val="auto"/>
          <w:sz w:val="24"/>
        </w:rPr>
      </w:pPr>
    </w:p>
    <w:p>
      <w:pPr>
        <w:numPr>
          <w:ilvl w:val="0"/>
          <w:numId w:val="0"/>
        </w:numPr>
        <w:spacing w:line="500" w:lineRule="exact"/>
        <w:jc w:val="center"/>
        <w:rPr>
          <w:rFonts w:hint="eastAsia" w:ascii="宋体" w:hAnsi="宋体"/>
          <w:b/>
          <w:color w:val="auto"/>
          <w:sz w:val="24"/>
        </w:rPr>
      </w:pPr>
      <w:r>
        <w:rPr>
          <w:rFonts w:hint="eastAsia"/>
          <w:b/>
          <w:color w:val="auto"/>
          <w:sz w:val="24"/>
          <w:lang w:eastAsia="zh-CN"/>
        </w:rPr>
        <w:t>二、</w:t>
      </w:r>
      <w:r>
        <w:rPr>
          <w:rFonts w:hint="eastAsia" w:ascii="宋体" w:hAnsi="宋体"/>
          <w:b/>
          <w:color w:val="auto"/>
          <w:sz w:val="24"/>
        </w:rPr>
        <w:t xml:space="preserve"> 质量管理</w:t>
      </w:r>
    </w:p>
    <w:p>
      <w:pPr>
        <w:spacing w:line="500" w:lineRule="exact"/>
        <w:ind w:firstLine="482" w:firstLineChars="200"/>
        <w:rPr>
          <w:rFonts w:hint="eastAsia" w:ascii="宋体" w:hAnsi="宋体"/>
          <w:color w:val="auto"/>
          <w:sz w:val="24"/>
        </w:rPr>
      </w:pPr>
      <w:r>
        <w:rPr>
          <w:rFonts w:hint="eastAsia" w:ascii="宋体" w:hAnsi="宋体"/>
          <w:b/>
          <w:color w:val="auto"/>
          <w:sz w:val="24"/>
        </w:rPr>
        <w:t>三、</w:t>
      </w:r>
      <w:r>
        <w:rPr>
          <w:rFonts w:hint="eastAsia" w:ascii="宋体" w:hAnsi="宋体"/>
          <w:color w:val="auto"/>
          <w:sz w:val="24"/>
        </w:rPr>
        <w:t>中介机构承揽的委托审核项目，必须安排本单位的人员完成，不得将受托审核项目转包或分包给其他工程造价咨询机构或个人。否则，委托方有权取消受托方的审核资格并拒绝支付委托项目的审核费。</w:t>
      </w:r>
    </w:p>
    <w:p>
      <w:pPr>
        <w:spacing w:line="500" w:lineRule="exact"/>
        <w:ind w:firstLine="482" w:firstLineChars="200"/>
        <w:rPr>
          <w:rFonts w:hint="eastAsia" w:ascii="宋体" w:hAnsi="宋体"/>
          <w:color w:val="auto"/>
          <w:sz w:val="24"/>
        </w:rPr>
      </w:pPr>
      <w:r>
        <w:rPr>
          <w:rFonts w:hint="eastAsia" w:ascii="宋体" w:hAnsi="宋体"/>
          <w:b/>
          <w:color w:val="auto"/>
          <w:sz w:val="24"/>
        </w:rPr>
        <w:t>四、</w:t>
      </w:r>
      <w:r>
        <w:rPr>
          <w:rFonts w:hint="eastAsia" w:ascii="宋体" w:hAnsi="宋体"/>
          <w:color w:val="auto"/>
          <w:sz w:val="24"/>
        </w:rPr>
        <w:t>中介机构在审核过程中如需项目业主或承包单位增补资料的，应通过委托单位索要。</w:t>
      </w:r>
    </w:p>
    <w:p>
      <w:pPr>
        <w:spacing w:line="500" w:lineRule="exact"/>
        <w:ind w:firstLine="482" w:firstLineChars="200"/>
        <w:rPr>
          <w:rFonts w:hint="eastAsia" w:ascii="宋体" w:hAnsi="宋体"/>
          <w:color w:val="auto"/>
          <w:sz w:val="24"/>
        </w:rPr>
      </w:pPr>
      <w:r>
        <w:rPr>
          <w:rFonts w:hint="eastAsia" w:ascii="宋体" w:hAnsi="宋体"/>
          <w:b/>
          <w:color w:val="auto"/>
          <w:sz w:val="24"/>
        </w:rPr>
        <w:t>五、</w:t>
      </w:r>
      <w:r>
        <w:rPr>
          <w:rFonts w:hint="eastAsia" w:ascii="宋体" w:hAnsi="宋体"/>
          <w:color w:val="auto"/>
          <w:sz w:val="24"/>
        </w:rPr>
        <w:t>中介机构不得承揽同一个项目的预(概)算控制价编审工作又承揽该项目的预算委托审核工作。</w:t>
      </w:r>
    </w:p>
    <w:p>
      <w:pPr>
        <w:spacing w:line="500" w:lineRule="exact"/>
        <w:ind w:firstLine="482" w:firstLineChars="200"/>
        <w:rPr>
          <w:rFonts w:hint="eastAsia" w:ascii="宋体" w:hAnsi="宋体"/>
          <w:color w:val="auto"/>
          <w:sz w:val="24"/>
        </w:rPr>
      </w:pPr>
      <w:r>
        <w:rPr>
          <w:rFonts w:hint="eastAsia" w:ascii="宋体" w:hAnsi="宋体"/>
          <w:b/>
          <w:color w:val="auto"/>
          <w:sz w:val="24"/>
        </w:rPr>
        <w:t>六、</w:t>
      </w:r>
      <w:r>
        <w:rPr>
          <w:rFonts w:hint="eastAsia" w:ascii="宋体" w:hAnsi="宋体"/>
          <w:color w:val="auto"/>
          <w:sz w:val="24"/>
        </w:rPr>
        <w:t>中介机构接受委托审核项目后，应根据项目特点及专业情况，配置专业胜任、能力胜任、在委托单位留存备案的工程审核服务人员。</w:t>
      </w:r>
    </w:p>
    <w:p>
      <w:pPr>
        <w:spacing w:line="500" w:lineRule="exact"/>
        <w:ind w:firstLine="482" w:firstLineChars="200"/>
        <w:rPr>
          <w:rFonts w:hint="eastAsia" w:ascii="宋体" w:hAnsi="宋体"/>
          <w:color w:val="auto"/>
          <w:sz w:val="24"/>
        </w:rPr>
      </w:pPr>
      <w:r>
        <w:rPr>
          <w:rFonts w:hint="eastAsia" w:ascii="宋体" w:hAnsi="宋体"/>
          <w:b/>
          <w:color w:val="auto"/>
          <w:sz w:val="24"/>
        </w:rPr>
        <w:t>七、</w:t>
      </w:r>
      <w:r>
        <w:rPr>
          <w:rFonts w:hint="eastAsia" w:ascii="宋体" w:hAnsi="宋体"/>
          <w:color w:val="auto"/>
          <w:sz w:val="24"/>
        </w:rPr>
        <w:t>在项目审核过程中，中介机构如需更换项目审核人员需向委托单位提出书面申请并得到批准后方可更换。项目委托单位也可以向中介机构提出更换不称职的项目审核人员。</w:t>
      </w:r>
    </w:p>
    <w:p>
      <w:pPr>
        <w:spacing w:line="500" w:lineRule="exact"/>
        <w:ind w:firstLine="482" w:firstLineChars="200"/>
        <w:rPr>
          <w:rFonts w:hint="eastAsia" w:ascii="宋体" w:hAnsi="宋体"/>
          <w:color w:val="auto"/>
          <w:sz w:val="24"/>
        </w:rPr>
      </w:pPr>
      <w:r>
        <w:rPr>
          <w:rFonts w:hint="eastAsia" w:ascii="宋体" w:hAnsi="宋体"/>
          <w:b/>
          <w:color w:val="auto"/>
          <w:sz w:val="24"/>
        </w:rPr>
        <w:t>八、</w:t>
      </w:r>
      <w:r>
        <w:rPr>
          <w:rFonts w:hint="eastAsia" w:ascii="宋体" w:hAnsi="宋体"/>
          <w:color w:val="auto"/>
          <w:sz w:val="24"/>
        </w:rPr>
        <w:t>项目审核单位接收审核资料后，应根据项目特点编制项目《</w:t>
      </w:r>
      <w:r>
        <w:rPr>
          <w:rFonts w:hint="eastAsia" w:ascii="宋体" w:hAnsi="宋体" w:cs="Arial Unicode MS"/>
          <w:color w:val="auto"/>
          <w:sz w:val="24"/>
          <w:lang w:val="zh-CN"/>
        </w:rPr>
        <w:t>工程造价审核</w:t>
      </w:r>
      <w:r>
        <w:rPr>
          <w:rFonts w:hint="eastAsia" w:ascii="宋体" w:hAnsi="宋体"/>
          <w:color w:val="auto"/>
          <w:sz w:val="24"/>
        </w:rPr>
        <w:t>实施方案》，其主要内容包括：</w:t>
      </w:r>
    </w:p>
    <w:p>
      <w:pPr>
        <w:spacing w:line="500" w:lineRule="exact"/>
        <w:ind w:firstLine="360" w:firstLineChars="150"/>
        <w:rPr>
          <w:rFonts w:hint="eastAsia" w:ascii="宋体" w:hAnsi="宋体"/>
          <w:color w:val="auto"/>
          <w:sz w:val="24"/>
        </w:rPr>
      </w:pPr>
      <w:r>
        <w:rPr>
          <w:rFonts w:hint="eastAsia" w:ascii="宋体" w:hAnsi="宋体"/>
          <w:color w:val="auto"/>
          <w:sz w:val="24"/>
        </w:rPr>
        <w:t>（一）分析项目主要费用构成，提出项目审核重点与方法；</w:t>
      </w:r>
    </w:p>
    <w:p>
      <w:pPr>
        <w:spacing w:line="500" w:lineRule="exact"/>
        <w:ind w:firstLine="360" w:firstLineChars="150"/>
        <w:rPr>
          <w:rFonts w:hint="eastAsia" w:ascii="宋体" w:hAnsi="宋体"/>
          <w:color w:val="auto"/>
          <w:sz w:val="24"/>
        </w:rPr>
      </w:pPr>
      <w:r>
        <w:rPr>
          <w:rFonts w:hint="eastAsia" w:ascii="宋体" w:hAnsi="宋体"/>
          <w:color w:val="auto"/>
          <w:sz w:val="24"/>
        </w:rPr>
        <w:t>（二）拟订项目审核质量控制措施，其内容包含：审核程序与流程，量、价、费审核质量控制措施与重点，现场复核程序与方法、争议问题协调处理机制；</w:t>
      </w:r>
    </w:p>
    <w:p>
      <w:pPr>
        <w:spacing w:line="500" w:lineRule="exact"/>
        <w:ind w:firstLine="360" w:firstLineChars="150"/>
        <w:rPr>
          <w:rFonts w:hint="eastAsia" w:ascii="宋体" w:hAnsi="宋体"/>
          <w:color w:val="auto"/>
          <w:sz w:val="24"/>
        </w:rPr>
      </w:pPr>
      <w:r>
        <w:rPr>
          <w:rFonts w:hint="eastAsia" w:ascii="宋体" w:hAnsi="宋体"/>
          <w:color w:val="auto"/>
          <w:sz w:val="24"/>
        </w:rPr>
        <w:t>（三）组建项目审核组，审核组应由审核组长（由委托单位派员担任）、复核员、专业审核员构成，并明确其任务分工；</w:t>
      </w:r>
    </w:p>
    <w:p>
      <w:pPr>
        <w:spacing w:line="500" w:lineRule="exact"/>
        <w:ind w:firstLine="360" w:firstLineChars="150"/>
        <w:rPr>
          <w:rFonts w:hint="eastAsia" w:ascii="宋体" w:hAnsi="宋体"/>
          <w:color w:val="auto"/>
          <w:sz w:val="24"/>
        </w:rPr>
      </w:pPr>
      <w:r>
        <w:rPr>
          <w:rFonts w:hint="eastAsia" w:ascii="宋体" w:hAnsi="宋体"/>
          <w:color w:val="auto"/>
          <w:sz w:val="24"/>
        </w:rPr>
        <w:t>（四）审核方案应报委托方审批。</w:t>
      </w:r>
    </w:p>
    <w:p>
      <w:pPr>
        <w:spacing w:line="500" w:lineRule="exact"/>
        <w:ind w:firstLine="482" w:firstLineChars="200"/>
        <w:rPr>
          <w:rFonts w:hint="eastAsia" w:ascii="宋体" w:hAnsi="宋体"/>
          <w:color w:val="auto"/>
          <w:sz w:val="24"/>
        </w:rPr>
      </w:pPr>
      <w:r>
        <w:rPr>
          <w:rFonts w:hint="eastAsia" w:ascii="宋体" w:hAnsi="宋体"/>
          <w:b/>
          <w:color w:val="auto"/>
          <w:sz w:val="24"/>
        </w:rPr>
        <w:t>九、</w:t>
      </w:r>
      <w:r>
        <w:rPr>
          <w:rFonts w:hint="eastAsia" w:ascii="宋体" w:hAnsi="宋体"/>
          <w:color w:val="auto"/>
          <w:sz w:val="24"/>
        </w:rPr>
        <w:t>项目审核质量要求：</w:t>
      </w:r>
    </w:p>
    <w:p>
      <w:pPr>
        <w:spacing w:line="500" w:lineRule="exact"/>
        <w:ind w:firstLine="360" w:firstLineChars="150"/>
        <w:rPr>
          <w:rFonts w:hint="eastAsia" w:ascii="宋体" w:hAnsi="宋体"/>
          <w:color w:val="auto"/>
          <w:sz w:val="24"/>
        </w:rPr>
      </w:pPr>
      <w:r>
        <w:rPr>
          <w:rFonts w:hint="eastAsia" w:ascii="宋体" w:hAnsi="宋体"/>
          <w:color w:val="auto"/>
          <w:sz w:val="24"/>
        </w:rPr>
        <w:t>（一）工程项目审核人应识别或质疑项目建设预算资料的真实性、有效性、合规性，重点关注变更签证费用；</w:t>
      </w:r>
    </w:p>
    <w:p>
      <w:pPr>
        <w:spacing w:line="500" w:lineRule="exact"/>
        <w:ind w:firstLine="360" w:firstLineChars="150"/>
        <w:rPr>
          <w:rFonts w:hint="eastAsia" w:ascii="宋体" w:hAnsi="宋体"/>
          <w:color w:val="auto"/>
          <w:sz w:val="24"/>
        </w:rPr>
      </w:pPr>
      <w:r>
        <w:rPr>
          <w:rFonts w:hint="eastAsia" w:ascii="宋体" w:hAnsi="宋体"/>
          <w:color w:val="auto"/>
          <w:sz w:val="24"/>
        </w:rPr>
        <w:t>（二）审核人员必须结合合同文件对工程量、清单价格、及各项费用的真实性、准确性进行复核；</w:t>
      </w:r>
    </w:p>
    <w:p>
      <w:pPr>
        <w:spacing w:line="500" w:lineRule="exact"/>
        <w:ind w:firstLine="360" w:firstLineChars="150"/>
        <w:rPr>
          <w:rFonts w:hint="eastAsia" w:ascii="宋体" w:hAnsi="宋体"/>
          <w:color w:val="auto"/>
          <w:sz w:val="24"/>
        </w:rPr>
      </w:pPr>
      <w:r>
        <w:rPr>
          <w:rFonts w:hint="eastAsia" w:ascii="宋体" w:hAnsi="宋体"/>
          <w:color w:val="auto"/>
          <w:sz w:val="24"/>
        </w:rPr>
        <w:t>（三）审核人员应分析并找出工程项目变动的原因；</w:t>
      </w:r>
    </w:p>
    <w:p>
      <w:pPr>
        <w:spacing w:line="500" w:lineRule="exact"/>
        <w:ind w:firstLine="360" w:firstLineChars="150"/>
        <w:rPr>
          <w:rFonts w:hint="eastAsia" w:ascii="宋体" w:hAnsi="宋体"/>
          <w:color w:val="auto"/>
          <w:sz w:val="24"/>
        </w:rPr>
      </w:pPr>
      <w:r>
        <w:rPr>
          <w:rFonts w:hint="eastAsia" w:ascii="宋体" w:hAnsi="宋体"/>
          <w:color w:val="auto"/>
          <w:sz w:val="24"/>
        </w:rPr>
        <w:t>（四）审核程序和质量标准应符合财政评审相关法律、法规规定和要求。</w:t>
      </w:r>
    </w:p>
    <w:p>
      <w:pPr>
        <w:spacing w:line="500" w:lineRule="exact"/>
        <w:ind w:firstLine="482" w:firstLineChars="200"/>
        <w:rPr>
          <w:rFonts w:hint="eastAsia" w:ascii="宋体" w:hAnsi="宋体"/>
          <w:color w:val="auto"/>
          <w:sz w:val="24"/>
        </w:rPr>
      </w:pPr>
      <w:r>
        <w:rPr>
          <w:rFonts w:hint="eastAsia" w:ascii="宋体" w:hAnsi="宋体"/>
          <w:b/>
          <w:color w:val="auto"/>
          <w:sz w:val="24"/>
        </w:rPr>
        <w:t>十、</w:t>
      </w:r>
      <w:r>
        <w:rPr>
          <w:rFonts w:hint="eastAsia" w:ascii="宋体" w:hAnsi="宋体"/>
          <w:color w:val="auto"/>
          <w:sz w:val="24"/>
        </w:rPr>
        <w:t>工程项目审核按委托方的要求，认真做好现场复核工作，中介机构对送审资料进行初审后，现场复核及计算核对工作均由委托单位负责联系组织，同时计算核对过程在委托单位办公场所进行，并在审核组长的监督下开展。其具体要求是：</w:t>
      </w:r>
    </w:p>
    <w:p>
      <w:pPr>
        <w:spacing w:line="500" w:lineRule="exact"/>
        <w:ind w:firstLine="360" w:firstLineChars="150"/>
        <w:rPr>
          <w:rFonts w:hint="eastAsia" w:ascii="宋体" w:hAnsi="宋体"/>
          <w:color w:val="auto"/>
          <w:sz w:val="24"/>
        </w:rPr>
      </w:pPr>
      <w:r>
        <w:rPr>
          <w:rFonts w:hint="eastAsia" w:ascii="宋体" w:hAnsi="宋体"/>
          <w:color w:val="auto"/>
          <w:sz w:val="24"/>
        </w:rPr>
        <w:t>（一）现场复核前编制现场复核方案并经中介内部审核后，报审核组长审定，审核组长同意后方可开展现场复核工作。</w:t>
      </w:r>
    </w:p>
    <w:p>
      <w:pPr>
        <w:spacing w:line="500" w:lineRule="exact"/>
        <w:ind w:firstLine="360" w:firstLineChars="150"/>
        <w:rPr>
          <w:rFonts w:hint="eastAsia" w:ascii="宋体" w:hAnsi="宋体"/>
          <w:color w:val="auto"/>
          <w:sz w:val="24"/>
        </w:rPr>
      </w:pPr>
      <w:r>
        <w:rPr>
          <w:rFonts w:hint="eastAsia" w:ascii="宋体" w:hAnsi="宋体"/>
          <w:color w:val="auto"/>
          <w:sz w:val="24"/>
        </w:rPr>
        <w:t>（二）审核人员应制作现场复核表，并经中介机构内部审核后提交审核组长审定；</w:t>
      </w:r>
    </w:p>
    <w:p>
      <w:pPr>
        <w:spacing w:line="500" w:lineRule="exact"/>
        <w:ind w:firstLine="360" w:firstLineChars="150"/>
        <w:rPr>
          <w:rFonts w:hint="eastAsia" w:ascii="宋体" w:hAnsi="宋体"/>
          <w:color w:val="auto"/>
          <w:sz w:val="24"/>
        </w:rPr>
      </w:pPr>
      <w:r>
        <w:rPr>
          <w:rFonts w:hint="eastAsia" w:ascii="宋体" w:hAnsi="宋体"/>
          <w:color w:val="auto"/>
          <w:sz w:val="24"/>
        </w:rPr>
        <w:t>（三）现场复核由委托单位牵头联系，邀请项目业主、原预算编制单位及相关单位共同参与，中介机构审核人员不得独自邀请原预算编制单位进行复核；</w:t>
      </w:r>
    </w:p>
    <w:p>
      <w:pPr>
        <w:spacing w:line="500" w:lineRule="exact"/>
        <w:ind w:firstLine="480" w:firstLineChars="200"/>
        <w:rPr>
          <w:rFonts w:hint="eastAsia" w:ascii="宋体" w:hAnsi="宋体"/>
          <w:color w:val="auto"/>
          <w:sz w:val="24"/>
        </w:rPr>
      </w:pPr>
      <w:r>
        <w:rPr>
          <w:rFonts w:hint="eastAsia" w:ascii="宋体" w:hAnsi="宋体"/>
          <w:color w:val="auto"/>
          <w:sz w:val="24"/>
        </w:rPr>
        <w:t>（四）审核时发现项目资料不全、残缺或预算造价偏差在15%及以上，达不到审核要求时，应及时退回给委托单位，建议重新编制项目送审资料，送审时间重新计算。</w:t>
      </w:r>
    </w:p>
    <w:p>
      <w:pPr>
        <w:spacing w:line="500" w:lineRule="exact"/>
        <w:ind w:firstLine="482" w:firstLineChars="200"/>
        <w:rPr>
          <w:rFonts w:hint="eastAsia" w:ascii="宋体" w:hAnsi="宋体"/>
          <w:color w:val="auto"/>
          <w:sz w:val="24"/>
        </w:rPr>
      </w:pPr>
      <w:r>
        <w:rPr>
          <w:rFonts w:hint="eastAsia" w:ascii="宋体" w:hAnsi="宋体"/>
          <w:b/>
          <w:color w:val="auto"/>
          <w:sz w:val="24"/>
        </w:rPr>
        <w:t>十一、</w:t>
      </w:r>
      <w:r>
        <w:rPr>
          <w:rStyle w:val="44"/>
          <w:rFonts w:ascii="宋体" w:hAnsi="宋体" w:eastAsia="宋体" w:cs="宋体"/>
          <w:color w:val="auto"/>
          <w:sz w:val="24"/>
          <w:szCs w:val="24"/>
          <w:lang w:val="zh-TW" w:eastAsia="zh-TW"/>
        </w:rPr>
        <w:t>中介机构在审核中遇到河池市《建设工程造价信息》没有刊登价格的特殊材料和设备</w:t>
      </w:r>
      <w:r>
        <w:rPr>
          <w:rStyle w:val="44"/>
          <w:rFonts w:hint="eastAsia" w:ascii="宋体" w:hAnsi="宋体" w:eastAsia="宋体" w:cs="宋体"/>
          <w:color w:val="auto"/>
          <w:sz w:val="24"/>
          <w:szCs w:val="24"/>
          <w:lang w:val="en-US" w:eastAsia="zh-CN"/>
        </w:rPr>
        <w:t>时，需</w:t>
      </w:r>
      <w:r>
        <w:rPr>
          <w:rStyle w:val="44"/>
          <w:rFonts w:hint="eastAsia" w:ascii="宋体" w:hAnsi="宋体" w:eastAsia="宋体" w:cs="宋体"/>
          <w:color w:val="auto"/>
          <w:sz w:val="24"/>
          <w:szCs w:val="24"/>
          <w:lang w:val="zh-TW"/>
        </w:rPr>
        <w:t>以市场价计价的</w:t>
      </w:r>
      <w:r>
        <w:rPr>
          <w:rStyle w:val="44"/>
          <w:rFonts w:ascii="宋体" w:hAnsi="宋体" w:eastAsia="宋体" w:cs="宋体"/>
          <w:color w:val="auto"/>
          <w:sz w:val="24"/>
          <w:szCs w:val="24"/>
          <w:lang w:val="zh-TW" w:eastAsia="zh-TW"/>
        </w:rPr>
        <w:t>应进行市场询价，询价对象不少于三家，将询价过程及结果形成询价记录表。</w:t>
      </w:r>
    </w:p>
    <w:p>
      <w:pPr>
        <w:spacing w:line="500" w:lineRule="exact"/>
        <w:ind w:firstLine="482" w:firstLineChars="200"/>
        <w:rPr>
          <w:rFonts w:hint="eastAsia" w:ascii="宋体" w:hAnsi="宋体"/>
          <w:color w:val="auto"/>
          <w:sz w:val="24"/>
        </w:rPr>
      </w:pPr>
      <w:r>
        <w:rPr>
          <w:rFonts w:hint="eastAsia" w:ascii="宋体" w:hAnsi="宋体"/>
          <w:b/>
          <w:color w:val="auto"/>
          <w:sz w:val="24"/>
        </w:rPr>
        <w:t>十二、</w:t>
      </w:r>
      <w:r>
        <w:rPr>
          <w:rFonts w:hint="eastAsia" w:ascii="宋体" w:hAnsi="宋体"/>
          <w:color w:val="auto"/>
          <w:sz w:val="24"/>
        </w:rPr>
        <w:t>中介机构内部质量复核</w:t>
      </w:r>
    </w:p>
    <w:p>
      <w:pPr>
        <w:spacing w:line="500" w:lineRule="exact"/>
        <w:ind w:firstLine="360" w:firstLineChars="150"/>
        <w:rPr>
          <w:rFonts w:hint="eastAsia" w:ascii="宋体" w:hAnsi="宋体"/>
          <w:color w:val="auto"/>
          <w:sz w:val="24"/>
        </w:rPr>
      </w:pPr>
      <w:r>
        <w:rPr>
          <w:rFonts w:hint="eastAsia" w:ascii="宋体" w:hAnsi="宋体"/>
          <w:color w:val="auto"/>
          <w:sz w:val="24"/>
        </w:rPr>
        <w:t>（一）中介机构应建立有效的内部复核制度；</w:t>
      </w:r>
    </w:p>
    <w:p>
      <w:pPr>
        <w:spacing w:line="500" w:lineRule="exact"/>
        <w:ind w:firstLine="360" w:firstLineChars="150"/>
        <w:rPr>
          <w:rFonts w:hint="eastAsia" w:ascii="宋体" w:hAnsi="宋体"/>
          <w:color w:val="auto"/>
          <w:sz w:val="24"/>
        </w:rPr>
      </w:pPr>
      <w:r>
        <w:rPr>
          <w:rFonts w:hint="eastAsia" w:ascii="宋体" w:hAnsi="宋体"/>
          <w:color w:val="auto"/>
          <w:sz w:val="24"/>
        </w:rPr>
        <w:t>（二）复核人员应采取有效的技术方法复核各项预算费用计算的正确性；</w:t>
      </w:r>
    </w:p>
    <w:p>
      <w:pPr>
        <w:spacing w:line="500" w:lineRule="exact"/>
        <w:ind w:firstLine="360" w:firstLineChars="150"/>
        <w:rPr>
          <w:rFonts w:hint="eastAsia" w:ascii="宋体" w:hAnsi="宋体"/>
          <w:color w:val="auto"/>
          <w:sz w:val="24"/>
        </w:rPr>
      </w:pPr>
      <w:r>
        <w:rPr>
          <w:rFonts w:hint="eastAsia" w:ascii="宋体" w:hAnsi="宋体"/>
          <w:color w:val="auto"/>
          <w:sz w:val="24"/>
        </w:rPr>
        <w:t>（三）项目复核应有书面记录,并作为项目档案的必存材料收归档案。</w:t>
      </w:r>
    </w:p>
    <w:p>
      <w:pPr>
        <w:spacing w:line="500" w:lineRule="exact"/>
        <w:ind w:firstLine="482" w:firstLineChars="200"/>
        <w:rPr>
          <w:rFonts w:hint="eastAsia" w:ascii="宋体" w:hAnsi="宋体"/>
          <w:color w:val="auto"/>
          <w:sz w:val="24"/>
        </w:rPr>
      </w:pPr>
      <w:r>
        <w:rPr>
          <w:rFonts w:hint="eastAsia" w:ascii="宋体" w:hAnsi="宋体"/>
          <w:b/>
          <w:color w:val="auto"/>
          <w:sz w:val="24"/>
        </w:rPr>
        <w:t>十三、</w:t>
      </w:r>
      <w:r>
        <w:rPr>
          <w:rFonts w:hint="eastAsia" w:ascii="宋体" w:hAnsi="宋体"/>
          <w:color w:val="auto"/>
          <w:sz w:val="24"/>
        </w:rPr>
        <w:t>计算核对工作</w:t>
      </w:r>
    </w:p>
    <w:p>
      <w:pPr>
        <w:spacing w:line="500" w:lineRule="exact"/>
        <w:rPr>
          <w:rFonts w:hint="eastAsia" w:ascii="宋体" w:hAnsi="宋体"/>
          <w:color w:val="auto"/>
          <w:sz w:val="24"/>
        </w:rPr>
      </w:pPr>
      <w:r>
        <w:rPr>
          <w:rFonts w:hint="eastAsia" w:ascii="宋体" w:hAnsi="宋体"/>
          <w:color w:val="auto"/>
          <w:sz w:val="24"/>
        </w:rPr>
        <w:t xml:space="preserve">   （一）经过中介机构内部复核后的初审成果，报经委托单位备案并征得委托单位同意后，由委托单位项目组长组织与施工单位开展计算核对工作；</w:t>
      </w:r>
    </w:p>
    <w:p>
      <w:pPr>
        <w:spacing w:line="500" w:lineRule="exact"/>
        <w:ind w:firstLine="360" w:firstLineChars="150"/>
        <w:rPr>
          <w:rFonts w:hint="eastAsia" w:ascii="宋体" w:hAnsi="宋体"/>
          <w:color w:val="auto"/>
          <w:sz w:val="24"/>
        </w:rPr>
      </w:pPr>
      <w:r>
        <w:rPr>
          <w:rFonts w:hint="eastAsia" w:ascii="宋体" w:hAnsi="宋体"/>
          <w:color w:val="auto"/>
          <w:sz w:val="24"/>
        </w:rPr>
        <w:t>（二）中介机构应配置具有审核模块功能的工程项目软件，为预算计算核对过程须留下痕迹记录。</w:t>
      </w:r>
    </w:p>
    <w:p>
      <w:pPr>
        <w:spacing w:line="500" w:lineRule="exact"/>
        <w:ind w:firstLine="360" w:firstLineChars="150"/>
        <w:rPr>
          <w:rFonts w:hint="eastAsia" w:ascii="宋体" w:hAnsi="宋体"/>
          <w:color w:val="auto"/>
          <w:sz w:val="24"/>
        </w:rPr>
      </w:pPr>
      <w:r>
        <w:rPr>
          <w:rFonts w:hint="eastAsia" w:ascii="宋体" w:hAnsi="宋体"/>
          <w:color w:val="auto"/>
          <w:sz w:val="24"/>
        </w:rPr>
        <w:t>（三）总投资1000万元以上或技术复杂、工艺特殊的项目招标控制价审核，中介机构完成审核后，应组织专家进行复核评审,专家组的产生由审核机构在相关专家库中摇号抽取。组织专家进行复核时，应邀请委托单位相关人员参加。</w:t>
      </w:r>
    </w:p>
    <w:p>
      <w:pPr>
        <w:spacing w:line="500" w:lineRule="exact"/>
        <w:rPr>
          <w:rFonts w:hint="eastAsia" w:ascii="宋体" w:hAnsi="宋体"/>
          <w:color w:val="auto"/>
          <w:sz w:val="24"/>
        </w:rPr>
      </w:pPr>
      <w:r>
        <w:rPr>
          <w:rFonts w:hint="eastAsia" w:ascii="宋体" w:hAnsi="宋体"/>
          <w:b/>
          <w:color w:val="auto"/>
          <w:sz w:val="24"/>
        </w:rPr>
        <w:t xml:space="preserve">    十四、</w:t>
      </w:r>
      <w:r>
        <w:rPr>
          <w:rFonts w:hint="eastAsia" w:ascii="宋体" w:hAnsi="宋体"/>
          <w:color w:val="auto"/>
          <w:sz w:val="24"/>
        </w:rPr>
        <w:t>接受委托的中介机构，其审核程序和质量标准还应遵守财政评审法律法规的要求。</w:t>
      </w:r>
    </w:p>
    <w:p>
      <w:pPr>
        <w:spacing w:line="500" w:lineRule="exact"/>
        <w:ind w:firstLine="482" w:firstLineChars="200"/>
        <w:rPr>
          <w:rFonts w:hint="eastAsia" w:ascii="宋体" w:hAnsi="宋体"/>
          <w:color w:val="auto"/>
          <w:sz w:val="24"/>
        </w:rPr>
      </w:pPr>
      <w:r>
        <w:rPr>
          <w:rFonts w:hint="eastAsia" w:ascii="宋体" w:hAnsi="宋体"/>
          <w:b/>
          <w:color w:val="auto"/>
          <w:sz w:val="24"/>
        </w:rPr>
        <w:t>十五、</w:t>
      </w:r>
      <w:r>
        <w:rPr>
          <w:rFonts w:hint="eastAsia" w:ascii="宋体" w:hAnsi="宋体"/>
          <w:color w:val="auto"/>
          <w:sz w:val="24"/>
        </w:rPr>
        <w:t>中介机构应在合同协议规定时间内完成项目审核与计算核对工作并形成审核结论，由编制人、复核人、原预算编制单位、中介机构签字盖章并出具审核报告。</w:t>
      </w:r>
    </w:p>
    <w:p>
      <w:pPr>
        <w:spacing w:line="500" w:lineRule="exact"/>
        <w:ind w:firstLine="482" w:firstLineChars="200"/>
        <w:rPr>
          <w:rFonts w:hint="eastAsia" w:ascii="宋体" w:hAnsi="宋体"/>
          <w:color w:val="auto"/>
          <w:sz w:val="24"/>
        </w:rPr>
      </w:pPr>
      <w:r>
        <w:rPr>
          <w:rFonts w:hint="eastAsia" w:ascii="宋体" w:hAnsi="宋体"/>
          <w:b/>
          <w:color w:val="auto"/>
          <w:sz w:val="24"/>
        </w:rPr>
        <w:t>十六、</w:t>
      </w:r>
      <w:r>
        <w:rPr>
          <w:rFonts w:hint="eastAsia" w:ascii="宋体" w:hAnsi="宋体"/>
          <w:color w:val="auto"/>
          <w:sz w:val="24"/>
        </w:rPr>
        <w:t>审核工作结束后：①中介机构按委托单位提供的审核报告格式及内容要求出具审核报告，同时在出具审核报告之日起10个工作日内向委托单位提供完整详细的项目审核档案资料，有关审核工作底稿、取证材料(含书面的和电子版，纸质性材料需签字确认），同时按档案管理规定要求整理好保管好项目资料档案，以便备查。②有关部门对经审核的工程造价提出质疑，委托单位无法澄清时，中介机构应及时派出对应项目审核负责人员配合澄清。</w:t>
      </w:r>
    </w:p>
    <w:p>
      <w:pPr>
        <w:spacing w:line="500" w:lineRule="exact"/>
        <w:jc w:val="center"/>
        <w:rPr>
          <w:rFonts w:hint="eastAsia" w:ascii="宋体" w:hAnsi="宋体"/>
          <w:b/>
          <w:color w:val="auto"/>
          <w:sz w:val="24"/>
        </w:rPr>
      </w:pPr>
      <w:r>
        <w:rPr>
          <w:rFonts w:hint="eastAsia" w:ascii="宋体" w:hAnsi="宋体"/>
          <w:b/>
          <w:color w:val="auto"/>
          <w:sz w:val="24"/>
        </w:rPr>
        <w:t>三、监督管理工作</w:t>
      </w:r>
    </w:p>
    <w:p>
      <w:pPr>
        <w:spacing w:line="500" w:lineRule="exact"/>
        <w:ind w:firstLine="482" w:firstLineChars="200"/>
        <w:rPr>
          <w:rFonts w:hint="eastAsia" w:ascii="宋体" w:hAnsi="宋体"/>
          <w:b/>
          <w:color w:val="auto"/>
          <w:sz w:val="24"/>
        </w:rPr>
      </w:pPr>
    </w:p>
    <w:p>
      <w:pPr>
        <w:spacing w:line="500" w:lineRule="exact"/>
        <w:ind w:firstLine="482" w:firstLineChars="200"/>
        <w:rPr>
          <w:rFonts w:hint="eastAsia" w:ascii="宋体" w:hAnsi="宋体"/>
          <w:color w:val="auto"/>
          <w:sz w:val="24"/>
        </w:rPr>
      </w:pPr>
      <w:r>
        <w:rPr>
          <w:rFonts w:hint="eastAsia" w:ascii="宋体" w:hAnsi="宋体"/>
          <w:b/>
          <w:color w:val="auto"/>
          <w:sz w:val="24"/>
        </w:rPr>
        <w:t>一、</w:t>
      </w:r>
      <w:r>
        <w:rPr>
          <w:rFonts w:hint="eastAsia" w:ascii="宋体" w:hAnsi="宋体"/>
          <w:color w:val="auto"/>
          <w:sz w:val="24"/>
        </w:rPr>
        <w:t>委托单位对工程审核服务负有审核责任，项目最终结论以委托单位复核结论为准。</w:t>
      </w:r>
    </w:p>
    <w:p>
      <w:pPr>
        <w:spacing w:line="500" w:lineRule="exact"/>
        <w:ind w:firstLine="482" w:firstLineChars="200"/>
        <w:rPr>
          <w:rFonts w:hint="eastAsia" w:ascii="宋体" w:hAnsi="宋体"/>
          <w:color w:val="auto"/>
          <w:sz w:val="24"/>
        </w:rPr>
      </w:pPr>
      <w:r>
        <w:rPr>
          <w:rFonts w:hint="eastAsia" w:ascii="宋体" w:hAnsi="宋体"/>
          <w:b/>
          <w:color w:val="auto"/>
          <w:sz w:val="24"/>
        </w:rPr>
        <w:t>二、</w:t>
      </w:r>
      <w:r>
        <w:rPr>
          <w:rFonts w:hint="eastAsia" w:ascii="宋体" w:hAnsi="宋体"/>
          <w:color w:val="auto"/>
          <w:sz w:val="24"/>
        </w:rPr>
        <w:t>项目委托单位派出能胜任的工作人员担任项目审核组长，其职责是：</w:t>
      </w:r>
    </w:p>
    <w:p>
      <w:pPr>
        <w:spacing w:line="500" w:lineRule="exact"/>
        <w:ind w:firstLine="360" w:firstLineChars="150"/>
        <w:rPr>
          <w:rFonts w:hint="eastAsia" w:ascii="宋体" w:hAnsi="宋体"/>
          <w:color w:val="auto"/>
          <w:sz w:val="24"/>
        </w:rPr>
      </w:pPr>
      <w:r>
        <w:rPr>
          <w:rFonts w:hint="eastAsia" w:ascii="宋体" w:hAnsi="宋体"/>
          <w:color w:val="auto"/>
          <w:sz w:val="24"/>
        </w:rPr>
        <w:t>（一）负责协调项目建设单位、原预算编制单位、设计单位的工作关系；</w:t>
      </w:r>
    </w:p>
    <w:p>
      <w:pPr>
        <w:spacing w:line="500" w:lineRule="exact"/>
        <w:ind w:firstLine="360" w:firstLineChars="150"/>
        <w:rPr>
          <w:rFonts w:hint="eastAsia" w:ascii="宋体" w:hAnsi="宋体"/>
          <w:color w:val="auto"/>
          <w:sz w:val="24"/>
        </w:rPr>
      </w:pPr>
      <w:r>
        <w:rPr>
          <w:rFonts w:hint="eastAsia" w:ascii="宋体" w:hAnsi="宋体"/>
          <w:color w:val="auto"/>
          <w:sz w:val="24"/>
        </w:rPr>
        <w:t>（二）委托单位依据《工程造价审核实施方案》对工程项目审核质量实施跟踪管理；</w:t>
      </w:r>
    </w:p>
    <w:p>
      <w:pPr>
        <w:spacing w:line="500" w:lineRule="exact"/>
        <w:ind w:firstLine="360" w:firstLineChars="150"/>
        <w:rPr>
          <w:rFonts w:hint="eastAsia" w:ascii="宋体" w:hAnsi="宋体"/>
          <w:color w:val="auto"/>
          <w:sz w:val="24"/>
        </w:rPr>
      </w:pPr>
      <w:r>
        <w:rPr>
          <w:rFonts w:hint="eastAsia" w:ascii="宋体" w:hAnsi="宋体"/>
          <w:color w:val="auto"/>
          <w:sz w:val="24"/>
        </w:rPr>
        <w:t>（三）复核工程预算资料的真实性、有效性、合规性及工程项目编制依据的有效性；</w:t>
      </w:r>
    </w:p>
    <w:p>
      <w:pPr>
        <w:spacing w:line="500" w:lineRule="exact"/>
        <w:ind w:firstLine="360" w:firstLineChars="150"/>
        <w:rPr>
          <w:rFonts w:hint="eastAsia" w:ascii="宋体" w:hAnsi="宋体"/>
          <w:color w:val="auto"/>
          <w:sz w:val="24"/>
        </w:rPr>
      </w:pPr>
      <w:r>
        <w:rPr>
          <w:rFonts w:hint="eastAsia" w:ascii="宋体" w:hAnsi="宋体"/>
          <w:color w:val="auto"/>
          <w:sz w:val="24"/>
        </w:rPr>
        <w:t>（四）抽查复核各项预算费用的真实性、计算的准确性，并向送审单位出具复核意见；</w:t>
      </w:r>
    </w:p>
    <w:p>
      <w:pPr>
        <w:spacing w:line="500" w:lineRule="exact"/>
        <w:ind w:firstLine="360" w:firstLineChars="150"/>
        <w:rPr>
          <w:rFonts w:hint="eastAsia" w:ascii="宋体" w:hAnsi="宋体"/>
          <w:color w:val="auto"/>
          <w:sz w:val="24"/>
        </w:rPr>
      </w:pPr>
      <w:r>
        <w:rPr>
          <w:rFonts w:hint="eastAsia" w:ascii="宋体" w:hAnsi="宋体"/>
          <w:color w:val="auto"/>
          <w:sz w:val="24"/>
        </w:rPr>
        <w:t>（五）协调处理项目审核中出现的争议问题。</w:t>
      </w:r>
    </w:p>
    <w:p>
      <w:pPr>
        <w:spacing w:line="500" w:lineRule="exact"/>
        <w:jc w:val="both"/>
        <w:rPr>
          <w:rFonts w:hint="eastAsia" w:ascii="宋体" w:hAnsi="宋体"/>
          <w:b/>
          <w:color w:val="auto"/>
          <w:sz w:val="24"/>
        </w:rPr>
      </w:pPr>
    </w:p>
    <w:p>
      <w:pPr>
        <w:spacing w:line="500" w:lineRule="exact"/>
        <w:jc w:val="center"/>
        <w:rPr>
          <w:rFonts w:hint="eastAsia" w:ascii="宋体" w:hAnsi="宋体"/>
          <w:b/>
          <w:color w:val="auto"/>
          <w:sz w:val="24"/>
        </w:rPr>
      </w:pPr>
      <w:r>
        <w:rPr>
          <w:rFonts w:hint="eastAsia" w:ascii="宋体" w:hAnsi="宋体"/>
          <w:b/>
          <w:color w:val="auto"/>
          <w:sz w:val="24"/>
        </w:rPr>
        <w:t>四、委托审核工作考评</w:t>
      </w:r>
    </w:p>
    <w:p>
      <w:pPr>
        <w:spacing w:line="500" w:lineRule="exact"/>
        <w:ind w:firstLine="482" w:firstLineChars="200"/>
        <w:rPr>
          <w:rFonts w:hint="eastAsia" w:ascii="宋体" w:hAnsi="宋体"/>
          <w:color w:val="auto"/>
          <w:sz w:val="24"/>
        </w:rPr>
      </w:pPr>
      <w:r>
        <w:rPr>
          <w:rFonts w:hint="eastAsia" w:ascii="宋体" w:hAnsi="宋体"/>
          <w:b/>
          <w:color w:val="auto"/>
          <w:sz w:val="24"/>
        </w:rPr>
        <w:t>一、</w:t>
      </w:r>
      <w:r>
        <w:rPr>
          <w:rFonts w:hint="eastAsia" w:ascii="宋体" w:hAnsi="宋体"/>
          <w:color w:val="auto"/>
          <w:sz w:val="24"/>
        </w:rPr>
        <w:t>审核时间考评</w:t>
      </w:r>
    </w:p>
    <w:p>
      <w:pPr>
        <w:spacing w:line="500" w:lineRule="exact"/>
        <w:ind w:firstLine="360" w:firstLineChars="150"/>
        <w:rPr>
          <w:rFonts w:hint="eastAsia" w:ascii="宋体" w:hAnsi="宋体"/>
          <w:color w:val="auto"/>
          <w:sz w:val="24"/>
        </w:rPr>
      </w:pPr>
      <w:r>
        <w:rPr>
          <w:rFonts w:hint="eastAsia" w:ascii="宋体" w:hAnsi="宋体"/>
          <w:color w:val="auto"/>
          <w:sz w:val="24"/>
        </w:rPr>
        <w:t>（一）项目审核的时限要求：（以接受项目委托之日算起）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65"/>
        <w:gridCol w:w="1265"/>
        <w:gridCol w:w="1265"/>
        <w:gridCol w:w="1265"/>
        <w:gridCol w:w="155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cs="宋体-方正超大字符集"/>
                <w:color w:val="auto"/>
                <w:szCs w:val="21"/>
              </w:rPr>
            </w:pPr>
            <w:r>
              <w:rPr>
                <w:rFonts w:hint="eastAsia" w:ascii="宋体" w:hAnsi="宋体" w:cs="宋体-方正超大字符集"/>
                <w:color w:val="auto"/>
                <w:szCs w:val="21"/>
              </w:rPr>
              <w:t>送审项目</w:t>
            </w:r>
          </w:p>
        </w:tc>
        <w:tc>
          <w:tcPr>
            <w:tcW w:w="1265" w:type="dxa"/>
            <w:noWrap w:val="0"/>
            <w:vAlign w:val="center"/>
          </w:tcPr>
          <w:p>
            <w:pPr>
              <w:spacing w:before="240"/>
              <w:jc w:val="center"/>
              <w:rPr>
                <w:rFonts w:hint="eastAsia" w:ascii="宋体" w:hAnsi="宋体" w:cs="宋体-方正超大字符集"/>
                <w:color w:val="auto"/>
                <w:szCs w:val="21"/>
              </w:rPr>
            </w:pPr>
            <w:r>
              <w:rPr>
                <w:rFonts w:hint="eastAsia" w:ascii="宋体" w:hAnsi="宋体"/>
                <w:color w:val="auto"/>
                <w:szCs w:val="21"/>
              </w:rPr>
              <w:t>初审及现场复核工作时限</w:t>
            </w:r>
          </w:p>
        </w:tc>
        <w:tc>
          <w:tcPr>
            <w:tcW w:w="1265" w:type="dxa"/>
            <w:noWrap w:val="0"/>
            <w:vAlign w:val="center"/>
          </w:tcPr>
          <w:p>
            <w:pPr>
              <w:spacing w:before="240"/>
              <w:jc w:val="center"/>
              <w:rPr>
                <w:rFonts w:hint="eastAsia" w:ascii="宋体" w:hAnsi="宋体" w:cs="宋体-方正超大字符集"/>
                <w:color w:val="auto"/>
                <w:szCs w:val="21"/>
              </w:rPr>
            </w:pPr>
            <w:r>
              <w:rPr>
                <w:rFonts w:hint="eastAsia" w:ascii="宋体" w:hAnsi="宋体"/>
                <w:color w:val="auto"/>
                <w:szCs w:val="21"/>
              </w:rPr>
              <w:t>出具初审报告工作时限</w:t>
            </w:r>
          </w:p>
        </w:tc>
        <w:tc>
          <w:tcPr>
            <w:tcW w:w="1265" w:type="dxa"/>
            <w:noWrap w:val="0"/>
            <w:vAlign w:val="center"/>
          </w:tcPr>
          <w:p>
            <w:pPr>
              <w:spacing w:before="240"/>
              <w:jc w:val="center"/>
              <w:rPr>
                <w:rFonts w:hint="eastAsia" w:ascii="宋体" w:hAnsi="宋体" w:cs="宋体-方正超大字符集"/>
                <w:color w:val="auto"/>
                <w:szCs w:val="21"/>
              </w:rPr>
            </w:pPr>
            <w:r>
              <w:rPr>
                <w:rFonts w:hint="eastAsia" w:ascii="宋体" w:hAnsi="宋体" w:cs="宋体-方正超大字符集"/>
                <w:color w:val="auto"/>
                <w:szCs w:val="21"/>
              </w:rPr>
              <w:t>对数工作时限</w:t>
            </w:r>
          </w:p>
        </w:tc>
        <w:tc>
          <w:tcPr>
            <w:tcW w:w="1265" w:type="dxa"/>
            <w:noWrap w:val="0"/>
            <w:vAlign w:val="center"/>
          </w:tcPr>
          <w:p>
            <w:pPr>
              <w:spacing w:before="240"/>
              <w:jc w:val="center"/>
              <w:rPr>
                <w:rFonts w:hint="eastAsia" w:ascii="宋体" w:hAnsi="宋体" w:cs="宋体-方正超大字符集"/>
                <w:color w:val="auto"/>
                <w:szCs w:val="21"/>
              </w:rPr>
            </w:pPr>
            <w:r>
              <w:rPr>
                <w:rFonts w:hint="eastAsia" w:ascii="宋体" w:hAnsi="宋体" w:cs="宋体-方正超大字符集"/>
                <w:color w:val="auto"/>
                <w:szCs w:val="21"/>
              </w:rPr>
              <w:t>二次复核工作时限</w:t>
            </w:r>
          </w:p>
        </w:tc>
        <w:tc>
          <w:tcPr>
            <w:tcW w:w="1553" w:type="dxa"/>
            <w:noWrap w:val="0"/>
            <w:vAlign w:val="center"/>
          </w:tcPr>
          <w:p>
            <w:pPr>
              <w:spacing w:before="240"/>
              <w:jc w:val="center"/>
              <w:rPr>
                <w:rFonts w:hint="eastAsia" w:ascii="宋体" w:hAnsi="宋体" w:cs="宋体-方正超大字符集"/>
                <w:color w:val="auto"/>
                <w:szCs w:val="21"/>
              </w:rPr>
            </w:pPr>
            <w:r>
              <w:rPr>
                <w:rFonts w:hint="eastAsia" w:ascii="宋体" w:hAnsi="宋体" w:cs="宋体-方正超大字符集"/>
                <w:color w:val="auto"/>
                <w:szCs w:val="21"/>
              </w:rPr>
              <w:t>出具定案表工作时限及审核报告</w:t>
            </w:r>
          </w:p>
        </w:tc>
        <w:tc>
          <w:tcPr>
            <w:tcW w:w="1232" w:type="dxa"/>
            <w:noWrap w:val="0"/>
            <w:vAlign w:val="center"/>
          </w:tcPr>
          <w:p>
            <w:pPr>
              <w:spacing w:before="240"/>
              <w:jc w:val="center"/>
              <w:rPr>
                <w:rFonts w:hint="eastAsia" w:ascii="宋体" w:hAnsi="宋体" w:cs="宋体-方正超大字符集"/>
                <w:color w:val="auto"/>
                <w:szCs w:val="21"/>
              </w:rPr>
            </w:pPr>
            <w:r>
              <w:rPr>
                <w:rFonts w:hint="eastAsia" w:ascii="宋体" w:hAnsi="宋体" w:cs="宋体-方正超大字符集"/>
                <w:color w:val="auto"/>
                <w:szCs w:val="21"/>
              </w:rPr>
              <w:t>总审核工作时限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65" w:type="dxa"/>
            <w:noWrap w:val="0"/>
            <w:vAlign w:val="center"/>
          </w:tcPr>
          <w:p>
            <w:pPr>
              <w:spacing w:before="240"/>
              <w:jc w:val="center"/>
              <w:rPr>
                <w:rFonts w:hint="eastAsia" w:ascii="宋体" w:hAnsi="宋体" w:cs="宋体-方正超大字符集"/>
                <w:color w:val="auto"/>
                <w:sz w:val="18"/>
                <w:szCs w:val="18"/>
              </w:rPr>
            </w:pPr>
            <w:r>
              <w:rPr>
                <w:rFonts w:hint="eastAsia" w:ascii="宋体" w:hAnsi="宋体" w:cs="宋体-方正超大字符集"/>
                <w:color w:val="auto"/>
                <w:sz w:val="18"/>
                <w:szCs w:val="18"/>
              </w:rPr>
              <w:t>500万元以下</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3</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1</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w:t>
            </w:r>
          </w:p>
        </w:tc>
        <w:tc>
          <w:tcPr>
            <w:tcW w:w="1553"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w:t>
            </w:r>
          </w:p>
        </w:tc>
        <w:tc>
          <w:tcPr>
            <w:tcW w:w="1232"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cs="宋体-方正超大字符集"/>
                <w:color w:val="auto"/>
                <w:sz w:val="18"/>
                <w:szCs w:val="18"/>
              </w:rPr>
            </w:pPr>
            <w:r>
              <w:rPr>
                <w:rFonts w:hint="eastAsia" w:ascii="宋体" w:hAnsi="宋体" w:cs="宋体-方正超大字符集"/>
                <w:color w:val="auto"/>
                <w:sz w:val="18"/>
                <w:szCs w:val="18"/>
              </w:rPr>
              <w:t>500-2000万元以下</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3</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4</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3</w:t>
            </w:r>
          </w:p>
        </w:tc>
        <w:tc>
          <w:tcPr>
            <w:tcW w:w="1553"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w:t>
            </w:r>
          </w:p>
        </w:tc>
        <w:tc>
          <w:tcPr>
            <w:tcW w:w="1232"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cs="宋体-方正超大字符集"/>
                <w:color w:val="auto"/>
                <w:sz w:val="18"/>
                <w:szCs w:val="18"/>
              </w:rPr>
            </w:pPr>
            <w:r>
              <w:rPr>
                <w:rFonts w:hint="eastAsia" w:ascii="宋体" w:hAnsi="宋体" w:cs="宋体-方正超大字符集"/>
                <w:color w:val="auto"/>
                <w:sz w:val="18"/>
                <w:szCs w:val="18"/>
              </w:rPr>
              <w:t>2000-5000万元以下</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3</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6</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3</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4</w:t>
            </w:r>
          </w:p>
        </w:tc>
        <w:tc>
          <w:tcPr>
            <w:tcW w:w="1553"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w:t>
            </w:r>
          </w:p>
        </w:tc>
        <w:tc>
          <w:tcPr>
            <w:tcW w:w="1232"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pPr>
              <w:spacing w:before="240"/>
              <w:jc w:val="center"/>
              <w:rPr>
                <w:rFonts w:hint="eastAsia" w:ascii="宋体" w:hAnsi="宋体" w:cs="宋体-方正超大字符集"/>
                <w:color w:val="auto"/>
                <w:sz w:val="18"/>
                <w:szCs w:val="18"/>
              </w:rPr>
            </w:pPr>
            <w:r>
              <w:rPr>
                <w:rFonts w:hint="eastAsia" w:ascii="宋体" w:hAnsi="宋体" w:cs="宋体-方正超大字符集"/>
                <w:color w:val="auto"/>
                <w:sz w:val="18"/>
                <w:szCs w:val="18"/>
              </w:rPr>
              <w:t>5000万元以上</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4</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6</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4</w:t>
            </w:r>
          </w:p>
        </w:tc>
        <w:tc>
          <w:tcPr>
            <w:tcW w:w="1265"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7</w:t>
            </w:r>
          </w:p>
        </w:tc>
        <w:tc>
          <w:tcPr>
            <w:tcW w:w="1553"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w:t>
            </w:r>
          </w:p>
        </w:tc>
        <w:tc>
          <w:tcPr>
            <w:tcW w:w="1232" w:type="dxa"/>
            <w:noWrap w:val="0"/>
            <w:vAlign w:val="center"/>
          </w:tcPr>
          <w:p>
            <w:pPr>
              <w:spacing w:before="240"/>
              <w:jc w:val="center"/>
              <w:rPr>
                <w:rFonts w:hint="eastAsia" w:ascii="宋体" w:hAnsi="宋体" w:cs="宋体-方正超大字符集"/>
                <w:color w:val="auto"/>
                <w:sz w:val="24"/>
              </w:rPr>
            </w:pPr>
            <w:r>
              <w:rPr>
                <w:rFonts w:hint="eastAsia" w:ascii="宋体" w:hAnsi="宋体" w:cs="宋体-方正超大字符集"/>
                <w:color w:val="auto"/>
                <w:sz w:val="24"/>
              </w:rPr>
              <w:t>23</w:t>
            </w:r>
          </w:p>
        </w:tc>
      </w:tr>
    </w:tbl>
    <w:p>
      <w:pPr>
        <w:spacing w:line="500" w:lineRule="exact"/>
        <w:ind w:firstLine="360" w:firstLineChars="150"/>
        <w:rPr>
          <w:rFonts w:hint="eastAsia" w:ascii="宋体" w:hAnsi="宋体"/>
          <w:color w:val="auto"/>
          <w:sz w:val="24"/>
        </w:rPr>
      </w:pPr>
      <w:r>
        <w:rPr>
          <w:rFonts w:hint="eastAsia" w:ascii="宋体" w:hAnsi="宋体"/>
          <w:color w:val="auto"/>
          <w:sz w:val="24"/>
        </w:rPr>
        <w:t>（二）中介机构在计算核对过程中因争议问题不能形成审核结论的，应做好书面记录报审核组长，经审核组长批准可延长审核时间。</w:t>
      </w:r>
    </w:p>
    <w:p>
      <w:pPr>
        <w:spacing w:line="500" w:lineRule="exact"/>
        <w:ind w:firstLine="360" w:firstLineChars="150"/>
        <w:rPr>
          <w:rFonts w:hint="eastAsia" w:ascii="宋体" w:hAnsi="宋体"/>
          <w:color w:val="auto"/>
          <w:sz w:val="24"/>
        </w:rPr>
      </w:pPr>
      <w:r>
        <w:rPr>
          <w:rFonts w:hint="eastAsia" w:ascii="宋体" w:hAnsi="宋体"/>
          <w:color w:val="auto"/>
          <w:sz w:val="24"/>
        </w:rPr>
        <w:t>（三）中介机构无故延长审核时间，委托方除扣减委托审核费（按每逾期一天扣减该项目委托审核费的5%计算）外，并将暂停委托项目审核；审核时间延迟15天以上的视为受托方无法完成该项目审核工作，委托方有权收回工程预算资料并扣除该项目的委托审核业务费，当年累计有两项无法完成的审核项目，委托方有权取消受托方的受托审核资格。</w:t>
      </w:r>
    </w:p>
    <w:p>
      <w:pPr>
        <w:spacing w:line="500" w:lineRule="exact"/>
        <w:ind w:firstLine="482" w:firstLineChars="200"/>
        <w:rPr>
          <w:rFonts w:hint="eastAsia" w:ascii="宋体" w:hAnsi="宋体"/>
          <w:color w:val="auto"/>
          <w:sz w:val="24"/>
        </w:rPr>
      </w:pPr>
      <w:r>
        <w:rPr>
          <w:rFonts w:hint="eastAsia" w:ascii="宋体" w:hAnsi="宋体"/>
          <w:b/>
          <w:color w:val="auto"/>
          <w:sz w:val="24"/>
        </w:rPr>
        <w:t>二、</w:t>
      </w:r>
      <w:r>
        <w:rPr>
          <w:rFonts w:hint="eastAsia" w:ascii="宋体" w:hAnsi="宋体"/>
          <w:color w:val="auto"/>
          <w:sz w:val="24"/>
        </w:rPr>
        <w:t>审核质量偏差考评</w:t>
      </w:r>
    </w:p>
    <w:p>
      <w:pPr>
        <w:spacing w:line="500" w:lineRule="exact"/>
        <w:ind w:firstLine="360" w:firstLineChars="150"/>
        <w:rPr>
          <w:rFonts w:hint="eastAsia" w:ascii="宋体" w:hAnsi="宋体"/>
          <w:color w:val="auto"/>
          <w:sz w:val="24"/>
        </w:rPr>
      </w:pPr>
      <w:r>
        <w:rPr>
          <w:rFonts w:hint="eastAsia" w:ascii="宋体" w:hAnsi="宋体"/>
          <w:color w:val="auto"/>
          <w:sz w:val="24"/>
        </w:rPr>
        <w:t>（一）造价审核质量在同一口径下误差不得超过3％(含3％)，经委托方复核如超出误差范围，中介机构应按委托方的复核意见调整项目审核结论，项目重审不计算第二次委托代理业务费。</w:t>
      </w:r>
    </w:p>
    <w:p>
      <w:pPr>
        <w:spacing w:line="500" w:lineRule="exact"/>
        <w:ind w:firstLine="360" w:firstLineChars="150"/>
        <w:rPr>
          <w:rFonts w:hint="eastAsia" w:ascii="宋体" w:hAnsi="宋体"/>
          <w:color w:val="auto"/>
          <w:sz w:val="24"/>
        </w:rPr>
      </w:pPr>
      <w:r>
        <w:rPr>
          <w:rFonts w:hint="eastAsia" w:ascii="宋体" w:hAnsi="宋体"/>
          <w:color w:val="auto"/>
          <w:sz w:val="24"/>
        </w:rPr>
        <w:t>（二）委托方对审核结论进行复核，复核审定项目与中介机构审定项目误差在3%－7%的，扣减委托代理业务费的20%～50%；误差在7%以上的，扣减委托代理业务费的50%～80%；在委托协议期间内有两次误差率超过7%或有一次误差率超过10%以上的，委托方有权取消中介机构受托审核资格。</w:t>
      </w:r>
    </w:p>
    <w:p>
      <w:pPr>
        <w:spacing w:line="500" w:lineRule="exact"/>
        <w:ind w:firstLine="482" w:firstLineChars="200"/>
        <w:rPr>
          <w:rFonts w:hint="eastAsia" w:ascii="宋体" w:hAnsi="宋体"/>
          <w:color w:val="auto"/>
          <w:sz w:val="24"/>
        </w:rPr>
      </w:pPr>
      <w:r>
        <w:rPr>
          <w:rFonts w:hint="eastAsia" w:ascii="宋体" w:hAnsi="宋体"/>
          <w:b/>
          <w:color w:val="auto"/>
          <w:sz w:val="24"/>
        </w:rPr>
        <w:t>三、</w:t>
      </w:r>
      <w:r>
        <w:rPr>
          <w:rFonts w:hint="eastAsia" w:ascii="宋体" w:hAnsi="宋体"/>
          <w:color w:val="auto"/>
          <w:sz w:val="24"/>
        </w:rPr>
        <w:t>委托方对中介机构受托审核项目的审核准确性及廉政情况进行考评，其考评成果将存档，以备查验，作为评定中介机构业务质量和执业道德的依据。</w:t>
      </w:r>
    </w:p>
    <w:p>
      <w:pPr>
        <w:spacing w:line="500" w:lineRule="exact"/>
        <w:ind w:firstLine="480" w:firstLineChars="200"/>
        <w:rPr>
          <w:rFonts w:hint="eastAsia" w:ascii="宋体" w:hAnsi="宋体"/>
          <w:color w:val="auto"/>
          <w:sz w:val="24"/>
        </w:rPr>
      </w:pPr>
      <w:r>
        <w:rPr>
          <w:rFonts w:hint="eastAsia" w:ascii="宋体" w:hAnsi="宋体"/>
          <w:color w:val="auto"/>
          <w:sz w:val="24"/>
        </w:rPr>
        <w:t>四、 造价审核业务授予方法：</w:t>
      </w:r>
    </w:p>
    <w:p>
      <w:pPr>
        <w:spacing w:line="500" w:lineRule="exact"/>
        <w:ind w:firstLine="480" w:firstLineChars="200"/>
        <w:rPr>
          <w:rFonts w:hint="eastAsia" w:ascii="宋体" w:hAnsi="宋体"/>
          <w:color w:val="auto"/>
          <w:sz w:val="24"/>
        </w:rPr>
      </w:pPr>
      <w:r>
        <w:rPr>
          <w:rFonts w:hint="eastAsia" w:ascii="宋体" w:hAnsi="宋体"/>
          <w:color w:val="auto"/>
          <w:sz w:val="24"/>
        </w:rPr>
        <w:t>（一）采购人不承诺入围供应商在入围有效期内实际承担的工程预算标底审核服务项目数量。采购人委托入围单位进行工程预算标底审核服务时，入围单位不应拒绝。</w:t>
      </w:r>
    </w:p>
    <w:p>
      <w:pPr>
        <w:spacing w:line="500" w:lineRule="exact"/>
        <w:ind w:firstLine="480" w:firstLineChars="200"/>
        <w:rPr>
          <w:rFonts w:hint="eastAsia" w:ascii="宋体" w:hAnsi="宋体"/>
          <w:color w:val="auto"/>
          <w:sz w:val="24"/>
        </w:rPr>
      </w:pPr>
      <w:r>
        <w:rPr>
          <w:rFonts w:hint="eastAsia" w:ascii="宋体" w:hAnsi="宋体"/>
          <w:color w:val="auto"/>
          <w:sz w:val="24"/>
        </w:rPr>
        <w:t>（二）协议期内合同签订</w:t>
      </w:r>
      <w:r>
        <w:rPr>
          <w:rFonts w:hint="eastAsia" w:ascii="宋体" w:hAnsi="宋体"/>
          <w:color w:val="auto"/>
          <w:sz w:val="24"/>
          <w:lang w:val="en-US" w:eastAsia="zh-CN"/>
        </w:rPr>
        <w:t>2</w:t>
      </w:r>
      <w:r>
        <w:rPr>
          <w:rFonts w:hint="eastAsia" w:ascii="宋体" w:hAnsi="宋体"/>
          <w:color w:val="auto"/>
          <w:sz w:val="24"/>
        </w:rPr>
        <w:t>年，期满重新招标确定审核单位，每个年度采购人对入围单位任务完成情况进行考评，视情况决定续聘或解除合同或另行增加入围单位（审核机构少于5家时）。</w:t>
      </w:r>
    </w:p>
    <w:p>
      <w:pPr>
        <w:spacing w:line="700" w:lineRule="exact"/>
        <w:rPr>
          <w:rFonts w:hint="eastAsia" w:ascii="宋体" w:hAnsi="宋体"/>
          <w:b/>
          <w:color w:val="auto"/>
          <w:sz w:val="24"/>
        </w:rPr>
      </w:pPr>
      <w:r>
        <w:rPr>
          <w:rFonts w:hint="eastAsia" w:ascii="宋体" w:hAnsi="宋体"/>
          <w:b/>
          <w:color w:val="auto"/>
          <w:sz w:val="24"/>
        </w:rPr>
        <w:t xml:space="preserve">                              五、廉政规定</w:t>
      </w:r>
    </w:p>
    <w:p>
      <w:pPr>
        <w:spacing w:line="400" w:lineRule="exact"/>
        <w:ind w:firstLine="482" w:firstLineChars="200"/>
        <w:rPr>
          <w:rFonts w:hint="eastAsia" w:ascii="宋体" w:hAnsi="宋体"/>
          <w:color w:val="auto"/>
          <w:sz w:val="24"/>
        </w:rPr>
      </w:pPr>
      <w:r>
        <w:rPr>
          <w:rFonts w:hint="eastAsia" w:ascii="宋体" w:hAnsi="宋体"/>
          <w:b/>
          <w:color w:val="auto"/>
          <w:sz w:val="24"/>
        </w:rPr>
        <w:t>一、</w:t>
      </w:r>
      <w:r>
        <w:rPr>
          <w:rFonts w:hint="eastAsia" w:ascii="宋体" w:hAnsi="宋体"/>
          <w:color w:val="auto"/>
          <w:sz w:val="24"/>
        </w:rPr>
        <w:t>中介机构在政府投资项目委托审核工作过程中，必须严格遵守国家法律法规，加强内部监督管理，廉洁自律，严禁收受利益相关单位和个人的现金、购物卡、各种有价证券及礼品，不得接受利益相关单位的宴请和娱乐活动。</w:t>
      </w:r>
    </w:p>
    <w:p>
      <w:pPr>
        <w:spacing w:line="400" w:lineRule="exact"/>
        <w:ind w:firstLine="482" w:firstLineChars="200"/>
        <w:rPr>
          <w:rFonts w:hint="eastAsia" w:ascii="宋体" w:hAnsi="宋体"/>
          <w:color w:val="auto"/>
          <w:sz w:val="24"/>
        </w:rPr>
      </w:pPr>
      <w:r>
        <w:rPr>
          <w:rFonts w:hint="eastAsia" w:ascii="宋体" w:hAnsi="宋体"/>
          <w:b/>
          <w:color w:val="auto"/>
          <w:sz w:val="24"/>
        </w:rPr>
        <w:t>二、</w:t>
      </w:r>
      <w:r>
        <w:rPr>
          <w:rFonts w:hint="eastAsia" w:ascii="宋体" w:hAnsi="宋体"/>
          <w:color w:val="auto"/>
          <w:sz w:val="24"/>
        </w:rPr>
        <w:t>不得私自与利益相关单位就项目审核问题进行交流、商谈。</w:t>
      </w:r>
    </w:p>
    <w:p>
      <w:pPr>
        <w:spacing w:line="400" w:lineRule="exact"/>
        <w:ind w:firstLine="482" w:firstLineChars="200"/>
        <w:rPr>
          <w:rFonts w:hint="eastAsia" w:ascii="宋体" w:hAnsi="宋体"/>
          <w:color w:val="auto"/>
          <w:sz w:val="24"/>
        </w:rPr>
      </w:pPr>
      <w:r>
        <w:rPr>
          <w:rFonts w:hint="eastAsia" w:ascii="宋体" w:hAnsi="宋体"/>
          <w:b/>
          <w:color w:val="auto"/>
          <w:sz w:val="24"/>
        </w:rPr>
        <w:t>三、</w:t>
      </w:r>
      <w:r>
        <w:rPr>
          <w:rFonts w:hint="eastAsia" w:ascii="宋体" w:hAnsi="宋体"/>
          <w:color w:val="auto"/>
          <w:sz w:val="24"/>
        </w:rPr>
        <w:t>中介机构应核查审核人员与被审核单位是否存在利害关系，如有应实行回避。</w:t>
      </w:r>
    </w:p>
    <w:p>
      <w:pPr>
        <w:spacing w:line="400" w:lineRule="exact"/>
        <w:ind w:firstLine="482" w:firstLineChars="200"/>
        <w:rPr>
          <w:rFonts w:hint="eastAsia" w:ascii="宋体" w:hAnsi="宋体"/>
          <w:color w:val="auto"/>
          <w:sz w:val="24"/>
        </w:rPr>
      </w:pPr>
      <w:r>
        <w:rPr>
          <w:rFonts w:hint="eastAsia" w:ascii="宋体" w:hAnsi="宋体"/>
          <w:b/>
          <w:color w:val="auto"/>
          <w:sz w:val="24"/>
        </w:rPr>
        <w:t>四、</w:t>
      </w:r>
      <w:r>
        <w:rPr>
          <w:rFonts w:hint="eastAsia" w:ascii="宋体" w:hAnsi="宋体"/>
          <w:color w:val="auto"/>
          <w:sz w:val="24"/>
        </w:rPr>
        <w:t>因过失或故意等原因造成送审资料遗失、毁损的应予以赔偿，同时中介机构应承担相应法律责任。</w:t>
      </w:r>
    </w:p>
    <w:p>
      <w:pPr>
        <w:spacing w:line="400" w:lineRule="exact"/>
        <w:ind w:firstLine="482" w:firstLineChars="200"/>
        <w:rPr>
          <w:rFonts w:hint="eastAsia" w:ascii="宋体" w:hAnsi="宋体"/>
          <w:color w:val="auto"/>
          <w:sz w:val="24"/>
        </w:rPr>
      </w:pPr>
      <w:r>
        <w:rPr>
          <w:rFonts w:hint="eastAsia" w:ascii="宋体" w:hAnsi="宋体"/>
          <w:b/>
          <w:color w:val="auto"/>
          <w:sz w:val="24"/>
        </w:rPr>
        <w:t>五、</w:t>
      </w:r>
      <w:r>
        <w:rPr>
          <w:rFonts w:hint="eastAsia" w:ascii="宋体" w:hAnsi="宋体"/>
          <w:color w:val="auto"/>
          <w:sz w:val="24"/>
        </w:rPr>
        <w:t>中介机构在项目审核过程如有隐瞒审核发现的问题、与送审单位进行利益交换出具虚假审核结论并造成实际损失的，中介机构应承担相应法律责任。</w:t>
      </w:r>
    </w:p>
    <w:p>
      <w:pPr>
        <w:spacing w:line="400" w:lineRule="exact"/>
        <w:ind w:firstLine="482" w:firstLineChars="200"/>
        <w:rPr>
          <w:rFonts w:hint="eastAsia" w:ascii="宋体" w:hAnsi="宋体"/>
          <w:color w:val="auto"/>
          <w:sz w:val="24"/>
        </w:rPr>
      </w:pPr>
      <w:r>
        <w:rPr>
          <w:rFonts w:hint="eastAsia" w:ascii="宋体" w:hAnsi="宋体"/>
          <w:b/>
          <w:color w:val="auto"/>
          <w:sz w:val="24"/>
        </w:rPr>
        <w:t>六、</w:t>
      </w:r>
      <w:r>
        <w:rPr>
          <w:rFonts w:hint="eastAsia" w:ascii="宋体" w:hAnsi="宋体"/>
          <w:color w:val="auto"/>
          <w:sz w:val="24"/>
        </w:rPr>
        <w:t>中介机构如有违反上述规定的行为，一经核实，委托方将取消中介机构的受托审核资格。</w:t>
      </w:r>
    </w:p>
    <w:p>
      <w:pPr>
        <w:spacing w:line="400" w:lineRule="exact"/>
        <w:ind w:firstLine="482" w:firstLineChars="200"/>
        <w:rPr>
          <w:rFonts w:hint="eastAsia" w:ascii="宋体" w:hAnsi="宋体"/>
          <w:color w:val="auto"/>
          <w:sz w:val="24"/>
        </w:rPr>
      </w:pPr>
      <w:r>
        <w:rPr>
          <w:rFonts w:hint="eastAsia" w:ascii="宋体" w:hAnsi="宋体"/>
          <w:b/>
          <w:color w:val="auto"/>
          <w:sz w:val="24"/>
        </w:rPr>
        <w:t>七、</w:t>
      </w:r>
      <w:r>
        <w:rPr>
          <w:rFonts w:hint="eastAsia" w:ascii="宋体" w:hAnsi="宋体"/>
          <w:color w:val="auto"/>
          <w:sz w:val="24"/>
        </w:rPr>
        <w:t>委托单位应与中介机构签订廉政责任书。</w:t>
      </w:r>
    </w:p>
    <w:p>
      <w:pPr>
        <w:spacing w:line="500" w:lineRule="exact"/>
        <w:jc w:val="center"/>
        <w:rPr>
          <w:rFonts w:hint="eastAsia" w:ascii="宋体" w:hAnsi="宋体"/>
          <w:b/>
          <w:color w:val="auto"/>
          <w:sz w:val="24"/>
        </w:rPr>
      </w:pPr>
    </w:p>
    <w:p>
      <w:pPr>
        <w:spacing w:line="500" w:lineRule="exact"/>
        <w:jc w:val="center"/>
        <w:rPr>
          <w:rFonts w:hint="eastAsia" w:ascii="宋体" w:hAnsi="宋体"/>
          <w:b/>
          <w:color w:val="auto"/>
          <w:sz w:val="24"/>
        </w:rPr>
      </w:pPr>
      <w:r>
        <w:rPr>
          <w:rFonts w:hint="eastAsia" w:ascii="宋体" w:hAnsi="宋体"/>
          <w:b/>
          <w:color w:val="auto"/>
          <w:sz w:val="24"/>
        </w:rPr>
        <w:t>六、审核费</w:t>
      </w:r>
    </w:p>
    <w:p>
      <w:pPr>
        <w:spacing w:line="460" w:lineRule="exact"/>
        <w:ind w:left="22" w:leftChars="10" w:firstLine="482" w:firstLineChars="200"/>
        <w:rPr>
          <w:rFonts w:hint="eastAsia" w:ascii="宋体" w:hAnsi="宋体"/>
          <w:b/>
          <w:color w:val="auto"/>
          <w:sz w:val="24"/>
        </w:rPr>
      </w:pPr>
      <w:r>
        <w:rPr>
          <w:rFonts w:hint="eastAsia" w:ascii="宋体" w:hAnsi="宋体"/>
          <w:b/>
          <w:color w:val="auto"/>
          <w:sz w:val="24"/>
        </w:rPr>
        <w:t>一、</w:t>
      </w:r>
      <w:r>
        <w:rPr>
          <w:rFonts w:hint="eastAsia" w:ascii="宋体" w:hAnsi="宋体"/>
          <w:b/>
          <w:color w:val="auto"/>
          <w:sz w:val="24"/>
          <w:lang w:val="zh-CN"/>
        </w:rPr>
        <w:t>按招标文件</w:t>
      </w:r>
      <w:r>
        <w:rPr>
          <w:rFonts w:hint="eastAsia" w:ascii="宋体" w:hAnsi="宋体"/>
          <w:b/>
          <w:color w:val="auto"/>
          <w:sz w:val="24"/>
        </w:rPr>
        <w:t>第三十二条规定计取，即工程预算评审服务费＝</w:t>
      </w:r>
      <w:r>
        <w:rPr>
          <w:rFonts w:ascii="宋体" w:hAnsi="宋体"/>
          <w:b/>
          <w:color w:val="auto"/>
          <w:sz w:val="24"/>
        </w:rPr>
        <w:t>送审造价×相对应的收费标准×（1-中标单位投标下浮系数的平均值）+核增（减）造价×中标单位费率的平均值。</w:t>
      </w:r>
    </w:p>
    <w:p>
      <w:pPr>
        <w:snapToGrid w:val="0"/>
        <w:spacing w:line="500" w:lineRule="exact"/>
        <w:ind w:firstLine="472" w:firstLineChars="196"/>
        <w:rPr>
          <w:rFonts w:hint="eastAsia" w:ascii="宋体" w:hAnsi="宋体"/>
          <w:b/>
          <w:color w:val="auto"/>
          <w:sz w:val="24"/>
          <w:lang w:val="zh-CN"/>
        </w:rPr>
      </w:pPr>
      <w:r>
        <w:rPr>
          <w:rFonts w:hint="eastAsia" w:ascii="宋体" w:hAnsi="宋体"/>
          <w:b/>
          <w:color w:val="auto"/>
          <w:sz w:val="24"/>
        </w:rPr>
        <w:t>如单项工程预算评审服务费按以上收费标准计费不足</w:t>
      </w:r>
      <w:r>
        <w:rPr>
          <w:rFonts w:hint="eastAsia"/>
          <w:b/>
          <w:color w:val="auto"/>
          <w:sz w:val="24"/>
          <w:lang w:val="en-US" w:eastAsia="zh-CN"/>
        </w:rPr>
        <w:t>3</w:t>
      </w:r>
      <w:r>
        <w:rPr>
          <w:rFonts w:hint="eastAsia" w:ascii="宋体" w:hAnsi="宋体"/>
          <w:b/>
          <w:color w:val="auto"/>
          <w:sz w:val="24"/>
        </w:rPr>
        <w:t>000元的，按</w:t>
      </w:r>
      <w:r>
        <w:rPr>
          <w:rFonts w:hint="eastAsia"/>
          <w:b/>
          <w:color w:val="auto"/>
          <w:sz w:val="24"/>
          <w:lang w:val="en-US" w:eastAsia="zh-CN"/>
        </w:rPr>
        <w:t>3</w:t>
      </w:r>
      <w:r>
        <w:rPr>
          <w:rFonts w:hint="eastAsia" w:ascii="宋体" w:hAnsi="宋体"/>
          <w:b/>
          <w:color w:val="auto"/>
          <w:sz w:val="24"/>
        </w:rPr>
        <w:t>000元计算。</w:t>
      </w:r>
    </w:p>
    <w:p>
      <w:pPr>
        <w:tabs>
          <w:tab w:val="left" w:pos="3900"/>
        </w:tabs>
        <w:spacing w:line="480" w:lineRule="exact"/>
        <w:jc w:val="center"/>
        <w:rPr>
          <w:rFonts w:hint="eastAsia" w:ascii="宋体" w:hAnsi="宋体"/>
          <w:b/>
          <w:color w:val="auto"/>
          <w:sz w:val="24"/>
        </w:rPr>
      </w:pPr>
      <w:r>
        <w:rPr>
          <w:rFonts w:hint="eastAsia" w:ascii="宋体" w:hAnsi="宋体"/>
          <w:b/>
          <w:color w:val="auto"/>
          <w:sz w:val="24"/>
        </w:rPr>
        <w:t xml:space="preserve"> </w:t>
      </w:r>
    </w:p>
    <w:p>
      <w:pPr>
        <w:tabs>
          <w:tab w:val="left" w:pos="3900"/>
        </w:tabs>
        <w:spacing w:line="480" w:lineRule="exact"/>
        <w:jc w:val="center"/>
        <w:rPr>
          <w:rFonts w:ascii="宋体" w:hAnsi="宋体"/>
          <w:b/>
          <w:color w:val="auto"/>
          <w:sz w:val="24"/>
        </w:rPr>
      </w:pPr>
      <w:r>
        <w:rPr>
          <w:rFonts w:hint="eastAsia" w:ascii="宋体" w:hAnsi="宋体"/>
          <w:b/>
          <w:color w:val="auto"/>
          <w:sz w:val="24"/>
        </w:rPr>
        <w:t xml:space="preserve"> 七   </w:t>
      </w:r>
      <w:r>
        <w:rPr>
          <w:rFonts w:hint="eastAsia" w:ascii="宋体" w:hAnsi="宋体"/>
          <w:b/>
          <w:bCs/>
          <w:color w:val="auto"/>
          <w:sz w:val="24"/>
        </w:rPr>
        <w:t>违约处理</w:t>
      </w:r>
    </w:p>
    <w:p>
      <w:pPr>
        <w:spacing w:line="480" w:lineRule="exact"/>
        <w:ind w:firstLine="453" w:firstLineChars="189"/>
        <w:rPr>
          <w:rFonts w:hint="eastAsia" w:ascii="宋体" w:hAnsi="宋体"/>
          <w:color w:val="auto"/>
          <w:sz w:val="24"/>
        </w:rPr>
      </w:pPr>
      <w:r>
        <w:rPr>
          <w:rFonts w:hint="eastAsia" w:ascii="宋体" w:hAnsi="宋体"/>
          <w:color w:val="auto"/>
          <w:sz w:val="24"/>
        </w:rPr>
        <w:t>一、在进行委托业务期间，甲方无故撤销乙方对某项目的受委托审核资格，需支付该项目的基本付费额。</w:t>
      </w:r>
    </w:p>
    <w:p>
      <w:pPr>
        <w:spacing w:line="480" w:lineRule="exact"/>
        <w:ind w:firstLine="480" w:firstLineChars="200"/>
        <w:rPr>
          <w:rFonts w:hint="eastAsia" w:ascii="宋体" w:hAnsi="宋体"/>
          <w:color w:val="auto"/>
          <w:sz w:val="24"/>
        </w:rPr>
      </w:pPr>
      <w:r>
        <w:rPr>
          <w:rFonts w:hint="eastAsia" w:ascii="宋体" w:hAnsi="宋体"/>
          <w:color w:val="auto"/>
          <w:sz w:val="24"/>
        </w:rPr>
        <w:t>二、乙方无故延长审核时间，甲方除扣除乙方的委托代理业务费（按每逾期一天扣除该项目委托业务费的5%计算）外，并暂停安排委托审核项目；审核时间超过15天以上的视为乙方无法完成该项目委托审核工作，甲方有权收回并扣除乙方该项目的委托代理业务费，甲方有权取消乙方的受托审核资格。</w:t>
      </w:r>
    </w:p>
    <w:p>
      <w:pPr>
        <w:spacing w:line="480" w:lineRule="exact"/>
        <w:ind w:firstLine="453" w:firstLineChars="189"/>
        <w:rPr>
          <w:rFonts w:hint="eastAsia" w:ascii="宋体" w:hAnsi="宋体"/>
          <w:color w:val="auto"/>
          <w:sz w:val="24"/>
        </w:rPr>
      </w:pPr>
      <w:r>
        <w:rPr>
          <w:rFonts w:hint="eastAsia" w:ascii="宋体" w:hAnsi="宋体"/>
          <w:color w:val="auto"/>
          <w:sz w:val="24"/>
        </w:rPr>
        <w:t>三、乙方擅自将甲方委托审核的项目再委托其他工程审核中介机构或非乙方的其他个人审核的，甲方有权取消乙方的受托审核资格并扣除该项目的委托代理业务费。</w:t>
      </w:r>
    </w:p>
    <w:p>
      <w:pPr>
        <w:spacing w:line="500" w:lineRule="exact"/>
        <w:ind w:firstLine="360" w:firstLineChars="150"/>
        <w:rPr>
          <w:rFonts w:hint="eastAsia" w:ascii="宋体" w:hAnsi="宋体"/>
          <w:color w:val="auto"/>
          <w:sz w:val="24"/>
        </w:rPr>
      </w:pPr>
      <w:r>
        <w:rPr>
          <w:rFonts w:hint="eastAsia" w:ascii="宋体" w:hAnsi="宋体"/>
          <w:color w:val="auto"/>
          <w:sz w:val="24"/>
        </w:rPr>
        <w:t>四、甲方对乙方审核的项目进行抽查复核时，如复核结果与乙方审定结论有误差的，甲方有权要求退回乙方重审，重审项目不计算第二次委托代理业务费。甲方对乙方审核的项目进行复核，复核审定造价与中介机构审定造价误差在3%－7%的，扣减委托代理业务费的20%～50%；误差在7%以上的，扣减委托代理业务费的50%～80%；在委托协议期间内有两次误差率超过7%或有一次误差率超过10%以上的，委托方有权取消中介机构受托审核资格。</w:t>
      </w:r>
    </w:p>
    <w:p>
      <w:pPr>
        <w:spacing w:line="500" w:lineRule="exact"/>
        <w:ind w:firstLine="360" w:firstLineChars="150"/>
        <w:rPr>
          <w:rFonts w:hint="eastAsia" w:ascii="宋体" w:hAnsi="宋体"/>
          <w:color w:val="auto"/>
          <w:sz w:val="24"/>
        </w:rPr>
      </w:pPr>
      <w:r>
        <w:rPr>
          <w:rFonts w:hint="eastAsia" w:ascii="宋体" w:hAnsi="宋体"/>
          <w:color w:val="auto"/>
          <w:sz w:val="24"/>
        </w:rPr>
        <w:t>五、甲方退回乙方要求重审的项目，乙方必须重审，并按时（以具体重审通知时间为准）送回甲方。不按时送回的按</w:t>
      </w:r>
      <w:r>
        <w:rPr>
          <w:rFonts w:hint="eastAsia" w:ascii="宋体" w:hAnsi="宋体"/>
          <w:b/>
          <w:color w:val="auto"/>
          <w:sz w:val="24"/>
        </w:rPr>
        <w:t>本章第2款规定执行。</w:t>
      </w:r>
    </w:p>
    <w:p>
      <w:pPr>
        <w:spacing w:line="480" w:lineRule="exact"/>
        <w:ind w:firstLine="453" w:firstLineChars="189"/>
        <w:rPr>
          <w:rFonts w:hint="eastAsia" w:ascii="宋体" w:hAnsi="宋体"/>
          <w:color w:val="auto"/>
          <w:sz w:val="24"/>
        </w:rPr>
      </w:pPr>
      <w:r>
        <w:rPr>
          <w:rFonts w:hint="eastAsia" w:ascii="宋体" w:hAnsi="宋体"/>
          <w:color w:val="auto"/>
          <w:sz w:val="24"/>
        </w:rPr>
        <w:t>六、乙方在审核过程中有下列情形的，其所造成的相应后果，乙方应承担经济责任和法律责任，甲方取消乙方的受托审核资格，并向有关主管部门建议取消其资质：（1）在审核过程中有违反有关审核规定，利用审核之便出现违法违纪、违反廉政建设制度等有可能影响审核公正的行为；（2）有提供不实或内容虚假的审核核结论的行为；（3）因过失或故意等原因造成送审资料遗失、毁损的行为。</w:t>
      </w:r>
    </w:p>
    <w:p>
      <w:pPr>
        <w:spacing w:line="480" w:lineRule="exact"/>
        <w:jc w:val="center"/>
        <w:rPr>
          <w:rFonts w:hint="eastAsia" w:ascii="宋体" w:hAnsi="宋体"/>
          <w:b/>
          <w:color w:val="auto"/>
          <w:sz w:val="24"/>
        </w:rPr>
      </w:pPr>
    </w:p>
    <w:p>
      <w:pPr>
        <w:spacing w:line="480" w:lineRule="exact"/>
        <w:jc w:val="center"/>
        <w:rPr>
          <w:rFonts w:ascii="宋体" w:hAnsi="宋体"/>
          <w:b/>
          <w:color w:val="auto"/>
          <w:sz w:val="24"/>
        </w:rPr>
      </w:pPr>
      <w:r>
        <w:rPr>
          <w:rFonts w:hint="eastAsia" w:ascii="宋体" w:hAnsi="宋体"/>
          <w:b/>
          <w:color w:val="auto"/>
          <w:sz w:val="24"/>
        </w:rPr>
        <w:t>八   争议解决</w:t>
      </w:r>
    </w:p>
    <w:p>
      <w:pPr>
        <w:spacing w:line="480" w:lineRule="exact"/>
        <w:ind w:firstLine="523" w:firstLineChars="218"/>
        <w:rPr>
          <w:rFonts w:ascii="宋体" w:hAnsi="宋体"/>
          <w:color w:val="auto"/>
          <w:sz w:val="24"/>
        </w:rPr>
      </w:pPr>
      <w:r>
        <w:rPr>
          <w:rFonts w:hint="eastAsia" w:ascii="宋体" w:hAnsi="宋体"/>
          <w:color w:val="auto"/>
          <w:sz w:val="24"/>
        </w:rPr>
        <w:t>1、如果合同双方在履行本合同过程中发生争议，双方应首先采取友好协商的方式解决该争议。如协商不成，双方同意按向</w:t>
      </w:r>
      <w:r>
        <w:rPr>
          <w:rFonts w:hint="eastAsia" w:ascii="宋体" w:hAnsi="宋体"/>
          <w:color w:val="auto"/>
          <w:sz w:val="24"/>
          <w:lang w:eastAsia="zh-CN"/>
        </w:rPr>
        <w:t>巴马瑶族自治县</w:t>
      </w:r>
      <w:r>
        <w:rPr>
          <w:rFonts w:hint="eastAsia" w:ascii="宋体" w:hAnsi="宋体"/>
          <w:color w:val="auto"/>
          <w:sz w:val="24"/>
        </w:rPr>
        <w:t>仲裁委员会提起仲裁，并按其仲裁规则进行仲裁；</w:t>
      </w:r>
    </w:p>
    <w:p>
      <w:pPr>
        <w:spacing w:line="480" w:lineRule="exact"/>
        <w:ind w:firstLine="523" w:firstLineChars="218"/>
        <w:rPr>
          <w:rFonts w:hint="eastAsia" w:ascii="宋体" w:hAnsi="宋体"/>
          <w:color w:val="auto"/>
          <w:sz w:val="24"/>
        </w:rPr>
      </w:pPr>
      <w:r>
        <w:rPr>
          <w:rFonts w:hint="eastAsia" w:ascii="宋体" w:hAnsi="宋体"/>
          <w:color w:val="auto"/>
          <w:sz w:val="24"/>
        </w:rPr>
        <w:t>2、如对任何争议进行仲裁或向人民法院提起诉讼，除争议事项或争议事项所涉及的条款外，双方应继续履行本合同项下的其它义务。</w:t>
      </w:r>
    </w:p>
    <w:p>
      <w:pPr>
        <w:spacing w:line="480" w:lineRule="exact"/>
        <w:jc w:val="center"/>
        <w:rPr>
          <w:rFonts w:hint="eastAsia" w:ascii="宋体" w:hAnsi="宋体"/>
          <w:b/>
          <w:color w:val="auto"/>
          <w:sz w:val="24"/>
        </w:rPr>
      </w:pPr>
    </w:p>
    <w:p>
      <w:pPr>
        <w:spacing w:line="480" w:lineRule="exact"/>
        <w:jc w:val="center"/>
        <w:rPr>
          <w:rFonts w:ascii="宋体" w:hAnsi="宋体"/>
          <w:b/>
          <w:color w:val="auto"/>
          <w:sz w:val="24"/>
        </w:rPr>
      </w:pPr>
      <w:r>
        <w:rPr>
          <w:rFonts w:hint="eastAsia" w:ascii="宋体" w:hAnsi="宋体"/>
          <w:b/>
          <w:color w:val="auto"/>
          <w:sz w:val="24"/>
        </w:rPr>
        <w:t>九 合同的生效、变更与终止</w:t>
      </w:r>
    </w:p>
    <w:p>
      <w:pPr>
        <w:spacing w:line="480" w:lineRule="exact"/>
        <w:ind w:firstLine="470" w:firstLineChars="196"/>
        <w:rPr>
          <w:rFonts w:hint="eastAsia" w:ascii="宋体" w:hAnsi="宋体"/>
          <w:color w:val="auto"/>
          <w:sz w:val="24"/>
        </w:rPr>
      </w:pPr>
      <w:r>
        <w:rPr>
          <w:rFonts w:hint="eastAsia" w:ascii="宋体" w:hAnsi="宋体"/>
          <w:color w:val="auto"/>
          <w:sz w:val="24"/>
        </w:rPr>
        <w:t>1、合同经双方法定代表人或授权代表签字并加盖单位公章后生效。</w:t>
      </w:r>
    </w:p>
    <w:p>
      <w:pPr>
        <w:spacing w:line="480" w:lineRule="exact"/>
        <w:ind w:firstLine="470" w:firstLineChars="196"/>
        <w:rPr>
          <w:rFonts w:hint="eastAsia" w:ascii="宋体" w:hAnsi="宋体"/>
          <w:color w:val="auto"/>
          <w:sz w:val="24"/>
        </w:rPr>
      </w:pPr>
      <w:r>
        <w:rPr>
          <w:rFonts w:hint="eastAsia" w:ascii="宋体" w:hAnsi="宋体"/>
          <w:color w:val="auto"/>
          <w:sz w:val="24"/>
        </w:rPr>
        <w:t>2、合同执行中涉及采购资金修改的,应报财政部门审批,并签书面补充协议报财政部门备案,方可作为主合同不可分割的一部分。</w:t>
      </w:r>
    </w:p>
    <w:p>
      <w:pPr>
        <w:spacing w:line="480" w:lineRule="exact"/>
        <w:ind w:firstLine="470" w:firstLineChars="196"/>
        <w:rPr>
          <w:rFonts w:hint="eastAsia" w:ascii="宋体" w:hAnsi="宋体"/>
          <w:color w:val="auto"/>
          <w:sz w:val="24"/>
        </w:rPr>
      </w:pPr>
      <w:r>
        <w:rPr>
          <w:rFonts w:hint="eastAsia" w:ascii="宋体" w:hAnsi="宋体"/>
          <w:color w:val="auto"/>
          <w:sz w:val="24"/>
        </w:rPr>
        <w:t>3、除《中华人民共和国政府采购法》第50条规定的情形外，本合同一经签订，甲、乙双方不得擅自变更、中止或终止。</w:t>
      </w:r>
    </w:p>
    <w:p>
      <w:pPr>
        <w:spacing w:line="480" w:lineRule="exact"/>
        <w:ind w:firstLine="470" w:firstLineChars="196"/>
        <w:rPr>
          <w:rFonts w:hint="eastAsia" w:ascii="宋体" w:hAnsi="宋体"/>
          <w:color w:val="auto"/>
          <w:sz w:val="24"/>
        </w:rPr>
      </w:pPr>
      <w:r>
        <w:rPr>
          <w:rFonts w:hint="eastAsia" w:ascii="宋体" w:hAnsi="宋体"/>
          <w:color w:val="auto"/>
          <w:sz w:val="24"/>
        </w:rPr>
        <w:t>4、本合同未尽事宜，遵照《合同法》有关条文执行。</w:t>
      </w:r>
    </w:p>
    <w:p>
      <w:pPr>
        <w:snapToGrid w:val="0"/>
        <w:spacing w:line="480" w:lineRule="exact"/>
        <w:ind w:firstLine="480" w:firstLineChars="200"/>
        <w:rPr>
          <w:rFonts w:hint="eastAsia" w:ascii="宋体" w:hAnsi="宋体" w:eastAsia="宋体"/>
          <w:color w:val="auto"/>
          <w:sz w:val="24"/>
          <w:lang w:eastAsia="zh-CN"/>
        </w:rPr>
      </w:pPr>
      <w:r>
        <w:rPr>
          <w:rFonts w:hint="eastAsia" w:ascii="宋体" w:hAnsi="宋体"/>
          <w:color w:val="auto"/>
          <w:sz w:val="24"/>
        </w:rPr>
        <w:t>5、本合同书一式</w:t>
      </w:r>
      <w:r>
        <w:rPr>
          <w:rFonts w:hint="eastAsia"/>
          <w:color w:val="auto"/>
          <w:sz w:val="24"/>
          <w:lang w:eastAsia="zh-CN"/>
        </w:rPr>
        <w:t>肆</w:t>
      </w:r>
      <w:r>
        <w:rPr>
          <w:rFonts w:hint="eastAsia" w:ascii="宋体" w:hAnsi="宋体"/>
          <w:color w:val="auto"/>
          <w:sz w:val="24"/>
        </w:rPr>
        <w:t>份，甲方执</w:t>
      </w:r>
      <w:r>
        <w:rPr>
          <w:rFonts w:hint="eastAsia"/>
          <w:color w:val="auto"/>
          <w:sz w:val="24"/>
          <w:lang w:eastAsia="zh-CN"/>
        </w:rPr>
        <w:t>贰</w:t>
      </w:r>
      <w:r>
        <w:rPr>
          <w:rFonts w:hint="eastAsia" w:ascii="宋体" w:hAnsi="宋体"/>
          <w:color w:val="auto"/>
          <w:sz w:val="24"/>
        </w:rPr>
        <w:t>份，乙方执</w:t>
      </w:r>
      <w:r>
        <w:rPr>
          <w:rFonts w:hint="eastAsia"/>
          <w:color w:val="auto"/>
          <w:sz w:val="24"/>
          <w:lang w:eastAsia="zh-CN"/>
        </w:rPr>
        <w:t>贰</w:t>
      </w:r>
      <w:r>
        <w:rPr>
          <w:rFonts w:hint="eastAsia" w:ascii="宋体" w:hAnsi="宋体"/>
          <w:color w:val="auto"/>
          <w:sz w:val="24"/>
        </w:rPr>
        <w:t>份</w:t>
      </w:r>
      <w:r>
        <w:rPr>
          <w:rFonts w:hint="eastAsia"/>
          <w:color w:val="auto"/>
          <w:sz w:val="24"/>
          <w:lang w:eastAsia="zh-CN"/>
        </w:rPr>
        <w:t>。</w:t>
      </w:r>
    </w:p>
    <w:tbl>
      <w:tblPr>
        <w:tblStyle w:val="23"/>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8"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 xml:space="preserve">甲方（章）           </w:t>
            </w:r>
          </w:p>
          <w:p>
            <w:pPr>
              <w:snapToGrid w:val="0"/>
              <w:spacing w:line="400" w:lineRule="exact"/>
              <w:ind w:firstLine="1080" w:firstLineChars="450"/>
              <w:jc w:val="right"/>
              <w:rPr>
                <w:rFonts w:hint="eastAsia" w:ascii="宋体" w:hAnsi="宋体"/>
                <w:color w:val="auto"/>
                <w:sz w:val="24"/>
              </w:rPr>
            </w:pPr>
            <w:r>
              <w:rPr>
                <w:rFonts w:hint="eastAsia" w:ascii="宋体" w:hAnsi="宋体"/>
                <w:color w:val="auto"/>
                <w:sz w:val="24"/>
              </w:rPr>
              <w:t>年   月   日</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 xml:space="preserve">乙方（章）              </w:t>
            </w:r>
          </w:p>
          <w:p>
            <w:pPr>
              <w:snapToGrid w:val="0"/>
              <w:spacing w:line="400" w:lineRule="exact"/>
              <w:jc w:val="right"/>
              <w:rPr>
                <w:rFonts w:hint="eastAsia" w:ascii="宋体" w:hAnsi="宋体"/>
                <w:color w:val="auto"/>
                <w:sz w:val="24"/>
              </w:rPr>
            </w:pPr>
            <w:r>
              <w:rPr>
                <w:rFonts w:hint="eastAsia" w:ascii="宋体" w:hAnsi="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单位地址：</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法定代表人：</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委托代理人：</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电话：</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开户银行：</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账号：</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邮政编码：</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72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经办人：</w:t>
            </w:r>
          </w:p>
          <w:p>
            <w:pPr>
              <w:snapToGrid w:val="0"/>
              <w:spacing w:line="400" w:lineRule="exact"/>
              <w:ind w:firstLine="2640" w:firstLineChars="1100"/>
              <w:rPr>
                <w:rFonts w:hint="eastAsia" w:ascii="宋体" w:hAnsi="宋体"/>
                <w:color w:val="auto"/>
                <w:sz w:val="24"/>
              </w:rPr>
            </w:pPr>
            <w:r>
              <w:rPr>
                <w:rFonts w:hint="eastAsia" w:ascii="宋体" w:hAnsi="宋体"/>
                <w:color w:val="auto"/>
                <w:sz w:val="24"/>
              </w:rPr>
              <w:t>年    月    日</w:t>
            </w:r>
          </w:p>
        </w:tc>
        <w:tc>
          <w:tcPr>
            <w:tcW w:w="4935" w:type="dxa"/>
            <w:noWrap w:val="0"/>
            <w:vAlign w:val="center"/>
          </w:tcPr>
          <w:p>
            <w:pPr>
              <w:snapToGrid w:val="0"/>
              <w:spacing w:line="400" w:lineRule="exact"/>
              <w:rPr>
                <w:rFonts w:hint="eastAsia" w:ascii="宋体" w:hAnsi="宋体"/>
                <w:color w:val="auto"/>
                <w:sz w:val="24"/>
              </w:rPr>
            </w:pPr>
            <w:r>
              <w:rPr>
                <w:rFonts w:hint="eastAsia" w:ascii="宋体" w:hAnsi="宋体"/>
                <w:color w:val="auto"/>
                <w:sz w:val="24"/>
              </w:rPr>
              <w:t>经办人：</w:t>
            </w:r>
          </w:p>
          <w:p>
            <w:pPr>
              <w:snapToGrid w:val="0"/>
              <w:spacing w:line="400" w:lineRule="exact"/>
              <w:ind w:firstLine="2640" w:firstLineChars="1100"/>
              <w:rPr>
                <w:rFonts w:hint="eastAsia" w:ascii="宋体" w:hAnsi="宋体"/>
                <w:color w:val="auto"/>
                <w:sz w:val="24"/>
              </w:rPr>
            </w:pPr>
            <w:r>
              <w:rPr>
                <w:rFonts w:hint="eastAsia" w:ascii="宋体" w:hAnsi="宋体"/>
                <w:color w:val="auto"/>
                <w:sz w:val="24"/>
              </w:rPr>
              <w:t>年    月    日</w:t>
            </w:r>
          </w:p>
        </w:tc>
      </w:tr>
    </w:tbl>
    <w:p>
      <w:pPr>
        <w:rPr>
          <w:rFonts w:hint="eastAsia" w:ascii="宋体" w:hAnsi="宋体"/>
          <w:color w:val="auto"/>
        </w:rPr>
      </w:pPr>
    </w:p>
    <w:p>
      <w:pPr>
        <w:ind w:firstLine="720" w:firstLineChars="300"/>
        <w:jc w:val="center"/>
        <w:rPr>
          <w:rFonts w:hint="eastAsia"/>
          <w:color w:val="auto"/>
          <w:sz w:val="24"/>
          <w:szCs w:val="24"/>
        </w:rPr>
      </w:pPr>
    </w:p>
    <w:p>
      <w:pPr>
        <w:ind w:firstLine="720" w:firstLineChars="300"/>
        <w:rPr>
          <w:rFonts w:hint="eastAsia"/>
          <w:color w:val="auto"/>
          <w:sz w:val="24"/>
          <w:szCs w:val="24"/>
        </w:rPr>
      </w:pPr>
    </w:p>
    <w:p>
      <w:pPr>
        <w:pStyle w:val="3"/>
        <w:spacing w:before="34"/>
        <w:ind w:left="359" w:leftChars="163" w:right="440" w:firstLine="2508" w:firstLineChars="694"/>
        <w:jc w:val="both"/>
        <w:rPr>
          <w:color w:val="auto"/>
          <w:sz w:val="36"/>
          <w:szCs w:val="36"/>
        </w:rPr>
      </w:pPr>
      <w:bookmarkStart w:id="22" w:name="_Toc9745"/>
      <w:r>
        <w:rPr>
          <w:rFonts w:hint="eastAsia"/>
          <w:color w:val="auto"/>
          <w:sz w:val="36"/>
          <w:szCs w:val="36"/>
        </w:rPr>
        <w:t>第六章 投标文件格式</w:t>
      </w:r>
      <w:bookmarkEnd w:id="22"/>
    </w:p>
    <w:p>
      <w:pPr>
        <w:pStyle w:val="12"/>
        <w:rPr>
          <w:b/>
          <w:color w:val="auto"/>
          <w:sz w:val="32"/>
        </w:rPr>
      </w:pPr>
    </w:p>
    <w:p>
      <w:pPr>
        <w:pStyle w:val="12"/>
        <w:rPr>
          <w:b/>
          <w:color w:val="auto"/>
          <w:sz w:val="32"/>
        </w:rPr>
      </w:pPr>
    </w:p>
    <w:p>
      <w:pPr>
        <w:pStyle w:val="12"/>
        <w:spacing w:before="2"/>
        <w:rPr>
          <w:bCs/>
          <w:color w:val="auto"/>
          <w:sz w:val="38"/>
        </w:rPr>
      </w:pPr>
    </w:p>
    <w:p>
      <w:pPr>
        <w:pStyle w:val="3"/>
        <w:numPr>
          <w:ilvl w:val="0"/>
          <w:numId w:val="25"/>
        </w:numPr>
        <w:spacing w:line="385" w:lineRule="exact"/>
        <w:ind w:left="618"/>
        <w:rPr>
          <w:b w:val="0"/>
          <w:color w:val="auto"/>
        </w:rPr>
      </w:pPr>
      <w:bookmarkStart w:id="23" w:name="_Toc435"/>
      <w:r>
        <w:rPr>
          <w:rFonts w:hint="eastAsia"/>
          <w:b w:val="0"/>
          <w:color w:val="auto"/>
        </w:rPr>
        <w:t>开标一览表、投标文件外层包装封面及投标文件封面格式</w:t>
      </w:r>
      <w:bookmarkEnd w:id="23"/>
    </w:p>
    <w:p>
      <w:pPr>
        <w:rPr>
          <w:bCs/>
          <w:color w:val="auto"/>
        </w:rPr>
      </w:pPr>
    </w:p>
    <w:p>
      <w:pPr>
        <w:pStyle w:val="22"/>
        <w:ind w:left="440" w:firstLine="440"/>
        <w:rPr>
          <w:bCs/>
          <w:color w:val="auto"/>
        </w:rPr>
      </w:pPr>
    </w:p>
    <w:p>
      <w:pPr>
        <w:pStyle w:val="31"/>
        <w:tabs>
          <w:tab w:val="left" w:pos="1185"/>
        </w:tabs>
        <w:spacing w:line="385" w:lineRule="exact"/>
        <w:ind w:left="617" w:firstLine="0"/>
        <w:rPr>
          <w:bCs/>
          <w:color w:val="auto"/>
          <w:sz w:val="32"/>
        </w:rPr>
      </w:pPr>
      <w:r>
        <w:rPr>
          <w:rFonts w:hint="eastAsia"/>
          <w:bCs/>
          <w:color w:val="auto"/>
          <w:sz w:val="32"/>
        </w:rPr>
        <w:t>1、开标一览表的外包装封面格式：</w:t>
      </w:r>
    </w:p>
    <w:p>
      <w:pPr>
        <w:pStyle w:val="12"/>
        <w:rPr>
          <w:bCs/>
          <w:color w:val="auto"/>
          <w:sz w:val="32"/>
        </w:rPr>
      </w:pPr>
    </w:p>
    <w:p>
      <w:pPr>
        <w:spacing w:before="261"/>
        <w:ind w:left="3995"/>
        <w:rPr>
          <w:bCs/>
          <w:color w:val="auto"/>
          <w:sz w:val="32"/>
        </w:rPr>
      </w:pPr>
      <w:r>
        <w:rPr>
          <w:rFonts w:hint="eastAsia"/>
          <w:bCs/>
          <w:color w:val="auto"/>
          <w:sz w:val="32"/>
        </w:rPr>
        <w:t>开 标 一 览 表</w:t>
      </w:r>
    </w:p>
    <w:p>
      <w:pPr>
        <w:pStyle w:val="12"/>
        <w:spacing w:before="2"/>
        <w:rPr>
          <w:bCs/>
          <w:color w:val="auto"/>
          <w:sz w:val="24"/>
        </w:rPr>
      </w:pPr>
    </w:p>
    <w:p>
      <w:pPr>
        <w:spacing w:before="1" w:line="422" w:lineRule="auto"/>
        <w:ind w:left="880" w:leftChars="400" w:right="6516" w:rightChars="0"/>
        <w:rPr>
          <w:bCs/>
          <w:color w:val="auto"/>
          <w:sz w:val="32"/>
        </w:rPr>
      </w:pPr>
      <w:r>
        <w:rPr>
          <w:rFonts w:hint="eastAsia"/>
          <w:bCs/>
          <w:color w:val="auto"/>
          <w:sz w:val="32"/>
        </w:rPr>
        <w:t xml:space="preserve">项目名称： </w:t>
      </w:r>
    </w:p>
    <w:p>
      <w:pPr>
        <w:spacing w:before="1" w:line="422" w:lineRule="auto"/>
        <w:ind w:left="880" w:leftChars="400" w:right="3430"/>
        <w:rPr>
          <w:bCs/>
          <w:color w:val="auto"/>
          <w:sz w:val="27"/>
        </w:rPr>
      </w:pPr>
      <w:r>
        <w:rPr>
          <w:rFonts w:hint="eastAsia"/>
          <w:bCs/>
          <w:color w:val="auto"/>
          <w:sz w:val="32"/>
        </w:rPr>
        <w:t>项目编号：</w:t>
      </w:r>
    </w:p>
    <w:p>
      <w:pPr>
        <w:spacing w:before="1" w:line="422" w:lineRule="auto"/>
        <w:ind w:left="880" w:leftChars="400" w:right="3430"/>
        <w:rPr>
          <w:rFonts w:hint="eastAsia"/>
          <w:bCs/>
          <w:color w:val="auto"/>
          <w:sz w:val="32"/>
        </w:rPr>
      </w:pPr>
      <w:r>
        <w:rPr>
          <w:rFonts w:hint="eastAsia"/>
          <w:bCs/>
          <w:color w:val="auto"/>
          <w:sz w:val="32"/>
        </w:rPr>
        <w:t>投标人名称（加盖单位公章）：</w:t>
      </w:r>
    </w:p>
    <w:p>
      <w:pPr>
        <w:spacing w:line="422" w:lineRule="auto"/>
        <w:ind w:left="880" w:leftChars="400" w:right="4007"/>
        <w:rPr>
          <w:bCs/>
          <w:color w:val="auto"/>
          <w:sz w:val="32"/>
        </w:rPr>
      </w:pPr>
      <w:r>
        <w:rPr>
          <w:rFonts w:hint="eastAsia"/>
          <w:bCs/>
          <w:color w:val="auto"/>
          <w:sz w:val="32"/>
        </w:rPr>
        <w:t>投标人地址：</w:t>
      </w:r>
    </w:p>
    <w:p>
      <w:pPr>
        <w:pStyle w:val="22"/>
        <w:ind w:left="880" w:leftChars="400" w:firstLine="0" w:firstLineChars="0"/>
        <w:rPr>
          <w:bCs/>
          <w:color w:val="auto"/>
        </w:rPr>
      </w:pPr>
      <w:r>
        <w:rPr>
          <w:rFonts w:hint="eastAsia" w:ascii="宋体"/>
          <w:bCs/>
          <w:color w:val="auto"/>
          <w:sz w:val="32"/>
        </w:rPr>
        <w:t xml:space="preserve">在  年  月  日  时  分前不得启封 </w:t>
      </w:r>
    </w:p>
    <w:p>
      <w:pPr>
        <w:spacing w:line="407" w:lineRule="exact"/>
        <w:ind w:left="880" w:leftChars="400"/>
        <w:rPr>
          <w:bCs/>
          <w:color w:val="auto"/>
          <w:sz w:val="32"/>
        </w:rPr>
      </w:pPr>
      <w:r>
        <w:rPr>
          <w:rFonts w:hint="eastAsia"/>
          <w:bCs/>
          <w:color w:val="auto"/>
          <w:sz w:val="32"/>
        </w:rPr>
        <w:t>开 标 时 启 封</w:t>
      </w:r>
    </w:p>
    <w:p>
      <w:pPr>
        <w:pStyle w:val="12"/>
        <w:spacing w:before="3"/>
        <w:ind w:left="880" w:leftChars="400"/>
        <w:rPr>
          <w:bCs/>
          <w:color w:val="auto"/>
          <w:sz w:val="24"/>
        </w:rPr>
      </w:pPr>
    </w:p>
    <w:p>
      <w:pPr>
        <w:tabs>
          <w:tab w:val="left" w:pos="6242"/>
          <w:tab w:val="left" w:pos="7046"/>
        </w:tabs>
        <w:ind w:left="880" w:leftChars="400" w:firstLine="5760" w:firstLineChars="1800"/>
        <w:rPr>
          <w:bCs/>
          <w:color w:val="auto"/>
          <w:sz w:val="32"/>
        </w:rPr>
      </w:pPr>
      <w:r>
        <w:rPr>
          <w:rFonts w:hint="eastAsia"/>
          <w:bCs/>
          <w:color w:val="auto"/>
          <w:sz w:val="32"/>
        </w:rPr>
        <w:t>年   月   日</w:t>
      </w:r>
    </w:p>
    <w:p>
      <w:pPr>
        <w:ind w:left="880" w:leftChars="400"/>
        <w:rPr>
          <w:bCs/>
          <w:color w:val="auto"/>
          <w:sz w:val="32"/>
        </w:rPr>
        <w:sectPr>
          <w:headerReference r:id="rId12" w:type="default"/>
          <w:footerReference r:id="rId13" w:type="default"/>
          <w:pgSz w:w="11910" w:h="16840"/>
          <w:pgMar w:top="1134" w:right="1134" w:bottom="1134" w:left="1620" w:header="1020" w:footer="894" w:gutter="0"/>
          <w:pgNumType w:fmt="decimal"/>
          <w:cols w:equalWidth="0" w:num="1">
            <w:col w:w="10250"/>
          </w:cols>
          <w:rtlGutter w:val="0"/>
        </w:sectPr>
      </w:pPr>
    </w:p>
    <w:p>
      <w:pPr>
        <w:pStyle w:val="31"/>
        <w:tabs>
          <w:tab w:val="left" w:pos="1185"/>
        </w:tabs>
        <w:spacing w:before="33"/>
        <w:ind w:left="617" w:firstLine="0"/>
        <w:rPr>
          <w:bCs/>
          <w:color w:val="auto"/>
          <w:sz w:val="32"/>
        </w:rPr>
      </w:pPr>
      <w:r>
        <w:rPr>
          <w:rFonts w:hint="eastAsia"/>
          <w:bCs/>
          <w:color w:val="auto"/>
          <w:w w:val="95"/>
          <w:sz w:val="32"/>
        </w:rPr>
        <w:t>2、 投标文件的外包装封面格式：</w:t>
      </w:r>
    </w:p>
    <w:p>
      <w:pPr>
        <w:pStyle w:val="12"/>
        <w:rPr>
          <w:bCs/>
          <w:color w:val="auto"/>
          <w:sz w:val="32"/>
        </w:rPr>
      </w:pPr>
    </w:p>
    <w:p>
      <w:pPr>
        <w:pStyle w:val="12"/>
        <w:rPr>
          <w:bCs/>
          <w:color w:val="auto"/>
          <w:sz w:val="32"/>
        </w:rPr>
      </w:pPr>
    </w:p>
    <w:p>
      <w:pPr>
        <w:pStyle w:val="12"/>
        <w:spacing w:before="1"/>
        <w:rPr>
          <w:bCs/>
          <w:color w:val="auto"/>
          <w:sz w:val="46"/>
        </w:rPr>
      </w:pPr>
    </w:p>
    <w:p>
      <w:pPr>
        <w:ind w:left="830" w:right="836"/>
        <w:jc w:val="center"/>
        <w:rPr>
          <w:bCs/>
          <w:color w:val="auto"/>
          <w:sz w:val="52"/>
        </w:rPr>
      </w:pPr>
      <w:r>
        <w:rPr>
          <w:rFonts w:hint="eastAsia"/>
          <w:bCs/>
          <w:color w:val="auto"/>
          <w:spacing w:val="-1"/>
          <w:sz w:val="52"/>
        </w:rPr>
        <w:t>投 标 文 件</w:t>
      </w:r>
    </w:p>
    <w:p>
      <w:pPr>
        <w:pStyle w:val="12"/>
        <w:rPr>
          <w:bCs/>
          <w:color w:val="auto"/>
          <w:sz w:val="52"/>
        </w:rPr>
      </w:pPr>
    </w:p>
    <w:p>
      <w:pPr>
        <w:pStyle w:val="12"/>
        <w:spacing w:before="2"/>
        <w:rPr>
          <w:bCs/>
          <w:color w:val="auto"/>
          <w:sz w:val="52"/>
        </w:rPr>
      </w:pPr>
    </w:p>
    <w:p>
      <w:pPr>
        <w:spacing w:line="547" w:lineRule="auto"/>
        <w:ind w:left="1320" w:leftChars="600" w:right="6296" w:rightChars="0"/>
        <w:rPr>
          <w:bCs/>
          <w:color w:val="auto"/>
          <w:sz w:val="32"/>
        </w:rPr>
      </w:pPr>
      <w:r>
        <w:rPr>
          <w:rFonts w:hint="eastAsia"/>
          <w:bCs/>
          <w:color w:val="auto"/>
          <w:sz w:val="32"/>
        </w:rPr>
        <w:t xml:space="preserve">项目名称： </w:t>
      </w:r>
    </w:p>
    <w:p>
      <w:pPr>
        <w:spacing w:line="547" w:lineRule="auto"/>
        <w:ind w:left="1320" w:leftChars="600" w:right="6296" w:rightChars="0"/>
        <w:rPr>
          <w:bCs/>
          <w:color w:val="auto"/>
          <w:sz w:val="32"/>
        </w:rPr>
      </w:pPr>
      <w:r>
        <w:rPr>
          <w:rFonts w:hint="eastAsia"/>
          <w:bCs/>
          <w:color w:val="auto"/>
          <w:sz w:val="32"/>
        </w:rPr>
        <w:t>项目编号：</w:t>
      </w:r>
    </w:p>
    <w:p>
      <w:pPr>
        <w:pStyle w:val="22"/>
        <w:ind w:left="1320" w:leftChars="600" w:firstLine="0" w:firstLineChars="0"/>
        <w:rPr>
          <w:rFonts w:ascii="宋体"/>
          <w:bCs/>
          <w:color w:val="auto"/>
          <w:sz w:val="32"/>
        </w:rPr>
      </w:pPr>
      <w:r>
        <w:rPr>
          <w:rFonts w:hint="eastAsia" w:ascii="宋体"/>
          <w:bCs/>
          <w:color w:val="auto"/>
          <w:sz w:val="32"/>
        </w:rPr>
        <w:t>投标文件名称：第一册资格审查部分、第二册商务及技术</w:t>
      </w:r>
    </w:p>
    <w:p>
      <w:pPr>
        <w:pStyle w:val="22"/>
        <w:ind w:left="1320" w:leftChars="600" w:firstLine="1318" w:firstLineChars="412"/>
        <w:rPr>
          <w:bCs/>
          <w:color w:val="auto"/>
        </w:rPr>
      </w:pPr>
      <w:r>
        <w:rPr>
          <w:rFonts w:hint="eastAsia" w:ascii="宋体"/>
          <w:bCs/>
          <w:color w:val="auto"/>
          <w:sz w:val="32"/>
        </w:rPr>
        <w:t>部分、投标文件电子版</w:t>
      </w:r>
    </w:p>
    <w:p>
      <w:pPr>
        <w:spacing w:before="3" w:line="547" w:lineRule="auto"/>
        <w:ind w:left="1320" w:leftChars="600" w:right="3656" w:rightChars="0"/>
        <w:rPr>
          <w:rFonts w:hint="eastAsia" w:ascii="宋体" w:hAnsi="宋体" w:eastAsia="宋体" w:cs="宋体"/>
          <w:bCs/>
          <w:color w:val="auto"/>
          <w:sz w:val="32"/>
          <w:szCs w:val="24"/>
          <w:lang w:val="en-US" w:eastAsia="zh-CN" w:bidi="ar-SA"/>
        </w:rPr>
      </w:pPr>
      <w:r>
        <w:rPr>
          <w:rFonts w:hint="eastAsia" w:ascii="宋体" w:hAnsi="宋体" w:eastAsia="宋体" w:cs="宋体"/>
          <w:bCs/>
          <w:color w:val="auto"/>
          <w:sz w:val="32"/>
          <w:szCs w:val="24"/>
          <w:lang w:val="en-US" w:eastAsia="zh-CN" w:bidi="ar-SA"/>
        </w:rPr>
        <w:t>投标人名称（加盖单位公章）：</w:t>
      </w:r>
    </w:p>
    <w:p>
      <w:pPr>
        <w:spacing w:before="3" w:line="547" w:lineRule="auto"/>
        <w:ind w:left="1320" w:leftChars="600" w:right="4007"/>
        <w:rPr>
          <w:rFonts w:hint="eastAsia"/>
          <w:bCs/>
          <w:color w:val="auto"/>
          <w:sz w:val="32"/>
        </w:rPr>
      </w:pPr>
      <w:r>
        <w:rPr>
          <w:rFonts w:hint="eastAsia"/>
          <w:bCs/>
          <w:color w:val="auto"/>
          <w:sz w:val="32"/>
        </w:rPr>
        <w:t>投标人地址：</w:t>
      </w:r>
    </w:p>
    <w:p>
      <w:pPr>
        <w:pStyle w:val="22"/>
        <w:ind w:left="0" w:leftChars="0" w:firstLine="1280" w:firstLineChars="400"/>
        <w:rPr>
          <w:color w:val="auto"/>
        </w:rPr>
      </w:pPr>
      <w:r>
        <w:rPr>
          <w:rFonts w:hint="eastAsia" w:ascii="宋体"/>
          <w:bCs/>
          <w:color w:val="auto"/>
          <w:sz w:val="32"/>
        </w:rPr>
        <w:t xml:space="preserve">在  </w:t>
      </w:r>
      <w:r>
        <w:rPr>
          <w:rFonts w:hint="eastAsia" w:ascii="宋体"/>
          <w:bCs/>
          <w:color w:val="auto"/>
          <w:sz w:val="32"/>
          <w:lang w:val="en-US" w:eastAsia="zh-CN"/>
        </w:rPr>
        <w:t xml:space="preserve"> </w:t>
      </w:r>
      <w:r>
        <w:rPr>
          <w:rFonts w:hint="eastAsia" w:ascii="宋体"/>
          <w:bCs/>
          <w:color w:val="auto"/>
          <w:sz w:val="32"/>
        </w:rPr>
        <w:t>年  月  日  时  分前不得启封</w:t>
      </w:r>
    </w:p>
    <w:p>
      <w:pPr>
        <w:spacing w:before="2"/>
        <w:ind w:left="1320" w:leftChars="600"/>
        <w:rPr>
          <w:bCs/>
          <w:color w:val="auto"/>
          <w:sz w:val="32"/>
        </w:rPr>
      </w:pPr>
      <w:r>
        <w:rPr>
          <w:rFonts w:hint="eastAsia"/>
          <w:bCs/>
          <w:color w:val="auto"/>
          <w:sz w:val="32"/>
        </w:rPr>
        <w:t>开 标 时 启 封</w:t>
      </w:r>
    </w:p>
    <w:p>
      <w:pPr>
        <w:pStyle w:val="12"/>
        <w:rPr>
          <w:bCs/>
          <w:color w:val="auto"/>
          <w:sz w:val="32"/>
        </w:rPr>
      </w:pPr>
    </w:p>
    <w:p>
      <w:pPr>
        <w:pStyle w:val="12"/>
        <w:rPr>
          <w:bCs/>
          <w:color w:val="auto"/>
          <w:sz w:val="32"/>
        </w:rPr>
      </w:pPr>
    </w:p>
    <w:p>
      <w:pPr>
        <w:pStyle w:val="12"/>
        <w:rPr>
          <w:bCs/>
          <w:color w:val="auto"/>
          <w:sz w:val="32"/>
        </w:rPr>
      </w:pPr>
    </w:p>
    <w:p>
      <w:pPr>
        <w:tabs>
          <w:tab w:val="left" w:pos="6242"/>
          <w:tab w:val="left" w:pos="7046"/>
        </w:tabs>
        <w:spacing w:before="232"/>
        <w:ind w:left="5277"/>
        <w:rPr>
          <w:bCs/>
          <w:color w:val="auto"/>
          <w:sz w:val="32"/>
        </w:rPr>
      </w:pPr>
      <w:r>
        <w:rPr>
          <w:rFonts w:hint="eastAsia"/>
          <w:bCs/>
          <w:color w:val="auto"/>
          <w:sz w:val="32"/>
        </w:rPr>
        <w:t>年</w:t>
      </w:r>
      <w:r>
        <w:rPr>
          <w:rFonts w:hint="eastAsia"/>
          <w:bCs/>
          <w:color w:val="auto"/>
          <w:sz w:val="32"/>
        </w:rPr>
        <w:tab/>
      </w:r>
      <w:r>
        <w:rPr>
          <w:rFonts w:hint="eastAsia"/>
          <w:bCs/>
          <w:color w:val="auto"/>
          <w:sz w:val="32"/>
        </w:rPr>
        <w:t>月</w:t>
      </w:r>
      <w:r>
        <w:rPr>
          <w:rFonts w:hint="eastAsia"/>
          <w:bCs/>
          <w:color w:val="auto"/>
          <w:sz w:val="32"/>
        </w:rPr>
        <w:tab/>
      </w:r>
      <w:r>
        <w:rPr>
          <w:rFonts w:hint="eastAsia"/>
          <w:bCs/>
          <w:color w:val="auto"/>
          <w:sz w:val="32"/>
        </w:rPr>
        <w:t>日</w:t>
      </w:r>
    </w:p>
    <w:p>
      <w:pPr>
        <w:rPr>
          <w:bCs/>
          <w:color w:val="auto"/>
          <w:sz w:val="32"/>
        </w:rPr>
        <w:sectPr>
          <w:pgSz w:w="11910" w:h="16840"/>
          <w:pgMar w:top="1134" w:right="1134" w:bottom="1134" w:left="1180" w:header="0" w:footer="894" w:gutter="0"/>
          <w:pgNumType w:fmt="decimal"/>
          <w:cols w:equalWidth="0" w:num="1">
            <w:col w:w="10250"/>
          </w:cols>
          <w:rtlGutter w:val="0"/>
        </w:sectPr>
      </w:pPr>
    </w:p>
    <w:p>
      <w:pPr>
        <w:pStyle w:val="31"/>
        <w:tabs>
          <w:tab w:val="left" w:pos="1185"/>
        </w:tabs>
        <w:spacing w:before="33"/>
        <w:ind w:left="617" w:firstLine="0"/>
        <w:rPr>
          <w:bCs/>
          <w:color w:val="auto"/>
          <w:sz w:val="32"/>
        </w:rPr>
      </w:pPr>
      <w:r>
        <w:rPr>
          <w:rFonts w:hint="eastAsia"/>
          <w:bCs/>
          <w:color w:val="auto"/>
          <w:sz w:val="32"/>
        </w:rPr>
        <w:t>3、投标文件封面格式：</w:t>
      </w:r>
    </w:p>
    <w:p>
      <w:pPr>
        <w:pStyle w:val="12"/>
        <w:spacing w:before="12"/>
        <w:rPr>
          <w:bCs/>
          <w:color w:val="auto"/>
          <w:sz w:val="19"/>
        </w:rPr>
      </w:pPr>
    </w:p>
    <w:p>
      <w:pPr>
        <w:spacing w:before="54"/>
        <w:ind w:right="620"/>
        <w:jc w:val="right"/>
        <w:rPr>
          <w:bCs/>
          <w:color w:val="auto"/>
          <w:sz w:val="32"/>
        </w:rPr>
      </w:pPr>
      <w:r>
        <w:rPr>
          <w:rFonts w:hint="eastAsia"/>
          <w:bCs/>
          <w:color w:val="auto"/>
          <w:sz w:val="32"/>
        </w:rPr>
        <w:t>正本/副本</w:t>
      </w:r>
    </w:p>
    <w:p>
      <w:pPr>
        <w:pStyle w:val="12"/>
        <w:rPr>
          <w:bCs/>
          <w:color w:val="auto"/>
          <w:sz w:val="20"/>
        </w:rPr>
      </w:pPr>
    </w:p>
    <w:p>
      <w:pPr>
        <w:pStyle w:val="12"/>
        <w:spacing w:before="12"/>
        <w:rPr>
          <w:bCs/>
          <w:color w:val="auto"/>
          <w:sz w:val="14"/>
        </w:rPr>
      </w:pPr>
    </w:p>
    <w:p>
      <w:pPr>
        <w:spacing w:before="28"/>
        <w:ind w:left="830" w:right="836"/>
        <w:jc w:val="center"/>
        <w:rPr>
          <w:rFonts w:hint="eastAsia"/>
          <w:bCs/>
          <w:color w:val="auto"/>
          <w:sz w:val="52"/>
          <w:szCs w:val="52"/>
        </w:rPr>
      </w:pPr>
    </w:p>
    <w:p>
      <w:pPr>
        <w:spacing w:before="28"/>
        <w:ind w:left="830" w:right="836"/>
        <w:jc w:val="center"/>
        <w:rPr>
          <w:rFonts w:hint="eastAsia"/>
          <w:bCs/>
          <w:color w:val="auto"/>
          <w:sz w:val="52"/>
          <w:szCs w:val="52"/>
        </w:rPr>
      </w:pPr>
    </w:p>
    <w:p>
      <w:pPr>
        <w:spacing w:before="28"/>
        <w:ind w:left="830" w:right="836"/>
        <w:jc w:val="center"/>
        <w:rPr>
          <w:bCs/>
          <w:color w:val="auto"/>
          <w:sz w:val="52"/>
          <w:szCs w:val="52"/>
        </w:rPr>
      </w:pPr>
      <w:r>
        <w:rPr>
          <w:rFonts w:hint="eastAsia"/>
          <w:bCs/>
          <w:color w:val="auto"/>
          <w:sz w:val="52"/>
          <w:szCs w:val="52"/>
        </w:rPr>
        <w:t>投 标 文 件</w:t>
      </w:r>
    </w:p>
    <w:p>
      <w:pPr>
        <w:pStyle w:val="12"/>
        <w:rPr>
          <w:bCs/>
          <w:color w:val="auto"/>
          <w:sz w:val="20"/>
        </w:rPr>
      </w:pPr>
    </w:p>
    <w:p>
      <w:pPr>
        <w:spacing w:before="208" w:line="422" w:lineRule="auto"/>
        <w:ind w:right="790" w:firstLine="1600" w:firstLineChars="500"/>
        <w:rPr>
          <w:bCs/>
          <w:color w:val="auto"/>
          <w:sz w:val="32"/>
          <w:szCs w:val="32"/>
        </w:rPr>
      </w:pPr>
      <w:r>
        <w:rPr>
          <w:rFonts w:hint="eastAsia"/>
          <w:bCs/>
          <w:color w:val="auto"/>
          <w:sz w:val="32"/>
          <w:szCs w:val="32"/>
        </w:rPr>
        <w:t>第一册 资格审查部分/第二册 商务及技术部分</w:t>
      </w:r>
    </w:p>
    <w:p>
      <w:pPr>
        <w:spacing w:before="208" w:line="422" w:lineRule="auto"/>
        <w:ind w:left="1904" w:right="6737"/>
        <w:rPr>
          <w:bCs/>
          <w:color w:val="auto"/>
          <w:sz w:val="32"/>
        </w:rPr>
      </w:pPr>
    </w:p>
    <w:p>
      <w:pPr>
        <w:spacing w:before="208" w:line="422" w:lineRule="auto"/>
        <w:ind w:left="1100" w:leftChars="500" w:right="6737"/>
        <w:rPr>
          <w:bCs/>
          <w:color w:val="auto"/>
          <w:sz w:val="32"/>
        </w:rPr>
      </w:pPr>
      <w:r>
        <w:rPr>
          <w:rFonts w:hint="eastAsia"/>
          <w:bCs/>
          <w:color w:val="auto"/>
          <w:sz w:val="32"/>
        </w:rPr>
        <w:t xml:space="preserve">项目名称： </w:t>
      </w:r>
    </w:p>
    <w:p>
      <w:pPr>
        <w:spacing w:before="208" w:line="422" w:lineRule="auto"/>
        <w:ind w:left="1100" w:leftChars="500" w:right="6737"/>
        <w:rPr>
          <w:bCs/>
          <w:color w:val="auto"/>
          <w:sz w:val="32"/>
        </w:rPr>
      </w:pPr>
      <w:r>
        <w:rPr>
          <w:rFonts w:hint="eastAsia"/>
          <w:bCs/>
          <w:color w:val="auto"/>
          <w:sz w:val="32"/>
        </w:rPr>
        <w:t>项目编号：</w:t>
      </w:r>
    </w:p>
    <w:p>
      <w:pPr>
        <w:spacing w:line="360" w:lineRule="auto"/>
        <w:ind w:left="1100" w:leftChars="500"/>
        <w:rPr>
          <w:bCs/>
          <w:color w:val="auto"/>
          <w:sz w:val="32"/>
        </w:rPr>
      </w:pPr>
      <w:r>
        <w:rPr>
          <w:rFonts w:hint="eastAsia"/>
          <w:bCs/>
          <w:color w:val="auto"/>
          <w:sz w:val="32"/>
        </w:rPr>
        <w:t>投标人名称：</w:t>
      </w:r>
    </w:p>
    <w:p>
      <w:pPr>
        <w:pStyle w:val="22"/>
        <w:spacing w:line="360" w:lineRule="auto"/>
        <w:ind w:left="1100" w:leftChars="500" w:firstLine="0" w:firstLineChars="0"/>
        <w:rPr>
          <w:rFonts w:ascii="宋体"/>
          <w:bCs/>
          <w:color w:val="auto"/>
          <w:sz w:val="32"/>
        </w:rPr>
      </w:pPr>
      <w:r>
        <w:rPr>
          <w:rFonts w:hint="eastAsia" w:ascii="宋体"/>
          <w:bCs/>
          <w:color w:val="auto"/>
          <w:sz w:val="32"/>
        </w:rPr>
        <w:t>投标人地址：</w:t>
      </w:r>
    </w:p>
    <w:p>
      <w:pPr>
        <w:ind w:left="1100" w:leftChars="500"/>
        <w:rPr>
          <w:bCs/>
          <w:color w:val="auto"/>
          <w:sz w:val="32"/>
        </w:rPr>
      </w:pPr>
      <w:r>
        <w:rPr>
          <w:rFonts w:hint="eastAsia"/>
          <w:bCs/>
          <w:color w:val="auto"/>
          <w:sz w:val="32"/>
        </w:rPr>
        <w:t>法定代表人或委托代理人签字：</w:t>
      </w:r>
    </w:p>
    <w:p>
      <w:pPr>
        <w:pStyle w:val="22"/>
        <w:ind w:left="1100" w:leftChars="500" w:firstLine="0" w:firstLineChars="0"/>
        <w:rPr>
          <w:rFonts w:ascii="宋体"/>
          <w:bCs/>
          <w:color w:val="auto"/>
          <w:sz w:val="32"/>
        </w:rPr>
      </w:pPr>
    </w:p>
    <w:p>
      <w:pPr>
        <w:pStyle w:val="12"/>
        <w:rPr>
          <w:bCs/>
          <w:color w:val="auto"/>
          <w:sz w:val="32"/>
        </w:rPr>
      </w:pPr>
    </w:p>
    <w:p>
      <w:pPr>
        <w:pStyle w:val="12"/>
        <w:rPr>
          <w:bCs/>
          <w:color w:val="auto"/>
          <w:sz w:val="32"/>
        </w:rPr>
      </w:pPr>
    </w:p>
    <w:p>
      <w:pPr>
        <w:tabs>
          <w:tab w:val="left" w:pos="6242"/>
          <w:tab w:val="left" w:pos="7046"/>
        </w:tabs>
        <w:spacing w:before="211"/>
        <w:ind w:left="5277"/>
        <w:rPr>
          <w:bCs/>
          <w:color w:val="auto"/>
          <w:sz w:val="32"/>
        </w:rPr>
      </w:pPr>
      <w:r>
        <w:rPr>
          <w:rFonts w:hint="eastAsia"/>
          <w:bCs/>
          <w:color w:val="auto"/>
          <w:sz w:val="32"/>
        </w:rPr>
        <w:t>年</w:t>
      </w:r>
      <w:r>
        <w:rPr>
          <w:rFonts w:hint="eastAsia"/>
          <w:bCs/>
          <w:color w:val="auto"/>
          <w:sz w:val="32"/>
        </w:rPr>
        <w:tab/>
      </w:r>
      <w:r>
        <w:rPr>
          <w:rFonts w:hint="eastAsia"/>
          <w:bCs/>
          <w:color w:val="auto"/>
          <w:sz w:val="32"/>
        </w:rPr>
        <w:t>月</w:t>
      </w:r>
      <w:r>
        <w:rPr>
          <w:rFonts w:hint="eastAsia"/>
          <w:bCs/>
          <w:color w:val="auto"/>
          <w:sz w:val="32"/>
        </w:rPr>
        <w:tab/>
      </w:r>
      <w:r>
        <w:rPr>
          <w:rFonts w:hint="eastAsia"/>
          <w:bCs/>
          <w:color w:val="auto"/>
          <w:sz w:val="32"/>
        </w:rPr>
        <w:t>日</w:t>
      </w:r>
    </w:p>
    <w:p>
      <w:pPr>
        <w:rPr>
          <w:bCs/>
          <w:color w:val="auto"/>
          <w:sz w:val="32"/>
        </w:rPr>
        <w:sectPr>
          <w:pgSz w:w="11910" w:h="16840"/>
          <w:pgMar w:top="1134" w:right="1134" w:bottom="1134" w:left="1180" w:header="0" w:footer="894" w:gutter="0"/>
          <w:pgNumType w:fmt="decimal"/>
          <w:cols w:equalWidth="0" w:num="1">
            <w:col w:w="10250"/>
          </w:cols>
          <w:rtlGutter w:val="0"/>
        </w:sectPr>
      </w:pPr>
    </w:p>
    <w:p>
      <w:pPr>
        <w:spacing w:before="33"/>
        <w:ind w:left="618"/>
        <w:rPr>
          <w:bCs/>
          <w:color w:val="auto"/>
          <w:sz w:val="32"/>
        </w:rPr>
      </w:pPr>
      <w:r>
        <w:rPr>
          <w:rFonts w:hint="eastAsia"/>
          <w:bCs/>
          <w:color w:val="auto"/>
          <w:spacing w:val="1"/>
          <w:w w:val="99"/>
          <w:sz w:val="32"/>
        </w:rPr>
        <w:t>二、开标一览表</w:t>
      </w:r>
      <w:r>
        <w:rPr>
          <w:rFonts w:hint="eastAsia"/>
          <w:bCs/>
          <w:color w:val="auto"/>
          <w:spacing w:val="2"/>
          <w:w w:val="99"/>
          <w:sz w:val="32"/>
        </w:rPr>
        <w:t>（格式</w:t>
      </w:r>
      <w:r>
        <w:rPr>
          <w:rFonts w:hint="eastAsia"/>
          <w:bCs/>
          <w:color w:val="auto"/>
          <w:spacing w:val="-159"/>
          <w:w w:val="99"/>
          <w:sz w:val="32"/>
        </w:rPr>
        <w:t>）</w:t>
      </w:r>
      <w:r>
        <w:rPr>
          <w:rFonts w:hint="eastAsia"/>
          <w:bCs/>
          <w:color w:val="auto"/>
          <w:w w:val="99"/>
          <w:sz w:val="32"/>
        </w:rPr>
        <w:t>：</w:t>
      </w:r>
    </w:p>
    <w:p>
      <w:pPr>
        <w:pStyle w:val="12"/>
        <w:spacing w:before="12"/>
        <w:rPr>
          <w:bCs/>
          <w:color w:val="auto"/>
          <w:sz w:val="19"/>
        </w:rPr>
      </w:pPr>
    </w:p>
    <w:p>
      <w:pPr>
        <w:spacing w:before="54"/>
        <w:ind w:left="830" w:right="832"/>
        <w:jc w:val="center"/>
        <w:outlineLvl w:val="0"/>
        <w:rPr>
          <w:bCs/>
          <w:color w:val="auto"/>
          <w:sz w:val="32"/>
        </w:rPr>
      </w:pPr>
      <w:bookmarkStart w:id="24" w:name="_Toc600"/>
      <w:r>
        <w:rPr>
          <w:rFonts w:hint="eastAsia"/>
          <w:bCs/>
          <w:color w:val="auto"/>
          <w:sz w:val="32"/>
        </w:rPr>
        <w:t>开标一览表</w:t>
      </w:r>
      <w:bookmarkEnd w:id="24"/>
    </w:p>
    <w:p>
      <w:pPr>
        <w:pStyle w:val="8"/>
        <w:spacing w:before="30" w:line="280" w:lineRule="auto"/>
        <w:ind w:right="7396" w:rightChars="0"/>
        <w:jc w:val="left"/>
        <w:rPr>
          <w:rFonts w:hint="eastAsia"/>
          <w:color w:val="auto"/>
        </w:rPr>
      </w:pPr>
      <w:r>
        <w:rPr>
          <w:rFonts w:hint="eastAsia"/>
          <w:color w:val="auto"/>
        </w:rPr>
        <w:t xml:space="preserve">项目编号： </w:t>
      </w:r>
    </w:p>
    <w:p>
      <w:pPr>
        <w:pStyle w:val="8"/>
        <w:spacing w:before="30" w:line="280" w:lineRule="auto"/>
        <w:ind w:right="7396" w:rightChars="0"/>
        <w:jc w:val="left"/>
        <w:rPr>
          <w:color w:val="auto"/>
          <w:sz w:val="24"/>
        </w:rPr>
      </w:pPr>
      <w:r>
        <w:rPr>
          <w:rFonts w:hint="eastAsia"/>
          <w:color w:val="auto"/>
        </w:rPr>
        <w:t>项目名称：</w:t>
      </w:r>
    </w:p>
    <w:p>
      <w:pPr>
        <w:pStyle w:val="12"/>
        <w:spacing w:before="5" w:line="360" w:lineRule="auto"/>
        <w:ind w:firstLine="480" w:firstLineChars="200"/>
        <w:rPr>
          <w:color w:val="auto"/>
          <w:sz w:val="24"/>
          <w:szCs w:val="24"/>
        </w:rPr>
      </w:pPr>
      <w:r>
        <w:rPr>
          <w:rFonts w:hint="eastAsia"/>
          <w:color w:val="auto"/>
          <w:sz w:val="24"/>
        </w:rPr>
        <w:t>（</w:t>
      </w:r>
      <w:r>
        <w:rPr>
          <w:rFonts w:hint="eastAsia"/>
          <w:color w:val="auto"/>
          <w:sz w:val="24"/>
          <w:szCs w:val="24"/>
        </w:rPr>
        <w:t>1）工程</w:t>
      </w:r>
      <w:r>
        <w:rPr>
          <w:rFonts w:hint="eastAsia"/>
          <w:color w:val="auto"/>
          <w:sz w:val="24"/>
          <w:szCs w:val="24"/>
          <w:lang w:eastAsia="zh-CN"/>
        </w:rPr>
        <w:t>预算评审</w:t>
      </w:r>
      <w:r>
        <w:rPr>
          <w:rFonts w:hint="eastAsia"/>
          <w:color w:val="auto"/>
          <w:sz w:val="24"/>
          <w:szCs w:val="24"/>
        </w:rPr>
        <w:t>基本费部分报价费率报价(A)</w:t>
      </w:r>
      <w:r>
        <w:rPr>
          <w:rFonts w:hint="eastAsia"/>
          <w:color w:val="auto"/>
          <w:sz w:val="24"/>
          <w:szCs w:val="24"/>
          <w:u w:val="single"/>
          <w:lang w:val="en-US" w:eastAsia="zh-CN"/>
        </w:rPr>
        <w:t xml:space="preserve"> 下浮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480" w:firstLineChars="200"/>
        <w:jc w:val="both"/>
        <w:textAlignment w:val="auto"/>
        <w:rPr>
          <w:rFonts w:hint="eastAsia"/>
          <w:color w:val="auto"/>
          <w:spacing w:val="-13"/>
          <w:sz w:val="24"/>
          <w:szCs w:val="24"/>
        </w:rPr>
      </w:pPr>
      <w:r>
        <w:rPr>
          <w:rFonts w:hint="eastAsia"/>
          <w:color w:val="auto"/>
          <w:sz w:val="24"/>
          <w:szCs w:val="24"/>
        </w:rPr>
        <w:t>（2）工程</w:t>
      </w:r>
      <w:r>
        <w:rPr>
          <w:rFonts w:hint="eastAsia"/>
          <w:color w:val="auto"/>
          <w:sz w:val="24"/>
          <w:szCs w:val="24"/>
          <w:lang w:eastAsia="zh-CN"/>
        </w:rPr>
        <w:t>预算评审</w:t>
      </w:r>
      <w:r>
        <w:rPr>
          <w:rFonts w:hint="eastAsia"/>
          <w:color w:val="auto"/>
          <w:sz w:val="24"/>
          <w:szCs w:val="24"/>
        </w:rPr>
        <w:t>效益费部分报价费率（B）</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u w:val="single"/>
        </w:rPr>
        <w:t xml:space="preserve">  </w:t>
      </w:r>
      <w:r>
        <w:rPr>
          <w:rFonts w:hint="eastAsia"/>
          <w:color w:val="auto"/>
          <w:sz w:val="24"/>
          <w:szCs w:val="24"/>
        </w:rPr>
        <w:t>%。</w:t>
      </w:r>
      <w:r>
        <w:rPr>
          <w:rFonts w:hint="eastAsia"/>
          <w:color w:val="auto"/>
          <w:spacing w:val="-13"/>
          <w:sz w:val="24"/>
          <w:szCs w:val="24"/>
        </w:rPr>
        <w:t>不在有效报价范围内的投标报价按无效投标处理。</w:t>
      </w:r>
    </w:p>
    <w:p>
      <w:pPr>
        <w:pStyle w:val="10"/>
        <w:spacing w:line="360" w:lineRule="auto"/>
        <w:ind w:left="838"/>
        <w:rPr>
          <w:rFonts w:hint="eastAsia" w:ascii="宋体" w:hAnsi="宋体" w:eastAsia="宋体" w:cs="宋体"/>
          <w:b w:val="0"/>
          <w:bCs w:val="0"/>
          <w:color w:val="auto"/>
          <w:spacing w:val="-13"/>
          <w:sz w:val="24"/>
          <w:szCs w:val="24"/>
          <w:lang w:val="en-US" w:eastAsia="zh-CN" w:bidi="ar-SA"/>
        </w:rPr>
      </w:pPr>
      <w:r>
        <w:rPr>
          <w:rFonts w:hint="eastAsia" w:ascii="宋体" w:hAnsi="宋体" w:eastAsia="宋体" w:cs="宋体"/>
          <w:b w:val="0"/>
          <w:bCs w:val="0"/>
          <w:color w:val="auto"/>
          <w:spacing w:val="-13"/>
          <w:sz w:val="24"/>
          <w:szCs w:val="24"/>
          <w:lang w:val="en-US" w:eastAsia="zh-CN" w:bidi="ar-SA"/>
        </w:rPr>
        <w:t>注：1.1如单项工程</w:t>
      </w:r>
      <w:r>
        <w:rPr>
          <w:rFonts w:hint="eastAsia" w:cs="宋体"/>
          <w:b w:val="0"/>
          <w:bCs w:val="0"/>
          <w:color w:val="auto"/>
          <w:spacing w:val="-13"/>
          <w:sz w:val="24"/>
          <w:szCs w:val="24"/>
          <w:lang w:val="en-US" w:eastAsia="zh-CN" w:bidi="ar-SA"/>
        </w:rPr>
        <w:t>预算评审</w:t>
      </w:r>
      <w:r>
        <w:rPr>
          <w:rFonts w:hint="eastAsia" w:ascii="宋体" w:hAnsi="宋体" w:eastAsia="宋体" w:cs="宋体"/>
          <w:b w:val="0"/>
          <w:bCs w:val="0"/>
          <w:color w:val="auto"/>
          <w:spacing w:val="-13"/>
          <w:sz w:val="24"/>
          <w:szCs w:val="24"/>
          <w:lang w:val="en-US" w:eastAsia="zh-CN" w:bidi="ar-SA"/>
        </w:rPr>
        <w:t>服务费按以上收费标准计费不足 3000 元的，按 3000 元计算。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642" w:firstLineChars="300"/>
        <w:jc w:val="both"/>
        <w:textAlignment w:val="auto"/>
        <w:rPr>
          <w:rFonts w:hint="eastAsia"/>
          <w:color w:val="auto"/>
          <w:sz w:val="24"/>
          <w:szCs w:val="24"/>
        </w:rPr>
      </w:pPr>
      <w:r>
        <w:rPr>
          <w:rFonts w:hint="eastAsia"/>
          <w:color w:val="auto"/>
          <w:spacing w:val="-13"/>
          <w:sz w:val="24"/>
          <w:szCs w:val="24"/>
        </w:rPr>
        <w:t>1.</w:t>
      </w:r>
      <w:r>
        <w:rPr>
          <w:rFonts w:hint="eastAsia"/>
          <w:color w:val="auto"/>
          <w:spacing w:val="-13"/>
          <w:sz w:val="24"/>
          <w:szCs w:val="24"/>
          <w:lang w:val="en-US" w:eastAsia="zh-CN"/>
        </w:rPr>
        <w:t xml:space="preserve">2 </w:t>
      </w:r>
      <w:r>
        <w:rPr>
          <w:rFonts w:hint="eastAsia"/>
          <w:color w:val="auto"/>
          <w:spacing w:val="-13"/>
          <w:sz w:val="24"/>
          <w:szCs w:val="24"/>
        </w:rPr>
        <w:t>投标报价由投标人结合工程造价服务市场情况及自身公司情况和承受能力自行报价。（本项目</w:t>
      </w:r>
      <w:r>
        <w:rPr>
          <w:rFonts w:hint="eastAsia"/>
          <w:color w:val="auto"/>
          <w:spacing w:val="-13"/>
          <w:sz w:val="24"/>
          <w:szCs w:val="24"/>
          <w:lang w:eastAsia="zh-CN"/>
        </w:rPr>
        <w:t>审核</w:t>
      </w:r>
      <w:r>
        <w:rPr>
          <w:rFonts w:hint="eastAsia"/>
          <w:color w:val="auto"/>
          <w:spacing w:val="-13"/>
          <w:sz w:val="24"/>
          <w:szCs w:val="24"/>
        </w:rPr>
        <w:t>费最终的中标的费率按所有中标单位费率去掉一个最高值和一个最低值后的平均值确定，中标后招标人和中标人不得以任何理由调整中标人的报价）。</w:t>
      </w:r>
    </w:p>
    <w:p>
      <w:pPr>
        <w:pStyle w:val="8"/>
        <w:tabs>
          <w:tab w:val="left" w:pos="6313"/>
        </w:tabs>
        <w:spacing w:line="360" w:lineRule="auto"/>
        <w:ind w:right="3929"/>
        <w:outlineLvl w:val="9"/>
        <w:rPr>
          <w:rFonts w:hint="eastAsia"/>
          <w:color w:val="auto"/>
          <w:spacing w:val="-1"/>
          <w:sz w:val="24"/>
          <w:szCs w:val="24"/>
        </w:rPr>
      </w:pPr>
    </w:p>
    <w:p>
      <w:pPr>
        <w:pStyle w:val="8"/>
        <w:tabs>
          <w:tab w:val="left" w:pos="6313"/>
        </w:tabs>
        <w:spacing w:line="400" w:lineRule="exact"/>
        <w:ind w:right="3929"/>
        <w:rPr>
          <w:rFonts w:hint="eastAsia"/>
          <w:color w:val="auto"/>
          <w:u w:val="single"/>
        </w:rPr>
      </w:pPr>
      <w:r>
        <w:rPr>
          <w:rFonts w:hint="eastAsia"/>
          <w:color w:val="auto"/>
          <w:spacing w:val="-1"/>
        </w:rPr>
        <w:t>投</w:t>
      </w:r>
      <w:r>
        <w:rPr>
          <w:rFonts w:hint="eastAsia"/>
          <w:color w:val="auto"/>
        </w:rPr>
        <w:t>标人盖公章：</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rFonts w:hint="eastAsia"/>
          <w:color w:val="auto"/>
          <w:u w:val="single"/>
        </w:rPr>
      </w:pPr>
      <w:r>
        <w:rPr>
          <w:rFonts w:hint="eastAsia"/>
          <w:color w:val="auto"/>
        </w:rPr>
        <w:t>法定代表人或委托代理人签字 ：</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color w:val="auto"/>
        </w:rPr>
      </w:pPr>
      <w:r>
        <w:rPr>
          <w:rFonts w:hint="eastAsia"/>
          <w:color w:val="auto"/>
        </w:rPr>
        <w:t xml:space="preserve">日 期 ：   年  月 </w:t>
      </w:r>
      <w:r>
        <w:rPr>
          <w:rFonts w:hint="eastAsia"/>
          <w:color w:val="auto"/>
          <w:spacing w:val="-1"/>
        </w:rPr>
        <w:t xml:space="preserve"> </w:t>
      </w:r>
      <w:r>
        <w:rPr>
          <w:rFonts w:hint="eastAsia"/>
          <w:color w:val="auto"/>
        </w:rPr>
        <w:t>日</w:t>
      </w:r>
    </w:p>
    <w:p>
      <w:pPr>
        <w:pStyle w:val="9"/>
        <w:spacing w:before="30"/>
        <w:ind w:left="618"/>
        <w:rPr>
          <w:color w:val="auto"/>
        </w:rPr>
      </w:pPr>
      <w:r>
        <w:rPr>
          <w:rFonts w:hint="eastAsia"/>
          <w:color w:val="auto"/>
        </w:rPr>
        <w:t>投标说明：</w:t>
      </w:r>
    </w:p>
    <w:p>
      <w:pPr>
        <w:pStyle w:val="12"/>
        <w:spacing w:before="91"/>
        <w:ind w:left="618"/>
        <w:rPr>
          <w:color w:val="auto"/>
        </w:rPr>
      </w:pPr>
      <w:r>
        <w:rPr>
          <w:rFonts w:hint="eastAsia"/>
          <w:color w:val="auto"/>
        </w:rPr>
        <w:t>1、 投标人所投的标必须加盖公章或签字，否则无签字或盖章的投标无效。</w:t>
      </w:r>
    </w:p>
    <w:p>
      <w:pPr>
        <w:pStyle w:val="12"/>
        <w:spacing w:before="91"/>
        <w:ind w:left="618"/>
        <w:rPr>
          <w:color w:val="auto"/>
        </w:rPr>
      </w:pPr>
      <w:r>
        <w:rPr>
          <w:rFonts w:hint="eastAsia"/>
          <w:color w:val="auto"/>
        </w:rPr>
        <w:t>2、投标时，本表单独装入开标一览表文件袋。</w:t>
      </w:r>
    </w:p>
    <w:p>
      <w:pPr>
        <w:rPr>
          <w:color w:val="auto"/>
        </w:rPr>
        <w:sectPr>
          <w:pgSz w:w="11910" w:h="16840"/>
          <w:pgMar w:top="1134" w:right="1134" w:bottom="1134" w:left="1180" w:header="0" w:footer="894" w:gutter="0"/>
          <w:pgNumType w:fmt="decimal"/>
          <w:cols w:equalWidth="0" w:num="1">
            <w:col w:w="10250"/>
          </w:cols>
          <w:rtlGutter w:val="0"/>
        </w:sectPr>
      </w:pPr>
    </w:p>
    <w:p>
      <w:pPr>
        <w:pStyle w:val="12"/>
        <w:keepNext w:val="0"/>
        <w:keepLines w:val="0"/>
        <w:pageBreakBefore w:val="0"/>
        <w:widowControl w:val="0"/>
        <w:tabs>
          <w:tab w:val="left" w:pos="9460"/>
        </w:tabs>
        <w:kinsoku/>
        <w:wordWrap/>
        <w:overflowPunct/>
        <w:topLinePunct w:val="0"/>
        <w:autoSpaceDE w:val="0"/>
        <w:autoSpaceDN w:val="0"/>
        <w:bidi w:val="0"/>
        <w:adjustRightInd/>
        <w:snapToGrid/>
        <w:spacing w:line="400" w:lineRule="exact"/>
        <w:ind w:right="502" w:rightChars="228" w:firstLine="420" w:firstLineChars="200"/>
        <w:jc w:val="both"/>
        <w:textAlignment w:val="auto"/>
        <w:rPr>
          <w:rFonts w:hint="eastAsia"/>
          <w:color w:val="auto"/>
          <w:sz w:val="21"/>
          <w:szCs w:val="21"/>
        </w:rPr>
      </w:pPr>
    </w:p>
    <w:p>
      <w:pPr>
        <w:pStyle w:val="31"/>
        <w:numPr>
          <w:ilvl w:val="0"/>
          <w:numId w:val="25"/>
        </w:numPr>
        <w:tabs>
          <w:tab w:val="left" w:pos="1185"/>
        </w:tabs>
        <w:spacing w:before="33"/>
        <w:ind w:firstLine="0"/>
        <w:outlineLvl w:val="0"/>
        <w:rPr>
          <w:b/>
          <w:color w:val="auto"/>
          <w:spacing w:val="-1"/>
          <w:sz w:val="32"/>
        </w:rPr>
      </w:pPr>
      <w:bookmarkStart w:id="25" w:name="_Toc8059"/>
      <w:r>
        <w:rPr>
          <w:rFonts w:hint="eastAsia"/>
          <w:b/>
          <w:color w:val="auto"/>
          <w:spacing w:val="-1"/>
          <w:sz w:val="32"/>
        </w:rPr>
        <w:t>资格部分 （此处应有页码）：</w:t>
      </w:r>
      <w:bookmarkEnd w:id="25"/>
    </w:p>
    <w:p>
      <w:pPr>
        <w:pStyle w:val="12"/>
        <w:spacing w:before="60" w:line="400" w:lineRule="exact"/>
        <w:ind w:left="1040"/>
        <w:rPr>
          <w:color w:val="auto"/>
        </w:rPr>
      </w:pPr>
      <w:r>
        <w:rPr>
          <w:rFonts w:hint="eastAsia"/>
          <w:color w:val="auto"/>
        </w:rPr>
        <w:t>★（1）投标保证金声明；</w:t>
      </w:r>
    </w:p>
    <w:p>
      <w:pPr>
        <w:pStyle w:val="12"/>
        <w:spacing w:before="91" w:line="400" w:lineRule="exact"/>
        <w:ind w:left="1040" w:right="554" w:rightChars="252"/>
        <w:rPr>
          <w:color w:val="auto"/>
        </w:rPr>
      </w:pPr>
      <w:r>
        <w:rPr>
          <w:rFonts w:hint="eastAsia"/>
          <w:color w:val="auto"/>
        </w:rPr>
        <w:t>★（2）有效的营业执照副本或具有独立承担民事责任能力的注册登记证书的证明文件复印件；</w:t>
      </w:r>
    </w:p>
    <w:p>
      <w:pPr>
        <w:pStyle w:val="12"/>
        <w:spacing w:line="400" w:lineRule="exact"/>
        <w:ind w:left="618" w:right="617" w:firstLine="422"/>
        <w:jc w:val="both"/>
        <w:rPr>
          <w:color w:val="auto"/>
        </w:rPr>
      </w:pPr>
      <w:r>
        <w:rPr>
          <w:rFonts w:hint="eastAsia"/>
          <w:color w:val="auto"/>
        </w:rPr>
        <w:t>★（3）2020</w:t>
      </w:r>
      <w:r>
        <w:rPr>
          <w:rFonts w:hint="eastAsia"/>
          <w:color w:val="auto"/>
          <w:spacing w:val="-28"/>
        </w:rPr>
        <w:t xml:space="preserve"> 年 </w:t>
      </w:r>
      <w:r>
        <w:rPr>
          <w:rFonts w:hint="eastAsia"/>
          <w:color w:val="auto"/>
        </w:rPr>
        <w:t>1</w:t>
      </w:r>
      <w:r>
        <w:rPr>
          <w:rFonts w:hint="eastAsia"/>
          <w:color w:val="auto"/>
          <w:spacing w:val="-29"/>
        </w:rPr>
        <w:t xml:space="preserve"> 月 </w:t>
      </w:r>
      <w:r>
        <w:rPr>
          <w:rFonts w:hint="eastAsia"/>
          <w:color w:val="auto"/>
        </w:rPr>
        <w:t>1</w:t>
      </w:r>
      <w:r>
        <w:rPr>
          <w:rFonts w:hint="eastAsia"/>
          <w:color w:val="auto"/>
          <w:spacing w:val="-8"/>
        </w:rPr>
        <w:t xml:space="preserve"> 日以来，投标人连续三个月</w:t>
      </w:r>
      <w:r>
        <w:rPr>
          <w:rFonts w:hint="eastAsia"/>
          <w:color w:val="auto"/>
          <w:spacing w:val="-3"/>
        </w:rPr>
        <w:t>（如属新成立的公司不足三个月的递交工商注册之月起的纳税证明</w:t>
      </w:r>
      <w:r>
        <w:rPr>
          <w:rFonts w:hint="eastAsia"/>
          <w:color w:val="auto"/>
          <w:spacing w:val="-10"/>
        </w:rPr>
        <w:t>）</w:t>
      </w:r>
      <w:r>
        <w:rPr>
          <w:rFonts w:hint="eastAsia"/>
          <w:color w:val="auto"/>
          <w:spacing w:val="-4"/>
        </w:rPr>
        <w:t>投标人依法缴纳税收</w:t>
      </w:r>
      <w:r>
        <w:rPr>
          <w:rFonts w:hint="eastAsia"/>
          <w:color w:val="auto"/>
        </w:rPr>
        <w:t>（</w:t>
      </w:r>
      <w:r>
        <w:rPr>
          <w:rFonts w:hint="eastAsia"/>
          <w:color w:val="auto"/>
          <w:spacing w:val="-3"/>
        </w:rPr>
        <w:t>国税或地税</w:t>
      </w:r>
      <w:r>
        <w:rPr>
          <w:rFonts w:hint="eastAsia"/>
          <w:color w:val="auto"/>
          <w:spacing w:val="-10"/>
        </w:rPr>
        <w:t>）</w:t>
      </w:r>
      <w:r>
        <w:rPr>
          <w:rFonts w:hint="eastAsia"/>
          <w:color w:val="auto"/>
          <w:spacing w:val="-5"/>
        </w:rPr>
        <w:t>的凭证复印件</w:t>
      </w:r>
      <w:r>
        <w:rPr>
          <w:rFonts w:hint="eastAsia"/>
          <w:color w:val="auto"/>
        </w:rPr>
        <w:t>（</w:t>
      </w:r>
      <w:r>
        <w:rPr>
          <w:rFonts w:hint="eastAsia"/>
          <w:color w:val="auto"/>
          <w:spacing w:val="-3"/>
        </w:rPr>
        <w:t>如税务机关开具的完</w:t>
      </w:r>
      <w:r>
        <w:rPr>
          <w:rFonts w:hint="eastAsia"/>
          <w:color w:val="auto"/>
          <w:spacing w:val="-8"/>
        </w:rPr>
        <w:t>税证、银行缴税付款凭证或缴款回单等；如为非税务机关开具的凭证或回单的，应清晰反映：付款人名称、帐号，征收机关名称，缴款金额，税种名称，所属时期等内容</w:t>
      </w:r>
      <w:r>
        <w:rPr>
          <w:rFonts w:hint="eastAsia"/>
          <w:color w:val="auto"/>
          <w:spacing w:val="-106"/>
        </w:rPr>
        <w:t>）</w:t>
      </w:r>
      <w:r>
        <w:rPr>
          <w:rFonts w:hint="eastAsia"/>
          <w:color w:val="auto"/>
          <w:spacing w:val="-2"/>
        </w:rPr>
        <w:t>。无纳税记录的，应提供</w:t>
      </w:r>
      <w:r>
        <w:rPr>
          <w:rFonts w:hint="eastAsia"/>
          <w:color w:val="auto"/>
          <w:spacing w:val="-3"/>
        </w:rPr>
        <w:t>投标人所在地的税务部门出具的《依法纳税或依法免税证明》复印件；</w:t>
      </w:r>
    </w:p>
    <w:p>
      <w:pPr>
        <w:pStyle w:val="12"/>
        <w:spacing w:line="400" w:lineRule="exact"/>
        <w:ind w:left="618" w:right="617" w:firstLine="422"/>
        <w:jc w:val="both"/>
        <w:rPr>
          <w:color w:val="auto"/>
        </w:rPr>
      </w:pPr>
      <w:r>
        <w:rPr>
          <w:rFonts w:hint="eastAsia"/>
          <w:color w:val="auto"/>
          <w:spacing w:val="-8"/>
        </w:rPr>
        <w:t>★（4）2020</w:t>
      </w:r>
      <w:r>
        <w:rPr>
          <w:rFonts w:hint="eastAsia"/>
          <w:color w:val="auto"/>
          <w:spacing w:val="-30"/>
        </w:rPr>
        <w:t xml:space="preserve"> 年 </w:t>
      </w:r>
      <w:r>
        <w:rPr>
          <w:rFonts w:hint="eastAsia"/>
          <w:color w:val="auto"/>
        </w:rPr>
        <w:t>1</w:t>
      </w:r>
      <w:r>
        <w:rPr>
          <w:rFonts w:hint="eastAsia"/>
          <w:color w:val="auto"/>
          <w:spacing w:val="-30"/>
        </w:rPr>
        <w:t xml:space="preserve"> 月 </w:t>
      </w:r>
      <w:r>
        <w:rPr>
          <w:rFonts w:hint="eastAsia"/>
          <w:color w:val="auto"/>
        </w:rPr>
        <w:t>1</w:t>
      </w:r>
      <w:r>
        <w:rPr>
          <w:rFonts w:hint="eastAsia"/>
          <w:color w:val="auto"/>
          <w:spacing w:val="-10"/>
        </w:rPr>
        <w:t xml:space="preserve"> 日以来，投标人连续三个月(如属新成立的公司不足三个月的递交工商注册之月起的社保证明)投标人依法缴纳社会保障资金的凭证复印件（</w:t>
      </w:r>
      <w:r>
        <w:rPr>
          <w:rFonts w:hint="eastAsia"/>
          <w:color w:val="auto"/>
          <w:spacing w:val="-11"/>
        </w:rPr>
        <w:t>如社保部门开具的证明、收款</w:t>
      </w:r>
      <w:r>
        <w:rPr>
          <w:rFonts w:hint="eastAsia"/>
          <w:color w:val="auto"/>
          <w:spacing w:val="-7"/>
        </w:rPr>
        <w:t>收据等，或银行缴款凭证、回单等；如为非社保部门开具的凭证或回单的，应清晰反映：缴款单位名称、社保单位名称、保险险种名称、缴款金额等内容</w:t>
      </w:r>
      <w:r>
        <w:rPr>
          <w:rFonts w:hint="eastAsia"/>
          <w:color w:val="auto"/>
          <w:spacing w:val="-106"/>
        </w:rPr>
        <w:t>）</w:t>
      </w:r>
      <w:r>
        <w:rPr>
          <w:rFonts w:hint="eastAsia"/>
          <w:color w:val="auto"/>
          <w:spacing w:val="-1"/>
        </w:rPr>
        <w:t>。无缴费记录的，应提供投标人所在地社</w:t>
      </w:r>
      <w:r>
        <w:rPr>
          <w:rFonts w:hint="eastAsia"/>
          <w:color w:val="auto"/>
          <w:spacing w:val="-3"/>
        </w:rPr>
        <w:t>保部门出具的《依法缴纳或依法免缴社保费证明》复印件；</w:t>
      </w:r>
    </w:p>
    <w:p>
      <w:pPr>
        <w:pStyle w:val="12"/>
        <w:spacing w:line="400" w:lineRule="exact"/>
        <w:ind w:left="618" w:right="617" w:firstLine="422"/>
        <w:jc w:val="both"/>
        <w:rPr>
          <w:color w:val="auto"/>
        </w:rPr>
      </w:pPr>
      <w:r>
        <w:rPr>
          <w:rFonts w:hint="eastAsia"/>
          <w:color w:val="auto"/>
          <w:spacing w:val="-7"/>
        </w:rPr>
        <w:t>★（5）</w:t>
      </w:r>
      <w:r>
        <w:rPr>
          <w:rFonts w:hint="eastAsia"/>
          <w:color w:val="auto"/>
          <w:spacing w:val="-10"/>
        </w:rPr>
        <w:t xml:space="preserve">投标人 </w:t>
      </w:r>
      <w:r>
        <w:rPr>
          <w:rFonts w:hint="eastAsia"/>
          <w:color w:val="auto"/>
        </w:rPr>
        <w:t>2019</w:t>
      </w:r>
      <w:r>
        <w:rPr>
          <w:rFonts w:hint="eastAsia"/>
          <w:color w:val="auto"/>
          <w:spacing w:val="-9"/>
        </w:rPr>
        <w:t xml:space="preserve"> 年度财务报表</w:t>
      </w:r>
      <w:r>
        <w:rPr>
          <w:rFonts w:hint="eastAsia"/>
          <w:color w:val="auto"/>
          <w:spacing w:val="-3"/>
        </w:rPr>
        <w:t>（新成立的公司递交工商注册后最近投标截止期一个月度的月度财务报表</w:t>
      </w:r>
      <w:r>
        <w:rPr>
          <w:rFonts w:hint="eastAsia"/>
          <w:color w:val="auto"/>
          <w:spacing w:val="-108"/>
        </w:rPr>
        <w:t>）</w:t>
      </w:r>
      <w:r>
        <w:rPr>
          <w:rFonts w:hint="eastAsia"/>
          <w:color w:val="auto"/>
        </w:rPr>
        <w:t>；</w:t>
      </w:r>
    </w:p>
    <w:p>
      <w:pPr>
        <w:pStyle w:val="12"/>
        <w:spacing w:line="400" w:lineRule="exact"/>
        <w:ind w:left="618" w:right="617" w:firstLine="422"/>
        <w:rPr>
          <w:color w:val="auto"/>
        </w:rPr>
      </w:pPr>
      <w:r>
        <w:rPr>
          <w:rFonts w:hint="eastAsia"/>
          <w:color w:val="auto"/>
        </w:rPr>
        <w:t>★（6）</w:t>
      </w:r>
      <w:r>
        <w:rPr>
          <w:rFonts w:hint="eastAsia"/>
          <w:color w:val="auto"/>
          <w:spacing w:val="-3"/>
        </w:rPr>
        <w:t xml:space="preserve">参加政府采购活动前 </w:t>
      </w:r>
      <w:r>
        <w:rPr>
          <w:rFonts w:hint="eastAsia"/>
          <w:color w:val="auto"/>
        </w:rPr>
        <w:t>3</w:t>
      </w:r>
      <w:r>
        <w:rPr>
          <w:rFonts w:hint="eastAsia"/>
          <w:color w:val="auto"/>
          <w:spacing w:val="-3"/>
        </w:rPr>
        <w:t xml:space="preserve"> 年内在经营活动中没有重大违法记录的书面声明</w:t>
      </w:r>
      <w:r>
        <w:rPr>
          <w:rFonts w:hint="eastAsia"/>
          <w:color w:val="auto"/>
        </w:rPr>
        <w:t>；</w:t>
      </w:r>
    </w:p>
    <w:p>
      <w:pPr>
        <w:pStyle w:val="12"/>
        <w:spacing w:line="400" w:lineRule="exact"/>
        <w:ind w:left="1040"/>
        <w:rPr>
          <w:color w:val="auto"/>
        </w:rPr>
      </w:pPr>
      <w:r>
        <w:rPr>
          <w:rFonts w:hint="eastAsia"/>
          <w:color w:val="auto"/>
        </w:rPr>
        <w:t>★（7）特殊资质要求：工程造价咨询资质证书复印件 。</w:t>
      </w:r>
    </w:p>
    <w:p>
      <w:pPr>
        <w:pStyle w:val="12"/>
        <w:spacing w:before="82" w:line="400" w:lineRule="exact"/>
        <w:ind w:firstLine="1260" w:firstLineChars="600"/>
        <w:rPr>
          <w:color w:val="auto"/>
        </w:rPr>
      </w:pPr>
      <w:r>
        <w:rPr>
          <w:rFonts w:hint="eastAsia"/>
          <w:color w:val="auto"/>
        </w:rPr>
        <w:t>（</w:t>
      </w:r>
      <w:r>
        <w:rPr>
          <w:rFonts w:hint="eastAsia"/>
          <w:color w:val="auto"/>
          <w:spacing w:val="-3"/>
        </w:rPr>
        <w:t>8）投标人营业场所的相关证明复印件</w:t>
      </w:r>
      <w:r>
        <w:rPr>
          <w:rFonts w:hint="eastAsia"/>
          <w:color w:val="auto"/>
        </w:rPr>
        <w:t>；</w:t>
      </w:r>
    </w:p>
    <w:p>
      <w:pPr>
        <w:pStyle w:val="12"/>
        <w:spacing w:before="91" w:line="400" w:lineRule="exact"/>
        <w:ind w:left="418" w:leftChars="190" w:right="574" w:rightChars="261" w:firstLine="840" w:firstLineChars="400"/>
        <w:rPr>
          <w:color w:val="auto"/>
        </w:rPr>
      </w:pPr>
      <w:r>
        <w:rPr>
          <w:rFonts w:hint="eastAsia"/>
          <w:color w:val="auto"/>
        </w:rPr>
        <w:t>（</w:t>
      </w:r>
      <w:r>
        <w:rPr>
          <w:rFonts w:hint="eastAsia"/>
          <w:color w:val="auto"/>
          <w:spacing w:val="-3"/>
        </w:rPr>
        <w:t>9）</w:t>
      </w:r>
      <w:r>
        <w:rPr>
          <w:rFonts w:hint="eastAsia"/>
          <w:color w:val="auto"/>
        </w:rPr>
        <w:t>投标人符合中小企业划型标准的，按《政府采购促进中小企业发展暂行办法》（财库〔2011〕181</w:t>
      </w:r>
      <w:r>
        <w:rPr>
          <w:rFonts w:hint="eastAsia"/>
          <w:color w:val="auto"/>
          <w:spacing w:val="2"/>
        </w:rPr>
        <w:t xml:space="preserve"> 号</w:t>
      </w:r>
      <w:r>
        <w:rPr>
          <w:rFonts w:hint="eastAsia"/>
          <w:color w:val="auto"/>
          <w:spacing w:val="-3"/>
        </w:rPr>
        <w:t>）要求，提供中小企业声明函。监狱企业参加政府采购活动时，应当提供由省级以上监狱管理局、戒毒管理局（含新疆生产建设兵团）</w:t>
      </w:r>
      <w:r>
        <w:rPr>
          <w:rFonts w:hint="eastAsia"/>
          <w:color w:val="auto"/>
          <w:spacing w:val="-10"/>
        </w:rPr>
        <w:t>出具的属于监狱企业的证明文件。</w:t>
      </w:r>
      <w:r>
        <w:rPr>
          <w:rFonts w:hint="eastAsia"/>
          <w:color w:val="auto"/>
        </w:rPr>
        <w:t>（证明文件</w:t>
      </w:r>
      <w:r>
        <w:rPr>
          <w:rFonts w:hint="eastAsia"/>
          <w:color w:val="auto"/>
          <w:spacing w:val="-7"/>
        </w:rPr>
        <w:t xml:space="preserve">在有效期内或注明为 </w:t>
      </w:r>
      <w:r>
        <w:rPr>
          <w:rFonts w:hint="eastAsia"/>
          <w:color w:val="auto"/>
        </w:rPr>
        <w:t>2019</w:t>
      </w:r>
      <w:r>
        <w:rPr>
          <w:rFonts w:hint="eastAsia"/>
          <w:color w:val="auto"/>
          <w:spacing w:val="-12"/>
        </w:rPr>
        <w:t xml:space="preserve"> 年度的为有效；未注明有效期或 </w:t>
      </w:r>
      <w:r>
        <w:rPr>
          <w:rFonts w:hint="eastAsia"/>
          <w:color w:val="auto"/>
        </w:rPr>
        <w:t>2019</w:t>
      </w:r>
      <w:r>
        <w:rPr>
          <w:rFonts w:hint="eastAsia"/>
          <w:color w:val="auto"/>
          <w:spacing w:val="-8"/>
        </w:rPr>
        <w:t xml:space="preserve"> 年度的，开具时间在一年内的为有</w:t>
      </w:r>
      <w:r>
        <w:rPr>
          <w:rFonts w:hint="eastAsia"/>
          <w:color w:val="auto"/>
          <w:spacing w:val="-5"/>
        </w:rPr>
        <w:t>效，其余由评标委员会认定，原件备查</w:t>
      </w:r>
      <w:r>
        <w:rPr>
          <w:rFonts w:hint="eastAsia"/>
          <w:color w:val="auto"/>
        </w:rPr>
        <w:t>）</w:t>
      </w:r>
      <w:r>
        <w:rPr>
          <w:rFonts w:hint="eastAsia"/>
          <w:color w:val="auto"/>
          <w:spacing w:val="-3"/>
        </w:rPr>
        <w:t>；</w:t>
      </w:r>
    </w:p>
    <w:p>
      <w:pPr>
        <w:pStyle w:val="12"/>
        <w:spacing w:line="400" w:lineRule="exact"/>
        <w:ind w:left="1040"/>
        <w:rPr>
          <w:color w:val="auto"/>
        </w:rPr>
      </w:pPr>
      <w:r>
        <w:rPr>
          <w:rFonts w:hint="eastAsia"/>
          <w:color w:val="auto"/>
        </w:rPr>
        <w:t>注：上述（1）-（7）项材料必须提交并加盖投标人单位公章。</w:t>
      </w:r>
    </w:p>
    <w:p>
      <w:pPr>
        <w:spacing w:line="400" w:lineRule="exact"/>
        <w:rPr>
          <w:color w:val="auto"/>
        </w:rPr>
        <w:sectPr>
          <w:pgSz w:w="11910" w:h="16840"/>
          <w:pgMar w:top="1134" w:right="1134" w:bottom="1134" w:left="1180" w:header="0" w:footer="894" w:gutter="0"/>
          <w:pgNumType w:fmt="decimal"/>
          <w:cols w:equalWidth="0" w:num="1">
            <w:col w:w="10250"/>
          </w:cols>
          <w:rtlGutter w:val="0"/>
        </w:sectPr>
      </w:pPr>
    </w:p>
    <w:p>
      <w:pPr>
        <w:spacing w:before="33"/>
        <w:rPr>
          <w:b/>
          <w:color w:val="auto"/>
          <w:sz w:val="32"/>
        </w:rPr>
      </w:pPr>
      <w:r>
        <w:rPr>
          <w:rFonts w:hint="eastAsia"/>
          <w:b/>
          <w:color w:val="auto"/>
          <w:sz w:val="32"/>
        </w:rPr>
        <w:t>1、投标保证金声明格式</w:t>
      </w:r>
    </w:p>
    <w:p>
      <w:pPr>
        <w:pStyle w:val="12"/>
        <w:spacing w:before="2"/>
        <w:rPr>
          <w:b/>
          <w:color w:val="auto"/>
          <w:sz w:val="24"/>
        </w:rPr>
      </w:pPr>
    </w:p>
    <w:p>
      <w:pPr>
        <w:ind w:left="830" w:right="832"/>
        <w:jc w:val="center"/>
        <w:outlineLvl w:val="0"/>
        <w:rPr>
          <w:b/>
          <w:color w:val="auto"/>
          <w:sz w:val="32"/>
        </w:rPr>
      </w:pPr>
      <w:bookmarkStart w:id="26" w:name="_Toc7633"/>
      <w:r>
        <w:rPr>
          <w:rFonts w:hint="eastAsia"/>
          <w:b/>
          <w:color w:val="auto"/>
          <w:sz w:val="32"/>
        </w:rPr>
        <w:t>投标保证金声明</w:t>
      </w:r>
      <w:bookmarkEnd w:id="26"/>
    </w:p>
    <w:p>
      <w:pPr>
        <w:pStyle w:val="12"/>
        <w:spacing w:before="10"/>
        <w:rPr>
          <w:b/>
          <w:color w:val="auto"/>
          <w:sz w:val="32"/>
        </w:rPr>
      </w:pPr>
    </w:p>
    <w:p>
      <w:pPr>
        <w:pStyle w:val="12"/>
        <w:tabs>
          <w:tab w:val="left" w:pos="2749"/>
          <w:tab w:val="left" w:pos="3112"/>
          <w:tab w:val="left" w:pos="5896"/>
          <w:tab w:val="left" w:pos="6210"/>
          <w:tab w:val="left" w:pos="9518"/>
        </w:tabs>
        <w:spacing w:line="321" w:lineRule="auto"/>
        <w:ind w:right="514" w:firstLine="408" w:firstLineChars="200"/>
        <w:jc w:val="left"/>
        <w:rPr>
          <w:color w:val="auto"/>
        </w:rPr>
      </w:pPr>
      <w:r>
        <w:rPr>
          <w:rFonts w:hint="eastAsia"/>
          <w:color w:val="auto"/>
          <w:spacing w:val="-3"/>
        </w:rPr>
        <w:t>我</w:t>
      </w:r>
      <w:r>
        <w:rPr>
          <w:rFonts w:hint="eastAsia"/>
          <w:color w:val="auto"/>
        </w:rPr>
        <w:t>方</w:t>
      </w:r>
      <w:r>
        <w:rPr>
          <w:rFonts w:hint="eastAsia"/>
          <w:color w:val="auto"/>
          <w:spacing w:val="-3"/>
        </w:rPr>
        <w:t>参</w:t>
      </w:r>
      <w:r>
        <w:rPr>
          <w:rFonts w:hint="eastAsia"/>
          <w:color w:val="auto"/>
        </w:rPr>
        <w:t>加</w:t>
      </w:r>
      <w:r>
        <w:rPr>
          <w:rFonts w:hint="eastAsia"/>
          <w:color w:val="auto"/>
          <w:spacing w:val="-3"/>
          <w:u w:val="single"/>
        </w:rPr>
        <w:t>（</w:t>
      </w:r>
      <w:r>
        <w:rPr>
          <w:rFonts w:hint="eastAsia"/>
          <w:color w:val="auto"/>
          <w:u w:val="single"/>
        </w:rPr>
        <w:t>项目</w:t>
      </w:r>
      <w:r>
        <w:rPr>
          <w:rFonts w:hint="eastAsia"/>
          <w:color w:val="auto"/>
          <w:spacing w:val="-3"/>
          <w:u w:val="single"/>
        </w:rPr>
        <w:t>名</w:t>
      </w:r>
      <w:r>
        <w:rPr>
          <w:rFonts w:hint="eastAsia"/>
          <w:color w:val="auto"/>
          <w:u w:val="single"/>
        </w:rPr>
        <w:t>称</w:t>
      </w:r>
      <w:r>
        <w:rPr>
          <w:rFonts w:hint="eastAsia"/>
          <w:color w:val="auto"/>
          <w:spacing w:val="-3"/>
          <w:u w:val="single"/>
        </w:rPr>
        <w:t>及</w:t>
      </w:r>
      <w:r>
        <w:rPr>
          <w:rFonts w:hint="eastAsia"/>
          <w:color w:val="auto"/>
          <w:u w:val="single"/>
        </w:rPr>
        <w:t>编</w:t>
      </w:r>
      <w:r>
        <w:rPr>
          <w:rFonts w:hint="eastAsia"/>
          <w:color w:val="auto"/>
          <w:spacing w:val="-3"/>
          <w:u w:val="single"/>
        </w:rPr>
        <w:t>号</w:t>
      </w:r>
      <w:r>
        <w:rPr>
          <w:rFonts w:hint="eastAsia"/>
          <w:color w:val="auto"/>
          <w:u w:val="single"/>
        </w:rPr>
        <w:t>）</w:t>
      </w:r>
      <w:r>
        <w:rPr>
          <w:rFonts w:hint="eastAsia"/>
          <w:color w:val="auto"/>
          <w:u w:val="single"/>
        </w:rPr>
        <w:tab/>
      </w:r>
      <w:r>
        <w:rPr>
          <w:rFonts w:hint="eastAsia"/>
          <w:color w:val="auto"/>
        </w:rPr>
        <w:t>的</w:t>
      </w:r>
      <w:r>
        <w:rPr>
          <w:rFonts w:hint="eastAsia"/>
          <w:color w:val="auto"/>
          <w:spacing w:val="-3"/>
        </w:rPr>
        <w:t>投</w:t>
      </w:r>
      <w:r>
        <w:rPr>
          <w:rFonts w:hint="eastAsia"/>
          <w:color w:val="auto"/>
        </w:rPr>
        <w:t>标</w:t>
      </w:r>
      <w:r>
        <w:rPr>
          <w:rFonts w:hint="eastAsia"/>
          <w:color w:val="auto"/>
          <w:spacing w:val="-3"/>
        </w:rPr>
        <w:t>，</w:t>
      </w:r>
      <w:r>
        <w:rPr>
          <w:rFonts w:hint="eastAsia"/>
          <w:color w:val="auto"/>
        </w:rPr>
        <w:t>缴</w:t>
      </w:r>
      <w:r>
        <w:rPr>
          <w:rFonts w:hint="eastAsia"/>
          <w:color w:val="auto"/>
          <w:spacing w:val="-3"/>
        </w:rPr>
        <w:t>纳</w:t>
      </w:r>
      <w:r>
        <w:rPr>
          <w:rFonts w:hint="eastAsia"/>
          <w:color w:val="auto"/>
        </w:rPr>
        <w:t>投</w:t>
      </w:r>
      <w:r>
        <w:rPr>
          <w:rFonts w:hint="eastAsia"/>
          <w:color w:val="auto"/>
          <w:spacing w:val="-3"/>
        </w:rPr>
        <w:t>标</w:t>
      </w:r>
      <w:r>
        <w:rPr>
          <w:rFonts w:hint="eastAsia"/>
          <w:color w:val="auto"/>
        </w:rPr>
        <w:t>保证</w:t>
      </w:r>
      <w:r>
        <w:rPr>
          <w:rFonts w:hint="eastAsia"/>
          <w:color w:val="auto"/>
          <w:spacing w:val="-3"/>
        </w:rPr>
        <w:t>金</w:t>
      </w:r>
      <w:r>
        <w:rPr>
          <w:rFonts w:hint="eastAsia"/>
          <w:color w:val="auto"/>
        </w:rPr>
        <w:t>人</w:t>
      </w:r>
      <w:r>
        <w:rPr>
          <w:rFonts w:hint="eastAsia"/>
          <w:color w:val="auto"/>
          <w:spacing w:val="-3"/>
        </w:rPr>
        <w:t>民</w:t>
      </w:r>
      <w:r>
        <w:rPr>
          <w:rFonts w:hint="eastAsia"/>
          <w:color w:val="auto"/>
        </w:rPr>
        <w:t>币</w:t>
      </w:r>
      <w:r>
        <w:rPr>
          <w:rFonts w:hint="eastAsia"/>
          <w:color w:val="auto"/>
          <w:spacing w:val="-3"/>
        </w:rPr>
        <w:t>（大写</w:t>
      </w:r>
      <w:r>
        <w:rPr>
          <w:rFonts w:hint="eastAsia"/>
          <w:color w:val="auto"/>
        </w:rPr>
        <w:t xml:space="preserve">） </w:t>
      </w:r>
      <w:r>
        <w:rPr>
          <w:rFonts w:hint="eastAsia"/>
          <w:color w:val="auto"/>
          <w:spacing w:val="50"/>
        </w:rPr>
        <w:t>元</w:t>
      </w:r>
      <w:r>
        <w:rPr>
          <w:rFonts w:hint="eastAsia"/>
          <w:color w:val="auto"/>
          <w:spacing w:val="47"/>
        </w:rPr>
        <w:t>整</w:t>
      </w:r>
      <w:r>
        <w:rPr>
          <w:rFonts w:hint="eastAsia"/>
          <w:color w:val="auto"/>
        </w:rPr>
        <w:t>（</w:t>
      </w:r>
      <w:r>
        <w:rPr>
          <w:rFonts w:hint="default" w:ascii="Arial" w:hAnsi="Arial" w:cs="Arial"/>
          <w:color w:val="auto"/>
          <w:spacing w:val="-54"/>
        </w:rPr>
        <w:t>¥</w:t>
      </w:r>
      <w:r>
        <w:rPr>
          <w:rFonts w:hint="eastAsia"/>
          <w:color w:val="auto"/>
          <w:u w:val="single"/>
        </w:rPr>
        <w:tab/>
      </w:r>
      <w:r>
        <w:rPr>
          <w:rFonts w:hint="eastAsia"/>
          <w:color w:val="auto"/>
        </w:rPr>
        <w:t>元</w:t>
      </w:r>
      <w:r>
        <w:rPr>
          <w:rFonts w:hint="eastAsia"/>
          <w:color w:val="auto"/>
          <w:spacing w:val="-53"/>
        </w:rPr>
        <w:t xml:space="preserve"> </w:t>
      </w:r>
      <w:r>
        <w:rPr>
          <w:rFonts w:hint="eastAsia"/>
          <w:color w:val="auto"/>
          <w:spacing w:val="-28"/>
        </w:rPr>
        <w:t>），</w:t>
      </w:r>
      <w:r>
        <w:rPr>
          <w:rFonts w:hint="eastAsia"/>
          <w:color w:val="auto"/>
          <w:spacing w:val="-49"/>
        </w:rPr>
        <w:t xml:space="preserve"> </w:t>
      </w:r>
      <w:r>
        <w:rPr>
          <w:rFonts w:hint="eastAsia"/>
          <w:color w:val="auto"/>
          <w:spacing w:val="47"/>
        </w:rPr>
        <w:t>请</w:t>
      </w:r>
      <w:r>
        <w:rPr>
          <w:rFonts w:hint="eastAsia"/>
          <w:color w:val="auto"/>
          <w:spacing w:val="50"/>
        </w:rPr>
        <w:t>贵</w:t>
      </w:r>
      <w:r>
        <w:rPr>
          <w:rFonts w:hint="eastAsia"/>
          <w:color w:val="auto"/>
          <w:spacing w:val="47"/>
        </w:rPr>
        <w:t>方</w:t>
      </w:r>
      <w:r>
        <w:rPr>
          <w:rFonts w:hint="eastAsia"/>
          <w:color w:val="auto"/>
          <w:spacing w:val="50"/>
        </w:rPr>
        <w:t>在</w:t>
      </w:r>
      <w:r>
        <w:rPr>
          <w:rFonts w:hint="eastAsia"/>
          <w:color w:val="auto"/>
          <w:spacing w:val="47"/>
        </w:rPr>
        <w:t>退</w:t>
      </w:r>
      <w:r>
        <w:rPr>
          <w:rFonts w:hint="eastAsia"/>
          <w:color w:val="auto"/>
          <w:spacing w:val="50"/>
        </w:rPr>
        <w:t>付</w:t>
      </w:r>
      <w:r>
        <w:rPr>
          <w:rFonts w:hint="eastAsia"/>
          <w:color w:val="auto"/>
          <w:spacing w:val="47"/>
        </w:rPr>
        <w:t>投</w:t>
      </w:r>
      <w:r>
        <w:rPr>
          <w:rFonts w:hint="eastAsia"/>
          <w:color w:val="auto"/>
          <w:spacing w:val="50"/>
        </w:rPr>
        <w:t>标</w:t>
      </w:r>
      <w:r>
        <w:rPr>
          <w:rFonts w:hint="eastAsia"/>
          <w:color w:val="auto"/>
          <w:spacing w:val="47"/>
        </w:rPr>
        <w:t>保</w:t>
      </w:r>
      <w:r>
        <w:rPr>
          <w:rFonts w:hint="eastAsia"/>
          <w:color w:val="auto"/>
          <w:spacing w:val="50"/>
        </w:rPr>
        <w:t>证</w:t>
      </w:r>
      <w:r>
        <w:rPr>
          <w:rFonts w:hint="eastAsia"/>
          <w:color w:val="auto"/>
          <w:spacing w:val="47"/>
        </w:rPr>
        <w:t>金</w:t>
      </w:r>
      <w:r>
        <w:rPr>
          <w:rFonts w:hint="eastAsia"/>
          <w:color w:val="auto"/>
          <w:spacing w:val="50"/>
        </w:rPr>
        <w:t>时</w:t>
      </w:r>
      <w:r>
        <w:rPr>
          <w:rFonts w:hint="eastAsia"/>
          <w:color w:val="auto"/>
          <w:spacing w:val="47"/>
        </w:rPr>
        <w:t>转</w:t>
      </w:r>
      <w:r>
        <w:rPr>
          <w:rFonts w:hint="eastAsia"/>
          <w:color w:val="auto"/>
          <w:spacing w:val="50"/>
        </w:rPr>
        <w:t>入</w:t>
      </w:r>
      <w:r>
        <w:rPr>
          <w:rFonts w:hint="eastAsia"/>
          <w:color w:val="auto"/>
          <w:spacing w:val="47"/>
        </w:rPr>
        <w:t>以下</w:t>
      </w:r>
      <w:r>
        <w:rPr>
          <w:rFonts w:hint="eastAsia"/>
          <w:color w:val="auto"/>
          <w:spacing w:val="50"/>
        </w:rPr>
        <w:t>对</w:t>
      </w:r>
      <w:r>
        <w:rPr>
          <w:rFonts w:hint="eastAsia"/>
          <w:color w:val="auto"/>
          <w:spacing w:val="47"/>
        </w:rPr>
        <w:t>公</w:t>
      </w:r>
      <w:r>
        <w:rPr>
          <w:rFonts w:hint="eastAsia"/>
          <w:color w:val="auto"/>
          <w:spacing w:val="50"/>
        </w:rPr>
        <w:t>账</w:t>
      </w:r>
      <w:r>
        <w:rPr>
          <w:rFonts w:hint="eastAsia"/>
          <w:color w:val="auto"/>
          <w:spacing w:val="47"/>
        </w:rPr>
        <w:t>户</w:t>
      </w:r>
      <w:r>
        <w:rPr>
          <w:rFonts w:hint="eastAsia"/>
          <w:color w:val="auto"/>
        </w:rPr>
        <w:t>：</w:t>
      </w:r>
      <w:r>
        <w:rPr>
          <w:rFonts w:hint="eastAsia"/>
          <w:color w:val="auto"/>
          <w:spacing w:val="-49"/>
        </w:rPr>
        <w:t xml:space="preserve"> </w:t>
      </w:r>
      <w:r>
        <w:rPr>
          <w:rFonts w:hint="eastAsia"/>
          <w:color w:val="auto"/>
          <w:spacing w:val="47"/>
        </w:rPr>
        <w:t>开</w:t>
      </w:r>
      <w:r>
        <w:rPr>
          <w:rFonts w:hint="eastAsia"/>
          <w:color w:val="auto"/>
          <w:spacing w:val="50"/>
        </w:rPr>
        <w:t>户</w:t>
      </w:r>
      <w:r>
        <w:rPr>
          <w:rFonts w:hint="eastAsia"/>
          <w:color w:val="auto"/>
        </w:rPr>
        <w:t>名称</w:t>
      </w:r>
      <w:r>
        <w:rPr>
          <w:rFonts w:hint="eastAsia"/>
          <w:color w:val="auto"/>
          <w:spacing w:val="-27"/>
        </w:rPr>
        <w:t>：</w:t>
      </w:r>
      <w:r>
        <w:rPr>
          <w:rFonts w:hint="eastAsia"/>
          <w:color w:val="auto"/>
          <w:spacing w:val="-27"/>
          <w:u w:val="single"/>
        </w:rPr>
        <w:t xml:space="preserve"> </w:t>
      </w:r>
      <w:r>
        <w:rPr>
          <w:rFonts w:hint="eastAsia"/>
          <w:color w:val="auto"/>
          <w:spacing w:val="-27"/>
          <w:u w:val="single"/>
        </w:rPr>
        <w:tab/>
      </w:r>
      <w:r>
        <w:rPr>
          <w:rFonts w:hint="eastAsia"/>
          <w:color w:val="auto"/>
          <w:spacing w:val="-27"/>
          <w:u w:val="single"/>
        </w:rPr>
        <w:tab/>
      </w:r>
      <w:r>
        <w:rPr>
          <w:rFonts w:hint="eastAsia"/>
          <w:color w:val="auto"/>
          <w:spacing w:val="-27"/>
        </w:rPr>
        <w:t>，</w:t>
      </w:r>
      <w:r>
        <w:rPr>
          <w:rFonts w:hint="eastAsia"/>
          <w:color w:val="auto"/>
          <w:spacing w:val="-3"/>
        </w:rPr>
        <w:t>开</w:t>
      </w:r>
      <w:r>
        <w:rPr>
          <w:rFonts w:hint="eastAsia"/>
          <w:color w:val="auto"/>
        </w:rPr>
        <w:t>户</w:t>
      </w:r>
      <w:r>
        <w:rPr>
          <w:rFonts w:hint="eastAsia"/>
          <w:color w:val="auto"/>
          <w:spacing w:val="-3"/>
        </w:rPr>
        <w:t>银</w:t>
      </w:r>
      <w:r>
        <w:rPr>
          <w:rFonts w:hint="eastAsia"/>
          <w:color w:val="auto"/>
        </w:rPr>
        <w:t>行</w:t>
      </w:r>
      <w:r>
        <w:rPr>
          <w:rFonts w:hint="eastAsia"/>
          <w:color w:val="auto"/>
          <w:spacing w:val="-27"/>
        </w:rPr>
        <w:t>：</w:t>
      </w:r>
      <w:r>
        <w:rPr>
          <w:rFonts w:hint="eastAsia"/>
          <w:color w:val="auto"/>
          <w:spacing w:val="-27"/>
          <w:u w:val="single"/>
        </w:rPr>
        <w:t xml:space="preserve"> </w:t>
      </w:r>
      <w:r>
        <w:rPr>
          <w:rFonts w:hint="eastAsia"/>
          <w:color w:val="auto"/>
          <w:spacing w:val="-27"/>
          <w:u w:val="single"/>
        </w:rPr>
        <w:tab/>
      </w:r>
      <w:r>
        <w:rPr>
          <w:rFonts w:hint="eastAsia"/>
          <w:color w:val="auto"/>
          <w:spacing w:val="-27"/>
          <w:u w:val="single"/>
        </w:rPr>
        <w:tab/>
      </w:r>
      <w:r>
        <w:rPr>
          <w:rFonts w:hint="eastAsia"/>
          <w:color w:val="auto"/>
          <w:spacing w:val="-29"/>
        </w:rPr>
        <w:t>，</w:t>
      </w:r>
      <w:r>
        <w:rPr>
          <w:rFonts w:hint="eastAsia"/>
          <w:color w:val="auto"/>
        </w:rPr>
        <w:t>银</w:t>
      </w:r>
      <w:r>
        <w:rPr>
          <w:rFonts w:hint="eastAsia"/>
          <w:color w:val="auto"/>
          <w:spacing w:val="-3"/>
        </w:rPr>
        <w:t>行</w:t>
      </w:r>
      <w:r>
        <w:rPr>
          <w:rFonts w:hint="eastAsia"/>
          <w:color w:val="auto"/>
        </w:rPr>
        <w:t>账</w:t>
      </w:r>
      <w:r>
        <w:rPr>
          <w:rFonts w:hint="eastAsia"/>
          <w:color w:val="auto"/>
          <w:spacing w:val="-3"/>
        </w:rPr>
        <w:t>号</w:t>
      </w:r>
      <w:r>
        <w:rPr>
          <w:rFonts w:hint="eastAsia"/>
          <w:color w:val="auto"/>
          <w:spacing w:val="-27"/>
        </w:rPr>
        <w:t>：</w:t>
      </w:r>
      <w:r>
        <w:rPr>
          <w:rFonts w:hint="eastAsia"/>
          <w:color w:val="auto"/>
          <w:spacing w:val="-27"/>
          <w:u w:val="single"/>
        </w:rPr>
        <w:t xml:space="preserve"> </w:t>
      </w:r>
      <w:r>
        <w:rPr>
          <w:rFonts w:hint="eastAsia"/>
          <w:color w:val="auto"/>
          <w:spacing w:val="-27"/>
          <w:u w:val="single"/>
          <w:lang w:val="en-US" w:eastAsia="zh-CN"/>
        </w:rPr>
        <w:t xml:space="preserve">                 </w:t>
      </w:r>
      <w:r>
        <w:rPr>
          <w:rFonts w:hint="eastAsia"/>
          <w:color w:val="auto"/>
          <w:spacing w:val="-17"/>
        </w:rPr>
        <w:t>。</w:t>
      </w:r>
    </w:p>
    <w:p>
      <w:pPr>
        <w:pStyle w:val="12"/>
        <w:spacing w:line="267" w:lineRule="exact"/>
        <w:ind w:firstLine="420" w:firstLineChars="200"/>
        <w:rPr>
          <w:color w:val="auto"/>
        </w:rPr>
      </w:pPr>
      <w:r>
        <w:rPr>
          <w:rFonts w:hint="eastAsia"/>
          <w:color w:val="auto"/>
        </w:rPr>
        <w:t>通讯地址：</w:t>
      </w:r>
    </w:p>
    <w:p>
      <w:pPr>
        <w:pStyle w:val="12"/>
        <w:spacing w:before="91"/>
        <w:ind w:firstLine="408" w:firstLineChars="200"/>
        <w:rPr>
          <w:color w:val="auto"/>
        </w:rPr>
      </w:pPr>
      <w:r>
        <w:rPr>
          <w:rFonts w:hint="eastAsia"/>
          <w:color w:val="auto"/>
          <w:spacing w:val="-3"/>
        </w:rPr>
        <w:t>联系人</w:t>
      </w:r>
      <w:r>
        <w:rPr>
          <w:rFonts w:hint="eastAsia"/>
          <w:color w:val="auto"/>
        </w:rPr>
        <w:t>（</w:t>
      </w:r>
      <w:r>
        <w:rPr>
          <w:rFonts w:hint="eastAsia"/>
          <w:color w:val="auto"/>
          <w:spacing w:val="-3"/>
        </w:rPr>
        <w:t>委托代理人</w:t>
      </w:r>
      <w:r>
        <w:rPr>
          <w:rFonts w:hint="eastAsia"/>
          <w:color w:val="auto"/>
          <w:spacing w:val="-108"/>
        </w:rPr>
        <w:t>）</w:t>
      </w:r>
      <w:r>
        <w:rPr>
          <w:rFonts w:hint="eastAsia"/>
          <w:color w:val="auto"/>
          <w:spacing w:val="-3"/>
        </w:rPr>
        <w:t>、联系电话（</w:t>
      </w:r>
      <w:r>
        <w:rPr>
          <w:rFonts w:hint="eastAsia"/>
          <w:color w:val="auto"/>
          <w:spacing w:val="-2"/>
        </w:rPr>
        <w:t>手机</w:t>
      </w:r>
      <w:r>
        <w:rPr>
          <w:rFonts w:hint="eastAsia"/>
          <w:color w:val="auto"/>
        </w:rPr>
        <w:t>）</w:t>
      </w: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spacing w:before="7"/>
        <w:rPr>
          <w:color w:val="auto"/>
          <w:sz w:val="19"/>
        </w:rPr>
      </w:pPr>
    </w:p>
    <w:p>
      <w:pPr>
        <w:pStyle w:val="12"/>
        <w:ind w:left="1460"/>
        <w:rPr>
          <w:color w:val="auto"/>
        </w:rPr>
      </w:pPr>
      <w:r>
        <w:rPr>
          <w:rFonts w:hint="eastAsia"/>
          <w:color w:val="auto"/>
        </w:rPr>
        <w:t>（此处粘贴投标保证金缴纳凭证复印件并加盖单位公章）</w:t>
      </w: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spacing w:before="3"/>
        <w:rPr>
          <w:color w:val="auto"/>
          <w:sz w:val="17"/>
        </w:rPr>
      </w:pPr>
    </w:p>
    <w:p>
      <w:pPr>
        <w:pStyle w:val="12"/>
        <w:ind w:left="618"/>
        <w:rPr>
          <w:color w:val="auto"/>
        </w:rPr>
      </w:pPr>
      <w:r>
        <w:rPr>
          <w:rFonts w:hint="eastAsia"/>
          <w:color w:val="auto"/>
        </w:rPr>
        <w:t>说明：该声明除须装订进投标文件外，投标人应另单独准备一份 。</w:t>
      </w:r>
    </w:p>
    <w:p>
      <w:pPr>
        <w:rPr>
          <w:color w:val="auto"/>
        </w:rPr>
        <w:sectPr>
          <w:pgSz w:w="11910" w:h="16840"/>
          <w:pgMar w:top="1134" w:right="1134" w:bottom="1134" w:left="1180" w:header="0" w:footer="894" w:gutter="0"/>
          <w:pgNumType w:fmt="decimal"/>
          <w:cols w:equalWidth="0" w:num="1">
            <w:col w:w="10250"/>
          </w:cols>
          <w:rtlGutter w:val="0"/>
        </w:sectPr>
      </w:pPr>
    </w:p>
    <w:p>
      <w:pPr>
        <w:numPr>
          <w:ilvl w:val="0"/>
          <w:numId w:val="0"/>
        </w:numPr>
        <w:spacing w:before="71" w:line="211" w:lineRule="auto"/>
        <w:ind w:right="624" w:rightChars="0"/>
        <w:jc w:val="both"/>
        <w:outlineLvl w:val="0"/>
        <w:rPr>
          <w:b/>
          <w:color w:val="auto"/>
          <w:sz w:val="32"/>
        </w:rPr>
      </w:pPr>
      <w:bookmarkStart w:id="27" w:name="_Toc18624"/>
      <w:r>
        <w:rPr>
          <w:rFonts w:hint="eastAsia"/>
          <w:b/>
          <w:color w:val="auto"/>
          <w:spacing w:val="-9"/>
          <w:sz w:val="32"/>
          <w:lang w:val="en-US" w:eastAsia="zh-CN"/>
        </w:rPr>
        <w:t>6、</w:t>
      </w:r>
      <w:r>
        <w:rPr>
          <w:rFonts w:hint="eastAsia"/>
          <w:b/>
          <w:color w:val="auto"/>
          <w:spacing w:val="-9"/>
          <w:sz w:val="32"/>
        </w:rPr>
        <w:t xml:space="preserve">参加政府采购活动前 </w:t>
      </w:r>
      <w:r>
        <w:rPr>
          <w:rFonts w:hint="eastAsia"/>
          <w:b/>
          <w:color w:val="auto"/>
          <w:sz w:val="32"/>
        </w:rPr>
        <w:t>3</w:t>
      </w:r>
      <w:r>
        <w:rPr>
          <w:rFonts w:hint="eastAsia"/>
          <w:b/>
          <w:color w:val="auto"/>
          <w:spacing w:val="-10"/>
          <w:sz w:val="32"/>
        </w:rPr>
        <w:t xml:space="preserve"> 年内在经营活动中没有重大违法记录</w:t>
      </w:r>
      <w:r>
        <w:rPr>
          <w:rFonts w:hint="eastAsia"/>
          <w:b/>
          <w:color w:val="auto"/>
          <w:spacing w:val="-10"/>
          <w:sz w:val="32"/>
          <w:lang w:val="en-US" w:eastAsia="zh-CN"/>
        </w:rPr>
        <w:t xml:space="preserve">  </w:t>
      </w:r>
      <w:r>
        <w:rPr>
          <w:rFonts w:hint="eastAsia"/>
          <w:b/>
          <w:color w:val="auto"/>
          <w:spacing w:val="-10"/>
          <w:sz w:val="32"/>
        </w:rPr>
        <w:t>的书面声明</w:t>
      </w:r>
      <w:bookmarkEnd w:id="27"/>
    </w:p>
    <w:p>
      <w:pPr>
        <w:pStyle w:val="12"/>
        <w:rPr>
          <w:b/>
          <w:color w:val="auto"/>
          <w:sz w:val="25"/>
        </w:rPr>
      </w:pPr>
    </w:p>
    <w:p>
      <w:pPr>
        <w:ind w:left="830" w:right="834"/>
        <w:jc w:val="center"/>
        <w:outlineLvl w:val="0"/>
        <w:rPr>
          <w:b/>
          <w:color w:val="auto"/>
          <w:sz w:val="32"/>
        </w:rPr>
      </w:pPr>
      <w:bookmarkStart w:id="28" w:name="_Toc8339"/>
      <w:r>
        <w:rPr>
          <w:rFonts w:hint="eastAsia"/>
          <w:b/>
          <w:color w:val="auto"/>
          <w:sz w:val="32"/>
        </w:rPr>
        <w:t>声 明 函</w:t>
      </w:r>
      <w:bookmarkEnd w:id="28"/>
    </w:p>
    <w:p>
      <w:pPr>
        <w:pStyle w:val="12"/>
        <w:spacing w:before="10"/>
        <w:rPr>
          <w:b/>
          <w:color w:val="auto"/>
          <w:sz w:val="32"/>
        </w:rPr>
      </w:pPr>
    </w:p>
    <w:p>
      <w:pPr>
        <w:pStyle w:val="12"/>
        <w:ind w:left="618"/>
        <w:rPr>
          <w:color w:val="auto"/>
          <w:u w:val="single"/>
        </w:rPr>
      </w:pPr>
      <w:r>
        <w:rPr>
          <w:rFonts w:hint="eastAsia"/>
          <w:color w:val="auto"/>
        </w:rPr>
        <w:t>致：</w:t>
      </w:r>
      <w:r>
        <w:rPr>
          <w:rFonts w:hint="eastAsia"/>
          <w:color w:val="auto"/>
          <w:u w:val="single"/>
        </w:rPr>
        <w:t>广西盾邦工程项目管理有限公司</w:t>
      </w:r>
    </w:p>
    <w:p>
      <w:pPr>
        <w:pStyle w:val="12"/>
        <w:rPr>
          <w:color w:val="auto"/>
          <w:sz w:val="20"/>
        </w:rPr>
      </w:pPr>
    </w:p>
    <w:p>
      <w:pPr>
        <w:pStyle w:val="12"/>
        <w:spacing w:before="8"/>
        <w:rPr>
          <w:color w:val="auto"/>
          <w:sz w:val="17"/>
        </w:rPr>
      </w:pPr>
    </w:p>
    <w:p>
      <w:pPr>
        <w:pStyle w:val="12"/>
        <w:spacing w:line="357" w:lineRule="auto"/>
        <w:ind w:left="618" w:right="617" w:firstLine="424"/>
        <w:jc w:val="both"/>
        <w:rPr>
          <w:color w:val="auto"/>
        </w:rPr>
      </w:pPr>
      <w:r>
        <w:rPr>
          <w:rFonts w:hint="eastAsia"/>
          <w:color w:val="auto"/>
          <w:spacing w:val="-1"/>
        </w:rPr>
        <w:t>我公司参加政府采购活动前三年内，在经营活动中没有重大违法记录。我公司通过 “信用中</w:t>
      </w:r>
      <w:r>
        <w:rPr>
          <w:rFonts w:hint="eastAsia"/>
          <w:color w:val="auto"/>
          <w:spacing w:val="-56"/>
        </w:rPr>
        <w:t>国”</w:t>
      </w:r>
      <w:r>
        <w:rPr>
          <w:rFonts w:hint="eastAsia"/>
          <w:color w:val="auto"/>
          <w:spacing w:val="-1"/>
        </w:rPr>
        <w:t>（</w:t>
      </w:r>
      <w:r>
        <w:rPr>
          <w:color w:val="auto"/>
        </w:rPr>
        <w:fldChar w:fldCharType="begin"/>
      </w:r>
      <w:r>
        <w:rPr>
          <w:color w:val="auto"/>
        </w:rPr>
        <w:instrText xml:space="preserve"> HYPERLINK "http://www.creditchina.gov.cn/" \h </w:instrText>
      </w:r>
      <w:r>
        <w:rPr>
          <w:color w:val="auto"/>
        </w:rPr>
        <w:fldChar w:fldCharType="separate"/>
      </w:r>
      <w:r>
        <w:rPr>
          <w:rFonts w:hint="eastAsia"/>
          <w:color w:val="auto"/>
          <w:spacing w:val="-3"/>
        </w:rPr>
        <w:t>w</w:t>
      </w:r>
      <w:r>
        <w:rPr>
          <w:rFonts w:hint="eastAsia"/>
          <w:color w:val="auto"/>
        </w:rPr>
        <w:t>ww.</w:t>
      </w:r>
      <w:r>
        <w:rPr>
          <w:rFonts w:hint="eastAsia"/>
          <w:color w:val="auto"/>
          <w:spacing w:val="-3"/>
        </w:rPr>
        <w:t>c</w:t>
      </w:r>
      <w:r>
        <w:rPr>
          <w:rFonts w:hint="eastAsia"/>
          <w:color w:val="auto"/>
        </w:rPr>
        <w:t>red</w:t>
      </w:r>
      <w:r>
        <w:rPr>
          <w:rFonts w:hint="eastAsia"/>
          <w:color w:val="auto"/>
          <w:spacing w:val="-3"/>
        </w:rPr>
        <w:t>i</w:t>
      </w:r>
      <w:r>
        <w:rPr>
          <w:rFonts w:hint="eastAsia"/>
          <w:color w:val="auto"/>
        </w:rPr>
        <w:t>tch</w:t>
      </w:r>
      <w:r>
        <w:rPr>
          <w:rFonts w:hint="eastAsia"/>
          <w:color w:val="auto"/>
          <w:spacing w:val="-3"/>
        </w:rPr>
        <w:t>i</w:t>
      </w:r>
      <w:r>
        <w:rPr>
          <w:rFonts w:hint="eastAsia"/>
          <w:color w:val="auto"/>
        </w:rPr>
        <w:t>na.</w:t>
      </w:r>
      <w:r>
        <w:rPr>
          <w:rFonts w:hint="eastAsia"/>
          <w:color w:val="auto"/>
          <w:spacing w:val="-3"/>
        </w:rPr>
        <w:t>go</w:t>
      </w:r>
      <w:r>
        <w:rPr>
          <w:rFonts w:hint="eastAsia"/>
          <w:color w:val="auto"/>
        </w:rPr>
        <w:t>v.cn</w:t>
      </w:r>
      <w:r>
        <w:rPr>
          <w:rFonts w:hint="eastAsia"/>
          <w:color w:val="auto"/>
        </w:rPr>
        <w:fldChar w:fldCharType="end"/>
      </w:r>
      <w:r>
        <w:rPr>
          <w:rFonts w:hint="eastAsia"/>
          <w:color w:val="auto"/>
          <w:spacing w:val="-8"/>
        </w:rPr>
        <w:t>）</w:t>
      </w:r>
      <w:r>
        <w:rPr>
          <w:rFonts w:hint="eastAsia"/>
          <w:color w:val="auto"/>
          <w:spacing w:val="-5"/>
        </w:rPr>
        <w:t>和“中国政府采购网”网站</w:t>
      </w:r>
      <w:r>
        <w:rPr>
          <w:rFonts w:hint="eastAsia"/>
          <w:color w:val="auto"/>
        </w:rPr>
        <w:t>（</w:t>
      </w:r>
      <w:r>
        <w:rPr>
          <w:color w:val="auto"/>
        </w:rPr>
        <w:fldChar w:fldCharType="begin"/>
      </w:r>
      <w:r>
        <w:rPr>
          <w:color w:val="auto"/>
        </w:rPr>
        <w:instrText xml:space="preserve"> HYPERLINK "http://www.ccgp.gov.cn/" \h </w:instrText>
      </w:r>
      <w:r>
        <w:rPr>
          <w:color w:val="auto"/>
        </w:rPr>
        <w:fldChar w:fldCharType="separate"/>
      </w:r>
      <w:r>
        <w:rPr>
          <w:rFonts w:hint="eastAsia"/>
          <w:color w:val="auto"/>
          <w:spacing w:val="-3"/>
        </w:rPr>
        <w:t>w</w:t>
      </w:r>
      <w:r>
        <w:rPr>
          <w:rFonts w:hint="eastAsia"/>
          <w:color w:val="auto"/>
        </w:rPr>
        <w:t>ww.</w:t>
      </w:r>
      <w:r>
        <w:rPr>
          <w:rFonts w:hint="eastAsia"/>
          <w:color w:val="auto"/>
          <w:spacing w:val="-3"/>
        </w:rPr>
        <w:t>c</w:t>
      </w:r>
      <w:r>
        <w:rPr>
          <w:rFonts w:hint="eastAsia"/>
          <w:color w:val="auto"/>
        </w:rPr>
        <w:t>cgp</w:t>
      </w:r>
      <w:r>
        <w:rPr>
          <w:rFonts w:hint="eastAsia"/>
          <w:color w:val="auto"/>
          <w:spacing w:val="-3"/>
        </w:rPr>
        <w:t>.</w:t>
      </w:r>
      <w:r>
        <w:rPr>
          <w:rFonts w:hint="eastAsia"/>
          <w:color w:val="auto"/>
        </w:rPr>
        <w:t>gov</w:t>
      </w:r>
      <w:r>
        <w:rPr>
          <w:rFonts w:hint="eastAsia"/>
          <w:color w:val="auto"/>
          <w:spacing w:val="-3"/>
        </w:rPr>
        <w:t>.</w:t>
      </w:r>
      <w:r>
        <w:rPr>
          <w:rFonts w:hint="eastAsia"/>
          <w:color w:val="auto"/>
        </w:rPr>
        <w:t>cn</w:t>
      </w:r>
      <w:r>
        <w:rPr>
          <w:rFonts w:hint="eastAsia"/>
          <w:color w:val="auto"/>
        </w:rPr>
        <w:fldChar w:fldCharType="end"/>
      </w:r>
      <w:r>
        <w:rPr>
          <w:rFonts w:hint="eastAsia"/>
          <w:color w:val="auto"/>
          <w:spacing w:val="-5"/>
        </w:rPr>
        <w:t>）</w:t>
      </w:r>
      <w:r>
        <w:rPr>
          <w:rFonts w:hint="eastAsia"/>
          <w:color w:val="auto"/>
          <w:spacing w:val="-3"/>
        </w:rPr>
        <w:t>查询本公司的信</w:t>
      </w:r>
      <w:r>
        <w:rPr>
          <w:rFonts w:hint="eastAsia"/>
          <w:color w:val="auto"/>
          <w:spacing w:val="-7"/>
        </w:rPr>
        <w:t>用记录，没有被列入失信被执行人、重大税收违法案件当事人名单、政府采购严重违法失信行为记</w:t>
      </w:r>
      <w:r>
        <w:rPr>
          <w:rFonts w:hint="eastAsia"/>
          <w:color w:val="auto"/>
          <w:spacing w:val="-5"/>
        </w:rPr>
        <w:t>录名单。特此声明。</w:t>
      </w:r>
    </w:p>
    <w:p>
      <w:pPr>
        <w:pStyle w:val="12"/>
        <w:spacing w:line="267" w:lineRule="exact"/>
        <w:ind w:left="1040"/>
        <w:rPr>
          <w:color w:val="auto"/>
        </w:rPr>
      </w:pPr>
      <w:r>
        <w:rPr>
          <w:rFonts w:hint="eastAsia"/>
          <w:color w:val="auto"/>
        </w:rPr>
        <w:t>本公司对上述声明的真实性负责。如有虚假，将依法承担相应的责任。</w:t>
      </w: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tabs>
          <w:tab w:val="left" w:pos="5601"/>
        </w:tabs>
        <w:spacing w:before="156"/>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5603"/>
        </w:tabs>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3"/>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3"/>
        <w:rPr>
          <w:color w:val="auto"/>
          <w:sz w:val="19"/>
        </w:rPr>
      </w:pPr>
    </w:p>
    <w:p>
      <w:pPr>
        <w:pStyle w:val="12"/>
        <w:tabs>
          <w:tab w:val="left" w:pos="1669"/>
          <w:tab w:val="left" w:pos="2194"/>
          <w:tab w:val="left" w:pos="2720"/>
        </w:tabs>
        <w:ind w:left="618"/>
        <w:rPr>
          <w:color w:val="auto"/>
        </w:rPr>
      </w:pPr>
      <w:r>
        <w:rPr>
          <w:rFonts w:hint="eastAsia"/>
          <w:color w:val="auto"/>
        </w:rPr>
        <w:t>日期：</w:t>
      </w:r>
      <w:r>
        <w:rPr>
          <w:rFonts w:hint="eastAsia"/>
          <w:color w:val="auto"/>
        </w:rPr>
        <w:tab/>
      </w:r>
      <w:r>
        <w:rPr>
          <w:rFonts w:hint="eastAsia"/>
          <w:color w:val="auto"/>
        </w:rPr>
        <w:t>年</w:t>
      </w:r>
      <w:r>
        <w:rPr>
          <w:rFonts w:hint="eastAsia"/>
          <w:color w:val="auto"/>
        </w:rPr>
        <w:tab/>
      </w:r>
      <w:r>
        <w:rPr>
          <w:rFonts w:hint="eastAsia"/>
          <w:color w:val="auto"/>
        </w:rPr>
        <w:t>月</w:t>
      </w:r>
      <w:r>
        <w:rPr>
          <w:rFonts w:hint="eastAsia"/>
          <w:color w:val="auto"/>
        </w:rPr>
        <w:tab/>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spacing w:before="33"/>
        <w:rPr>
          <w:b/>
          <w:color w:val="auto"/>
          <w:sz w:val="32"/>
        </w:rPr>
      </w:pPr>
      <w:r>
        <w:rPr>
          <w:rFonts w:hint="eastAsia"/>
          <w:b/>
          <w:color w:val="auto"/>
          <w:sz w:val="32"/>
        </w:rPr>
        <w:t>9、（1）中小企业声明函</w:t>
      </w:r>
    </w:p>
    <w:p>
      <w:pPr>
        <w:pStyle w:val="12"/>
        <w:rPr>
          <w:b/>
          <w:color w:val="auto"/>
          <w:sz w:val="20"/>
        </w:rPr>
      </w:pPr>
    </w:p>
    <w:p>
      <w:pPr>
        <w:pStyle w:val="12"/>
        <w:spacing w:before="7"/>
        <w:rPr>
          <w:b/>
          <w:color w:val="auto"/>
          <w:sz w:val="16"/>
        </w:rPr>
      </w:pPr>
    </w:p>
    <w:p>
      <w:pPr>
        <w:pStyle w:val="5"/>
        <w:spacing w:before="62"/>
        <w:ind w:right="210"/>
        <w:rPr>
          <w:color w:val="auto"/>
        </w:rPr>
      </w:pPr>
      <w:r>
        <w:rPr>
          <w:rFonts w:hint="eastAsia"/>
          <w:color w:val="auto"/>
        </w:rPr>
        <w:t>中小企业声明函</w:t>
      </w:r>
    </w:p>
    <w:p>
      <w:pPr>
        <w:pStyle w:val="12"/>
        <w:rPr>
          <w:b/>
          <w:color w:val="auto"/>
          <w:sz w:val="28"/>
        </w:rPr>
      </w:pPr>
    </w:p>
    <w:p>
      <w:pPr>
        <w:pStyle w:val="12"/>
        <w:spacing w:before="3"/>
        <w:rPr>
          <w:b/>
          <w:color w:val="auto"/>
          <w:sz w:val="41"/>
        </w:rPr>
      </w:pPr>
    </w:p>
    <w:p>
      <w:pPr>
        <w:pStyle w:val="12"/>
        <w:tabs>
          <w:tab w:val="left" w:pos="4139"/>
        </w:tabs>
        <w:spacing w:line="525" w:lineRule="auto"/>
        <w:ind w:left="618" w:right="620" w:firstLine="443"/>
        <w:jc w:val="both"/>
        <w:rPr>
          <w:color w:val="auto"/>
        </w:rPr>
      </w:pPr>
      <w:r>
        <w:rPr>
          <w:rFonts w:hint="eastAsia"/>
          <w:color w:val="auto"/>
          <w:spacing w:val="11"/>
        </w:rPr>
        <w:t>本公司</w:t>
      </w:r>
      <w:r>
        <w:rPr>
          <w:rFonts w:hint="eastAsia"/>
          <w:color w:val="auto"/>
          <w:spacing w:val="9"/>
        </w:rPr>
        <w:t>郑</w:t>
      </w:r>
      <w:r>
        <w:rPr>
          <w:rFonts w:hint="eastAsia"/>
          <w:color w:val="auto"/>
          <w:spacing w:val="11"/>
        </w:rPr>
        <w:t>重声</w:t>
      </w:r>
      <w:r>
        <w:rPr>
          <w:rFonts w:hint="eastAsia"/>
          <w:color w:val="auto"/>
          <w:spacing w:val="9"/>
        </w:rPr>
        <w:t>明</w:t>
      </w:r>
      <w:r>
        <w:rPr>
          <w:rFonts w:hint="eastAsia"/>
          <w:color w:val="auto"/>
          <w:spacing w:val="11"/>
        </w:rPr>
        <w:t>，根</w:t>
      </w:r>
      <w:r>
        <w:rPr>
          <w:rFonts w:hint="eastAsia"/>
          <w:color w:val="auto"/>
          <w:spacing w:val="9"/>
        </w:rPr>
        <w:t>据《</w:t>
      </w:r>
      <w:r>
        <w:rPr>
          <w:rFonts w:hint="eastAsia"/>
          <w:color w:val="auto"/>
          <w:spacing w:val="11"/>
        </w:rPr>
        <w:t>政府采</w:t>
      </w:r>
      <w:r>
        <w:rPr>
          <w:rFonts w:hint="eastAsia"/>
          <w:color w:val="auto"/>
          <w:spacing w:val="9"/>
        </w:rPr>
        <w:t>购</w:t>
      </w:r>
      <w:r>
        <w:rPr>
          <w:rFonts w:hint="eastAsia"/>
          <w:color w:val="auto"/>
          <w:spacing w:val="11"/>
        </w:rPr>
        <w:t>促进</w:t>
      </w:r>
      <w:r>
        <w:rPr>
          <w:rFonts w:hint="eastAsia"/>
          <w:color w:val="auto"/>
          <w:spacing w:val="9"/>
        </w:rPr>
        <w:t>中</w:t>
      </w:r>
      <w:r>
        <w:rPr>
          <w:rFonts w:hint="eastAsia"/>
          <w:color w:val="auto"/>
          <w:spacing w:val="11"/>
        </w:rPr>
        <w:t>小企</w:t>
      </w:r>
      <w:r>
        <w:rPr>
          <w:rFonts w:hint="eastAsia"/>
          <w:color w:val="auto"/>
          <w:spacing w:val="9"/>
        </w:rPr>
        <w:t>业发</w:t>
      </w:r>
      <w:r>
        <w:rPr>
          <w:rFonts w:hint="eastAsia"/>
          <w:color w:val="auto"/>
          <w:spacing w:val="11"/>
        </w:rPr>
        <w:t>展暂行</w:t>
      </w:r>
      <w:r>
        <w:rPr>
          <w:rFonts w:hint="eastAsia"/>
          <w:color w:val="auto"/>
          <w:spacing w:val="9"/>
        </w:rPr>
        <w:t>办</w:t>
      </w:r>
      <w:r>
        <w:rPr>
          <w:rFonts w:hint="eastAsia"/>
          <w:color w:val="auto"/>
          <w:spacing w:val="11"/>
        </w:rPr>
        <w:t>法</w:t>
      </w:r>
      <w:r>
        <w:rPr>
          <w:rFonts w:hint="eastAsia"/>
          <w:color w:val="auto"/>
          <w:spacing w:val="-101"/>
        </w:rPr>
        <w:t>》</w:t>
      </w:r>
      <w:r>
        <w:rPr>
          <w:rFonts w:hint="eastAsia"/>
          <w:color w:val="auto"/>
          <w:spacing w:val="11"/>
        </w:rPr>
        <w:t>（财</w:t>
      </w:r>
      <w:r>
        <w:rPr>
          <w:rFonts w:hint="eastAsia"/>
          <w:color w:val="auto"/>
          <w:spacing w:val="19"/>
        </w:rPr>
        <w:t>库</w:t>
      </w:r>
      <w:r>
        <w:rPr>
          <w:rFonts w:hint="eastAsia"/>
          <w:color w:val="auto"/>
          <w:spacing w:val="3"/>
        </w:rPr>
        <w:t>[2011]181</w:t>
      </w:r>
      <w:r>
        <w:rPr>
          <w:rFonts w:hint="eastAsia"/>
          <w:color w:val="auto"/>
          <w:spacing w:val="52"/>
        </w:rPr>
        <w:t xml:space="preserve"> </w:t>
      </w:r>
      <w:r>
        <w:rPr>
          <w:rFonts w:hint="eastAsia"/>
          <w:color w:val="auto"/>
          <w:spacing w:val="12"/>
        </w:rPr>
        <w:t>号）的</w:t>
      </w:r>
      <w:r>
        <w:rPr>
          <w:rFonts w:hint="eastAsia"/>
          <w:color w:val="auto"/>
          <w:spacing w:val="11"/>
        </w:rPr>
        <w:t>规定</w:t>
      </w:r>
      <w:r>
        <w:rPr>
          <w:rFonts w:hint="eastAsia"/>
          <w:color w:val="auto"/>
          <w:spacing w:val="-3"/>
        </w:rPr>
        <w:t>，</w:t>
      </w:r>
      <w:r>
        <w:rPr>
          <w:rFonts w:hint="eastAsia"/>
          <w:color w:val="auto"/>
          <w:spacing w:val="11"/>
        </w:rPr>
        <w:t>本</w:t>
      </w:r>
      <w:r>
        <w:rPr>
          <w:rFonts w:hint="eastAsia"/>
          <w:color w:val="auto"/>
          <w:spacing w:val="9"/>
        </w:rPr>
        <w:t>公</w:t>
      </w:r>
      <w:r>
        <w:rPr>
          <w:rFonts w:hint="eastAsia"/>
          <w:color w:val="auto"/>
          <w:spacing w:val="11"/>
        </w:rPr>
        <w:t>司</w:t>
      </w:r>
      <w:r>
        <w:rPr>
          <w:rFonts w:hint="eastAsia"/>
          <w:color w:val="auto"/>
          <w:spacing w:val="12"/>
        </w:rPr>
        <w:t>为</w:t>
      </w:r>
      <w:r>
        <w:rPr>
          <w:rFonts w:hint="eastAsia"/>
          <w:color w:val="auto"/>
          <w:spacing w:val="12"/>
          <w:u w:val="single"/>
        </w:rPr>
        <w:t xml:space="preserve"> </w:t>
      </w:r>
      <w:r>
        <w:rPr>
          <w:rFonts w:hint="eastAsia"/>
          <w:color w:val="auto"/>
          <w:spacing w:val="12"/>
          <w:u w:val="single"/>
        </w:rPr>
        <w:tab/>
      </w:r>
      <w:r>
        <w:rPr>
          <w:rFonts w:hint="eastAsia"/>
          <w:color w:val="auto"/>
          <w:spacing w:val="11"/>
        </w:rPr>
        <w:t>（</w:t>
      </w:r>
      <w:r>
        <w:rPr>
          <w:rFonts w:hint="eastAsia"/>
          <w:color w:val="auto"/>
          <w:spacing w:val="9"/>
        </w:rPr>
        <w:t>请</w:t>
      </w:r>
      <w:r>
        <w:rPr>
          <w:rFonts w:hint="eastAsia"/>
          <w:color w:val="auto"/>
          <w:spacing w:val="11"/>
        </w:rPr>
        <w:t>填写</w:t>
      </w:r>
      <w:r>
        <w:rPr>
          <w:rFonts w:hint="eastAsia"/>
          <w:color w:val="auto"/>
          <w:spacing w:val="-3"/>
        </w:rPr>
        <w:t>：</w:t>
      </w:r>
      <w:r>
        <w:rPr>
          <w:rFonts w:hint="eastAsia"/>
          <w:color w:val="auto"/>
          <w:spacing w:val="11"/>
        </w:rPr>
        <w:t>中型</w:t>
      </w:r>
      <w:r>
        <w:rPr>
          <w:rFonts w:hint="eastAsia"/>
          <w:color w:val="auto"/>
          <w:spacing w:val="-3"/>
        </w:rPr>
        <w:t>、</w:t>
      </w:r>
      <w:r>
        <w:rPr>
          <w:rFonts w:hint="eastAsia"/>
          <w:color w:val="auto"/>
          <w:spacing w:val="11"/>
        </w:rPr>
        <w:t>小型</w:t>
      </w:r>
      <w:r>
        <w:rPr>
          <w:rFonts w:hint="eastAsia"/>
          <w:color w:val="auto"/>
          <w:spacing w:val="-3"/>
        </w:rPr>
        <w:t>、</w:t>
      </w:r>
      <w:r>
        <w:rPr>
          <w:rFonts w:hint="eastAsia"/>
          <w:color w:val="auto"/>
          <w:spacing w:val="11"/>
        </w:rPr>
        <w:t>微</w:t>
      </w:r>
      <w:r>
        <w:rPr>
          <w:rFonts w:hint="eastAsia"/>
          <w:color w:val="auto"/>
          <w:spacing w:val="9"/>
        </w:rPr>
        <w:t>型</w:t>
      </w:r>
      <w:r>
        <w:rPr>
          <w:rFonts w:hint="eastAsia"/>
          <w:color w:val="auto"/>
        </w:rPr>
        <w:t>）</w:t>
      </w:r>
      <w:r>
        <w:rPr>
          <w:rFonts w:hint="eastAsia"/>
          <w:color w:val="auto"/>
          <w:spacing w:val="11"/>
        </w:rPr>
        <w:t>企</w:t>
      </w:r>
      <w:r>
        <w:rPr>
          <w:rFonts w:hint="eastAsia"/>
          <w:color w:val="auto"/>
          <w:spacing w:val="9"/>
        </w:rPr>
        <w:t>业</w:t>
      </w:r>
      <w:r>
        <w:rPr>
          <w:rFonts w:hint="eastAsia"/>
          <w:color w:val="auto"/>
        </w:rPr>
        <w:t>。</w:t>
      </w:r>
      <w:r>
        <w:rPr>
          <w:rFonts w:hint="eastAsia"/>
          <w:color w:val="auto"/>
          <w:spacing w:val="11"/>
        </w:rPr>
        <w:t>即</w:t>
      </w:r>
      <w:r>
        <w:rPr>
          <w:rFonts w:hint="eastAsia"/>
          <w:color w:val="auto"/>
        </w:rPr>
        <w:t>，</w:t>
      </w:r>
      <w:r>
        <w:rPr>
          <w:rFonts w:hint="eastAsia"/>
          <w:color w:val="auto"/>
          <w:spacing w:val="9"/>
        </w:rPr>
        <w:t>本</w:t>
      </w:r>
      <w:r>
        <w:rPr>
          <w:rFonts w:hint="eastAsia"/>
          <w:color w:val="auto"/>
          <w:spacing w:val="11"/>
        </w:rPr>
        <w:t>公</w:t>
      </w:r>
      <w:r>
        <w:rPr>
          <w:rFonts w:hint="eastAsia"/>
          <w:color w:val="auto"/>
          <w:spacing w:val="9"/>
        </w:rPr>
        <w:t>司</w:t>
      </w:r>
      <w:r>
        <w:rPr>
          <w:rFonts w:hint="eastAsia"/>
          <w:color w:val="auto"/>
          <w:spacing w:val="11"/>
        </w:rPr>
        <w:t>同</w:t>
      </w:r>
      <w:r>
        <w:rPr>
          <w:rFonts w:hint="eastAsia"/>
          <w:color w:val="auto"/>
          <w:spacing w:val="9"/>
        </w:rPr>
        <w:t>时</w:t>
      </w:r>
      <w:r>
        <w:rPr>
          <w:rFonts w:hint="eastAsia"/>
          <w:color w:val="auto"/>
        </w:rPr>
        <w:t>满</w:t>
      </w:r>
      <w:r>
        <w:rPr>
          <w:rFonts w:hint="eastAsia"/>
          <w:color w:val="auto"/>
          <w:spacing w:val="11"/>
        </w:rPr>
        <w:t>足以</w:t>
      </w:r>
      <w:r>
        <w:rPr>
          <w:rFonts w:hint="eastAsia"/>
          <w:color w:val="auto"/>
          <w:spacing w:val="9"/>
        </w:rPr>
        <w:t>下</w:t>
      </w:r>
      <w:r>
        <w:rPr>
          <w:rFonts w:hint="eastAsia"/>
          <w:color w:val="auto"/>
          <w:spacing w:val="11"/>
        </w:rPr>
        <w:t>条</w:t>
      </w:r>
      <w:r>
        <w:rPr>
          <w:rFonts w:hint="eastAsia"/>
          <w:color w:val="auto"/>
          <w:spacing w:val="9"/>
        </w:rPr>
        <w:t>件</w:t>
      </w:r>
      <w:r>
        <w:rPr>
          <w:rFonts w:hint="eastAsia"/>
          <w:color w:val="auto"/>
        </w:rPr>
        <w:t>：</w:t>
      </w:r>
    </w:p>
    <w:p>
      <w:pPr>
        <w:pStyle w:val="31"/>
        <w:numPr>
          <w:ilvl w:val="0"/>
          <w:numId w:val="26"/>
        </w:numPr>
        <w:tabs>
          <w:tab w:val="left" w:pos="1286"/>
          <w:tab w:val="left" w:pos="9180"/>
        </w:tabs>
        <w:spacing w:line="525" w:lineRule="auto"/>
        <w:ind w:right="617" w:firstLine="443"/>
        <w:jc w:val="both"/>
        <w:rPr>
          <w:color w:val="auto"/>
          <w:sz w:val="21"/>
        </w:rPr>
      </w:pPr>
      <w:r>
        <w:rPr>
          <w:rFonts w:hint="eastAsia"/>
          <w:color w:val="auto"/>
          <w:spacing w:val="11"/>
          <w:sz w:val="21"/>
        </w:rPr>
        <w:t>根</w:t>
      </w:r>
      <w:r>
        <w:rPr>
          <w:rFonts w:hint="eastAsia"/>
          <w:color w:val="auto"/>
          <w:spacing w:val="-15"/>
          <w:sz w:val="21"/>
        </w:rPr>
        <w:t>据</w:t>
      </w:r>
      <w:r>
        <w:rPr>
          <w:rFonts w:hint="eastAsia"/>
          <w:color w:val="auto"/>
          <w:spacing w:val="9"/>
          <w:sz w:val="21"/>
        </w:rPr>
        <w:t>《</w:t>
      </w:r>
      <w:r>
        <w:rPr>
          <w:rFonts w:hint="eastAsia"/>
          <w:color w:val="auto"/>
          <w:spacing w:val="11"/>
          <w:sz w:val="21"/>
        </w:rPr>
        <w:t>工</w:t>
      </w:r>
      <w:r>
        <w:rPr>
          <w:rFonts w:hint="eastAsia"/>
          <w:color w:val="auto"/>
          <w:spacing w:val="10"/>
          <w:sz w:val="21"/>
        </w:rPr>
        <w:t>业</w:t>
      </w:r>
      <w:r>
        <w:rPr>
          <w:rFonts w:hint="eastAsia"/>
          <w:color w:val="auto"/>
          <w:spacing w:val="11"/>
          <w:sz w:val="21"/>
        </w:rPr>
        <w:t>和</w:t>
      </w:r>
      <w:r>
        <w:rPr>
          <w:rFonts w:hint="eastAsia"/>
          <w:color w:val="auto"/>
          <w:spacing w:val="9"/>
          <w:sz w:val="21"/>
        </w:rPr>
        <w:t>信</w:t>
      </w:r>
      <w:r>
        <w:rPr>
          <w:rFonts w:hint="eastAsia"/>
          <w:color w:val="auto"/>
          <w:spacing w:val="11"/>
          <w:sz w:val="21"/>
        </w:rPr>
        <w:t>息</w:t>
      </w:r>
      <w:r>
        <w:rPr>
          <w:rFonts w:hint="eastAsia"/>
          <w:color w:val="auto"/>
          <w:spacing w:val="9"/>
          <w:sz w:val="21"/>
        </w:rPr>
        <w:t>化部</w:t>
      </w:r>
      <w:r>
        <w:rPr>
          <w:rFonts w:hint="eastAsia"/>
          <w:color w:val="auto"/>
          <w:spacing w:val="-13"/>
          <w:sz w:val="21"/>
        </w:rPr>
        <w:t>、</w:t>
      </w:r>
      <w:r>
        <w:rPr>
          <w:rFonts w:hint="eastAsia"/>
          <w:color w:val="auto"/>
          <w:spacing w:val="9"/>
          <w:sz w:val="21"/>
        </w:rPr>
        <w:t>国</w:t>
      </w:r>
      <w:r>
        <w:rPr>
          <w:rFonts w:hint="eastAsia"/>
          <w:color w:val="auto"/>
          <w:spacing w:val="11"/>
          <w:sz w:val="21"/>
        </w:rPr>
        <w:t>家</w:t>
      </w:r>
      <w:r>
        <w:rPr>
          <w:rFonts w:hint="eastAsia"/>
          <w:color w:val="auto"/>
          <w:spacing w:val="9"/>
          <w:sz w:val="21"/>
        </w:rPr>
        <w:t>统</w:t>
      </w:r>
      <w:r>
        <w:rPr>
          <w:rFonts w:hint="eastAsia"/>
          <w:color w:val="auto"/>
          <w:spacing w:val="11"/>
          <w:sz w:val="21"/>
        </w:rPr>
        <w:t>计</w:t>
      </w:r>
      <w:r>
        <w:rPr>
          <w:rFonts w:hint="eastAsia"/>
          <w:color w:val="auto"/>
          <w:spacing w:val="9"/>
          <w:sz w:val="21"/>
        </w:rPr>
        <w:t>局</w:t>
      </w:r>
      <w:r>
        <w:rPr>
          <w:rFonts w:hint="eastAsia"/>
          <w:color w:val="auto"/>
          <w:spacing w:val="-15"/>
          <w:sz w:val="21"/>
        </w:rPr>
        <w:t>、</w:t>
      </w:r>
      <w:r>
        <w:rPr>
          <w:rFonts w:hint="eastAsia"/>
          <w:color w:val="auto"/>
          <w:spacing w:val="11"/>
          <w:sz w:val="21"/>
        </w:rPr>
        <w:t>国</w:t>
      </w:r>
      <w:r>
        <w:rPr>
          <w:rFonts w:hint="eastAsia"/>
          <w:color w:val="auto"/>
          <w:spacing w:val="9"/>
          <w:sz w:val="21"/>
        </w:rPr>
        <w:t>家</w:t>
      </w:r>
      <w:r>
        <w:rPr>
          <w:rFonts w:hint="eastAsia"/>
          <w:color w:val="auto"/>
          <w:spacing w:val="11"/>
          <w:sz w:val="21"/>
        </w:rPr>
        <w:t>发</w:t>
      </w:r>
      <w:r>
        <w:rPr>
          <w:rFonts w:hint="eastAsia"/>
          <w:color w:val="auto"/>
          <w:spacing w:val="9"/>
          <w:sz w:val="21"/>
        </w:rPr>
        <w:t>展</w:t>
      </w:r>
      <w:r>
        <w:rPr>
          <w:rFonts w:hint="eastAsia"/>
          <w:color w:val="auto"/>
          <w:spacing w:val="11"/>
          <w:sz w:val="21"/>
        </w:rPr>
        <w:t>和改</w:t>
      </w:r>
      <w:r>
        <w:rPr>
          <w:rFonts w:hint="eastAsia"/>
          <w:color w:val="auto"/>
          <w:spacing w:val="9"/>
          <w:sz w:val="21"/>
        </w:rPr>
        <w:t>革</w:t>
      </w:r>
      <w:r>
        <w:rPr>
          <w:rFonts w:hint="eastAsia"/>
          <w:color w:val="auto"/>
          <w:spacing w:val="11"/>
          <w:sz w:val="21"/>
        </w:rPr>
        <w:t>委</w:t>
      </w:r>
      <w:r>
        <w:rPr>
          <w:rFonts w:hint="eastAsia"/>
          <w:color w:val="auto"/>
          <w:spacing w:val="9"/>
          <w:sz w:val="21"/>
        </w:rPr>
        <w:t>员会</w:t>
      </w:r>
      <w:r>
        <w:rPr>
          <w:rFonts w:hint="eastAsia"/>
          <w:color w:val="auto"/>
          <w:spacing w:val="-13"/>
          <w:sz w:val="21"/>
        </w:rPr>
        <w:t>、</w:t>
      </w:r>
      <w:r>
        <w:rPr>
          <w:rFonts w:hint="eastAsia"/>
          <w:color w:val="auto"/>
          <w:spacing w:val="9"/>
          <w:sz w:val="21"/>
        </w:rPr>
        <w:t>财</w:t>
      </w:r>
      <w:r>
        <w:rPr>
          <w:rFonts w:hint="eastAsia"/>
          <w:color w:val="auto"/>
          <w:spacing w:val="11"/>
          <w:sz w:val="21"/>
        </w:rPr>
        <w:t>政</w:t>
      </w:r>
      <w:r>
        <w:rPr>
          <w:rFonts w:hint="eastAsia"/>
          <w:color w:val="auto"/>
          <w:spacing w:val="9"/>
          <w:sz w:val="21"/>
        </w:rPr>
        <w:t>部关</w:t>
      </w:r>
      <w:r>
        <w:rPr>
          <w:rFonts w:hint="eastAsia"/>
          <w:color w:val="auto"/>
          <w:spacing w:val="11"/>
          <w:sz w:val="21"/>
        </w:rPr>
        <w:t>于印</w:t>
      </w:r>
      <w:r>
        <w:rPr>
          <w:rFonts w:hint="eastAsia"/>
          <w:color w:val="auto"/>
          <w:spacing w:val="9"/>
          <w:sz w:val="21"/>
        </w:rPr>
        <w:t>发</w:t>
      </w:r>
      <w:r>
        <w:rPr>
          <w:rFonts w:hint="eastAsia"/>
          <w:color w:val="auto"/>
          <w:spacing w:val="11"/>
          <w:sz w:val="21"/>
        </w:rPr>
        <w:t>中</w:t>
      </w:r>
      <w:r>
        <w:rPr>
          <w:rFonts w:hint="eastAsia"/>
          <w:color w:val="auto"/>
          <w:spacing w:val="9"/>
          <w:sz w:val="21"/>
        </w:rPr>
        <w:t>小</w:t>
      </w:r>
      <w:r>
        <w:rPr>
          <w:rFonts w:hint="eastAsia"/>
          <w:color w:val="auto"/>
          <w:sz w:val="21"/>
        </w:rPr>
        <w:t>企</w:t>
      </w:r>
      <w:r>
        <w:rPr>
          <w:rFonts w:hint="eastAsia"/>
          <w:color w:val="auto"/>
          <w:spacing w:val="11"/>
          <w:sz w:val="21"/>
        </w:rPr>
        <w:t>业划</w:t>
      </w:r>
      <w:r>
        <w:rPr>
          <w:rFonts w:hint="eastAsia"/>
          <w:color w:val="auto"/>
          <w:spacing w:val="9"/>
          <w:sz w:val="21"/>
        </w:rPr>
        <w:t>型</w:t>
      </w:r>
      <w:r>
        <w:rPr>
          <w:rFonts w:hint="eastAsia"/>
          <w:color w:val="auto"/>
          <w:spacing w:val="11"/>
          <w:sz w:val="21"/>
        </w:rPr>
        <w:t>标</w:t>
      </w:r>
      <w:r>
        <w:rPr>
          <w:rFonts w:hint="eastAsia"/>
          <w:color w:val="auto"/>
          <w:spacing w:val="9"/>
          <w:sz w:val="21"/>
        </w:rPr>
        <w:t>准</w:t>
      </w:r>
      <w:r>
        <w:rPr>
          <w:rFonts w:hint="eastAsia"/>
          <w:color w:val="auto"/>
          <w:spacing w:val="11"/>
          <w:sz w:val="21"/>
        </w:rPr>
        <w:t>规</w:t>
      </w:r>
      <w:r>
        <w:rPr>
          <w:rFonts w:hint="eastAsia"/>
          <w:color w:val="auto"/>
          <w:spacing w:val="9"/>
          <w:sz w:val="21"/>
        </w:rPr>
        <w:t>定</w:t>
      </w:r>
      <w:r>
        <w:rPr>
          <w:rFonts w:hint="eastAsia"/>
          <w:color w:val="auto"/>
          <w:spacing w:val="11"/>
          <w:sz w:val="21"/>
        </w:rPr>
        <w:t>的</w:t>
      </w:r>
      <w:r>
        <w:rPr>
          <w:rFonts w:hint="eastAsia"/>
          <w:color w:val="auto"/>
          <w:spacing w:val="9"/>
          <w:sz w:val="21"/>
        </w:rPr>
        <w:t>通知</w:t>
      </w:r>
      <w:r>
        <w:rPr>
          <w:rFonts w:hint="eastAsia"/>
          <w:color w:val="auto"/>
          <w:spacing w:val="-205"/>
          <w:sz w:val="21"/>
        </w:rPr>
        <w:t>》</w:t>
      </w:r>
      <w:r>
        <w:rPr>
          <w:rFonts w:hint="eastAsia"/>
          <w:color w:val="auto"/>
          <w:spacing w:val="9"/>
          <w:sz w:val="21"/>
        </w:rPr>
        <w:t>（</w:t>
      </w:r>
      <w:r>
        <w:rPr>
          <w:rFonts w:hint="eastAsia"/>
          <w:color w:val="auto"/>
          <w:spacing w:val="11"/>
          <w:sz w:val="21"/>
        </w:rPr>
        <w:t>工信</w:t>
      </w:r>
      <w:r>
        <w:rPr>
          <w:rFonts w:hint="eastAsia"/>
          <w:color w:val="auto"/>
          <w:spacing w:val="9"/>
          <w:sz w:val="21"/>
        </w:rPr>
        <w:t>部</w:t>
      </w:r>
      <w:r>
        <w:rPr>
          <w:rFonts w:hint="eastAsia"/>
          <w:color w:val="auto"/>
          <w:spacing w:val="11"/>
          <w:sz w:val="21"/>
        </w:rPr>
        <w:t>联</w:t>
      </w:r>
      <w:r>
        <w:rPr>
          <w:rFonts w:hint="eastAsia"/>
          <w:color w:val="auto"/>
          <w:spacing w:val="9"/>
          <w:sz w:val="21"/>
        </w:rPr>
        <w:t>企</w:t>
      </w:r>
      <w:r>
        <w:rPr>
          <w:rFonts w:hint="eastAsia"/>
          <w:color w:val="auto"/>
          <w:spacing w:val="16"/>
          <w:sz w:val="21"/>
        </w:rPr>
        <w:t>业</w:t>
      </w:r>
      <w:r>
        <w:rPr>
          <w:rFonts w:hint="eastAsia"/>
          <w:color w:val="auto"/>
          <w:spacing w:val="3"/>
          <w:sz w:val="21"/>
        </w:rPr>
        <w:t>[2011]300</w:t>
      </w:r>
      <w:r>
        <w:rPr>
          <w:rFonts w:hint="eastAsia"/>
          <w:color w:val="auto"/>
          <w:spacing w:val="1"/>
          <w:sz w:val="21"/>
        </w:rPr>
        <w:t xml:space="preserve"> </w:t>
      </w:r>
      <w:r>
        <w:rPr>
          <w:rFonts w:hint="eastAsia"/>
          <w:color w:val="auto"/>
          <w:spacing w:val="11"/>
          <w:sz w:val="21"/>
        </w:rPr>
        <w:t>号</w:t>
      </w:r>
      <w:r>
        <w:rPr>
          <w:rFonts w:hint="eastAsia"/>
          <w:color w:val="auto"/>
          <w:spacing w:val="-97"/>
          <w:sz w:val="21"/>
        </w:rPr>
        <w:t>）</w:t>
      </w:r>
      <w:r>
        <w:rPr>
          <w:rFonts w:hint="eastAsia"/>
          <w:color w:val="auto"/>
          <w:spacing w:val="11"/>
          <w:sz w:val="21"/>
        </w:rPr>
        <w:t>规</w:t>
      </w:r>
      <w:r>
        <w:rPr>
          <w:rFonts w:hint="eastAsia"/>
          <w:color w:val="auto"/>
          <w:spacing w:val="9"/>
          <w:sz w:val="21"/>
        </w:rPr>
        <w:t>定</w:t>
      </w:r>
      <w:r>
        <w:rPr>
          <w:rFonts w:hint="eastAsia"/>
          <w:color w:val="auto"/>
          <w:spacing w:val="11"/>
          <w:sz w:val="21"/>
        </w:rPr>
        <w:t>的</w:t>
      </w:r>
      <w:r>
        <w:rPr>
          <w:rFonts w:hint="eastAsia"/>
          <w:color w:val="auto"/>
          <w:spacing w:val="9"/>
          <w:sz w:val="21"/>
        </w:rPr>
        <w:t>划</w:t>
      </w:r>
      <w:r>
        <w:rPr>
          <w:rFonts w:hint="eastAsia"/>
          <w:color w:val="auto"/>
          <w:spacing w:val="11"/>
          <w:sz w:val="21"/>
        </w:rPr>
        <w:t>分</w:t>
      </w:r>
      <w:r>
        <w:rPr>
          <w:rFonts w:hint="eastAsia"/>
          <w:color w:val="auto"/>
          <w:spacing w:val="9"/>
          <w:sz w:val="21"/>
        </w:rPr>
        <w:t>标</w:t>
      </w:r>
      <w:r>
        <w:rPr>
          <w:rFonts w:hint="eastAsia"/>
          <w:color w:val="auto"/>
          <w:spacing w:val="11"/>
          <w:sz w:val="21"/>
        </w:rPr>
        <w:t>准</w:t>
      </w:r>
      <w:r>
        <w:rPr>
          <w:rFonts w:hint="eastAsia"/>
          <w:color w:val="auto"/>
          <w:spacing w:val="-97"/>
          <w:sz w:val="21"/>
        </w:rPr>
        <w:t>，</w:t>
      </w:r>
      <w:r>
        <w:rPr>
          <w:rFonts w:hint="eastAsia"/>
          <w:color w:val="auto"/>
          <w:spacing w:val="11"/>
          <w:sz w:val="21"/>
        </w:rPr>
        <w:t>本</w:t>
      </w:r>
      <w:r>
        <w:rPr>
          <w:rFonts w:hint="eastAsia"/>
          <w:color w:val="auto"/>
          <w:spacing w:val="9"/>
          <w:sz w:val="21"/>
        </w:rPr>
        <w:t>公</w:t>
      </w:r>
      <w:r>
        <w:rPr>
          <w:rFonts w:hint="eastAsia"/>
          <w:color w:val="auto"/>
          <w:spacing w:val="11"/>
          <w:sz w:val="21"/>
        </w:rPr>
        <w:t>司</w:t>
      </w:r>
      <w:r>
        <w:rPr>
          <w:rFonts w:hint="eastAsia"/>
          <w:color w:val="auto"/>
          <w:spacing w:val="15"/>
          <w:sz w:val="21"/>
        </w:rPr>
        <w:t>为</w:t>
      </w:r>
      <w:r>
        <w:rPr>
          <w:rFonts w:hint="eastAsia"/>
          <w:color w:val="auto"/>
          <w:spacing w:val="15"/>
          <w:sz w:val="21"/>
          <w:u w:val="single"/>
        </w:rPr>
        <w:t xml:space="preserve"> </w:t>
      </w:r>
      <w:r>
        <w:rPr>
          <w:rFonts w:hint="eastAsia"/>
          <w:color w:val="auto"/>
          <w:spacing w:val="15"/>
          <w:sz w:val="21"/>
          <w:u w:val="single"/>
        </w:rPr>
        <w:tab/>
      </w:r>
      <w:r>
        <w:rPr>
          <w:rFonts w:hint="eastAsia"/>
          <w:color w:val="auto"/>
          <w:spacing w:val="12"/>
          <w:sz w:val="21"/>
          <w:u w:val="single"/>
        </w:rPr>
        <w:t>（</w:t>
      </w:r>
      <w:r>
        <w:rPr>
          <w:rFonts w:hint="eastAsia"/>
          <w:color w:val="auto"/>
          <w:spacing w:val="-5"/>
          <w:sz w:val="21"/>
        </w:rPr>
        <w:t>请</w:t>
      </w:r>
      <w:r>
        <w:rPr>
          <w:rFonts w:hint="eastAsia"/>
          <w:color w:val="auto"/>
          <w:spacing w:val="11"/>
          <w:sz w:val="21"/>
        </w:rPr>
        <w:t>填写</w:t>
      </w:r>
      <w:r>
        <w:rPr>
          <w:rFonts w:hint="eastAsia"/>
          <w:color w:val="auto"/>
          <w:spacing w:val="9"/>
          <w:sz w:val="21"/>
        </w:rPr>
        <w:t>：</w:t>
      </w:r>
      <w:r>
        <w:rPr>
          <w:rFonts w:hint="eastAsia"/>
          <w:color w:val="auto"/>
          <w:spacing w:val="11"/>
          <w:sz w:val="21"/>
        </w:rPr>
        <w:t>中</w:t>
      </w:r>
      <w:r>
        <w:rPr>
          <w:rFonts w:hint="eastAsia"/>
          <w:color w:val="auto"/>
          <w:spacing w:val="9"/>
          <w:sz w:val="21"/>
        </w:rPr>
        <w:t>型</w:t>
      </w:r>
      <w:r>
        <w:rPr>
          <w:rFonts w:hint="eastAsia"/>
          <w:color w:val="auto"/>
          <w:spacing w:val="11"/>
          <w:sz w:val="21"/>
        </w:rPr>
        <w:t>、</w:t>
      </w:r>
      <w:r>
        <w:rPr>
          <w:rFonts w:hint="eastAsia"/>
          <w:color w:val="auto"/>
          <w:spacing w:val="9"/>
          <w:sz w:val="21"/>
        </w:rPr>
        <w:t>小</w:t>
      </w:r>
      <w:r>
        <w:rPr>
          <w:rFonts w:hint="eastAsia"/>
          <w:color w:val="auto"/>
          <w:spacing w:val="11"/>
          <w:sz w:val="21"/>
        </w:rPr>
        <w:t>型</w:t>
      </w:r>
      <w:r>
        <w:rPr>
          <w:rFonts w:hint="eastAsia"/>
          <w:color w:val="auto"/>
          <w:spacing w:val="9"/>
          <w:sz w:val="21"/>
        </w:rPr>
        <w:t>、</w:t>
      </w:r>
      <w:r>
        <w:rPr>
          <w:rFonts w:hint="eastAsia"/>
          <w:color w:val="auto"/>
          <w:spacing w:val="11"/>
          <w:sz w:val="21"/>
        </w:rPr>
        <w:t>微</w:t>
      </w:r>
      <w:r>
        <w:rPr>
          <w:rFonts w:hint="eastAsia"/>
          <w:color w:val="auto"/>
          <w:spacing w:val="9"/>
          <w:sz w:val="21"/>
        </w:rPr>
        <w:t>型</w:t>
      </w:r>
      <w:r>
        <w:rPr>
          <w:rFonts w:hint="eastAsia"/>
          <w:color w:val="auto"/>
          <w:spacing w:val="11"/>
          <w:sz w:val="21"/>
        </w:rPr>
        <w:t>）企</w:t>
      </w:r>
      <w:r>
        <w:rPr>
          <w:rFonts w:hint="eastAsia"/>
          <w:color w:val="auto"/>
          <w:spacing w:val="9"/>
          <w:sz w:val="21"/>
        </w:rPr>
        <w:t>业</w:t>
      </w:r>
      <w:r>
        <w:rPr>
          <w:rFonts w:hint="eastAsia"/>
          <w:color w:val="auto"/>
          <w:sz w:val="21"/>
        </w:rPr>
        <w:t>。</w:t>
      </w:r>
    </w:p>
    <w:p>
      <w:pPr>
        <w:pStyle w:val="31"/>
        <w:numPr>
          <w:ilvl w:val="0"/>
          <w:numId w:val="26"/>
        </w:numPr>
        <w:tabs>
          <w:tab w:val="left" w:pos="1286"/>
          <w:tab w:val="left" w:pos="3719"/>
          <w:tab w:val="left" w:pos="5586"/>
          <w:tab w:val="left" w:pos="6278"/>
        </w:tabs>
        <w:spacing w:line="525" w:lineRule="auto"/>
        <w:ind w:right="635" w:firstLine="443"/>
        <w:jc w:val="both"/>
        <w:rPr>
          <w:color w:val="auto"/>
          <w:sz w:val="21"/>
        </w:rPr>
      </w:pPr>
      <w:r>
        <w:rPr>
          <w:rFonts w:hint="eastAsia"/>
          <w:color w:val="auto"/>
          <w:spacing w:val="14"/>
          <w:sz w:val="21"/>
        </w:rPr>
        <w:t>本公</w:t>
      </w:r>
      <w:r>
        <w:rPr>
          <w:rFonts w:hint="eastAsia"/>
          <w:color w:val="auto"/>
          <w:spacing w:val="11"/>
          <w:sz w:val="21"/>
        </w:rPr>
        <w:t>司</w:t>
      </w:r>
      <w:r>
        <w:rPr>
          <w:rFonts w:hint="eastAsia"/>
          <w:color w:val="auto"/>
          <w:spacing w:val="14"/>
          <w:sz w:val="21"/>
        </w:rPr>
        <w:t>参</w:t>
      </w:r>
      <w:r>
        <w:rPr>
          <w:rFonts w:hint="eastAsia"/>
          <w:color w:val="auto"/>
          <w:spacing w:val="15"/>
          <w:sz w:val="21"/>
        </w:rPr>
        <w:t>加</w:t>
      </w:r>
      <w:r>
        <w:rPr>
          <w:rFonts w:hint="eastAsia"/>
          <w:color w:val="auto"/>
          <w:spacing w:val="15"/>
          <w:sz w:val="21"/>
          <w:u w:val="single"/>
        </w:rPr>
        <w:t xml:space="preserve"> </w:t>
      </w:r>
      <w:r>
        <w:rPr>
          <w:rFonts w:hint="eastAsia"/>
          <w:color w:val="auto"/>
          <w:spacing w:val="15"/>
          <w:sz w:val="21"/>
          <w:u w:val="single"/>
        </w:rPr>
        <w:tab/>
      </w:r>
      <w:r>
        <w:rPr>
          <w:rFonts w:hint="eastAsia"/>
          <w:color w:val="auto"/>
          <w:spacing w:val="14"/>
          <w:sz w:val="21"/>
        </w:rPr>
        <w:t>单位的</w:t>
      </w:r>
      <w:r>
        <w:rPr>
          <w:rFonts w:hint="eastAsia"/>
          <w:color w:val="auto"/>
          <w:spacing w:val="14"/>
          <w:sz w:val="21"/>
          <w:u w:val="single"/>
        </w:rPr>
        <w:t xml:space="preserve"> </w:t>
      </w:r>
      <w:r>
        <w:rPr>
          <w:rFonts w:hint="eastAsia"/>
          <w:color w:val="auto"/>
          <w:spacing w:val="14"/>
          <w:sz w:val="21"/>
          <w:u w:val="single"/>
        </w:rPr>
        <w:tab/>
      </w:r>
      <w:r>
        <w:rPr>
          <w:rFonts w:hint="eastAsia"/>
          <w:color w:val="auto"/>
          <w:spacing w:val="11"/>
          <w:sz w:val="21"/>
        </w:rPr>
        <w:t>项</w:t>
      </w:r>
      <w:r>
        <w:rPr>
          <w:rFonts w:hint="eastAsia"/>
          <w:color w:val="auto"/>
          <w:spacing w:val="14"/>
          <w:sz w:val="21"/>
        </w:rPr>
        <w:t>目</w:t>
      </w:r>
      <w:r>
        <w:rPr>
          <w:rFonts w:hint="eastAsia"/>
          <w:color w:val="auto"/>
          <w:spacing w:val="11"/>
          <w:sz w:val="21"/>
        </w:rPr>
        <w:t>采</w:t>
      </w:r>
      <w:r>
        <w:rPr>
          <w:rFonts w:hint="eastAsia"/>
          <w:color w:val="auto"/>
          <w:spacing w:val="14"/>
          <w:sz w:val="21"/>
        </w:rPr>
        <w:t>购</w:t>
      </w:r>
      <w:r>
        <w:rPr>
          <w:rFonts w:hint="eastAsia"/>
          <w:color w:val="auto"/>
          <w:spacing w:val="11"/>
          <w:sz w:val="21"/>
        </w:rPr>
        <w:t>活</w:t>
      </w:r>
      <w:r>
        <w:rPr>
          <w:rFonts w:hint="eastAsia"/>
          <w:color w:val="auto"/>
          <w:spacing w:val="14"/>
          <w:sz w:val="21"/>
        </w:rPr>
        <w:t>动</w:t>
      </w:r>
      <w:r>
        <w:rPr>
          <w:rFonts w:hint="eastAsia"/>
          <w:color w:val="auto"/>
          <w:spacing w:val="11"/>
          <w:sz w:val="21"/>
        </w:rPr>
        <w:t>提</w:t>
      </w:r>
      <w:r>
        <w:rPr>
          <w:rFonts w:hint="eastAsia"/>
          <w:color w:val="auto"/>
          <w:spacing w:val="14"/>
          <w:sz w:val="21"/>
        </w:rPr>
        <w:t>供</w:t>
      </w:r>
      <w:r>
        <w:rPr>
          <w:rFonts w:hint="eastAsia"/>
          <w:color w:val="auto"/>
          <w:spacing w:val="11"/>
          <w:sz w:val="21"/>
        </w:rPr>
        <w:t>本</w:t>
      </w:r>
      <w:r>
        <w:rPr>
          <w:rFonts w:hint="eastAsia"/>
          <w:color w:val="auto"/>
          <w:spacing w:val="14"/>
          <w:sz w:val="21"/>
        </w:rPr>
        <w:t>企</w:t>
      </w:r>
      <w:r>
        <w:rPr>
          <w:rFonts w:hint="eastAsia"/>
          <w:color w:val="auto"/>
          <w:spacing w:val="11"/>
          <w:sz w:val="21"/>
        </w:rPr>
        <w:t>业</w:t>
      </w:r>
      <w:r>
        <w:rPr>
          <w:rFonts w:hint="eastAsia"/>
          <w:color w:val="auto"/>
          <w:spacing w:val="14"/>
          <w:sz w:val="21"/>
        </w:rPr>
        <w:t>制</w:t>
      </w:r>
      <w:r>
        <w:rPr>
          <w:rFonts w:hint="eastAsia"/>
          <w:color w:val="auto"/>
          <w:spacing w:val="11"/>
          <w:sz w:val="21"/>
        </w:rPr>
        <w:t>造</w:t>
      </w:r>
      <w:r>
        <w:rPr>
          <w:rFonts w:hint="eastAsia"/>
          <w:color w:val="auto"/>
          <w:spacing w:val="14"/>
          <w:sz w:val="21"/>
        </w:rPr>
        <w:t>的</w:t>
      </w:r>
      <w:r>
        <w:rPr>
          <w:rFonts w:hint="eastAsia"/>
          <w:color w:val="auto"/>
          <w:spacing w:val="11"/>
          <w:sz w:val="21"/>
        </w:rPr>
        <w:t>货</w:t>
      </w:r>
      <w:r>
        <w:rPr>
          <w:rFonts w:hint="eastAsia"/>
          <w:color w:val="auto"/>
          <w:spacing w:val="14"/>
          <w:sz w:val="21"/>
        </w:rPr>
        <w:t>物</w:t>
      </w:r>
      <w:r>
        <w:rPr>
          <w:rFonts w:hint="eastAsia"/>
          <w:color w:val="auto"/>
          <w:spacing w:val="11"/>
          <w:sz w:val="21"/>
        </w:rPr>
        <w:t>，</w:t>
      </w:r>
      <w:r>
        <w:rPr>
          <w:rFonts w:hint="eastAsia"/>
          <w:color w:val="auto"/>
          <w:sz w:val="21"/>
        </w:rPr>
        <w:t>由</w:t>
      </w:r>
      <w:r>
        <w:rPr>
          <w:rFonts w:hint="eastAsia"/>
          <w:color w:val="auto"/>
          <w:spacing w:val="12"/>
          <w:sz w:val="21"/>
        </w:rPr>
        <w:t>本企业承担工程、提供服务，或者提供其他</w:t>
      </w:r>
      <w:r>
        <w:rPr>
          <w:rFonts w:hint="eastAsia"/>
          <w:color w:val="auto"/>
          <w:spacing w:val="12"/>
          <w:sz w:val="21"/>
          <w:u w:val="single"/>
        </w:rPr>
        <w:t xml:space="preserve"> </w:t>
      </w:r>
      <w:r>
        <w:rPr>
          <w:rFonts w:hint="eastAsia"/>
          <w:color w:val="auto"/>
          <w:spacing w:val="12"/>
          <w:sz w:val="21"/>
          <w:u w:val="single"/>
        </w:rPr>
        <w:tab/>
      </w:r>
      <w:r>
        <w:rPr>
          <w:rFonts w:hint="eastAsia"/>
          <w:color w:val="auto"/>
          <w:spacing w:val="12"/>
          <w:sz w:val="21"/>
          <w:u w:val="single"/>
        </w:rPr>
        <w:tab/>
      </w:r>
      <w:r>
        <w:rPr>
          <w:rFonts w:hint="eastAsia"/>
          <w:color w:val="auto"/>
          <w:spacing w:val="11"/>
          <w:sz w:val="21"/>
        </w:rPr>
        <w:t>（请填写：中</w:t>
      </w:r>
      <w:r>
        <w:rPr>
          <w:rFonts w:hint="eastAsia"/>
          <w:color w:val="auto"/>
          <w:spacing w:val="9"/>
          <w:sz w:val="21"/>
        </w:rPr>
        <w:t>型</w:t>
      </w:r>
      <w:r>
        <w:rPr>
          <w:rFonts w:hint="eastAsia"/>
          <w:color w:val="auto"/>
          <w:spacing w:val="11"/>
          <w:sz w:val="21"/>
        </w:rPr>
        <w:t>、小型、微型）</w:t>
      </w:r>
      <w:r>
        <w:rPr>
          <w:rFonts w:hint="eastAsia"/>
          <w:color w:val="auto"/>
          <w:sz w:val="21"/>
        </w:rPr>
        <w:t>企</w:t>
      </w:r>
      <w:r>
        <w:rPr>
          <w:rFonts w:hint="eastAsia"/>
          <w:color w:val="auto"/>
          <w:spacing w:val="11"/>
          <w:sz w:val="21"/>
        </w:rPr>
        <w:t>业制</w:t>
      </w:r>
      <w:r>
        <w:rPr>
          <w:rFonts w:hint="eastAsia"/>
          <w:color w:val="auto"/>
          <w:spacing w:val="9"/>
          <w:sz w:val="21"/>
        </w:rPr>
        <w:t>造</w:t>
      </w:r>
      <w:r>
        <w:rPr>
          <w:rFonts w:hint="eastAsia"/>
          <w:color w:val="auto"/>
          <w:spacing w:val="11"/>
          <w:sz w:val="21"/>
        </w:rPr>
        <w:t>的</w:t>
      </w:r>
      <w:r>
        <w:rPr>
          <w:rFonts w:hint="eastAsia"/>
          <w:color w:val="auto"/>
          <w:spacing w:val="9"/>
          <w:sz w:val="21"/>
        </w:rPr>
        <w:t>货</w:t>
      </w:r>
      <w:r>
        <w:rPr>
          <w:rFonts w:hint="eastAsia"/>
          <w:color w:val="auto"/>
          <w:spacing w:val="11"/>
          <w:sz w:val="21"/>
        </w:rPr>
        <w:t>物</w:t>
      </w:r>
      <w:r>
        <w:rPr>
          <w:rFonts w:hint="eastAsia"/>
          <w:color w:val="auto"/>
          <w:spacing w:val="9"/>
          <w:sz w:val="21"/>
        </w:rPr>
        <w:t>。</w:t>
      </w:r>
      <w:r>
        <w:rPr>
          <w:rFonts w:hint="eastAsia"/>
          <w:color w:val="auto"/>
          <w:spacing w:val="11"/>
          <w:sz w:val="21"/>
        </w:rPr>
        <w:t>本</w:t>
      </w:r>
      <w:r>
        <w:rPr>
          <w:rFonts w:hint="eastAsia"/>
          <w:color w:val="auto"/>
          <w:spacing w:val="9"/>
          <w:sz w:val="21"/>
        </w:rPr>
        <w:t>条</w:t>
      </w:r>
      <w:r>
        <w:rPr>
          <w:rFonts w:hint="eastAsia"/>
          <w:color w:val="auto"/>
          <w:spacing w:val="11"/>
          <w:sz w:val="21"/>
        </w:rPr>
        <w:t>所</w:t>
      </w:r>
      <w:r>
        <w:rPr>
          <w:rFonts w:hint="eastAsia"/>
          <w:color w:val="auto"/>
          <w:spacing w:val="9"/>
          <w:sz w:val="21"/>
        </w:rPr>
        <w:t>称</w:t>
      </w:r>
      <w:r>
        <w:rPr>
          <w:rFonts w:hint="eastAsia"/>
          <w:color w:val="auto"/>
          <w:spacing w:val="11"/>
          <w:sz w:val="21"/>
        </w:rPr>
        <w:t>货物</w:t>
      </w:r>
      <w:r>
        <w:rPr>
          <w:rFonts w:hint="eastAsia"/>
          <w:color w:val="auto"/>
          <w:spacing w:val="9"/>
          <w:sz w:val="21"/>
        </w:rPr>
        <w:t>不</w:t>
      </w:r>
      <w:r>
        <w:rPr>
          <w:rFonts w:hint="eastAsia"/>
          <w:color w:val="auto"/>
          <w:spacing w:val="11"/>
          <w:sz w:val="21"/>
        </w:rPr>
        <w:t>包</w:t>
      </w:r>
      <w:r>
        <w:rPr>
          <w:rFonts w:hint="eastAsia"/>
          <w:color w:val="auto"/>
          <w:spacing w:val="9"/>
          <w:sz w:val="21"/>
        </w:rPr>
        <w:t>括</w:t>
      </w:r>
      <w:r>
        <w:rPr>
          <w:rFonts w:hint="eastAsia"/>
          <w:color w:val="auto"/>
          <w:spacing w:val="11"/>
          <w:sz w:val="21"/>
        </w:rPr>
        <w:t>使</w:t>
      </w:r>
      <w:r>
        <w:rPr>
          <w:rFonts w:hint="eastAsia"/>
          <w:color w:val="auto"/>
          <w:spacing w:val="9"/>
          <w:sz w:val="21"/>
        </w:rPr>
        <w:t>用</w:t>
      </w:r>
      <w:r>
        <w:rPr>
          <w:rFonts w:hint="eastAsia"/>
          <w:color w:val="auto"/>
          <w:spacing w:val="11"/>
          <w:sz w:val="21"/>
        </w:rPr>
        <w:t>大</w:t>
      </w:r>
      <w:r>
        <w:rPr>
          <w:rFonts w:hint="eastAsia"/>
          <w:color w:val="auto"/>
          <w:spacing w:val="9"/>
          <w:sz w:val="21"/>
        </w:rPr>
        <w:t>型</w:t>
      </w:r>
      <w:r>
        <w:rPr>
          <w:rFonts w:hint="eastAsia"/>
          <w:color w:val="auto"/>
          <w:spacing w:val="11"/>
          <w:sz w:val="21"/>
        </w:rPr>
        <w:t>企</w:t>
      </w:r>
      <w:r>
        <w:rPr>
          <w:rFonts w:hint="eastAsia"/>
          <w:color w:val="auto"/>
          <w:spacing w:val="9"/>
          <w:sz w:val="21"/>
        </w:rPr>
        <w:t>业</w:t>
      </w:r>
      <w:r>
        <w:rPr>
          <w:rFonts w:hint="eastAsia"/>
          <w:color w:val="auto"/>
          <w:spacing w:val="11"/>
          <w:sz w:val="21"/>
        </w:rPr>
        <w:t>注册</w:t>
      </w:r>
      <w:r>
        <w:rPr>
          <w:rFonts w:hint="eastAsia"/>
          <w:color w:val="auto"/>
          <w:spacing w:val="9"/>
          <w:sz w:val="21"/>
        </w:rPr>
        <w:t>商</w:t>
      </w:r>
      <w:r>
        <w:rPr>
          <w:rFonts w:hint="eastAsia"/>
          <w:color w:val="auto"/>
          <w:spacing w:val="11"/>
          <w:sz w:val="21"/>
        </w:rPr>
        <w:t>标</w:t>
      </w:r>
      <w:r>
        <w:rPr>
          <w:rFonts w:hint="eastAsia"/>
          <w:color w:val="auto"/>
          <w:spacing w:val="9"/>
          <w:sz w:val="21"/>
        </w:rPr>
        <w:t>的</w:t>
      </w:r>
      <w:r>
        <w:rPr>
          <w:rFonts w:hint="eastAsia"/>
          <w:color w:val="auto"/>
          <w:spacing w:val="11"/>
          <w:sz w:val="21"/>
        </w:rPr>
        <w:t>货</w:t>
      </w:r>
      <w:r>
        <w:rPr>
          <w:rFonts w:hint="eastAsia"/>
          <w:color w:val="auto"/>
          <w:spacing w:val="9"/>
          <w:sz w:val="21"/>
        </w:rPr>
        <w:t>物</w:t>
      </w:r>
      <w:r>
        <w:rPr>
          <w:rFonts w:hint="eastAsia"/>
          <w:color w:val="auto"/>
          <w:sz w:val="21"/>
        </w:rPr>
        <w:t>。</w:t>
      </w:r>
    </w:p>
    <w:p>
      <w:pPr>
        <w:pStyle w:val="12"/>
        <w:spacing w:line="266" w:lineRule="exact"/>
        <w:ind w:left="1061"/>
        <w:rPr>
          <w:color w:val="auto"/>
        </w:rPr>
      </w:pPr>
      <w:r>
        <w:rPr>
          <w:rFonts w:hint="eastAsia"/>
          <w:color w:val="auto"/>
        </w:rPr>
        <w:t>本公司对上述声明的真实性负责。如有虚假，将依法承担相应责任。</w:t>
      </w:r>
    </w:p>
    <w:p>
      <w:pPr>
        <w:pStyle w:val="12"/>
        <w:spacing w:before="4"/>
        <w:rPr>
          <w:color w:val="auto"/>
          <w:sz w:val="24"/>
        </w:rPr>
      </w:pPr>
    </w:p>
    <w:p>
      <w:pPr>
        <w:pStyle w:val="12"/>
        <w:tabs>
          <w:tab w:val="left" w:pos="5054"/>
          <w:tab w:val="left" w:pos="6160"/>
        </w:tabs>
        <w:spacing w:line="364" w:lineRule="auto"/>
        <w:ind w:left="4597" w:right="3216" w:rightChars="0" w:hanging="104"/>
        <w:rPr>
          <w:rFonts w:hint="eastAsia"/>
          <w:color w:val="auto"/>
          <w:spacing w:val="9"/>
        </w:rPr>
      </w:pPr>
    </w:p>
    <w:p>
      <w:pPr>
        <w:pStyle w:val="12"/>
        <w:tabs>
          <w:tab w:val="left" w:pos="5054"/>
          <w:tab w:val="left" w:pos="6160"/>
        </w:tabs>
        <w:spacing w:line="364" w:lineRule="auto"/>
        <w:ind w:left="4597" w:right="3216" w:rightChars="0" w:hanging="104"/>
        <w:rPr>
          <w:rFonts w:hint="eastAsia"/>
          <w:color w:val="auto"/>
          <w:spacing w:val="-6"/>
        </w:rPr>
      </w:pPr>
      <w:r>
        <w:rPr>
          <w:rFonts w:hint="eastAsia"/>
          <w:color w:val="auto"/>
          <w:spacing w:val="9"/>
        </w:rPr>
        <w:t>企</w:t>
      </w:r>
      <w:r>
        <w:rPr>
          <w:rFonts w:hint="eastAsia"/>
          <w:color w:val="auto"/>
          <w:spacing w:val="11"/>
        </w:rPr>
        <w:t>业</w:t>
      </w:r>
      <w:r>
        <w:rPr>
          <w:rFonts w:hint="eastAsia"/>
          <w:color w:val="auto"/>
          <w:spacing w:val="9"/>
        </w:rPr>
        <w:t>名</w:t>
      </w:r>
      <w:r>
        <w:rPr>
          <w:rFonts w:hint="eastAsia"/>
          <w:color w:val="auto"/>
          <w:spacing w:val="9"/>
          <w:lang w:eastAsia="zh-CN"/>
        </w:rPr>
        <w:t>称</w:t>
      </w:r>
      <w:r>
        <w:rPr>
          <w:rFonts w:hint="eastAsia"/>
          <w:color w:val="auto"/>
          <w:spacing w:val="11"/>
        </w:rPr>
        <w:t>（</w:t>
      </w:r>
      <w:r>
        <w:rPr>
          <w:rFonts w:hint="eastAsia"/>
          <w:color w:val="auto"/>
          <w:spacing w:val="9"/>
        </w:rPr>
        <w:t>盖章</w:t>
      </w:r>
      <w:r>
        <w:rPr>
          <w:rFonts w:hint="eastAsia"/>
          <w:color w:val="auto"/>
          <w:spacing w:val="-105"/>
        </w:rPr>
        <w:t>）</w:t>
      </w:r>
      <w:r>
        <w:rPr>
          <w:rFonts w:hint="eastAsia"/>
          <w:color w:val="auto"/>
          <w:spacing w:val="-6"/>
        </w:rPr>
        <w:t>：</w:t>
      </w:r>
    </w:p>
    <w:p>
      <w:pPr>
        <w:pStyle w:val="12"/>
        <w:tabs>
          <w:tab w:val="left" w:pos="5054"/>
          <w:tab w:val="left" w:pos="6160"/>
        </w:tabs>
        <w:spacing w:line="364" w:lineRule="auto"/>
        <w:ind w:left="4597" w:right="3216" w:rightChars="0" w:hanging="104"/>
        <w:rPr>
          <w:color w:val="auto"/>
        </w:rPr>
      </w:pPr>
      <w:r>
        <w:rPr>
          <w:rFonts w:hint="eastAsia"/>
          <w:color w:val="auto"/>
        </w:rPr>
        <w:t>日</w:t>
      </w:r>
      <w:r>
        <w:rPr>
          <w:rFonts w:hint="eastAsia"/>
          <w:color w:val="auto"/>
        </w:rPr>
        <w:tab/>
      </w:r>
      <w:r>
        <w:rPr>
          <w:rFonts w:hint="eastAsia"/>
          <w:color w:val="auto"/>
          <w:spacing w:val="9"/>
        </w:rPr>
        <w:t>期：</w:t>
      </w:r>
    </w:p>
    <w:p>
      <w:pPr>
        <w:pStyle w:val="8"/>
        <w:spacing w:before="0" w:line="259" w:lineRule="exact"/>
        <w:ind w:left="858" w:right="574" w:rightChars="261"/>
        <w:jc w:val="left"/>
        <w:rPr>
          <w:rFonts w:hint="eastAsia"/>
          <w:color w:val="auto"/>
          <w:spacing w:val="-17"/>
        </w:rPr>
      </w:pPr>
    </w:p>
    <w:p>
      <w:pPr>
        <w:pStyle w:val="8"/>
        <w:spacing w:before="0" w:line="259" w:lineRule="exact"/>
        <w:ind w:left="858" w:right="574" w:rightChars="261"/>
        <w:jc w:val="left"/>
        <w:rPr>
          <w:rFonts w:hint="eastAsia"/>
          <w:color w:val="auto"/>
          <w:spacing w:val="-17"/>
        </w:rPr>
      </w:pPr>
    </w:p>
    <w:p>
      <w:pPr>
        <w:pStyle w:val="8"/>
        <w:spacing w:before="0" w:line="259" w:lineRule="exact"/>
        <w:ind w:left="858" w:right="574" w:rightChars="261"/>
        <w:jc w:val="left"/>
        <w:rPr>
          <w:rFonts w:hint="eastAsia"/>
          <w:color w:val="auto"/>
          <w:spacing w:val="-17"/>
        </w:rPr>
      </w:pPr>
    </w:p>
    <w:p>
      <w:pPr>
        <w:pStyle w:val="8"/>
        <w:spacing w:before="0" w:line="259" w:lineRule="exact"/>
        <w:ind w:left="858" w:right="574" w:rightChars="261"/>
        <w:jc w:val="left"/>
        <w:rPr>
          <w:color w:val="auto"/>
        </w:rPr>
        <w:sectPr>
          <w:pgSz w:w="11910" w:h="16840"/>
          <w:pgMar w:top="1134" w:right="1134" w:bottom="1134" w:left="1180" w:header="0" w:footer="894" w:gutter="0"/>
          <w:pgNumType w:fmt="decimal"/>
          <w:cols w:equalWidth="0" w:num="1">
            <w:col w:w="10250"/>
          </w:cols>
          <w:rtlGutter w:val="0"/>
        </w:sectPr>
      </w:pPr>
      <w:r>
        <w:rPr>
          <w:rFonts w:hint="eastAsia"/>
          <w:color w:val="auto"/>
          <w:spacing w:val="-17"/>
        </w:rPr>
        <w:t>注：供应商符合中小企业划型标准的，按《政府采购促进中小企业发展暂行办法</w:t>
      </w:r>
      <w:r>
        <w:rPr>
          <w:rFonts w:hint="eastAsia"/>
          <w:color w:val="auto"/>
          <w:spacing w:val="-144"/>
        </w:rPr>
        <w:t>》</w:t>
      </w:r>
      <w:r>
        <w:rPr>
          <w:rFonts w:hint="eastAsia"/>
          <w:color w:val="auto"/>
        </w:rPr>
        <w:t>（财库【2011】181 号）要求，供</w:t>
      </w:r>
      <w:r>
        <w:rPr>
          <w:rFonts w:hint="eastAsia"/>
          <w:color w:val="auto"/>
          <w:lang w:eastAsia="zh-CN"/>
        </w:rPr>
        <w:t>审核</w:t>
      </w:r>
      <w:r>
        <w:rPr>
          <w:rFonts w:hint="eastAsia"/>
          <w:color w:val="auto"/>
        </w:rPr>
        <w:t>专家</w:t>
      </w:r>
      <w:r>
        <w:rPr>
          <w:rFonts w:hint="eastAsia"/>
          <w:color w:val="auto"/>
          <w:lang w:eastAsia="zh-CN"/>
        </w:rPr>
        <w:t>审核</w:t>
      </w:r>
      <w:r>
        <w:rPr>
          <w:rFonts w:hint="eastAsia"/>
          <w:color w:val="auto"/>
        </w:rPr>
        <w:t>。</w:t>
      </w:r>
    </w:p>
    <w:p>
      <w:pPr>
        <w:pStyle w:val="12"/>
        <w:spacing w:before="9"/>
        <w:rPr>
          <w:color w:val="auto"/>
          <w:sz w:val="22"/>
        </w:rPr>
      </w:pPr>
    </w:p>
    <w:p>
      <w:pPr>
        <w:spacing w:before="54"/>
        <w:rPr>
          <w:b/>
          <w:color w:val="auto"/>
          <w:sz w:val="32"/>
        </w:rPr>
      </w:pPr>
      <w:r>
        <w:rPr>
          <w:rFonts w:hint="eastAsia"/>
          <w:b/>
          <w:color w:val="auto"/>
          <w:sz w:val="32"/>
        </w:rPr>
        <w:t>（2）残疾人福利性单位声明格式：</w:t>
      </w:r>
    </w:p>
    <w:p>
      <w:pPr>
        <w:pStyle w:val="12"/>
        <w:rPr>
          <w:b/>
          <w:color w:val="auto"/>
          <w:sz w:val="32"/>
        </w:rPr>
      </w:pPr>
    </w:p>
    <w:p>
      <w:pPr>
        <w:spacing w:before="260"/>
        <w:ind w:left="830" w:right="838"/>
        <w:jc w:val="center"/>
        <w:outlineLvl w:val="0"/>
        <w:rPr>
          <w:b/>
          <w:color w:val="auto"/>
          <w:sz w:val="32"/>
        </w:rPr>
      </w:pPr>
      <w:bookmarkStart w:id="29" w:name="_Toc28647"/>
      <w:r>
        <w:rPr>
          <w:rFonts w:hint="eastAsia"/>
          <w:b/>
          <w:color w:val="auto"/>
          <w:sz w:val="32"/>
        </w:rPr>
        <w:t>残疾人福利性单位声明函</w:t>
      </w:r>
      <w:bookmarkEnd w:id="29"/>
    </w:p>
    <w:p>
      <w:pPr>
        <w:pStyle w:val="12"/>
        <w:spacing w:before="3"/>
        <w:rPr>
          <w:b/>
          <w:color w:val="auto"/>
          <w:sz w:val="35"/>
        </w:rPr>
      </w:pPr>
    </w:p>
    <w:p>
      <w:pPr>
        <w:pStyle w:val="12"/>
        <w:keepNext w:val="0"/>
        <w:keepLines w:val="0"/>
        <w:pageBreakBefore w:val="0"/>
        <w:widowControl w:val="0"/>
        <w:tabs>
          <w:tab w:val="left" w:pos="3138"/>
        </w:tabs>
        <w:kinsoku/>
        <w:wordWrap/>
        <w:overflowPunct/>
        <w:topLinePunct w:val="0"/>
        <w:autoSpaceDE w:val="0"/>
        <w:autoSpaceDN w:val="0"/>
        <w:bidi w:val="0"/>
        <w:adjustRightInd/>
        <w:snapToGrid/>
        <w:spacing w:line="358" w:lineRule="auto"/>
        <w:ind w:left="618" w:right="595" w:firstLine="420" w:firstLineChars="200"/>
        <w:jc w:val="both"/>
        <w:textAlignment w:val="auto"/>
        <w:rPr>
          <w:color w:val="auto"/>
        </w:rPr>
      </w:pPr>
      <w:r>
        <w:rPr>
          <w:rFonts w:hint="eastAsia"/>
          <w:color w:val="auto"/>
        </w:rPr>
        <w:t>本</w:t>
      </w:r>
      <w:r>
        <w:rPr>
          <w:rFonts w:hint="eastAsia"/>
          <w:color w:val="auto"/>
          <w:spacing w:val="-3"/>
        </w:rPr>
        <w:t>单</w:t>
      </w:r>
      <w:r>
        <w:rPr>
          <w:rFonts w:hint="eastAsia"/>
          <w:color w:val="auto"/>
        </w:rPr>
        <w:t>位</w:t>
      </w:r>
      <w:r>
        <w:rPr>
          <w:rFonts w:hint="eastAsia"/>
          <w:color w:val="auto"/>
          <w:spacing w:val="-3"/>
        </w:rPr>
        <w:t>郑</w:t>
      </w:r>
      <w:r>
        <w:rPr>
          <w:rFonts w:hint="eastAsia"/>
          <w:color w:val="auto"/>
        </w:rPr>
        <w:t>重</w:t>
      </w:r>
      <w:r>
        <w:rPr>
          <w:rFonts w:hint="eastAsia"/>
          <w:color w:val="auto"/>
          <w:spacing w:val="-3"/>
        </w:rPr>
        <w:t>声</w:t>
      </w:r>
      <w:r>
        <w:rPr>
          <w:rFonts w:hint="eastAsia"/>
          <w:color w:val="auto"/>
        </w:rPr>
        <w:t>明</w:t>
      </w:r>
      <w:r>
        <w:rPr>
          <w:rFonts w:hint="eastAsia"/>
          <w:color w:val="auto"/>
          <w:spacing w:val="-22"/>
        </w:rPr>
        <w:t>，</w:t>
      </w:r>
      <w:r>
        <w:rPr>
          <w:rFonts w:hint="eastAsia"/>
          <w:color w:val="auto"/>
        </w:rPr>
        <w:t>根</w:t>
      </w:r>
      <w:r>
        <w:rPr>
          <w:rFonts w:hint="eastAsia"/>
          <w:color w:val="auto"/>
          <w:spacing w:val="-22"/>
        </w:rPr>
        <w:t>据</w:t>
      </w:r>
      <w:r>
        <w:rPr>
          <w:rFonts w:hint="eastAsia"/>
          <w:color w:val="auto"/>
        </w:rPr>
        <w:t>《</w:t>
      </w:r>
      <w:r>
        <w:rPr>
          <w:rFonts w:hint="eastAsia"/>
          <w:color w:val="auto"/>
          <w:spacing w:val="-3"/>
        </w:rPr>
        <w:t>财</w:t>
      </w:r>
      <w:r>
        <w:rPr>
          <w:rFonts w:hint="eastAsia"/>
          <w:color w:val="auto"/>
        </w:rPr>
        <w:t>政部</w:t>
      </w:r>
      <w:r>
        <w:rPr>
          <w:rFonts w:hint="eastAsia"/>
          <w:color w:val="auto"/>
          <w:spacing w:val="17"/>
        </w:rPr>
        <w:t xml:space="preserve"> </w:t>
      </w:r>
      <w:r>
        <w:rPr>
          <w:rFonts w:hint="eastAsia"/>
          <w:color w:val="auto"/>
        </w:rPr>
        <w:t>民</w:t>
      </w:r>
      <w:r>
        <w:rPr>
          <w:rFonts w:hint="eastAsia"/>
          <w:color w:val="auto"/>
          <w:spacing w:val="-3"/>
        </w:rPr>
        <w:t>政</w:t>
      </w:r>
      <w:r>
        <w:rPr>
          <w:rFonts w:hint="eastAsia"/>
          <w:color w:val="auto"/>
        </w:rPr>
        <w:t>部</w:t>
      </w:r>
      <w:r>
        <w:rPr>
          <w:rFonts w:hint="eastAsia"/>
          <w:color w:val="auto"/>
          <w:spacing w:val="17"/>
        </w:rPr>
        <w:t xml:space="preserve"> </w:t>
      </w:r>
      <w:r>
        <w:rPr>
          <w:rFonts w:hint="eastAsia"/>
          <w:color w:val="auto"/>
          <w:spacing w:val="-3"/>
        </w:rPr>
        <w:t>中</w:t>
      </w:r>
      <w:r>
        <w:rPr>
          <w:rFonts w:hint="eastAsia"/>
          <w:color w:val="auto"/>
        </w:rPr>
        <w:t>国残</w:t>
      </w:r>
      <w:r>
        <w:rPr>
          <w:rFonts w:hint="eastAsia"/>
          <w:color w:val="auto"/>
          <w:spacing w:val="-3"/>
        </w:rPr>
        <w:t>疾</w:t>
      </w:r>
      <w:r>
        <w:rPr>
          <w:rFonts w:hint="eastAsia"/>
          <w:color w:val="auto"/>
        </w:rPr>
        <w:t>人</w:t>
      </w:r>
      <w:r>
        <w:rPr>
          <w:rFonts w:hint="eastAsia"/>
          <w:color w:val="auto"/>
          <w:spacing w:val="-3"/>
        </w:rPr>
        <w:t>联</w:t>
      </w:r>
      <w:r>
        <w:rPr>
          <w:rFonts w:hint="eastAsia"/>
          <w:color w:val="auto"/>
        </w:rPr>
        <w:t>合</w:t>
      </w:r>
      <w:r>
        <w:rPr>
          <w:rFonts w:hint="eastAsia"/>
          <w:color w:val="auto"/>
          <w:spacing w:val="-3"/>
        </w:rPr>
        <w:t>会</w:t>
      </w:r>
      <w:r>
        <w:rPr>
          <w:rFonts w:hint="eastAsia"/>
          <w:color w:val="auto"/>
        </w:rPr>
        <w:t>关</w:t>
      </w:r>
      <w:r>
        <w:rPr>
          <w:rFonts w:hint="eastAsia"/>
          <w:color w:val="auto"/>
          <w:spacing w:val="-3"/>
        </w:rPr>
        <w:t>于</w:t>
      </w:r>
      <w:r>
        <w:rPr>
          <w:rFonts w:hint="eastAsia"/>
          <w:color w:val="auto"/>
        </w:rPr>
        <w:t>促</w:t>
      </w:r>
      <w:r>
        <w:rPr>
          <w:rFonts w:hint="eastAsia"/>
          <w:color w:val="auto"/>
          <w:spacing w:val="-3"/>
        </w:rPr>
        <w:t>进</w:t>
      </w:r>
      <w:r>
        <w:rPr>
          <w:rFonts w:hint="eastAsia"/>
          <w:color w:val="auto"/>
        </w:rPr>
        <w:t>残疾</w:t>
      </w:r>
      <w:r>
        <w:rPr>
          <w:rFonts w:hint="eastAsia"/>
          <w:color w:val="auto"/>
          <w:spacing w:val="-3"/>
        </w:rPr>
        <w:t>人</w:t>
      </w:r>
      <w:r>
        <w:rPr>
          <w:rFonts w:hint="eastAsia"/>
          <w:color w:val="auto"/>
        </w:rPr>
        <w:t>就</w:t>
      </w:r>
      <w:r>
        <w:rPr>
          <w:rFonts w:hint="eastAsia"/>
          <w:color w:val="auto"/>
          <w:spacing w:val="-3"/>
        </w:rPr>
        <w:t>业</w:t>
      </w:r>
      <w:r>
        <w:rPr>
          <w:rFonts w:hint="eastAsia"/>
          <w:color w:val="auto"/>
        </w:rPr>
        <w:t>政</w:t>
      </w:r>
      <w:r>
        <w:rPr>
          <w:rFonts w:hint="eastAsia"/>
          <w:color w:val="auto"/>
          <w:spacing w:val="-3"/>
        </w:rPr>
        <w:t>府</w:t>
      </w:r>
      <w:r>
        <w:rPr>
          <w:rFonts w:hint="eastAsia"/>
          <w:color w:val="auto"/>
        </w:rPr>
        <w:t>采</w:t>
      </w:r>
      <w:r>
        <w:rPr>
          <w:rFonts w:hint="eastAsia"/>
          <w:color w:val="auto"/>
          <w:spacing w:val="-3"/>
        </w:rPr>
        <w:t>购</w:t>
      </w:r>
      <w:r>
        <w:rPr>
          <w:rFonts w:hint="eastAsia"/>
          <w:color w:val="auto"/>
        </w:rPr>
        <w:t>政策的</w:t>
      </w:r>
      <w:r>
        <w:rPr>
          <w:rFonts w:hint="eastAsia"/>
          <w:color w:val="auto"/>
          <w:spacing w:val="-3"/>
        </w:rPr>
        <w:t>通</w:t>
      </w:r>
      <w:r>
        <w:rPr>
          <w:rFonts w:hint="eastAsia"/>
          <w:color w:val="auto"/>
        </w:rPr>
        <w:t>知</w:t>
      </w:r>
      <w:r>
        <w:rPr>
          <w:rFonts w:hint="eastAsia"/>
          <w:color w:val="auto"/>
          <w:spacing w:val="-120"/>
        </w:rPr>
        <w:t>》</w:t>
      </w:r>
      <w:r>
        <w:rPr>
          <w:rFonts w:hint="eastAsia"/>
          <w:color w:val="auto"/>
          <w:spacing w:val="-3"/>
        </w:rPr>
        <w:t>（</w:t>
      </w:r>
      <w:r>
        <w:rPr>
          <w:rFonts w:hint="eastAsia"/>
          <w:color w:val="auto"/>
        </w:rPr>
        <w:t>财</w:t>
      </w:r>
      <w:r>
        <w:rPr>
          <w:rFonts w:hint="eastAsia"/>
          <w:color w:val="auto"/>
          <w:spacing w:val="-15"/>
        </w:rPr>
        <w:t>库</w:t>
      </w:r>
      <w:r>
        <w:rPr>
          <w:rFonts w:hint="eastAsia"/>
          <w:color w:val="auto"/>
        </w:rPr>
        <w:t>〔2017</w:t>
      </w:r>
      <w:r>
        <w:rPr>
          <w:rFonts w:hint="eastAsia"/>
          <w:color w:val="auto"/>
          <w:spacing w:val="-17"/>
        </w:rPr>
        <w:t>〕</w:t>
      </w:r>
      <w:r>
        <w:rPr>
          <w:rFonts w:hint="eastAsia"/>
          <w:color w:val="auto"/>
        </w:rPr>
        <w:t>141</w:t>
      </w:r>
      <w:r>
        <w:rPr>
          <w:rFonts w:hint="eastAsia"/>
          <w:color w:val="auto"/>
          <w:spacing w:val="-28"/>
        </w:rPr>
        <w:t xml:space="preserve"> </w:t>
      </w:r>
      <w:r>
        <w:rPr>
          <w:rFonts w:hint="eastAsia"/>
          <w:color w:val="auto"/>
        </w:rPr>
        <w:t>号</w:t>
      </w:r>
      <w:r>
        <w:rPr>
          <w:rFonts w:hint="eastAsia"/>
          <w:color w:val="auto"/>
          <w:spacing w:val="-17"/>
        </w:rPr>
        <w:t>）</w:t>
      </w:r>
      <w:r>
        <w:rPr>
          <w:rFonts w:hint="eastAsia"/>
          <w:color w:val="auto"/>
        </w:rPr>
        <w:t>的</w:t>
      </w:r>
      <w:r>
        <w:rPr>
          <w:rFonts w:hint="eastAsia"/>
          <w:color w:val="auto"/>
          <w:spacing w:val="-3"/>
        </w:rPr>
        <w:t>规</w:t>
      </w:r>
      <w:r>
        <w:rPr>
          <w:rFonts w:hint="eastAsia"/>
          <w:color w:val="auto"/>
        </w:rPr>
        <w:t>定</w:t>
      </w:r>
      <w:r>
        <w:rPr>
          <w:rFonts w:hint="eastAsia"/>
          <w:color w:val="auto"/>
          <w:spacing w:val="-15"/>
        </w:rPr>
        <w:t>，</w:t>
      </w:r>
      <w:r>
        <w:rPr>
          <w:rFonts w:hint="eastAsia"/>
          <w:color w:val="auto"/>
          <w:spacing w:val="-3"/>
        </w:rPr>
        <w:t>本</w:t>
      </w:r>
      <w:r>
        <w:rPr>
          <w:rFonts w:hint="eastAsia"/>
          <w:color w:val="auto"/>
        </w:rPr>
        <w:t>单</w:t>
      </w:r>
      <w:r>
        <w:rPr>
          <w:rFonts w:hint="eastAsia"/>
          <w:color w:val="auto"/>
          <w:spacing w:val="-3"/>
        </w:rPr>
        <w:t>位为</w:t>
      </w:r>
      <w:r>
        <w:rPr>
          <w:rFonts w:hint="eastAsia"/>
          <w:color w:val="auto"/>
        </w:rPr>
        <w:t>符合</w:t>
      </w:r>
      <w:r>
        <w:rPr>
          <w:rFonts w:hint="eastAsia"/>
          <w:color w:val="auto"/>
          <w:spacing w:val="-3"/>
        </w:rPr>
        <w:t>条</w:t>
      </w:r>
      <w:r>
        <w:rPr>
          <w:rFonts w:hint="eastAsia"/>
          <w:color w:val="auto"/>
        </w:rPr>
        <w:t>件</w:t>
      </w:r>
      <w:r>
        <w:rPr>
          <w:rFonts w:hint="eastAsia"/>
          <w:color w:val="auto"/>
          <w:spacing w:val="-3"/>
        </w:rPr>
        <w:t>的</w:t>
      </w:r>
      <w:r>
        <w:rPr>
          <w:rFonts w:hint="eastAsia"/>
          <w:color w:val="auto"/>
        </w:rPr>
        <w:t>残</w:t>
      </w:r>
      <w:r>
        <w:rPr>
          <w:rFonts w:hint="eastAsia"/>
          <w:color w:val="auto"/>
          <w:spacing w:val="-3"/>
        </w:rPr>
        <w:t>疾</w:t>
      </w:r>
      <w:r>
        <w:rPr>
          <w:rFonts w:hint="eastAsia"/>
          <w:color w:val="auto"/>
        </w:rPr>
        <w:t>人</w:t>
      </w:r>
      <w:r>
        <w:rPr>
          <w:rFonts w:hint="eastAsia"/>
          <w:color w:val="auto"/>
          <w:spacing w:val="-3"/>
        </w:rPr>
        <w:t>福</w:t>
      </w:r>
      <w:r>
        <w:rPr>
          <w:rFonts w:hint="eastAsia"/>
          <w:color w:val="auto"/>
        </w:rPr>
        <w:t>利</w:t>
      </w:r>
      <w:r>
        <w:rPr>
          <w:rFonts w:hint="eastAsia"/>
          <w:color w:val="auto"/>
          <w:spacing w:val="-3"/>
        </w:rPr>
        <w:t>性</w:t>
      </w:r>
      <w:r>
        <w:rPr>
          <w:rFonts w:hint="eastAsia"/>
          <w:color w:val="auto"/>
        </w:rPr>
        <w:t>单位</w:t>
      </w:r>
      <w:r>
        <w:rPr>
          <w:rFonts w:hint="eastAsia"/>
          <w:color w:val="auto"/>
          <w:spacing w:val="-15"/>
        </w:rPr>
        <w:t>，</w:t>
      </w:r>
      <w:r>
        <w:rPr>
          <w:rFonts w:hint="eastAsia"/>
          <w:color w:val="auto"/>
          <w:spacing w:val="-3"/>
        </w:rPr>
        <w:t>且</w:t>
      </w:r>
      <w:r>
        <w:rPr>
          <w:rFonts w:hint="eastAsia"/>
          <w:color w:val="auto"/>
        </w:rPr>
        <w:t>本</w:t>
      </w:r>
      <w:r>
        <w:rPr>
          <w:rFonts w:hint="eastAsia"/>
          <w:color w:val="auto"/>
          <w:spacing w:val="-3"/>
        </w:rPr>
        <w:t>单位参</w:t>
      </w:r>
      <w:r>
        <w:rPr>
          <w:rFonts w:hint="eastAsia"/>
          <w:color w:val="auto"/>
        </w:rPr>
        <w:t>加单位</w:t>
      </w:r>
      <w:r>
        <w:rPr>
          <w:rFonts w:hint="eastAsia"/>
          <w:color w:val="auto"/>
          <w:spacing w:val="-3"/>
        </w:rPr>
        <w:t>的</w:t>
      </w:r>
      <w:r>
        <w:rPr>
          <w:rFonts w:hint="eastAsia"/>
          <w:color w:val="auto"/>
          <w:u w:val="single"/>
        </w:rPr>
        <w:t xml:space="preserve"> </w:t>
      </w:r>
      <w:r>
        <w:rPr>
          <w:rFonts w:hint="eastAsia"/>
          <w:color w:val="auto"/>
          <w:u w:val="single"/>
        </w:rPr>
        <w:tab/>
      </w:r>
      <w:r>
        <w:rPr>
          <w:rFonts w:hint="eastAsia"/>
          <w:color w:val="auto"/>
        </w:rPr>
        <w:t>项</w:t>
      </w:r>
      <w:r>
        <w:rPr>
          <w:rFonts w:hint="eastAsia"/>
          <w:color w:val="auto"/>
          <w:spacing w:val="-3"/>
        </w:rPr>
        <w:t>目</w:t>
      </w:r>
      <w:r>
        <w:rPr>
          <w:rFonts w:hint="eastAsia"/>
          <w:color w:val="auto"/>
        </w:rPr>
        <w:t>采</w:t>
      </w:r>
      <w:r>
        <w:rPr>
          <w:rFonts w:hint="eastAsia"/>
          <w:color w:val="auto"/>
          <w:spacing w:val="-3"/>
        </w:rPr>
        <w:t>购</w:t>
      </w:r>
      <w:r>
        <w:rPr>
          <w:rFonts w:hint="eastAsia"/>
          <w:color w:val="auto"/>
        </w:rPr>
        <w:t>活</w:t>
      </w:r>
      <w:r>
        <w:rPr>
          <w:rFonts w:hint="eastAsia"/>
          <w:color w:val="auto"/>
          <w:spacing w:val="-3"/>
        </w:rPr>
        <w:t>动</w:t>
      </w:r>
      <w:r>
        <w:rPr>
          <w:rFonts w:hint="eastAsia"/>
          <w:color w:val="auto"/>
        </w:rPr>
        <w:t>提</w:t>
      </w:r>
      <w:r>
        <w:rPr>
          <w:rFonts w:hint="eastAsia"/>
          <w:color w:val="auto"/>
          <w:spacing w:val="-3"/>
        </w:rPr>
        <w:t>供</w:t>
      </w:r>
      <w:r>
        <w:rPr>
          <w:rFonts w:hint="eastAsia"/>
          <w:color w:val="auto"/>
        </w:rPr>
        <w:t>本</w:t>
      </w:r>
      <w:r>
        <w:rPr>
          <w:rFonts w:hint="eastAsia"/>
          <w:color w:val="auto"/>
          <w:spacing w:val="-3"/>
        </w:rPr>
        <w:t>单位</w:t>
      </w:r>
      <w:r>
        <w:rPr>
          <w:rFonts w:hint="eastAsia"/>
          <w:color w:val="auto"/>
        </w:rPr>
        <w:t>制造</w:t>
      </w:r>
      <w:r>
        <w:rPr>
          <w:rFonts w:hint="eastAsia"/>
          <w:color w:val="auto"/>
          <w:spacing w:val="-3"/>
        </w:rPr>
        <w:t>的</w:t>
      </w:r>
      <w:r>
        <w:rPr>
          <w:rFonts w:hint="eastAsia"/>
          <w:color w:val="auto"/>
        </w:rPr>
        <w:t>货</w:t>
      </w:r>
      <w:r>
        <w:rPr>
          <w:rFonts w:hint="eastAsia"/>
          <w:color w:val="auto"/>
          <w:spacing w:val="-3"/>
        </w:rPr>
        <w:t>物</w:t>
      </w:r>
      <w:r>
        <w:rPr>
          <w:rFonts w:hint="eastAsia"/>
          <w:color w:val="auto"/>
        </w:rPr>
        <w:t>（</w:t>
      </w:r>
      <w:r>
        <w:rPr>
          <w:rFonts w:hint="eastAsia"/>
          <w:color w:val="auto"/>
          <w:spacing w:val="-3"/>
        </w:rPr>
        <w:t>由</w:t>
      </w:r>
      <w:r>
        <w:rPr>
          <w:rFonts w:hint="eastAsia"/>
          <w:color w:val="auto"/>
        </w:rPr>
        <w:t>本</w:t>
      </w:r>
      <w:r>
        <w:rPr>
          <w:rFonts w:hint="eastAsia"/>
          <w:color w:val="auto"/>
          <w:spacing w:val="-3"/>
        </w:rPr>
        <w:t>单</w:t>
      </w:r>
      <w:r>
        <w:rPr>
          <w:rFonts w:hint="eastAsia"/>
          <w:color w:val="auto"/>
        </w:rPr>
        <w:t>位</w:t>
      </w:r>
      <w:r>
        <w:rPr>
          <w:rFonts w:hint="eastAsia"/>
          <w:color w:val="auto"/>
          <w:spacing w:val="-3"/>
        </w:rPr>
        <w:t>承</w:t>
      </w:r>
      <w:r>
        <w:rPr>
          <w:rFonts w:hint="eastAsia"/>
          <w:color w:val="auto"/>
        </w:rPr>
        <w:t>担工</w:t>
      </w:r>
      <w:r>
        <w:rPr>
          <w:rFonts w:hint="eastAsia"/>
          <w:color w:val="auto"/>
          <w:spacing w:val="-3"/>
        </w:rPr>
        <w:t>程</w:t>
      </w:r>
      <w:r>
        <w:rPr>
          <w:rFonts w:hint="eastAsia"/>
          <w:color w:val="auto"/>
        </w:rPr>
        <w:t>/</w:t>
      </w:r>
      <w:r>
        <w:rPr>
          <w:rFonts w:hint="eastAsia"/>
          <w:color w:val="auto"/>
          <w:spacing w:val="-3"/>
        </w:rPr>
        <w:t>提</w:t>
      </w:r>
      <w:r>
        <w:rPr>
          <w:rFonts w:hint="eastAsia"/>
          <w:color w:val="auto"/>
        </w:rPr>
        <w:t>供</w:t>
      </w:r>
      <w:r>
        <w:rPr>
          <w:rFonts w:hint="eastAsia"/>
          <w:color w:val="auto"/>
          <w:spacing w:val="-3"/>
        </w:rPr>
        <w:t>服</w:t>
      </w:r>
      <w:r>
        <w:rPr>
          <w:rFonts w:hint="eastAsia"/>
          <w:color w:val="auto"/>
        </w:rPr>
        <w:t>务</w:t>
      </w:r>
      <w:r>
        <w:rPr>
          <w:rFonts w:hint="eastAsia"/>
          <w:color w:val="auto"/>
          <w:spacing w:val="-108"/>
        </w:rPr>
        <w:t>）</w:t>
      </w:r>
      <w:r>
        <w:rPr>
          <w:rFonts w:hint="eastAsia"/>
          <w:color w:val="auto"/>
        </w:rPr>
        <w:t>，或者</w:t>
      </w:r>
      <w:r>
        <w:rPr>
          <w:rFonts w:hint="eastAsia"/>
          <w:color w:val="auto"/>
          <w:spacing w:val="-3"/>
        </w:rPr>
        <w:t>提</w:t>
      </w:r>
      <w:r>
        <w:rPr>
          <w:rFonts w:hint="eastAsia"/>
          <w:color w:val="auto"/>
        </w:rPr>
        <w:t>供</w:t>
      </w:r>
      <w:r>
        <w:rPr>
          <w:rFonts w:hint="eastAsia"/>
          <w:color w:val="auto"/>
          <w:spacing w:val="-3"/>
        </w:rPr>
        <w:t>其</w:t>
      </w:r>
      <w:r>
        <w:rPr>
          <w:rFonts w:hint="eastAsia"/>
          <w:color w:val="auto"/>
        </w:rPr>
        <w:t>他</w:t>
      </w:r>
      <w:r>
        <w:rPr>
          <w:rFonts w:hint="eastAsia"/>
          <w:color w:val="auto"/>
          <w:spacing w:val="-3"/>
        </w:rPr>
        <w:t>残</w:t>
      </w:r>
      <w:r>
        <w:rPr>
          <w:rFonts w:hint="eastAsia"/>
          <w:color w:val="auto"/>
        </w:rPr>
        <w:t>疾</w:t>
      </w:r>
      <w:r>
        <w:rPr>
          <w:rFonts w:hint="eastAsia"/>
          <w:color w:val="auto"/>
          <w:spacing w:val="-3"/>
        </w:rPr>
        <w:t>人</w:t>
      </w:r>
      <w:r>
        <w:rPr>
          <w:rFonts w:hint="eastAsia"/>
          <w:color w:val="auto"/>
        </w:rPr>
        <w:t>福</w:t>
      </w:r>
      <w:r>
        <w:rPr>
          <w:rFonts w:hint="eastAsia"/>
          <w:color w:val="auto"/>
          <w:spacing w:val="-3"/>
        </w:rPr>
        <w:t>利</w:t>
      </w:r>
      <w:r>
        <w:rPr>
          <w:rFonts w:hint="eastAsia"/>
          <w:color w:val="auto"/>
        </w:rPr>
        <w:t>性单</w:t>
      </w:r>
      <w:r>
        <w:rPr>
          <w:rFonts w:hint="eastAsia"/>
          <w:color w:val="auto"/>
          <w:spacing w:val="-3"/>
        </w:rPr>
        <w:t>位</w:t>
      </w:r>
      <w:r>
        <w:rPr>
          <w:rFonts w:hint="eastAsia"/>
          <w:color w:val="auto"/>
        </w:rPr>
        <w:t>制</w:t>
      </w:r>
      <w:r>
        <w:rPr>
          <w:rFonts w:hint="eastAsia"/>
          <w:color w:val="auto"/>
          <w:spacing w:val="-3"/>
        </w:rPr>
        <w:t>造</w:t>
      </w:r>
      <w:r>
        <w:rPr>
          <w:rFonts w:hint="eastAsia"/>
          <w:color w:val="auto"/>
        </w:rPr>
        <w:t>的</w:t>
      </w:r>
      <w:r>
        <w:rPr>
          <w:rFonts w:hint="eastAsia"/>
          <w:color w:val="auto"/>
          <w:spacing w:val="-3"/>
        </w:rPr>
        <w:t>货</w:t>
      </w:r>
      <w:r>
        <w:rPr>
          <w:rFonts w:hint="eastAsia"/>
          <w:color w:val="auto"/>
        </w:rPr>
        <w:t>物</w:t>
      </w:r>
      <w:r>
        <w:rPr>
          <w:rFonts w:hint="eastAsia"/>
          <w:color w:val="auto"/>
          <w:spacing w:val="-3"/>
        </w:rPr>
        <w:t>（</w:t>
      </w:r>
      <w:r>
        <w:rPr>
          <w:rFonts w:hint="eastAsia"/>
          <w:color w:val="auto"/>
        </w:rPr>
        <w:t>不</w:t>
      </w:r>
      <w:r>
        <w:rPr>
          <w:rFonts w:hint="eastAsia"/>
          <w:color w:val="auto"/>
          <w:spacing w:val="-3"/>
        </w:rPr>
        <w:t>包</w:t>
      </w:r>
      <w:r>
        <w:rPr>
          <w:rFonts w:hint="eastAsia"/>
          <w:color w:val="auto"/>
        </w:rPr>
        <w:t>括使</w:t>
      </w:r>
      <w:r>
        <w:rPr>
          <w:rFonts w:hint="eastAsia"/>
          <w:color w:val="auto"/>
          <w:spacing w:val="-3"/>
        </w:rPr>
        <w:t>用</w:t>
      </w:r>
      <w:r>
        <w:rPr>
          <w:rFonts w:hint="eastAsia"/>
          <w:color w:val="auto"/>
        </w:rPr>
        <w:t>非</w:t>
      </w:r>
      <w:r>
        <w:rPr>
          <w:rFonts w:hint="eastAsia"/>
          <w:color w:val="auto"/>
          <w:spacing w:val="-3"/>
        </w:rPr>
        <w:t>残</w:t>
      </w:r>
      <w:r>
        <w:rPr>
          <w:rFonts w:hint="eastAsia"/>
          <w:color w:val="auto"/>
        </w:rPr>
        <w:t>疾</w:t>
      </w:r>
      <w:r>
        <w:rPr>
          <w:rFonts w:hint="eastAsia"/>
          <w:color w:val="auto"/>
          <w:spacing w:val="-3"/>
        </w:rPr>
        <w:t>人</w:t>
      </w:r>
      <w:r>
        <w:rPr>
          <w:rFonts w:hint="eastAsia"/>
          <w:color w:val="auto"/>
        </w:rPr>
        <w:t>福</w:t>
      </w:r>
      <w:r>
        <w:rPr>
          <w:rFonts w:hint="eastAsia"/>
          <w:color w:val="auto"/>
          <w:spacing w:val="-3"/>
        </w:rPr>
        <w:t>利</w:t>
      </w:r>
      <w:r>
        <w:rPr>
          <w:rFonts w:hint="eastAsia"/>
          <w:color w:val="auto"/>
        </w:rPr>
        <w:t>性</w:t>
      </w:r>
      <w:r>
        <w:rPr>
          <w:rFonts w:hint="eastAsia"/>
          <w:color w:val="auto"/>
          <w:spacing w:val="-3"/>
        </w:rPr>
        <w:t>单</w:t>
      </w:r>
      <w:r>
        <w:rPr>
          <w:rFonts w:hint="eastAsia"/>
          <w:color w:val="auto"/>
        </w:rPr>
        <w:t>位注</w:t>
      </w:r>
      <w:r>
        <w:rPr>
          <w:rFonts w:hint="eastAsia"/>
          <w:color w:val="auto"/>
          <w:spacing w:val="-3"/>
        </w:rPr>
        <w:t>册</w:t>
      </w:r>
      <w:r>
        <w:rPr>
          <w:rFonts w:hint="eastAsia"/>
          <w:color w:val="auto"/>
        </w:rPr>
        <w:t>商</w:t>
      </w:r>
      <w:r>
        <w:rPr>
          <w:rFonts w:hint="eastAsia"/>
          <w:color w:val="auto"/>
          <w:spacing w:val="-3"/>
        </w:rPr>
        <w:t>标</w:t>
      </w:r>
      <w:r>
        <w:rPr>
          <w:rFonts w:hint="eastAsia"/>
          <w:color w:val="auto"/>
        </w:rPr>
        <w:t>的</w:t>
      </w:r>
      <w:r>
        <w:rPr>
          <w:rFonts w:hint="eastAsia"/>
          <w:color w:val="auto"/>
          <w:spacing w:val="-3"/>
        </w:rPr>
        <w:t>货</w:t>
      </w:r>
      <w:r>
        <w:rPr>
          <w:rFonts w:hint="eastAsia"/>
          <w:color w:val="auto"/>
        </w:rPr>
        <w:t>物</w:t>
      </w:r>
      <w:r>
        <w:rPr>
          <w:rFonts w:hint="eastAsia"/>
          <w:color w:val="auto"/>
          <w:spacing w:val="-108"/>
        </w:rPr>
        <w:t>）</w:t>
      </w:r>
      <w:r>
        <w:rPr>
          <w:rFonts w:hint="eastAsia"/>
          <w:color w:val="auto"/>
        </w:rPr>
        <w:t>。</w:t>
      </w:r>
    </w:p>
    <w:p>
      <w:pPr>
        <w:pStyle w:val="12"/>
        <w:spacing w:line="267" w:lineRule="exact"/>
        <w:ind w:left="1040"/>
        <w:rPr>
          <w:color w:val="auto"/>
        </w:rPr>
      </w:pPr>
      <w:r>
        <w:rPr>
          <w:rFonts w:hint="eastAsia"/>
          <w:color w:val="auto"/>
          <w:spacing w:val="-3"/>
        </w:rPr>
        <w:t>本单位对上述声明的真实性负责。如有虚假，将依法承担相应责任。</w:t>
      </w:r>
    </w:p>
    <w:p>
      <w:pPr>
        <w:pStyle w:val="12"/>
        <w:rPr>
          <w:color w:val="auto"/>
          <w:sz w:val="20"/>
        </w:rPr>
      </w:pPr>
    </w:p>
    <w:p>
      <w:pPr>
        <w:pStyle w:val="12"/>
        <w:rPr>
          <w:color w:val="auto"/>
          <w:sz w:val="20"/>
        </w:rPr>
      </w:pPr>
    </w:p>
    <w:p>
      <w:pPr>
        <w:pStyle w:val="12"/>
        <w:rPr>
          <w:color w:val="auto"/>
          <w:sz w:val="24"/>
        </w:rPr>
      </w:pPr>
    </w:p>
    <w:p>
      <w:pPr>
        <w:pStyle w:val="12"/>
        <w:tabs>
          <w:tab w:val="left" w:pos="7130"/>
        </w:tabs>
        <w:spacing w:line="321" w:lineRule="auto"/>
        <w:ind w:left="5950" w:leftChars="0" w:right="1676" w:rightChars="0" w:firstLine="128" w:firstLineChars="0"/>
        <w:rPr>
          <w:rFonts w:hint="eastAsia"/>
          <w:color w:val="auto"/>
          <w:spacing w:val="-8"/>
        </w:rPr>
      </w:pPr>
      <w:r>
        <w:rPr>
          <w:rFonts w:hint="eastAsia"/>
          <w:color w:val="auto"/>
        </w:rPr>
        <w:t>单</w:t>
      </w:r>
      <w:r>
        <w:rPr>
          <w:rFonts w:hint="eastAsia"/>
          <w:color w:val="auto"/>
          <w:spacing w:val="-3"/>
        </w:rPr>
        <w:t>位</w:t>
      </w:r>
      <w:r>
        <w:rPr>
          <w:rFonts w:hint="eastAsia"/>
          <w:color w:val="auto"/>
        </w:rPr>
        <w:t>名</w:t>
      </w:r>
      <w:r>
        <w:rPr>
          <w:rFonts w:hint="eastAsia"/>
          <w:color w:val="auto"/>
          <w:spacing w:val="-3"/>
        </w:rPr>
        <w:t>称</w:t>
      </w:r>
      <w:r>
        <w:rPr>
          <w:rFonts w:hint="eastAsia"/>
          <w:color w:val="auto"/>
        </w:rPr>
        <w:t>（</w:t>
      </w:r>
      <w:r>
        <w:rPr>
          <w:rFonts w:hint="eastAsia"/>
          <w:color w:val="auto"/>
          <w:spacing w:val="-3"/>
        </w:rPr>
        <w:t>盖</w:t>
      </w:r>
      <w:r>
        <w:rPr>
          <w:rFonts w:hint="eastAsia"/>
          <w:color w:val="auto"/>
        </w:rPr>
        <w:t>章</w:t>
      </w:r>
      <w:r>
        <w:rPr>
          <w:rFonts w:hint="eastAsia"/>
          <w:color w:val="auto"/>
          <w:spacing w:val="-116"/>
        </w:rPr>
        <w:t>）</w:t>
      </w:r>
      <w:r>
        <w:rPr>
          <w:rFonts w:hint="eastAsia"/>
          <w:color w:val="auto"/>
          <w:spacing w:val="-8"/>
        </w:rPr>
        <w:t>：</w:t>
      </w:r>
    </w:p>
    <w:p>
      <w:pPr>
        <w:pStyle w:val="12"/>
        <w:tabs>
          <w:tab w:val="left" w:pos="7130"/>
        </w:tabs>
        <w:spacing w:line="321" w:lineRule="auto"/>
        <w:ind w:left="5950" w:leftChars="0" w:right="2379" w:firstLine="128" w:firstLineChars="0"/>
        <w:rPr>
          <w:rFonts w:hint="eastAsia" w:eastAsia="宋体"/>
          <w:color w:val="auto"/>
          <w:lang w:eastAsia="zh-CN"/>
        </w:rPr>
      </w:pPr>
      <w:r>
        <w:rPr>
          <w:rFonts w:hint="eastAsia"/>
          <w:color w:val="auto"/>
        </w:rPr>
        <w:t>日</w:t>
      </w:r>
      <w:r>
        <w:rPr>
          <w:rFonts w:hint="eastAsia"/>
          <w:color w:val="auto"/>
          <w:lang w:val="en-US" w:eastAsia="zh-CN"/>
        </w:rPr>
        <w:t xml:space="preserve"> </w:t>
      </w:r>
      <w:r>
        <w:rPr>
          <w:rFonts w:hint="eastAsia"/>
          <w:color w:val="auto"/>
        </w:rPr>
        <w:t>期</w:t>
      </w:r>
      <w:r>
        <w:rPr>
          <w:rFonts w:hint="eastAsia"/>
          <w:color w:val="auto"/>
          <w:lang w:eastAsia="zh-CN"/>
        </w:rPr>
        <w:t>：</w:t>
      </w:r>
    </w:p>
    <w:p>
      <w:pPr>
        <w:pStyle w:val="12"/>
        <w:rPr>
          <w:color w:val="auto"/>
          <w:sz w:val="28"/>
        </w:rPr>
      </w:pPr>
    </w:p>
    <w:p>
      <w:pPr>
        <w:pStyle w:val="12"/>
        <w:rPr>
          <w:color w:val="auto"/>
          <w:sz w:val="28"/>
        </w:rPr>
      </w:pPr>
    </w:p>
    <w:p>
      <w:pPr>
        <w:pStyle w:val="12"/>
        <w:rPr>
          <w:color w:val="auto"/>
          <w:sz w:val="28"/>
        </w:rPr>
      </w:pPr>
    </w:p>
    <w:p>
      <w:pPr>
        <w:pStyle w:val="12"/>
        <w:spacing w:line="321" w:lineRule="auto"/>
        <w:ind w:left="618" w:right="617"/>
        <w:rPr>
          <w:color w:val="auto"/>
        </w:rPr>
      </w:pPr>
      <w:r>
        <w:rPr>
          <w:rFonts w:hint="eastAsia"/>
          <w:color w:val="auto"/>
          <w:spacing w:val="-6"/>
        </w:rPr>
        <w:t>注：投标人如为残疾人福利性单位并提供本《残疾人福利性单位声明函》的，必须对声明的真实性负责。</w:t>
      </w:r>
    </w:p>
    <w:p>
      <w:pPr>
        <w:spacing w:line="321" w:lineRule="auto"/>
        <w:rPr>
          <w:color w:val="auto"/>
        </w:rPr>
        <w:sectPr>
          <w:pgSz w:w="11910" w:h="16840"/>
          <w:pgMar w:top="1134" w:right="1134" w:bottom="1134" w:left="1180" w:header="0" w:footer="894" w:gutter="0"/>
          <w:pgNumType w:fmt="decimal"/>
          <w:cols w:equalWidth="0" w:num="1">
            <w:col w:w="10250"/>
          </w:cols>
          <w:rtlGutter w:val="0"/>
        </w:sectPr>
      </w:pPr>
    </w:p>
    <w:p>
      <w:pPr>
        <w:pStyle w:val="31"/>
        <w:tabs>
          <w:tab w:val="left" w:pos="1185"/>
        </w:tabs>
        <w:spacing w:before="33"/>
        <w:ind w:left="617" w:firstLine="0"/>
        <w:outlineLvl w:val="0"/>
        <w:rPr>
          <w:b/>
          <w:color w:val="auto"/>
          <w:sz w:val="32"/>
        </w:rPr>
      </w:pPr>
      <w:bookmarkStart w:id="30" w:name="_Toc7023"/>
      <w:r>
        <w:rPr>
          <w:rFonts w:hint="eastAsia"/>
          <w:b/>
          <w:color w:val="auto"/>
          <w:sz w:val="32"/>
        </w:rPr>
        <w:t>四、商务及技术部分</w:t>
      </w:r>
      <w:bookmarkEnd w:id="30"/>
      <w:r>
        <w:rPr>
          <w:rFonts w:hint="eastAsia"/>
          <w:b/>
          <w:color w:val="auto"/>
          <w:spacing w:val="-1"/>
          <w:sz w:val="32"/>
        </w:rPr>
        <w:t>（此处应有页码）</w:t>
      </w:r>
    </w:p>
    <w:p>
      <w:pPr>
        <w:pStyle w:val="12"/>
        <w:rPr>
          <w:b/>
          <w:color w:val="auto"/>
          <w:sz w:val="32"/>
        </w:rPr>
      </w:pPr>
    </w:p>
    <w:p>
      <w:pPr>
        <w:pStyle w:val="12"/>
        <w:spacing w:before="267"/>
        <w:ind w:left="618"/>
        <w:rPr>
          <w:color w:val="auto"/>
        </w:rPr>
      </w:pPr>
      <w:r>
        <w:rPr>
          <w:rFonts w:hint="eastAsia"/>
          <w:color w:val="auto"/>
        </w:rPr>
        <w:t>★（1）投标函；</w:t>
      </w:r>
    </w:p>
    <w:p>
      <w:pPr>
        <w:pStyle w:val="12"/>
        <w:rPr>
          <w:color w:val="auto"/>
          <w:sz w:val="20"/>
        </w:rPr>
      </w:pPr>
    </w:p>
    <w:p>
      <w:pPr>
        <w:pStyle w:val="12"/>
        <w:spacing w:before="154"/>
        <w:ind w:left="618"/>
        <w:rPr>
          <w:color w:val="auto"/>
          <w:spacing w:val="-3"/>
        </w:rPr>
      </w:pPr>
      <w:r>
        <w:rPr>
          <w:rFonts w:hint="eastAsia"/>
          <w:color w:val="auto"/>
          <w:spacing w:val="-1"/>
        </w:rPr>
        <w:t>★（2）</w:t>
      </w:r>
      <w:r>
        <w:rPr>
          <w:rFonts w:hint="eastAsia"/>
          <w:color w:val="auto"/>
          <w:spacing w:val="-3"/>
        </w:rPr>
        <w:t>投标声明书；</w:t>
      </w:r>
    </w:p>
    <w:p>
      <w:pPr>
        <w:pStyle w:val="12"/>
        <w:rPr>
          <w:color w:val="auto"/>
          <w:spacing w:val="-3"/>
        </w:rPr>
      </w:pPr>
    </w:p>
    <w:p>
      <w:pPr>
        <w:pStyle w:val="12"/>
        <w:ind w:firstLine="624" w:firstLineChars="300"/>
        <w:rPr>
          <w:color w:val="auto"/>
          <w:sz w:val="20"/>
        </w:rPr>
      </w:pPr>
      <w:r>
        <w:rPr>
          <w:rFonts w:hint="eastAsia"/>
          <w:color w:val="auto"/>
          <w:spacing w:val="-1"/>
        </w:rPr>
        <w:t>★（3）</w:t>
      </w:r>
      <w:r>
        <w:rPr>
          <w:rFonts w:hint="eastAsia"/>
          <w:color w:val="auto"/>
          <w:spacing w:val="-3"/>
        </w:rPr>
        <w:t>法定代表人授权委托书；</w:t>
      </w:r>
    </w:p>
    <w:p>
      <w:pPr>
        <w:pStyle w:val="12"/>
        <w:rPr>
          <w:color w:val="auto"/>
          <w:sz w:val="20"/>
        </w:rPr>
      </w:pPr>
    </w:p>
    <w:p>
      <w:pPr>
        <w:pStyle w:val="12"/>
        <w:spacing w:before="155"/>
        <w:ind w:left="618"/>
        <w:rPr>
          <w:color w:val="auto"/>
        </w:rPr>
      </w:pPr>
      <w:r>
        <w:rPr>
          <w:rFonts w:hint="eastAsia"/>
          <w:color w:val="auto"/>
          <w:spacing w:val="-1"/>
        </w:rPr>
        <w:t>★（4）</w:t>
      </w:r>
      <w:r>
        <w:rPr>
          <w:rFonts w:hint="eastAsia"/>
          <w:color w:val="auto"/>
          <w:spacing w:val="-3"/>
        </w:rPr>
        <w:t>投标报价表；</w:t>
      </w:r>
    </w:p>
    <w:p>
      <w:pPr>
        <w:pStyle w:val="12"/>
        <w:rPr>
          <w:color w:val="auto"/>
          <w:sz w:val="20"/>
        </w:rPr>
      </w:pPr>
    </w:p>
    <w:p>
      <w:pPr>
        <w:pStyle w:val="12"/>
        <w:rPr>
          <w:color w:val="auto"/>
          <w:sz w:val="20"/>
        </w:rPr>
      </w:pPr>
    </w:p>
    <w:p>
      <w:pPr>
        <w:pStyle w:val="12"/>
        <w:spacing w:before="155"/>
        <w:ind w:left="618"/>
        <w:rPr>
          <w:color w:val="auto"/>
        </w:rPr>
      </w:pPr>
      <w:r>
        <w:rPr>
          <w:rFonts w:hint="eastAsia"/>
          <w:color w:val="auto"/>
        </w:rPr>
        <w:t>★（5）服务方案；</w:t>
      </w:r>
    </w:p>
    <w:p>
      <w:pPr>
        <w:pStyle w:val="12"/>
        <w:rPr>
          <w:color w:val="auto"/>
          <w:sz w:val="20"/>
        </w:rPr>
      </w:pPr>
    </w:p>
    <w:p>
      <w:pPr>
        <w:pStyle w:val="12"/>
        <w:rPr>
          <w:color w:val="auto"/>
          <w:sz w:val="20"/>
        </w:rPr>
      </w:pPr>
    </w:p>
    <w:p>
      <w:pPr>
        <w:pStyle w:val="12"/>
        <w:spacing w:before="154"/>
        <w:ind w:left="618"/>
        <w:rPr>
          <w:color w:val="auto"/>
        </w:rPr>
      </w:pPr>
      <w:r>
        <w:rPr>
          <w:rFonts w:hint="eastAsia"/>
          <w:color w:val="auto"/>
        </w:rPr>
        <w:t>★（6）承诺书；</w:t>
      </w:r>
    </w:p>
    <w:p>
      <w:pPr>
        <w:pStyle w:val="12"/>
        <w:rPr>
          <w:color w:val="auto"/>
          <w:sz w:val="20"/>
        </w:rPr>
      </w:pPr>
    </w:p>
    <w:p>
      <w:pPr>
        <w:pStyle w:val="12"/>
        <w:rPr>
          <w:color w:val="auto"/>
          <w:sz w:val="20"/>
        </w:rPr>
      </w:pPr>
    </w:p>
    <w:p>
      <w:pPr>
        <w:pStyle w:val="12"/>
        <w:spacing w:before="130" w:line="360" w:lineRule="auto"/>
        <w:ind w:left="0" w:leftChars="0" w:right="-128" w:rightChars="-58" w:firstLine="659" w:firstLineChars="31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项目拟投入服务团队人员一览表；</w:t>
      </w:r>
    </w:p>
    <w:p>
      <w:pPr>
        <w:pStyle w:val="12"/>
        <w:spacing w:before="132" w:line="360" w:lineRule="auto"/>
        <w:ind w:left="0" w:leftChars="0" w:right="-128" w:rightChars="-58" w:firstLine="659" w:firstLineChars="314"/>
        <w:jc w:val="both"/>
        <w:rPr>
          <w:rFonts w:hint="eastAsia" w:ascii="宋体" w:hAnsi="宋体" w:eastAsia="宋体" w:cs="宋体"/>
          <w:color w:val="auto"/>
          <w:sz w:val="21"/>
          <w:szCs w:val="21"/>
          <w:lang w:eastAsia="zh-CN"/>
        </w:rPr>
      </w:pPr>
    </w:p>
    <w:p>
      <w:pPr>
        <w:pStyle w:val="12"/>
        <w:spacing w:before="132" w:line="360" w:lineRule="auto"/>
        <w:ind w:left="0" w:leftChars="0" w:right="-128" w:rightChars="-58" w:firstLine="659" w:firstLineChars="314"/>
        <w:jc w:val="both"/>
        <w:rPr>
          <w:rFonts w:hint="eastAsia" w:ascii="宋体" w:hAnsi="宋体" w:eastAsia="宋体" w:cs="宋体"/>
          <w:color w:val="auto"/>
          <w:spacing w:val="-13"/>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pacing w:val="-13"/>
          <w:sz w:val="21"/>
          <w:szCs w:val="21"/>
        </w:rPr>
        <w:t>投标人承接的项目业绩一览表；</w:t>
      </w:r>
    </w:p>
    <w:p>
      <w:pPr>
        <w:pStyle w:val="12"/>
        <w:spacing w:before="132" w:line="360" w:lineRule="auto"/>
        <w:ind w:left="0" w:leftChars="0" w:right="-128" w:rightChars="-58" w:firstLine="577" w:firstLineChars="314"/>
        <w:jc w:val="both"/>
        <w:rPr>
          <w:rFonts w:hint="eastAsia" w:ascii="宋体" w:hAnsi="宋体" w:eastAsia="宋体" w:cs="宋体"/>
          <w:color w:val="auto"/>
          <w:spacing w:val="-13"/>
          <w:sz w:val="21"/>
          <w:szCs w:val="21"/>
          <w:lang w:eastAsia="zh-CN"/>
        </w:rPr>
      </w:pPr>
    </w:p>
    <w:p>
      <w:pPr>
        <w:pStyle w:val="12"/>
        <w:spacing w:before="132" w:line="360" w:lineRule="auto"/>
        <w:ind w:left="0" w:leftChars="0" w:right="-128" w:rightChars="-58" w:firstLine="577" w:firstLineChars="314"/>
        <w:jc w:val="both"/>
        <w:rPr>
          <w:rFonts w:hint="eastAsia" w:ascii="宋体" w:hAnsi="宋体" w:eastAsia="宋体" w:cs="宋体"/>
          <w:color w:val="auto"/>
          <w:sz w:val="21"/>
          <w:szCs w:val="21"/>
        </w:rPr>
      </w:pPr>
      <w:r>
        <w:rPr>
          <w:rFonts w:hint="eastAsia" w:ascii="宋体" w:hAnsi="宋体" w:eastAsia="宋体" w:cs="宋体"/>
          <w:color w:val="auto"/>
          <w:spacing w:val="-13"/>
          <w:sz w:val="21"/>
          <w:szCs w:val="21"/>
          <w:lang w:eastAsia="zh-CN"/>
        </w:rPr>
        <w:t>（</w:t>
      </w:r>
      <w:r>
        <w:rPr>
          <w:rFonts w:hint="eastAsia" w:ascii="宋体" w:hAnsi="宋体" w:eastAsia="宋体" w:cs="宋体"/>
          <w:color w:val="auto"/>
          <w:spacing w:val="-13"/>
          <w:sz w:val="21"/>
          <w:szCs w:val="21"/>
          <w:lang w:val="en-US" w:eastAsia="zh-CN"/>
        </w:rPr>
        <w:t>9</w:t>
      </w:r>
      <w:r>
        <w:rPr>
          <w:rFonts w:hint="eastAsia" w:ascii="宋体" w:hAnsi="宋体" w:eastAsia="宋体" w:cs="宋体"/>
          <w:color w:val="auto"/>
          <w:spacing w:val="-13"/>
          <w:sz w:val="21"/>
          <w:szCs w:val="21"/>
          <w:lang w:eastAsia="zh-CN"/>
        </w:rPr>
        <w:t>）</w:t>
      </w:r>
      <w:r>
        <w:rPr>
          <w:rFonts w:hint="eastAsia" w:ascii="宋体" w:hAnsi="宋体" w:eastAsia="宋体" w:cs="宋体"/>
          <w:color w:val="auto"/>
          <w:spacing w:val="-13"/>
          <w:sz w:val="21"/>
          <w:szCs w:val="21"/>
        </w:rPr>
        <w:t>投标人需要说明的其他</w:t>
      </w:r>
      <w:r>
        <w:rPr>
          <w:rFonts w:hint="eastAsia" w:ascii="宋体" w:hAnsi="宋体" w:eastAsia="宋体" w:cs="宋体"/>
          <w:color w:val="auto"/>
          <w:spacing w:val="-3"/>
          <w:sz w:val="21"/>
          <w:szCs w:val="21"/>
        </w:rPr>
        <w:t>文件和说明。</w:t>
      </w:r>
    </w:p>
    <w:p>
      <w:pPr>
        <w:pStyle w:val="31"/>
        <w:tabs>
          <w:tab w:val="left" w:pos="1253"/>
        </w:tabs>
        <w:spacing w:before="155"/>
        <w:ind w:left="722" w:firstLine="0"/>
        <w:rPr>
          <w:color w:val="auto"/>
          <w:sz w:val="21"/>
        </w:rPr>
      </w:pPr>
    </w:p>
    <w:p>
      <w:pPr>
        <w:pStyle w:val="12"/>
        <w:rPr>
          <w:color w:val="auto"/>
          <w:sz w:val="20"/>
        </w:rPr>
      </w:pPr>
    </w:p>
    <w:p>
      <w:pPr>
        <w:pStyle w:val="12"/>
        <w:rPr>
          <w:color w:val="auto"/>
          <w:sz w:val="20"/>
        </w:rPr>
      </w:pPr>
    </w:p>
    <w:p>
      <w:pPr>
        <w:pStyle w:val="12"/>
        <w:spacing w:before="155"/>
        <w:ind w:left="829"/>
        <w:rPr>
          <w:color w:val="auto"/>
        </w:rPr>
      </w:pPr>
      <w:r>
        <w:rPr>
          <w:rFonts w:hint="eastAsia"/>
          <w:color w:val="auto"/>
        </w:rPr>
        <w:t>注：上述（1）-（</w:t>
      </w:r>
      <w:r>
        <w:rPr>
          <w:rFonts w:hint="eastAsia"/>
          <w:color w:val="auto"/>
          <w:lang w:val="en-US" w:eastAsia="zh-CN"/>
        </w:rPr>
        <w:t>6</w:t>
      </w:r>
      <w:r>
        <w:rPr>
          <w:rFonts w:hint="eastAsia"/>
          <w:color w:val="auto"/>
        </w:rPr>
        <w:t>）项材料必须提交，并加盖投标人单位公章。</w:t>
      </w:r>
    </w:p>
    <w:p>
      <w:pPr>
        <w:rPr>
          <w:color w:val="auto"/>
        </w:rPr>
        <w:sectPr>
          <w:pgSz w:w="11910" w:h="16840"/>
          <w:pgMar w:top="1134" w:right="1134" w:bottom="1134" w:left="1180" w:header="0" w:footer="894" w:gutter="0"/>
          <w:pgNumType w:fmt="decimal"/>
          <w:cols w:equalWidth="0" w:num="1">
            <w:col w:w="10250"/>
          </w:cols>
          <w:rtlGutter w:val="0"/>
        </w:sectPr>
      </w:pPr>
    </w:p>
    <w:p>
      <w:pPr>
        <w:spacing w:before="33" w:line="385" w:lineRule="exact"/>
        <w:ind w:right="3430"/>
        <w:jc w:val="both"/>
        <w:outlineLvl w:val="0"/>
        <w:rPr>
          <w:b/>
          <w:color w:val="auto"/>
          <w:sz w:val="32"/>
        </w:rPr>
      </w:pPr>
      <w:bookmarkStart w:id="31" w:name="_Toc11733"/>
      <w:r>
        <w:rPr>
          <w:rFonts w:hint="eastAsia"/>
          <w:b/>
          <w:color w:val="auto"/>
          <w:sz w:val="32"/>
        </w:rPr>
        <w:t>1、投标函格式：</w:t>
      </w:r>
      <w:bookmarkEnd w:id="31"/>
    </w:p>
    <w:p>
      <w:pPr>
        <w:spacing w:line="385" w:lineRule="exact"/>
        <w:ind w:left="830" w:right="834"/>
        <w:jc w:val="center"/>
        <w:outlineLvl w:val="0"/>
        <w:rPr>
          <w:b/>
          <w:color w:val="auto"/>
          <w:sz w:val="32"/>
        </w:rPr>
      </w:pPr>
      <w:bookmarkStart w:id="32" w:name="_Toc4598"/>
      <w:r>
        <w:rPr>
          <w:rFonts w:hint="eastAsia"/>
          <w:b/>
          <w:color w:val="auto"/>
          <w:sz w:val="32"/>
        </w:rPr>
        <w:t>投 标 函</w:t>
      </w:r>
      <w:bookmarkEnd w:id="32"/>
    </w:p>
    <w:p>
      <w:pPr>
        <w:pStyle w:val="12"/>
        <w:tabs>
          <w:tab w:val="left" w:pos="2929"/>
        </w:tabs>
        <w:spacing w:before="91"/>
        <w:ind w:left="618"/>
        <w:rPr>
          <w:rFonts w:hint="eastAsia"/>
          <w:color w:val="auto"/>
        </w:rPr>
      </w:pPr>
    </w:p>
    <w:p>
      <w:pPr>
        <w:pStyle w:val="12"/>
        <w:tabs>
          <w:tab w:val="left" w:pos="2929"/>
        </w:tabs>
        <w:spacing w:before="91"/>
        <w:ind w:left="618"/>
        <w:rPr>
          <w:color w:val="auto"/>
        </w:rPr>
      </w:pPr>
      <w:r>
        <w:rPr>
          <w:rFonts w:hint="eastAsia"/>
          <w:color w:val="auto"/>
        </w:rPr>
        <w:t>致</w:t>
      </w:r>
      <w:r>
        <w:rPr>
          <w:rFonts w:hint="eastAsia"/>
          <w:color w:val="auto"/>
          <w:spacing w:val="-1"/>
        </w:rPr>
        <w:t>：</w:t>
      </w:r>
      <w:r>
        <w:rPr>
          <w:rFonts w:hint="eastAsia"/>
          <w:color w:val="auto"/>
          <w:u w:val="single"/>
        </w:rPr>
        <w:t xml:space="preserve"> </w:t>
      </w:r>
      <w:r>
        <w:rPr>
          <w:rFonts w:hint="eastAsia"/>
          <w:color w:val="auto"/>
          <w:u w:val="single"/>
          <w:lang w:eastAsia="zh-CN"/>
        </w:rPr>
        <w:t>（招标单位名称）</w:t>
      </w:r>
      <w:r>
        <w:rPr>
          <w:rFonts w:hint="eastAsia"/>
          <w:color w:val="auto"/>
          <w:u w:val="single"/>
          <w:lang w:val="en-US" w:eastAsia="zh-CN"/>
        </w:rPr>
        <w:t xml:space="preserve">   </w:t>
      </w:r>
      <w:r>
        <w:rPr>
          <w:rFonts w:hint="eastAsia"/>
          <w:color w:val="auto"/>
        </w:rPr>
        <w:t>：</w:t>
      </w:r>
    </w:p>
    <w:p>
      <w:pPr>
        <w:pStyle w:val="12"/>
        <w:tabs>
          <w:tab w:val="left" w:pos="4818"/>
          <w:tab w:val="left" w:pos="7086"/>
          <w:tab w:val="left" w:pos="9108"/>
        </w:tabs>
        <w:spacing w:before="132" w:line="357" w:lineRule="auto"/>
        <w:ind w:left="618" w:right="617" w:firstLine="525"/>
        <w:jc w:val="both"/>
        <w:rPr>
          <w:rFonts w:hint="eastAsia"/>
          <w:color w:val="auto"/>
          <w:spacing w:val="-12"/>
        </w:rPr>
      </w:pPr>
      <w:r>
        <w:rPr>
          <w:rFonts w:hint="eastAsia"/>
          <w:color w:val="auto"/>
        </w:rPr>
        <w:t>根</w:t>
      </w:r>
      <w:r>
        <w:rPr>
          <w:rFonts w:hint="eastAsia"/>
          <w:color w:val="auto"/>
          <w:spacing w:val="-3"/>
        </w:rPr>
        <w:t>据</w:t>
      </w:r>
      <w:r>
        <w:rPr>
          <w:rFonts w:hint="eastAsia"/>
          <w:color w:val="auto"/>
        </w:rPr>
        <w:t>贵</w:t>
      </w:r>
      <w:r>
        <w:rPr>
          <w:rFonts w:hint="eastAsia"/>
          <w:color w:val="auto"/>
          <w:spacing w:val="-3"/>
        </w:rPr>
        <w:t>方</w:t>
      </w:r>
      <w:r>
        <w:rPr>
          <w:rFonts w:hint="eastAsia"/>
          <w:color w:val="auto"/>
          <w:spacing w:val="-1"/>
        </w:rPr>
        <w:t>为</w:t>
      </w:r>
      <w:r>
        <w:rPr>
          <w:rFonts w:hint="eastAsia"/>
          <w:color w:val="auto"/>
          <w:u w:val="single"/>
        </w:rPr>
        <w:t xml:space="preserve"> </w:t>
      </w:r>
      <w:r>
        <w:rPr>
          <w:rFonts w:hint="eastAsia"/>
          <w:color w:val="auto"/>
          <w:u w:val="single"/>
        </w:rPr>
        <w:tab/>
      </w:r>
      <w:r>
        <w:rPr>
          <w:rFonts w:hint="eastAsia"/>
          <w:color w:val="auto"/>
        </w:rPr>
        <w:t>项</w:t>
      </w:r>
      <w:r>
        <w:rPr>
          <w:rFonts w:hint="eastAsia"/>
          <w:color w:val="auto"/>
          <w:spacing w:val="-3"/>
        </w:rPr>
        <w:t>目的</w:t>
      </w:r>
      <w:r>
        <w:rPr>
          <w:rFonts w:hint="eastAsia"/>
          <w:color w:val="auto"/>
        </w:rPr>
        <w:t>招标</w:t>
      </w:r>
      <w:r>
        <w:rPr>
          <w:rFonts w:hint="eastAsia"/>
          <w:color w:val="auto"/>
          <w:spacing w:val="-3"/>
        </w:rPr>
        <w:t>公</w:t>
      </w:r>
      <w:r>
        <w:rPr>
          <w:rFonts w:hint="eastAsia"/>
          <w:color w:val="auto"/>
          <w:spacing w:val="-10"/>
        </w:rPr>
        <w:t>告</w:t>
      </w:r>
      <w:r>
        <w:rPr>
          <w:rFonts w:hint="eastAsia"/>
          <w:color w:val="auto"/>
          <w:spacing w:val="-3"/>
          <w:u w:val="single"/>
        </w:rPr>
        <w:t>（</w:t>
      </w:r>
      <w:r>
        <w:rPr>
          <w:rFonts w:hint="eastAsia"/>
          <w:color w:val="auto"/>
          <w:u w:val="single"/>
        </w:rPr>
        <w:t>项</w:t>
      </w:r>
      <w:r>
        <w:rPr>
          <w:rFonts w:hint="eastAsia"/>
          <w:color w:val="auto"/>
          <w:spacing w:val="-3"/>
          <w:u w:val="single"/>
        </w:rPr>
        <w:t>目</w:t>
      </w:r>
      <w:r>
        <w:rPr>
          <w:rFonts w:hint="eastAsia"/>
          <w:color w:val="auto"/>
          <w:u w:val="single"/>
        </w:rPr>
        <w:t>编号：</w:t>
      </w:r>
      <w:r>
        <w:rPr>
          <w:rFonts w:hint="eastAsia"/>
          <w:color w:val="auto"/>
          <w:u w:val="single"/>
          <w:lang w:val="en-US" w:eastAsia="zh-CN"/>
        </w:rPr>
        <w:t xml:space="preserve">          </w:t>
      </w:r>
      <w:r>
        <w:rPr>
          <w:rFonts w:hint="eastAsia"/>
          <w:color w:val="auto"/>
          <w:spacing w:val="-106"/>
          <w:u w:val="single"/>
        </w:rPr>
        <w:t>）</w:t>
      </w:r>
      <w:r>
        <w:rPr>
          <w:rFonts w:hint="eastAsia"/>
          <w:color w:val="auto"/>
          <w:spacing w:val="-12"/>
        </w:rPr>
        <w:t>，</w:t>
      </w:r>
    </w:p>
    <w:p>
      <w:pPr>
        <w:pStyle w:val="12"/>
        <w:tabs>
          <w:tab w:val="left" w:pos="4818"/>
          <w:tab w:val="left" w:pos="7086"/>
          <w:tab w:val="left" w:pos="9108"/>
        </w:tabs>
        <w:spacing w:before="132" w:line="357" w:lineRule="auto"/>
        <w:ind w:left="618" w:right="617" w:firstLine="525"/>
        <w:jc w:val="both"/>
        <w:rPr>
          <w:color w:val="auto"/>
        </w:rPr>
      </w:pPr>
      <w:r>
        <w:rPr>
          <w:rFonts w:hint="eastAsia"/>
          <w:color w:val="auto"/>
          <w:spacing w:val="-12"/>
        </w:rPr>
        <w:t>签</w:t>
      </w:r>
      <w:r>
        <w:rPr>
          <w:rFonts w:hint="eastAsia"/>
          <w:color w:val="auto"/>
        </w:rPr>
        <w:t>字代表</w:t>
      </w:r>
      <w:r>
        <w:rPr>
          <w:rFonts w:hint="eastAsia"/>
          <w:color w:val="auto"/>
          <w:u w:val="single"/>
        </w:rPr>
        <w:t xml:space="preserve">（全名）    </w:t>
      </w:r>
      <w:r>
        <w:rPr>
          <w:rFonts w:hint="eastAsia"/>
          <w:color w:val="auto"/>
          <w:spacing w:val="32"/>
          <w:u w:val="single"/>
        </w:rPr>
        <w:t xml:space="preserve"> </w:t>
      </w:r>
      <w:r>
        <w:rPr>
          <w:rFonts w:hint="eastAsia"/>
          <w:color w:val="auto"/>
        </w:rPr>
        <w:t>经正式授权并代表投标人</w:t>
      </w:r>
      <w:r>
        <w:rPr>
          <w:rFonts w:hint="eastAsia"/>
          <w:color w:val="auto"/>
          <w:u w:val="single"/>
        </w:rPr>
        <w:t xml:space="preserve"> </w:t>
      </w:r>
      <w:r>
        <w:rPr>
          <w:rFonts w:hint="eastAsia"/>
          <w:color w:val="auto"/>
          <w:u w:val="single"/>
        </w:rPr>
        <w:tab/>
      </w:r>
      <w:r>
        <w:rPr>
          <w:rFonts w:hint="eastAsia"/>
          <w:color w:val="auto"/>
          <w:u w:val="single"/>
        </w:rPr>
        <w:t>（投标人名称）</w:t>
      </w:r>
      <w:r>
        <w:rPr>
          <w:rFonts w:hint="eastAsia"/>
          <w:color w:val="auto"/>
        </w:rPr>
        <w:t>提交包含</w:t>
      </w:r>
      <w:r>
        <w:rPr>
          <w:rFonts w:hint="eastAsia"/>
          <w:color w:val="auto"/>
          <w:spacing w:val="-15"/>
        </w:rPr>
        <w:t>投</w:t>
      </w:r>
      <w:r>
        <w:rPr>
          <w:rFonts w:hint="eastAsia"/>
          <w:color w:val="auto"/>
        </w:rPr>
        <w:t>标文</w:t>
      </w:r>
      <w:r>
        <w:rPr>
          <w:rFonts w:hint="eastAsia"/>
          <w:color w:val="auto"/>
          <w:spacing w:val="-3"/>
        </w:rPr>
        <w:t>件</w:t>
      </w:r>
      <w:r>
        <w:rPr>
          <w:rFonts w:hint="eastAsia"/>
          <w:color w:val="auto"/>
        </w:rPr>
        <w:t>正</w:t>
      </w:r>
      <w:r>
        <w:rPr>
          <w:rFonts w:hint="eastAsia"/>
          <w:color w:val="auto"/>
          <w:spacing w:val="-3"/>
        </w:rPr>
        <w:t>本</w:t>
      </w:r>
      <w:r>
        <w:rPr>
          <w:rFonts w:hint="eastAsia"/>
          <w:color w:val="auto"/>
          <w:u w:val="single"/>
        </w:rPr>
        <w:t xml:space="preserve">一 </w:t>
      </w:r>
      <w:r>
        <w:rPr>
          <w:rFonts w:hint="eastAsia"/>
          <w:color w:val="auto"/>
          <w:spacing w:val="-3"/>
        </w:rPr>
        <w:t>份</w:t>
      </w:r>
      <w:r>
        <w:rPr>
          <w:rFonts w:hint="eastAsia"/>
          <w:color w:val="auto"/>
        </w:rPr>
        <w:t>、</w:t>
      </w:r>
      <w:r>
        <w:rPr>
          <w:rFonts w:hint="eastAsia"/>
          <w:color w:val="auto"/>
          <w:spacing w:val="-3"/>
        </w:rPr>
        <w:t>副</w:t>
      </w:r>
      <w:r>
        <w:rPr>
          <w:rFonts w:hint="eastAsia"/>
          <w:color w:val="auto"/>
        </w:rPr>
        <w:t>本</w:t>
      </w:r>
      <w:r>
        <w:rPr>
          <w:rFonts w:hint="eastAsia"/>
          <w:color w:val="auto"/>
          <w:u w:val="single"/>
          <w:lang w:eastAsia="zh-CN"/>
        </w:rPr>
        <w:t>四</w:t>
      </w:r>
      <w:r>
        <w:rPr>
          <w:rFonts w:hint="eastAsia"/>
          <w:color w:val="auto"/>
          <w:u w:val="single"/>
        </w:rPr>
        <w:t xml:space="preserve"> </w:t>
      </w:r>
      <w:r>
        <w:rPr>
          <w:rFonts w:hint="eastAsia"/>
          <w:color w:val="auto"/>
        </w:rPr>
        <w:t>份，电子版投标文件</w:t>
      </w:r>
      <w:r>
        <w:rPr>
          <w:rFonts w:hint="eastAsia"/>
          <w:color w:val="auto"/>
          <w:u w:val="single"/>
        </w:rPr>
        <w:t xml:space="preserve">一 </w:t>
      </w:r>
      <w:r>
        <w:rPr>
          <w:rFonts w:hint="eastAsia"/>
          <w:color w:val="auto"/>
        </w:rPr>
        <w:t>份（U盘） 。</w:t>
      </w:r>
    </w:p>
    <w:p>
      <w:pPr>
        <w:pStyle w:val="12"/>
        <w:spacing w:line="266" w:lineRule="exact"/>
        <w:ind w:left="1040"/>
        <w:rPr>
          <w:color w:val="auto"/>
        </w:rPr>
      </w:pPr>
      <w:r>
        <w:rPr>
          <w:rFonts w:hint="eastAsia"/>
          <w:color w:val="auto"/>
        </w:rPr>
        <w:t>据此函，签字代表宣布同意如下：</w:t>
      </w:r>
    </w:p>
    <w:p>
      <w:pPr>
        <w:pStyle w:val="31"/>
        <w:numPr>
          <w:ilvl w:val="1"/>
          <w:numId w:val="27"/>
        </w:numPr>
        <w:tabs>
          <w:tab w:val="left" w:pos="1355"/>
        </w:tabs>
        <w:spacing w:before="132" w:line="357" w:lineRule="auto"/>
        <w:ind w:right="617" w:firstLine="422"/>
        <w:jc w:val="both"/>
        <w:rPr>
          <w:color w:val="auto"/>
          <w:sz w:val="21"/>
        </w:rPr>
      </w:pPr>
      <w:r>
        <w:rPr>
          <w:rFonts w:hint="eastAsia"/>
          <w:color w:val="auto"/>
          <w:spacing w:val="-11"/>
          <w:sz w:val="21"/>
        </w:rPr>
        <w:t>投标人已详细审查全部“招标文件”，包括修改文件</w:t>
      </w:r>
      <w:r>
        <w:rPr>
          <w:rFonts w:hint="eastAsia"/>
          <w:color w:val="auto"/>
          <w:sz w:val="21"/>
        </w:rPr>
        <w:t>（</w:t>
      </w:r>
      <w:r>
        <w:rPr>
          <w:rFonts w:hint="eastAsia"/>
          <w:color w:val="auto"/>
          <w:spacing w:val="-3"/>
          <w:sz w:val="21"/>
        </w:rPr>
        <w:t>如有的话</w:t>
      </w:r>
      <w:r>
        <w:rPr>
          <w:rFonts w:hint="eastAsia"/>
          <w:color w:val="auto"/>
          <w:spacing w:val="-10"/>
          <w:sz w:val="21"/>
        </w:rPr>
        <w:t>）</w:t>
      </w:r>
      <w:r>
        <w:rPr>
          <w:rFonts w:hint="eastAsia"/>
          <w:color w:val="auto"/>
          <w:spacing w:val="-3"/>
          <w:sz w:val="21"/>
        </w:rPr>
        <w:t>以及全部参考资料和有关</w:t>
      </w:r>
      <w:r>
        <w:rPr>
          <w:rFonts w:hint="eastAsia"/>
          <w:color w:val="auto"/>
          <w:spacing w:val="-7"/>
          <w:sz w:val="21"/>
        </w:rPr>
        <w:t>附件，已经了解我方对于招标文件、采购过程、采购结果有依法进行询问、质疑、投诉的权利及相</w:t>
      </w:r>
      <w:r>
        <w:rPr>
          <w:rFonts w:hint="eastAsia"/>
          <w:color w:val="auto"/>
          <w:spacing w:val="-5"/>
          <w:sz w:val="21"/>
        </w:rPr>
        <w:t>关渠道和要求。</w:t>
      </w:r>
    </w:p>
    <w:p>
      <w:pPr>
        <w:pStyle w:val="31"/>
        <w:numPr>
          <w:ilvl w:val="1"/>
          <w:numId w:val="27"/>
        </w:numPr>
        <w:tabs>
          <w:tab w:val="left" w:pos="1360"/>
        </w:tabs>
        <w:spacing w:line="355" w:lineRule="auto"/>
        <w:ind w:right="624" w:firstLine="424"/>
        <w:jc w:val="both"/>
        <w:rPr>
          <w:color w:val="auto"/>
          <w:sz w:val="21"/>
        </w:rPr>
      </w:pPr>
      <w:r>
        <w:rPr>
          <w:rFonts w:hint="eastAsia"/>
          <w:color w:val="auto"/>
          <w:spacing w:val="-1"/>
          <w:sz w:val="21"/>
        </w:rPr>
        <w:t>投标人在投标之前已经与贵方进行了充分的沟通，完全理解并接受招标文件的各项规定和</w:t>
      </w:r>
      <w:r>
        <w:rPr>
          <w:rFonts w:hint="eastAsia"/>
          <w:color w:val="auto"/>
          <w:spacing w:val="-3"/>
          <w:sz w:val="21"/>
        </w:rPr>
        <w:t>要求，对招标文件的合理性、合法性不再有异议。</w:t>
      </w:r>
    </w:p>
    <w:p>
      <w:pPr>
        <w:pStyle w:val="31"/>
        <w:numPr>
          <w:ilvl w:val="1"/>
          <w:numId w:val="27"/>
        </w:numPr>
        <w:tabs>
          <w:tab w:val="left" w:pos="1355"/>
          <w:tab w:val="left" w:pos="5030"/>
        </w:tabs>
        <w:ind w:left="1354"/>
        <w:jc w:val="both"/>
        <w:rPr>
          <w:color w:val="auto"/>
          <w:sz w:val="21"/>
        </w:rPr>
      </w:pPr>
      <w:r>
        <w:rPr>
          <w:rFonts w:hint="eastAsia"/>
          <w:color w:val="auto"/>
          <w:spacing w:val="-3"/>
          <w:sz w:val="21"/>
        </w:rPr>
        <w:t>本</w:t>
      </w:r>
      <w:r>
        <w:rPr>
          <w:rFonts w:hint="eastAsia"/>
          <w:color w:val="auto"/>
          <w:sz w:val="21"/>
        </w:rPr>
        <w:t>投</w:t>
      </w:r>
      <w:r>
        <w:rPr>
          <w:rFonts w:hint="eastAsia"/>
          <w:color w:val="auto"/>
          <w:spacing w:val="-3"/>
          <w:sz w:val="21"/>
        </w:rPr>
        <w:t>标</w:t>
      </w:r>
      <w:r>
        <w:rPr>
          <w:rFonts w:hint="eastAsia"/>
          <w:color w:val="auto"/>
          <w:sz w:val="21"/>
        </w:rPr>
        <w:t>有</w:t>
      </w:r>
      <w:r>
        <w:rPr>
          <w:rFonts w:hint="eastAsia"/>
          <w:color w:val="auto"/>
          <w:spacing w:val="-3"/>
          <w:sz w:val="21"/>
        </w:rPr>
        <w:t>效</w:t>
      </w:r>
      <w:r>
        <w:rPr>
          <w:rFonts w:hint="eastAsia"/>
          <w:color w:val="auto"/>
          <w:sz w:val="21"/>
        </w:rPr>
        <w:t>期</w:t>
      </w:r>
      <w:r>
        <w:rPr>
          <w:rFonts w:hint="eastAsia"/>
          <w:color w:val="auto"/>
          <w:spacing w:val="-3"/>
          <w:sz w:val="21"/>
        </w:rPr>
        <w:t>自开</w:t>
      </w:r>
      <w:r>
        <w:rPr>
          <w:rFonts w:hint="eastAsia"/>
          <w:color w:val="auto"/>
          <w:sz w:val="21"/>
        </w:rPr>
        <w:t>标之</w:t>
      </w:r>
      <w:r>
        <w:rPr>
          <w:rFonts w:hint="eastAsia"/>
          <w:color w:val="auto"/>
          <w:spacing w:val="-3"/>
          <w:sz w:val="21"/>
        </w:rPr>
        <w:t>日</w:t>
      </w:r>
      <w:r>
        <w:rPr>
          <w:rFonts w:hint="eastAsia"/>
          <w:color w:val="auto"/>
          <w:sz w:val="21"/>
        </w:rPr>
        <w:t>起</w:t>
      </w:r>
      <w:r>
        <w:rPr>
          <w:rFonts w:hint="eastAsia"/>
          <w:color w:val="auto"/>
          <w:sz w:val="21"/>
          <w:u w:val="single"/>
        </w:rPr>
        <w:t xml:space="preserve"> </w:t>
      </w:r>
      <w:r>
        <w:rPr>
          <w:rFonts w:hint="eastAsia"/>
          <w:color w:val="auto"/>
          <w:sz w:val="21"/>
          <w:u w:val="single"/>
        </w:rPr>
        <w:tab/>
      </w:r>
      <w:r>
        <w:rPr>
          <w:rFonts w:hint="eastAsia"/>
          <w:color w:val="auto"/>
          <w:spacing w:val="-3"/>
          <w:sz w:val="21"/>
        </w:rPr>
        <w:t>日。</w:t>
      </w:r>
    </w:p>
    <w:p>
      <w:pPr>
        <w:pStyle w:val="31"/>
        <w:numPr>
          <w:ilvl w:val="1"/>
          <w:numId w:val="27"/>
        </w:numPr>
        <w:tabs>
          <w:tab w:val="left" w:pos="1360"/>
        </w:tabs>
        <w:spacing w:before="132" w:line="355" w:lineRule="auto"/>
        <w:ind w:right="624" w:firstLine="424"/>
        <w:jc w:val="both"/>
        <w:rPr>
          <w:color w:val="auto"/>
          <w:sz w:val="21"/>
        </w:rPr>
      </w:pPr>
      <w:r>
        <w:rPr>
          <w:rFonts w:hint="eastAsia"/>
          <w:color w:val="auto"/>
          <w:spacing w:val="-1"/>
          <w:sz w:val="21"/>
        </w:rPr>
        <w:t>如中标，本投标文件至本项目合同履行完毕止均保持有效，本投标人将按“招标文件”及</w:t>
      </w:r>
      <w:r>
        <w:rPr>
          <w:rFonts w:hint="eastAsia"/>
          <w:color w:val="auto"/>
          <w:spacing w:val="-3"/>
          <w:sz w:val="21"/>
        </w:rPr>
        <w:t>政府采购法律、法规的规定履行合同责任和义务。</w:t>
      </w:r>
    </w:p>
    <w:p>
      <w:pPr>
        <w:pStyle w:val="9"/>
        <w:numPr>
          <w:ilvl w:val="1"/>
          <w:numId w:val="27"/>
        </w:numPr>
        <w:tabs>
          <w:tab w:val="left" w:pos="1358"/>
        </w:tabs>
        <w:spacing w:before="3" w:line="357" w:lineRule="auto"/>
        <w:ind w:right="627" w:firstLine="422"/>
        <w:jc w:val="both"/>
        <w:rPr>
          <w:color w:val="auto"/>
        </w:rPr>
      </w:pPr>
      <w:r>
        <w:rPr>
          <w:rFonts w:hint="eastAsia"/>
          <w:color w:val="auto"/>
          <w:spacing w:val="-1"/>
        </w:rPr>
        <w:t>投标人同意本投标文件中“投标报价明细表”和中标后签订的采购合同可用于公示，其中</w:t>
      </w:r>
      <w:r>
        <w:rPr>
          <w:rFonts w:hint="eastAsia"/>
          <w:color w:val="auto"/>
          <w:spacing w:val="-3"/>
        </w:rPr>
        <w:t>所有内容不涉及投标人商业秘密，并承诺可向招标采购单位提供相关电子文档。</w:t>
      </w:r>
    </w:p>
    <w:p>
      <w:pPr>
        <w:pStyle w:val="31"/>
        <w:numPr>
          <w:ilvl w:val="1"/>
          <w:numId w:val="27"/>
        </w:numPr>
        <w:tabs>
          <w:tab w:val="left" w:pos="1355"/>
        </w:tabs>
        <w:spacing w:line="267" w:lineRule="exact"/>
        <w:ind w:left="1354"/>
        <w:jc w:val="both"/>
        <w:rPr>
          <w:color w:val="auto"/>
          <w:sz w:val="21"/>
        </w:rPr>
      </w:pPr>
      <w:r>
        <w:rPr>
          <w:rFonts w:hint="eastAsia"/>
          <w:color w:val="auto"/>
          <w:spacing w:val="-3"/>
          <w:sz w:val="21"/>
        </w:rPr>
        <w:t>投标人同意按照贵方要求提供与投标有关的一切数据或资料。</w:t>
      </w:r>
    </w:p>
    <w:p>
      <w:pPr>
        <w:pStyle w:val="31"/>
        <w:numPr>
          <w:ilvl w:val="1"/>
          <w:numId w:val="27"/>
        </w:numPr>
        <w:tabs>
          <w:tab w:val="left" w:pos="1355"/>
        </w:tabs>
        <w:spacing w:before="131"/>
        <w:ind w:left="1354"/>
        <w:jc w:val="both"/>
        <w:rPr>
          <w:color w:val="auto"/>
          <w:sz w:val="21"/>
        </w:rPr>
      </w:pPr>
      <w:r>
        <w:rPr>
          <w:rFonts w:hint="eastAsia"/>
          <w:color w:val="auto"/>
          <w:spacing w:val="-3"/>
          <w:sz w:val="21"/>
        </w:rPr>
        <w:t>与本投标有关的一切正式往来信函请寄：</w:t>
      </w:r>
    </w:p>
    <w:p>
      <w:pPr>
        <w:pStyle w:val="12"/>
        <w:tabs>
          <w:tab w:val="left" w:pos="3664"/>
          <w:tab w:val="left" w:pos="6184"/>
          <w:tab w:val="left" w:pos="8541"/>
        </w:tabs>
        <w:spacing w:before="132"/>
        <w:ind w:left="618"/>
        <w:rPr>
          <w:color w:val="auto"/>
        </w:rPr>
      </w:pPr>
      <w:r>
        <w:rPr>
          <w:rFonts w:hint="eastAsia"/>
          <w:color w:val="auto"/>
        </w:rPr>
        <w:t>地址</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rPr>
        <w:t>邮</w:t>
      </w:r>
      <w:r>
        <w:rPr>
          <w:rFonts w:hint="eastAsia"/>
          <w:color w:val="auto"/>
          <w:spacing w:val="-3"/>
        </w:rPr>
        <w:t>编</w:t>
      </w:r>
      <w:r>
        <w:rPr>
          <w:rFonts w:hint="eastAsia"/>
          <w:color w:val="auto"/>
        </w:rPr>
        <w:t>：</w:t>
      </w:r>
      <w:r>
        <w:rPr>
          <w:rFonts w:hint="eastAsia"/>
          <w:color w:val="auto"/>
          <w:u w:val="single"/>
        </w:rPr>
        <w:t xml:space="preserve"> </w:t>
      </w:r>
      <w:r>
        <w:rPr>
          <w:rFonts w:hint="eastAsia"/>
          <w:color w:val="auto"/>
          <w:u w:val="single"/>
        </w:rPr>
        <w:tab/>
      </w:r>
      <w:r>
        <w:rPr>
          <w:rFonts w:hint="eastAsia"/>
          <w:color w:val="auto"/>
          <w:spacing w:val="-3"/>
        </w:rPr>
        <w:t>电</w:t>
      </w:r>
      <w:r>
        <w:rPr>
          <w:rFonts w:hint="eastAsia"/>
          <w:color w:val="auto"/>
          <w:spacing w:val="-1"/>
        </w:rPr>
        <w:t>话</w:t>
      </w:r>
      <w:r>
        <w:rPr>
          <w:rFonts w:hint="eastAsia"/>
          <w:color w:val="auto"/>
        </w:rPr>
        <w:t>：</w:t>
      </w:r>
      <w:r>
        <w:rPr>
          <w:rFonts w:hint="eastAsia"/>
          <w:color w:val="auto"/>
          <w:u w:val="single"/>
        </w:rPr>
        <w:t xml:space="preserve"> </w:t>
      </w:r>
      <w:r>
        <w:rPr>
          <w:rFonts w:hint="eastAsia"/>
          <w:color w:val="auto"/>
          <w:u w:val="single"/>
        </w:rPr>
        <w:tab/>
      </w:r>
    </w:p>
    <w:p>
      <w:pPr>
        <w:pStyle w:val="12"/>
        <w:tabs>
          <w:tab w:val="left" w:pos="3664"/>
          <w:tab w:val="left" w:pos="7177"/>
          <w:tab w:val="left" w:pos="9590"/>
        </w:tabs>
        <w:spacing w:before="130" w:line="357" w:lineRule="auto"/>
        <w:ind w:left="618" w:right="653"/>
        <w:rPr>
          <w:rFonts w:hint="eastAsia"/>
          <w:color w:val="auto"/>
        </w:rPr>
      </w:pPr>
      <w:r>
        <w:rPr>
          <w:rFonts w:hint="eastAsia"/>
          <w:color w:val="auto"/>
        </w:rPr>
        <w:t>传真</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rPr>
        <w:t>投</w:t>
      </w:r>
      <w:r>
        <w:rPr>
          <w:rFonts w:hint="eastAsia"/>
          <w:color w:val="auto"/>
          <w:spacing w:val="-3"/>
        </w:rPr>
        <w:t>标</w:t>
      </w:r>
      <w:r>
        <w:rPr>
          <w:rFonts w:hint="eastAsia"/>
          <w:color w:val="auto"/>
        </w:rPr>
        <w:t>人</w:t>
      </w:r>
      <w:r>
        <w:rPr>
          <w:rFonts w:hint="eastAsia"/>
          <w:color w:val="auto"/>
          <w:spacing w:val="-3"/>
        </w:rPr>
        <w:t>代</w:t>
      </w:r>
      <w:r>
        <w:rPr>
          <w:rFonts w:hint="eastAsia"/>
          <w:color w:val="auto"/>
        </w:rPr>
        <w:t>表</w:t>
      </w:r>
      <w:r>
        <w:rPr>
          <w:rFonts w:hint="eastAsia"/>
          <w:color w:val="auto"/>
          <w:spacing w:val="-3"/>
        </w:rPr>
        <w:t>姓</w:t>
      </w:r>
      <w:r>
        <w:rPr>
          <w:rFonts w:hint="eastAsia"/>
          <w:color w:val="auto"/>
        </w:rPr>
        <w:t>名</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spacing w:val="-1"/>
        </w:rPr>
        <w:t>职</w:t>
      </w:r>
      <w:r>
        <w:rPr>
          <w:rFonts w:hint="eastAsia"/>
          <w:color w:val="auto"/>
          <w:spacing w:val="-3"/>
        </w:rPr>
        <w:t>务</w:t>
      </w:r>
      <w:r>
        <w:rPr>
          <w:rFonts w:hint="eastAsia"/>
          <w:color w:val="auto"/>
          <w:spacing w:val="-1"/>
        </w:rPr>
        <w:t>：</w:t>
      </w:r>
      <w:r>
        <w:rPr>
          <w:rFonts w:hint="eastAsia"/>
          <w:color w:val="auto"/>
          <w:spacing w:val="-1"/>
          <w:u w:val="single"/>
        </w:rPr>
        <w:tab/>
      </w:r>
      <w:r>
        <w:rPr>
          <w:rFonts w:hint="eastAsia"/>
          <w:color w:val="auto"/>
        </w:rPr>
        <w:t xml:space="preserve"> </w:t>
      </w:r>
    </w:p>
    <w:p>
      <w:pPr>
        <w:pStyle w:val="12"/>
        <w:tabs>
          <w:tab w:val="left" w:pos="3664"/>
          <w:tab w:val="left" w:pos="7177"/>
          <w:tab w:val="left" w:pos="9590"/>
        </w:tabs>
        <w:spacing w:before="130" w:line="357" w:lineRule="auto"/>
        <w:ind w:left="618" w:right="653"/>
        <w:rPr>
          <w:color w:val="auto"/>
        </w:rPr>
      </w:pPr>
      <w:r>
        <w:rPr>
          <w:rFonts w:hint="eastAsia"/>
          <w:color w:val="auto"/>
        </w:rPr>
        <w:t>投标</w:t>
      </w:r>
      <w:r>
        <w:rPr>
          <w:rFonts w:hint="eastAsia"/>
          <w:color w:val="auto"/>
          <w:spacing w:val="-3"/>
        </w:rPr>
        <w:t>人</w:t>
      </w:r>
      <w:r>
        <w:rPr>
          <w:rFonts w:hint="eastAsia"/>
          <w:color w:val="auto"/>
        </w:rPr>
        <w:t>名</w:t>
      </w:r>
      <w:r>
        <w:rPr>
          <w:rFonts w:hint="eastAsia"/>
          <w:color w:val="auto"/>
          <w:spacing w:val="-3"/>
        </w:rPr>
        <w:t>称</w:t>
      </w:r>
      <w:r>
        <w:rPr>
          <w:rFonts w:hint="eastAsia"/>
          <w:color w:val="auto"/>
        </w:rPr>
        <w:t>（</w:t>
      </w:r>
      <w:r>
        <w:rPr>
          <w:rFonts w:hint="eastAsia"/>
          <w:color w:val="auto"/>
          <w:spacing w:val="-3"/>
        </w:rPr>
        <w:t>公</w:t>
      </w:r>
      <w:r>
        <w:rPr>
          <w:rFonts w:hint="eastAsia"/>
          <w:color w:val="auto"/>
        </w:rPr>
        <w:t>章</w:t>
      </w:r>
      <w:r>
        <w:rPr>
          <w:rFonts w:hint="eastAsia"/>
          <w:color w:val="auto"/>
          <w:spacing w:val="-108"/>
        </w:rPr>
        <w:t>）</w:t>
      </w:r>
      <w:r>
        <w:rPr>
          <w:rFonts w:hint="eastAsia"/>
          <w:color w:val="auto"/>
        </w:rPr>
        <w:t>：</w:t>
      </w:r>
    </w:p>
    <w:p>
      <w:pPr>
        <w:pStyle w:val="12"/>
        <w:spacing w:line="269" w:lineRule="exact"/>
        <w:ind w:left="618"/>
        <w:rPr>
          <w:rFonts w:hint="default" w:eastAsia="宋体"/>
          <w:color w:val="auto"/>
          <w:lang w:val="en-US" w:eastAsia="zh-CN"/>
        </w:rPr>
      </w:pPr>
      <w:r>
        <w:rPr>
          <w:rFonts w:hint="eastAsia"/>
          <w:color w:val="auto"/>
        </w:rPr>
        <w:t>投标人企业工商营业执照号码：</w:t>
      </w:r>
      <w:r>
        <w:rPr>
          <w:rFonts w:hint="eastAsia"/>
          <w:color w:val="auto"/>
          <w:lang w:val="en-US" w:eastAsia="zh-CN"/>
        </w:rPr>
        <w:t xml:space="preserve">          </w:t>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姓</w:t>
      </w:r>
      <w:r>
        <w:rPr>
          <w:rFonts w:hint="eastAsia"/>
          <w:color w:val="auto"/>
          <w:spacing w:val="-3"/>
        </w:rPr>
        <w:t>名</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rPr>
        <w:tab/>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spacing w:val="-3"/>
        </w:rPr>
        <w:t>法</w:t>
      </w:r>
      <w:r>
        <w:rPr>
          <w:rFonts w:hint="eastAsia"/>
          <w:color w:val="auto"/>
          <w:spacing w:val="-1"/>
        </w:rPr>
        <w:t>定</w:t>
      </w:r>
      <w:r>
        <w:rPr>
          <w:rFonts w:hint="eastAsia"/>
          <w:color w:val="auto"/>
        </w:rPr>
        <w:t>代</w:t>
      </w:r>
      <w:r>
        <w:rPr>
          <w:rFonts w:hint="eastAsia"/>
          <w:color w:val="auto"/>
          <w:spacing w:val="-3"/>
        </w:rPr>
        <w:t>表</w:t>
      </w:r>
      <w:r>
        <w:rPr>
          <w:rFonts w:hint="eastAsia"/>
          <w:color w:val="auto"/>
        </w:rPr>
        <w:t>人</w:t>
      </w:r>
      <w:r>
        <w:rPr>
          <w:rFonts w:hint="eastAsia"/>
          <w:color w:val="auto"/>
          <w:spacing w:val="-3"/>
        </w:rPr>
        <w:t>身</w:t>
      </w:r>
      <w:r>
        <w:rPr>
          <w:rFonts w:hint="eastAsia"/>
          <w:color w:val="auto"/>
        </w:rPr>
        <w:t>份</w:t>
      </w:r>
      <w:r>
        <w:rPr>
          <w:rFonts w:hint="eastAsia"/>
          <w:color w:val="auto"/>
          <w:spacing w:val="-3"/>
        </w:rPr>
        <w:t>证</w:t>
      </w:r>
      <w:r>
        <w:rPr>
          <w:rFonts w:hint="eastAsia"/>
          <w:color w:val="auto"/>
        </w:rPr>
        <w:t>号</w:t>
      </w:r>
      <w:r>
        <w:rPr>
          <w:rFonts w:hint="eastAsia"/>
          <w:color w:val="auto"/>
          <w:spacing w:val="-3"/>
        </w:rPr>
        <w:t>码</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rPr>
        <w:t>授权</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姓</w:t>
      </w:r>
      <w:r>
        <w:rPr>
          <w:rFonts w:hint="eastAsia"/>
          <w:color w:val="auto"/>
          <w:spacing w:val="-3"/>
        </w:rPr>
        <w:t>名</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rPr>
        <w:tab/>
      </w:r>
    </w:p>
    <w:p>
      <w:pPr>
        <w:pStyle w:val="12"/>
        <w:tabs>
          <w:tab w:val="left" w:pos="4504"/>
          <w:tab w:val="left" w:pos="5238"/>
          <w:tab w:val="left" w:pos="7807"/>
          <w:tab w:val="left" w:pos="9669"/>
        </w:tabs>
        <w:spacing w:before="129" w:line="357" w:lineRule="auto"/>
        <w:ind w:left="618" w:right="574"/>
        <w:jc w:val="both"/>
        <w:rPr>
          <w:rFonts w:hint="eastAsia"/>
          <w:color w:val="auto"/>
          <w:u w:val="single"/>
        </w:rPr>
      </w:pPr>
      <w:r>
        <w:rPr>
          <w:rFonts w:hint="eastAsia"/>
          <w:color w:val="auto"/>
          <w:spacing w:val="-3"/>
        </w:rPr>
        <w:t>授</w:t>
      </w:r>
      <w:r>
        <w:rPr>
          <w:rFonts w:hint="eastAsia"/>
          <w:color w:val="auto"/>
        </w:rPr>
        <w:t>权委</w:t>
      </w:r>
      <w:r>
        <w:rPr>
          <w:rFonts w:hint="eastAsia"/>
          <w:color w:val="auto"/>
          <w:spacing w:val="-3"/>
        </w:rPr>
        <w:t>托</w:t>
      </w:r>
      <w:r>
        <w:rPr>
          <w:rFonts w:hint="eastAsia"/>
          <w:color w:val="auto"/>
        </w:rPr>
        <w:t>代</w:t>
      </w:r>
      <w:r>
        <w:rPr>
          <w:rFonts w:hint="eastAsia"/>
          <w:color w:val="auto"/>
          <w:spacing w:val="-3"/>
        </w:rPr>
        <w:t>理</w:t>
      </w:r>
      <w:r>
        <w:rPr>
          <w:rFonts w:hint="eastAsia"/>
          <w:color w:val="auto"/>
        </w:rPr>
        <w:t>人</w:t>
      </w:r>
      <w:r>
        <w:rPr>
          <w:rFonts w:hint="eastAsia"/>
          <w:color w:val="auto"/>
          <w:spacing w:val="-3"/>
        </w:rPr>
        <w:t>身</w:t>
      </w:r>
      <w:r>
        <w:rPr>
          <w:rFonts w:hint="eastAsia"/>
          <w:color w:val="auto"/>
        </w:rPr>
        <w:t>份</w:t>
      </w:r>
      <w:r>
        <w:rPr>
          <w:rFonts w:hint="eastAsia"/>
          <w:color w:val="auto"/>
          <w:spacing w:val="-3"/>
        </w:rPr>
        <w:t>证</w:t>
      </w:r>
      <w:r>
        <w:rPr>
          <w:rFonts w:hint="eastAsia"/>
          <w:color w:val="auto"/>
        </w:rPr>
        <w:t>号</w:t>
      </w:r>
      <w:r>
        <w:rPr>
          <w:rFonts w:hint="eastAsia"/>
          <w:color w:val="auto"/>
          <w:spacing w:val="-3"/>
        </w:rPr>
        <w:t>码</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p>
    <w:p>
      <w:pPr>
        <w:pStyle w:val="12"/>
        <w:tabs>
          <w:tab w:val="left" w:pos="4504"/>
          <w:tab w:val="left" w:pos="5238"/>
          <w:tab w:val="left" w:pos="7807"/>
          <w:tab w:val="left" w:pos="9669"/>
        </w:tabs>
        <w:spacing w:before="129" w:line="357" w:lineRule="auto"/>
        <w:ind w:left="618" w:right="574"/>
        <w:jc w:val="both"/>
        <w:rPr>
          <w:rFonts w:hint="default" w:eastAsia="宋体"/>
          <w:color w:val="auto"/>
          <w:spacing w:val="-3"/>
          <w:u w:val="single"/>
          <w:lang w:val="en-US" w:eastAsia="zh-CN"/>
        </w:rPr>
      </w:pPr>
      <w:r>
        <w:rPr>
          <w:rFonts w:hint="eastAsia"/>
          <w:color w:val="auto"/>
        </w:rPr>
        <w:t>开户</w:t>
      </w:r>
      <w:r>
        <w:rPr>
          <w:rFonts w:hint="eastAsia"/>
          <w:color w:val="auto"/>
          <w:spacing w:val="-3"/>
        </w:rPr>
        <w:t>银</w:t>
      </w:r>
      <w:r>
        <w:rPr>
          <w:rFonts w:hint="eastAsia"/>
          <w:color w:val="auto"/>
        </w:rPr>
        <w:t>行</w:t>
      </w:r>
      <w:r>
        <w:rPr>
          <w:rFonts w:hint="eastAsia"/>
          <w:color w:val="auto"/>
          <w:spacing w:val="-3"/>
        </w:rPr>
        <w:t>：</w:t>
      </w:r>
      <w:r>
        <w:rPr>
          <w:rFonts w:hint="eastAsia"/>
          <w:color w:val="auto"/>
          <w:spacing w:val="-3"/>
          <w:u w:val="single"/>
        </w:rPr>
        <w:t xml:space="preserve"> </w:t>
      </w:r>
      <w:r>
        <w:rPr>
          <w:rFonts w:hint="eastAsia"/>
          <w:color w:val="auto"/>
          <w:spacing w:val="-3"/>
          <w:u w:val="single"/>
        </w:rPr>
        <w:tab/>
      </w:r>
      <w:r>
        <w:rPr>
          <w:rFonts w:hint="eastAsia"/>
          <w:color w:val="auto"/>
          <w:spacing w:val="-3"/>
          <w:u w:val="single"/>
          <w:lang w:val="en-US" w:eastAsia="zh-CN"/>
        </w:rPr>
        <w:t xml:space="preserve">       </w:t>
      </w:r>
    </w:p>
    <w:p>
      <w:pPr>
        <w:pStyle w:val="12"/>
        <w:tabs>
          <w:tab w:val="left" w:pos="4504"/>
          <w:tab w:val="left" w:pos="5238"/>
          <w:tab w:val="left" w:pos="7807"/>
          <w:tab w:val="left" w:pos="9669"/>
        </w:tabs>
        <w:spacing w:before="129" w:line="357" w:lineRule="auto"/>
        <w:ind w:left="618" w:right="574"/>
        <w:jc w:val="both"/>
        <w:rPr>
          <w:rFonts w:hint="default" w:eastAsia="宋体"/>
          <w:color w:val="auto"/>
          <w:lang w:val="en-US" w:eastAsia="zh-CN"/>
        </w:rPr>
      </w:pPr>
      <w:r>
        <w:rPr>
          <w:rFonts w:hint="eastAsia"/>
          <w:color w:val="auto"/>
        </w:rPr>
        <w:t>银</w:t>
      </w:r>
      <w:r>
        <w:rPr>
          <w:rFonts w:hint="eastAsia"/>
          <w:color w:val="auto"/>
          <w:spacing w:val="-3"/>
        </w:rPr>
        <w:t>行</w:t>
      </w:r>
      <w:r>
        <w:rPr>
          <w:rFonts w:hint="eastAsia"/>
          <w:color w:val="auto"/>
        </w:rPr>
        <w:t>帐</w:t>
      </w:r>
      <w:r>
        <w:rPr>
          <w:rFonts w:hint="eastAsia"/>
          <w:color w:val="auto"/>
          <w:spacing w:val="-3"/>
        </w:rPr>
        <w:t>号</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p>
    <w:p>
      <w:pPr>
        <w:pStyle w:val="12"/>
        <w:tabs>
          <w:tab w:val="left" w:pos="5077"/>
        </w:tabs>
        <w:spacing w:line="267" w:lineRule="exact"/>
        <w:ind w:left="618"/>
        <w:rPr>
          <w:rFonts w:hint="eastAsia" w:eastAsia="宋体"/>
          <w:color w:val="auto"/>
          <w:lang w:val="en-US" w:eastAsia="zh-CN"/>
        </w:rPr>
      </w:pPr>
      <w:r>
        <w:rPr>
          <w:rFonts w:hint="eastAsia"/>
          <w:color w:val="auto"/>
        </w:rPr>
        <w:t>授权</w:t>
      </w:r>
      <w:r>
        <w:rPr>
          <w:rFonts w:hint="eastAsia"/>
          <w:color w:val="auto"/>
          <w:spacing w:val="-3"/>
        </w:rPr>
        <w:t>代</w:t>
      </w:r>
      <w:r>
        <w:rPr>
          <w:rFonts w:hint="eastAsia"/>
          <w:color w:val="auto"/>
        </w:rPr>
        <w:t>表</w:t>
      </w:r>
      <w:r>
        <w:rPr>
          <w:rFonts w:hint="eastAsia"/>
          <w:color w:val="auto"/>
          <w:spacing w:val="-3"/>
        </w:rPr>
        <w:t>签</w:t>
      </w:r>
      <w:r>
        <w:rPr>
          <w:rFonts w:hint="eastAsia"/>
          <w:color w:val="auto"/>
        </w:rPr>
        <w:t>字</w:t>
      </w:r>
      <w:r>
        <w:rPr>
          <w:rFonts w:hint="eastAsia"/>
          <w:color w:val="auto"/>
          <w:spacing w:val="-3"/>
        </w:rPr>
        <w:t>：</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p>
    <w:p>
      <w:pPr>
        <w:pStyle w:val="12"/>
        <w:spacing w:before="132"/>
        <w:ind w:firstLine="7350" w:firstLineChars="3500"/>
        <w:rPr>
          <w:color w:val="auto"/>
        </w:rPr>
      </w:pPr>
      <w:r>
        <w:rPr>
          <w:rFonts w:hint="eastAsia"/>
          <w:color w:val="auto"/>
        </w:rPr>
        <w:t>投标人（公章）</w:t>
      </w:r>
    </w:p>
    <w:p>
      <w:pPr>
        <w:pStyle w:val="12"/>
        <w:tabs>
          <w:tab w:val="left" w:pos="7759"/>
          <w:tab w:val="left" w:pos="8496"/>
        </w:tabs>
        <w:spacing w:before="131"/>
        <w:ind w:left="7024" w:firstLine="420" w:firstLineChars="200"/>
        <w:rPr>
          <w:color w:val="auto"/>
        </w:rPr>
      </w:pPr>
      <w:r>
        <w:rPr>
          <w:rFonts w:hint="eastAsia"/>
          <w:color w:val="auto"/>
        </w:rPr>
        <w:t>年</w:t>
      </w:r>
      <w:r>
        <w:rPr>
          <w:rFonts w:hint="eastAsia"/>
          <w:color w:val="auto"/>
        </w:rPr>
        <w:tab/>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spacing w:before="33"/>
        <w:outlineLvl w:val="0"/>
        <w:rPr>
          <w:b/>
          <w:color w:val="auto"/>
          <w:sz w:val="32"/>
        </w:rPr>
      </w:pPr>
      <w:bookmarkStart w:id="33" w:name="_Toc23558"/>
      <w:r>
        <w:rPr>
          <w:rFonts w:hint="eastAsia"/>
          <w:b/>
          <w:color w:val="auto"/>
          <w:sz w:val="32"/>
        </w:rPr>
        <w:t>2、投标声明书格式：</w:t>
      </w:r>
      <w:bookmarkEnd w:id="33"/>
    </w:p>
    <w:p>
      <w:pPr>
        <w:pStyle w:val="12"/>
        <w:spacing w:before="2"/>
        <w:rPr>
          <w:b/>
          <w:color w:val="auto"/>
          <w:sz w:val="24"/>
        </w:rPr>
      </w:pPr>
    </w:p>
    <w:p>
      <w:pPr>
        <w:ind w:left="830" w:right="834"/>
        <w:jc w:val="center"/>
        <w:outlineLvl w:val="0"/>
        <w:rPr>
          <w:b/>
          <w:color w:val="auto"/>
          <w:sz w:val="32"/>
        </w:rPr>
      </w:pPr>
      <w:bookmarkStart w:id="34" w:name="_Toc28587"/>
      <w:r>
        <w:rPr>
          <w:rFonts w:hint="eastAsia"/>
          <w:b/>
          <w:color w:val="auto"/>
          <w:sz w:val="32"/>
        </w:rPr>
        <w:t>投 标 声 明 书</w:t>
      </w:r>
      <w:bookmarkEnd w:id="34"/>
    </w:p>
    <w:p>
      <w:pPr>
        <w:pStyle w:val="12"/>
        <w:spacing w:before="3"/>
        <w:rPr>
          <w:b/>
          <w:color w:val="auto"/>
          <w:sz w:val="35"/>
        </w:rPr>
      </w:pPr>
    </w:p>
    <w:p>
      <w:pPr>
        <w:pStyle w:val="12"/>
        <w:tabs>
          <w:tab w:val="left" w:pos="4189"/>
        </w:tabs>
        <w:ind w:firstLine="210" w:firstLineChars="100"/>
        <w:rPr>
          <w:color w:val="auto"/>
        </w:rPr>
      </w:pPr>
      <w:r>
        <w:rPr>
          <w:rFonts w:hint="eastAsia"/>
          <w:color w:val="auto"/>
        </w:rPr>
        <w:t>致</w:t>
      </w:r>
      <w:r>
        <w:rPr>
          <w:rFonts w:hint="eastAsia"/>
          <w:color w:val="auto"/>
          <w:spacing w:val="-1"/>
        </w:rPr>
        <w:t>：</w:t>
      </w:r>
      <w:r>
        <w:rPr>
          <w:rFonts w:hint="eastAsia"/>
          <w:color w:val="auto"/>
          <w:spacing w:val="-1"/>
          <w:u w:val="single"/>
        </w:rPr>
        <w:t xml:space="preserve">  </w:t>
      </w:r>
      <w:r>
        <w:rPr>
          <w:rFonts w:hint="eastAsia"/>
          <w:color w:val="auto"/>
          <w:u w:val="single"/>
          <w:lang w:eastAsia="zh-CN"/>
        </w:rPr>
        <w:t>（招标单位名称）</w:t>
      </w:r>
      <w:r>
        <w:rPr>
          <w:rFonts w:hint="eastAsia"/>
          <w:color w:val="auto"/>
          <w:u w:val="single"/>
          <w:lang w:val="en-US" w:eastAsia="zh-CN"/>
        </w:rPr>
        <w:t xml:space="preserve">  </w:t>
      </w:r>
      <w:r>
        <w:rPr>
          <w:rFonts w:hint="eastAsia"/>
          <w:color w:val="auto"/>
        </w:rPr>
        <w:t>：</w:t>
      </w:r>
    </w:p>
    <w:p>
      <w:pPr>
        <w:pStyle w:val="12"/>
        <w:tabs>
          <w:tab w:val="left" w:pos="4028"/>
          <w:tab w:val="left" w:pos="4679"/>
        </w:tabs>
        <w:spacing w:before="132" w:line="357" w:lineRule="auto"/>
        <w:ind w:left="618" w:right="623" w:firstLine="215"/>
        <w:rPr>
          <w:color w:val="auto"/>
        </w:rPr>
      </w:pPr>
      <w:r>
        <w:rPr>
          <w:rFonts w:hint="eastAsia"/>
          <w:color w:val="auto"/>
          <w:u w:val="single"/>
        </w:rPr>
        <w:t xml:space="preserve"> </w:t>
      </w:r>
      <w:r>
        <w:rPr>
          <w:rFonts w:hint="eastAsia"/>
          <w:color w:val="auto"/>
          <w:u w:val="single"/>
          <w:lang w:val="en-US" w:eastAsia="zh-CN"/>
        </w:rPr>
        <w:t xml:space="preserve">             </w:t>
      </w:r>
      <w:r>
        <w:rPr>
          <w:rFonts w:hint="eastAsia"/>
          <w:color w:val="auto"/>
          <w:spacing w:val="4"/>
          <w:u w:val="single"/>
        </w:rPr>
        <w:t>（</w:t>
      </w:r>
      <w:r>
        <w:rPr>
          <w:rFonts w:hint="eastAsia"/>
          <w:color w:val="auto"/>
          <w:u w:val="single"/>
        </w:rPr>
        <w:t>投标</w:t>
      </w:r>
      <w:r>
        <w:rPr>
          <w:rFonts w:hint="eastAsia"/>
          <w:color w:val="auto"/>
          <w:spacing w:val="4"/>
          <w:u w:val="single"/>
        </w:rPr>
        <w:t>人名称）</w:t>
      </w:r>
      <w:r>
        <w:rPr>
          <w:rFonts w:hint="eastAsia"/>
          <w:color w:val="auto"/>
          <w:spacing w:val="4"/>
        </w:rPr>
        <w:t>系中</w:t>
      </w:r>
      <w:r>
        <w:rPr>
          <w:rFonts w:hint="eastAsia"/>
          <w:color w:val="auto"/>
        </w:rPr>
        <w:t>华</w:t>
      </w:r>
      <w:r>
        <w:rPr>
          <w:rFonts w:hint="eastAsia"/>
          <w:color w:val="auto"/>
          <w:spacing w:val="4"/>
        </w:rPr>
        <w:t>人</w:t>
      </w:r>
      <w:r>
        <w:rPr>
          <w:rFonts w:hint="eastAsia"/>
          <w:color w:val="auto"/>
        </w:rPr>
        <w:t>民</w:t>
      </w:r>
      <w:r>
        <w:rPr>
          <w:rFonts w:hint="eastAsia"/>
          <w:color w:val="auto"/>
          <w:spacing w:val="4"/>
        </w:rPr>
        <w:t>共</w:t>
      </w:r>
      <w:r>
        <w:rPr>
          <w:rFonts w:hint="eastAsia"/>
          <w:color w:val="auto"/>
        </w:rPr>
        <w:t>和</w:t>
      </w:r>
      <w:r>
        <w:rPr>
          <w:rFonts w:hint="eastAsia"/>
          <w:color w:val="auto"/>
          <w:spacing w:val="4"/>
        </w:rPr>
        <w:t>国合法</w:t>
      </w:r>
      <w:r>
        <w:rPr>
          <w:rFonts w:hint="eastAsia"/>
          <w:color w:val="auto"/>
        </w:rPr>
        <w:t>企</w:t>
      </w:r>
      <w:r>
        <w:rPr>
          <w:rFonts w:hint="eastAsia"/>
          <w:color w:val="auto"/>
          <w:spacing w:val="4"/>
        </w:rPr>
        <w:t>业，</w:t>
      </w:r>
      <w:r>
        <w:rPr>
          <w:rFonts w:hint="eastAsia"/>
          <w:color w:val="auto"/>
        </w:rPr>
        <w:t>经</w:t>
      </w:r>
      <w:r>
        <w:rPr>
          <w:rFonts w:hint="eastAsia"/>
          <w:color w:val="auto"/>
          <w:spacing w:val="4"/>
        </w:rPr>
        <w:t>营</w:t>
      </w:r>
      <w:r>
        <w:rPr>
          <w:rFonts w:hint="eastAsia"/>
          <w:color w:val="auto"/>
        </w:rPr>
        <w:t>地址</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ab/>
      </w:r>
      <w:r>
        <w:rPr>
          <w:rFonts w:hint="eastAsia"/>
          <w:color w:val="auto"/>
        </w:rPr>
        <w:t>。</w:t>
      </w:r>
    </w:p>
    <w:p>
      <w:pPr>
        <w:pStyle w:val="12"/>
        <w:keepNext w:val="0"/>
        <w:keepLines w:val="0"/>
        <w:pageBreakBefore w:val="0"/>
        <w:widowControl w:val="0"/>
        <w:tabs>
          <w:tab w:val="left" w:pos="2713"/>
          <w:tab w:val="left" w:pos="4648"/>
          <w:tab w:val="left" w:pos="5853"/>
          <w:tab w:val="left" w:pos="7723"/>
        </w:tabs>
        <w:kinsoku/>
        <w:wordWrap/>
        <w:overflowPunct/>
        <w:topLinePunct w:val="0"/>
        <w:autoSpaceDE w:val="0"/>
        <w:autoSpaceDN w:val="0"/>
        <w:bidi w:val="0"/>
        <w:adjustRightInd/>
        <w:snapToGrid/>
        <w:spacing w:line="358" w:lineRule="auto"/>
        <w:ind w:left="418" w:leftChars="190" w:right="618" w:firstLine="420" w:firstLineChars="200"/>
        <w:jc w:val="both"/>
        <w:textAlignment w:val="auto"/>
        <w:rPr>
          <w:color w:val="auto"/>
        </w:rPr>
      </w:pPr>
      <w:r>
        <w:rPr>
          <w:rFonts w:hint="eastAsia"/>
          <w:color w:val="auto"/>
        </w:rPr>
        <w:t>我</w:t>
      </w:r>
      <w:r>
        <w:rPr>
          <w:rFonts w:hint="eastAsia"/>
          <w:color w:val="auto"/>
          <w:u w:val="single"/>
        </w:rPr>
        <w:t xml:space="preserve"> </w:t>
      </w:r>
      <w:r>
        <w:rPr>
          <w:rFonts w:hint="eastAsia"/>
          <w:color w:val="auto"/>
          <w:u w:val="single"/>
        </w:rPr>
        <w:tab/>
      </w:r>
      <w:r>
        <w:rPr>
          <w:rFonts w:hint="eastAsia"/>
          <w:color w:val="auto"/>
          <w:spacing w:val="-3"/>
          <w:u w:val="single"/>
        </w:rPr>
        <w:t>（</w:t>
      </w:r>
      <w:r>
        <w:rPr>
          <w:rFonts w:hint="eastAsia"/>
          <w:color w:val="auto"/>
          <w:u w:val="single"/>
        </w:rPr>
        <w:t>姓</w:t>
      </w:r>
      <w:r>
        <w:rPr>
          <w:rFonts w:hint="eastAsia"/>
          <w:color w:val="auto"/>
          <w:spacing w:val="-3"/>
          <w:u w:val="single"/>
        </w:rPr>
        <w:t>名</w:t>
      </w:r>
      <w:r>
        <w:rPr>
          <w:rFonts w:hint="eastAsia"/>
          <w:color w:val="auto"/>
          <w:spacing w:val="-5"/>
          <w:u w:val="single"/>
        </w:rPr>
        <w:t>）</w:t>
      </w:r>
      <w:r>
        <w:rPr>
          <w:rFonts w:hint="eastAsia"/>
          <w:color w:val="auto"/>
        </w:rPr>
        <w:t>系</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u w:val="single"/>
        </w:rPr>
        <w:t>（</w:t>
      </w:r>
      <w:r>
        <w:rPr>
          <w:rFonts w:hint="eastAsia"/>
          <w:color w:val="auto"/>
          <w:spacing w:val="-3"/>
          <w:u w:val="single"/>
        </w:rPr>
        <w:t>投</w:t>
      </w:r>
      <w:r>
        <w:rPr>
          <w:rFonts w:hint="eastAsia"/>
          <w:color w:val="auto"/>
          <w:u w:val="single"/>
        </w:rPr>
        <w:t>标</w:t>
      </w:r>
      <w:r>
        <w:rPr>
          <w:rFonts w:hint="eastAsia"/>
          <w:color w:val="auto"/>
          <w:spacing w:val="-3"/>
          <w:u w:val="single"/>
        </w:rPr>
        <w:t>人</w:t>
      </w:r>
      <w:r>
        <w:rPr>
          <w:rFonts w:hint="eastAsia"/>
          <w:color w:val="auto"/>
          <w:u w:val="single"/>
        </w:rPr>
        <w:t>名</w:t>
      </w:r>
      <w:r>
        <w:rPr>
          <w:rFonts w:hint="eastAsia"/>
          <w:color w:val="auto"/>
          <w:spacing w:val="-3"/>
          <w:u w:val="single"/>
        </w:rPr>
        <w:t>称</w:t>
      </w:r>
      <w:r>
        <w:rPr>
          <w:rFonts w:hint="eastAsia"/>
          <w:color w:val="auto"/>
          <w:spacing w:val="-7"/>
          <w:u w:val="single"/>
        </w:rPr>
        <w:t>）</w:t>
      </w:r>
      <w:r>
        <w:rPr>
          <w:rFonts w:hint="eastAsia"/>
          <w:color w:val="auto"/>
        </w:rPr>
        <w:t>的</w:t>
      </w:r>
      <w:r>
        <w:rPr>
          <w:rFonts w:hint="eastAsia"/>
          <w:color w:val="auto"/>
          <w:spacing w:val="-3"/>
        </w:rPr>
        <w:t>法</w:t>
      </w:r>
      <w:r>
        <w:rPr>
          <w:rFonts w:hint="eastAsia"/>
          <w:color w:val="auto"/>
        </w:rPr>
        <w:t>定代</w:t>
      </w:r>
      <w:r>
        <w:rPr>
          <w:rFonts w:hint="eastAsia"/>
          <w:color w:val="auto"/>
          <w:spacing w:val="-3"/>
        </w:rPr>
        <w:t>表人</w:t>
      </w:r>
      <w:r>
        <w:rPr>
          <w:rFonts w:hint="eastAsia"/>
          <w:color w:val="auto"/>
          <w:spacing w:val="-5"/>
        </w:rPr>
        <w:t>，</w:t>
      </w:r>
      <w:r>
        <w:rPr>
          <w:rFonts w:hint="eastAsia"/>
          <w:color w:val="auto"/>
          <w:spacing w:val="-3"/>
        </w:rPr>
        <w:t>我</w:t>
      </w:r>
      <w:r>
        <w:rPr>
          <w:rFonts w:hint="eastAsia"/>
          <w:color w:val="auto"/>
        </w:rPr>
        <w:t>方</w:t>
      </w:r>
      <w:r>
        <w:rPr>
          <w:rFonts w:hint="eastAsia"/>
          <w:color w:val="auto"/>
          <w:spacing w:val="-3"/>
        </w:rPr>
        <w:t>愿</w:t>
      </w:r>
      <w:r>
        <w:rPr>
          <w:rFonts w:hint="eastAsia"/>
          <w:color w:val="auto"/>
        </w:rPr>
        <w:t>意参加贵方组织的</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rPr>
        <w:t>项目</w:t>
      </w:r>
      <w:r>
        <w:rPr>
          <w:rFonts w:hint="eastAsia"/>
          <w:color w:val="auto"/>
          <w:u w:val="single"/>
        </w:rPr>
        <w:t>（项目编号：</w:t>
      </w:r>
      <w:r>
        <w:rPr>
          <w:rFonts w:hint="eastAsia"/>
          <w:color w:val="auto"/>
          <w:u w:val="single"/>
        </w:rPr>
        <w:tab/>
      </w:r>
      <w:r>
        <w:rPr>
          <w:rFonts w:hint="eastAsia"/>
          <w:color w:val="auto"/>
          <w:u w:val="single"/>
        </w:rPr>
        <w:t>）</w:t>
      </w:r>
      <w:r>
        <w:rPr>
          <w:rFonts w:hint="eastAsia"/>
          <w:color w:val="auto"/>
        </w:rPr>
        <w:t>的投标，为便于</w:t>
      </w:r>
      <w:r>
        <w:rPr>
          <w:rFonts w:hint="eastAsia"/>
          <w:color w:val="auto"/>
          <w:spacing w:val="-17"/>
        </w:rPr>
        <w:t>贵</w:t>
      </w:r>
      <w:r>
        <w:rPr>
          <w:rFonts w:hint="eastAsia"/>
          <w:color w:val="auto"/>
        </w:rPr>
        <w:t>方公</w:t>
      </w:r>
      <w:r>
        <w:rPr>
          <w:rFonts w:hint="eastAsia"/>
          <w:color w:val="auto"/>
          <w:spacing w:val="-3"/>
        </w:rPr>
        <w:t>正</w:t>
      </w:r>
      <w:r>
        <w:rPr>
          <w:rFonts w:hint="eastAsia"/>
          <w:color w:val="auto"/>
        </w:rPr>
        <w:t>、</w:t>
      </w:r>
      <w:r>
        <w:rPr>
          <w:rFonts w:hint="eastAsia"/>
          <w:color w:val="auto"/>
          <w:spacing w:val="-3"/>
        </w:rPr>
        <w:t>择</w:t>
      </w:r>
      <w:r>
        <w:rPr>
          <w:rFonts w:hint="eastAsia"/>
          <w:color w:val="auto"/>
        </w:rPr>
        <w:t>优</w:t>
      </w:r>
      <w:r>
        <w:rPr>
          <w:rFonts w:hint="eastAsia"/>
          <w:color w:val="auto"/>
          <w:spacing w:val="-3"/>
        </w:rPr>
        <w:t>地</w:t>
      </w:r>
      <w:r>
        <w:rPr>
          <w:rFonts w:hint="eastAsia"/>
          <w:color w:val="auto"/>
        </w:rPr>
        <w:t>确</w:t>
      </w:r>
      <w:r>
        <w:rPr>
          <w:rFonts w:hint="eastAsia"/>
          <w:color w:val="auto"/>
          <w:spacing w:val="-3"/>
        </w:rPr>
        <w:t>定</w:t>
      </w:r>
      <w:r>
        <w:rPr>
          <w:rFonts w:hint="eastAsia"/>
          <w:color w:val="auto"/>
        </w:rPr>
        <w:t>中</w:t>
      </w:r>
      <w:r>
        <w:rPr>
          <w:rFonts w:hint="eastAsia"/>
          <w:color w:val="auto"/>
          <w:spacing w:val="-3"/>
        </w:rPr>
        <w:t>标</w:t>
      </w:r>
      <w:r>
        <w:rPr>
          <w:rFonts w:hint="eastAsia"/>
          <w:color w:val="auto"/>
        </w:rPr>
        <w:t>人及</w:t>
      </w:r>
      <w:r>
        <w:rPr>
          <w:rFonts w:hint="eastAsia"/>
          <w:color w:val="auto"/>
          <w:spacing w:val="-3"/>
        </w:rPr>
        <w:t>其服</w:t>
      </w:r>
      <w:r>
        <w:rPr>
          <w:rFonts w:hint="eastAsia"/>
          <w:color w:val="auto"/>
        </w:rPr>
        <w:t>务</w:t>
      </w:r>
      <w:r>
        <w:rPr>
          <w:rFonts w:hint="eastAsia"/>
          <w:color w:val="auto"/>
          <w:spacing w:val="-3"/>
        </w:rPr>
        <w:t>，</w:t>
      </w:r>
      <w:r>
        <w:rPr>
          <w:rFonts w:hint="eastAsia"/>
          <w:color w:val="auto"/>
        </w:rPr>
        <w:t>我方</w:t>
      </w:r>
      <w:r>
        <w:rPr>
          <w:rFonts w:hint="eastAsia"/>
          <w:color w:val="auto"/>
          <w:spacing w:val="-3"/>
        </w:rPr>
        <w:t>就</w:t>
      </w:r>
      <w:r>
        <w:rPr>
          <w:rFonts w:hint="eastAsia"/>
          <w:color w:val="auto"/>
        </w:rPr>
        <w:t>本</w:t>
      </w:r>
      <w:r>
        <w:rPr>
          <w:rFonts w:hint="eastAsia"/>
          <w:color w:val="auto"/>
          <w:spacing w:val="-3"/>
        </w:rPr>
        <w:t>次</w:t>
      </w:r>
      <w:r>
        <w:rPr>
          <w:rFonts w:hint="eastAsia"/>
          <w:color w:val="auto"/>
        </w:rPr>
        <w:t>投</w:t>
      </w:r>
      <w:r>
        <w:rPr>
          <w:rFonts w:hint="eastAsia"/>
          <w:color w:val="auto"/>
          <w:spacing w:val="-3"/>
        </w:rPr>
        <w:t>标</w:t>
      </w:r>
      <w:r>
        <w:rPr>
          <w:rFonts w:hint="eastAsia"/>
          <w:color w:val="auto"/>
        </w:rPr>
        <w:t>有</w:t>
      </w:r>
      <w:r>
        <w:rPr>
          <w:rFonts w:hint="eastAsia"/>
          <w:color w:val="auto"/>
          <w:spacing w:val="-3"/>
        </w:rPr>
        <w:t>关</w:t>
      </w:r>
      <w:r>
        <w:rPr>
          <w:rFonts w:hint="eastAsia"/>
          <w:color w:val="auto"/>
        </w:rPr>
        <w:t>事</w:t>
      </w:r>
      <w:r>
        <w:rPr>
          <w:rFonts w:hint="eastAsia"/>
          <w:color w:val="auto"/>
          <w:spacing w:val="-3"/>
        </w:rPr>
        <w:t>项</w:t>
      </w:r>
      <w:r>
        <w:rPr>
          <w:rFonts w:hint="eastAsia"/>
          <w:color w:val="auto"/>
        </w:rPr>
        <w:t>郑重</w:t>
      </w:r>
      <w:r>
        <w:rPr>
          <w:rFonts w:hint="eastAsia"/>
          <w:color w:val="auto"/>
          <w:spacing w:val="-3"/>
        </w:rPr>
        <w:t>声</w:t>
      </w:r>
      <w:r>
        <w:rPr>
          <w:rFonts w:hint="eastAsia"/>
          <w:color w:val="auto"/>
        </w:rPr>
        <w:t>明</w:t>
      </w:r>
      <w:r>
        <w:rPr>
          <w:rFonts w:hint="eastAsia"/>
          <w:color w:val="auto"/>
          <w:spacing w:val="-3"/>
        </w:rPr>
        <w:t>如</w:t>
      </w:r>
      <w:r>
        <w:rPr>
          <w:rFonts w:hint="eastAsia"/>
          <w:color w:val="auto"/>
        </w:rPr>
        <w:t>下：</w:t>
      </w:r>
    </w:p>
    <w:p>
      <w:pPr>
        <w:pStyle w:val="31"/>
        <w:numPr>
          <w:ilvl w:val="0"/>
          <w:numId w:val="28"/>
        </w:numPr>
        <w:tabs>
          <w:tab w:val="left" w:pos="1355"/>
        </w:tabs>
        <w:spacing w:line="267" w:lineRule="exact"/>
        <w:ind w:left="451" w:leftChars="205" w:firstLine="434" w:firstLineChars="213"/>
        <w:jc w:val="left"/>
        <w:rPr>
          <w:color w:val="auto"/>
          <w:sz w:val="21"/>
        </w:rPr>
      </w:pPr>
      <w:r>
        <w:rPr>
          <w:rFonts w:hint="eastAsia"/>
          <w:color w:val="auto"/>
          <w:spacing w:val="-3"/>
          <w:sz w:val="21"/>
        </w:rPr>
        <w:t>我方向贵方提交的所有投标文件、资料都是准确的和真实的。</w:t>
      </w:r>
    </w:p>
    <w:p>
      <w:pPr>
        <w:pStyle w:val="31"/>
        <w:numPr>
          <w:ilvl w:val="0"/>
          <w:numId w:val="28"/>
        </w:numPr>
        <w:tabs>
          <w:tab w:val="left" w:pos="1360"/>
        </w:tabs>
        <w:spacing w:before="129" w:line="357" w:lineRule="auto"/>
        <w:ind w:left="451" w:leftChars="205" w:right="624" w:firstLine="443" w:firstLineChars="213"/>
        <w:jc w:val="left"/>
        <w:rPr>
          <w:color w:val="auto"/>
          <w:sz w:val="21"/>
        </w:rPr>
      </w:pPr>
      <w:r>
        <w:rPr>
          <w:rFonts w:hint="eastAsia"/>
          <w:color w:val="auto"/>
          <w:spacing w:val="-1"/>
          <w:sz w:val="21"/>
        </w:rPr>
        <w:t>我方不是采购人的附属机构；在获知本项目采购信息后，与采购人聘请的为此项目提供咨</w:t>
      </w:r>
      <w:r>
        <w:rPr>
          <w:rFonts w:hint="eastAsia"/>
          <w:color w:val="auto"/>
          <w:spacing w:val="-3"/>
          <w:sz w:val="21"/>
        </w:rPr>
        <w:t>询服务的公司及其附属机构没有任何联系。</w:t>
      </w:r>
    </w:p>
    <w:p>
      <w:pPr>
        <w:pStyle w:val="31"/>
        <w:numPr>
          <w:ilvl w:val="0"/>
          <w:numId w:val="28"/>
        </w:numPr>
        <w:tabs>
          <w:tab w:val="left" w:pos="1355"/>
          <w:tab w:val="left" w:pos="5973"/>
        </w:tabs>
        <w:spacing w:line="266" w:lineRule="exact"/>
        <w:ind w:left="451" w:leftChars="205" w:firstLine="434" w:firstLineChars="213"/>
        <w:jc w:val="left"/>
        <w:rPr>
          <w:color w:val="auto"/>
          <w:sz w:val="21"/>
        </w:rPr>
      </w:pPr>
      <w:r>
        <w:rPr>
          <w:rFonts w:hint="eastAsia"/>
          <w:color w:val="auto"/>
          <w:spacing w:val="-3"/>
          <w:sz w:val="21"/>
        </w:rPr>
        <w:t>我</w:t>
      </w:r>
      <w:r>
        <w:rPr>
          <w:rFonts w:hint="eastAsia"/>
          <w:color w:val="auto"/>
          <w:sz w:val="21"/>
        </w:rPr>
        <w:t>方</w:t>
      </w:r>
      <w:r>
        <w:rPr>
          <w:rFonts w:hint="eastAsia"/>
          <w:color w:val="auto"/>
          <w:spacing w:val="-3"/>
          <w:sz w:val="21"/>
        </w:rPr>
        <w:t>此</w:t>
      </w:r>
      <w:r>
        <w:rPr>
          <w:rFonts w:hint="eastAsia"/>
          <w:color w:val="auto"/>
          <w:sz w:val="21"/>
        </w:rPr>
        <w:t>次</w:t>
      </w:r>
      <w:r>
        <w:rPr>
          <w:rFonts w:hint="eastAsia"/>
          <w:color w:val="auto"/>
          <w:spacing w:val="-3"/>
          <w:sz w:val="21"/>
        </w:rPr>
        <w:t>向</w:t>
      </w:r>
      <w:r>
        <w:rPr>
          <w:rFonts w:hint="eastAsia"/>
          <w:color w:val="auto"/>
          <w:sz w:val="21"/>
        </w:rPr>
        <w:t>贵</w:t>
      </w:r>
      <w:r>
        <w:rPr>
          <w:rFonts w:hint="eastAsia"/>
          <w:color w:val="auto"/>
          <w:spacing w:val="-3"/>
          <w:sz w:val="21"/>
        </w:rPr>
        <w:t>方提</w:t>
      </w:r>
      <w:r>
        <w:rPr>
          <w:rFonts w:hint="eastAsia"/>
          <w:color w:val="auto"/>
          <w:sz w:val="21"/>
        </w:rPr>
        <w:t>供的</w:t>
      </w:r>
      <w:r>
        <w:rPr>
          <w:rFonts w:hint="eastAsia"/>
          <w:color w:val="auto"/>
          <w:spacing w:val="-3"/>
          <w:sz w:val="21"/>
        </w:rPr>
        <w:t>服</w:t>
      </w:r>
      <w:r>
        <w:rPr>
          <w:rFonts w:hint="eastAsia"/>
          <w:color w:val="auto"/>
          <w:sz w:val="21"/>
        </w:rPr>
        <w:t>务</w:t>
      </w:r>
      <w:r>
        <w:rPr>
          <w:rFonts w:hint="eastAsia"/>
          <w:color w:val="auto"/>
          <w:spacing w:val="-3"/>
          <w:sz w:val="21"/>
        </w:rPr>
        <w:t>为</w:t>
      </w:r>
      <w:r>
        <w:rPr>
          <w:rFonts w:hint="eastAsia"/>
          <w:color w:val="auto"/>
          <w:sz w:val="21"/>
        </w:rPr>
        <w:t>：</w:t>
      </w:r>
      <w:r>
        <w:rPr>
          <w:rFonts w:hint="eastAsia"/>
          <w:color w:val="auto"/>
          <w:sz w:val="21"/>
          <w:u w:val="single"/>
        </w:rPr>
        <w:tab/>
      </w:r>
      <w:r>
        <w:rPr>
          <w:rFonts w:hint="eastAsia"/>
          <w:color w:val="auto"/>
          <w:sz w:val="21"/>
        </w:rPr>
        <w:t>。</w:t>
      </w:r>
    </w:p>
    <w:p>
      <w:pPr>
        <w:pStyle w:val="31"/>
        <w:tabs>
          <w:tab w:val="left" w:pos="1355"/>
        </w:tabs>
        <w:spacing w:line="266" w:lineRule="exact"/>
        <w:ind w:left="451" w:leftChars="205" w:firstLine="434" w:firstLineChars="213"/>
        <w:rPr>
          <w:color w:val="auto"/>
          <w:spacing w:val="-3"/>
          <w:sz w:val="21"/>
        </w:rPr>
      </w:pPr>
    </w:p>
    <w:p>
      <w:pPr>
        <w:pStyle w:val="31"/>
        <w:numPr>
          <w:ilvl w:val="0"/>
          <w:numId w:val="28"/>
        </w:numPr>
        <w:tabs>
          <w:tab w:val="left" w:pos="1355"/>
        </w:tabs>
        <w:spacing w:line="267" w:lineRule="exact"/>
        <w:ind w:left="451" w:leftChars="205" w:firstLine="434" w:firstLineChars="213"/>
        <w:jc w:val="left"/>
        <w:rPr>
          <w:color w:val="auto"/>
          <w:spacing w:val="-3"/>
          <w:sz w:val="21"/>
        </w:rPr>
      </w:pPr>
      <w:r>
        <w:rPr>
          <w:rFonts w:hint="eastAsia"/>
          <w:color w:val="auto"/>
          <w:spacing w:val="-3"/>
          <w:sz w:val="21"/>
        </w:rPr>
        <w:t>我方及由本人担任法定代表人的其他机构最近三年内被通报或者被处罚的违法行为有：</w:t>
      </w:r>
    </w:p>
    <w:p>
      <w:pPr>
        <w:pStyle w:val="31"/>
        <w:tabs>
          <w:tab w:val="left" w:pos="1355"/>
        </w:tabs>
        <w:spacing w:line="267" w:lineRule="exact"/>
        <w:ind w:left="451" w:leftChars="205" w:firstLine="434" w:firstLineChars="213"/>
        <w:rPr>
          <w:color w:val="auto"/>
          <w:spacing w:val="-3"/>
          <w:sz w:val="21"/>
          <w:u w:val="single"/>
        </w:rPr>
      </w:pPr>
      <w:r>
        <w:rPr>
          <w:rFonts w:hint="eastAsia"/>
          <w:color w:val="auto"/>
          <w:spacing w:val="-3"/>
          <w:sz w:val="21"/>
        </w:rPr>
        <w:t xml:space="preserve">           </w:t>
      </w:r>
      <w:r>
        <w:rPr>
          <w:rFonts w:hint="eastAsia"/>
          <w:color w:val="auto"/>
          <w:spacing w:val="-3"/>
          <w:sz w:val="21"/>
          <w:u w:val="single"/>
        </w:rPr>
        <w:t xml:space="preserve">                                。</w:t>
      </w:r>
    </w:p>
    <w:p>
      <w:pPr>
        <w:pStyle w:val="12"/>
        <w:tabs>
          <w:tab w:val="left" w:pos="2713"/>
          <w:tab w:val="left" w:pos="4648"/>
          <w:tab w:val="left" w:pos="5853"/>
          <w:tab w:val="left" w:pos="7723"/>
        </w:tabs>
        <w:spacing w:line="357" w:lineRule="auto"/>
        <w:ind w:left="451" w:leftChars="205" w:right="617" w:firstLine="434" w:firstLineChars="213"/>
        <w:jc w:val="both"/>
        <w:rPr>
          <w:color w:val="auto"/>
          <w:spacing w:val="-3"/>
        </w:rPr>
      </w:pPr>
      <w:r>
        <w:rPr>
          <w:rFonts w:hint="eastAsia"/>
          <w:color w:val="auto"/>
          <w:spacing w:val="-3"/>
        </w:rPr>
        <w:t>5.</w:t>
      </w:r>
      <w:r>
        <w:rPr>
          <w:color w:val="auto"/>
          <w:spacing w:val="-3"/>
        </w:rPr>
        <w:t>我方承诺中标后按规定缴纳代理服务费。如未按时缴纳，贵方可不退还我方提交的投标保证金，并从中扣除代理服务费。</w:t>
      </w:r>
    </w:p>
    <w:p>
      <w:pPr>
        <w:pStyle w:val="12"/>
        <w:tabs>
          <w:tab w:val="left" w:pos="2713"/>
          <w:tab w:val="left" w:pos="4648"/>
          <w:tab w:val="left" w:pos="5853"/>
          <w:tab w:val="left" w:pos="7723"/>
        </w:tabs>
        <w:spacing w:line="357" w:lineRule="auto"/>
        <w:ind w:left="451" w:leftChars="205" w:right="617" w:firstLine="434" w:firstLineChars="213"/>
        <w:jc w:val="both"/>
        <w:rPr>
          <w:color w:val="auto"/>
          <w:spacing w:val="-3"/>
        </w:rPr>
      </w:pPr>
      <w:r>
        <w:rPr>
          <w:rFonts w:hint="eastAsia"/>
          <w:color w:val="auto"/>
          <w:spacing w:val="-3"/>
        </w:rPr>
        <w:t>6.</w:t>
      </w:r>
      <w:r>
        <w:rPr>
          <w:color w:val="auto"/>
          <w:spacing w:val="-3"/>
        </w:rPr>
        <w:t>我方承诺不属于公益一类事业单位、使用事业编制且由财政拨款保障的群团组织，可以作  为政府购买服务的承接主体。</w:t>
      </w:r>
    </w:p>
    <w:p>
      <w:pPr>
        <w:pStyle w:val="12"/>
        <w:tabs>
          <w:tab w:val="left" w:pos="2713"/>
          <w:tab w:val="left" w:pos="4648"/>
          <w:tab w:val="left" w:pos="5853"/>
          <w:tab w:val="left" w:pos="7723"/>
        </w:tabs>
        <w:spacing w:line="357" w:lineRule="auto"/>
        <w:ind w:left="451" w:leftChars="205" w:right="617" w:firstLine="434" w:firstLineChars="213"/>
        <w:jc w:val="both"/>
        <w:rPr>
          <w:rFonts w:hint="eastAsia"/>
          <w:color w:val="auto"/>
          <w:spacing w:val="-3"/>
        </w:rPr>
      </w:pPr>
      <w:r>
        <w:rPr>
          <w:rFonts w:hint="eastAsia"/>
          <w:color w:val="auto"/>
          <w:spacing w:val="-3"/>
        </w:rPr>
        <w:t>7.以上事项如有虚假或隐瞒，我方愿意承担一切后果，并不再寻求任何旨在减轻或免除法律责任的辩解。</w:t>
      </w:r>
    </w:p>
    <w:p>
      <w:pPr>
        <w:pStyle w:val="12"/>
        <w:rPr>
          <w:color w:val="auto"/>
          <w:sz w:val="20"/>
        </w:rPr>
      </w:pPr>
    </w:p>
    <w:p>
      <w:pPr>
        <w:pStyle w:val="12"/>
        <w:tabs>
          <w:tab w:val="left" w:pos="5601"/>
        </w:tabs>
        <w:spacing w:before="148"/>
        <w:ind w:left="618"/>
        <w:rPr>
          <w:color w:val="auto"/>
        </w:rPr>
      </w:pPr>
    </w:p>
    <w:p>
      <w:pPr>
        <w:pStyle w:val="12"/>
        <w:tabs>
          <w:tab w:val="left" w:pos="5601"/>
        </w:tabs>
        <w:spacing w:before="148"/>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3"/>
        <w:rPr>
          <w:color w:val="auto"/>
          <w:sz w:val="19"/>
        </w:rPr>
      </w:pPr>
    </w:p>
    <w:p>
      <w:pPr>
        <w:pStyle w:val="12"/>
        <w:tabs>
          <w:tab w:val="left" w:pos="5603"/>
        </w:tabs>
        <w:spacing w:before="78"/>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2"/>
        </w:rPr>
        <w:t xml:space="preserve"> </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10"/>
        <w:rPr>
          <w:color w:val="auto"/>
          <w:sz w:val="19"/>
        </w:rPr>
      </w:pPr>
    </w:p>
    <w:p>
      <w:pPr>
        <w:pStyle w:val="12"/>
        <w:tabs>
          <w:tab w:val="left" w:pos="1669"/>
          <w:tab w:val="left" w:pos="2194"/>
          <w:tab w:val="left" w:pos="2720"/>
        </w:tabs>
        <w:spacing w:before="72"/>
        <w:ind w:left="618"/>
        <w:rPr>
          <w:color w:val="auto"/>
        </w:rPr>
      </w:pPr>
      <w:r>
        <w:rPr>
          <w:rFonts w:hint="eastAsia"/>
          <w:color w:val="auto"/>
        </w:rPr>
        <w:t>日期：</w:t>
      </w:r>
      <w:r>
        <w:rPr>
          <w:rFonts w:hint="eastAsia"/>
          <w:color w:val="auto"/>
        </w:rPr>
        <w:tab/>
      </w:r>
      <w:r>
        <w:rPr>
          <w:rFonts w:hint="eastAsia"/>
          <w:color w:val="auto"/>
          <w:lang w:val="en-US" w:eastAsia="zh-CN"/>
        </w:rPr>
        <w:t xml:space="preserve"> </w:t>
      </w:r>
      <w:r>
        <w:rPr>
          <w:rFonts w:hint="eastAsia"/>
          <w:color w:val="auto"/>
        </w:rPr>
        <w:t xml:space="preserve"> 年</w:t>
      </w:r>
      <w:r>
        <w:rPr>
          <w:rFonts w:hint="eastAsia"/>
          <w:color w:val="auto"/>
        </w:rPr>
        <w:tab/>
      </w:r>
      <w:r>
        <w:rPr>
          <w:rFonts w:hint="eastAsia"/>
          <w:color w:val="auto"/>
        </w:rPr>
        <w:t xml:space="preserve"> 月  </w:t>
      </w:r>
      <w:r>
        <w:rPr>
          <w:rFonts w:hint="eastAsia"/>
          <w:color w:val="auto"/>
          <w:lang w:val="en-US" w:eastAsia="zh-CN"/>
        </w:rPr>
        <w:t xml:space="preserve"> </w:t>
      </w:r>
      <w:r>
        <w:rPr>
          <w:rFonts w:hint="eastAsia"/>
          <w:color w:val="auto"/>
        </w:rPr>
        <w:tab/>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spacing w:before="55"/>
        <w:outlineLvl w:val="0"/>
        <w:rPr>
          <w:b/>
          <w:color w:val="auto"/>
          <w:sz w:val="32"/>
        </w:rPr>
      </w:pPr>
      <w:bookmarkStart w:id="35" w:name="_Toc8110"/>
      <w:r>
        <w:rPr>
          <w:rFonts w:hint="eastAsia"/>
          <w:b/>
          <w:color w:val="auto"/>
          <w:sz w:val="32"/>
        </w:rPr>
        <w:t>3、法定代表人授权委托书格式：</w:t>
      </w:r>
      <w:bookmarkEnd w:id="35"/>
    </w:p>
    <w:p>
      <w:pPr>
        <w:pStyle w:val="12"/>
        <w:spacing w:before="8"/>
        <w:rPr>
          <w:b/>
          <w:color w:val="auto"/>
          <w:sz w:val="26"/>
        </w:rPr>
      </w:pPr>
    </w:p>
    <w:p>
      <w:pPr>
        <w:ind w:left="830" w:right="838"/>
        <w:jc w:val="center"/>
        <w:outlineLvl w:val="0"/>
        <w:rPr>
          <w:b/>
          <w:color w:val="auto"/>
          <w:sz w:val="32"/>
        </w:rPr>
      </w:pPr>
      <w:bookmarkStart w:id="36" w:name="_Toc19845"/>
      <w:r>
        <w:rPr>
          <w:rFonts w:hint="eastAsia"/>
          <w:b/>
          <w:color w:val="auto"/>
          <w:sz w:val="32"/>
        </w:rPr>
        <w:t>法定代表人授权委托书</w:t>
      </w:r>
      <w:bookmarkEnd w:id="36"/>
    </w:p>
    <w:p>
      <w:pPr>
        <w:pStyle w:val="12"/>
        <w:tabs>
          <w:tab w:val="left" w:pos="2720"/>
        </w:tabs>
        <w:spacing w:before="101"/>
        <w:ind w:left="618"/>
        <w:rPr>
          <w:color w:val="auto"/>
        </w:rPr>
      </w:pPr>
    </w:p>
    <w:p>
      <w:pPr>
        <w:pStyle w:val="12"/>
        <w:tabs>
          <w:tab w:val="left" w:pos="2720"/>
        </w:tabs>
        <w:spacing w:before="101"/>
        <w:ind w:left="618"/>
        <w:rPr>
          <w:color w:val="auto"/>
        </w:rPr>
      </w:pPr>
      <w:r>
        <w:rPr>
          <w:rFonts w:hint="eastAsia"/>
          <w:color w:val="auto"/>
        </w:rPr>
        <w:t>致</w:t>
      </w:r>
      <w:r>
        <w:rPr>
          <w:rFonts w:hint="eastAsia"/>
          <w:color w:val="auto"/>
          <w:spacing w:val="-1"/>
        </w:rPr>
        <w:t>：</w:t>
      </w:r>
      <w:r>
        <w:rPr>
          <w:rFonts w:hint="eastAsia"/>
          <w:color w:val="auto"/>
          <w:u w:val="single"/>
        </w:rPr>
        <w:t xml:space="preserve"> </w:t>
      </w:r>
      <w:r>
        <w:rPr>
          <w:rFonts w:hint="eastAsia"/>
          <w:color w:val="auto"/>
          <w:u w:val="single"/>
          <w:lang w:eastAsia="zh-CN"/>
        </w:rPr>
        <w:t>（招标单位名称）</w:t>
      </w:r>
      <w:r>
        <w:rPr>
          <w:rFonts w:hint="eastAsia"/>
          <w:color w:val="auto"/>
          <w:u w:val="single"/>
          <w:lang w:val="en-US" w:eastAsia="zh-CN"/>
        </w:rPr>
        <w:t xml:space="preserve">  </w:t>
      </w:r>
      <w:r>
        <w:rPr>
          <w:rFonts w:hint="eastAsia"/>
          <w:color w:val="auto"/>
        </w:rPr>
        <w:t>：</w:t>
      </w:r>
    </w:p>
    <w:p>
      <w:pPr>
        <w:pStyle w:val="12"/>
        <w:keepNext w:val="0"/>
        <w:keepLines w:val="0"/>
        <w:pageBreakBefore w:val="0"/>
        <w:widowControl w:val="0"/>
        <w:tabs>
          <w:tab w:val="left" w:pos="2716"/>
          <w:tab w:val="left" w:pos="2848"/>
          <w:tab w:val="left" w:pos="3904"/>
          <w:tab w:val="left" w:pos="5819"/>
          <w:tab w:val="left" w:pos="8568"/>
        </w:tabs>
        <w:kinsoku/>
        <w:wordWrap/>
        <w:overflowPunct/>
        <w:topLinePunct w:val="0"/>
        <w:autoSpaceDE w:val="0"/>
        <w:autoSpaceDN w:val="0"/>
        <w:bidi w:val="0"/>
        <w:adjustRightInd/>
        <w:snapToGrid/>
        <w:spacing w:before="131" w:line="358" w:lineRule="auto"/>
        <w:ind w:left="618" w:right="618" w:firstLine="420" w:firstLineChars="200"/>
        <w:jc w:val="both"/>
        <w:textAlignment w:val="auto"/>
        <w:rPr>
          <w:color w:val="auto"/>
        </w:rPr>
      </w:pPr>
      <w:r>
        <w:rPr>
          <w:rFonts w:hint="eastAsia"/>
          <w:color w:val="auto"/>
        </w:rPr>
        <w:t>我</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u w:val="single"/>
        </w:rPr>
        <w:t>（姓名）</w:t>
      </w:r>
      <w:r>
        <w:rPr>
          <w:rFonts w:hint="eastAsia"/>
          <w:color w:val="auto"/>
        </w:rPr>
        <w:t>系</w:t>
      </w:r>
      <w:r>
        <w:rPr>
          <w:rFonts w:hint="eastAsia"/>
          <w:color w:val="auto"/>
          <w:u w:val="single"/>
        </w:rPr>
        <w:t xml:space="preserve"> </w:t>
      </w:r>
      <w:r>
        <w:rPr>
          <w:rFonts w:hint="eastAsia"/>
          <w:color w:val="auto"/>
          <w:u w:val="single"/>
        </w:rPr>
        <w:tab/>
      </w:r>
      <w:r>
        <w:rPr>
          <w:rFonts w:hint="eastAsia"/>
          <w:color w:val="auto"/>
          <w:u w:val="single"/>
        </w:rPr>
        <w:t>（投标人名称）</w:t>
      </w:r>
      <w:r>
        <w:rPr>
          <w:rFonts w:hint="eastAsia"/>
          <w:color w:val="auto"/>
        </w:rPr>
        <w:t>的法定代表人，现授权</w:t>
      </w:r>
      <w:r>
        <w:rPr>
          <w:rFonts w:hint="eastAsia"/>
          <w:color w:val="auto"/>
          <w:spacing w:val="-16"/>
        </w:rPr>
        <w:t>委</w:t>
      </w:r>
      <w:r>
        <w:rPr>
          <w:rFonts w:hint="eastAsia"/>
          <w:color w:val="auto"/>
        </w:rPr>
        <w:t>托本单位在职职工</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r>
        <w:rPr>
          <w:rFonts w:hint="eastAsia"/>
          <w:color w:val="auto"/>
          <w:u w:val="single"/>
        </w:rPr>
        <w:t>（姓名）</w:t>
      </w:r>
      <w:r>
        <w:rPr>
          <w:rFonts w:hint="eastAsia"/>
          <w:color w:val="auto"/>
        </w:rPr>
        <w:t>以我方的名义参加</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项目（</w:t>
      </w:r>
      <w:r>
        <w:rPr>
          <w:rFonts w:hint="eastAsia"/>
          <w:color w:val="auto"/>
          <w:u w:val="single"/>
          <w:lang w:eastAsia="zh-CN"/>
        </w:rPr>
        <w:t>项目编号：</w:t>
      </w:r>
      <w:r>
        <w:rPr>
          <w:rFonts w:hint="eastAsia"/>
          <w:color w:val="auto"/>
          <w:u w:val="single"/>
        </w:rPr>
        <w:tab/>
      </w:r>
      <w:r>
        <w:rPr>
          <w:rFonts w:hint="eastAsia"/>
          <w:color w:val="auto"/>
          <w:spacing w:val="-8"/>
          <w:u w:val="single"/>
        </w:rPr>
        <w:t>）</w:t>
      </w:r>
      <w:r>
        <w:rPr>
          <w:rFonts w:hint="eastAsia"/>
          <w:color w:val="auto"/>
        </w:rPr>
        <w:t>的投</w:t>
      </w:r>
      <w:r>
        <w:rPr>
          <w:rFonts w:hint="eastAsia"/>
          <w:color w:val="auto"/>
          <w:spacing w:val="-3"/>
        </w:rPr>
        <w:t>标</w:t>
      </w:r>
      <w:r>
        <w:rPr>
          <w:rFonts w:hint="eastAsia"/>
          <w:color w:val="auto"/>
        </w:rPr>
        <w:t>活</w:t>
      </w:r>
      <w:r>
        <w:rPr>
          <w:rFonts w:hint="eastAsia"/>
          <w:color w:val="auto"/>
          <w:spacing w:val="-3"/>
        </w:rPr>
        <w:t>动</w:t>
      </w:r>
      <w:r>
        <w:rPr>
          <w:rFonts w:hint="eastAsia"/>
          <w:color w:val="auto"/>
          <w:spacing w:val="-5"/>
        </w:rPr>
        <w:t>，</w:t>
      </w:r>
      <w:r>
        <w:rPr>
          <w:rFonts w:hint="eastAsia"/>
          <w:color w:val="auto"/>
          <w:spacing w:val="-3"/>
        </w:rPr>
        <w:t>并</w:t>
      </w:r>
      <w:r>
        <w:rPr>
          <w:rFonts w:hint="eastAsia"/>
          <w:color w:val="auto"/>
        </w:rPr>
        <w:t>代</w:t>
      </w:r>
      <w:r>
        <w:rPr>
          <w:rFonts w:hint="eastAsia"/>
          <w:color w:val="auto"/>
          <w:spacing w:val="-3"/>
        </w:rPr>
        <w:t>表</w:t>
      </w:r>
      <w:r>
        <w:rPr>
          <w:rFonts w:hint="eastAsia"/>
          <w:color w:val="auto"/>
        </w:rPr>
        <w:t>我</w:t>
      </w:r>
      <w:r>
        <w:rPr>
          <w:rFonts w:hint="eastAsia"/>
          <w:color w:val="auto"/>
          <w:spacing w:val="-3"/>
        </w:rPr>
        <w:t>方</w:t>
      </w:r>
      <w:r>
        <w:rPr>
          <w:rFonts w:hint="eastAsia"/>
          <w:color w:val="auto"/>
        </w:rPr>
        <w:t>全权</w:t>
      </w:r>
      <w:r>
        <w:rPr>
          <w:rFonts w:hint="eastAsia"/>
          <w:color w:val="auto"/>
          <w:spacing w:val="-3"/>
        </w:rPr>
        <w:t>办</w:t>
      </w:r>
      <w:r>
        <w:rPr>
          <w:rFonts w:hint="eastAsia"/>
          <w:color w:val="auto"/>
        </w:rPr>
        <w:t>理</w:t>
      </w:r>
      <w:r>
        <w:rPr>
          <w:rFonts w:hint="eastAsia"/>
          <w:color w:val="auto"/>
          <w:spacing w:val="-3"/>
        </w:rPr>
        <w:t>针</w:t>
      </w:r>
      <w:r>
        <w:rPr>
          <w:rFonts w:hint="eastAsia"/>
          <w:color w:val="auto"/>
        </w:rPr>
        <w:t>对</w:t>
      </w:r>
      <w:r>
        <w:rPr>
          <w:rFonts w:hint="eastAsia"/>
          <w:color w:val="auto"/>
          <w:spacing w:val="-3"/>
        </w:rPr>
        <w:t>上</w:t>
      </w:r>
      <w:r>
        <w:rPr>
          <w:rFonts w:hint="eastAsia"/>
          <w:color w:val="auto"/>
        </w:rPr>
        <w:t>述</w:t>
      </w:r>
      <w:r>
        <w:rPr>
          <w:rFonts w:hint="eastAsia"/>
          <w:color w:val="auto"/>
          <w:spacing w:val="-3"/>
        </w:rPr>
        <w:t>项</w:t>
      </w:r>
      <w:r>
        <w:rPr>
          <w:rFonts w:hint="eastAsia"/>
          <w:color w:val="auto"/>
        </w:rPr>
        <w:t>目</w:t>
      </w:r>
      <w:r>
        <w:rPr>
          <w:rFonts w:hint="eastAsia"/>
          <w:color w:val="auto"/>
          <w:spacing w:val="-3"/>
        </w:rPr>
        <w:t>的</w:t>
      </w:r>
      <w:r>
        <w:rPr>
          <w:rFonts w:hint="eastAsia"/>
          <w:color w:val="auto"/>
        </w:rPr>
        <w:t>投标</w:t>
      </w:r>
      <w:r>
        <w:rPr>
          <w:rFonts w:hint="eastAsia"/>
          <w:color w:val="auto"/>
          <w:spacing w:val="-8"/>
        </w:rPr>
        <w:t>、</w:t>
      </w:r>
      <w:r>
        <w:rPr>
          <w:rFonts w:hint="eastAsia"/>
          <w:color w:val="auto"/>
        </w:rPr>
        <w:t>开</w:t>
      </w:r>
      <w:r>
        <w:rPr>
          <w:rFonts w:hint="eastAsia"/>
          <w:color w:val="auto"/>
          <w:spacing w:val="-3"/>
        </w:rPr>
        <w:t>标</w:t>
      </w:r>
      <w:r>
        <w:rPr>
          <w:rFonts w:hint="eastAsia"/>
          <w:color w:val="auto"/>
          <w:spacing w:val="-5"/>
        </w:rPr>
        <w:t>、</w:t>
      </w:r>
      <w:r>
        <w:rPr>
          <w:rFonts w:hint="eastAsia"/>
          <w:color w:val="auto"/>
          <w:spacing w:val="-3"/>
        </w:rPr>
        <w:t>评</w:t>
      </w:r>
      <w:r>
        <w:rPr>
          <w:rFonts w:hint="eastAsia"/>
          <w:color w:val="auto"/>
        </w:rPr>
        <w:t>标</w:t>
      </w:r>
      <w:r>
        <w:rPr>
          <w:rFonts w:hint="eastAsia"/>
          <w:color w:val="auto"/>
          <w:spacing w:val="-8"/>
        </w:rPr>
        <w:t>、</w:t>
      </w:r>
      <w:r>
        <w:rPr>
          <w:rFonts w:hint="eastAsia"/>
          <w:color w:val="auto"/>
        </w:rPr>
        <w:t>签约等</w:t>
      </w:r>
      <w:r>
        <w:rPr>
          <w:rFonts w:hint="eastAsia"/>
          <w:color w:val="auto"/>
          <w:spacing w:val="-3"/>
        </w:rPr>
        <w:t>具</w:t>
      </w:r>
      <w:r>
        <w:rPr>
          <w:rFonts w:hint="eastAsia"/>
          <w:color w:val="auto"/>
        </w:rPr>
        <w:t>体</w:t>
      </w:r>
      <w:r>
        <w:rPr>
          <w:rFonts w:hint="eastAsia"/>
          <w:color w:val="auto"/>
          <w:spacing w:val="-3"/>
        </w:rPr>
        <w:t>事</w:t>
      </w:r>
      <w:r>
        <w:rPr>
          <w:rFonts w:hint="eastAsia"/>
          <w:color w:val="auto"/>
        </w:rPr>
        <w:t>务</w:t>
      </w:r>
      <w:r>
        <w:rPr>
          <w:rFonts w:hint="eastAsia"/>
          <w:color w:val="auto"/>
          <w:spacing w:val="-3"/>
        </w:rPr>
        <w:t>和</w:t>
      </w:r>
      <w:r>
        <w:rPr>
          <w:rFonts w:hint="eastAsia"/>
          <w:color w:val="auto"/>
        </w:rPr>
        <w:t>签</w:t>
      </w:r>
      <w:r>
        <w:rPr>
          <w:rFonts w:hint="eastAsia"/>
          <w:color w:val="auto"/>
          <w:spacing w:val="-3"/>
        </w:rPr>
        <w:t>署</w:t>
      </w:r>
      <w:r>
        <w:rPr>
          <w:rFonts w:hint="eastAsia"/>
          <w:color w:val="auto"/>
        </w:rPr>
        <w:t>相</w:t>
      </w:r>
      <w:r>
        <w:rPr>
          <w:rFonts w:hint="eastAsia"/>
          <w:color w:val="auto"/>
          <w:spacing w:val="-3"/>
        </w:rPr>
        <w:t>关</w:t>
      </w:r>
      <w:r>
        <w:rPr>
          <w:rFonts w:hint="eastAsia"/>
          <w:color w:val="auto"/>
        </w:rPr>
        <w:t>文件。</w:t>
      </w:r>
    </w:p>
    <w:p>
      <w:pPr>
        <w:pStyle w:val="12"/>
        <w:spacing w:line="264" w:lineRule="exact"/>
        <w:ind w:left="1040"/>
        <w:rPr>
          <w:color w:val="auto"/>
        </w:rPr>
      </w:pPr>
      <w:r>
        <w:rPr>
          <w:rFonts w:hint="eastAsia"/>
          <w:color w:val="auto"/>
        </w:rPr>
        <w:t>我方对被授权人的签名事项负全部责任。</w:t>
      </w:r>
    </w:p>
    <w:p>
      <w:pPr>
        <w:pStyle w:val="12"/>
        <w:keepNext w:val="0"/>
        <w:keepLines w:val="0"/>
        <w:pageBreakBefore w:val="0"/>
        <w:widowControl w:val="0"/>
        <w:kinsoku/>
        <w:wordWrap/>
        <w:overflowPunct/>
        <w:topLinePunct w:val="0"/>
        <w:autoSpaceDE w:val="0"/>
        <w:autoSpaceDN w:val="0"/>
        <w:bidi w:val="0"/>
        <w:adjustRightInd/>
        <w:snapToGrid/>
        <w:spacing w:before="132" w:line="357" w:lineRule="auto"/>
        <w:ind w:left="618" w:right="623" w:firstLine="420" w:firstLineChars="200"/>
        <w:textAlignment w:val="auto"/>
        <w:rPr>
          <w:color w:val="auto"/>
        </w:rPr>
      </w:pPr>
      <w:r>
        <w:rPr>
          <w:rFonts w:hint="eastAsia"/>
          <w:color w:val="auto"/>
        </w:rPr>
        <w:t>在撤销授权的书面通知以前，本授权书一直有效。被授权人在授权书有效期内签署的所有文件不因授权的撤销而失效。</w:t>
      </w:r>
    </w:p>
    <w:p>
      <w:pPr>
        <w:pStyle w:val="12"/>
        <w:keepNext w:val="0"/>
        <w:keepLines w:val="0"/>
        <w:pageBreakBefore w:val="0"/>
        <w:widowControl w:val="0"/>
        <w:kinsoku/>
        <w:wordWrap/>
        <w:overflowPunct/>
        <w:topLinePunct w:val="0"/>
        <w:autoSpaceDE w:val="0"/>
        <w:autoSpaceDN w:val="0"/>
        <w:bidi w:val="0"/>
        <w:adjustRightInd/>
        <w:snapToGrid/>
        <w:spacing w:line="266" w:lineRule="exact"/>
        <w:ind w:firstLine="1050" w:firstLineChars="500"/>
        <w:textAlignment w:val="auto"/>
        <w:rPr>
          <w:color w:val="auto"/>
        </w:rPr>
      </w:pPr>
      <w:r>
        <w:rPr>
          <w:rFonts w:hint="eastAsia"/>
          <w:color w:val="auto"/>
        </w:rPr>
        <w:t>被授权人无转委托权，特此委托。</w:t>
      </w:r>
    </w:p>
    <w:p>
      <w:pPr>
        <w:pStyle w:val="12"/>
        <w:rPr>
          <w:color w:val="auto"/>
          <w:sz w:val="20"/>
        </w:rPr>
      </w:pPr>
    </w:p>
    <w:p>
      <w:pPr>
        <w:pStyle w:val="12"/>
        <w:spacing w:before="7"/>
        <w:rPr>
          <w:color w:val="auto"/>
        </w:rPr>
      </w:pPr>
    </w:p>
    <w:p>
      <w:pPr>
        <w:pStyle w:val="12"/>
        <w:tabs>
          <w:tab w:val="left" w:pos="5077"/>
          <w:tab w:val="left" w:pos="5183"/>
          <w:tab w:val="left" w:pos="5495"/>
          <w:tab w:val="left" w:pos="6078"/>
          <w:tab w:val="left" w:pos="8435"/>
        </w:tabs>
        <w:spacing w:line="357" w:lineRule="auto"/>
        <w:ind w:left="826" w:leftChars="280" w:right="1456" w:rightChars="0" w:hanging="210" w:hangingChars="100"/>
        <w:jc w:val="both"/>
        <w:rPr>
          <w:rFonts w:hint="default" w:eastAsia="宋体"/>
          <w:color w:val="auto"/>
          <w:spacing w:val="-3"/>
          <w:u w:val="single"/>
          <w:lang w:val="en-US" w:eastAsia="zh-CN"/>
        </w:rPr>
      </w:pPr>
      <w:r>
        <w:rPr>
          <w:rFonts w:hint="eastAsia"/>
          <w:color w:val="auto"/>
        </w:rPr>
        <w:t>被授</w:t>
      </w:r>
      <w:r>
        <w:rPr>
          <w:rFonts w:hint="eastAsia"/>
          <w:color w:val="auto"/>
          <w:spacing w:val="-3"/>
        </w:rPr>
        <w:t>权</w:t>
      </w:r>
      <w:r>
        <w:rPr>
          <w:rFonts w:hint="eastAsia"/>
          <w:color w:val="auto"/>
        </w:rPr>
        <w:t>人</w:t>
      </w:r>
      <w:r>
        <w:rPr>
          <w:rFonts w:hint="eastAsia"/>
          <w:color w:val="auto"/>
          <w:spacing w:val="-3"/>
        </w:rPr>
        <w:t>签</w:t>
      </w:r>
      <w:r>
        <w:rPr>
          <w:rFonts w:hint="eastAsia"/>
          <w:color w:val="auto"/>
        </w:rPr>
        <w:t>名</w:t>
      </w:r>
      <w:r>
        <w:rPr>
          <w:rFonts w:hint="eastAsia"/>
          <w:color w:val="auto"/>
          <w:spacing w:val="-3"/>
        </w:rPr>
        <w:t>：</w:t>
      </w:r>
      <w:r>
        <w:rPr>
          <w:rFonts w:hint="eastAsia"/>
          <w:color w:val="auto"/>
          <w:spacing w:val="-3"/>
          <w:u w:val="single"/>
        </w:rPr>
        <w:t xml:space="preserve"> </w:t>
      </w:r>
      <w:r>
        <w:rPr>
          <w:rFonts w:hint="eastAsia"/>
          <w:color w:val="auto"/>
          <w:spacing w:val="-3"/>
          <w:u w:val="single"/>
          <w:lang w:val="en-US" w:eastAsia="zh-CN"/>
        </w:rPr>
        <w:t xml:space="preserve">                      </w:t>
      </w:r>
      <w:r>
        <w:rPr>
          <w:rFonts w:hint="eastAsia"/>
          <w:color w:val="auto"/>
          <w:spacing w:val="-3"/>
          <w:u w:val="none"/>
          <w:lang w:val="en-US" w:eastAsia="zh-CN"/>
        </w:rPr>
        <w:t xml:space="preserve">    </w:t>
      </w:r>
      <w:r>
        <w:rPr>
          <w:rFonts w:hint="eastAsia"/>
          <w:color w:val="auto"/>
        </w:rPr>
        <w:t>所在</w:t>
      </w:r>
      <w:r>
        <w:rPr>
          <w:rFonts w:hint="eastAsia"/>
          <w:color w:val="auto"/>
          <w:spacing w:val="-3"/>
        </w:rPr>
        <w:t>部</w:t>
      </w:r>
      <w:r>
        <w:rPr>
          <w:rFonts w:hint="eastAsia"/>
          <w:color w:val="auto"/>
        </w:rPr>
        <w:t>门</w:t>
      </w:r>
      <w:r>
        <w:rPr>
          <w:rFonts w:hint="eastAsia"/>
          <w:color w:val="auto"/>
          <w:spacing w:val="-3"/>
        </w:rPr>
        <w:t>职</w:t>
      </w:r>
      <w:r>
        <w:rPr>
          <w:rFonts w:hint="eastAsia"/>
          <w:color w:val="auto"/>
        </w:rPr>
        <w:t>务</w:t>
      </w:r>
      <w:r>
        <w:rPr>
          <w:rFonts w:hint="eastAsia"/>
          <w:color w:val="auto"/>
          <w:spacing w:val="-3"/>
        </w:rPr>
        <w:t>：</w:t>
      </w:r>
      <w:r>
        <w:rPr>
          <w:rFonts w:hint="eastAsia"/>
          <w:color w:val="auto"/>
          <w:spacing w:val="-3"/>
          <w:u w:val="single"/>
        </w:rPr>
        <w:t xml:space="preserve"> </w:t>
      </w:r>
      <w:r>
        <w:rPr>
          <w:rFonts w:hint="eastAsia"/>
          <w:color w:val="auto"/>
          <w:spacing w:val="-3"/>
          <w:u w:val="single"/>
          <w:lang w:val="en-US" w:eastAsia="zh-CN"/>
        </w:rPr>
        <w:t xml:space="preserve">           </w:t>
      </w:r>
      <w:r>
        <w:rPr>
          <w:rFonts w:hint="eastAsia"/>
          <w:color w:val="auto"/>
          <w:spacing w:val="-3"/>
          <w:u w:val="single"/>
        </w:rPr>
        <w:tab/>
      </w:r>
      <w:r>
        <w:rPr>
          <w:rFonts w:hint="eastAsia"/>
          <w:color w:val="auto"/>
          <w:spacing w:val="-3"/>
          <w:u w:val="single"/>
        </w:rPr>
        <w:tab/>
      </w:r>
      <w:r>
        <w:rPr>
          <w:rFonts w:hint="eastAsia"/>
          <w:color w:val="auto"/>
          <w:spacing w:val="-3"/>
          <w:u w:val="single"/>
        </w:rPr>
        <w:t xml:space="preserve">  </w:t>
      </w:r>
    </w:p>
    <w:p>
      <w:pPr>
        <w:pStyle w:val="12"/>
        <w:tabs>
          <w:tab w:val="left" w:pos="5077"/>
          <w:tab w:val="left" w:pos="5183"/>
          <w:tab w:val="left" w:pos="5495"/>
          <w:tab w:val="left" w:pos="6078"/>
          <w:tab w:val="left" w:pos="8435"/>
        </w:tabs>
        <w:spacing w:line="357" w:lineRule="auto"/>
        <w:ind w:left="618" w:right="1236" w:rightChars="0"/>
        <w:jc w:val="both"/>
        <w:rPr>
          <w:rFonts w:hint="eastAsia"/>
          <w:color w:val="auto"/>
          <w:u w:val="single"/>
        </w:rPr>
      </w:pPr>
      <w:r>
        <w:rPr>
          <w:rFonts w:hint="eastAsia"/>
          <w:color w:val="auto"/>
          <w:spacing w:val="-3"/>
        </w:rPr>
        <w:t>法</w:t>
      </w:r>
      <w:r>
        <w:rPr>
          <w:rFonts w:hint="eastAsia"/>
          <w:color w:val="auto"/>
        </w:rPr>
        <w:t>定代</w:t>
      </w:r>
      <w:r>
        <w:rPr>
          <w:rFonts w:hint="eastAsia"/>
          <w:color w:val="auto"/>
          <w:spacing w:val="-3"/>
        </w:rPr>
        <w:t>表</w:t>
      </w:r>
      <w:r>
        <w:rPr>
          <w:rFonts w:hint="eastAsia"/>
          <w:color w:val="auto"/>
          <w:spacing w:val="-101"/>
        </w:rPr>
        <w:t xml:space="preserve"> </w:t>
      </w:r>
      <w:r>
        <w:rPr>
          <w:rFonts w:hint="eastAsia"/>
          <w:color w:val="auto"/>
        </w:rPr>
        <w:t>人</w:t>
      </w:r>
      <w:r>
        <w:rPr>
          <w:rFonts w:hint="eastAsia"/>
          <w:color w:val="auto"/>
          <w:spacing w:val="-3"/>
        </w:rPr>
        <w:t>签</w:t>
      </w:r>
      <w:r>
        <w:rPr>
          <w:rFonts w:hint="eastAsia"/>
          <w:color w:val="auto"/>
        </w:rPr>
        <w:t>名</w:t>
      </w:r>
      <w:r>
        <w:rPr>
          <w:rFonts w:hint="eastAsia"/>
          <w:color w:val="auto"/>
          <w:spacing w:val="-3"/>
        </w:rPr>
        <w:t>：</w:t>
      </w:r>
      <w:r>
        <w:rPr>
          <w:rFonts w:hint="eastAsia"/>
          <w:color w:val="auto"/>
          <w:u w:val="single"/>
        </w:rPr>
        <w:t xml:space="preserve">  </w:t>
      </w:r>
      <w:r>
        <w:rPr>
          <w:rFonts w:hint="eastAsia"/>
          <w:color w:val="auto"/>
          <w:u w:val="single"/>
          <w:lang w:val="en-US" w:eastAsia="zh-CN"/>
        </w:rPr>
        <w:t xml:space="preserve">                  </w:t>
      </w:r>
      <w:r>
        <w:rPr>
          <w:rFonts w:hint="eastAsia"/>
          <w:color w:val="auto"/>
          <w:u w:val="none"/>
          <w:lang w:val="en-US" w:eastAsia="zh-CN"/>
        </w:rPr>
        <w:t xml:space="preserve">     </w:t>
      </w:r>
      <w:r>
        <w:rPr>
          <w:rFonts w:hint="eastAsia"/>
          <w:color w:val="auto"/>
        </w:rPr>
        <w:t xml:space="preserve">职 </w:t>
      </w:r>
      <w:r>
        <w:rPr>
          <w:rFonts w:hint="eastAsia"/>
          <w:color w:val="auto"/>
          <w:spacing w:val="1"/>
        </w:rPr>
        <w:t xml:space="preserve"> </w:t>
      </w:r>
      <w:r>
        <w:rPr>
          <w:rFonts w:hint="eastAsia"/>
          <w:color w:val="auto"/>
        </w:rPr>
        <w:t>务</w:t>
      </w:r>
      <w:r>
        <w:rPr>
          <w:rFonts w:hint="eastAsia"/>
          <w:color w:val="auto"/>
          <w:spacing w:val="-3"/>
        </w:rPr>
        <w:t>：</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r>
        <w:rPr>
          <w:rFonts w:hint="eastAsia"/>
          <w:color w:val="auto"/>
          <w:u w:val="single"/>
        </w:rPr>
        <w:t xml:space="preserve">   </w:t>
      </w:r>
    </w:p>
    <w:p>
      <w:pPr>
        <w:pStyle w:val="12"/>
        <w:tabs>
          <w:tab w:val="left" w:pos="5077"/>
          <w:tab w:val="left" w:pos="5183"/>
          <w:tab w:val="left" w:pos="5495"/>
          <w:tab w:val="left" w:pos="6078"/>
          <w:tab w:val="left" w:pos="8435"/>
        </w:tabs>
        <w:spacing w:line="357" w:lineRule="auto"/>
        <w:ind w:left="618" w:right="1808"/>
        <w:jc w:val="both"/>
        <w:rPr>
          <w:rFonts w:hint="default" w:eastAsia="宋体"/>
          <w:color w:val="auto"/>
          <w:lang w:val="en-US" w:eastAsia="zh-CN"/>
        </w:rPr>
      </w:pPr>
      <w:r>
        <w:rPr>
          <w:rFonts w:hint="eastAsia"/>
          <w:color w:val="auto"/>
        </w:rPr>
        <w:t>被授</w:t>
      </w:r>
      <w:r>
        <w:rPr>
          <w:rFonts w:hint="eastAsia"/>
          <w:color w:val="auto"/>
          <w:spacing w:val="-3"/>
        </w:rPr>
        <w:t>权</w:t>
      </w:r>
      <w:r>
        <w:rPr>
          <w:rFonts w:hint="eastAsia"/>
          <w:color w:val="auto"/>
        </w:rPr>
        <w:t>人</w:t>
      </w:r>
      <w:r>
        <w:rPr>
          <w:rFonts w:hint="eastAsia"/>
          <w:color w:val="auto"/>
          <w:spacing w:val="-3"/>
        </w:rPr>
        <w:t>身</w:t>
      </w:r>
      <w:r>
        <w:rPr>
          <w:rFonts w:hint="eastAsia"/>
          <w:color w:val="auto"/>
        </w:rPr>
        <w:t>份</w:t>
      </w:r>
      <w:r>
        <w:rPr>
          <w:rFonts w:hint="eastAsia"/>
          <w:color w:val="auto"/>
          <w:spacing w:val="-3"/>
        </w:rPr>
        <w:t>证</w:t>
      </w:r>
      <w:r>
        <w:rPr>
          <w:rFonts w:hint="eastAsia"/>
          <w:color w:val="auto"/>
        </w:rPr>
        <w:t>号</w:t>
      </w:r>
      <w:r>
        <w:rPr>
          <w:rFonts w:hint="eastAsia"/>
          <w:color w:val="auto"/>
          <w:spacing w:val="-3"/>
        </w:rPr>
        <w:t>码</w:t>
      </w:r>
      <w:r>
        <w:rPr>
          <w:rFonts w:hint="eastAsia"/>
          <w:color w:val="auto"/>
        </w:rPr>
        <w:t>：</w:t>
      </w:r>
      <w:r>
        <w:rPr>
          <w:rFonts w:hint="eastAsia"/>
          <w:color w:val="auto"/>
          <w:u w:val="single"/>
        </w:rPr>
        <w:t xml:space="preserve"> </w:t>
      </w:r>
      <w:r>
        <w:rPr>
          <w:rFonts w:hint="eastAsia"/>
          <w:color w:val="auto"/>
          <w:u w:val="single"/>
        </w:rPr>
        <w:tab/>
      </w:r>
      <w:r>
        <w:rPr>
          <w:rFonts w:hint="eastAsia"/>
          <w:color w:val="auto"/>
          <w:u w:val="single"/>
        </w:rPr>
        <w:tab/>
      </w:r>
      <w:r>
        <w:rPr>
          <w:rFonts w:hint="eastAsia"/>
          <w:color w:val="auto"/>
          <w:u w:val="single"/>
          <w:lang w:val="en-US" w:eastAsia="zh-CN"/>
        </w:rPr>
        <w:t xml:space="preserve">  </w:t>
      </w:r>
    </w:p>
    <w:p>
      <w:pPr>
        <w:pStyle w:val="12"/>
        <w:spacing w:before="132" w:line="357" w:lineRule="auto"/>
        <w:ind w:right="623" w:firstLine="630" w:firstLineChars="300"/>
        <w:rPr>
          <w:color w:val="auto"/>
        </w:rPr>
      </w:pPr>
      <w:r>
        <w:rPr>
          <w:rFonts w:hint="eastAsia"/>
          <w:color w:val="auto"/>
        </w:rPr>
        <w:t>附：法定代表人身份证正反面复印件及被授权人身份证正反面复印件</w:t>
      </w:r>
    </w:p>
    <w:p>
      <w:pPr>
        <w:pStyle w:val="12"/>
        <w:spacing w:before="1"/>
        <w:rPr>
          <w:color w:val="auto"/>
          <w:sz w:val="23"/>
        </w:rPr>
      </w:pPr>
    </w:p>
    <w:p>
      <w:pPr>
        <w:pStyle w:val="12"/>
        <w:tabs>
          <w:tab w:val="left" w:pos="5447"/>
          <w:tab w:val="left" w:pos="6078"/>
          <w:tab w:val="left" w:pos="9669"/>
        </w:tabs>
        <w:spacing w:before="72" w:line="357" w:lineRule="auto"/>
        <w:ind w:left="4982" w:leftChars="2137" w:right="574" w:hanging="281" w:hangingChars="134"/>
        <w:rPr>
          <w:color w:val="auto"/>
        </w:rPr>
      </w:pPr>
    </w:p>
    <w:p>
      <w:pPr>
        <w:pStyle w:val="12"/>
        <w:tabs>
          <w:tab w:val="left" w:pos="5447"/>
          <w:tab w:val="left" w:pos="6078"/>
          <w:tab w:val="left" w:pos="9669"/>
        </w:tabs>
        <w:spacing w:before="72" w:line="357" w:lineRule="auto"/>
        <w:ind w:left="4982" w:leftChars="2137" w:right="574" w:hanging="281" w:hangingChars="134"/>
        <w:rPr>
          <w:color w:val="auto"/>
        </w:rPr>
      </w:pPr>
    </w:p>
    <w:p>
      <w:pPr>
        <w:pStyle w:val="12"/>
        <w:tabs>
          <w:tab w:val="left" w:pos="5447"/>
          <w:tab w:val="left" w:pos="6078"/>
          <w:tab w:val="left" w:pos="9669"/>
        </w:tabs>
        <w:spacing w:before="72" w:line="357" w:lineRule="auto"/>
        <w:ind w:left="4982" w:leftChars="2137" w:right="574" w:hanging="281" w:hangingChars="134"/>
        <w:rPr>
          <w:color w:val="auto"/>
          <w:u w:val="single"/>
        </w:rPr>
      </w:pPr>
      <w:r>
        <w:rPr>
          <w:rFonts w:hint="eastAsia"/>
          <w:color w:val="auto"/>
        </w:rPr>
        <w:t>投</w:t>
      </w:r>
      <w:r>
        <w:rPr>
          <w:rFonts w:hint="eastAsia"/>
          <w:color w:val="auto"/>
          <w:spacing w:val="-3"/>
        </w:rPr>
        <w:t>标</w:t>
      </w:r>
      <w:r>
        <w:rPr>
          <w:rFonts w:hint="eastAsia"/>
          <w:color w:val="auto"/>
        </w:rPr>
        <w:t>人</w:t>
      </w:r>
      <w:r>
        <w:rPr>
          <w:rFonts w:hint="eastAsia"/>
          <w:color w:val="auto"/>
          <w:spacing w:val="-3"/>
        </w:rPr>
        <w:t>公</w:t>
      </w:r>
      <w:r>
        <w:rPr>
          <w:rFonts w:hint="eastAsia"/>
          <w:color w:val="auto"/>
        </w:rPr>
        <w:t>章：</w:t>
      </w:r>
      <w:r>
        <w:rPr>
          <w:rFonts w:hint="eastAsia"/>
          <w:color w:val="auto"/>
          <w:u w:val="single"/>
        </w:rPr>
        <w:t xml:space="preserve">                       </w:t>
      </w:r>
    </w:p>
    <w:p>
      <w:pPr>
        <w:pStyle w:val="12"/>
        <w:tabs>
          <w:tab w:val="left" w:pos="5447"/>
          <w:tab w:val="left" w:pos="6078"/>
          <w:tab w:val="left" w:pos="9669"/>
        </w:tabs>
        <w:spacing w:before="72" w:line="357" w:lineRule="auto"/>
        <w:ind w:right="574" w:firstLine="5880" w:firstLineChars="2800"/>
        <w:rPr>
          <w:color w:val="auto"/>
        </w:rPr>
      </w:pPr>
      <w:r>
        <w:rPr>
          <w:rFonts w:hint="eastAsia"/>
          <w:color w:val="auto"/>
        </w:rPr>
        <w:t>年   月    日</w:t>
      </w:r>
    </w:p>
    <w:p>
      <w:pPr>
        <w:spacing w:line="357" w:lineRule="auto"/>
        <w:rPr>
          <w:color w:val="auto"/>
        </w:rPr>
        <w:sectPr>
          <w:pgSz w:w="11910" w:h="16840"/>
          <w:pgMar w:top="1134" w:right="1134" w:bottom="1134" w:left="1180" w:header="0" w:footer="894" w:gutter="0"/>
          <w:pgNumType w:fmt="decimal"/>
          <w:cols w:equalWidth="0" w:num="1">
            <w:col w:w="10250"/>
          </w:cols>
          <w:rtlGutter w:val="0"/>
        </w:sectPr>
      </w:pPr>
    </w:p>
    <w:p>
      <w:pPr>
        <w:spacing w:before="33"/>
        <w:ind w:firstLine="3534" w:firstLineChars="1100"/>
        <w:outlineLvl w:val="0"/>
        <w:rPr>
          <w:b/>
          <w:color w:val="auto"/>
          <w:sz w:val="26"/>
        </w:rPr>
      </w:pPr>
      <w:bookmarkStart w:id="37" w:name="_Toc20047"/>
      <w:r>
        <w:rPr>
          <w:rFonts w:hint="eastAsia"/>
          <w:b/>
          <w:color w:val="auto"/>
          <w:sz w:val="32"/>
        </w:rPr>
        <w:t>4、投标报价表（格式）</w:t>
      </w:r>
      <w:bookmarkEnd w:id="37"/>
    </w:p>
    <w:p>
      <w:pPr>
        <w:pStyle w:val="8"/>
        <w:spacing w:before="30" w:line="280" w:lineRule="auto"/>
        <w:ind w:right="7396" w:rightChars="0"/>
        <w:jc w:val="left"/>
        <w:rPr>
          <w:rFonts w:hint="eastAsia"/>
          <w:color w:val="auto"/>
        </w:rPr>
      </w:pPr>
      <w:r>
        <w:rPr>
          <w:rFonts w:hint="eastAsia"/>
          <w:color w:val="auto"/>
        </w:rPr>
        <w:t xml:space="preserve">项目编号： </w:t>
      </w:r>
    </w:p>
    <w:p>
      <w:pPr>
        <w:pStyle w:val="8"/>
        <w:spacing w:before="30" w:line="280" w:lineRule="auto"/>
        <w:ind w:right="7396" w:rightChars="0"/>
        <w:jc w:val="left"/>
        <w:rPr>
          <w:color w:val="auto"/>
          <w:sz w:val="24"/>
        </w:rPr>
      </w:pPr>
      <w:r>
        <w:rPr>
          <w:rFonts w:hint="eastAsia"/>
          <w:color w:val="auto"/>
        </w:rPr>
        <w:t>项目名称：</w:t>
      </w:r>
    </w:p>
    <w:p>
      <w:pPr>
        <w:pStyle w:val="12"/>
        <w:spacing w:before="5" w:line="360" w:lineRule="auto"/>
        <w:ind w:firstLine="480" w:firstLineChars="200"/>
        <w:rPr>
          <w:color w:val="auto"/>
          <w:sz w:val="24"/>
          <w:szCs w:val="24"/>
        </w:rPr>
      </w:pPr>
      <w:r>
        <w:rPr>
          <w:rFonts w:hint="eastAsia"/>
          <w:color w:val="auto"/>
          <w:sz w:val="24"/>
        </w:rPr>
        <w:t>（</w:t>
      </w:r>
      <w:r>
        <w:rPr>
          <w:rFonts w:hint="eastAsia"/>
          <w:color w:val="auto"/>
          <w:sz w:val="24"/>
          <w:szCs w:val="24"/>
        </w:rPr>
        <w:t>1）工程</w:t>
      </w:r>
      <w:r>
        <w:rPr>
          <w:rFonts w:hint="eastAsia"/>
          <w:color w:val="auto"/>
          <w:sz w:val="24"/>
          <w:szCs w:val="24"/>
          <w:lang w:eastAsia="zh-CN"/>
        </w:rPr>
        <w:t>预算评审</w:t>
      </w:r>
      <w:r>
        <w:rPr>
          <w:rFonts w:hint="eastAsia"/>
          <w:color w:val="auto"/>
          <w:sz w:val="24"/>
          <w:szCs w:val="24"/>
        </w:rPr>
        <w:t>基本费部分报价费率报价(A)</w:t>
      </w:r>
      <w:r>
        <w:rPr>
          <w:rFonts w:hint="eastAsia"/>
          <w:color w:val="auto"/>
          <w:sz w:val="24"/>
          <w:szCs w:val="24"/>
          <w:u w:val="single"/>
          <w:lang w:val="en-US" w:eastAsia="zh-CN"/>
        </w:rPr>
        <w:t xml:space="preserve"> 下浮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480" w:firstLineChars="200"/>
        <w:jc w:val="both"/>
        <w:textAlignment w:val="auto"/>
        <w:rPr>
          <w:rFonts w:hint="eastAsia"/>
          <w:color w:val="auto"/>
          <w:spacing w:val="-13"/>
          <w:sz w:val="24"/>
          <w:szCs w:val="24"/>
        </w:rPr>
      </w:pPr>
      <w:r>
        <w:rPr>
          <w:rFonts w:hint="eastAsia"/>
          <w:color w:val="auto"/>
          <w:sz w:val="24"/>
          <w:szCs w:val="24"/>
        </w:rPr>
        <w:t>（2）工程</w:t>
      </w:r>
      <w:r>
        <w:rPr>
          <w:rFonts w:hint="eastAsia"/>
          <w:color w:val="auto"/>
          <w:sz w:val="24"/>
          <w:szCs w:val="24"/>
          <w:lang w:eastAsia="zh-CN"/>
        </w:rPr>
        <w:t>预算评审</w:t>
      </w:r>
      <w:r>
        <w:rPr>
          <w:rFonts w:hint="eastAsia"/>
          <w:color w:val="auto"/>
          <w:sz w:val="24"/>
          <w:szCs w:val="24"/>
        </w:rPr>
        <w:t>效益费部分报价费率（B）</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u w:val="single"/>
        </w:rPr>
        <w:t xml:space="preserve">  </w:t>
      </w:r>
      <w:r>
        <w:rPr>
          <w:rFonts w:hint="eastAsia"/>
          <w:color w:val="auto"/>
          <w:sz w:val="24"/>
          <w:szCs w:val="24"/>
        </w:rPr>
        <w:t>%。</w:t>
      </w:r>
      <w:r>
        <w:rPr>
          <w:rFonts w:hint="eastAsia"/>
          <w:color w:val="auto"/>
          <w:spacing w:val="-13"/>
          <w:sz w:val="24"/>
          <w:szCs w:val="24"/>
        </w:rPr>
        <w:t>不在有效报价范围内的投标报价按无效投标处理。</w:t>
      </w:r>
    </w:p>
    <w:p>
      <w:pPr>
        <w:pStyle w:val="10"/>
        <w:spacing w:line="360" w:lineRule="auto"/>
        <w:ind w:left="838"/>
        <w:rPr>
          <w:rFonts w:hint="eastAsia" w:ascii="宋体" w:hAnsi="宋体" w:eastAsia="宋体" w:cs="宋体"/>
          <w:b w:val="0"/>
          <w:bCs w:val="0"/>
          <w:color w:val="auto"/>
          <w:spacing w:val="-13"/>
          <w:sz w:val="24"/>
          <w:szCs w:val="24"/>
          <w:lang w:val="en-US" w:eastAsia="zh-CN" w:bidi="ar-SA"/>
        </w:rPr>
      </w:pPr>
      <w:r>
        <w:rPr>
          <w:rFonts w:hint="eastAsia" w:ascii="宋体" w:hAnsi="宋体" w:eastAsia="宋体" w:cs="宋体"/>
          <w:b w:val="0"/>
          <w:bCs w:val="0"/>
          <w:color w:val="auto"/>
          <w:spacing w:val="-13"/>
          <w:sz w:val="24"/>
          <w:szCs w:val="24"/>
          <w:lang w:val="en-US" w:eastAsia="zh-CN" w:bidi="ar-SA"/>
        </w:rPr>
        <w:t>注：1.1如单项工程</w:t>
      </w:r>
      <w:r>
        <w:rPr>
          <w:rFonts w:hint="eastAsia" w:cs="宋体"/>
          <w:b w:val="0"/>
          <w:bCs w:val="0"/>
          <w:color w:val="auto"/>
          <w:spacing w:val="-13"/>
          <w:sz w:val="24"/>
          <w:szCs w:val="24"/>
          <w:lang w:val="en-US" w:eastAsia="zh-CN" w:bidi="ar-SA"/>
        </w:rPr>
        <w:t>预算评审</w:t>
      </w:r>
      <w:r>
        <w:rPr>
          <w:rFonts w:hint="eastAsia" w:ascii="宋体" w:hAnsi="宋体" w:eastAsia="宋体" w:cs="宋体"/>
          <w:b w:val="0"/>
          <w:bCs w:val="0"/>
          <w:color w:val="auto"/>
          <w:spacing w:val="-13"/>
          <w:sz w:val="24"/>
          <w:szCs w:val="24"/>
          <w:lang w:val="en-US" w:eastAsia="zh-CN" w:bidi="ar-SA"/>
        </w:rPr>
        <w:t>服务费按以上收费标准计费不足 3000 元的，按 3000 元计算。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18" w:leftChars="0" w:right="134" w:rightChars="61" w:firstLine="642" w:firstLineChars="300"/>
        <w:jc w:val="both"/>
        <w:textAlignment w:val="auto"/>
        <w:rPr>
          <w:rFonts w:hint="eastAsia"/>
          <w:color w:val="auto"/>
          <w:sz w:val="24"/>
          <w:szCs w:val="24"/>
        </w:rPr>
      </w:pPr>
      <w:r>
        <w:rPr>
          <w:rFonts w:hint="eastAsia"/>
          <w:color w:val="auto"/>
          <w:spacing w:val="-13"/>
          <w:sz w:val="24"/>
          <w:szCs w:val="24"/>
        </w:rPr>
        <w:t>1.</w:t>
      </w:r>
      <w:r>
        <w:rPr>
          <w:rFonts w:hint="eastAsia"/>
          <w:color w:val="auto"/>
          <w:spacing w:val="-13"/>
          <w:sz w:val="24"/>
          <w:szCs w:val="24"/>
          <w:lang w:val="en-US" w:eastAsia="zh-CN"/>
        </w:rPr>
        <w:t xml:space="preserve">2 </w:t>
      </w:r>
      <w:r>
        <w:rPr>
          <w:rFonts w:hint="eastAsia"/>
          <w:color w:val="auto"/>
          <w:spacing w:val="-13"/>
          <w:sz w:val="24"/>
          <w:szCs w:val="24"/>
        </w:rPr>
        <w:t>投标报价由投标人结合工程造价服务市场情况及自身公司情况和承受能力自行报价。（本项目</w:t>
      </w:r>
      <w:r>
        <w:rPr>
          <w:rFonts w:hint="eastAsia"/>
          <w:color w:val="auto"/>
          <w:spacing w:val="-13"/>
          <w:sz w:val="24"/>
          <w:szCs w:val="24"/>
          <w:lang w:eastAsia="zh-CN"/>
        </w:rPr>
        <w:t>审核</w:t>
      </w:r>
      <w:r>
        <w:rPr>
          <w:rFonts w:hint="eastAsia"/>
          <w:color w:val="auto"/>
          <w:spacing w:val="-13"/>
          <w:sz w:val="24"/>
          <w:szCs w:val="24"/>
        </w:rPr>
        <w:t>费最终的中标的费率按所有中标单位费率去掉一个最高值和一个最低值后的平均值确定，中标后招标人和中标人不得以任何理由调整中标人的报价）。</w:t>
      </w:r>
    </w:p>
    <w:p>
      <w:pPr>
        <w:pStyle w:val="8"/>
        <w:tabs>
          <w:tab w:val="left" w:pos="6313"/>
        </w:tabs>
        <w:spacing w:line="360" w:lineRule="auto"/>
        <w:ind w:right="3929"/>
        <w:outlineLvl w:val="9"/>
        <w:rPr>
          <w:rFonts w:hint="eastAsia"/>
          <w:color w:val="auto"/>
          <w:spacing w:val="-1"/>
          <w:sz w:val="24"/>
          <w:szCs w:val="24"/>
        </w:rPr>
      </w:pPr>
    </w:p>
    <w:p>
      <w:pPr>
        <w:pStyle w:val="8"/>
        <w:tabs>
          <w:tab w:val="left" w:pos="6313"/>
        </w:tabs>
        <w:spacing w:line="400" w:lineRule="exact"/>
        <w:ind w:right="3929"/>
        <w:rPr>
          <w:rFonts w:hint="eastAsia"/>
          <w:color w:val="auto"/>
          <w:u w:val="single"/>
        </w:rPr>
      </w:pPr>
      <w:r>
        <w:rPr>
          <w:rFonts w:hint="eastAsia"/>
          <w:color w:val="auto"/>
          <w:spacing w:val="-1"/>
        </w:rPr>
        <w:t>投</w:t>
      </w:r>
      <w:r>
        <w:rPr>
          <w:rFonts w:hint="eastAsia"/>
          <w:color w:val="auto"/>
        </w:rPr>
        <w:t>标人盖公章：</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rFonts w:hint="eastAsia"/>
          <w:color w:val="auto"/>
          <w:u w:val="single"/>
        </w:rPr>
      </w:pPr>
      <w:r>
        <w:rPr>
          <w:rFonts w:hint="eastAsia"/>
          <w:color w:val="auto"/>
        </w:rPr>
        <w:t>法定代表人或委托代理人签字 ：</w:t>
      </w:r>
      <w:r>
        <w:rPr>
          <w:rFonts w:hint="eastAsia"/>
          <w:color w:val="auto"/>
          <w:u w:val="single"/>
        </w:rPr>
        <w:t xml:space="preserve"> </w:t>
      </w:r>
      <w:r>
        <w:rPr>
          <w:rFonts w:hint="eastAsia"/>
          <w:color w:val="auto"/>
          <w:u w:val="single"/>
        </w:rPr>
        <w:tab/>
      </w:r>
      <w:r>
        <w:rPr>
          <w:rFonts w:hint="eastAsia"/>
          <w:color w:val="auto"/>
          <w:u w:val="single"/>
        </w:rPr>
        <w:t xml:space="preserve"> </w:t>
      </w:r>
    </w:p>
    <w:p>
      <w:pPr>
        <w:pStyle w:val="8"/>
        <w:tabs>
          <w:tab w:val="left" w:pos="6313"/>
        </w:tabs>
        <w:spacing w:line="400" w:lineRule="exact"/>
        <w:ind w:right="3929"/>
        <w:rPr>
          <w:color w:val="auto"/>
        </w:rPr>
      </w:pPr>
      <w:r>
        <w:rPr>
          <w:rFonts w:hint="eastAsia"/>
          <w:color w:val="auto"/>
        </w:rPr>
        <w:t xml:space="preserve">日 期 ：   年  月 </w:t>
      </w:r>
      <w:r>
        <w:rPr>
          <w:rFonts w:hint="eastAsia"/>
          <w:color w:val="auto"/>
          <w:spacing w:val="-1"/>
        </w:rPr>
        <w:t xml:space="preserve"> </w:t>
      </w:r>
      <w:r>
        <w:rPr>
          <w:rFonts w:hint="eastAsia"/>
          <w:color w:val="auto"/>
        </w:rPr>
        <w:t>日</w:t>
      </w:r>
    </w:p>
    <w:p>
      <w:pPr>
        <w:pStyle w:val="9"/>
        <w:spacing w:before="30"/>
        <w:ind w:left="618"/>
        <w:outlineLvl w:val="9"/>
        <w:rPr>
          <w:rFonts w:hint="eastAsia"/>
          <w:color w:val="auto"/>
        </w:rPr>
      </w:pPr>
    </w:p>
    <w:p>
      <w:pPr>
        <w:pStyle w:val="9"/>
        <w:spacing w:before="30"/>
        <w:ind w:left="618"/>
        <w:outlineLvl w:val="9"/>
        <w:rPr>
          <w:rFonts w:hint="eastAsia"/>
          <w:color w:val="auto"/>
        </w:rPr>
      </w:pPr>
    </w:p>
    <w:p>
      <w:pPr>
        <w:rPr>
          <w:color w:val="auto"/>
        </w:rPr>
      </w:pPr>
    </w:p>
    <w:p>
      <w:pPr>
        <w:rPr>
          <w:rFonts w:hint="eastAsia"/>
          <w:color w:val="auto"/>
        </w:rPr>
        <w:sectPr>
          <w:headerReference r:id="rId14" w:type="default"/>
          <w:footerReference r:id="rId15" w:type="default"/>
          <w:pgSz w:w="11910" w:h="16840"/>
          <w:pgMar w:top="1134" w:right="1134" w:bottom="1134" w:left="920" w:header="720" w:footer="720" w:gutter="0"/>
          <w:pgNumType w:fmt="decimal"/>
          <w:cols w:equalWidth="0" w:num="1">
            <w:col w:w="10310"/>
          </w:cols>
          <w:rtlGutter w:val="0"/>
        </w:sectPr>
      </w:pPr>
      <w:r>
        <w:rPr>
          <w:rFonts w:hint="eastAsia"/>
          <w:b/>
          <w:color w:val="auto"/>
          <w:sz w:val="24"/>
          <w:szCs w:val="24"/>
        </w:rPr>
        <w:t>投标说明：投标人的投标必须加盖公章或签字，否则无签字或盖章的投标无效。</w:t>
      </w:r>
    </w:p>
    <w:p>
      <w:pPr>
        <w:spacing w:before="33"/>
        <w:ind w:firstLine="3855" w:firstLineChars="1200"/>
        <w:outlineLvl w:val="0"/>
        <w:rPr>
          <w:b/>
          <w:color w:val="auto"/>
          <w:sz w:val="32"/>
        </w:rPr>
      </w:pPr>
      <w:bookmarkStart w:id="38" w:name="_Toc8497"/>
      <w:r>
        <w:rPr>
          <w:rFonts w:hint="eastAsia"/>
          <w:b/>
          <w:color w:val="auto"/>
          <w:sz w:val="32"/>
        </w:rPr>
        <w:t>5、服务方案</w:t>
      </w:r>
      <w:bookmarkEnd w:id="38"/>
    </w:p>
    <w:p>
      <w:pPr>
        <w:pStyle w:val="12"/>
        <w:spacing w:before="7"/>
        <w:rPr>
          <w:b/>
          <w:color w:val="auto"/>
          <w:sz w:val="41"/>
          <w:highlight w:val="yellow"/>
        </w:rPr>
      </w:pPr>
    </w:p>
    <w:p>
      <w:pPr>
        <w:pStyle w:val="12"/>
        <w:ind w:firstLine="2880" w:firstLineChars="1200"/>
        <w:rPr>
          <w:color w:val="auto"/>
          <w:sz w:val="24"/>
          <w:szCs w:val="24"/>
          <w:highlight w:val="yellow"/>
        </w:rPr>
      </w:pPr>
      <w:r>
        <w:rPr>
          <w:rFonts w:hint="eastAsia"/>
          <w:color w:val="auto"/>
          <w:sz w:val="24"/>
          <w:szCs w:val="24"/>
          <w:highlight w:val="none"/>
        </w:rPr>
        <w:t>本服务方案</w:t>
      </w:r>
      <w:r>
        <w:rPr>
          <w:rFonts w:hint="eastAsia"/>
          <w:color w:val="auto"/>
          <w:sz w:val="24"/>
          <w:szCs w:val="24"/>
          <w:highlight w:val="none"/>
          <w:lang w:eastAsia="zh-CN"/>
        </w:rPr>
        <w:t>内容按照评标办法要求提供</w:t>
      </w:r>
    </w:p>
    <w:p>
      <w:pPr>
        <w:pStyle w:val="12"/>
        <w:spacing w:before="2"/>
        <w:rPr>
          <w:color w:val="auto"/>
          <w:sz w:val="18"/>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rPr>
          <w:color w:val="auto"/>
          <w:sz w:val="20"/>
        </w:rPr>
      </w:pPr>
    </w:p>
    <w:p>
      <w:pPr>
        <w:pStyle w:val="12"/>
        <w:spacing w:before="4"/>
        <w:rPr>
          <w:color w:val="auto"/>
          <w:sz w:val="24"/>
        </w:rPr>
      </w:pPr>
    </w:p>
    <w:p>
      <w:pPr>
        <w:pStyle w:val="12"/>
        <w:tabs>
          <w:tab w:val="left" w:pos="8224"/>
        </w:tabs>
        <w:ind w:left="3244"/>
        <w:rPr>
          <w:color w:val="auto"/>
        </w:rPr>
      </w:pPr>
      <w:r>
        <w:rPr>
          <w:rFonts w:hint="eastAsia"/>
          <w:color w:val="auto"/>
          <w:spacing w:val="-1"/>
        </w:rPr>
        <w:t>投</w:t>
      </w:r>
      <w:r>
        <w:rPr>
          <w:rFonts w:hint="eastAsia"/>
          <w:color w:val="auto"/>
          <w:spacing w:val="-3"/>
        </w:rPr>
        <w:t>标</w:t>
      </w:r>
      <w:r>
        <w:rPr>
          <w:rFonts w:hint="eastAsia"/>
          <w:color w:val="auto"/>
        </w:rPr>
        <w:t>人</w:t>
      </w:r>
      <w:r>
        <w:rPr>
          <w:rFonts w:hint="eastAsia"/>
          <w:color w:val="auto"/>
          <w:spacing w:val="-3"/>
        </w:rPr>
        <w:t>盖</w:t>
      </w:r>
      <w:r>
        <w:rPr>
          <w:rFonts w:hint="eastAsia"/>
          <w:color w:val="auto"/>
        </w:rPr>
        <w:t>公</w:t>
      </w:r>
      <w:r>
        <w:rPr>
          <w:rFonts w:hint="eastAsia"/>
          <w:color w:val="auto"/>
          <w:spacing w:val="-3"/>
        </w:rPr>
        <w:t>章</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3"/>
        <w:rPr>
          <w:color w:val="auto"/>
          <w:sz w:val="19"/>
        </w:rPr>
      </w:pPr>
    </w:p>
    <w:p>
      <w:pPr>
        <w:pStyle w:val="12"/>
        <w:tabs>
          <w:tab w:val="left" w:pos="8227"/>
        </w:tabs>
        <w:ind w:left="3246"/>
        <w:rPr>
          <w:color w:val="auto"/>
        </w:rPr>
      </w:pPr>
      <w:r>
        <w:rPr>
          <w:rFonts w:hint="eastAsia"/>
          <w:color w:val="auto"/>
          <w:spacing w:val="-3"/>
        </w:rPr>
        <w:t>法</w:t>
      </w:r>
      <w:r>
        <w:rPr>
          <w:rFonts w:hint="eastAsia"/>
          <w:color w:val="auto"/>
          <w:spacing w:val="-1"/>
        </w:rPr>
        <w:t>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代理</w:t>
      </w:r>
      <w:r>
        <w:rPr>
          <w:rFonts w:hint="eastAsia"/>
          <w:color w:val="auto"/>
        </w:rPr>
        <w:t>人签</w:t>
      </w:r>
      <w:r>
        <w:rPr>
          <w:rFonts w:hint="eastAsia"/>
          <w:color w:val="auto"/>
          <w:spacing w:val="-3"/>
        </w:rPr>
        <w:t>字</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3875"/>
        </w:tabs>
        <w:ind w:left="3244"/>
        <w:rPr>
          <w:color w:val="auto"/>
          <w:u w:val="single"/>
        </w:rPr>
      </w:pPr>
      <w:r>
        <w:rPr>
          <w:rFonts w:hint="eastAsia"/>
          <w:color w:val="auto"/>
        </w:rPr>
        <w:t>日期：</w:t>
      </w:r>
      <w:r>
        <w:rPr>
          <w:rFonts w:hint="eastAsia"/>
          <w:color w:val="auto"/>
          <w:u w:val="single"/>
        </w:rPr>
        <w:t xml:space="preserve">              </w:t>
      </w:r>
    </w:p>
    <w:p>
      <w:pPr>
        <w:rPr>
          <w:color w:val="auto"/>
        </w:rPr>
        <w:sectPr>
          <w:pgSz w:w="11910" w:h="16840"/>
          <w:pgMar w:top="1134" w:right="1134" w:bottom="1134" w:left="1180" w:header="0" w:footer="894" w:gutter="0"/>
          <w:pgNumType w:fmt="decimal"/>
          <w:cols w:equalWidth="0" w:num="1">
            <w:col w:w="10250"/>
          </w:cols>
          <w:rtlGutter w:val="0"/>
        </w:sectPr>
      </w:pPr>
      <w:r>
        <w:rPr>
          <w:rFonts w:hint="eastAsia"/>
          <w:color w:val="auto"/>
        </w:rPr>
        <w:t xml:space="preserve"> </w:t>
      </w:r>
    </w:p>
    <w:p>
      <w:pPr>
        <w:spacing w:line="385" w:lineRule="exact"/>
        <w:ind w:left="830" w:right="832"/>
        <w:jc w:val="center"/>
        <w:outlineLvl w:val="0"/>
        <w:rPr>
          <w:b/>
          <w:color w:val="auto"/>
          <w:sz w:val="32"/>
        </w:rPr>
      </w:pPr>
      <w:bookmarkStart w:id="39" w:name="_Toc3126"/>
      <w:r>
        <w:rPr>
          <w:rFonts w:hint="eastAsia"/>
          <w:b/>
          <w:color w:val="auto"/>
          <w:sz w:val="32"/>
        </w:rPr>
        <w:t>6、承诺书（格式）</w:t>
      </w:r>
      <w:bookmarkEnd w:id="39"/>
    </w:p>
    <w:p>
      <w:pPr>
        <w:pStyle w:val="12"/>
        <w:rPr>
          <w:b/>
          <w:color w:val="auto"/>
          <w:sz w:val="20"/>
        </w:rPr>
      </w:pPr>
    </w:p>
    <w:p>
      <w:pPr>
        <w:pStyle w:val="12"/>
        <w:ind w:firstLine="341" w:firstLineChars="200"/>
        <w:rPr>
          <w:b/>
          <w:color w:val="auto"/>
          <w:sz w:val="17"/>
        </w:rPr>
      </w:pPr>
    </w:p>
    <w:p>
      <w:pPr>
        <w:pStyle w:val="12"/>
        <w:spacing w:line="446" w:lineRule="auto"/>
        <w:ind w:right="617"/>
        <w:rPr>
          <w:color w:val="auto"/>
          <w:spacing w:val="-3"/>
        </w:rPr>
      </w:pPr>
      <w:r>
        <w:rPr>
          <w:rFonts w:hint="eastAsia"/>
          <w:color w:val="auto"/>
          <w:spacing w:val="-3"/>
          <w:u w:val="single"/>
        </w:rPr>
        <w:t xml:space="preserve">   </w:t>
      </w:r>
      <w:r>
        <w:rPr>
          <w:rFonts w:hint="eastAsia"/>
          <w:color w:val="auto"/>
          <w:spacing w:val="-3"/>
          <w:u w:val="single"/>
          <w:lang w:eastAsia="zh-CN"/>
        </w:rPr>
        <w:t>巴马瑶族自治县</w:t>
      </w:r>
      <w:r>
        <w:rPr>
          <w:rFonts w:hint="eastAsia"/>
          <w:color w:val="auto"/>
          <w:spacing w:val="-3"/>
          <w:u w:val="single"/>
        </w:rPr>
        <w:t>财政局</w:t>
      </w:r>
      <w:r>
        <w:rPr>
          <w:rFonts w:hint="eastAsia"/>
          <w:color w:val="auto"/>
          <w:spacing w:val="-3"/>
        </w:rPr>
        <w:t>：</w:t>
      </w:r>
    </w:p>
    <w:p>
      <w:pPr>
        <w:pStyle w:val="12"/>
        <w:ind w:firstLine="341" w:firstLineChars="200"/>
        <w:rPr>
          <w:b/>
          <w:color w:val="auto"/>
          <w:sz w:val="17"/>
        </w:rPr>
      </w:pPr>
    </w:p>
    <w:p>
      <w:pPr>
        <w:pStyle w:val="12"/>
        <w:spacing w:line="446" w:lineRule="auto"/>
        <w:ind w:left="9" w:leftChars="0" w:right="576" w:rightChars="0" w:firstLine="438" w:firstLineChars="215"/>
        <w:rPr>
          <w:color w:val="auto"/>
          <w:spacing w:val="-3"/>
        </w:rPr>
      </w:pPr>
      <w:r>
        <w:rPr>
          <w:rFonts w:hint="eastAsia"/>
          <w:color w:val="auto"/>
          <w:spacing w:val="-3"/>
        </w:rPr>
        <w:t>1、我公司承诺了解本项目中标后仅代表取得</w:t>
      </w:r>
      <w:r>
        <w:rPr>
          <w:rFonts w:hint="eastAsia"/>
          <w:color w:val="auto"/>
          <w:spacing w:val="-3"/>
          <w:lang w:eastAsia="zh-CN"/>
        </w:rPr>
        <w:t>巴马瑶族自治县</w:t>
      </w:r>
      <w:r>
        <w:rPr>
          <w:rFonts w:hint="eastAsia"/>
          <w:color w:val="auto"/>
          <w:spacing w:val="-3"/>
        </w:rPr>
        <w:t>财政局</w:t>
      </w:r>
      <w:r>
        <w:rPr>
          <w:rFonts w:hint="eastAsia"/>
          <w:color w:val="auto"/>
          <w:spacing w:val="-3"/>
          <w:lang w:eastAsia="zh-CN"/>
        </w:rPr>
        <w:t>预算评审</w:t>
      </w:r>
      <w:r>
        <w:rPr>
          <w:rFonts w:hint="eastAsia"/>
          <w:color w:val="auto"/>
          <w:spacing w:val="-3"/>
        </w:rPr>
        <w:t>工程造价咨询中介机构协审资格，不等同于可确保直接承担相应数量的项目协审工作并收取对应项目的协审服务费用。</w:t>
      </w:r>
    </w:p>
    <w:p>
      <w:pPr>
        <w:pStyle w:val="12"/>
        <w:spacing w:line="446" w:lineRule="auto"/>
        <w:ind w:left="9" w:leftChars="0" w:right="576" w:rightChars="0" w:firstLine="438" w:firstLineChars="215"/>
        <w:rPr>
          <w:color w:val="auto"/>
          <w:spacing w:val="-3"/>
        </w:rPr>
      </w:pPr>
      <w:r>
        <w:rPr>
          <w:rFonts w:hint="eastAsia"/>
          <w:color w:val="auto"/>
          <w:spacing w:val="-3"/>
        </w:rPr>
        <w:t>2、我公司承诺不擅自将协审项目转包给第三方。</w:t>
      </w:r>
    </w:p>
    <w:p>
      <w:pPr>
        <w:pStyle w:val="31"/>
        <w:tabs>
          <w:tab w:val="left" w:pos="1201"/>
        </w:tabs>
        <w:spacing w:line="460" w:lineRule="exact"/>
        <w:ind w:left="9" w:leftChars="0" w:right="356" w:rightChars="0" w:firstLine="438" w:firstLineChars="215"/>
        <w:rPr>
          <w:color w:val="auto"/>
          <w:spacing w:val="-3"/>
          <w:sz w:val="21"/>
          <w:szCs w:val="21"/>
        </w:rPr>
      </w:pPr>
      <w:r>
        <w:rPr>
          <w:rFonts w:hint="eastAsia"/>
          <w:color w:val="auto"/>
          <w:spacing w:val="-3"/>
          <w:sz w:val="21"/>
          <w:szCs w:val="21"/>
        </w:rPr>
        <w:t>3、在</w:t>
      </w:r>
      <w:r>
        <w:rPr>
          <w:rFonts w:hint="eastAsia"/>
          <w:color w:val="auto"/>
          <w:spacing w:val="-3"/>
          <w:sz w:val="21"/>
          <w:szCs w:val="21"/>
          <w:lang w:eastAsia="zh-CN"/>
        </w:rPr>
        <w:t>审核巴马瑶族自治县</w:t>
      </w:r>
      <w:r>
        <w:rPr>
          <w:rFonts w:hint="eastAsia"/>
          <w:color w:val="auto"/>
          <w:spacing w:val="-3"/>
          <w:sz w:val="21"/>
          <w:szCs w:val="21"/>
        </w:rPr>
        <w:t>财政局委托</w:t>
      </w:r>
      <w:r>
        <w:rPr>
          <w:rFonts w:hint="eastAsia"/>
          <w:color w:val="auto"/>
          <w:spacing w:val="-3"/>
          <w:sz w:val="21"/>
          <w:szCs w:val="21"/>
          <w:lang w:eastAsia="zh-CN"/>
        </w:rPr>
        <w:t>审核</w:t>
      </w:r>
      <w:r>
        <w:rPr>
          <w:rFonts w:hint="eastAsia"/>
          <w:color w:val="auto"/>
          <w:spacing w:val="-3"/>
          <w:sz w:val="21"/>
          <w:szCs w:val="21"/>
        </w:rPr>
        <w:t>的项目时</w:t>
      </w:r>
      <w:r>
        <w:rPr>
          <w:rFonts w:hint="eastAsia"/>
          <w:color w:val="auto"/>
          <w:spacing w:val="-3"/>
          <w:sz w:val="21"/>
          <w:szCs w:val="21"/>
          <w:lang w:val="en-US" w:eastAsia="zh-CN"/>
        </w:rPr>
        <w:t xml:space="preserve"> </w:t>
      </w:r>
      <w:r>
        <w:rPr>
          <w:rFonts w:hint="eastAsia"/>
          <w:color w:val="auto"/>
          <w:spacing w:val="-3"/>
          <w:sz w:val="21"/>
          <w:szCs w:val="21"/>
        </w:rPr>
        <w:t>，我公司承诺从拟投入的</w:t>
      </w:r>
      <w:r>
        <w:rPr>
          <w:rFonts w:hint="eastAsia"/>
          <w:color w:val="auto"/>
          <w:spacing w:val="-3"/>
          <w:sz w:val="21"/>
          <w:szCs w:val="21"/>
          <w:lang w:eastAsia="zh-CN"/>
        </w:rPr>
        <w:t>审核</w:t>
      </w:r>
      <w:r>
        <w:rPr>
          <w:rFonts w:hint="eastAsia"/>
          <w:color w:val="auto"/>
          <w:spacing w:val="-3"/>
          <w:sz w:val="21"/>
          <w:szCs w:val="21"/>
        </w:rPr>
        <w:t>人员中安排</w:t>
      </w:r>
      <w:r>
        <w:rPr>
          <w:rFonts w:hint="eastAsia"/>
          <w:color w:val="auto"/>
          <w:spacing w:val="-3"/>
          <w:sz w:val="21"/>
          <w:szCs w:val="21"/>
          <w:lang w:eastAsia="zh-CN"/>
        </w:rPr>
        <w:t>审核</w:t>
      </w:r>
      <w:r>
        <w:rPr>
          <w:rFonts w:hint="eastAsia"/>
          <w:color w:val="auto"/>
          <w:spacing w:val="-3"/>
          <w:sz w:val="21"/>
          <w:szCs w:val="21"/>
        </w:rPr>
        <w:t>。在有效服务期内</w:t>
      </w:r>
      <w:r>
        <w:rPr>
          <w:rFonts w:hint="eastAsia"/>
          <w:color w:val="auto"/>
          <w:spacing w:val="-3"/>
          <w:sz w:val="21"/>
          <w:szCs w:val="21"/>
          <w:lang w:val="en-US" w:eastAsia="zh-CN"/>
        </w:rPr>
        <w:t xml:space="preserve"> </w:t>
      </w:r>
      <w:r>
        <w:rPr>
          <w:rFonts w:hint="eastAsia"/>
          <w:color w:val="auto"/>
          <w:spacing w:val="-3"/>
          <w:sz w:val="21"/>
          <w:szCs w:val="21"/>
        </w:rPr>
        <w:t>，承诺委派的技术负责人和协审人员与投标时承诺的人员一致（</w:t>
      </w:r>
      <w:r>
        <w:rPr>
          <w:rFonts w:hint="eastAsia"/>
          <w:color w:val="auto"/>
          <w:spacing w:val="-3"/>
          <w:sz w:val="21"/>
          <w:szCs w:val="21"/>
          <w:lang w:val="en-US" w:eastAsia="zh-CN"/>
        </w:rPr>
        <w:t xml:space="preserve"> </w:t>
      </w:r>
      <w:r>
        <w:rPr>
          <w:rFonts w:hint="eastAsia"/>
          <w:color w:val="auto"/>
          <w:spacing w:val="-3"/>
          <w:sz w:val="21"/>
          <w:szCs w:val="21"/>
        </w:rPr>
        <w:t>增加不限，但不增加服务报酬），未经</w:t>
      </w:r>
      <w:r>
        <w:rPr>
          <w:rFonts w:hint="eastAsia"/>
          <w:color w:val="auto"/>
          <w:spacing w:val="-3"/>
          <w:sz w:val="21"/>
          <w:szCs w:val="21"/>
          <w:lang w:eastAsia="zh-CN"/>
        </w:rPr>
        <w:t>巴马瑶族自治县</w:t>
      </w:r>
      <w:r>
        <w:rPr>
          <w:rFonts w:hint="eastAsia"/>
          <w:color w:val="auto"/>
          <w:spacing w:val="-3"/>
          <w:sz w:val="21"/>
          <w:szCs w:val="21"/>
        </w:rPr>
        <w:t>财政局同意，我公司若擅自更换投标时承诺的技术负责人和协审人员的，</w:t>
      </w:r>
      <w:r>
        <w:rPr>
          <w:rFonts w:hint="eastAsia"/>
          <w:color w:val="auto"/>
          <w:spacing w:val="-3"/>
          <w:sz w:val="21"/>
          <w:szCs w:val="21"/>
          <w:lang w:eastAsia="zh-CN"/>
        </w:rPr>
        <w:t>巴马瑶族自治县</w:t>
      </w:r>
      <w:r>
        <w:rPr>
          <w:rFonts w:hint="eastAsia"/>
          <w:color w:val="auto"/>
          <w:spacing w:val="-3"/>
          <w:sz w:val="21"/>
          <w:szCs w:val="21"/>
        </w:rPr>
        <w:t>财政局有权终止合同。</w:t>
      </w:r>
    </w:p>
    <w:p>
      <w:pPr>
        <w:pStyle w:val="31"/>
        <w:tabs>
          <w:tab w:val="left" w:pos="1201"/>
        </w:tabs>
        <w:spacing w:line="460" w:lineRule="exact"/>
        <w:ind w:left="9" w:leftChars="0" w:right="356" w:rightChars="0" w:firstLine="438" w:firstLineChars="215"/>
        <w:rPr>
          <w:color w:val="auto"/>
          <w:spacing w:val="-3"/>
          <w:sz w:val="21"/>
          <w:szCs w:val="21"/>
        </w:rPr>
      </w:pPr>
      <w:r>
        <w:rPr>
          <w:rFonts w:hint="eastAsia"/>
          <w:color w:val="auto"/>
          <w:spacing w:val="-3"/>
          <w:sz w:val="21"/>
          <w:szCs w:val="21"/>
        </w:rPr>
        <w:t>4、采购人对中标后的技术负责人和协审人员实行登记备案管理</w:t>
      </w:r>
      <w:r>
        <w:rPr>
          <w:rFonts w:hint="eastAsia"/>
          <w:color w:val="auto"/>
          <w:spacing w:val="-3"/>
          <w:sz w:val="21"/>
          <w:szCs w:val="21"/>
          <w:lang w:val="en-US" w:eastAsia="zh-CN"/>
        </w:rPr>
        <w:t xml:space="preserve"> </w:t>
      </w:r>
      <w:r>
        <w:rPr>
          <w:rFonts w:hint="eastAsia"/>
          <w:color w:val="auto"/>
          <w:spacing w:val="-3"/>
          <w:sz w:val="21"/>
          <w:szCs w:val="21"/>
        </w:rPr>
        <w:t>。我公司承诺中标后，将本单位拟投入技术负责人和协审人员的花名册以及个人详细资料（附身份证、学历、资格证明文件、与投标单位签订的劳动合同的复印件）</w:t>
      </w:r>
      <w:r>
        <w:rPr>
          <w:rFonts w:hint="eastAsia"/>
          <w:color w:val="auto"/>
          <w:spacing w:val="-3"/>
          <w:sz w:val="21"/>
          <w:szCs w:val="21"/>
          <w:lang w:val="en-US" w:eastAsia="zh-CN"/>
        </w:rPr>
        <w:t xml:space="preserve"> </w:t>
      </w:r>
      <w:r>
        <w:rPr>
          <w:rFonts w:hint="eastAsia"/>
          <w:color w:val="auto"/>
          <w:spacing w:val="-3"/>
          <w:sz w:val="21"/>
          <w:szCs w:val="21"/>
        </w:rPr>
        <w:t>通过书面和电子文档形式报采购单位登记备案</w:t>
      </w:r>
      <w:r>
        <w:rPr>
          <w:rFonts w:hint="eastAsia"/>
          <w:color w:val="auto"/>
          <w:spacing w:val="-3"/>
          <w:sz w:val="21"/>
          <w:szCs w:val="21"/>
          <w:lang w:val="en-US" w:eastAsia="zh-CN"/>
        </w:rPr>
        <w:t xml:space="preserve"> </w:t>
      </w:r>
      <w:r>
        <w:rPr>
          <w:rFonts w:hint="eastAsia"/>
          <w:color w:val="auto"/>
          <w:spacing w:val="-3"/>
          <w:sz w:val="21"/>
          <w:szCs w:val="21"/>
        </w:rPr>
        <w:t>。在合作过程中，我公司发生的人员变动情况，承诺及时对采购人进行申报备案。</w:t>
      </w:r>
    </w:p>
    <w:p>
      <w:pPr>
        <w:pStyle w:val="31"/>
        <w:tabs>
          <w:tab w:val="left" w:pos="1201"/>
        </w:tabs>
        <w:spacing w:line="460" w:lineRule="exact"/>
        <w:ind w:left="9" w:leftChars="0" w:right="356" w:rightChars="0" w:firstLine="438" w:firstLineChars="215"/>
        <w:rPr>
          <w:color w:val="auto"/>
          <w:spacing w:val="-3"/>
          <w:sz w:val="21"/>
          <w:szCs w:val="21"/>
        </w:rPr>
      </w:pPr>
      <w:r>
        <w:rPr>
          <w:rFonts w:hint="eastAsia"/>
          <w:color w:val="auto"/>
          <w:spacing w:val="-3"/>
          <w:sz w:val="21"/>
          <w:szCs w:val="21"/>
        </w:rPr>
        <w:t xml:space="preserve">5、如投标人拟投入的人员中出现人员重复的，以提供原件的为准。  </w:t>
      </w:r>
    </w:p>
    <w:p>
      <w:pPr>
        <w:pStyle w:val="12"/>
        <w:spacing w:before="12"/>
        <w:rPr>
          <w:color w:val="auto"/>
          <w:sz w:val="16"/>
        </w:rPr>
      </w:pPr>
    </w:p>
    <w:p>
      <w:pPr>
        <w:pStyle w:val="12"/>
        <w:rPr>
          <w:color w:val="auto"/>
          <w:sz w:val="20"/>
        </w:rPr>
      </w:pPr>
    </w:p>
    <w:p>
      <w:pPr>
        <w:pStyle w:val="12"/>
        <w:spacing w:before="72"/>
        <w:ind w:firstLine="630" w:firstLineChars="300"/>
        <w:rPr>
          <w:color w:val="auto"/>
        </w:rPr>
      </w:pPr>
      <w:r>
        <w:rPr>
          <w:rFonts w:hint="eastAsia"/>
          <w:color w:val="auto"/>
        </w:rPr>
        <w:t>如有其它项，请各投标人按照项目项目需求和说明制定。</w:t>
      </w:r>
    </w:p>
    <w:p>
      <w:pPr>
        <w:pStyle w:val="12"/>
        <w:rPr>
          <w:color w:val="auto"/>
          <w:sz w:val="20"/>
        </w:rPr>
      </w:pPr>
    </w:p>
    <w:p>
      <w:pPr>
        <w:pStyle w:val="12"/>
        <w:spacing w:before="3"/>
        <w:ind w:firstLine="630" w:firstLineChars="300"/>
        <w:rPr>
          <w:color w:val="auto"/>
          <w:sz w:val="15"/>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者</w:t>
      </w:r>
      <w:r>
        <w:rPr>
          <w:rFonts w:hint="eastAsia"/>
          <w:color w:val="auto"/>
        </w:rPr>
        <w:t>委</w:t>
      </w:r>
      <w:r>
        <w:rPr>
          <w:rFonts w:hint="eastAsia"/>
          <w:color w:val="auto"/>
          <w:spacing w:val="-3"/>
        </w:rPr>
        <w:t>托</w:t>
      </w:r>
      <w:r>
        <w:rPr>
          <w:rFonts w:hint="eastAsia"/>
          <w:color w:val="auto"/>
        </w:rPr>
        <w:t>代</w:t>
      </w:r>
      <w:r>
        <w:rPr>
          <w:rFonts w:hint="eastAsia"/>
          <w:color w:val="auto"/>
          <w:spacing w:val="-3"/>
        </w:rPr>
        <w:t>理</w:t>
      </w:r>
      <w:r>
        <w:rPr>
          <w:rFonts w:hint="eastAsia"/>
          <w:color w:val="auto"/>
        </w:rPr>
        <w:t>人签</w:t>
      </w:r>
      <w:r>
        <w:rPr>
          <w:rFonts w:hint="eastAsia"/>
          <w:color w:val="auto"/>
          <w:spacing w:val="-3"/>
        </w:rPr>
        <w:t>字</w:t>
      </w:r>
      <w:r>
        <w:rPr>
          <w:rFonts w:hint="eastAsia"/>
          <w:color w:val="auto"/>
        </w:rPr>
        <w:t>：</w:t>
      </w:r>
      <w:r>
        <w:rPr>
          <w:rFonts w:hint="eastAsia"/>
          <w:color w:val="auto"/>
          <w:u w:val="single"/>
        </w:rPr>
        <w:tab/>
      </w:r>
      <w:r>
        <w:rPr>
          <w:rFonts w:hint="eastAsia"/>
          <w:color w:val="auto"/>
          <w:u w:val="single"/>
        </w:rPr>
        <w:t xml:space="preserve">         </w:t>
      </w:r>
    </w:p>
    <w:p>
      <w:pPr>
        <w:pStyle w:val="12"/>
        <w:tabs>
          <w:tab w:val="left" w:pos="3606"/>
          <w:tab w:val="left" w:pos="4972"/>
        </w:tabs>
        <w:spacing w:line="500" w:lineRule="exact"/>
        <w:ind w:left="618" w:right="5272"/>
        <w:jc w:val="both"/>
        <w:rPr>
          <w:rFonts w:hint="eastAsia" w:eastAsia="宋体"/>
          <w:color w:val="auto"/>
          <w:lang w:val="en-US" w:eastAsia="zh-CN"/>
        </w:rPr>
        <w:sectPr>
          <w:pgSz w:w="11910" w:h="16840"/>
          <w:pgMar w:top="1134" w:right="1134" w:bottom="1134" w:left="1180" w:header="0" w:footer="894" w:gutter="0"/>
          <w:pgNumType w:fmt="decimal"/>
          <w:cols w:equalWidth="0" w:num="1">
            <w:col w:w="10250"/>
          </w:cols>
          <w:rtlGutter w:val="0"/>
        </w:sectPr>
      </w:pPr>
      <w:r>
        <w:rPr>
          <w:rFonts w:hint="eastAsia"/>
          <w:color w:val="auto"/>
        </w:rPr>
        <w:t>投标</w:t>
      </w:r>
      <w:r>
        <w:rPr>
          <w:rFonts w:hint="eastAsia"/>
          <w:color w:val="auto"/>
          <w:spacing w:val="-3"/>
        </w:rPr>
        <w:t>人</w:t>
      </w:r>
      <w:r>
        <w:rPr>
          <w:rFonts w:hint="eastAsia"/>
          <w:color w:val="auto"/>
        </w:rPr>
        <w:t>（</w:t>
      </w:r>
      <w:r>
        <w:rPr>
          <w:rFonts w:hint="eastAsia"/>
          <w:color w:val="auto"/>
          <w:spacing w:val="-3"/>
        </w:rPr>
        <w:t>盖</w:t>
      </w:r>
      <w:r>
        <w:rPr>
          <w:rFonts w:hint="eastAsia"/>
          <w:color w:val="auto"/>
        </w:rPr>
        <w:t>公</w:t>
      </w:r>
      <w:r>
        <w:rPr>
          <w:rFonts w:hint="eastAsia"/>
          <w:color w:val="auto"/>
          <w:spacing w:val="-3"/>
        </w:rPr>
        <w:t>章</w:t>
      </w:r>
      <w:r>
        <w:rPr>
          <w:rFonts w:hint="eastAsia"/>
          <w:color w:val="auto"/>
          <w:spacing w:val="-106"/>
        </w:rPr>
        <w:t>）</w:t>
      </w:r>
      <w:r>
        <w:rPr>
          <w:rFonts w:hint="eastAsia"/>
          <w:color w:val="auto"/>
          <w:spacing w:val="-1"/>
        </w:rPr>
        <w:t>：</w:t>
      </w:r>
      <w:r>
        <w:rPr>
          <w:rFonts w:hint="eastAsia"/>
          <w:color w:val="auto"/>
          <w:u w:val="single"/>
        </w:rPr>
        <w:t xml:space="preserve"> </w:t>
      </w:r>
      <w:r>
        <w:rPr>
          <w:rFonts w:hint="eastAsia"/>
          <w:color w:val="auto"/>
          <w:u w:val="single"/>
        </w:rPr>
        <w:tab/>
      </w:r>
      <w:r>
        <w:rPr>
          <w:rFonts w:hint="eastAsia"/>
          <w:color w:val="auto"/>
          <w:u w:val="single"/>
        </w:rPr>
        <w:t xml:space="preserve">                                 </w:t>
      </w:r>
      <w:r>
        <w:rPr>
          <w:rFonts w:hint="eastAsia"/>
          <w:color w:val="auto"/>
        </w:rPr>
        <w:t>日期：</w:t>
      </w:r>
      <w:r>
        <w:rPr>
          <w:rFonts w:hint="eastAsia"/>
          <w:color w:val="auto"/>
          <w:spacing w:val="-2"/>
        </w:rPr>
        <w:t xml:space="preserve"> </w:t>
      </w:r>
      <w:r>
        <w:rPr>
          <w:rFonts w:hint="eastAsia"/>
          <w:color w:val="auto"/>
          <w:u w:val="single"/>
        </w:rPr>
        <w:t xml:space="preserve"> </w:t>
      </w:r>
      <w:r>
        <w:rPr>
          <w:rFonts w:hint="eastAsia"/>
          <w:color w:val="auto"/>
          <w:u w:val="single"/>
        </w:rPr>
        <w:tab/>
      </w:r>
      <w:r>
        <w:rPr>
          <w:rFonts w:hint="eastAsia"/>
          <w:color w:val="auto"/>
          <w:u w:val="single"/>
          <w:lang w:val="en-US" w:eastAsia="zh-CN"/>
        </w:rPr>
        <w:t xml:space="preserve"> </w:t>
      </w:r>
    </w:p>
    <w:p>
      <w:pPr>
        <w:pStyle w:val="12"/>
        <w:spacing w:before="7"/>
        <w:rPr>
          <w:color w:val="auto"/>
          <w:sz w:val="14"/>
        </w:rPr>
      </w:pPr>
    </w:p>
    <w:p>
      <w:pPr>
        <w:numPr>
          <w:ilvl w:val="0"/>
          <w:numId w:val="29"/>
        </w:numPr>
        <w:spacing w:before="55" w:line="385" w:lineRule="exact"/>
        <w:ind w:right="290"/>
        <w:jc w:val="center"/>
        <w:outlineLvl w:val="0"/>
        <w:rPr>
          <w:rFonts w:hint="eastAsia"/>
          <w:bCs/>
          <w:color w:val="auto"/>
          <w:sz w:val="32"/>
        </w:rPr>
      </w:pPr>
      <w:bookmarkStart w:id="40" w:name="_Toc13787"/>
      <w:r>
        <w:rPr>
          <w:rFonts w:hint="eastAsia"/>
          <w:b/>
          <w:color w:val="auto"/>
          <w:sz w:val="32"/>
        </w:rPr>
        <w:t>项目拟投入服务团队人员一览表</w:t>
      </w:r>
    </w:p>
    <w:p>
      <w:pPr>
        <w:numPr>
          <w:ilvl w:val="0"/>
          <w:numId w:val="0"/>
        </w:numPr>
        <w:spacing w:before="55" w:line="385" w:lineRule="exact"/>
        <w:ind w:right="290" w:rightChars="0"/>
        <w:jc w:val="center"/>
        <w:outlineLvl w:val="0"/>
        <w:rPr>
          <w:rFonts w:hint="eastAsia"/>
          <w:bCs/>
          <w:color w:val="auto"/>
          <w:sz w:val="32"/>
        </w:rPr>
      </w:pPr>
      <w:r>
        <w:rPr>
          <w:rFonts w:hint="eastAsia"/>
          <w:bCs/>
          <w:color w:val="auto"/>
          <w:sz w:val="32"/>
        </w:rPr>
        <w:t>（包括但不限于学历、证书情况、职称、年龄等）</w:t>
      </w:r>
      <w:bookmarkEnd w:id="40"/>
    </w:p>
    <w:p>
      <w:pPr>
        <w:pStyle w:val="2"/>
        <w:numPr>
          <w:ilvl w:val="0"/>
          <w:numId w:val="0"/>
        </w:numPr>
        <w:rPr>
          <w:color w:val="auto"/>
        </w:rPr>
      </w:pPr>
    </w:p>
    <w:p>
      <w:pPr>
        <w:pStyle w:val="31"/>
        <w:tabs>
          <w:tab w:val="left" w:pos="794"/>
        </w:tabs>
        <w:spacing w:before="76" w:line="446" w:lineRule="auto"/>
        <w:ind w:left="478" w:right="1831" w:firstLine="321" w:firstLineChars="100"/>
        <w:rPr>
          <w:b/>
          <w:color w:val="auto"/>
          <w:sz w:val="30"/>
          <w:szCs w:val="30"/>
        </w:rPr>
      </w:pPr>
      <w:r>
        <w:rPr>
          <w:rFonts w:hint="eastAsia"/>
          <w:b/>
          <w:color w:val="auto"/>
          <w:sz w:val="32"/>
        </w:rPr>
        <w:t xml:space="preserve">  </w:t>
      </w:r>
      <w:r>
        <w:rPr>
          <w:rFonts w:hint="eastAsia"/>
          <w:b/>
          <w:color w:val="auto"/>
          <w:sz w:val="30"/>
          <w:szCs w:val="30"/>
        </w:rPr>
        <w:t xml:space="preserve"> 项目拟投入服务团队人员（含技术负责人）一览表</w:t>
      </w:r>
    </w:p>
    <w:tbl>
      <w:tblPr>
        <w:tblStyle w:val="23"/>
        <w:tblW w:w="9378"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1893"/>
        <w:gridCol w:w="1988"/>
        <w:gridCol w:w="2094"/>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65" w:type="dxa"/>
          </w:tcPr>
          <w:p>
            <w:pPr>
              <w:pStyle w:val="32"/>
              <w:spacing w:before="133"/>
              <w:ind w:right="-15" w:firstLine="210" w:firstLineChars="100"/>
              <w:jc w:val="both"/>
              <w:rPr>
                <w:color w:val="auto"/>
                <w:sz w:val="21"/>
              </w:rPr>
            </w:pPr>
            <w:r>
              <w:rPr>
                <w:color w:val="auto"/>
                <w:sz w:val="21"/>
              </w:rPr>
              <w:t>姓名</w:t>
            </w:r>
          </w:p>
        </w:tc>
        <w:tc>
          <w:tcPr>
            <w:tcW w:w="1893" w:type="dxa"/>
          </w:tcPr>
          <w:p>
            <w:pPr>
              <w:pStyle w:val="32"/>
              <w:spacing w:before="133"/>
              <w:ind w:left="489" w:right="486"/>
              <w:jc w:val="center"/>
              <w:rPr>
                <w:color w:val="auto"/>
                <w:sz w:val="21"/>
              </w:rPr>
            </w:pPr>
            <w:r>
              <w:rPr>
                <w:color w:val="auto"/>
                <w:sz w:val="21"/>
              </w:rPr>
              <w:t>职务</w:t>
            </w:r>
          </w:p>
        </w:tc>
        <w:tc>
          <w:tcPr>
            <w:tcW w:w="1988" w:type="dxa"/>
          </w:tcPr>
          <w:p>
            <w:pPr>
              <w:pStyle w:val="32"/>
              <w:spacing w:before="133"/>
              <w:ind w:left="404"/>
              <w:rPr>
                <w:color w:val="auto"/>
                <w:sz w:val="21"/>
              </w:rPr>
            </w:pPr>
            <w:r>
              <w:rPr>
                <w:color w:val="auto"/>
                <w:sz w:val="21"/>
              </w:rPr>
              <w:t>分配岗位</w:t>
            </w:r>
          </w:p>
        </w:tc>
        <w:tc>
          <w:tcPr>
            <w:tcW w:w="2094" w:type="dxa"/>
          </w:tcPr>
          <w:p>
            <w:pPr>
              <w:pStyle w:val="32"/>
              <w:spacing w:before="133"/>
              <w:ind w:left="448"/>
              <w:rPr>
                <w:color w:val="auto"/>
                <w:sz w:val="21"/>
              </w:rPr>
            </w:pPr>
            <w:r>
              <w:rPr>
                <w:rFonts w:hint="eastAsia"/>
                <w:color w:val="auto"/>
                <w:sz w:val="21"/>
              </w:rPr>
              <w:t>证书</w:t>
            </w:r>
            <w:r>
              <w:rPr>
                <w:color w:val="auto"/>
                <w:sz w:val="21"/>
              </w:rPr>
              <w:t>情况</w:t>
            </w:r>
          </w:p>
        </w:tc>
        <w:tc>
          <w:tcPr>
            <w:tcW w:w="2238" w:type="dxa"/>
          </w:tcPr>
          <w:p>
            <w:pPr>
              <w:pStyle w:val="32"/>
              <w:spacing w:before="133"/>
              <w:ind w:left="696" w:right="691"/>
              <w:jc w:val="center"/>
              <w:rPr>
                <w:color w:val="auto"/>
                <w:sz w:val="21"/>
              </w:rPr>
            </w:pPr>
            <w:r>
              <w:rPr>
                <w:rFonts w:hint="eastAsia"/>
                <w:color w:val="auto"/>
                <w:sz w:val="21"/>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65" w:type="dxa"/>
          </w:tcPr>
          <w:p>
            <w:pPr>
              <w:pStyle w:val="32"/>
              <w:rPr>
                <w:rFonts w:ascii="Times New Roman"/>
                <w:color w:val="auto"/>
                <w:sz w:val="20"/>
              </w:rPr>
            </w:pPr>
          </w:p>
        </w:tc>
        <w:tc>
          <w:tcPr>
            <w:tcW w:w="1893" w:type="dxa"/>
          </w:tcPr>
          <w:p>
            <w:pPr>
              <w:pStyle w:val="32"/>
              <w:rPr>
                <w:rFonts w:ascii="Times New Roman"/>
                <w:color w:val="auto"/>
                <w:sz w:val="20"/>
              </w:rPr>
            </w:pPr>
          </w:p>
        </w:tc>
        <w:tc>
          <w:tcPr>
            <w:tcW w:w="1988" w:type="dxa"/>
          </w:tcPr>
          <w:p>
            <w:pPr>
              <w:pStyle w:val="32"/>
              <w:rPr>
                <w:rFonts w:ascii="Times New Roman"/>
                <w:color w:val="auto"/>
                <w:sz w:val="20"/>
              </w:rPr>
            </w:pPr>
          </w:p>
        </w:tc>
        <w:tc>
          <w:tcPr>
            <w:tcW w:w="2094" w:type="dxa"/>
          </w:tcPr>
          <w:p>
            <w:pPr>
              <w:pStyle w:val="32"/>
              <w:rPr>
                <w:rFonts w:ascii="Times New Roman"/>
                <w:color w:val="auto"/>
                <w:sz w:val="20"/>
              </w:rPr>
            </w:pPr>
          </w:p>
        </w:tc>
        <w:tc>
          <w:tcPr>
            <w:tcW w:w="2238" w:type="dxa"/>
          </w:tcPr>
          <w:p>
            <w:pPr>
              <w:pStyle w:val="3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165" w:type="dxa"/>
          </w:tcPr>
          <w:p>
            <w:pPr>
              <w:pStyle w:val="32"/>
              <w:rPr>
                <w:rFonts w:ascii="Times New Roman"/>
                <w:color w:val="auto"/>
                <w:sz w:val="20"/>
              </w:rPr>
            </w:pPr>
          </w:p>
        </w:tc>
        <w:tc>
          <w:tcPr>
            <w:tcW w:w="1893" w:type="dxa"/>
          </w:tcPr>
          <w:p>
            <w:pPr>
              <w:pStyle w:val="32"/>
              <w:rPr>
                <w:rFonts w:ascii="Times New Roman"/>
                <w:color w:val="auto"/>
                <w:sz w:val="20"/>
              </w:rPr>
            </w:pPr>
          </w:p>
        </w:tc>
        <w:tc>
          <w:tcPr>
            <w:tcW w:w="1988" w:type="dxa"/>
          </w:tcPr>
          <w:p>
            <w:pPr>
              <w:pStyle w:val="32"/>
              <w:rPr>
                <w:rFonts w:ascii="Times New Roman"/>
                <w:color w:val="auto"/>
                <w:sz w:val="20"/>
              </w:rPr>
            </w:pPr>
          </w:p>
        </w:tc>
        <w:tc>
          <w:tcPr>
            <w:tcW w:w="2094" w:type="dxa"/>
          </w:tcPr>
          <w:p>
            <w:pPr>
              <w:pStyle w:val="32"/>
              <w:rPr>
                <w:rFonts w:ascii="Times New Roman"/>
                <w:color w:val="auto"/>
                <w:sz w:val="20"/>
              </w:rPr>
            </w:pPr>
          </w:p>
        </w:tc>
        <w:tc>
          <w:tcPr>
            <w:tcW w:w="2238" w:type="dxa"/>
          </w:tcPr>
          <w:p>
            <w:pPr>
              <w:pStyle w:val="32"/>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65" w:type="dxa"/>
          </w:tcPr>
          <w:p>
            <w:pPr>
              <w:pStyle w:val="32"/>
              <w:rPr>
                <w:rFonts w:ascii="Times New Roman"/>
                <w:color w:val="auto"/>
                <w:sz w:val="20"/>
              </w:rPr>
            </w:pPr>
          </w:p>
        </w:tc>
        <w:tc>
          <w:tcPr>
            <w:tcW w:w="1893" w:type="dxa"/>
          </w:tcPr>
          <w:p>
            <w:pPr>
              <w:pStyle w:val="32"/>
              <w:rPr>
                <w:rFonts w:ascii="Times New Roman"/>
                <w:color w:val="auto"/>
                <w:sz w:val="20"/>
              </w:rPr>
            </w:pPr>
          </w:p>
        </w:tc>
        <w:tc>
          <w:tcPr>
            <w:tcW w:w="1988" w:type="dxa"/>
          </w:tcPr>
          <w:p>
            <w:pPr>
              <w:pStyle w:val="32"/>
              <w:rPr>
                <w:rFonts w:ascii="Times New Roman"/>
                <w:color w:val="auto"/>
                <w:sz w:val="20"/>
              </w:rPr>
            </w:pPr>
          </w:p>
        </w:tc>
        <w:tc>
          <w:tcPr>
            <w:tcW w:w="2094" w:type="dxa"/>
          </w:tcPr>
          <w:p>
            <w:pPr>
              <w:pStyle w:val="32"/>
              <w:rPr>
                <w:rFonts w:ascii="Times New Roman"/>
                <w:color w:val="auto"/>
                <w:sz w:val="20"/>
              </w:rPr>
            </w:pPr>
          </w:p>
        </w:tc>
        <w:tc>
          <w:tcPr>
            <w:tcW w:w="2238" w:type="dxa"/>
          </w:tcPr>
          <w:p>
            <w:pPr>
              <w:pStyle w:val="32"/>
              <w:rPr>
                <w:rFonts w:ascii="Times New Roman"/>
                <w:color w:val="auto"/>
                <w:sz w:val="20"/>
              </w:rPr>
            </w:pPr>
          </w:p>
        </w:tc>
      </w:tr>
    </w:tbl>
    <w:p>
      <w:pPr>
        <w:pStyle w:val="12"/>
        <w:rPr>
          <w:color w:val="auto"/>
          <w:sz w:val="20"/>
        </w:rPr>
      </w:pPr>
    </w:p>
    <w:p>
      <w:pPr>
        <w:pStyle w:val="12"/>
        <w:spacing w:before="12"/>
        <w:rPr>
          <w:color w:val="auto"/>
          <w:sz w:val="25"/>
        </w:rPr>
      </w:pPr>
    </w:p>
    <w:p>
      <w:pPr>
        <w:pStyle w:val="12"/>
        <w:ind w:left="478"/>
        <w:rPr>
          <w:color w:val="auto"/>
        </w:rPr>
      </w:pPr>
      <w:r>
        <w:rPr>
          <w:color w:val="auto"/>
        </w:rPr>
        <w:t>注：①在填写时，如本表格不适合投标单位的实际情况，可根据本表格式自行划表填写。</w:t>
      </w:r>
    </w:p>
    <w:p>
      <w:pPr>
        <w:pStyle w:val="12"/>
        <w:spacing w:before="8"/>
        <w:rPr>
          <w:color w:val="auto"/>
          <w:sz w:val="22"/>
        </w:rPr>
      </w:pPr>
    </w:p>
    <w:p>
      <w:pPr>
        <w:pStyle w:val="12"/>
        <w:ind w:left="478"/>
        <w:rPr>
          <w:color w:val="auto"/>
        </w:rPr>
      </w:pPr>
      <w:r>
        <w:rPr>
          <w:color w:val="auto"/>
        </w:rPr>
        <w:t>②以上人员须提供相关证书以及社保证明复印件，否则不得分</w:t>
      </w:r>
      <w:r>
        <w:rPr>
          <w:rFonts w:hint="eastAsia"/>
          <w:color w:val="auto"/>
        </w:rPr>
        <w:t>。</w:t>
      </w:r>
    </w:p>
    <w:p>
      <w:pPr>
        <w:pStyle w:val="12"/>
        <w:rPr>
          <w:color w:val="auto"/>
          <w:sz w:val="20"/>
        </w:rPr>
      </w:pPr>
    </w:p>
    <w:p>
      <w:pPr>
        <w:pStyle w:val="12"/>
        <w:rPr>
          <w:color w:val="auto"/>
          <w:sz w:val="20"/>
        </w:rPr>
      </w:pPr>
    </w:p>
    <w:p>
      <w:pPr>
        <w:pStyle w:val="12"/>
        <w:spacing w:before="8"/>
        <w:rPr>
          <w:color w:val="auto"/>
          <w:sz w:val="15"/>
        </w:rPr>
      </w:pPr>
    </w:p>
    <w:p>
      <w:pPr>
        <w:pStyle w:val="12"/>
        <w:spacing w:before="4"/>
        <w:rPr>
          <w:color w:val="auto"/>
          <w:sz w:val="24"/>
        </w:rPr>
      </w:pPr>
    </w:p>
    <w:p>
      <w:pPr>
        <w:pStyle w:val="12"/>
        <w:tabs>
          <w:tab w:val="left" w:pos="5601"/>
        </w:tabs>
        <w:spacing w:before="78"/>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5603"/>
        </w:tabs>
        <w:spacing w:before="1"/>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14"/>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1669"/>
          <w:tab w:val="left" w:pos="2194"/>
          <w:tab w:val="left" w:pos="2720"/>
        </w:tabs>
        <w:ind w:left="618"/>
        <w:rPr>
          <w:color w:val="auto"/>
        </w:rPr>
        <w:sectPr>
          <w:pgSz w:w="11910" w:h="16840"/>
          <w:pgMar w:top="1134" w:right="1134" w:bottom="1134" w:left="940" w:header="878" w:footer="993" w:gutter="0"/>
          <w:pgNumType w:fmt="decimal"/>
          <w:cols w:equalWidth="0" w:num="1">
            <w:col w:w="10190"/>
          </w:cols>
          <w:rtlGutter w:val="0"/>
        </w:sectPr>
      </w:pPr>
      <w:r>
        <w:rPr>
          <w:rFonts w:hint="eastAsia"/>
          <w:color w:val="auto"/>
        </w:rPr>
        <w:t>日期：</w:t>
      </w:r>
      <w:r>
        <w:rPr>
          <w:rFonts w:hint="eastAsia"/>
          <w:color w:val="auto"/>
        </w:rPr>
        <w:tab/>
      </w:r>
      <w:r>
        <w:rPr>
          <w:rFonts w:hint="eastAsia"/>
          <w:color w:val="auto"/>
        </w:rPr>
        <w:t xml:space="preserve"> 年</w:t>
      </w:r>
      <w:r>
        <w:rPr>
          <w:rFonts w:hint="eastAsia"/>
          <w:color w:val="auto"/>
        </w:rPr>
        <w:tab/>
      </w:r>
      <w:r>
        <w:rPr>
          <w:rFonts w:hint="eastAsia"/>
          <w:color w:val="auto"/>
        </w:rPr>
        <w:t xml:space="preserve"> 月   </w:t>
      </w:r>
      <w:r>
        <w:rPr>
          <w:rFonts w:hint="eastAsia"/>
          <w:color w:val="auto"/>
        </w:rPr>
        <w:tab/>
      </w:r>
      <w:r>
        <w:rPr>
          <w:rFonts w:hint="eastAsia"/>
          <w:color w:val="auto"/>
        </w:rPr>
        <w:t xml:space="preserve">日 </w:t>
      </w:r>
    </w:p>
    <w:p>
      <w:pPr>
        <w:spacing w:line="385" w:lineRule="exact"/>
        <w:ind w:left="830" w:right="839"/>
        <w:jc w:val="center"/>
        <w:outlineLvl w:val="0"/>
        <w:rPr>
          <w:b/>
          <w:color w:val="auto"/>
          <w:sz w:val="32"/>
        </w:rPr>
      </w:pPr>
      <w:bookmarkStart w:id="41" w:name="_Toc30659"/>
      <w:r>
        <w:rPr>
          <w:rFonts w:hint="eastAsia"/>
          <w:b/>
          <w:color w:val="auto"/>
          <w:sz w:val="32"/>
          <w:lang w:val="en-US" w:eastAsia="zh-CN"/>
        </w:rPr>
        <w:t>8</w:t>
      </w:r>
      <w:r>
        <w:rPr>
          <w:rFonts w:hint="eastAsia"/>
          <w:b/>
          <w:color w:val="auto"/>
          <w:sz w:val="32"/>
        </w:rPr>
        <w:t>、投标人承接的项目业绩一览表</w:t>
      </w:r>
      <w:bookmarkEnd w:id="41"/>
    </w:p>
    <w:p>
      <w:pPr>
        <w:spacing w:before="15" w:line="259" w:lineRule="auto"/>
        <w:ind w:left="618" w:right="628"/>
        <w:outlineLvl w:val="0"/>
        <w:rPr>
          <w:color w:val="auto"/>
          <w:sz w:val="32"/>
        </w:rPr>
      </w:pPr>
      <w:bookmarkStart w:id="42" w:name="_Toc14516"/>
      <w:r>
        <w:rPr>
          <w:rFonts w:hint="eastAsia"/>
          <w:color w:val="auto"/>
          <w:sz w:val="32"/>
        </w:rPr>
        <w:t>（2017</w:t>
      </w:r>
      <w:r>
        <w:rPr>
          <w:rFonts w:hint="eastAsia"/>
          <w:color w:val="auto"/>
          <w:spacing w:val="-59"/>
          <w:sz w:val="32"/>
        </w:rPr>
        <w:t xml:space="preserve"> 年 </w:t>
      </w:r>
      <w:r>
        <w:rPr>
          <w:rFonts w:hint="eastAsia"/>
          <w:color w:val="auto"/>
          <w:sz w:val="32"/>
        </w:rPr>
        <w:t>1</w:t>
      </w:r>
      <w:r>
        <w:rPr>
          <w:rFonts w:hint="eastAsia"/>
          <w:color w:val="auto"/>
          <w:spacing w:val="-44"/>
          <w:sz w:val="32"/>
        </w:rPr>
        <w:t xml:space="preserve"> 月至 </w:t>
      </w:r>
      <w:r>
        <w:rPr>
          <w:rFonts w:hint="eastAsia"/>
          <w:color w:val="auto"/>
          <w:sz w:val="32"/>
        </w:rPr>
        <w:t>2019</w:t>
      </w:r>
      <w:r>
        <w:rPr>
          <w:rFonts w:hint="eastAsia"/>
          <w:color w:val="auto"/>
          <w:spacing w:val="-58"/>
          <w:sz w:val="32"/>
        </w:rPr>
        <w:t xml:space="preserve"> 年 </w:t>
      </w:r>
      <w:r>
        <w:rPr>
          <w:rFonts w:hint="eastAsia"/>
          <w:color w:val="auto"/>
          <w:sz w:val="32"/>
        </w:rPr>
        <w:t>12</w:t>
      </w:r>
      <w:r>
        <w:rPr>
          <w:rFonts w:hint="eastAsia"/>
          <w:color w:val="auto"/>
          <w:spacing w:val="-11"/>
          <w:sz w:val="32"/>
        </w:rPr>
        <w:t xml:space="preserve"> 月承接完成编制或审核过政府投资工</w:t>
      </w:r>
      <w:r>
        <w:rPr>
          <w:rFonts w:hint="eastAsia"/>
          <w:color w:val="auto"/>
          <w:sz w:val="32"/>
        </w:rPr>
        <w:t>程</w:t>
      </w:r>
      <w:r>
        <w:rPr>
          <w:rFonts w:hint="eastAsia"/>
          <w:color w:val="auto"/>
          <w:sz w:val="32"/>
          <w:lang w:eastAsia="zh-CN"/>
        </w:rPr>
        <w:t>预</w:t>
      </w:r>
      <w:r>
        <w:rPr>
          <w:rFonts w:hint="eastAsia"/>
          <w:color w:val="auto"/>
          <w:sz w:val="32"/>
        </w:rPr>
        <w:t>算项目）</w:t>
      </w:r>
      <w:bookmarkEnd w:id="42"/>
    </w:p>
    <w:p>
      <w:pPr>
        <w:pStyle w:val="12"/>
        <w:spacing w:before="2"/>
        <w:rPr>
          <w:color w:val="auto"/>
          <w:sz w:val="25"/>
        </w:rPr>
      </w:pPr>
    </w:p>
    <w:tbl>
      <w:tblPr>
        <w:tblStyle w:val="23"/>
        <w:tblW w:w="9088"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680"/>
        <w:gridCol w:w="1995"/>
        <w:gridCol w:w="2552"/>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44" w:type="dxa"/>
          </w:tcPr>
          <w:p>
            <w:pPr>
              <w:pStyle w:val="32"/>
              <w:spacing w:before="9"/>
              <w:rPr>
                <w:color w:val="auto"/>
                <w:sz w:val="25"/>
              </w:rPr>
            </w:pPr>
          </w:p>
          <w:p>
            <w:pPr>
              <w:pStyle w:val="32"/>
              <w:ind w:right="424"/>
              <w:jc w:val="right"/>
              <w:rPr>
                <w:color w:val="auto"/>
                <w:sz w:val="21"/>
              </w:rPr>
            </w:pPr>
            <w:r>
              <w:rPr>
                <w:rFonts w:hint="eastAsia"/>
                <w:color w:val="auto"/>
                <w:sz w:val="21"/>
              </w:rPr>
              <w:t>序号</w:t>
            </w:r>
          </w:p>
        </w:tc>
        <w:tc>
          <w:tcPr>
            <w:tcW w:w="1680" w:type="dxa"/>
          </w:tcPr>
          <w:p>
            <w:pPr>
              <w:pStyle w:val="32"/>
              <w:spacing w:before="9"/>
              <w:rPr>
                <w:color w:val="auto"/>
                <w:sz w:val="25"/>
              </w:rPr>
            </w:pPr>
          </w:p>
          <w:p>
            <w:pPr>
              <w:pStyle w:val="32"/>
              <w:tabs>
                <w:tab w:val="left" w:pos="1012"/>
              </w:tabs>
              <w:ind w:left="590"/>
              <w:rPr>
                <w:color w:val="auto"/>
                <w:sz w:val="21"/>
              </w:rPr>
            </w:pPr>
            <w:r>
              <w:rPr>
                <w:rFonts w:hint="eastAsia"/>
                <w:color w:val="auto"/>
                <w:sz w:val="21"/>
              </w:rPr>
              <w:t>业</w:t>
            </w:r>
            <w:r>
              <w:rPr>
                <w:rFonts w:hint="eastAsia"/>
                <w:color w:val="auto"/>
                <w:sz w:val="21"/>
              </w:rPr>
              <w:tab/>
            </w:r>
            <w:r>
              <w:rPr>
                <w:rFonts w:hint="eastAsia"/>
                <w:color w:val="auto"/>
                <w:sz w:val="21"/>
              </w:rPr>
              <w:t>主</w:t>
            </w:r>
          </w:p>
        </w:tc>
        <w:tc>
          <w:tcPr>
            <w:tcW w:w="1995" w:type="dxa"/>
          </w:tcPr>
          <w:p>
            <w:pPr>
              <w:pStyle w:val="32"/>
              <w:spacing w:before="9"/>
              <w:rPr>
                <w:color w:val="auto"/>
                <w:sz w:val="25"/>
              </w:rPr>
            </w:pPr>
          </w:p>
          <w:p>
            <w:pPr>
              <w:pStyle w:val="32"/>
              <w:ind w:left="330"/>
              <w:rPr>
                <w:color w:val="auto"/>
                <w:sz w:val="21"/>
              </w:rPr>
            </w:pPr>
            <w:r>
              <w:rPr>
                <w:rFonts w:hint="eastAsia"/>
                <w:color w:val="auto"/>
                <w:sz w:val="21"/>
              </w:rPr>
              <w:t>项 目 名 称</w:t>
            </w:r>
          </w:p>
        </w:tc>
        <w:tc>
          <w:tcPr>
            <w:tcW w:w="2552" w:type="dxa"/>
          </w:tcPr>
          <w:p>
            <w:pPr>
              <w:pStyle w:val="32"/>
              <w:spacing w:before="9"/>
              <w:rPr>
                <w:color w:val="auto"/>
                <w:sz w:val="25"/>
              </w:rPr>
            </w:pPr>
          </w:p>
          <w:p>
            <w:pPr>
              <w:pStyle w:val="32"/>
              <w:ind w:left="106"/>
              <w:rPr>
                <w:color w:val="auto"/>
                <w:sz w:val="21"/>
              </w:rPr>
            </w:pPr>
            <w:r>
              <w:rPr>
                <w:rFonts w:hint="eastAsia"/>
                <w:color w:val="auto"/>
                <w:sz w:val="21"/>
              </w:rPr>
              <w:t>投资规模（万元）</w:t>
            </w:r>
          </w:p>
        </w:tc>
        <w:tc>
          <w:tcPr>
            <w:tcW w:w="1817" w:type="dxa"/>
          </w:tcPr>
          <w:p>
            <w:pPr>
              <w:pStyle w:val="32"/>
              <w:spacing w:before="9"/>
              <w:rPr>
                <w:color w:val="auto"/>
                <w:sz w:val="25"/>
              </w:rPr>
            </w:pPr>
          </w:p>
          <w:p>
            <w:pPr>
              <w:pStyle w:val="32"/>
              <w:ind w:left="624" w:right="617"/>
              <w:jc w:val="center"/>
              <w:rPr>
                <w:color w:val="auto"/>
                <w:sz w:val="21"/>
              </w:rPr>
            </w:pPr>
            <w:r>
              <w:rPr>
                <w:rFonts w:hint="eastAsia"/>
                <w:color w:val="auto"/>
                <w:sz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2"/>
              <w:rPr>
                <w:color w:val="auto"/>
                <w:sz w:val="26"/>
              </w:rPr>
            </w:pP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44" w:type="dxa"/>
          </w:tcPr>
          <w:p>
            <w:pPr>
              <w:pStyle w:val="32"/>
              <w:spacing w:before="9"/>
              <w:rPr>
                <w:color w:val="auto"/>
                <w:sz w:val="25"/>
              </w:rPr>
            </w:pPr>
          </w:p>
          <w:p>
            <w:pPr>
              <w:pStyle w:val="32"/>
              <w:ind w:right="154"/>
              <w:jc w:val="center"/>
              <w:rPr>
                <w:color w:val="auto"/>
                <w:sz w:val="21"/>
              </w:rPr>
            </w:pPr>
            <w:r>
              <w:rPr>
                <w:rFonts w:hint="eastAsia"/>
                <w:color w:val="auto"/>
                <w:sz w:val="21"/>
              </w:rPr>
              <w:t>合 计</w:t>
            </w:r>
          </w:p>
        </w:tc>
        <w:tc>
          <w:tcPr>
            <w:tcW w:w="1680" w:type="dxa"/>
          </w:tcPr>
          <w:p>
            <w:pPr>
              <w:pStyle w:val="32"/>
              <w:rPr>
                <w:color w:val="auto"/>
                <w:sz w:val="26"/>
              </w:rPr>
            </w:pPr>
          </w:p>
        </w:tc>
        <w:tc>
          <w:tcPr>
            <w:tcW w:w="1995" w:type="dxa"/>
          </w:tcPr>
          <w:p>
            <w:pPr>
              <w:pStyle w:val="32"/>
              <w:rPr>
                <w:color w:val="auto"/>
                <w:sz w:val="26"/>
              </w:rPr>
            </w:pPr>
          </w:p>
        </w:tc>
        <w:tc>
          <w:tcPr>
            <w:tcW w:w="2552" w:type="dxa"/>
          </w:tcPr>
          <w:p>
            <w:pPr>
              <w:pStyle w:val="32"/>
              <w:rPr>
                <w:color w:val="auto"/>
                <w:sz w:val="26"/>
              </w:rPr>
            </w:pPr>
          </w:p>
        </w:tc>
        <w:tc>
          <w:tcPr>
            <w:tcW w:w="1817" w:type="dxa"/>
          </w:tcPr>
          <w:p>
            <w:pPr>
              <w:pStyle w:val="32"/>
              <w:rPr>
                <w:color w:val="auto"/>
                <w:sz w:val="26"/>
              </w:rPr>
            </w:pPr>
          </w:p>
        </w:tc>
      </w:tr>
    </w:tbl>
    <w:p>
      <w:pPr>
        <w:pStyle w:val="12"/>
        <w:tabs>
          <w:tab w:val="left" w:pos="5601"/>
        </w:tabs>
        <w:spacing w:before="78"/>
        <w:ind w:left="618"/>
        <w:rPr>
          <w:color w:val="auto"/>
        </w:rPr>
      </w:pPr>
      <w:r>
        <w:rPr>
          <w:rFonts w:hint="eastAsia"/>
          <w:color w:val="auto"/>
        </w:rPr>
        <w:t>注：</w:t>
      </w:r>
      <w:r>
        <w:rPr>
          <w:rFonts w:hint="eastAsia"/>
          <w:color w:val="auto"/>
          <w:lang w:eastAsia="en-US"/>
        </w:rPr>
        <w:t>本表可扩展，并逐页签字及盖章</w:t>
      </w:r>
      <w:r>
        <w:rPr>
          <w:rFonts w:hint="eastAsia"/>
          <w:color w:val="auto"/>
        </w:rPr>
        <w:t>。</w:t>
      </w:r>
    </w:p>
    <w:p>
      <w:pPr>
        <w:pStyle w:val="12"/>
        <w:rPr>
          <w:color w:val="auto"/>
          <w:sz w:val="20"/>
        </w:rPr>
      </w:pPr>
    </w:p>
    <w:p>
      <w:pPr>
        <w:pStyle w:val="12"/>
        <w:rPr>
          <w:color w:val="auto"/>
          <w:sz w:val="20"/>
        </w:rPr>
      </w:pPr>
    </w:p>
    <w:p>
      <w:pPr>
        <w:pStyle w:val="12"/>
        <w:spacing w:before="4"/>
        <w:rPr>
          <w:color w:val="auto"/>
          <w:sz w:val="24"/>
        </w:rPr>
      </w:pPr>
    </w:p>
    <w:p>
      <w:pPr>
        <w:pStyle w:val="12"/>
        <w:tabs>
          <w:tab w:val="left" w:pos="5601"/>
        </w:tabs>
        <w:spacing w:before="78"/>
        <w:ind w:left="618"/>
        <w:rPr>
          <w:color w:val="auto"/>
        </w:rPr>
      </w:pPr>
      <w:r>
        <w:rPr>
          <w:rFonts w:hint="eastAsia"/>
          <w:color w:val="auto"/>
        </w:rPr>
        <w:t>投标</w:t>
      </w:r>
      <w:r>
        <w:rPr>
          <w:rFonts w:hint="eastAsia"/>
          <w:color w:val="auto"/>
          <w:spacing w:val="-3"/>
        </w:rPr>
        <w:t>人</w:t>
      </w:r>
      <w:r>
        <w:rPr>
          <w:rFonts w:hint="eastAsia"/>
          <w:color w:val="auto"/>
        </w:rPr>
        <w:t>盖</w:t>
      </w:r>
      <w:r>
        <w:rPr>
          <w:rFonts w:hint="eastAsia"/>
          <w:color w:val="auto"/>
          <w:spacing w:val="-3"/>
        </w:rPr>
        <w:t>公</w:t>
      </w:r>
      <w:r>
        <w:rPr>
          <w:rFonts w:hint="eastAsia"/>
          <w:color w:val="auto"/>
        </w:rPr>
        <w:t>章</w:t>
      </w:r>
      <w:r>
        <w:rPr>
          <w:rFonts w:hint="eastAsia"/>
          <w:color w:val="auto"/>
          <w:spacing w:val="5"/>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5603"/>
        </w:tabs>
        <w:spacing w:before="1"/>
        <w:ind w:left="618"/>
        <w:rPr>
          <w:color w:val="auto"/>
        </w:rPr>
      </w:pPr>
      <w:r>
        <w:rPr>
          <w:rFonts w:hint="eastAsia"/>
          <w:color w:val="auto"/>
        </w:rPr>
        <w:t>法定</w:t>
      </w:r>
      <w:r>
        <w:rPr>
          <w:rFonts w:hint="eastAsia"/>
          <w:color w:val="auto"/>
          <w:spacing w:val="-3"/>
        </w:rPr>
        <w:t>代</w:t>
      </w:r>
      <w:r>
        <w:rPr>
          <w:rFonts w:hint="eastAsia"/>
          <w:color w:val="auto"/>
        </w:rPr>
        <w:t>表</w:t>
      </w:r>
      <w:r>
        <w:rPr>
          <w:rFonts w:hint="eastAsia"/>
          <w:color w:val="auto"/>
          <w:spacing w:val="-3"/>
        </w:rPr>
        <w:t>人</w:t>
      </w:r>
      <w:r>
        <w:rPr>
          <w:rFonts w:hint="eastAsia"/>
          <w:color w:val="auto"/>
        </w:rPr>
        <w:t>或</w:t>
      </w:r>
      <w:r>
        <w:rPr>
          <w:rFonts w:hint="eastAsia"/>
          <w:color w:val="auto"/>
          <w:spacing w:val="-3"/>
        </w:rPr>
        <w:t>委</w:t>
      </w:r>
      <w:r>
        <w:rPr>
          <w:rFonts w:hint="eastAsia"/>
          <w:color w:val="auto"/>
        </w:rPr>
        <w:t>托</w:t>
      </w:r>
      <w:r>
        <w:rPr>
          <w:rFonts w:hint="eastAsia"/>
          <w:color w:val="auto"/>
          <w:spacing w:val="-3"/>
        </w:rPr>
        <w:t>代</w:t>
      </w:r>
      <w:r>
        <w:rPr>
          <w:rFonts w:hint="eastAsia"/>
          <w:color w:val="auto"/>
        </w:rPr>
        <w:t>理</w:t>
      </w:r>
      <w:r>
        <w:rPr>
          <w:rFonts w:hint="eastAsia"/>
          <w:color w:val="auto"/>
          <w:spacing w:val="-3"/>
        </w:rPr>
        <w:t>人</w:t>
      </w:r>
      <w:r>
        <w:rPr>
          <w:rFonts w:hint="eastAsia"/>
          <w:color w:val="auto"/>
        </w:rPr>
        <w:t>签字</w:t>
      </w:r>
      <w:r>
        <w:rPr>
          <w:rFonts w:hint="eastAsia"/>
          <w:color w:val="auto"/>
          <w:spacing w:val="14"/>
        </w:rPr>
        <w:t xml:space="preserve"> </w:t>
      </w:r>
      <w:r>
        <w:rPr>
          <w:rFonts w:hint="eastAsia"/>
          <w:color w:val="auto"/>
        </w:rPr>
        <w:t>：</w:t>
      </w:r>
      <w:r>
        <w:rPr>
          <w:rFonts w:hint="eastAsia"/>
          <w:color w:val="auto"/>
          <w:u w:val="single"/>
        </w:rPr>
        <w:t xml:space="preserve"> </w:t>
      </w:r>
      <w:r>
        <w:rPr>
          <w:rFonts w:hint="eastAsia"/>
          <w:color w:val="auto"/>
          <w:u w:val="single"/>
        </w:rPr>
        <w:tab/>
      </w:r>
    </w:p>
    <w:p>
      <w:pPr>
        <w:pStyle w:val="12"/>
        <w:rPr>
          <w:color w:val="auto"/>
          <w:sz w:val="20"/>
        </w:rPr>
      </w:pPr>
    </w:p>
    <w:p>
      <w:pPr>
        <w:pStyle w:val="12"/>
        <w:spacing w:before="2"/>
        <w:rPr>
          <w:color w:val="auto"/>
          <w:sz w:val="19"/>
        </w:rPr>
      </w:pPr>
    </w:p>
    <w:p>
      <w:pPr>
        <w:pStyle w:val="12"/>
        <w:tabs>
          <w:tab w:val="left" w:pos="1669"/>
          <w:tab w:val="left" w:pos="2194"/>
          <w:tab w:val="left" w:pos="2720"/>
        </w:tabs>
        <w:ind w:left="618"/>
        <w:rPr>
          <w:color w:val="auto"/>
        </w:rPr>
      </w:pPr>
      <w:r>
        <w:rPr>
          <w:rFonts w:hint="eastAsia"/>
          <w:color w:val="auto"/>
        </w:rPr>
        <w:t>日期：</w:t>
      </w:r>
      <w:r>
        <w:rPr>
          <w:rFonts w:hint="eastAsia"/>
          <w:color w:val="auto"/>
        </w:rPr>
        <w:tab/>
      </w:r>
      <w:r>
        <w:rPr>
          <w:rFonts w:hint="eastAsia"/>
          <w:color w:val="auto"/>
        </w:rPr>
        <w:t xml:space="preserve"> 年</w:t>
      </w:r>
      <w:r>
        <w:rPr>
          <w:rFonts w:hint="eastAsia"/>
          <w:color w:val="auto"/>
        </w:rPr>
        <w:tab/>
      </w:r>
      <w:r>
        <w:rPr>
          <w:rFonts w:hint="eastAsia"/>
          <w:color w:val="auto"/>
        </w:rPr>
        <w:t xml:space="preserve"> 月   </w:t>
      </w:r>
      <w:r>
        <w:rPr>
          <w:rFonts w:hint="eastAsia"/>
          <w:color w:val="auto"/>
        </w:rPr>
        <w:tab/>
      </w:r>
      <w:r>
        <w:rPr>
          <w:rFonts w:hint="eastAsia"/>
          <w:color w:val="auto"/>
        </w:rPr>
        <w:t>日</w:t>
      </w:r>
    </w:p>
    <w:p>
      <w:pPr>
        <w:rPr>
          <w:color w:val="auto"/>
        </w:rPr>
        <w:sectPr>
          <w:pgSz w:w="11910" w:h="16840"/>
          <w:pgMar w:top="1134" w:right="1134" w:bottom="1134" w:left="1180" w:header="0" w:footer="894" w:gutter="0"/>
          <w:pgNumType w:fmt="decimal"/>
          <w:cols w:equalWidth="0" w:num="1">
            <w:col w:w="10250"/>
          </w:cols>
          <w:rtlGutter w:val="0"/>
        </w:sectPr>
      </w:pPr>
    </w:p>
    <w:p>
      <w:pPr>
        <w:pStyle w:val="5"/>
        <w:spacing w:before="44"/>
        <w:ind w:left="618"/>
        <w:jc w:val="left"/>
        <w:rPr>
          <w:color w:val="auto"/>
        </w:rPr>
      </w:pPr>
      <w:r>
        <w:rPr>
          <w:rFonts w:hint="eastAsia"/>
          <w:color w:val="auto"/>
        </w:rPr>
        <w:t>其他附件 1：履约保证金退付确认函</w:t>
      </w:r>
    </w:p>
    <w:p>
      <w:pPr>
        <w:pStyle w:val="12"/>
        <w:spacing w:before="6"/>
        <w:rPr>
          <w:b/>
          <w:color w:val="auto"/>
          <w:sz w:val="31"/>
        </w:rPr>
      </w:pPr>
    </w:p>
    <w:p>
      <w:pPr>
        <w:ind w:left="830" w:right="838"/>
        <w:jc w:val="center"/>
        <w:outlineLvl w:val="0"/>
        <w:rPr>
          <w:b/>
          <w:color w:val="auto"/>
          <w:sz w:val="32"/>
        </w:rPr>
      </w:pPr>
      <w:bookmarkStart w:id="43" w:name="_Toc22608"/>
      <w:r>
        <w:rPr>
          <w:rFonts w:hint="eastAsia"/>
          <w:b/>
          <w:color w:val="auto"/>
          <w:sz w:val="32"/>
        </w:rPr>
        <w:t>履约保证金退付确认函</w:t>
      </w:r>
      <w:bookmarkEnd w:id="43"/>
    </w:p>
    <w:p>
      <w:pPr>
        <w:pStyle w:val="12"/>
        <w:spacing w:before="11"/>
        <w:rPr>
          <w:b/>
          <w:color w:val="auto"/>
          <w:sz w:val="14"/>
        </w:rPr>
      </w:pPr>
    </w:p>
    <w:tbl>
      <w:tblPr>
        <w:tblStyle w:val="23"/>
        <w:tblW w:w="9130" w:type="dxa"/>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8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60" w:type="dxa"/>
            <w:vMerge w:val="restart"/>
          </w:tcPr>
          <w:p>
            <w:pPr>
              <w:pStyle w:val="32"/>
              <w:rPr>
                <w:b/>
                <w:color w:val="auto"/>
                <w:sz w:val="30"/>
              </w:rPr>
            </w:pPr>
          </w:p>
          <w:p>
            <w:pPr>
              <w:pStyle w:val="32"/>
              <w:rPr>
                <w:b/>
                <w:color w:val="auto"/>
                <w:sz w:val="30"/>
              </w:rPr>
            </w:pPr>
          </w:p>
          <w:p>
            <w:pPr>
              <w:pStyle w:val="32"/>
              <w:rPr>
                <w:b/>
                <w:color w:val="auto"/>
                <w:sz w:val="30"/>
              </w:rPr>
            </w:pPr>
          </w:p>
          <w:p>
            <w:pPr>
              <w:pStyle w:val="32"/>
              <w:rPr>
                <w:b/>
                <w:color w:val="auto"/>
                <w:sz w:val="30"/>
              </w:rPr>
            </w:pPr>
          </w:p>
          <w:p>
            <w:pPr>
              <w:pStyle w:val="32"/>
              <w:rPr>
                <w:b/>
                <w:color w:val="auto"/>
                <w:sz w:val="30"/>
              </w:rPr>
            </w:pPr>
          </w:p>
          <w:p>
            <w:pPr>
              <w:pStyle w:val="32"/>
              <w:rPr>
                <w:b/>
                <w:color w:val="auto"/>
                <w:sz w:val="30"/>
              </w:rPr>
            </w:pPr>
          </w:p>
          <w:p>
            <w:pPr>
              <w:pStyle w:val="32"/>
              <w:spacing w:before="247" w:line="242" w:lineRule="auto"/>
              <w:ind w:left="179" w:right="168"/>
              <w:jc w:val="both"/>
              <w:rPr>
                <w:color w:val="auto"/>
                <w:sz w:val="30"/>
              </w:rPr>
            </w:pPr>
            <w:r>
              <w:rPr>
                <w:rFonts w:hint="eastAsia"/>
                <w:color w:val="auto"/>
                <w:sz w:val="30"/>
              </w:rPr>
              <w:t>中标人申请</w:t>
            </w:r>
          </w:p>
        </w:tc>
        <w:tc>
          <w:tcPr>
            <w:tcW w:w="8470" w:type="dxa"/>
          </w:tcPr>
          <w:p>
            <w:pPr>
              <w:pStyle w:val="32"/>
              <w:spacing w:before="184"/>
              <w:ind w:left="105"/>
              <w:rPr>
                <w:color w:val="auto"/>
                <w:sz w:val="24"/>
              </w:rPr>
            </w:pPr>
            <w:r>
              <w:rPr>
                <w:rFonts w:hint="eastAsia"/>
                <w:color w:val="auto"/>
                <w:sz w:val="24"/>
              </w:rPr>
              <w:t>采购项目名称：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60" w:type="dxa"/>
            <w:vMerge w:val="continue"/>
            <w:tcBorders>
              <w:top w:val="nil"/>
            </w:tcBorders>
          </w:tcPr>
          <w:p>
            <w:pPr>
              <w:rPr>
                <w:color w:val="auto"/>
                <w:sz w:val="2"/>
                <w:szCs w:val="2"/>
              </w:rPr>
            </w:pPr>
          </w:p>
        </w:tc>
        <w:tc>
          <w:tcPr>
            <w:tcW w:w="8470" w:type="dxa"/>
          </w:tcPr>
          <w:p>
            <w:pPr>
              <w:pStyle w:val="32"/>
              <w:spacing w:before="184"/>
              <w:ind w:left="105"/>
              <w:rPr>
                <w:color w:val="auto"/>
                <w:sz w:val="24"/>
              </w:rPr>
            </w:pPr>
            <w:r>
              <w:rPr>
                <w:rFonts w:hint="eastAsia"/>
                <w:color w:val="auto"/>
                <w:sz w:val="24"/>
              </w:rPr>
              <w:t>采购项目编号：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60" w:type="dxa"/>
            <w:vMerge w:val="continue"/>
            <w:tcBorders>
              <w:top w:val="nil"/>
            </w:tcBorders>
          </w:tcPr>
          <w:p>
            <w:pPr>
              <w:rPr>
                <w:color w:val="auto"/>
                <w:sz w:val="2"/>
                <w:szCs w:val="2"/>
              </w:rPr>
            </w:pPr>
          </w:p>
        </w:tc>
        <w:tc>
          <w:tcPr>
            <w:tcW w:w="8470" w:type="dxa"/>
          </w:tcPr>
          <w:p>
            <w:pPr>
              <w:pStyle w:val="32"/>
              <w:spacing w:before="189"/>
              <w:ind w:right="5380"/>
              <w:jc w:val="right"/>
              <w:rPr>
                <w:color w:val="auto"/>
                <w:sz w:val="24"/>
              </w:rPr>
            </w:pPr>
            <w:r>
              <w:rPr>
                <w:rFonts w:hint="eastAsia"/>
                <w:color w:val="auto"/>
                <w:sz w:val="24"/>
              </w:rPr>
              <w:t>履约保证金金额：（大写）</w:t>
            </w:r>
          </w:p>
          <w:p>
            <w:pPr>
              <w:pStyle w:val="32"/>
              <w:spacing w:before="93"/>
              <w:ind w:right="6700"/>
              <w:jc w:val="right"/>
              <w:rPr>
                <w:color w:val="auto"/>
                <w:sz w:val="24"/>
              </w:rPr>
            </w:pPr>
            <w:r>
              <w:rPr>
                <w:rFonts w:hint="eastAsia"/>
                <w:color w:val="auto"/>
                <w:sz w:val="24"/>
              </w:rPr>
              <w:t xml:space="preserve">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660" w:type="dxa"/>
            <w:vMerge w:val="continue"/>
            <w:tcBorders>
              <w:top w:val="nil"/>
            </w:tcBorders>
          </w:tcPr>
          <w:p>
            <w:pPr>
              <w:rPr>
                <w:color w:val="auto"/>
                <w:sz w:val="2"/>
                <w:szCs w:val="2"/>
              </w:rPr>
            </w:pPr>
          </w:p>
        </w:tc>
        <w:tc>
          <w:tcPr>
            <w:tcW w:w="8470" w:type="dxa"/>
          </w:tcPr>
          <w:p>
            <w:pPr>
              <w:pStyle w:val="32"/>
              <w:spacing w:before="184"/>
              <w:ind w:left="105"/>
              <w:rPr>
                <w:color w:val="auto"/>
                <w:sz w:val="24"/>
              </w:rPr>
            </w:pPr>
            <w:r>
              <w:rPr>
                <w:rFonts w:hint="eastAsia"/>
                <w:color w:val="auto"/>
                <w:sz w:val="24"/>
              </w:rPr>
              <w:t xml:space="preserve">该项目已于 </w:t>
            </w:r>
            <w:r>
              <w:rPr>
                <w:rFonts w:hint="eastAsia"/>
                <w:color w:val="auto"/>
                <w:sz w:val="24"/>
              </w:rPr>
              <w:tab/>
            </w:r>
            <w:r>
              <w:rPr>
                <w:rFonts w:hint="eastAsia"/>
                <w:color w:val="auto"/>
                <w:sz w:val="24"/>
              </w:rPr>
              <w:t xml:space="preserve">年 </w:t>
            </w:r>
            <w:r>
              <w:rPr>
                <w:rFonts w:hint="eastAsia"/>
                <w:color w:val="auto"/>
                <w:sz w:val="24"/>
              </w:rPr>
              <w:tab/>
            </w:r>
            <w:r>
              <w:rPr>
                <w:rFonts w:hint="eastAsia"/>
                <w:color w:val="auto"/>
                <w:sz w:val="24"/>
              </w:rPr>
              <w:t xml:space="preserve">月 </w:t>
            </w:r>
            <w:r>
              <w:rPr>
                <w:rFonts w:hint="eastAsia"/>
                <w:color w:val="auto"/>
                <w:sz w:val="24"/>
              </w:rPr>
              <w:tab/>
            </w:r>
            <w:r>
              <w:rPr>
                <w:rFonts w:hint="eastAsia"/>
                <w:color w:val="auto"/>
                <w:sz w:val="24"/>
              </w:rPr>
              <w:t>日履约完毕。请将履约金退付到以下账户。</w:t>
            </w:r>
          </w:p>
          <w:p>
            <w:pPr>
              <w:pStyle w:val="32"/>
              <w:spacing w:before="184"/>
              <w:ind w:left="105"/>
              <w:rPr>
                <w:color w:val="auto"/>
                <w:sz w:val="24"/>
              </w:rPr>
            </w:pPr>
            <w:r>
              <w:rPr>
                <w:rFonts w:hint="eastAsia"/>
                <w:color w:val="auto"/>
                <w:sz w:val="24"/>
              </w:rPr>
              <w:t>开户名称：</w:t>
            </w:r>
          </w:p>
          <w:p>
            <w:pPr>
              <w:pStyle w:val="32"/>
              <w:spacing w:before="184"/>
              <w:ind w:left="105"/>
              <w:rPr>
                <w:color w:val="auto"/>
                <w:sz w:val="24"/>
              </w:rPr>
            </w:pPr>
            <w:r>
              <w:rPr>
                <w:rFonts w:hint="eastAsia"/>
                <w:color w:val="auto"/>
                <w:sz w:val="24"/>
              </w:rPr>
              <w:t>帐</w:t>
            </w:r>
            <w:r>
              <w:rPr>
                <w:rFonts w:hint="eastAsia"/>
                <w:color w:val="auto"/>
                <w:sz w:val="24"/>
              </w:rPr>
              <w:tab/>
            </w:r>
            <w:r>
              <w:rPr>
                <w:rFonts w:hint="eastAsia"/>
                <w:color w:val="auto"/>
                <w:sz w:val="24"/>
              </w:rPr>
              <w:t xml:space="preserve"> 号： </w:t>
            </w:r>
          </w:p>
          <w:p>
            <w:pPr>
              <w:pStyle w:val="32"/>
              <w:spacing w:before="184"/>
              <w:ind w:left="105"/>
              <w:rPr>
                <w:color w:val="auto"/>
                <w:sz w:val="24"/>
              </w:rPr>
            </w:pPr>
            <w:r>
              <w:rPr>
                <w:rFonts w:hint="eastAsia"/>
                <w:color w:val="auto"/>
                <w:sz w:val="24"/>
              </w:rPr>
              <w:t>开 户 行：</w:t>
            </w:r>
          </w:p>
          <w:p>
            <w:pPr>
              <w:pStyle w:val="32"/>
              <w:spacing w:before="184"/>
              <w:ind w:left="105"/>
              <w:rPr>
                <w:color w:val="auto"/>
                <w:sz w:val="24"/>
              </w:rPr>
            </w:pPr>
            <w:r>
              <w:rPr>
                <w:rFonts w:hint="eastAsia"/>
                <w:color w:val="auto"/>
                <w:sz w:val="24"/>
              </w:rPr>
              <w:t>联系人：</w:t>
            </w:r>
          </w:p>
          <w:p>
            <w:pPr>
              <w:pStyle w:val="32"/>
              <w:spacing w:before="184"/>
              <w:rPr>
                <w:color w:val="auto"/>
                <w:sz w:val="24"/>
              </w:rPr>
            </w:pPr>
            <w:r>
              <w:rPr>
                <w:rFonts w:hint="eastAsia"/>
                <w:color w:val="auto"/>
                <w:sz w:val="24"/>
              </w:rPr>
              <w:t xml:space="preserve"> 联系电话：</w:t>
            </w:r>
          </w:p>
          <w:p>
            <w:pPr>
              <w:pStyle w:val="32"/>
              <w:spacing w:before="184"/>
              <w:ind w:left="105"/>
              <w:rPr>
                <w:color w:val="auto"/>
                <w:sz w:val="24"/>
              </w:rPr>
            </w:pPr>
            <w:r>
              <w:rPr>
                <w:rFonts w:hint="eastAsia"/>
                <w:color w:val="auto"/>
                <w:sz w:val="24"/>
              </w:rPr>
              <w:t>供应商：（盖章）</w:t>
            </w:r>
          </w:p>
          <w:p>
            <w:pPr>
              <w:pStyle w:val="32"/>
              <w:spacing w:before="184"/>
              <w:ind w:left="105"/>
              <w:rPr>
                <w:color w:val="auto"/>
              </w:rPr>
            </w:pPr>
            <w:r>
              <w:rPr>
                <w:rFonts w:hint="eastAsia"/>
                <w:color w:val="auto"/>
                <w:sz w:val="24"/>
              </w:rPr>
              <w:t>年</w:t>
            </w:r>
            <w:r>
              <w:rPr>
                <w:rFonts w:hint="eastAsia"/>
                <w:color w:val="auto"/>
                <w:sz w:val="24"/>
              </w:rPr>
              <w:tab/>
            </w:r>
            <w:r>
              <w:rPr>
                <w:rFonts w:hint="eastAsia"/>
                <w:color w:val="auto"/>
                <w:sz w:val="24"/>
              </w:rPr>
              <w:t>月</w:t>
            </w:r>
            <w:r>
              <w:rPr>
                <w:rFonts w:hint="eastAsia"/>
                <w:color w:val="auto"/>
                <w:sz w:val="24"/>
              </w:rPr>
              <w:tab/>
            </w:r>
            <w:r>
              <w:rPr>
                <w:rFonts w:hint="eastAsia"/>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4" w:hRule="atLeast"/>
        </w:trPr>
        <w:tc>
          <w:tcPr>
            <w:tcW w:w="660" w:type="dxa"/>
          </w:tcPr>
          <w:p>
            <w:pPr>
              <w:pStyle w:val="32"/>
              <w:rPr>
                <w:b/>
                <w:color w:val="auto"/>
                <w:sz w:val="30"/>
              </w:rPr>
            </w:pPr>
          </w:p>
          <w:p>
            <w:pPr>
              <w:pStyle w:val="32"/>
              <w:rPr>
                <w:b/>
                <w:color w:val="auto"/>
                <w:sz w:val="34"/>
              </w:rPr>
            </w:pPr>
          </w:p>
          <w:p>
            <w:pPr>
              <w:pStyle w:val="32"/>
              <w:spacing w:line="242" w:lineRule="auto"/>
              <w:ind w:left="179" w:right="168"/>
              <w:jc w:val="both"/>
              <w:rPr>
                <w:color w:val="auto"/>
                <w:sz w:val="30"/>
              </w:rPr>
            </w:pPr>
            <w:r>
              <w:rPr>
                <w:rFonts w:hint="eastAsia"/>
                <w:color w:val="auto"/>
                <w:sz w:val="30"/>
              </w:rPr>
              <w:t>采购单位意见</w:t>
            </w:r>
          </w:p>
        </w:tc>
        <w:tc>
          <w:tcPr>
            <w:tcW w:w="8470" w:type="dxa"/>
          </w:tcPr>
          <w:p>
            <w:pPr>
              <w:pStyle w:val="32"/>
              <w:rPr>
                <w:b/>
                <w:color w:val="auto"/>
                <w:sz w:val="24"/>
              </w:rPr>
            </w:pPr>
          </w:p>
          <w:p>
            <w:pPr>
              <w:pStyle w:val="32"/>
              <w:spacing w:before="160"/>
              <w:ind w:left="585"/>
              <w:rPr>
                <w:color w:val="auto"/>
                <w:sz w:val="24"/>
              </w:rPr>
            </w:pPr>
            <w:r>
              <w:rPr>
                <w:rFonts w:hint="eastAsia"/>
                <w:color w:val="auto"/>
                <w:sz w:val="24"/>
              </w:rPr>
              <w:t>意见：(是否同意退付履约保证金)。</w:t>
            </w:r>
          </w:p>
          <w:p>
            <w:pPr>
              <w:pStyle w:val="32"/>
              <w:rPr>
                <w:b/>
                <w:color w:val="auto"/>
                <w:sz w:val="24"/>
              </w:rPr>
            </w:pPr>
          </w:p>
          <w:p>
            <w:pPr>
              <w:pStyle w:val="32"/>
              <w:rPr>
                <w:b/>
                <w:color w:val="auto"/>
                <w:sz w:val="24"/>
              </w:rPr>
            </w:pPr>
          </w:p>
          <w:p>
            <w:pPr>
              <w:pStyle w:val="32"/>
              <w:rPr>
                <w:b/>
                <w:color w:val="auto"/>
                <w:sz w:val="24"/>
              </w:rPr>
            </w:pPr>
          </w:p>
          <w:p>
            <w:pPr>
              <w:pStyle w:val="32"/>
              <w:spacing w:before="10"/>
              <w:rPr>
                <w:b/>
                <w:color w:val="auto"/>
                <w:sz w:val="28"/>
              </w:rPr>
            </w:pPr>
          </w:p>
          <w:p>
            <w:pPr>
              <w:pStyle w:val="32"/>
              <w:spacing w:line="312" w:lineRule="auto"/>
              <w:ind w:right="6743"/>
              <w:rPr>
                <w:color w:val="auto"/>
                <w:sz w:val="24"/>
              </w:rPr>
            </w:pPr>
            <w:r>
              <w:rPr>
                <w:rFonts w:hint="eastAsia"/>
                <w:color w:val="auto"/>
                <w:sz w:val="24"/>
              </w:rPr>
              <w:t>单位负责人： 联系电话：</w:t>
            </w:r>
          </w:p>
          <w:p>
            <w:pPr>
              <w:pStyle w:val="32"/>
              <w:spacing w:before="2"/>
              <w:ind w:left="4546" w:firstLine="960" w:firstLineChars="400"/>
              <w:rPr>
                <w:color w:val="auto"/>
                <w:sz w:val="24"/>
              </w:rPr>
            </w:pPr>
            <w:r>
              <w:rPr>
                <w:rFonts w:hint="eastAsia"/>
                <w:color w:val="auto"/>
                <w:sz w:val="24"/>
              </w:rPr>
              <w:t>采购单位盖章：</w:t>
            </w:r>
          </w:p>
          <w:p>
            <w:pPr>
              <w:pStyle w:val="32"/>
              <w:tabs>
                <w:tab w:val="left" w:pos="6226"/>
                <w:tab w:val="left" w:pos="6946"/>
              </w:tabs>
              <w:spacing w:before="91"/>
              <w:ind w:left="5506"/>
              <w:rPr>
                <w:color w:val="auto"/>
                <w:sz w:val="24"/>
              </w:rPr>
            </w:pPr>
            <w:r>
              <w:rPr>
                <w:rFonts w:hint="eastAsia"/>
                <w:color w:val="auto"/>
                <w:sz w:val="24"/>
              </w:rPr>
              <w:t>年</w:t>
            </w:r>
            <w:r>
              <w:rPr>
                <w:rFonts w:hint="eastAsia"/>
                <w:color w:val="auto"/>
                <w:sz w:val="24"/>
              </w:rPr>
              <w:tab/>
            </w:r>
            <w:r>
              <w:rPr>
                <w:rFonts w:hint="eastAsia"/>
                <w:color w:val="auto"/>
                <w:sz w:val="24"/>
              </w:rPr>
              <w:t>月</w:t>
            </w:r>
            <w:r>
              <w:rPr>
                <w:rFonts w:hint="eastAsia"/>
                <w:color w:val="auto"/>
                <w:sz w:val="24"/>
              </w:rPr>
              <w:tab/>
            </w:r>
            <w:r>
              <w:rPr>
                <w:rFonts w:hint="eastAsia"/>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130" w:type="dxa"/>
            <w:gridSpan w:val="2"/>
          </w:tcPr>
          <w:p>
            <w:pPr>
              <w:pStyle w:val="32"/>
              <w:spacing w:before="62" w:line="360" w:lineRule="atLeast"/>
              <w:ind w:left="786" w:right="50" w:hanging="680"/>
              <w:rPr>
                <w:color w:val="auto"/>
                <w:sz w:val="24"/>
              </w:rPr>
            </w:pPr>
            <w:r>
              <w:rPr>
                <w:rFonts w:hint="eastAsia"/>
                <w:color w:val="auto"/>
                <w:spacing w:val="-1"/>
                <w:sz w:val="24"/>
              </w:rPr>
              <w:t>备注：</w:t>
            </w:r>
            <w:r>
              <w:rPr>
                <w:rFonts w:hint="eastAsia"/>
                <w:color w:val="auto"/>
                <w:spacing w:val="-3"/>
                <w:sz w:val="24"/>
              </w:rPr>
              <w:t>1</w:t>
            </w:r>
            <w:r>
              <w:rPr>
                <w:rFonts w:hint="eastAsia"/>
                <w:color w:val="auto"/>
                <w:spacing w:val="-13"/>
                <w:sz w:val="24"/>
              </w:rPr>
              <w:t xml:space="preserve">、附付款收据原件、银行转帐单复印件，工程类项目另附工程竣工验收报告复印件； </w:t>
            </w:r>
            <w:r>
              <w:rPr>
                <w:rFonts w:hint="eastAsia"/>
                <w:color w:val="auto"/>
                <w:sz w:val="24"/>
              </w:rPr>
              <w:t>2、用浆糊粘贴在左上角，不能用订书机装订。</w:t>
            </w:r>
          </w:p>
        </w:tc>
      </w:tr>
    </w:tbl>
    <w:p>
      <w:pPr>
        <w:rPr>
          <w:color w:val="auto"/>
        </w:rPr>
      </w:pPr>
    </w:p>
    <w:p>
      <w:pPr>
        <w:pStyle w:val="22"/>
        <w:rPr>
          <w:color w:val="auto"/>
        </w:rPr>
      </w:pPr>
    </w:p>
    <w:p>
      <w:pPr>
        <w:pStyle w:val="22"/>
        <w:ind w:left="0" w:leftChars="0" w:firstLine="0" w:firstLineChars="0"/>
        <w:rPr>
          <w:rFonts w:hint="eastAsia" w:eastAsia="宋体"/>
          <w:color w:val="auto"/>
          <w:lang w:eastAsia="zh-CN"/>
        </w:rPr>
      </w:pPr>
    </w:p>
    <w:sectPr>
      <w:pgSz w:w="11910" w:h="16840"/>
      <w:pgMar w:top="1134" w:right="1134" w:bottom="1134" w:left="1180" w:header="0" w:footer="894" w:gutter="0"/>
      <w:pgNumType w:fmt="decimal"/>
      <w:cols w:equalWidth="0" w:num="1">
        <w:col w:w="10250"/>
      </w:cols>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宋体-方正超大字符集">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7"/>
      </w:rPr>
      <w:instrText xml:space="preserve"> PAGE </w:instrText>
    </w:r>
    <w:r>
      <w:fldChar w:fldCharType="separate"/>
    </w:r>
    <w:r>
      <w:rPr>
        <w:rStyle w:val="27"/>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11"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11.25pt;height:144pt;width:144pt;mso-position-horizontal:center;mso-position-horizontal-relative:margin;mso-wrap-style:none;z-index:251670528;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BYA27rgEAAE0DAAAOAAAAZHJzL2Uyb0RvYy54bWytU81qGzEQ&#10;vgfyDkL3WGsHilm8Di0hJVCaQpIHkLWSV6A/NLJ3/QLNG/TUS+99Lj9HRrLXbptb6EU7mhl9M983&#10;s4ubwRqylRG0dw2dTipKpBO+1W7d0Oenu6s5JZC4a7nxTjZ0J4HeLC8vFn2o5cx33rQyEgRxUPeh&#10;oV1KoWYMRCcth4kP0mFQ+Wh5wmtcszbyHtGtYbOq+sB6H9sQvZAA6L09BOmy4CslRXpQCmQipqHY&#10;WypnLOcqn2y54PU68tBpcWyDv6MLy7XDoieoW5442UT9BspqET14lSbCW+aV0kIWDshmWv3D5rHj&#10;QRYuKA6Ek0zw/2DF1+23SHSLs5tS4rjFGe1/vOx//t7/+k6ui0B9gBrzHgNmpuGTHzA5C5f9gM7M&#10;e1DR5i8yIhhHqXcneeWQiMiP5rP5vMKQwNh4QRx2fh4ipM/SW5KNhkacX5GVb79AOqSOKbma83fa&#10;mDJD4/5yIGb2sHOP2UrDajg2vvLtDvn0OPqGOtxNSsy9Q2XzloxGHI3VaGxC1OuurFGuB+HjJmET&#10;pbdc4QB7LIwzK+yO+5WX4s97yTr/Bct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D6iadQAAAAI&#10;AQAADwAAAAAAAAABACAAAAAiAAAAZHJzL2Rvd25yZXYueG1sUEsBAhQAFAAAAAgAh07iQIFgDbuu&#10;AQAATQMAAA4AAAAAAAAAAQAgAAAAIwEAAGRycy9lMm9Eb2MueG1sUEsFBgAAAAAGAAYAWQEAAEMF&#10;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WlWa8BAABMAwAADgAAAGRycy9lMm9Eb2MueG1srVPNahsxEL4H+g5C&#10;91prF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kyzT3pw+xxrTbgIlp+OYHnPPoj+jMsgcFNn9R&#10;EME4dnp36q4cEhH50Xw2n1cYEhgbL4jPXp8HiOm79JZko6GA4ytd5dubmA6pY0qu5vyVNqaM0Lh3&#10;DsTMHpa5HzhmKw2r4Sho5dsd6ulx8g11uJqUmGuHjc1LMhowGqvR2ATQ665sUa4Xw9dNQhKFW65w&#10;gD0WxpEVdcf1yjvx9l6yXn+C5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WlWa8BAABM&#10;AwAADgAAAAAAAAABACAAAAAeAQAAZHJzL2Uyb0RvYy54bWxQSwUGAAAAAAYABgBZAQAAP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1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zGvq8BAABMAwAADgAAAGRycy9lMm9Eb2MueG1srVPNThsxEL4j9R0s&#10;3xsvQaLRKhsEQlSVUIsEPIDjtbOW/Kexk928QPsGPfXCnefKczB2sqEtN8TFO54Zf/N9M7Pzi8Ea&#10;spEQtXcNPZ1UlEgnfKvdqqGPDzefZ5TExF3LjXeyoVsZ6cXi08m8D7Wc+s6bVgJBEBfrPjS0SynU&#10;jEXRScvjxAfpMKg8WJ7wCivWAu8R3Ro2rapz1ntoA3ghY0Tv9T5IFwVfKSnSD6WiTMQ0FLmlckI5&#10;l/lkizmvV8BDp8WBBn8HC8u1w6JHqGueOFmDfgNltQAfvUoT4S3zSmkhiwZUc1r9p+a+40EWLdic&#10;GI5tih8HK75v7oDotqFfKHHc4oh2v3/t/jzvnn6Ss2nuTx9ijWn3ARPTcOUHnPPoj+jMsgcFNn9R&#10;EME4dnp77K4cEhH50Ww6m1UYEhgbL4jPXp8HiOmr9JZko6GA4ytd5ZvbmPapY0qu5vyNNqaM0Lh/&#10;HIiZPSxz33PMVhqWw0HQ0rdb1NPj5BvqcDUpMd8cNjYvyWjAaCxHYx1Ar7qyRbleDJfrhCQKt1xh&#10;D3sojCMr6g7rlXfi73vJev0JF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VXzGvq8BAABM&#10;AwAADgAAAAAAAAABACAAAAAeAQAAZHJzL2Uyb0RvYy54bWxQSwUGAAAAAAYABgBZAQAAP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55</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52lbABAABMAwAADgAAAGRycy9lMm9Eb2MueG1srVNLbtswEN0HyB0I&#10;7mMqDlC4guUgQZAgQNEWSHoAmiItAvxhSFvyBdobdNVN9z2Xz9EhbdltsguyoYYzwzfvzYzm14M1&#10;ZCMhau8aejmpKJFO+Fa7VUO/Pd9fzCiJibuWG+9kQ7cy0uvF+dm8D7Wc+s6bVgJBEBfrPjS0SynU&#10;jEXRScvjxAfpMKg8WJ7wCivWAu8R3Ro2raoPrPfQBvBCxojeu32QLgq+UlKkL0pFmYhpKHJL5YRy&#10;LvPJFnNer4CHTosDDf4GFpZrh0WPUHc8cbIG/QrKagE+epUmwlvmldJCFg2o5rJ6oeap40EWLdic&#10;GI5tiu8HKz5vvgLRbUM/UuK4xRHtfv7Y/fqz+/2dXF3l/vQh1pj2FDAxDbd+wDmP/ojOLHtQYPMX&#10;BRGMY6e3x+7KIRGRH82ms1mFIYGx8YL47PQ8QEwP0luSjYYCjq90lW8+xbRPHVNyNefvtTFlhMb9&#10;50DM7GGZ+55jttKwHA6Clr7dop4eJ99Qh6tJiXl02Ni8JKMBo7EcjXUAverKFuV6MdysE5Io3HKF&#10;PeyhMI6sqDusV96Jf+8l6/QTL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zOdpWwAQAA&#10;TAMAAA4AAAAAAAAAAQAgAAAAHgEAAGRycy9lMm9Eb2MueG1sUEsFBgAAAAAGAAYAWQEAAEAFAAAA&#10;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55</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2874010</wp:posOffset>
              </wp:positionH>
              <wp:positionV relativeFrom="page">
                <wp:posOffset>9933940</wp:posOffset>
              </wp:positionV>
              <wp:extent cx="573405" cy="139700"/>
              <wp:effectExtent l="0" t="0" r="0" b="0"/>
              <wp:wrapNone/>
              <wp:docPr id="4" name="文本框 28"/>
              <wp:cNvGraphicFramePr/>
              <a:graphic xmlns:a="http://schemas.openxmlformats.org/drawingml/2006/main">
                <a:graphicData uri="http://schemas.microsoft.com/office/word/2010/wordprocessingShape">
                  <wps:wsp>
                    <wps:cNvSpPr txBox="1"/>
                    <wps:spPr>
                      <a:xfrm>
                        <a:off x="0" y="0"/>
                        <a:ext cx="573405" cy="139700"/>
                      </a:xfrm>
                      <a:prstGeom prst="rect">
                        <a:avLst/>
                      </a:prstGeom>
                      <a:noFill/>
                      <a:ln>
                        <a:noFill/>
                      </a:ln>
                    </wps:spPr>
                    <wps:txbx>
                      <w:txbxContent>
                        <w:p/>
                      </w:txbxContent>
                    </wps:txbx>
                    <wps:bodyPr lIns="0" tIns="0" rIns="0" bIns="0" upright="1"/>
                  </wps:wsp>
                </a:graphicData>
              </a:graphic>
            </wp:anchor>
          </w:drawing>
        </mc:Choice>
        <mc:Fallback>
          <w:pict>
            <v:shape id="文本框 28" o:spid="_x0000_s1026" o:spt="202" type="#_x0000_t202" style="position:absolute;left:0pt;margin-left:226.3pt;margin-top:782.2pt;height:11pt;width:45.15pt;mso-position-horizontal-relative:margin;mso-position-vertical-relative:page;z-index:251661312;mso-width-relative:page;mso-height-relative:page;" filled="f" stroked="f" coordsize="21600,21600" o:gfxdata="UEsDBAoAAAAAAIdO4kAAAAAAAAAAAAAAAAAEAAAAZHJzL1BLAwQUAAAACACHTuJAABs9LNsAAAAN&#10;AQAADwAAAGRycy9kb3ducmV2LnhtbE2Py07DMBBF90j9B2sqsaN2I8dqQ5wKIVghIdKwYOnEbmI1&#10;HofYffD3uCtYztyjO2fK3dWN5GzmYD1KWK8YEIOd1xZ7CZ/N68MGSIgKtRo9Ggk/JsCuWtyVqtD+&#10;grU572NPUgmGQkkYYpwKSkM3GKfCyk8GU3bws1MxjXNP9awuqdyNNGNMUKcspguDmszzYLrj/uQk&#10;PH1h/WK/39uP+lDbptkyfBNHKe+Xa/YIJJpr/IPhpp/UoUpOrT+hDmSUwPNMJDQFueAcSEJynm2B&#10;tLfVRnCgVUn/f1H9AlBLAwQUAAAACACHTuJA8f6IIqABAAAkAwAADgAAAGRycy9lMm9Eb2MueG1s&#10;rVJLbtswEN0X6B0I7mvKzreC5QBFkCBAkRRwewCaIi0C/GHIWPIFmhtk1U33OZfPkSFjOW2zC7oZ&#10;DWdGj++94fxisIZsJETtXUOnk4oS6YRvtVs39Mf3q0/nlMTEXcuNd7KhWxnpxeLjh3kfajnznTet&#10;BIIgLtZ9aGiXUqgZi6KTlseJD9JhU3mwPOER1qwF3iO6NWxWVaes99AG8ELGiNXLlyZdFHylpEh3&#10;SkWZiGkockslQomrHNlizus18NBpsafB38HCcu3w0gPUJU+c3IN+A2W1AB+9ShPhLfNKaSGLBlQz&#10;rf5Rs+x4kEULmhPDwab4/2DF7eYbEN029JgSxy2uaPf4sPv1tPv9k8zOsz99iDWOLQMOpuGLH3DP&#10;Yz1iMcseFNj8RUEE++j09uCuHBIRWDw5OzquTigR2JoefT6rivvs9ecAMV1Lb0lOGgq4vOIp33yN&#10;CYng6DiS73L+ShtTFmjcXwUczBWWmb8wzFkaVsNezsq3W1RjbhxamZ/FmMCYrMbkPoBed0inaC6Q&#10;uIpCZv9s8q7/PJeLXx/34h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AGz0s2wAAAA0BAAAPAAAA&#10;AAAAAAEAIAAAACIAAABkcnMvZG93bnJldi54bWxQSwECFAAUAAAACACHTuJA8f6IIqABAAAkAwAA&#10;DgAAAAAAAAABACAAAAAqAQAAZHJzL2Uyb0RvYy54bWxQSwUGAAAAAAYABgBZAQAAPA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10070"/>
      </w:tabs>
      <w:wordWrap w:val="0"/>
      <w:ind w:firstLine="180" w:firstLineChars="100"/>
      <w:rPr>
        <w:rFonts w:cs="Helvetica"/>
        <w:color w:val="666666"/>
        <w:szCs w:val="21"/>
        <w:shd w:val="clear" w:color="auto" w:fill="FFFFFF"/>
      </w:rPr>
    </w:pPr>
    <w:r>
      <w:rPr>
        <w:rFonts w:hint="eastAsia" w:cs="Helvetica"/>
        <w:color w:val="666666"/>
        <w:szCs w:val="21"/>
        <w:u w:val="single"/>
        <w:shd w:val="clear" w:color="auto" w:fill="FFFFFF"/>
      </w:rPr>
      <w:t xml:space="preserve">广西盾邦工程项目管理有限公司                 </w:t>
    </w:r>
    <w:r>
      <w:rPr>
        <w:rFonts w:hint="eastAsia" w:cs="Helvetica"/>
        <w:color w:val="666666"/>
        <w:szCs w:val="21"/>
        <w:u w:val="single"/>
        <w:shd w:val="clear" w:color="auto" w:fill="FFFFFF"/>
        <w:lang w:eastAsia="zh-CN"/>
      </w:rPr>
      <w:t>巴马瑶族自治县财政投资评审中心造价咨询服务机构采购</w:t>
    </w:r>
    <w:r>
      <w:rPr>
        <w:rFonts w:hint="eastAsia" w:cs="Helvetica"/>
        <w:color w:val="666666"/>
        <w:szCs w:val="21"/>
        <w:u w:val="single"/>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10070"/>
      </w:tabs>
      <w:wordWrap w:val="0"/>
      <w:ind w:firstLine="180" w:firstLineChars="100"/>
      <w:rPr>
        <w:rFonts w:cs="Helvetica"/>
        <w:color w:val="666666"/>
        <w:szCs w:val="21"/>
        <w:shd w:val="clear" w:color="auto" w:fill="FFFFFF"/>
      </w:rPr>
    </w:pPr>
    <w:r>
      <w:rPr>
        <w:rFonts w:hint="eastAsia" w:cs="Helvetica"/>
        <w:color w:val="666666"/>
        <w:szCs w:val="21"/>
        <w:u w:val="single"/>
        <w:shd w:val="clear" w:color="auto" w:fill="FFFFFF"/>
      </w:rPr>
      <w:t xml:space="preserve">广西盾邦工程项目管理有限公司                 </w:t>
    </w:r>
    <w:r>
      <w:rPr>
        <w:rFonts w:hint="eastAsia" w:cs="Helvetica"/>
        <w:color w:val="666666"/>
        <w:szCs w:val="21"/>
        <w:u w:val="single"/>
        <w:shd w:val="clear" w:color="auto" w:fill="FFFFFF"/>
        <w:lang w:eastAsia="zh-CN"/>
      </w:rPr>
      <w:t>巴马瑶族自治县财政投资评审中心造价咨询服务机构采购</w:t>
    </w:r>
    <w:r>
      <w:rPr>
        <w:rFonts w:hint="eastAsia" w:cs="Helvetica"/>
        <w:color w:val="666666"/>
        <w:szCs w:val="21"/>
        <w:u w:val="single"/>
        <w:shd w:val="clear" w:color="auto" w:fill="FFFFF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10070"/>
      </w:tabs>
      <w:wordWrap w:val="0"/>
      <w:ind w:firstLine="180" w:firstLineChars="100"/>
      <w:rPr>
        <w:rFonts w:cs="Helvetica"/>
        <w:color w:val="666666"/>
        <w:szCs w:val="21"/>
        <w:shd w:val="clear" w:color="auto" w:fill="FFFFFF"/>
      </w:rPr>
    </w:pPr>
    <w:r>
      <w:rPr>
        <w:rFonts w:hint="eastAsia" w:cs="Helvetica"/>
        <w:color w:val="666666"/>
        <w:szCs w:val="21"/>
        <w:u w:val="single"/>
        <w:shd w:val="clear" w:color="auto" w:fill="FFFFFF"/>
      </w:rPr>
      <w:t xml:space="preserve">广西盾邦工程项目管理有限公司            </w:t>
    </w:r>
    <w:r>
      <w:rPr>
        <w:rFonts w:hint="eastAsia" w:cs="Helvetica"/>
        <w:color w:val="666666"/>
        <w:szCs w:val="21"/>
        <w:u w:val="single"/>
        <w:shd w:val="clear" w:color="auto" w:fill="FFFFFF"/>
        <w:lang w:eastAsia="zh-CN"/>
      </w:rPr>
      <w:t>巴马瑶族自治县财政投资评审中心造价咨询服务机构采购</w:t>
    </w:r>
    <w:r>
      <w:rPr>
        <w:rFonts w:hint="eastAsia" w:cs="Helvetica"/>
        <w:color w:val="666666"/>
        <w:szCs w:val="21"/>
        <w:u w:val="single"/>
        <w:shd w:val="clear" w:color="auto" w:fill="FFFF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770255</wp:posOffset>
              </wp:positionH>
              <wp:positionV relativeFrom="page">
                <wp:posOffset>579755</wp:posOffset>
              </wp:positionV>
              <wp:extent cx="6163945" cy="15748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6163945" cy="157480"/>
                      </a:xfrm>
                      <a:prstGeom prst="rect">
                        <a:avLst/>
                      </a:prstGeom>
                      <a:noFill/>
                      <a:ln>
                        <a:noFill/>
                      </a:ln>
                    </wps:spPr>
                    <wps:txbx>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巴马瑶族自治县财政投资评审中心造价咨询服务机构采购</w:t>
                          </w:r>
                          <w:r>
                            <w:rPr>
                              <w:rFonts w:hint="eastAsia" w:cs="Helvetica"/>
                              <w:color w:val="666666"/>
                              <w:sz w:val="18"/>
                              <w:szCs w:val="18"/>
                              <w:u w:val="single"/>
                              <w:shd w:val="clear" w:color="auto" w:fill="FFFFFF"/>
                            </w:rPr>
                            <w:t xml:space="preserve">         </w:t>
                          </w:r>
                        </w:p>
                        <w:p>
                          <w:pPr>
                            <w:rPr>
                              <w:u w:val="single"/>
                            </w:rPr>
                          </w:pPr>
                        </w:p>
                      </w:txbxContent>
                    </wps:txbx>
                    <wps:bodyPr lIns="0" tIns="0" rIns="0" bIns="0" upright="1"/>
                  </wps:wsp>
                </a:graphicData>
              </a:graphic>
            </wp:anchor>
          </w:drawing>
        </mc:Choice>
        <mc:Fallback>
          <w:pict>
            <v:shape id="文本框 25" o:spid="_x0000_s1026" o:spt="202" type="#_x0000_t202" style="position:absolute;left:0pt;margin-left:60.65pt;margin-top:45.65pt;height:12.4pt;width:485.35pt;mso-position-horizontal-relative:page;mso-position-vertical-relative:page;z-index:-251656192;mso-width-relative:page;mso-height-relative:page;" filled="f" stroked="f" coordsize="21600,21600" o:gfxdata="UEsDBAoAAAAAAIdO4kAAAAAAAAAAAAAAAAAEAAAAZHJzL1BLAwQUAAAACACHTuJAgibBFtcAAAAL&#10;AQAADwAAAGRycy9kb3ducmV2LnhtbE2PT0vEMBDF74LfIYzgzU1SodjadBHRkyB268Fj2mTbsM2k&#10;Ntk/fnunJz3NPObx5veq7cVP7GSX6AIqkBsBzGIfjMNBwWf7evcALCaNRk8BrYIfG2FbX19VujTh&#10;jI097dLAKARjqRWMKc0l57EfrddxE2aLdNuHxetEchm4WfSZwv3EMyFy7rVD+jDq2T6Ptj/sjl7B&#10;0xc2L+77vfto9o1r20LgW35Q6vZGikdgyV7SnxlWfEKHmpi6cEQT2UQ6k/dkVVCsczWIIqN2HW0y&#10;l8Driv/vUP8CUEsDBBQAAAAIAIdO4kDK6rTTogEAACUDAAAOAAAAZHJzL2Uyb0RvYy54bWytUktO&#10;IzEQ3Y/EHSzviZMMyUArHaQRAiEhGAk4gOO205Zsl2WbdOcCzA1mxYb9nCvnoGzSYT670Wyqy1XV&#10;z++98uK8t4ZsZIgaXE0nozEl0glotFvX9PHh8viUkpi4a7gBJ2u6lZGeL48+LTpfySm0YBoZCIK4&#10;WHW+pm1KvmIsilZaHkfgpcOmgmB5wmNYsybwDtGtYdPxeM46CI0PIGSMWL14b9JlwVdKinSnVJSJ&#10;mJoit1RiKHGVI1sueLUO3Lda7Gnwf2BhuXZ46QHqgidOnoL+C8pqESCCSiMBloFSWsiiAdVMxn+o&#10;uW+5l0ULmhP9wab4/2DF7eZbILqp6ZQSxy2uaPfj++7l5+71mUxn2Z/OxwrH7j0Opv4r9LjnoR6x&#10;mGX3Ktj8RUEE++j09uCu7BMRWJxP5p/PTmaUCOxNZl9OTov97ONvH2K6kmBJTmoacHvFVL65iQmZ&#10;4Ogwki9zcKmNKRs07rcCDuYKy9TfKeYs9at+r2cFzRblmGuHXuZ3MSRhSFZD8uSDXrdIp4gukLiL&#10;Qmb/bvKyfz2Xiz9e9/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ibBFtcAAAALAQAADwAAAAAA&#10;AAABACAAAAAiAAAAZHJzL2Rvd25yZXYueG1sUEsBAhQAFAAAAAgAh07iQMrqtNOiAQAAJQMAAA4A&#10;AAAAAAAAAQAgAAAAJgEAAGRycy9lMm9Eb2MueG1sUEsFBgAAAAAGAAYAWQEAADoFAAAAAA==&#10;">
              <v:fill on="f" focussize="0,0"/>
              <v:stroke on="f"/>
              <v:imagedata o:title=""/>
              <o:lock v:ext="edit" aspectratio="f"/>
              <v:textbox inset="0mm,0mm,0mm,0mm">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巴马瑶族自治县财政投资评审中心造价咨询服务机构采购</w:t>
                    </w:r>
                    <w:r>
                      <w:rPr>
                        <w:rFonts w:hint="eastAsia" w:cs="Helvetica"/>
                        <w:color w:val="666666"/>
                        <w:sz w:val="18"/>
                        <w:szCs w:val="18"/>
                        <w:u w:val="single"/>
                        <w:shd w:val="clear" w:color="auto" w:fill="FFFFFF"/>
                      </w:rPr>
                      <w:t xml:space="preserve">         </w:t>
                    </w:r>
                  </w:p>
                  <w:p>
                    <w:pPr>
                      <w:rPr>
                        <w:u w:val="single"/>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770255</wp:posOffset>
              </wp:positionH>
              <wp:positionV relativeFrom="page">
                <wp:posOffset>579755</wp:posOffset>
              </wp:positionV>
              <wp:extent cx="6163945" cy="15748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6163945" cy="157480"/>
                      </a:xfrm>
                      <a:prstGeom prst="rect">
                        <a:avLst/>
                      </a:prstGeom>
                      <a:noFill/>
                      <a:ln>
                        <a:noFill/>
                      </a:ln>
                    </wps:spPr>
                    <wps:txbx>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巴马瑶族自治县财政投资评审中心造价咨询服务机构采购</w:t>
                          </w:r>
                          <w:r>
                            <w:rPr>
                              <w:rFonts w:hint="eastAsia" w:cs="Helvetica"/>
                              <w:color w:val="666666"/>
                              <w:sz w:val="18"/>
                              <w:szCs w:val="18"/>
                              <w:u w:val="single"/>
                              <w:shd w:val="clear" w:color="auto" w:fill="FFFFFF"/>
                            </w:rPr>
                            <w:t xml:space="preserve">         </w:t>
                          </w:r>
                        </w:p>
                        <w:p>
                          <w:pPr>
                            <w:rPr>
                              <w:u w:val="single"/>
                            </w:rPr>
                          </w:pPr>
                        </w:p>
                      </w:txbxContent>
                    </wps:txbx>
                    <wps:bodyPr lIns="0" tIns="0" rIns="0" bIns="0" upright="1"/>
                  </wps:wsp>
                </a:graphicData>
              </a:graphic>
            </wp:anchor>
          </w:drawing>
        </mc:Choice>
        <mc:Fallback>
          <w:pict>
            <v:shape id="文本框 29" o:spid="_x0000_s1026" o:spt="202" type="#_x0000_t202" style="position:absolute;left:0pt;margin-left:60.65pt;margin-top:45.65pt;height:12.4pt;width:485.35pt;mso-position-horizontal-relative:page;mso-position-vertical-relative:page;z-index:-251656192;mso-width-relative:page;mso-height-relative:page;" filled="f" stroked="f" coordsize="21600,21600" o:gfxdata="UEsDBAoAAAAAAIdO4kAAAAAAAAAAAAAAAAAEAAAAZHJzL1BLAwQUAAAACACHTuJAgibBFtcAAAAL&#10;AQAADwAAAGRycy9kb3ducmV2LnhtbE2PT0vEMBDF74LfIYzgzU1SodjadBHRkyB268Fj2mTbsM2k&#10;Ntk/fnunJz3NPObx5veq7cVP7GSX6AIqkBsBzGIfjMNBwWf7evcALCaNRk8BrYIfG2FbX19VujTh&#10;jI097dLAKARjqRWMKc0l57EfrddxE2aLdNuHxetEchm4WfSZwv3EMyFy7rVD+jDq2T6Ptj/sjl7B&#10;0xc2L+77vfto9o1r20LgW35Q6vZGikdgyV7SnxlWfEKHmpi6cEQT2UQ6k/dkVVCsczWIIqN2HW0y&#10;l8Driv/vUP8CUEsDBBQAAAAIAIdO4kAuNOLpogEAACUDAAAOAAAAZHJzL2Uyb0RvYy54bWytUs1O&#10;GzEQviPxDpbvxEmAAKtskCpEVamCStAHcLx21pL/NDbZzQu0b9ATF+59rjwHY5MNBW6ol9nxzOzn&#10;7/vG88veGrKWELV3NZ2MxpRIJ3yj3aqmP++vj84piYm7hhvvZE03MtLLxeHBvAuVnPrWm0YCQRAX&#10;qy7UtE0pVIxF0UrL48gH6bCpPFie8Agr1gDvEN0aNh2PZ6zz0ATwQsaI1auXJl0UfKWkSLdKRZmI&#10;qSlySyVCicsc2WLOqxXw0Gqxo8E/wcJy7fDSPdQVT5w8gP4AZbUAH71KI+Et80ppIYsGVDMZv1Nz&#10;1/IgixY0J4a9TfH/wYqb9Q8guqnpMSWOW1zR9s/v7ePf7dMvMr3I/nQhVjh2F3Aw9V98j3se6hGL&#10;WXavwOYvCiLYR6c3e3dln4jA4mwyO744OaVEYG9yenZyXuxnr38HiOmr9JbkpKaA2yum8vX3mJAJ&#10;jg4j+TLnr7UxZYPGvSngYK6wTP2FYs5Sv+x3epa+2aAc882hl/ldDAkMyXJIHgLoVYt0iugCibso&#10;ZHbvJi/733O5+PV1L5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ibBFtcAAAALAQAADwAAAAAA&#10;AAABACAAAAAiAAAAZHJzL2Rvd25yZXYueG1sUEsBAhQAFAAAAAgAh07iQC404umiAQAAJQMAAA4A&#10;AAAAAAAAAQAgAAAAJgEAAGRycy9lMm9Eb2MueG1sUEsFBgAAAAAGAAYAWQEAADoFAAAAAA==&#10;">
              <v:fill on="f" focussize="0,0"/>
              <v:stroke on="f"/>
              <v:imagedata o:title=""/>
              <o:lock v:ext="edit" aspectratio="f"/>
              <v:textbox inset="0mm,0mm,0mm,0mm">
                <w:txbxContent>
                  <w:p>
                    <w:pPr>
                      <w:ind w:firstLine="540" w:firstLineChars="300"/>
                      <w:rPr>
                        <w:sz w:val="18"/>
                        <w:szCs w:val="18"/>
                        <w:u w:val="single"/>
                      </w:rPr>
                    </w:pPr>
                    <w:r>
                      <w:rPr>
                        <w:rFonts w:hint="eastAsia" w:cs="Helvetica"/>
                        <w:color w:val="666666"/>
                        <w:sz w:val="18"/>
                        <w:szCs w:val="18"/>
                        <w:u w:val="single"/>
                        <w:shd w:val="clear" w:color="auto" w:fill="FFFFFF"/>
                      </w:rPr>
                      <w:t xml:space="preserve">广西盾邦工程项目管理有限公司             </w:t>
                    </w:r>
                    <w:r>
                      <w:rPr>
                        <w:rFonts w:hint="eastAsia" w:cs="Helvetica"/>
                        <w:color w:val="666666"/>
                        <w:sz w:val="18"/>
                        <w:szCs w:val="18"/>
                        <w:u w:val="single"/>
                        <w:shd w:val="clear" w:color="auto" w:fill="FFFFFF"/>
                        <w:lang w:eastAsia="zh-CN"/>
                      </w:rPr>
                      <w:t>巴马瑶族自治县财政投资评审中心造价咨询服务机构采购</w:t>
                    </w:r>
                    <w:r>
                      <w:rPr>
                        <w:rFonts w:hint="eastAsia" w:cs="Helvetica"/>
                        <w:color w:val="666666"/>
                        <w:sz w:val="18"/>
                        <w:szCs w:val="18"/>
                        <w:u w:val="single"/>
                        <w:shd w:val="clear" w:color="auto" w:fill="FFFFFF"/>
                      </w:rPr>
                      <w:t xml:space="preserve">         </w:t>
                    </w:r>
                  </w:p>
                  <w:p>
                    <w:pPr>
                      <w:rPr>
                        <w:u w:val="single"/>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26EB4"/>
    <w:multiLevelType w:val="multilevel"/>
    <w:tmpl w:val="96A26EB4"/>
    <w:lvl w:ilvl="0" w:tentative="0">
      <w:start w:val="1"/>
      <w:numFmt w:val="decimal"/>
      <w:lvlText w:val="（%1）"/>
      <w:lvlJc w:val="left"/>
      <w:pPr>
        <w:ind w:left="1160" w:hanging="528"/>
        <w:jc w:val="left"/>
      </w:pPr>
      <w:rPr>
        <w:rFonts w:hint="default" w:ascii="宋体" w:hAnsi="宋体" w:eastAsia="宋体" w:cs="宋体"/>
        <w:b/>
        <w:bCs/>
        <w:spacing w:val="1"/>
        <w:w w:val="98"/>
        <w:sz w:val="19"/>
        <w:szCs w:val="19"/>
        <w:lang w:val="zh-CN" w:eastAsia="zh-CN" w:bidi="zh-CN"/>
      </w:rPr>
    </w:lvl>
    <w:lvl w:ilvl="1" w:tentative="0">
      <w:start w:val="0"/>
      <w:numFmt w:val="bullet"/>
      <w:lvlText w:val="•"/>
      <w:lvlJc w:val="left"/>
      <w:pPr>
        <w:ind w:left="2074" w:hanging="528"/>
      </w:pPr>
      <w:rPr>
        <w:rFonts w:hint="default"/>
        <w:lang w:val="zh-CN" w:eastAsia="zh-CN" w:bidi="zh-CN"/>
      </w:rPr>
    </w:lvl>
    <w:lvl w:ilvl="2" w:tentative="0">
      <w:start w:val="0"/>
      <w:numFmt w:val="bullet"/>
      <w:lvlText w:val="•"/>
      <w:lvlJc w:val="left"/>
      <w:pPr>
        <w:ind w:left="2989" w:hanging="528"/>
      </w:pPr>
      <w:rPr>
        <w:rFonts w:hint="default"/>
        <w:lang w:val="zh-CN" w:eastAsia="zh-CN" w:bidi="zh-CN"/>
      </w:rPr>
    </w:lvl>
    <w:lvl w:ilvl="3" w:tentative="0">
      <w:start w:val="0"/>
      <w:numFmt w:val="bullet"/>
      <w:lvlText w:val="•"/>
      <w:lvlJc w:val="left"/>
      <w:pPr>
        <w:ind w:left="3903" w:hanging="528"/>
      </w:pPr>
      <w:rPr>
        <w:rFonts w:hint="default"/>
        <w:lang w:val="zh-CN" w:eastAsia="zh-CN" w:bidi="zh-CN"/>
      </w:rPr>
    </w:lvl>
    <w:lvl w:ilvl="4" w:tentative="0">
      <w:start w:val="0"/>
      <w:numFmt w:val="bullet"/>
      <w:lvlText w:val="•"/>
      <w:lvlJc w:val="left"/>
      <w:pPr>
        <w:ind w:left="4818" w:hanging="528"/>
      </w:pPr>
      <w:rPr>
        <w:rFonts w:hint="default"/>
        <w:lang w:val="zh-CN" w:eastAsia="zh-CN" w:bidi="zh-CN"/>
      </w:rPr>
    </w:lvl>
    <w:lvl w:ilvl="5" w:tentative="0">
      <w:start w:val="0"/>
      <w:numFmt w:val="bullet"/>
      <w:lvlText w:val="•"/>
      <w:lvlJc w:val="left"/>
      <w:pPr>
        <w:ind w:left="5733" w:hanging="528"/>
      </w:pPr>
      <w:rPr>
        <w:rFonts w:hint="default"/>
        <w:lang w:val="zh-CN" w:eastAsia="zh-CN" w:bidi="zh-CN"/>
      </w:rPr>
    </w:lvl>
    <w:lvl w:ilvl="6" w:tentative="0">
      <w:start w:val="0"/>
      <w:numFmt w:val="bullet"/>
      <w:lvlText w:val="•"/>
      <w:lvlJc w:val="left"/>
      <w:pPr>
        <w:ind w:left="6647" w:hanging="528"/>
      </w:pPr>
      <w:rPr>
        <w:rFonts w:hint="default"/>
        <w:lang w:val="zh-CN" w:eastAsia="zh-CN" w:bidi="zh-CN"/>
      </w:rPr>
    </w:lvl>
    <w:lvl w:ilvl="7" w:tentative="0">
      <w:start w:val="0"/>
      <w:numFmt w:val="bullet"/>
      <w:lvlText w:val="•"/>
      <w:lvlJc w:val="left"/>
      <w:pPr>
        <w:ind w:left="7562" w:hanging="528"/>
      </w:pPr>
      <w:rPr>
        <w:rFonts w:hint="default"/>
        <w:lang w:val="zh-CN" w:eastAsia="zh-CN" w:bidi="zh-CN"/>
      </w:rPr>
    </w:lvl>
    <w:lvl w:ilvl="8" w:tentative="0">
      <w:start w:val="0"/>
      <w:numFmt w:val="bullet"/>
      <w:lvlText w:val="•"/>
      <w:lvlJc w:val="left"/>
      <w:pPr>
        <w:ind w:left="8476" w:hanging="528"/>
      </w:pPr>
      <w:rPr>
        <w:rFonts w:hint="default"/>
        <w:lang w:val="zh-CN" w:eastAsia="zh-CN" w:bidi="zh-CN"/>
      </w:rPr>
    </w:lvl>
  </w:abstractNum>
  <w:abstractNum w:abstractNumId="1">
    <w:nsid w:val="97523C9B"/>
    <w:multiLevelType w:val="multilevel"/>
    <w:tmpl w:val="97523C9B"/>
    <w:lvl w:ilvl="0" w:tentative="0">
      <w:start w:val="1"/>
      <w:numFmt w:val="decimal"/>
      <w:lvlText w:val="（%1）"/>
      <w:lvlJc w:val="left"/>
      <w:pPr>
        <w:ind w:left="1567" w:hanging="527"/>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7"/>
      </w:pPr>
      <w:rPr>
        <w:rFonts w:hint="default"/>
        <w:lang w:val="en-US" w:eastAsia="zh-CN" w:bidi="ar-SA"/>
      </w:rPr>
    </w:lvl>
    <w:lvl w:ilvl="2" w:tentative="0">
      <w:start w:val="0"/>
      <w:numFmt w:val="bullet"/>
      <w:lvlText w:val="•"/>
      <w:lvlJc w:val="left"/>
      <w:pPr>
        <w:ind w:left="3297" w:hanging="527"/>
      </w:pPr>
      <w:rPr>
        <w:rFonts w:hint="default"/>
        <w:lang w:val="en-US" w:eastAsia="zh-CN" w:bidi="ar-SA"/>
      </w:rPr>
    </w:lvl>
    <w:lvl w:ilvl="3" w:tentative="0">
      <w:start w:val="0"/>
      <w:numFmt w:val="bullet"/>
      <w:lvlText w:val="•"/>
      <w:lvlJc w:val="left"/>
      <w:pPr>
        <w:ind w:left="4165" w:hanging="527"/>
      </w:pPr>
      <w:rPr>
        <w:rFonts w:hint="default"/>
        <w:lang w:val="en-US" w:eastAsia="zh-CN" w:bidi="ar-SA"/>
      </w:rPr>
    </w:lvl>
    <w:lvl w:ilvl="4" w:tentative="0">
      <w:start w:val="0"/>
      <w:numFmt w:val="bullet"/>
      <w:lvlText w:val="•"/>
      <w:lvlJc w:val="left"/>
      <w:pPr>
        <w:ind w:left="5034" w:hanging="527"/>
      </w:pPr>
      <w:rPr>
        <w:rFonts w:hint="default"/>
        <w:lang w:val="en-US" w:eastAsia="zh-CN" w:bidi="ar-SA"/>
      </w:rPr>
    </w:lvl>
    <w:lvl w:ilvl="5" w:tentative="0">
      <w:start w:val="0"/>
      <w:numFmt w:val="bullet"/>
      <w:lvlText w:val="•"/>
      <w:lvlJc w:val="left"/>
      <w:pPr>
        <w:ind w:left="5903" w:hanging="527"/>
      </w:pPr>
      <w:rPr>
        <w:rFonts w:hint="default"/>
        <w:lang w:val="en-US" w:eastAsia="zh-CN" w:bidi="ar-SA"/>
      </w:rPr>
    </w:lvl>
    <w:lvl w:ilvl="6" w:tentative="0">
      <w:start w:val="0"/>
      <w:numFmt w:val="bullet"/>
      <w:lvlText w:val="•"/>
      <w:lvlJc w:val="left"/>
      <w:pPr>
        <w:ind w:left="6771" w:hanging="527"/>
      </w:pPr>
      <w:rPr>
        <w:rFonts w:hint="default"/>
        <w:lang w:val="en-US" w:eastAsia="zh-CN" w:bidi="ar-SA"/>
      </w:rPr>
    </w:lvl>
    <w:lvl w:ilvl="7" w:tentative="0">
      <w:start w:val="0"/>
      <w:numFmt w:val="bullet"/>
      <w:lvlText w:val="•"/>
      <w:lvlJc w:val="left"/>
      <w:pPr>
        <w:ind w:left="7640" w:hanging="527"/>
      </w:pPr>
      <w:rPr>
        <w:rFonts w:hint="default"/>
        <w:lang w:val="en-US" w:eastAsia="zh-CN" w:bidi="ar-SA"/>
      </w:rPr>
    </w:lvl>
    <w:lvl w:ilvl="8" w:tentative="0">
      <w:start w:val="0"/>
      <w:numFmt w:val="bullet"/>
      <w:lvlText w:val="•"/>
      <w:lvlJc w:val="left"/>
      <w:pPr>
        <w:ind w:left="8509" w:hanging="527"/>
      </w:pPr>
      <w:rPr>
        <w:rFonts w:hint="default"/>
        <w:lang w:val="en-US" w:eastAsia="zh-CN" w:bidi="ar-SA"/>
      </w:rPr>
    </w:lvl>
  </w:abstractNum>
  <w:abstractNum w:abstractNumId="2">
    <w:nsid w:val="99D419CA"/>
    <w:multiLevelType w:val="multilevel"/>
    <w:tmpl w:val="99D419CA"/>
    <w:lvl w:ilvl="0" w:tentative="0">
      <w:start w:val="24"/>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3217" w:hanging="424"/>
      </w:pPr>
      <w:rPr>
        <w:rFonts w:hint="default"/>
        <w:lang w:val="en-US" w:eastAsia="zh-CN" w:bidi="ar-SA"/>
      </w:rPr>
    </w:lvl>
    <w:lvl w:ilvl="3" w:tentative="0">
      <w:start w:val="0"/>
      <w:numFmt w:val="bullet"/>
      <w:lvlText w:val="•"/>
      <w:lvlJc w:val="left"/>
      <w:pPr>
        <w:ind w:left="4095" w:hanging="424"/>
      </w:pPr>
      <w:rPr>
        <w:rFonts w:hint="default"/>
        <w:lang w:val="en-US" w:eastAsia="zh-CN" w:bidi="ar-SA"/>
      </w:rPr>
    </w:lvl>
    <w:lvl w:ilvl="4" w:tentative="0">
      <w:start w:val="0"/>
      <w:numFmt w:val="bullet"/>
      <w:lvlText w:val="•"/>
      <w:lvlJc w:val="left"/>
      <w:pPr>
        <w:ind w:left="4974" w:hanging="424"/>
      </w:pPr>
      <w:rPr>
        <w:rFonts w:hint="default"/>
        <w:lang w:val="en-US" w:eastAsia="zh-CN" w:bidi="ar-SA"/>
      </w:rPr>
    </w:lvl>
    <w:lvl w:ilvl="5" w:tentative="0">
      <w:start w:val="0"/>
      <w:numFmt w:val="bullet"/>
      <w:lvlText w:val="•"/>
      <w:lvlJc w:val="left"/>
      <w:pPr>
        <w:ind w:left="5853" w:hanging="424"/>
      </w:pPr>
      <w:rPr>
        <w:rFonts w:hint="default"/>
        <w:lang w:val="en-US" w:eastAsia="zh-CN" w:bidi="ar-SA"/>
      </w:rPr>
    </w:lvl>
    <w:lvl w:ilvl="6" w:tentative="0">
      <w:start w:val="0"/>
      <w:numFmt w:val="bullet"/>
      <w:lvlText w:val="•"/>
      <w:lvlJc w:val="left"/>
      <w:pPr>
        <w:ind w:left="6731" w:hanging="424"/>
      </w:pPr>
      <w:rPr>
        <w:rFonts w:hint="default"/>
        <w:lang w:val="en-US" w:eastAsia="zh-CN" w:bidi="ar-SA"/>
      </w:rPr>
    </w:lvl>
    <w:lvl w:ilvl="7" w:tentative="0">
      <w:start w:val="0"/>
      <w:numFmt w:val="bullet"/>
      <w:lvlText w:val="•"/>
      <w:lvlJc w:val="left"/>
      <w:pPr>
        <w:ind w:left="7610" w:hanging="424"/>
      </w:pPr>
      <w:rPr>
        <w:rFonts w:hint="default"/>
        <w:lang w:val="en-US" w:eastAsia="zh-CN" w:bidi="ar-SA"/>
      </w:rPr>
    </w:lvl>
    <w:lvl w:ilvl="8" w:tentative="0">
      <w:start w:val="0"/>
      <w:numFmt w:val="bullet"/>
      <w:lvlText w:val="•"/>
      <w:lvlJc w:val="left"/>
      <w:pPr>
        <w:ind w:left="8489" w:hanging="424"/>
      </w:pPr>
      <w:rPr>
        <w:rFonts w:hint="default"/>
        <w:lang w:val="en-US" w:eastAsia="zh-CN" w:bidi="ar-SA"/>
      </w:rPr>
    </w:lvl>
  </w:abstractNum>
  <w:abstractNum w:abstractNumId="3">
    <w:nsid w:val="9F94E439"/>
    <w:multiLevelType w:val="multilevel"/>
    <w:tmpl w:val="9F94E439"/>
    <w:lvl w:ilvl="0" w:tentative="0">
      <w:start w:val="12"/>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4">
    <w:nsid w:val="A125D1D3"/>
    <w:multiLevelType w:val="multilevel"/>
    <w:tmpl w:val="A125D1D3"/>
    <w:lvl w:ilvl="0" w:tentative="0">
      <w:start w:val="15"/>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5">
    <w:nsid w:val="A68D076A"/>
    <w:multiLevelType w:val="multilevel"/>
    <w:tmpl w:val="A68D076A"/>
    <w:lvl w:ilvl="0" w:tentative="0">
      <w:start w:val="1"/>
      <w:numFmt w:val="decimal"/>
      <w:lvlText w:val="（%1）"/>
      <w:lvlJc w:val="left"/>
      <w:pPr>
        <w:ind w:left="618" w:hanging="533"/>
        <w:jc w:val="left"/>
      </w:pPr>
      <w:rPr>
        <w:rFonts w:hint="default" w:ascii="宋体" w:hAnsi="宋体" w:eastAsia="宋体" w:cs="宋体"/>
        <w:spacing w:val="0"/>
        <w:w w:val="100"/>
        <w:sz w:val="19"/>
        <w:szCs w:val="19"/>
        <w:lang w:val="en-US" w:eastAsia="zh-CN" w:bidi="ar-SA"/>
      </w:rPr>
    </w:lvl>
    <w:lvl w:ilvl="1" w:tentative="0">
      <w:start w:val="0"/>
      <w:numFmt w:val="bullet"/>
      <w:lvlText w:val="•"/>
      <w:lvlJc w:val="left"/>
      <w:pPr>
        <w:ind w:left="1582" w:hanging="533"/>
      </w:pPr>
      <w:rPr>
        <w:rFonts w:hint="default"/>
        <w:lang w:val="en-US" w:eastAsia="zh-CN" w:bidi="ar-SA"/>
      </w:rPr>
    </w:lvl>
    <w:lvl w:ilvl="2" w:tentative="0">
      <w:start w:val="0"/>
      <w:numFmt w:val="bullet"/>
      <w:lvlText w:val="•"/>
      <w:lvlJc w:val="left"/>
      <w:pPr>
        <w:ind w:left="2545" w:hanging="533"/>
      </w:pPr>
      <w:rPr>
        <w:rFonts w:hint="default"/>
        <w:lang w:val="en-US" w:eastAsia="zh-CN" w:bidi="ar-SA"/>
      </w:rPr>
    </w:lvl>
    <w:lvl w:ilvl="3" w:tentative="0">
      <w:start w:val="0"/>
      <w:numFmt w:val="bullet"/>
      <w:lvlText w:val="•"/>
      <w:lvlJc w:val="left"/>
      <w:pPr>
        <w:ind w:left="3507" w:hanging="533"/>
      </w:pPr>
      <w:rPr>
        <w:rFonts w:hint="default"/>
        <w:lang w:val="en-US" w:eastAsia="zh-CN" w:bidi="ar-SA"/>
      </w:rPr>
    </w:lvl>
    <w:lvl w:ilvl="4" w:tentative="0">
      <w:start w:val="0"/>
      <w:numFmt w:val="bullet"/>
      <w:lvlText w:val="•"/>
      <w:lvlJc w:val="left"/>
      <w:pPr>
        <w:ind w:left="4470" w:hanging="533"/>
      </w:pPr>
      <w:rPr>
        <w:rFonts w:hint="default"/>
        <w:lang w:val="en-US" w:eastAsia="zh-CN" w:bidi="ar-SA"/>
      </w:rPr>
    </w:lvl>
    <w:lvl w:ilvl="5" w:tentative="0">
      <w:start w:val="0"/>
      <w:numFmt w:val="bullet"/>
      <w:lvlText w:val="•"/>
      <w:lvlJc w:val="left"/>
      <w:pPr>
        <w:ind w:left="5433" w:hanging="533"/>
      </w:pPr>
      <w:rPr>
        <w:rFonts w:hint="default"/>
        <w:lang w:val="en-US" w:eastAsia="zh-CN" w:bidi="ar-SA"/>
      </w:rPr>
    </w:lvl>
    <w:lvl w:ilvl="6" w:tentative="0">
      <w:start w:val="0"/>
      <w:numFmt w:val="bullet"/>
      <w:lvlText w:val="•"/>
      <w:lvlJc w:val="left"/>
      <w:pPr>
        <w:ind w:left="6395" w:hanging="533"/>
      </w:pPr>
      <w:rPr>
        <w:rFonts w:hint="default"/>
        <w:lang w:val="en-US" w:eastAsia="zh-CN" w:bidi="ar-SA"/>
      </w:rPr>
    </w:lvl>
    <w:lvl w:ilvl="7" w:tentative="0">
      <w:start w:val="0"/>
      <w:numFmt w:val="bullet"/>
      <w:lvlText w:val="•"/>
      <w:lvlJc w:val="left"/>
      <w:pPr>
        <w:ind w:left="7358" w:hanging="533"/>
      </w:pPr>
      <w:rPr>
        <w:rFonts w:hint="default"/>
        <w:lang w:val="en-US" w:eastAsia="zh-CN" w:bidi="ar-SA"/>
      </w:rPr>
    </w:lvl>
    <w:lvl w:ilvl="8" w:tentative="0">
      <w:start w:val="0"/>
      <w:numFmt w:val="bullet"/>
      <w:lvlText w:val="•"/>
      <w:lvlJc w:val="left"/>
      <w:pPr>
        <w:ind w:left="8321" w:hanging="533"/>
      </w:pPr>
      <w:rPr>
        <w:rFonts w:hint="default"/>
        <w:lang w:val="en-US" w:eastAsia="zh-CN" w:bidi="ar-SA"/>
      </w:rPr>
    </w:lvl>
  </w:abstractNum>
  <w:abstractNum w:abstractNumId="6">
    <w:nsid w:val="BB01E1DA"/>
    <w:multiLevelType w:val="multilevel"/>
    <w:tmpl w:val="BB01E1DA"/>
    <w:lvl w:ilvl="0" w:tentative="0">
      <w:start w:val="18"/>
      <w:numFmt w:val="decimal"/>
      <w:lvlText w:val="%1"/>
      <w:lvlJc w:val="left"/>
      <w:pPr>
        <w:ind w:left="1461" w:hanging="424"/>
        <w:jc w:val="left"/>
      </w:pPr>
      <w:rPr>
        <w:rFonts w:hint="default"/>
        <w:lang w:val="en-US" w:eastAsia="zh-CN" w:bidi="ar-SA"/>
      </w:rPr>
    </w:lvl>
    <w:lvl w:ilvl="1" w:tentative="0">
      <w:start w:val="1"/>
      <w:numFmt w:val="decimal"/>
      <w:lvlText w:val="%1.%2"/>
      <w:lvlJc w:val="left"/>
      <w:pPr>
        <w:ind w:left="1461"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3217" w:hanging="424"/>
      </w:pPr>
      <w:rPr>
        <w:rFonts w:hint="default"/>
        <w:lang w:val="en-US" w:eastAsia="zh-CN" w:bidi="ar-SA"/>
      </w:rPr>
    </w:lvl>
    <w:lvl w:ilvl="3" w:tentative="0">
      <w:start w:val="0"/>
      <w:numFmt w:val="bullet"/>
      <w:lvlText w:val="•"/>
      <w:lvlJc w:val="left"/>
      <w:pPr>
        <w:ind w:left="4095" w:hanging="424"/>
      </w:pPr>
      <w:rPr>
        <w:rFonts w:hint="default"/>
        <w:lang w:val="en-US" w:eastAsia="zh-CN" w:bidi="ar-SA"/>
      </w:rPr>
    </w:lvl>
    <w:lvl w:ilvl="4" w:tentative="0">
      <w:start w:val="0"/>
      <w:numFmt w:val="bullet"/>
      <w:lvlText w:val="•"/>
      <w:lvlJc w:val="left"/>
      <w:pPr>
        <w:ind w:left="4974" w:hanging="424"/>
      </w:pPr>
      <w:rPr>
        <w:rFonts w:hint="default"/>
        <w:lang w:val="en-US" w:eastAsia="zh-CN" w:bidi="ar-SA"/>
      </w:rPr>
    </w:lvl>
    <w:lvl w:ilvl="5" w:tentative="0">
      <w:start w:val="0"/>
      <w:numFmt w:val="bullet"/>
      <w:lvlText w:val="•"/>
      <w:lvlJc w:val="left"/>
      <w:pPr>
        <w:ind w:left="5853" w:hanging="424"/>
      </w:pPr>
      <w:rPr>
        <w:rFonts w:hint="default"/>
        <w:lang w:val="en-US" w:eastAsia="zh-CN" w:bidi="ar-SA"/>
      </w:rPr>
    </w:lvl>
    <w:lvl w:ilvl="6" w:tentative="0">
      <w:start w:val="0"/>
      <w:numFmt w:val="bullet"/>
      <w:lvlText w:val="•"/>
      <w:lvlJc w:val="left"/>
      <w:pPr>
        <w:ind w:left="6731" w:hanging="424"/>
      </w:pPr>
      <w:rPr>
        <w:rFonts w:hint="default"/>
        <w:lang w:val="en-US" w:eastAsia="zh-CN" w:bidi="ar-SA"/>
      </w:rPr>
    </w:lvl>
    <w:lvl w:ilvl="7" w:tentative="0">
      <w:start w:val="0"/>
      <w:numFmt w:val="bullet"/>
      <w:lvlText w:val="•"/>
      <w:lvlJc w:val="left"/>
      <w:pPr>
        <w:ind w:left="7610" w:hanging="424"/>
      </w:pPr>
      <w:rPr>
        <w:rFonts w:hint="default"/>
        <w:lang w:val="en-US" w:eastAsia="zh-CN" w:bidi="ar-SA"/>
      </w:rPr>
    </w:lvl>
    <w:lvl w:ilvl="8" w:tentative="0">
      <w:start w:val="0"/>
      <w:numFmt w:val="bullet"/>
      <w:lvlText w:val="•"/>
      <w:lvlJc w:val="left"/>
      <w:pPr>
        <w:ind w:left="8489" w:hanging="424"/>
      </w:pPr>
      <w:rPr>
        <w:rFonts w:hint="default"/>
        <w:lang w:val="en-US" w:eastAsia="zh-CN" w:bidi="ar-SA"/>
      </w:rPr>
    </w:lvl>
  </w:abstractNum>
  <w:abstractNum w:abstractNumId="7">
    <w:nsid w:val="BBB9C840"/>
    <w:multiLevelType w:val="multilevel"/>
    <w:tmpl w:val="BBB9C840"/>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8">
    <w:nsid w:val="BBE00B8B"/>
    <w:multiLevelType w:val="singleLevel"/>
    <w:tmpl w:val="BBE00B8B"/>
    <w:lvl w:ilvl="0" w:tentative="0">
      <w:start w:val="1"/>
      <w:numFmt w:val="chineseCounting"/>
      <w:suff w:val="space"/>
      <w:lvlText w:val="（%1）"/>
      <w:lvlJc w:val="left"/>
      <w:rPr>
        <w:rFonts w:hint="eastAsia"/>
      </w:rPr>
    </w:lvl>
  </w:abstractNum>
  <w:abstractNum w:abstractNumId="9">
    <w:nsid w:val="BCB7EA04"/>
    <w:multiLevelType w:val="multilevel"/>
    <w:tmpl w:val="BCB7EA04"/>
    <w:lvl w:ilvl="0" w:tentative="0">
      <w:start w:val="28"/>
      <w:numFmt w:val="decimal"/>
      <w:lvlText w:val="%1"/>
      <w:lvlJc w:val="left"/>
      <w:pPr>
        <w:ind w:left="1559" w:hanging="529"/>
        <w:jc w:val="left"/>
      </w:pPr>
      <w:rPr>
        <w:rFonts w:hint="default"/>
        <w:lang w:val="en-US" w:eastAsia="zh-CN" w:bidi="ar-SA"/>
      </w:rPr>
    </w:lvl>
    <w:lvl w:ilvl="1" w:tentative="0">
      <w:start w:val="6"/>
      <w:numFmt w:val="decimal"/>
      <w:lvlText w:val="%1.%2."/>
      <w:lvlJc w:val="left"/>
      <w:pPr>
        <w:ind w:left="1559" w:hanging="529"/>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10">
    <w:nsid w:val="D23AE8D9"/>
    <w:multiLevelType w:val="multilevel"/>
    <w:tmpl w:val="D23AE8D9"/>
    <w:lvl w:ilvl="0" w:tentative="0">
      <w:start w:val="1"/>
      <w:numFmt w:val="decimal"/>
      <w:lvlText w:val="（%1）"/>
      <w:lvlJc w:val="left"/>
      <w:pPr>
        <w:ind w:left="157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46" w:hanging="529"/>
      </w:pPr>
      <w:rPr>
        <w:rFonts w:hint="default"/>
        <w:lang w:val="en-US" w:eastAsia="zh-CN" w:bidi="ar-SA"/>
      </w:rPr>
    </w:lvl>
    <w:lvl w:ilvl="2" w:tentative="0">
      <w:start w:val="0"/>
      <w:numFmt w:val="bullet"/>
      <w:lvlText w:val="•"/>
      <w:lvlJc w:val="left"/>
      <w:pPr>
        <w:ind w:left="3313" w:hanging="529"/>
      </w:pPr>
      <w:rPr>
        <w:rFonts w:hint="default"/>
        <w:lang w:val="en-US" w:eastAsia="zh-CN" w:bidi="ar-SA"/>
      </w:rPr>
    </w:lvl>
    <w:lvl w:ilvl="3" w:tentative="0">
      <w:start w:val="0"/>
      <w:numFmt w:val="bullet"/>
      <w:lvlText w:val="•"/>
      <w:lvlJc w:val="left"/>
      <w:pPr>
        <w:ind w:left="4179" w:hanging="529"/>
      </w:pPr>
      <w:rPr>
        <w:rFonts w:hint="default"/>
        <w:lang w:val="en-US" w:eastAsia="zh-CN" w:bidi="ar-SA"/>
      </w:rPr>
    </w:lvl>
    <w:lvl w:ilvl="4" w:tentative="0">
      <w:start w:val="0"/>
      <w:numFmt w:val="bullet"/>
      <w:lvlText w:val="•"/>
      <w:lvlJc w:val="left"/>
      <w:pPr>
        <w:ind w:left="5046" w:hanging="529"/>
      </w:pPr>
      <w:rPr>
        <w:rFonts w:hint="default"/>
        <w:lang w:val="en-US" w:eastAsia="zh-CN" w:bidi="ar-SA"/>
      </w:rPr>
    </w:lvl>
    <w:lvl w:ilvl="5" w:tentative="0">
      <w:start w:val="0"/>
      <w:numFmt w:val="bullet"/>
      <w:lvlText w:val="•"/>
      <w:lvlJc w:val="left"/>
      <w:pPr>
        <w:ind w:left="5913" w:hanging="529"/>
      </w:pPr>
      <w:rPr>
        <w:rFonts w:hint="default"/>
        <w:lang w:val="en-US" w:eastAsia="zh-CN" w:bidi="ar-SA"/>
      </w:rPr>
    </w:lvl>
    <w:lvl w:ilvl="6" w:tentative="0">
      <w:start w:val="0"/>
      <w:numFmt w:val="bullet"/>
      <w:lvlText w:val="•"/>
      <w:lvlJc w:val="left"/>
      <w:pPr>
        <w:ind w:left="6779" w:hanging="529"/>
      </w:pPr>
      <w:rPr>
        <w:rFonts w:hint="default"/>
        <w:lang w:val="en-US" w:eastAsia="zh-CN" w:bidi="ar-SA"/>
      </w:rPr>
    </w:lvl>
    <w:lvl w:ilvl="7" w:tentative="0">
      <w:start w:val="0"/>
      <w:numFmt w:val="bullet"/>
      <w:lvlText w:val="•"/>
      <w:lvlJc w:val="left"/>
      <w:pPr>
        <w:ind w:left="7646" w:hanging="529"/>
      </w:pPr>
      <w:rPr>
        <w:rFonts w:hint="default"/>
        <w:lang w:val="en-US" w:eastAsia="zh-CN" w:bidi="ar-SA"/>
      </w:rPr>
    </w:lvl>
    <w:lvl w:ilvl="8" w:tentative="0">
      <w:start w:val="0"/>
      <w:numFmt w:val="bullet"/>
      <w:lvlText w:val="•"/>
      <w:lvlJc w:val="left"/>
      <w:pPr>
        <w:ind w:left="8513" w:hanging="529"/>
      </w:pPr>
      <w:rPr>
        <w:rFonts w:hint="default"/>
        <w:lang w:val="en-US" w:eastAsia="zh-CN" w:bidi="ar-SA"/>
      </w:rPr>
    </w:lvl>
  </w:abstractNum>
  <w:abstractNum w:abstractNumId="11">
    <w:nsid w:val="DE9385D2"/>
    <w:multiLevelType w:val="multilevel"/>
    <w:tmpl w:val="DE9385D2"/>
    <w:lvl w:ilvl="0" w:tentative="0">
      <w:start w:val="31"/>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12">
    <w:nsid w:val="E33FB084"/>
    <w:multiLevelType w:val="multilevel"/>
    <w:tmpl w:val="E33FB084"/>
    <w:lvl w:ilvl="0" w:tentative="0">
      <w:start w:val="1"/>
      <w:numFmt w:val="decimal"/>
      <w:lvlText w:val="%1."/>
      <w:lvlJc w:val="left"/>
      <w:pPr>
        <w:ind w:left="618" w:hanging="224"/>
        <w:jc w:val="left"/>
      </w:pPr>
      <w:rPr>
        <w:rFonts w:hint="default" w:ascii="宋体" w:hAnsi="宋体" w:eastAsia="宋体" w:cs="宋体"/>
        <w:spacing w:val="4"/>
        <w:w w:val="100"/>
        <w:sz w:val="19"/>
        <w:szCs w:val="19"/>
        <w:lang w:val="en-US" w:eastAsia="zh-CN" w:bidi="ar-SA"/>
      </w:rPr>
    </w:lvl>
    <w:lvl w:ilvl="1" w:tentative="0">
      <w:start w:val="0"/>
      <w:numFmt w:val="bullet"/>
      <w:lvlText w:val="•"/>
      <w:lvlJc w:val="left"/>
      <w:pPr>
        <w:ind w:left="1582" w:hanging="224"/>
      </w:pPr>
      <w:rPr>
        <w:rFonts w:hint="default"/>
        <w:lang w:val="en-US" w:eastAsia="zh-CN" w:bidi="ar-SA"/>
      </w:rPr>
    </w:lvl>
    <w:lvl w:ilvl="2" w:tentative="0">
      <w:start w:val="0"/>
      <w:numFmt w:val="bullet"/>
      <w:lvlText w:val="•"/>
      <w:lvlJc w:val="left"/>
      <w:pPr>
        <w:ind w:left="2545" w:hanging="224"/>
      </w:pPr>
      <w:rPr>
        <w:rFonts w:hint="default"/>
        <w:lang w:val="en-US" w:eastAsia="zh-CN" w:bidi="ar-SA"/>
      </w:rPr>
    </w:lvl>
    <w:lvl w:ilvl="3" w:tentative="0">
      <w:start w:val="0"/>
      <w:numFmt w:val="bullet"/>
      <w:lvlText w:val="•"/>
      <w:lvlJc w:val="left"/>
      <w:pPr>
        <w:ind w:left="3507" w:hanging="224"/>
      </w:pPr>
      <w:rPr>
        <w:rFonts w:hint="default"/>
        <w:lang w:val="en-US" w:eastAsia="zh-CN" w:bidi="ar-SA"/>
      </w:rPr>
    </w:lvl>
    <w:lvl w:ilvl="4" w:tentative="0">
      <w:start w:val="0"/>
      <w:numFmt w:val="bullet"/>
      <w:lvlText w:val="•"/>
      <w:lvlJc w:val="left"/>
      <w:pPr>
        <w:ind w:left="4470" w:hanging="224"/>
      </w:pPr>
      <w:rPr>
        <w:rFonts w:hint="default"/>
        <w:lang w:val="en-US" w:eastAsia="zh-CN" w:bidi="ar-SA"/>
      </w:rPr>
    </w:lvl>
    <w:lvl w:ilvl="5" w:tentative="0">
      <w:start w:val="0"/>
      <w:numFmt w:val="bullet"/>
      <w:lvlText w:val="•"/>
      <w:lvlJc w:val="left"/>
      <w:pPr>
        <w:ind w:left="5433" w:hanging="224"/>
      </w:pPr>
      <w:rPr>
        <w:rFonts w:hint="default"/>
        <w:lang w:val="en-US" w:eastAsia="zh-CN" w:bidi="ar-SA"/>
      </w:rPr>
    </w:lvl>
    <w:lvl w:ilvl="6" w:tentative="0">
      <w:start w:val="0"/>
      <w:numFmt w:val="bullet"/>
      <w:lvlText w:val="•"/>
      <w:lvlJc w:val="left"/>
      <w:pPr>
        <w:ind w:left="6395" w:hanging="224"/>
      </w:pPr>
      <w:rPr>
        <w:rFonts w:hint="default"/>
        <w:lang w:val="en-US" w:eastAsia="zh-CN" w:bidi="ar-SA"/>
      </w:rPr>
    </w:lvl>
    <w:lvl w:ilvl="7" w:tentative="0">
      <w:start w:val="0"/>
      <w:numFmt w:val="bullet"/>
      <w:lvlText w:val="•"/>
      <w:lvlJc w:val="left"/>
      <w:pPr>
        <w:ind w:left="7358" w:hanging="224"/>
      </w:pPr>
      <w:rPr>
        <w:rFonts w:hint="default"/>
        <w:lang w:val="en-US" w:eastAsia="zh-CN" w:bidi="ar-SA"/>
      </w:rPr>
    </w:lvl>
    <w:lvl w:ilvl="8" w:tentative="0">
      <w:start w:val="0"/>
      <w:numFmt w:val="bullet"/>
      <w:lvlText w:val="•"/>
      <w:lvlJc w:val="left"/>
      <w:pPr>
        <w:ind w:left="8321" w:hanging="224"/>
      </w:pPr>
      <w:rPr>
        <w:rFonts w:hint="default"/>
        <w:lang w:val="en-US" w:eastAsia="zh-CN" w:bidi="ar-SA"/>
      </w:rPr>
    </w:lvl>
  </w:abstractNum>
  <w:abstractNum w:abstractNumId="13">
    <w:nsid w:val="EB1B02D4"/>
    <w:multiLevelType w:val="multilevel"/>
    <w:tmpl w:val="EB1B02D4"/>
    <w:lvl w:ilvl="0" w:tentative="0">
      <w:start w:val="16"/>
      <w:numFmt w:val="decimal"/>
      <w:lvlText w:val="%1"/>
      <w:lvlJc w:val="left"/>
      <w:pPr>
        <w:ind w:left="618" w:hanging="424"/>
        <w:jc w:val="left"/>
      </w:pPr>
      <w:rPr>
        <w:rFonts w:hint="default"/>
        <w:lang w:val="en-US" w:eastAsia="zh-CN" w:bidi="ar-SA"/>
      </w:rPr>
    </w:lvl>
    <w:lvl w:ilvl="1" w:tentative="0">
      <w:start w:val="3"/>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14">
    <w:nsid w:val="F2000B5B"/>
    <w:multiLevelType w:val="singleLevel"/>
    <w:tmpl w:val="F2000B5B"/>
    <w:lvl w:ilvl="0" w:tentative="0">
      <w:start w:val="1"/>
      <w:numFmt w:val="decimal"/>
      <w:suff w:val="nothing"/>
      <w:lvlText w:val="%1、"/>
      <w:lvlJc w:val="left"/>
    </w:lvl>
  </w:abstractNum>
  <w:abstractNum w:abstractNumId="15">
    <w:nsid w:val="F3B956F0"/>
    <w:multiLevelType w:val="multilevel"/>
    <w:tmpl w:val="F3B956F0"/>
    <w:lvl w:ilvl="0" w:tentative="0">
      <w:start w:val="1"/>
      <w:numFmt w:val="decimal"/>
      <w:lvlText w:val="（%1）"/>
      <w:lvlJc w:val="left"/>
      <w:pPr>
        <w:ind w:left="1583"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46" w:hanging="529"/>
      </w:pPr>
      <w:rPr>
        <w:rFonts w:hint="default"/>
        <w:lang w:val="en-US" w:eastAsia="zh-CN" w:bidi="ar-SA"/>
      </w:rPr>
    </w:lvl>
    <w:lvl w:ilvl="2" w:tentative="0">
      <w:start w:val="0"/>
      <w:numFmt w:val="bullet"/>
      <w:lvlText w:val="•"/>
      <w:lvlJc w:val="left"/>
      <w:pPr>
        <w:ind w:left="3313" w:hanging="529"/>
      </w:pPr>
      <w:rPr>
        <w:rFonts w:hint="default"/>
        <w:lang w:val="en-US" w:eastAsia="zh-CN" w:bidi="ar-SA"/>
      </w:rPr>
    </w:lvl>
    <w:lvl w:ilvl="3" w:tentative="0">
      <w:start w:val="0"/>
      <w:numFmt w:val="bullet"/>
      <w:lvlText w:val="•"/>
      <w:lvlJc w:val="left"/>
      <w:pPr>
        <w:ind w:left="4179" w:hanging="529"/>
      </w:pPr>
      <w:rPr>
        <w:rFonts w:hint="default"/>
        <w:lang w:val="en-US" w:eastAsia="zh-CN" w:bidi="ar-SA"/>
      </w:rPr>
    </w:lvl>
    <w:lvl w:ilvl="4" w:tentative="0">
      <w:start w:val="0"/>
      <w:numFmt w:val="bullet"/>
      <w:lvlText w:val="•"/>
      <w:lvlJc w:val="left"/>
      <w:pPr>
        <w:ind w:left="5046" w:hanging="529"/>
      </w:pPr>
      <w:rPr>
        <w:rFonts w:hint="default"/>
        <w:lang w:val="en-US" w:eastAsia="zh-CN" w:bidi="ar-SA"/>
      </w:rPr>
    </w:lvl>
    <w:lvl w:ilvl="5" w:tentative="0">
      <w:start w:val="0"/>
      <w:numFmt w:val="bullet"/>
      <w:lvlText w:val="•"/>
      <w:lvlJc w:val="left"/>
      <w:pPr>
        <w:ind w:left="5913" w:hanging="529"/>
      </w:pPr>
      <w:rPr>
        <w:rFonts w:hint="default"/>
        <w:lang w:val="en-US" w:eastAsia="zh-CN" w:bidi="ar-SA"/>
      </w:rPr>
    </w:lvl>
    <w:lvl w:ilvl="6" w:tentative="0">
      <w:start w:val="0"/>
      <w:numFmt w:val="bullet"/>
      <w:lvlText w:val="•"/>
      <w:lvlJc w:val="left"/>
      <w:pPr>
        <w:ind w:left="6779" w:hanging="529"/>
      </w:pPr>
      <w:rPr>
        <w:rFonts w:hint="default"/>
        <w:lang w:val="en-US" w:eastAsia="zh-CN" w:bidi="ar-SA"/>
      </w:rPr>
    </w:lvl>
    <w:lvl w:ilvl="7" w:tentative="0">
      <w:start w:val="0"/>
      <w:numFmt w:val="bullet"/>
      <w:lvlText w:val="•"/>
      <w:lvlJc w:val="left"/>
      <w:pPr>
        <w:ind w:left="7646" w:hanging="529"/>
      </w:pPr>
      <w:rPr>
        <w:rFonts w:hint="default"/>
        <w:lang w:val="en-US" w:eastAsia="zh-CN" w:bidi="ar-SA"/>
      </w:rPr>
    </w:lvl>
    <w:lvl w:ilvl="8" w:tentative="0">
      <w:start w:val="0"/>
      <w:numFmt w:val="bullet"/>
      <w:lvlText w:val="•"/>
      <w:lvlJc w:val="left"/>
      <w:pPr>
        <w:ind w:left="8513" w:hanging="529"/>
      </w:pPr>
      <w:rPr>
        <w:rFonts w:hint="default"/>
        <w:lang w:val="en-US" w:eastAsia="zh-CN" w:bidi="ar-SA"/>
      </w:rPr>
    </w:lvl>
  </w:abstractNum>
  <w:abstractNum w:abstractNumId="16">
    <w:nsid w:val="0A7858D9"/>
    <w:multiLevelType w:val="multilevel"/>
    <w:tmpl w:val="0A7858D9"/>
    <w:lvl w:ilvl="0" w:tentative="0">
      <w:start w:val="7"/>
      <w:numFmt w:val="decimal"/>
      <w:lvlText w:val="（%1）"/>
      <w:lvlJc w:val="left"/>
      <w:pPr>
        <w:ind w:left="1355" w:hanging="527"/>
        <w:jc w:val="right"/>
      </w:pPr>
      <w:rPr>
        <w:rFonts w:hint="default" w:ascii="宋体" w:hAnsi="宋体" w:eastAsia="宋体" w:cs="宋体"/>
        <w:spacing w:val="-3"/>
        <w:w w:val="100"/>
        <w:sz w:val="19"/>
        <w:szCs w:val="19"/>
        <w:lang w:val="en-US" w:eastAsia="zh-CN" w:bidi="ar-SA"/>
      </w:rPr>
    </w:lvl>
    <w:lvl w:ilvl="1" w:tentative="0">
      <w:start w:val="1"/>
      <w:numFmt w:val="decimal"/>
      <w:lvlText w:val="%2."/>
      <w:lvlJc w:val="left"/>
      <w:pPr>
        <w:ind w:left="618" w:hanging="315"/>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2347" w:hanging="315"/>
      </w:pPr>
      <w:rPr>
        <w:rFonts w:hint="default"/>
        <w:lang w:val="en-US" w:eastAsia="zh-CN" w:bidi="ar-SA"/>
      </w:rPr>
    </w:lvl>
    <w:lvl w:ilvl="3" w:tentative="0">
      <w:start w:val="0"/>
      <w:numFmt w:val="bullet"/>
      <w:lvlText w:val="•"/>
      <w:lvlJc w:val="left"/>
      <w:pPr>
        <w:ind w:left="3334" w:hanging="315"/>
      </w:pPr>
      <w:rPr>
        <w:rFonts w:hint="default"/>
        <w:lang w:val="en-US" w:eastAsia="zh-CN" w:bidi="ar-SA"/>
      </w:rPr>
    </w:lvl>
    <w:lvl w:ilvl="4" w:tentative="0">
      <w:start w:val="0"/>
      <w:numFmt w:val="bullet"/>
      <w:lvlText w:val="•"/>
      <w:lvlJc w:val="left"/>
      <w:pPr>
        <w:ind w:left="4322" w:hanging="315"/>
      </w:pPr>
      <w:rPr>
        <w:rFonts w:hint="default"/>
        <w:lang w:val="en-US" w:eastAsia="zh-CN" w:bidi="ar-SA"/>
      </w:rPr>
    </w:lvl>
    <w:lvl w:ilvl="5" w:tentative="0">
      <w:start w:val="0"/>
      <w:numFmt w:val="bullet"/>
      <w:lvlText w:val="•"/>
      <w:lvlJc w:val="left"/>
      <w:pPr>
        <w:ind w:left="5309" w:hanging="315"/>
      </w:pPr>
      <w:rPr>
        <w:rFonts w:hint="default"/>
        <w:lang w:val="en-US" w:eastAsia="zh-CN" w:bidi="ar-SA"/>
      </w:rPr>
    </w:lvl>
    <w:lvl w:ilvl="6" w:tentative="0">
      <w:start w:val="0"/>
      <w:numFmt w:val="bullet"/>
      <w:lvlText w:val="•"/>
      <w:lvlJc w:val="left"/>
      <w:pPr>
        <w:ind w:left="6296" w:hanging="315"/>
      </w:pPr>
      <w:rPr>
        <w:rFonts w:hint="default"/>
        <w:lang w:val="en-US" w:eastAsia="zh-CN" w:bidi="ar-SA"/>
      </w:rPr>
    </w:lvl>
    <w:lvl w:ilvl="7" w:tentative="0">
      <w:start w:val="0"/>
      <w:numFmt w:val="bullet"/>
      <w:lvlText w:val="•"/>
      <w:lvlJc w:val="left"/>
      <w:pPr>
        <w:ind w:left="7284" w:hanging="315"/>
      </w:pPr>
      <w:rPr>
        <w:rFonts w:hint="default"/>
        <w:lang w:val="en-US" w:eastAsia="zh-CN" w:bidi="ar-SA"/>
      </w:rPr>
    </w:lvl>
    <w:lvl w:ilvl="8" w:tentative="0">
      <w:start w:val="0"/>
      <w:numFmt w:val="bullet"/>
      <w:lvlText w:val="•"/>
      <w:lvlJc w:val="left"/>
      <w:pPr>
        <w:ind w:left="8271" w:hanging="315"/>
      </w:pPr>
      <w:rPr>
        <w:rFonts w:hint="default"/>
        <w:lang w:val="en-US" w:eastAsia="zh-CN" w:bidi="ar-SA"/>
      </w:rPr>
    </w:lvl>
  </w:abstractNum>
  <w:abstractNum w:abstractNumId="17">
    <w:nsid w:val="0F44FB56"/>
    <w:multiLevelType w:val="multilevel"/>
    <w:tmpl w:val="0F44FB56"/>
    <w:lvl w:ilvl="0" w:tentative="0">
      <w:start w:val="1"/>
      <w:numFmt w:val="decimal"/>
      <w:lvlText w:val="（%1）"/>
      <w:lvlJc w:val="left"/>
      <w:pPr>
        <w:ind w:left="618" w:hanging="532"/>
        <w:jc w:val="right"/>
      </w:pPr>
      <w:rPr>
        <w:rFonts w:hint="default" w:ascii="宋体" w:hAnsi="宋体" w:eastAsia="宋体" w:cs="宋体"/>
        <w:spacing w:val="-16"/>
        <w:w w:val="100"/>
        <w:sz w:val="19"/>
        <w:szCs w:val="19"/>
        <w:lang w:val="en-US" w:eastAsia="zh-CN" w:bidi="ar-SA"/>
      </w:rPr>
    </w:lvl>
    <w:lvl w:ilvl="1" w:tentative="0">
      <w:start w:val="0"/>
      <w:numFmt w:val="bullet"/>
      <w:lvlText w:val="•"/>
      <w:lvlJc w:val="left"/>
      <w:pPr>
        <w:ind w:left="1582" w:hanging="532"/>
      </w:pPr>
      <w:rPr>
        <w:rFonts w:hint="default"/>
        <w:lang w:val="en-US" w:eastAsia="zh-CN" w:bidi="ar-SA"/>
      </w:rPr>
    </w:lvl>
    <w:lvl w:ilvl="2" w:tentative="0">
      <w:start w:val="0"/>
      <w:numFmt w:val="bullet"/>
      <w:lvlText w:val="•"/>
      <w:lvlJc w:val="left"/>
      <w:pPr>
        <w:ind w:left="2545" w:hanging="532"/>
      </w:pPr>
      <w:rPr>
        <w:rFonts w:hint="default"/>
        <w:lang w:val="en-US" w:eastAsia="zh-CN" w:bidi="ar-SA"/>
      </w:rPr>
    </w:lvl>
    <w:lvl w:ilvl="3" w:tentative="0">
      <w:start w:val="0"/>
      <w:numFmt w:val="bullet"/>
      <w:lvlText w:val="•"/>
      <w:lvlJc w:val="left"/>
      <w:pPr>
        <w:ind w:left="3507" w:hanging="532"/>
      </w:pPr>
      <w:rPr>
        <w:rFonts w:hint="default"/>
        <w:lang w:val="en-US" w:eastAsia="zh-CN" w:bidi="ar-SA"/>
      </w:rPr>
    </w:lvl>
    <w:lvl w:ilvl="4" w:tentative="0">
      <w:start w:val="0"/>
      <w:numFmt w:val="bullet"/>
      <w:lvlText w:val="•"/>
      <w:lvlJc w:val="left"/>
      <w:pPr>
        <w:ind w:left="4470" w:hanging="532"/>
      </w:pPr>
      <w:rPr>
        <w:rFonts w:hint="default"/>
        <w:lang w:val="en-US" w:eastAsia="zh-CN" w:bidi="ar-SA"/>
      </w:rPr>
    </w:lvl>
    <w:lvl w:ilvl="5" w:tentative="0">
      <w:start w:val="0"/>
      <w:numFmt w:val="bullet"/>
      <w:lvlText w:val="•"/>
      <w:lvlJc w:val="left"/>
      <w:pPr>
        <w:ind w:left="5433" w:hanging="532"/>
      </w:pPr>
      <w:rPr>
        <w:rFonts w:hint="default"/>
        <w:lang w:val="en-US" w:eastAsia="zh-CN" w:bidi="ar-SA"/>
      </w:rPr>
    </w:lvl>
    <w:lvl w:ilvl="6" w:tentative="0">
      <w:start w:val="0"/>
      <w:numFmt w:val="bullet"/>
      <w:lvlText w:val="•"/>
      <w:lvlJc w:val="left"/>
      <w:pPr>
        <w:ind w:left="6395" w:hanging="532"/>
      </w:pPr>
      <w:rPr>
        <w:rFonts w:hint="default"/>
        <w:lang w:val="en-US" w:eastAsia="zh-CN" w:bidi="ar-SA"/>
      </w:rPr>
    </w:lvl>
    <w:lvl w:ilvl="7" w:tentative="0">
      <w:start w:val="0"/>
      <w:numFmt w:val="bullet"/>
      <w:lvlText w:val="•"/>
      <w:lvlJc w:val="left"/>
      <w:pPr>
        <w:ind w:left="7358" w:hanging="532"/>
      </w:pPr>
      <w:rPr>
        <w:rFonts w:hint="default"/>
        <w:lang w:val="en-US" w:eastAsia="zh-CN" w:bidi="ar-SA"/>
      </w:rPr>
    </w:lvl>
    <w:lvl w:ilvl="8" w:tentative="0">
      <w:start w:val="0"/>
      <w:numFmt w:val="bullet"/>
      <w:lvlText w:val="•"/>
      <w:lvlJc w:val="left"/>
      <w:pPr>
        <w:ind w:left="8321" w:hanging="532"/>
      </w:pPr>
      <w:rPr>
        <w:rFonts w:hint="default"/>
        <w:lang w:val="en-US" w:eastAsia="zh-CN" w:bidi="ar-SA"/>
      </w:rPr>
    </w:lvl>
  </w:abstractNum>
  <w:abstractNum w:abstractNumId="18">
    <w:nsid w:val="2ED48100"/>
    <w:multiLevelType w:val="multilevel"/>
    <w:tmpl w:val="2ED48100"/>
    <w:lvl w:ilvl="0" w:tentative="0">
      <w:start w:val="1"/>
      <w:numFmt w:val="decimal"/>
      <w:lvlText w:val="（%1）"/>
      <w:lvlJc w:val="left"/>
      <w:pPr>
        <w:ind w:left="1567"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19">
    <w:nsid w:val="38BD5B66"/>
    <w:multiLevelType w:val="multilevel"/>
    <w:tmpl w:val="38BD5B66"/>
    <w:lvl w:ilvl="0" w:tentative="0">
      <w:start w:val="28"/>
      <w:numFmt w:val="decimal"/>
      <w:lvlText w:val="%1"/>
      <w:lvlJc w:val="left"/>
      <w:pPr>
        <w:ind w:left="1559" w:hanging="529"/>
        <w:jc w:val="left"/>
      </w:pPr>
      <w:rPr>
        <w:rFonts w:hint="default"/>
        <w:lang w:val="en-US" w:eastAsia="zh-CN" w:bidi="ar-SA"/>
      </w:rPr>
    </w:lvl>
    <w:lvl w:ilvl="1" w:tentative="0">
      <w:start w:val="1"/>
      <w:numFmt w:val="decimal"/>
      <w:lvlText w:val="%1.%2."/>
      <w:lvlJc w:val="left"/>
      <w:pPr>
        <w:ind w:left="1559" w:hanging="529"/>
        <w:jc w:val="left"/>
      </w:pPr>
      <w:rPr>
        <w:rFonts w:hint="default" w:ascii="宋体" w:hAnsi="宋体" w:eastAsia="宋体" w:cs="宋体"/>
        <w:spacing w:val="-3"/>
        <w:w w:val="100"/>
        <w:sz w:val="19"/>
        <w:szCs w:val="19"/>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0">
    <w:nsid w:val="3F1717E6"/>
    <w:multiLevelType w:val="multilevel"/>
    <w:tmpl w:val="3F1717E6"/>
    <w:lvl w:ilvl="0" w:tentative="0">
      <w:start w:val="10"/>
      <w:numFmt w:val="decimal"/>
      <w:lvlText w:val="%1"/>
      <w:lvlJc w:val="left"/>
      <w:pPr>
        <w:ind w:left="618" w:hanging="424"/>
        <w:jc w:val="left"/>
      </w:pPr>
      <w:rPr>
        <w:rFonts w:hint="default"/>
        <w:lang w:val="en-US" w:eastAsia="zh-CN" w:bidi="ar-SA"/>
      </w:rPr>
    </w:lvl>
    <w:lvl w:ilvl="1" w:tentative="0">
      <w:start w:val="1"/>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21">
    <w:nsid w:val="5B1CE604"/>
    <w:multiLevelType w:val="multilevel"/>
    <w:tmpl w:val="5B1CE604"/>
    <w:lvl w:ilvl="0" w:tentative="0">
      <w:start w:val="1"/>
      <w:numFmt w:val="decimal"/>
      <w:lvlText w:val="%1."/>
      <w:lvlJc w:val="left"/>
      <w:pPr>
        <w:ind w:left="1354" w:hanging="315"/>
        <w:jc w:val="right"/>
      </w:pPr>
      <w:rPr>
        <w:rFonts w:hint="default" w:ascii="宋体" w:hAnsi="宋体" w:eastAsia="宋体" w:cs="宋体"/>
        <w:w w:val="100"/>
        <w:sz w:val="21"/>
        <w:szCs w:val="21"/>
        <w:lang w:val="en-US" w:eastAsia="zh-CN" w:bidi="ar-SA"/>
      </w:rPr>
    </w:lvl>
    <w:lvl w:ilvl="1" w:tentative="0">
      <w:start w:val="0"/>
      <w:numFmt w:val="bullet"/>
      <w:lvlText w:val="•"/>
      <w:lvlJc w:val="left"/>
      <w:pPr>
        <w:ind w:left="2248" w:hanging="315"/>
      </w:pPr>
      <w:rPr>
        <w:rFonts w:hint="default"/>
        <w:lang w:val="en-US" w:eastAsia="zh-CN" w:bidi="ar-SA"/>
      </w:rPr>
    </w:lvl>
    <w:lvl w:ilvl="2" w:tentative="0">
      <w:start w:val="0"/>
      <w:numFmt w:val="bullet"/>
      <w:lvlText w:val="•"/>
      <w:lvlJc w:val="left"/>
      <w:pPr>
        <w:ind w:left="3137" w:hanging="315"/>
      </w:pPr>
      <w:rPr>
        <w:rFonts w:hint="default"/>
        <w:lang w:val="en-US" w:eastAsia="zh-CN" w:bidi="ar-SA"/>
      </w:rPr>
    </w:lvl>
    <w:lvl w:ilvl="3" w:tentative="0">
      <w:start w:val="0"/>
      <w:numFmt w:val="bullet"/>
      <w:lvlText w:val="•"/>
      <w:lvlJc w:val="left"/>
      <w:pPr>
        <w:ind w:left="4025" w:hanging="315"/>
      </w:pPr>
      <w:rPr>
        <w:rFonts w:hint="default"/>
        <w:lang w:val="en-US" w:eastAsia="zh-CN" w:bidi="ar-SA"/>
      </w:rPr>
    </w:lvl>
    <w:lvl w:ilvl="4" w:tentative="0">
      <w:start w:val="0"/>
      <w:numFmt w:val="bullet"/>
      <w:lvlText w:val="•"/>
      <w:lvlJc w:val="left"/>
      <w:pPr>
        <w:ind w:left="4914" w:hanging="315"/>
      </w:pPr>
      <w:rPr>
        <w:rFonts w:hint="default"/>
        <w:lang w:val="en-US" w:eastAsia="zh-CN" w:bidi="ar-SA"/>
      </w:rPr>
    </w:lvl>
    <w:lvl w:ilvl="5" w:tentative="0">
      <w:start w:val="0"/>
      <w:numFmt w:val="bullet"/>
      <w:lvlText w:val="•"/>
      <w:lvlJc w:val="left"/>
      <w:pPr>
        <w:ind w:left="5803" w:hanging="315"/>
      </w:pPr>
      <w:rPr>
        <w:rFonts w:hint="default"/>
        <w:lang w:val="en-US" w:eastAsia="zh-CN" w:bidi="ar-SA"/>
      </w:rPr>
    </w:lvl>
    <w:lvl w:ilvl="6" w:tentative="0">
      <w:start w:val="0"/>
      <w:numFmt w:val="bullet"/>
      <w:lvlText w:val="•"/>
      <w:lvlJc w:val="left"/>
      <w:pPr>
        <w:ind w:left="6691" w:hanging="315"/>
      </w:pPr>
      <w:rPr>
        <w:rFonts w:hint="default"/>
        <w:lang w:val="en-US" w:eastAsia="zh-CN" w:bidi="ar-SA"/>
      </w:rPr>
    </w:lvl>
    <w:lvl w:ilvl="7" w:tentative="0">
      <w:start w:val="0"/>
      <w:numFmt w:val="bullet"/>
      <w:lvlText w:val="•"/>
      <w:lvlJc w:val="left"/>
      <w:pPr>
        <w:ind w:left="7580" w:hanging="315"/>
      </w:pPr>
      <w:rPr>
        <w:rFonts w:hint="default"/>
        <w:lang w:val="en-US" w:eastAsia="zh-CN" w:bidi="ar-SA"/>
      </w:rPr>
    </w:lvl>
    <w:lvl w:ilvl="8" w:tentative="0">
      <w:start w:val="0"/>
      <w:numFmt w:val="bullet"/>
      <w:lvlText w:val="•"/>
      <w:lvlJc w:val="left"/>
      <w:pPr>
        <w:ind w:left="8469" w:hanging="315"/>
      </w:pPr>
      <w:rPr>
        <w:rFonts w:hint="default"/>
        <w:lang w:val="en-US" w:eastAsia="zh-CN" w:bidi="ar-SA"/>
      </w:rPr>
    </w:lvl>
  </w:abstractNum>
  <w:abstractNum w:abstractNumId="22">
    <w:nsid w:val="603A41D5"/>
    <w:multiLevelType w:val="multilevel"/>
    <w:tmpl w:val="603A41D5"/>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3">
    <w:nsid w:val="6C1A2B47"/>
    <w:multiLevelType w:val="singleLevel"/>
    <w:tmpl w:val="6C1A2B47"/>
    <w:lvl w:ilvl="0" w:tentative="0">
      <w:start w:val="1"/>
      <w:numFmt w:val="chineseCounting"/>
      <w:suff w:val="nothing"/>
      <w:lvlText w:val="%1、"/>
      <w:lvlJc w:val="left"/>
      <w:rPr>
        <w:rFonts w:hint="eastAsia"/>
      </w:rPr>
    </w:lvl>
  </w:abstractNum>
  <w:abstractNum w:abstractNumId="24">
    <w:nsid w:val="6EC98FB8"/>
    <w:multiLevelType w:val="singleLevel"/>
    <w:tmpl w:val="6EC98FB8"/>
    <w:lvl w:ilvl="0" w:tentative="0">
      <w:start w:val="7"/>
      <w:numFmt w:val="decimal"/>
      <w:suff w:val="nothing"/>
      <w:lvlText w:val="%1、"/>
      <w:lvlJc w:val="left"/>
    </w:lvl>
  </w:abstractNum>
  <w:abstractNum w:abstractNumId="25">
    <w:nsid w:val="6F600250"/>
    <w:multiLevelType w:val="multilevel"/>
    <w:tmpl w:val="6F600250"/>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abstractNum w:abstractNumId="26">
    <w:nsid w:val="7321C756"/>
    <w:multiLevelType w:val="multilevel"/>
    <w:tmpl w:val="7321C756"/>
    <w:lvl w:ilvl="0" w:tentative="0">
      <w:start w:val="17"/>
      <w:numFmt w:val="decimal"/>
      <w:lvlText w:val="%1"/>
      <w:lvlJc w:val="left"/>
      <w:pPr>
        <w:ind w:left="618" w:hanging="424"/>
        <w:jc w:val="left"/>
      </w:pPr>
      <w:rPr>
        <w:rFonts w:hint="default"/>
        <w:lang w:val="en-US" w:eastAsia="zh-CN" w:bidi="ar-SA"/>
      </w:rPr>
    </w:lvl>
    <w:lvl w:ilvl="1" w:tentative="0">
      <w:start w:val="4"/>
      <w:numFmt w:val="decimal"/>
      <w:lvlText w:val="%1.%2"/>
      <w:lvlJc w:val="left"/>
      <w:pPr>
        <w:ind w:left="618" w:hanging="424"/>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2545" w:hanging="424"/>
      </w:pPr>
      <w:rPr>
        <w:rFonts w:hint="default"/>
        <w:lang w:val="en-US" w:eastAsia="zh-CN" w:bidi="ar-SA"/>
      </w:rPr>
    </w:lvl>
    <w:lvl w:ilvl="3" w:tentative="0">
      <w:start w:val="0"/>
      <w:numFmt w:val="bullet"/>
      <w:lvlText w:val="•"/>
      <w:lvlJc w:val="left"/>
      <w:pPr>
        <w:ind w:left="3507" w:hanging="424"/>
      </w:pPr>
      <w:rPr>
        <w:rFonts w:hint="default"/>
        <w:lang w:val="en-US" w:eastAsia="zh-CN" w:bidi="ar-SA"/>
      </w:rPr>
    </w:lvl>
    <w:lvl w:ilvl="4" w:tentative="0">
      <w:start w:val="0"/>
      <w:numFmt w:val="bullet"/>
      <w:lvlText w:val="•"/>
      <w:lvlJc w:val="left"/>
      <w:pPr>
        <w:ind w:left="4470" w:hanging="424"/>
      </w:pPr>
      <w:rPr>
        <w:rFonts w:hint="default"/>
        <w:lang w:val="en-US" w:eastAsia="zh-CN" w:bidi="ar-SA"/>
      </w:rPr>
    </w:lvl>
    <w:lvl w:ilvl="5" w:tentative="0">
      <w:start w:val="0"/>
      <w:numFmt w:val="bullet"/>
      <w:lvlText w:val="•"/>
      <w:lvlJc w:val="left"/>
      <w:pPr>
        <w:ind w:left="5433" w:hanging="424"/>
      </w:pPr>
      <w:rPr>
        <w:rFonts w:hint="default"/>
        <w:lang w:val="en-US" w:eastAsia="zh-CN" w:bidi="ar-SA"/>
      </w:rPr>
    </w:lvl>
    <w:lvl w:ilvl="6" w:tentative="0">
      <w:start w:val="0"/>
      <w:numFmt w:val="bullet"/>
      <w:lvlText w:val="•"/>
      <w:lvlJc w:val="left"/>
      <w:pPr>
        <w:ind w:left="6395" w:hanging="424"/>
      </w:pPr>
      <w:rPr>
        <w:rFonts w:hint="default"/>
        <w:lang w:val="en-US" w:eastAsia="zh-CN" w:bidi="ar-SA"/>
      </w:rPr>
    </w:lvl>
    <w:lvl w:ilvl="7" w:tentative="0">
      <w:start w:val="0"/>
      <w:numFmt w:val="bullet"/>
      <w:lvlText w:val="•"/>
      <w:lvlJc w:val="left"/>
      <w:pPr>
        <w:ind w:left="7358" w:hanging="424"/>
      </w:pPr>
      <w:rPr>
        <w:rFonts w:hint="default"/>
        <w:lang w:val="en-US" w:eastAsia="zh-CN" w:bidi="ar-SA"/>
      </w:rPr>
    </w:lvl>
    <w:lvl w:ilvl="8" w:tentative="0">
      <w:start w:val="0"/>
      <w:numFmt w:val="bullet"/>
      <w:lvlText w:val="•"/>
      <w:lvlJc w:val="left"/>
      <w:pPr>
        <w:ind w:left="8321" w:hanging="424"/>
      </w:pPr>
      <w:rPr>
        <w:rFonts w:hint="default"/>
        <w:lang w:val="en-US" w:eastAsia="zh-CN" w:bidi="ar-SA"/>
      </w:rPr>
    </w:lvl>
  </w:abstractNum>
  <w:abstractNum w:abstractNumId="27">
    <w:nsid w:val="77023F88"/>
    <w:multiLevelType w:val="singleLevel"/>
    <w:tmpl w:val="77023F88"/>
    <w:lvl w:ilvl="0" w:tentative="0">
      <w:start w:val="1"/>
      <w:numFmt w:val="chineseCounting"/>
      <w:lvlText w:val="第%1章"/>
      <w:lvlJc w:val="left"/>
      <w:rPr>
        <w:rFonts w:hint="eastAsia"/>
      </w:rPr>
    </w:lvl>
  </w:abstractNum>
  <w:abstractNum w:abstractNumId="28">
    <w:nsid w:val="7F5F03EB"/>
    <w:multiLevelType w:val="multilevel"/>
    <w:tmpl w:val="7F5F03EB"/>
    <w:lvl w:ilvl="0" w:tentative="0">
      <w:start w:val="1"/>
      <w:numFmt w:val="decimal"/>
      <w:lvlText w:val="（%1）"/>
      <w:lvlJc w:val="left"/>
      <w:pPr>
        <w:ind w:left="1559"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2428" w:hanging="529"/>
      </w:pPr>
      <w:rPr>
        <w:rFonts w:hint="default"/>
        <w:lang w:val="en-US" w:eastAsia="zh-CN" w:bidi="ar-SA"/>
      </w:rPr>
    </w:lvl>
    <w:lvl w:ilvl="2" w:tentative="0">
      <w:start w:val="0"/>
      <w:numFmt w:val="bullet"/>
      <w:lvlText w:val="•"/>
      <w:lvlJc w:val="left"/>
      <w:pPr>
        <w:ind w:left="3297" w:hanging="529"/>
      </w:pPr>
      <w:rPr>
        <w:rFonts w:hint="default"/>
        <w:lang w:val="en-US" w:eastAsia="zh-CN" w:bidi="ar-SA"/>
      </w:rPr>
    </w:lvl>
    <w:lvl w:ilvl="3" w:tentative="0">
      <w:start w:val="0"/>
      <w:numFmt w:val="bullet"/>
      <w:lvlText w:val="•"/>
      <w:lvlJc w:val="left"/>
      <w:pPr>
        <w:ind w:left="4165" w:hanging="529"/>
      </w:pPr>
      <w:rPr>
        <w:rFonts w:hint="default"/>
        <w:lang w:val="en-US" w:eastAsia="zh-CN" w:bidi="ar-SA"/>
      </w:rPr>
    </w:lvl>
    <w:lvl w:ilvl="4" w:tentative="0">
      <w:start w:val="0"/>
      <w:numFmt w:val="bullet"/>
      <w:lvlText w:val="•"/>
      <w:lvlJc w:val="left"/>
      <w:pPr>
        <w:ind w:left="5034" w:hanging="529"/>
      </w:pPr>
      <w:rPr>
        <w:rFonts w:hint="default"/>
        <w:lang w:val="en-US" w:eastAsia="zh-CN" w:bidi="ar-SA"/>
      </w:rPr>
    </w:lvl>
    <w:lvl w:ilvl="5" w:tentative="0">
      <w:start w:val="0"/>
      <w:numFmt w:val="bullet"/>
      <w:lvlText w:val="•"/>
      <w:lvlJc w:val="left"/>
      <w:pPr>
        <w:ind w:left="5903" w:hanging="529"/>
      </w:pPr>
      <w:rPr>
        <w:rFonts w:hint="default"/>
        <w:lang w:val="en-US" w:eastAsia="zh-CN" w:bidi="ar-SA"/>
      </w:rPr>
    </w:lvl>
    <w:lvl w:ilvl="6" w:tentative="0">
      <w:start w:val="0"/>
      <w:numFmt w:val="bullet"/>
      <w:lvlText w:val="•"/>
      <w:lvlJc w:val="left"/>
      <w:pPr>
        <w:ind w:left="6771" w:hanging="529"/>
      </w:pPr>
      <w:rPr>
        <w:rFonts w:hint="default"/>
        <w:lang w:val="en-US" w:eastAsia="zh-CN" w:bidi="ar-SA"/>
      </w:rPr>
    </w:lvl>
    <w:lvl w:ilvl="7" w:tentative="0">
      <w:start w:val="0"/>
      <w:numFmt w:val="bullet"/>
      <w:lvlText w:val="•"/>
      <w:lvlJc w:val="left"/>
      <w:pPr>
        <w:ind w:left="7640" w:hanging="529"/>
      </w:pPr>
      <w:rPr>
        <w:rFonts w:hint="default"/>
        <w:lang w:val="en-US" w:eastAsia="zh-CN" w:bidi="ar-SA"/>
      </w:rPr>
    </w:lvl>
    <w:lvl w:ilvl="8" w:tentative="0">
      <w:start w:val="0"/>
      <w:numFmt w:val="bullet"/>
      <w:lvlText w:val="•"/>
      <w:lvlJc w:val="left"/>
      <w:pPr>
        <w:ind w:left="8509" w:hanging="529"/>
      </w:pPr>
      <w:rPr>
        <w:rFonts w:hint="default"/>
        <w:lang w:val="en-US" w:eastAsia="zh-CN" w:bidi="ar-SA"/>
      </w:rPr>
    </w:lvl>
  </w:abstractNum>
  <w:num w:numId="1">
    <w:abstractNumId w:val="27"/>
  </w:num>
  <w:num w:numId="2">
    <w:abstractNumId w:val="14"/>
  </w:num>
  <w:num w:numId="3">
    <w:abstractNumId w:val="20"/>
  </w:num>
  <w:num w:numId="4">
    <w:abstractNumId w:val="15"/>
  </w:num>
  <w:num w:numId="5">
    <w:abstractNumId w:val="3"/>
  </w:num>
  <w:num w:numId="6">
    <w:abstractNumId w:val="4"/>
  </w:num>
  <w:num w:numId="7">
    <w:abstractNumId w:val="13"/>
  </w:num>
  <w:num w:numId="8">
    <w:abstractNumId w:val="26"/>
  </w:num>
  <w:num w:numId="9">
    <w:abstractNumId w:val="18"/>
  </w:num>
  <w:num w:numId="10">
    <w:abstractNumId w:val="6"/>
  </w:num>
  <w:num w:numId="11">
    <w:abstractNumId w:val="2"/>
  </w:num>
  <w:num w:numId="12">
    <w:abstractNumId w:val="19"/>
  </w:num>
  <w:num w:numId="13">
    <w:abstractNumId w:val="28"/>
  </w:num>
  <w:num w:numId="14">
    <w:abstractNumId w:val="25"/>
  </w:num>
  <w:num w:numId="15">
    <w:abstractNumId w:val="22"/>
  </w:num>
  <w:num w:numId="16">
    <w:abstractNumId w:val="7"/>
  </w:num>
  <w:num w:numId="17">
    <w:abstractNumId w:val="5"/>
  </w:num>
  <w:num w:numId="18">
    <w:abstractNumId w:val="9"/>
  </w:num>
  <w:num w:numId="19">
    <w:abstractNumId w:val="10"/>
  </w:num>
  <w:num w:numId="20">
    <w:abstractNumId w:val="11"/>
  </w:num>
  <w:num w:numId="21">
    <w:abstractNumId w:val="1"/>
  </w:num>
  <w:num w:numId="22">
    <w:abstractNumId w:val="8"/>
  </w:num>
  <w:num w:numId="23">
    <w:abstractNumId w:val="17"/>
  </w:num>
  <w:num w:numId="24">
    <w:abstractNumId w:val="0"/>
  </w:num>
  <w:num w:numId="25">
    <w:abstractNumId w:val="23"/>
  </w:num>
  <w:num w:numId="26">
    <w:abstractNumId w:val="12"/>
  </w:num>
  <w:num w:numId="27">
    <w:abstractNumId w:val="16"/>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7B"/>
    <w:rsid w:val="00016DBD"/>
    <w:rsid w:val="0001748D"/>
    <w:rsid w:val="000D0343"/>
    <w:rsid w:val="00116C4D"/>
    <w:rsid w:val="00137316"/>
    <w:rsid w:val="0014086F"/>
    <w:rsid w:val="0017366D"/>
    <w:rsid w:val="00186C80"/>
    <w:rsid w:val="00196D24"/>
    <w:rsid w:val="001A7BE5"/>
    <w:rsid w:val="001F0E4E"/>
    <w:rsid w:val="002573EB"/>
    <w:rsid w:val="00264BB2"/>
    <w:rsid w:val="0029589B"/>
    <w:rsid w:val="002A3BE7"/>
    <w:rsid w:val="002A536C"/>
    <w:rsid w:val="002F59B5"/>
    <w:rsid w:val="00394FB1"/>
    <w:rsid w:val="003C0173"/>
    <w:rsid w:val="004562B1"/>
    <w:rsid w:val="004973C1"/>
    <w:rsid w:val="00503702"/>
    <w:rsid w:val="005E1A3B"/>
    <w:rsid w:val="00611EC8"/>
    <w:rsid w:val="0067384C"/>
    <w:rsid w:val="006C3367"/>
    <w:rsid w:val="00720F34"/>
    <w:rsid w:val="00734683"/>
    <w:rsid w:val="00734F7C"/>
    <w:rsid w:val="00736E76"/>
    <w:rsid w:val="00763492"/>
    <w:rsid w:val="00841019"/>
    <w:rsid w:val="0087553C"/>
    <w:rsid w:val="008A41DB"/>
    <w:rsid w:val="008B43F6"/>
    <w:rsid w:val="008D521C"/>
    <w:rsid w:val="00953285"/>
    <w:rsid w:val="00966B9E"/>
    <w:rsid w:val="0098530A"/>
    <w:rsid w:val="0098697B"/>
    <w:rsid w:val="00AD179C"/>
    <w:rsid w:val="00AD38DF"/>
    <w:rsid w:val="00AF4EF1"/>
    <w:rsid w:val="00B6055A"/>
    <w:rsid w:val="00B71338"/>
    <w:rsid w:val="00B71C24"/>
    <w:rsid w:val="00BA121C"/>
    <w:rsid w:val="00BD1FA6"/>
    <w:rsid w:val="00BD3EC3"/>
    <w:rsid w:val="00C06A21"/>
    <w:rsid w:val="00C108DF"/>
    <w:rsid w:val="00C902BC"/>
    <w:rsid w:val="00C90803"/>
    <w:rsid w:val="00CB2850"/>
    <w:rsid w:val="00CC663D"/>
    <w:rsid w:val="00CE74F6"/>
    <w:rsid w:val="00D25BE0"/>
    <w:rsid w:val="00D4056C"/>
    <w:rsid w:val="00D46B2C"/>
    <w:rsid w:val="00DC4C28"/>
    <w:rsid w:val="00EC3043"/>
    <w:rsid w:val="00EC57BB"/>
    <w:rsid w:val="00F00D1A"/>
    <w:rsid w:val="00F1789B"/>
    <w:rsid w:val="00F26AC6"/>
    <w:rsid w:val="00F67D54"/>
    <w:rsid w:val="00FD4037"/>
    <w:rsid w:val="011241D8"/>
    <w:rsid w:val="012C54EA"/>
    <w:rsid w:val="012D3F23"/>
    <w:rsid w:val="013376A4"/>
    <w:rsid w:val="01410A19"/>
    <w:rsid w:val="014514CC"/>
    <w:rsid w:val="014A1CC6"/>
    <w:rsid w:val="016E65AE"/>
    <w:rsid w:val="01771AD4"/>
    <w:rsid w:val="01847560"/>
    <w:rsid w:val="01923838"/>
    <w:rsid w:val="01A935C0"/>
    <w:rsid w:val="01AF6DFB"/>
    <w:rsid w:val="01B8094E"/>
    <w:rsid w:val="01C34C9E"/>
    <w:rsid w:val="01CB6EB6"/>
    <w:rsid w:val="01CD6246"/>
    <w:rsid w:val="01D7447F"/>
    <w:rsid w:val="01E143DD"/>
    <w:rsid w:val="01F650B7"/>
    <w:rsid w:val="0209745D"/>
    <w:rsid w:val="020A01B2"/>
    <w:rsid w:val="0245361A"/>
    <w:rsid w:val="02641737"/>
    <w:rsid w:val="026949F8"/>
    <w:rsid w:val="026C10AA"/>
    <w:rsid w:val="0295177E"/>
    <w:rsid w:val="02A4335B"/>
    <w:rsid w:val="02A4439A"/>
    <w:rsid w:val="02DC0E84"/>
    <w:rsid w:val="02E97B11"/>
    <w:rsid w:val="030F2D33"/>
    <w:rsid w:val="03136C72"/>
    <w:rsid w:val="03356C89"/>
    <w:rsid w:val="03400383"/>
    <w:rsid w:val="03402A02"/>
    <w:rsid w:val="03855F11"/>
    <w:rsid w:val="038A652F"/>
    <w:rsid w:val="038D798D"/>
    <w:rsid w:val="039F66F5"/>
    <w:rsid w:val="03A03677"/>
    <w:rsid w:val="03BA5C5C"/>
    <w:rsid w:val="03BB7E91"/>
    <w:rsid w:val="03BD533F"/>
    <w:rsid w:val="03DC6C30"/>
    <w:rsid w:val="03E036DD"/>
    <w:rsid w:val="03E13EFA"/>
    <w:rsid w:val="03E36C16"/>
    <w:rsid w:val="03FE5A2A"/>
    <w:rsid w:val="041C30EE"/>
    <w:rsid w:val="04212950"/>
    <w:rsid w:val="04515DB9"/>
    <w:rsid w:val="045E6EF2"/>
    <w:rsid w:val="0461337E"/>
    <w:rsid w:val="04674958"/>
    <w:rsid w:val="046A0118"/>
    <w:rsid w:val="0472005D"/>
    <w:rsid w:val="0472015B"/>
    <w:rsid w:val="04723610"/>
    <w:rsid w:val="049C14D6"/>
    <w:rsid w:val="04A33395"/>
    <w:rsid w:val="04A374E9"/>
    <w:rsid w:val="04A5753C"/>
    <w:rsid w:val="04B1502F"/>
    <w:rsid w:val="04B3466C"/>
    <w:rsid w:val="04C42C5F"/>
    <w:rsid w:val="04DA3A38"/>
    <w:rsid w:val="04FF1088"/>
    <w:rsid w:val="050C2CF5"/>
    <w:rsid w:val="051E7406"/>
    <w:rsid w:val="053B5C7D"/>
    <w:rsid w:val="055D50CE"/>
    <w:rsid w:val="0561032B"/>
    <w:rsid w:val="05697B77"/>
    <w:rsid w:val="0579710D"/>
    <w:rsid w:val="05997D3A"/>
    <w:rsid w:val="05B12992"/>
    <w:rsid w:val="05BA41C8"/>
    <w:rsid w:val="05CF1047"/>
    <w:rsid w:val="06092A7E"/>
    <w:rsid w:val="06117E8D"/>
    <w:rsid w:val="06232755"/>
    <w:rsid w:val="064F4CE6"/>
    <w:rsid w:val="065601C7"/>
    <w:rsid w:val="0679497D"/>
    <w:rsid w:val="067F20EB"/>
    <w:rsid w:val="06972DF6"/>
    <w:rsid w:val="069C586B"/>
    <w:rsid w:val="06A86CE4"/>
    <w:rsid w:val="06D72AEB"/>
    <w:rsid w:val="06EA2CA5"/>
    <w:rsid w:val="06F0691F"/>
    <w:rsid w:val="070259DB"/>
    <w:rsid w:val="071C7D37"/>
    <w:rsid w:val="072C1724"/>
    <w:rsid w:val="07486ABA"/>
    <w:rsid w:val="07493C2B"/>
    <w:rsid w:val="0752031E"/>
    <w:rsid w:val="07554753"/>
    <w:rsid w:val="0762687C"/>
    <w:rsid w:val="076904AB"/>
    <w:rsid w:val="07804F0E"/>
    <w:rsid w:val="07837B21"/>
    <w:rsid w:val="078F47BE"/>
    <w:rsid w:val="07913CB2"/>
    <w:rsid w:val="07972EE5"/>
    <w:rsid w:val="079E3EA7"/>
    <w:rsid w:val="07A414B1"/>
    <w:rsid w:val="07D92228"/>
    <w:rsid w:val="07DF05C9"/>
    <w:rsid w:val="07E92627"/>
    <w:rsid w:val="07F361F8"/>
    <w:rsid w:val="08003BB1"/>
    <w:rsid w:val="080873E5"/>
    <w:rsid w:val="08262E84"/>
    <w:rsid w:val="08271F14"/>
    <w:rsid w:val="08363E8D"/>
    <w:rsid w:val="085406F3"/>
    <w:rsid w:val="08675405"/>
    <w:rsid w:val="08887198"/>
    <w:rsid w:val="088926E7"/>
    <w:rsid w:val="089866BA"/>
    <w:rsid w:val="089D2657"/>
    <w:rsid w:val="08D45D6C"/>
    <w:rsid w:val="08D95815"/>
    <w:rsid w:val="08E13B34"/>
    <w:rsid w:val="08F13B0B"/>
    <w:rsid w:val="0916433B"/>
    <w:rsid w:val="0919687F"/>
    <w:rsid w:val="0927147C"/>
    <w:rsid w:val="09383575"/>
    <w:rsid w:val="09473811"/>
    <w:rsid w:val="09480D30"/>
    <w:rsid w:val="094D3D57"/>
    <w:rsid w:val="09650A91"/>
    <w:rsid w:val="096A2364"/>
    <w:rsid w:val="09991857"/>
    <w:rsid w:val="099E42B2"/>
    <w:rsid w:val="09B46689"/>
    <w:rsid w:val="09B51084"/>
    <w:rsid w:val="09B610B2"/>
    <w:rsid w:val="09D4744E"/>
    <w:rsid w:val="09E15B4A"/>
    <w:rsid w:val="09F60964"/>
    <w:rsid w:val="0A14093A"/>
    <w:rsid w:val="0A2A7159"/>
    <w:rsid w:val="0A2C3D1D"/>
    <w:rsid w:val="0A327509"/>
    <w:rsid w:val="0A4574C9"/>
    <w:rsid w:val="0A563CFF"/>
    <w:rsid w:val="0A6361A5"/>
    <w:rsid w:val="0AAC52EF"/>
    <w:rsid w:val="0AB510F8"/>
    <w:rsid w:val="0ACC124F"/>
    <w:rsid w:val="0AD5531B"/>
    <w:rsid w:val="0AD6225A"/>
    <w:rsid w:val="0AE02626"/>
    <w:rsid w:val="0AFB700A"/>
    <w:rsid w:val="0B2C4008"/>
    <w:rsid w:val="0B335ABB"/>
    <w:rsid w:val="0B395EFC"/>
    <w:rsid w:val="0B3C59E7"/>
    <w:rsid w:val="0B3C7B02"/>
    <w:rsid w:val="0B3D32B6"/>
    <w:rsid w:val="0B4A451C"/>
    <w:rsid w:val="0B5F5C59"/>
    <w:rsid w:val="0B627794"/>
    <w:rsid w:val="0B6545A0"/>
    <w:rsid w:val="0B694916"/>
    <w:rsid w:val="0B7430C2"/>
    <w:rsid w:val="0B774188"/>
    <w:rsid w:val="0B9359AD"/>
    <w:rsid w:val="0B9C1F98"/>
    <w:rsid w:val="0BAC0AA2"/>
    <w:rsid w:val="0BB51EF1"/>
    <w:rsid w:val="0BB87EB1"/>
    <w:rsid w:val="0BBD7D68"/>
    <w:rsid w:val="0BE05BF5"/>
    <w:rsid w:val="0BE434D6"/>
    <w:rsid w:val="0C0D0175"/>
    <w:rsid w:val="0C0F0835"/>
    <w:rsid w:val="0C152C32"/>
    <w:rsid w:val="0C2B0949"/>
    <w:rsid w:val="0C2B71D5"/>
    <w:rsid w:val="0C2C1EDC"/>
    <w:rsid w:val="0C327D73"/>
    <w:rsid w:val="0C3521D8"/>
    <w:rsid w:val="0C385DDA"/>
    <w:rsid w:val="0C442E5C"/>
    <w:rsid w:val="0C4D4267"/>
    <w:rsid w:val="0C83280B"/>
    <w:rsid w:val="0C8E5CF0"/>
    <w:rsid w:val="0CA1788F"/>
    <w:rsid w:val="0CA30D50"/>
    <w:rsid w:val="0CD45265"/>
    <w:rsid w:val="0CE9757B"/>
    <w:rsid w:val="0CF549B4"/>
    <w:rsid w:val="0CF92A1D"/>
    <w:rsid w:val="0D214F77"/>
    <w:rsid w:val="0D337CAA"/>
    <w:rsid w:val="0D386FFF"/>
    <w:rsid w:val="0D393227"/>
    <w:rsid w:val="0D4D5AFD"/>
    <w:rsid w:val="0D780912"/>
    <w:rsid w:val="0D7A27FE"/>
    <w:rsid w:val="0D9230B3"/>
    <w:rsid w:val="0D976B31"/>
    <w:rsid w:val="0D9D511B"/>
    <w:rsid w:val="0DA5749C"/>
    <w:rsid w:val="0DCF01C8"/>
    <w:rsid w:val="0DCF21E7"/>
    <w:rsid w:val="0DE8576F"/>
    <w:rsid w:val="0DEB03CA"/>
    <w:rsid w:val="0DEC0A33"/>
    <w:rsid w:val="0DF919EF"/>
    <w:rsid w:val="0DFB3B25"/>
    <w:rsid w:val="0E022D75"/>
    <w:rsid w:val="0E264A43"/>
    <w:rsid w:val="0E3F3304"/>
    <w:rsid w:val="0E5B351A"/>
    <w:rsid w:val="0E625F3A"/>
    <w:rsid w:val="0E66189A"/>
    <w:rsid w:val="0E6F3483"/>
    <w:rsid w:val="0E7E3176"/>
    <w:rsid w:val="0E8175A9"/>
    <w:rsid w:val="0E881E3A"/>
    <w:rsid w:val="0E947128"/>
    <w:rsid w:val="0E9D20CC"/>
    <w:rsid w:val="0EA91316"/>
    <w:rsid w:val="0ECE30CE"/>
    <w:rsid w:val="0ED056BD"/>
    <w:rsid w:val="0ED0755F"/>
    <w:rsid w:val="0ED7049F"/>
    <w:rsid w:val="0EDF628A"/>
    <w:rsid w:val="0F02797E"/>
    <w:rsid w:val="0F2141A3"/>
    <w:rsid w:val="0F3C1C4A"/>
    <w:rsid w:val="0F4E7F00"/>
    <w:rsid w:val="0F5677A0"/>
    <w:rsid w:val="0F6756F5"/>
    <w:rsid w:val="0F6E6BDB"/>
    <w:rsid w:val="0F795A66"/>
    <w:rsid w:val="0F90122A"/>
    <w:rsid w:val="0FA850A2"/>
    <w:rsid w:val="0FBF31AF"/>
    <w:rsid w:val="0FBF39A9"/>
    <w:rsid w:val="0FC41773"/>
    <w:rsid w:val="0FD45600"/>
    <w:rsid w:val="0FD86641"/>
    <w:rsid w:val="0FE271D9"/>
    <w:rsid w:val="10002597"/>
    <w:rsid w:val="10015CA7"/>
    <w:rsid w:val="10042E59"/>
    <w:rsid w:val="101007C0"/>
    <w:rsid w:val="102C5D08"/>
    <w:rsid w:val="10420854"/>
    <w:rsid w:val="10533DBC"/>
    <w:rsid w:val="106374DA"/>
    <w:rsid w:val="10AD594B"/>
    <w:rsid w:val="10D20244"/>
    <w:rsid w:val="10D5396E"/>
    <w:rsid w:val="10E279C2"/>
    <w:rsid w:val="11165E82"/>
    <w:rsid w:val="112D6B3D"/>
    <w:rsid w:val="11305EAE"/>
    <w:rsid w:val="11357DDA"/>
    <w:rsid w:val="11370F36"/>
    <w:rsid w:val="114269AA"/>
    <w:rsid w:val="11466B98"/>
    <w:rsid w:val="1160093E"/>
    <w:rsid w:val="118341A2"/>
    <w:rsid w:val="11A2323E"/>
    <w:rsid w:val="11F07945"/>
    <w:rsid w:val="11F27637"/>
    <w:rsid w:val="11FE776A"/>
    <w:rsid w:val="120E3C18"/>
    <w:rsid w:val="12317B62"/>
    <w:rsid w:val="12437212"/>
    <w:rsid w:val="125B4980"/>
    <w:rsid w:val="126114B5"/>
    <w:rsid w:val="12791964"/>
    <w:rsid w:val="128125C0"/>
    <w:rsid w:val="12876939"/>
    <w:rsid w:val="128A1323"/>
    <w:rsid w:val="128F4720"/>
    <w:rsid w:val="12930A9F"/>
    <w:rsid w:val="129D6054"/>
    <w:rsid w:val="12A72A12"/>
    <w:rsid w:val="12B05804"/>
    <w:rsid w:val="12CC21AE"/>
    <w:rsid w:val="12D376AF"/>
    <w:rsid w:val="12DE69C6"/>
    <w:rsid w:val="12E237E5"/>
    <w:rsid w:val="130448F9"/>
    <w:rsid w:val="134D4F85"/>
    <w:rsid w:val="137543A6"/>
    <w:rsid w:val="13765B69"/>
    <w:rsid w:val="137A6F94"/>
    <w:rsid w:val="13A01AB6"/>
    <w:rsid w:val="13B63AE4"/>
    <w:rsid w:val="13BB0EC6"/>
    <w:rsid w:val="13C826C4"/>
    <w:rsid w:val="13CD4494"/>
    <w:rsid w:val="13E20850"/>
    <w:rsid w:val="13EE16B5"/>
    <w:rsid w:val="14416197"/>
    <w:rsid w:val="14483A7E"/>
    <w:rsid w:val="144A1719"/>
    <w:rsid w:val="14515446"/>
    <w:rsid w:val="14691B2A"/>
    <w:rsid w:val="1482673A"/>
    <w:rsid w:val="149E2697"/>
    <w:rsid w:val="14AE53D1"/>
    <w:rsid w:val="14B876DC"/>
    <w:rsid w:val="14E22A1D"/>
    <w:rsid w:val="14F80DD1"/>
    <w:rsid w:val="14FD47AE"/>
    <w:rsid w:val="152344CF"/>
    <w:rsid w:val="152938F7"/>
    <w:rsid w:val="152A4672"/>
    <w:rsid w:val="15341BD5"/>
    <w:rsid w:val="15362722"/>
    <w:rsid w:val="1542013A"/>
    <w:rsid w:val="15491FB0"/>
    <w:rsid w:val="15507F3D"/>
    <w:rsid w:val="155656AD"/>
    <w:rsid w:val="155A7B25"/>
    <w:rsid w:val="156C4DF4"/>
    <w:rsid w:val="157F6312"/>
    <w:rsid w:val="15A3145B"/>
    <w:rsid w:val="15A360DD"/>
    <w:rsid w:val="15A82073"/>
    <w:rsid w:val="15CA0BB8"/>
    <w:rsid w:val="15D67979"/>
    <w:rsid w:val="15D7170B"/>
    <w:rsid w:val="15DE5A6D"/>
    <w:rsid w:val="15EA4FFE"/>
    <w:rsid w:val="15FB70B3"/>
    <w:rsid w:val="15FD2E31"/>
    <w:rsid w:val="160017DD"/>
    <w:rsid w:val="16166D82"/>
    <w:rsid w:val="161B2FF3"/>
    <w:rsid w:val="16294D89"/>
    <w:rsid w:val="163C1F4C"/>
    <w:rsid w:val="164446CF"/>
    <w:rsid w:val="165559F6"/>
    <w:rsid w:val="165C196F"/>
    <w:rsid w:val="16686448"/>
    <w:rsid w:val="16814314"/>
    <w:rsid w:val="16863F4B"/>
    <w:rsid w:val="168F44BC"/>
    <w:rsid w:val="16904D72"/>
    <w:rsid w:val="16B00835"/>
    <w:rsid w:val="16C03A22"/>
    <w:rsid w:val="16D54794"/>
    <w:rsid w:val="16E50E92"/>
    <w:rsid w:val="16F75C63"/>
    <w:rsid w:val="17054D08"/>
    <w:rsid w:val="170E13A6"/>
    <w:rsid w:val="17273651"/>
    <w:rsid w:val="172B39B9"/>
    <w:rsid w:val="172F5C5F"/>
    <w:rsid w:val="17306F1A"/>
    <w:rsid w:val="174D5008"/>
    <w:rsid w:val="17615132"/>
    <w:rsid w:val="17655A55"/>
    <w:rsid w:val="177C1926"/>
    <w:rsid w:val="178A182C"/>
    <w:rsid w:val="17CA666A"/>
    <w:rsid w:val="17D54CBB"/>
    <w:rsid w:val="17DB32BB"/>
    <w:rsid w:val="17E36A90"/>
    <w:rsid w:val="17E94B2D"/>
    <w:rsid w:val="18643201"/>
    <w:rsid w:val="1874185D"/>
    <w:rsid w:val="18910539"/>
    <w:rsid w:val="18AA0D67"/>
    <w:rsid w:val="18B12848"/>
    <w:rsid w:val="18B27012"/>
    <w:rsid w:val="18B81AD4"/>
    <w:rsid w:val="18C10D8A"/>
    <w:rsid w:val="18DF016B"/>
    <w:rsid w:val="19063EFD"/>
    <w:rsid w:val="192332ED"/>
    <w:rsid w:val="19290D4E"/>
    <w:rsid w:val="193543C8"/>
    <w:rsid w:val="19777D4D"/>
    <w:rsid w:val="198E7AF0"/>
    <w:rsid w:val="19927175"/>
    <w:rsid w:val="19D26F44"/>
    <w:rsid w:val="19D45427"/>
    <w:rsid w:val="19DC1869"/>
    <w:rsid w:val="19E21D0D"/>
    <w:rsid w:val="19E80919"/>
    <w:rsid w:val="1A5813CA"/>
    <w:rsid w:val="1A6E6A56"/>
    <w:rsid w:val="1A6F2EB6"/>
    <w:rsid w:val="1A8A11CF"/>
    <w:rsid w:val="1A8A6BC6"/>
    <w:rsid w:val="1A923A05"/>
    <w:rsid w:val="1AA051CC"/>
    <w:rsid w:val="1AD84A0D"/>
    <w:rsid w:val="1AD91AA4"/>
    <w:rsid w:val="1AE56665"/>
    <w:rsid w:val="1AF00071"/>
    <w:rsid w:val="1B1C4853"/>
    <w:rsid w:val="1B2049E8"/>
    <w:rsid w:val="1B25162A"/>
    <w:rsid w:val="1B3A2AC4"/>
    <w:rsid w:val="1B674B4D"/>
    <w:rsid w:val="1B6C6288"/>
    <w:rsid w:val="1B820486"/>
    <w:rsid w:val="1B912993"/>
    <w:rsid w:val="1B9527D1"/>
    <w:rsid w:val="1BA470FB"/>
    <w:rsid w:val="1BD50AA2"/>
    <w:rsid w:val="1BDE0548"/>
    <w:rsid w:val="1BE303A0"/>
    <w:rsid w:val="1BEA1933"/>
    <w:rsid w:val="1BEC77BD"/>
    <w:rsid w:val="1C060274"/>
    <w:rsid w:val="1C062F20"/>
    <w:rsid w:val="1C251B7A"/>
    <w:rsid w:val="1C2F2B18"/>
    <w:rsid w:val="1C341FF6"/>
    <w:rsid w:val="1C34581B"/>
    <w:rsid w:val="1C3A6B5C"/>
    <w:rsid w:val="1C4D1FD5"/>
    <w:rsid w:val="1C523E57"/>
    <w:rsid w:val="1C587A9B"/>
    <w:rsid w:val="1CA45864"/>
    <w:rsid w:val="1CA9348B"/>
    <w:rsid w:val="1CAE642E"/>
    <w:rsid w:val="1CBA3757"/>
    <w:rsid w:val="1CBB6347"/>
    <w:rsid w:val="1CBD6A20"/>
    <w:rsid w:val="1CD03CB7"/>
    <w:rsid w:val="1CE02EE0"/>
    <w:rsid w:val="1D352581"/>
    <w:rsid w:val="1D755422"/>
    <w:rsid w:val="1D812411"/>
    <w:rsid w:val="1DA22EC7"/>
    <w:rsid w:val="1DA5165F"/>
    <w:rsid w:val="1DB41ADC"/>
    <w:rsid w:val="1DFA6EE5"/>
    <w:rsid w:val="1DFB3C7A"/>
    <w:rsid w:val="1DFF3DDF"/>
    <w:rsid w:val="1E075D44"/>
    <w:rsid w:val="1E147355"/>
    <w:rsid w:val="1E212809"/>
    <w:rsid w:val="1E227FEF"/>
    <w:rsid w:val="1E2F553A"/>
    <w:rsid w:val="1E794567"/>
    <w:rsid w:val="1E851D20"/>
    <w:rsid w:val="1EA85A27"/>
    <w:rsid w:val="1EAA7669"/>
    <w:rsid w:val="1EBD1FDE"/>
    <w:rsid w:val="1EDA77AE"/>
    <w:rsid w:val="1EE10A25"/>
    <w:rsid w:val="1EF36D45"/>
    <w:rsid w:val="1EF71B77"/>
    <w:rsid w:val="1EF93C73"/>
    <w:rsid w:val="1F332866"/>
    <w:rsid w:val="1F4A44B7"/>
    <w:rsid w:val="1F646C41"/>
    <w:rsid w:val="1F652167"/>
    <w:rsid w:val="1F7B2C95"/>
    <w:rsid w:val="1F8536D4"/>
    <w:rsid w:val="1F957AF3"/>
    <w:rsid w:val="1F987005"/>
    <w:rsid w:val="1FBC5EDD"/>
    <w:rsid w:val="1FD857A4"/>
    <w:rsid w:val="1FDC24E6"/>
    <w:rsid w:val="1FE018EF"/>
    <w:rsid w:val="1FE3288C"/>
    <w:rsid w:val="1FE402BF"/>
    <w:rsid w:val="1FF87C71"/>
    <w:rsid w:val="20077B76"/>
    <w:rsid w:val="201507E7"/>
    <w:rsid w:val="204348F2"/>
    <w:rsid w:val="20661D16"/>
    <w:rsid w:val="207555CD"/>
    <w:rsid w:val="20896158"/>
    <w:rsid w:val="209952EF"/>
    <w:rsid w:val="209F773F"/>
    <w:rsid w:val="20B75CF2"/>
    <w:rsid w:val="20DD1102"/>
    <w:rsid w:val="20F442E2"/>
    <w:rsid w:val="21501535"/>
    <w:rsid w:val="216B5859"/>
    <w:rsid w:val="217A3840"/>
    <w:rsid w:val="219314C7"/>
    <w:rsid w:val="219C028D"/>
    <w:rsid w:val="21B31A8B"/>
    <w:rsid w:val="21BF22C1"/>
    <w:rsid w:val="21D776E7"/>
    <w:rsid w:val="22136519"/>
    <w:rsid w:val="22140E6D"/>
    <w:rsid w:val="222E456C"/>
    <w:rsid w:val="22542679"/>
    <w:rsid w:val="2277206C"/>
    <w:rsid w:val="227E77E2"/>
    <w:rsid w:val="22845F4C"/>
    <w:rsid w:val="22A53600"/>
    <w:rsid w:val="22CF2A5B"/>
    <w:rsid w:val="22E27C0F"/>
    <w:rsid w:val="22F07085"/>
    <w:rsid w:val="22F25B0C"/>
    <w:rsid w:val="23042087"/>
    <w:rsid w:val="231B386F"/>
    <w:rsid w:val="231F4B3F"/>
    <w:rsid w:val="23337FE7"/>
    <w:rsid w:val="234C6FBF"/>
    <w:rsid w:val="23503E6A"/>
    <w:rsid w:val="236828F1"/>
    <w:rsid w:val="236B0386"/>
    <w:rsid w:val="23824237"/>
    <w:rsid w:val="23975B18"/>
    <w:rsid w:val="23C97ABA"/>
    <w:rsid w:val="23E82129"/>
    <w:rsid w:val="23FD2132"/>
    <w:rsid w:val="240C498A"/>
    <w:rsid w:val="241B5F3C"/>
    <w:rsid w:val="2432449B"/>
    <w:rsid w:val="244A556E"/>
    <w:rsid w:val="24543BE1"/>
    <w:rsid w:val="245D0B84"/>
    <w:rsid w:val="245D266C"/>
    <w:rsid w:val="246C1CC3"/>
    <w:rsid w:val="24756BDD"/>
    <w:rsid w:val="24AE2AF0"/>
    <w:rsid w:val="24BA3BDC"/>
    <w:rsid w:val="24C442FD"/>
    <w:rsid w:val="24CA29DD"/>
    <w:rsid w:val="24E47C13"/>
    <w:rsid w:val="24F363EB"/>
    <w:rsid w:val="24FE4731"/>
    <w:rsid w:val="251C4EC8"/>
    <w:rsid w:val="25405010"/>
    <w:rsid w:val="25533B5E"/>
    <w:rsid w:val="257E63FE"/>
    <w:rsid w:val="258E4688"/>
    <w:rsid w:val="25E36FBB"/>
    <w:rsid w:val="25EB4F39"/>
    <w:rsid w:val="25FB17E5"/>
    <w:rsid w:val="26106C08"/>
    <w:rsid w:val="26297108"/>
    <w:rsid w:val="265D0464"/>
    <w:rsid w:val="266C6F22"/>
    <w:rsid w:val="267642F8"/>
    <w:rsid w:val="26A329D7"/>
    <w:rsid w:val="26B740B9"/>
    <w:rsid w:val="26C51558"/>
    <w:rsid w:val="26DE45B5"/>
    <w:rsid w:val="26EF7AC7"/>
    <w:rsid w:val="270F3976"/>
    <w:rsid w:val="271E6EFB"/>
    <w:rsid w:val="272A40AF"/>
    <w:rsid w:val="274B2384"/>
    <w:rsid w:val="27580046"/>
    <w:rsid w:val="277A5B5C"/>
    <w:rsid w:val="277F052D"/>
    <w:rsid w:val="278D0447"/>
    <w:rsid w:val="27A2079F"/>
    <w:rsid w:val="27A71469"/>
    <w:rsid w:val="27A7180A"/>
    <w:rsid w:val="27BF5732"/>
    <w:rsid w:val="27CE35AE"/>
    <w:rsid w:val="27CE40C3"/>
    <w:rsid w:val="27DD4ACF"/>
    <w:rsid w:val="27E105E4"/>
    <w:rsid w:val="27E122CF"/>
    <w:rsid w:val="27F7240D"/>
    <w:rsid w:val="27F72C1F"/>
    <w:rsid w:val="27FC1591"/>
    <w:rsid w:val="27FE7CD2"/>
    <w:rsid w:val="28020EC2"/>
    <w:rsid w:val="28070B5E"/>
    <w:rsid w:val="280A59BB"/>
    <w:rsid w:val="280F3524"/>
    <w:rsid w:val="281054C7"/>
    <w:rsid w:val="281F4FB9"/>
    <w:rsid w:val="283F312B"/>
    <w:rsid w:val="28414D8E"/>
    <w:rsid w:val="284C00BD"/>
    <w:rsid w:val="28674413"/>
    <w:rsid w:val="286F36E8"/>
    <w:rsid w:val="287C433F"/>
    <w:rsid w:val="288154AA"/>
    <w:rsid w:val="28966534"/>
    <w:rsid w:val="28B76CFB"/>
    <w:rsid w:val="28C6245B"/>
    <w:rsid w:val="28D53AFC"/>
    <w:rsid w:val="28DD1EFA"/>
    <w:rsid w:val="28EB1818"/>
    <w:rsid w:val="28FE6F73"/>
    <w:rsid w:val="29314B97"/>
    <w:rsid w:val="2940046A"/>
    <w:rsid w:val="296436D8"/>
    <w:rsid w:val="29681865"/>
    <w:rsid w:val="299016C0"/>
    <w:rsid w:val="299331C7"/>
    <w:rsid w:val="29AE0290"/>
    <w:rsid w:val="29E34726"/>
    <w:rsid w:val="29EC03AB"/>
    <w:rsid w:val="29FC4859"/>
    <w:rsid w:val="2A0320C2"/>
    <w:rsid w:val="2A150BD2"/>
    <w:rsid w:val="2A176F51"/>
    <w:rsid w:val="2A2208A5"/>
    <w:rsid w:val="2A70290F"/>
    <w:rsid w:val="2A8B2C50"/>
    <w:rsid w:val="2AA02111"/>
    <w:rsid w:val="2AA35518"/>
    <w:rsid w:val="2AAE7873"/>
    <w:rsid w:val="2AC30611"/>
    <w:rsid w:val="2AC84EEF"/>
    <w:rsid w:val="2AC9593C"/>
    <w:rsid w:val="2ADE4A6C"/>
    <w:rsid w:val="2ADF5EAE"/>
    <w:rsid w:val="2AEB0C0D"/>
    <w:rsid w:val="2B144463"/>
    <w:rsid w:val="2B202DDB"/>
    <w:rsid w:val="2B2125B6"/>
    <w:rsid w:val="2B2505D7"/>
    <w:rsid w:val="2B534825"/>
    <w:rsid w:val="2B6F6ADA"/>
    <w:rsid w:val="2B714C32"/>
    <w:rsid w:val="2B741DE9"/>
    <w:rsid w:val="2B7B1CF9"/>
    <w:rsid w:val="2B7E69AC"/>
    <w:rsid w:val="2B8E2CE6"/>
    <w:rsid w:val="2B923B68"/>
    <w:rsid w:val="2BAF58F2"/>
    <w:rsid w:val="2BBF1689"/>
    <w:rsid w:val="2BC635EE"/>
    <w:rsid w:val="2BCB107D"/>
    <w:rsid w:val="2BCF4F32"/>
    <w:rsid w:val="2BD13E6B"/>
    <w:rsid w:val="2BE2467E"/>
    <w:rsid w:val="2C0259B6"/>
    <w:rsid w:val="2C29781D"/>
    <w:rsid w:val="2C2E3313"/>
    <w:rsid w:val="2C3A3744"/>
    <w:rsid w:val="2C4953A7"/>
    <w:rsid w:val="2C597859"/>
    <w:rsid w:val="2C853543"/>
    <w:rsid w:val="2C97244C"/>
    <w:rsid w:val="2CB1730A"/>
    <w:rsid w:val="2CBE6214"/>
    <w:rsid w:val="2CC84ABA"/>
    <w:rsid w:val="2CCB2C03"/>
    <w:rsid w:val="2CD1241B"/>
    <w:rsid w:val="2CE6756D"/>
    <w:rsid w:val="2CEB08F2"/>
    <w:rsid w:val="2CF55B2C"/>
    <w:rsid w:val="2CFA01DA"/>
    <w:rsid w:val="2D030B34"/>
    <w:rsid w:val="2D115286"/>
    <w:rsid w:val="2D150A61"/>
    <w:rsid w:val="2D537124"/>
    <w:rsid w:val="2D6038EF"/>
    <w:rsid w:val="2D6317FF"/>
    <w:rsid w:val="2D670D08"/>
    <w:rsid w:val="2D674099"/>
    <w:rsid w:val="2D785E3B"/>
    <w:rsid w:val="2D975DE7"/>
    <w:rsid w:val="2D9E1C4B"/>
    <w:rsid w:val="2E235F59"/>
    <w:rsid w:val="2E2D7B0A"/>
    <w:rsid w:val="2E43573D"/>
    <w:rsid w:val="2E6A62C4"/>
    <w:rsid w:val="2E6C1E72"/>
    <w:rsid w:val="2E6D329A"/>
    <w:rsid w:val="2E8A4C25"/>
    <w:rsid w:val="2EB211C2"/>
    <w:rsid w:val="2EBA583A"/>
    <w:rsid w:val="2EBB6AB4"/>
    <w:rsid w:val="2EC10182"/>
    <w:rsid w:val="2EC37322"/>
    <w:rsid w:val="2ED34FE8"/>
    <w:rsid w:val="2EF97F9B"/>
    <w:rsid w:val="2F1F1F69"/>
    <w:rsid w:val="2F2668E2"/>
    <w:rsid w:val="2F2A651D"/>
    <w:rsid w:val="2F7C4B6B"/>
    <w:rsid w:val="2FA07036"/>
    <w:rsid w:val="2FC52CA3"/>
    <w:rsid w:val="2FE35757"/>
    <w:rsid w:val="2FEC2C90"/>
    <w:rsid w:val="300318FF"/>
    <w:rsid w:val="3010038E"/>
    <w:rsid w:val="304E7B6D"/>
    <w:rsid w:val="3064786A"/>
    <w:rsid w:val="306750AB"/>
    <w:rsid w:val="30737FD5"/>
    <w:rsid w:val="3096318E"/>
    <w:rsid w:val="30F17F3E"/>
    <w:rsid w:val="310B0E2C"/>
    <w:rsid w:val="311C1B4A"/>
    <w:rsid w:val="31550F92"/>
    <w:rsid w:val="315535E9"/>
    <w:rsid w:val="31603810"/>
    <w:rsid w:val="316F4E88"/>
    <w:rsid w:val="31962E02"/>
    <w:rsid w:val="31A73568"/>
    <w:rsid w:val="31A9317E"/>
    <w:rsid w:val="31B90941"/>
    <w:rsid w:val="31C74762"/>
    <w:rsid w:val="31E67F3B"/>
    <w:rsid w:val="31F17323"/>
    <w:rsid w:val="31FB6EBD"/>
    <w:rsid w:val="31FE4D2C"/>
    <w:rsid w:val="320C5949"/>
    <w:rsid w:val="321800B8"/>
    <w:rsid w:val="321C49C4"/>
    <w:rsid w:val="321E3226"/>
    <w:rsid w:val="32426612"/>
    <w:rsid w:val="32430FFE"/>
    <w:rsid w:val="32550110"/>
    <w:rsid w:val="32613236"/>
    <w:rsid w:val="329B0465"/>
    <w:rsid w:val="32A551EC"/>
    <w:rsid w:val="32E2157F"/>
    <w:rsid w:val="32F94AC5"/>
    <w:rsid w:val="33140D5C"/>
    <w:rsid w:val="332875CE"/>
    <w:rsid w:val="334B579D"/>
    <w:rsid w:val="334E0FE8"/>
    <w:rsid w:val="335E1F76"/>
    <w:rsid w:val="33652ECC"/>
    <w:rsid w:val="3375359C"/>
    <w:rsid w:val="33784B0B"/>
    <w:rsid w:val="337E585D"/>
    <w:rsid w:val="3392495B"/>
    <w:rsid w:val="339F7C75"/>
    <w:rsid w:val="33DB77B4"/>
    <w:rsid w:val="340333A5"/>
    <w:rsid w:val="34076ECC"/>
    <w:rsid w:val="34082ACE"/>
    <w:rsid w:val="342420C2"/>
    <w:rsid w:val="34614A78"/>
    <w:rsid w:val="3496436B"/>
    <w:rsid w:val="349C26A2"/>
    <w:rsid w:val="34A914C7"/>
    <w:rsid w:val="34C97957"/>
    <w:rsid w:val="34E00519"/>
    <w:rsid w:val="34E04876"/>
    <w:rsid w:val="34E86AEE"/>
    <w:rsid w:val="34EF71D1"/>
    <w:rsid w:val="35054ECB"/>
    <w:rsid w:val="35266539"/>
    <w:rsid w:val="352F7AFF"/>
    <w:rsid w:val="35673787"/>
    <w:rsid w:val="35763FC7"/>
    <w:rsid w:val="35786673"/>
    <w:rsid w:val="35996292"/>
    <w:rsid w:val="35A451FE"/>
    <w:rsid w:val="35AA0181"/>
    <w:rsid w:val="35B05BF5"/>
    <w:rsid w:val="35B40A8B"/>
    <w:rsid w:val="36057FCB"/>
    <w:rsid w:val="36087135"/>
    <w:rsid w:val="360E0BB9"/>
    <w:rsid w:val="36113982"/>
    <w:rsid w:val="36362E97"/>
    <w:rsid w:val="366127AB"/>
    <w:rsid w:val="369C358E"/>
    <w:rsid w:val="36B96DE3"/>
    <w:rsid w:val="36BE596B"/>
    <w:rsid w:val="36E3644E"/>
    <w:rsid w:val="3712386B"/>
    <w:rsid w:val="371C5C8C"/>
    <w:rsid w:val="37241043"/>
    <w:rsid w:val="3737601E"/>
    <w:rsid w:val="374D2848"/>
    <w:rsid w:val="37A04379"/>
    <w:rsid w:val="37A42D61"/>
    <w:rsid w:val="37A8335A"/>
    <w:rsid w:val="37A85B5D"/>
    <w:rsid w:val="37D47990"/>
    <w:rsid w:val="3838707C"/>
    <w:rsid w:val="385C3C89"/>
    <w:rsid w:val="38671D84"/>
    <w:rsid w:val="387F3610"/>
    <w:rsid w:val="388D4CF9"/>
    <w:rsid w:val="38970B26"/>
    <w:rsid w:val="38CA0ADD"/>
    <w:rsid w:val="38CF0BC0"/>
    <w:rsid w:val="38DF31D1"/>
    <w:rsid w:val="38E608B9"/>
    <w:rsid w:val="38E62115"/>
    <w:rsid w:val="38F719A3"/>
    <w:rsid w:val="392309E6"/>
    <w:rsid w:val="392C5334"/>
    <w:rsid w:val="39581128"/>
    <w:rsid w:val="395A6918"/>
    <w:rsid w:val="39635A46"/>
    <w:rsid w:val="396A1542"/>
    <w:rsid w:val="397806A5"/>
    <w:rsid w:val="397B41F3"/>
    <w:rsid w:val="3986799A"/>
    <w:rsid w:val="399A1E93"/>
    <w:rsid w:val="39C63C18"/>
    <w:rsid w:val="39D21700"/>
    <w:rsid w:val="39DA4CB4"/>
    <w:rsid w:val="39E42122"/>
    <w:rsid w:val="3A085357"/>
    <w:rsid w:val="3A167433"/>
    <w:rsid w:val="3A181E80"/>
    <w:rsid w:val="3A1C3498"/>
    <w:rsid w:val="3A414C98"/>
    <w:rsid w:val="3A420935"/>
    <w:rsid w:val="3A59492C"/>
    <w:rsid w:val="3A88337E"/>
    <w:rsid w:val="3A8B02AF"/>
    <w:rsid w:val="3A913DD8"/>
    <w:rsid w:val="3A944A43"/>
    <w:rsid w:val="3AB15CA3"/>
    <w:rsid w:val="3AD203C3"/>
    <w:rsid w:val="3AE81B91"/>
    <w:rsid w:val="3AE944F6"/>
    <w:rsid w:val="3AF05FF2"/>
    <w:rsid w:val="3AF217D0"/>
    <w:rsid w:val="3B15099C"/>
    <w:rsid w:val="3B267664"/>
    <w:rsid w:val="3B2F5B0A"/>
    <w:rsid w:val="3B3D2DD8"/>
    <w:rsid w:val="3B3F1D74"/>
    <w:rsid w:val="3B441893"/>
    <w:rsid w:val="3B4F0372"/>
    <w:rsid w:val="3B7831DD"/>
    <w:rsid w:val="3BBE6318"/>
    <w:rsid w:val="3BD35CE1"/>
    <w:rsid w:val="3BD91535"/>
    <w:rsid w:val="3BDE397B"/>
    <w:rsid w:val="3C180AF0"/>
    <w:rsid w:val="3C334195"/>
    <w:rsid w:val="3C594F6E"/>
    <w:rsid w:val="3C5C76A0"/>
    <w:rsid w:val="3C6C5F05"/>
    <w:rsid w:val="3C8B5075"/>
    <w:rsid w:val="3C941093"/>
    <w:rsid w:val="3C9514FA"/>
    <w:rsid w:val="3C9979B5"/>
    <w:rsid w:val="3CA65C29"/>
    <w:rsid w:val="3CAC6565"/>
    <w:rsid w:val="3CAE0DF5"/>
    <w:rsid w:val="3CB65862"/>
    <w:rsid w:val="3CBC446D"/>
    <w:rsid w:val="3CC5026C"/>
    <w:rsid w:val="3CCD5D3B"/>
    <w:rsid w:val="3CD15F10"/>
    <w:rsid w:val="3CED6B42"/>
    <w:rsid w:val="3D0259DC"/>
    <w:rsid w:val="3D035F0D"/>
    <w:rsid w:val="3D105EF4"/>
    <w:rsid w:val="3D1C16DD"/>
    <w:rsid w:val="3D2213D6"/>
    <w:rsid w:val="3D3C6B65"/>
    <w:rsid w:val="3D470126"/>
    <w:rsid w:val="3D572791"/>
    <w:rsid w:val="3D695D3E"/>
    <w:rsid w:val="3D714F6D"/>
    <w:rsid w:val="3D792B54"/>
    <w:rsid w:val="3DA511B1"/>
    <w:rsid w:val="3DAE2775"/>
    <w:rsid w:val="3E075884"/>
    <w:rsid w:val="3E294B64"/>
    <w:rsid w:val="3E2F2ED5"/>
    <w:rsid w:val="3E422D04"/>
    <w:rsid w:val="3E467D01"/>
    <w:rsid w:val="3E4B60B8"/>
    <w:rsid w:val="3E9922F2"/>
    <w:rsid w:val="3E997565"/>
    <w:rsid w:val="3EE07661"/>
    <w:rsid w:val="3EE60BA1"/>
    <w:rsid w:val="3F0E561C"/>
    <w:rsid w:val="3F100D10"/>
    <w:rsid w:val="3F122022"/>
    <w:rsid w:val="3F19791D"/>
    <w:rsid w:val="3F1E6288"/>
    <w:rsid w:val="3F2C72D1"/>
    <w:rsid w:val="3F354DA5"/>
    <w:rsid w:val="3F552FBB"/>
    <w:rsid w:val="3F5715A7"/>
    <w:rsid w:val="3F626E6D"/>
    <w:rsid w:val="3F6F30C9"/>
    <w:rsid w:val="3F872EC9"/>
    <w:rsid w:val="3F9A0C5A"/>
    <w:rsid w:val="3FAF2F84"/>
    <w:rsid w:val="3FB32B6A"/>
    <w:rsid w:val="3FF72652"/>
    <w:rsid w:val="3FFE1D3E"/>
    <w:rsid w:val="40006B5B"/>
    <w:rsid w:val="40007935"/>
    <w:rsid w:val="405A2951"/>
    <w:rsid w:val="40714347"/>
    <w:rsid w:val="408D0239"/>
    <w:rsid w:val="408D53E7"/>
    <w:rsid w:val="40B1405B"/>
    <w:rsid w:val="40CC199E"/>
    <w:rsid w:val="40D638A5"/>
    <w:rsid w:val="40EA3B97"/>
    <w:rsid w:val="40EC6C29"/>
    <w:rsid w:val="40F5091C"/>
    <w:rsid w:val="41125299"/>
    <w:rsid w:val="411301D8"/>
    <w:rsid w:val="41270038"/>
    <w:rsid w:val="4142789B"/>
    <w:rsid w:val="41562BB4"/>
    <w:rsid w:val="416C7A56"/>
    <w:rsid w:val="417506F1"/>
    <w:rsid w:val="41764EED"/>
    <w:rsid w:val="417E7191"/>
    <w:rsid w:val="418B5678"/>
    <w:rsid w:val="419354B9"/>
    <w:rsid w:val="419F136C"/>
    <w:rsid w:val="41A61D33"/>
    <w:rsid w:val="41B508C8"/>
    <w:rsid w:val="41D0353E"/>
    <w:rsid w:val="41D96C63"/>
    <w:rsid w:val="41DD0B58"/>
    <w:rsid w:val="41DF0807"/>
    <w:rsid w:val="41EB5E8F"/>
    <w:rsid w:val="41F45815"/>
    <w:rsid w:val="421931C6"/>
    <w:rsid w:val="42265099"/>
    <w:rsid w:val="42396A5A"/>
    <w:rsid w:val="423D5365"/>
    <w:rsid w:val="42452D8B"/>
    <w:rsid w:val="424C66CF"/>
    <w:rsid w:val="424E0D18"/>
    <w:rsid w:val="42553416"/>
    <w:rsid w:val="426A7B86"/>
    <w:rsid w:val="42AC211D"/>
    <w:rsid w:val="42B425A2"/>
    <w:rsid w:val="42BE24C8"/>
    <w:rsid w:val="42C96E3F"/>
    <w:rsid w:val="42D502EC"/>
    <w:rsid w:val="42D95231"/>
    <w:rsid w:val="43014B62"/>
    <w:rsid w:val="430F7A2C"/>
    <w:rsid w:val="43164807"/>
    <w:rsid w:val="43572D03"/>
    <w:rsid w:val="436B7BBE"/>
    <w:rsid w:val="437C68E8"/>
    <w:rsid w:val="43D25066"/>
    <w:rsid w:val="43E33463"/>
    <w:rsid w:val="43E90333"/>
    <w:rsid w:val="441709FA"/>
    <w:rsid w:val="44181E7F"/>
    <w:rsid w:val="442E252A"/>
    <w:rsid w:val="4455440C"/>
    <w:rsid w:val="44556E49"/>
    <w:rsid w:val="445C52BA"/>
    <w:rsid w:val="44770CE1"/>
    <w:rsid w:val="447767E1"/>
    <w:rsid w:val="447C1029"/>
    <w:rsid w:val="44915775"/>
    <w:rsid w:val="44964C1B"/>
    <w:rsid w:val="44A60017"/>
    <w:rsid w:val="44AD557B"/>
    <w:rsid w:val="44C06047"/>
    <w:rsid w:val="44C90A28"/>
    <w:rsid w:val="44CF27E3"/>
    <w:rsid w:val="44D303EC"/>
    <w:rsid w:val="45012EC7"/>
    <w:rsid w:val="450517DE"/>
    <w:rsid w:val="4515027D"/>
    <w:rsid w:val="454429BC"/>
    <w:rsid w:val="45601FC9"/>
    <w:rsid w:val="45651E92"/>
    <w:rsid w:val="456E2039"/>
    <w:rsid w:val="45753AEC"/>
    <w:rsid w:val="457C034D"/>
    <w:rsid w:val="4580512D"/>
    <w:rsid w:val="45896B12"/>
    <w:rsid w:val="459C049D"/>
    <w:rsid w:val="45C1516C"/>
    <w:rsid w:val="45CF6494"/>
    <w:rsid w:val="45D74FB0"/>
    <w:rsid w:val="45E623EA"/>
    <w:rsid w:val="45F26131"/>
    <w:rsid w:val="45F30C3F"/>
    <w:rsid w:val="45F32479"/>
    <w:rsid w:val="46052D82"/>
    <w:rsid w:val="46483F68"/>
    <w:rsid w:val="466B3032"/>
    <w:rsid w:val="4677187B"/>
    <w:rsid w:val="46816C6B"/>
    <w:rsid w:val="46923FD4"/>
    <w:rsid w:val="46973178"/>
    <w:rsid w:val="46D061CC"/>
    <w:rsid w:val="46D53661"/>
    <w:rsid w:val="46D826F7"/>
    <w:rsid w:val="46DB7786"/>
    <w:rsid w:val="47370C8D"/>
    <w:rsid w:val="474102FC"/>
    <w:rsid w:val="47480551"/>
    <w:rsid w:val="47553F36"/>
    <w:rsid w:val="47650463"/>
    <w:rsid w:val="4783636A"/>
    <w:rsid w:val="47BE3502"/>
    <w:rsid w:val="47C27AD7"/>
    <w:rsid w:val="47D50CD8"/>
    <w:rsid w:val="47F706BC"/>
    <w:rsid w:val="480233F6"/>
    <w:rsid w:val="480436FB"/>
    <w:rsid w:val="481F5474"/>
    <w:rsid w:val="483B4A94"/>
    <w:rsid w:val="48421D7B"/>
    <w:rsid w:val="484C3E90"/>
    <w:rsid w:val="485C2E64"/>
    <w:rsid w:val="48631FF0"/>
    <w:rsid w:val="4869571F"/>
    <w:rsid w:val="486A72D2"/>
    <w:rsid w:val="48A170B1"/>
    <w:rsid w:val="48A5326A"/>
    <w:rsid w:val="48AE423A"/>
    <w:rsid w:val="48F407F6"/>
    <w:rsid w:val="48F927E6"/>
    <w:rsid w:val="492858CA"/>
    <w:rsid w:val="494F6DBD"/>
    <w:rsid w:val="498E5DD1"/>
    <w:rsid w:val="499165C4"/>
    <w:rsid w:val="49A30A99"/>
    <w:rsid w:val="49A87B4F"/>
    <w:rsid w:val="49AB6127"/>
    <w:rsid w:val="49CE43E7"/>
    <w:rsid w:val="49E364FB"/>
    <w:rsid w:val="4A3412C9"/>
    <w:rsid w:val="4A78599A"/>
    <w:rsid w:val="4A810B44"/>
    <w:rsid w:val="4AA4498A"/>
    <w:rsid w:val="4AA87FC4"/>
    <w:rsid w:val="4AC24B3D"/>
    <w:rsid w:val="4B280234"/>
    <w:rsid w:val="4B555191"/>
    <w:rsid w:val="4B8479B7"/>
    <w:rsid w:val="4B8D1BB3"/>
    <w:rsid w:val="4BFB115E"/>
    <w:rsid w:val="4C0676F7"/>
    <w:rsid w:val="4C0F15C0"/>
    <w:rsid w:val="4C1A7588"/>
    <w:rsid w:val="4C1B0B77"/>
    <w:rsid w:val="4C43264E"/>
    <w:rsid w:val="4C505015"/>
    <w:rsid w:val="4C636FD2"/>
    <w:rsid w:val="4C6E52C6"/>
    <w:rsid w:val="4C771EEA"/>
    <w:rsid w:val="4CA92EFA"/>
    <w:rsid w:val="4CAD23A5"/>
    <w:rsid w:val="4CD35445"/>
    <w:rsid w:val="4CD817D5"/>
    <w:rsid w:val="4CF329A5"/>
    <w:rsid w:val="4CFA5C23"/>
    <w:rsid w:val="4D1627F1"/>
    <w:rsid w:val="4D5C6DEF"/>
    <w:rsid w:val="4D81181A"/>
    <w:rsid w:val="4D8C697C"/>
    <w:rsid w:val="4D8D5290"/>
    <w:rsid w:val="4D9B538F"/>
    <w:rsid w:val="4D9F257F"/>
    <w:rsid w:val="4DA950FD"/>
    <w:rsid w:val="4DB61D2F"/>
    <w:rsid w:val="4DB8293A"/>
    <w:rsid w:val="4DB86B8A"/>
    <w:rsid w:val="4DBD7B7E"/>
    <w:rsid w:val="4DD53790"/>
    <w:rsid w:val="4DD75E78"/>
    <w:rsid w:val="4DE83BBD"/>
    <w:rsid w:val="4DE84A09"/>
    <w:rsid w:val="4DF12A4C"/>
    <w:rsid w:val="4DF545DD"/>
    <w:rsid w:val="4DF64E09"/>
    <w:rsid w:val="4DF72C1D"/>
    <w:rsid w:val="4E0E5D64"/>
    <w:rsid w:val="4E4272B2"/>
    <w:rsid w:val="4E507EBE"/>
    <w:rsid w:val="4E794AFE"/>
    <w:rsid w:val="4E7E32DA"/>
    <w:rsid w:val="4E810403"/>
    <w:rsid w:val="4E92708C"/>
    <w:rsid w:val="4E983CB7"/>
    <w:rsid w:val="4EA22966"/>
    <w:rsid w:val="4EB01DC4"/>
    <w:rsid w:val="4EC661D9"/>
    <w:rsid w:val="4EF9097E"/>
    <w:rsid w:val="4EFD74AC"/>
    <w:rsid w:val="4F245917"/>
    <w:rsid w:val="4F274183"/>
    <w:rsid w:val="4F414C6E"/>
    <w:rsid w:val="4F7541F9"/>
    <w:rsid w:val="4F7B4D41"/>
    <w:rsid w:val="4F7C0342"/>
    <w:rsid w:val="4F7C7DD3"/>
    <w:rsid w:val="4F9D1278"/>
    <w:rsid w:val="4F9F5D8E"/>
    <w:rsid w:val="4FA20829"/>
    <w:rsid w:val="4FA64AC6"/>
    <w:rsid w:val="4FB15419"/>
    <w:rsid w:val="4FC50BCE"/>
    <w:rsid w:val="4FCF6E6A"/>
    <w:rsid w:val="4FD16C52"/>
    <w:rsid w:val="4FD62928"/>
    <w:rsid w:val="4FDC0DC2"/>
    <w:rsid w:val="4FF11C41"/>
    <w:rsid w:val="4FFA7704"/>
    <w:rsid w:val="4FFF1826"/>
    <w:rsid w:val="5001066D"/>
    <w:rsid w:val="500F750A"/>
    <w:rsid w:val="503B09E9"/>
    <w:rsid w:val="50425547"/>
    <w:rsid w:val="505A2FAF"/>
    <w:rsid w:val="50901ADE"/>
    <w:rsid w:val="50A61CCD"/>
    <w:rsid w:val="50B94FBF"/>
    <w:rsid w:val="50C216C1"/>
    <w:rsid w:val="50D512CD"/>
    <w:rsid w:val="50F459E9"/>
    <w:rsid w:val="511E3A4B"/>
    <w:rsid w:val="51270937"/>
    <w:rsid w:val="512E5BD9"/>
    <w:rsid w:val="51336DFE"/>
    <w:rsid w:val="51420D53"/>
    <w:rsid w:val="515E4F3A"/>
    <w:rsid w:val="51654CC5"/>
    <w:rsid w:val="51751068"/>
    <w:rsid w:val="518942FC"/>
    <w:rsid w:val="51A20478"/>
    <w:rsid w:val="51B37905"/>
    <w:rsid w:val="51C00996"/>
    <w:rsid w:val="51D9668E"/>
    <w:rsid w:val="51E67519"/>
    <w:rsid w:val="51EB0587"/>
    <w:rsid w:val="51F80912"/>
    <w:rsid w:val="520E44DA"/>
    <w:rsid w:val="520E65BA"/>
    <w:rsid w:val="52232331"/>
    <w:rsid w:val="52294DAB"/>
    <w:rsid w:val="523560F6"/>
    <w:rsid w:val="52465AFE"/>
    <w:rsid w:val="52683B4D"/>
    <w:rsid w:val="526840F6"/>
    <w:rsid w:val="527D706F"/>
    <w:rsid w:val="528F1AC5"/>
    <w:rsid w:val="52BB4470"/>
    <w:rsid w:val="52BD3806"/>
    <w:rsid w:val="52CC286C"/>
    <w:rsid w:val="52D22C1E"/>
    <w:rsid w:val="52D26D7D"/>
    <w:rsid w:val="52E3084B"/>
    <w:rsid w:val="52F119E0"/>
    <w:rsid w:val="530A154F"/>
    <w:rsid w:val="53234358"/>
    <w:rsid w:val="533A2201"/>
    <w:rsid w:val="533A31C5"/>
    <w:rsid w:val="53536515"/>
    <w:rsid w:val="535A6999"/>
    <w:rsid w:val="535C2DAB"/>
    <w:rsid w:val="53916BA9"/>
    <w:rsid w:val="53AE721A"/>
    <w:rsid w:val="53BF5228"/>
    <w:rsid w:val="53CE0F12"/>
    <w:rsid w:val="53CE2E3B"/>
    <w:rsid w:val="53CF4F7C"/>
    <w:rsid w:val="53D671A6"/>
    <w:rsid w:val="53E6311E"/>
    <w:rsid w:val="53F84664"/>
    <w:rsid w:val="53FA68D6"/>
    <w:rsid w:val="540455C9"/>
    <w:rsid w:val="540B5DC0"/>
    <w:rsid w:val="546142FA"/>
    <w:rsid w:val="54686838"/>
    <w:rsid w:val="54834CCF"/>
    <w:rsid w:val="549620EF"/>
    <w:rsid w:val="54A74AEC"/>
    <w:rsid w:val="54A8460E"/>
    <w:rsid w:val="54E17AD1"/>
    <w:rsid w:val="551C4DDA"/>
    <w:rsid w:val="55261397"/>
    <w:rsid w:val="55314553"/>
    <w:rsid w:val="55B3516B"/>
    <w:rsid w:val="55BC1E4F"/>
    <w:rsid w:val="55BD1B6C"/>
    <w:rsid w:val="55CE059D"/>
    <w:rsid w:val="55E26281"/>
    <w:rsid w:val="55E454E6"/>
    <w:rsid w:val="55F13D65"/>
    <w:rsid w:val="56060FC2"/>
    <w:rsid w:val="56073323"/>
    <w:rsid w:val="560B071F"/>
    <w:rsid w:val="561462DE"/>
    <w:rsid w:val="561775CB"/>
    <w:rsid w:val="56212332"/>
    <w:rsid w:val="56501AA7"/>
    <w:rsid w:val="56565758"/>
    <w:rsid w:val="568D3DC2"/>
    <w:rsid w:val="56AB7B61"/>
    <w:rsid w:val="56AD6F44"/>
    <w:rsid w:val="56AF784B"/>
    <w:rsid w:val="56C60FB2"/>
    <w:rsid w:val="56D12006"/>
    <w:rsid w:val="56DE7059"/>
    <w:rsid w:val="56EE5292"/>
    <w:rsid w:val="571C0DA2"/>
    <w:rsid w:val="576455DF"/>
    <w:rsid w:val="57A60A10"/>
    <w:rsid w:val="57AF68E7"/>
    <w:rsid w:val="57B46A88"/>
    <w:rsid w:val="57C2748D"/>
    <w:rsid w:val="57CF1BD3"/>
    <w:rsid w:val="57D2688B"/>
    <w:rsid w:val="57EB46F3"/>
    <w:rsid w:val="580D24EC"/>
    <w:rsid w:val="5815778D"/>
    <w:rsid w:val="582D49DD"/>
    <w:rsid w:val="58302449"/>
    <w:rsid w:val="5831545F"/>
    <w:rsid w:val="583D0BC3"/>
    <w:rsid w:val="585665F0"/>
    <w:rsid w:val="58616982"/>
    <w:rsid w:val="58930552"/>
    <w:rsid w:val="58B236D4"/>
    <w:rsid w:val="58B86292"/>
    <w:rsid w:val="58BA48D6"/>
    <w:rsid w:val="58F5368E"/>
    <w:rsid w:val="59020F8C"/>
    <w:rsid w:val="590C6EBC"/>
    <w:rsid w:val="596B1368"/>
    <w:rsid w:val="599B7BFA"/>
    <w:rsid w:val="599C3942"/>
    <w:rsid w:val="59A229DA"/>
    <w:rsid w:val="59BE6AFA"/>
    <w:rsid w:val="59C824F8"/>
    <w:rsid w:val="5A0457F0"/>
    <w:rsid w:val="5A09584D"/>
    <w:rsid w:val="5A1565AF"/>
    <w:rsid w:val="5A1B7E22"/>
    <w:rsid w:val="5A1E4C0E"/>
    <w:rsid w:val="5A37034F"/>
    <w:rsid w:val="5A414447"/>
    <w:rsid w:val="5A5F501E"/>
    <w:rsid w:val="5A7D39FE"/>
    <w:rsid w:val="5ACB3ACF"/>
    <w:rsid w:val="5AD34F9B"/>
    <w:rsid w:val="5ADC1CDB"/>
    <w:rsid w:val="5AE21AB0"/>
    <w:rsid w:val="5AE96FE6"/>
    <w:rsid w:val="5AF40A8B"/>
    <w:rsid w:val="5AFD4901"/>
    <w:rsid w:val="5B0A0805"/>
    <w:rsid w:val="5B0E7270"/>
    <w:rsid w:val="5B102242"/>
    <w:rsid w:val="5B3442BD"/>
    <w:rsid w:val="5B781883"/>
    <w:rsid w:val="5B917640"/>
    <w:rsid w:val="5B9649F4"/>
    <w:rsid w:val="5B976EE6"/>
    <w:rsid w:val="5BA670CD"/>
    <w:rsid w:val="5BC04077"/>
    <w:rsid w:val="5BDF3615"/>
    <w:rsid w:val="5BE8653B"/>
    <w:rsid w:val="5C295EFB"/>
    <w:rsid w:val="5C2E3A6C"/>
    <w:rsid w:val="5C3B5632"/>
    <w:rsid w:val="5C4149BE"/>
    <w:rsid w:val="5C533152"/>
    <w:rsid w:val="5C5B1FC2"/>
    <w:rsid w:val="5C6B5753"/>
    <w:rsid w:val="5C857136"/>
    <w:rsid w:val="5C8D7D0A"/>
    <w:rsid w:val="5C97116D"/>
    <w:rsid w:val="5CBD4AF7"/>
    <w:rsid w:val="5CC66FBC"/>
    <w:rsid w:val="5CCF644E"/>
    <w:rsid w:val="5CD331B8"/>
    <w:rsid w:val="5CD41687"/>
    <w:rsid w:val="5D0F154E"/>
    <w:rsid w:val="5D11625A"/>
    <w:rsid w:val="5D170375"/>
    <w:rsid w:val="5D1F1F4A"/>
    <w:rsid w:val="5D236E48"/>
    <w:rsid w:val="5D3821A3"/>
    <w:rsid w:val="5D412D75"/>
    <w:rsid w:val="5D5279CF"/>
    <w:rsid w:val="5D5A03FB"/>
    <w:rsid w:val="5D68639B"/>
    <w:rsid w:val="5D84474C"/>
    <w:rsid w:val="5D8C3C7E"/>
    <w:rsid w:val="5D8D6AE7"/>
    <w:rsid w:val="5D8F4661"/>
    <w:rsid w:val="5D901F41"/>
    <w:rsid w:val="5DBD059B"/>
    <w:rsid w:val="5DBD4A6D"/>
    <w:rsid w:val="5DC55489"/>
    <w:rsid w:val="5E3E0AD3"/>
    <w:rsid w:val="5E402410"/>
    <w:rsid w:val="5E433DDE"/>
    <w:rsid w:val="5E4E462A"/>
    <w:rsid w:val="5E57365F"/>
    <w:rsid w:val="5E5A7971"/>
    <w:rsid w:val="5E5F33D4"/>
    <w:rsid w:val="5E6278EC"/>
    <w:rsid w:val="5E992C66"/>
    <w:rsid w:val="5EAF3772"/>
    <w:rsid w:val="5EB97E80"/>
    <w:rsid w:val="5EBB4590"/>
    <w:rsid w:val="5ECE655C"/>
    <w:rsid w:val="5ECF573D"/>
    <w:rsid w:val="5EEA77E6"/>
    <w:rsid w:val="5EF0714A"/>
    <w:rsid w:val="5EF159BA"/>
    <w:rsid w:val="5F017E06"/>
    <w:rsid w:val="5F055DB5"/>
    <w:rsid w:val="5F1300F9"/>
    <w:rsid w:val="5F1A1259"/>
    <w:rsid w:val="5F8643A2"/>
    <w:rsid w:val="5F902C4B"/>
    <w:rsid w:val="5F943F3B"/>
    <w:rsid w:val="5FBE0B28"/>
    <w:rsid w:val="5FC94EB7"/>
    <w:rsid w:val="5FCC5942"/>
    <w:rsid w:val="60237771"/>
    <w:rsid w:val="6031509F"/>
    <w:rsid w:val="60615013"/>
    <w:rsid w:val="60615AD9"/>
    <w:rsid w:val="60820425"/>
    <w:rsid w:val="609071E6"/>
    <w:rsid w:val="609B15BA"/>
    <w:rsid w:val="609E6A8E"/>
    <w:rsid w:val="60A5156D"/>
    <w:rsid w:val="60BB4617"/>
    <w:rsid w:val="61056C76"/>
    <w:rsid w:val="611D2606"/>
    <w:rsid w:val="61201578"/>
    <w:rsid w:val="613D7B2C"/>
    <w:rsid w:val="614958C7"/>
    <w:rsid w:val="6181663D"/>
    <w:rsid w:val="61837BBD"/>
    <w:rsid w:val="618818AE"/>
    <w:rsid w:val="61BB2BBD"/>
    <w:rsid w:val="61E1705A"/>
    <w:rsid w:val="61EF55BB"/>
    <w:rsid w:val="62030F2D"/>
    <w:rsid w:val="62037919"/>
    <w:rsid w:val="62346202"/>
    <w:rsid w:val="623A510F"/>
    <w:rsid w:val="623A7302"/>
    <w:rsid w:val="62431313"/>
    <w:rsid w:val="62446B8F"/>
    <w:rsid w:val="62470D08"/>
    <w:rsid w:val="6248150A"/>
    <w:rsid w:val="624819B7"/>
    <w:rsid w:val="625828D2"/>
    <w:rsid w:val="627C6A8F"/>
    <w:rsid w:val="62A73414"/>
    <w:rsid w:val="62B5198A"/>
    <w:rsid w:val="62B61575"/>
    <w:rsid w:val="62C6055B"/>
    <w:rsid w:val="62CF0E12"/>
    <w:rsid w:val="62D2016F"/>
    <w:rsid w:val="62D820AD"/>
    <w:rsid w:val="62F62ABA"/>
    <w:rsid w:val="6305129A"/>
    <w:rsid w:val="63196E5B"/>
    <w:rsid w:val="631C3BBB"/>
    <w:rsid w:val="63206B51"/>
    <w:rsid w:val="632804DF"/>
    <w:rsid w:val="633236BA"/>
    <w:rsid w:val="633C6418"/>
    <w:rsid w:val="635C49E1"/>
    <w:rsid w:val="63614243"/>
    <w:rsid w:val="63644CC4"/>
    <w:rsid w:val="63943E29"/>
    <w:rsid w:val="63C45326"/>
    <w:rsid w:val="63C75AB9"/>
    <w:rsid w:val="63D05AFF"/>
    <w:rsid w:val="63EE43F2"/>
    <w:rsid w:val="63F45830"/>
    <w:rsid w:val="63F82348"/>
    <w:rsid w:val="640D705E"/>
    <w:rsid w:val="643F2AEA"/>
    <w:rsid w:val="64524040"/>
    <w:rsid w:val="64680F7A"/>
    <w:rsid w:val="646A4F4F"/>
    <w:rsid w:val="64740B2E"/>
    <w:rsid w:val="648030EB"/>
    <w:rsid w:val="64977BF5"/>
    <w:rsid w:val="64AC4562"/>
    <w:rsid w:val="64B87444"/>
    <w:rsid w:val="64CF7D00"/>
    <w:rsid w:val="64DC58B6"/>
    <w:rsid w:val="64E10FA4"/>
    <w:rsid w:val="64F1695D"/>
    <w:rsid w:val="65035A62"/>
    <w:rsid w:val="650B3BD1"/>
    <w:rsid w:val="65172293"/>
    <w:rsid w:val="651C1875"/>
    <w:rsid w:val="651F4086"/>
    <w:rsid w:val="65244C07"/>
    <w:rsid w:val="655449BB"/>
    <w:rsid w:val="65622C57"/>
    <w:rsid w:val="65663101"/>
    <w:rsid w:val="65735143"/>
    <w:rsid w:val="658B0BDF"/>
    <w:rsid w:val="659763F2"/>
    <w:rsid w:val="65F06B34"/>
    <w:rsid w:val="661974C3"/>
    <w:rsid w:val="663B25A2"/>
    <w:rsid w:val="66412C12"/>
    <w:rsid w:val="665C0FC1"/>
    <w:rsid w:val="66717D32"/>
    <w:rsid w:val="667D5882"/>
    <w:rsid w:val="66AE563C"/>
    <w:rsid w:val="66BD7E76"/>
    <w:rsid w:val="66BF2E3B"/>
    <w:rsid w:val="66C66275"/>
    <w:rsid w:val="66D44E7F"/>
    <w:rsid w:val="66FF0BB5"/>
    <w:rsid w:val="670573D4"/>
    <w:rsid w:val="670658F5"/>
    <w:rsid w:val="672A0CB6"/>
    <w:rsid w:val="672C0640"/>
    <w:rsid w:val="674E1021"/>
    <w:rsid w:val="67582F8F"/>
    <w:rsid w:val="67767CD4"/>
    <w:rsid w:val="677D32E1"/>
    <w:rsid w:val="678216DA"/>
    <w:rsid w:val="678420A4"/>
    <w:rsid w:val="678D2EE4"/>
    <w:rsid w:val="67911533"/>
    <w:rsid w:val="67961466"/>
    <w:rsid w:val="679F2553"/>
    <w:rsid w:val="67A066E6"/>
    <w:rsid w:val="67B65FA0"/>
    <w:rsid w:val="67D44B73"/>
    <w:rsid w:val="68081E1B"/>
    <w:rsid w:val="68176524"/>
    <w:rsid w:val="681B7C09"/>
    <w:rsid w:val="681E1A03"/>
    <w:rsid w:val="684A7214"/>
    <w:rsid w:val="6850667E"/>
    <w:rsid w:val="687619AF"/>
    <w:rsid w:val="687D1201"/>
    <w:rsid w:val="68AC1693"/>
    <w:rsid w:val="68C22649"/>
    <w:rsid w:val="68CA5BA9"/>
    <w:rsid w:val="68CE3026"/>
    <w:rsid w:val="68DD6017"/>
    <w:rsid w:val="68F12A4E"/>
    <w:rsid w:val="69131086"/>
    <w:rsid w:val="692834AA"/>
    <w:rsid w:val="692953FE"/>
    <w:rsid w:val="693A69BA"/>
    <w:rsid w:val="694927B2"/>
    <w:rsid w:val="69836A71"/>
    <w:rsid w:val="699A623D"/>
    <w:rsid w:val="69C268DA"/>
    <w:rsid w:val="69C4679A"/>
    <w:rsid w:val="69C90DB3"/>
    <w:rsid w:val="69CC4294"/>
    <w:rsid w:val="69E82250"/>
    <w:rsid w:val="69F3420A"/>
    <w:rsid w:val="69FC1BA4"/>
    <w:rsid w:val="69FC26F0"/>
    <w:rsid w:val="6A1A4BD9"/>
    <w:rsid w:val="6A1D4B8B"/>
    <w:rsid w:val="6A2D7504"/>
    <w:rsid w:val="6A396161"/>
    <w:rsid w:val="6A9930D2"/>
    <w:rsid w:val="6ABE2EDC"/>
    <w:rsid w:val="6AC93832"/>
    <w:rsid w:val="6AD035ED"/>
    <w:rsid w:val="6AE75CC3"/>
    <w:rsid w:val="6B165A8B"/>
    <w:rsid w:val="6B1F3BC3"/>
    <w:rsid w:val="6B211C3B"/>
    <w:rsid w:val="6B2A4118"/>
    <w:rsid w:val="6B2D6238"/>
    <w:rsid w:val="6B714D9F"/>
    <w:rsid w:val="6B7264A6"/>
    <w:rsid w:val="6B7476D3"/>
    <w:rsid w:val="6B914C5C"/>
    <w:rsid w:val="6B933496"/>
    <w:rsid w:val="6B9B14C6"/>
    <w:rsid w:val="6B9B2A25"/>
    <w:rsid w:val="6BAC05F3"/>
    <w:rsid w:val="6BAD18AD"/>
    <w:rsid w:val="6BB1137E"/>
    <w:rsid w:val="6BB5131E"/>
    <w:rsid w:val="6BC07758"/>
    <w:rsid w:val="6BD03FE4"/>
    <w:rsid w:val="6BD0753E"/>
    <w:rsid w:val="6BDF06DC"/>
    <w:rsid w:val="6BF24F6D"/>
    <w:rsid w:val="6BF43E09"/>
    <w:rsid w:val="6C392948"/>
    <w:rsid w:val="6C667328"/>
    <w:rsid w:val="6C796269"/>
    <w:rsid w:val="6C801168"/>
    <w:rsid w:val="6C8C09E2"/>
    <w:rsid w:val="6CAA739B"/>
    <w:rsid w:val="6CB50487"/>
    <w:rsid w:val="6CBC0838"/>
    <w:rsid w:val="6CBD11E8"/>
    <w:rsid w:val="6CC24E9E"/>
    <w:rsid w:val="6CD26366"/>
    <w:rsid w:val="6CFE671C"/>
    <w:rsid w:val="6D1553C6"/>
    <w:rsid w:val="6D3705EE"/>
    <w:rsid w:val="6D6756C8"/>
    <w:rsid w:val="6D794CEC"/>
    <w:rsid w:val="6D810B7A"/>
    <w:rsid w:val="6D874709"/>
    <w:rsid w:val="6D9010B3"/>
    <w:rsid w:val="6D9368DE"/>
    <w:rsid w:val="6D942B8A"/>
    <w:rsid w:val="6DB063ED"/>
    <w:rsid w:val="6DC87589"/>
    <w:rsid w:val="6DD4798A"/>
    <w:rsid w:val="6DD70999"/>
    <w:rsid w:val="6DE462C1"/>
    <w:rsid w:val="6DEA7472"/>
    <w:rsid w:val="6E0A0629"/>
    <w:rsid w:val="6E0F4F28"/>
    <w:rsid w:val="6E271C57"/>
    <w:rsid w:val="6E30680D"/>
    <w:rsid w:val="6E345D44"/>
    <w:rsid w:val="6E353EE5"/>
    <w:rsid w:val="6E396A2A"/>
    <w:rsid w:val="6E9B7807"/>
    <w:rsid w:val="6EA30584"/>
    <w:rsid w:val="6EB64C86"/>
    <w:rsid w:val="6ECA6462"/>
    <w:rsid w:val="6EDF4442"/>
    <w:rsid w:val="6EE72B90"/>
    <w:rsid w:val="6EF303C1"/>
    <w:rsid w:val="6EF94FE1"/>
    <w:rsid w:val="6F095E5D"/>
    <w:rsid w:val="6F435C5D"/>
    <w:rsid w:val="6F6F6D70"/>
    <w:rsid w:val="6F782A64"/>
    <w:rsid w:val="6F907E1A"/>
    <w:rsid w:val="6F9128FE"/>
    <w:rsid w:val="6F9C0D53"/>
    <w:rsid w:val="6FE03BFB"/>
    <w:rsid w:val="6FE44839"/>
    <w:rsid w:val="6FEA6071"/>
    <w:rsid w:val="6FEB6C47"/>
    <w:rsid w:val="7008409B"/>
    <w:rsid w:val="700C6025"/>
    <w:rsid w:val="701E1D62"/>
    <w:rsid w:val="70206FE3"/>
    <w:rsid w:val="702A1B4E"/>
    <w:rsid w:val="70351764"/>
    <w:rsid w:val="706B316D"/>
    <w:rsid w:val="70707541"/>
    <w:rsid w:val="707A41EF"/>
    <w:rsid w:val="707B3AB5"/>
    <w:rsid w:val="709D7A18"/>
    <w:rsid w:val="709E1B80"/>
    <w:rsid w:val="70A77905"/>
    <w:rsid w:val="70C8057A"/>
    <w:rsid w:val="70CA43AD"/>
    <w:rsid w:val="70CC332F"/>
    <w:rsid w:val="70EE594B"/>
    <w:rsid w:val="71040249"/>
    <w:rsid w:val="71067099"/>
    <w:rsid w:val="71084C90"/>
    <w:rsid w:val="71267402"/>
    <w:rsid w:val="71276338"/>
    <w:rsid w:val="71340265"/>
    <w:rsid w:val="71890BF0"/>
    <w:rsid w:val="71915AAE"/>
    <w:rsid w:val="71C922DE"/>
    <w:rsid w:val="71D225E6"/>
    <w:rsid w:val="72247FEB"/>
    <w:rsid w:val="725458E7"/>
    <w:rsid w:val="725501C1"/>
    <w:rsid w:val="7259719F"/>
    <w:rsid w:val="725F2FF9"/>
    <w:rsid w:val="727567AA"/>
    <w:rsid w:val="72A46766"/>
    <w:rsid w:val="72B466BC"/>
    <w:rsid w:val="72C504CE"/>
    <w:rsid w:val="72C66B79"/>
    <w:rsid w:val="72CC6758"/>
    <w:rsid w:val="72DC56AD"/>
    <w:rsid w:val="72DE2CB1"/>
    <w:rsid w:val="72EE6198"/>
    <w:rsid w:val="73014C5A"/>
    <w:rsid w:val="732E19D1"/>
    <w:rsid w:val="73446996"/>
    <w:rsid w:val="735F7EEB"/>
    <w:rsid w:val="73627BA4"/>
    <w:rsid w:val="7384321F"/>
    <w:rsid w:val="738F288F"/>
    <w:rsid w:val="73995B05"/>
    <w:rsid w:val="73B61E4A"/>
    <w:rsid w:val="73DB3411"/>
    <w:rsid w:val="73DD0D5C"/>
    <w:rsid w:val="73E114CE"/>
    <w:rsid w:val="73EE645D"/>
    <w:rsid w:val="740B182C"/>
    <w:rsid w:val="74235B56"/>
    <w:rsid w:val="74310121"/>
    <w:rsid w:val="744D2F0A"/>
    <w:rsid w:val="747E1F66"/>
    <w:rsid w:val="749E77F7"/>
    <w:rsid w:val="74C068C7"/>
    <w:rsid w:val="74C205D0"/>
    <w:rsid w:val="74CA2137"/>
    <w:rsid w:val="74D75F14"/>
    <w:rsid w:val="74DE7277"/>
    <w:rsid w:val="74E76117"/>
    <w:rsid w:val="750359DF"/>
    <w:rsid w:val="752C29E5"/>
    <w:rsid w:val="753317A4"/>
    <w:rsid w:val="754140DE"/>
    <w:rsid w:val="75415598"/>
    <w:rsid w:val="75434F17"/>
    <w:rsid w:val="7548597A"/>
    <w:rsid w:val="75595C16"/>
    <w:rsid w:val="756754A2"/>
    <w:rsid w:val="758534BC"/>
    <w:rsid w:val="75875914"/>
    <w:rsid w:val="759A03E3"/>
    <w:rsid w:val="759D5BEE"/>
    <w:rsid w:val="75B82EC3"/>
    <w:rsid w:val="75C859A5"/>
    <w:rsid w:val="75CB0F70"/>
    <w:rsid w:val="75EA6AFD"/>
    <w:rsid w:val="75EF1FC5"/>
    <w:rsid w:val="75F644C4"/>
    <w:rsid w:val="760A0D4D"/>
    <w:rsid w:val="76184BE4"/>
    <w:rsid w:val="765C1AAE"/>
    <w:rsid w:val="76652087"/>
    <w:rsid w:val="76867277"/>
    <w:rsid w:val="769476D1"/>
    <w:rsid w:val="7695558F"/>
    <w:rsid w:val="76992205"/>
    <w:rsid w:val="76A13D14"/>
    <w:rsid w:val="76A94F2A"/>
    <w:rsid w:val="76B40B31"/>
    <w:rsid w:val="76C92C7B"/>
    <w:rsid w:val="76CE740A"/>
    <w:rsid w:val="76D407EE"/>
    <w:rsid w:val="76E61DBB"/>
    <w:rsid w:val="76F0452C"/>
    <w:rsid w:val="77056A18"/>
    <w:rsid w:val="771320A4"/>
    <w:rsid w:val="772A5D9F"/>
    <w:rsid w:val="773D6FB4"/>
    <w:rsid w:val="7741221C"/>
    <w:rsid w:val="77843A18"/>
    <w:rsid w:val="7788639D"/>
    <w:rsid w:val="778A348B"/>
    <w:rsid w:val="77987988"/>
    <w:rsid w:val="77CC60AD"/>
    <w:rsid w:val="77CD041F"/>
    <w:rsid w:val="77D470F2"/>
    <w:rsid w:val="77DD0233"/>
    <w:rsid w:val="78254053"/>
    <w:rsid w:val="78464434"/>
    <w:rsid w:val="78630022"/>
    <w:rsid w:val="787F4047"/>
    <w:rsid w:val="789926D0"/>
    <w:rsid w:val="789D6E48"/>
    <w:rsid w:val="78A12C19"/>
    <w:rsid w:val="78B412E4"/>
    <w:rsid w:val="78B733EE"/>
    <w:rsid w:val="78CA4161"/>
    <w:rsid w:val="78CF165E"/>
    <w:rsid w:val="78DA5DEE"/>
    <w:rsid w:val="78E06473"/>
    <w:rsid w:val="78E404BD"/>
    <w:rsid w:val="78F436B5"/>
    <w:rsid w:val="78FD7C81"/>
    <w:rsid w:val="790D0905"/>
    <w:rsid w:val="791A6053"/>
    <w:rsid w:val="795C4D00"/>
    <w:rsid w:val="796E626A"/>
    <w:rsid w:val="79764861"/>
    <w:rsid w:val="797761C1"/>
    <w:rsid w:val="798D26CE"/>
    <w:rsid w:val="79B06964"/>
    <w:rsid w:val="79C05F21"/>
    <w:rsid w:val="7A123FF4"/>
    <w:rsid w:val="7A1E386D"/>
    <w:rsid w:val="7A1F3432"/>
    <w:rsid w:val="7A291C34"/>
    <w:rsid w:val="7A317782"/>
    <w:rsid w:val="7A3B60A5"/>
    <w:rsid w:val="7A4300EF"/>
    <w:rsid w:val="7A5718AD"/>
    <w:rsid w:val="7A605090"/>
    <w:rsid w:val="7A6C08C7"/>
    <w:rsid w:val="7A764E9D"/>
    <w:rsid w:val="7A8B7BCC"/>
    <w:rsid w:val="7A9E1057"/>
    <w:rsid w:val="7A9F4BB4"/>
    <w:rsid w:val="7AA92413"/>
    <w:rsid w:val="7AAE1B3D"/>
    <w:rsid w:val="7AC305C9"/>
    <w:rsid w:val="7B67703F"/>
    <w:rsid w:val="7B7B5093"/>
    <w:rsid w:val="7B883CB0"/>
    <w:rsid w:val="7B9207DF"/>
    <w:rsid w:val="7BB16F06"/>
    <w:rsid w:val="7BB94D16"/>
    <w:rsid w:val="7BBA3957"/>
    <w:rsid w:val="7BBB7CCD"/>
    <w:rsid w:val="7BD8265D"/>
    <w:rsid w:val="7BE56428"/>
    <w:rsid w:val="7C010418"/>
    <w:rsid w:val="7C0B2FA5"/>
    <w:rsid w:val="7C1C4D64"/>
    <w:rsid w:val="7C216753"/>
    <w:rsid w:val="7C292475"/>
    <w:rsid w:val="7C3B715B"/>
    <w:rsid w:val="7C6646D2"/>
    <w:rsid w:val="7C841149"/>
    <w:rsid w:val="7C867D01"/>
    <w:rsid w:val="7C89021A"/>
    <w:rsid w:val="7C9E104F"/>
    <w:rsid w:val="7CB247C2"/>
    <w:rsid w:val="7CBC26DC"/>
    <w:rsid w:val="7CC358A1"/>
    <w:rsid w:val="7CE96909"/>
    <w:rsid w:val="7CFD4C27"/>
    <w:rsid w:val="7CFE2CA4"/>
    <w:rsid w:val="7D02022C"/>
    <w:rsid w:val="7D027B1B"/>
    <w:rsid w:val="7D3E5D29"/>
    <w:rsid w:val="7D4A1194"/>
    <w:rsid w:val="7D4B0354"/>
    <w:rsid w:val="7D754BA5"/>
    <w:rsid w:val="7D761B8A"/>
    <w:rsid w:val="7D8865CF"/>
    <w:rsid w:val="7DDF408A"/>
    <w:rsid w:val="7DE344E0"/>
    <w:rsid w:val="7DE643A9"/>
    <w:rsid w:val="7DF328DA"/>
    <w:rsid w:val="7DFC15B6"/>
    <w:rsid w:val="7DFD4D9B"/>
    <w:rsid w:val="7DFD6279"/>
    <w:rsid w:val="7E0666FE"/>
    <w:rsid w:val="7E0D2EF3"/>
    <w:rsid w:val="7E1B3D03"/>
    <w:rsid w:val="7E2600F1"/>
    <w:rsid w:val="7E80109E"/>
    <w:rsid w:val="7EB21115"/>
    <w:rsid w:val="7EC5355F"/>
    <w:rsid w:val="7EE32478"/>
    <w:rsid w:val="7EE723A4"/>
    <w:rsid w:val="7EFE5A25"/>
    <w:rsid w:val="7F1D5023"/>
    <w:rsid w:val="7F2422C8"/>
    <w:rsid w:val="7F533BA2"/>
    <w:rsid w:val="7F573FED"/>
    <w:rsid w:val="7F646000"/>
    <w:rsid w:val="7F7B5392"/>
    <w:rsid w:val="7F7C1393"/>
    <w:rsid w:val="7F912D68"/>
    <w:rsid w:val="7F9B30C8"/>
    <w:rsid w:val="7FA33113"/>
    <w:rsid w:val="7FA34D4A"/>
    <w:rsid w:val="7FAC21B8"/>
    <w:rsid w:val="7FAD1C44"/>
    <w:rsid w:val="7FB0421D"/>
    <w:rsid w:val="7FB071A6"/>
    <w:rsid w:val="7FBF3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ind w:left="830"/>
      <w:outlineLvl w:val="0"/>
    </w:pPr>
    <w:rPr>
      <w:b/>
      <w:bCs/>
      <w:sz w:val="32"/>
      <w:szCs w:val="32"/>
    </w:rPr>
  </w:style>
  <w:style w:type="paragraph" w:styleId="4">
    <w:name w:val="heading 2"/>
    <w:basedOn w:val="1"/>
    <w:next w:val="1"/>
    <w:qFormat/>
    <w:uiPriority w:val="1"/>
    <w:pPr>
      <w:ind w:left="830" w:right="837"/>
      <w:jc w:val="center"/>
      <w:outlineLvl w:val="1"/>
    </w:pPr>
    <w:rPr>
      <w:rFonts w:ascii="黑体" w:hAnsi="黑体" w:eastAsia="黑体" w:cs="黑体"/>
      <w:sz w:val="30"/>
      <w:szCs w:val="30"/>
    </w:rPr>
  </w:style>
  <w:style w:type="paragraph" w:styleId="5">
    <w:name w:val="heading 3"/>
    <w:basedOn w:val="1"/>
    <w:next w:val="1"/>
    <w:qFormat/>
    <w:uiPriority w:val="1"/>
    <w:pPr>
      <w:ind w:left="830"/>
      <w:jc w:val="center"/>
      <w:outlineLvl w:val="2"/>
    </w:pPr>
    <w:rPr>
      <w:b/>
      <w:bCs/>
      <w:sz w:val="28"/>
      <w:szCs w:val="28"/>
    </w:rPr>
  </w:style>
  <w:style w:type="paragraph" w:styleId="6">
    <w:name w:val="heading 4"/>
    <w:basedOn w:val="1"/>
    <w:next w:val="1"/>
    <w:qFormat/>
    <w:uiPriority w:val="1"/>
    <w:pPr>
      <w:ind w:left="618"/>
      <w:outlineLvl w:val="3"/>
    </w:pPr>
    <w:rPr>
      <w:sz w:val="28"/>
      <w:szCs w:val="28"/>
    </w:rPr>
  </w:style>
  <w:style w:type="paragraph" w:styleId="7">
    <w:name w:val="heading 5"/>
    <w:basedOn w:val="1"/>
    <w:next w:val="1"/>
    <w:qFormat/>
    <w:uiPriority w:val="1"/>
    <w:pPr>
      <w:spacing w:before="1"/>
      <w:ind w:left="830" w:right="834"/>
      <w:jc w:val="center"/>
      <w:outlineLvl w:val="4"/>
    </w:pPr>
    <w:rPr>
      <w:b/>
      <w:bCs/>
      <w:sz w:val="24"/>
      <w:szCs w:val="24"/>
    </w:rPr>
  </w:style>
  <w:style w:type="paragraph" w:styleId="8">
    <w:name w:val="heading 6"/>
    <w:basedOn w:val="1"/>
    <w:next w:val="1"/>
    <w:qFormat/>
    <w:uiPriority w:val="1"/>
    <w:pPr>
      <w:spacing w:before="1"/>
      <w:ind w:left="618"/>
      <w:jc w:val="both"/>
      <w:outlineLvl w:val="5"/>
    </w:pPr>
    <w:rPr>
      <w:sz w:val="24"/>
      <w:szCs w:val="24"/>
    </w:rPr>
  </w:style>
  <w:style w:type="paragraph" w:styleId="9">
    <w:name w:val="heading 7"/>
    <w:basedOn w:val="1"/>
    <w:next w:val="1"/>
    <w:qFormat/>
    <w:uiPriority w:val="1"/>
    <w:pPr>
      <w:ind w:left="1040"/>
      <w:outlineLvl w:val="6"/>
    </w:pPr>
    <w:rPr>
      <w:b/>
      <w:bCs/>
      <w:sz w:val="21"/>
      <w:szCs w:val="21"/>
    </w:rPr>
  </w:style>
  <w:style w:type="paragraph" w:styleId="10">
    <w:name w:val="heading 8"/>
    <w:basedOn w:val="1"/>
    <w:next w:val="1"/>
    <w:qFormat/>
    <w:uiPriority w:val="1"/>
    <w:pPr>
      <w:ind w:left="212"/>
      <w:outlineLvl w:val="7"/>
    </w:pPr>
    <w:rPr>
      <w:b/>
      <w:bCs/>
      <w:sz w:val="21"/>
      <w:szCs w:val="21"/>
      <w:lang w:val="zh-CN" w:bidi="zh-CN"/>
    </w:rPr>
  </w:style>
  <w:style w:type="paragraph" w:styleId="11">
    <w:name w:val="heading 9"/>
    <w:basedOn w:val="1"/>
    <w:next w:val="1"/>
    <w:qFormat/>
    <w:uiPriority w:val="1"/>
    <w:pPr>
      <w:ind w:left="358"/>
      <w:outlineLvl w:val="9"/>
    </w:pPr>
    <w:rPr>
      <w:rFonts w:ascii="仿宋" w:hAnsi="仿宋" w:eastAsia="仿宋" w:cs="仿宋"/>
      <w:sz w:val="24"/>
      <w:szCs w:val="24"/>
      <w:lang w:val="zh-CN" w:eastAsia="zh-CN" w:bidi="zh-CN"/>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12">
    <w:name w:val="Body Text"/>
    <w:basedOn w:val="1"/>
    <w:qFormat/>
    <w:uiPriority w:val="1"/>
    <w:rPr>
      <w:sz w:val="21"/>
      <w:szCs w:val="21"/>
    </w:rPr>
  </w:style>
  <w:style w:type="paragraph" w:styleId="13">
    <w:name w:val="Plain Text"/>
    <w:basedOn w:val="1"/>
    <w:next w:val="1"/>
    <w:qFormat/>
    <w:uiPriority w:val="0"/>
    <w:rPr>
      <w:rFonts w:hAnsi="Courier New" w:eastAsiaTheme="minorEastAsia" w:cstheme="minorBidi"/>
    </w:rPr>
  </w:style>
  <w:style w:type="paragraph" w:styleId="14">
    <w:name w:val="Body Text Indent 2"/>
    <w:basedOn w:val="1"/>
    <w:qFormat/>
    <w:uiPriority w:val="0"/>
    <w:pPr>
      <w:spacing w:line="380" w:lineRule="exact"/>
      <w:ind w:firstLine="840" w:firstLineChars="400"/>
    </w:p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513"/>
      <w:ind w:left="1071"/>
    </w:pPr>
    <w:rPr>
      <w:b/>
      <w:bCs/>
      <w:sz w:val="30"/>
      <w:szCs w:val="30"/>
    </w:rPr>
  </w:style>
  <w:style w:type="paragraph" w:styleId="19">
    <w:name w:val="toc 2"/>
    <w:basedOn w:val="1"/>
    <w:next w:val="1"/>
    <w:qFormat/>
    <w:uiPriority w:val="1"/>
    <w:pPr>
      <w:spacing w:before="393"/>
      <w:ind w:left="1311"/>
    </w:pPr>
    <w:rPr>
      <w:sz w:val="30"/>
      <w:szCs w:val="30"/>
    </w:rPr>
  </w:style>
  <w:style w:type="paragraph" w:styleId="20">
    <w:name w:val="Normal (Web)"/>
    <w:basedOn w:val="1"/>
    <w:qFormat/>
    <w:uiPriority w:val="0"/>
    <w:pPr>
      <w:spacing w:beforeAutospacing="1" w:afterAutospacing="1"/>
    </w:pPr>
    <w:rPr>
      <w:rFonts w:cs="Times New Roman"/>
      <w:sz w:val="24"/>
    </w:rPr>
  </w:style>
  <w:style w:type="paragraph" w:styleId="21">
    <w:name w:val="Title"/>
    <w:basedOn w:val="1"/>
    <w:qFormat/>
    <w:uiPriority w:val="1"/>
    <w:pPr>
      <w:ind w:left="830" w:right="963"/>
      <w:jc w:val="center"/>
    </w:pPr>
    <w:rPr>
      <w:b/>
      <w:bCs/>
      <w:sz w:val="132"/>
      <w:szCs w:val="132"/>
    </w:rPr>
  </w:style>
  <w:style w:type="paragraph" w:styleId="22">
    <w:name w:val="Body Text First Indent 2"/>
    <w:basedOn w:val="1"/>
    <w:qFormat/>
    <w:uiPriority w:val="0"/>
    <w:pPr>
      <w:spacing w:after="120"/>
      <w:ind w:left="420" w:leftChars="200" w:firstLine="420" w:firstLineChars="200"/>
    </w:pPr>
    <w:rPr>
      <w:rFonts w:ascii="Times New Roman"/>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color w:val="000000"/>
      <w:u w:val="none"/>
    </w:rPr>
  </w:style>
  <w:style w:type="character" w:styleId="29">
    <w:name w:val="Hyperlink"/>
    <w:basedOn w:val="25"/>
    <w:qFormat/>
    <w:uiPriority w:val="0"/>
    <w:rPr>
      <w:color w:val="000000"/>
      <w:u w:val="none"/>
    </w:rPr>
  </w:style>
  <w:style w:type="table" w:customStyle="1" w:styleId="30">
    <w:name w:val="Table Normal"/>
    <w:unhideWhenUsed/>
    <w:qFormat/>
    <w:uiPriority w:val="2"/>
    <w:tblPr>
      <w:tblCellMar>
        <w:top w:w="0" w:type="dxa"/>
        <w:left w:w="0" w:type="dxa"/>
        <w:bottom w:w="0" w:type="dxa"/>
        <w:right w:w="0" w:type="dxa"/>
      </w:tblCellMar>
    </w:tblPr>
  </w:style>
  <w:style w:type="paragraph" w:customStyle="1" w:styleId="31">
    <w:name w:val="List Paragraph"/>
    <w:basedOn w:val="1"/>
    <w:qFormat/>
    <w:uiPriority w:val="1"/>
    <w:pPr>
      <w:ind w:left="618" w:firstLine="419"/>
    </w:pPr>
  </w:style>
  <w:style w:type="paragraph" w:customStyle="1" w:styleId="32">
    <w:name w:val="Table Paragraph"/>
    <w:basedOn w:val="1"/>
    <w:qFormat/>
    <w:uiPriority w:val="1"/>
  </w:style>
  <w:style w:type="character" w:customStyle="1" w:styleId="33">
    <w:name w:val="bds_nopic"/>
    <w:basedOn w:val="25"/>
    <w:qFormat/>
    <w:uiPriority w:val="0"/>
  </w:style>
  <w:style w:type="character" w:customStyle="1" w:styleId="34">
    <w:name w:val="bds_more"/>
    <w:basedOn w:val="25"/>
    <w:qFormat/>
    <w:uiPriority w:val="0"/>
    <w:rPr>
      <w:rFonts w:hint="eastAsia" w:ascii="宋体" w:hAnsi="宋体" w:eastAsia="宋体" w:cs="宋体"/>
    </w:rPr>
  </w:style>
  <w:style w:type="character" w:customStyle="1" w:styleId="35">
    <w:name w:val="bds_more1"/>
    <w:basedOn w:val="25"/>
    <w:qFormat/>
    <w:uiPriority w:val="0"/>
  </w:style>
  <w:style w:type="character" w:customStyle="1" w:styleId="36">
    <w:name w:val="bds_more2"/>
    <w:basedOn w:val="25"/>
    <w:qFormat/>
    <w:uiPriority w:val="0"/>
  </w:style>
  <w:style w:type="character" w:customStyle="1" w:styleId="37">
    <w:name w:val="bds_nopic1"/>
    <w:basedOn w:val="25"/>
    <w:qFormat/>
    <w:uiPriority w:val="0"/>
  </w:style>
  <w:style w:type="character" w:customStyle="1" w:styleId="38">
    <w:name w:val="bds_nopic2"/>
    <w:basedOn w:val="25"/>
    <w:qFormat/>
    <w:uiPriority w:val="0"/>
  </w:style>
  <w:style w:type="character" w:customStyle="1" w:styleId="39">
    <w:name w:val="bds_more3"/>
    <w:basedOn w:val="25"/>
    <w:qFormat/>
    <w:uiPriority w:val="0"/>
  </w:style>
  <w:style w:type="character" w:customStyle="1" w:styleId="40">
    <w:name w:val="bds_more4"/>
    <w:basedOn w:val="25"/>
    <w:qFormat/>
    <w:uiPriority w:val="0"/>
  </w:style>
  <w:style w:type="paragraph" w:customStyle="1" w:styleId="41">
    <w:name w:val="Char Char Char"/>
    <w:basedOn w:val="1"/>
    <w:qFormat/>
    <w:uiPriority w:val="0"/>
    <w:rPr>
      <w:rFonts w:ascii="Tahoma" w:hAnsi="Tahoma"/>
      <w:sz w:val="24"/>
    </w:rPr>
  </w:style>
  <w:style w:type="character" w:customStyle="1" w:styleId="42">
    <w:name w:val="批注框文本 Char"/>
    <w:basedOn w:val="25"/>
    <w:link w:val="15"/>
    <w:qFormat/>
    <w:uiPriority w:val="0"/>
    <w:rPr>
      <w:rFonts w:ascii="宋体" w:hAnsi="宋体" w:cs="宋体"/>
      <w:sz w:val="18"/>
      <w:szCs w:val="18"/>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character" w:customStyle="1" w:styleId="44">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6410</Words>
  <Characters>36540</Characters>
  <Lines>304</Lines>
  <Paragraphs>85</Paragraphs>
  <TotalTime>2</TotalTime>
  <ScaleCrop>false</ScaleCrop>
  <LinksUpToDate>false</LinksUpToDate>
  <CharactersWithSpaces>42865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2020-07-02T07:52:00Z</dcterms:created>
  <dc:creator>微软用户</dc:creator>
  <cp:lastModifiedBy>NTKO</cp:lastModifiedBy>
  <cp:lastPrinted>2020-09-21T04:04:00Z</cp:lastPrinted>
  <dcterms:modified xsi:type="dcterms:W3CDTF">2020-11-23T04:02:29Z</dcterms:modified>
  <dc:title>医疗设备采购</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Office Word 2007</vt:lpwstr>
  </property>
  <property fmtid="{D5CDD505-2E9C-101B-9397-08002B2CF9AE}" pid="4" name="LastSaved">
    <vt:filetime>2020-07-02T00:00:00Z</vt:filetime>
  </property>
  <property fmtid="{D5CDD505-2E9C-101B-9397-08002B2CF9AE}" pid="5" name="KSOProductBuildVer">
    <vt:lpwstr>2052-11.1.0.9740</vt:lpwstr>
  </property>
</Properties>
</file>