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cs="华文仿宋"/>
          <w:b/>
          <w:sz w:val="52"/>
          <w:szCs w:val="52"/>
          <w:highlight w:val="none"/>
        </w:rPr>
      </w:pPr>
    </w:p>
    <w:p>
      <w:pPr>
        <w:jc w:val="center"/>
        <w:rPr>
          <w:rFonts w:hint="eastAsia" w:ascii="华文仿宋" w:hAnsi="华文仿宋" w:eastAsia="华文仿宋" w:cs="华文仿宋"/>
          <w:b/>
          <w:sz w:val="52"/>
          <w:szCs w:val="52"/>
          <w:highlight w:val="none"/>
          <w:lang w:eastAsia="zh-CN"/>
        </w:rPr>
      </w:pPr>
      <w:r>
        <w:rPr>
          <w:rFonts w:hint="eastAsia" w:ascii="华文仿宋" w:hAnsi="华文仿宋" w:eastAsia="华文仿宋" w:cs="华文仿宋"/>
          <w:b/>
          <w:sz w:val="48"/>
          <w:szCs w:val="48"/>
          <w:highlight w:val="none"/>
          <w:lang w:eastAsia="zh-CN"/>
        </w:rPr>
        <w:t>武侯区与其他城区规划布局形态对比研究采购项目</w:t>
      </w:r>
    </w:p>
    <w:p>
      <w:pPr>
        <w:tabs>
          <w:tab w:val="left" w:pos="2505"/>
          <w:tab w:val="center" w:pos="4204"/>
        </w:tabs>
        <w:jc w:val="center"/>
        <w:rPr>
          <w:rFonts w:ascii="华文仿宋" w:hAnsi="华文仿宋" w:eastAsia="华文仿宋" w:cs="华文仿宋"/>
          <w:b/>
          <w:sz w:val="52"/>
          <w:szCs w:val="52"/>
          <w:highlight w:val="none"/>
        </w:rPr>
      </w:pPr>
    </w:p>
    <w:p>
      <w:pPr>
        <w:tabs>
          <w:tab w:val="left" w:pos="2505"/>
          <w:tab w:val="center" w:pos="4204"/>
        </w:tabs>
        <w:jc w:val="center"/>
        <w:rPr>
          <w:rFonts w:ascii="华文仿宋" w:hAnsi="华文仿宋" w:eastAsia="华文仿宋" w:cs="华文仿宋"/>
          <w:b/>
          <w:sz w:val="52"/>
          <w:szCs w:val="52"/>
          <w:highlight w:val="none"/>
        </w:rPr>
      </w:pPr>
    </w:p>
    <w:p>
      <w:pPr>
        <w:tabs>
          <w:tab w:val="left" w:pos="2505"/>
          <w:tab w:val="center" w:pos="4204"/>
        </w:tabs>
        <w:jc w:val="center"/>
        <w:rPr>
          <w:rFonts w:ascii="华文仿宋" w:hAnsi="华文仿宋" w:eastAsia="华文仿宋" w:cs="华文仿宋"/>
          <w:b/>
          <w:sz w:val="52"/>
          <w:szCs w:val="52"/>
          <w:highlight w:val="none"/>
        </w:rPr>
      </w:pPr>
      <w:r>
        <w:rPr>
          <w:rFonts w:hint="eastAsia" w:ascii="华文仿宋" w:hAnsi="华文仿宋" w:eastAsia="华文仿宋" w:cs="华文仿宋"/>
          <w:b/>
          <w:sz w:val="52"/>
          <w:szCs w:val="52"/>
          <w:highlight w:val="none"/>
        </w:rPr>
        <w:t>招</w:t>
      </w:r>
    </w:p>
    <w:p>
      <w:pPr>
        <w:pStyle w:val="2"/>
        <w:rPr>
          <w:b/>
          <w:highlight w:val="none"/>
        </w:rPr>
      </w:pPr>
    </w:p>
    <w:p>
      <w:pPr>
        <w:jc w:val="center"/>
        <w:rPr>
          <w:rFonts w:ascii="华文仿宋" w:hAnsi="华文仿宋" w:eastAsia="华文仿宋" w:cs="华文仿宋"/>
          <w:b/>
          <w:sz w:val="52"/>
          <w:szCs w:val="52"/>
          <w:highlight w:val="none"/>
        </w:rPr>
      </w:pPr>
      <w:r>
        <w:rPr>
          <w:rFonts w:hint="eastAsia" w:ascii="华文仿宋" w:hAnsi="华文仿宋" w:eastAsia="华文仿宋" w:cs="华文仿宋"/>
          <w:b/>
          <w:sz w:val="52"/>
          <w:szCs w:val="52"/>
          <w:highlight w:val="none"/>
        </w:rPr>
        <w:t>标</w:t>
      </w:r>
    </w:p>
    <w:p>
      <w:pPr>
        <w:pStyle w:val="2"/>
        <w:rPr>
          <w:b/>
          <w:highlight w:val="none"/>
        </w:rPr>
      </w:pPr>
    </w:p>
    <w:p>
      <w:pPr>
        <w:jc w:val="center"/>
        <w:rPr>
          <w:rFonts w:ascii="华文仿宋" w:hAnsi="华文仿宋" w:eastAsia="华文仿宋" w:cs="华文仿宋"/>
          <w:b/>
          <w:sz w:val="52"/>
          <w:szCs w:val="52"/>
          <w:highlight w:val="none"/>
        </w:rPr>
      </w:pPr>
      <w:r>
        <w:rPr>
          <w:rFonts w:hint="eastAsia" w:ascii="华文仿宋" w:hAnsi="华文仿宋" w:eastAsia="华文仿宋" w:cs="华文仿宋"/>
          <w:b/>
          <w:sz w:val="52"/>
          <w:szCs w:val="52"/>
          <w:highlight w:val="none"/>
        </w:rPr>
        <w:t>文</w:t>
      </w:r>
    </w:p>
    <w:p>
      <w:pPr>
        <w:pStyle w:val="2"/>
        <w:rPr>
          <w:b/>
          <w:highlight w:val="none"/>
        </w:rPr>
      </w:pPr>
    </w:p>
    <w:p>
      <w:pPr>
        <w:jc w:val="center"/>
        <w:rPr>
          <w:rFonts w:ascii="华文仿宋" w:hAnsi="华文仿宋" w:eastAsia="华文仿宋" w:cs="华文仿宋"/>
          <w:b/>
          <w:sz w:val="52"/>
          <w:szCs w:val="52"/>
          <w:highlight w:val="none"/>
        </w:rPr>
      </w:pPr>
      <w:r>
        <w:rPr>
          <w:rFonts w:hint="eastAsia" w:ascii="华文仿宋" w:hAnsi="华文仿宋" w:eastAsia="华文仿宋" w:cs="华文仿宋"/>
          <w:b/>
          <w:sz w:val="52"/>
          <w:szCs w:val="52"/>
          <w:highlight w:val="none"/>
        </w:rPr>
        <w:t>件</w:t>
      </w:r>
    </w:p>
    <w:p>
      <w:pPr>
        <w:spacing w:line="360" w:lineRule="auto"/>
        <w:rPr>
          <w:rFonts w:ascii="华文仿宋" w:hAnsi="华文仿宋" w:eastAsia="华文仿宋" w:cs="华文仿宋"/>
          <w:b/>
          <w:sz w:val="32"/>
          <w:szCs w:val="32"/>
          <w:highlight w:val="none"/>
        </w:rPr>
      </w:pPr>
    </w:p>
    <w:p>
      <w:pPr>
        <w:pStyle w:val="2"/>
        <w:rPr>
          <w:rFonts w:ascii="华文仿宋" w:hAnsi="华文仿宋" w:eastAsia="华文仿宋" w:cs="华文仿宋"/>
          <w:b/>
          <w:sz w:val="32"/>
          <w:szCs w:val="32"/>
          <w:highlight w:val="none"/>
        </w:rPr>
      </w:pPr>
    </w:p>
    <w:p/>
    <w:p>
      <w:pPr>
        <w:rPr>
          <w:highlight w:val="none"/>
        </w:rPr>
      </w:pPr>
    </w:p>
    <w:p>
      <w:pPr>
        <w:spacing w:line="360" w:lineRule="auto"/>
        <w:jc w:val="center"/>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中国·四川</w:t>
      </w:r>
    </w:p>
    <w:p>
      <w:pPr>
        <w:spacing w:line="360" w:lineRule="auto"/>
        <w:jc w:val="center"/>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采购人：</w:t>
      </w:r>
      <w:r>
        <w:rPr>
          <w:rFonts w:hint="default" w:ascii="华文仿宋" w:hAnsi="华文仿宋" w:eastAsia="华文仿宋" w:cs="华文仿宋"/>
          <w:b/>
          <w:sz w:val="32"/>
          <w:szCs w:val="32"/>
          <w:highlight w:val="none"/>
        </w:rPr>
        <w:t>成都市武侯区规划和自然资源局</w:t>
      </w:r>
    </w:p>
    <w:p>
      <w:pPr>
        <w:spacing w:line="360" w:lineRule="auto"/>
        <w:jc w:val="center"/>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采购代理机构：四川亚兴建设工程项目管理有限公司</w:t>
      </w:r>
    </w:p>
    <w:p>
      <w:pPr>
        <w:spacing w:line="360" w:lineRule="auto"/>
        <w:jc w:val="center"/>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共同编制</w:t>
      </w:r>
    </w:p>
    <w:p>
      <w:pPr>
        <w:pStyle w:val="2"/>
        <w:jc w:val="center"/>
        <w:rPr>
          <w:rFonts w:hint="eastAsia" w:ascii="华文仿宋" w:hAnsi="华文仿宋" w:eastAsia="华文仿宋" w:cs="华文仿宋"/>
          <w:b/>
          <w:bCs/>
          <w:sz w:val="32"/>
          <w:szCs w:val="32"/>
          <w:highlight w:val="none"/>
          <w:lang w:val="zh-CN"/>
        </w:rPr>
      </w:pPr>
      <w:r>
        <w:rPr>
          <w:rFonts w:hint="eastAsia" w:ascii="华文仿宋" w:hAnsi="华文仿宋" w:eastAsia="华文仿宋" w:cs="华文仿宋"/>
          <w:b/>
          <w:sz w:val="30"/>
          <w:szCs w:val="30"/>
          <w:highlight w:val="none"/>
        </w:rPr>
        <w:t>二〇二一</w:t>
      </w:r>
      <w:r>
        <w:rPr>
          <w:rFonts w:hint="eastAsia" w:ascii="华文仿宋" w:hAnsi="华文仿宋" w:eastAsia="华文仿宋" w:cs="华文仿宋"/>
          <w:b/>
          <w:bCs/>
          <w:sz w:val="32"/>
          <w:szCs w:val="32"/>
          <w:highlight w:val="none"/>
          <w:lang w:val="zh-CN"/>
        </w:rPr>
        <w:t>年</w:t>
      </w:r>
      <w:r>
        <w:rPr>
          <w:rFonts w:hint="eastAsia" w:ascii="华文仿宋" w:hAnsi="华文仿宋" w:eastAsia="华文仿宋" w:cs="华文仿宋"/>
          <w:b/>
          <w:bCs/>
          <w:sz w:val="32"/>
          <w:szCs w:val="32"/>
          <w:highlight w:val="none"/>
          <w:lang w:val="en-US" w:eastAsia="zh-CN"/>
        </w:rPr>
        <w:t>十</w:t>
      </w:r>
      <w:r>
        <w:rPr>
          <w:rFonts w:hint="eastAsia" w:ascii="华文仿宋" w:hAnsi="华文仿宋" w:eastAsia="华文仿宋" w:cs="华文仿宋"/>
          <w:b/>
          <w:bCs/>
          <w:sz w:val="32"/>
          <w:szCs w:val="32"/>
          <w:highlight w:val="none"/>
          <w:lang w:val="zh-CN"/>
        </w:rPr>
        <w:t>月</w:t>
      </w:r>
    </w:p>
    <w:p>
      <w:pPr>
        <w:rPr>
          <w:rFonts w:hint="eastAsia" w:ascii="华文仿宋" w:hAnsi="华文仿宋" w:eastAsia="华文仿宋" w:cs="华文仿宋"/>
          <w:b/>
          <w:bCs/>
          <w:sz w:val="32"/>
          <w:szCs w:val="32"/>
          <w:highlight w:val="none"/>
          <w:lang w:val="zh-CN"/>
        </w:rPr>
      </w:pPr>
      <w:r>
        <w:rPr>
          <w:rFonts w:hint="eastAsia" w:ascii="华文仿宋" w:hAnsi="华文仿宋" w:eastAsia="华文仿宋" w:cs="华文仿宋"/>
          <w:b/>
          <w:bCs/>
          <w:sz w:val="32"/>
          <w:szCs w:val="32"/>
          <w:highlight w:val="none"/>
          <w:lang w:val="zh-CN"/>
        </w:rPr>
        <w:br w:type="page"/>
      </w:r>
    </w:p>
    <w:p>
      <w:pPr>
        <w:pStyle w:val="3"/>
        <w:keepNext w:val="0"/>
        <w:keepLines w:val="0"/>
        <w:spacing w:line="240" w:lineRule="auto"/>
        <w:jc w:val="both"/>
        <w:rPr>
          <w:rFonts w:hint="eastAsia" w:ascii="仿宋" w:hAnsi="仿宋" w:eastAsia="仿宋" w:cs="仿宋"/>
          <w:bCs w:val="0"/>
          <w:sz w:val="36"/>
          <w:highlight w:val="none"/>
        </w:rPr>
      </w:pPr>
    </w:p>
    <w:p>
      <w:pPr>
        <w:pStyle w:val="3"/>
        <w:keepNext w:val="0"/>
        <w:keepLines w:val="0"/>
        <w:spacing w:line="240" w:lineRule="auto"/>
        <w:jc w:val="center"/>
        <w:rPr>
          <w:rFonts w:ascii="仿宋" w:hAnsi="仿宋" w:eastAsia="仿宋" w:cs="仿宋"/>
          <w:bCs w:val="0"/>
          <w:sz w:val="36"/>
          <w:highlight w:val="none"/>
        </w:rPr>
      </w:pPr>
      <w:r>
        <w:rPr>
          <w:rFonts w:hint="eastAsia" w:ascii="仿宋" w:hAnsi="仿宋" w:eastAsia="仿宋" w:cs="仿宋"/>
          <w:bCs w:val="0"/>
          <w:sz w:val="36"/>
          <w:highlight w:val="none"/>
        </w:rPr>
        <w:t>目    录</w:t>
      </w:r>
    </w:p>
    <w:p>
      <w:pPr>
        <w:pStyle w:val="12"/>
        <w:rPr>
          <w:rFonts w:ascii="仿宋" w:hAnsi="仿宋" w:eastAsia="仿宋" w:cs="仿宋"/>
          <w:b w:val="0"/>
          <w:bCs w:val="0"/>
          <w:sz w:val="21"/>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"1-1" \h \z \u </w:instrText>
      </w:r>
      <w:r>
        <w:rPr>
          <w:rFonts w:hint="eastAsia" w:ascii="仿宋" w:hAnsi="仿宋" w:eastAsia="仿宋" w:cs="仿宋"/>
          <w:highlight w:val="none"/>
        </w:rPr>
        <w:fldChar w:fldCharType="separate"/>
      </w:r>
      <w:r>
        <w:rPr>
          <w:highlight w:val="none"/>
        </w:rPr>
        <w:fldChar w:fldCharType="begin"/>
      </w:r>
      <w:r>
        <w:rPr>
          <w:highlight w:val="none"/>
        </w:rPr>
        <w:instrText xml:space="preserve"> HYPERLINK \l "_Toc69395653" </w:instrText>
      </w:r>
      <w:r>
        <w:rPr>
          <w:highlight w:val="none"/>
        </w:rPr>
        <w:fldChar w:fldCharType="separate"/>
      </w:r>
      <w:r>
        <w:rPr>
          <w:rStyle w:val="23"/>
          <w:rFonts w:hint="eastAsia" w:ascii="仿宋" w:hAnsi="仿宋" w:eastAsia="仿宋" w:cs="仿宋"/>
          <w:color w:val="auto"/>
          <w:highlight w:val="none"/>
        </w:rPr>
        <w:t>第一章</w:t>
      </w:r>
      <w:r>
        <w:rPr>
          <w:rStyle w:val="23"/>
          <w:rFonts w:hint="eastAsia" w:ascii="仿宋" w:hAnsi="仿宋" w:eastAsia="仿宋" w:cs="仿宋"/>
          <w:color w:val="auto"/>
          <w:highlight w:val="none"/>
          <w:lang w:eastAsia="zh-CN"/>
        </w:rPr>
        <w:t>招标公告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_Toc69395653 \h </w:instrText>
      </w:r>
      <w:r>
        <w:rPr>
          <w:rFonts w:hint="eastAsia" w:ascii="仿宋" w:hAnsi="仿宋" w:eastAsia="仿宋" w:cs="仿宋"/>
          <w:highlight w:val="none"/>
        </w:rPr>
        <w:fldChar w:fldCharType="separate"/>
      </w:r>
      <w:r>
        <w:rPr>
          <w:rFonts w:hint="eastAsia" w:ascii="仿宋" w:hAnsi="仿宋" w:eastAsia="仿宋" w:cs="仿宋"/>
          <w:highlight w:val="none"/>
        </w:rPr>
        <w:t>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2"/>
        <w:rPr>
          <w:rFonts w:ascii="仿宋" w:hAnsi="仿宋" w:eastAsia="仿宋" w:cs="仿宋"/>
          <w:b w:val="0"/>
          <w:bCs w:val="0"/>
          <w:sz w:val="21"/>
          <w:szCs w:val="22"/>
          <w:highlight w:val="none"/>
        </w:rPr>
      </w:pPr>
      <w:r>
        <w:rPr>
          <w:highlight w:val="none"/>
        </w:rPr>
        <w:fldChar w:fldCharType="begin"/>
      </w:r>
      <w:r>
        <w:rPr>
          <w:highlight w:val="none"/>
        </w:rPr>
        <w:instrText xml:space="preserve"> HYPERLINK \l "_Toc69395654" </w:instrText>
      </w:r>
      <w:r>
        <w:rPr>
          <w:highlight w:val="none"/>
        </w:rPr>
        <w:fldChar w:fldCharType="separate"/>
      </w:r>
      <w:r>
        <w:rPr>
          <w:rStyle w:val="23"/>
          <w:rFonts w:hint="eastAsia" w:ascii="仿宋" w:hAnsi="仿宋" w:eastAsia="仿宋" w:cs="仿宋"/>
          <w:color w:val="auto"/>
          <w:highlight w:val="none"/>
        </w:rPr>
        <w:t>第二章投标人须知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_Toc69395654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2"/>
        <w:rPr>
          <w:rFonts w:ascii="仿宋" w:hAnsi="仿宋" w:eastAsia="仿宋" w:cs="仿宋"/>
          <w:b w:val="0"/>
          <w:bCs w:val="0"/>
          <w:sz w:val="21"/>
          <w:szCs w:val="22"/>
          <w:highlight w:val="none"/>
        </w:rPr>
      </w:pPr>
      <w:r>
        <w:rPr>
          <w:highlight w:val="none"/>
        </w:rPr>
        <w:fldChar w:fldCharType="begin"/>
      </w:r>
      <w:r>
        <w:rPr>
          <w:highlight w:val="none"/>
        </w:rPr>
        <w:instrText xml:space="preserve"> HYPERLINK \l "_Toc69395655" </w:instrText>
      </w:r>
      <w:r>
        <w:rPr>
          <w:highlight w:val="none"/>
        </w:rPr>
        <w:fldChar w:fldCharType="separate"/>
      </w:r>
      <w:r>
        <w:rPr>
          <w:rStyle w:val="23"/>
          <w:rFonts w:hint="eastAsia" w:ascii="仿宋" w:hAnsi="仿宋" w:eastAsia="仿宋" w:cs="仿宋"/>
          <w:color w:val="auto"/>
          <w:highlight w:val="none"/>
        </w:rPr>
        <w:t>第三章投标文件格式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_Toc69395655 \h </w:instrText>
      </w:r>
      <w:r>
        <w:rPr>
          <w:rFonts w:hint="eastAsia" w:ascii="仿宋" w:hAnsi="仿宋" w:eastAsia="仿宋" w:cs="仿宋"/>
          <w:highlight w:val="none"/>
        </w:rPr>
        <w:fldChar w:fldCharType="separate"/>
      </w:r>
      <w:r>
        <w:rPr>
          <w:rFonts w:hint="eastAsia"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2"/>
        <w:rPr>
          <w:rFonts w:ascii="仿宋" w:hAnsi="仿宋" w:eastAsia="仿宋" w:cs="仿宋"/>
          <w:b w:val="0"/>
          <w:bCs w:val="0"/>
          <w:sz w:val="21"/>
          <w:szCs w:val="22"/>
          <w:highlight w:val="none"/>
        </w:rPr>
      </w:pPr>
      <w:r>
        <w:rPr>
          <w:highlight w:val="none"/>
        </w:rPr>
        <w:fldChar w:fldCharType="begin"/>
      </w:r>
      <w:r>
        <w:rPr>
          <w:highlight w:val="none"/>
        </w:rPr>
        <w:instrText xml:space="preserve"> HYPERLINK \l "_Toc69395656" </w:instrText>
      </w:r>
      <w:r>
        <w:rPr>
          <w:highlight w:val="none"/>
        </w:rPr>
        <w:fldChar w:fldCharType="separate"/>
      </w:r>
      <w:r>
        <w:rPr>
          <w:rStyle w:val="23"/>
          <w:rFonts w:hint="eastAsia" w:ascii="仿宋" w:hAnsi="仿宋" w:eastAsia="仿宋" w:cs="仿宋"/>
          <w:color w:val="auto"/>
          <w:highlight w:val="none"/>
        </w:rPr>
        <w:t>第四章投标人和投标产品的资格、资质性及其他类似效力要求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_Toc69395656 \h </w:instrText>
      </w:r>
      <w:r>
        <w:rPr>
          <w:rFonts w:hint="eastAsia" w:ascii="仿宋" w:hAnsi="仿宋" w:eastAsia="仿宋" w:cs="仿宋"/>
          <w:highlight w:val="none"/>
        </w:rPr>
        <w:fldChar w:fldCharType="separate"/>
      </w:r>
      <w:r>
        <w:rPr>
          <w:rFonts w:hint="eastAsia" w:ascii="仿宋" w:hAnsi="仿宋" w:eastAsia="仿宋" w:cs="仿宋"/>
          <w:highlight w:val="none"/>
        </w:rPr>
        <w:t>55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2"/>
        <w:rPr>
          <w:rFonts w:ascii="仿宋" w:hAnsi="仿宋" w:eastAsia="仿宋" w:cs="仿宋"/>
          <w:b w:val="0"/>
          <w:bCs w:val="0"/>
          <w:sz w:val="21"/>
          <w:szCs w:val="22"/>
          <w:highlight w:val="none"/>
        </w:rPr>
      </w:pPr>
      <w:r>
        <w:rPr>
          <w:highlight w:val="none"/>
        </w:rPr>
        <w:fldChar w:fldCharType="begin"/>
      </w:r>
      <w:r>
        <w:rPr>
          <w:highlight w:val="none"/>
        </w:rPr>
        <w:instrText xml:space="preserve"> HYPERLINK \l "_Toc69395658" </w:instrText>
      </w:r>
      <w:r>
        <w:rPr>
          <w:highlight w:val="none"/>
        </w:rPr>
        <w:fldChar w:fldCharType="separate"/>
      </w:r>
      <w:r>
        <w:rPr>
          <w:rStyle w:val="23"/>
          <w:rFonts w:hint="eastAsia" w:ascii="仿宋" w:hAnsi="仿宋" w:eastAsia="仿宋" w:cs="仿宋"/>
          <w:color w:val="auto"/>
          <w:highlight w:val="none"/>
        </w:rPr>
        <w:t>第五章投标人应当提供的资格、资质性及其他具有类似效力的要求的相关证明材料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_Toc69395658 \h </w:instrText>
      </w:r>
      <w:r>
        <w:rPr>
          <w:rFonts w:hint="eastAsia" w:ascii="仿宋" w:hAnsi="仿宋" w:eastAsia="仿宋" w:cs="仿宋"/>
          <w:highlight w:val="none"/>
        </w:rPr>
        <w:fldChar w:fldCharType="separate"/>
      </w:r>
      <w:r>
        <w:rPr>
          <w:rFonts w:hint="eastAsia" w:ascii="仿宋" w:hAnsi="仿宋" w:eastAsia="仿宋" w:cs="仿宋"/>
          <w:highlight w:val="none"/>
        </w:rPr>
        <w:t>57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2"/>
        <w:rPr>
          <w:rFonts w:ascii="仿宋" w:hAnsi="仿宋" w:eastAsia="仿宋" w:cs="仿宋"/>
          <w:b w:val="0"/>
          <w:bCs w:val="0"/>
          <w:sz w:val="21"/>
          <w:szCs w:val="22"/>
          <w:highlight w:val="none"/>
        </w:rPr>
      </w:pPr>
      <w:r>
        <w:rPr>
          <w:highlight w:val="none"/>
        </w:rPr>
        <w:fldChar w:fldCharType="begin"/>
      </w:r>
      <w:r>
        <w:rPr>
          <w:highlight w:val="none"/>
        </w:rPr>
        <w:instrText xml:space="preserve"> HYPERLINK \l "_Toc69395659" </w:instrText>
      </w:r>
      <w:r>
        <w:rPr>
          <w:highlight w:val="none"/>
        </w:rPr>
        <w:fldChar w:fldCharType="separate"/>
      </w:r>
      <w:r>
        <w:rPr>
          <w:rStyle w:val="23"/>
          <w:rFonts w:hint="eastAsia" w:ascii="仿宋" w:hAnsi="仿宋" w:eastAsia="仿宋" w:cs="仿宋"/>
          <w:color w:val="auto"/>
          <w:highlight w:val="none"/>
        </w:rPr>
        <w:t>第六章技术、商务及其他要求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_Toc69395659 \h </w:instrText>
      </w:r>
      <w:r>
        <w:rPr>
          <w:rFonts w:hint="eastAsia" w:ascii="仿宋" w:hAnsi="仿宋" w:eastAsia="仿宋" w:cs="仿宋"/>
          <w:highlight w:val="none"/>
        </w:rPr>
        <w:fldChar w:fldCharType="separate"/>
      </w:r>
      <w:r>
        <w:rPr>
          <w:rFonts w:hint="eastAsia" w:ascii="仿宋" w:hAnsi="仿宋" w:eastAsia="仿宋" w:cs="仿宋"/>
          <w:highlight w:val="none"/>
        </w:rPr>
        <w:t>59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2"/>
        <w:rPr>
          <w:rFonts w:ascii="仿宋" w:hAnsi="仿宋" w:eastAsia="仿宋" w:cs="仿宋"/>
          <w:b w:val="0"/>
          <w:bCs w:val="0"/>
          <w:sz w:val="21"/>
          <w:szCs w:val="22"/>
          <w:highlight w:val="none"/>
        </w:rPr>
      </w:pPr>
      <w:r>
        <w:rPr>
          <w:highlight w:val="none"/>
        </w:rPr>
        <w:fldChar w:fldCharType="begin"/>
      </w:r>
      <w:r>
        <w:rPr>
          <w:highlight w:val="none"/>
        </w:rPr>
        <w:instrText xml:space="preserve"> HYPERLINK \l "_Toc69395660" </w:instrText>
      </w:r>
      <w:r>
        <w:rPr>
          <w:highlight w:val="none"/>
        </w:rPr>
        <w:fldChar w:fldCharType="separate"/>
      </w:r>
      <w:r>
        <w:rPr>
          <w:rStyle w:val="23"/>
          <w:rFonts w:hint="eastAsia" w:ascii="仿宋" w:hAnsi="仿宋" w:eastAsia="仿宋" w:cs="仿宋"/>
          <w:color w:val="auto"/>
          <w:highlight w:val="none"/>
        </w:rPr>
        <w:t>第七章评标</w:t>
      </w:r>
      <w:bookmarkStart w:id="0" w:name="_Hlt69395674"/>
      <w:r>
        <w:rPr>
          <w:rStyle w:val="23"/>
          <w:rFonts w:hint="eastAsia" w:ascii="仿宋" w:hAnsi="仿宋" w:eastAsia="仿宋" w:cs="仿宋"/>
          <w:color w:val="auto"/>
          <w:highlight w:val="none"/>
        </w:rPr>
        <w:t>办</w:t>
      </w:r>
      <w:bookmarkEnd w:id="0"/>
      <w:r>
        <w:rPr>
          <w:rStyle w:val="23"/>
          <w:rFonts w:hint="eastAsia" w:ascii="仿宋" w:hAnsi="仿宋" w:eastAsia="仿宋" w:cs="仿宋"/>
          <w:color w:val="auto"/>
          <w:highlight w:val="none"/>
        </w:rPr>
        <w:t>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_Toc69395660 \h </w:instrText>
      </w:r>
      <w:r>
        <w:rPr>
          <w:rFonts w:hint="eastAsia" w:ascii="仿宋" w:hAnsi="仿宋" w:eastAsia="仿宋" w:cs="仿宋"/>
          <w:highlight w:val="none"/>
        </w:rPr>
        <w:fldChar w:fldCharType="separate"/>
      </w:r>
      <w:r>
        <w:rPr>
          <w:rFonts w:hint="eastAsia" w:ascii="仿宋" w:hAnsi="仿宋" w:eastAsia="仿宋" w:cs="仿宋"/>
          <w:highlight w:val="none"/>
        </w:rPr>
        <w:t>76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2"/>
        <w:rPr>
          <w:rFonts w:ascii="仿宋" w:hAnsi="仿宋" w:eastAsia="仿宋" w:cs="仿宋"/>
          <w:b w:val="0"/>
          <w:bCs w:val="0"/>
          <w:sz w:val="21"/>
          <w:szCs w:val="22"/>
          <w:highlight w:val="none"/>
        </w:rPr>
      </w:pPr>
      <w:r>
        <w:rPr>
          <w:highlight w:val="none"/>
        </w:rPr>
        <w:fldChar w:fldCharType="begin"/>
      </w:r>
      <w:r>
        <w:rPr>
          <w:highlight w:val="none"/>
        </w:rPr>
        <w:instrText xml:space="preserve"> HYPERLINK \l "_Toc69395661" </w:instrText>
      </w:r>
      <w:r>
        <w:rPr>
          <w:highlight w:val="none"/>
        </w:rPr>
        <w:fldChar w:fldCharType="separate"/>
      </w:r>
      <w:r>
        <w:rPr>
          <w:rStyle w:val="23"/>
          <w:rFonts w:hint="eastAsia" w:ascii="仿宋" w:hAnsi="仿宋" w:eastAsia="仿宋" w:cs="仿宋"/>
          <w:color w:val="auto"/>
          <w:highlight w:val="none"/>
        </w:rPr>
        <w:t>第八章采购合</w:t>
      </w:r>
      <w:bookmarkStart w:id="1" w:name="_Hlt69395679"/>
      <w:r>
        <w:rPr>
          <w:rStyle w:val="23"/>
          <w:rFonts w:hint="eastAsia" w:ascii="仿宋" w:hAnsi="仿宋" w:eastAsia="仿宋" w:cs="仿宋"/>
          <w:color w:val="auto"/>
          <w:highlight w:val="none"/>
        </w:rPr>
        <w:t>同</w:t>
      </w:r>
      <w:bookmarkEnd w:id="1"/>
      <w:bookmarkStart w:id="2" w:name="_Hlt69395688"/>
      <w:r>
        <w:rPr>
          <w:rStyle w:val="23"/>
          <w:rFonts w:hint="eastAsia" w:ascii="仿宋" w:hAnsi="仿宋" w:eastAsia="仿宋" w:cs="仿宋"/>
          <w:color w:val="auto"/>
          <w:highlight w:val="none"/>
        </w:rPr>
        <w:t>（</w:t>
      </w:r>
      <w:bookmarkEnd w:id="2"/>
      <w:r>
        <w:rPr>
          <w:rStyle w:val="23"/>
          <w:rFonts w:hint="eastAsia" w:ascii="仿宋" w:hAnsi="仿宋" w:eastAsia="仿宋" w:cs="仿宋"/>
          <w:color w:val="auto"/>
          <w:highlight w:val="none"/>
        </w:rPr>
        <w:t>参考文本）</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_Toc69395661 \h </w:instrText>
      </w:r>
      <w:r>
        <w:rPr>
          <w:rFonts w:hint="eastAsia" w:ascii="仿宋" w:hAnsi="仿宋" w:eastAsia="仿宋" w:cs="仿宋"/>
          <w:highlight w:val="none"/>
        </w:rPr>
        <w:fldChar w:fldCharType="separate"/>
      </w:r>
      <w:r>
        <w:rPr>
          <w:rFonts w:hint="eastAsia" w:ascii="仿宋" w:hAnsi="仿宋" w:eastAsia="仿宋" w:cs="仿宋"/>
          <w:highlight w:val="none"/>
        </w:rPr>
        <w:t>89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spacing w:line="360" w:lineRule="auto"/>
        <w:rPr>
          <w:rFonts w:ascii="仿宋" w:hAnsi="仿宋" w:eastAsia="仿宋" w:cs="仿宋"/>
          <w:highlight w:val="none"/>
        </w:rPr>
      </w:pPr>
      <w:r>
        <w:rPr>
          <w:rFonts w:hint="eastAsia" w:ascii="仿宋" w:hAnsi="仿宋" w:eastAsia="仿宋" w:cs="仿宋"/>
          <w:bCs/>
          <w:szCs w:val="28"/>
          <w:highlight w:val="none"/>
        </w:rPr>
        <w:fldChar w:fldCharType="end"/>
      </w:r>
    </w:p>
    <w:p>
      <w:pPr>
        <w:rPr>
          <w:rFonts w:ascii="仿宋" w:hAnsi="仿宋" w:eastAsia="仿宋" w:cs="仿宋"/>
          <w:highlight w:val="none"/>
        </w:rPr>
      </w:pPr>
    </w:p>
    <w:p>
      <w:pPr>
        <w:widowControl/>
        <w:jc w:val="left"/>
        <w:rPr>
          <w:rFonts w:ascii="仿宋" w:hAnsi="仿宋" w:eastAsia="仿宋" w:cs="仿宋"/>
          <w:bCs/>
          <w:sz w:val="24"/>
          <w:highlight w:val="none"/>
        </w:rPr>
        <w:sectPr>
          <w:footerReference r:id="rId4" w:type="first"/>
          <w:headerReference r:id="rId3" w:type="default"/>
          <w:pgSz w:w="11907" w:h="16840"/>
          <w:pgMar w:top="1440" w:right="1080" w:bottom="1440" w:left="1080"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2"/>
        <w:rPr>
          <w:rFonts w:ascii="仿宋" w:hAnsi="仿宋" w:eastAsia="仿宋" w:cs="仿宋"/>
          <w:highlight w:val="none"/>
        </w:rPr>
      </w:pPr>
    </w:p>
    <w:p>
      <w:pPr>
        <w:pStyle w:val="13"/>
        <w:rPr>
          <w:rFonts w:ascii="仿宋" w:hAnsi="仿宋" w:eastAsia="仿宋" w:cs="仿宋"/>
          <w:sz w:val="36"/>
          <w:szCs w:val="36"/>
          <w:highlight w:val="none"/>
        </w:rPr>
        <w:sectPr>
          <w:footerReference r:id="rId6" w:type="first"/>
          <w:footerReference r:id="rId5" w:type="default"/>
          <w:pgSz w:w="11907" w:h="16840"/>
          <w:pgMar w:top="1440" w:right="1080" w:bottom="1440" w:left="1080" w:header="851" w:footer="992" w:gutter="0"/>
          <w:pgBorders>
            <w:top w:val="none" w:sz="0" w:space="0"/>
            <w:left w:val="none" w:sz="0" w:space="0"/>
            <w:bottom w:val="none" w:sz="0" w:space="0"/>
            <w:right w:val="none" w:sz="0" w:space="0"/>
          </w:pgBorders>
          <w:pgNumType w:start="1"/>
          <w:cols w:space="720" w:num="1"/>
          <w:titlePg/>
          <w:docGrid w:linePitch="312" w:charSpace="0"/>
        </w:sectPr>
      </w:pPr>
      <w:bookmarkStart w:id="3" w:name="_Toc511206475"/>
    </w:p>
    <w:p>
      <w:pPr>
        <w:pStyle w:val="13"/>
        <w:rPr>
          <w:rFonts w:hint="eastAsia" w:ascii="仿宋" w:hAnsi="仿宋" w:eastAsia="仿宋" w:cs="仿宋"/>
          <w:sz w:val="36"/>
          <w:szCs w:val="36"/>
          <w:highlight w:val="none"/>
          <w:lang w:eastAsia="zh-CN"/>
        </w:rPr>
      </w:pPr>
      <w:bookmarkStart w:id="4" w:name="_Toc69395653"/>
      <w:r>
        <w:rPr>
          <w:rFonts w:hint="eastAsia" w:ascii="仿宋" w:hAnsi="仿宋" w:eastAsia="仿宋" w:cs="仿宋"/>
          <w:sz w:val="36"/>
          <w:szCs w:val="36"/>
          <w:highlight w:val="none"/>
        </w:rPr>
        <w:t xml:space="preserve">第一章  </w:t>
      </w:r>
      <w:bookmarkEnd w:id="3"/>
      <w:bookmarkEnd w:id="4"/>
      <w:r>
        <w:rPr>
          <w:rFonts w:hint="eastAsia" w:ascii="仿宋" w:hAnsi="仿宋" w:eastAsia="仿宋" w:cs="仿宋"/>
          <w:sz w:val="36"/>
          <w:szCs w:val="36"/>
          <w:highlight w:val="none"/>
          <w:lang w:eastAsia="zh-CN"/>
        </w:rPr>
        <w:t>招标公告</w:t>
      </w:r>
    </w:p>
    <w:p>
      <w:pPr>
        <w:pStyle w:val="6"/>
        <w:spacing w:line="440" w:lineRule="exact"/>
        <w:ind w:firstLine="400"/>
        <w:rPr>
          <w:rFonts w:ascii="仿宋" w:hAnsi="仿宋" w:eastAsia="仿宋" w:cs="仿宋"/>
          <w:highlight w:val="none"/>
        </w:rPr>
      </w:pPr>
    </w:p>
    <w:p>
      <w:pPr>
        <w:spacing w:after="160"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四川亚兴建设工程项目管理有限公司</w:t>
      </w:r>
      <w:r>
        <w:rPr>
          <w:rFonts w:hint="eastAsia" w:ascii="仿宋" w:hAnsi="仿宋" w:eastAsia="仿宋" w:cs="仿宋"/>
          <w:sz w:val="24"/>
          <w:highlight w:val="none"/>
        </w:rPr>
        <w:t>（采购代理机构）受</w:t>
      </w:r>
      <w:r>
        <w:rPr>
          <w:rFonts w:hint="default" w:ascii="仿宋" w:hAnsi="仿宋" w:eastAsia="仿宋" w:cs="仿宋"/>
          <w:b/>
          <w:bCs/>
          <w:sz w:val="24"/>
          <w:highlight w:val="none"/>
          <w:u w:val="single"/>
        </w:rPr>
        <w:t>成都市武侯区规划和自然资源局</w:t>
      </w:r>
      <w:r>
        <w:rPr>
          <w:rFonts w:hint="eastAsia" w:ascii="仿宋" w:hAnsi="仿宋" w:eastAsia="仿宋" w:cs="仿宋"/>
          <w:sz w:val="24"/>
          <w:highlight w:val="none"/>
        </w:rPr>
        <w:t>（采购人）委托，拟对</w:t>
      </w:r>
      <w:r>
        <w:rPr>
          <w:rFonts w:hint="eastAsia" w:ascii="仿宋" w:hAnsi="仿宋" w:eastAsia="仿宋" w:cs="仿宋"/>
          <w:b/>
          <w:bCs/>
          <w:sz w:val="24"/>
          <w:highlight w:val="none"/>
          <w:u w:val="single"/>
          <w:lang w:eastAsia="zh-CN"/>
        </w:rPr>
        <w:t>武侯区与其他城区规划布局形态对比研究采购项目</w:t>
      </w:r>
      <w:r>
        <w:rPr>
          <w:rFonts w:hint="eastAsia" w:ascii="仿宋" w:hAnsi="仿宋" w:eastAsia="仿宋" w:cs="仿宋"/>
          <w:sz w:val="24"/>
          <w:highlight w:val="none"/>
        </w:rPr>
        <w:t>进行国内公开招标，兹邀请符合招标要求的投标人参加投标。</w:t>
      </w:r>
    </w:p>
    <w:p>
      <w:pPr>
        <w:numPr>
          <w:ilvl w:val="0"/>
          <w:numId w:val="2"/>
        </w:numPr>
        <w:spacing w:after="160"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采购项目编号</w:t>
      </w:r>
      <w:r>
        <w:rPr>
          <w:rFonts w:hint="eastAsia" w:ascii="仿宋" w:hAnsi="仿宋" w:eastAsia="仿宋" w:cs="仿宋"/>
          <w:sz w:val="24"/>
          <w:highlight w:val="none"/>
        </w:rPr>
        <w:t>： </w:t>
      </w:r>
      <w:r>
        <w:rPr>
          <w:rFonts w:hint="eastAsia" w:ascii="仿宋" w:hAnsi="仿宋" w:eastAsia="仿宋" w:cs="仿宋"/>
          <w:sz w:val="24"/>
          <w:highlight w:val="none"/>
          <w:lang w:eastAsia="zh-CN"/>
        </w:rPr>
        <w:t>510107202100269</w:t>
      </w:r>
    </w:p>
    <w:p>
      <w:pPr>
        <w:numPr>
          <w:ilvl w:val="0"/>
          <w:numId w:val="2"/>
        </w:numPr>
        <w:spacing w:after="160"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采购项目：</w:t>
      </w:r>
      <w:r>
        <w:rPr>
          <w:rFonts w:hint="eastAsia" w:ascii="仿宋" w:hAnsi="仿宋" w:eastAsia="仿宋" w:cs="仿宋"/>
          <w:sz w:val="24"/>
          <w:highlight w:val="none"/>
          <w:lang w:eastAsia="zh-CN"/>
        </w:rPr>
        <w:t>武侯区与其他城区规划布局形态对比研究采购项目</w:t>
      </w:r>
      <w:r>
        <w:rPr>
          <w:rFonts w:hint="eastAsia" w:ascii="仿宋" w:hAnsi="仿宋" w:eastAsia="仿宋" w:cs="仿宋"/>
          <w:sz w:val="24"/>
          <w:highlight w:val="none"/>
          <w:lang w:val="en-US" w:eastAsia="zh-CN"/>
        </w:rPr>
        <w:t>。</w:t>
      </w:r>
    </w:p>
    <w:p>
      <w:pPr>
        <w:numPr>
          <w:ilvl w:val="0"/>
          <w:numId w:val="2"/>
        </w:numPr>
        <w:spacing w:after="160"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资金来源：财政资金</w:t>
      </w:r>
      <w:r>
        <w:rPr>
          <w:rFonts w:hint="default" w:ascii="仿宋" w:hAnsi="仿宋" w:eastAsia="仿宋" w:cs="仿宋"/>
          <w:b/>
          <w:bCs/>
          <w:sz w:val="24"/>
          <w:highlight w:val="none"/>
        </w:rPr>
        <w:t>；</w:t>
      </w:r>
      <w:r>
        <w:rPr>
          <w:rFonts w:hint="eastAsia" w:ascii="仿宋" w:hAnsi="仿宋" w:eastAsia="仿宋" w:cs="仿宋"/>
          <w:b/>
          <w:bCs/>
          <w:sz w:val="24"/>
          <w:highlight w:val="none"/>
          <w:lang w:val="en-US" w:eastAsia="zh-Hans"/>
        </w:rPr>
        <w:t>采购预算</w:t>
      </w:r>
      <w:r>
        <w:rPr>
          <w:rFonts w:hint="default" w:ascii="仿宋" w:hAnsi="仿宋" w:eastAsia="仿宋" w:cs="仿宋"/>
          <w:b/>
          <w:bCs/>
          <w:sz w:val="24"/>
          <w:highlight w:val="none"/>
          <w:lang w:eastAsia="zh-Hans"/>
        </w:rPr>
        <w:t>1</w:t>
      </w:r>
      <w:r>
        <w:rPr>
          <w:rFonts w:hint="eastAsia" w:ascii="仿宋" w:hAnsi="仿宋" w:eastAsia="仿宋" w:cs="仿宋"/>
          <w:b/>
          <w:bCs/>
          <w:sz w:val="24"/>
          <w:highlight w:val="none"/>
          <w:lang w:val="en-US" w:eastAsia="zh-CN"/>
        </w:rPr>
        <w:t>50</w:t>
      </w:r>
      <w:r>
        <w:rPr>
          <w:rFonts w:hint="eastAsia" w:ascii="仿宋" w:hAnsi="仿宋" w:eastAsia="仿宋" w:cs="仿宋"/>
          <w:b/>
          <w:bCs/>
          <w:sz w:val="24"/>
          <w:highlight w:val="none"/>
          <w:lang w:val="en-US" w:eastAsia="zh-Hans"/>
        </w:rPr>
        <w:t>万元</w:t>
      </w:r>
      <w:r>
        <w:rPr>
          <w:rFonts w:hint="default" w:ascii="仿宋" w:hAnsi="仿宋" w:eastAsia="仿宋" w:cs="仿宋"/>
          <w:b/>
          <w:bCs/>
          <w:sz w:val="24"/>
          <w:highlight w:val="none"/>
          <w:lang w:eastAsia="zh-Hans"/>
        </w:rPr>
        <w:t>。</w:t>
      </w:r>
    </w:p>
    <w:p>
      <w:pPr>
        <w:numPr>
          <w:ilvl w:val="0"/>
          <w:numId w:val="2"/>
        </w:numPr>
        <w:spacing w:after="160"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采购项目简介：</w:t>
      </w:r>
    </w:p>
    <w:p>
      <w:pPr>
        <w:spacing w:after="160" w:line="360" w:lineRule="auto"/>
        <w:ind w:firstLine="480" w:firstLineChars="200"/>
        <w:jc w:val="left"/>
        <w:rPr>
          <w:rFonts w:hint="eastAsia" w:ascii="仿宋" w:hAnsi="仿宋" w:eastAsia="仿宋" w:cs="仿宋"/>
          <w:sz w:val="24"/>
          <w:highlight w:val="none"/>
        </w:rPr>
      </w:pPr>
      <w:bookmarkStart w:id="5" w:name="PO_默认文件内容_3"/>
      <w:r>
        <w:rPr>
          <w:rFonts w:hint="eastAsia" w:ascii="仿宋" w:hAnsi="仿宋" w:eastAsia="仿宋" w:cs="仿宋"/>
          <w:sz w:val="24"/>
          <w:highlight w:val="none"/>
        </w:rPr>
        <w:t>详细的技术、商务及其他要求见第六章。</w:t>
      </w:r>
    </w:p>
    <w:p>
      <w:pPr>
        <w:pStyle w:val="5"/>
        <w:ind w:firstLine="964" w:firstLineChars="400"/>
        <w:rPr>
          <w:rFonts w:ascii="仿宋" w:hAnsi="仿宋" w:eastAsia="仿宋" w:cs="仿宋"/>
          <w:highlight w:val="none"/>
        </w:rPr>
      </w:pPr>
      <w:r>
        <w:rPr>
          <w:rFonts w:hint="eastAsia" w:ascii="仿宋" w:hAnsi="仿宋" w:eastAsia="仿宋" w:cs="仿宋"/>
          <w:sz w:val="24"/>
          <w:highlight w:val="none"/>
        </w:rPr>
        <w:t>本项目属于</w:t>
      </w:r>
      <w:r>
        <w:rPr>
          <w:rFonts w:hint="eastAsia" w:ascii="仿宋" w:hAnsi="仿宋" w:eastAsia="仿宋" w:cs="仿宋"/>
          <w:sz w:val="24"/>
          <w:highlight w:val="none"/>
          <w:u w:val="single"/>
          <w:lang w:val="en-US" w:eastAsia="zh-Hans"/>
        </w:rPr>
        <w:t>其他未列明行业</w:t>
      </w:r>
      <w:r>
        <w:rPr>
          <w:rFonts w:hint="eastAsia" w:ascii="仿宋" w:hAnsi="仿宋" w:eastAsia="仿宋" w:cs="仿宋"/>
          <w:sz w:val="24"/>
          <w:highlight w:val="none"/>
        </w:rPr>
        <w:t>。</w:t>
      </w:r>
    </w:p>
    <w:p>
      <w:pPr>
        <w:spacing w:after="160"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五、投标人参加本次政府采购活动应具备下列条件：</w:t>
      </w:r>
    </w:p>
    <w:p>
      <w:pPr>
        <w:pStyle w:val="27"/>
        <w:spacing w:after="160"/>
        <w:ind w:firstLine="480"/>
        <w:jc w:val="left"/>
        <w:rPr>
          <w:rFonts w:ascii="仿宋" w:hAnsi="仿宋" w:eastAsia="仿宋" w:cs="仿宋"/>
          <w:sz w:val="24"/>
          <w:highlight w:val="none"/>
        </w:rPr>
      </w:pPr>
      <w:r>
        <w:rPr>
          <w:rFonts w:hint="eastAsia" w:ascii="仿宋" w:hAnsi="仿宋" w:eastAsia="仿宋" w:cs="仿宋"/>
          <w:sz w:val="24"/>
          <w:highlight w:val="none"/>
        </w:rPr>
        <w:t>1、符合</w:t>
      </w:r>
      <w:r>
        <w:rPr>
          <w:rFonts w:hint="eastAsia" w:ascii="仿宋" w:hAnsi="仿宋" w:eastAsia="仿宋" w:cs="仿宋"/>
          <w:bCs/>
          <w:sz w:val="24"/>
          <w:highlight w:val="none"/>
        </w:rPr>
        <w:t>《中华人民共和国政府采购法》第二十二条规定，投标人参加政府采购活动应当具备下列条件：</w:t>
      </w:r>
    </w:p>
    <w:p>
      <w:pPr>
        <w:pStyle w:val="27"/>
        <w:spacing w:after="160"/>
        <w:ind w:firstLine="480"/>
        <w:jc w:val="left"/>
        <w:rPr>
          <w:rFonts w:ascii="仿宋" w:hAnsi="仿宋" w:eastAsia="仿宋" w:cs="仿宋"/>
          <w:bCs/>
          <w:sz w:val="24"/>
          <w:highlight w:val="none"/>
        </w:rPr>
      </w:pPr>
      <w:r>
        <w:rPr>
          <w:rFonts w:hint="eastAsia" w:ascii="仿宋" w:hAnsi="仿宋" w:eastAsia="仿宋" w:cs="仿宋"/>
          <w:bCs/>
          <w:sz w:val="24"/>
          <w:highlight w:val="none"/>
        </w:rPr>
        <w:t>（一）具有独立承担民事责任的能力；</w:t>
      </w:r>
    </w:p>
    <w:p>
      <w:pPr>
        <w:pStyle w:val="27"/>
        <w:spacing w:after="160"/>
        <w:ind w:firstLine="480"/>
        <w:jc w:val="left"/>
        <w:rPr>
          <w:rFonts w:ascii="仿宋" w:hAnsi="仿宋" w:eastAsia="仿宋" w:cs="仿宋"/>
          <w:bCs/>
          <w:sz w:val="24"/>
          <w:highlight w:val="none"/>
        </w:rPr>
      </w:pPr>
      <w:r>
        <w:rPr>
          <w:rFonts w:hint="eastAsia" w:ascii="仿宋" w:hAnsi="仿宋" w:eastAsia="仿宋" w:cs="仿宋"/>
          <w:bCs/>
          <w:sz w:val="24"/>
          <w:highlight w:val="none"/>
        </w:rPr>
        <w:t>（二）具有良好的商业信誉和健全的财务会计制度；</w:t>
      </w:r>
    </w:p>
    <w:p>
      <w:pPr>
        <w:pStyle w:val="27"/>
        <w:spacing w:after="160"/>
        <w:ind w:firstLine="480"/>
        <w:jc w:val="left"/>
        <w:rPr>
          <w:rFonts w:ascii="仿宋" w:hAnsi="仿宋" w:eastAsia="仿宋" w:cs="仿宋"/>
          <w:bCs/>
          <w:sz w:val="24"/>
          <w:highlight w:val="none"/>
        </w:rPr>
      </w:pPr>
      <w:r>
        <w:rPr>
          <w:rFonts w:hint="eastAsia" w:ascii="仿宋" w:hAnsi="仿宋" w:eastAsia="仿宋" w:cs="仿宋"/>
          <w:bCs/>
          <w:sz w:val="24"/>
          <w:highlight w:val="none"/>
        </w:rPr>
        <w:t>（三）具有履行合同所必需的设备和专业技术能力；</w:t>
      </w:r>
    </w:p>
    <w:p>
      <w:pPr>
        <w:pStyle w:val="27"/>
        <w:spacing w:after="160"/>
        <w:ind w:firstLine="480"/>
        <w:jc w:val="left"/>
        <w:rPr>
          <w:rFonts w:ascii="仿宋" w:hAnsi="仿宋" w:eastAsia="仿宋" w:cs="仿宋"/>
          <w:bCs/>
          <w:sz w:val="24"/>
          <w:highlight w:val="none"/>
        </w:rPr>
      </w:pPr>
      <w:r>
        <w:rPr>
          <w:rFonts w:hint="eastAsia" w:ascii="仿宋" w:hAnsi="仿宋" w:eastAsia="仿宋" w:cs="仿宋"/>
          <w:bCs/>
          <w:sz w:val="24"/>
          <w:highlight w:val="none"/>
        </w:rPr>
        <w:t>（四）有依法缴纳税收和社会保障资金的良好记录；</w:t>
      </w:r>
    </w:p>
    <w:p>
      <w:pPr>
        <w:pStyle w:val="27"/>
        <w:spacing w:after="160"/>
        <w:ind w:firstLine="480"/>
        <w:jc w:val="left"/>
        <w:rPr>
          <w:rFonts w:ascii="仿宋" w:hAnsi="仿宋" w:eastAsia="仿宋" w:cs="仿宋"/>
          <w:bCs/>
          <w:sz w:val="24"/>
          <w:highlight w:val="none"/>
        </w:rPr>
      </w:pPr>
      <w:r>
        <w:rPr>
          <w:rFonts w:hint="eastAsia" w:ascii="仿宋" w:hAnsi="仿宋" w:eastAsia="仿宋" w:cs="仿宋"/>
          <w:bCs/>
          <w:sz w:val="24"/>
          <w:highlight w:val="none"/>
        </w:rPr>
        <w:t>（五）参加政府采购活动前三年内，在经营活动中没有重大违法记录；</w:t>
      </w:r>
    </w:p>
    <w:p>
      <w:pPr>
        <w:pStyle w:val="27"/>
        <w:spacing w:after="160"/>
        <w:ind w:firstLine="480"/>
        <w:jc w:val="left"/>
        <w:rPr>
          <w:rFonts w:ascii="仿宋" w:hAnsi="仿宋" w:eastAsia="仿宋" w:cs="仿宋"/>
          <w:bCs/>
          <w:sz w:val="24"/>
          <w:highlight w:val="none"/>
        </w:rPr>
      </w:pPr>
      <w:r>
        <w:rPr>
          <w:rFonts w:hint="eastAsia" w:ascii="仿宋" w:hAnsi="仿宋" w:eastAsia="仿宋" w:cs="仿宋"/>
          <w:bCs/>
          <w:sz w:val="24"/>
          <w:highlight w:val="none"/>
        </w:rPr>
        <w:t>（六）法律、行政法规规定的其他条件。</w:t>
      </w:r>
    </w:p>
    <w:p>
      <w:pPr>
        <w:pStyle w:val="27"/>
        <w:spacing w:after="160"/>
        <w:ind w:firstLine="480"/>
        <w:jc w:val="left"/>
        <w:rPr>
          <w:rFonts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eastAsia="zh-CN"/>
        </w:rPr>
        <w:t>七</w:t>
      </w:r>
      <w:r>
        <w:rPr>
          <w:rFonts w:hint="eastAsia" w:ascii="仿宋" w:hAnsi="仿宋" w:eastAsia="仿宋" w:cs="仿宋"/>
          <w:bCs/>
          <w:sz w:val="24"/>
          <w:highlight w:val="none"/>
        </w:rPr>
        <w:t>）本项目不允许联合体参加</w:t>
      </w:r>
      <w:bookmarkEnd w:id="5"/>
      <w:r>
        <w:rPr>
          <w:rFonts w:hint="eastAsia" w:ascii="仿宋" w:hAnsi="仿宋" w:eastAsia="仿宋" w:cs="仿宋"/>
          <w:bCs/>
          <w:sz w:val="24"/>
          <w:highlight w:val="none"/>
        </w:rPr>
        <w:t>。</w:t>
      </w:r>
    </w:p>
    <w:p>
      <w:pPr>
        <w:pStyle w:val="27"/>
        <w:spacing w:after="160"/>
        <w:ind w:firstLine="480"/>
        <w:jc w:val="left"/>
        <w:rPr>
          <w:rFonts w:hint="eastAsia" w:ascii="仿宋" w:hAnsi="仿宋" w:eastAsia="仿宋" w:cs="仿宋"/>
          <w:bCs/>
          <w:sz w:val="24"/>
          <w:highlight w:val="none"/>
        </w:rPr>
      </w:pPr>
      <w:r>
        <w:rPr>
          <w:rFonts w:hint="eastAsia" w:ascii="仿宋" w:hAnsi="仿宋" w:eastAsia="仿宋" w:cs="仿宋"/>
          <w:bCs/>
          <w:sz w:val="24"/>
          <w:highlight w:val="none"/>
        </w:rPr>
        <w:t>2、落实政府采购政策需满足的资格要求：本项目</w:t>
      </w:r>
      <w:r>
        <w:rPr>
          <w:rFonts w:hint="eastAsia" w:ascii="仿宋" w:hAnsi="仿宋" w:eastAsia="仿宋" w:cs="仿宋"/>
          <w:bCs/>
          <w:sz w:val="24"/>
          <w:highlight w:val="none"/>
          <w:lang w:eastAsia="zh-CN"/>
        </w:rPr>
        <w:t>不属于</w:t>
      </w:r>
      <w:r>
        <w:rPr>
          <w:rFonts w:hint="eastAsia" w:ascii="仿宋" w:hAnsi="仿宋" w:eastAsia="仿宋" w:cs="仿宋"/>
          <w:bCs/>
          <w:sz w:val="24"/>
          <w:highlight w:val="none"/>
        </w:rPr>
        <w:t>专门面向中小企业采购的项目。</w:t>
      </w:r>
    </w:p>
    <w:p>
      <w:pPr>
        <w:pStyle w:val="27"/>
        <w:spacing w:after="160"/>
        <w:ind w:firstLine="480"/>
        <w:jc w:val="left"/>
        <w:rPr>
          <w:rFonts w:hint="eastAsia" w:ascii="仿宋" w:hAnsi="仿宋" w:eastAsia="仿宋" w:cs="仿宋"/>
          <w:bCs/>
          <w:sz w:val="24"/>
          <w:highlight w:val="none"/>
        </w:rPr>
      </w:pPr>
      <w:r>
        <w:rPr>
          <w:rFonts w:hint="default" w:ascii="仿宋" w:hAnsi="仿宋" w:eastAsia="仿宋" w:cs="仿宋"/>
          <w:bCs/>
          <w:sz w:val="24"/>
          <w:highlight w:val="none"/>
          <w:lang w:eastAsia="zh-CN"/>
        </w:rPr>
        <w:t>3、</w:t>
      </w:r>
      <w:r>
        <w:rPr>
          <w:rFonts w:hint="eastAsia" w:ascii="仿宋" w:hAnsi="仿宋" w:eastAsia="仿宋" w:cs="仿宋"/>
          <w:bCs/>
          <w:sz w:val="24"/>
          <w:highlight w:val="none"/>
          <w:lang w:val="en-US" w:eastAsia="zh-CN"/>
        </w:rPr>
        <w:t>针对本项目的</w:t>
      </w:r>
      <w:r>
        <w:rPr>
          <w:rFonts w:hint="eastAsia" w:ascii="仿宋" w:hAnsi="仿宋" w:eastAsia="仿宋" w:cs="仿宋"/>
          <w:bCs/>
          <w:sz w:val="24"/>
          <w:highlight w:val="none"/>
        </w:rPr>
        <w:t>特</w:t>
      </w:r>
      <w:r>
        <w:rPr>
          <w:rFonts w:hint="eastAsia" w:ascii="仿宋" w:hAnsi="仿宋" w:eastAsia="仿宋" w:cs="仿宋"/>
          <w:bCs/>
          <w:sz w:val="24"/>
          <w:highlight w:val="none"/>
          <w:lang w:eastAsia="zh-CN"/>
        </w:rPr>
        <w:t>殊</w:t>
      </w:r>
      <w:r>
        <w:rPr>
          <w:rFonts w:hint="eastAsia" w:ascii="仿宋" w:hAnsi="仿宋" w:eastAsia="仿宋" w:cs="仿宋"/>
          <w:bCs/>
          <w:sz w:val="24"/>
          <w:highlight w:val="none"/>
        </w:rPr>
        <w:t>要求：</w:t>
      </w:r>
      <w:r>
        <w:rPr>
          <w:rFonts w:hint="eastAsia" w:ascii="仿宋" w:hAnsi="仿宋" w:eastAsia="仿宋" w:cs="仿宋"/>
          <w:bCs/>
          <w:sz w:val="24"/>
          <w:highlight w:val="none"/>
          <w:lang w:eastAsia="zh-CN"/>
        </w:rPr>
        <w:t>供应商应具备</w:t>
      </w:r>
      <w:r>
        <w:rPr>
          <w:rFonts w:hint="eastAsia" w:ascii="仿宋" w:hAnsi="仿宋" w:eastAsia="仿宋" w:cs="仿宋"/>
          <w:bCs/>
          <w:sz w:val="24"/>
          <w:highlight w:val="none"/>
        </w:rPr>
        <w:t>国家</w:t>
      </w:r>
      <w:r>
        <w:rPr>
          <w:rFonts w:hint="eastAsia" w:ascii="仿宋" w:hAnsi="仿宋" w:eastAsia="仿宋" w:cs="仿宋"/>
          <w:bCs/>
          <w:sz w:val="24"/>
          <w:highlight w:val="none"/>
          <w:lang w:eastAsia="zh-CN"/>
        </w:rPr>
        <w:t>行政主管部门颁发的城乡规划编制乙级及以上资质（因目前全国开展国土空间规划管理体系改革，对已到期的城乡规划编制资质视同继续有效）。</w:t>
      </w:r>
    </w:p>
    <w:p>
      <w:pPr>
        <w:spacing w:after="160"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六、禁止参加本次采购活动的投标人</w:t>
      </w:r>
    </w:p>
    <w:p>
      <w:pPr>
        <w:spacing w:line="360" w:lineRule="auto"/>
        <w:ind w:firstLine="480" w:firstLineChars="200"/>
        <w:jc w:val="left"/>
        <w:rPr>
          <w:rFonts w:ascii="仿宋" w:hAnsi="仿宋" w:eastAsia="仿宋" w:cs="仿宋"/>
          <w:sz w:val="24"/>
          <w:highlight w:val="none"/>
        </w:rPr>
      </w:pPr>
      <w:bookmarkStart w:id="6" w:name="PO_默认文件内容_4"/>
      <w:r>
        <w:rPr>
          <w:rFonts w:hint="eastAsia" w:ascii="仿宋" w:hAnsi="仿宋" w:eastAsia="仿宋" w:cs="仿宋"/>
          <w:sz w:val="24"/>
          <w:highlight w:val="none"/>
        </w:rPr>
        <w:t>1、根据《关于在政府采购活动中查询及使用信用记录有关问题的通知》（财库〔2016〕125号）的要求，采购人/采购代理机构将通过“信用中国”网站（www.creditchina.gov.cn）、“中国政府采购网”网站（http://www.ccgp.gov.cn/）等渠道查询投标人在采购公告发布之日前的信用记录并保存信用记录结果网页截图，</w:t>
      </w:r>
      <w:bookmarkEnd w:id="6"/>
      <w:r>
        <w:rPr>
          <w:rFonts w:hint="eastAsia" w:ascii="仿宋" w:hAnsi="仿宋" w:eastAsia="仿宋" w:cs="仿宋"/>
          <w:sz w:val="24"/>
          <w:highlight w:val="none"/>
        </w:rPr>
        <w:t>拒绝列入失信被执行人、重大税收违法案件当事人名单、政府采购严重违法失信行为记录名单及其他不符合《中华人民共和国政府采购法》第二十二条规定条件的投标人参加本项目的采购活动。</w:t>
      </w:r>
    </w:p>
    <w:p>
      <w:pPr>
        <w:spacing w:after="160"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七、招标文件获取方式、时间、地点：</w:t>
      </w:r>
    </w:p>
    <w:p>
      <w:pPr>
        <w:spacing w:after="16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招标文件发售时间自 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13</w:t>
      </w:r>
      <w:r>
        <w:rPr>
          <w:rFonts w:hint="eastAsia" w:ascii="仿宋" w:hAnsi="仿宋" w:eastAsia="仿宋" w:cs="仿宋"/>
          <w:sz w:val="24"/>
          <w:highlight w:val="none"/>
        </w:rPr>
        <w:t>日至 2021年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19</w:t>
      </w:r>
      <w:r>
        <w:rPr>
          <w:rFonts w:hint="eastAsia" w:ascii="仿宋" w:hAnsi="仿宋" w:eastAsia="仿宋" w:cs="仿宋"/>
          <w:sz w:val="24"/>
          <w:highlight w:val="none"/>
        </w:rPr>
        <w:t>日每天上午 09:00 至 12:00，下 午 14:00 至 17:30（北京时间，法定节假日除外）。</w:t>
      </w:r>
    </w:p>
    <w:p>
      <w:pPr>
        <w:numPr>
          <w:ilvl w:val="0"/>
          <w:numId w:val="0"/>
        </w:numPr>
        <w:spacing w:after="160" w:line="360" w:lineRule="auto"/>
        <w:ind w:firstLine="482" w:firstLineChars="200"/>
        <w:jc w:val="left"/>
        <w:rPr>
          <w:rFonts w:hint="eastAsia" w:ascii="仿宋" w:hAnsi="仿宋" w:eastAsia="仿宋" w:cs="仿宋"/>
          <w:sz w:val="24"/>
          <w:highlight w:val="none"/>
        </w:rPr>
      </w:pPr>
      <w:r>
        <w:rPr>
          <w:rFonts w:hint="eastAsia" w:ascii="仿宋" w:hAnsi="仿宋" w:eastAsia="仿宋" w:cs="仿宋"/>
          <w:b/>
          <w:bCs/>
          <w:sz w:val="24"/>
          <w:highlight w:val="none"/>
        </w:rPr>
        <w:t>报名方式：</w:t>
      </w:r>
      <w:r>
        <w:rPr>
          <w:rFonts w:hint="eastAsia" w:ascii="仿宋" w:hAnsi="仿宋" w:eastAsia="仿宋" w:cs="仿宋"/>
          <w:sz w:val="24"/>
          <w:highlight w:val="none"/>
        </w:rPr>
        <w:t xml:space="preserve">投标人从“政府采购云平台”获取采购文件（网址：https://www.zcygov.cn）。登录政府采购云平台—项目采购—获取采购文件—申请获取采购文件。 </w:t>
      </w:r>
    </w:p>
    <w:p>
      <w:pPr>
        <w:numPr>
          <w:ilvl w:val="0"/>
          <w:numId w:val="0"/>
        </w:numPr>
        <w:spacing w:after="16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提示：</w:t>
      </w:r>
      <w:bookmarkStart w:id="51" w:name="_GoBack"/>
      <w:bookmarkEnd w:id="51"/>
    </w:p>
    <w:p>
      <w:pPr>
        <w:numPr>
          <w:ilvl w:val="0"/>
          <w:numId w:val="0"/>
        </w:numPr>
        <w:spacing w:after="16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本项目招标文件免费获取。</w:t>
      </w:r>
    </w:p>
    <w:p>
      <w:pPr>
        <w:numPr>
          <w:ilvl w:val="0"/>
          <w:numId w:val="0"/>
        </w:numPr>
        <w:spacing w:after="16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（2）投标人只有在“政府采购云平台”完成获取招标文件申请并下载招标文件后才视作依法参与本项目。如未在“政府采购云平台”内完成相关流程，引起的投标无效责任自负。</w:t>
      </w:r>
    </w:p>
    <w:p>
      <w:pPr>
        <w:numPr>
          <w:ilvl w:val="0"/>
          <w:numId w:val="0"/>
        </w:numPr>
        <w:spacing w:after="16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）政府采购云平台投标人注册地址：</w:t>
      </w:r>
    </w:p>
    <w:p>
      <w:pPr>
        <w:numPr>
          <w:ilvl w:val="0"/>
          <w:numId w:val="0"/>
        </w:numPr>
        <w:spacing w:after="16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"https://middle.zcygov.cn/v-settle-front/registry"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https://middle.zcygov.cn/v-settle-front/registry</w:t>
      </w:r>
      <w:r>
        <w:rPr>
          <w:rFonts w:hint="eastAsia" w:ascii="仿宋" w:hAnsi="仿宋" w:eastAsia="仿宋" w:cs="仿宋"/>
          <w:sz w:val="24"/>
          <w:highlight w:val="none"/>
        </w:rPr>
        <w:fldChar w:fldCharType="end"/>
      </w:r>
    </w:p>
    <w:p>
      <w:pPr>
        <w:numPr>
          <w:ilvl w:val="0"/>
          <w:numId w:val="0"/>
        </w:numPr>
        <w:spacing w:after="160"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获取招标文件的地点：</w:t>
      </w:r>
      <w:r>
        <w:rPr>
          <w:rFonts w:hint="eastAsia" w:ascii="仿宋" w:hAnsi="仿宋" w:eastAsia="仿宋" w:cs="仿宋"/>
          <w:sz w:val="24"/>
          <w:highlight w:val="none"/>
        </w:rPr>
        <w:t>政府采购云平台(网址：https://www.zcygov.cn)</w:t>
      </w:r>
    </w:p>
    <w:p>
      <w:pPr>
        <w:numPr>
          <w:ilvl w:val="0"/>
          <w:numId w:val="3"/>
        </w:numPr>
        <w:spacing w:after="160"/>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投标截止时间和开标时间：2021年</w:t>
      </w:r>
      <w:r>
        <w:rPr>
          <w:rFonts w:hint="eastAsia" w:ascii="仿宋" w:hAnsi="仿宋" w:eastAsia="仿宋" w:cs="仿宋"/>
          <w:b/>
          <w:sz w:val="24"/>
          <w:highlight w:val="none"/>
          <w:lang w:val="en-US" w:eastAsia="zh-CN"/>
        </w:rPr>
        <w:t>11</w:t>
      </w:r>
      <w:r>
        <w:rPr>
          <w:rFonts w:hint="eastAsia" w:ascii="仿宋" w:hAnsi="仿宋" w:eastAsia="仿宋" w:cs="仿宋"/>
          <w:b/>
          <w:sz w:val="24"/>
          <w:highlight w:val="none"/>
        </w:rPr>
        <w:t>月</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日</w:t>
      </w:r>
      <w:r>
        <w:rPr>
          <w:rFonts w:hint="eastAsia" w:ascii="仿宋" w:hAnsi="仿宋" w:eastAsia="仿宋" w:cs="仿宋"/>
          <w:b/>
          <w:sz w:val="24"/>
          <w:highlight w:val="none"/>
          <w:lang w:val="en-US" w:eastAsia="zh-CN"/>
        </w:rPr>
        <w:t>10</w:t>
      </w:r>
      <w:r>
        <w:rPr>
          <w:rFonts w:hint="eastAsia" w:ascii="仿宋" w:hAnsi="仿宋" w:eastAsia="仿宋" w:cs="仿宋"/>
          <w:b/>
          <w:sz w:val="24"/>
          <w:highlight w:val="none"/>
        </w:rPr>
        <w:t>时</w:t>
      </w:r>
      <w:r>
        <w:rPr>
          <w:rFonts w:hint="eastAsia" w:ascii="仿宋" w:hAnsi="仿宋" w:eastAsia="仿宋" w:cs="仿宋"/>
          <w:b/>
          <w:sz w:val="24"/>
          <w:highlight w:val="none"/>
          <w:lang w:val="en-US" w:eastAsia="zh-CN"/>
        </w:rPr>
        <w:t>00</w:t>
      </w:r>
      <w:r>
        <w:rPr>
          <w:rFonts w:hint="eastAsia" w:ascii="仿宋" w:hAnsi="仿宋" w:eastAsia="仿宋" w:cs="仿宋"/>
          <w:b/>
          <w:sz w:val="24"/>
          <w:highlight w:val="none"/>
        </w:rPr>
        <w:t>分（北京时间）。</w:t>
      </w:r>
    </w:p>
    <w:p>
      <w:pPr>
        <w:spacing w:after="160"/>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九</w:t>
      </w:r>
      <w:r>
        <w:rPr>
          <w:rFonts w:hint="eastAsia" w:ascii="仿宋" w:hAnsi="仿宋" w:eastAsia="仿宋" w:cs="仿宋"/>
          <w:b/>
          <w:color w:val="000000" w:themeColor="text1"/>
          <w:sz w:val="24"/>
          <w:highlight w:val="none"/>
          <w14:textFill>
            <w14:solidFill>
              <w14:schemeClr w14:val="tx1"/>
            </w14:solidFill>
          </w14:textFill>
        </w:rPr>
        <w:t>、投标文件递交地点及开标地点：</w:t>
      </w:r>
      <w:bookmarkStart w:id="7" w:name="PO_默认文件内容_7"/>
    </w:p>
    <w:bookmarkEnd w:id="7"/>
    <w:p>
      <w:pPr>
        <w:spacing w:after="160"/>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四川亚兴建设工程项目管理有限公司高新项目部开标室（成都市高新区吉瑞三路环球时代中心C座1912室）</w:t>
      </w:r>
      <w:r>
        <w:rPr>
          <w:rFonts w:hint="eastAsia" w:ascii="仿宋" w:hAnsi="仿宋" w:eastAsia="仿宋" w:cs="仿宋"/>
          <w:sz w:val="24"/>
          <w:highlight w:val="none"/>
        </w:rPr>
        <w:t>（</w:t>
      </w:r>
      <w:r>
        <w:rPr>
          <w:rFonts w:hint="eastAsia" w:ascii="仿宋" w:hAnsi="仿宋" w:eastAsia="仿宋" w:cs="仿宋"/>
          <w:b/>
          <w:bCs/>
          <w:sz w:val="24"/>
          <w:highlight w:val="none"/>
        </w:rPr>
        <w:t>投标文件接收起止时间：2021年</w:t>
      </w:r>
      <w:r>
        <w:rPr>
          <w:rFonts w:hint="eastAsia" w:ascii="仿宋" w:hAnsi="仿宋" w:eastAsia="仿宋" w:cs="仿宋"/>
          <w:b/>
          <w:bCs/>
          <w:sz w:val="24"/>
          <w:highlight w:val="none"/>
          <w:lang w:val="en-US" w:eastAsia="zh-CN"/>
        </w:rPr>
        <w:t>11</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日09时30分-2021年</w:t>
      </w:r>
      <w:r>
        <w:rPr>
          <w:rFonts w:hint="eastAsia" w:ascii="仿宋" w:hAnsi="仿宋" w:eastAsia="仿宋" w:cs="仿宋"/>
          <w:b/>
          <w:bCs/>
          <w:sz w:val="24"/>
          <w:highlight w:val="none"/>
          <w:lang w:val="en-US" w:eastAsia="zh-CN"/>
        </w:rPr>
        <w:t>11</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日10时00分）</w:t>
      </w:r>
    </w:p>
    <w:p>
      <w:pPr>
        <w:spacing w:after="160"/>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投标文件必须在投标截止时间前送达开标地点。逾期送达的投标文件不予接收。本次招标 不接受邮寄的投标文件。</w:t>
      </w:r>
    </w:p>
    <w:p>
      <w:pPr>
        <w:spacing w:after="160"/>
        <w:ind w:firstLine="480" w:firstLineChars="200"/>
        <w:jc w:val="left"/>
        <w:rPr>
          <w:rFonts w:ascii="仿宋" w:hAnsi="仿宋" w:eastAsia="仿宋" w:cs="仿宋"/>
          <w:sz w:val="24"/>
          <w:szCs w:val="28"/>
          <w:highlight w:val="none"/>
        </w:rPr>
      </w:pPr>
      <w:r>
        <w:rPr>
          <w:rFonts w:hint="eastAsia" w:ascii="仿宋" w:hAnsi="仿宋" w:eastAsia="仿宋" w:cs="仿宋"/>
          <w:bCs/>
          <w:sz w:val="24"/>
          <w:highlight w:val="none"/>
        </w:rPr>
        <w:t>请投标人按时参与本项目的开标，投标人未参加开标的，视同认可开标结果。</w:t>
      </w:r>
    </w:p>
    <w:p>
      <w:pPr>
        <w:spacing w:after="160"/>
        <w:ind w:firstLine="482" w:firstLineChars="200"/>
        <w:jc w:val="left"/>
        <w:rPr>
          <w:rFonts w:ascii="仿宋" w:hAnsi="仿宋" w:eastAsia="仿宋" w:cs="仿宋"/>
          <w:sz w:val="24"/>
          <w:szCs w:val="28"/>
          <w:highlight w:val="none"/>
        </w:rPr>
      </w:pPr>
      <w:r>
        <w:rPr>
          <w:rFonts w:hint="eastAsia" w:ascii="仿宋" w:hAnsi="仿宋" w:eastAsia="仿宋" w:cs="仿宋"/>
          <w:b/>
          <w:sz w:val="24"/>
          <w:szCs w:val="28"/>
          <w:highlight w:val="none"/>
        </w:rPr>
        <w:t>十、本</w:t>
      </w:r>
      <w:r>
        <w:rPr>
          <w:rFonts w:hint="eastAsia" w:ascii="仿宋" w:hAnsi="仿宋" w:eastAsia="仿宋" w:cs="仿宋"/>
          <w:b/>
          <w:sz w:val="24"/>
          <w:szCs w:val="28"/>
          <w:highlight w:val="none"/>
          <w:lang w:eastAsia="zh-CN"/>
        </w:rPr>
        <w:t>招标公告</w:t>
      </w:r>
      <w:r>
        <w:rPr>
          <w:rFonts w:hint="eastAsia" w:ascii="仿宋" w:hAnsi="仿宋" w:eastAsia="仿宋" w:cs="仿宋"/>
          <w:b/>
          <w:sz w:val="24"/>
          <w:szCs w:val="28"/>
          <w:highlight w:val="none"/>
        </w:rPr>
        <w:t>在四川省政府采购网上以公告形式发布。</w:t>
      </w:r>
    </w:p>
    <w:p>
      <w:pPr>
        <w:pStyle w:val="27"/>
        <w:spacing w:line="420" w:lineRule="exact"/>
        <w:ind w:firstLine="482"/>
        <w:rPr>
          <w:rFonts w:ascii="仿宋" w:hAnsi="仿宋" w:eastAsia="仿宋"/>
          <w:b/>
          <w:sz w:val="24"/>
          <w:highlight w:val="none"/>
        </w:rPr>
      </w:pPr>
      <w:r>
        <w:rPr>
          <w:rFonts w:hint="eastAsia" w:ascii="仿宋" w:hAnsi="仿宋" w:eastAsia="仿宋"/>
          <w:b/>
          <w:sz w:val="24"/>
          <w:highlight w:val="none"/>
        </w:rPr>
        <w:t>十一、供应商信用融资：</w:t>
      </w:r>
    </w:p>
    <w:p>
      <w:pPr>
        <w:pStyle w:val="27"/>
        <w:spacing w:line="420" w:lineRule="exact"/>
        <w:ind w:firstLine="480"/>
        <w:rPr>
          <w:rFonts w:ascii="仿宋" w:hAnsi="仿宋" w:eastAsia="仿宋"/>
          <w:sz w:val="24"/>
          <w:highlight w:val="none"/>
        </w:rPr>
      </w:pPr>
      <w:r>
        <w:rPr>
          <w:rFonts w:hint="eastAsia" w:ascii="仿宋" w:hAnsi="仿宋" w:eastAsia="仿宋"/>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pPr>
        <w:pStyle w:val="27"/>
        <w:spacing w:line="420" w:lineRule="exact"/>
        <w:ind w:firstLine="480"/>
        <w:rPr>
          <w:rFonts w:hint="eastAsia" w:ascii="仿宋" w:hAnsi="仿宋" w:eastAsia="仿宋" w:cs="仿宋"/>
          <w:b/>
          <w:sz w:val="24"/>
          <w:highlight w:val="none"/>
        </w:rPr>
      </w:pPr>
      <w:r>
        <w:rPr>
          <w:rFonts w:hint="eastAsia" w:ascii="仿宋" w:hAnsi="仿宋" w:eastAsia="仿宋"/>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成财采发〔20</w:t>
      </w:r>
      <w:r>
        <w:rPr>
          <w:rFonts w:ascii="仿宋" w:hAnsi="仿宋" w:eastAsia="仿宋"/>
          <w:sz w:val="24"/>
          <w:highlight w:val="none"/>
        </w:rPr>
        <w:t>20</w:t>
      </w:r>
      <w:r>
        <w:rPr>
          <w:rFonts w:hint="eastAsia" w:ascii="仿宋" w:hAnsi="仿宋" w:eastAsia="仿宋"/>
          <w:sz w:val="24"/>
          <w:highlight w:val="none"/>
        </w:rPr>
        <w:t>〕</w:t>
      </w:r>
      <w:r>
        <w:rPr>
          <w:rFonts w:ascii="仿宋" w:hAnsi="仿宋" w:eastAsia="仿宋"/>
          <w:sz w:val="24"/>
          <w:highlight w:val="none"/>
        </w:rPr>
        <w:t>20</w:t>
      </w:r>
      <w:r>
        <w:rPr>
          <w:rFonts w:hint="eastAsia" w:ascii="仿宋" w:hAnsi="仿宋" w:eastAsia="仿宋"/>
          <w:sz w:val="24"/>
          <w:highlight w:val="none"/>
        </w:rPr>
        <w:t>号”）。</w:t>
      </w:r>
    </w:p>
    <w:p>
      <w:pPr>
        <w:pStyle w:val="27"/>
        <w:spacing w:after="160" w:line="240" w:lineRule="auto"/>
        <w:ind w:firstLine="482"/>
        <w:jc w:val="left"/>
        <w:rPr>
          <w:rFonts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eastAsia="zh-CN"/>
        </w:rPr>
        <w:t>二</w:t>
      </w:r>
      <w:r>
        <w:rPr>
          <w:rFonts w:hint="eastAsia" w:ascii="仿宋" w:hAnsi="仿宋" w:eastAsia="仿宋" w:cs="仿宋"/>
          <w:b/>
          <w:sz w:val="24"/>
          <w:highlight w:val="none"/>
        </w:rPr>
        <w:t>、联系方式</w:t>
      </w:r>
    </w:p>
    <w:p>
      <w:pPr>
        <w:pStyle w:val="27"/>
        <w:spacing w:after="160" w:line="240" w:lineRule="auto"/>
        <w:ind w:firstLine="482"/>
        <w:jc w:val="left"/>
        <w:rPr>
          <w:rFonts w:ascii="仿宋" w:hAnsi="仿宋" w:eastAsia="仿宋" w:cs="仿宋"/>
          <w:b/>
          <w:bCs/>
          <w:sz w:val="24"/>
          <w:highlight w:val="none"/>
        </w:rPr>
      </w:pPr>
      <w:r>
        <w:rPr>
          <w:rFonts w:hint="eastAsia" w:ascii="仿宋" w:hAnsi="仿宋" w:eastAsia="仿宋" w:cs="仿宋"/>
          <w:b/>
          <w:sz w:val="24"/>
          <w:highlight w:val="none"/>
        </w:rPr>
        <w:t>采购人：</w:t>
      </w:r>
      <w:r>
        <w:rPr>
          <w:rFonts w:hint="default" w:ascii="仿宋" w:hAnsi="仿宋" w:eastAsia="仿宋" w:cs="仿宋"/>
          <w:b/>
          <w:sz w:val="24"/>
          <w:highlight w:val="none"/>
        </w:rPr>
        <w:t>成都市武侯区规划和自然资源局</w:t>
      </w:r>
    </w:p>
    <w:p>
      <w:pPr>
        <w:pStyle w:val="27"/>
        <w:spacing w:after="160" w:line="24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地    址：一环路南三段祥和巷6号</w:t>
      </w:r>
    </w:p>
    <w:p>
      <w:pPr>
        <w:pStyle w:val="27"/>
        <w:spacing w:after="160" w:line="24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联 系 人：</w:t>
      </w:r>
      <w:r>
        <w:rPr>
          <w:rFonts w:hint="eastAsia" w:ascii="仿宋" w:hAnsi="仿宋" w:eastAsia="仿宋" w:cs="仿宋"/>
          <w:sz w:val="24"/>
          <w:highlight w:val="none"/>
          <w:lang w:val="en-US" w:eastAsia="zh-CN"/>
        </w:rPr>
        <w:t>陈</w:t>
      </w:r>
      <w:r>
        <w:rPr>
          <w:rFonts w:hint="eastAsia" w:ascii="仿宋" w:hAnsi="仿宋" w:eastAsia="仿宋" w:cs="仿宋"/>
          <w:sz w:val="24"/>
          <w:highlight w:val="none"/>
        </w:rPr>
        <w:t>老师</w:t>
      </w:r>
    </w:p>
    <w:p>
      <w:pPr>
        <w:pStyle w:val="27"/>
        <w:spacing w:after="160" w:line="240" w:lineRule="auto"/>
        <w:ind w:firstLine="48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lang w:val="en-US" w:eastAsia="zh-CN"/>
          <w14:textFill>
            <w14:solidFill>
              <w14:schemeClr w14:val="tx1"/>
            </w14:solidFill>
          </w14:textFill>
        </w:rPr>
        <w:t>028-85156359、028-85182906</w:t>
      </w:r>
    </w:p>
    <w:p>
      <w:pPr>
        <w:pStyle w:val="27"/>
        <w:spacing w:after="160" w:line="240" w:lineRule="auto"/>
        <w:ind w:firstLine="482"/>
        <w:jc w:val="left"/>
        <w:rPr>
          <w:rFonts w:ascii="仿宋" w:hAnsi="仿宋" w:eastAsia="仿宋" w:cs="仿宋"/>
          <w:b/>
          <w:sz w:val="24"/>
          <w:highlight w:val="none"/>
        </w:rPr>
      </w:pPr>
      <w:r>
        <w:rPr>
          <w:rFonts w:hint="eastAsia" w:ascii="仿宋" w:hAnsi="仿宋" w:eastAsia="仿宋" w:cs="仿宋"/>
          <w:b/>
          <w:sz w:val="24"/>
          <w:highlight w:val="none"/>
        </w:rPr>
        <w:t>采购代理机构：四川亚兴建设工程项目管理有限公司</w:t>
      </w:r>
    </w:p>
    <w:p>
      <w:pPr>
        <w:pStyle w:val="27"/>
        <w:spacing w:after="160" w:line="240" w:lineRule="auto"/>
        <w:ind w:firstLine="448"/>
        <w:jc w:val="left"/>
        <w:rPr>
          <w:rFonts w:ascii="仿宋" w:hAnsi="仿宋" w:eastAsia="仿宋" w:cs="仿宋"/>
          <w:spacing w:val="-8"/>
          <w:sz w:val="24"/>
          <w:highlight w:val="none"/>
        </w:rPr>
      </w:pPr>
      <w:r>
        <w:rPr>
          <w:rFonts w:hint="eastAsia" w:ascii="仿宋" w:hAnsi="仿宋" w:eastAsia="仿宋" w:cs="仿宋"/>
          <w:spacing w:val="-8"/>
          <w:sz w:val="24"/>
          <w:highlight w:val="none"/>
        </w:rPr>
        <w:t>通讯地址：成都市金牛区金府路799号金府国际2栋24层</w:t>
      </w:r>
    </w:p>
    <w:p>
      <w:pPr>
        <w:pStyle w:val="27"/>
        <w:spacing w:after="160" w:line="240" w:lineRule="auto"/>
        <w:ind w:firstLine="480"/>
        <w:jc w:val="left"/>
        <w:rPr>
          <w:rFonts w:ascii="仿宋" w:hAnsi="仿宋" w:eastAsia="仿宋" w:cs="仿宋"/>
          <w:sz w:val="24"/>
          <w:highlight w:val="none"/>
        </w:rPr>
      </w:pPr>
      <w:r>
        <w:rPr>
          <w:rFonts w:hint="eastAsia" w:ascii="仿宋" w:hAnsi="仿宋" w:eastAsia="仿宋" w:cs="仿宋"/>
          <w:sz w:val="24"/>
          <w:highlight w:val="none"/>
        </w:rPr>
        <w:t>邮    编：</w:t>
      </w:r>
      <w:r>
        <w:rPr>
          <w:rFonts w:hint="eastAsia" w:ascii="仿宋" w:hAnsi="仿宋" w:eastAsia="仿宋" w:cs="仿宋"/>
          <w:sz w:val="24"/>
          <w:highlight w:val="none"/>
          <w:shd w:val="clear" w:color="auto" w:fill="FFFFFF"/>
        </w:rPr>
        <w:t>610036</w:t>
      </w:r>
    </w:p>
    <w:p>
      <w:pPr>
        <w:pStyle w:val="27"/>
        <w:spacing w:after="160" w:line="240" w:lineRule="auto"/>
        <w:ind w:firstLine="480"/>
        <w:jc w:val="left"/>
        <w:rPr>
          <w:rFonts w:ascii="仿宋" w:hAnsi="仿宋" w:eastAsia="仿宋" w:cs="仿宋"/>
          <w:sz w:val="24"/>
          <w:highlight w:val="none"/>
        </w:rPr>
      </w:pPr>
      <w:bookmarkStart w:id="8" w:name="_Toc213396945"/>
      <w:bookmarkStart w:id="9" w:name="_Toc217446031"/>
      <w:bookmarkStart w:id="10" w:name="_Toc511206476"/>
      <w:bookmarkStart w:id="11" w:name="_Toc213396759"/>
      <w:bookmarkStart w:id="12" w:name="_Toc213496267"/>
      <w:bookmarkStart w:id="13" w:name="_Toc213397009"/>
      <w:r>
        <w:rPr>
          <w:rFonts w:hint="eastAsia" w:ascii="仿宋" w:hAnsi="仿宋" w:eastAsia="仿宋" w:cs="仿宋"/>
          <w:sz w:val="24"/>
          <w:highlight w:val="none"/>
        </w:rPr>
        <w:t>联 系 人：谢女士</w:t>
      </w:r>
    </w:p>
    <w:p>
      <w:pPr>
        <w:pStyle w:val="27"/>
        <w:spacing w:after="160"/>
        <w:ind w:firstLine="480"/>
        <w:jc w:val="left"/>
        <w:rPr>
          <w:rFonts w:ascii="仿宋" w:hAnsi="仿宋" w:eastAsia="仿宋" w:cs="仿宋"/>
          <w:sz w:val="36"/>
          <w:szCs w:val="36"/>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shd w:val="clear" w:color="auto" w:fill="FFFFFF"/>
        </w:rPr>
        <w:t>028-61111080、028-87560288转805</w:t>
      </w:r>
    </w:p>
    <w:p>
      <w:pPr>
        <w:pStyle w:val="13"/>
        <w:rPr>
          <w:rFonts w:ascii="仿宋" w:hAnsi="仿宋" w:eastAsia="仿宋" w:cs="仿宋"/>
          <w:sz w:val="36"/>
          <w:szCs w:val="36"/>
          <w:highlight w:val="none"/>
        </w:rPr>
      </w:pPr>
      <w:r>
        <w:rPr>
          <w:rFonts w:hint="eastAsia" w:ascii="仿宋" w:hAnsi="仿宋" w:eastAsia="仿宋" w:cs="仿宋"/>
          <w:sz w:val="36"/>
          <w:szCs w:val="36"/>
          <w:highlight w:val="none"/>
        </w:rPr>
        <w:br w:type="page"/>
      </w:r>
      <w:bookmarkStart w:id="14" w:name="_Toc69395654"/>
      <w:r>
        <w:rPr>
          <w:rFonts w:hint="eastAsia" w:ascii="仿宋" w:hAnsi="仿宋" w:eastAsia="仿宋" w:cs="仿宋"/>
          <w:sz w:val="36"/>
          <w:szCs w:val="36"/>
          <w:highlight w:val="none"/>
        </w:rPr>
        <w:t>第二章  投标人须知</w:t>
      </w:r>
      <w:bookmarkEnd w:id="8"/>
      <w:bookmarkEnd w:id="9"/>
      <w:bookmarkEnd w:id="10"/>
      <w:bookmarkEnd w:id="11"/>
      <w:bookmarkEnd w:id="12"/>
      <w:bookmarkEnd w:id="13"/>
      <w:bookmarkEnd w:id="14"/>
    </w:p>
    <w:p>
      <w:pPr>
        <w:pStyle w:val="3"/>
        <w:keepNext w:val="0"/>
        <w:keepLines w:val="0"/>
        <w:spacing w:line="240" w:lineRule="atLeast"/>
        <w:jc w:val="center"/>
        <w:rPr>
          <w:rFonts w:ascii="仿宋" w:hAnsi="仿宋" w:eastAsia="仿宋" w:cs="仿宋"/>
          <w:sz w:val="28"/>
          <w:szCs w:val="28"/>
          <w:highlight w:val="none"/>
        </w:rPr>
      </w:pPr>
      <w:r>
        <w:rPr>
          <w:rFonts w:hint="eastAsia" w:ascii="仿宋" w:hAnsi="仿宋" w:eastAsia="仿宋" w:cs="仿宋"/>
          <w:sz w:val="28"/>
          <w:szCs w:val="28"/>
          <w:highlight w:val="none"/>
        </w:rPr>
        <w:t>一、投标人须知附表</w:t>
      </w:r>
    </w:p>
    <w:tbl>
      <w:tblPr>
        <w:tblStyle w:val="15"/>
        <w:tblW w:w="979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8"/>
        <w:gridCol w:w="2048"/>
        <w:gridCol w:w="71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548" w:type="dxa"/>
            <w:vAlign w:val="center"/>
          </w:tcPr>
          <w:p>
            <w:pPr>
              <w:pStyle w:val="28"/>
              <w:adjustRightInd/>
              <w:spacing w:line="360" w:lineRule="auto"/>
              <w:jc w:val="center"/>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序号</w:t>
            </w:r>
          </w:p>
        </w:tc>
        <w:tc>
          <w:tcPr>
            <w:tcW w:w="2048" w:type="dxa"/>
            <w:vAlign w:val="center"/>
          </w:tcPr>
          <w:p>
            <w:pPr>
              <w:pStyle w:val="28"/>
              <w:adjustRightInd/>
              <w:spacing w:line="360" w:lineRule="auto"/>
              <w:jc w:val="center"/>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条款名称</w:t>
            </w:r>
          </w:p>
        </w:tc>
        <w:tc>
          <w:tcPr>
            <w:tcW w:w="7197" w:type="dxa"/>
            <w:vAlign w:val="center"/>
          </w:tcPr>
          <w:p>
            <w:pPr>
              <w:pStyle w:val="28"/>
              <w:adjustRightInd/>
              <w:spacing w:line="360" w:lineRule="auto"/>
              <w:jc w:val="center"/>
              <w:rPr>
                <w:rFonts w:hint="eastAsia" w:ascii="仿宋" w:hAnsi="仿宋" w:eastAsia="仿宋" w:cs="仿宋"/>
                <w:b/>
                <w:bCs/>
                <w:sz w:val="21"/>
                <w:szCs w:val="21"/>
                <w:highlight w:val="none"/>
                <w:lang w:val="zh-CN"/>
              </w:rPr>
            </w:pPr>
            <w:r>
              <w:rPr>
                <w:rFonts w:hint="eastAsia" w:ascii="仿宋" w:hAnsi="仿宋" w:eastAsia="仿宋" w:cs="仿宋"/>
                <w:b/>
                <w:bCs/>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548" w:type="dxa"/>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2048" w:type="dxa"/>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采购预算</w:t>
            </w:r>
          </w:p>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（实质性要求）</w:t>
            </w:r>
          </w:p>
        </w:tc>
        <w:tc>
          <w:tcPr>
            <w:tcW w:w="7197" w:type="dxa"/>
            <w:vAlign w:val="center"/>
          </w:tcPr>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zh-CN" w:eastAsia="zh-CN"/>
              </w:rPr>
              <w:t>预算金额为人民币</w:t>
            </w:r>
            <w:r>
              <w:rPr>
                <w:rFonts w:hint="default" w:ascii="仿宋" w:hAnsi="仿宋" w:eastAsia="仿宋" w:cs="仿宋"/>
                <w:highlight w:val="none"/>
                <w:lang w:eastAsia="zh-CN"/>
              </w:rPr>
              <w:t>1</w:t>
            </w:r>
            <w:r>
              <w:rPr>
                <w:rFonts w:hint="eastAsia" w:ascii="仿宋" w:hAnsi="仿宋" w:eastAsia="仿宋" w:cs="仿宋"/>
                <w:highlight w:val="none"/>
                <w:lang w:val="en-US" w:eastAsia="zh-CN"/>
              </w:rPr>
              <w:t>50</w:t>
            </w:r>
            <w:r>
              <w:rPr>
                <w:rFonts w:hint="eastAsia" w:ascii="仿宋" w:hAnsi="仿宋" w:eastAsia="仿宋" w:cs="仿宋"/>
                <w:highlight w:val="none"/>
                <w:lang w:val="zh-CN" w:eastAsia="zh-CN"/>
              </w:rPr>
              <w:t>万元。</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2</w:t>
            </w:r>
          </w:p>
        </w:tc>
        <w:tc>
          <w:tcPr>
            <w:tcW w:w="2048" w:type="dxa"/>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最高限价</w:t>
            </w:r>
          </w:p>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（实质性要求）</w:t>
            </w:r>
          </w:p>
        </w:tc>
        <w:tc>
          <w:tcPr>
            <w:tcW w:w="7197" w:type="dxa"/>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最高限价为人民币</w:t>
            </w:r>
            <w:r>
              <w:rPr>
                <w:rFonts w:hint="default" w:ascii="仿宋" w:hAnsi="仿宋" w:eastAsia="仿宋" w:cs="仿宋"/>
                <w:highlight w:val="none"/>
                <w:lang w:eastAsia="zh-CN"/>
              </w:rPr>
              <w:t>1</w:t>
            </w:r>
            <w:r>
              <w:rPr>
                <w:rFonts w:hint="eastAsia" w:ascii="仿宋" w:hAnsi="仿宋" w:eastAsia="仿宋" w:cs="仿宋"/>
                <w:highlight w:val="none"/>
                <w:lang w:val="en-US" w:eastAsia="zh-CN"/>
              </w:rPr>
              <w:t>50</w:t>
            </w:r>
            <w:r>
              <w:rPr>
                <w:rFonts w:hint="eastAsia" w:ascii="仿宋" w:hAnsi="仿宋" w:eastAsia="仿宋" w:cs="仿宋"/>
                <w:highlight w:val="none"/>
                <w:lang w:val="zh-CN" w:eastAsia="zh-CN"/>
              </w:rPr>
              <w:t>万元。</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超过最高限价的投标为无效投标。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548" w:type="dxa"/>
            <w:vAlign w:val="center"/>
          </w:tcPr>
          <w:p>
            <w:pPr>
              <w:pStyle w:val="30"/>
              <w:ind w:left="42"/>
              <w:jc w:val="center"/>
              <w:rPr>
                <w:rFonts w:hint="eastAsia" w:ascii="仿宋" w:hAnsi="仿宋" w:eastAsia="仿宋" w:cs="仿宋"/>
                <w:highlight w:val="none"/>
                <w:lang w:eastAsia="zh-CN"/>
              </w:rPr>
            </w:pPr>
            <w:r>
              <w:rPr>
                <w:rFonts w:hint="default" w:ascii="仿宋" w:hAnsi="仿宋" w:eastAsia="仿宋" w:cs="仿宋"/>
                <w:highlight w:val="none"/>
                <w:lang w:eastAsia="zh-CN"/>
              </w:rPr>
              <w:t>3</w:t>
            </w:r>
          </w:p>
        </w:tc>
        <w:tc>
          <w:tcPr>
            <w:tcW w:w="2048" w:type="dxa"/>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采购方式</w:t>
            </w:r>
          </w:p>
        </w:tc>
        <w:tc>
          <w:tcPr>
            <w:tcW w:w="7197" w:type="dxa"/>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548" w:type="dxa"/>
            <w:vAlign w:val="center"/>
          </w:tcPr>
          <w:p>
            <w:pPr>
              <w:pStyle w:val="30"/>
              <w:ind w:left="42"/>
              <w:jc w:val="center"/>
              <w:rPr>
                <w:rFonts w:hint="eastAsia" w:ascii="仿宋" w:hAnsi="仿宋" w:eastAsia="仿宋" w:cs="仿宋"/>
                <w:highlight w:val="none"/>
                <w:lang w:eastAsia="zh-CN"/>
              </w:rPr>
            </w:pPr>
            <w:r>
              <w:rPr>
                <w:rFonts w:hint="default" w:ascii="仿宋" w:hAnsi="仿宋" w:eastAsia="仿宋" w:cs="仿宋"/>
                <w:highlight w:val="none"/>
                <w:lang w:eastAsia="zh-CN"/>
              </w:rPr>
              <w:t>4</w:t>
            </w:r>
          </w:p>
        </w:tc>
        <w:tc>
          <w:tcPr>
            <w:tcW w:w="2048" w:type="dxa"/>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评审方法</w:t>
            </w:r>
          </w:p>
        </w:tc>
        <w:tc>
          <w:tcPr>
            <w:tcW w:w="7197" w:type="dxa"/>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548" w:type="dxa"/>
            <w:vAlign w:val="center"/>
          </w:tcPr>
          <w:p>
            <w:pPr>
              <w:pStyle w:val="30"/>
              <w:ind w:left="42"/>
              <w:jc w:val="center"/>
              <w:rPr>
                <w:rFonts w:hint="eastAsia" w:ascii="仿宋" w:hAnsi="仿宋" w:eastAsia="仿宋" w:cs="仿宋"/>
                <w:highlight w:val="none"/>
                <w:lang w:eastAsia="zh-CN"/>
              </w:rPr>
            </w:pPr>
            <w:r>
              <w:rPr>
                <w:rFonts w:hint="default" w:ascii="仿宋" w:hAnsi="仿宋" w:eastAsia="仿宋" w:cs="仿宋"/>
                <w:highlight w:val="none"/>
                <w:lang w:eastAsia="zh-CN"/>
              </w:rPr>
              <w:t>5</w:t>
            </w:r>
          </w:p>
        </w:tc>
        <w:tc>
          <w:tcPr>
            <w:tcW w:w="2048" w:type="dxa"/>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是否专门面向中小企业</w:t>
            </w:r>
          </w:p>
        </w:tc>
        <w:tc>
          <w:tcPr>
            <w:tcW w:w="7197" w:type="dxa"/>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本项目不属于专门面向中小企业采购的项目（含中型、小型、微型企业，监狱企业、残疾人福利企业视同为小微企业）。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0" w:hRule="atLeast"/>
          <w:jc w:val="center"/>
        </w:trPr>
        <w:tc>
          <w:tcPr>
            <w:tcW w:w="548" w:type="dxa"/>
            <w:vAlign w:val="center"/>
          </w:tcPr>
          <w:p>
            <w:pPr>
              <w:pStyle w:val="30"/>
              <w:ind w:left="42"/>
              <w:jc w:val="center"/>
              <w:rPr>
                <w:rFonts w:hint="eastAsia" w:ascii="仿宋" w:hAnsi="仿宋" w:eastAsia="仿宋" w:cs="仿宋"/>
                <w:highlight w:val="none"/>
                <w:lang w:eastAsia="zh-CN"/>
              </w:rPr>
            </w:pPr>
            <w:r>
              <w:rPr>
                <w:rFonts w:hint="default" w:ascii="仿宋" w:hAnsi="仿宋" w:eastAsia="仿宋" w:cs="仿宋"/>
                <w:highlight w:val="none"/>
                <w:lang w:eastAsia="zh-CN"/>
              </w:rPr>
              <w:t>6</w:t>
            </w:r>
          </w:p>
        </w:tc>
        <w:tc>
          <w:tcPr>
            <w:tcW w:w="2048" w:type="dxa"/>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联合体投标</w:t>
            </w:r>
          </w:p>
        </w:tc>
        <w:tc>
          <w:tcPr>
            <w:tcW w:w="7197" w:type="dxa"/>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本项目不允许联合体参加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70" w:hRule="atLeast"/>
          <w:jc w:val="center"/>
        </w:trPr>
        <w:tc>
          <w:tcPr>
            <w:tcW w:w="548" w:type="dxa"/>
            <w:vAlign w:val="center"/>
          </w:tcPr>
          <w:p>
            <w:pPr>
              <w:pStyle w:val="30"/>
              <w:ind w:left="42"/>
              <w:jc w:val="center"/>
              <w:rPr>
                <w:rFonts w:hint="eastAsia" w:ascii="仿宋" w:hAnsi="仿宋" w:eastAsia="仿宋" w:cs="仿宋"/>
                <w:highlight w:val="none"/>
                <w:lang w:eastAsia="zh-CN"/>
              </w:rPr>
            </w:pPr>
            <w:r>
              <w:rPr>
                <w:rFonts w:hint="default" w:ascii="仿宋" w:hAnsi="仿宋" w:eastAsia="仿宋" w:cs="仿宋"/>
                <w:highlight w:val="none"/>
                <w:lang w:eastAsia="zh-CN"/>
              </w:rPr>
              <w:t>7</w:t>
            </w:r>
          </w:p>
        </w:tc>
        <w:tc>
          <w:tcPr>
            <w:tcW w:w="2048" w:type="dxa"/>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en-US" w:eastAsia="zh-CN"/>
              </w:rPr>
              <w:t>小微企业、监狱企业、残疾人福利性单位价格扣除(实质性要求)</w:t>
            </w:r>
          </w:p>
        </w:tc>
        <w:tc>
          <w:tcPr>
            <w:tcW w:w="7197" w:type="dxa"/>
            <w:vAlign w:val="center"/>
          </w:tcPr>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一、小微企业价格扣除</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1.根据《政府采购促进中小企业发展管理办法》(财库〔2020〕46号)的规定，对小型和微型企业的价格给予10%的价格扣除，用扣除后的价格参与评审(如涉及)。</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2.参加政府采购活动的中小企业应当提供《中小企业声明函》原件。</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3.供应商参加政府采购活动时，提供虚假《中小企业声明函》的，以提供虚假材料谋取成交处理。</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4.联合体投标时，联合协议中约定，小型、微型企业的协议合同金额占到联合体协议合同总金额30%以上的，可给予联合体3%的价格扣除。</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5.联合体各方均为小型、微型企业的，联合体视同为小型、微型企业享受规定的扶持政策。组成联合体的大中型企业和其他自然人、法人或者其他组织，与小型、微型企业之间不得存在投资关系。</w:t>
            </w:r>
          </w:p>
          <w:p>
            <w:pPr>
              <w:pStyle w:val="30"/>
              <w:ind w:left="42"/>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6.根据《关于印发中小企业划型标准规定的通知》工信部联企业〔2011〕300号，本项目所属行业为：</w:t>
            </w:r>
            <w:r>
              <w:rPr>
                <w:rFonts w:hint="eastAsia" w:ascii="仿宋" w:hAnsi="仿宋" w:eastAsia="仿宋" w:cs="仿宋"/>
                <w:b/>
                <w:bCs/>
                <w:highlight w:val="none"/>
                <w:lang w:val="en-US" w:eastAsia="zh-Hans"/>
              </w:rPr>
              <w:t>其他未列明行业</w:t>
            </w:r>
            <w:r>
              <w:rPr>
                <w:rFonts w:hint="eastAsia" w:ascii="仿宋" w:hAnsi="仿宋" w:eastAsia="仿宋" w:cs="仿宋"/>
                <w:b/>
                <w:bCs/>
                <w:highlight w:val="none"/>
                <w:lang w:val="en-US" w:eastAsia="zh-CN"/>
              </w:rPr>
              <w:t>。</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二、监狱企业价格扣除</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2.本项目对监狱企业参与投标的价格给予10%的扣除，用扣除后的价格参与评审。</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3.监狱企业参加政府采购活动时，应当提供由省级以上监狱管理局、戒毒管理局(含新疆生产建设兵团)出具的属于监狱企业的证明文件。</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4.监狱企业属于小型、微型企业的，不重复享受政策。</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三、残疾人福利性单位价格扣除</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2.本项目对残疾人福利性单位参与投标的价格给予10%的扣除，用扣除后的价格参与评审。</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3.残疾人福利性单位参加政府采购活动时，应当提供本通知规定的《残疾人福利性单位声明函》。</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4.供应商提供的《残疾人福利性单位声明函》与事实不符的，依照《政府采购法》第七十七条第一款的规定追究法律责任。</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en-US" w:eastAsia="zh-CN"/>
              </w:rPr>
              <w:t>5.残疾人福利性单位属于小型、微型企业的，不重复享受政策。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eastAsia="zh-CN"/>
              </w:rPr>
            </w:pPr>
            <w:r>
              <w:rPr>
                <w:rFonts w:hint="default" w:ascii="仿宋" w:hAnsi="仿宋" w:eastAsia="仿宋" w:cs="仿宋"/>
                <w:highlight w:val="none"/>
                <w:lang w:eastAsia="zh-CN"/>
              </w:rPr>
              <w:t>8</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en-US" w:eastAsia="zh-CN"/>
              </w:rPr>
              <w:t>低于成本价</w:t>
            </w:r>
            <w:r>
              <w:rPr>
                <w:rFonts w:hint="eastAsia" w:ascii="仿宋" w:hAnsi="仿宋" w:eastAsia="仿宋" w:cs="仿宋"/>
                <w:highlight w:val="none"/>
                <w:lang w:val="zh-CN" w:eastAsia="zh-CN"/>
              </w:rPr>
              <w:t>不正当竞争预防措施</w:t>
            </w:r>
          </w:p>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（实质性要求）</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9</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考察现场或标前答疑会</w:t>
            </w:r>
          </w:p>
        </w:tc>
        <w:tc>
          <w:tcPr>
            <w:tcW w:w="7197" w:type="dxa"/>
            <w:tcBorders>
              <w:top w:val="single" w:color="auto" w:sz="8" w:space="0"/>
              <w:left w:val="single" w:color="auto" w:sz="8" w:space="0"/>
              <w:bottom w:val="single" w:color="auto" w:sz="8" w:space="0"/>
              <w:right w:val="single" w:color="auto" w:sz="18" w:space="0"/>
            </w:tcBorders>
            <w:vAlign w:val="center"/>
          </w:tcPr>
          <w:p>
            <w:pPr>
              <w:pStyle w:val="28"/>
              <w:rPr>
                <w:rFonts w:ascii="仿宋" w:hAnsi="仿宋" w:eastAsia="仿宋"/>
                <w:sz w:val="21"/>
                <w:szCs w:val="21"/>
                <w:highlight w:val="none"/>
                <w:lang w:val="zh-CN"/>
              </w:rPr>
            </w:pPr>
            <w:r>
              <w:rPr>
                <w:rFonts w:hint="eastAsia" w:ascii="仿宋" w:hAnsi="仿宋" w:eastAsia="仿宋"/>
                <w:sz w:val="21"/>
                <w:szCs w:val="21"/>
                <w:highlight w:val="none"/>
                <w:lang w:val="zh-CN"/>
              </w:rPr>
              <w:t>现场考察或标前答疑会时间：</w:t>
            </w:r>
            <w:r>
              <w:rPr>
                <w:rFonts w:hint="eastAsia" w:ascii="仿宋" w:hAnsi="仿宋" w:eastAsia="仿宋"/>
                <w:sz w:val="21"/>
                <w:szCs w:val="21"/>
                <w:highlight w:val="none"/>
              </w:rPr>
              <w:t>本项目不组织</w:t>
            </w:r>
            <w:r>
              <w:rPr>
                <w:rFonts w:hint="eastAsia" w:ascii="仿宋" w:hAnsi="仿宋" w:eastAsia="仿宋"/>
                <w:sz w:val="21"/>
                <w:szCs w:val="21"/>
                <w:highlight w:val="none"/>
                <w:lang w:val="zh-CN"/>
              </w:rPr>
              <w:t>。</w:t>
            </w:r>
          </w:p>
          <w:p>
            <w:pPr>
              <w:pStyle w:val="30"/>
              <w:ind w:left="42"/>
              <w:rPr>
                <w:rFonts w:hint="eastAsia" w:ascii="仿宋" w:hAnsi="仿宋" w:eastAsia="仿宋" w:cs="仿宋"/>
                <w:highlight w:val="none"/>
                <w:lang w:val="en-US" w:eastAsia="zh-CN"/>
              </w:rPr>
            </w:pPr>
            <w:r>
              <w:rPr>
                <w:rFonts w:hint="eastAsia" w:ascii="仿宋" w:hAnsi="仿宋" w:eastAsia="仿宋"/>
                <w:sz w:val="21"/>
                <w:szCs w:val="21"/>
                <w:highlight w:val="none"/>
                <w:lang w:val="zh-CN"/>
              </w:rPr>
              <w:t>现场考察或标前答疑会地点：</w:t>
            </w:r>
            <w:r>
              <w:rPr>
                <w:rFonts w:hint="eastAsia" w:ascii="仿宋" w:hAnsi="仿宋" w:eastAsia="仿宋"/>
                <w:sz w:val="21"/>
                <w:szCs w:val="21"/>
                <w:highlight w:val="none"/>
              </w:rPr>
              <w:t>本项目不组织</w:t>
            </w:r>
            <w:r>
              <w:rPr>
                <w:rFonts w:hint="eastAsia" w:ascii="仿宋" w:hAnsi="仿宋" w:eastAsia="仿宋"/>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10</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zh-CN" w:eastAsia="zh-CN"/>
              </w:rPr>
              <w:t>评标情况公告</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en-US" w:eastAsia="zh-CN"/>
              </w:rPr>
              <w:t>所有投标人投标文件资格性、符合性检查情况、采用综合评分法时的总得分和分项汇总得分情况、评标结果等将在四川省政府采购网上采购结果公告栏中予以公告。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11</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履约保证金</w:t>
            </w:r>
          </w:p>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（实质性要求）</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12</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投标有效期</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color w:val="000000" w:themeColor="text1"/>
                <w:highlight w:val="none"/>
                <w:lang w:val="zh-CN" w:eastAsia="zh-CN"/>
                <w14:textFill>
                  <w14:solidFill>
                    <w14:schemeClr w14:val="tx1"/>
                  </w14:solidFill>
                </w14:textFill>
              </w:rPr>
              <w:t>提交投标文件的截止之日起 90 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13</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采购文件咨询</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联 系 人：谢女士联系电话：</w:t>
            </w:r>
            <w:r>
              <w:rPr>
                <w:rFonts w:hint="eastAsia" w:ascii="仿宋" w:hAnsi="仿宋" w:eastAsia="仿宋" w:cs="仿宋"/>
                <w:highlight w:val="none"/>
                <w:lang w:val="en-US" w:eastAsia="zh-CN"/>
              </w:rPr>
              <w:t>028-61111080、</w:t>
            </w:r>
            <w:r>
              <w:rPr>
                <w:rFonts w:hint="eastAsia" w:ascii="仿宋" w:hAnsi="仿宋" w:eastAsia="仿宋" w:cs="仿宋"/>
                <w:highlight w:val="none"/>
                <w:lang w:val="zh-CN" w:eastAsia="zh-CN"/>
              </w:rPr>
              <w:t>028-87560288转805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14</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开标、评标工作咨询</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联 系 人：谢女士联系电话：</w:t>
            </w:r>
            <w:r>
              <w:rPr>
                <w:rFonts w:hint="eastAsia" w:ascii="仿宋" w:hAnsi="仿宋" w:eastAsia="仿宋" w:cs="仿宋"/>
                <w:highlight w:val="none"/>
                <w:lang w:val="en-US" w:eastAsia="zh-CN"/>
              </w:rPr>
              <w:t>028-61111080、</w:t>
            </w:r>
            <w:r>
              <w:rPr>
                <w:rFonts w:hint="eastAsia" w:ascii="仿宋" w:hAnsi="仿宋" w:eastAsia="仿宋" w:cs="仿宋"/>
                <w:highlight w:val="none"/>
                <w:lang w:val="zh-CN" w:eastAsia="zh-CN"/>
              </w:rPr>
              <w:t>028-87560288转805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15</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投标人询问</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根据委托代理协议约定，投标人询问由四川亚兴建设工程项目管理有限公司和采购人共同负责答复。</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联 系 人：谢女士</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联系电话：</w:t>
            </w:r>
            <w:r>
              <w:rPr>
                <w:rFonts w:hint="eastAsia" w:ascii="仿宋" w:hAnsi="仿宋" w:eastAsia="仿宋" w:cs="仿宋"/>
                <w:highlight w:val="none"/>
                <w:lang w:val="en-US" w:eastAsia="zh-CN"/>
              </w:rPr>
              <w:t>028-61111080、</w:t>
            </w:r>
            <w:r>
              <w:rPr>
                <w:rFonts w:hint="eastAsia" w:ascii="仿宋" w:hAnsi="仿宋" w:eastAsia="仿宋" w:cs="仿宋"/>
                <w:highlight w:val="none"/>
                <w:lang w:val="zh-CN" w:eastAsia="zh-CN"/>
              </w:rPr>
              <w:t>028-87560288转805</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联系地址：成都市金牛区金府路799号金府国际2栋24层</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邮    编：610036</w:t>
            </w:r>
          </w:p>
          <w:p>
            <w:pPr>
              <w:pStyle w:val="30"/>
              <w:ind w:left="42"/>
              <w:rPr>
                <w:rFonts w:hint="eastAsia" w:ascii="仿宋" w:hAnsi="仿宋" w:eastAsia="仿宋" w:cs="仿宋"/>
                <w:highlight w:val="none"/>
                <w:lang w:val="zh-CN" w:eastAsia="zh-CN"/>
              </w:rPr>
            </w:pPr>
            <w:r>
              <w:rPr>
                <w:rFonts w:hint="eastAsia" w:ascii="仿宋" w:hAnsi="仿宋" w:eastAsia="仿宋"/>
                <w:szCs w:val="21"/>
                <w:highlight w:val="none"/>
                <w:lang w:val="zh-CN"/>
              </w:rPr>
              <w:t>递交地址：</w:t>
            </w:r>
            <w:r>
              <w:rPr>
                <w:rFonts w:hint="eastAsia" w:ascii="仿宋" w:hAnsi="仿宋" w:eastAsia="仿宋" w:cs="仿宋"/>
                <w:b w:val="0"/>
                <w:sz w:val="21"/>
                <w:highlight w:val="none"/>
              </w:rPr>
              <w:t>成都市高新区吉瑞三路环球时代中心C座1912室</w:t>
            </w:r>
            <w:r>
              <w:rPr>
                <w:rFonts w:hint="eastAsia" w:ascii="仿宋" w:hAnsi="仿宋" w:eastAsia="仿宋" w:cs="仿宋"/>
                <w:szCs w:val="24"/>
                <w:highlight w:val="none"/>
                <w:lang w:val="en-US"/>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zh-CN" w:eastAsia="zh-CN"/>
              </w:rPr>
              <w:t>1</w:t>
            </w:r>
            <w:r>
              <w:rPr>
                <w:rFonts w:hint="eastAsia" w:ascii="仿宋" w:hAnsi="仿宋" w:eastAsia="仿宋" w:cs="仿宋"/>
                <w:highlight w:val="none"/>
                <w:lang w:val="en-US" w:eastAsia="zh-CN"/>
              </w:rPr>
              <w:t>6</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投标人质疑</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根据委托代理协议约定，对于采购文件的质疑由四川亚兴建设工程项目管理有限公司和采购人共同负责答复；对于采购过程由四川亚兴建设工程项目管理有限公司负责答复；对于采购结果由四川亚兴建设工程项目管理有限公司负责答复。</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联 系 人：谢女士</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联系电话：</w:t>
            </w:r>
            <w:r>
              <w:rPr>
                <w:rFonts w:hint="eastAsia" w:ascii="仿宋" w:hAnsi="仿宋" w:eastAsia="仿宋" w:cs="仿宋"/>
                <w:highlight w:val="none"/>
                <w:lang w:val="en-US" w:eastAsia="zh-CN"/>
              </w:rPr>
              <w:t>028-61111080、</w:t>
            </w:r>
            <w:r>
              <w:rPr>
                <w:rFonts w:hint="eastAsia" w:ascii="仿宋" w:hAnsi="仿宋" w:eastAsia="仿宋" w:cs="仿宋"/>
                <w:highlight w:val="none"/>
                <w:lang w:val="zh-CN" w:eastAsia="zh-CN"/>
              </w:rPr>
              <w:t>028-87560288转805</w:t>
            </w:r>
          </w:p>
          <w:p>
            <w:pPr>
              <w:pStyle w:val="30"/>
              <w:ind w:left="42"/>
              <w:rPr>
                <w:rFonts w:hint="eastAsia" w:ascii="仿宋" w:hAnsi="仿宋" w:eastAsia="仿宋" w:cs="仿宋"/>
                <w:highlight w:val="none"/>
                <w:lang w:val="en-US" w:eastAsia="zh-CN"/>
              </w:rPr>
            </w:pPr>
            <w:r>
              <w:rPr>
                <w:rFonts w:hint="eastAsia" w:ascii="仿宋" w:hAnsi="仿宋" w:eastAsia="仿宋"/>
                <w:szCs w:val="21"/>
                <w:highlight w:val="none"/>
                <w:lang w:val="zh-CN"/>
              </w:rPr>
              <w:t>递交地址：</w:t>
            </w:r>
            <w:r>
              <w:rPr>
                <w:rFonts w:hint="eastAsia" w:ascii="仿宋" w:hAnsi="仿宋" w:eastAsia="仿宋" w:cs="仿宋"/>
                <w:b w:val="0"/>
                <w:sz w:val="21"/>
                <w:highlight w:val="none"/>
              </w:rPr>
              <w:t>成都市高新区吉瑞三路环球时代中心C座1912室</w:t>
            </w:r>
            <w:r>
              <w:rPr>
                <w:rFonts w:hint="eastAsia" w:ascii="仿宋" w:hAnsi="仿宋" w:eastAsia="仿宋" w:cs="仿宋"/>
                <w:szCs w:val="24"/>
                <w:highlight w:val="none"/>
                <w:lang w:val="en-US"/>
              </w:rPr>
              <w:t>。</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投标人按要求领取招标文件的，为依法获取招标文件的投标人，可以对该文件提出质疑。根据《中华人民共和国政府采购法》等规定，投标人质疑不得超出招标文件、招标过程、招标结果的范围，申请人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default" w:ascii="仿宋" w:hAnsi="仿宋" w:eastAsia="仿宋" w:cs="仿宋"/>
                <w:highlight w:val="none"/>
                <w:lang w:eastAsia="zh-CN"/>
              </w:rPr>
            </w:pPr>
            <w:r>
              <w:rPr>
                <w:rFonts w:hint="default" w:ascii="仿宋" w:hAnsi="仿宋" w:eastAsia="仿宋" w:cs="仿宋"/>
                <w:highlight w:val="none"/>
                <w:lang w:eastAsia="zh-CN"/>
              </w:rPr>
              <w:t>1</w:t>
            </w:r>
            <w:r>
              <w:rPr>
                <w:rFonts w:hint="eastAsia" w:ascii="仿宋" w:hAnsi="仿宋" w:eastAsia="仿宋" w:cs="仿宋"/>
                <w:highlight w:val="none"/>
                <w:lang w:val="en-US" w:eastAsia="zh-CN"/>
              </w:rPr>
              <w:t>7</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投标人投诉</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 xml:space="preserve">投诉受理单位：本采购项目同级财政部门，即省级为四川省财政厅，市州级为各市州财政局，区县为各区县财政局。 </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注：根据《中华人民共和国政府采购法》及其他有关等规定，投标人投诉事项不得超出已质疑事项的范围。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eastAsia="zh-CN"/>
              </w:rPr>
            </w:pPr>
            <w:r>
              <w:rPr>
                <w:rFonts w:hint="default" w:ascii="仿宋" w:hAnsi="仿宋" w:eastAsia="仿宋" w:cs="仿宋"/>
                <w:highlight w:val="none"/>
                <w:lang w:eastAsia="zh-CN"/>
              </w:rPr>
              <w:t>1</w:t>
            </w:r>
            <w:r>
              <w:rPr>
                <w:rFonts w:hint="eastAsia" w:ascii="仿宋" w:hAnsi="仿宋" w:eastAsia="仿宋" w:cs="仿宋"/>
                <w:highlight w:val="none"/>
                <w:lang w:val="en-US" w:eastAsia="zh-CN"/>
              </w:rPr>
              <w:t>8</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中标通知书领取</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中标公告在四川省政府采购网上公告后，</w:t>
            </w:r>
            <w:r>
              <w:rPr>
                <w:rFonts w:hint="eastAsia" w:ascii="仿宋" w:hAnsi="仿宋" w:eastAsia="仿宋"/>
                <w:szCs w:val="21"/>
                <w:highlight w:val="none"/>
                <w:lang w:val="zh-CN"/>
              </w:rPr>
              <w:t>中标供应商自行到我公司“</w:t>
            </w:r>
            <w:r>
              <w:rPr>
                <w:rFonts w:hint="eastAsia" w:ascii="仿宋" w:hAnsi="仿宋" w:eastAsia="仿宋" w:cs="仿宋"/>
                <w:b w:val="0"/>
                <w:sz w:val="21"/>
                <w:highlight w:val="none"/>
              </w:rPr>
              <w:t>成都市高新区吉瑞三路环球时代中心C座1912室</w:t>
            </w:r>
            <w:r>
              <w:rPr>
                <w:rFonts w:hint="eastAsia" w:ascii="仿宋" w:hAnsi="仿宋" w:eastAsia="仿宋"/>
                <w:szCs w:val="21"/>
                <w:highlight w:val="none"/>
                <w:lang w:val="zh-CN"/>
              </w:rPr>
              <w:t>”领取中标通知书。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19</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招标代理服务费</w:t>
            </w:r>
          </w:p>
        </w:tc>
        <w:tc>
          <w:tcPr>
            <w:tcW w:w="7197" w:type="dxa"/>
            <w:tcBorders>
              <w:top w:val="single" w:color="auto" w:sz="8" w:space="0"/>
              <w:left w:val="single" w:color="auto" w:sz="8" w:space="0"/>
              <w:bottom w:val="single" w:color="auto" w:sz="8" w:space="0"/>
              <w:right w:val="single" w:color="auto" w:sz="18" w:space="0"/>
            </w:tcBorders>
            <w:vAlign w:val="center"/>
          </w:tcPr>
          <w:p>
            <w:pPr>
              <w:pStyle w:val="27"/>
              <w:spacing w:after="160"/>
              <w:ind w:left="0" w:leftChars="0" w:firstLine="0" w:firstLineChars="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t>以成交金额作为计算基数，按下列收费标准差额定率累进法计算，不足5000元的按照5000元进行收取：</w:t>
            </w:r>
          </w:p>
          <w:p>
            <w:pPr>
              <w:pStyle w:val="27"/>
              <w:spacing w:after="160"/>
              <w:ind w:left="0" w:leftChars="0" w:firstLine="0" w:firstLineChars="0"/>
              <w:jc w:val="left"/>
              <w:rPr>
                <w:rFonts w:hint="eastAsia" w:ascii="仿宋" w:hAnsi="仿宋" w:eastAsia="仿宋" w:cs="仿宋"/>
                <w:highlight w:val="none"/>
                <w:lang w:val="zh-CN" w:eastAsia="zh-CN"/>
              </w:rPr>
            </w:pPr>
            <w:r>
              <w:rPr>
                <w:rFonts w:hint="eastAsia" w:ascii="仿宋" w:hAnsi="仿宋" w:eastAsia="仿宋" w:cs="仿宋"/>
                <w:highlight w:val="none"/>
                <w:lang w:val="zh-CN" w:eastAsia="zh-CN"/>
              </w:rPr>
              <w:drawing>
                <wp:inline distT="0" distB="0" distL="114300" distR="114300">
                  <wp:extent cx="4547870" cy="2279650"/>
                  <wp:effectExtent l="0" t="0" r="5080" b="6350"/>
                  <wp:docPr id="9" name="图片 9" descr="微信图片_2021081212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812120246"/>
                          <pic:cNvPicPr>
                            <a:picLocks noChangeAspect="1"/>
                          </pic:cNvPicPr>
                        </pic:nvPicPr>
                        <pic:blipFill>
                          <a:blip r:embed="rId10"/>
                          <a:stretch>
                            <a:fillRect/>
                          </a:stretch>
                        </pic:blipFill>
                        <pic:spPr>
                          <a:xfrm>
                            <a:off x="0" y="0"/>
                            <a:ext cx="4547870" cy="2279650"/>
                          </a:xfrm>
                          <a:prstGeom prst="rect">
                            <a:avLst/>
                          </a:prstGeom>
                        </pic:spPr>
                      </pic:pic>
                    </a:graphicData>
                  </a:graphic>
                </wp:inline>
              </w:drawing>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zh-CN" w:eastAsia="zh-CN"/>
              </w:rPr>
              <w:t>由中标人在领取中标通知书前向招标代理机构交纳招标服务费。交款账号如下：</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zh-CN" w:eastAsia="zh-CN"/>
              </w:rPr>
              <w:t>付款方式：转账方式</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收款单位：</w:t>
            </w:r>
            <w:r>
              <w:rPr>
                <w:rFonts w:hint="eastAsia" w:ascii="仿宋" w:hAnsi="仿宋" w:eastAsia="仿宋" w:cs="仿宋"/>
                <w:highlight w:val="none"/>
                <w:lang w:val="en-US" w:eastAsia="zh-CN"/>
              </w:rPr>
              <w:t>四川亚兴建设工程项目管理有限公司</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开 户 行：建设银行成都沙湾支行</w:t>
            </w:r>
          </w:p>
          <w:p>
            <w:pPr>
              <w:pStyle w:val="30"/>
              <w:ind w:left="42"/>
              <w:rPr>
                <w:rFonts w:hint="eastAsia" w:ascii="仿宋" w:hAnsi="仿宋" w:eastAsia="仿宋" w:cs="仿宋"/>
                <w:highlight w:val="none"/>
                <w:lang w:val="en-US" w:eastAsia="zh-CN"/>
              </w:rPr>
            </w:pPr>
            <w:r>
              <w:rPr>
                <w:rFonts w:hint="eastAsia" w:ascii="仿宋" w:hAnsi="仿宋" w:eastAsia="仿宋" w:cs="仿宋"/>
                <w:highlight w:val="none"/>
                <w:lang w:val="zh-CN" w:eastAsia="zh-CN"/>
              </w:rPr>
              <w:t>银行账号：</w:t>
            </w:r>
            <w:r>
              <w:rPr>
                <w:rFonts w:hint="eastAsia" w:ascii="仿宋" w:hAnsi="仿宋" w:eastAsia="仿宋" w:cs="仿宋"/>
                <w:highlight w:val="none"/>
                <w:lang w:val="en-US" w:eastAsia="zh-CN"/>
              </w:rPr>
              <w:t>51001885136051501780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eastAsia="zh-CN"/>
              </w:rPr>
            </w:pPr>
            <w:r>
              <w:rPr>
                <w:rFonts w:hint="default" w:ascii="仿宋" w:hAnsi="仿宋" w:eastAsia="仿宋" w:cs="仿宋"/>
                <w:highlight w:val="none"/>
                <w:lang w:eastAsia="zh-CN"/>
              </w:rPr>
              <w:t>2</w:t>
            </w:r>
            <w:r>
              <w:rPr>
                <w:rFonts w:hint="eastAsia" w:ascii="仿宋" w:hAnsi="仿宋" w:eastAsia="仿宋" w:cs="仿宋"/>
                <w:highlight w:val="none"/>
                <w:lang w:val="en-US" w:eastAsia="zh-CN"/>
              </w:rPr>
              <w:t>0</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政府采购合同公告备案</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21</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承诺提醒</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关于投标人依法缴纳税收和社会保障资金的相关承诺，项目采购活动结束后，采购人或采购代理机构如有必要将核实投标人所作承诺真实性，如提供虚假承诺将报告监管部门严肃追究法律责任。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22</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备注</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若招标文件中其他内容与投标人须知附表内容不一致的，以投标人须知附表为准。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tcBorders>
              <w:top w:val="single" w:color="auto" w:sz="8" w:space="0"/>
              <w:left w:val="single" w:color="auto" w:sz="1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23</w:t>
            </w:r>
          </w:p>
        </w:tc>
        <w:tc>
          <w:tcPr>
            <w:tcW w:w="2048" w:type="dxa"/>
            <w:tcBorders>
              <w:top w:val="single" w:color="auto" w:sz="8" w:space="0"/>
              <w:left w:val="single" w:color="auto" w:sz="8" w:space="0"/>
              <w:bottom w:val="single" w:color="auto" w:sz="8" w:space="0"/>
              <w:right w:val="single" w:color="auto" w:sz="8" w:space="0"/>
            </w:tcBorders>
            <w:vAlign w:val="center"/>
          </w:tcPr>
          <w:p>
            <w:pPr>
              <w:pStyle w:val="30"/>
              <w:ind w:left="42"/>
              <w:jc w:val="center"/>
              <w:rPr>
                <w:rFonts w:hint="eastAsia" w:ascii="仿宋" w:hAnsi="仿宋" w:eastAsia="仿宋" w:cs="仿宋"/>
                <w:highlight w:val="none"/>
                <w:lang w:val="zh-CN" w:eastAsia="zh-CN"/>
              </w:rPr>
            </w:pPr>
            <w:r>
              <w:rPr>
                <w:rFonts w:hint="eastAsia" w:ascii="仿宋" w:hAnsi="仿宋" w:eastAsia="仿宋" w:cs="仿宋"/>
                <w:highlight w:val="none"/>
                <w:lang w:val="zh-CN" w:eastAsia="zh-CN"/>
              </w:rPr>
              <w:t>政府采购供应商信用融资</w:t>
            </w:r>
          </w:p>
        </w:tc>
        <w:tc>
          <w:tcPr>
            <w:tcW w:w="7197" w:type="dxa"/>
            <w:tcBorders>
              <w:top w:val="single" w:color="auto" w:sz="8" w:space="0"/>
              <w:left w:val="single" w:color="auto" w:sz="8" w:space="0"/>
              <w:bottom w:val="single" w:color="auto" w:sz="8" w:space="0"/>
              <w:right w:val="single" w:color="auto" w:sz="18" w:space="0"/>
            </w:tcBorders>
            <w:vAlign w:val="center"/>
          </w:tcPr>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0"/>
              <w:ind w:left="42"/>
              <w:rPr>
                <w:rFonts w:hint="eastAsia" w:ascii="仿宋" w:hAnsi="仿宋" w:eastAsia="仿宋" w:cs="仿宋"/>
                <w:highlight w:val="none"/>
                <w:lang w:val="zh-CN" w:eastAsia="zh-CN"/>
              </w:rPr>
            </w:pPr>
            <w:r>
              <w:rPr>
                <w:rFonts w:hint="eastAsia" w:ascii="仿宋" w:hAnsi="仿宋" w:eastAsia="仿宋" w:cs="仿宋"/>
                <w:highlight w:val="none"/>
                <w:lang w:val="zh-CN" w:eastAsia="zh-CN"/>
              </w:rPr>
              <w:t>2.根据《四川省财政厅关于推进四川省政府采购供应商信用融资工作的通知》(川财采[2018]123号文)文件要求办理。</w:t>
            </w:r>
          </w:p>
        </w:tc>
      </w:tr>
    </w:tbl>
    <w:p>
      <w:pPr>
        <w:pStyle w:val="30"/>
        <w:ind w:left="42"/>
        <w:rPr>
          <w:rFonts w:hint="eastAsia"/>
          <w:highlight w:val="none"/>
          <w:lang w:val="en-US" w:eastAsia="zh-CN"/>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3"/>
        <w:keepNext w:val="0"/>
        <w:keepLines w:val="0"/>
        <w:spacing w:line="240" w:lineRule="atLeast"/>
        <w:jc w:val="center"/>
        <w:rPr>
          <w:rFonts w:ascii="仿宋" w:hAnsi="仿宋" w:eastAsia="仿宋" w:cs="仿宋"/>
          <w:sz w:val="28"/>
          <w:szCs w:val="28"/>
          <w:highlight w:val="none"/>
        </w:rPr>
      </w:pPr>
      <w:r>
        <w:rPr>
          <w:rFonts w:hint="eastAsia" w:ascii="仿宋" w:hAnsi="仿宋" w:eastAsia="仿宋" w:cs="仿宋"/>
          <w:sz w:val="28"/>
          <w:szCs w:val="28"/>
          <w:highlight w:val="none"/>
        </w:rPr>
        <w:t>二、总  则</w:t>
      </w:r>
      <w:bookmarkStart w:id="15" w:name="_Toc183582205"/>
      <w:bookmarkEnd w:id="15"/>
      <w:bookmarkStart w:id="16" w:name="_Toc183682342"/>
      <w:bookmarkEnd w:id="16"/>
      <w:bookmarkStart w:id="17" w:name="_Toc217446034"/>
      <w:bookmarkEnd w:id="17"/>
    </w:p>
    <w:p>
      <w:pPr>
        <w:pStyle w:val="4"/>
        <w:keepNext w:val="0"/>
        <w:keepLines w:val="0"/>
        <w:spacing w:before="0" w:after="160" w:line="360" w:lineRule="auto"/>
        <w:ind w:firstLine="482" w:firstLineChars="200"/>
        <w:rPr>
          <w:rFonts w:ascii="仿宋" w:hAnsi="仿宋" w:eastAsia="仿宋" w:cs="仿宋"/>
          <w:sz w:val="24"/>
          <w:highlight w:val="none"/>
        </w:rPr>
      </w:pPr>
      <w:bookmarkStart w:id="18" w:name="_Toc183582231"/>
      <w:bookmarkStart w:id="19" w:name="_Toc217446056"/>
      <w:bookmarkStart w:id="20" w:name="_Toc89075878"/>
      <w:bookmarkStart w:id="21" w:name="_Toc77400782"/>
      <w:bookmarkStart w:id="22" w:name="_Toc183682368"/>
      <w:r>
        <w:rPr>
          <w:rFonts w:hint="eastAsia" w:ascii="仿宋" w:hAnsi="仿宋" w:eastAsia="仿宋" w:cs="仿宋"/>
          <w:sz w:val="24"/>
          <w:highlight w:val="none"/>
        </w:rPr>
        <w:t>1. 适用范围</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1.1 本招标文件仅适用于本次招标采购项目。</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 有关定义</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2.1 “采购人”系指依法进行政府采购的国家机关、事业单位、团体组织。本次招标的采购人是</w:t>
      </w:r>
      <w:r>
        <w:rPr>
          <w:rFonts w:hint="default" w:ascii="仿宋" w:hAnsi="仿宋" w:eastAsia="仿宋" w:cs="仿宋"/>
          <w:b w:val="0"/>
          <w:bCs w:val="0"/>
          <w:sz w:val="24"/>
          <w:highlight w:val="none"/>
          <w:u w:val="single"/>
        </w:rPr>
        <w:t>成都市武侯区规划和自然资源局</w:t>
      </w:r>
      <w:r>
        <w:rPr>
          <w:rFonts w:hint="eastAsia" w:ascii="仿宋" w:hAnsi="仿宋" w:eastAsia="仿宋" w:cs="仿宋"/>
          <w:b w:val="0"/>
          <w:bCs w:val="0"/>
          <w:sz w:val="24"/>
          <w:highlight w:val="none"/>
        </w:rPr>
        <w:t>。</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2.2 “采购代理机构”系指根据采购人的委托依法办理招标事宜的采购机构。本次招标的采购代理机构是</w:t>
      </w:r>
      <w:r>
        <w:rPr>
          <w:rFonts w:hint="eastAsia" w:ascii="仿宋" w:hAnsi="仿宋" w:eastAsia="仿宋" w:cs="仿宋"/>
          <w:b w:val="0"/>
          <w:bCs w:val="0"/>
          <w:sz w:val="24"/>
          <w:highlight w:val="none"/>
          <w:u w:val="single"/>
        </w:rPr>
        <w:t>四川亚兴建设工程项目管理有限公司</w:t>
      </w:r>
      <w:r>
        <w:rPr>
          <w:rFonts w:hint="eastAsia" w:ascii="仿宋" w:hAnsi="仿宋" w:eastAsia="仿宋" w:cs="仿宋"/>
          <w:b w:val="0"/>
          <w:bCs w:val="0"/>
          <w:sz w:val="24"/>
          <w:highlight w:val="none"/>
        </w:rPr>
        <w:t>。</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2.3 “招标采购单位”系指“采购人”和“采购代理机构”的统称。</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2.4 “投标人”系指购买了招标文件拟参加投标和向采购人提供货物及相应服务的投标人。</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3. 合格的投标人（实质性要求）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    合格的投标人应具备以下条件：</w:t>
      </w:r>
    </w:p>
    <w:p>
      <w:pPr>
        <w:pStyle w:val="4"/>
        <w:keepNext w:val="0"/>
        <w:keepLines w:val="0"/>
        <w:spacing w:before="0" w:after="160" w:line="360" w:lineRule="auto"/>
        <w:ind w:firstLine="960" w:firstLineChars="400"/>
        <w:rPr>
          <w:rFonts w:ascii="仿宋" w:hAnsi="仿宋" w:eastAsia="仿宋" w:cs="仿宋"/>
          <w:b w:val="0"/>
          <w:bCs w:val="0"/>
          <w:sz w:val="24"/>
          <w:highlight w:val="none"/>
        </w:rPr>
      </w:pPr>
      <w:r>
        <w:rPr>
          <w:rFonts w:hint="eastAsia" w:ascii="仿宋" w:hAnsi="仿宋" w:eastAsia="仿宋" w:cs="仿宋"/>
          <w:b w:val="0"/>
          <w:bCs w:val="0"/>
          <w:sz w:val="24"/>
          <w:highlight w:val="none"/>
        </w:rPr>
        <w:t>（1）本招标文件规定的投标人资格条件；</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    （2）遵守国家有关的法律、法规、规章和其他政策制度；</w:t>
      </w:r>
    </w:p>
    <w:p>
      <w:pPr>
        <w:pStyle w:val="4"/>
        <w:keepNext w:val="0"/>
        <w:keepLines w:val="0"/>
        <w:spacing w:before="0" w:after="160" w:line="360" w:lineRule="auto"/>
        <w:ind w:firstLine="960" w:firstLineChars="400"/>
        <w:rPr>
          <w:rFonts w:ascii="仿宋" w:hAnsi="仿宋" w:eastAsia="仿宋" w:cs="仿宋"/>
          <w:b w:val="0"/>
          <w:bCs w:val="0"/>
          <w:sz w:val="24"/>
          <w:highlight w:val="none"/>
        </w:rPr>
      </w:pPr>
      <w:r>
        <w:rPr>
          <w:rFonts w:hint="eastAsia" w:ascii="仿宋" w:hAnsi="仿宋" w:eastAsia="仿宋" w:cs="仿宋"/>
          <w:b w:val="0"/>
          <w:bCs w:val="0"/>
          <w:sz w:val="24"/>
          <w:highlight w:val="none"/>
        </w:rPr>
        <w:t>（3）</w:t>
      </w:r>
      <w:r>
        <w:rPr>
          <w:rFonts w:hint="eastAsia" w:ascii="仿宋" w:hAnsi="仿宋" w:eastAsia="仿宋" w:cs="仿宋"/>
          <w:b w:val="0"/>
          <w:bCs w:val="0"/>
          <w:sz w:val="24"/>
          <w:highlight w:val="none"/>
          <w:lang w:eastAsia="zh-CN"/>
        </w:rPr>
        <w:t>按照规定获取了</w:t>
      </w:r>
      <w:r>
        <w:rPr>
          <w:rFonts w:hint="eastAsia" w:ascii="仿宋" w:hAnsi="仿宋" w:eastAsia="仿宋" w:cs="仿宋"/>
          <w:b w:val="0"/>
          <w:bCs w:val="0"/>
          <w:sz w:val="24"/>
          <w:highlight w:val="none"/>
        </w:rPr>
        <w:t>招标文件。</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4. 投标费用（实质性要求）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投标人参加投标的有关费用由投标人自行承担。</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5、充分、公平竞争保障措施（实质性要求）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5.1利害关系投标人处理。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5.2前期参与投标人处理。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5.3 利害关系代理人处理。2家以上的投标人不得在同一合同项下的采购项目中，同时委托同一个自然人、同一家庭的人员、同一单位的人员作为其代理人，否则，其投标文件作为无效处理。</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5.4 投标人实际控制人或者中高级管理人员，同时是采购代理机构工作人员，不得参与本 项目政府采购活动。 </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5.5 投标人与采购代理机构存在关联关系，或者是采购代理机构的母公司或子公司，不得 参加本项目政府采购活动。</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5.6 回避。政府采购活动中，采购人员及相关人员与投标人有下列利害关系之一的，应当回避： </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（1）参加采购活动前3年内与投标人存在劳动关系； </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（2）参加采购活动前3年内担任投标人的董事、监事； </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（3）参加采购活动前3年内是投标人的控股股东或者实际控制人； </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（4）与投标人的法定代表人或者负责人有夫妻、直系血亲、三代以内旁系血亲或者近姻亲关系； </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5）与投标人有其他可能影响政府采购活动公平、公正进行的关系。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keepNext w:val="0"/>
        <w:keepLines w:val="0"/>
        <w:spacing w:before="0" w:after="160" w:line="360" w:lineRule="auto"/>
        <w:ind w:firstLine="482" w:firstLineChars="200"/>
        <w:jc w:val="center"/>
        <w:rPr>
          <w:rFonts w:ascii="仿宋" w:hAnsi="仿宋" w:eastAsia="仿宋" w:cs="仿宋"/>
          <w:sz w:val="24"/>
          <w:highlight w:val="none"/>
        </w:rPr>
      </w:pPr>
      <w:r>
        <w:rPr>
          <w:rFonts w:hint="eastAsia" w:ascii="仿宋" w:hAnsi="仿宋" w:eastAsia="仿宋" w:cs="仿宋"/>
          <w:sz w:val="24"/>
          <w:highlight w:val="none"/>
        </w:rPr>
        <w:t>三、招标文件</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6．招标文件的构成</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   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4"/>
        <w:keepNext w:val="0"/>
        <w:keepLines w:val="0"/>
        <w:numPr>
          <w:ilvl w:val="0"/>
          <w:numId w:val="4"/>
        </w:numPr>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lang w:eastAsia="zh-CN"/>
        </w:rPr>
        <w:t>招标公告</w:t>
      </w:r>
      <w:r>
        <w:rPr>
          <w:rFonts w:hint="eastAsia" w:ascii="仿宋" w:hAnsi="仿宋" w:eastAsia="仿宋" w:cs="仿宋"/>
          <w:b w:val="0"/>
          <w:bCs w:val="0"/>
          <w:sz w:val="24"/>
          <w:highlight w:val="none"/>
        </w:rPr>
        <w:t>；</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（二）投标人须知；</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（三）投标文件格式；</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（四）投标人和投标产品的资格、资质性及其他类似效力要求；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（五）投标人应当提供的资格、资质性及其他类似效力要求的相关证明材料；</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（六）技术、商务及其他要求；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（七）评标办法；</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（八）采购合同（参考文本）。</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7. 招标文件的澄清和修改</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7.1采购人或者采购代理机构可以依法对招标文件进行澄清或者修改。</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7.2 采购人或者采购代理机构可以对已发出的招标文件进行必要的澄清或者修改，但不得改变采购标的和资格条件。澄清或者修改的内容可能影响投标文件编制的，采购人或者采购代理机构应当在投标截止时间至少 15 日前，以书面形式将澄清或者修改的内容通知所有购买了招标文件的投标人，同时在四川省政府采购网上发布更正公告。该澄清或者修改的内容为招标文件的组成部分。提供招标文件期限届满后，获取招标文件的潜在投标人不足 3 家的，可以顺延提供期限，并予公告。</w:t>
      </w:r>
    </w:p>
    <w:p>
      <w:pPr>
        <w:pStyle w:val="4"/>
        <w:keepNext w:val="0"/>
        <w:keepLines w:val="0"/>
        <w:spacing w:before="0" w:after="160" w:line="360" w:lineRule="auto"/>
        <w:ind w:firstLine="480" w:firstLineChars="200"/>
        <w:rPr>
          <w:highlight w:val="none"/>
        </w:rPr>
      </w:pPr>
      <w:r>
        <w:rPr>
          <w:rFonts w:hint="eastAsia" w:ascii="仿宋" w:hAnsi="仿宋" w:eastAsia="仿宋" w:cs="仿宋"/>
          <w:b w:val="0"/>
          <w:bCs w:val="0"/>
          <w:sz w:val="24"/>
          <w:highlight w:val="none"/>
        </w:rPr>
        <w:t>更正通知通过政府采购云平台通知所有获取招标文件的潜在</w:t>
      </w:r>
      <w:r>
        <w:rPr>
          <w:rFonts w:hint="eastAsia" w:ascii="仿宋" w:hAnsi="仿宋" w:eastAsia="仿宋" w:cs="仿宋"/>
          <w:b w:val="0"/>
          <w:bCs w:val="0"/>
          <w:sz w:val="24"/>
          <w:highlight w:val="none"/>
          <w:lang w:eastAsia="zh-CN"/>
        </w:rPr>
        <w:t>投标人</w:t>
      </w:r>
      <w:r>
        <w:rPr>
          <w:rFonts w:hint="eastAsia" w:ascii="仿宋" w:hAnsi="仿宋" w:eastAsia="仿宋" w:cs="仿宋"/>
          <w:b w:val="0"/>
          <w:bCs w:val="0"/>
          <w:sz w:val="24"/>
          <w:highlight w:val="none"/>
        </w:rPr>
        <w:t>。</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7.3 投标人认为需要对招标文件进行澄清或者修改的，均应按招标文件中的联系方式，可以以书面形式向采购人或者采购代理机构提出申请，但采购人或者采购代理机构可以决定是否采纳投标人的申请事项。</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8. 答疑会和现场考察</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 xml:space="preserve"> 8.1 根据采购项目和具体情况，招标采购单位认为有必要，可以在招标文件提供期限截止后，组织已获取招标文件的潜在投标人现场考察或者召开开标前答疑会。</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现场考察或标前答疑会时间：详见投标人须知表。</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现场考察或标前答疑会地点：详见投标人须知表。</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8.2 </w:t>
      </w:r>
      <w:r>
        <w:rPr>
          <w:rFonts w:hint="eastAsia" w:ascii="仿宋" w:hAnsi="仿宋" w:eastAsia="仿宋" w:cs="仿宋"/>
          <w:b w:val="0"/>
          <w:bCs w:val="0"/>
          <w:sz w:val="24"/>
          <w:highlight w:val="none"/>
          <w:lang w:eastAsia="zh-CN"/>
        </w:rPr>
        <w:t>投标人</w:t>
      </w:r>
      <w:r>
        <w:rPr>
          <w:rFonts w:hint="eastAsia" w:ascii="仿宋" w:hAnsi="仿宋" w:eastAsia="仿宋" w:cs="仿宋"/>
          <w:b w:val="0"/>
          <w:bCs w:val="0"/>
          <w:sz w:val="24"/>
          <w:highlight w:val="none"/>
        </w:rPr>
        <w:t>考察现场所发生的一切费用由</w:t>
      </w:r>
      <w:r>
        <w:rPr>
          <w:rFonts w:hint="eastAsia" w:ascii="仿宋" w:hAnsi="仿宋" w:eastAsia="仿宋" w:cs="仿宋"/>
          <w:b w:val="0"/>
          <w:bCs w:val="0"/>
          <w:sz w:val="24"/>
          <w:highlight w:val="none"/>
          <w:lang w:eastAsia="zh-CN"/>
        </w:rPr>
        <w:t>投标人</w:t>
      </w:r>
      <w:r>
        <w:rPr>
          <w:rFonts w:hint="eastAsia" w:ascii="仿宋" w:hAnsi="仿宋" w:eastAsia="仿宋" w:cs="仿宋"/>
          <w:b w:val="0"/>
          <w:bCs w:val="0"/>
          <w:sz w:val="24"/>
          <w:highlight w:val="none"/>
        </w:rPr>
        <w:t>自己承担。</w:t>
      </w:r>
    </w:p>
    <w:p>
      <w:pPr>
        <w:pStyle w:val="4"/>
        <w:keepNext w:val="0"/>
        <w:keepLines w:val="0"/>
        <w:spacing w:before="0" w:after="160" w:line="360" w:lineRule="auto"/>
        <w:ind w:firstLine="482" w:firstLineChars="200"/>
        <w:jc w:val="center"/>
        <w:rPr>
          <w:rFonts w:ascii="仿宋" w:hAnsi="仿宋" w:eastAsia="仿宋" w:cs="仿宋"/>
          <w:sz w:val="24"/>
          <w:highlight w:val="none"/>
        </w:rPr>
      </w:pPr>
      <w:r>
        <w:rPr>
          <w:rFonts w:hint="eastAsia" w:ascii="仿宋" w:hAnsi="仿宋" w:eastAsia="仿宋" w:cs="仿宋"/>
          <w:sz w:val="24"/>
          <w:highlight w:val="none"/>
        </w:rPr>
        <w:t>四、投标文件</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9．投标文件的语言（实质性要求）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9.1 投标人提交的投标文件以及投标人与采购人或者采购代理机构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9.2 翻译的中文资料与外文资料如果出现差异和矛盾时，以中文为准。涉嫌虚假响应的按照相关法律法规处理。</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10．计量单位（实质性要求）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除招标文件中另有规定外，本次采购项目所有合同项下的投标均采用国家法定的计量单位。</w:t>
      </w:r>
    </w:p>
    <w:p>
      <w:pPr>
        <w:pStyle w:val="4"/>
        <w:keepNext w:val="0"/>
        <w:keepLines w:val="0"/>
        <w:spacing w:before="0" w:after="160" w:line="360" w:lineRule="auto"/>
        <w:ind w:firstLine="482" w:firstLineChars="200"/>
        <w:rPr>
          <w:rFonts w:ascii="仿宋" w:hAnsi="仿宋" w:eastAsia="仿宋" w:cs="仿宋"/>
          <w:b w:val="0"/>
          <w:bCs w:val="0"/>
          <w:sz w:val="24"/>
          <w:highlight w:val="none"/>
        </w:rPr>
      </w:pPr>
      <w:r>
        <w:rPr>
          <w:rFonts w:hint="eastAsia" w:ascii="仿宋" w:hAnsi="仿宋" w:eastAsia="仿宋" w:cs="仿宋"/>
          <w:sz w:val="24"/>
          <w:highlight w:val="none"/>
        </w:rPr>
        <w:t>11. 投标货币（实质性要求）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本次招标项目的投标均以人民币报价。</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12. 联合体投标（实质性要求）</w:t>
      </w:r>
    </w:p>
    <w:p>
      <w:pPr>
        <w:pStyle w:val="4"/>
        <w:keepNext w:val="0"/>
        <w:keepLines w:val="0"/>
        <w:spacing w:before="0" w:after="160" w:line="360" w:lineRule="auto"/>
        <w:ind w:firstLine="482" w:firstLineChars="200"/>
        <w:rPr>
          <w:rFonts w:ascii="仿宋" w:hAnsi="仿宋" w:eastAsia="仿宋" w:cs="仿宋"/>
          <w:b w:val="0"/>
          <w:bCs w:val="0"/>
          <w:sz w:val="24"/>
          <w:highlight w:val="none"/>
        </w:rPr>
      </w:pPr>
      <w:r>
        <w:rPr>
          <w:rFonts w:hint="eastAsia" w:ascii="仿宋" w:hAnsi="仿宋" w:eastAsia="仿宋" w:cs="仿宋"/>
          <w:sz w:val="24"/>
          <w:highlight w:val="none"/>
        </w:rPr>
        <w:t>本项目不允许联合体参加</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13. 知识产权（实质性要求）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13.2 采购人享有本项目实施过程中产生的知识成果及知识产权。</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r>
        <w:rPr>
          <w:rFonts w:hint="eastAsia" w:ascii="仿宋" w:hAnsi="仿宋" w:eastAsia="仿宋" w:cs="仿宋"/>
          <w:sz w:val="24"/>
          <w:highlight w:val="none"/>
        </w:rPr>
        <w:t>同时需在投标文件中提供声明，并提供相关知识产权证明文件，否则视为投标人未在本项目实施过程中采用自有知识成果，不影响有效性。</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13.4 如采用投标人所不拥有的知识产权，则在投标报价中必须包括合法获取该知识产权的相关费用。</w:t>
      </w:r>
      <w:r>
        <w:rPr>
          <w:rFonts w:hint="eastAsia" w:ascii="仿宋" w:hAnsi="仿宋" w:eastAsia="仿宋" w:cs="仿宋"/>
          <w:sz w:val="24"/>
          <w:highlight w:val="none"/>
        </w:rPr>
        <w:t>采购人不再因投标人采用所不拥有的知识产权而另行支付任何费用。</w:t>
      </w:r>
    </w:p>
    <w:p>
      <w:pPr>
        <w:pStyle w:val="4"/>
        <w:keepNext w:val="0"/>
        <w:keepLines w:val="0"/>
        <w:spacing w:before="0" w:after="160" w:line="360" w:lineRule="auto"/>
        <w:ind w:firstLine="480" w:firstLineChars="200"/>
        <w:rPr>
          <w:rFonts w:ascii="仿宋" w:hAnsi="仿宋" w:eastAsia="仿宋" w:cs="仿宋"/>
          <w:highlight w:val="none"/>
        </w:rPr>
      </w:pPr>
      <w:r>
        <w:rPr>
          <w:rFonts w:hint="eastAsia" w:ascii="仿宋" w:hAnsi="仿宋" w:eastAsia="仿宋" w:cs="仿宋"/>
          <w:b w:val="0"/>
          <w:bCs w:val="0"/>
          <w:sz w:val="24"/>
          <w:highlight w:val="none"/>
        </w:rPr>
        <w:t>13.5 根据《中华人民共和国政府采购法实施条例》第四十三条的规定，公告内容应当包括主要中标标的的名称、规格型号、数量、单价、服务要求以及评审专家名单。投标人需将投标文件中涉及商业秘密和知识产权的内容进行标注和说明。若未进行标注和说明的，视为全部内容均可公布，采购人或者采购代理机构对此不承担任何责任。</w:t>
      </w:r>
    </w:p>
    <w:p>
      <w:pPr>
        <w:pStyle w:val="4"/>
        <w:keepNext w:val="0"/>
        <w:keepLines w:val="0"/>
        <w:spacing w:before="0" w:after="160" w:line="360" w:lineRule="auto"/>
        <w:ind w:firstLine="482" w:firstLineChars="200"/>
        <w:rPr>
          <w:rFonts w:ascii="仿宋" w:hAnsi="仿宋" w:eastAsia="仿宋" w:cs="仿宋"/>
          <w:b w:val="0"/>
          <w:bCs w:val="0"/>
          <w:sz w:val="24"/>
          <w:highlight w:val="none"/>
        </w:rPr>
      </w:pPr>
      <w:r>
        <w:rPr>
          <w:rFonts w:hint="eastAsia" w:ascii="仿宋" w:hAnsi="仿宋" w:eastAsia="仿宋" w:cs="仿宋"/>
          <w:sz w:val="24"/>
          <w:highlight w:val="none"/>
        </w:rPr>
        <w:t>14．投标文件的组成</w:t>
      </w:r>
    </w:p>
    <w:p>
      <w:pPr>
        <w:pStyle w:val="4"/>
        <w:keepNext w:val="0"/>
        <w:keepLines w:val="0"/>
        <w:spacing w:before="0" w:after="160" w:line="360" w:lineRule="auto"/>
        <w:ind w:firstLine="480" w:firstLineChars="200"/>
        <w:rPr>
          <w:rFonts w:ascii="仿宋" w:hAnsi="仿宋" w:eastAsia="仿宋" w:cs="仿宋"/>
          <w:sz w:val="24"/>
          <w:highlight w:val="none"/>
        </w:rPr>
      </w:pPr>
      <w:r>
        <w:rPr>
          <w:rFonts w:hint="eastAsia" w:ascii="仿宋" w:hAnsi="仿宋" w:eastAsia="仿宋" w:cs="仿宋"/>
          <w:b w:val="0"/>
          <w:bCs w:val="0"/>
          <w:sz w:val="24"/>
          <w:highlight w:val="none"/>
          <w:lang w:val="en-US" w:eastAsia="zh-CN"/>
        </w:rPr>
        <w:t>14.1</w:t>
      </w:r>
      <w:r>
        <w:rPr>
          <w:rFonts w:hint="eastAsia" w:ascii="仿宋" w:hAnsi="仿宋" w:eastAsia="仿宋" w:cs="仿宋"/>
          <w:b w:val="0"/>
          <w:bCs w:val="0"/>
          <w:sz w:val="24"/>
          <w:highlight w:val="none"/>
        </w:rPr>
        <w:t>资格性投标文件用于资格审查，应包括投标人响应招标文件要求的资格条件的所有证明材料。</w:t>
      </w:r>
      <w:r>
        <w:rPr>
          <w:rFonts w:hint="eastAsia" w:ascii="仿宋" w:hAnsi="仿宋" w:eastAsia="仿宋" w:cs="仿宋"/>
          <w:sz w:val="24"/>
          <w:highlight w:val="none"/>
        </w:rPr>
        <w:t>（详见招标文件第4章、第5章）</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lang w:val="en-US" w:eastAsia="zh-CN"/>
        </w:rPr>
        <w:t>14.2</w:t>
      </w:r>
      <w:r>
        <w:rPr>
          <w:rFonts w:hint="eastAsia" w:ascii="仿宋" w:hAnsi="仿宋" w:eastAsia="仿宋" w:cs="仿宋"/>
          <w:b w:val="0"/>
          <w:bCs w:val="0"/>
          <w:sz w:val="24"/>
          <w:highlight w:val="none"/>
        </w:rPr>
        <w:t>其他投标文件用于符合性审查和综合评审，应包括投标人响应招标文件要求的资格条件以外的所有材料</w:t>
      </w:r>
      <w:r>
        <w:rPr>
          <w:rFonts w:hint="eastAsia" w:ascii="仿宋" w:hAnsi="仿宋" w:eastAsia="仿宋" w:cs="仿宋"/>
          <w:sz w:val="24"/>
          <w:highlight w:val="none"/>
        </w:rPr>
        <w:t>（详见招标文件第3章）</w:t>
      </w:r>
      <w:r>
        <w:rPr>
          <w:rFonts w:hint="eastAsia" w:ascii="仿宋" w:hAnsi="仿宋" w:eastAsia="仿宋" w:cs="仿宋"/>
          <w:b w:val="0"/>
          <w:bCs w:val="0"/>
          <w:sz w:val="24"/>
          <w:highlight w:val="none"/>
        </w:rPr>
        <w:t>，包括但不限于下列部分：</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（1）投标函 </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eastAsia="zh-CN"/>
        </w:rPr>
        <w:t>服务应答</w:t>
      </w:r>
      <w:r>
        <w:rPr>
          <w:rFonts w:hint="eastAsia" w:ascii="仿宋" w:hAnsi="仿宋" w:eastAsia="仿宋" w:cs="仿宋"/>
          <w:b w:val="0"/>
          <w:bCs w:val="0"/>
          <w:sz w:val="24"/>
          <w:highlight w:val="none"/>
        </w:rPr>
        <w:t xml:space="preserve">表 </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（3）商务应答表 </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（4）投标人基本情况表 </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（5）实施本项目的主要人员情况表 </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（6）项目实施方案 </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（7）中小企业声明函 </w:t>
      </w:r>
    </w:p>
    <w:p>
      <w:pPr>
        <w:pStyle w:val="4"/>
        <w:keepNext w:val="0"/>
        <w:keepLines w:val="0"/>
        <w:spacing w:before="0" w:after="160" w:line="360" w:lineRule="auto"/>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 xml:space="preserve">（8）监狱企业证明材料 </w:t>
      </w:r>
      <w:r>
        <w:rPr>
          <w:rFonts w:hint="eastAsia" w:ascii="仿宋" w:hAnsi="仿宋" w:eastAsia="仿宋" w:cs="仿宋"/>
          <w:b w:val="0"/>
          <w:bCs w:val="0"/>
          <w:sz w:val="24"/>
          <w:highlight w:val="none"/>
          <w:lang w:val="en-US" w:eastAsia="zh-CN"/>
        </w:rPr>
        <w:t xml:space="preserve">   </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（9）残疾人福利性单位声明函 </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（10）知识产权承诺函 </w:t>
      </w:r>
    </w:p>
    <w:p>
      <w:pPr>
        <w:pStyle w:val="4"/>
        <w:keepNext w:val="0"/>
        <w:keepLines w:val="0"/>
        <w:spacing w:before="0" w:after="160" w:line="360" w:lineRule="auto"/>
        <w:rPr>
          <w:rFonts w:ascii="仿宋" w:hAnsi="仿宋" w:eastAsia="仿宋" w:cs="仿宋"/>
          <w:b w:val="0"/>
          <w:bCs w:val="0"/>
          <w:sz w:val="24"/>
          <w:highlight w:val="none"/>
        </w:rPr>
      </w:pPr>
      <w:r>
        <w:rPr>
          <w:rFonts w:hint="eastAsia" w:ascii="仿宋" w:hAnsi="仿宋" w:eastAsia="仿宋" w:cs="仿宋"/>
          <w:b w:val="0"/>
          <w:bCs w:val="0"/>
          <w:sz w:val="24"/>
          <w:highlight w:val="none"/>
        </w:rPr>
        <w:t>（11）投标人认为需要提供的其他文件和资料</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lang w:val="en-US" w:eastAsia="zh-CN"/>
        </w:rPr>
        <w:t>14.3</w:t>
      </w:r>
      <w:r>
        <w:rPr>
          <w:rFonts w:hint="eastAsia" w:ascii="仿宋" w:hAnsi="仿宋" w:eastAsia="仿宋" w:cs="仿宋"/>
          <w:sz w:val="24"/>
          <w:highlight w:val="none"/>
        </w:rPr>
        <w:t xml:space="preserve">开标一览表 </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15．投标文件格式</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15.1 投标人应执行招标文件第三章的规定要求。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15.2 对于没有格式要求的投标文件由投标人自行编写。</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16．投标保证金（实质性要求）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本项目不收取投标保证金。</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17．投标有效期（实质性要求）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17.1投标有效期从提交投标文件的截止之日起计算。</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color w:val="000000" w:themeColor="text1"/>
          <w:sz w:val="24"/>
          <w:highlight w:val="none"/>
          <w14:textFill>
            <w14:solidFill>
              <w14:schemeClr w14:val="tx1"/>
            </w14:solidFill>
          </w14:textFill>
        </w:rPr>
        <w:t>17.2 本项目投标有效期为提交投标文件的截止之日起90天。</w:t>
      </w:r>
      <w:r>
        <w:rPr>
          <w:rFonts w:hint="eastAsia" w:ascii="仿宋" w:hAnsi="仿宋" w:eastAsia="仿宋" w:cs="仿宋"/>
          <w:b w:val="0"/>
          <w:bCs w:val="0"/>
          <w:sz w:val="24"/>
          <w:highlight w:val="none"/>
        </w:rPr>
        <w:t>投标人投标文件中必须载明投标有效期，投标文件中载明的投标有效期可以长于招标文件规定的期限，但不得短于招标文件规定的期限。否则，其投标文件将作为无效投标处理。</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 17.3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17.4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
        <w:keepNext w:val="0"/>
        <w:keepLines w:val="0"/>
        <w:spacing w:before="0" w:after="160" w:line="360" w:lineRule="auto"/>
        <w:ind w:firstLine="480" w:firstLineChars="200"/>
        <w:rPr>
          <w:rFonts w:ascii="华文仿宋" w:hAnsi="华文仿宋" w:eastAsia="华文仿宋" w:cs="华文仿宋"/>
          <w:bCs w:val="0"/>
          <w:color w:val="000000" w:themeColor="text1"/>
          <w:sz w:val="24"/>
          <w:highlight w:val="none"/>
          <w14:textFill>
            <w14:solidFill>
              <w14:schemeClr w14:val="tx1"/>
            </w14:solidFill>
          </w14:textFill>
        </w:rPr>
      </w:pPr>
      <w:r>
        <w:rPr>
          <w:rFonts w:hint="eastAsia" w:ascii="华文仿宋" w:hAnsi="华文仿宋" w:eastAsia="华文仿宋" w:cs="华文仿宋"/>
          <w:bCs w:val="0"/>
          <w:color w:val="000000" w:themeColor="text1"/>
          <w:sz w:val="24"/>
          <w:highlight w:val="none"/>
          <w14:textFill>
            <w14:solidFill>
              <w14:schemeClr w14:val="tx1"/>
            </w14:solidFill>
          </w14:textFill>
        </w:rPr>
        <w:t>18．投标文件的印制和签署</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18.1 投标文件分资格性投标文件及其他投标文件两部分，分册装订。</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18.2 投标文件按招标文件要求的格式进行密封。资格性投标文件用于采购人或采购代理机构对投标人进行资格审查，其他投标文件用于评标委员会评审。</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18.3投标人应准备投标文件正本1 份、副本3份（实质性要求）、“开标一览表”一份，电子文档1 份（U 盘）。投标文件的正本和副本应在其封面右上角清楚地标明“正本”或“副本”字样。若正本和副本有不一致的内容，以正本书面投标文件为准。</w:t>
      </w:r>
    </w:p>
    <w:p>
      <w:pPr>
        <w:pStyle w:val="4"/>
        <w:keepNext w:val="0"/>
        <w:keepLines w:val="0"/>
        <w:spacing w:before="0" w:after="160" w:line="360" w:lineRule="auto"/>
        <w:ind w:firstLine="480" w:firstLineChars="200"/>
        <w:rPr>
          <w:rFonts w:ascii="华文仿宋" w:hAnsi="华文仿宋" w:eastAsia="华文仿宋" w:cs="华文仿宋"/>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18.4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18.5 投标文件的打印和书写应清楚工整，任何行间插字、涂改或增删，必须由投标人的法定代表人或其授权代表签字或盖个人印鉴。</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18.6 投标文件的正本和副本应采用左侧胶装，编页编码。若同一册的内容较多，可装订成若干分册，并在封面标明次序及册数。</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18.7 投标文件不得散装或不得采用活页夹等可随时拆换的方式装订，不得有零散页。根据《关于促进政府采购公平竞争优化营商环境的通知》（财库〔2019〕38 号）不得因装订、纸张、文件排序等非实质性的格式、形式问题限制和影响投标人投标。</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18.8 投标文件应根据招标文件的要求制作，签署、盖章和内容应完整。</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18.9 投标文件统一用A4幅面纸印制，逐页编码。</w:t>
      </w:r>
    </w:p>
    <w:p>
      <w:pPr>
        <w:pStyle w:val="4"/>
        <w:keepNext w:val="0"/>
        <w:keepLines w:val="0"/>
        <w:spacing w:before="0" w:after="160" w:line="360" w:lineRule="auto"/>
        <w:ind w:firstLine="480" w:firstLineChars="200"/>
        <w:rPr>
          <w:rFonts w:ascii="华文仿宋" w:hAnsi="华文仿宋" w:eastAsia="华文仿宋" w:cs="华文仿宋"/>
          <w:bCs w:val="0"/>
          <w:color w:val="000000" w:themeColor="text1"/>
          <w:sz w:val="24"/>
          <w:highlight w:val="none"/>
          <w14:textFill>
            <w14:solidFill>
              <w14:schemeClr w14:val="tx1"/>
            </w14:solidFill>
          </w14:textFill>
        </w:rPr>
      </w:pPr>
      <w:r>
        <w:rPr>
          <w:rFonts w:hint="eastAsia" w:ascii="华文仿宋" w:hAnsi="华文仿宋" w:eastAsia="华文仿宋" w:cs="华文仿宋"/>
          <w:bCs w:val="0"/>
          <w:color w:val="000000" w:themeColor="text1"/>
          <w:sz w:val="24"/>
          <w:highlight w:val="none"/>
          <w14:textFill>
            <w14:solidFill>
              <w14:schemeClr w14:val="tx1"/>
            </w14:solidFill>
          </w14:textFill>
        </w:rPr>
        <w:t>19.投标文件的密封和标注</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19.1资格性投标文件和其他投标文件应按包件分别密封包装。</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19.2 每一个包装的最外层应标明采购项目名称、采购项目编号、包件号及名称（如有）、“资格性投标文件”或“其他投标文件”、投标人名称，以及“开标时间之前不准启封”或“2021年月日时分前不准启封”的内容，并加盖投标人公章。</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19.3投标人应将开标一览表按包件分别制作并与投标文件分开单独包装，且包装最外层应清楚地标明采购项目名称、采购项目编号、包件号及名称（如有）、投标人名称以及“开标一览表”字样，在封口处加盖投标人公章。投标时，与投标文件一起同时递交。</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19.4 电子文档须单独密封包装，且包装最外层应清楚地标明采购项目名称、采购项目编号、包件号及名称（如有）、投标人名称以及“电子文档”字样，加盖投标人公章。投标时，与投标文件一起同时递交。</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19.5 投标文件未按照招标文件要求包装、密封和标注的，采购人、采购代理机构应当拒收。</w:t>
      </w:r>
    </w:p>
    <w:p>
      <w:pPr>
        <w:pStyle w:val="4"/>
        <w:keepNext w:val="0"/>
        <w:keepLines w:val="0"/>
        <w:spacing w:before="0" w:after="160" w:line="360" w:lineRule="auto"/>
        <w:ind w:firstLine="480" w:firstLineChars="200"/>
        <w:rPr>
          <w:rFonts w:ascii="华文仿宋" w:hAnsi="华文仿宋" w:eastAsia="华文仿宋" w:cs="华文仿宋"/>
          <w:bCs w:val="0"/>
          <w:color w:val="000000" w:themeColor="text1"/>
          <w:sz w:val="24"/>
          <w:highlight w:val="none"/>
          <w14:textFill>
            <w14:solidFill>
              <w14:schemeClr w14:val="tx1"/>
            </w14:solidFill>
          </w14:textFill>
        </w:rPr>
      </w:pPr>
      <w:r>
        <w:rPr>
          <w:rFonts w:hint="eastAsia" w:ascii="华文仿宋" w:hAnsi="华文仿宋" w:eastAsia="华文仿宋" w:cs="华文仿宋"/>
          <w:bCs w:val="0"/>
          <w:color w:val="000000" w:themeColor="text1"/>
          <w:sz w:val="24"/>
          <w:highlight w:val="none"/>
          <w14:textFill>
            <w14:solidFill>
              <w14:schemeClr w14:val="tx1"/>
            </w14:solidFill>
          </w14:textFill>
        </w:rPr>
        <w:t>20．投标文件的递交</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20.1 投标人应在招标文件规定的投标截止时间前，将投标文件按招标文件的规定密封后送达开标地点。投标截止时间以后送达的投标文件将不予接收，采购人和采购代理机构将告知投标人不予接收的原因。</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20.2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20.3本次招标不接收邮寄的投标文件。</w:t>
      </w:r>
    </w:p>
    <w:p>
      <w:pPr>
        <w:pStyle w:val="4"/>
        <w:keepNext w:val="0"/>
        <w:keepLines w:val="0"/>
        <w:spacing w:before="0" w:after="160" w:line="360" w:lineRule="auto"/>
        <w:ind w:firstLine="480" w:firstLineChars="200"/>
        <w:rPr>
          <w:rFonts w:ascii="华文仿宋" w:hAnsi="华文仿宋" w:eastAsia="华文仿宋" w:cs="华文仿宋"/>
          <w:bCs w:val="0"/>
          <w:color w:val="000000" w:themeColor="text1"/>
          <w:sz w:val="24"/>
          <w:highlight w:val="none"/>
          <w14:textFill>
            <w14:solidFill>
              <w14:schemeClr w14:val="tx1"/>
            </w14:solidFill>
          </w14:textFill>
        </w:rPr>
      </w:pPr>
      <w:r>
        <w:rPr>
          <w:rFonts w:hint="eastAsia" w:ascii="华文仿宋" w:hAnsi="华文仿宋" w:eastAsia="华文仿宋" w:cs="华文仿宋"/>
          <w:bCs w:val="0"/>
          <w:color w:val="000000" w:themeColor="text1"/>
          <w:sz w:val="24"/>
          <w:highlight w:val="none"/>
          <w14:textFill>
            <w14:solidFill>
              <w14:schemeClr w14:val="tx1"/>
            </w14:solidFill>
          </w14:textFill>
        </w:rPr>
        <w:t>21．投标文件的修改和撤回</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21.1 投标人在递交了投标文件后，可以修改或撤回其投标文件，但必须在规定的投标截止时间前，以书面形式通知采购代理机构。</w:t>
      </w:r>
    </w:p>
    <w:p>
      <w:pPr>
        <w:pStyle w:val="4"/>
        <w:keepNext w:val="0"/>
        <w:keepLines w:val="0"/>
        <w:spacing w:before="0" w:after="160" w:line="360" w:lineRule="auto"/>
        <w:ind w:firstLine="480" w:firstLineChars="200"/>
        <w:rPr>
          <w:rFonts w:ascii="华文仿宋" w:hAnsi="华文仿宋" w:eastAsia="华文仿宋" w:cs="华文仿宋"/>
          <w:b w:val="0"/>
          <w:bCs w:val="0"/>
          <w:color w:val="000000" w:themeColor="text1"/>
          <w:sz w:val="24"/>
          <w:highlight w:val="none"/>
          <w14:textFill>
            <w14:solidFill>
              <w14:schemeClr w14:val="tx1"/>
            </w14:solidFill>
          </w14:textFill>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21.2 投标人的修改书或撤回通知书，应由其法定代表人或授权代表签署并盖单位印章。修改书应按投标须知第19条规定进行密封和标注，并在密封袋上标注“修改”字样。</w:t>
      </w:r>
    </w:p>
    <w:p>
      <w:pPr>
        <w:pStyle w:val="4"/>
        <w:keepNext w:val="0"/>
        <w:keepLines w:val="0"/>
        <w:spacing w:before="0" w:after="160" w:line="360" w:lineRule="auto"/>
        <w:ind w:firstLine="480" w:firstLineChars="200"/>
        <w:jc w:val="left"/>
        <w:rPr>
          <w:rFonts w:hint="eastAsia" w:ascii="仿宋" w:hAnsi="仿宋" w:eastAsia="仿宋" w:cs="仿宋"/>
          <w:bCs w:val="0"/>
          <w:sz w:val="24"/>
          <w:highlight w:val="none"/>
        </w:rPr>
      </w:pPr>
      <w:r>
        <w:rPr>
          <w:rFonts w:hint="eastAsia" w:ascii="华文仿宋" w:hAnsi="华文仿宋" w:eastAsia="华文仿宋" w:cs="华文仿宋"/>
          <w:b w:val="0"/>
          <w:bCs w:val="0"/>
          <w:color w:val="000000" w:themeColor="text1"/>
          <w:sz w:val="24"/>
          <w:highlight w:val="none"/>
          <w14:textFill>
            <w14:solidFill>
              <w14:schemeClr w14:val="tx1"/>
            </w14:solidFill>
          </w14:textFill>
        </w:rPr>
        <w:t>21.3 在投标截止时间之后，投标人不得对其递交的投标文件做任何修改，撤回投标的，将按照有关规定进行相应处理。</w:t>
      </w:r>
    </w:p>
    <w:p>
      <w:pPr>
        <w:pStyle w:val="4"/>
        <w:keepNext w:val="0"/>
        <w:keepLines w:val="0"/>
        <w:spacing w:before="0" w:after="160" w:line="360" w:lineRule="auto"/>
        <w:ind w:firstLine="482" w:firstLineChars="200"/>
        <w:jc w:val="center"/>
        <w:rPr>
          <w:rFonts w:ascii="仿宋" w:hAnsi="仿宋" w:eastAsia="仿宋" w:cs="仿宋"/>
          <w:bCs w:val="0"/>
          <w:sz w:val="24"/>
          <w:highlight w:val="none"/>
        </w:rPr>
      </w:pPr>
      <w:r>
        <w:rPr>
          <w:rFonts w:hint="eastAsia" w:ascii="仿宋" w:hAnsi="仿宋" w:eastAsia="仿宋" w:cs="仿宋"/>
          <w:bCs w:val="0"/>
          <w:sz w:val="24"/>
          <w:highlight w:val="none"/>
        </w:rPr>
        <w:t>五、开标和中标</w:t>
      </w:r>
    </w:p>
    <w:p>
      <w:pPr>
        <w:pStyle w:val="4"/>
        <w:keepNext w:val="0"/>
        <w:keepLines w:val="0"/>
        <w:spacing w:before="0" w:after="160" w:line="360" w:lineRule="auto"/>
        <w:ind w:firstLine="480" w:firstLineChars="200"/>
        <w:rPr>
          <w:rFonts w:ascii="华文仿宋" w:hAnsi="华文仿宋" w:eastAsia="华文仿宋" w:cs="华文仿宋"/>
          <w:bCs w:val="0"/>
          <w:sz w:val="24"/>
          <w:highlight w:val="none"/>
        </w:rPr>
      </w:pPr>
      <w:r>
        <w:rPr>
          <w:rFonts w:hint="eastAsia" w:ascii="华文仿宋" w:hAnsi="华文仿宋" w:eastAsia="华文仿宋" w:cs="华文仿宋"/>
          <w:bCs w:val="0"/>
          <w:sz w:val="24"/>
          <w:highlight w:val="none"/>
        </w:rPr>
        <w:t>22．开标</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22.1 开标在招标文件规定的时间和地点公开进行，特邀请本项目的投标人参加。投标人须派代表参加并签到以证明其出席。开标由采购代理机构主持，投标人代表参加。评标专家不参加开标活动。</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22.2 投标人不足3 家的，不得开标。</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22.3 开标时，可能根据具体情况邀请有关监督管理部门对开标活动进行现场监督。</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22.4 开标时，由投标人或者其推选的代表先检查其自己递交的投标文件的密封情况，经确认无误后，由采购人或采购代理机构工作人员将投标人单独递交的“开标一览表”当众拆封，宣布投标人名称、投标价格和按照招标文件规定的内容进行宣读。</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22.5 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22.6 投标文件中相关内容与“开标一览表”不一致的，以“开标一览表”为准。对不同文字文本投标文件的解释发生异议的，以中文文本为准。</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22.7 所有投标唱标完毕，如投标人代表对宣读的“开标一览表”上的内容有异议的，应在获得开标会主持人同意后当场提出。如确实属于唱标人员宣读错了的，经现场监督人员核实后，当场予以更正。</w:t>
      </w:r>
    </w:p>
    <w:p>
      <w:pPr>
        <w:pStyle w:val="4"/>
        <w:keepNext w:val="0"/>
        <w:keepLines w:val="0"/>
        <w:spacing w:before="0" w:after="160" w:line="360" w:lineRule="auto"/>
        <w:ind w:firstLine="480" w:firstLineChars="200"/>
        <w:rPr>
          <w:rFonts w:ascii="华文仿宋" w:hAnsi="华文仿宋" w:eastAsia="华文仿宋" w:cs="华文仿宋"/>
          <w:bCs w:val="0"/>
          <w:sz w:val="24"/>
          <w:highlight w:val="none"/>
        </w:rPr>
      </w:pPr>
      <w:r>
        <w:rPr>
          <w:rFonts w:hint="eastAsia" w:ascii="华文仿宋" w:hAnsi="华文仿宋" w:eastAsia="华文仿宋" w:cs="华文仿宋"/>
          <w:bCs w:val="0"/>
          <w:sz w:val="24"/>
          <w:highlight w:val="none"/>
        </w:rPr>
        <w:t>23. 开标程序</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23.1 开标会主持人按照招标文件规定的开标时间宣布开标，按照规定要求主持开标会。开标将按以下程序进行：</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（1）宣布开标会开始。根据“投标人签到表”宣布参加投标的投标人名单。</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（2）根据投标人或者其推选的代表对投标文件密封的检查结果，当众宣布投标文件的密封情况。</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中国政府采购网上查询。</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5）投标人代表对开标过程和开标记录有疑义，以及认为采购人、采购代理机构相关工作人员有需要回避的情形的，应当场提出询问或者回避申请。采购人、采购代理机构对投标人代表提出的询问或者回避申请应当及时处理。不接受事后质疑。</w:t>
      </w:r>
    </w:p>
    <w:p>
      <w:pPr>
        <w:pStyle w:val="4"/>
        <w:keepNext w:val="0"/>
        <w:keepLines w:val="0"/>
        <w:spacing w:before="0" w:after="160" w:line="360" w:lineRule="auto"/>
        <w:ind w:firstLine="480" w:firstLineChars="200"/>
        <w:rPr>
          <w:rFonts w:ascii="华文仿宋" w:hAnsi="华文仿宋" w:eastAsia="华文仿宋" w:cs="华文仿宋"/>
          <w:b w:val="0"/>
          <w:bCs w:val="0"/>
          <w:sz w:val="24"/>
          <w:highlight w:val="none"/>
        </w:rPr>
      </w:pPr>
      <w:r>
        <w:rPr>
          <w:rFonts w:hint="eastAsia" w:ascii="华文仿宋" w:hAnsi="华文仿宋" w:eastAsia="华文仿宋" w:cs="华文仿宋"/>
          <w:b w:val="0"/>
          <w:bCs w:val="0"/>
          <w:sz w:val="24"/>
          <w:highlight w:val="none"/>
        </w:rPr>
        <w:t>投标人未参加开标的，视同认可开标结果。</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2</w:t>
      </w:r>
      <w:r>
        <w:rPr>
          <w:rFonts w:hint="eastAsia" w:ascii="仿宋" w:hAnsi="仿宋" w:eastAsia="仿宋" w:cs="仿宋"/>
          <w:bCs w:val="0"/>
          <w:sz w:val="24"/>
          <w:highlight w:val="none"/>
          <w:lang w:val="en-US" w:eastAsia="zh-CN"/>
        </w:rPr>
        <w:t>4</w:t>
      </w:r>
      <w:r>
        <w:rPr>
          <w:rFonts w:hint="eastAsia" w:ascii="仿宋" w:hAnsi="仿宋" w:eastAsia="仿宋" w:cs="仿宋"/>
          <w:bCs w:val="0"/>
          <w:sz w:val="24"/>
          <w:highlight w:val="none"/>
        </w:rPr>
        <w:t>. 开评标过程存档</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开标和评标过程进行全过程电子监控，并将电子监控资料存储介质留存归档。</w:t>
      </w:r>
    </w:p>
    <w:p>
      <w:pPr>
        <w:pStyle w:val="4"/>
        <w:keepNext w:val="0"/>
        <w:keepLines w:val="0"/>
        <w:spacing w:before="0" w:after="160" w:line="360" w:lineRule="auto"/>
        <w:ind w:firstLine="482" w:firstLineChars="200"/>
        <w:rPr>
          <w:rFonts w:hint="eastAsia" w:ascii="仿宋" w:hAnsi="仿宋" w:eastAsia="仿宋" w:cs="仿宋"/>
          <w:bCs w:val="0"/>
          <w:sz w:val="24"/>
          <w:highlight w:val="none"/>
        </w:rPr>
      </w:pPr>
      <w:r>
        <w:rPr>
          <w:rFonts w:hint="eastAsia" w:ascii="仿宋" w:hAnsi="仿宋" w:eastAsia="仿宋" w:cs="仿宋"/>
          <w:bCs w:val="0"/>
          <w:sz w:val="24"/>
          <w:highlight w:val="none"/>
        </w:rPr>
        <w:t>2</w:t>
      </w:r>
      <w:r>
        <w:rPr>
          <w:rFonts w:hint="eastAsia" w:ascii="仿宋" w:hAnsi="仿宋" w:eastAsia="仿宋" w:cs="仿宋"/>
          <w:bCs w:val="0"/>
          <w:sz w:val="24"/>
          <w:highlight w:val="none"/>
          <w:lang w:val="en-US" w:eastAsia="zh-CN"/>
        </w:rPr>
        <w:t>5</w:t>
      </w:r>
      <w:r>
        <w:rPr>
          <w:rFonts w:hint="eastAsia" w:ascii="仿宋" w:hAnsi="仿宋" w:eastAsia="仿宋" w:cs="仿宋"/>
          <w:bCs w:val="0"/>
          <w:sz w:val="24"/>
          <w:highlight w:val="none"/>
        </w:rPr>
        <w:t>.评标情况公告</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所有供应商投标文件资格性、符合性检查情况、采用综合评分法时的总得分和分项汇总得分情况、评标结果等将在四川政府采购网上采购结果公告栏中予以公告。</w:t>
      </w:r>
    </w:p>
    <w:p>
      <w:pPr>
        <w:pStyle w:val="4"/>
        <w:keepNext w:val="0"/>
        <w:keepLines w:val="0"/>
        <w:spacing w:before="0" w:after="16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w:t>
      </w: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rPr>
        <w:t>.采购人确定中标人过程中，发现中标候选人有下列情形之一的，应当不予确定其为中标人：</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（1）发现中标候选人存在禁止参加本项目采购活动的违法行为的；</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（2）中标候选人因不可抗力，不能继续参加政府采购活动；</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（3）中标候选人无偿赠与或者低于成本价竞争；</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（4）中标候选人提供虚假材料；</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（5）中标候选人恶意串通。</w:t>
      </w:r>
    </w:p>
    <w:p>
      <w:pPr>
        <w:pStyle w:val="4"/>
        <w:keepNext w:val="0"/>
        <w:keepLines w:val="0"/>
        <w:spacing w:before="0" w:after="16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.中标通知书</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7</w:t>
      </w:r>
      <w:r>
        <w:rPr>
          <w:rFonts w:hint="eastAsia" w:ascii="仿宋" w:hAnsi="仿宋" w:eastAsia="仿宋" w:cs="仿宋"/>
          <w:b w:val="0"/>
          <w:bCs w:val="0"/>
          <w:sz w:val="24"/>
          <w:highlight w:val="none"/>
        </w:rPr>
        <w:t>.1 中标通知书为签订政府采购合同的依据之一，是合同的有效组成部分。</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7</w:t>
      </w:r>
      <w:r>
        <w:rPr>
          <w:rFonts w:hint="eastAsia" w:ascii="仿宋" w:hAnsi="仿宋" w:eastAsia="仿宋" w:cs="仿宋"/>
          <w:b w:val="0"/>
          <w:bCs w:val="0"/>
          <w:sz w:val="24"/>
          <w:highlight w:val="none"/>
        </w:rPr>
        <w:t>.2 中标通知书对采购人和中标人均具有法律效力。中标通知书发出后，采购人改变中标结果，或者中标人无正当理由放弃中标的，应当承担相应的法律责任。</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7</w:t>
      </w:r>
      <w:r>
        <w:rPr>
          <w:rFonts w:hint="eastAsia" w:ascii="仿宋" w:hAnsi="仿宋" w:eastAsia="仿宋" w:cs="仿宋"/>
          <w:b w:val="0"/>
          <w:bCs w:val="0"/>
          <w:sz w:val="24"/>
          <w:highlight w:val="none"/>
        </w:rPr>
        <w:t>．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7</w:t>
      </w:r>
      <w:r>
        <w:rPr>
          <w:rFonts w:hint="eastAsia" w:ascii="仿宋" w:hAnsi="仿宋" w:eastAsia="仿宋" w:cs="仿宋"/>
          <w:b w:val="0"/>
          <w:bCs w:val="0"/>
          <w:sz w:val="24"/>
          <w:highlight w:val="none"/>
        </w:rPr>
        <w:t>.4</w:t>
      </w:r>
      <w:r>
        <w:rPr>
          <w:rFonts w:hint="eastAsia" w:ascii="仿宋" w:hAnsi="仿宋" w:eastAsia="仿宋" w:cs="仿宋"/>
          <w:b w:val="0"/>
          <w:bCs w:val="0"/>
          <w:sz w:val="24"/>
          <w:highlight w:val="none"/>
          <w:lang w:val="zh-CN"/>
        </w:rPr>
        <w:t>在四川政府采购网公告中标结果同时发出中标通知书，中标供应商自行到</w:t>
      </w:r>
      <w:r>
        <w:rPr>
          <w:rFonts w:hint="eastAsia" w:ascii="仿宋" w:hAnsi="仿宋" w:eastAsia="仿宋" w:cs="仿宋"/>
          <w:b w:val="0"/>
          <w:bCs w:val="0"/>
          <w:sz w:val="24"/>
          <w:highlight w:val="none"/>
          <w:lang w:val="en-US" w:eastAsia="zh-CN"/>
        </w:rPr>
        <w:t>我公司</w:t>
      </w:r>
      <w:r>
        <w:rPr>
          <w:rFonts w:hint="eastAsia" w:ascii="仿宋" w:hAnsi="仿宋" w:eastAsia="仿宋" w:cs="仿宋"/>
          <w:b w:val="0"/>
          <w:bCs w:val="0"/>
          <w:sz w:val="24"/>
          <w:highlight w:val="none"/>
        </w:rPr>
        <w:t>成都市高新区吉瑞三路环球时代中心C座1912室</w:t>
      </w:r>
      <w:r>
        <w:rPr>
          <w:rFonts w:hint="eastAsia" w:ascii="仿宋" w:hAnsi="仿宋" w:eastAsia="仿宋" w:cs="仿宋"/>
          <w:b w:val="0"/>
          <w:bCs w:val="0"/>
          <w:sz w:val="24"/>
          <w:highlight w:val="none"/>
          <w:lang w:eastAsia="zh-CN"/>
        </w:rPr>
        <w:t>领取</w:t>
      </w:r>
      <w:r>
        <w:rPr>
          <w:rFonts w:hint="eastAsia" w:ascii="仿宋" w:hAnsi="仿宋" w:eastAsia="仿宋" w:cs="仿宋"/>
          <w:b w:val="0"/>
          <w:bCs w:val="0"/>
          <w:sz w:val="24"/>
          <w:highlight w:val="none"/>
          <w:lang w:val="zh-CN"/>
        </w:rPr>
        <w:t>标通知书。</w:t>
      </w:r>
    </w:p>
    <w:p>
      <w:pPr>
        <w:pStyle w:val="4"/>
        <w:keepNext w:val="0"/>
        <w:keepLines w:val="0"/>
        <w:spacing w:before="0" w:after="160" w:line="360" w:lineRule="auto"/>
        <w:ind w:firstLine="482" w:firstLineChars="200"/>
        <w:jc w:val="center"/>
        <w:rPr>
          <w:rFonts w:ascii="仿宋" w:hAnsi="仿宋" w:eastAsia="仿宋" w:cs="仿宋"/>
          <w:bCs w:val="0"/>
          <w:sz w:val="24"/>
          <w:highlight w:val="none"/>
        </w:rPr>
      </w:pPr>
      <w:r>
        <w:rPr>
          <w:rFonts w:hint="eastAsia" w:ascii="仿宋" w:hAnsi="仿宋" w:eastAsia="仿宋" w:cs="仿宋"/>
          <w:bCs w:val="0"/>
          <w:sz w:val="24"/>
          <w:highlight w:val="none"/>
        </w:rPr>
        <w:t>六、签订及履行合同和验收</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8</w:t>
      </w:r>
      <w:r>
        <w:rPr>
          <w:rFonts w:hint="eastAsia" w:ascii="仿宋" w:hAnsi="仿宋" w:eastAsia="仿宋" w:cs="仿宋"/>
          <w:b w:val="0"/>
          <w:bCs w:val="0"/>
          <w:sz w:val="24"/>
          <w:highlight w:val="none"/>
        </w:rPr>
        <w:t>. 签订合同</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8</w:t>
      </w:r>
      <w:r>
        <w:rPr>
          <w:rFonts w:hint="eastAsia" w:ascii="仿宋" w:hAnsi="仿宋" w:eastAsia="仿宋" w:cs="仿宋"/>
          <w:b w:val="0"/>
          <w:bCs w:val="0"/>
          <w:sz w:val="24"/>
          <w:highlight w:val="none"/>
        </w:rPr>
        <w:t>.1 中标人应在中标通知书发出之日起三十日内与采购人签订采购合同。由于中标人的原因逾期未与采购人签订采购合同的，将视为放弃中标，取消其中标资格并将按相关规定进行处理。</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8</w:t>
      </w:r>
      <w:r>
        <w:rPr>
          <w:rFonts w:hint="eastAsia" w:ascii="仿宋" w:hAnsi="仿宋" w:eastAsia="仿宋" w:cs="仿宋"/>
          <w:b w:val="0"/>
          <w:bCs w:val="0"/>
          <w:sz w:val="24"/>
          <w:highlight w:val="none"/>
        </w:rPr>
        <w:t>.2 采购人不得向中标人提出任何不合理的要求，作为签订合同的条件，不得与中标人私下订立背离合同实质性内容的任何协议，所签订的合同不得对招标文件和中标人投标文件确定的事项进行修改。</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8</w:t>
      </w:r>
      <w:r>
        <w:rPr>
          <w:rFonts w:hint="eastAsia" w:ascii="仿宋" w:hAnsi="仿宋" w:eastAsia="仿宋" w:cs="仿宋"/>
          <w:b w:val="0"/>
          <w:bCs w:val="0"/>
          <w:sz w:val="24"/>
          <w:highlight w:val="none"/>
        </w:rPr>
        <w:t>.3 中标人因不可抗力原因不能履行采购合同或放弃中标的，采购人可以与排在中标人之后第一位的中标候选人签订采购合同，以此类推。</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8</w:t>
      </w:r>
      <w:r>
        <w:rPr>
          <w:rFonts w:hint="eastAsia" w:ascii="仿宋" w:hAnsi="仿宋" w:eastAsia="仿宋" w:cs="仿宋"/>
          <w:b w:val="0"/>
          <w:bCs w:val="0"/>
          <w:sz w:val="24"/>
          <w:highlight w:val="none"/>
        </w:rPr>
        <w:t>.4 中标人在合同签订之后两个工作日内，将签订的合同（一份）送四川亚兴建设工程项目管理有限公司进行合同编号。(联系人，联系电话等详见投标人须知前附表)</w:t>
      </w:r>
    </w:p>
    <w:p>
      <w:pPr>
        <w:pStyle w:val="4"/>
        <w:keepNext w:val="0"/>
        <w:keepLines w:val="0"/>
        <w:spacing w:before="0" w:after="160" w:line="360" w:lineRule="auto"/>
        <w:ind w:firstLine="482" w:firstLineChars="200"/>
        <w:rPr>
          <w:rFonts w:ascii="仿宋" w:hAnsi="仿宋" w:eastAsia="仿宋" w:cs="仿宋"/>
          <w:b w:val="0"/>
          <w:bCs w:val="0"/>
          <w:sz w:val="24"/>
          <w:highlight w:val="none"/>
        </w:rPr>
      </w:pPr>
      <w:r>
        <w:rPr>
          <w:rFonts w:hint="eastAsia" w:ascii="仿宋" w:hAnsi="仿宋" w:eastAsia="仿宋" w:cs="仿宋"/>
          <w:bCs w:val="0"/>
          <w:sz w:val="24"/>
          <w:highlight w:val="none"/>
        </w:rPr>
        <w:t>2</w:t>
      </w:r>
      <w:r>
        <w:rPr>
          <w:rFonts w:hint="eastAsia" w:ascii="仿宋" w:hAnsi="仿宋" w:eastAsia="仿宋" w:cs="仿宋"/>
          <w:bCs w:val="0"/>
          <w:sz w:val="24"/>
          <w:highlight w:val="none"/>
          <w:lang w:val="en-US" w:eastAsia="zh-CN"/>
        </w:rPr>
        <w:t>9</w:t>
      </w:r>
      <w:r>
        <w:rPr>
          <w:rFonts w:hint="eastAsia" w:ascii="仿宋" w:hAnsi="仿宋" w:eastAsia="仿宋" w:cs="仿宋"/>
          <w:bCs w:val="0"/>
          <w:sz w:val="24"/>
          <w:highlight w:val="none"/>
        </w:rPr>
        <w:t>. 合同分包（实质性要求）</w:t>
      </w:r>
    </w:p>
    <w:p>
      <w:pPr>
        <w:pStyle w:val="4"/>
        <w:keepNext w:val="0"/>
        <w:keepLines w:val="0"/>
        <w:spacing w:before="0" w:after="160" w:line="360" w:lineRule="auto"/>
        <w:ind w:firstLine="482" w:firstLineChars="200"/>
        <w:rPr>
          <w:rFonts w:ascii="仿宋" w:hAnsi="仿宋" w:eastAsia="仿宋" w:cs="仿宋"/>
          <w:highlight w:val="none"/>
        </w:rPr>
      </w:pPr>
      <w:r>
        <w:rPr>
          <w:rFonts w:hint="eastAsia" w:ascii="仿宋" w:hAnsi="仿宋" w:eastAsia="仿宋" w:cs="仿宋"/>
          <w:sz w:val="24"/>
          <w:highlight w:val="none"/>
        </w:rPr>
        <w:t>本项目不允许分包。</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.1 经采购人同意，中标人可以依法采取分包方式履行合同。这种要求应当在合同签订之前征得采购人同意，并且分包投标人履行的分包项目的品牌、规格型号及技术要求等，必须与中标的一致。</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分包履行合同的部分应当为采购项目的非主体、非关键性工作，不属于中标人的主要合同义务。</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.2 采购合同实行分包履行的，中标人就采购项目和分包项目向采购人负责，分包投标人就分包项目承担责任。</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.3 中小企业、监狱企业和残疾人企业依据相关规定的政策获取政府采购合同后，小型、微型企业不得分包或转包给大型、中型企业，中型企业不得分包或转包给大型企业。监狱企业或残疾人企业不得分包或转包非监狱企业或残疾人企业。</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lang w:val="en-US" w:eastAsia="zh-CN"/>
        </w:rPr>
        <w:t>30</w:t>
      </w:r>
      <w:r>
        <w:rPr>
          <w:rFonts w:hint="eastAsia" w:ascii="仿宋" w:hAnsi="仿宋" w:eastAsia="仿宋" w:cs="仿宋"/>
          <w:bCs w:val="0"/>
          <w:sz w:val="24"/>
          <w:highlight w:val="none"/>
        </w:rPr>
        <w:t>.合同转包（实质性要求）</w:t>
      </w:r>
    </w:p>
    <w:p>
      <w:pPr>
        <w:pStyle w:val="4"/>
        <w:keepNext w:val="0"/>
        <w:keepLines w:val="0"/>
        <w:spacing w:before="0" w:after="160" w:line="360" w:lineRule="auto"/>
        <w:ind w:firstLine="482" w:firstLineChars="200"/>
        <w:rPr>
          <w:rFonts w:ascii="仿宋" w:hAnsi="仿宋" w:eastAsia="仿宋" w:cs="仿宋"/>
          <w:sz w:val="24"/>
          <w:highlight w:val="none"/>
        </w:rPr>
      </w:pPr>
      <w:r>
        <w:rPr>
          <w:rFonts w:hint="eastAsia" w:ascii="仿宋" w:hAnsi="仿宋" w:eastAsia="仿宋" w:cs="仿宋"/>
          <w:sz w:val="24"/>
          <w:highlight w:val="none"/>
        </w:rPr>
        <w:t>本项目不允许转包。</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中标人转包的，视同拒绝履行政府采购合同义务，将依法追究法律责任。</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3</w:t>
      </w:r>
      <w:r>
        <w:rPr>
          <w:rFonts w:hint="eastAsia" w:ascii="仿宋" w:hAnsi="仿宋" w:eastAsia="仿宋" w:cs="仿宋"/>
          <w:bCs w:val="0"/>
          <w:sz w:val="24"/>
          <w:highlight w:val="none"/>
          <w:lang w:val="en-US" w:eastAsia="zh-CN"/>
        </w:rPr>
        <w:t>1</w:t>
      </w:r>
      <w:r>
        <w:rPr>
          <w:rFonts w:hint="eastAsia" w:ascii="仿宋" w:hAnsi="仿宋" w:eastAsia="仿宋" w:cs="仿宋"/>
          <w:bCs w:val="0"/>
          <w:sz w:val="24"/>
          <w:highlight w:val="none"/>
        </w:rPr>
        <w:t>. 补充合同</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3</w:t>
      </w:r>
      <w:r>
        <w:rPr>
          <w:rFonts w:hint="eastAsia" w:ascii="仿宋" w:hAnsi="仿宋" w:eastAsia="仿宋" w:cs="仿宋"/>
          <w:bCs w:val="0"/>
          <w:sz w:val="24"/>
          <w:highlight w:val="none"/>
          <w:lang w:val="en-US" w:eastAsia="zh-CN"/>
        </w:rPr>
        <w:t>2</w:t>
      </w:r>
      <w:r>
        <w:rPr>
          <w:rFonts w:hint="eastAsia" w:ascii="仿宋" w:hAnsi="仿宋" w:eastAsia="仿宋" w:cs="仿宋"/>
          <w:bCs w:val="0"/>
          <w:sz w:val="24"/>
          <w:highlight w:val="none"/>
        </w:rPr>
        <w:t>. 履约保证金（实质性要求）</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本项目不收取履约保证金。</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3</w:t>
      </w:r>
      <w:r>
        <w:rPr>
          <w:rFonts w:hint="eastAsia" w:ascii="仿宋" w:hAnsi="仿宋" w:eastAsia="仿宋" w:cs="仿宋"/>
          <w:bCs w:val="0"/>
          <w:sz w:val="24"/>
          <w:highlight w:val="none"/>
          <w:lang w:val="en-US" w:eastAsia="zh-CN"/>
        </w:rPr>
        <w:t>3</w:t>
      </w:r>
      <w:r>
        <w:rPr>
          <w:rFonts w:hint="eastAsia" w:ascii="仿宋" w:hAnsi="仿宋" w:eastAsia="仿宋" w:cs="仿宋"/>
          <w:bCs w:val="0"/>
          <w:sz w:val="24"/>
          <w:highlight w:val="none"/>
        </w:rPr>
        <w:t>.合同公告</w:t>
      </w:r>
    </w:p>
    <w:p>
      <w:pPr>
        <w:pStyle w:val="4"/>
        <w:keepNext w:val="0"/>
        <w:keepLines w:val="0"/>
        <w:spacing w:before="0" w:after="160"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采购人应当自政府采购合同签订（双方当事人均已签字盖章）之日起2个工作日内，将政府采购合同在四川省政府采购网上公告，但政府采购合同中涉及国家秘密、商业秘密的内容除外。</w:t>
      </w:r>
    </w:p>
    <w:p>
      <w:pPr>
        <w:pStyle w:val="4"/>
        <w:keepNext w:val="0"/>
        <w:keepLines w:val="0"/>
        <w:spacing w:before="0" w:after="16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.合同备案</w:t>
      </w:r>
    </w:p>
    <w:p>
      <w:pPr>
        <w:pStyle w:val="4"/>
        <w:keepNext w:val="0"/>
        <w:keepLines w:val="0"/>
        <w:spacing w:before="0" w:after="160" w:line="360" w:lineRule="auto"/>
        <w:ind w:firstLine="480" w:firstLineChars="200"/>
        <w:rPr>
          <w:highlight w:val="none"/>
        </w:rPr>
      </w:pPr>
      <w:r>
        <w:rPr>
          <w:rFonts w:hint="eastAsia" w:ascii="仿宋" w:hAnsi="仿宋" w:eastAsia="仿宋" w:cs="仿宋"/>
          <w:b w:val="0"/>
          <w:bCs w:val="0"/>
          <w:sz w:val="24"/>
          <w:highlight w:val="none"/>
        </w:rPr>
        <w:t>采购人应当将政府采购合同副本自签订之日起七个工作日内通过四川政府采购网报同级财政部门备案。</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3</w:t>
      </w:r>
      <w:r>
        <w:rPr>
          <w:rFonts w:hint="eastAsia" w:ascii="仿宋" w:hAnsi="仿宋" w:eastAsia="仿宋" w:cs="仿宋"/>
          <w:bCs w:val="0"/>
          <w:sz w:val="24"/>
          <w:highlight w:val="none"/>
          <w:lang w:val="en-US" w:eastAsia="zh-CN"/>
        </w:rPr>
        <w:t>5</w:t>
      </w:r>
      <w:r>
        <w:rPr>
          <w:rFonts w:hint="eastAsia" w:ascii="仿宋" w:hAnsi="仿宋" w:eastAsia="仿宋" w:cs="仿宋"/>
          <w:bCs w:val="0"/>
          <w:sz w:val="24"/>
          <w:highlight w:val="none"/>
        </w:rPr>
        <w:t>. 履行合同</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3</w:t>
      </w:r>
      <w:r>
        <w:rPr>
          <w:rFonts w:hint="eastAsia" w:ascii="仿宋" w:hAnsi="仿宋" w:eastAsia="仿宋" w:cs="仿宋"/>
          <w:b w:val="0"/>
          <w:bCs w:val="0"/>
          <w:sz w:val="24"/>
          <w:highlight w:val="none"/>
          <w:lang w:val="en-US" w:eastAsia="zh-CN"/>
        </w:rPr>
        <w:t>5</w:t>
      </w:r>
      <w:r>
        <w:rPr>
          <w:rFonts w:hint="eastAsia" w:ascii="仿宋" w:hAnsi="仿宋" w:eastAsia="仿宋" w:cs="仿宋"/>
          <w:b w:val="0"/>
          <w:bCs w:val="0"/>
          <w:sz w:val="24"/>
          <w:highlight w:val="none"/>
        </w:rPr>
        <w:t>.1 中标人与采购人签订合同后，合同双方应严格执行合同条款，履行合同规定的义务，保证合同的顺利完成。</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3</w:t>
      </w:r>
      <w:r>
        <w:rPr>
          <w:rFonts w:hint="eastAsia" w:ascii="仿宋" w:hAnsi="仿宋" w:eastAsia="仿宋" w:cs="仿宋"/>
          <w:b w:val="0"/>
          <w:bCs w:val="0"/>
          <w:sz w:val="24"/>
          <w:highlight w:val="none"/>
          <w:lang w:val="en-US" w:eastAsia="zh-CN"/>
        </w:rPr>
        <w:t>5</w:t>
      </w:r>
      <w:r>
        <w:rPr>
          <w:rFonts w:hint="eastAsia" w:ascii="仿宋" w:hAnsi="仿宋" w:eastAsia="仿宋" w:cs="仿宋"/>
          <w:b w:val="0"/>
          <w:bCs w:val="0"/>
          <w:sz w:val="24"/>
          <w:highlight w:val="none"/>
        </w:rPr>
        <w:t>.2采购人与中标人应当根据合同的约定依法履行合同义务。政府采购合同的履行、违约责任和解决争议的方法等适用《中华人民共和国民法典》。</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3</w:t>
      </w:r>
      <w:r>
        <w:rPr>
          <w:rFonts w:hint="eastAsia" w:ascii="仿宋" w:hAnsi="仿宋" w:eastAsia="仿宋" w:cs="仿宋"/>
          <w:bCs w:val="0"/>
          <w:sz w:val="24"/>
          <w:highlight w:val="none"/>
          <w:lang w:val="en-US" w:eastAsia="zh-CN"/>
        </w:rPr>
        <w:t>6</w:t>
      </w:r>
      <w:r>
        <w:rPr>
          <w:rFonts w:hint="eastAsia" w:ascii="仿宋" w:hAnsi="仿宋" w:eastAsia="仿宋" w:cs="仿宋"/>
          <w:bCs w:val="0"/>
          <w:sz w:val="24"/>
          <w:highlight w:val="none"/>
        </w:rPr>
        <w:t>. 验收</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3</w:t>
      </w:r>
      <w:r>
        <w:rPr>
          <w:rFonts w:hint="eastAsia" w:ascii="仿宋" w:hAnsi="仿宋" w:eastAsia="仿宋" w:cs="仿宋"/>
          <w:b w:val="0"/>
          <w:bCs w:val="0"/>
          <w:sz w:val="24"/>
          <w:highlight w:val="none"/>
          <w:lang w:val="en-US" w:eastAsia="zh-CN"/>
        </w:rPr>
        <w:t>6</w:t>
      </w:r>
      <w:r>
        <w:rPr>
          <w:rFonts w:hint="eastAsia" w:ascii="仿宋" w:hAnsi="仿宋" w:eastAsia="仿宋" w:cs="仿宋"/>
          <w:b w:val="0"/>
          <w:bCs w:val="0"/>
          <w:sz w:val="24"/>
          <w:highlight w:val="none"/>
        </w:rPr>
        <w:t>.1中标人与采购人将参照《财政部关于进一步加强政府采购需求和履约验收管理的指导意见》(财库〔2016〕205 号)的要求进行验收。</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3</w:t>
      </w:r>
      <w:r>
        <w:rPr>
          <w:rFonts w:hint="eastAsia" w:ascii="仿宋" w:hAnsi="仿宋" w:eastAsia="仿宋" w:cs="仿宋"/>
          <w:b w:val="0"/>
          <w:bCs w:val="0"/>
          <w:sz w:val="24"/>
          <w:highlight w:val="none"/>
          <w:lang w:val="en-US" w:eastAsia="zh-CN"/>
        </w:rPr>
        <w:t>6</w:t>
      </w:r>
      <w:r>
        <w:rPr>
          <w:rFonts w:hint="eastAsia" w:ascii="仿宋" w:hAnsi="仿宋" w:eastAsia="仿宋" w:cs="仿宋"/>
          <w:b w:val="0"/>
          <w:bCs w:val="0"/>
          <w:sz w:val="24"/>
          <w:highlight w:val="none"/>
        </w:rPr>
        <w:t>.2 其他详见招标文件第六章</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3</w:t>
      </w:r>
      <w:r>
        <w:rPr>
          <w:rFonts w:hint="eastAsia" w:ascii="仿宋" w:hAnsi="仿宋" w:eastAsia="仿宋" w:cs="仿宋"/>
          <w:bCs w:val="0"/>
          <w:sz w:val="24"/>
          <w:highlight w:val="none"/>
          <w:lang w:val="en-US" w:eastAsia="zh-CN"/>
        </w:rPr>
        <w:t>7</w:t>
      </w:r>
      <w:r>
        <w:rPr>
          <w:rFonts w:hint="eastAsia" w:ascii="仿宋" w:hAnsi="仿宋" w:eastAsia="仿宋" w:cs="仿宋"/>
          <w:bCs w:val="0"/>
          <w:sz w:val="24"/>
          <w:highlight w:val="none"/>
        </w:rPr>
        <w:t>.资金支付</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 xml:space="preserve">本项目资金支付方式详见招标文件第六章。 </w:t>
      </w:r>
    </w:p>
    <w:p>
      <w:pPr>
        <w:pStyle w:val="4"/>
        <w:keepNext w:val="0"/>
        <w:keepLines w:val="0"/>
        <w:spacing w:before="0" w:after="160" w:line="360" w:lineRule="auto"/>
        <w:ind w:firstLine="482" w:firstLineChars="200"/>
        <w:jc w:val="center"/>
        <w:rPr>
          <w:rFonts w:ascii="仿宋" w:hAnsi="仿宋" w:eastAsia="仿宋" w:cs="仿宋"/>
          <w:bCs w:val="0"/>
          <w:sz w:val="24"/>
          <w:highlight w:val="none"/>
        </w:rPr>
      </w:pPr>
      <w:r>
        <w:rPr>
          <w:rFonts w:hint="eastAsia" w:ascii="仿宋" w:hAnsi="仿宋" w:eastAsia="仿宋" w:cs="仿宋"/>
          <w:bCs w:val="0"/>
          <w:sz w:val="24"/>
          <w:highlight w:val="none"/>
        </w:rPr>
        <w:t>七、投标纪律要求</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3</w:t>
      </w:r>
      <w:r>
        <w:rPr>
          <w:rFonts w:hint="eastAsia" w:ascii="仿宋" w:hAnsi="仿宋" w:eastAsia="仿宋" w:cs="仿宋"/>
          <w:bCs w:val="0"/>
          <w:sz w:val="24"/>
          <w:highlight w:val="none"/>
          <w:lang w:val="en-US" w:eastAsia="zh-CN"/>
        </w:rPr>
        <w:t>8</w:t>
      </w:r>
      <w:r>
        <w:rPr>
          <w:rFonts w:hint="eastAsia" w:ascii="仿宋" w:hAnsi="仿宋" w:eastAsia="仿宋" w:cs="仿宋"/>
          <w:bCs w:val="0"/>
          <w:sz w:val="24"/>
          <w:highlight w:val="none"/>
        </w:rPr>
        <w:t>. 投标人不得具有的情形</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投标人参加本项目投标不得有下列情形：</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（1）提供虚假材料谋取中标；</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（2）采取不正当手段诋毁、排挤其他投标人；</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（3）与采购人或采购代理机构、其他投标人恶意串通；</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（4）向采购人或采购代理机构、评标委员会成员行贿或者提供其他不正当利益；</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（5）在招标过程中与采购人或采购代理机构进行协商谈判；</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（6）中标或者成交后无正当理由拒不与采购人签订政府采购合同；</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（7）未按照采购文件确定的事项签订政府采购合同；</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（8）将政府采购合同转包或者违规分包；</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（9）提供假冒伪劣产品；</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（10）擅自变更、中止或者终止政府采购合同；</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（11）拒绝有关部门的监督检查或者向监督检查部门提供虚假情况；</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（12）法律法规规定的其他情形。</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投标人有上述情形的，按照规定追究法律责任，具备（1）-（10）条情形之一的，同时将取消中标资格或者认定中标无效。</w:t>
      </w:r>
    </w:p>
    <w:p>
      <w:pPr>
        <w:pStyle w:val="4"/>
        <w:keepNext w:val="0"/>
        <w:keepLines w:val="0"/>
        <w:spacing w:before="0" w:after="160" w:line="360" w:lineRule="auto"/>
        <w:ind w:firstLine="482" w:firstLineChars="200"/>
        <w:rPr>
          <w:rFonts w:ascii="仿宋" w:hAnsi="仿宋" w:eastAsia="仿宋" w:cs="仿宋"/>
          <w:bCs w:val="0"/>
          <w:sz w:val="24"/>
          <w:highlight w:val="none"/>
        </w:rPr>
      </w:pPr>
      <w:r>
        <w:rPr>
          <w:rFonts w:hint="eastAsia" w:ascii="仿宋" w:hAnsi="仿宋" w:eastAsia="仿宋" w:cs="仿宋"/>
          <w:bCs w:val="0"/>
          <w:sz w:val="24"/>
          <w:highlight w:val="none"/>
        </w:rPr>
        <w:t>3</w:t>
      </w:r>
      <w:r>
        <w:rPr>
          <w:rFonts w:hint="eastAsia" w:ascii="仿宋" w:hAnsi="仿宋" w:eastAsia="仿宋" w:cs="仿宋"/>
          <w:bCs w:val="0"/>
          <w:sz w:val="24"/>
          <w:highlight w:val="none"/>
          <w:lang w:val="en-US" w:eastAsia="zh-CN"/>
        </w:rPr>
        <w:t>9</w:t>
      </w:r>
      <w:r>
        <w:rPr>
          <w:rFonts w:hint="eastAsia" w:ascii="仿宋" w:hAnsi="仿宋" w:eastAsia="仿宋" w:cs="仿宋"/>
          <w:bCs w:val="0"/>
          <w:sz w:val="24"/>
          <w:highlight w:val="none"/>
        </w:rPr>
        <w:t>.有下列情形之一的，视为投标人串通投标，其投标无效：</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（1）不同投标人的投标文件由同一单位或者个人编制。</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（2）不同投标人委托同一单位或者个人办理投标事宜。</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（3）不同投标人的投标文件载明的项目管理成员或者联系人员为同一人。</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（4）不同投标人的投标文件异常一致或者投标报价呈规律性差异。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（5）不同投标人的投标文件相互混装。</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（6）不同投标人的投标保证金从同一单位或者个人的账户转出。</w:t>
      </w:r>
    </w:p>
    <w:p>
      <w:pPr>
        <w:pStyle w:val="4"/>
        <w:keepNext w:val="0"/>
        <w:keepLines w:val="0"/>
        <w:spacing w:before="0" w:after="160" w:line="360" w:lineRule="auto"/>
        <w:ind w:firstLine="482" w:firstLineChars="200"/>
        <w:jc w:val="center"/>
        <w:rPr>
          <w:rFonts w:ascii="仿宋" w:hAnsi="仿宋" w:eastAsia="仿宋" w:cs="仿宋"/>
          <w:bCs w:val="0"/>
          <w:sz w:val="24"/>
          <w:highlight w:val="none"/>
        </w:rPr>
      </w:pPr>
      <w:r>
        <w:rPr>
          <w:rFonts w:hint="eastAsia" w:ascii="仿宋" w:hAnsi="仿宋" w:eastAsia="仿宋" w:cs="仿宋"/>
          <w:bCs w:val="0"/>
          <w:sz w:val="24"/>
          <w:highlight w:val="none"/>
        </w:rPr>
        <w:t>八、询问、质疑和投诉</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lang w:val="en-US" w:eastAsia="zh-CN"/>
        </w:rPr>
        <w:t>40</w:t>
      </w:r>
      <w:r>
        <w:rPr>
          <w:rFonts w:hint="eastAsia" w:ascii="仿宋" w:hAnsi="仿宋" w:eastAsia="仿宋" w:cs="仿宋"/>
          <w:b w:val="0"/>
          <w:bCs w:val="0"/>
          <w:sz w:val="24"/>
          <w:highlight w:val="none"/>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keepNext w:val="0"/>
        <w:keepLines w:val="0"/>
        <w:spacing w:before="0" w:after="160" w:line="360" w:lineRule="auto"/>
        <w:ind w:firstLine="482" w:firstLineChars="200"/>
        <w:jc w:val="center"/>
        <w:rPr>
          <w:rFonts w:ascii="仿宋" w:hAnsi="仿宋" w:eastAsia="仿宋" w:cs="仿宋"/>
          <w:bCs w:val="0"/>
          <w:sz w:val="24"/>
          <w:highlight w:val="none"/>
        </w:rPr>
      </w:pPr>
      <w:r>
        <w:rPr>
          <w:rFonts w:hint="eastAsia" w:ascii="仿宋" w:hAnsi="仿宋" w:eastAsia="仿宋" w:cs="仿宋"/>
          <w:bCs w:val="0"/>
          <w:sz w:val="24"/>
          <w:highlight w:val="none"/>
        </w:rPr>
        <w:t>九、其他</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4</w:t>
      </w:r>
      <w:r>
        <w:rPr>
          <w:rFonts w:hint="eastAsia" w:ascii="仿宋" w:hAnsi="仿宋" w:eastAsia="仿宋" w:cs="仿宋"/>
          <w:b w:val="0"/>
          <w:bCs w:val="0"/>
          <w:sz w:val="24"/>
          <w:highlight w:val="none"/>
          <w:lang w:val="en-US" w:eastAsia="zh-CN"/>
        </w:rPr>
        <w:t>1</w:t>
      </w:r>
      <w:r>
        <w:rPr>
          <w:rFonts w:hint="eastAsia" w:ascii="仿宋" w:hAnsi="仿宋" w:eastAsia="仿宋" w:cs="仿宋"/>
          <w:b w:val="0"/>
          <w:bCs w:val="0"/>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4</w:t>
      </w: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.（实质性要求）国家或行业主管部门对投标人和采购产品的技术标准、质量标准和资格资质条件等有强制性规定的，必须符合其要求。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4</w:t>
      </w: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.本次采购文件中加注（实质性要求）的条款，若未明确要求提供证明材料或承诺函，视为仅约束中标人，由中标人和采购人签订合同前进行核实。</w:t>
      </w:r>
    </w:p>
    <w:p>
      <w:pPr>
        <w:pStyle w:val="13"/>
        <w:rPr>
          <w:rFonts w:ascii="仿宋" w:hAnsi="仿宋" w:eastAsia="仿宋" w:cs="仿宋"/>
          <w:sz w:val="36"/>
          <w:szCs w:val="36"/>
          <w:highlight w:val="none"/>
        </w:rPr>
      </w:pPr>
      <w:bookmarkStart w:id="23" w:name="_Toc511206478"/>
      <w:bookmarkStart w:id="24" w:name="PO_默认文件内容_26"/>
      <w:r>
        <w:rPr>
          <w:rFonts w:hint="eastAsia" w:ascii="仿宋" w:hAnsi="仿宋" w:eastAsia="仿宋" w:cs="仿宋"/>
          <w:sz w:val="36"/>
          <w:szCs w:val="36"/>
          <w:highlight w:val="none"/>
        </w:rPr>
        <w:br w:type="page"/>
      </w:r>
      <w:bookmarkStart w:id="25" w:name="_Toc69395655"/>
      <w:r>
        <w:rPr>
          <w:rFonts w:hint="eastAsia" w:ascii="仿宋" w:hAnsi="仿宋" w:eastAsia="仿宋" w:cs="仿宋"/>
          <w:sz w:val="36"/>
          <w:szCs w:val="36"/>
          <w:highlight w:val="none"/>
        </w:rPr>
        <w:t>第三章  投标文件格式</w:t>
      </w:r>
      <w:bookmarkEnd w:id="25"/>
    </w:p>
    <w:p>
      <w:pPr>
        <w:jc w:val="left"/>
        <w:rPr>
          <w:rFonts w:ascii="仿宋" w:hAnsi="仿宋" w:eastAsia="仿宋" w:cs="仿宋"/>
          <w:b/>
          <w:sz w:val="32"/>
          <w:szCs w:val="32"/>
          <w:highlight w:val="none"/>
        </w:rPr>
      </w:pP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一、本章所制投标文件格式，除格式中明确将该格式作为实质性要求的，一律不具有强制性。</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二、本章所制投标文件格式有关表格中的备注栏，由投标人根据自身投标情况作解释性说明，不作为必填项。（如果投标人投标文件中已经去掉备注而无其他解释性说明，则视为完全理解并同意备注中的要求）</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三、本章所制投标文件格式中需要填写的相关内容事项，可能会与本采购项目无关，在不改变投标文件原义、不影响本项目采购需求的情况下，投标人可以不予填写，但应当注明。</w:t>
      </w:r>
    </w:p>
    <w:p>
      <w:pPr>
        <w:pStyle w:val="4"/>
        <w:keepNext w:val="0"/>
        <w:keepLines w:val="0"/>
        <w:spacing w:before="0" w:after="160" w:line="360" w:lineRule="auto"/>
        <w:ind w:firstLine="480" w:firstLineChars="200"/>
        <w:rPr>
          <w:rFonts w:ascii="仿宋" w:hAnsi="仿宋" w:eastAsia="仿宋" w:cs="仿宋"/>
          <w:b w:val="0"/>
          <w:bCs w:val="0"/>
          <w:sz w:val="24"/>
          <w:highlight w:val="none"/>
        </w:rPr>
      </w:pPr>
      <w:r>
        <w:rPr>
          <w:rFonts w:hint="eastAsia" w:ascii="仿宋" w:hAnsi="仿宋" w:eastAsia="仿宋" w:cs="仿宋"/>
          <w:b w:val="0"/>
          <w:bCs w:val="0"/>
          <w:sz w:val="24"/>
          <w:highlight w:val="none"/>
        </w:rPr>
        <w:t>四、</w:t>
      </w:r>
      <w:r>
        <w:rPr>
          <w:rFonts w:hint="eastAsia" w:ascii="仿宋" w:hAnsi="仿宋" w:eastAsia="仿宋"/>
          <w:b/>
          <w:bCs/>
          <w:sz w:val="24"/>
          <w:highlight w:val="none"/>
        </w:rPr>
        <w:t>提示本章中格式封面，盖章为实质性要求，格式内容不作实质性要求。按照招标文件第二章</w:t>
      </w:r>
      <w:r>
        <w:rPr>
          <w:rFonts w:hint="eastAsia" w:ascii="仿宋" w:hAnsi="仿宋" w:eastAsia="仿宋"/>
          <w:b/>
          <w:bCs/>
          <w:sz w:val="24"/>
          <w:highlight w:val="none"/>
          <w:lang w:eastAsia="zh-CN"/>
        </w:rPr>
        <w:t>第</w:t>
      </w:r>
      <w:r>
        <w:rPr>
          <w:rFonts w:hint="eastAsia" w:ascii="仿宋" w:hAnsi="仿宋" w:eastAsia="仿宋"/>
          <w:b/>
          <w:bCs/>
          <w:sz w:val="24"/>
          <w:highlight w:val="none"/>
          <w:lang w:val="en-US" w:eastAsia="zh-CN"/>
        </w:rPr>
        <w:t>18条</w:t>
      </w:r>
      <w:r>
        <w:rPr>
          <w:rFonts w:hint="eastAsia" w:ascii="仿宋" w:hAnsi="仿宋" w:eastAsia="仿宋"/>
          <w:b/>
          <w:bCs/>
          <w:sz w:val="24"/>
          <w:highlight w:val="none"/>
        </w:rPr>
        <w:t>要求，加盖投标人（法定名称）</w:t>
      </w:r>
      <w:r>
        <w:rPr>
          <w:rFonts w:hint="eastAsia" w:ascii="仿宋" w:hAnsi="仿宋" w:eastAsia="仿宋"/>
          <w:b/>
          <w:bCs/>
          <w:sz w:val="24"/>
          <w:highlight w:val="none"/>
          <w:lang w:eastAsia="zh-CN"/>
        </w:rPr>
        <w:t>公章</w:t>
      </w:r>
      <w:r>
        <w:rPr>
          <w:rFonts w:hint="eastAsia" w:ascii="仿宋" w:hAnsi="仿宋" w:eastAsia="仿宋"/>
          <w:b/>
          <w:bCs/>
          <w:sz w:val="24"/>
          <w:highlight w:val="none"/>
        </w:rPr>
        <w:t>。</w:t>
      </w:r>
    </w:p>
    <w:p>
      <w:pPr>
        <w:jc w:val="left"/>
        <w:rPr>
          <w:rFonts w:ascii="仿宋" w:hAnsi="仿宋" w:eastAsia="仿宋" w:cs="仿宋"/>
          <w:bCs/>
          <w:sz w:val="24"/>
          <w:highlight w:val="none"/>
        </w:rPr>
      </w:pPr>
      <w:r>
        <w:rPr>
          <w:rFonts w:hint="eastAsia" w:ascii="仿宋" w:hAnsi="仿宋" w:eastAsia="仿宋" w:cs="仿宋"/>
          <w:b/>
          <w:sz w:val="32"/>
          <w:szCs w:val="32"/>
          <w:highlight w:val="none"/>
        </w:rPr>
        <w:br w:type="page"/>
      </w:r>
      <w:r>
        <w:rPr>
          <w:rFonts w:hint="eastAsia" w:ascii="仿宋" w:hAnsi="仿宋" w:eastAsia="仿宋" w:cs="仿宋"/>
          <w:bCs/>
          <w:sz w:val="24"/>
          <w:highlight w:val="none"/>
        </w:rPr>
        <w:t>附件：密封袋的格式</w:t>
      </w:r>
    </w:p>
    <w:p>
      <w:pPr>
        <w:jc w:val="left"/>
        <w:rPr>
          <w:rFonts w:ascii="仿宋" w:hAnsi="仿宋" w:eastAsia="仿宋" w:cs="仿宋"/>
          <w:bCs/>
          <w:sz w:val="24"/>
          <w:highlight w:val="none"/>
        </w:rPr>
      </w:pPr>
    </w:p>
    <w:p>
      <w:pPr>
        <w:pBdr>
          <w:top w:val="single" w:color="000000" w:sz="4" w:space="0"/>
          <w:left w:val="single" w:color="000000" w:sz="4" w:space="0"/>
          <w:bottom w:val="single" w:color="000000" w:sz="4" w:space="0"/>
          <w:right w:val="single" w:color="000000" w:sz="4" w:space="0"/>
        </w:pBdr>
        <w:jc w:val="left"/>
        <w:rPr>
          <w:rFonts w:ascii="仿宋" w:hAnsi="仿宋" w:eastAsia="仿宋" w:cs="仿宋"/>
          <w:bCs/>
          <w:sz w:val="24"/>
          <w:highlight w:val="none"/>
        </w:rPr>
      </w:pPr>
    </w:p>
    <w:p>
      <w:pPr>
        <w:pBdr>
          <w:top w:val="single" w:color="000000" w:sz="4" w:space="0"/>
          <w:left w:val="single" w:color="000000" w:sz="4" w:space="0"/>
          <w:bottom w:val="single" w:color="000000" w:sz="4" w:space="0"/>
          <w:right w:val="single" w:color="000000" w:sz="4" w:space="0"/>
        </w:pBdr>
        <w:jc w:val="left"/>
        <w:rPr>
          <w:rFonts w:ascii="仿宋" w:hAnsi="仿宋" w:eastAsia="仿宋" w:cs="仿宋"/>
          <w:bCs/>
          <w:sz w:val="24"/>
          <w:highlight w:val="none"/>
        </w:rPr>
      </w:pP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ascii="仿宋" w:hAnsi="仿宋" w:eastAsia="仿宋" w:cs="仿宋"/>
          <w:bCs/>
          <w:sz w:val="24"/>
          <w:highlight w:val="none"/>
          <w:u w:val="single"/>
        </w:rPr>
      </w:pPr>
      <w:r>
        <w:rPr>
          <w:rFonts w:hint="eastAsia" w:ascii="仿宋" w:hAnsi="仿宋" w:eastAsia="仿宋" w:cs="仿宋"/>
          <w:bCs/>
          <w:sz w:val="24"/>
          <w:highlight w:val="none"/>
        </w:rPr>
        <w:t>采购项目编号：</w:t>
      </w:r>
      <w:r>
        <w:rPr>
          <w:rFonts w:hint="eastAsia" w:ascii="华文仿宋" w:hAnsi="华文仿宋" w:eastAsia="华文仿宋" w:cs="华文仿宋"/>
          <w:sz w:val="24"/>
          <w:highlight w:val="none"/>
          <w:u w:val="single"/>
          <w:lang w:val="en-US" w:eastAsia="zh-CN"/>
        </w:rPr>
        <w:t xml:space="preserve">                          </w:t>
      </w: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ascii="仿宋" w:hAnsi="仿宋" w:eastAsia="仿宋" w:cs="仿宋"/>
          <w:bCs/>
          <w:sz w:val="24"/>
          <w:highlight w:val="none"/>
          <w:u w:val="single"/>
        </w:rPr>
      </w:pPr>
      <w:r>
        <w:rPr>
          <w:rFonts w:hint="eastAsia" w:ascii="仿宋" w:hAnsi="仿宋" w:eastAsia="仿宋" w:cs="仿宋"/>
          <w:bCs/>
          <w:sz w:val="24"/>
          <w:highlight w:val="none"/>
        </w:rPr>
        <w:t>采购项目名称：</w:t>
      </w:r>
      <w:r>
        <w:rPr>
          <w:rFonts w:hint="eastAsia" w:ascii="华文仿宋" w:hAnsi="华文仿宋" w:eastAsia="华文仿宋" w:cs="华文仿宋"/>
          <w:sz w:val="24"/>
          <w:highlight w:val="none"/>
          <w:u w:val="single"/>
          <w:lang w:val="en-US" w:eastAsia="zh-CN"/>
        </w:rPr>
        <w:t xml:space="preserve">                          </w:t>
      </w:r>
    </w:p>
    <w:p>
      <w:pPr>
        <w:pBdr>
          <w:top w:val="single" w:color="000000" w:sz="4" w:space="0"/>
          <w:left w:val="single" w:color="000000" w:sz="4" w:space="0"/>
          <w:bottom w:val="single" w:color="000000" w:sz="4" w:space="0"/>
          <w:right w:val="single" w:color="000000" w:sz="4" w:space="0"/>
        </w:pBdr>
        <w:spacing w:line="480" w:lineRule="auto"/>
        <w:jc w:val="left"/>
        <w:rPr>
          <w:rFonts w:ascii="仿宋" w:hAnsi="仿宋" w:eastAsia="仿宋" w:cs="仿宋"/>
          <w:bCs/>
          <w:sz w:val="24"/>
          <w:highlight w:val="none"/>
        </w:rPr>
      </w:pPr>
    </w:p>
    <w:p>
      <w:pPr>
        <w:pBdr>
          <w:top w:val="single" w:color="000000" w:sz="4" w:space="0"/>
          <w:left w:val="single" w:color="000000" w:sz="4" w:space="0"/>
          <w:bottom w:val="single" w:color="000000" w:sz="4" w:space="0"/>
          <w:right w:val="single" w:color="000000" w:sz="4" w:space="0"/>
        </w:pBdr>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资格性投标文件/其他投标文件/开标一览表/电子文档</w:t>
      </w:r>
    </w:p>
    <w:p>
      <w:pPr>
        <w:pBdr>
          <w:top w:val="single" w:color="000000" w:sz="4" w:space="0"/>
          <w:left w:val="single" w:color="000000" w:sz="4" w:space="0"/>
          <w:bottom w:val="single" w:color="000000" w:sz="4" w:space="0"/>
          <w:right w:val="single" w:color="000000" w:sz="4" w:space="0"/>
        </w:pBdr>
        <w:spacing w:line="480" w:lineRule="auto"/>
        <w:jc w:val="center"/>
        <w:rPr>
          <w:rFonts w:ascii="仿宋" w:hAnsi="仿宋" w:eastAsia="仿宋" w:cs="仿宋"/>
          <w:b/>
          <w:sz w:val="36"/>
          <w:szCs w:val="36"/>
          <w:highlight w:val="none"/>
        </w:rPr>
      </w:pP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ascii="仿宋" w:hAnsi="仿宋" w:eastAsia="仿宋" w:cs="仿宋"/>
          <w:bCs/>
          <w:sz w:val="24"/>
          <w:highlight w:val="none"/>
          <w:u w:val="single"/>
        </w:rPr>
      </w:pPr>
      <w:r>
        <w:rPr>
          <w:rFonts w:hint="eastAsia" w:ascii="仿宋" w:hAnsi="仿宋" w:eastAsia="仿宋" w:cs="仿宋"/>
          <w:bCs/>
          <w:sz w:val="24"/>
          <w:highlight w:val="none"/>
        </w:rPr>
        <w:t>投标人名称：</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eastAsia="zh-CN"/>
        </w:rPr>
        <w:t>公章</w:t>
      </w:r>
      <w:r>
        <w:rPr>
          <w:rFonts w:hint="eastAsia" w:ascii="仿宋" w:hAnsi="仿宋" w:eastAsia="仿宋" w:cs="仿宋"/>
          <w:bCs/>
          <w:sz w:val="24"/>
          <w:highlight w:val="none"/>
          <w:u w:val="single"/>
        </w:rPr>
        <w:t>）</w:t>
      </w: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ascii="仿宋" w:hAnsi="仿宋" w:eastAsia="仿宋" w:cs="仿宋"/>
          <w:bCs/>
          <w:sz w:val="24"/>
          <w:highlight w:val="none"/>
        </w:rPr>
      </w:pPr>
      <w:r>
        <w:rPr>
          <w:rFonts w:hint="eastAsia" w:ascii="仿宋" w:hAnsi="仿宋" w:eastAsia="仿宋" w:cs="仿宋"/>
          <w:bCs/>
          <w:sz w:val="24"/>
          <w:highlight w:val="none"/>
        </w:rPr>
        <w:t>开标时间之前不准启封</w:t>
      </w: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ascii="仿宋" w:hAnsi="仿宋" w:eastAsia="仿宋" w:cs="仿宋"/>
          <w:bCs/>
          <w:sz w:val="24"/>
          <w:highlight w:val="none"/>
        </w:rPr>
      </w:pPr>
      <w:r>
        <w:rPr>
          <w:rFonts w:hint="eastAsia" w:ascii="仿宋" w:hAnsi="仿宋" w:eastAsia="仿宋" w:cs="仿宋"/>
          <w:bCs/>
          <w:sz w:val="24"/>
          <w:highlight w:val="none"/>
        </w:rPr>
        <w:t>或2021年</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日</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时 分前不准启封</w:t>
      </w:r>
    </w:p>
    <w:p>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r>
        <w:rPr>
          <w:rFonts w:ascii="仿宋" w:hAnsi="仿宋" w:eastAsia="仿宋" w:cs="仿宋"/>
          <w:sz w:val="24"/>
          <w:highlight w:val="none"/>
        </w:rPr>
        <mc:AlternateContent>
          <mc:Choice Requires="wps">
            <w:drawing>
              <wp:anchor distT="0" distB="0" distL="114300" distR="114300" simplePos="0" relativeHeight="251659264" behindDoc="0" locked="0" layoutInCell="1" allowOverlap="1">
                <wp:simplePos x="0" y="0"/>
                <wp:positionH relativeFrom="column">
                  <wp:posOffset>4846320</wp:posOffset>
                </wp:positionH>
                <wp:positionV relativeFrom="paragraph">
                  <wp:posOffset>-86360</wp:posOffset>
                </wp:positionV>
                <wp:extent cx="1234440" cy="356870"/>
                <wp:effectExtent l="4445" t="4445" r="18415" b="19685"/>
                <wp:wrapNone/>
                <wp:docPr id="5" name="文本框 5"/>
                <wp:cNvGraphicFramePr/>
                <a:graphic xmlns:a="http://schemas.openxmlformats.org/drawingml/2006/main">
                  <a:graphicData uri="http://schemas.microsoft.com/office/word/2010/wordprocessingShape">
                    <wps:wsp>
                      <wps:cNvSpPr txBox="1"/>
                      <wps:spPr>
                        <a:xfrm>
                          <a:off x="0" y="0"/>
                          <a:ext cx="1234440"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32"/>
                                <w:szCs w:val="40"/>
                              </w:rPr>
                            </w:pPr>
                            <w:r>
                              <w:rPr>
                                <w:rFonts w:hint="eastAsia"/>
                                <w:b/>
                                <w:bCs/>
                                <w:sz w:val="32"/>
                                <w:szCs w:val="40"/>
                              </w:rPr>
                              <w:t>正本或副本</w:t>
                            </w:r>
                          </w:p>
                        </w:txbxContent>
                      </wps:txbx>
                      <wps:bodyPr upright="1"/>
                    </wps:wsp>
                  </a:graphicData>
                </a:graphic>
              </wp:anchor>
            </w:drawing>
          </mc:Choice>
          <mc:Fallback>
            <w:pict>
              <v:shape id="_x0000_s1026" o:spid="_x0000_s1026" o:spt="202" type="#_x0000_t202" style="position:absolute;left:0pt;margin-left:381.6pt;margin-top:-6.8pt;height:28.1pt;width:97.2pt;z-index:251659264;mso-width-relative:page;mso-height-relative:page;" fillcolor="#FFFFFF" filled="t" stroked="t" coordsize="21600,21600" o:gfxdata="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JvT0DaAAAACgEAAA8AAAAA&#10;AAAAAQAgAAAAIgAAAGRycy9kb3ducmV2LnhtbFBLAQIUABQAAAAIAIdO4kAsq1DeEgIAAEQEAAAO&#10;AAAAAAAAAAEAIAAAACkBAABkcnMvZTJvRG9jLnhtbFBLBQYAAAAABgAGAFkBAACtBQAAAAA=&#10;">
                <v:fill on="t" focussize="0,0"/>
                <v:stroke color="#000000" joinstyle="miter"/>
                <v:imagedata o:title=""/>
                <o:lock v:ext="edit" aspectratio="f"/>
                <v:textbox>
                  <w:txbxContent>
                    <w:p>
                      <w:pPr>
                        <w:rPr>
                          <w:sz w:val="32"/>
                          <w:szCs w:val="40"/>
                        </w:rPr>
                      </w:pPr>
                      <w:r>
                        <w:rPr>
                          <w:rFonts w:hint="eastAsia"/>
                          <w:b/>
                          <w:bCs/>
                          <w:sz w:val="32"/>
                          <w:szCs w:val="40"/>
                        </w:rPr>
                        <w:t>正本或副本</w:t>
                      </w:r>
                    </w:p>
                  </w:txbxContent>
                </v:textbox>
              </v:shape>
            </w:pict>
          </mc:Fallback>
        </mc:AlternateContent>
      </w:r>
      <w:r>
        <w:rPr>
          <w:rFonts w:hint="eastAsia" w:ascii="仿宋" w:hAnsi="仿宋" w:eastAsia="仿宋" w:cs="仿宋"/>
          <w:bCs/>
          <w:sz w:val="24"/>
          <w:highlight w:val="none"/>
        </w:rPr>
        <w:t>投标文件封面格式</w:t>
      </w:r>
    </w:p>
    <w:p>
      <w:pPr>
        <w:rPr>
          <w:rFonts w:ascii="仿宋" w:hAnsi="仿宋" w:eastAsia="仿宋" w:cs="仿宋"/>
          <w:b/>
          <w:sz w:val="52"/>
          <w:szCs w:val="52"/>
          <w:highlight w:val="none"/>
        </w:rPr>
      </w:pPr>
    </w:p>
    <w:p>
      <w:pPr>
        <w:pStyle w:val="2"/>
        <w:rPr>
          <w:rFonts w:ascii="仿宋" w:hAnsi="仿宋" w:eastAsia="仿宋" w:cs="仿宋"/>
          <w:highlight w:val="none"/>
        </w:rPr>
      </w:pPr>
    </w:p>
    <w:p>
      <w:pPr>
        <w:pStyle w:val="2"/>
        <w:rPr>
          <w:rFonts w:ascii="仿宋" w:hAnsi="仿宋" w:eastAsia="仿宋" w:cs="仿宋"/>
          <w:b/>
          <w:sz w:val="52"/>
          <w:szCs w:val="52"/>
          <w:highlight w:val="none"/>
        </w:rPr>
      </w:pPr>
    </w:p>
    <w:p>
      <w:pPr>
        <w:rPr>
          <w:rFonts w:ascii="仿宋" w:hAnsi="仿宋" w:eastAsia="仿宋" w:cs="仿宋"/>
          <w:b/>
          <w:sz w:val="52"/>
          <w:szCs w:val="52"/>
          <w:highlight w:val="none"/>
        </w:rPr>
      </w:pPr>
    </w:p>
    <w:p>
      <w:pPr>
        <w:pStyle w:val="2"/>
        <w:rPr>
          <w:rFonts w:ascii="仿宋" w:hAnsi="仿宋" w:eastAsia="仿宋" w:cs="仿宋"/>
          <w:highlight w:val="none"/>
        </w:rPr>
      </w:pPr>
    </w:p>
    <w:p>
      <w:pPr>
        <w:spacing w:line="360" w:lineRule="auto"/>
        <w:jc w:val="center"/>
        <w:rPr>
          <w:rFonts w:ascii="仿宋" w:hAnsi="仿宋" w:eastAsia="仿宋" w:cs="仿宋"/>
          <w:b/>
          <w:sz w:val="32"/>
          <w:szCs w:val="32"/>
          <w:highlight w:val="none"/>
        </w:rPr>
      </w:pPr>
      <w:r>
        <w:rPr>
          <w:rFonts w:hint="eastAsia" w:ascii="仿宋" w:hAnsi="仿宋" w:eastAsia="仿宋" w:cs="仿宋"/>
          <w:b/>
          <w:sz w:val="52"/>
          <w:szCs w:val="52"/>
          <w:highlight w:val="none"/>
        </w:rPr>
        <w:t>资格性投标文件/其他投标文件</w:t>
      </w:r>
    </w:p>
    <w:p>
      <w:pPr>
        <w:pStyle w:val="2"/>
        <w:rPr>
          <w:rFonts w:ascii="仿宋" w:hAnsi="仿宋" w:eastAsia="仿宋" w:cs="仿宋"/>
          <w:b/>
          <w:sz w:val="32"/>
          <w:highlight w:val="none"/>
        </w:rPr>
      </w:pPr>
    </w:p>
    <w:p>
      <w:pPr>
        <w:rPr>
          <w:rFonts w:ascii="仿宋" w:hAnsi="仿宋" w:eastAsia="仿宋" w:cs="仿宋"/>
          <w:b/>
          <w:sz w:val="32"/>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36"/>
        <w:rPr>
          <w:rFonts w:ascii="仿宋" w:hAnsi="仿宋" w:eastAsia="仿宋" w:cs="仿宋"/>
          <w:highlight w:val="none"/>
        </w:rPr>
      </w:pPr>
    </w:p>
    <w:p>
      <w:pPr>
        <w:pStyle w:val="2"/>
        <w:rPr>
          <w:rFonts w:ascii="仿宋" w:hAnsi="仿宋" w:eastAsia="仿宋" w:cs="仿宋"/>
          <w:b/>
          <w:sz w:val="32"/>
          <w:highlight w:val="none"/>
        </w:rPr>
      </w:pPr>
    </w:p>
    <w:p>
      <w:pPr>
        <w:rPr>
          <w:rFonts w:ascii="仿宋" w:hAnsi="仿宋" w:eastAsia="仿宋" w:cs="仿宋"/>
          <w:highlight w:val="none"/>
        </w:rPr>
      </w:pPr>
    </w:p>
    <w:p>
      <w:pPr>
        <w:spacing w:line="480" w:lineRule="auto"/>
        <w:ind w:firstLine="2570" w:firstLineChars="800"/>
        <w:rPr>
          <w:rFonts w:ascii="仿宋" w:hAnsi="仿宋" w:eastAsia="仿宋" w:cs="仿宋"/>
          <w:b/>
          <w:sz w:val="36"/>
          <w:highlight w:val="none"/>
          <w:u w:val="single"/>
        </w:rPr>
      </w:pPr>
      <w:r>
        <w:rPr>
          <w:rFonts w:hint="eastAsia" w:ascii="仿宋" w:hAnsi="仿宋" w:eastAsia="仿宋" w:cs="仿宋"/>
          <w:b/>
          <w:sz w:val="32"/>
          <w:highlight w:val="none"/>
        </w:rPr>
        <w:t>采购项目名称：</w:t>
      </w:r>
      <w:r>
        <w:rPr>
          <w:rFonts w:hint="eastAsia" w:ascii="华文仿宋" w:hAnsi="华文仿宋" w:eastAsia="华文仿宋" w:cs="华文仿宋"/>
          <w:bCs/>
          <w:sz w:val="24"/>
          <w:highlight w:val="none"/>
          <w:u w:val="single"/>
          <w:lang w:val="en-US" w:eastAsia="zh-CN"/>
        </w:rPr>
        <w:t xml:space="preserve">                     </w:t>
      </w:r>
    </w:p>
    <w:p>
      <w:pPr>
        <w:spacing w:line="480" w:lineRule="auto"/>
        <w:ind w:firstLine="2570" w:firstLineChars="800"/>
        <w:rPr>
          <w:rFonts w:ascii="仿宋" w:hAnsi="仿宋" w:eastAsia="仿宋" w:cs="仿宋"/>
          <w:b/>
          <w:sz w:val="32"/>
          <w:highlight w:val="none"/>
          <w:u w:val="single"/>
        </w:rPr>
      </w:pPr>
      <w:r>
        <w:rPr>
          <w:rFonts w:hint="eastAsia" w:ascii="仿宋" w:hAnsi="仿宋" w:eastAsia="仿宋" w:cs="仿宋"/>
          <w:b/>
          <w:sz w:val="32"/>
          <w:highlight w:val="none"/>
        </w:rPr>
        <w:t>采购项目编号：</w:t>
      </w:r>
      <w:r>
        <w:rPr>
          <w:rFonts w:hint="eastAsia" w:ascii="华文仿宋" w:hAnsi="华文仿宋" w:eastAsia="华文仿宋" w:cs="华文仿宋"/>
          <w:bCs/>
          <w:sz w:val="24"/>
          <w:highlight w:val="none"/>
          <w:u w:val="single"/>
          <w:lang w:val="en-US" w:eastAsia="zh-CN"/>
        </w:rPr>
        <w:t xml:space="preserve">                     </w:t>
      </w:r>
    </w:p>
    <w:p>
      <w:pPr>
        <w:spacing w:line="480" w:lineRule="auto"/>
        <w:ind w:firstLine="2570" w:firstLineChars="800"/>
        <w:rPr>
          <w:rFonts w:ascii="仿宋" w:hAnsi="仿宋" w:eastAsia="仿宋" w:cs="仿宋"/>
          <w:b/>
          <w:sz w:val="36"/>
          <w:highlight w:val="none"/>
        </w:rPr>
      </w:pPr>
      <w:r>
        <w:rPr>
          <w:rFonts w:hint="eastAsia" w:ascii="仿宋" w:hAnsi="仿宋" w:eastAsia="仿宋" w:cs="仿宋"/>
          <w:b/>
          <w:sz w:val="32"/>
          <w:highlight w:val="none"/>
        </w:rPr>
        <w:t>投标人名称：</w:t>
      </w:r>
      <w:r>
        <w:rPr>
          <w:rFonts w:hint="eastAsia" w:ascii="仿宋" w:hAnsi="仿宋" w:eastAsia="仿宋" w:cs="仿宋"/>
          <w:b/>
          <w:sz w:val="32"/>
          <w:highlight w:val="none"/>
          <w:u w:val="single"/>
        </w:rPr>
        <w:t xml:space="preserve">               （</w:t>
      </w:r>
      <w:r>
        <w:rPr>
          <w:rFonts w:hint="eastAsia" w:ascii="仿宋" w:hAnsi="仿宋" w:eastAsia="仿宋" w:cs="仿宋"/>
          <w:b/>
          <w:sz w:val="32"/>
          <w:highlight w:val="none"/>
          <w:u w:val="single"/>
          <w:lang w:eastAsia="zh-CN"/>
        </w:rPr>
        <w:t>公章</w:t>
      </w:r>
      <w:r>
        <w:rPr>
          <w:rFonts w:hint="eastAsia" w:ascii="仿宋" w:hAnsi="仿宋" w:eastAsia="仿宋" w:cs="仿宋"/>
          <w:b/>
          <w:sz w:val="32"/>
          <w:highlight w:val="none"/>
          <w:u w:val="single"/>
        </w:rPr>
        <w:t xml:space="preserve">） </w:t>
      </w:r>
    </w:p>
    <w:p>
      <w:pPr>
        <w:spacing w:line="480" w:lineRule="auto"/>
        <w:ind w:firstLine="2570" w:firstLineChars="800"/>
        <w:rPr>
          <w:rFonts w:ascii="仿宋" w:hAnsi="仿宋" w:eastAsia="仿宋" w:cs="仿宋"/>
          <w:b/>
          <w:sz w:val="32"/>
          <w:szCs w:val="32"/>
          <w:highlight w:val="none"/>
          <w:u w:val="single"/>
        </w:rPr>
      </w:pPr>
      <w:r>
        <w:rPr>
          <w:rFonts w:hint="eastAsia" w:ascii="仿宋" w:hAnsi="仿宋" w:eastAsia="仿宋" w:cs="仿宋"/>
          <w:b/>
          <w:sz w:val="32"/>
          <w:highlight w:val="none"/>
        </w:rPr>
        <w:t>日      期：</w:t>
      </w:r>
      <w:r>
        <w:rPr>
          <w:rFonts w:hint="eastAsia" w:ascii="华文仿宋" w:hAnsi="华文仿宋" w:eastAsia="华文仿宋" w:cs="华文仿宋"/>
          <w:bCs/>
          <w:sz w:val="24"/>
          <w:highlight w:val="none"/>
          <w:u w:val="single"/>
          <w:lang w:val="en-US" w:eastAsia="zh-CN"/>
        </w:rPr>
        <w:t xml:space="preserve">                     </w:t>
      </w:r>
    </w:p>
    <w:p>
      <w:pPr>
        <w:jc w:val="center"/>
        <w:rPr>
          <w:rFonts w:ascii="仿宋" w:hAnsi="仿宋" w:eastAsia="仿宋" w:cs="仿宋"/>
          <w:bCs/>
          <w:sz w:val="24"/>
          <w:highlight w:val="none"/>
        </w:rPr>
      </w:pPr>
      <w:r>
        <w:rPr>
          <w:rFonts w:hint="eastAsia" w:ascii="仿宋" w:hAnsi="仿宋" w:eastAsia="仿宋" w:cs="仿宋"/>
          <w:bCs/>
          <w:sz w:val="24"/>
          <w:highlight w:val="none"/>
        </w:rPr>
        <w:br w:type="page"/>
      </w:r>
      <w:r>
        <w:rPr>
          <w:rFonts w:hint="eastAsia" w:ascii="仿宋" w:hAnsi="仿宋" w:eastAsia="仿宋" w:cs="仿宋"/>
          <w:b/>
          <w:sz w:val="32"/>
          <w:szCs w:val="32"/>
          <w:highlight w:val="none"/>
        </w:rPr>
        <w:t>开标一览表</w:t>
      </w:r>
    </w:p>
    <w:p>
      <w:pPr>
        <w:pStyle w:val="2"/>
        <w:rPr>
          <w:rFonts w:ascii="仿宋" w:hAnsi="仿宋" w:eastAsia="仿宋" w:cs="仿宋"/>
          <w:highlight w:val="none"/>
        </w:rPr>
      </w:pPr>
    </w:p>
    <w:p>
      <w:pPr>
        <w:pStyle w:val="2"/>
        <w:rPr>
          <w:rFonts w:ascii="仿宋" w:hAnsi="仿宋" w:eastAsia="仿宋" w:cs="仿宋"/>
          <w:highlight w:val="none"/>
        </w:rPr>
      </w:pPr>
    </w:p>
    <w:p>
      <w:pPr>
        <w:spacing w:line="480" w:lineRule="auto"/>
        <w:rPr>
          <w:rFonts w:ascii="仿宋" w:hAnsi="仿宋" w:eastAsia="仿宋" w:cs="仿宋"/>
          <w:bCs/>
          <w:sz w:val="24"/>
          <w:highlight w:val="none"/>
          <w:u w:val="single"/>
        </w:rPr>
      </w:pPr>
      <w:r>
        <w:rPr>
          <w:rFonts w:hint="eastAsia" w:ascii="仿宋" w:hAnsi="仿宋" w:eastAsia="仿宋" w:cs="仿宋"/>
          <w:bCs/>
          <w:sz w:val="24"/>
          <w:highlight w:val="none"/>
        </w:rPr>
        <w:t>采购项目名称：</w:t>
      </w:r>
      <w:r>
        <w:rPr>
          <w:rFonts w:hint="eastAsia" w:ascii="华文仿宋" w:hAnsi="华文仿宋" w:eastAsia="华文仿宋" w:cs="华文仿宋"/>
          <w:bCs/>
          <w:sz w:val="24"/>
          <w:highlight w:val="none"/>
          <w:u w:val="single"/>
          <w:lang w:val="en-US" w:eastAsia="zh-CN"/>
        </w:rPr>
        <w:t xml:space="preserve">                     </w:t>
      </w:r>
    </w:p>
    <w:p>
      <w:pPr>
        <w:spacing w:line="480" w:lineRule="auto"/>
        <w:rPr>
          <w:rFonts w:ascii="仿宋" w:hAnsi="仿宋" w:eastAsia="仿宋" w:cs="仿宋"/>
          <w:bCs/>
          <w:sz w:val="24"/>
          <w:highlight w:val="none"/>
          <w:u w:val="single"/>
        </w:rPr>
      </w:pPr>
      <w:r>
        <w:rPr>
          <w:rFonts w:hint="eastAsia" w:ascii="仿宋" w:hAnsi="仿宋" w:eastAsia="仿宋" w:cs="仿宋"/>
          <w:bCs/>
          <w:sz w:val="24"/>
          <w:highlight w:val="none"/>
        </w:rPr>
        <w:t>采购项目编号：</w:t>
      </w:r>
      <w:r>
        <w:rPr>
          <w:rFonts w:hint="eastAsia" w:ascii="华文仿宋" w:hAnsi="华文仿宋" w:eastAsia="华文仿宋" w:cs="华文仿宋"/>
          <w:bCs/>
          <w:sz w:val="24"/>
          <w:highlight w:val="none"/>
          <w:u w:val="single"/>
          <w:lang w:val="en-US" w:eastAsia="zh-CN"/>
        </w:rPr>
        <w:t xml:space="preserve">                     </w:t>
      </w:r>
    </w:p>
    <w:tbl>
      <w:tblPr>
        <w:tblStyle w:val="15"/>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574"/>
        <w:gridCol w:w="2659"/>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4" w:type="dxa"/>
            <w:noWrap w:val="0"/>
            <w:vAlign w:val="center"/>
          </w:tcPr>
          <w:p>
            <w:pPr>
              <w:rPr>
                <w:rFonts w:hint="eastAsia" w:ascii="仿宋" w:hAnsi="仿宋" w:eastAsia="仿宋" w:cs="仿宋"/>
                <w:highlight w:val="none"/>
              </w:rPr>
            </w:pPr>
            <w:r>
              <w:rPr>
                <w:rFonts w:hint="eastAsia" w:ascii="仿宋" w:hAnsi="仿宋" w:eastAsia="仿宋" w:cs="仿宋"/>
                <w:highlight w:val="none"/>
              </w:rPr>
              <w:t>序号</w:t>
            </w:r>
          </w:p>
        </w:tc>
        <w:tc>
          <w:tcPr>
            <w:tcW w:w="2574" w:type="dxa"/>
            <w:noWrap w:val="0"/>
            <w:vAlign w:val="center"/>
          </w:tcPr>
          <w:p>
            <w:pPr>
              <w:rPr>
                <w:rFonts w:hint="eastAsia" w:ascii="仿宋" w:hAnsi="仿宋" w:eastAsia="仿宋" w:cs="仿宋"/>
                <w:highlight w:val="none"/>
              </w:rPr>
            </w:pPr>
            <w:r>
              <w:rPr>
                <w:rFonts w:hint="eastAsia" w:ascii="仿宋" w:hAnsi="仿宋" w:eastAsia="仿宋" w:cs="仿宋"/>
                <w:highlight w:val="none"/>
                <w:lang w:val="en-US" w:eastAsia="zh-CN"/>
              </w:rPr>
              <w:t>服务内容</w:t>
            </w:r>
          </w:p>
        </w:tc>
        <w:tc>
          <w:tcPr>
            <w:tcW w:w="2659" w:type="dxa"/>
            <w:noWrap w:val="0"/>
            <w:vAlign w:val="center"/>
          </w:tcPr>
          <w:p>
            <w:pPr>
              <w:rPr>
                <w:rFonts w:hint="eastAsia" w:ascii="仿宋" w:hAnsi="仿宋" w:eastAsia="仿宋" w:cs="仿宋"/>
                <w:highlight w:val="none"/>
              </w:rPr>
            </w:pPr>
            <w:r>
              <w:rPr>
                <w:rFonts w:hint="eastAsia" w:ascii="仿宋" w:hAnsi="仿宋" w:eastAsia="仿宋" w:cs="仿宋"/>
                <w:highlight w:val="none"/>
                <w:lang w:eastAsia="zh-CN"/>
              </w:rPr>
              <w:t>完成时间</w:t>
            </w:r>
          </w:p>
        </w:tc>
        <w:tc>
          <w:tcPr>
            <w:tcW w:w="3441" w:type="dxa"/>
            <w:noWrap w:val="0"/>
            <w:vAlign w:val="center"/>
          </w:tcPr>
          <w:p>
            <w:pPr>
              <w:rPr>
                <w:rFonts w:hint="eastAsia" w:ascii="仿宋" w:hAnsi="仿宋" w:eastAsia="仿宋" w:cs="仿宋"/>
                <w:highlight w:val="none"/>
                <w:lang w:eastAsia="zh-CN"/>
              </w:rPr>
            </w:pPr>
            <w:r>
              <w:rPr>
                <w:rFonts w:hint="eastAsia" w:ascii="仿宋" w:hAnsi="仿宋" w:eastAsia="仿宋" w:cs="仿宋"/>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4" w:type="dxa"/>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2574" w:type="dxa"/>
            <w:noWrap w:val="0"/>
            <w:vAlign w:val="center"/>
          </w:tcPr>
          <w:p>
            <w:pPr>
              <w:rPr>
                <w:rFonts w:hint="eastAsia" w:ascii="仿宋" w:hAnsi="仿宋" w:eastAsia="仿宋" w:cs="仿宋"/>
                <w:highlight w:val="none"/>
              </w:rPr>
            </w:pPr>
          </w:p>
        </w:tc>
        <w:tc>
          <w:tcPr>
            <w:tcW w:w="2659" w:type="dxa"/>
            <w:noWrap w:val="0"/>
            <w:vAlign w:val="center"/>
          </w:tcPr>
          <w:p>
            <w:pPr>
              <w:rPr>
                <w:rFonts w:hint="eastAsia" w:ascii="仿宋" w:hAnsi="仿宋" w:eastAsia="仿宋" w:cs="仿宋"/>
                <w:highlight w:val="none"/>
              </w:rPr>
            </w:pPr>
          </w:p>
        </w:tc>
        <w:tc>
          <w:tcPr>
            <w:tcW w:w="3441" w:type="dxa"/>
            <w:noWrap w:val="0"/>
            <w:vAlign w:val="center"/>
          </w:tcPr>
          <w:p>
            <w:pP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947" w:type="dxa"/>
            <w:gridSpan w:val="3"/>
            <w:noWrap w:val="0"/>
            <w:vAlign w:val="center"/>
          </w:tcPr>
          <w:p>
            <w:pPr>
              <w:jc w:val="center"/>
              <w:rPr>
                <w:rFonts w:hint="eastAsia" w:ascii="仿宋" w:hAnsi="仿宋" w:eastAsia="仿宋" w:cs="仿宋"/>
                <w:highlight w:val="none"/>
                <w:lang w:eastAsia="zh-CN"/>
              </w:rPr>
            </w:pPr>
            <w:r>
              <w:rPr>
                <w:rFonts w:hint="eastAsia" w:ascii="仿宋" w:hAnsi="仿宋" w:eastAsia="仿宋" w:cs="仿宋"/>
                <w:highlight w:val="none"/>
                <w:lang w:eastAsia="zh-CN"/>
              </w:rPr>
              <w:t>合计（元）</w:t>
            </w:r>
          </w:p>
        </w:tc>
        <w:tc>
          <w:tcPr>
            <w:tcW w:w="3441" w:type="dxa"/>
            <w:noWrap w:val="0"/>
            <w:vAlign w:val="center"/>
          </w:tcPr>
          <w:p>
            <w:pP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388" w:type="dxa"/>
            <w:gridSpan w:val="4"/>
            <w:noWrap w:val="0"/>
            <w:vAlign w:val="center"/>
          </w:tcPr>
          <w:p>
            <w:pPr>
              <w:rPr>
                <w:rFonts w:hint="default" w:ascii="仿宋" w:hAnsi="仿宋" w:eastAsia="仿宋" w:cs="仿宋"/>
                <w:highlight w:val="none"/>
                <w:lang w:val="en-US" w:eastAsia="zh-CN"/>
              </w:rPr>
            </w:pPr>
            <w:r>
              <w:rPr>
                <w:rFonts w:hint="eastAsia" w:ascii="仿宋" w:hAnsi="仿宋" w:eastAsia="仿宋" w:cs="仿宋"/>
                <w:highlight w:val="none"/>
                <w:lang w:val="en-US" w:eastAsia="zh-CN"/>
              </w:rPr>
              <w:t>总价：人民币大写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元</w:t>
            </w:r>
          </w:p>
        </w:tc>
      </w:tr>
    </w:tbl>
    <w:p>
      <w:pPr>
        <w:rPr>
          <w:rFonts w:ascii="仿宋" w:hAnsi="仿宋" w:eastAsia="仿宋" w:cs="仿宋"/>
          <w:highlight w:val="none"/>
        </w:rPr>
      </w:pPr>
    </w:p>
    <w:p>
      <w:pPr>
        <w:spacing w:line="360" w:lineRule="auto"/>
        <w:rPr>
          <w:rFonts w:ascii="仿宋" w:hAnsi="仿宋" w:eastAsia="仿宋" w:cs="仿宋"/>
          <w:highlight w:val="none"/>
        </w:rPr>
      </w:pPr>
      <w:r>
        <w:rPr>
          <w:rFonts w:hint="eastAsia" w:ascii="仿宋" w:hAnsi="仿宋" w:eastAsia="仿宋" w:cs="仿宋"/>
          <w:highlight w:val="none"/>
        </w:rPr>
        <w:t>注：</w:t>
      </w:r>
    </w:p>
    <w:p>
      <w:pPr>
        <w:spacing w:line="360" w:lineRule="auto"/>
        <w:rPr>
          <w:rFonts w:ascii="仿宋" w:hAnsi="仿宋" w:eastAsia="仿宋" w:cs="仿宋"/>
          <w:highlight w:val="none"/>
        </w:rPr>
      </w:pPr>
      <w:r>
        <w:rPr>
          <w:rFonts w:hint="eastAsia" w:ascii="仿宋" w:hAnsi="仿宋" w:eastAsia="仿宋" w:cs="仿宋"/>
          <w:highlight w:val="none"/>
        </w:rPr>
        <w:t>1．报价应是最终用户验收合格后的总价。</w:t>
      </w:r>
    </w:p>
    <w:p>
      <w:pPr>
        <w:spacing w:line="360" w:lineRule="auto"/>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．“开标一览表”为多页的，每页均需加盖投标人公章，否则作无效投标处理。</w:t>
      </w:r>
    </w:p>
    <w:p>
      <w:pPr>
        <w:spacing w:line="360" w:lineRule="auto"/>
        <w:rPr>
          <w:rFonts w:hint="eastAsia" w:ascii="仿宋" w:hAnsi="仿宋" w:eastAsia="仿宋" w:cs="仿宋"/>
          <w:highlight w:val="none"/>
        </w:rPr>
      </w:pPr>
    </w:p>
    <w:p>
      <w:pPr>
        <w:spacing w:line="360" w:lineRule="auto"/>
        <w:rPr>
          <w:rFonts w:ascii="仿宋" w:hAnsi="仿宋" w:eastAsia="仿宋" w:cs="仿宋"/>
          <w:highlight w:val="none"/>
          <w:u w:val="single"/>
        </w:rPr>
      </w:pPr>
      <w:r>
        <w:rPr>
          <w:rFonts w:hint="eastAsia" w:ascii="仿宋" w:hAnsi="仿宋" w:eastAsia="仿宋" w:cs="仿宋"/>
          <w:highlight w:val="none"/>
        </w:rPr>
        <w:t>投标人名称：</w:t>
      </w:r>
      <w:r>
        <w:rPr>
          <w:rFonts w:hint="eastAsia" w:ascii="华文仿宋" w:hAnsi="华文仿宋" w:eastAsia="华文仿宋" w:cs="华文仿宋"/>
          <w:bCs/>
          <w:sz w:val="24"/>
          <w:highlight w:val="none"/>
          <w:u w:val="single"/>
          <w:lang w:val="en-US" w:eastAsia="zh-CN"/>
        </w:rPr>
        <w:t xml:space="preserve">                     </w:t>
      </w:r>
    </w:p>
    <w:p>
      <w:pPr>
        <w:spacing w:line="360" w:lineRule="auto"/>
        <w:rPr>
          <w:rFonts w:ascii="仿宋" w:hAnsi="仿宋" w:eastAsia="仿宋" w:cs="仿宋"/>
          <w:highlight w:val="none"/>
          <w:u w:val="single"/>
        </w:rPr>
      </w:pPr>
      <w:r>
        <w:rPr>
          <w:rFonts w:hint="eastAsia" w:ascii="仿宋" w:hAnsi="仿宋" w:eastAsia="仿宋" w:cs="仿宋"/>
          <w:highlight w:val="none"/>
        </w:rPr>
        <w:t>法定代表人或代理人（签字或加盖印章）：</w:t>
      </w:r>
      <w:r>
        <w:rPr>
          <w:rFonts w:hint="eastAsia" w:ascii="华文仿宋" w:hAnsi="华文仿宋" w:eastAsia="华文仿宋" w:cs="华文仿宋"/>
          <w:bCs/>
          <w:sz w:val="24"/>
          <w:highlight w:val="none"/>
          <w:u w:val="single"/>
          <w:lang w:val="en-US" w:eastAsia="zh-CN"/>
        </w:rPr>
        <w:t xml:space="preserve">                     </w:t>
      </w:r>
    </w:p>
    <w:p>
      <w:pPr>
        <w:spacing w:line="360" w:lineRule="auto"/>
        <w:jc w:val="left"/>
        <w:rPr>
          <w:rFonts w:ascii="仿宋" w:hAnsi="仿宋" w:eastAsia="仿宋" w:cs="仿宋"/>
          <w:highlight w:val="none"/>
          <w:u w:val="single"/>
        </w:rPr>
      </w:pPr>
      <w:r>
        <w:rPr>
          <w:rFonts w:hint="eastAsia" w:ascii="仿宋" w:hAnsi="仿宋" w:eastAsia="仿宋" w:cs="仿宋"/>
          <w:highlight w:val="none"/>
        </w:rPr>
        <w:t>日期:</w:t>
      </w:r>
      <w:r>
        <w:rPr>
          <w:rFonts w:hint="eastAsia" w:ascii="华文仿宋" w:hAnsi="华文仿宋" w:eastAsia="华文仿宋" w:cs="华文仿宋"/>
          <w:bCs/>
          <w:sz w:val="24"/>
          <w:highlight w:val="none"/>
          <w:u w:val="single"/>
          <w:lang w:val="en-US" w:eastAsia="zh-CN"/>
        </w:rPr>
        <w:t xml:space="preserve">                     </w:t>
      </w:r>
      <w:r>
        <w:rPr>
          <w:rFonts w:hint="eastAsia" w:ascii="仿宋" w:hAnsi="仿宋" w:eastAsia="仿宋" w:cs="仿宋"/>
          <w:highlight w:val="none"/>
        </w:rPr>
        <w:t xml:space="preserve"> </w:t>
      </w:r>
    </w:p>
    <w:p>
      <w:pPr>
        <w:spacing w:line="360" w:lineRule="auto"/>
        <w:jc w:val="center"/>
        <w:rPr>
          <w:rFonts w:ascii="仿宋" w:hAnsi="仿宋" w:eastAsia="仿宋" w:cs="仿宋"/>
          <w:highlight w:val="none"/>
        </w:rPr>
      </w:pPr>
    </w:p>
    <w:p>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pPr>
        <w:spacing w:line="360" w:lineRule="auto"/>
        <w:jc w:val="center"/>
        <w:rPr>
          <w:highlight w:val="none"/>
        </w:rPr>
      </w:pPr>
      <w:r>
        <w:rPr>
          <w:rFonts w:hint="eastAsia" w:ascii="仿宋" w:hAnsi="仿宋" w:eastAsia="仿宋" w:cs="仿宋"/>
          <w:b/>
          <w:sz w:val="30"/>
          <w:szCs w:val="30"/>
          <w:highlight w:val="none"/>
        </w:rPr>
        <w:t>“资格性投标文件”格式</w:t>
      </w:r>
      <w:r>
        <w:rPr>
          <w:rFonts w:hint="eastAsia" w:ascii="仿宋" w:hAnsi="仿宋" w:eastAsia="仿宋" w:cs="仿宋"/>
          <w:bCs/>
          <w:highlight w:val="none"/>
        </w:rPr>
        <w:br w:type="page"/>
      </w:r>
      <w:r>
        <w:rPr>
          <w:rFonts w:hint="eastAsia" w:ascii="仿宋" w:hAnsi="仿宋" w:eastAsia="仿宋"/>
          <w:b/>
          <w:sz w:val="24"/>
          <w:highlight w:val="none"/>
        </w:rPr>
        <w:t>一、法定代表人/单位负责人授权书</w:t>
      </w:r>
    </w:p>
    <w:p>
      <w:pPr>
        <w:widowControl/>
        <w:spacing w:line="360" w:lineRule="atLeast"/>
        <w:jc w:val="left"/>
        <w:rPr>
          <w:rFonts w:ascii="华文仿宋" w:hAnsi="华文仿宋" w:eastAsia="华文仿宋" w:cs="华文仿宋"/>
          <w:b/>
          <w:sz w:val="24"/>
          <w:highlight w:val="none"/>
        </w:rPr>
      </w:pPr>
    </w:p>
    <w:p>
      <w:pPr>
        <w:widowControl/>
        <w:spacing w:line="360" w:lineRule="auto"/>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（采购代理机构名称）：</w:t>
      </w: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本授权声明：</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（投标人名称）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（法定代表人/单位负责人姓名、职务）授权</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（被授权人姓名、职务、身份证号码）为我方参加“</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项目（采购项目编号：</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）投标活动的合法代表，以我方名义全权处理该项目有关投标、签订合同以及执行合同等一切事宜，我单位均予承认，所产生的法律后果均由我单位承担。</w:t>
      </w: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特此声明。</w:t>
      </w:r>
    </w:p>
    <w:p>
      <w:pPr>
        <w:widowControl/>
        <w:spacing w:line="360" w:lineRule="auto"/>
        <w:ind w:firstLine="470" w:firstLineChars="196"/>
        <w:jc w:val="left"/>
        <w:rPr>
          <w:rFonts w:ascii="华文仿宋" w:hAnsi="华文仿宋" w:eastAsia="华文仿宋" w:cs="华文仿宋"/>
          <w:sz w:val="24"/>
          <w:highlight w:val="none"/>
        </w:rPr>
      </w:pPr>
    </w:p>
    <w:p>
      <w:pPr>
        <w:pStyle w:val="2"/>
        <w:rPr>
          <w:rFonts w:ascii="华文仿宋" w:hAnsi="华文仿宋" w:eastAsia="华文仿宋" w:cs="华文仿宋"/>
          <w:sz w:val="24"/>
          <w:highlight w:val="none"/>
        </w:rPr>
      </w:pPr>
    </w:p>
    <w:p>
      <w:pPr>
        <w:rPr>
          <w:rFonts w:ascii="华文仿宋" w:hAnsi="华文仿宋" w:eastAsia="华文仿宋" w:cs="华文仿宋"/>
          <w:sz w:val="24"/>
          <w:highlight w:val="none"/>
        </w:rPr>
      </w:pPr>
    </w:p>
    <w:p>
      <w:pPr>
        <w:pStyle w:val="2"/>
        <w:rPr>
          <w:rFonts w:ascii="华文仿宋" w:hAnsi="华文仿宋" w:eastAsia="华文仿宋" w:cs="华文仿宋"/>
          <w:highlight w:val="none"/>
        </w:rPr>
      </w:pP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法定代表人/单位负责人：</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（签字或盖章）</w:t>
      </w: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授权代表：</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（签字或盖章）</w:t>
      </w: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（盖单位章）</w:t>
      </w:r>
    </w:p>
    <w:p>
      <w:pPr>
        <w:widowControl/>
        <w:spacing w:line="360" w:lineRule="auto"/>
        <w:ind w:firstLine="470" w:firstLineChars="196"/>
        <w:jc w:val="left"/>
        <w:rPr>
          <w:rFonts w:ascii="华文仿宋" w:hAnsi="华文仿宋" w:eastAsia="华文仿宋" w:cs="华文仿宋"/>
          <w:sz w:val="24"/>
          <w:highlight w:val="none"/>
          <w:u w:val="single"/>
        </w:rPr>
      </w:pPr>
      <w:r>
        <w:rPr>
          <w:rFonts w:hint="eastAsia" w:ascii="华文仿宋" w:hAnsi="华文仿宋" w:eastAsia="华文仿宋" w:cs="华文仿宋"/>
          <w:sz w:val="24"/>
          <w:highlight w:val="none"/>
        </w:rPr>
        <w:t>日期：</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年</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日</w:t>
      </w:r>
    </w:p>
    <w:p>
      <w:pPr>
        <w:widowControl/>
        <w:spacing w:line="360" w:lineRule="auto"/>
        <w:ind w:firstLine="470" w:firstLineChars="196"/>
        <w:jc w:val="left"/>
        <w:rPr>
          <w:rFonts w:ascii="仿宋" w:hAnsi="仿宋" w:eastAsia="仿宋" w:cs="仿宋"/>
          <w:sz w:val="24"/>
          <w:highlight w:val="none"/>
          <w:u w:val="single"/>
        </w:rPr>
      </w:pPr>
    </w:p>
    <w:p>
      <w:pPr>
        <w:widowControl/>
        <w:spacing w:line="360" w:lineRule="auto"/>
        <w:jc w:val="left"/>
        <w:rPr>
          <w:rFonts w:ascii="仿宋" w:hAnsi="仿宋" w:eastAsia="仿宋" w:cs="仿宋"/>
          <w:b/>
          <w:sz w:val="24"/>
          <w:highlight w:val="none"/>
        </w:rPr>
      </w:pPr>
      <w:bookmarkStart w:id="26" w:name="_Toc217446084"/>
    </w:p>
    <w:p>
      <w:pPr>
        <w:widowControl/>
        <w:spacing w:line="360" w:lineRule="auto"/>
        <w:jc w:val="left"/>
        <w:rPr>
          <w:rFonts w:ascii="仿宋" w:hAnsi="仿宋" w:eastAsia="仿宋" w:cs="仿宋"/>
          <w:b/>
          <w:sz w:val="24"/>
          <w:highlight w:val="none"/>
        </w:rPr>
      </w:pPr>
    </w:p>
    <w:p>
      <w:pPr>
        <w:widowControl/>
        <w:spacing w:line="360" w:lineRule="auto"/>
        <w:jc w:val="left"/>
        <w:rPr>
          <w:rFonts w:ascii="仿宋" w:hAnsi="仿宋" w:eastAsia="仿宋" w:cs="仿宋"/>
          <w:b/>
          <w:sz w:val="24"/>
          <w:highlight w:val="none"/>
        </w:rPr>
      </w:pPr>
    </w:p>
    <w:p>
      <w:pPr>
        <w:spacing w:line="360" w:lineRule="auto"/>
        <w:ind w:left="840" w:hanging="840" w:hangingChars="350"/>
        <w:jc w:val="left"/>
        <w:rPr>
          <w:rFonts w:ascii="仿宋" w:hAnsi="仿宋" w:eastAsia="仿宋" w:cs="仿宋"/>
          <w:sz w:val="24"/>
          <w:highlight w:val="none"/>
        </w:rPr>
      </w:pPr>
      <w:r>
        <w:rPr>
          <w:rFonts w:hint="eastAsia" w:ascii="仿宋" w:hAnsi="仿宋" w:eastAsia="仿宋" w:cs="仿宋"/>
          <w:sz w:val="24"/>
          <w:highlight w:val="none"/>
        </w:rPr>
        <w:t>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1、法定代表人/单位负责人不亲自参加投标，而授权代表参加投标的适用。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2、投标人为法人单位时提供“法定代表人授权书”，投标人为其他组织时提供“单位负责人授权书”，投标人为自然人时提供“自然人身份证明材料”。</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3、应附法定代表人/单位负责人身份证明材料复印件和授权代表身份证明材料复印件。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4、身份证明材料包括居民身份证或户口本或军官证或护照等。</w:t>
      </w:r>
    </w:p>
    <w:p>
      <w:pPr>
        <w:spacing w:line="360" w:lineRule="auto"/>
        <w:ind w:firstLine="480" w:firstLineChars="200"/>
        <w:rPr>
          <w:rFonts w:ascii="仿宋" w:hAnsi="仿宋" w:eastAsia="仿宋" w:cs="仿宋"/>
          <w:b/>
          <w:sz w:val="28"/>
          <w:szCs w:val="28"/>
          <w:highlight w:val="none"/>
        </w:rPr>
      </w:pPr>
      <w:r>
        <w:rPr>
          <w:rFonts w:hint="eastAsia" w:ascii="仿宋" w:hAnsi="仿宋" w:eastAsia="仿宋" w:cs="仿宋"/>
          <w:sz w:val="24"/>
          <w:highlight w:val="none"/>
        </w:rPr>
        <w:t>5、身份证明材料应同时提供其在有效期的材料，如居民身份证正、反面复印件。</w:t>
      </w:r>
      <w:bookmarkEnd w:id="26"/>
    </w:p>
    <w:p>
      <w:pPr>
        <w:pStyle w:val="2"/>
        <w:rPr>
          <w:rFonts w:ascii="仿宋" w:hAnsi="仿宋" w:eastAsia="仿宋" w:cs="仿宋"/>
          <w:highlight w:val="none"/>
        </w:rPr>
      </w:pPr>
      <w:r>
        <w:rPr>
          <w:rFonts w:hint="eastAsia" w:ascii="仿宋" w:hAnsi="仿宋" w:eastAsia="仿宋" w:cs="仿宋"/>
          <w:highlight w:val="none"/>
        </w:rPr>
        <w:br w:type="page"/>
      </w:r>
    </w:p>
    <w:p>
      <w:pPr>
        <w:widowControl/>
        <w:spacing w:line="360" w:lineRule="auto"/>
        <w:ind w:firstLine="470" w:firstLineChars="196"/>
        <w:jc w:val="left"/>
        <w:rPr>
          <w:rFonts w:ascii="华文仿宋" w:hAnsi="华文仿宋" w:eastAsia="华文仿宋" w:cs="华文仿宋"/>
          <w:sz w:val="24"/>
          <w:highlight w:val="none"/>
        </w:rPr>
      </w:pPr>
    </w:p>
    <w:p>
      <w:pPr>
        <w:spacing w:line="360" w:lineRule="auto"/>
        <w:ind w:firstLine="482" w:firstLineChars="200"/>
        <w:jc w:val="center"/>
        <w:rPr>
          <w:rFonts w:ascii="仿宋" w:hAnsi="仿宋" w:eastAsia="仿宋" w:cs="华文仿宋"/>
          <w:sz w:val="24"/>
          <w:highlight w:val="none"/>
        </w:rPr>
      </w:pPr>
      <w:r>
        <w:rPr>
          <w:rFonts w:hint="eastAsia" w:ascii="仿宋" w:hAnsi="仿宋" w:eastAsia="仿宋" w:cs="华文仿宋"/>
          <w:b/>
          <w:bCs/>
          <w:sz w:val="24"/>
          <w:highlight w:val="none"/>
        </w:rPr>
        <w:t>一、法定代表人/单位负责人证明书</w:t>
      </w:r>
    </w:p>
    <w:p>
      <w:pPr>
        <w:widowControl/>
        <w:spacing w:line="360" w:lineRule="auto"/>
        <w:ind w:firstLine="470" w:firstLineChars="196"/>
        <w:jc w:val="left"/>
        <w:rPr>
          <w:rFonts w:ascii="华文仿宋" w:hAnsi="华文仿宋" w:eastAsia="华文仿宋" w:cs="华文仿宋"/>
          <w:sz w:val="24"/>
          <w:highlight w:val="none"/>
        </w:rPr>
      </w:pPr>
    </w:p>
    <w:p>
      <w:pPr>
        <w:widowControl/>
        <w:spacing w:line="360" w:lineRule="auto"/>
        <w:ind w:firstLine="470" w:firstLineChars="196"/>
        <w:jc w:val="left"/>
        <w:rPr>
          <w:rFonts w:ascii="华文仿宋" w:hAnsi="华文仿宋" w:eastAsia="华文仿宋" w:cs="华文仿宋"/>
          <w:sz w:val="24"/>
          <w:highlight w:val="none"/>
        </w:rPr>
      </w:pPr>
    </w:p>
    <w:p>
      <w:pPr>
        <w:widowControl/>
        <w:spacing w:line="360" w:lineRule="auto"/>
        <w:ind w:firstLine="470" w:firstLineChars="196"/>
        <w:jc w:val="left"/>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单位名称：</w:t>
      </w:r>
      <w:r>
        <w:rPr>
          <w:rFonts w:hint="eastAsia" w:ascii="华文仿宋" w:hAnsi="华文仿宋" w:eastAsia="华文仿宋" w:cs="华文仿宋"/>
          <w:sz w:val="24"/>
          <w:highlight w:val="none"/>
          <w:u w:val="single"/>
          <w:lang w:val="en-US" w:eastAsia="zh-CN"/>
        </w:rPr>
        <w:t xml:space="preserve">                 </w:t>
      </w:r>
    </w:p>
    <w:p>
      <w:pPr>
        <w:widowControl/>
        <w:spacing w:line="360" w:lineRule="auto"/>
        <w:ind w:firstLine="470" w:firstLineChars="196"/>
        <w:jc w:val="left"/>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地址：</w:t>
      </w:r>
      <w:r>
        <w:rPr>
          <w:rFonts w:hint="eastAsia" w:ascii="华文仿宋" w:hAnsi="华文仿宋" w:eastAsia="华文仿宋" w:cs="华文仿宋"/>
          <w:sz w:val="24"/>
          <w:highlight w:val="none"/>
          <w:u w:val="single"/>
          <w:lang w:val="en-US" w:eastAsia="zh-CN"/>
        </w:rPr>
        <w:t xml:space="preserve">                    </w:t>
      </w:r>
    </w:p>
    <w:p>
      <w:pPr>
        <w:widowControl/>
        <w:spacing w:line="360" w:lineRule="auto"/>
        <w:ind w:firstLine="470" w:firstLineChars="196"/>
        <w:jc w:val="left"/>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姓名：</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xml:space="preserve"> 性别：</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xml:space="preserve"> 年龄：</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xml:space="preserve"> 职务：</w:t>
      </w:r>
      <w:r>
        <w:rPr>
          <w:rFonts w:hint="eastAsia" w:ascii="华文仿宋" w:hAnsi="华文仿宋" w:eastAsia="华文仿宋" w:cs="华文仿宋"/>
          <w:sz w:val="24"/>
          <w:highlight w:val="none"/>
          <w:u w:val="single"/>
          <w:lang w:val="en-US" w:eastAsia="zh-CN"/>
        </w:rPr>
        <w:t xml:space="preserve">          </w:t>
      </w: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本人系</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(投标人名称)的法定代表人/单位负责人。就参加你</w:t>
      </w:r>
    </w:p>
    <w:p>
      <w:pPr>
        <w:widowControl/>
        <w:spacing w:line="360" w:lineRule="auto"/>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单位组织的“</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xml:space="preserve"> (项目名称)(采购项目编号：</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xml:space="preserve"> )”的政府采购活动、合同签订以及合同履约等一切事宜，我单位均予承认，所产生的法律后果均由我单位承担。</w:t>
      </w: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特此证明。</w:t>
      </w:r>
    </w:p>
    <w:p>
      <w:pPr>
        <w:pStyle w:val="2"/>
        <w:rPr>
          <w:rFonts w:ascii="华文仿宋" w:hAnsi="华文仿宋" w:eastAsia="华文仿宋" w:cs="华文仿宋"/>
          <w:highlight w:val="none"/>
        </w:rPr>
      </w:pPr>
    </w:p>
    <w:p>
      <w:pPr>
        <w:rPr>
          <w:rFonts w:ascii="华文仿宋" w:hAnsi="华文仿宋" w:eastAsia="华文仿宋" w:cs="华文仿宋"/>
          <w:highlight w:val="none"/>
        </w:rPr>
      </w:pPr>
    </w:p>
    <w:p>
      <w:pPr>
        <w:pStyle w:val="2"/>
        <w:rPr>
          <w:rFonts w:ascii="华文仿宋" w:hAnsi="华文仿宋" w:eastAsia="华文仿宋" w:cs="华文仿宋"/>
          <w:highlight w:val="none"/>
        </w:rPr>
      </w:pPr>
    </w:p>
    <w:p>
      <w:pPr>
        <w:rPr>
          <w:rFonts w:ascii="华文仿宋" w:hAnsi="华文仿宋" w:eastAsia="华文仿宋" w:cs="华文仿宋"/>
          <w:highlight w:val="none"/>
        </w:rPr>
      </w:pPr>
    </w:p>
    <w:p>
      <w:pPr>
        <w:pStyle w:val="2"/>
        <w:rPr>
          <w:rFonts w:ascii="华文仿宋" w:hAnsi="华文仿宋" w:eastAsia="华文仿宋" w:cs="华文仿宋"/>
          <w:highlight w:val="none"/>
        </w:rPr>
      </w:pPr>
    </w:p>
    <w:p>
      <w:pPr>
        <w:rPr>
          <w:rFonts w:ascii="华文仿宋" w:hAnsi="华文仿宋" w:eastAsia="华文仿宋" w:cs="华文仿宋"/>
          <w:highlight w:val="none"/>
        </w:rPr>
      </w:pP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xml:space="preserve"> (盖单位章)</w:t>
      </w: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法定代表人/单位负责人：</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xml:space="preserve"> (签字或盖章)</w:t>
      </w:r>
    </w:p>
    <w:p>
      <w:pPr>
        <w:widowControl/>
        <w:spacing w:line="360" w:lineRule="auto"/>
        <w:ind w:firstLine="470" w:firstLineChars="196"/>
        <w:jc w:val="left"/>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日期：</w:t>
      </w:r>
      <w:r>
        <w:rPr>
          <w:rFonts w:hint="eastAsia" w:ascii="华文仿宋" w:hAnsi="华文仿宋" w:eastAsia="华文仿宋" w:cs="华文仿宋"/>
          <w:sz w:val="24"/>
          <w:highlight w:val="none"/>
          <w:u w:val="single"/>
          <w:lang w:val="en-US" w:eastAsia="zh-CN"/>
        </w:rPr>
        <w:t xml:space="preserve">               </w:t>
      </w:r>
    </w:p>
    <w:p>
      <w:pPr>
        <w:pStyle w:val="2"/>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widowControl/>
        <w:spacing w:line="36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注：1.法定代表人/单位负责人亲自参加投标时适用本证明书。</w:t>
      </w:r>
    </w:p>
    <w:p>
      <w:pPr>
        <w:widowControl/>
        <w:spacing w:line="36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2.应附法定代表人/单位负责人身份证明材料复印件。</w:t>
      </w:r>
    </w:p>
    <w:p>
      <w:pPr>
        <w:widowControl/>
        <w:spacing w:line="36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3.身份证明材料包括居民身份证或户口本或军官证或护照等。</w:t>
      </w:r>
    </w:p>
    <w:p>
      <w:pPr>
        <w:widowControl/>
        <w:spacing w:line="36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4.身份证明材料应同时提供其在有效期的材料，如居民身份证正、反面复印件。</w:t>
      </w:r>
    </w:p>
    <w:p>
      <w:pPr>
        <w:widowControl/>
        <w:spacing w:line="360" w:lineRule="atLeast"/>
        <w:jc w:val="left"/>
        <w:outlineLvl w:val="1"/>
        <w:rPr>
          <w:rFonts w:ascii="仿宋" w:hAnsi="仿宋" w:eastAsia="仿宋" w:cs="仿宋"/>
          <w:b/>
          <w:sz w:val="32"/>
          <w:szCs w:val="32"/>
          <w:highlight w:val="none"/>
        </w:rPr>
      </w:pPr>
    </w:p>
    <w:p>
      <w:pPr>
        <w:autoSpaceDE w:val="0"/>
        <w:autoSpaceDN w:val="0"/>
        <w:adjustRightInd w:val="0"/>
        <w:jc w:val="left"/>
        <w:rPr>
          <w:rFonts w:ascii="仿宋" w:hAnsi="仿宋" w:eastAsia="仿宋" w:cs="仿宋"/>
          <w:kern w:val="0"/>
          <w:sz w:val="28"/>
          <w:szCs w:val="28"/>
          <w:highlight w:val="none"/>
        </w:rPr>
      </w:pPr>
    </w:p>
    <w:p>
      <w:pPr>
        <w:spacing w:line="360" w:lineRule="auto"/>
        <w:ind w:firstLine="482" w:firstLineChars="200"/>
        <w:jc w:val="center"/>
        <w:rPr>
          <w:rFonts w:ascii="仿宋" w:hAnsi="仿宋" w:eastAsia="仿宋" w:cs="仿宋"/>
          <w:b/>
          <w:bCs/>
          <w:sz w:val="24"/>
          <w:highlight w:val="none"/>
        </w:rPr>
      </w:pPr>
    </w:p>
    <w:p>
      <w:pPr>
        <w:rPr>
          <w:rFonts w:ascii="仿宋" w:hAnsi="仿宋" w:eastAsia="仿宋" w:cs="仿宋"/>
          <w:b/>
          <w:bCs/>
          <w:sz w:val="24"/>
          <w:highlight w:val="none"/>
        </w:rPr>
      </w:pPr>
      <w:r>
        <w:rPr>
          <w:rFonts w:hint="eastAsia" w:ascii="仿宋" w:hAnsi="仿宋" w:eastAsia="仿宋" w:cs="仿宋"/>
          <w:b/>
          <w:bCs/>
          <w:sz w:val="24"/>
          <w:highlight w:val="none"/>
        </w:rPr>
        <w:br w:type="page"/>
      </w:r>
    </w:p>
    <w:p>
      <w:pPr>
        <w:spacing w:line="360" w:lineRule="auto"/>
        <w:ind w:firstLine="482" w:firstLineChars="200"/>
        <w:jc w:val="center"/>
        <w:rPr>
          <w:rFonts w:ascii="仿宋" w:hAnsi="仿宋" w:eastAsia="仿宋" w:cs="仿宋"/>
          <w:b/>
          <w:bCs/>
          <w:sz w:val="24"/>
          <w:highlight w:val="none"/>
        </w:rPr>
      </w:pPr>
      <w:r>
        <w:rPr>
          <w:rFonts w:hint="eastAsia" w:ascii="仿宋" w:hAnsi="仿宋" w:eastAsia="仿宋" w:cs="仿宋"/>
          <w:b/>
          <w:bCs/>
          <w:sz w:val="24"/>
          <w:highlight w:val="none"/>
        </w:rPr>
        <w:t>二、投标人具有独立承担民事责任的能力的证明材料</w:t>
      </w:r>
    </w:p>
    <w:p>
      <w:pPr>
        <w:widowControl/>
        <w:spacing w:line="360" w:lineRule="auto"/>
        <w:jc w:val="left"/>
        <w:rPr>
          <w:rFonts w:ascii="仿宋" w:hAnsi="仿宋" w:eastAsia="仿宋" w:cs="仿宋"/>
          <w:sz w:val="24"/>
          <w:highlight w:val="none"/>
        </w:rPr>
      </w:pPr>
    </w:p>
    <w:p>
      <w:pPr>
        <w:spacing w:after="160" w:line="360" w:lineRule="auto"/>
        <w:ind w:firstLine="480" w:firstLineChars="200"/>
        <w:jc w:val="left"/>
        <w:rPr>
          <w:rFonts w:ascii="仿宋" w:hAnsi="仿宋" w:eastAsia="仿宋" w:cs="仿宋"/>
          <w:b/>
          <w:sz w:val="24"/>
          <w:highlight w:val="none"/>
        </w:rPr>
      </w:pPr>
      <w:r>
        <w:rPr>
          <w:rFonts w:hint="eastAsia" w:ascii="仿宋" w:hAnsi="仿宋" w:eastAsia="仿宋"/>
          <w:sz w:val="24"/>
          <w:highlight w:val="none"/>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注：1.以上证明材料应满足此条要求①发证机关有年检要求的，应按规定通过年检；②在有效期内；③复印件加盖投标人公章；</w:t>
      </w:r>
    </w:p>
    <w:p>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.根据国务院办公厅关于加快推进“多证合一”改革的指导意见(国办发〔2017〕41 号)等政策要求，若资格要求涉及的登记、备案等有关事项和各类证照已实行多证合一的，提供多证合一证照副本复印件。</w:t>
      </w:r>
    </w:p>
    <w:p>
      <w:pPr>
        <w:spacing w:line="360" w:lineRule="auto"/>
        <w:ind w:firstLine="480" w:firstLineChars="200"/>
        <w:jc w:val="center"/>
        <w:rPr>
          <w:rFonts w:ascii="仿宋" w:hAnsi="仿宋" w:eastAsia="仿宋" w:cs="仿宋"/>
          <w:kern w:val="0"/>
          <w:sz w:val="24"/>
          <w:highlight w:val="none"/>
        </w:rPr>
      </w:pPr>
      <w:r>
        <w:rPr>
          <w:rFonts w:hint="eastAsia" w:ascii="仿宋" w:hAnsi="仿宋" w:eastAsia="仿宋" w:cs="仿宋"/>
          <w:sz w:val="24"/>
          <w:highlight w:val="none"/>
        </w:rPr>
        <w:br w:type="page"/>
      </w:r>
      <w:r>
        <w:rPr>
          <w:rFonts w:hint="eastAsia" w:ascii="仿宋" w:hAnsi="仿宋" w:eastAsia="仿宋" w:cs="仿宋"/>
          <w:b/>
          <w:bCs/>
          <w:sz w:val="24"/>
          <w:highlight w:val="none"/>
        </w:rPr>
        <w:t>三、投标人具有良好的商业信誉和健全的财务会计制度的证明材料</w:t>
      </w: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1.投标人具有良好商业信誉的证明材料；</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提供具有良好的商业信誉的承诺函。</w:t>
      </w:r>
    </w:p>
    <w:p>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注:投标人在参加政府采购活动前，被纳入法院、市场监督管理部门、税务部门、银行认定的失信名单且在有效期内，或者在前三年政府采购合同履约过程中及其他经营活动履约过程中未依法履约被有关行政部门处罚(处理)的，本项目不认定其具有良好的商业信誉。</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2.投标人具有健全的财务会计制度的证明材料；</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(1)投标人提供2019 年度或2020 年度经过会计师事务所审计的财务报告复印件(经审计的有效财务报告应包括报告及报告中所附的完整内容，并由注册会计师签名、盖章以及会计师事务所盖章)；</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(2)投标人提供2019 年度或2020 年度投标人内部的财务报表复印件(至少包含资产负债表)；</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(3)投标人提供响应文件递交截止日前一年内银行为其出具的资信证明复印件；</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(4)投标人注册时间截至响应文件递交截止日不足一年的，可提供公司章程复印件；</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(5)投标人为事业单位、大型国有企业或其他组织(不具备法人条件的组织，如合伙组织、个体工商户、农村承包经营户等)或自然人时，可提供承诺函。</w:t>
      </w:r>
    </w:p>
    <w:p>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注：具有健全的财务会计制度的证明材料中第(1)-(5)项具有同等的效力，投标人可根据自身实际情况选择提供其中任意一项。</w:t>
      </w:r>
    </w:p>
    <w:p>
      <w:pPr>
        <w:spacing w:line="360" w:lineRule="auto"/>
        <w:jc w:val="center"/>
        <w:rPr>
          <w:rFonts w:ascii="仿宋" w:hAnsi="仿宋" w:eastAsia="仿宋" w:cs="仿宋"/>
          <w:kern w:val="0"/>
          <w:sz w:val="24"/>
          <w:highlight w:val="none"/>
        </w:rPr>
      </w:pPr>
      <w:r>
        <w:rPr>
          <w:rFonts w:hint="eastAsia" w:ascii="仿宋" w:hAnsi="仿宋" w:eastAsia="仿宋" w:cs="仿宋"/>
          <w:highlight w:val="none"/>
        </w:rPr>
        <w:br w:type="page"/>
      </w:r>
      <w:r>
        <w:rPr>
          <w:rFonts w:hint="eastAsia" w:ascii="仿宋" w:hAnsi="仿宋" w:eastAsia="仿宋" w:cs="仿宋"/>
          <w:b/>
          <w:bCs/>
          <w:sz w:val="24"/>
          <w:highlight w:val="none"/>
        </w:rPr>
        <w:t>四、投标人具有依法缴纳税收和社会保障资金的良好记录的证明材料</w:t>
      </w:r>
    </w:p>
    <w:p>
      <w:pPr>
        <w:autoSpaceDE w:val="0"/>
        <w:autoSpaceDN w:val="0"/>
        <w:adjustRightInd w:val="0"/>
        <w:jc w:val="left"/>
        <w:rPr>
          <w:rFonts w:ascii="仿宋" w:hAnsi="仿宋" w:eastAsia="仿宋" w:cs="仿宋"/>
          <w:kern w:val="0"/>
          <w:sz w:val="24"/>
          <w:highlight w:val="none"/>
        </w:rPr>
      </w:pP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提供依法缴纳税收和社会保障资金的良好记录的承诺函。</w:t>
      </w:r>
    </w:p>
    <w:p>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注：格式自拟，或参照《符合&lt;中华人民共和国政府采购法&gt;第二十二条规定的条件的承诺及声明函》提供承诺函。</w:t>
      </w:r>
    </w:p>
    <w:p>
      <w:pPr>
        <w:spacing w:line="360" w:lineRule="auto"/>
        <w:jc w:val="center"/>
        <w:rPr>
          <w:rFonts w:ascii="仿宋" w:hAnsi="仿宋" w:eastAsia="仿宋" w:cs="仿宋"/>
          <w:kern w:val="0"/>
          <w:sz w:val="24"/>
          <w:highlight w:val="none"/>
        </w:rPr>
      </w:pPr>
      <w:r>
        <w:rPr>
          <w:rFonts w:hint="eastAsia" w:ascii="仿宋" w:hAnsi="仿宋" w:eastAsia="仿宋" w:cs="仿宋"/>
          <w:highlight w:val="none"/>
        </w:rPr>
        <w:br w:type="page"/>
      </w:r>
      <w:r>
        <w:rPr>
          <w:rFonts w:hint="eastAsia" w:ascii="仿宋" w:hAnsi="仿宋" w:eastAsia="仿宋" w:cs="仿宋"/>
          <w:b/>
          <w:bCs/>
          <w:sz w:val="24"/>
          <w:highlight w:val="none"/>
        </w:rPr>
        <w:t>五、投标人具有履行合同所必需的设备和专业技术能力证明材料</w:t>
      </w:r>
    </w:p>
    <w:p>
      <w:pPr>
        <w:autoSpaceDE w:val="0"/>
        <w:autoSpaceDN w:val="0"/>
        <w:adjustRightInd w:val="0"/>
        <w:jc w:val="left"/>
        <w:rPr>
          <w:rFonts w:ascii="仿宋" w:hAnsi="仿宋" w:eastAsia="仿宋" w:cs="仿宋"/>
          <w:kern w:val="0"/>
          <w:sz w:val="24"/>
          <w:highlight w:val="none"/>
        </w:rPr>
      </w:pP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提供具有履行合同所必需的设备和专业技术能力的承诺函。</w:t>
      </w:r>
    </w:p>
    <w:p>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注：格式自拟，或参照《符合&lt;中华人民共和国政府采购法&gt;第二十二条规定的条件的承诺及声明函》提供承诺函。</w:t>
      </w:r>
    </w:p>
    <w:p>
      <w:pPr>
        <w:spacing w:line="360" w:lineRule="auto"/>
        <w:jc w:val="center"/>
        <w:rPr>
          <w:rFonts w:ascii="仿宋" w:hAnsi="仿宋" w:eastAsia="仿宋" w:cs="仿宋"/>
          <w:b/>
          <w:bCs/>
          <w:sz w:val="24"/>
          <w:highlight w:val="none"/>
        </w:rPr>
      </w:pPr>
      <w:r>
        <w:rPr>
          <w:rFonts w:hint="eastAsia" w:ascii="仿宋" w:hAnsi="仿宋" w:eastAsia="仿宋" w:cs="仿宋"/>
          <w:highlight w:val="none"/>
        </w:rPr>
        <w:br w:type="page"/>
      </w:r>
      <w:r>
        <w:rPr>
          <w:rFonts w:hint="eastAsia" w:ascii="仿宋" w:hAnsi="仿宋" w:eastAsia="仿宋" w:cs="仿宋"/>
          <w:b/>
          <w:bCs/>
          <w:sz w:val="24"/>
          <w:highlight w:val="none"/>
        </w:rPr>
        <w:t>六、投标人参加政府采购活动前三年内，在经营活动中没有重大违法记录的证明材料</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提供参加本次政府采购活动前三年内，在经营活动中没有重大违法记录的书面声明(成立不足三年的，从成立之日起计算)。</w:t>
      </w:r>
    </w:p>
    <w:p>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注：格式自拟，或参照《符合&lt;中华人民共和国政府采购法&gt;第二十二条规定的条件的承诺及声明函》提供声明函。</w:t>
      </w:r>
    </w:p>
    <w:p>
      <w:pPr>
        <w:spacing w:line="360" w:lineRule="auto"/>
        <w:rPr>
          <w:rFonts w:ascii="仿宋" w:hAnsi="仿宋" w:eastAsia="仿宋" w:cs="仿宋"/>
          <w:b/>
          <w:sz w:val="24"/>
          <w:highlight w:val="none"/>
        </w:rPr>
      </w:pPr>
    </w:p>
    <w:p>
      <w:pPr>
        <w:spacing w:line="360" w:lineRule="auto"/>
        <w:jc w:val="center"/>
        <w:rPr>
          <w:rFonts w:ascii="仿宋" w:hAnsi="仿宋" w:eastAsia="仿宋" w:cs="仿宋"/>
          <w:b/>
          <w:sz w:val="24"/>
          <w:highlight w:val="none"/>
        </w:rPr>
      </w:pPr>
      <w:r>
        <w:rPr>
          <w:rFonts w:hint="eastAsia" w:ascii="仿宋" w:hAnsi="仿宋" w:eastAsia="仿宋" w:cs="仿宋"/>
          <w:highlight w:val="none"/>
        </w:rPr>
        <w:br w:type="page"/>
      </w:r>
      <w:r>
        <w:rPr>
          <w:rFonts w:hint="eastAsia" w:ascii="仿宋" w:hAnsi="仿宋" w:eastAsia="仿宋" w:cs="仿宋"/>
          <w:b/>
          <w:bCs/>
          <w:sz w:val="24"/>
          <w:highlight w:val="none"/>
        </w:rPr>
        <w:t>七、符合《中华人民共和国政府采购法》第二十二条规定的条件的承诺及声明函</w:t>
      </w:r>
    </w:p>
    <w:p>
      <w:pPr>
        <w:widowControl/>
        <w:spacing w:line="360" w:lineRule="auto"/>
        <w:jc w:val="left"/>
        <w:rPr>
          <w:rFonts w:ascii="仿宋" w:hAnsi="仿宋" w:eastAsia="仿宋" w:cs="仿宋"/>
          <w:sz w:val="24"/>
          <w:highlight w:val="none"/>
          <w:u w:val="single"/>
        </w:rPr>
      </w:pPr>
    </w:p>
    <w:p>
      <w:pPr>
        <w:widowControl/>
        <w:spacing w:line="360" w:lineRule="auto"/>
        <w:jc w:val="left"/>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我公司作为本次采购项目的投标人，根据招标文件要求，现郑重承诺及声明如下：</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1.具有良好的商业信誉和健全的财务会计制度；</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2.具有履行合同所必需的设备和专业技术能力；</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3.具有依法缴纳税收和社会保障资金的良好记录；</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4.参加本次政府采购活动前三年内，在经营活动中没有重大违法记录(投标人成立不足三</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年的，从成立之日起计算)；</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5.符合法律、行政法规规定的其他条件；</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本公司对上述承诺的内容事项真实性、合法性负责。如经查实上述承诺的内容事项存在虚假，我公司自愿接受以提供虚假材料谋取成交所带来的所有法律责任。</w:t>
      </w: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0" w:firstLineChars="200"/>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xml:space="preserve"> (盖单位章)</w:t>
      </w:r>
    </w:p>
    <w:p>
      <w:pPr>
        <w:widowControl/>
        <w:spacing w:line="360" w:lineRule="auto"/>
        <w:ind w:firstLine="480" w:firstLineChars="200"/>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法定代表人/单位负责人或授权代表：</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 xml:space="preserve"> (签字或盖章)</w:t>
      </w:r>
    </w:p>
    <w:p>
      <w:pPr>
        <w:widowControl/>
        <w:spacing w:line="360" w:lineRule="auto"/>
        <w:ind w:firstLine="480" w:firstLineChars="200"/>
        <w:jc w:val="left"/>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日期：</w:t>
      </w:r>
      <w:r>
        <w:rPr>
          <w:rFonts w:hint="eastAsia" w:ascii="华文仿宋" w:hAnsi="华文仿宋" w:eastAsia="华文仿宋" w:cs="华文仿宋"/>
          <w:sz w:val="24"/>
          <w:highlight w:val="none"/>
          <w:u w:val="single"/>
          <w:lang w:val="en-US" w:eastAsia="zh-CN"/>
        </w:rPr>
        <w:t xml:space="preserve">                  </w:t>
      </w: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注：本部分所要求的承诺函可参照本格式或自拟格式填写均有效。</w:t>
      </w:r>
    </w:p>
    <w:p>
      <w:pPr>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line="360"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八、根据采购项目提出的特殊条件</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供应商应具备国家行政主管部门颁发的城乡规划编制乙级及以上资质（因目前全国开展国土空间规划管理体系改革，对已到期的城乡规划编制资质视同继续有效）</w:t>
      </w:r>
      <w:r>
        <w:rPr>
          <w:rFonts w:hint="eastAsia" w:ascii="仿宋" w:hAnsi="仿宋" w:eastAsia="仿宋" w:cs="仿宋"/>
          <w:sz w:val="24"/>
          <w:highlight w:val="none"/>
          <w:lang w:eastAsia="zh-CN"/>
        </w:rPr>
        <w:t>，提供证书复印件。</w:t>
      </w:r>
    </w:p>
    <w:p>
      <w:pPr>
        <w:pStyle w:val="2"/>
        <w:jc w:val="center"/>
        <w:rPr>
          <w:rFonts w:ascii="仿宋" w:hAnsi="仿宋" w:eastAsia="仿宋" w:cs="仿宋"/>
          <w:highlight w:val="none"/>
        </w:rPr>
      </w:pPr>
      <w:r>
        <w:rPr>
          <w:rFonts w:hint="eastAsia" w:ascii="仿宋" w:hAnsi="仿宋" w:eastAsia="仿宋" w:cs="仿宋"/>
          <w:highlight w:val="none"/>
        </w:rPr>
        <w:br w:type="page"/>
      </w:r>
    </w:p>
    <w:p>
      <w:pPr>
        <w:widowControl/>
        <w:spacing w:line="360" w:lineRule="auto"/>
        <w:jc w:val="center"/>
        <w:rPr>
          <w:rFonts w:ascii="仿宋" w:hAnsi="仿宋" w:eastAsia="仿宋" w:cs="仿宋"/>
          <w:sz w:val="24"/>
          <w:highlight w:val="none"/>
        </w:rPr>
      </w:pPr>
      <w:r>
        <w:rPr>
          <w:rFonts w:hint="eastAsia" w:ascii="仿宋" w:hAnsi="仿宋" w:eastAsia="仿宋" w:cs="仿宋"/>
          <w:b/>
          <w:sz w:val="30"/>
          <w:szCs w:val="30"/>
          <w:highlight w:val="none"/>
        </w:rPr>
        <w:t>“其他投标文件”格式</w:t>
      </w:r>
    </w:p>
    <w:p>
      <w:pPr>
        <w:autoSpaceDE w:val="0"/>
        <w:autoSpaceDN w:val="0"/>
        <w:adjustRightInd w:val="0"/>
        <w:jc w:val="left"/>
        <w:rPr>
          <w:rFonts w:ascii="仿宋" w:hAnsi="仿宋" w:eastAsia="仿宋" w:cs="仿宋"/>
          <w:b/>
          <w:sz w:val="32"/>
          <w:szCs w:val="32"/>
          <w:highlight w:val="none"/>
        </w:rPr>
      </w:pPr>
    </w:p>
    <w:p>
      <w:pPr>
        <w:spacing w:line="360" w:lineRule="auto"/>
        <w:jc w:val="center"/>
        <w:rPr>
          <w:rFonts w:ascii="仿宋" w:hAnsi="仿宋" w:eastAsia="仿宋" w:cs="仿宋"/>
          <w:b/>
          <w:bCs/>
          <w:sz w:val="32"/>
          <w:szCs w:val="32"/>
          <w:highlight w:val="none"/>
        </w:rPr>
      </w:pPr>
      <w:bookmarkStart w:id="27" w:name="_Toc308164824"/>
      <w:r>
        <w:rPr>
          <w:rFonts w:hint="eastAsia" w:ascii="仿宋" w:hAnsi="仿宋" w:eastAsia="仿宋" w:cs="仿宋"/>
          <w:b/>
          <w:bCs/>
          <w:sz w:val="32"/>
          <w:szCs w:val="32"/>
          <w:highlight w:val="none"/>
        </w:rPr>
        <w:br w:type="page"/>
      </w:r>
      <w:r>
        <w:rPr>
          <w:rFonts w:hint="eastAsia" w:ascii="仿宋" w:hAnsi="仿宋" w:eastAsia="仿宋" w:cs="仿宋"/>
          <w:b/>
          <w:bCs/>
          <w:sz w:val="32"/>
          <w:szCs w:val="32"/>
          <w:highlight w:val="none"/>
        </w:rPr>
        <w:t>一、投标函</w:t>
      </w:r>
    </w:p>
    <w:p>
      <w:pPr>
        <w:spacing w:line="360" w:lineRule="auto"/>
        <w:rPr>
          <w:rFonts w:ascii="仿宋" w:hAnsi="仿宋" w:eastAsia="仿宋" w:cs="仿宋"/>
          <w:sz w:val="24"/>
          <w:highlight w:val="none"/>
          <w:u w:val="single"/>
        </w:rPr>
      </w:pPr>
    </w:p>
    <w:p>
      <w:pPr>
        <w:spacing w:line="360" w:lineRule="auto"/>
        <w:rPr>
          <w:rFonts w:ascii="华文仿宋" w:hAnsi="华文仿宋" w:eastAsia="华文仿宋" w:cs="华文仿宋"/>
          <w:sz w:val="24"/>
          <w:highlight w:val="none"/>
        </w:rPr>
      </w:pPr>
      <w:r>
        <w:rPr>
          <w:rFonts w:hint="eastAsia" w:ascii="华文仿宋" w:hAnsi="华文仿宋" w:eastAsia="华文仿宋" w:cs="华文仿宋"/>
          <w:sz w:val="24"/>
          <w:highlight w:val="none"/>
          <w:u w:val="single"/>
        </w:rPr>
        <w:t xml:space="preserve">                  （</w:t>
      </w:r>
      <w:r>
        <w:rPr>
          <w:rFonts w:hint="eastAsia" w:ascii="华文仿宋" w:hAnsi="华文仿宋" w:eastAsia="华文仿宋" w:cs="华文仿宋"/>
          <w:sz w:val="24"/>
          <w:highlight w:val="none"/>
        </w:rPr>
        <w:t>采购代理机构名称）：</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我方全面研究了“</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”项目招标文件（采购项目编号：</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），决定参加贵单位组织的本项目投标。我方授权</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（姓名、职务）代表我方</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（投标单位的名称）全权处理本项目投标的有关事宜。</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一、我方自愿按照招标文件规定的各项要求（包括文件中“注”和“实质性要求”的内容）向采购人提供所需货物/服务，投标价详见开标一览表。</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二、一旦我方中标，我方将严格履行政府采购合同规定的责任和义务。</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三</w:t>
      </w:r>
      <w:r>
        <w:rPr>
          <w:rFonts w:hint="eastAsia" w:ascii="华文仿宋" w:hAnsi="华文仿宋" w:eastAsia="华文仿宋" w:cs="华文仿宋"/>
          <w:sz w:val="24"/>
          <w:highlight w:val="none"/>
        </w:rPr>
        <w:t>、我方同意本次招标的投标有效期为提交投标文件的截止之日起90 天。</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四</w:t>
      </w:r>
      <w:r>
        <w:rPr>
          <w:rFonts w:hint="eastAsia" w:ascii="华文仿宋" w:hAnsi="华文仿宋" w:eastAsia="华文仿宋" w:cs="华文仿宋"/>
          <w:sz w:val="24"/>
          <w:highlight w:val="none"/>
        </w:rPr>
        <w:t>、我方已详细阅读和审查了全部招标文件，包括修改文件（如有）以及全部相关资料和有关附件，并对上述文件均无异议。如对招标文件有异议，已经在投标截止时间届满前依法进行了维权救济，不存在对招标文件有异议的同时又参加投标以求侥幸中标或者为实现其他非法目的的行为。</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五</w:t>
      </w:r>
      <w:r>
        <w:rPr>
          <w:rFonts w:hint="eastAsia" w:ascii="华文仿宋" w:hAnsi="华文仿宋" w:eastAsia="华文仿宋" w:cs="华文仿宋"/>
          <w:sz w:val="24"/>
          <w:highlight w:val="none"/>
        </w:rPr>
        <w:t>、与我方存在直接控股关系的单位为：</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或</w:t>
      </w:r>
      <w:r>
        <w:rPr>
          <w:rFonts w:hint="eastAsia" w:ascii="华文仿宋" w:hAnsi="华文仿宋" w:eastAsia="华文仿宋" w:cs="华文仿宋"/>
          <w:sz w:val="24"/>
          <w:highlight w:val="none"/>
          <w:u w:val="single"/>
        </w:rPr>
        <w:t>无</w:t>
      </w:r>
      <w:r>
        <w:rPr>
          <w:rFonts w:hint="eastAsia" w:ascii="华文仿宋" w:hAnsi="华文仿宋" w:eastAsia="华文仿宋" w:cs="华文仿宋"/>
          <w:sz w:val="24"/>
          <w:highlight w:val="none"/>
        </w:rPr>
        <w:t>；存在管理关系单位为：</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或</w:t>
      </w:r>
      <w:r>
        <w:rPr>
          <w:rFonts w:hint="eastAsia" w:ascii="华文仿宋" w:hAnsi="华文仿宋" w:eastAsia="华文仿宋" w:cs="华文仿宋"/>
          <w:sz w:val="24"/>
          <w:highlight w:val="none"/>
          <w:u w:val="single"/>
        </w:rPr>
        <w:t>无</w:t>
      </w:r>
      <w:r>
        <w:rPr>
          <w:rFonts w:hint="eastAsia" w:ascii="华文仿宋" w:hAnsi="华文仿宋" w:eastAsia="华文仿宋" w:cs="华文仿宋"/>
          <w:sz w:val="24"/>
          <w:highlight w:val="none"/>
        </w:rPr>
        <w:t>。</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六</w:t>
      </w:r>
      <w:r>
        <w:rPr>
          <w:rFonts w:hint="eastAsia" w:ascii="华文仿宋" w:hAnsi="华文仿宋" w:eastAsia="华文仿宋" w:cs="华文仿宋"/>
          <w:sz w:val="24"/>
          <w:highlight w:val="none"/>
        </w:rPr>
        <w:t>、为采购项目提供整体设计、规范编制或者项目管理、监理、检测等服务的投标人，不得再参加该采购项目的其他采购活动，我方承诺不属于此类禁止参加本项目的投标人。</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七</w:t>
      </w:r>
      <w:r>
        <w:rPr>
          <w:rFonts w:hint="eastAsia" w:ascii="华文仿宋" w:hAnsi="华文仿宋" w:eastAsia="华文仿宋" w:cs="华文仿宋"/>
          <w:sz w:val="24"/>
          <w:highlight w:val="none"/>
        </w:rPr>
        <w:t>、在参加本次采购活动中，不存在和其他</w:t>
      </w:r>
      <w:r>
        <w:rPr>
          <w:rFonts w:hint="eastAsia" w:ascii="华文仿宋" w:hAnsi="华文仿宋" w:eastAsia="华文仿宋" w:cs="华文仿宋"/>
          <w:sz w:val="24"/>
          <w:highlight w:val="none"/>
          <w:lang w:eastAsia="zh-CN"/>
        </w:rPr>
        <w:t>投标人</w:t>
      </w:r>
      <w:r>
        <w:rPr>
          <w:rFonts w:hint="eastAsia" w:ascii="华文仿宋" w:hAnsi="华文仿宋" w:eastAsia="华文仿宋" w:cs="华文仿宋"/>
          <w:sz w:val="24"/>
          <w:highlight w:val="none"/>
        </w:rPr>
        <w:t>在同一合同项下的采购项目中，同时委托同一个自然人、同一家庭的人员、同一单位的人员作为代理人的行为。</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八</w:t>
      </w:r>
      <w:r>
        <w:rPr>
          <w:rFonts w:hint="eastAsia" w:ascii="华文仿宋" w:hAnsi="华文仿宋" w:eastAsia="华文仿宋" w:cs="华文仿宋"/>
          <w:sz w:val="24"/>
          <w:highlight w:val="none"/>
        </w:rPr>
        <w:t>、我方实际控制人或者中高级管理人员或者其他工作人员，不存在同时是采购代理机构工作人员的情形。</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九</w:t>
      </w:r>
      <w:r>
        <w:rPr>
          <w:rFonts w:hint="eastAsia" w:ascii="华文仿宋" w:hAnsi="华文仿宋" w:eastAsia="华文仿宋" w:cs="华文仿宋"/>
          <w:sz w:val="24"/>
          <w:highlight w:val="none"/>
        </w:rPr>
        <w:t>、不存在同一母公司的两家以上的子公司，以不同</w:t>
      </w:r>
      <w:r>
        <w:rPr>
          <w:rFonts w:hint="eastAsia" w:ascii="华文仿宋" w:hAnsi="华文仿宋" w:eastAsia="华文仿宋" w:cs="华文仿宋"/>
          <w:sz w:val="24"/>
          <w:highlight w:val="none"/>
          <w:lang w:eastAsia="zh-CN"/>
        </w:rPr>
        <w:t>投标人</w:t>
      </w:r>
      <w:r>
        <w:rPr>
          <w:rFonts w:hint="eastAsia" w:ascii="华文仿宋" w:hAnsi="华文仿宋" w:eastAsia="华文仿宋" w:cs="华文仿宋"/>
          <w:sz w:val="24"/>
          <w:highlight w:val="none"/>
        </w:rPr>
        <w:t>身份同时参加本项目同一合同项下的采购活动的情形。</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十、我方与采购代理机构不存在关联关系，也不是采购代理机构的母公司或子公司。</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十</w:t>
      </w:r>
      <w:r>
        <w:rPr>
          <w:rFonts w:hint="eastAsia" w:ascii="华文仿宋" w:hAnsi="华文仿宋" w:eastAsia="华文仿宋" w:cs="华文仿宋"/>
          <w:sz w:val="24"/>
          <w:highlight w:val="none"/>
          <w:lang w:eastAsia="zh-CN"/>
        </w:rPr>
        <w:t>一</w:t>
      </w:r>
      <w:r>
        <w:rPr>
          <w:rFonts w:hint="eastAsia" w:ascii="华文仿宋" w:hAnsi="华文仿宋" w:eastAsia="华文仿宋" w:cs="华文仿宋"/>
          <w:sz w:val="24"/>
          <w:highlight w:val="none"/>
        </w:rPr>
        <w:t>、国家或行业主管部门对投标人和采购产品的技术标准、质量标准和资格资质条件等有强制性规定的，我方符合其要求。</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十</w:t>
      </w:r>
      <w:r>
        <w:rPr>
          <w:rFonts w:hint="eastAsia" w:ascii="华文仿宋" w:hAnsi="华文仿宋" w:eastAsia="华文仿宋" w:cs="华文仿宋"/>
          <w:sz w:val="24"/>
          <w:highlight w:val="none"/>
          <w:lang w:eastAsia="zh-CN"/>
        </w:rPr>
        <w:t>二</w:t>
      </w:r>
      <w:r>
        <w:rPr>
          <w:rFonts w:hint="eastAsia" w:ascii="华文仿宋" w:hAnsi="华文仿宋" w:eastAsia="华文仿宋" w:cs="华文仿宋"/>
          <w:sz w:val="24"/>
          <w:highlight w:val="none"/>
        </w:rPr>
        <w:t>、我方愿意提供贵单位可能另外要求的，与投标有关的文件资料，并保证我方已提供和将要提供的文件资料是真实、准确的。如本项目需要提供样品，则我方提供的样品即为中标后将要提供的中标产品，我方对样品的性能和质量负责，因样品存在缺陷或者不符合招标文件要求导致未能中标的，我方愿意承担相应不利后果。</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十</w:t>
      </w:r>
      <w:r>
        <w:rPr>
          <w:rFonts w:hint="eastAsia" w:ascii="华文仿宋" w:hAnsi="华文仿宋" w:eastAsia="华文仿宋" w:cs="华文仿宋"/>
          <w:sz w:val="24"/>
          <w:highlight w:val="none"/>
          <w:lang w:eastAsia="zh-CN"/>
        </w:rPr>
        <w:t>三</w:t>
      </w:r>
      <w:r>
        <w:rPr>
          <w:rFonts w:hint="eastAsia" w:ascii="华文仿宋" w:hAnsi="华文仿宋" w:eastAsia="华文仿宋" w:cs="华文仿宋"/>
          <w:sz w:val="24"/>
          <w:highlight w:val="none"/>
        </w:rPr>
        <w:t>、我方完全理解采购人不一定将合同授予最低报价的投标人的行为。</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十</w:t>
      </w:r>
      <w:r>
        <w:rPr>
          <w:rFonts w:hint="eastAsia" w:ascii="华文仿宋" w:hAnsi="华文仿宋" w:eastAsia="华文仿宋" w:cs="华文仿宋"/>
          <w:sz w:val="24"/>
          <w:highlight w:val="none"/>
          <w:lang w:eastAsia="zh-CN"/>
        </w:rPr>
        <w:t>四</w:t>
      </w:r>
      <w:r>
        <w:rPr>
          <w:rFonts w:hint="eastAsia" w:ascii="华文仿宋" w:hAnsi="华文仿宋" w:eastAsia="华文仿宋" w:cs="华文仿宋"/>
          <w:sz w:val="24"/>
          <w:highlight w:val="none"/>
        </w:rPr>
        <w:t>、我单位及其现任法定代表人、主要负责人不存在行贿犯罪记录。</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十</w:t>
      </w:r>
      <w:r>
        <w:rPr>
          <w:rFonts w:hint="eastAsia" w:ascii="华文仿宋" w:hAnsi="华文仿宋" w:eastAsia="华文仿宋" w:cs="华文仿宋"/>
          <w:sz w:val="24"/>
          <w:highlight w:val="none"/>
          <w:lang w:eastAsia="zh-CN"/>
        </w:rPr>
        <w:t>五</w:t>
      </w:r>
      <w:r>
        <w:rPr>
          <w:rFonts w:hint="eastAsia" w:ascii="华文仿宋" w:hAnsi="华文仿宋" w:eastAsia="华文仿宋" w:cs="华文仿宋"/>
          <w:sz w:val="24"/>
          <w:highlight w:val="none"/>
        </w:rPr>
        <w:t>、若我方中标，我方承诺按照本招标文件约定支付招标代理服务费，否则视为虚假应标并承担由此带来的一切后果。</w:t>
      </w:r>
    </w:p>
    <w:p>
      <w:pPr>
        <w:spacing w:line="360" w:lineRule="auto"/>
        <w:ind w:firstLine="480" w:firstLineChars="200"/>
        <w:rPr>
          <w:rFonts w:ascii="华文仿宋" w:hAnsi="华文仿宋" w:eastAsia="华文仿宋" w:cs="华文仿宋"/>
          <w:sz w:val="24"/>
          <w:highlight w:val="none"/>
        </w:rPr>
      </w:pP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（盖单位公章）</w:t>
      </w:r>
    </w:p>
    <w:p>
      <w:pPr>
        <w:spacing w:line="360" w:lineRule="auto"/>
        <w:ind w:firstLine="470" w:firstLineChars="196"/>
        <w:rPr>
          <w:rFonts w:ascii="华文仿宋" w:hAnsi="华文仿宋" w:eastAsia="华文仿宋" w:cs="华文仿宋"/>
          <w:sz w:val="24"/>
          <w:highlight w:val="none"/>
        </w:rPr>
      </w:pPr>
      <w:r>
        <w:rPr>
          <w:rFonts w:hint="eastAsia" w:ascii="华文仿宋" w:hAnsi="华文仿宋" w:eastAsia="华文仿宋" w:cs="华文仿宋"/>
          <w:sz w:val="24"/>
          <w:highlight w:val="none"/>
        </w:rPr>
        <w:t>法定代表人/单位负责人或授权代表：</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（签字或盖章）</w:t>
      </w:r>
    </w:p>
    <w:p>
      <w:pPr>
        <w:spacing w:line="360" w:lineRule="auto"/>
        <w:ind w:firstLine="470" w:firstLineChars="196"/>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通讯地址：</w:t>
      </w:r>
      <w:r>
        <w:rPr>
          <w:rFonts w:hint="eastAsia" w:ascii="华文仿宋" w:hAnsi="华文仿宋" w:eastAsia="华文仿宋" w:cs="华文仿宋"/>
          <w:sz w:val="24"/>
          <w:highlight w:val="none"/>
          <w:u w:val="single"/>
          <w:lang w:val="en-US" w:eastAsia="zh-CN"/>
        </w:rPr>
        <w:t xml:space="preserve">                      </w:t>
      </w:r>
    </w:p>
    <w:p>
      <w:pPr>
        <w:spacing w:line="360" w:lineRule="auto"/>
        <w:ind w:firstLine="470" w:firstLineChars="196"/>
        <w:rPr>
          <w:rFonts w:hint="eastAsia"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邮政编码：</w:t>
      </w:r>
      <w:r>
        <w:rPr>
          <w:rFonts w:hint="eastAsia" w:ascii="华文仿宋" w:hAnsi="华文仿宋" w:eastAsia="华文仿宋" w:cs="华文仿宋"/>
          <w:sz w:val="24"/>
          <w:highlight w:val="none"/>
          <w:u w:val="single"/>
          <w:lang w:val="en-US" w:eastAsia="zh-CN"/>
        </w:rPr>
        <w:t xml:space="preserve">                      </w:t>
      </w:r>
    </w:p>
    <w:p>
      <w:pPr>
        <w:spacing w:line="360" w:lineRule="auto"/>
        <w:ind w:firstLine="470" w:firstLineChars="196"/>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联系电话：</w:t>
      </w:r>
      <w:r>
        <w:rPr>
          <w:rFonts w:hint="eastAsia" w:ascii="华文仿宋" w:hAnsi="华文仿宋" w:eastAsia="华文仿宋" w:cs="华文仿宋"/>
          <w:sz w:val="24"/>
          <w:highlight w:val="none"/>
          <w:u w:val="single"/>
          <w:lang w:val="en-US" w:eastAsia="zh-CN"/>
        </w:rPr>
        <w:t xml:space="preserve">                      </w:t>
      </w:r>
    </w:p>
    <w:p>
      <w:pPr>
        <w:spacing w:line="360" w:lineRule="auto"/>
        <w:ind w:firstLine="470" w:firstLineChars="196"/>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传    真：</w:t>
      </w:r>
      <w:r>
        <w:rPr>
          <w:rFonts w:hint="eastAsia" w:ascii="华文仿宋" w:hAnsi="华文仿宋" w:eastAsia="华文仿宋" w:cs="华文仿宋"/>
          <w:sz w:val="24"/>
          <w:highlight w:val="none"/>
          <w:u w:val="single"/>
          <w:lang w:val="en-US" w:eastAsia="zh-CN"/>
        </w:rPr>
        <w:t xml:space="preserve">                      </w:t>
      </w:r>
    </w:p>
    <w:p>
      <w:pPr>
        <w:spacing w:line="360" w:lineRule="auto"/>
        <w:ind w:firstLine="480" w:firstLineChars="200"/>
        <w:rPr>
          <w:rFonts w:ascii="华文仿宋" w:hAnsi="华文仿宋" w:eastAsia="华文仿宋" w:cs="华文仿宋"/>
          <w:b/>
          <w:sz w:val="28"/>
          <w:szCs w:val="28"/>
          <w:highlight w:val="none"/>
        </w:rPr>
      </w:pPr>
      <w:r>
        <w:rPr>
          <w:rFonts w:hint="eastAsia" w:ascii="华文仿宋" w:hAnsi="华文仿宋" w:eastAsia="华文仿宋" w:cs="华文仿宋"/>
          <w:sz w:val="24"/>
          <w:highlight w:val="none"/>
        </w:rPr>
        <w:t>日    期：</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年</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日</w:t>
      </w:r>
    </w:p>
    <w:bookmarkEnd w:id="27"/>
    <w:p>
      <w:pPr>
        <w:widowControl/>
        <w:jc w:val="center"/>
        <w:rPr>
          <w:rFonts w:ascii="仿宋" w:hAnsi="仿宋" w:eastAsia="仿宋" w:cs="仿宋"/>
          <w:b/>
          <w:sz w:val="32"/>
          <w:szCs w:val="32"/>
          <w:highlight w:val="none"/>
        </w:rPr>
      </w:pPr>
    </w:p>
    <w:p>
      <w:pPr>
        <w:spacing w:line="360" w:lineRule="auto"/>
        <w:rPr>
          <w:rFonts w:ascii="仿宋" w:hAnsi="仿宋" w:eastAsia="仿宋" w:cs="仿宋"/>
          <w:b/>
          <w:sz w:val="28"/>
          <w:szCs w:val="28"/>
          <w:highlight w:val="none"/>
        </w:rPr>
      </w:pPr>
      <w:bookmarkStart w:id="28" w:name="_Toc217446087"/>
    </w:p>
    <w:p>
      <w:pPr>
        <w:widowControl/>
        <w:jc w:val="left"/>
        <w:rPr>
          <w:rFonts w:ascii="仿宋" w:hAnsi="仿宋" w:eastAsia="仿宋" w:cs="仿宋"/>
          <w:b/>
          <w:sz w:val="28"/>
          <w:szCs w:val="28"/>
          <w:highlight w:val="none"/>
        </w:rPr>
      </w:pPr>
    </w:p>
    <w:p>
      <w:pPr>
        <w:pStyle w:val="4"/>
        <w:jc w:val="center"/>
        <w:rPr>
          <w:rFonts w:ascii="仿宋" w:hAnsi="仿宋" w:eastAsia="仿宋" w:cs="仿宋"/>
          <w:bCs w:val="0"/>
          <w:highlight w:val="none"/>
        </w:rPr>
      </w:pPr>
      <w:r>
        <w:rPr>
          <w:rFonts w:hint="eastAsia" w:ascii="仿宋" w:hAnsi="仿宋" w:eastAsia="仿宋" w:cs="仿宋"/>
          <w:bCs w:val="0"/>
          <w:highlight w:val="none"/>
        </w:rPr>
        <w:br w:type="page"/>
      </w:r>
      <w:r>
        <w:rPr>
          <w:rFonts w:hint="eastAsia" w:ascii="仿宋" w:hAnsi="仿宋" w:eastAsia="仿宋" w:cs="仿宋"/>
          <w:bCs w:val="0"/>
          <w:highlight w:val="none"/>
        </w:rPr>
        <w:t>二、</w:t>
      </w:r>
      <w:r>
        <w:rPr>
          <w:rFonts w:hint="eastAsia" w:ascii="仿宋" w:hAnsi="仿宋" w:eastAsia="仿宋" w:cs="仿宋"/>
          <w:bCs w:val="0"/>
          <w:highlight w:val="none"/>
          <w:lang w:eastAsia="zh-CN"/>
        </w:rPr>
        <w:t>开标一览</w:t>
      </w:r>
      <w:r>
        <w:rPr>
          <w:rFonts w:hint="eastAsia" w:ascii="仿宋" w:hAnsi="仿宋" w:eastAsia="仿宋" w:cs="仿宋"/>
          <w:bCs w:val="0"/>
          <w:highlight w:val="none"/>
        </w:rPr>
        <w:t>表</w:t>
      </w:r>
    </w:p>
    <w:p>
      <w:pPr>
        <w:spacing w:line="480" w:lineRule="auto"/>
        <w:rPr>
          <w:rFonts w:ascii="仿宋" w:hAnsi="仿宋" w:eastAsia="仿宋" w:cs="仿宋"/>
          <w:sz w:val="24"/>
          <w:highlight w:val="none"/>
          <w:u w:val="single"/>
        </w:rPr>
      </w:pPr>
      <w:r>
        <w:rPr>
          <w:rFonts w:hint="eastAsia" w:ascii="仿宋" w:hAnsi="仿宋" w:eastAsia="仿宋" w:cs="仿宋"/>
          <w:sz w:val="24"/>
          <w:highlight w:val="none"/>
        </w:rPr>
        <w:t>采购项目名称：</w:t>
      </w:r>
      <w:r>
        <w:rPr>
          <w:rFonts w:hint="eastAsia" w:ascii="华文仿宋" w:hAnsi="华文仿宋" w:eastAsia="华文仿宋" w:cs="华文仿宋"/>
          <w:sz w:val="24"/>
          <w:highlight w:val="none"/>
          <w:u w:val="single"/>
          <w:lang w:val="en-US" w:eastAsia="zh-CN"/>
        </w:rPr>
        <w:t xml:space="preserve">                 </w:t>
      </w:r>
    </w:p>
    <w:p>
      <w:pPr>
        <w:pStyle w:val="2"/>
        <w:spacing w:line="480" w:lineRule="auto"/>
        <w:rPr>
          <w:rFonts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华文仿宋" w:hAnsi="华文仿宋" w:eastAsia="华文仿宋" w:cs="华文仿宋"/>
          <w:sz w:val="24"/>
          <w:highlight w:val="none"/>
          <w:u w:val="single"/>
          <w:lang w:val="en-US" w:eastAsia="zh-CN"/>
        </w:rPr>
        <w:t xml:space="preserve">                 </w:t>
      </w:r>
    </w:p>
    <w:tbl>
      <w:tblPr>
        <w:tblStyle w:val="15"/>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574"/>
        <w:gridCol w:w="2659"/>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4" w:type="dxa"/>
            <w:noWrap w:val="0"/>
            <w:vAlign w:val="center"/>
          </w:tcPr>
          <w:p>
            <w:pPr>
              <w:rPr>
                <w:rFonts w:hint="eastAsia" w:ascii="仿宋" w:hAnsi="仿宋" w:eastAsia="仿宋" w:cs="仿宋"/>
                <w:highlight w:val="none"/>
              </w:rPr>
            </w:pPr>
            <w:r>
              <w:rPr>
                <w:rFonts w:hint="eastAsia" w:ascii="仿宋" w:hAnsi="仿宋" w:eastAsia="仿宋" w:cs="仿宋"/>
                <w:highlight w:val="none"/>
              </w:rPr>
              <w:t>序号</w:t>
            </w:r>
          </w:p>
        </w:tc>
        <w:tc>
          <w:tcPr>
            <w:tcW w:w="2574" w:type="dxa"/>
            <w:noWrap w:val="0"/>
            <w:vAlign w:val="center"/>
          </w:tcPr>
          <w:p>
            <w:pPr>
              <w:rPr>
                <w:rFonts w:hint="eastAsia" w:ascii="仿宋" w:hAnsi="仿宋" w:eastAsia="仿宋" w:cs="仿宋"/>
                <w:highlight w:val="none"/>
              </w:rPr>
            </w:pPr>
            <w:r>
              <w:rPr>
                <w:rFonts w:hint="eastAsia" w:ascii="仿宋" w:hAnsi="仿宋" w:eastAsia="仿宋" w:cs="仿宋"/>
                <w:highlight w:val="none"/>
                <w:lang w:val="en-US" w:eastAsia="zh-CN"/>
              </w:rPr>
              <w:t>服务内容</w:t>
            </w:r>
          </w:p>
        </w:tc>
        <w:tc>
          <w:tcPr>
            <w:tcW w:w="2659" w:type="dxa"/>
            <w:noWrap w:val="0"/>
            <w:vAlign w:val="center"/>
          </w:tcPr>
          <w:p>
            <w:pPr>
              <w:rPr>
                <w:rFonts w:hint="eastAsia" w:ascii="仿宋" w:hAnsi="仿宋" w:eastAsia="仿宋" w:cs="仿宋"/>
                <w:highlight w:val="none"/>
              </w:rPr>
            </w:pPr>
            <w:r>
              <w:rPr>
                <w:rFonts w:hint="eastAsia" w:ascii="仿宋" w:hAnsi="仿宋" w:eastAsia="仿宋" w:cs="仿宋"/>
                <w:highlight w:val="none"/>
                <w:lang w:eastAsia="zh-CN"/>
              </w:rPr>
              <w:t>完成时间</w:t>
            </w:r>
          </w:p>
        </w:tc>
        <w:tc>
          <w:tcPr>
            <w:tcW w:w="3441" w:type="dxa"/>
            <w:noWrap w:val="0"/>
            <w:vAlign w:val="center"/>
          </w:tcPr>
          <w:p>
            <w:pPr>
              <w:rPr>
                <w:rFonts w:hint="eastAsia" w:ascii="仿宋" w:hAnsi="仿宋" w:eastAsia="仿宋" w:cs="仿宋"/>
                <w:highlight w:val="none"/>
                <w:lang w:eastAsia="zh-CN"/>
              </w:rPr>
            </w:pPr>
            <w:r>
              <w:rPr>
                <w:rFonts w:hint="eastAsia" w:ascii="仿宋" w:hAnsi="仿宋" w:eastAsia="仿宋" w:cs="仿宋"/>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4" w:type="dxa"/>
            <w:noWrap w:val="0"/>
            <w:vAlign w:val="center"/>
          </w:tcPr>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2574" w:type="dxa"/>
            <w:noWrap w:val="0"/>
            <w:vAlign w:val="center"/>
          </w:tcPr>
          <w:p>
            <w:pPr>
              <w:rPr>
                <w:rFonts w:hint="eastAsia" w:ascii="仿宋" w:hAnsi="仿宋" w:eastAsia="仿宋" w:cs="仿宋"/>
                <w:highlight w:val="none"/>
              </w:rPr>
            </w:pPr>
          </w:p>
        </w:tc>
        <w:tc>
          <w:tcPr>
            <w:tcW w:w="2659" w:type="dxa"/>
            <w:noWrap w:val="0"/>
            <w:vAlign w:val="center"/>
          </w:tcPr>
          <w:p>
            <w:pPr>
              <w:rPr>
                <w:rFonts w:hint="eastAsia" w:ascii="仿宋" w:hAnsi="仿宋" w:eastAsia="仿宋" w:cs="仿宋"/>
                <w:highlight w:val="none"/>
              </w:rPr>
            </w:pPr>
          </w:p>
        </w:tc>
        <w:tc>
          <w:tcPr>
            <w:tcW w:w="3441" w:type="dxa"/>
            <w:noWrap w:val="0"/>
            <w:vAlign w:val="center"/>
          </w:tcPr>
          <w:p>
            <w:pP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947" w:type="dxa"/>
            <w:gridSpan w:val="3"/>
            <w:noWrap w:val="0"/>
            <w:vAlign w:val="center"/>
          </w:tcPr>
          <w:p>
            <w:pPr>
              <w:jc w:val="center"/>
              <w:rPr>
                <w:rFonts w:hint="eastAsia" w:ascii="仿宋" w:hAnsi="仿宋" w:eastAsia="仿宋" w:cs="仿宋"/>
                <w:highlight w:val="none"/>
                <w:lang w:eastAsia="zh-CN"/>
              </w:rPr>
            </w:pPr>
            <w:r>
              <w:rPr>
                <w:rFonts w:hint="eastAsia" w:ascii="仿宋" w:hAnsi="仿宋" w:eastAsia="仿宋" w:cs="仿宋"/>
                <w:highlight w:val="none"/>
                <w:lang w:eastAsia="zh-CN"/>
              </w:rPr>
              <w:t>合计（元）</w:t>
            </w:r>
          </w:p>
        </w:tc>
        <w:tc>
          <w:tcPr>
            <w:tcW w:w="3441" w:type="dxa"/>
            <w:noWrap w:val="0"/>
            <w:vAlign w:val="center"/>
          </w:tcPr>
          <w:p>
            <w:pP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388" w:type="dxa"/>
            <w:gridSpan w:val="4"/>
            <w:noWrap w:val="0"/>
            <w:vAlign w:val="center"/>
          </w:tcPr>
          <w:p>
            <w:pPr>
              <w:rPr>
                <w:rFonts w:hint="default" w:ascii="仿宋" w:hAnsi="仿宋" w:eastAsia="仿宋" w:cs="仿宋"/>
                <w:highlight w:val="none"/>
                <w:lang w:val="en-US" w:eastAsia="zh-CN"/>
              </w:rPr>
            </w:pPr>
            <w:r>
              <w:rPr>
                <w:rFonts w:hint="eastAsia" w:ascii="仿宋" w:hAnsi="仿宋" w:eastAsia="仿宋" w:cs="仿宋"/>
                <w:highlight w:val="none"/>
                <w:lang w:val="en-US" w:eastAsia="zh-CN"/>
              </w:rPr>
              <w:t>总价：人民币大写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元</w:t>
            </w:r>
          </w:p>
        </w:tc>
      </w:tr>
    </w:tbl>
    <w:p>
      <w:pPr>
        <w:rPr>
          <w:rFonts w:ascii="仿宋" w:hAnsi="仿宋" w:eastAsia="仿宋" w:cs="仿宋"/>
          <w:highlight w:val="none"/>
        </w:rPr>
      </w:pPr>
    </w:p>
    <w:p>
      <w:pPr>
        <w:spacing w:line="360" w:lineRule="auto"/>
        <w:rPr>
          <w:rFonts w:ascii="仿宋" w:hAnsi="仿宋" w:eastAsia="仿宋" w:cs="仿宋"/>
          <w:highlight w:val="none"/>
        </w:rPr>
      </w:pPr>
      <w:r>
        <w:rPr>
          <w:rFonts w:hint="eastAsia" w:ascii="仿宋" w:hAnsi="仿宋" w:eastAsia="仿宋" w:cs="仿宋"/>
          <w:highlight w:val="none"/>
        </w:rPr>
        <w:t>注：</w:t>
      </w:r>
    </w:p>
    <w:p>
      <w:pPr>
        <w:spacing w:line="360" w:lineRule="auto"/>
        <w:rPr>
          <w:rFonts w:ascii="仿宋" w:hAnsi="仿宋" w:eastAsia="仿宋" w:cs="仿宋"/>
          <w:highlight w:val="none"/>
        </w:rPr>
      </w:pPr>
      <w:r>
        <w:rPr>
          <w:rFonts w:hint="eastAsia" w:ascii="仿宋" w:hAnsi="仿宋" w:eastAsia="仿宋" w:cs="仿宋"/>
          <w:highlight w:val="none"/>
        </w:rPr>
        <w:t>1．报价应是最终用户验收合格后的总价，包括设备运输、保险、代理、安装调试、培训、税费和招标文件规定的其它费用。</w:t>
      </w:r>
    </w:p>
    <w:p>
      <w:pPr>
        <w:spacing w:line="360" w:lineRule="auto"/>
        <w:rPr>
          <w:rFonts w:ascii="仿宋" w:hAnsi="仿宋" w:eastAsia="仿宋" w:cs="仿宋"/>
          <w:highlight w:val="none"/>
        </w:rPr>
      </w:pPr>
      <w:r>
        <w:rPr>
          <w:rFonts w:hint="eastAsia" w:ascii="仿宋" w:hAnsi="仿宋" w:eastAsia="仿宋" w:cs="仿宋"/>
          <w:highlight w:val="none"/>
        </w:rPr>
        <w:t>2．投标人必须按“开标一览表”的格式及招标所需货物（含相关服务）（招标文件第6 章）详细报出各类货物及服务的价格，不得漏报，否则视为已包含在投标总价中不再单独另行报价，不影响投标有效性。</w:t>
      </w:r>
    </w:p>
    <w:p>
      <w:pPr>
        <w:spacing w:line="360" w:lineRule="auto"/>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．“开标一览表”为多页的，每页均需加盖投标人公章，否则作无效投标处理。</w:t>
      </w:r>
    </w:p>
    <w:p>
      <w:pPr>
        <w:spacing w:line="360" w:lineRule="auto"/>
        <w:rPr>
          <w:rFonts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 xml:space="preserve">．如是进口设备，须在表格中标明“进口”。招标文件未明确“允许进口”的，供应商以进口产品进行投标时，将视为无效投标。   </w:t>
      </w:r>
    </w:p>
    <w:p>
      <w:pPr>
        <w:spacing w:line="360" w:lineRule="auto"/>
        <w:rPr>
          <w:rFonts w:ascii="仿宋" w:hAnsi="仿宋" w:eastAsia="仿宋" w:cs="仿宋"/>
          <w:highlight w:val="none"/>
          <w:u w:val="single"/>
        </w:rPr>
      </w:pPr>
      <w:r>
        <w:rPr>
          <w:rFonts w:hint="eastAsia" w:ascii="仿宋" w:hAnsi="仿宋" w:eastAsia="仿宋" w:cs="仿宋"/>
          <w:highlight w:val="none"/>
        </w:rPr>
        <w:t>投标人名称（公章）：</w:t>
      </w:r>
      <w:r>
        <w:rPr>
          <w:rFonts w:hint="eastAsia" w:ascii="华文仿宋" w:hAnsi="华文仿宋" w:eastAsia="华文仿宋" w:cs="华文仿宋"/>
          <w:bCs/>
          <w:sz w:val="24"/>
          <w:highlight w:val="none"/>
          <w:u w:val="single"/>
          <w:lang w:val="en-US" w:eastAsia="zh-CN"/>
        </w:rPr>
        <w:t xml:space="preserve">                     </w:t>
      </w:r>
    </w:p>
    <w:p>
      <w:pPr>
        <w:spacing w:line="360" w:lineRule="auto"/>
        <w:rPr>
          <w:rFonts w:ascii="仿宋" w:hAnsi="仿宋" w:eastAsia="仿宋" w:cs="仿宋"/>
          <w:highlight w:val="none"/>
          <w:u w:val="single"/>
        </w:rPr>
      </w:pPr>
      <w:r>
        <w:rPr>
          <w:rFonts w:hint="eastAsia" w:ascii="仿宋" w:hAnsi="仿宋" w:eastAsia="仿宋" w:cs="仿宋"/>
          <w:highlight w:val="none"/>
        </w:rPr>
        <w:t>法定代表人或代理人（签字或加盖印章）：</w:t>
      </w:r>
      <w:r>
        <w:rPr>
          <w:rFonts w:hint="eastAsia" w:ascii="华文仿宋" w:hAnsi="华文仿宋" w:eastAsia="华文仿宋" w:cs="华文仿宋"/>
          <w:bCs/>
          <w:sz w:val="24"/>
          <w:highlight w:val="none"/>
          <w:u w:val="single"/>
          <w:lang w:val="en-US" w:eastAsia="zh-CN"/>
        </w:rPr>
        <w:t xml:space="preserve">                     </w:t>
      </w:r>
    </w:p>
    <w:p>
      <w:pPr>
        <w:spacing w:line="360" w:lineRule="auto"/>
        <w:jc w:val="left"/>
        <w:rPr>
          <w:rFonts w:ascii="仿宋" w:hAnsi="仿宋" w:eastAsia="仿宋" w:cs="仿宋"/>
          <w:highlight w:val="none"/>
          <w:u w:val="single"/>
        </w:rPr>
      </w:pPr>
      <w:r>
        <w:rPr>
          <w:rFonts w:hint="eastAsia" w:ascii="仿宋" w:hAnsi="仿宋" w:eastAsia="仿宋" w:cs="仿宋"/>
          <w:highlight w:val="none"/>
        </w:rPr>
        <w:t>日期:</w:t>
      </w:r>
      <w:r>
        <w:rPr>
          <w:rFonts w:hint="eastAsia" w:ascii="华文仿宋" w:hAnsi="华文仿宋" w:eastAsia="华文仿宋" w:cs="华文仿宋"/>
          <w:bCs/>
          <w:sz w:val="24"/>
          <w:highlight w:val="none"/>
          <w:u w:val="single"/>
          <w:lang w:val="en-US" w:eastAsia="zh-CN"/>
        </w:rPr>
        <w:t xml:space="preserve">                     </w:t>
      </w:r>
      <w:r>
        <w:rPr>
          <w:rFonts w:hint="eastAsia" w:ascii="仿宋" w:hAnsi="仿宋" w:eastAsia="仿宋" w:cs="仿宋"/>
          <w:highlight w:val="none"/>
        </w:rPr>
        <w:t xml:space="preserve"> </w:t>
      </w:r>
    </w:p>
    <w:p>
      <w:pPr>
        <w:pStyle w:val="4"/>
        <w:jc w:val="center"/>
        <w:rPr>
          <w:rFonts w:ascii="仿宋" w:hAnsi="仿宋" w:eastAsia="仿宋" w:cs="仿宋"/>
          <w:sz w:val="24"/>
          <w:highlight w:val="none"/>
        </w:rPr>
      </w:pPr>
      <w:r>
        <w:rPr>
          <w:rFonts w:hint="eastAsia" w:ascii="仿宋" w:hAnsi="仿宋" w:eastAsia="仿宋" w:cs="仿宋"/>
          <w:sz w:val="24"/>
          <w:highlight w:val="none"/>
        </w:rPr>
        <w:br w:type="page"/>
      </w:r>
    </w:p>
    <w:p>
      <w:pPr>
        <w:pStyle w:val="4"/>
        <w:jc w:val="center"/>
        <w:rPr>
          <w:rFonts w:hint="eastAsia" w:ascii="仿宋" w:hAnsi="仿宋" w:eastAsia="仿宋" w:cs="仿宋"/>
          <w:bCs w:val="0"/>
          <w:highlight w:val="none"/>
          <w:lang w:eastAsia="zh-CN"/>
        </w:rPr>
      </w:pPr>
      <w:r>
        <w:rPr>
          <w:rFonts w:hint="eastAsia" w:ascii="仿宋" w:hAnsi="仿宋" w:eastAsia="仿宋" w:cs="仿宋"/>
          <w:bCs w:val="0"/>
          <w:highlight w:val="none"/>
          <w:lang w:eastAsia="zh-CN"/>
        </w:rPr>
        <w:t>三、服务应答表</w:t>
      </w:r>
    </w:p>
    <w:p>
      <w:pPr>
        <w:spacing w:line="480" w:lineRule="auto"/>
        <w:rPr>
          <w:rFonts w:ascii="仿宋" w:hAnsi="仿宋" w:eastAsia="仿宋" w:cs="仿宋"/>
          <w:sz w:val="24"/>
          <w:highlight w:val="none"/>
          <w:u w:val="single"/>
        </w:rPr>
      </w:pPr>
      <w:r>
        <w:rPr>
          <w:rFonts w:hint="eastAsia" w:ascii="仿宋" w:hAnsi="仿宋" w:eastAsia="仿宋" w:cs="仿宋"/>
          <w:sz w:val="24"/>
          <w:highlight w:val="none"/>
        </w:rPr>
        <w:t>采购项目名称：</w:t>
      </w:r>
      <w:r>
        <w:rPr>
          <w:rFonts w:hint="eastAsia" w:ascii="华文仿宋" w:hAnsi="华文仿宋" w:eastAsia="华文仿宋" w:cs="华文仿宋"/>
          <w:sz w:val="24"/>
          <w:highlight w:val="none"/>
          <w:u w:val="single"/>
          <w:lang w:val="en-US" w:eastAsia="zh-CN"/>
        </w:rPr>
        <w:t xml:space="preserve">               </w:t>
      </w:r>
    </w:p>
    <w:p>
      <w:pPr>
        <w:pStyle w:val="2"/>
        <w:spacing w:line="480" w:lineRule="auto"/>
        <w:rPr>
          <w:rFonts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华文仿宋" w:hAnsi="华文仿宋" w:eastAsia="华文仿宋" w:cs="华文仿宋"/>
          <w:sz w:val="24"/>
          <w:highlight w:val="none"/>
          <w:u w:val="single"/>
          <w:lang w:val="en-US" w:eastAsia="zh-CN"/>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3716"/>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序号</w:t>
            </w:r>
          </w:p>
        </w:tc>
        <w:tc>
          <w:tcPr>
            <w:tcW w:w="3716" w:type="dxa"/>
            <w:vAlign w:val="center"/>
          </w:tcPr>
          <w:p>
            <w:pPr>
              <w:jc w:val="center"/>
              <w:rPr>
                <w:rFonts w:ascii="仿宋" w:hAnsi="仿宋" w:eastAsia="仿宋" w:cs="仿宋"/>
                <w:sz w:val="24"/>
                <w:highlight w:val="none"/>
              </w:rPr>
            </w:pPr>
            <w:r>
              <w:rPr>
                <w:rFonts w:hint="eastAsia" w:ascii="仿宋" w:hAnsi="仿宋" w:eastAsia="仿宋" w:cs="仿宋"/>
                <w:sz w:val="24"/>
                <w:highlight w:val="none"/>
                <w:lang w:eastAsia="zh-CN"/>
              </w:rPr>
              <w:t>服务</w:t>
            </w:r>
            <w:r>
              <w:rPr>
                <w:rFonts w:hint="eastAsia" w:ascii="仿宋" w:hAnsi="仿宋" w:eastAsia="仿宋" w:cs="仿宋"/>
                <w:sz w:val="24"/>
                <w:highlight w:val="none"/>
              </w:rPr>
              <w:t>要求</w:t>
            </w:r>
          </w:p>
        </w:tc>
        <w:tc>
          <w:tcPr>
            <w:tcW w:w="279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投标文件应答情况</w:t>
            </w:r>
          </w:p>
        </w:tc>
        <w:tc>
          <w:tcPr>
            <w:tcW w:w="279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3" w:type="dxa"/>
          </w:tcPr>
          <w:p>
            <w:pPr>
              <w:jc w:val="center"/>
              <w:rPr>
                <w:rFonts w:ascii="仿宋" w:hAnsi="仿宋" w:eastAsia="仿宋" w:cs="仿宋"/>
                <w:sz w:val="24"/>
                <w:highlight w:val="none"/>
              </w:rPr>
            </w:pPr>
          </w:p>
        </w:tc>
        <w:tc>
          <w:tcPr>
            <w:tcW w:w="3716" w:type="dxa"/>
          </w:tcPr>
          <w:p>
            <w:pPr>
              <w:jc w:val="center"/>
              <w:rPr>
                <w:rFonts w:ascii="仿宋" w:hAnsi="仿宋" w:eastAsia="仿宋" w:cs="仿宋"/>
                <w:sz w:val="24"/>
                <w:highlight w:val="none"/>
              </w:rPr>
            </w:pPr>
          </w:p>
        </w:tc>
        <w:tc>
          <w:tcPr>
            <w:tcW w:w="2795" w:type="dxa"/>
          </w:tcPr>
          <w:p>
            <w:pPr>
              <w:jc w:val="center"/>
              <w:rPr>
                <w:rFonts w:ascii="仿宋" w:hAnsi="仿宋" w:eastAsia="仿宋" w:cs="仿宋"/>
                <w:sz w:val="24"/>
                <w:highlight w:val="none"/>
              </w:rPr>
            </w:pPr>
          </w:p>
        </w:tc>
        <w:tc>
          <w:tcPr>
            <w:tcW w:w="2795" w:type="dxa"/>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3" w:type="dxa"/>
          </w:tcPr>
          <w:p>
            <w:pPr>
              <w:jc w:val="center"/>
              <w:rPr>
                <w:rFonts w:ascii="仿宋" w:hAnsi="仿宋" w:eastAsia="仿宋" w:cs="仿宋"/>
                <w:sz w:val="24"/>
                <w:highlight w:val="none"/>
              </w:rPr>
            </w:pPr>
          </w:p>
        </w:tc>
        <w:tc>
          <w:tcPr>
            <w:tcW w:w="3716" w:type="dxa"/>
          </w:tcPr>
          <w:p>
            <w:pPr>
              <w:jc w:val="center"/>
              <w:rPr>
                <w:rFonts w:ascii="仿宋" w:hAnsi="仿宋" w:eastAsia="仿宋" w:cs="仿宋"/>
                <w:sz w:val="24"/>
                <w:highlight w:val="none"/>
              </w:rPr>
            </w:pPr>
          </w:p>
        </w:tc>
        <w:tc>
          <w:tcPr>
            <w:tcW w:w="2795" w:type="dxa"/>
          </w:tcPr>
          <w:p>
            <w:pPr>
              <w:jc w:val="center"/>
              <w:rPr>
                <w:rFonts w:ascii="仿宋" w:hAnsi="仿宋" w:eastAsia="仿宋" w:cs="仿宋"/>
                <w:sz w:val="24"/>
                <w:highlight w:val="none"/>
              </w:rPr>
            </w:pPr>
          </w:p>
        </w:tc>
        <w:tc>
          <w:tcPr>
            <w:tcW w:w="2795" w:type="dxa"/>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3" w:type="dxa"/>
          </w:tcPr>
          <w:p>
            <w:pPr>
              <w:jc w:val="center"/>
              <w:rPr>
                <w:rFonts w:ascii="仿宋" w:hAnsi="仿宋" w:eastAsia="仿宋" w:cs="仿宋"/>
                <w:sz w:val="24"/>
                <w:highlight w:val="none"/>
              </w:rPr>
            </w:pPr>
          </w:p>
        </w:tc>
        <w:tc>
          <w:tcPr>
            <w:tcW w:w="3716" w:type="dxa"/>
          </w:tcPr>
          <w:p>
            <w:pPr>
              <w:jc w:val="center"/>
              <w:rPr>
                <w:rFonts w:ascii="仿宋" w:hAnsi="仿宋" w:eastAsia="仿宋" w:cs="仿宋"/>
                <w:sz w:val="24"/>
                <w:highlight w:val="none"/>
              </w:rPr>
            </w:pPr>
          </w:p>
        </w:tc>
        <w:tc>
          <w:tcPr>
            <w:tcW w:w="2795" w:type="dxa"/>
          </w:tcPr>
          <w:p>
            <w:pPr>
              <w:jc w:val="center"/>
              <w:rPr>
                <w:rFonts w:ascii="仿宋" w:hAnsi="仿宋" w:eastAsia="仿宋" w:cs="仿宋"/>
                <w:sz w:val="24"/>
                <w:highlight w:val="none"/>
              </w:rPr>
            </w:pPr>
          </w:p>
        </w:tc>
        <w:tc>
          <w:tcPr>
            <w:tcW w:w="2795" w:type="dxa"/>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3" w:type="dxa"/>
          </w:tcPr>
          <w:p>
            <w:pPr>
              <w:jc w:val="center"/>
              <w:rPr>
                <w:rFonts w:ascii="仿宋" w:hAnsi="仿宋" w:eastAsia="仿宋" w:cs="仿宋"/>
                <w:sz w:val="24"/>
                <w:highlight w:val="none"/>
              </w:rPr>
            </w:pPr>
          </w:p>
        </w:tc>
        <w:tc>
          <w:tcPr>
            <w:tcW w:w="3716" w:type="dxa"/>
          </w:tcPr>
          <w:p>
            <w:pPr>
              <w:jc w:val="center"/>
              <w:rPr>
                <w:rFonts w:ascii="仿宋" w:hAnsi="仿宋" w:eastAsia="仿宋" w:cs="仿宋"/>
                <w:sz w:val="24"/>
                <w:highlight w:val="none"/>
              </w:rPr>
            </w:pPr>
          </w:p>
        </w:tc>
        <w:tc>
          <w:tcPr>
            <w:tcW w:w="2795" w:type="dxa"/>
          </w:tcPr>
          <w:p>
            <w:pPr>
              <w:jc w:val="center"/>
              <w:rPr>
                <w:rFonts w:ascii="仿宋" w:hAnsi="仿宋" w:eastAsia="仿宋" w:cs="仿宋"/>
                <w:sz w:val="24"/>
                <w:highlight w:val="none"/>
              </w:rPr>
            </w:pPr>
          </w:p>
        </w:tc>
        <w:tc>
          <w:tcPr>
            <w:tcW w:w="2795" w:type="dxa"/>
          </w:tcPr>
          <w:p>
            <w:pPr>
              <w:jc w:val="center"/>
              <w:rPr>
                <w:rFonts w:ascii="仿宋" w:hAnsi="仿宋" w:eastAsia="仿宋" w:cs="仿宋"/>
                <w:sz w:val="24"/>
                <w:highlight w:val="none"/>
              </w:rPr>
            </w:pPr>
          </w:p>
        </w:tc>
      </w:tr>
    </w:tbl>
    <w:p>
      <w:pPr>
        <w:ind w:firstLine="482" w:firstLineChars="200"/>
        <w:rPr>
          <w:rFonts w:ascii="仿宋" w:hAnsi="仿宋" w:eastAsia="仿宋" w:cs="仿宋"/>
          <w:b/>
          <w:sz w:val="24"/>
          <w:highlight w:val="none"/>
        </w:rPr>
      </w:pPr>
    </w:p>
    <w:p>
      <w:pPr>
        <w:pStyle w:val="31"/>
        <w:rPr>
          <w:rFonts w:ascii="仿宋" w:hAnsi="仿宋" w:eastAsia="仿宋" w:cs="仿宋"/>
          <w:b w:val="0"/>
          <w:highlight w:val="none"/>
        </w:rPr>
      </w:pPr>
      <w:r>
        <w:rPr>
          <w:rFonts w:hint="eastAsia" w:ascii="仿宋" w:hAnsi="仿宋" w:eastAsia="仿宋" w:cs="仿宋"/>
          <w:b w:val="0"/>
          <w:highlight w:val="none"/>
        </w:rPr>
        <w:t>注：投标人</w:t>
      </w:r>
      <w:r>
        <w:rPr>
          <w:rFonts w:hint="eastAsia" w:ascii="仿宋" w:hAnsi="仿宋" w:eastAsia="仿宋" w:cs="仿宋"/>
          <w:b w:val="0"/>
          <w:highlight w:val="none"/>
          <w:lang w:eastAsia="zh-CN"/>
        </w:rPr>
        <w:t>根据招标文件第六章中的内容逐一应答，</w:t>
      </w:r>
      <w:r>
        <w:rPr>
          <w:rFonts w:hint="eastAsia" w:ascii="仿宋" w:hAnsi="仿宋" w:eastAsia="仿宋" w:cs="仿宋"/>
          <w:b w:val="0"/>
          <w:highlight w:val="none"/>
        </w:rPr>
        <w:t>须据实填写，不得虚假应答，否则将取消其成交资格。如未在此表中应答，视为完全响应不存在任何偏离。投标人不得以未作应答而拒不接受。</w:t>
      </w:r>
    </w:p>
    <w:p>
      <w:pPr>
        <w:adjustRightInd w:val="0"/>
        <w:spacing w:line="360" w:lineRule="auto"/>
        <w:ind w:firstLine="480" w:firstLineChars="200"/>
        <w:jc w:val="left"/>
        <w:rPr>
          <w:rFonts w:ascii="仿宋" w:hAnsi="仿宋" w:eastAsia="仿宋" w:cs="仿宋"/>
          <w:sz w:val="24"/>
          <w:highlight w:val="none"/>
        </w:rPr>
      </w:pP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（盖单位公章）</w:t>
      </w:r>
    </w:p>
    <w:p>
      <w:pPr>
        <w:spacing w:line="360" w:lineRule="auto"/>
        <w:ind w:firstLine="470" w:firstLineChars="196"/>
        <w:rPr>
          <w:rFonts w:ascii="华文仿宋" w:hAnsi="华文仿宋" w:eastAsia="华文仿宋" w:cs="华文仿宋"/>
          <w:sz w:val="24"/>
          <w:highlight w:val="none"/>
        </w:rPr>
      </w:pPr>
      <w:r>
        <w:rPr>
          <w:rFonts w:hint="eastAsia" w:ascii="华文仿宋" w:hAnsi="华文仿宋" w:eastAsia="华文仿宋" w:cs="华文仿宋"/>
          <w:sz w:val="24"/>
          <w:highlight w:val="none"/>
        </w:rPr>
        <w:t>法定代表人/单位负责人或授权代表：</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（签字或盖章）</w:t>
      </w:r>
    </w:p>
    <w:p>
      <w:pPr>
        <w:spacing w:line="360" w:lineRule="auto"/>
        <w:ind w:firstLine="480" w:firstLineChars="200"/>
        <w:rPr>
          <w:rFonts w:ascii="华文仿宋" w:hAnsi="华文仿宋" w:eastAsia="华文仿宋" w:cs="华文仿宋"/>
          <w:b/>
          <w:sz w:val="24"/>
          <w:highlight w:val="none"/>
        </w:rPr>
      </w:pPr>
      <w:r>
        <w:rPr>
          <w:rFonts w:hint="eastAsia" w:ascii="华文仿宋" w:hAnsi="华文仿宋" w:eastAsia="华文仿宋" w:cs="华文仿宋"/>
          <w:sz w:val="24"/>
          <w:highlight w:val="none"/>
        </w:rPr>
        <w:t>日    期：</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年</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日</w:t>
      </w:r>
    </w:p>
    <w:p>
      <w:pPr>
        <w:pStyle w:val="4"/>
        <w:jc w:val="center"/>
        <w:rPr>
          <w:rFonts w:ascii="仿宋" w:hAnsi="仿宋" w:eastAsia="仿宋" w:cs="仿宋"/>
          <w:bCs w:val="0"/>
          <w:highlight w:val="none"/>
        </w:rPr>
      </w:pPr>
      <w:r>
        <w:rPr>
          <w:rFonts w:hint="eastAsia" w:ascii="仿宋" w:hAnsi="仿宋" w:eastAsia="仿宋" w:cs="仿宋"/>
          <w:sz w:val="24"/>
          <w:highlight w:val="none"/>
        </w:rPr>
        <w:br w:type="page"/>
      </w:r>
      <w:r>
        <w:rPr>
          <w:rFonts w:hint="eastAsia" w:ascii="仿宋" w:hAnsi="仿宋" w:eastAsia="仿宋" w:cs="仿宋"/>
          <w:bCs w:val="0"/>
          <w:highlight w:val="none"/>
          <w:lang w:eastAsia="zh-CN"/>
        </w:rPr>
        <w:t>四</w:t>
      </w:r>
      <w:r>
        <w:rPr>
          <w:rFonts w:hint="eastAsia" w:ascii="仿宋" w:hAnsi="仿宋" w:eastAsia="仿宋" w:cs="仿宋"/>
          <w:bCs w:val="0"/>
          <w:highlight w:val="none"/>
        </w:rPr>
        <w:t>、投标人基本情况表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投标人名称</w:t>
            </w:r>
          </w:p>
        </w:tc>
        <w:tc>
          <w:tcPr>
            <w:tcW w:w="7560" w:type="dxa"/>
            <w:gridSpan w:val="11"/>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注册地址</w:t>
            </w:r>
          </w:p>
        </w:tc>
        <w:tc>
          <w:tcPr>
            <w:tcW w:w="4680" w:type="dxa"/>
            <w:gridSpan w:val="6"/>
            <w:vAlign w:val="center"/>
          </w:tcPr>
          <w:p>
            <w:pPr>
              <w:jc w:val="center"/>
              <w:rPr>
                <w:rFonts w:ascii="仿宋" w:hAnsi="仿宋" w:eastAsia="仿宋" w:cs="仿宋"/>
                <w:bCs/>
                <w:szCs w:val="21"/>
                <w:highlight w:val="none"/>
              </w:rPr>
            </w:pPr>
          </w:p>
        </w:tc>
        <w:tc>
          <w:tcPr>
            <w:tcW w:w="126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邮政编码</w:t>
            </w:r>
          </w:p>
        </w:tc>
        <w:tc>
          <w:tcPr>
            <w:tcW w:w="1620" w:type="dxa"/>
            <w:gridSpan w:val="2"/>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联系方式</w:t>
            </w:r>
          </w:p>
        </w:tc>
        <w:tc>
          <w:tcPr>
            <w:tcW w:w="108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联系人</w:t>
            </w:r>
          </w:p>
        </w:tc>
        <w:tc>
          <w:tcPr>
            <w:tcW w:w="3600" w:type="dxa"/>
            <w:gridSpan w:val="5"/>
            <w:vAlign w:val="center"/>
          </w:tcPr>
          <w:p>
            <w:pPr>
              <w:jc w:val="center"/>
              <w:rPr>
                <w:rFonts w:ascii="仿宋" w:hAnsi="仿宋" w:eastAsia="仿宋" w:cs="仿宋"/>
                <w:bCs/>
                <w:szCs w:val="21"/>
                <w:highlight w:val="none"/>
              </w:rPr>
            </w:pPr>
          </w:p>
        </w:tc>
        <w:tc>
          <w:tcPr>
            <w:tcW w:w="126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联系电话</w:t>
            </w:r>
          </w:p>
        </w:tc>
        <w:tc>
          <w:tcPr>
            <w:tcW w:w="1620" w:type="dxa"/>
            <w:gridSpan w:val="2"/>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仿宋"/>
                <w:bCs/>
                <w:szCs w:val="21"/>
                <w:highlight w:val="none"/>
              </w:rPr>
            </w:pPr>
          </w:p>
        </w:tc>
        <w:tc>
          <w:tcPr>
            <w:tcW w:w="108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传真</w:t>
            </w:r>
          </w:p>
        </w:tc>
        <w:tc>
          <w:tcPr>
            <w:tcW w:w="3600" w:type="dxa"/>
            <w:gridSpan w:val="5"/>
            <w:vAlign w:val="center"/>
          </w:tcPr>
          <w:p>
            <w:pPr>
              <w:jc w:val="center"/>
              <w:rPr>
                <w:rFonts w:ascii="仿宋" w:hAnsi="仿宋" w:eastAsia="仿宋" w:cs="仿宋"/>
                <w:bCs/>
                <w:szCs w:val="21"/>
                <w:highlight w:val="none"/>
              </w:rPr>
            </w:pPr>
          </w:p>
        </w:tc>
        <w:tc>
          <w:tcPr>
            <w:tcW w:w="126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网址</w:t>
            </w:r>
          </w:p>
        </w:tc>
        <w:tc>
          <w:tcPr>
            <w:tcW w:w="1620" w:type="dxa"/>
            <w:gridSpan w:val="2"/>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组织结构</w:t>
            </w:r>
          </w:p>
        </w:tc>
        <w:tc>
          <w:tcPr>
            <w:tcW w:w="7560" w:type="dxa"/>
            <w:gridSpan w:val="11"/>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（若无涉及可不填写此项或“/”）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法定代表人/单位负责人</w:t>
            </w:r>
          </w:p>
        </w:tc>
        <w:tc>
          <w:tcPr>
            <w:tcW w:w="1260" w:type="dxa"/>
            <w:gridSpan w:val="2"/>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姓名</w:t>
            </w:r>
          </w:p>
        </w:tc>
        <w:tc>
          <w:tcPr>
            <w:tcW w:w="1260" w:type="dxa"/>
            <w:vAlign w:val="center"/>
          </w:tcPr>
          <w:p>
            <w:pPr>
              <w:jc w:val="center"/>
              <w:rPr>
                <w:rFonts w:ascii="仿宋" w:hAnsi="仿宋" w:eastAsia="仿宋" w:cs="仿宋"/>
                <w:bCs/>
                <w:szCs w:val="21"/>
                <w:highlight w:val="none"/>
              </w:rPr>
            </w:pPr>
          </w:p>
        </w:tc>
        <w:tc>
          <w:tcPr>
            <w:tcW w:w="126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技术职称</w:t>
            </w:r>
          </w:p>
        </w:tc>
        <w:tc>
          <w:tcPr>
            <w:tcW w:w="1260" w:type="dxa"/>
            <w:gridSpan w:val="3"/>
            <w:vAlign w:val="center"/>
          </w:tcPr>
          <w:p>
            <w:pPr>
              <w:jc w:val="center"/>
              <w:rPr>
                <w:rFonts w:ascii="仿宋" w:hAnsi="仿宋" w:eastAsia="仿宋" w:cs="仿宋"/>
                <w:bCs/>
                <w:szCs w:val="21"/>
                <w:highlight w:val="none"/>
              </w:rPr>
            </w:pPr>
          </w:p>
        </w:tc>
        <w:tc>
          <w:tcPr>
            <w:tcW w:w="126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联系电话</w:t>
            </w:r>
          </w:p>
        </w:tc>
        <w:tc>
          <w:tcPr>
            <w:tcW w:w="1260" w:type="dxa"/>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技术负责人</w:t>
            </w:r>
          </w:p>
        </w:tc>
        <w:tc>
          <w:tcPr>
            <w:tcW w:w="1260" w:type="dxa"/>
            <w:gridSpan w:val="2"/>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姓名</w:t>
            </w:r>
          </w:p>
        </w:tc>
        <w:tc>
          <w:tcPr>
            <w:tcW w:w="1260" w:type="dxa"/>
            <w:vAlign w:val="center"/>
          </w:tcPr>
          <w:p>
            <w:pPr>
              <w:jc w:val="center"/>
              <w:rPr>
                <w:rFonts w:ascii="仿宋" w:hAnsi="仿宋" w:eastAsia="仿宋" w:cs="仿宋"/>
                <w:bCs/>
                <w:szCs w:val="21"/>
                <w:highlight w:val="none"/>
              </w:rPr>
            </w:pPr>
          </w:p>
        </w:tc>
        <w:tc>
          <w:tcPr>
            <w:tcW w:w="126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技术职称</w:t>
            </w:r>
          </w:p>
        </w:tc>
        <w:tc>
          <w:tcPr>
            <w:tcW w:w="1260" w:type="dxa"/>
            <w:gridSpan w:val="3"/>
            <w:vAlign w:val="center"/>
          </w:tcPr>
          <w:p>
            <w:pPr>
              <w:jc w:val="center"/>
              <w:rPr>
                <w:rFonts w:ascii="仿宋" w:hAnsi="仿宋" w:eastAsia="仿宋" w:cs="仿宋"/>
                <w:bCs/>
                <w:szCs w:val="21"/>
                <w:highlight w:val="none"/>
              </w:rPr>
            </w:pPr>
          </w:p>
        </w:tc>
        <w:tc>
          <w:tcPr>
            <w:tcW w:w="126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联系电话</w:t>
            </w:r>
          </w:p>
        </w:tc>
        <w:tc>
          <w:tcPr>
            <w:tcW w:w="1260" w:type="dxa"/>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成立时间</w:t>
            </w:r>
          </w:p>
        </w:tc>
        <w:tc>
          <w:tcPr>
            <w:tcW w:w="2520" w:type="dxa"/>
            <w:gridSpan w:val="3"/>
            <w:vAlign w:val="center"/>
          </w:tcPr>
          <w:p>
            <w:pPr>
              <w:jc w:val="center"/>
              <w:rPr>
                <w:rFonts w:ascii="仿宋" w:hAnsi="仿宋" w:eastAsia="仿宋" w:cs="仿宋"/>
                <w:bCs/>
                <w:szCs w:val="21"/>
                <w:highlight w:val="none"/>
              </w:rPr>
            </w:pPr>
          </w:p>
        </w:tc>
        <w:tc>
          <w:tcPr>
            <w:tcW w:w="5040" w:type="dxa"/>
            <w:gridSpan w:val="8"/>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企业资质等级</w:t>
            </w:r>
          </w:p>
        </w:tc>
        <w:tc>
          <w:tcPr>
            <w:tcW w:w="2520" w:type="dxa"/>
            <w:gridSpan w:val="3"/>
            <w:vAlign w:val="center"/>
          </w:tcPr>
          <w:p>
            <w:pPr>
              <w:jc w:val="center"/>
              <w:rPr>
                <w:rFonts w:ascii="仿宋" w:hAnsi="仿宋" w:eastAsia="仿宋" w:cs="仿宋"/>
                <w:bCs/>
                <w:szCs w:val="21"/>
                <w:highlight w:val="none"/>
              </w:rPr>
            </w:pPr>
          </w:p>
        </w:tc>
        <w:tc>
          <w:tcPr>
            <w:tcW w:w="1680" w:type="dxa"/>
            <w:gridSpan w:val="2"/>
            <w:vMerge w:val="restart"/>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其中</w:t>
            </w:r>
          </w:p>
        </w:tc>
        <w:tc>
          <w:tcPr>
            <w:tcW w:w="168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项目经理</w:t>
            </w:r>
          </w:p>
        </w:tc>
        <w:tc>
          <w:tcPr>
            <w:tcW w:w="1680" w:type="dxa"/>
            <w:gridSpan w:val="3"/>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营业执照</w:t>
            </w:r>
            <w:r>
              <w:rPr>
                <w:rFonts w:hint="eastAsia" w:ascii="仿宋" w:hAnsi="仿宋" w:eastAsia="仿宋" w:cs="仿宋"/>
                <w:highlight w:val="none"/>
              </w:rPr>
              <w:t>号</w:t>
            </w:r>
          </w:p>
        </w:tc>
        <w:tc>
          <w:tcPr>
            <w:tcW w:w="2520" w:type="dxa"/>
            <w:gridSpan w:val="3"/>
            <w:vAlign w:val="center"/>
          </w:tcPr>
          <w:p>
            <w:pPr>
              <w:jc w:val="center"/>
              <w:rPr>
                <w:rFonts w:ascii="仿宋" w:hAnsi="仿宋" w:eastAsia="仿宋" w:cs="仿宋"/>
                <w:bCs/>
                <w:szCs w:val="21"/>
                <w:highlight w:val="none"/>
              </w:rPr>
            </w:pPr>
          </w:p>
        </w:tc>
        <w:tc>
          <w:tcPr>
            <w:tcW w:w="1680" w:type="dxa"/>
            <w:gridSpan w:val="2"/>
            <w:vMerge w:val="continue"/>
            <w:vAlign w:val="center"/>
          </w:tcPr>
          <w:p>
            <w:pPr>
              <w:jc w:val="center"/>
              <w:rPr>
                <w:rFonts w:ascii="仿宋" w:hAnsi="仿宋" w:eastAsia="仿宋" w:cs="仿宋"/>
                <w:bCs/>
                <w:szCs w:val="21"/>
                <w:highlight w:val="none"/>
              </w:rPr>
            </w:pPr>
          </w:p>
        </w:tc>
        <w:tc>
          <w:tcPr>
            <w:tcW w:w="168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高级职称人员</w:t>
            </w:r>
          </w:p>
        </w:tc>
        <w:tc>
          <w:tcPr>
            <w:tcW w:w="1680" w:type="dxa"/>
            <w:gridSpan w:val="3"/>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注册资金</w:t>
            </w:r>
          </w:p>
        </w:tc>
        <w:tc>
          <w:tcPr>
            <w:tcW w:w="2520" w:type="dxa"/>
            <w:gridSpan w:val="3"/>
            <w:vAlign w:val="center"/>
          </w:tcPr>
          <w:p>
            <w:pPr>
              <w:jc w:val="center"/>
              <w:rPr>
                <w:rFonts w:ascii="仿宋" w:hAnsi="仿宋" w:eastAsia="仿宋" w:cs="仿宋"/>
                <w:bCs/>
                <w:szCs w:val="21"/>
                <w:highlight w:val="none"/>
              </w:rPr>
            </w:pPr>
          </w:p>
        </w:tc>
        <w:tc>
          <w:tcPr>
            <w:tcW w:w="1680" w:type="dxa"/>
            <w:gridSpan w:val="2"/>
            <w:vMerge w:val="continue"/>
            <w:vAlign w:val="center"/>
          </w:tcPr>
          <w:p>
            <w:pPr>
              <w:jc w:val="center"/>
              <w:rPr>
                <w:rFonts w:ascii="仿宋" w:hAnsi="仿宋" w:eastAsia="仿宋" w:cs="仿宋"/>
                <w:bCs/>
                <w:szCs w:val="21"/>
                <w:highlight w:val="none"/>
              </w:rPr>
            </w:pPr>
          </w:p>
        </w:tc>
        <w:tc>
          <w:tcPr>
            <w:tcW w:w="168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中级职称人员</w:t>
            </w:r>
          </w:p>
        </w:tc>
        <w:tc>
          <w:tcPr>
            <w:tcW w:w="1680" w:type="dxa"/>
            <w:gridSpan w:val="3"/>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开户银行</w:t>
            </w:r>
          </w:p>
        </w:tc>
        <w:tc>
          <w:tcPr>
            <w:tcW w:w="2520" w:type="dxa"/>
            <w:gridSpan w:val="3"/>
            <w:vAlign w:val="center"/>
          </w:tcPr>
          <w:p>
            <w:pPr>
              <w:jc w:val="center"/>
              <w:rPr>
                <w:rFonts w:ascii="仿宋" w:hAnsi="仿宋" w:eastAsia="仿宋" w:cs="仿宋"/>
                <w:bCs/>
                <w:szCs w:val="21"/>
                <w:highlight w:val="none"/>
              </w:rPr>
            </w:pPr>
          </w:p>
        </w:tc>
        <w:tc>
          <w:tcPr>
            <w:tcW w:w="1680" w:type="dxa"/>
            <w:gridSpan w:val="2"/>
            <w:vMerge w:val="continue"/>
            <w:vAlign w:val="center"/>
          </w:tcPr>
          <w:p>
            <w:pPr>
              <w:jc w:val="center"/>
              <w:rPr>
                <w:rFonts w:ascii="仿宋" w:hAnsi="仿宋" w:eastAsia="仿宋" w:cs="仿宋"/>
                <w:bCs/>
                <w:szCs w:val="21"/>
                <w:highlight w:val="none"/>
              </w:rPr>
            </w:pPr>
          </w:p>
        </w:tc>
        <w:tc>
          <w:tcPr>
            <w:tcW w:w="168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初级职称人员</w:t>
            </w:r>
          </w:p>
        </w:tc>
        <w:tc>
          <w:tcPr>
            <w:tcW w:w="1680" w:type="dxa"/>
            <w:gridSpan w:val="3"/>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账号</w:t>
            </w:r>
          </w:p>
        </w:tc>
        <w:tc>
          <w:tcPr>
            <w:tcW w:w="2520" w:type="dxa"/>
            <w:gridSpan w:val="3"/>
            <w:vAlign w:val="center"/>
          </w:tcPr>
          <w:p>
            <w:pPr>
              <w:jc w:val="center"/>
              <w:rPr>
                <w:rFonts w:ascii="仿宋" w:hAnsi="仿宋" w:eastAsia="仿宋" w:cs="仿宋"/>
                <w:bCs/>
                <w:szCs w:val="21"/>
                <w:highlight w:val="none"/>
              </w:rPr>
            </w:pPr>
          </w:p>
        </w:tc>
        <w:tc>
          <w:tcPr>
            <w:tcW w:w="1680" w:type="dxa"/>
            <w:gridSpan w:val="2"/>
            <w:vMerge w:val="continue"/>
            <w:vAlign w:val="center"/>
          </w:tcPr>
          <w:p>
            <w:pPr>
              <w:jc w:val="center"/>
              <w:rPr>
                <w:rFonts w:ascii="仿宋" w:hAnsi="仿宋" w:eastAsia="仿宋" w:cs="仿宋"/>
                <w:bCs/>
                <w:szCs w:val="21"/>
                <w:highlight w:val="none"/>
              </w:rPr>
            </w:pPr>
          </w:p>
        </w:tc>
        <w:tc>
          <w:tcPr>
            <w:tcW w:w="1680" w:type="dxa"/>
            <w:gridSpan w:val="3"/>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技工</w:t>
            </w:r>
          </w:p>
        </w:tc>
        <w:tc>
          <w:tcPr>
            <w:tcW w:w="1680" w:type="dxa"/>
            <w:gridSpan w:val="3"/>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经营范围</w:t>
            </w:r>
          </w:p>
        </w:tc>
        <w:tc>
          <w:tcPr>
            <w:tcW w:w="7560" w:type="dxa"/>
            <w:gridSpan w:val="11"/>
            <w:vAlign w:val="center"/>
          </w:tcPr>
          <w:p>
            <w:pPr>
              <w:jc w:val="center"/>
              <w:rPr>
                <w:rFonts w:ascii="仿宋" w:hAnsi="仿宋" w:eastAsia="仿宋" w:cs="仿宋"/>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备注</w:t>
            </w:r>
          </w:p>
        </w:tc>
        <w:tc>
          <w:tcPr>
            <w:tcW w:w="7560" w:type="dxa"/>
            <w:gridSpan w:val="11"/>
            <w:vAlign w:val="center"/>
          </w:tcPr>
          <w:p>
            <w:pPr>
              <w:jc w:val="center"/>
              <w:rPr>
                <w:rFonts w:ascii="仿宋" w:hAnsi="仿宋" w:eastAsia="仿宋" w:cs="仿宋"/>
                <w:bCs/>
                <w:szCs w:val="21"/>
                <w:highlight w:val="none"/>
              </w:rPr>
            </w:pPr>
          </w:p>
        </w:tc>
      </w:tr>
    </w:tbl>
    <w:p>
      <w:pPr>
        <w:spacing w:line="360" w:lineRule="auto"/>
        <w:ind w:firstLine="420" w:firstLineChars="200"/>
        <w:rPr>
          <w:rFonts w:ascii="仿宋" w:hAnsi="仿宋" w:eastAsia="仿宋" w:cs="仿宋"/>
          <w:szCs w:val="21"/>
          <w:highlight w:val="none"/>
        </w:rPr>
      </w:pP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注：①投标人根据自身情况填写，对不涉及的内容可填写“/”，不影响投标资质及效力；</w:t>
      </w:r>
    </w:p>
    <w:p>
      <w:pPr>
        <w:spacing w:line="360" w:lineRule="auto"/>
        <w:ind w:firstLine="420" w:firstLineChars="200"/>
        <w:rPr>
          <w:rFonts w:ascii="仿宋" w:hAnsi="仿宋" w:eastAsia="仿宋" w:cs="仿宋"/>
          <w:szCs w:val="21"/>
          <w:highlight w:val="none"/>
        </w:rPr>
      </w:pPr>
    </w:p>
    <w:p>
      <w:pPr>
        <w:spacing w:line="360" w:lineRule="auto"/>
        <w:ind w:firstLine="420" w:firstLineChars="200"/>
        <w:rPr>
          <w:rFonts w:ascii="华文仿宋" w:hAnsi="华文仿宋" w:eastAsia="华文仿宋" w:cs="华文仿宋"/>
          <w:szCs w:val="21"/>
          <w:highlight w:val="none"/>
        </w:rPr>
      </w:pPr>
      <w:r>
        <w:rPr>
          <w:rFonts w:hint="eastAsia" w:ascii="华文仿宋" w:hAnsi="华文仿宋" w:eastAsia="华文仿宋" w:cs="华文仿宋"/>
          <w:szCs w:val="21"/>
          <w:highlight w:val="none"/>
        </w:rPr>
        <w:t>投标人名称：</w:t>
      </w:r>
      <w:r>
        <w:rPr>
          <w:rFonts w:hint="eastAsia" w:ascii="华文仿宋" w:hAnsi="华文仿宋" w:eastAsia="华文仿宋" w:cs="华文仿宋"/>
          <w:szCs w:val="21"/>
          <w:highlight w:val="none"/>
          <w:u w:val="single"/>
          <w:lang w:val="en-US" w:eastAsia="zh-CN"/>
        </w:rPr>
        <w:t xml:space="preserve">               </w:t>
      </w:r>
      <w:r>
        <w:rPr>
          <w:rFonts w:hint="eastAsia" w:ascii="华文仿宋" w:hAnsi="华文仿宋" w:eastAsia="华文仿宋" w:cs="华文仿宋"/>
          <w:szCs w:val="21"/>
          <w:highlight w:val="none"/>
        </w:rPr>
        <w:t>（盖单位公章）</w:t>
      </w:r>
    </w:p>
    <w:p>
      <w:pPr>
        <w:spacing w:line="360" w:lineRule="auto"/>
        <w:ind w:firstLine="411" w:firstLineChars="196"/>
        <w:rPr>
          <w:rFonts w:ascii="华文仿宋" w:hAnsi="华文仿宋" w:eastAsia="华文仿宋" w:cs="华文仿宋"/>
          <w:szCs w:val="21"/>
          <w:highlight w:val="none"/>
        </w:rPr>
      </w:pPr>
      <w:r>
        <w:rPr>
          <w:rFonts w:hint="eastAsia" w:ascii="华文仿宋" w:hAnsi="华文仿宋" w:eastAsia="华文仿宋" w:cs="华文仿宋"/>
          <w:szCs w:val="21"/>
          <w:highlight w:val="none"/>
        </w:rPr>
        <w:t>法定代表人/单位负责人或授权代表：</w:t>
      </w:r>
      <w:r>
        <w:rPr>
          <w:rFonts w:hint="eastAsia" w:ascii="华文仿宋" w:hAnsi="华文仿宋" w:eastAsia="华文仿宋" w:cs="华文仿宋"/>
          <w:szCs w:val="21"/>
          <w:highlight w:val="none"/>
          <w:u w:val="single"/>
          <w:lang w:val="en-US" w:eastAsia="zh-CN"/>
        </w:rPr>
        <w:t xml:space="preserve">           </w:t>
      </w:r>
      <w:r>
        <w:rPr>
          <w:rFonts w:hint="eastAsia" w:ascii="华文仿宋" w:hAnsi="华文仿宋" w:eastAsia="华文仿宋" w:cs="华文仿宋"/>
          <w:szCs w:val="21"/>
          <w:highlight w:val="none"/>
        </w:rPr>
        <w:t>（签字或盖章）</w:t>
      </w:r>
    </w:p>
    <w:p>
      <w:pPr>
        <w:spacing w:line="360" w:lineRule="auto"/>
        <w:ind w:firstLine="420" w:firstLineChars="200"/>
        <w:rPr>
          <w:rFonts w:ascii="华文仿宋" w:hAnsi="华文仿宋" w:eastAsia="华文仿宋" w:cs="华文仿宋"/>
          <w:b/>
          <w:szCs w:val="21"/>
          <w:highlight w:val="none"/>
        </w:rPr>
      </w:pPr>
      <w:r>
        <w:rPr>
          <w:rFonts w:hint="eastAsia" w:ascii="华文仿宋" w:hAnsi="华文仿宋" w:eastAsia="华文仿宋" w:cs="华文仿宋"/>
          <w:szCs w:val="21"/>
          <w:highlight w:val="none"/>
        </w:rPr>
        <w:t>日    期：</w:t>
      </w:r>
      <w:r>
        <w:rPr>
          <w:rFonts w:hint="eastAsia" w:ascii="华文仿宋" w:hAnsi="华文仿宋" w:eastAsia="华文仿宋" w:cs="华文仿宋"/>
          <w:szCs w:val="21"/>
          <w:highlight w:val="none"/>
          <w:u w:val="single"/>
          <w:lang w:val="en-US" w:eastAsia="zh-CN"/>
        </w:rPr>
        <w:t xml:space="preserve">       </w:t>
      </w:r>
      <w:r>
        <w:rPr>
          <w:rFonts w:hint="eastAsia" w:ascii="华文仿宋" w:hAnsi="华文仿宋" w:eastAsia="华文仿宋" w:cs="华文仿宋"/>
          <w:szCs w:val="21"/>
          <w:highlight w:val="none"/>
        </w:rPr>
        <w:t>年</w:t>
      </w:r>
      <w:r>
        <w:rPr>
          <w:rFonts w:hint="eastAsia" w:ascii="华文仿宋" w:hAnsi="华文仿宋" w:eastAsia="华文仿宋" w:cs="华文仿宋"/>
          <w:szCs w:val="21"/>
          <w:highlight w:val="none"/>
          <w:u w:val="single"/>
          <w:lang w:val="en-US" w:eastAsia="zh-CN"/>
        </w:rPr>
        <w:t xml:space="preserve">       </w:t>
      </w:r>
      <w:r>
        <w:rPr>
          <w:rFonts w:hint="eastAsia" w:ascii="华文仿宋" w:hAnsi="华文仿宋" w:eastAsia="华文仿宋" w:cs="华文仿宋"/>
          <w:szCs w:val="21"/>
          <w:highlight w:val="none"/>
        </w:rPr>
        <w:t>月</w:t>
      </w:r>
      <w:r>
        <w:rPr>
          <w:rFonts w:hint="eastAsia" w:ascii="华文仿宋" w:hAnsi="华文仿宋" w:eastAsia="华文仿宋" w:cs="华文仿宋"/>
          <w:szCs w:val="21"/>
          <w:highlight w:val="none"/>
          <w:u w:val="single"/>
          <w:lang w:val="en-US" w:eastAsia="zh-CN"/>
        </w:rPr>
        <w:t xml:space="preserve">      </w:t>
      </w:r>
      <w:r>
        <w:rPr>
          <w:rFonts w:hint="eastAsia" w:ascii="华文仿宋" w:hAnsi="华文仿宋" w:eastAsia="华文仿宋" w:cs="华文仿宋"/>
          <w:szCs w:val="21"/>
          <w:highlight w:val="none"/>
        </w:rPr>
        <w:t>日</w:t>
      </w:r>
    </w:p>
    <w:p>
      <w:pPr>
        <w:widowControl/>
        <w:jc w:val="left"/>
        <w:rPr>
          <w:rFonts w:ascii="仿宋" w:hAnsi="仿宋" w:eastAsia="仿宋" w:cs="仿宋"/>
          <w:b/>
          <w:sz w:val="32"/>
          <w:szCs w:val="32"/>
          <w:highlight w:val="none"/>
        </w:rPr>
        <w:sectPr>
          <w:footerReference r:id="rId7" w:type="default"/>
          <w:type w:val="continuous"/>
          <w:pgSz w:w="11907" w:h="16840"/>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pPr>
        <w:widowControl/>
        <w:spacing w:line="360" w:lineRule="atLeast"/>
        <w:jc w:val="center"/>
        <w:outlineLvl w:val="1"/>
        <w:rPr>
          <w:rFonts w:ascii="仿宋" w:hAnsi="仿宋" w:eastAsia="仿宋"/>
          <w:b/>
          <w:sz w:val="36"/>
          <w:szCs w:val="36"/>
          <w:highlight w:val="none"/>
        </w:rPr>
      </w:pPr>
      <w:r>
        <w:rPr>
          <w:rFonts w:hint="eastAsia" w:ascii="仿宋" w:hAnsi="仿宋" w:eastAsia="仿宋" w:cs="仿宋"/>
          <w:b w:val="0"/>
          <w:sz w:val="28"/>
          <w:szCs w:val="28"/>
          <w:highlight w:val="none"/>
        </w:rPr>
        <w:br w:type="page"/>
      </w:r>
      <w:r>
        <w:rPr>
          <w:rFonts w:hint="eastAsia" w:ascii="仿宋" w:hAnsi="仿宋" w:eastAsia="仿宋" w:cs="Times New Roman"/>
          <w:b/>
          <w:sz w:val="36"/>
          <w:szCs w:val="36"/>
          <w:highlight w:val="none"/>
          <w:lang w:eastAsia="zh-CN"/>
        </w:rPr>
        <w:t>五</w:t>
      </w:r>
      <w:r>
        <w:rPr>
          <w:rFonts w:hint="eastAsia" w:ascii="仿宋" w:hAnsi="仿宋" w:eastAsia="仿宋" w:cs="Times New Roman"/>
          <w:b/>
          <w:sz w:val="36"/>
          <w:szCs w:val="36"/>
          <w:highlight w:val="none"/>
        </w:rPr>
        <w:t>、类</w:t>
      </w:r>
      <w:r>
        <w:rPr>
          <w:rFonts w:hint="eastAsia" w:ascii="仿宋" w:hAnsi="仿宋" w:eastAsia="仿宋"/>
          <w:b/>
          <w:sz w:val="36"/>
          <w:szCs w:val="36"/>
          <w:highlight w:val="none"/>
        </w:rPr>
        <w:t>似项目业绩一览表</w:t>
      </w:r>
    </w:p>
    <w:p>
      <w:pPr>
        <w:widowControl/>
        <w:spacing w:line="360" w:lineRule="atLeast"/>
        <w:ind w:firstLine="472" w:firstLineChars="196"/>
        <w:jc w:val="left"/>
        <w:outlineLvl w:val="1"/>
        <w:rPr>
          <w:rFonts w:ascii="仿宋" w:hAnsi="仿宋" w:eastAsia="仿宋"/>
          <w:b/>
          <w:sz w:val="24"/>
          <w:highlight w:val="none"/>
        </w:rPr>
      </w:pPr>
    </w:p>
    <w:tbl>
      <w:tblPr>
        <w:tblStyle w:val="15"/>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年份</w:t>
            </w:r>
          </w:p>
        </w:tc>
        <w:tc>
          <w:tcPr>
            <w:tcW w:w="1440" w:type="dxa"/>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用户名称</w:t>
            </w:r>
          </w:p>
        </w:tc>
        <w:tc>
          <w:tcPr>
            <w:tcW w:w="1320" w:type="dxa"/>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项目名称</w:t>
            </w:r>
          </w:p>
        </w:tc>
        <w:tc>
          <w:tcPr>
            <w:tcW w:w="1161" w:type="dxa"/>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完成时间</w:t>
            </w:r>
          </w:p>
        </w:tc>
        <w:tc>
          <w:tcPr>
            <w:tcW w:w="1260" w:type="dxa"/>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合同金额</w:t>
            </w:r>
          </w:p>
        </w:tc>
        <w:tc>
          <w:tcPr>
            <w:tcW w:w="1630" w:type="dxa"/>
            <w:gridSpan w:val="2"/>
            <w:tcBorders>
              <w:right w:val="single" w:color="auto" w:sz="4" w:space="0"/>
            </w:tcBorders>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是否通过验收</w:t>
            </w:r>
          </w:p>
        </w:tc>
        <w:tc>
          <w:tcPr>
            <w:tcW w:w="992" w:type="dxa"/>
            <w:tcBorders>
              <w:left w:val="single" w:color="auto" w:sz="4" w:space="0"/>
            </w:tcBorders>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仿宋" w:hAnsi="仿宋" w:eastAsia="仿宋"/>
                <w:sz w:val="24"/>
                <w:highlight w:val="none"/>
              </w:rPr>
            </w:pPr>
          </w:p>
        </w:tc>
      </w:tr>
    </w:tbl>
    <w:p>
      <w:pPr>
        <w:rPr>
          <w:rFonts w:ascii="仿宋" w:hAnsi="仿宋" w:eastAsia="仿宋" w:cs="仿宋"/>
          <w:kern w:val="0"/>
          <w:sz w:val="24"/>
          <w:highlight w:val="none"/>
        </w:rPr>
      </w:pPr>
    </w:p>
    <w:p>
      <w:pPr>
        <w:rPr>
          <w:rFonts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sz w:val="24"/>
          <w:highlight w:val="none"/>
        </w:rPr>
        <w:t>以上业绩需提供招标文件要求的有关书面证明材料。</w:t>
      </w:r>
    </w:p>
    <w:bookmarkEnd w:id="28"/>
    <w:p>
      <w:pPr>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（盖单位公章）</w:t>
      </w:r>
    </w:p>
    <w:p>
      <w:pPr>
        <w:spacing w:line="360" w:lineRule="auto"/>
        <w:ind w:firstLine="470" w:firstLineChars="196"/>
        <w:rPr>
          <w:rFonts w:ascii="华文仿宋" w:hAnsi="华文仿宋" w:eastAsia="华文仿宋" w:cs="华文仿宋"/>
          <w:sz w:val="24"/>
          <w:highlight w:val="none"/>
        </w:rPr>
      </w:pPr>
      <w:r>
        <w:rPr>
          <w:rFonts w:hint="eastAsia" w:ascii="华文仿宋" w:hAnsi="华文仿宋" w:eastAsia="华文仿宋" w:cs="华文仿宋"/>
          <w:sz w:val="24"/>
          <w:highlight w:val="none"/>
        </w:rPr>
        <w:t>法定代表人/单位负责人或授权代表：</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（签字或盖章）</w:t>
      </w: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日    期：</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年</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日</w:t>
      </w:r>
    </w:p>
    <w:p>
      <w:pPr>
        <w:jc w:val="center"/>
        <w:rPr>
          <w:highlight w:val="none"/>
        </w:rPr>
      </w:pPr>
      <w:r>
        <w:rPr>
          <w:rFonts w:hint="eastAsia" w:ascii="仿宋" w:hAnsi="仿宋" w:eastAsia="仿宋" w:cs="仿宋"/>
          <w:highlight w:val="none"/>
        </w:rPr>
        <w:br w:type="page"/>
      </w:r>
      <w:r>
        <w:rPr>
          <w:rFonts w:hint="eastAsia" w:ascii="仿宋" w:hAnsi="仿宋" w:eastAsia="仿宋" w:cs="仿宋"/>
          <w:b/>
          <w:bCs/>
          <w:kern w:val="0"/>
          <w:sz w:val="32"/>
          <w:szCs w:val="32"/>
          <w:highlight w:val="none"/>
          <w:lang w:eastAsia="zh-CN"/>
        </w:rPr>
        <w:t>六</w:t>
      </w:r>
      <w:r>
        <w:rPr>
          <w:rFonts w:hint="eastAsia" w:ascii="仿宋" w:hAnsi="仿宋" w:eastAsia="仿宋" w:cs="仿宋"/>
          <w:b/>
          <w:bCs/>
          <w:kern w:val="0"/>
          <w:sz w:val="32"/>
          <w:szCs w:val="32"/>
          <w:highlight w:val="none"/>
        </w:rPr>
        <w:t>、</w:t>
      </w:r>
      <w:r>
        <w:rPr>
          <w:rFonts w:hint="eastAsia" w:ascii="仿宋" w:hAnsi="仿宋" w:eastAsia="仿宋"/>
          <w:b/>
          <w:sz w:val="32"/>
          <w:szCs w:val="32"/>
          <w:highlight w:val="none"/>
        </w:rPr>
        <w:t>投标人本项目管理、技术、服务人员情况表</w:t>
      </w:r>
    </w:p>
    <w:p>
      <w:pPr>
        <w:spacing w:line="480" w:lineRule="auto"/>
        <w:rPr>
          <w:rFonts w:ascii="仿宋" w:hAnsi="仿宋" w:eastAsia="仿宋" w:cs="仿宋"/>
          <w:sz w:val="24"/>
          <w:highlight w:val="none"/>
          <w:u w:val="single"/>
        </w:rPr>
      </w:pPr>
      <w:r>
        <w:rPr>
          <w:rFonts w:hint="eastAsia" w:ascii="仿宋" w:hAnsi="仿宋" w:eastAsia="仿宋" w:cs="仿宋"/>
          <w:sz w:val="24"/>
          <w:highlight w:val="none"/>
        </w:rPr>
        <w:t>采购项目名称：</w:t>
      </w:r>
      <w:r>
        <w:rPr>
          <w:rFonts w:hint="eastAsia" w:ascii="华文仿宋" w:hAnsi="华文仿宋" w:eastAsia="华文仿宋" w:cs="华文仿宋"/>
          <w:sz w:val="24"/>
          <w:highlight w:val="none"/>
          <w:u w:val="single"/>
          <w:lang w:val="en-US" w:eastAsia="zh-CN"/>
        </w:rPr>
        <w:t xml:space="preserve">                  </w:t>
      </w:r>
    </w:p>
    <w:p>
      <w:pPr>
        <w:pStyle w:val="2"/>
        <w:spacing w:line="480" w:lineRule="auto"/>
        <w:rPr>
          <w:rFonts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华文仿宋" w:hAnsi="华文仿宋" w:eastAsia="华文仿宋" w:cs="华文仿宋"/>
          <w:sz w:val="24"/>
          <w:highlight w:val="none"/>
          <w:u w:val="single"/>
          <w:lang w:val="en-US" w:eastAsia="zh-CN"/>
        </w:rPr>
        <w:t xml:space="preserve">                  </w:t>
      </w:r>
    </w:p>
    <w:tbl>
      <w:tblPr>
        <w:tblStyle w:val="15"/>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类别</w:t>
            </w:r>
          </w:p>
        </w:tc>
        <w:tc>
          <w:tcPr>
            <w:tcW w:w="807" w:type="dxa"/>
            <w:vMerge w:val="restart"/>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职务</w:t>
            </w:r>
          </w:p>
        </w:tc>
        <w:tc>
          <w:tcPr>
            <w:tcW w:w="807" w:type="dxa"/>
            <w:vMerge w:val="restart"/>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姓名</w:t>
            </w:r>
          </w:p>
        </w:tc>
        <w:tc>
          <w:tcPr>
            <w:tcW w:w="807" w:type="dxa"/>
            <w:vMerge w:val="restart"/>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职称</w:t>
            </w:r>
          </w:p>
        </w:tc>
        <w:tc>
          <w:tcPr>
            <w:tcW w:w="807" w:type="dxa"/>
            <w:vMerge w:val="restart"/>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常住地</w:t>
            </w:r>
          </w:p>
        </w:tc>
        <w:tc>
          <w:tcPr>
            <w:tcW w:w="3390" w:type="dxa"/>
            <w:gridSpan w:val="4"/>
            <w:vAlign w:val="center"/>
          </w:tcPr>
          <w:p>
            <w:pPr>
              <w:widowControl/>
              <w:spacing w:line="360" w:lineRule="atLeast"/>
              <w:ind w:firstLine="470" w:firstLineChars="196"/>
              <w:jc w:val="left"/>
              <w:outlineLvl w:val="1"/>
              <w:rPr>
                <w:rFonts w:ascii="仿宋" w:hAnsi="仿宋" w:eastAsia="仿宋"/>
                <w:sz w:val="24"/>
                <w:highlight w:val="none"/>
              </w:rPr>
            </w:pPr>
            <w:r>
              <w:rPr>
                <w:rFonts w:hint="eastAsia" w:ascii="仿宋" w:hAnsi="仿宋" w:eastAsia="仿宋"/>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rPr>
                <w:rFonts w:ascii="仿宋" w:hAnsi="仿宋" w:eastAsia="仿宋"/>
                <w:highlight w:val="none"/>
              </w:rPr>
            </w:pPr>
          </w:p>
        </w:tc>
        <w:tc>
          <w:tcPr>
            <w:tcW w:w="807" w:type="dxa"/>
            <w:vMerge w:val="continue"/>
            <w:vAlign w:val="center"/>
          </w:tcPr>
          <w:p>
            <w:pPr>
              <w:rPr>
                <w:rFonts w:ascii="仿宋" w:hAnsi="仿宋" w:eastAsia="仿宋"/>
                <w:highlight w:val="none"/>
              </w:rPr>
            </w:pPr>
          </w:p>
        </w:tc>
        <w:tc>
          <w:tcPr>
            <w:tcW w:w="807" w:type="dxa"/>
            <w:vMerge w:val="continue"/>
            <w:vAlign w:val="center"/>
          </w:tcPr>
          <w:p>
            <w:pPr>
              <w:rPr>
                <w:rFonts w:ascii="仿宋" w:hAnsi="仿宋" w:eastAsia="仿宋"/>
                <w:highlight w:val="none"/>
              </w:rPr>
            </w:pPr>
          </w:p>
        </w:tc>
        <w:tc>
          <w:tcPr>
            <w:tcW w:w="807" w:type="dxa"/>
            <w:vMerge w:val="continue"/>
            <w:vAlign w:val="center"/>
          </w:tcPr>
          <w:p>
            <w:pPr>
              <w:rPr>
                <w:rFonts w:ascii="仿宋" w:hAnsi="仿宋" w:eastAsia="仿宋"/>
                <w:highlight w:val="none"/>
              </w:rPr>
            </w:pPr>
          </w:p>
        </w:tc>
        <w:tc>
          <w:tcPr>
            <w:tcW w:w="807" w:type="dxa"/>
            <w:vMerge w:val="continue"/>
            <w:vAlign w:val="center"/>
          </w:tcPr>
          <w:p>
            <w:pPr>
              <w:rPr>
                <w:rFonts w:ascii="仿宋" w:hAnsi="仿宋" w:eastAsia="仿宋"/>
                <w:highlight w:val="none"/>
              </w:rPr>
            </w:pPr>
          </w:p>
        </w:tc>
        <w:tc>
          <w:tcPr>
            <w:tcW w:w="851" w:type="dxa"/>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证书</w:t>
            </w:r>
          </w:p>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名称</w:t>
            </w:r>
          </w:p>
        </w:tc>
        <w:tc>
          <w:tcPr>
            <w:tcW w:w="960" w:type="dxa"/>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级别</w:t>
            </w:r>
          </w:p>
        </w:tc>
        <w:tc>
          <w:tcPr>
            <w:tcW w:w="847" w:type="dxa"/>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证号</w:t>
            </w:r>
          </w:p>
        </w:tc>
        <w:tc>
          <w:tcPr>
            <w:tcW w:w="732" w:type="dxa"/>
            <w:vAlign w:val="center"/>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管理</w:t>
            </w:r>
          </w:p>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人员</w:t>
            </w: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51" w:type="dxa"/>
          </w:tcPr>
          <w:p>
            <w:pPr>
              <w:widowControl/>
              <w:spacing w:line="360" w:lineRule="atLeast"/>
              <w:ind w:firstLine="470" w:firstLineChars="196"/>
              <w:jc w:val="left"/>
              <w:outlineLvl w:val="1"/>
              <w:rPr>
                <w:rFonts w:ascii="仿宋" w:hAnsi="仿宋" w:eastAsia="仿宋"/>
                <w:sz w:val="24"/>
                <w:highlight w:val="none"/>
              </w:rPr>
            </w:pPr>
          </w:p>
        </w:tc>
        <w:tc>
          <w:tcPr>
            <w:tcW w:w="960" w:type="dxa"/>
          </w:tcPr>
          <w:p>
            <w:pPr>
              <w:widowControl/>
              <w:spacing w:line="360" w:lineRule="atLeast"/>
              <w:ind w:firstLine="470" w:firstLineChars="196"/>
              <w:jc w:val="left"/>
              <w:outlineLvl w:val="1"/>
              <w:rPr>
                <w:rFonts w:ascii="仿宋" w:hAnsi="仿宋" w:eastAsia="仿宋"/>
                <w:sz w:val="24"/>
                <w:highlight w:val="none"/>
              </w:rPr>
            </w:pPr>
          </w:p>
        </w:tc>
        <w:tc>
          <w:tcPr>
            <w:tcW w:w="847" w:type="dxa"/>
          </w:tcPr>
          <w:p>
            <w:pPr>
              <w:widowControl/>
              <w:spacing w:line="360" w:lineRule="atLeast"/>
              <w:ind w:firstLine="470" w:firstLineChars="196"/>
              <w:jc w:val="left"/>
              <w:outlineLvl w:val="1"/>
              <w:rPr>
                <w:rFonts w:ascii="仿宋" w:hAnsi="仿宋" w:eastAsia="仿宋"/>
                <w:sz w:val="24"/>
                <w:highlight w:val="none"/>
              </w:rPr>
            </w:pPr>
          </w:p>
        </w:tc>
        <w:tc>
          <w:tcPr>
            <w:tcW w:w="732" w:type="dxa"/>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仿宋" w:hAnsi="仿宋" w:eastAsia="仿宋"/>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51" w:type="dxa"/>
          </w:tcPr>
          <w:p>
            <w:pPr>
              <w:widowControl/>
              <w:spacing w:line="360" w:lineRule="atLeast"/>
              <w:ind w:firstLine="470" w:firstLineChars="196"/>
              <w:jc w:val="left"/>
              <w:outlineLvl w:val="1"/>
              <w:rPr>
                <w:rFonts w:ascii="仿宋" w:hAnsi="仿宋" w:eastAsia="仿宋"/>
                <w:sz w:val="24"/>
                <w:highlight w:val="none"/>
              </w:rPr>
            </w:pPr>
          </w:p>
        </w:tc>
        <w:tc>
          <w:tcPr>
            <w:tcW w:w="960" w:type="dxa"/>
          </w:tcPr>
          <w:p>
            <w:pPr>
              <w:widowControl/>
              <w:spacing w:line="360" w:lineRule="atLeast"/>
              <w:ind w:firstLine="470" w:firstLineChars="196"/>
              <w:jc w:val="left"/>
              <w:outlineLvl w:val="1"/>
              <w:rPr>
                <w:rFonts w:ascii="仿宋" w:hAnsi="仿宋" w:eastAsia="仿宋"/>
                <w:sz w:val="24"/>
                <w:highlight w:val="none"/>
              </w:rPr>
            </w:pPr>
          </w:p>
        </w:tc>
        <w:tc>
          <w:tcPr>
            <w:tcW w:w="847" w:type="dxa"/>
          </w:tcPr>
          <w:p>
            <w:pPr>
              <w:widowControl/>
              <w:spacing w:line="360" w:lineRule="atLeast"/>
              <w:ind w:firstLine="470" w:firstLineChars="196"/>
              <w:jc w:val="left"/>
              <w:outlineLvl w:val="1"/>
              <w:rPr>
                <w:rFonts w:ascii="仿宋" w:hAnsi="仿宋" w:eastAsia="仿宋"/>
                <w:sz w:val="24"/>
                <w:highlight w:val="none"/>
              </w:rPr>
            </w:pPr>
          </w:p>
        </w:tc>
        <w:tc>
          <w:tcPr>
            <w:tcW w:w="732" w:type="dxa"/>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仿宋" w:hAnsi="仿宋" w:eastAsia="仿宋"/>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51" w:type="dxa"/>
          </w:tcPr>
          <w:p>
            <w:pPr>
              <w:widowControl/>
              <w:spacing w:line="360" w:lineRule="atLeast"/>
              <w:ind w:firstLine="470" w:firstLineChars="196"/>
              <w:jc w:val="left"/>
              <w:outlineLvl w:val="1"/>
              <w:rPr>
                <w:rFonts w:ascii="仿宋" w:hAnsi="仿宋" w:eastAsia="仿宋"/>
                <w:sz w:val="24"/>
                <w:highlight w:val="none"/>
              </w:rPr>
            </w:pPr>
          </w:p>
        </w:tc>
        <w:tc>
          <w:tcPr>
            <w:tcW w:w="960" w:type="dxa"/>
          </w:tcPr>
          <w:p>
            <w:pPr>
              <w:widowControl/>
              <w:spacing w:line="360" w:lineRule="atLeast"/>
              <w:ind w:firstLine="470" w:firstLineChars="196"/>
              <w:jc w:val="left"/>
              <w:outlineLvl w:val="1"/>
              <w:rPr>
                <w:rFonts w:ascii="仿宋" w:hAnsi="仿宋" w:eastAsia="仿宋"/>
                <w:sz w:val="24"/>
                <w:highlight w:val="none"/>
              </w:rPr>
            </w:pPr>
          </w:p>
        </w:tc>
        <w:tc>
          <w:tcPr>
            <w:tcW w:w="847" w:type="dxa"/>
          </w:tcPr>
          <w:p>
            <w:pPr>
              <w:widowControl/>
              <w:spacing w:line="360" w:lineRule="atLeast"/>
              <w:ind w:firstLine="470" w:firstLineChars="196"/>
              <w:jc w:val="left"/>
              <w:outlineLvl w:val="1"/>
              <w:rPr>
                <w:rFonts w:ascii="仿宋" w:hAnsi="仿宋" w:eastAsia="仿宋"/>
                <w:sz w:val="24"/>
                <w:highlight w:val="none"/>
              </w:rPr>
            </w:pPr>
          </w:p>
        </w:tc>
        <w:tc>
          <w:tcPr>
            <w:tcW w:w="732" w:type="dxa"/>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技术</w:t>
            </w:r>
          </w:p>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人员</w:t>
            </w: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51" w:type="dxa"/>
          </w:tcPr>
          <w:p>
            <w:pPr>
              <w:widowControl/>
              <w:spacing w:line="360" w:lineRule="atLeast"/>
              <w:ind w:firstLine="470" w:firstLineChars="196"/>
              <w:jc w:val="left"/>
              <w:outlineLvl w:val="1"/>
              <w:rPr>
                <w:rFonts w:ascii="仿宋" w:hAnsi="仿宋" w:eastAsia="仿宋"/>
                <w:sz w:val="24"/>
                <w:highlight w:val="none"/>
              </w:rPr>
            </w:pPr>
          </w:p>
        </w:tc>
        <w:tc>
          <w:tcPr>
            <w:tcW w:w="960" w:type="dxa"/>
          </w:tcPr>
          <w:p>
            <w:pPr>
              <w:widowControl/>
              <w:spacing w:line="360" w:lineRule="atLeast"/>
              <w:ind w:firstLine="470" w:firstLineChars="196"/>
              <w:jc w:val="left"/>
              <w:outlineLvl w:val="1"/>
              <w:rPr>
                <w:rFonts w:ascii="仿宋" w:hAnsi="仿宋" w:eastAsia="仿宋"/>
                <w:sz w:val="24"/>
                <w:highlight w:val="none"/>
              </w:rPr>
            </w:pPr>
          </w:p>
        </w:tc>
        <w:tc>
          <w:tcPr>
            <w:tcW w:w="847" w:type="dxa"/>
          </w:tcPr>
          <w:p>
            <w:pPr>
              <w:widowControl/>
              <w:spacing w:line="360" w:lineRule="atLeast"/>
              <w:ind w:firstLine="470" w:firstLineChars="196"/>
              <w:jc w:val="left"/>
              <w:outlineLvl w:val="1"/>
              <w:rPr>
                <w:rFonts w:ascii="仿宋" w:hAnsi="仿宋" w:eastAsia="仿宋"/>
                <w:sz w:val="24"/>
                <w:highlight w:val="none"/>
              </w:rPr>
            </w:pPr>
          </w:p>
        </w:tc>
        <w:tc>
          <w:tcPr>
            <w:tcW w:w="732" w:type="dxa"/>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仿宋" w:hAnsi="仿宋" w:eastAsia="仿宋"/>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51" w:type="dxa"/>
          </w:tcPr>
          <w:p>
            <w:pPr>
              <w:widowControl/>
              <w:spacing w:line="360" w:lineRule="atLeast"/>
              <w:ind w:firstLine="470" w:firstLineChars="196"/>
              <w:jc w:val="left"/>
              <w:outlineLvl w:val="1"/>
              <w:rPr>
                <w:rFonts w:ascii="仿宋" w:hAnsi="仿宋" w:eastAsia="仿宋"/>
                <w:sz w:val="24"/>
                <w:highlight w:val="none"/>
              </w:rPr>
            </w:pPr>
          </w:p>
        </w:tc>
        <w:tc>
          <w:tcPr>
            <w:tcW w:w="960" w:type="dxa"/>
          </w:tcPr>
          <w:p>
            <w:pPr>
              <w:widowControl/>
              <w:spacing w:line="360" w:lineRule="atLeast"/>
              <w:ind w:firstLine="470" w:firstLineChars="196"/>
              <w:jc w:val="left"/>
              <w:outlineLvl w:val="1"/>
              <w:rPr>
                <w:rFonts w:ascii="仿宋" w:hAnsi="仿宋" w:eastAsia="仿宋"/>
                <w:sz w:val="24"/>
                <w:highlight w:val="none"/>
              </w:rPr>
            </w:pPr>
          </w:p>
        </w:tc>
        <w:tc>
          <w:tcPr>
            <w:tcW w:w="847" w:type="dxa"/>
          </w:tcPr>
          <w:p>
            <w:pPr>
              <w:widowControl/>
              <w:spacing w:line="360" w:lineRule="atLeast"/>
              <w:ind w:firstLine="470" w:firstLineChars="196"/>
              <w:jc w:val="left"/>
              <w:outlineLvl w:val="1"/>
              <w:rPr>
                <w:rFonts w:ascii="仿宋" w:hAnsi="仿宋" w:eastAsia="仿宋"/>
                <w:sz w:val="24"/>
                <w:highlight w:val="none"/>
              </w:rPr>
            </w:pPr>
          </w:p>
        </w:tc>
        <w:tc>
          <w:tcPr>
            <w:tcW w:w="732" w:type="dxa"/>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仿宋" w:hAnsi="仿宋" w:eastAsia="仿宋"/>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51" w:type="dxa"/>
          </w:tcPr>
          <w:p>
            <w:pPr>
              <w:widowControl/>
              <w:spacing w:line="360" w:lineRule="atLeast"/>
              <w:ind w:firstLine="470" w:firstLineChars="196"/>
              <w:jc w:val="left"/>
              <w:outlineLvl w:val="1"/>
              <w:rPr>
                <w:rFonts w:ascii="仿宋" w:hAnsi="仿宋" w:eastAsia="仿宋"/>
                <w:sz w:val="24"/>
                <w:highlight w:val="none"/>
              </w:rPr>
            </w:pPr>
          </w:p>
        </w:tc>
        <w:tc>
          <w:tcPr>
            <w:tcW w:w="960" w:type="dxa"/>
          </w:tcPr>
          <w:p>
            <w:pPr>
              <w:widowControl/>
              <w:spacing w:line="360" w:lineRule="atLeast"/>
              <w:ind w:firstLine="470" w:firstLineChars="196"/>
              <w:jc w:val="left"/>
              <w:outlineLvl w:val="1"/>
              <w:rPr>
                <w:rFonts w:ascii="仿宋" w:hAnsi="仿宋" w:eastAsia="仿宋"/>
                <w:sz w:val="24"/>
                <w:highlight w:val="none"/>
              </w:rPr>
            </w:pPr>
          </w:p>
        </w:tc>
        <w:tc>
          <w:tcPr>
            <w:tcW w:w="847" w:type="dxa"/>
          </w:tcPr>
          <w:p>
            <w:pPr>
              <w:widowControl/>
              <w:spacing w:line="360" w:lineRule="atLeast"/>
              <w:ind w:firstLine="470" w:firstLineChars="196"/>
              <w:jc w:val="left"/>
              <w:outlineLvl w:val="1"/>
              <w:rPr>
                <w:rFonts w:ascii="仿宋" w:hAnsi="仿宋" w:eastAsia="仿宋"/>
                <w:sz w:val="24"/>
                <w:highlight w:val="none"/>
              </w:rPr>
            </w:pPr>
          </w:p>
        </w:tc>
        <w:tc>
          <w:tcPr>
            <w:tcW w:w="732" w:type="dxa"/>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售后服务人员</w:t>
            </w: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51" w:type="dxa"/>
          </w:tcPr>
          <w:p>
            <w:pPr>
              <w:widowControl/>
              <w:spacing w:line="360" w:lineRule="atLeast"/>
              <w:ind w:firstLine="470" w:firstLineChars="196"/>
              <w:jc w:val="left"/>
              <w:outlineLvl w:val="1"/>
              <w:rPr>
                <w:rFonts w:ascii="仿宋" w:hAnsi="仿宋" w:eastAsia="仿宋"/>
                <w:sz w:val="24"/>
                <w:highlight w:val="none"/>
              </w:rPr>
            </w:pPr>
          </w:p>
        </w:tc>
        <w:tc>
          <w:tcPr>
            <w:tcW w:w="960" w:type="dxa"/>
          </w:tcPr>
          <w:p>
            <w:pPr>
              <w:widowControl/>
              <w:spacing w:line="360" w:lineRule="atLeast"/>
              <w:ind w:firstLine="470" w:firstLineChars="196"/>
              <w:jc w:val="left"/>
              <w:outlineLvl w:val="1"/>
              <w:rPr>
                <w:rFonts w:ascii="仿宋" w:hAnsi="仿宋" w:eastAsia="仿宋"/>
                <w:sz w:val="24"/>
                <w:highlight w:val="none"/>
              </w:rPr>
            </w:pPr>
          </w:p>
        </w:tc>
        <w:tc>
          <w:tcPr>
            <w:tcW w:w="847" w:type="dxa"/>
          </w:tcPr>
          <w:p>
            <w:pPr>
              <w:widowControl/>
              <w:spacing w:line="360" w:lineRule="atLeast"/>
              <w:ind w:firstLine="470" w:firstLineChars="196"/>
              <w:jc w:val="left"/>
              <w:outlineLvl w:val="1"/>
              <w:rPr>
                <w:rFonts w:ascii="仿宋" w:hAnsi="仿宋" w:eastAsia="仿宋"/>
                <w:sz w:val="24"/>
                <w:highlight w:val="none"/>
              </w:rPr>
            </w:pPr>
          </w:p>
        </w:tc>
        <w:tc>
          <w:tcPr>
            <w:tcW w:w="732" w:type="dxa"/>
          </w:tcPr>
          <w:p>
            <w:pPr>
              <w:widowControl/>
              <w:spacing w:line="360" w:lineRule="atLeast"/>
              <w:ind w:firstLine="470" w:firstLineChars="196"/>
              <w:jc w:val="left"/>
              <w:outlineLvl w:val="1"/>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rPr>
                <w:rFonts w:ascii="仿宋" w:hAnsi="仿宋" w:eastAsia="仿宋"/>
                <w:highlight w:val="none"/>
              </w:rPr>
            </w:pPr>
          </w:p>
        </w:tc>
        <w:tc>
          <w:tcPr>
            <w:tcW w:w="807" w:type="dxa"/>
            <w:tcBorders>
              <w:bottom w:val="single" w:color="auto" w:sz="4" w:space="0"/>
            </w:tcBorders>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07" w:type="dxa"/>
          </w:tcPr>
          <w:p>
            <w:pPr>
              <w:widowControl/>
              <w:spacing w:line="360" w:lineRule="atLeast"/>
              <w:ind w:firstLine="470" w:firstLineChars="196"/>
              <w:jc w:val="left"/>
              <w:outlineLvl w:val="1"/>
              <w:rPr>
                <w:rFonts w:ascii="仿宋" w:hAnsi="仿宋" w:eastAsia="仿宋"/>
                <w:sz w:val="24"/>
                <w:highlight w:val="none"/>
              </w:rPr>
            </w:pPr>
          </w:p>
        </w:tc>
        <w:tc>
          <w:tcPr>
            <w:tcW w:w="851" w:type="dxa"/>
          </w:tcPr>
          <w:p>
            <w:pPr>
              <w:widowControl/>
              <w:spacing w:line="360" w:lineRule="atLeast"/>
              <w:ind w:firstLine="470" w:firstLineChars="196"/>
              <w:jc w:val="left"/>
              <w:outlineLvl w:val="1"/>
              <w:rPr>
                <w:rFonts w:ascii="仿宋" w:hAnsi="仿宋" w:eastAsia="仿宋"/>
                <w:sz w:val="24"/>
                <w:highlight w:val="none"/>
              </w:rPr>
            </w:pPr>
          </w:p>
        </w:tc>
        <w:tc>
          <w:tcPr>
            <w:tcW w:w="960" w:type="dxa"/>
          </w:tcPr>
          <w:p>
            <w:pPr>
              <w:widowControl/>
              <w:spacing w:line="360" w:lineRule="atLeast"/>
              <w:ind w:firstLine="470" w:firstLineChars="196"/>
              <w:jc w:val="left"/>
              <w:outlineLvl w:val="1"/>
              <w:rPr>
                <w:rFonts w:ascii="仿宋" w:hAnsi="仿宋" w:eastAsia="仿宋"/>
                <w:sz w:val="24"/>
                <w:highlight w:val="none"/>
              </w:rPr>
            </w:pPr>
          </w:p>
        </w:tc>
        <w:tc>
          <w:tcPr>
            <w:tcW w:w="847" w:type="dxa"/>
          </w:tcPr>
          <w:p>
            <w:pPr>
              <w:widowControl/>
              <w:spacing w:line="360" w:lineRule="atLeast"/>
              <w:ind w:firstLine="470" w:firstLineChars="196"/>
              <w:jc w:val="left"/>
              <w:outlineLvl w:val="1"/>
              <w:rPr>
                <w:rFonts w:ascii="仿宋" w:hAnsi="仿宋" w:eastAsia="仿宋"/>
                <w:sz w:val="24"/>
                <w:highlight w:val="none"/>
              </w:rPr>
            </w:pPr>
          </w:p>
        </w:tc>
        <w:tc>
          <w:tcPr>
            <w:tcW w:w="732" w:type="dxa"/>
          </w:tcPr>
          <w:p>
            <w:pPr>
              <w:widowControl/>
              <w:spacing w:line="360" w:lineRule="atLeast"/>
              <w:ind w:firstLine="470" w:firstLineChars="196"/>
              <w:jc w:val="left"/>
              <w:outlineLvl w:val="1"/>
              <w:rPr>
                <w:rFonts w:ascii="仿宋" w:hAnsi="仿宋" w:eastAsia="仿宋"/>
                <w:sz w:val="24"/>
                <w:highlight w:val="none"/>
              </w:rPr>
            </w:pPr>
          </w:p>
        </w:tc>
      </w:tr>
    </w:tbl>
    <w:p>
      <w:pPr>
        <w:spacing w:line="360" w:lineRule="auto"/>
        <w:ind w:firstLine="480" w:firstLineChars="200"/>
        <w:rPr>
          <w:rFonts w:hint="eastAsia" w:ascii="华文仿宋" w:hAnsi="华文仿宋" w:eastAsia="华文仿宋" w:cs="华文仿宋"/>
          <w:sz w:val="24"/>
          <w:highlight w:val="none"/>
        </w:rPr>
      </w:pP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（盖单位公章）</w:t>
      </w:r>
    </w:p>
    <w:p>
      <w:pPr>
        <w:spacing w:line="360" w:lineRule="auto"/>
        <w:ind w:firstLine="470" w:firstLineChars="196"/>
        <w:rPr>
          <w:rFonts w:ascii="华文仿宋" w:hAnsi="华文仿宋" w:eastAsia="华文仿宋" w:cs="华文仿宋"/>
          <w:sz w:val="24"/>
          <w:highlight w:val="none"/>
        </w:rPr>
      </w:pPr>
      <w:r>
        <w:rPr>
          <w:rFonts w:hint="eastAsia" w:ascii="华文仿宋" w:hAnsi="华文仿宋" w:eastAsia="华文仿宋" w:cs="华文仿宋"/>
          <w:sz w:val="24"/>
          <w:highlight w:val="none"/>
        </w:rPr>
        <w:t>法定代表人/单位负责人或授权代表：</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（签字或盖章）</w:t>
      </w:r>
    </w:p>
    <w:p>
      <w:pPr>
        <w:spacing w:line="360" w:lineRule="auto"/>
        <w:ind w:firstLine="480" w:firstLineChars="200"/>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rPr>
        <w:t>日    期：</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年</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日</w:t>
      </w:r>
    </w:p>
    <w:p>
      <w:pPr>
        <w:spacing w:line="360" w:lineRule="auto"/>
        <w:ind w:firstLine="420" w:firstLineChars="200"/>
        <w:jc w:val="center"/>
        <w:rPr>
          <w:rFonts w:ascii="华文仿宋" w:hAnsi="华文仿宋" w:eastAsia="华文仿宋" w:cs="华文仿宋"/>
          <w:sz w:val="28"/>
          <w:szCs w:val="28"/>
          <w:highlight w:val="none"/>
        </w:rPr>
      </w:pPr>
      <w:r>
        <w:rPr>
          <w:rFonts w:hint="eastAsia" w:ascii="仿宋" w:hAnsi="仿宋" w:eastAsia="仿宋" w:cs="仿宋"/>
          <w:highlight w:val="none"/>
        </w:rPr>
        <w:br w:type="page"/>
      </w:r>
      <w:r>
        <w:rPr>
          <w:rFonts w:hint="eastAsia" w:ascii="华文仿宋" w:hAnsi="华文仿宋" w:eastAsia="华文仿宋" w:cs="华文仿宋"/>
          <w:b/>
          <w:bCs/>
          <w:kern w:val="0"/>
          <w:sz w:val="32"/>
          <w:szCs w:val="32"/>
          <w:highlight w:val="none"/>
          <w:lang w:eastAsia="zh-CN"/>
        </w:rPr>
        <w:t>七</w:t>
      </w:r>
      <w:r>
        <w:rPr>
          <w:rFonts w:hint="eastAsia" w:ascii="华文仿宋" w:hAnsi="华文仿宋" w:eastAsia="华文仿宋" w:cs="华文仿宋"/>
          <w:b/>
          <w:bCs/>
          <w:kern w:val="0"/>
          <w:sz w:val="32"/>
          <w:szCs w:val="32"/>
          <w:highlight w:val="none"/>
        </w:rPr>
        <w:t>、中小企业声明函(</w:t>
      </w:r>
      <w:r>
        <w:rPr>
          <w:rFonts w:hint="eastAsia" w:ascii="华文仿宋" w:hAnsi="华文仿宋" w:eastAsia="华文仿宋" w:cs="华文仿宋"/>
          <w:b/>
          <w:bCs/>
          <w:kern w:val="0"/>
          <w:sz w:val="32"/>
          <w:szCs w:val="32"/>
          <w:highlight w:val="none"/>
          <w:lang w:eastAsia="zh-CN"/>
        </w:rPr>
        <w:t>服务</w:t>
      </w:r>
      <w:r>
        <w:rPr>
          <w:rFonts w:hint="eastAsia" w:ascii="华文仿宋" w:hAnsi="华文仿宋" w:eastAsia="华文仿宋" w:cs="华文仿宋"/>
          <w:b/>
          <w:bCs/>
          <w:kern w:val="0"/>
          <w:sz w:val="32"/>
          <w:szCs w:val="32"/>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w:t>
      </w:r>
      <w:r>
        <w:rPr>
          <w:rFonts w:ascii="仿宋" w:hAnsi="仿宋" w:eastAsia="仿宋" w:cs="仿宋"/>
          <w:sz w:val="24"/>
          <w:highlight w:val="none"/>
        </w:rPr>
        <w:t>(</w:t>
      </w:r>
      <w:r>
        <w:rPr>
          <w:rFonts w:hint="eastAsia" w:ascii="仿宋" w:hAnsi="仿宋" w:eastAsia="仿宋" w:cs="仿宋"/>
          <w:sz w:val="24"/>
          <w:highlight w:val="none"/>
        </w:rPr>
        <w:t>财库﹝</w:t>
      </w:r>
      <w:r>
        <w:rPr>
          <w:rFonts w:ascii="仿宋" w:hAnsi="仿宋" w:eastAsia="仿宋" w:cs="仿宋"/>
          <w:sz w:val="24"/>
          <w:highlight w:val="none"/>
        </w:rPr>
        <w:t>2020</w:t>
      </w:r>
      <w:r>
        <w:rPr>
          <w:rFonts w:hint="eastAsia" w:ascii="仿宋" w:hAnsi="仿宋" w:eastAsia="仿宋" w:cs="仿宋"/>
          <w:sz w:val="24"/>
          <w:highlight w:val="none"/>
        </w:rPr>
        <w:t>﹞</w:t>
      </w:r>
      <w:r>
        <w:rPr>
          <w:rFonts w:ascii="仿宋" w:hAnsi="仿宋" w:eastAsia="仿宋" w:cs="仿宋"/>
          <w:sz w:val="24"/>
          <w:highlight w:val="none"/>
        </w:rPr>
        <w:t xml:space="preserve">46 </w:t>
      </w:r>
      <w:r>
        <w:rPr>
          <w:rFonts w:hint="eastAsia" w:ascii="仿宋" w:hAnsi="仿宋" w:eastAsia="仿宋" w:cs="仿宋"/>
          <w:sz w:val="24"/>
          <w:highlight w:val="none"/>
        </w:rPr>
        <w:t>号</w:t>
      </w:r>
      <w:r>
        <w:rPr>
          <w:rFonts w:ascii="仿宋" w:hAnsi="仿宋" w:eastAsia="仿宋" w:cs="仿宋"/>
          <w:sz w:val="24"/>
          <w:highlight w:val="none"/>
        </w:rPr>
        <w:t>)</w:t>
      </w:r>
      <w:r>
        <w:rPr>
          <w:rFonts w:hint="eastAsia" w:ascii="仿宋" w:hAnsi="仿宋" w:eastAsia="仿宋" w:cs="仿宋"/>
          <w:sz w:val="24"/>
          <w:highlight w:val="none"/>
        </w:rPr>
        <w:t>的规定，本公司参加</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w:t>
      </w:r>
      <w:r>
        <w:rPr>
          <w:rFonts w:hint="eastAsia" w:ascii="仿宋" w:hAnsi="仿宋" w:eastAsia="仿宋" w:cs="仿宋"/>
          <w:sz w:val="24"/>
          <w:highlight w:val="none"/>
          <w:u w:val="single"/>
        </w:rPr>
        <w:t>单位名称</w:t>
      </w:r>
      <w:r>
        <w:rPr>
          <w:rFonts w:ascii="仿宋" w:hAnsi="仿宋" w:eastAsia="仿宋" w:cs="仿宋"/>
          <w:sz w:val="24"/>
          <w:highlight w:val="none"/>
          <w:u w:val="single"/>
        </w:rPr>
        <w:t>)</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w:t>
      </w:r>
      <w:r>
        <w:rPr>
          <w:rFonts w:hint="eastAsia" w:ascii="仿宋" w:hAnsi="仿宋" w:eastAsia="仿宋" w:cs="仿宋"/>
          <w:sz w:val="24"/>
          <w:highlight w:val="none"/>
          <w:u w:val="single"/>
        </w:rPr>
        <w:t>项目名称</w:t>
      </w:r>
      <w:r>
        <w:rPr>
          <w:rFonts w:ascii="仿宋" w:hAnsi="仿宋" w:eastAsia="仿宋" w:cs="仿宋"/>
          <w:sz w:val="24"/>
          <w:highlight w:val="none"/>
          <w:u w:val="single"/>
        </w:rPr>
        <w:t>)</w:t>
      </w:r>
      <w:r>
        <w:rPr>
          <w:rFonts w:hint="eastAsia" w:ascii="仿宋" w:hAnsi="仿宋" w:eastAsia="仿宋" w:cs="仿宋"/>
          <w:sz w:val="24"/>
          <w:highlight w:val="none"/>
        </w:rPr>
        <w:t>采购活动，服务全部由符合政策要求的中小企业承接。相关企业</w:t>
      </w:r>
      <w:r>
        <w:rPr>
          <w:rFonts w:ascii="仿宋" w:hAnsi="仿宋" w:eastAsia="仿宋" w:cs="仿宋"/>
          <w:sz w:val="24"/>
          <w:highlight w:val="none"/>
        </w:rPr>
        <w:t>(</w:t>
      </w:r>
      <w:r>
        <w:rPr>
          <w:rFonts w:hint="eastAsia" w:ascii="仿宋" w:hAnsi="仿宋" w:eastAsia="仿宋" w:cs="仿宋"/>
          <w:sz w:val="24"/>
          <w:highlight w:val="none"/>
        </w:rPr>
        <w:t>含联合体中的中小企业、签订分包意向协议的中小企业</w:t>
      </w:r>
      <w:r>
        <w:rPr>
          <w:rFonts w:ascii="仿宋" w:hAnsi="仿宋" w:eastAsia="仿宋" w:cs="仿宋"/>
          <w:sz w:val="24"/>
          <w:highlight w:val="none"/>
        </w:rPr>
        <w:t xml:space="preserve">) </w:t>
      </w:r>
      <w:r>
        <w:rPr>
          <w:rFonts w:hint="eastAsia" w:ascii="仿宋" w:hAnsi="仿宋" w:eastAsia="仿宋" w:cs="仿宋"/>
          <w:sz w:val="24"/>
          <w:highlight w:val="none"/>
        </w:rPr>
        <w:t>的具体情况如下：</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（标的名称</w:t>
      </w:r>
      <w:r>
        <w:rPr>
          <w:rFonts w:ascii="仿宋" w:hAnsi="仿宋" w:eastAsia="仿宋" w:cs="仿宋"/>
          <w:sz w:val="24"/>
          <w:highlight w:val="none"/>
          <w:u w:val="single"/>
        </w:rPr>
        <w:t>)</w:t>
      </w:r>
      <w:r>
        <w:rPr>
          <w:rFonts w:hint="eastAsia" w:ascii="仿宋" w:hAnsi="仿宋" w:eastAsia="仿宋" w:cs="仿宋"/>
          <w:sz w:val="24"/>
          <w:highlight w:val="none"/>
        </w:rPr>
        <w:t>，属于</w:t>
      </w:r>
      <w:r>
        <w:rPr>
          <w:rFonts w:ascii="仿宋" w:hAnsi="仿宋" w:eastAsia="仿宋" w:cs="仿宋"/>
          <w:sz w:val="24"/>
          <w:highlight w:val="none"/>
          <w:u w:val="single"/>
        </w:rPr>
        <w:t>(</w:t>
      </w:r>
      <w:r>
        <w:rPr>
          <w:rFonts w:hint="eastAsia" w:ascii="仿宋" w:hAnsi="仿宋" w:eastAsia="仿宋" w:cs="仿宋"/>
          <w:sz w:val="24"/>
          <w:highlight w:val="none"/>
          <w:u w:val="single"/>
        </w:rPr>
        <w:t>采购文件中明确的所属行业</w:t>
      </w:r>
      <w:r>
        <w:rPr>
          <w:rFonts w:ascii="仿宋" w:hAnsi="仿宋" w:eastAsia="仿宋" w:cs="仿宋"/>
          <w:sz w:val="24"/>
          <w:highlight w:val="none"/>
          <w:u w:val="single"/>
        </w:rPr>
        <w:t>)</w:t>
      </w:r>
      <w:r>
        <w:rPr>
          <w:rFonts w:hint="eastAsia" w:ascii="仿宋" w:hAnsi="仿宋" w:eastAsia="仿宋" w:cs="仿宋"/>
          <w:sz w:val="24"/>
          <w:highlight w:val="none"/>
        </w:rPr>
        <w:t>行业；承接企业为</w:t>
      </w:r>
      <w:r>
        <w:rPr>
          <w:rFonts w:ascii="仿宋" w:hAnsi="仿宋" w:eastAsia="仿宋" w:cs="仿宋"/>
          <w:sz w:val="24"/>
          <w:highlight w:val="none"/>
          <w:u w:val="single"/>
        </w:rPr>
        <w:t>(</w:t>
      </w:r>
      <w:r>
        <w:rPr>
          <w:rFonts w:hint="eastAsia" w:ascii="仿宋" w:hAnsi="仿宋" w:eastAsia="仿宋" w:cs="仿宋"/>
          <w:sz w:val="24"/>
          <w:highlight w:val="none"/>
          <w:u w:val="single"/>
        </w:rPr>
        <w:t>企业名称</w:t>
      </w:r>
      <w:r>
        <w:rPr>
          <w:rFonts w:ascii="仿宋" w:hAnsi="仿宋" w:eastAsia="仿宋" w:cs="仿宋"/>
          <w:sz w:val="24"/>
          <w:highlight w:val="none"/>
          <w:u w:val="single"/>
        </w:rPr>
        <w:t>)</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ascii="仿宋" w:hAnsi="仿宋" w:eastAsia="仿宋" w:cs="仿宋"/>
          <w:sz w:val="24"/>
          <w:highlight w:val="none"/>
          <w:u w:val="single"/>
        </w:rPr>
        <w:t>(</w:t>
      </w:r>
      <w:r>
        <w:rPr>
          <w:rFonts w:hint="eastAsia" w:ascii="仿宋" w:hAnsi="仿宋" w:eastAsia="仿宋" w:cs="仿宋"/>
          <w:sz w:val="24"/>
          <w:highlight w:val="none"/>
          <w:u w:val="single"/>
        </w:rPr>
        <w:t>中型企业、小型企业、微型企业</w:t>
      </w:r>
      <w:r>
        <w:rPr>
          <w:rFonts w:ascii="仿宋" w:hAnsi="仿宋" w:eastAsia="仿宋" w:cs="仿宋"/>
          <w:sz w:val="24"/>
          <w:highlight w:val="none"/>
          <w:u w:val="single"/>
        </w:rPr>
        <w:t>)</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（标的名称</w:t>
      </w:r>
      <w:r>
        <w:rPr>
          <w:rFonts w:ascii="仿宋" w:hAnsi="仿宋" w:eastAsia="仿宋" w:cs="仿宋"/>
          <w:sz w:val="24"/>
          <w:highlight w:val="none"/>
          <w:u w:val="single"/>
        </w:rPr>
        <w:t>)</w:t>
      </w:r>
      <w:r>
        <w:rPr>
          <w:rFonts w:hint="eastAsia" w:ascii="仿宋" w:hAnsi="仿宋" w:eastAsia="仿宋" w:cs="仿宋"/>
          <w:sz w:val="24"/>
          <w:highlight w:val="none"/>
        </w:rPr>
        <w:t>，属于</w:t>
      </w:r>
      <w:r>
        <w:rPr>
          <w:rFonts w:ascii="仿宋" w:hAnsi="仿宋" w:eastAsia="仿宋" w:cs="仿宋"/>
          <w:sz w:val="24"/>
          <w:highlight w:val="none"/>
          <w:u w:val="single"/>
        </w:rPr>
        <w:t>(</w:t>
      </w:r>
      <w:r>
        <w:rPr>
          <w:rFonts w:hint="eastAsia" w:ascii="仿宋" w:hAnsi="仿宋" w:eastAsia="仿宋" w:cs="仿宋"/>
          <w:sz w:val="24"/>
          <w:highlight w:val="none"/>
          <w:u w:val="single"/>
        </w:rPr>
        <w:t>采购文件中明确的所属行业</w:t>
      </w:r>
      <w:r>
        <w:rPr>
          <w:rFonts w:ascii="仿宋" w:hAnsi="仿宋" w:eastAsia="仿宋" w:cs="仿宋"/>
          <w:sz w:val="24"/>
          <w:highlight w:val="none"/>
          <w:u w:val="single"/>
        </w:rPr>
        <w:t>)</w:t>
      </w:r>
      <w:r>
        <w:rPr>
          <w:rFonts w:hint="eastAsia" w:ascii="仿宋" w:hAnsi="仿宋" w:eastAsia="仿宋" w:cs="仿宋"/>
          <w:sz w:val="24"/>
          <w:highlight w:val="none"/>
        </w:rPr>
        <w:t>行业；承接企业为</w:t>
      </w:r>
      <w:r>
        <w:rPr>
          <w:rFonts w:ascii="仿宋" w:hAnsi="仿宋" w:eastAsia="仿宋" w:cs="仿宋"/>
          <w:sz w:val="24"/>
          <w:highlight w:val="none"/>
          <w:u w:val="single"/>
        </w:rPr>
        <w:t>(</w:t>
      </w:r>
      <w:r>
        <w:rPr>
          <w:rFonts w:hint="eastAsia" w:ascii="仿宋" w:hAnsi="仿宋" w:eastAsia="仿宋" w:cs="仿宋"/>
          <w:sz w:val="24"/>
          <w:highlight w:val="none"/>
          <w:u w:val="single"/>
        </w:rPr>
        <w:t>企业名称</w:t>
      </w:r>
      <w:r>
        <w:rPr>
          <w:rFonts w:ascii="仿宋" w:hAnsi="仿宋" w:eastAsia="仿宋" w:cs="仿宋"/>
          <w:sz w:val="24"/>
          <w:highlight w:val="none"/>
          <w:u w:val="single"/>
        </w:rPr>
        <w:t>)</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ascii="仿宋" w:hAnsi="仿宋" w:eastAsia="仿宋" w:cs="仿宋"/>
          <w:sz w:val="24"/>
          <w:highlight w:val="none"/>
          <w:u w:val="single"/>
        </w:rPr>
        <w:t>(</w:t>
      </w:r>
      <w:r>
        <w:rPr>
          <w:rFonts w:hint="eastAsia" w:ascii="仿宋" w:hAnsi="仿宋" w:eastAsia="仿宋" w:cs="仿宋"/>
          <w:sz w:val="24"/>
          <w:highlight w:val="none"/>
          <w:u w:val="single"/>
        </w:rPr>
        <w:t>中型企业、小型企业、微型企业</w:t>
      </w:r>
      <w:r>
        <w:rPr>
          <w:rFonts w:ascii="仿宋" w:hAnsi="仿宋" w:eastAsia="仿宋" w:cs="仿宋"/>
          <w:sz w:val="24"/>
          <w:highlight w:val="none"/>
          <w:u w:val="single"/>
        </w:rPr>
        <w:t>)</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企业名称</w:t>
      </w:r>
      <w:r>
        <w:rPr>
          <w:rFonts w:ascii="仿宋" w:hAnsi="仿宋" w:eastAsia="仿宋" w:cs="仿宋"/>
          <w:sz w:val="24"/>
          <w:highlight w:val="none"/>
        </w:rPr>
        <w:t>(</w:t>
      </w:r>
      <w:r>
        <w:rPr>
          <w:rFonts w:hint="eastAsia" w:ascii="仿宋" w:hAnsi="仿宋" w:eastAsia="仿宋" w:cs="仿宋"/>
          <w:sz w:val="24"/>
          <w:highlight w:val="none"/>
        </w:rPr>
        <w:t>盖章</w:t>
      </w:r>
      <w:r>
        <w:rPr>
          <w:rFonts w:ascii="仿宋" w:hAnsi="仿宋" w:eastAsia="仿宋" w:cs="仿宋"/>
          <w:sz w:val="24"/>
          <w:highlight w:val="none"/>
        </w:rPr>
        <w:t>)</w:t>
      </w:r>
      <w:r>
        <w:rPr>
          <w:rFonts w:hint="eastAsia" w:ascii="仿宋" w:hAnsi="仿宋" w:eastAsia="仿宋" w:cs="仿宋"/>
          <w:sz w:val="24"/>
          <w:highlight w:val="none"/>
        </w:rPr>
        <w:t xml:space="preserve">：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说明：①从业人员、营业收入、资产总额填报上一年度数据，无上一年度数据的新成立企业可不填报。</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②如未提供中小企业声明函的，则其评审中的小型、微型企业不能享受</w:t>
      </w:r>
      <w:r>
        <w:rPr>
          <w:rFonts w:hint="eastAsia" w:ascii="仿宋" w:hAnsi="仿宋" w:eastAsia="仿宋" w:cs="仿宋"/>
          <w:sz w:val="24"/>
          <w:highlight w:val="none"/>
          <w:lang w:eastAsia="zh-CN"/>
        </w:rPr>
        <w:t>招标</w:t>
      </w:r>
      <w:r>
        <w:rPr>
          <w:rFonts w:hint="eastAsia" w:ascii="仿宋" w:hAnsi="仿宋" w:eastAsia="仿宋" w:cs="仿宋"/>
          <w:sz w:val="24"/>
          <w:highlight w:val="none"/>
        </w:rPr>
        <w:t>文件规定的价格扣除，但不影响供应商响应文件的有效性。</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③供应商参加政府采购活动时，提供虚假中小企业声明函的，以提供虚假材料谋取成交处理。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④供应商为非企业单位的，如民办非企业、基金会、协会、服务中心、农村承包经营户、学会等非工商</w:t>
      </w:r>
      <w:r>
        <w:rPr>
          <w:rFonts w:ascii="仿宋" w:hAnsi="仿宋" w:eastAsia="仿宋" w:cs="仿宋"/>
          <w:sz w:val="24"/>
          <w:highlight w:val="none"/>
        </w:rPr>
        <w:t>(</w:t>
      </w:r>
      <w:r>
        <w:rPr>
          <w:rFonts w:hint="eastAsia" w:ascii="仿宋" w:hAnsi="仿宋" w:eastAsia="仿宋" w:cs="仿宋"/>
          <w:sz w:val="24"/>
          <w:highlight w:val="none"/>
        </w:rPr>
        <w:t>市场监管</w:t>
      </w:r>
      <w:r>
        <w:rPr>
          <w:rFonts w:ascii="仿宋" w:hAnsi="仿宋" w:eastAsia="仿宋" w:cs="仿宋"/>
          <w:sz w:val="24"/>
          <w:highlight w:val="none"/>
        </w:rPr>
        <w:t>)</w:t>
      </w:r>
      <w:r>
        <w:rPr>
          <w:rFonts w:hint="eastAsia" w:ascii="仿宋" w:hAnsi="仿宋" w:eastAsia="仿宋" w:cs="仿宋"/>
          <w:sz w:val="24"/>
          <w:highlight w:val="none"/>
        </w:rPr>
        <w:t>登记注册的组织均不适用此声明函，不得提供中小企业声明函，提供此声明的在评审过程中按声明无效处理。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⑤符合中小企业划分标准的个体工商户，在政府采购活动中视同中小企业。</w:t>
      </w:r>
    </w:p>
    <w:p>
      <w:pPr>
        <w:pStyle w:val="4"/>
        <w:jc w:val="center"/>
        <w:rPr>
          <w:rFonts w:ascii="仿宋" w:hAnsi="仿宋" w:eastAsia="仿宋" w:cs="仿宋"/>
          <w:sz w:val="28"/>
          <w:szCs w:val="28"/>
          <w:highlight w:val="none"/>
        </w:rPr>
      </w:pPr>
      <w:r>
        <w:rPr>
          <w:rFonts w:hint="eastAsia" w:ascii="仿宋" w:hAnsi="仿宋" w:eastAsia="仿宋" w:cs="仿宋"/>
          <w:bCs w:val="0"/>
          <w:highlight w:val="none"/>
          <w:lang w:eastAsia="zh-CN"/>
        </w:rPr>
        <w:t>八</w:t>
      </w:r>
      <w:r>
        <w:rPr>
          <w:rFonts w:hint="eastAsia" w:ascii="仿宋" w:hAnsi="仿宋" w:eastAsia="仿宋" w:cs="仿宋"/>
          <w:bCs w:val="0"/>
          <w:kern w:val="2"/>
          <w:highlight w:val="none"/>
        </w:rPr>
        <w:t>、监狱企业相关证明材料(如涉及)</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说明：</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①监狱企业参加政府采购活动时，应当提供由省级以上监狱管理局、戒毒管理局(含新疆</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生产建设兵团)出具的属于监狱企业的证明文件。</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②监狱企业参加本次采购活动未提供监狱企业相关证明材料的，则不能享受</w:t>
      </w:r>
      <w:r>
        <w:rPr>
          <w:rFonts w:hint="eastAsia" w:ascii="仿宋" w:hAnsi="仿宋" w:eastAsia="仿宋" w:cs="仿宋"/>
          <w:b/>
          <w:sz w:val="24"/>
          <w:highlight w:val="none"/>
          <w:lang w:eastAsia="zh-CN"/>
        </w:rPr>
        <w:t>招标</w:t>
      </w:r>
      <w:r>
        <w:rPr>
          <w:rFonts w:hint="eastAsia" w:ascii="仿宋" w:hAnsi="仿宋" w:eastAsia="仿宋" w:cs="仿宋"/>
          <w:b/>
          <w:sz w:val="24"/>
          <w:highlight w:val="none"/>
        </w:rPr>
        <w:t>文件规</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定的价格扣除，但不影响投标人响应文件的有效性。</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③非监狱企业无需提供证明材料。</w:t>
      </w:r>
    </w:p>
    <w:p>
      <w:pPr>
        <w:keepNext/>
        <w:keepLines/>
        <w:spacing w:before="260" w:after="260" w:line="416" w:lineRule="auto"/>
        <w:jc w:val="center"/>
        <w:outlineLvl w:val="2"/>
        <w:rPr>
          <w:rFonts w:ascii="仿宋" w:hAnsi="仿宋" w:eastAsia="仿宋" w:cs="仿宋"/>
          <w:bCs/>
          <w:sz w:val="32"/>
          <w:szCs w:val="32"/>
          <w:highlight w:val="none"/>
        </w:rPr>
      </w:pPr>
      <w:r>
        <w:rPr>
          <w:rFonts w:hint="eastAsia" w:ascii="仿宋" w:hAnsi="仿宋" w:eastAsia="仿宋" w:cs="仿宋"/>
          <w:sz w:val="24"/>
          <w:highlight w:val="none"/>
        </w:rPr>
        <w:br w:type="page"/>
      </w:r>
      <w:r>
        <w:rPr>
          <w:rFonts w:hint="eastAsia" w:ascii="仿宋" w:hAnsi="仿宋" w:eastAsia="仿宋" w:cs="仿宋"/>
          <w:b/>
          <w:sz w:val="32"/>
          <w:szCs w:val="32"/>
          <w:highlight w:val="none"/>
          <w:lang w:eastAsia="zh-CN"/>
        </w:rPr>
        <w:t>九</w:t>
      </w:r>
      <w:r>
        <w:rPr>
          <w:rFonts w:hint="eastAsia" w:ascii="仿宋" w:hAnsi="仿宋" w:eastAsia="仿宋" w:cs="仿宋"/>
          <w:b/>
          <w:sz w:val="32"/>
          <w:szCs w:val="32"/>
          <w:highlight w:val="none"/>
        </w:rPr>
        <w:t>、残疾人福利性单位声明函（如涉及）</w:t>
      </w:r>
    </w:p>
    <w:p>
      <w:pPr>
        <w:spacing w:line="588" w:lineRule="exact"/>
        <w:rPr>
          <w:rFonts w:ascii="仿宋" w:hAnsi="仿宋" w:eastAsia="仿宋" w:cs="仿宋"/>
          <w:b/>
          <w:spacing w:val="6"/>
          <w:sz w:val="24"/>
          <w:highlight w:val="none"/>
        </w:rPr>
      </w:pP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 民政部 中国残疾人联合会关于促进残疾人就业政府采购政策的通知》（财库</w:t>
      </w:r>
      <w:r>
        <w:rPr>
          <w:rFonts w:hint="eastAsia" w:ascii="仿宋" w:hAnsi="仿宋" w:eastAsia="仿宋" w:cs="仿宋"/>
          <w:sz w:val="24"/>
          <w:highlight w:val="none"/>
        </w:rPr>
        <w:t>〔2017〕 141</w:t>
      </w:r>
      <w:r>
        <w:rPr>
          <w:rFonts w:hint="eastAsia" w:ascii="仿宋" w:hAnsi="仿宋" w:eastAsia="仿宋" w:cs="仿宋"/>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pPr>
        <w:spacing w:line="360" w:lineRule="auto"/>
        <w:rPr>
          <w:rFonts w:ascii="仿宋" w:hAnsi="仿宋" w:eastAsia="仿宋" w:cs="仿宋"/>
          <w:spacing w:val="6"/>
          <w:sz w:val="24"/>
          <w:highlight w:val="none"/>
        </w:rPr>
      </w:pPr>
    </w:p>
    <w:p>
      <w:pPr>
        <w:spacing w:line="360" w:lineRule="auto"/>
        <w:rPr>
          <w:rFonts w:ascii="仿宋" w:hAnsi="仿宋" w:eastAsia="仿宋" w:cs="仿宋"/>
          <w:spacing w:val="6"/>
          <w:sz w:val="24"/>
          <w:highlight w:val="none"/>
        </w:rPr>
      </w:pP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投标人名称：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（单位盖章）</w:t>
      </w:r>
    </w:p>
    <w:p>
      <w:pPr>
        <w:widowControl/>
        <w:spacing w:line="360" w:lineRule="auto"/>
        <w:ind w:firstLine="470" w:firstLineChars="196"/>
        <w:jc w:val="left"/>
        <w:rPr>
          <w:rFonts w:ascii="华文仿宋" w:hAnsi="华文仿宋" w:eastAsia="华文仿宋" w:cs="华文仿宋"/>
          <w:sz w:val="24"/>
          <w:highlight w:val="none"/>
        </w:rPr>
      </w:pPr>
      <w:r>
        <w:rPr>
          <w:rFonts w:hint="eastAsia" w:ascii="华文仿宋" w:hAnsi="华文仿宋" w:eastAsia="华文仿宋" w:cs="华文仿宋"/>
          <w:sz w:val="24"/>
          <w:highlight w:val="none"/>
        </w:rPr>
        <w:t>法定代表人/单位负责人或授权代表：</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（签字或盖章）</w:t>
      </w:r>
    </w:p>
    <w:p>
      <w:pPr>
        <w:widowControl/>
        <w:spacing w:line="360" w:lineRule="auto"/>
        <w:ind w:firstLine="470" w:firstLineChars="196"/>
        <w:jc w:val="left"/>
        <w:rPr>
          <w:rFonts w:hint="default" w:ascii="华文仿宋" w:hAnsi="华文仿宋" w:eastAsia="华文仿宋" w:cs="华文仿宋"/>
          <w:sz w:val="24"/>
          <w:highlight w:val="none"/>
          <w:lang w:val="en-US" w:eastAsia="zh-CN"/>
        </w:rPr>
      </w:pPr>
      <w:r>
        <w:rPr>
          <w:rFonts w:hint="eastAsia" w:ascii="华文仿宋" w:hAnsi="华文仿宋" w:eastAsia="华文仿宋" w:cs="华文仿宋"/>
          <w:sz w:val="24"/>
          <w:highlight w:val="none"/>
        </w:rPr>
        <w:t>日</w:t>
      </w:r>
      <w:r>
        <w:rPr>
          <w:rFonts w:hint="eastAsia" w:ascii="华文仿宋" w:hAnsi="华文仿宋" w:eastAsia="华文仿宋" w:cs="华文仿宋"/>
          <w:sz w:val="24"/>
          <w:highlight w:val="none"/>
          <w:lang w:val="en-US" w:eastAsia="zh-CN"/>
        </w:rPr>
        <w:t xml:space="preserve">  </w:t>
      </w:r>
      <w:r>
        <w:rPr>
          <w:rFonts w:hint="eastAsia" w:ascii="华文仿宋" w:hAnsi="华文仿宋" w:eastAsia="华文仿宋" w:cs="华文仿宋"/>
          <w:sz w:val="24"/>
          <w:highlight w:val="none"/>
        </w:rPr>
        <w:t>期:</w:t>
      </w:r>
      <w:r>
        <w:rPr>
          <w:rFonts w:hint="eastAsia" w:ascii="华文仿宋" w:hAnsi="华文仿宋" w:eastAsia="华文仿宋" w:cs="华文仿宋"/>
          <w:sz w:val="24"/>
          <w:highlight w:val="none"/>
          <w:u w:val="single"/>
          <w:lang w:val="en-US" w:eastAsia="zh-CN"/>
        </w:rPr>
        <w:t xml:space="preserve">                 </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ind w:firstLine="384" w:firstLineChars="200"/>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说明：1、如未提供残疾人福利性单位声明函的，则其评审中的残疾人福利性单位不能享受招标文件规定的价格扣除。非残疾人福利性单位，不需提供此声明函，不影响响应文件的有效性。</w:t>
      </w:r>
    </w:p>
    <w:p>
      <w:pPr>
        <w:spacing w:line="360" w:lineRule="auto"/>
        <w:ind w:firstLine="384" w:firstLineChars="200"/>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2、享受政府采购支持政策的残疾人福利性单位应当同时满足以下条件：</w:t>
      </w:r>
    </w:p>
    <w:p>
      <w:pPr>
        <w:spacing w:line="360" w:lineRule="auto"/>
        <w:ind w:firstLine="384" w:firstLineChars="200"/>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（一）安置的残疾人占本单位在职职工人数的比例不低于25%（含25%），并且安置的残疾人人数不少于10 人（含10 人）；</w:t>
      </w:r>
    </w:p>
    <w:p>
      <w:pPr>
        <w:spacing w:line="360" w:lineRule="auto"/>
        <w:ind w:firstLine="384" w:firstLineChars="200"/>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（二）依法与安置的每位残疾人签订了一年以上（含一年）的劳动合同或服务协议；</w:t>
      </w:r>
    </w:p>
    <w:p>
      <w:pPr>
        <w:spacing w:line="360" w:lineRule="auto"/>
        <w:ind w:firstLine="384" w:firstLineChars="200"/>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（三）为安置的每位残疾人按月足额缴纳了基本养老保险、基本医疗保险、失业保险、工伤保险和生育保险等社会保险费；</w:t>
      </w:r>
    </w:p>
    <w:p>
      <w:pPr>
        <w:spacing w:line="360" w:lineRule="auto"/>
        <w:ind w:firstLine="384" w:firstLineChars="200"/>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（四）通过银行等金融机构向安置的每位残疾人，按月支付了不低于单位所在区县适用的</w:t>
      </w:r>
    </w:p>
    <w:p>
      <w:pPr>
        <w:spacing w:line="360" w:lineRule="auto"/>
        <w:ind w:firstLine="384" w:firstLineChars="200"/>
        <w:rPr>
          <w:rFonts w:ascii="仿宋" w:hAnsi="仿宋" w:eastAsia="仿宋" w:cs="仿宋"/>
          <w:spacing w:val="6"/>
          <w:sz w:val="18"/>
          <w:szCs w:val="18"/>
          <w:highlight w:val="none"/>
        </w:rPr>
      </w:pPr>
      <w:r>
        <w:rPr>
          <w:rFonts w:hint="eastAsia" w:ascii="仿宋" w:hAnsi="仿宋" w:eastAsia="仿宋" w:cs="仿宋"/>
          <w:spacing w:val="6"/>
          <w:sz w:val="18"/>
          <w:szCs w:val="18"/>
          <w:highlight w:val="none"/>
        </w:rPr>
        <w:t>经省级人民政府批准的月最低工资标准的工资；</w:t>
      </w:r>
    </w:p>
    <w:p>
      <w:pPr>
        <w:spacing w:line="360" w:lineRule="auto"/>
        <w:ind w:firstLine="384" w:firstLineChars="200"/>
        <w:jc w:val="center"/>
        <w:rPr>
          <w:rFonts w:ascii="仿宋" w:hAnsi="仿宋" w:eastAsia="仿宋" w:cs="仿宋"/>
          <w:spacing w:val="6"/>
          <w:sz w:val="24"/>
          <w:highlight w:val="none"/>
        </w:rPr>
      </w:pPr>
      <w:r>
        <w:rPr>
          <w:rFonts w:hint="eastAsia" w:ascii="仿宋" w:hAnsi="仿宋" w:eastAsia="仿宋" w:cs="仿宋"/>
          <w:spacing w:val="6"/>
          <w:sz w:val="18"/>
          <w:szCs w:val="18"/>
          <w:highlight w:val="none"/>
        </w:rPr>
        <w:t>（五）提供本单位制造的货物、承担的工程或者服务（以下简称产品），或者提供其他残疾人福利性单位制造的货物（不包括使用非残疾人福利性单位注册商标的货物）。</w:t>
      </w:r>
      <w:r>
        <w:rPr>
          <w:rFonts w:hint="eastAsia" w:ascii="仿宋" w:hAnsi="仿宋" w:eastAsia="仿宋" w:cs="仿宋"/>
          <w:spacing w:val="6"/>
          <w:sz w:val="24"/>
          <w:highlight w:val="none"/>
        </w:rPr>
        <w:br w:type="page"/>
      </w:r>
      <w:r>
        <w:rPr>
          <w:rFonts w:hint="eastAsia" w:ascii="仿宋" w:hAnsi="仿宋" w:eastAsia="仿宋" w:cs="仿宋"/>
          <w:b/>
          <w:sz w:val="32"/>
          <w:szCs w:val="32"/>
          <w:highlight w:val="none"/>
        </w:rPr>
        <w:t>十、履约能力及相关证明</w:t>
      </w:r>
    </w:p>
    <w:p>
      <w:pPr>
        <w:widowControl/>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注：格式自拟。</w:t>
      </w:r>
    </w:p>
    <w:p>
      <w:pPr>
        <w:rPr>
          <w:rFonts w:hint="eastAsia" w:ascii="仿宋" w:hAnsi="仿宋" w:eastAsia="仿宋" w:cs="仿宋"/>
          <w:b/>
          <w:kern w:val="0"/>
          <w:sz w:val="24"/>
          <w:highlight w:val="none"/>
        </w:rPr>
      </w:pPr>
      <w:r>
        <w:rPr>
          <w:rFonts w:hint="eastAsia" w:ascii="仿宋" w:hAnsi="仿宋" w:eastAsia="仿宋" w:cs="仿宋"/>
          <w:b/>
          <w:kern w:val="0"/>
          <w:sz w:val="24"/>
          <w:highlight w:val="none"/>
        </w:rPr>
        <w:br w:type="page"/>
      </w:r>
    </w:p>
    <w:p>
      <w:pPr>
        <w:spacing w:line="360" w:lineRule="auto"/>
        <w:ind w:firstLine="643" w:firstLineChars="200"/>
        <w:jc w:val="cente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十一、服务方案</w:t>
      </w:r>
    </w:p>
    <w:p>
      <w:pPr>
        <w:pStyle w:val="5"/>
        <w:rPr>
          <w:rFonts w:hint="eastAsia" w:ascii="仿宋" w:hAnsi="仿宋" w:eastAsia="仿宋" w:cs="仿宋"/>
          <w:highlight w:val="none"/>
        </w:rPr>
      </w:pPr>
      <w:r>
        <w:rPr>
          <w:rFonts w:hint="eastAsia" w:ascii="仿宋" w:hAnsi="仿宋" w:eastAsia="仿宋" w:cs="仿宋"/>
          <w:b/>
          <w:color w:val="auto"/>
          <w:kern w:val="0"/>
          <w:sz w:val="24"/>
          <w:highlight w:val="none"/>
        </w:rPr>
        <w:t>注：格式自拟。</w:t>
      </w:r>
    </w:p>
    <w:p>
      <w:pPr>
        <w:rPr>
          <w:rFonts w:hint="eastAsia"/>
          <w:highlight w:val="none"/>
        </w:rPr>
      </w:pPr>
    </w:p>
    <w:p>
      <w:pPr>
        <w:widowControl/>
        <w:spacing w:line="360" w:lineRule="auto"/>
        <w:ind w:firstLine="472" w:firstLineChars="196"/>
        <w:rPr>
          <w:rFonts w:ascii="仿宋" w:hAnsi="仿宋" w:eastAsia="仿宋" w:cs="仿宋"/>
          <w:b/>
          <w:kern w:val="0"/>
          <w:sz w:val="24"/>
          <w:highlight w:val="none"/>
        </w:rPr>
      </w:pPr>
      <w:r>
        <w:rPr>
          <w:rFonts w:hint="eastAsia" w:ascii="仿宋" w:hAnsi="仿宋" w:eastAsia="仿宋" w:cs="仿宋"/>
          <w:b/>
          <w:kern w:val="0"/>
          <w:sz w:val="24"/>
          <w:highlight w:val="none"/>
        </w:rPr>
        <w:br w:type="page"/>
      </w:r>
    </w:p>
    <w:p>
      <w:pPr>
        <w:widowControl/>
        <w:spacing w:line="360" w:lineRule="auto"/>
        <w:ind w:firstLine="630" w:firstLineChars="196"/>
        <w:jc w:val="center"/>
        <w:rPr>
          <w:rFonts w:ascii="仿宋" w:hAnsi="仿宋" w:eastAsia="仿宋" w:cs="仿宋"/>
          <w:b/>
          <w:kern w:val="0"/>
          <w:sz w:val="24"/>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二</w:t>
      </w:r>
      <w:r>
        <w:rPr>
          <w:rFonts w:hint="eastAsia" w:ascii="仿宋" w:hAnsi="仿宋" w:eastAsia="仿宋" w:cs="仿宋"/>
          <w:b/>
          <w:sz w:val="32"/>
          <w:szCs w:val="32"/>
          <w:highlight w:val="none"/>
        </w:rPr>
        <w:t>、招标代理服务费承诺函</w:t>
      </w:r>
    </w:p>
    <w:p>
      <w:pPr>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u w:val="single"/>
        </w:rPr>
        <w:t>四川亚兴建设工程项目管理有限公司</w:t>
      </w:r>
      <w:r>
        <w:rPr>
          <w:rFonts w:hint="eastAsia" w:ascii="仿宋" w:hAnsi="仿宋" w:eastAsia="仿宋" w:cs="仿宋"/>
          <w:spacing w:val="6"/>
          <w:sz w:val="24"/>
          <w:highlight w:val="none"/>
        </w:rPr>
        <w:t>：</w:t>
      </w:r>
    </w:p>
    <w:p>
      <w:pPr>
        <w:spacing w:line="360" w:lineRule="auto"/>
        <w:ind w:firstLine="504" w:firstLineChars="200"/>
        <w:rPr>
          <w:rFonts w:ascii="仿宋" w:hAnsi="仿宋" w:eastAsia="仿宋" w:cs="仿宋"/>
          <w:b/>
          <w:spacing w:val="6"/>
          <w:sz w:val="24"/>
          <w:highlight w:val="none"/>
        </w:rPr>
      </w:pPr>
      <w:r>
        <w:rPr>
          <w:rFonts w:hint="eastAsia" w:ascii="仿宋" w:hAnsi="仿宋" w:eastAsia="仿宋" w:cs="仿宋"/>
          <w:spacing w:val="6"/>
          <w:sz w:val="24"/>
          <w:highlight w:val="none"/>
        </w:rPr>
        <w:t>我公司在贵公司代理的项目(采购项目编号：</w:t>
      </w:r>
      <w:r>
        <w:rPr>
          <w:rFonts w:hint="eastAsia" w:ascii="华文仿宋" w:hAnsi="华文仿宋" w:eastAsia="华文仿宋" w:cs="华文仿宋"/>
          <w:spacing w:val="6"/>
          <w:sz w:val="24"/>
          <w:highlight w:val="none"/>
          <w:u w:val="single"/>
          <w:lang w:val="en-US" w:eastAsia="zh-CN"/>
        </w:rPr>
        <w:t xml:space="preserve">           </w:t>
      </w:r>
      <w:r>
        <w:rPr>
          <w:rFonts w:hint="eastAsia" w:ascii="仿宋" w:hAnsi="仿宋" w:eastAsia="仿宋" w:cs="仿宋"/>
          <w:spacing w:val="6"/>
          <w:sz w:val="24"/>
          <w:highlight w:val="none"/>
        </w:rPr>
        <w:t>) 公开招标中若获中标，我们保证在收到中标通知后2 个工作日内按招标文件的规定及招标代理服务费收取标准，以支票、银行汇票、电汇、现金或经贵公司认可的一种方式，向贵公司即四川亚兴建设工程项目管理有限公司指定的银行帐号，按照招标文件中招标代理服务费收取标准一次性支付合同全额的招标代理服务费。</w:t>
      </w:r>
      <w:r>
        <w:rPr>
          <w:rFonts w:hint="eastAsia" w:ascii="仿宋" w:hAnsi="仿宋" w:eastAsia="仿宋" w:cs="仿宋"/>
          <w:b/>
          <w:spacing w:val="6"/>
          <w:sz w:val="24"/>
          <w:highlight w:val="none"/>
        </w:rPr>
        <w:t>如因我公司自身原因造成取消成交资格或自愿放弃成交资格的，我司支付的招标代理服务费不予退还，由此造成的损失由我方自行承担。</w:t>
      </w:r>
    </w:p>
    <w:p>
      <w:pPr>
        <w:spacing w:line="360" w:lineRule="auto"/>
        <w:ind w:firstLine="504" w:firstLineChars="200"/>
        <w:rPr>
          <w:rFonts w:ascii="仿宋" w:hAnsi="仿宋" w:eastAsia="仿宋" w:cs="仿宋"/>
          <w:spacing w:val="6"/>
          <w:sz w:val="24"/>
          <w:highlight w:val="none"/>
        </w:rPr>
      </w:pPr>
    </w:p>
    <w:p>
      <w:pPr>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特此承诺！</w:t>
      </w: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华文仿宋" w:hAnsi="华文仿宋" w:eastAsia="华文仿宋" w:cs="华文仿宋"/>
          <w:sz w:val="24"/>
          <w:highlight w:val="none"/>
        </w:rPr>
      </w:pPr>
      <w:r>
        <w:rPr>
          <w:rFonts w:hint="eastAsia" w:ascii="华文仿宋" w:hAnsi="华文仿宋" w:eastAsia="华文仿宋" w:cs="华文仿宋"/>
          <w:sz w:val="24"/>
          <w:highlight w:val="none"/>
        </w:rPr>
        <w:t>承诺方名称：</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（盖单位公章）</w:t>
      </w:r>
    </w:p>
    <w:p>
      <w:pPr>
        <w:spacing w:line="360" w:lineRule="auto"/>
        <w:ind w:firstLine="470" w:firstLineChars="196"/>
        <w:rPr>
          <w:rFonts w:ascii="华文仿宋" w:hAnsi="华文仿宋" w:eastAsia="华文仿宋" w:cs="华文仿宋"/>
          <w:sz w:val="24"/>
          <w:highlight w:val="none"/>
        </w:rPr>
      </w:pPr>
      <w:r>
        <w:rPr>
          <w:rFonts w:hint="eastAsia" w:ascii="华文仿宋" w:hAnsi="华文仿宋" w:eastAsia="华文仿宋" w:cs="华文仿宋"/>
          <w:sz w:val="24"/>
          <w:highlight w:val="none"/>
        </w:rPr>
        <w:t>法定代表人/单位负责人或授权代表：</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（签字或盖章）</w:t>
      </w:r>
    </w:p>
    <w:p>
      <w:pPr>
        <w:spacing w:line="360" w:lineRule="auto"/>
        <w:ind w:firstLine="470" w:firstLineChars="196"/>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通讯地址：</w:t>
      </w:r>
      <w:r>
        <w:rPr>
          <w:rFonts w:hint="eastAsia" w:ascii="华文仿宋" w:hAnsi="华文仿宋" w:eastAsia="华文仿宋" w:cs="华文仿宋"/>
          <w:sz w:val="24"/>
          <w:highlight w:val="none"/>
          <w:u w:val="single"/>
          <w:lang w:val="en-US" w:eastAsia="zh-CN"/>
        </w:rPr>
        <w:t xml:space="preserve">             </w:t>
      </w:r>
    </w:p>
    <w:p>
      <w:pPr>
        <w:spacing w:line="360" w:lineRule="auto"/>
        <w:ind w:firstLine="470" w:firstLineChars="196"/>
        <w:rPr>
          <w:rFonts w:hint="default" w:ascii="华文仿宋" w:hAnsi="华文仿宋" w:eastAsia="华文仿宋" w:cs="华文仿宋"/>
          <w:sz w:val="24"/>
          <w:highlight w:val="none"/>
          <w:u w:val="single"/>
          <w:lang w:val="en-US" w:eastAsia="zh-CN"/>
        </w:rPr>
      </w:pPr>
      <w:r>
        <w:rPr>
          <w:rFonts w:hint="eastAsia" w:ascii="华文仿宋" w:hAnsi="华文仿宋" w:eastAsia="华文仿宋" w:cs="华文仿宋"/>
          <w:sz w:val="24"/>
          <w:highlight w:val="none"/>
        </w:rPr>
        <w:t>联系电话：</w:t>
      </w:r>
      <w:r>
        <w:rPr>
          <w:rFonts w:hint="eastAsia" w:ascii="华文仿宋" w:hAnsi="华文仿宋" w:eastAsia="华文仿宋" w:cs="华文仿宋"/>
          <w:sz w:val="24"/>
          <w:highlight w:val="none"/>
          <w:u w:val="single"/>
          <w:lang w:val="en-US" w:eastAsia="zh-CN"/>
        </w:rPr>
        <w:t xml:space="preserve">             </w:t>
      </w:r>
    </w:p>
    <w:p>
      <w:pPr>
        <w:spacing w:line="360" w:lineRule="auto"/>
        <w:ind w:firstLine="480" w:firstLineChars="200"/>
        <w:rPr>
          <w:rFonts w:ascii="华文仿宋" w:hAnsi="华文仿宋" w:eastAsia="华文仿宋" w:cs="华文仿宋"/>
          <w:b/>
          <w:sz w:val="28"/>
          <w:szCs w:val="28"/>
          <w:highlight w:val="none"/>
        </w:rPr>
      </w:pPr>
      <w:r>
        <w:rPr>
          <w:rFonts w:hint="eastAsia" w:ascii="华文仿宋" w:hAnsi="华文仿宋" w:eastAsia="华文仿宋" w:cs="华文仿宋"/>
          <w:sz w:val="24"/>
          <w:highlight w:val="none"/>
        </w:rPr>
        <w:t>承诺日期：</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年</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月</w:t>
      </w:r>
      <w:r>
        <w:rPr>
          <w:rFonts w:hint="eastAsia" w:ascii="华文仿宋" w:hAnsi="华文仿宋" w:eastAsia="华文仿宋" w:cs="华文仿宋"/>
          <w:sz w:val="24"/>
          <w:highlight w:val="none"/>
          <w:u w:val="single"/>
          <w:lang w:val="en-US" w:eastAsia="zh-CN"/>
        </w:rPr>
        <w:t xml:space="preserve">    </w:t>
      </w:r>
      <w:r>
        <w:rPr>
          <w:rFonts w:hint="eastAsia" w:ascii="华文仿宋" w:hAnsi="华文仿宋" w:eastAsia="华文仿宋" w:cs="华文仿宋"/>
          <w:sz w:val="24"/>
          <w:highlight w:val="none"/>
        </w:rPr>
        <w:t>日</w:t>
      </w:r>
    </w:p>
    <w:p>
      <w:pPr>
        <w:rPr>
          <w:rFonts w:hint="eastAsia" w:ascii="华文仿宋" w:hAnsi="华文仿宋" w:eastAsia="华文仿宋" w:cs="华文仿宋"/>
          <w:sz w:val="24"/>
          <w:highlight w:val="none"/>
        </w:rPr>
      </w:pPr>
      <w:r>
        <w:rPr>
          <w:rFonts w:hint="eastAsia" w:ascii="仿宋" w:hAnsi="仿宋" w:eastAsia="仿宋" w:cs="仿宋"/>
          <w:sz w:val="24"/>
          <w:highlight w:val="none"/>
        </w:rPr>
        <w:br w:type="page"/>
      </w:r>
    </w:p>
    <w:p>
      <w:pPr>
        <w:pStyle w:val="2"/>
        <w:rPr>
          <w:highlight w:val="none"/>
        </w:rPr>
      </w:pPr>
    </w:p>
    <w:p>
      <w:pPr>
        <w:pStyle w:val="13"/>
        <w:jc w:val="both"/>
        <w:rPr>
          <w:rFonts w:ascii="仿宋" w:hAnsi="仿宋" w:eastAsia="仿宋" w:cs="仿宋"/>
          <w:sz w:val="36"/>
          <w:szCs w:val="36"/>
          <w:highlight w:val="none"/>
        </w:rPr>
      </w:pPr>
      <w:bookmarkStart w:id="29" w:name="_Toc69395656"/>
      <w:r>
        <w:rPr>
          <w:rFonts w:hint="eastAsia" w:ascii="仿宋" w:hAnsi="仿宋" w:eastAsia="仿宋" w:cs="仿宋"/>
          <w:sz w:val="36"/>
          <w:szCs w:val="36"/>
          <w:highlight w:val="none"/>
        </w:rPr>
        <w:t xml:space="preserve">第四章  </w:t>
      </w:r>
      <w:bookmarkEnd w:id="23"/>
      <w:r>
        <w:rPr>
          <w:rFonts w:hint="eastAsia" w:ascii="仿宋" w:hAnsi="仿宋" w:eastAsia="仿宋" w:cs="仿宋"/>
          <w:sz w:val="36"/>
          <w:szCs w:val="36"/>
          <w:highlight w:val="none"/>
        </w:rPr>
        <w:t>投标人和投标产品的资格、资质性及其他类似效力要</w:t>
      </w:r>
      <w:bookmarkEnd w:id="29"/>
    </w:p>
    <w:p>
      <w:pPr>
        <w:pStyle w:val="13"/>
        <w:rPr>
          <w:rFonts w:ascii="仿宋" w:hAnsi="仿宋" w:eastAsia="仿宋" w:cs="仿宋"/>
          <w:sz w:val="24"/>
          <w:highlight w:val="none"/>
        </w:rPr>
      </w:pPr>
      <w:bookmarkStart w:id="30" w:name="_Toc69395493"/>
      <w:bookmarkStart w:id="31" w:name="_Toc69395657"/>
      <w:r>
        <w:rPr>
          <w:rFonts w:hint="eastAsia" w:ascii="仿宋" w:hAnsi="仿宋" w:eastAsia="仿宋" w:cs="仿宋"/>
          <w:sz w:val="36"/>
          <w:szCs w:val="36"/>
          <w:highlight w:val="none"/>
        </w:rPr>
        <w:t>求</w:t>
      </w:r>
      <w:bookmarkEnd w:id="30"/>
      <w:bookmarkEnd w:id="31"/>
    </w:p>
    <w:p>
      <w:pPr>
        <w:pStyle w:val="3"/>
        <w:spacing w:line="240" w:lineRule="auto"/>
        <w:rPr>
          <w:rFonts w:ascii="仿宋" w:hAnsi="仿宋" w:eastAsia="仿宋" w:cs="仿宋"/>
          <w:sz w:val="24"/>
          <w:highlight w:val="none"/>
        </w:rPr>
      </w:pPr>
      <w:r>
        <w:rPr>
          <w:rFonts w:hint="eastAsia" w:ascii="仿宋" w:hAnsi="仿宋" w:eastAsia="仿宋" w:cs="仿宋"/>
          <w:sz w:val="24"/>
          <w:highlight w:val="none"/>
        </w:rPr>
        <w:t>一、投标人资格、资质性及其他类似效力要求</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（一）《中华人民共和国政府采购法》第二十二条规定的条件：</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1．具有独立承担民事责任能力；</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6．具备法律、行政法规规定的其他条件；</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7.按照规定获取了招标文件。</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8.本项目不允许联合体参加。</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（二）落实政府采购政策需满足的资格要求：本项目</w:t>
      </w:r>
      <w:r>
        <w:rPr>
          <w:rFonts w:hint="eastAsia" w:ascii="仿宋" w:hAnsi="仿宋" w:eastAsia="仿宋" w:cs="仿宋"/>
          <w:sz w:val="24"/>
          <w:highlight w:val="none"/>
          <w:lang w:eastAsia="zh-CN"/>
        </w:rPr>
        <w:t>不属于</w:t>
      </w:r>
      <w:r>
        <w:rPr>
          <w:rFonts w:hint="eastAsia" w:ascii="仿宋" w:hAnsi="仿宋" w:eastAsia="仿宋" w:cs="仿宋"/>
          <w:sz w:val="24"/>
          <w:highlight w:val="none"/>
        </w:rPr>
        <w:t>专门面向中小企业采购的项目。</w:t>
      </w:r>
    </w:p>
    <w:p>
      <w:pPr>
        <w:spacing w:after="160" w:line="360" w:lineRule="auto"/>
        <w:jc w:val="left"/>
        <w:rPr>
          <w:rFonts w:ascii="仿宋" w:hAnsi="仿宋" w:eastAsia="仿宋" w:cs="仿宋"/>
          <w:sz w:val="24"/>
          <w:highlight w:val="none"/>
        </w:rPr>
      </w:pPr>
      <w:r>
        <w:rPr>
          <w:rFonts w:hint="eastAsia" w:ascii="仿宋" w:hAnsi="仿宋" w:eastAsia="仿宋" w:cs="仿宋"/>
          <w:bCs/>
          <w:sz w:val="24"/>
          <w:highlight w:val="none"/>
          <w:lang w:val="en-US" w:eastAsia="zh-CN"/>
        </w:rPr>
        <w:t>（三）针对本项目的</w:t>
      </w:r>
      <w:r>
        <w:rPr>
          <w:rFonts w:hint="eastAsia" w:ascii="仿宋" w:hAnsi="仿宋" w:eastAsia="仿宋" w:cs="仿宋"/>
          <w:bCs/>
          <w:sz w:val="24"/>
          <w:highlight w:val="none"/>
        </w:rPr>
        <w:t>特</w:t>
      </w:r>
      <w:r>
        <w:rPr>
          <w:rFonts w:hint="eastAsia" w:ascii="仿宋" w:hAnsi="仿宋" w:eastAsia="仿宋" w:cs="仿宋"/>
          <w:bCs/>
          <w:sz w:val="24"/>
          <w:highlight w:val="none"/>
          <w:lang w:eastAsia="zh-CN"/>
        </w:rPr>
        <w:t>殊</w:t>
      </w:r>
      <w:r>
        <w:rPr>
          <w:rFonts w:hint="eastAsia" w:ascii="仿宋" w:hAnsi="仿宋" w:eastAsia="仿宋" w:cs="仿宋"/>
          <w:bCs/>
          <w:sz w:val="24"/>
          <w:highlight w:val="none"/>
        </w:rPr>
        <w:t>要求：</w:t>
      </w:r>
      <w:r>
        <w:rPr>
          <w:rFonts w:hint="eastAsia" w:ascii="仿宋" w:hAnsi="仿宋" w:eastAsia="仿宋" w:cs="仿宋"/>
          <w:sz w:val="24"/>
          <w:highlight w:val="none"/>
          <w:lang w:eastAsia="zh-CN"/>
        </w:rPr>
        <w:t>供应商应具备国家行政主管部门颁发的城乡规划编制乙级及以上资质（因目前全国开展国土空间规划管理体系改革，对已到期的城乡规划编制资质视同继续有效）。</w:t>
      </w:r>
    </w:p>
    <w:p>
      <w:pPr>
        <w:spacing w:after="160" w:line="360" w:lineRule="auto"/>
        <w:jc w:val="left"/>
        <w:rPr>
          <w:rFonts w:ascii="仿宋" w:hAnsi="仿宋" w:eastAsia="仿宋" w:cs="仿宋"/>
          <w:b/>
          <w:sz w:val="24"/>
          <w:highlight w:val="none"/>
        </w:rPr>
      </w:pPr>
      <w:r>
        <w:rPr>
          <w:rFonts w:hint="eastAsia" w:ascii="仿宋" w:hAnsi="仿宋" w:eastAsia="仿宋" w:cs="仿宋"/>
          <w:b/>
          <w:sz w:val="24"/>
          <w:highlight w:val="none"/>
        </w:rPr>
        <w:t>二、不属于禁止参加本次采购活动的申请人</w:t>
      </w:r>
    </w:p>
    <w:p>
      <w:pPr>
        <w:spacing w:after="16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截止至投标截止时间当日，未在“信用中国”、“中国政府采购网”网站等渠道被列入失信被执行人、重大税收违法案件当事人名单、政府采购严重违法失信行为记录名单。（若因投标人为事业单位、团体组织、自然人等原因，在“信用中国”、“中国政府采购网”网站等渠道未查询到信息的，视为未被列入失信记录。）</w:t>
      </w:r>
    </w:p>
    <w:p>
      <w:pPr>
        <w:spacing w:after="160" w:line="360" w:lineRule="auto"/>
        <w:jc w:val="left"/>
        <w:rPr>
          <w:rFonts w:ascii="仿宋" w:hAnsi="仿宋" w:eastAsia="仿宋" w:cs="仿宋"/>
          <w:szCs w:val="21"/>
          <w:highlight w:val="none"/>
        </w:rPr>
      </w:pPr>
    </w:p>
    <w:p>
      <w:pPr>
        <w:spacing w:after="160" w:line="360" w:lineRule="auto"/>
        <w:jc w:val="left"/>
        <w:rPr>
          <w:rFonts w:ascii="仿宋" w:hAnsi="仿宋" w:eastAsia="仿宋" w:cs="仿宋"/>
          <w:szCs w:val="21"/>
          <w:highlight w:val="none"/>
        </w:rPr>
      </w:pPr>
      <w:r>
        <w:rPr>
          <w:rFonts w:hint="eastAsia" w:ascii="仿宋" w:hAnsi="仿宋" w:eastAsia="仿宋" w:cs="仿宋"/>
          <w:szCs w:val="21"/>
          <w:highlight w:val="none"/>
        </w:rPr>
        <w:t>注：</w:t>
      </w:r>
    </w:p>
    <w:p>
      <w:pPr>
        <w:spacing w:after="160" w:line="360" w:lineRule="auto"/>
        <w:ind w:firstLine="411" w:firstLineChars="196"/>
        <w:jc w:val="left"/>
        <w:rPr>
          <w:rFonts w:ascii="仿宋" w:hAnsi="仿宋" w:eastAsia="仿宋" w:cs="仿宋"/>
          <w:szCs w:val="21"/>
          <w:highlight w:val="none"/>
        </w:rPr>
      </w:pPr>
      <w:r>
        <w:rPr>
          <w:rFonts w:hint="eastAsia" w:ascii="仿宋" w:hAnsi="仿宋" w:eastAsia="仿宋" w:cs="仿宋"/>
          <w:szCs w:val="21"/>
          <w:highlight w:val="none"/>
        </w:rPr>
        <w:t>1、本项目确定投标人重大违法记录中经营活动中较大数额罚款的金额标准为：是指对非经营活动中公民的违法行为处以罚款或者没收财产2000 元以上、法人或者其他组织的违法行为处以罚款或者没收财产2 万元以上;对在经营活动中的违法行为处以罚款或者没收财产5万元以上。国务院有关部门规定的较大数额标准低于前款规定的，从其规定。采购项目所属行业行政主管部门对较大数额罚款金额标准有明文规定的，可以根据采购项目所属行业行政主管部分规定的较大数额罚款金额标准为准；采购项目所属行业行政主管部门对较大数额罚款金额标准未明文规定的，应当以四川省人民政府规定的行政处罚罚款听证标准金额为准。（四川省人民政府令（第317 号）《四川省行政处罚听证程序规定》）</w:t>
      </w:r>
    </w:p>
    <w:p>
      <w:pPr>
        <w:spacing w:after="160" w:line="360" w:lineRule="auto"/>
        <w:ind w:firstLine="411" w:firstLineChars="196"/>
        <w:jc w:val="left"/>
        <w:rPr>
          <w:rFonts w:ascii="仿宋" w:hAnsi="仿宋" w:eastAsia="仿宋" w:cs="仿宋"/>
          <w:szCs w:val="21"/>
          <w:highlight w:val="none"/>
        </w:rPr>
      </w:pPr>
      <w:r>
        <w:rPr>
          <w:rFonts w:hint="eastAsia" w:ascii="仿宋" w:hAnsi="仿宋" w:eastAsia="仿宋" w:cs="仿宋"/>
          <w:szCs w:val="21"/>
          <w:highlight w:val="none"/>
        </w:rPr>
        <w:t>2、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End w:id="24"/>
    </w:p>
    <w:p>
      <w:pPr>
        <w:spacing w:after="50" w:line="420" w:lineRule="exact"/>
        <w:rPr>
          <w:rFonts w:ascii="仿宋" w:hAnsi="仿宋" w:eastAsia="仿宋" w:cs="仿宋"/>
          <w:sz w:val="24"/>
          <w:highlight w:val="none"/>
        </w:rPr>
      </w:pPr>
    </w:p>
    <w:p>
      <w:pPr>
        <w:pStyle w:val="13"/>
        <w:rPr>
          <w:rFonts w:ascii="仿宋" w:hAnsi="仿宋" w:eastAsia="仿宋" w:cs="仿宋"/>
          <w:sz w:val="36"/>
          <w:szCs w:val="36"/>
          <w:highlight w:val="none"/>
        </w:rPr>
      </w:pPr>
      <w:bookmarkStart w:id="32" w:name="_Toc511206479"/>
      <w:r>
        <w:rPr>
          <w:rFonts w:hint="eastAsia" w:ascii="仿宋" w:hAnsi="仿宋" w:eastAsia="仿宋" w:cs="仿宋"/>
          <w:sz w:val="36"/>
          <w:szCs w:val="36"/>
          <w:highlight w:val="none"/>
        </w:rPr>
        <w:br w:type="page"/>
      </w:r>
      <w:bookmarkStart w:id="33" w:name="_Toc69395658"/>
      <w:r>
        <w:rPr>
          <w:rFonts w:hint="eastAsia" w:ascii="仿宋" w:hAnsi="仿宋" w:eastAsia="仿宋" w:cs="仿宋"/>
          <w:sz w:val="36"/>
          <w:szCs w:val="36"/>
          <w:highlight w:val="none"/>
        </w:rPr>
        <w:t>第五章  投标人应当提供的资格、资质性及其他具有类似效力的要求的相关证明材料</w:t>
      </w:r>
      <w:bookmarkEnd w:id="33"/>
    </w:p>
    <w:p>
      <w:pPr>
        <w:spacing w:after="160" w:line="360" w:lineRule="auto"/>
        <w:jc w:val="left"/>
        <w:rPr>
          <w:rFonts w:ascii="仿宋" w:hAnsi="仿宋" w:eastAsia="仿宋" w:cs="仿宋"/>
          <w:b/>
          <w:bCs/>
          <w:sz w:val="24"/>
          <w:highlight w:val="none"/>
        </w:rPr>
      </w:pPr>
    </w:p>
    <w:p>
      <w:pPr>
        <w:spacing w:after="160" w:line="360" w:lineRule="auto"/>
        <w:jc w:val="left"/>
        <w:rPr>
          <w:rFonts w:ascii="仿宋" w:hAnsi="仿宋" w:eastAsia="仿宋" w:cs="仿宋"/>
          <w:b/>
          <w:bCs/>
          <w:sz w:val="24"/>
          <w:highlight w:val="none"/>
        </w:rPr>
      </w:pPr>
      <w:r>
        <w:rPr>
          <w:rFonts w:hint="eastAsia" w:ascii="仿宋" w:hAnsi="仿宋" w:eastAsia="仿宋" w:cs="仿宋"/>
          <w:b/>
          <w:bCs/>
          <w:sz w:val="24"/>
          <w:highlight w:val="none"/>
        </w:rPr>
        <w:t>（一）投标人具有独立承担民事责任的能力的证明材料：</w:t>
      </w:r>
    </w:p>
    <w:p>
      <w:pPr>
        <w:spacing w:after="160"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1.以上证明材料应满足此条要求①发证机关有年检要求的，应按规定通过年检；②在有效期内；③复印件加盖投标人公章；</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.根据国务院办公厅关于加快推进“多证合一”改革的指导意见(国办发〔2017〕41 号)等政策要求，若资格要求涉及的登记、备案等有关事项和各类证照已实行多证合一的，提供多证合一证照副本复印件。</w:t>
      </w:r>
    </w:p>
    <w:p>
      <w:pPr>
        <w:spacing w:after="160"/>
        <w:jc w:val="left"/>
        <w:rPr>
          <w:rFonts w:ascii="仿宋" w:hAnsi="仿宋" w:eastAsia="仿宋" w:cs="仿宋"/>
          <w:b/>
          <w:bCs/>
          <w:sz w:val="24"/>
          <w:highlight w:val="none"/>
        </w:rPr>
      </w:pPr>
      <w:r>
        <w:rPr>
          <w:rFonts w:hint="eastAsia" w:ascii="仿宋" w:hAnsi="仿宋" w:eastAsia="仿宋" w:cs="仿宋"/>
          <w:b/>
          <w:bCs/>
          <w:sz w:val="24"/>
          <w:highlight w:val="none"/>
        </w:rPr>
        <w:t>(二)具有良好的商业信誉和健全的财务会计制度的证明材料；</w:t>
      </w:r>
    </w:p>
    <w:p>
      <w:pPr>
        <w:spacing w:after="160" w:line="360" w:lineRule="auto"/>
        <w:ind w:firstLine="600" w:firstLineChars="250"/>
        <w:jc w:val="left"/>
        <w:rPr>
          <w:rFonts w:ascii="仿宋" w:hAnsi="仿宋" w:eastAsia="仿宋" w:cs="仿宋"/>
          <w:sz w:val="24"/>
          <w:highlight w:val="none"/>
        </w:rPr>
      </w:pPr>
      <w:r>
        <w:rPr>
          <w:rFonts w:hint="eastAsia" w:ascii="仿宋" w:hAnsi="仿宋" w:eastAsia="仿宋" w:cs="仿宋"/>
          <w:sz w:val="24"/>
          <w:highlight w:val="none"/>
        </w:rPr>
        <w:t>1. 具有良好商业信誉的证明材料；</w:t>
      </w:r>
    </w:p>
    <w:p>
      <w:pPr>
        <w:spacing w:after="160" w:line="360" w:lineRule="auto"/>
        <w:ind w:firstLine="840" w:firstLineChars="350"/>
        <w:jc w:val="left"/>
        <w:rPr>
          <w:rFonts w:ascii="仿宋" w:hAnsi="仿宋" w:eastAsia="仿宋" w:cs="仿宋"/>
          <w:sz w:val="24"/>
          <w:highlight w:val="none"/>
        </w:rPr>
      </w:pPr>
      <w:r>
        <w:rPr>
          <w:rFonts w:hint="eastAsia" w:ascii="仿宋" w:hAnsi="仿宋" w:eastAsia="仿宋" w:cs="仿宋"/>
          <w:sz w:val="24"/>
          <w:highlight w:val="none"/>
        </w:rPr>
        <w:t>提供具有良好的商业信誉的承诺函。</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注:投标人在参加政府采购活动前，被纳入法院、市场监督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after="16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2.具有健全的财务会计制度的证明材料；</w:t>
      </w:r>
    </w:p>
    <w:p>
      <w:pPr>
        <w:spacing w:after="16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(1)投标人提供2019 年度或2020 年度经过会计师事务所审计的财务报告复印件(经审计的有效财务报告应包括报告及报告中所附的完整内容，并由注册会计师签名、盖章以及会计师事务所盖章)；</w:t>
      </w:r>
    </w:p>
    <w:p>
      <w:pPr>
        <w:spacing w:after="160" w:line="360" w:lineRule="auto"/>
        <w:ind w:firstLine="436" w:firstLineChars="182"/>
        <w:jc w:val="left"/>
        <w:rPr>
          <w:rFonts w:ascii="仿宋" w:hAnsi="仿宋" w:eastAsia="仿宋" w:cs="仿宋"/>
          <w:sz w:val="24"/>
          <w:highlight w:val="none"/>
        </w:rPr>
      </w:pPr>
      <w:r>
        <w:rPr>
          <w:rFonts w:hint="eastAsia" w:ascii="仿宋" w:hAnsi="仿宋" w:eastAsia="仿宋" w:cs="仿宋"/>
          <w:sz w:val="24"/>
          <w:highlight w:val="none"/>
        </w:rPr>
        <w:t>(2)投标人提供2019 年度或2020 年投标人内部的财务报表复印件(至少包含资产负债表)；</w:t>
      </w:r>
    </w:p>
    <w:p>
      <w:pPr>
        <w:spacing w:after="160" w:line="360" w:lineRule="auto"/>
        <w:ind w:firstLine="436" w:firstLineChars="182"/>
        <w:jc w:val="left"/>
        <w:rPr>
          <w:rFonts w:ascii="仿宋" w:hAnsi="仿宋" w:eastAsia="仿宋" w:cs="仿宋"/>
          <w:sz w:val="24"/>
          <w:highlight w:val="none"/>
        </w:rPr>
      </w:pPr>
      <w:r>
        <w:rPr>
          <w:rFonts w:hint="eastAsia" w:ascii="仿宋" w:hAnsi="仿宋" w:eastAsia="仿宋" w:cs="仿宋"/>
          <w:sz w:val="24"/>
          <w:highlight w:val="none"/>
        </w:rPr>
        <w:t>(3)投标人提供响应文件递交截止日前一年内银行为其出具的资信证明复印件；</w:t>
      </w:r>
    </w:p>
    <w:p>
      <w:pPr>
        <w:spacing w:after="160" w:line="360" w:lineRule="auto"/>
        <w:ind w:firstLine="436" w:firstLineChars="182"/>
        <w:jc w:val="left"/>
        <w:rPr>
          <w:rFonts w:ascii="仿宋" w:hAnsi="仿宋" w:eastAsia="仿宋" w:cs="仿宋"/>
          <w:sz w:val="24"/>
          <w:highlight w:val="none"/>
        </w:rPr>
      </w:pPr>
      <w:r>
        <w:rPr>
          <w:rFonts w:hint="eastAsia" w:ascii="仿宋" w:hAnsi="仿宋" w:eastAsia="仿宋" w:cs="仿宋"/>
          <w:sz w:val="24"/>
          <w:highlight w:val="none"/>
        </w:rPr>
        <w:t>(4)投标人注册时间截至响应文件递交截止日不足一年的，可提供公司章程复印件；</w:t>
      </w:r>
    </w:p>
    <w:p>
      <w:pPr>
        <w:spacing w:after="160" w:line="360" w:lineRule="auto"/>
        <w:ind w:firstLine="436" w:firstLineChars="182"/>
        <w:jc w:val="left"/>
        <w:rPr>
          <w:rFonts w:ascii="仿宋" w:hAnsi="仿宋" w:eastAsia="仿宋" w:cs="仿宋"/>
          <w:sz w:val="24"/>
          <w:highlight w:val="none"/>
        </w:rPr>
      </w:pPr>
      <w:r>
        <w:rPr>
          <w:rFonts w:hint="eastAsia" w:ascii="仿宋" w:hAnsi="仿宋" w:eastAsia="仿宋" w:cs="仿宋"/>
          <w:sz w:val="24"/>
          <w:highlight w:val="none"/>
        </w:rPr>
        <w:t>(5)投标人为事业单位、大型国有企业或其他组织(不具备法人条件的组织，如合伙组织、个体工商户、农村承包经营户等)或自然人时，可提供承诺函。</w:t>
      </w:r>
    </w:p>
    <w:p>
      <w:pPr>
        <w:spacing w:after="160"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注：具有健全的财务会计制度的证明材料中第(1)-(5)项具有同等的效力，投标人可根据自身实际情况选择提供其中任意一项。</w:t>
      </w:r>
    </w:p>
    <w:p>
      <w:pPr>
        <w:spacing w:after="160"/>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(三)投标人具有履行合同所必需的设备和专业技术能力证明材料；</w:t>
      </w:r>
    </w:p>
    <w:p>
      <w:pPr>
        <w:spacing w:after="16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提供具有履行合同所必需的设备和专业技术能力的承诺函。</w:t>
      </w:r>
    </w:p>
    <w:p>
      <w:pPr>
        <w:spacing w:after="160" w:line="360" w:lineRule="auto"/>
        <w:jc w:val="left"/>
        <w:rPr>
          <w:rFonts w:ascii="仿宋" w:hAnsi="仿宋" w:eastAsia="仿宋" w:cs="仿宋"/>
          <w:b/>
          <w:sz w:val="24"/>
          <w:highlight w:val="none"/>
        </w:rPr>
      </w:pPr>
      <w:r>
        <w:rPr>
          <w:rFonts w:hint="eastAsia" w:ascii="仿宋" w:hAnsi="仿宋" w:eastAsia="仿宋" w:cs="仿宋"/>
          <w:b/>
          <w:sz w:val="24"/>
          <w:highlight w:val="none"/>
        </w:rPr>
        <w:t>注：格式自拟，或参照《符合&lt;中华人民共和国政府采购法&gt;第二十二条规定的条件的承诺及声明函》提供承诺函。</w:t>
      </w:r>
    </w:p>
    <w:p>
      <w:pPr>
        <w:spacing w:after="160"/>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(四)投标人具有依法缴纳税收和社会保障资金的良好记录的证明材料；</w:t>
      </w:r>
    </w:p>
    <w:p>
      <w:pPr>
        <w:spacing w:after="16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提供依法缴纳税收和社会保障资金的良好记录的承诺函。</w:t>
      </w:r>
    </w:p>
    <w:p>
      <w:pPr>
        <w:spacing w:after="160" w:line="360" w:lineRule="auto"/>
        <w:jc w:val="left"/>
        <w:rPr>
          <w:rFonts w:ascii="仿宋" w:hAnsi="仿宋" w:eastAsia="仿宋" w:cs="仿宋"/>
          <w:b/>
          <w:sz w:val="24"/>
          <w:highlight w:val="none"/>
        </w:rPr>
      </w:pPr>
      <w:r>
        <w:rPr>
          <w:rFonts w:hint="eastAsia" w:ascii="仿宋" w:hAnsi="仿宋" w:eastAsia="仿宋" w:cs="仿宋"/>
          <w:b/>
          <w:sz w:val="24"/>
          <w:highlight w:val="none"/>
        </w:rPr>
        <w:t>注：格式自拟，或参照《符合&lt;中华人民共和国政府采购法&gt;第二十二条规定的条件的承诺及声明函》提供承诺函。</w:t>
      </w:r>
    </w:p>
    <w:p>
      <w:pPr>
        <w:spacing w:after="160"/>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(五)投标人参加政府采购活动前三年内，在经营活动中没有重大违法记录的证明材料；</w:t>
      </w:r>
    </w:p>
    <w:p>
      <w:pPr>
        <w:spacing w:after="160" w:line="360" w:lineRule="auto"/>
        <w:jc w:val="left"/>
        <w:rPr>
          <w:rFonts w:ascii="仿宋" w:hAnsi="仿宋" w:eastAsia="仿宋" w:cs="仿宋"/>
          <w:sz w:val="24"/>
          <w:highlight w:val="none"/>
        </w:rPr>
      </w:pPr>
      <w:r>
        <w:rPr>
          <w:rFonts w:hint="eastAsia" w:ascii="仿宋" w:hAnsi="仿宋" w:eastAsia="仿宋" w:cs="仿宋"/>
          <w:sz w:val="24"/>
          <w:highlight w:val="none"/>
        </w:rPr>
        <w:t>提供参加本次政府采购活动前三年内，在经营活动中没有重大违法记录的书面声明(成立不足三年的，从成立之日起计算)。</w:t>
      </w:r>
    </w:p>
    <w:p>
      <w:pPr>
        <w:spacing w:after="160" w:line="360" w:lineRule="auto"/>
        <w:jc w:val="left"/>
        <w:rPr>
          <w:rFonts w:ascii="仿宋" w:hAnsi="仿宋" w:eastAsia="仿宋" w:cs="仿宋"/>
          <w:sz w:val="24"/>
          <w:highlight w:val="none"/>
        </w:rPr>
      </w:pPr>
      <w:r>
        <w:rPr>
          <w:rFonts w:hint="eastAsia" w:ascii="仿宋" w:hAnsi="仿宋" w:eastAsia="仿宋" w:cs="仿宋"/>
          <w:b/>
          <w:sz w:val="24"/>
          <w:highlight w:val="none"/>
        </w:rPr>
        <w:t>（六）具备法律、行政法规规定的其他条件的证明材料复印件或承诺函原件。</w:t>
      </w:r>
    </w:p>
    <w:p>
      <w:pPr>
        <w:spacing w:after="160" w:line="360" w:lineRule="auto"/>
        <w:jc w:val="left"/>
        <w:rPr>
          <w:rFonts w:ascii="仿宋" w:hAnsi="仿宋" w:eastAsia="仿宋" w:cs="仿宋"/>
          <w:b/>
          <w:sz w:val="24"/>
          <w:highlight w:val="none"/>
        </w:rPr>
      </w:pPr>
      <w:r>
        <w:rPr>
          <w:rFonts w:hint="eastAsia" w:ascii="仿宋" w:hAnsi="仿宋" w:eastAsia="仿宋" w:cs="仿宋"/>
          <w:b/>
          <w:sz w:val="24"/>
          <w:highlight w:val="none"/>
        </w:rPr>
        <w:t>（七）</w:t>
      </w:r>
      <w:r>
        <w:rPr>
          <w:rFonts w:hint="eastAsia" w:ascii="仿宋" w:hAnsi="仿宋" w:eastAsia="仿宋" w:cs="仿宋"/>
          <w:b/>
          <w:sz w:val="24"/>
          <w:highlight w:val="none"/>
          <w:lang w:val="en-US" w:eastAsia="zh-CN"/>
        </w:rPr>
        <w:t>针对本项目的</w:t>
      </w:r>
      <w:r>
        <w:rPr>
          <w:rFonts w:hint="eastAsia" w:ascii="仿宋" w:hAnsi="仿宋" w:eastAsia="仿宋" w:cs="仿宋"/>
          <w:b/>
          <w:sz w:val="24"/>
          <w:highlight w:val="none"/>
        </w:rPr>
        <w:t>特</w:t>
      </w:r>
      <w:r>
        <w:rPr>
          <w:rFonts w:hint="eastAsia" w:ascii="仿宋" w:hAnsi="仿宋" w:eastAsia="仿宋" w:cs="仿宋"/>
          <w:b/>
          <w:sz w:val="24"/>
          <w:highlight w:val="none"/>
          <w:lang w:eastAsia="zh-CN"/>
        </w:rPr>
        <w:t>殊</w:t>
      </w:r>
      <w:r>
        <w:rPr>
          <w:rFonts w:hint="eastAsia" w:ascii="仿宋" w:hAnsi="仿宋" w:eastAsia="仿宋" w:cs="仿宋"/>
          <w:b/>
          <w:sz w:val="24"/>
          <w:highlight w:val="none"/>
        </w:rPr>
        <w:t>要求：</w:t>
      </w:r>
      <w:r>
        <w:rPr>
          <w:rFonts w:hint="eastAsia" w:ascii="仿宋" w:hAnsi="仿宋" w:eastAsia="仿宋" w:cs="仿宋"/>
          <w:b/>
          <w:sz w:val="24"/>
          <w:highlight w:val="none"/>
          <w:lang w:eastAsia="zh-CN"/>
        </w:rPr>
        <w:t>供应商应具备国家行政主管部门颁发的城乡规划编制乙级及以上资质（因目前全国开展国土空间规划管理体系改革，对已到期的城乡规划编制资质视同继续有效）。</w:t>
      </w:r>
    </w:p>
    <w:p>
      <w:pPr>
        <w:spacing w:after="160"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eastAsia="zh-CN"/>
        </w:rPr>
        <w:t>八</w:t>
      </w:r>
      <w:r>
        <w:rPr>
          <w:rFonts w:hint="eastAsia" w:ascii="仿宋" w:hAnsi="仿宋" w:eastAsia="仿宋" w:cs="仿宋"/>
          <w:b/>
          <w:sz w:val="24"/>
          <w:highlight w:val="none"/>
        </w:rPr>
        <w:t>）其他类似效力要求相关证明材料：</w:t>
      </w:r>
    </w:p>
    <w:p>
      <w:pPr>
        <w:spacing w:after="160" w:line="360" w:lineRule="auto"/>
        <w:jc w:val="left"/>
        <w:rPr>
          <w:rFonts w:hint="eastAsia" w:ascii="仿宋" w:hAnsi="仿宋" w:eastAsia="仿宋" w:cs="仿宋"/>
          <w:b/>
          <w:sz w:val="24"/>
          <w:highlight w:val="none"/>
        </w:rPr>
      </w:pPr>
      <w:r>
        <w:rPr>
          <w:rFonts w:hint="eastAsia" w:ascii="仿宋" w:hAnsi="仿宋" w:eastAsia="仿宋" w:cs="仿宋"/>
          <w:sz w:val="24"/>
          <w:highlight w:val="none"/>
        </w:rPr>
        <w:t>法定代表人授权委托书原件及法定代表人身份证、代理人身份证复印件（注：①授权书按本招标文件第3 章“法定代表人授权委托书及代理人身份证复印件”格式提供，并按格式要求签字或加盖印章；②如投标文件均由投标人法定代表人签字或加盖印章的，则可不提供法定代表人授权委托书及代理人身份证复印件但必须提供法定代表人身份证复印件；③联合体投标的，仅提供联合体牵头人的法定代表人授权委托书及法定代表人身份证、代理人身份证复印件即可。）。</w:t>
      </w:r>
    </w:p>
    <w:p>
      <w:pPr>
        <w:spacing w:after="160" w:line="360" w:lineRule="auto"/>
        <w:ind w:firstLine="720" w:firstLineChars="300"/>
        <w:jc w:val="left"/>
        <w:rPr>
          <w:rFonts w:ascii="仿宋" w:hAnsi="仿宋" w:eastAsia="仿宋" w:cs="仿宋"/>
          <w:sz w:val="24"/>
          <w:highlight w:val="none"/>
        </w:rPr>
      </w:pPr>
    </w:p>
    <w:p>
      <w:pPr>
        <w:rPr>
          <w:rFonts w:ascii="仿宋" w:hAnsi="仿宋" w:eastAsia="仿宋" w:cs="仿宋"/>
          <w:highlight w:val="none"/>
        </w:rPr>
      </w:pPr>
    </w:p>
    <w:p>
      <w:pPr>
        <w:pStyle w:val="13"/>
        <w:rPr>
          <w:rFonts w:ascii="仿宋" w:hAnsi="仿宋" w:eastAsia="仿宋" w:cs="仿宋"/>
          <w:highlight w:val="none"/>
        </w:rPr>
      </w:pPr>
      <w:r>
        <w:rPr>
          <w:rFonts w:hint="eastAsia" w:ascii="仿宋" w:hAnsi="仿宋" w:eastAsia="仿宋" w:cs="仿宋"/>
          <w:highlight w:val="none"/>
        </w:rPr>
        <w:br w:type="page"/>
      </w:r>
      <w:bookmarkEnd w:id="32"/>
      <w:bookmarkStart w:id="34" w:name="_Toc69395659"/>
      <w:r>
        <w:rPr>
          <w:rFonts w:hint="eastAsia" w:ascii="仿宋" w:hAnsi="仿宋" w:eastAsia="仿宋" w:cs="仿宋"/>
          <w:sz w:val="36"/>
          <w:szCs w:val="36"/>
          <w:highlight w:val="none"/>
        </w:rPr>
        <w:t xml:space="preserve">第六章  </w:t>
      </w:r>
      <w:bookmarkEnd w:id="34"/>
      <w:r>
        <w:rPr>
          <w:rFonts w:hint="eastAsia" w:ascii="仿宋" w:hAnsi="仿宋" w:eastAsia="仿宋" w:cs="仿宋"/>
          <w:sz w:val="36"/>
          <w:szCs w:val="36"/>
          <w:highlight w:val="none"/>
        </w:rPr>
        <w:t>项目技术、服务、采购合同内容条款及其他商务要求</w:t>
      </w:r>
    </w:p>
    <w:bookmarkEnd w:id="18"/>
    <w:bookmarkEnd w:id="19"/>
    <w:bookmarkEnd w:id="20"/>
    <w:bookmarkEnd w:id="21"/>
    <w:bookmarkEnd w:id="22"/>
    <w:p>
      <w:pPr>
        <w:tabs>
          <w:tab w:val="left" w:pos="7665"/>
        </w:tabs>
        <w:spacing w:after="160" w:line="360" w:lineRule="auto"/>
        <w:ind w:firstLine="360" w:firstLineChars="150"/>
        <w:rPr>
          <w:rFonts w:hint="eastAsia" w:ascii="仿宋" w:hAnsi="仿宋" w:eastAsia="仿宋" w:cs="仿宋"/>
          <w:bCs/>
          <w:kern w:val="0"/>
          <w:sz w:val="24"/>
          <w:szCs w:val="32"/>
          <w:highlight w:val="none"/>
        </w:rPr>
      </w:pPr>
      <w:bookmarkStart w:id="35" w:name="PO_默认文件内容_27"/>
      <w:bookmarkStart w:id="36" w:name="_Toc511206480"/>
      <w:bookmarkStart w:id="37" w:name="_Toc217446057"/>
      <w:bookmarkStart w:id="38" w:name="_Toc183582232"/>
      <w:bookmarkStart w:id="39" w:name="_Toc183682369"/>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（一）项目概述：</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为贯彻落实中央财经委员会第六次会议提出的“成渝地区双城经济圈”发展战略、支持成都建设践行新发展理念的公园城市示范区，探索“公园+”空间布局模式等举措，优化公园城市空间秩序，形成“望山观水、透风见绿、簇群错落”的城市空间形态。在新时期成都“十字方针”发展战略的指引下，武侯区应全面贯彻落实“中优”要求，围绕重点片区和重要城市节点打造更高的城市能级和更优美的城市形态。结合武侯区的实际情况，开展《武侯区与其他城区规划布局形态对比研究》项目的编制。</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color w:val="000000" w:themeColor="text1"/>
          <w:kern w:val="0"/>
          <w:sz w:val="24"/>
          <w:szCs w:val="32"/>
          <w:highlight w:val="none"/>
          <w:lang w:eastAsia="zh-CN"/>
          <w14:textFill>
            <w14:solidFill>
              <w14:schemeClr w14:val="tx1"/>
            </w14:solidFill>
          </w14:textFill>
        </w:rPr>
        <w:t>（</w:t>
      </w:r>
      <w:r>
        <w:rPr>
          <w:rFonts w:hint="eastAsia" w:ascii="仿宋" w:hAnsi="仿宋" w:eastAsia="仿宋" w:cs="仿宋"/>
          <w:bCs/>
          <w:color w:val="000000" w:themeColor="text1"/>
          <w:kern w:val="0"/>
          <w:sz w:val="24"/>
          <w:szCs w:val="32"/>
          <w:highlight w:val="none"/>
          <w:lang w:val="en-US" w:eastAsia="zh-CN"/>
          <w14:textFill>
            <w14:solidFill>
              <w14:schemeClr w14:val="tx1"/>
            </w14:solidFill>
          </w14:textFill>
        </w:rPr>
        <w:t>二</w:t>
      </w:r>
      <w:r>
        <w:rPr>
          <w:rFonts w:hint="eastAsia" w:ascii="仿宋" w:hAnsi="仿宋" w:eastAsia="仿宋" w:cs="仿宋"/>
          <w:bCs/>
          <w:color w:val="000000" w:themeColor="text1"/>
          <w:kern w:val="0"/>
          <w:sz w:val="24"/>
          <w:szCs w:val="32"/>
          <w:highlight w:val="none"/>
          <w:lang w:eastAsia="zh-CN"/>
          <w14:textFill>
            <w14:solidFill>
              <w14:schemeClr w14:val="tx1"/>
            </w14:solidFill>
          </w14:textFill>
        </w:rPr>
        <w:t>）</w:t>
      </w:r>
      <w:r>
        <w:rPr>
          <w:rFonts w:hint="eastAsia" w:ascii="仿宋" w:hAnsi="仿宋" w:eastAsia="仿宋" w:cs="仿宋"/>
          <w:bCs/>
          <w:kern w:val="0"/>
          <w:sz w:val="24"/>
          <w:szCs w:val="32"/>
          <w:highlight w:val="none"/>
        </w:rPr>
        <w:t>编制内容及要求</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1.项目背景。对成都市关于城市形态、风貌品质、开发强度等政策进行分析，总结武侯区城市形态提升的要求。</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2. 规划布局形态分析。分析武侯区与其他城区相关规划和城市设计在城市定位、用地布局、空间结构、城市形态、城市风貌、城市色彩等方面的规划指引。</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3. 项目形态提升分析。分析武侯区与其他城区在重点片区、重要城市节点、TOD综合开发、城市有机更新、环城生态公园周边、城市轴线区域等方面关于城市形态打造、开发强度平衡等规划举措。</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4.武侯区特征与问题。系统梳理武侯区城市形态、风貌品质等方面的现状情况，总结区域优势条件，找准现状问题，为下一步形态提升指引发展方向。</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5.目标思路。为推动武侯高质量发展，聚焦高品质城市形态建设，通过分析现有城市形象特征与问题，针对性提出武侯区城市形态提升的目标和总体思路。</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6.规划策略。为优化武侯区城市形态风貌，推进城市有机更新，结合公园城市理念，提出塑造特色鲜明对外形象，快速提升城市显识度的系统策略。加大重点片区的设计改造，通过标志性建筑规划布局、重要节点功能塑造、城市有机更新改造等举措，推动城市形态实现大幅跃升。</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7.实施保障。结合武侯区实际，提出城市形态提升的政策保障及建议。</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 xml:space="preserve">（三）成果要求 </w:t>
      </w:r>
    </w:p>
    <w:p>
      <w:pPr>
        <w:tabs>
          <w:tab w:val="left" w:pos="7665"/>
        </w:tabs>
        <w:spacing w:after="160" w:line="360" w:lineRule="auto"/>
        <w:ind w:firstLine="480" w:firstLineChars="20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1.设计成果内容：图文合订本。</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2.成果形式：汇报演示文件及图文合订本采用Power Point编制。</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3.成果文件：送审成果文件为图文合订本一式四份；正式成果文件须包含图文合订本一式六份和刻录光盘两张。</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 xml:space="preserve">※（四）商务要求 </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1. 履约时间和地点：</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履约时间：政府采购合同签订之日起</w:t>
      </w:r>
      <w:r>
        <w:rPr>
          <w:rFonts w:hint="eastAsia" w:ascii="仿宋" w:hAnsi="仿宋" w:eastAsia="仿宋" w:cs="仿宋"/>
          <w:bCs/>
          <w:kern w:val="0"/>
          <w:sz w:val="24"/>
          <w:szCs w:val="32"/>
          <w:highlight w:val="none"/>
          <w:lang w:val="en-US" w:eastAsia="zh-CN"/>
        </w:rPr>
        <w:t>3个月</w:t>
      </w:r>
      <w:r>
        <w:rPr>
          <w:rFonts w:hint="eastAsia" w:ascii="仿宋" w:hAnsi="仿宋" w:eastAsia="仿宋" w:cs="仿宋"/>
          <w:bCs/>
          <w:kern w:val="0"/>
          <w:sz w:val="24"/>
          <w:szCs w:val="32"/>
          <w:highlight w:val="none"/>
        </w:rPr>
        <w:t>内按采购人要求的方式履约。</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履约地点：采购人指定地点。</w:t>
      </w:r>
    </w:p>
    <w:bookmarkEnd w:id="35"/>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lang w:val="en-US" w:eastAsia="zh-CN"/>
        </w:rPr>
        <w:t>2.</w:t>
      </w:r>
      <w:r>
        <w:rPr>
          <w:rFonts w:hint="eastAsia" w:ascii="仿宋" w:hAnsi="仿宋" w:eastAsia="仿宋" w:cs="仿宋"/>
          <w:bCs/>
          <w:kern w:val="0"/>
          <w:sz w:val="24"/>
          <w:szCs w:val="32"/>
          <w:highlight w:val="none"/>
        </w:rPr>
        <w:t>合同价款：</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合同价是投标人响应采购项目要求的全部工作内容的价格</w:t>
      </w:r>
      <w:r>
        <w:rPr>
          <w:rFonts w:hint="eastAsia" w:ascii="仿宋" w:hAnsi="仿宋" w:eastAsia="仿宋" w:cs="仿宋"/>
          <w:bCs/>
          <w:kern w:val="0"/>
          <w:sz w:val="24"/>
          <w:szCs w:val="32"/>
          <w:highlight w:val="none"/>
          <w:lang w:val="en-US" w:eastAsia="zh-CN"/>
        </w:rPr>
        <w:t>体</w:t>
      </w:r>
      <w:r>
        <w:rPr>
          <w:rFonts w:hint="eastAsia" w:ascii="仿宋" w:hAnsi="仿宋" w:eastAsia="仿宋" w:cs="仿宋"/>
          <w:bCs/>
          <w:kern w:val="0"/>
          <w:sz w:val="24"/>
          <w:szCs w:val="32"/>
          <w:highlight w:val="none"/>
        </w:rPr>
        <w:t>现，包括完成本项目所涉及人员工资、办公费用、调研费用、规划编制、成果制作、交通费用、通讯费用、人员食宿费用、设备投入、税费、招标代理服务费等完成本项目所涉及的一切费用。投标人只允许有一个报价，并且在合同履行过程中是固定不变的，任何有选择或可调整的报价将不予接受，并按无效投标处理。</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lang w:val="en-US" w:eastAsia="zh-CN"/>
        </w:rPr>
        <w:t>3.</w:t>
      </w:r>
      <w:r>
        <w:rPr>
          <w:rFonts w:hint="eastAsia" w:ascii="仿宋" w:hAnsi="仿宋" w:eastAsia="仿宋" w:cs="仿宋"/>
          <w:bCs/>
          <w:kern w:val="0"/>
          <w:sz w:val="24"/>
          <w:szCs w:val="32"/>
          <w:highlight w:val="none"/>
        </w:rPr>
        <w:t>付款方式：</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政府采购合同签订生效后7个工作日内支付项目合同总金额的50%；项目通过武侯区土地资源管理与建设规划委员会审查后，支付项目合同总金额的40%；中标人向采购人交付最终成果后，支付项目合同总金额的10%。</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lang w:val="en-US" w:eastAsia="zh-CN"/>
        </w:rPr>
        <w:t>4.</w:t>
      </w:r>
      <w:r>
        <w:rPr>
          <w:rFonts w:hint="eastAsia" w:ascii="仿宋" w:hAnsi="仿宋" w:eastAsia="仿宋" w:cs="仿宋"/>
          <w:bCs/>
          <w:kern w:val="0"/>
          <w:sz w:val="24"/>
          <w:szCs w:val="32"/>
          <w:highlight w:val="none"/>
        </w:rPr>
        <w:t>验收要求：</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严格按照政府采购相关法律法规、《财政部关于进一步加强政府采购需求和履约验收管理的指导意见》（财库［2016］205号）的要求、招标文件要求、投标文件相应内容和行业相关标准验收。</w:t>
      </w:r>
    </w:p>
    <w:p>
      <w:pPr>
        <w:tabs>
          <w:tab w:val="left" w:pos="7665"/>
        </w:tabs>
        <w:spacing w:after="160" w:line="360" w:lineRule="auto"/>
        <w:ind w:firstLine="360" w:firstLineChars="150"/>
        <w:rPr>
          <w:rFonts w:hint="eastAsia" w:ascii="仿宋" w:hAnsi="仿宋" w:eastAsia="仿宋" w:cs="仿宋"/>
          <w:bCs/>
          <w:kern w:val="0"/>
          <w:sz w:val="24"/>
          <w:szCs w:val="32"/>
          <w:highlight w:val="none"/>
        </w:rPr>
      </w:pPr>
    </w:p>
    <w:p>
      <w:pPr>
        <w:tabs>
          <w:tab w:val="left" w:pos="7665"/>
        </w:tabs>
        <w:spacing w:after="160" w:line="360" w:lineRule="auto"/>
        <w:ind w:firstLine="360" w:firstLineChars="150"/>
        <w:rPr>
          <w:rFonts w:hint="eastAsia" w:ascii="仿宋" w:hAnsi="仿宋" w:eastAsia="仿宋" w:cs="仿宋"/>
          <w:bCs/>
          <w:kern w:val="0"/>
          <w:sz w:val="24"/>
          <w:szCs w:val="32"/>
          <w:highlight w:val="none"/>
        </w:rPr>
      </w:pPr>
      <w:r>
        <w:rPr>
          <w:rFonts w:hint="eastAsia" w:ascii="仿宋" w:hAnsi="仿宋" w:eastAsia="仿宋" w:cs="仿宋"/>
          <w:bCs/>
          <w:kern w:val="0"/>
          <w:sz w:val="24"/>
          <w:szCs w:val="32"/>
          <w:highlight w:val="none"/>
        </w:rPr>
        <w:t>本章带※号条款为本次招标项目的实质性要求，投标人若未满足的，将被视为无效投标。</w:t>
      </w:r>
    </w:p>
    <w:bookmarkEnd w:id="36"/>
    <w:p>
      <w:pPr>
        <w:pStyle w:val="2"/>
        <w:spacing w:after="0" w:line="580" w:lineRule="exact"/>
        <w:jc w:val="center"/>
        <w:rPr>
          <w:rFonts w:ascii="仿宋" w:hAnsi="仿宋" w:eastAsia="仿宋" w:cs="仿宋"/>
          <w:b/>
          <w:bCs/>
          <w:sz w:val="24"/>
          <w:highlight w:val="none"/>
        </w:rPr>
      </w:pPr>
      <w:bookmarkStart w:id="40" w:name="_Toc511206481"/>
      <w:bookmarkEnd w:id="40"/>
      <w:bookmarkStart w:id="41" w:name="_Toc511206482"/>
      <w:bookmarkStart w:id="42" w:name="_Toc69395660"/>
      <w:bookmarkStart w:id="43" w:name="PO_默认文件内容_22"/>
      <w:r>
        <w:rPr>
          <w:rFonts w:hint="eastAsia" w:ascii="仿宋" w:hAnsi="仿宋" w:eastAsia="仿宋" w:cs="仿宋"/>
          <w:b/>
          <w:bCs/>
          <w:sz w:val="36"/>
          <w:szCs w:val="36"/>
          <w:highlight w:val="none"/>
        </w:rPr>
        <w:t xml:space="preserve">第七章  </w:t>
      </w:r>
      <w:bookmarkEnd w:id="41"/>
      <w:r>
        <w:rPr>
          <w:rFonts w:hint="eastAsia" w:ascii="仿宋" w:hAnsi="仿宋" w:eastAsia="仿宋" w:cs="仿宋"/>
          <w:b/>
          <w:bCs/>
          <w:sz w:val="36"/>
          <w:szCs w:val="36"/>
          <w:highlight w:val="none"/>
        </w:rPr>
        <w:t>评标办法</w:t>
      </w:r>
      <w:bookmarkEnd w:id="42"/>
      <w:bookmarkStart w:id="44" w:name="_Toc101174146"/>
      <w:bookmarkStart w:id="45" w:name="_Toc101338358"/>
      <w:bookmarkStart w:id="46" w:name="_Toc209847065"/>
      <w:bookmarkStart w:id="47" w:name="_Toc430773924"/>
      <w:bookmarkStart w:id="48" w:name="_Toc101250640"/>
    </w:p>
    <w:p>
      <w:pPr>
        <w:tabs>
          <w:tab w:val="left" w:pos="7665"/>
        </w:tabs>
        <w:spacing w:after="160" w:line="360" w:lineRule="auto"/>
        <w:ind w:firstLine="361" w:firstLineChars="150"/>
        <w:jc w:val="center"/>
        <w:rPr>
          <w:rFonts w:ascii="仿宋" w:hAnsi="仿宋" w:eastAsia="仿宋" w:cs="仿宋"/>
          <w:b/>
          <w:bCs/>
          <w:kern w:val="0"/>
          <w:sz w:val="24"/>
          <w:szCs w:val="32"/>
          <w:highlight w:val="none"/>
        </w:rPr>
      </w:pPr>
      <w:r>
        <w:rPr>
          <w:rFonts w:hint="eastAsia" w:ascii="仿宋" w:hAnsi="仿宋" w:eastAsia="仿宋" w:cs="仿宋"/>
          <w:b/>
          <w:bCs/>
          <w:kern w:val="0"/>
          <w:sz w:val="24"/>
          <w:szCs w:val="32"/>
          <w:highlight w:val="none"/>
        </w:rPr>
        <w:t>1. 总则</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1.1 根据《中华人民共和国政府采购法》、《中华人民共和国政府采购法实施条例》、《政府采购货物和服务招标投标管理办法》等法律制度，结合采购项目特点制定本评标办法。</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1.2 评标工作由采购代理机构负责组织，具体评标事务由采购代理机构依法组建的评标委员会负责。评标委员会由采购人代表和有关技术、经济、法律等方面的专家组成。</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1.3 评标工作应遵循公平、公正、科学及择优的原则，并以相同的评标程序和标准对待所有的投标人。</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1.4 评标委员会按照招标文件规定的评标方法和标准进行评标，并独立履行下列职责：</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（一）熟悉和理解招标文件；</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（二）审查投标人投标文件等是否满足招标文件要求，并作出评价；</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（三）根据需要要求采购人或者采购代理机构对招标文件作出解释；根据需要要求投标人对投标文件有关事项作出澄清、说明或者更正；</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（四）推荐中标候选投标人，或者受采购人委托确定中标投标人；</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（五）起草评标报告并进行签署；</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（六）向招标采购单位、财政部门或者其他监督部门报告非法干预评标工作的行为；</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（七）法律、法规和规章规定的其他职责。</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1.5 评标过程独立、保密。投标人非法干预评标过程的行为将导致其投标文件作为无效处理。</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1.6评标委员会评价投标文件的响应性，对于投标人而言，除评标委员会要求其澄清、说明或者更正而提供的资料外，仅依据投标文件本身的内容，不寻求其他外部证据。</w:t>
      </w:r>
    </w:p>
    <w:p>
      <w:pPr>
        <w:tabs>
          <w:tab w:val="left" w:pos="7665"/>
        </w:tabs>
        <w:spacing w:after="160" w:line="360" w:lineRule="auto"/>
        <w:ind w:firstLine="361" w:firstLineChars="150"/>
        <w:jc w:val="center"/>
        <w:rPr>
          <w:rFonts w:ascii="仿宋" w:hAnsi="仿宋" w:eastAsia="仿宋" w:cs="仿宋"/>
          <w:b/>
          <w:bCs/>
          <w:kern w:val="0"/>
          <w:sz w:val="24"/>
          <w:szCs w:val="32"/>
          <w:highlight w:val="none"/>
        </w:rPr>
      </w:pPr>
      <w:r>
        <w:rPr>
          <w:rFonts w:hint="eastAsia" w:ascii="仿宋" w:hAnsi="仿宋" w:eastAsia="仿宋" w:cs="仿宋"/>
          <w:b/>
          <w:bCs/>
          <w:kern w:val="0"/>
          <w:sz w:val="24"/>
          <w:szCs w:val="32"/>
          <w:highlight w:val="none"/>
        </w:rPr>
        <w:t>2、评标方法</w:t>
      </w:r>
    </w:p>
    <w:p>
      <w:pPr>
        <w:tabs>
          <w:tab w:val="left" w:pos="7665"/>
        </w:tabs>
        <w:spacing w:after="160" w:line="360" w:lineRule="auto"/>
        <w:ind w:firstLine="360" w:firstLineChars="150"/>
        <w:rPr>
          <w:rFonts w:ascii="仿宋" w:hAnsi="仿宋" w:eastAsia="仿宋" w:cs="仿宋"/>
          <w:bCs/>
          <w:kern w:val="0"/>
          <w:sz w:val="24"/>
          <w:szCs w:val="32"/>
          <w:highlight w:val="none"/>
        </w:rPr>
      </w:pPr>
      <w:r>
        <w:rPr>
          <w:rFonts w:hint="eastAsia" w:ascii="仿宋" w:hAnsi="仿宋" w:eastAsia="仿宋" w:cs="仿宋"/>
          <w:bCs/>
          <w:kern w:val="0"/>
          <w:sz w:val="24"/>
          <w:szCs w:val="32"/>
          <w:highlight w:val="none"/>
        </w:rPr>
        <w:t>本项目评标方法为：综合评分法。</w:t>
      </w:r>
    </w:p>
    <w:p>
      <w:pPr>
        <w:tabs>
          <w:tab w:val="left" w:pos="7665"/>
        </w:tabs>
        <w:spacing w:after="160" w:line="360" w:lineRule="auto"/>
        <w:ind w:firstLine="361" w:firstLineChars="150"/>
        <w:jc w:val="center"/>
        <w:rPr>
          <w:rFonts w:ascii="仿宋" w:hAnsi="仿宋" w:eastAsia="仿宋" w:cs="仿宋"/>
          <w:b/>
          <w:sz w:val="24"/>
          <w:highlight w:val="none"/>
        </w:rPr>
      </w:pPr>
      <w:r>
        <w:rPr>
          <w:rFonts w:hint="eastAsia" w:ascii="仿宋" w:hAnsi="仿宋" w:eastAsia="仿宋" w:cs="仿宋"/>
          <w:b/>
          <w:sz w:val="24"/>
          <w:highlight w:val="none"/>
        </w:rPr>
        <w:t>3、评标程序</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 熟悉和理解招标文件和停止评标。</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3.1.1 采购人或者采购代理机构应当依法对投标人的资格进行审查，合格投标人不少于3人时，进入评标委员会正式评标环节。</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评标委员会正式评标前，应当对招标文件进行熟悉和理解，内容主要包括：</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（1）评标委员会应当对符合资格的投标人的投标文件进行符合性审查，以确定其是否满足招标文件的实质性要求。</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（2）对于投标文件中含义不明确、同类问题表述不一致或者有明显文字和计算错误的内容，评标委员会应当以书面形式要求投标人作出必要的澄清、说明或者补正。</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（3）评标委员会应当按照招标文件中规定的评标方法和标准，对符合性审查合格的投标文件进行商务和技术评估，综合比较与评价。</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3.1.2 评标委员会熟悉和理解招标文件以及评标过程中，发现本招标文件有下列情形之一的，评标委员会应当停止评标：</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（1）招标文件的规定存在歧义、重大缺陷的；</w:t>
      </w:r>
    </w:p>
    <w:p>
      <w:pPr>
        <w:tabs>
          <w:tab w:val="left" w:pos="7665"/>
        </w:tabs>
        <w:spacing w:after="160"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（2）招标文件明显以不合理条件对投标人实行差别待遇或者歧视待遇的；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（3）采购项目属于国家规定的优先、强制采购范围，但是招标文件未依法体现优先、强制采购相关规定的；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（4）采购项目属于政府采购促进中小企业发展的范围，但是招标文件未依法体现促进中小企业发展相关规定的；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（5）招标文件规定的评标方法是综合评分法、最低评标价法之外的评标方法，或者虽然名称为综合评分法、最低评标价法，但实际上不符合国家规定；</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（6）招标文件将投标人的资格条件列为评分因素的；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（7）招标文件有违反国家其他有关强制性规定的情形。</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出现本条规定应当停止评标情形的，评标委员会成员应当向采购人或采购代理机构书面说明情况。</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除本条规定和评标委员会无法依法组建的情形外，评标委员会成员不得以任何方式和理由停止评标。</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3.2 资格性</w:t>
      </w:r>
      <w:r>
        <w:rPr>
          <w:rFonts w:hint="eastAsia" w:ascii="仿宋" w:hAnsi="仿宋" w:eastAsia="仿宋" w:cs="仿宋"/>
          <w:sz w:val="24"/>
          <w:highlight w:val="none"/>
          <w:lang w:eastAsia="zh-CN"/>
        </w:rPr>
        <w:t>审查（不属于评标委员会审查内容）</w:t>
      </w:r>
      <w:r>
        <w:rPr>
          <w:rFonts w:hint="eastAsia" w:ascii="仿宋" w:hAnsi="仿宋" w:eastAsia="仿宋" w:cs="仿宋"/>
          <w:sz w:val="24"/>
          <w:highlight w:val="none"/>
        </w:rPr>
        <w:t>。</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公开招标采购项目开标结束后，采购人或者采购代理机构应当依法对投标人的资格进行审查。</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合格投标人不足3 家的，不得评标。</w:t>
      </w:r>
    </w:p>
    <w:p>
      <w:pPr>
        <w:tabs>
          <w:tab w:val="left" w:pos="7665"/>
        </w:tabs>
        <w:spacing w:after="160" w:line="360" w:lineRule="auto"/>
        <w:ind w:firstLine="361" w:firstLineChars="150"/>
        <w:rPr>
          <w:rFonts w:ascii="仿宋" w:hAnsi="仿宋" w:eastAsia="仿宋" w:cs="仿宋"/>
          <w:b/>
          <w:sz w:val="24"/>
          <w:highlight w:val="none"/>
        </w:rPr>
      </w:pPr>
      <w:r>
        <w:rPr>
          <w:rFonts w:hint="eastAsia" w:ascii="仿宋" w:hAnsi="仿宋" w:eastAsia="仿宋" w:cs="仿宋"/>
          <w:b/>
          <w:sz w:val="24"/>
          <w:highlight w:val="none"/>
        </w:rPr>
        <w:t>资格审查表（仅限资格性投标文件）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1843"/>
        <w:gridCol w:w="155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644" w:type="dxa"/>
            <w:gridSpan w:val="2"/>
            <w:vMerge w:val="restart"/>
            <w:vAlign w:val="center"/>
          </w:tcPr>
          <w:p>
            <w:pPr>
              <w:jc w:val="center"/>
              <w:rPr>
                <w:rFonts w:ascii="仿宋" w:hAnsi="仿宋" w:eastAsia="仿宋" w:cs="仿宋"/>
                <w:b/>
                <w:highlight w:val="none"/>
              </w:rPr>
            </w:pPr>
            <w:r>
              <w:rPr>
                <w:rFonts w:hint="eastAsia" w:ascii="仿宋" w:hAnsi="仿宋" w:eastAsia="仿宋" w:cs="仿宋"/>
                <w:b/>
                <w:kern w:val="0"/>
                <w:sz w:val="24"/>
                <w:highlight w:val="none"/>
              </w:rPr>
              <w:t>评审因素</w:t>
            </w:r>
          </w:p>
        </w:tc>
        <w:tc>
          <w:tcPr>
            <w:tcW w:w="5319" w:type="dxa"/>
            <w:gridSpan w:val="3"/>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44" w:type="dxa"/>
            <w:gridSpan w:val="2"/>
            <w:vMerge w:val="continue"/>
            <w:vAlign w:val="center"/>
          </w:tcPr>
          <w:p>
            <w:pPr>
              <w:jc w:val="center"/>
              <w:rPr>
                <w:rFonts w:ascii="仿宋" w:hAnsi="仿宋" w:eastAsia="仿宋" w:cs="仿宋"/>
                <w:b/>
                <w:kern w:val="0"/>
                <w:sz w:val="24"/>
                <w:highlight w:val="none"/>
              </w:rPr>
            </w:pPr>
          </w:p>
        </w:tc>
        <w:tc>
          <w:tcPr>
            <w:tcW w:w="1843" w:type="dxa"/>
            <w:vAlign w:val="center"/>
          </w:tcPr>
          <w:p>
            <w:pPr>
              <w:jc w:val="center"/>
              <w:rPr>
                <w:rFonts w:ascii="仿宋" w:hAnsi="仿宋" w:eastAsia="仿宋" w:cs="仿宋"/>
                <w:highlight w:val="none"/>
              </w:rPr>
            </w:pPr>
          </w:p>
        </w:tc>
        <w:tc>
          <w:tcPr>
            <w:tcW w:w="1559" w:type="dxa"/>
            <w:vAlign w:val="center"/>
          </w:tcPr>
          <w:p>
            <w:pPr>
              <w:jc w:val="center"/>
              <w:rPr>
                <w:rFonts w:ascii="仿宋" w:hAnsi="仿宋" w:eastAsia="仿宋" w:cs="仿宋"/>
                <w:highlight w:val="none"/>
              </w:rPr>
            </w:pPr>
          </w:p>
        </w:tc>
        <w:tc>
          <w:tcPr>
            <w:tcW w:w="1917"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644" w:type="dxa"/>
            <w:gridSpan w:val="2"/>
            <w:vAlign w:val="center"/>
          </w:tcPr>
          <w:p>
            <w:pPr>
              <w:jc w:val="left"/>
              <w:rPr>
                <w:rFonts w:ascii="仿宋" w:hAnsi="仿宋" w:eastAsia="仿宋" w:cs="仿宋"/>
                <w:szCs w:val="21"/>
                <w:highlight w:val="none"/>
              </w:rPr>
            </w:pPr>
            <w:r>
              <w:rPr>
                <w:rFonts w:hint="eastAsia" w:ascii="仿宋" w:hAnsi="仿宋" w:eastAsia="仿宋" w:cs="仿宋"/>
                <w:kern w:val="0"/>
                <w:szCs w:val="21"/>
                <w:highlight w:val="none"/>
              </w:rPr>
              <w:t>具有独立承担民事责任能力的证明材料</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644" w:type="dxa"/>
            <w:gridSpan w:val="2"/>
            <w:vAlign w:val="center"/>
          </w:tcPr>
          <w:p>
            <w:pPr>
              <w:jc w:val="left"/>
              <w:rPr>
                <w:rFonts w:ascii="仿宋" w:hAnsi="仿宋" w:eastAsia="仿宋" w:cs="仿宋"/>
                <w:szCs w:val="21"/>
                <w:highlight w:val="none"/>
              </w:rPr>
            </w:pPr>
            <w:r>
              <w:rPr>
                <w:rFonts w:hint="eastAsia" w:ascii="仿宋" w:hAnsi="仿宋" w:eastAsia="仿宋" w:cs="仿宋"/>
                <w:kern w:val="0"/>
                <w:szCs w:val="21"/>
                <w:highlight w:val="none"/>
              </w:rPr>
              <w:t>良好的商业信誉承诺函和财务状况报告</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2"/>
            <w:vAlign w:val="center"/>
          </w:tcPr>
          <w:p>
            <w:pPr>
              <w:autoSpaceDE w:val="0"/>
              <w:autoSpaceDN w:val="0"/>
              <w:adjustRightInd w:val="0"/>
              <w:rPr>
                <w:rFonts w:ascii="仿宋" w:hAnsi="仿宋" w:eastAsia="仿宋" w:cs="仿宋"/>
                <w:kern w:val="0"/>
                <w:szCs w:val="21"/>
                <w:highlight w:val="none"/>
              </w:rPr>
            </w:pPr>
            <w:r>
              <w:rPr>
                <w:rFonts w:hint="eastAsia" w:ascii="仿宋" w:hAnsi="仿宋" w:eastAsia="仿宋" w:cs="仿宋"/>
                <w:kern w:val="0"/>
                <w:szCs w:val="21"/>
                <w:highlight w:val="none"/>
              </w:rPr>
              <w:t>具备履行合同所必需的设备和专业技术能力的证明材料</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644" w:type="dxa"/>
            <w:gridSpan w:val="2"/>
            <w:vAlign w:val="center"/>
          </w:tcPr>
          <w:p>
            <w:pPr>
              <w:rPr>
                <w:rFonts w:ascii="仿宋" w:hAnsi="仿宋" w:eastAsia="仿宋" w:cs="仿宋"/>
                <w:szCs w:val="21"/>
                <w:highlight w:val="none"/>
              </w:rPr>
            </w:pPr>
            <w:r>
              <w:rPr>
                <w:rFonts w:hint="eastAsia" w:ascii="仿宋" w:hAnsi="仿宋" w:eastAsia="仿宋" w:cs="仿宋"/>
                <w:kern w:val="0"/>
                <w:szCs w:val="21"/>
                <w:highlight w:val="none"/>
              </w:rPr>
              <w:t>依法缴纳税收和社会保障资金的相关材料</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644" w:type="dxa"/>
            <w:gridSpan w:val="2"/>
            <w:vAlign w:val="center"/>
          </w:tcPr>
          <w:p>
            <w:pPr>
              <w:autoSpaceDE w:val="0"/>
              <w:autoSpaceDN w:val="0"/>
              <w:adjustRightInd w:val="0"/>
              <w:rPr>
                <w:rFonts w:ascii="仿宋" w:hAnsi="仿宋" w:eastAsia="仿宋" w:cs="仿宋"/>
                <w:kern w:val="0"/>
                <w:szCs w:val="21"/>
                <w:highlight w:val="none"/>
              </w:rPr>
            </w:pPr>
            <w:r>
              <w:rPr>
                <w:rFonts w:hint="eastAsia" w:ascii="仿宋" w:hAnsi="仿宋" w:eastAsia="仿宋" w:cs="仿宋"/>
                <w:kern w:val="0"/>
                <w:szCs w:val="21"/>
                <w:highlight w:val="none"/>
              </w:rPr>
              <w:t>参加本次政府采购活动前三年内，在经营活动中没有重大违法记录的证明材料</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644" w:type="dxa"/>
            <w:gridSpan w:val="2"/>
            <w:vAlign w:val="center"/>
          </w:tcPr>
          <w:p>
            <w:pPr>
              <w:autoSpaceDE w:val="0"/>
              <w:autoSpaceDN w:val="0"/>
              <w:adjustRightInd w:val="0"/>
              <w:rPr>
                <w:rFonts w:ascii="仿宋" w:hAnsi="仿宋" w:eastAsia="仿宋" w:cs="仿宋"/>
                <w:kern w:val="0"/>
                <w:szCs w:val="21"/>
                <w:highlight w:val="none"/>
              </w:rPr>
            </w:pPr>
            <w:r>
              <w:rPr>
                <w:rFonts w:hint="eastAsia" w:ascii="仿宋" w:hAnsi="仿宋" w:eastAsia="仿宋" w:cs="仿宋"/>
                <w:kern w:val="0"/>
                <w:szCs w:val="21"/>
                <w:highlight w:val="none"/>
              </w:rPr>
              <w:t>具备法律、行政法规规定的其他条件的证明</w:t>
            </w:r>
          </w:p>
          <w:p>
            <w:pPr>
              <w:rPr>
                <w:rFonts w:ascii="仿宋" w:hAnsi="仿宋" w:eastAsia="仿宋" w:cs="仿宋"/>
                <w:szCs w:val="21"/>
                <w:highlight w:val="none"/>
              </w:rPr>
            </w:pPr>
            <w:r>
              <w:rPr>
                <w:rFonts w:hint="eastAsia" w:ascii="仿宋" w:hAnsi="仿宋" w:eastAsia="仿宋" w:cs="仿宋"/>
                <w:kern w:val="0"/>
                <w:szCs w:val="21"/>
                <w:highlight w:val="none"/>
              </w:rPr>
              <w:t>材料复印件或承诺函原件</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44" w:type="dxa"/>
            <w:gridSpan w:val="2"/>
            <w:vAlign w:val="center"/>
          </w:tcPr>
          <w:p>
            <w:pPr>
              <w:autoSpaceDE w:val="0"/>
              <w:autoSpaceDN w:val="0"/>
              <w:adjustRightInd w:val="0"/>
              <w:rPr>
                <w:rFonts w:ascii="仿宋" w:hAnsi="仿宋" w:eastAsia="仿宋" w:cs="仿宋"/>
                <w:kern w:val="0"/>
                <w:szCs w:val="21"/>
                <w:highlight w:val="none"/>
              </w:rPr>
            </w:pPr>
            <w:r>
              <w:rPr>
                <w:rFonts w:hint="eastAsia" w:ascii="仿宋" w:hAnsi="仿宋" w:eastAsia="仿宋" w:cs="仿宋"/>
                <w:kern w:val="0"/>
                <w:szCs w:val="21"/>
                <w:highlight w:val="none"/>
              </w:rPr>
              <w:t>非联合体投标</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644" w:type="dxa"/>
            <w:gridSpan w:val="2"/>
            <w:vAlign w:val="center"/>
          </w:tcPr>
          <w:p>
            <w:pPr>
              <w:autoSpaceDE w:val="0"/>
              <w:autoSpaceDN w:val="0"/>
              <w:adjustRightInd w:val="0"/>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针对本项目的特殊要求：供应商应具备国家行政主管部门颁发的城乡规划编制乙级及以上资质</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gridSpan w:val="2"/>
            <w:vAlign w:val="center"/>
          </w:tcPr>
          <w:p>
            <w:pPr>
              <w:autoSpaceDE w:val="0"/>
              <w:autoSpaceDN w:val="0"/>
              <w:adjustRightInd w:val="0"/>
              <w:rPr>
                <w:rFonts w:ascii="仿宋" w:hAnsi="仿宋" w:eastAsia="仿宋" w:cs="仿宋"/>
                <w:kern w:val="0"/>
                <w:szCs w:val="21"/>
                <w:highlight w:val="none"/>
              </w:rPr>
            </w:pPr>
            <w:r>
              <w:rPr>
                <w:rFonts w:hint="eastAsia" w:ascii="仿宋" w:hAnsi="仿宋" w:eastAsia="仿宋" w:cs="仿宋"/>
                <w:kern w:val="0"/>
                <w:szCs w:val="21"/>
                <w:highlight w:val="none"/>
              </w:rPr>
              <w:t>法定代表人授权委托书原件及法定代表人身份证、代理人身份证复印件</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22" w:type="dxa"/>
            <w:vAlign w:val="center"/>
          </w:tcPr>
          <w:p>
            <w:pPr>
              <w:rPr>
                <w:rFonts w:ascii="仿宋" w:hAnsi="仿宋" w:eastAsia="仿宋" w:cs="仿宋"/>
                <w:kern w:val="0"/>
                <w:szCs w:val="21"/>
                <w:highlight w:val="none"/>
              </w:rPr>
            </w:pPr>
            <w:r>
              <w:rPr>
                <w:rFonts w:hint="eastAsia" w:ascii="仿宋" w:hAnsi="仿宋" w:eastAsia="仿宋" w:cs="仿宋"/>
                <w:kern w:val="0"/>
                <w:szCs w:val="21"/>
                <w:highlight w:val="none"/>
              </w:rPr>
              <w:t>不属于禁止参加投标的申请人</w:t>
            </w:r>
          </w:p>
        </w:tc>
        <w:tc>
          <w:tcPr>
            <w:tcW w:w="2322" w:type="dxa"/>
            <w:vAlign w:val="center"/>
          </w:tcPr>
          <w:p>
            <w:pPr>
              <w:rPr>
                <w:rFonts w:ascii="仿宋" w:hAnsi="仿宋" w:eastAsia="仿宋" w:cs="仿宋"/>
                <w:kern w:val="0"/>
                <w:szCs w:val="21"/>
                <w:highlight w:val="none"/>
              </w:rPr>
            </w:pPr>
            <w:r>
              <w:rPr>
                <w:rFonts w:hint="eastAsia" w:ascii="仿宋" w:hAnsi="仿宋" w:eastAsia="仿宋" w:cs="仿宋"/>
                <w:kern w:val="0"/>
                <w:szCs w:val="21"/>
                <w:highlight w:val="none"/>
              </w:rPr>
              <w:t>符合本资格审查文件中《关于在政府采购活动中查询及使用信用记录有关问题的通知》（财库〔2016〕125 号）的要求</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44" w:type="dxa"/>
            <w:gridSpan w:val="2"/>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结论</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bl>
    <w:p>
      <w:pPr>
        <w:pStyle w:val="2"/>
        <w:rPr>
          <w:rFonts w:ascii="仿宋" w:hAnsi="仿宋" w:eastAsia="仿宋" w:cs="仿宋"/>
          <w:highlight w:val="none"/>
        </w:rPr>
      </w:pPr>
    </w:p>
    <w:p>
      <w:pPr>
        <w:tabs>
          <w:tab w:val="left" w:pos="7665"/>
        </w:tabs>
        <w:spacing w:after="160"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注：</w:t>
      </w:r>
    </w:p>
    <w:p>
      <w:pPr>
        <w:tabs>
          <w:tab w:val="left" w:pos="7665"/>
        </w:tabs>
        <w:spacing w:after="160"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以上每一项结论均为“合格”的，则投标人通过资格审查，如有任意一项结论为“不合格”的，则投标人不通过资格审查，其投标文件按无效投标文件处理。如果认为投标人有任意一项不合格的，应载明不合格的具体原因。</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3.3符合性审查</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3.3.1 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3.3.2 投标文件（包括单独递交的开标一览表）有下列情形的，本项目不作为实质性要求进行规定，即不作为符合性审查事项，不得作为无效投标处理：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1．投标文件（包括单独递交的开标一览表）存在个别地方（总数不能超过2 个）没有法定代表人签字或加盖印章，但有有效授权代理人签字或加盖印章的；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2．投标文件（包括单独递交的开标一览表）除招标文件明确要求加盖单位（法人）公章的以外，其他地方以相关专用章加盖的。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3．投标文件中表格、顺序等格式（如：“注”等），未按招标文件格式制作的。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4．其他不影响采购项目实质性要求的情形。</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3.3.3 除政府采购法律制度规定的情形外，本项目投标人或者其投标文件有下列情形之一的，作为无效投标处理：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1．投标文件正副本数量不足的；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2．投标文件载明的投标有效期少于招标文件要求的或未载明的；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3．不满足招标文件第6 章中</w:t>
      </w:r>
      <w:r>
        <w:rPr>
          <w:rFonts w:hint="eastAsia" w:ascii="仿宋" w:hAnsi="仿宋" w:eastAsia="仿宋" w:cs="仿宋"/>
          <w:b/>
          <w:bCs/>
          <w:sz w:val="24"/>
          <w:szCs w:val="24"/>
          <w:highlight w:val="none"/>
          <w:lang w:val="en-US" w:eastAsia="zh-CN"/>
        </w:rPr>
        <w:t>※</w:t>
      </w:r>
      <w:r>
        <w:rPr>
          <w:rFonts w:hint="eastAsia" w:ascii="仿宋" w:hAnsi="仿宋" w:eastAsia="仿宋" w:cs="仿宋"/>
          <w:sz w:val="24"/>
          <w:highlight w:val="none"/>
        </w:rPr>
        <w:t>项要求的；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4．投标文件的语言、计量单位、报价货币、知识产权等不符合招标文件的规定，影响评标委员会评判的；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5．投标报价不符合招标文件规定的价格标底和其他报价规定的；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6．投标文件存在招标文件第2 章、第3 章规定的投标无效情形（资格审查表的内容除外）；</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7．投标文件含有采购人不能接受的附加条件的；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8．未按照招标文件规定和要求格式签署、盖章（骑缝章不能代替逐页盖章）的。</w:t>
      </w:r>
    </w:p>
    <w:p>
      <w:pPr>
        <w:tabs>
          <w:tab w:val="left" w:pos="7665"/>
        </w:tabs>
        <w:spacing w:after="160" w:line="360" w:lineRule="auto"/>
        <w:ind w:firstLine="361" w:firstLineChars="150"/>
        <w:rPr>
          <w:rFonts w:ascii="仿宋" w:hAnsi="仿宋" w:eastAsia="仿宋" w:cs="仿宋"/>
          <w:b/>
          <w:sz w:val="24"/>
          <w:highlight w:val="none"/>
        </w:rPr>
      </w:pPr>
      <w:r>
        <w:rPr>
          <w:rFonts w:hint="eastAsia" w:ascii="仿宋" w:hAnsi="仿宋" w:eastAsia="仿宋" w:cs="仿宋"/>
          <w:b/>
          <w:sz w:val="24"/>
          <w:highlight w:val="none"/>
        </w:rPr>
        <w:t>符合性审查表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1843"/>
        <w:gridCol w:w="155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44" w:type="dxa"/>
            <w:vMerge w:val="restart"/>
            <w:vAlign w:val="center"/>
          </w:tcPr>
          <w:p>
            <w:pPr>
              <w:jc w:val="center"/>
              <w:rPr>
                <w:rFonts w:ascii="仿宋" w:hAnsi="仿宋" w:eastAsia="仿宋" w:cs="仿宋"/>
                <w:b/>
                <w:highlight w:val="none"/>
              </w:rPr>
            </w:pPr>
            <w:r>
              <w:rPr>
                <w:rFonts w:hint="eastAsia" w:ascii="仿宋" w:hAnsi="仿宋" w:eastAsia="仿宋" w:cs="仿宋"/>
                <w:b/>
                <w:kern w:val="0"/>
                <w:sz w:val="24"/>
                <w:highlight w:val="none"/>
              </w:rPr>
              <w:t>评审因素</w:t>
            </w:r>
          </w:p>
        </w:tc>
        <w:tc>
          <w:tcPr>
            <w:tcW w:w="5319" w:type="dxa"/>
            <w:gridSpan w:val="3"/>
            <w:vAlign w:val="center"/>
          </w:tcPr>
          <w:p>
            <w:pPr>
              <w:jc w:val="center"/>
              <w:rPr>
                <w:rFonts w:ascii="仿宋" w:hAnsi="仿宋" w:eastAsia="仿宋" w:cs="仿宋"/>
                <w:highlight w:val="none"/>
              </w:rPr>
            </w:pPr>
            <w:r>
              <w:rPr>
                <w:rFonts w:hint="eastAsia" w:ascii="仿宋" w:hAnsi="仿宋" w:eastAsia="仿宋" w:cs="仿宋"/>
                <w:b/>
                <w:sz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644" w:type="dxa"/>
            <w:vMerge w:val="continue"/>
            <w:vAlign w:val="center"/>
          </w:tcPr>
          <w:p>
            <w:pPr>
              <w:jc w:val="center"/>
              <w:rPr>
                <w:rFonts w:ascii="仿宋" w:hAnsi="仿宋" w:eastAsia="仿宋" w:cs="仿宋"/>
                <w:b/>
                <w:kern w:val="0"/>
                <w:sz w:val="24"/>
                <w:highlight w:val="none"/>
              </w:rPr>
            </w:pPr>
          </w:p>
        </w:tc>
        <w:tc>
          <w:tcPr>
            <w:tcW w:w="1843" w:type="dxa"/>
          </w:tcPr>
          <w:p>
            <w:pPr>
              <w:rPr>
                <w:rFonts w:ascii="仿宋" w:hAnsi="仿宋" w:eastAsia="仿宋" w:cs="仿宋"/>
                <w:highlight w:val="none"/>
              </w:rPr>
            </w:pPr>
          </w:p>
        </w:tc>
        <w:tc>
          <w:tcPr>
            <w:tcW w:w="1559" w:type="dxa"/>
            <w:vAlign w:val="center"/>
          </w:tcPr>
          <w:p>
            <w:pPr>
              <w:jc w:val="center"/>
              <w:rPr>
                <w:rFonts w:ascii="仿宋" w:hAnsi="仿宋" w:eastAsia="仿宋" w:cs="仿宋"/>
                <w:highlight w:val="none"/>
              </w:rPr>
            </w:pPr>
          </w:p>
        </w:tc>
        <w:tc>
          <w:tcPr>
            <w:tcW w:w="1917"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644" w:type="dxa"/>
            <w:vAlign w:val="center"/>
          </w:tcPr>
          <w:p>
            <w:pPr>
              <w:jc w:val="left"/>
              <w:rPr>
                <w:rFonts w:ascii="仿宋" w:hAnsi="仿宋" w:eastAsia="仿宋" w:cs="仿宋"/>
                <w:szCs w:val="21"/>
                <w:highlight w:val="none"/>
              </w:rPr>
            </w:pPr>
            <w:r>
              <w:rPr>
                <w:rFonts w:hint="eastAsia" w:ascii="仿宋" w:hAnsi="仿宋" w:eastAsia="仿宋" w:cs="仿宋"/>
                <w:kern w:val="0"/>
                <w:szCs w:val="21"/>
                <w:highlight w:val="none"/>
              </w:rPr>
              <w:t>投标有效期</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644" w:type="dxa"/>
            <w:vAlign w:val="center"/>
          </w:tcPr>
          <w:p>
            <w:pPr>
              <w:autoSpaceDE w:val="0"/>
              <w:autoSpaceDN w:val="0"/>
              <w:adjustRightInd w:val="0"/>
              <w:rPr>
                <w:rFonts w:ascii="仿宋" w:hAnsi="仿宋" w:eastAsia="仿宋" w:cs="仿宋"/>
                <w:kern w:val="0"/>
                <w:szCs w:val="21"/>
                <w:highlight w:val="none"/>
              </w:rPr>
            </w:pPr>
            <w:r>
              <w:rPr>
                <w:rFonts w:hint="eastAsia" w:ascii="仿宋" w:hAnsi="仿宋" w:eastAsia="仿宋" w:cs="仿宋"/>
                <w:kern w:val="0"/>
                <w:szCs w:val="21"/>
                <w:highlight w:val="none"/>
              </w:rPr>
              <w:t>语言、计量单位、报价货币、知识产权等</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644" w:type="dxa"/>
            <w:vAlign w:val="center"/>
          </w:tcPr>
          <w:p>
            <w:pPr>
              <w:rPr>
                <w:rFonts w:ascii="仿宋" w:hAnsi="仿宋" w:eastAsia="仿宋" w:cs="仿宋"/>
                <w:szCs w:val="21"/>
                <w:highlight w:val="none"/>
              </w:rPr>
            </w:pPr>
            <w:r>
              <w:rPr>
                <w:rFonts w:hint="eastAsia" w:ascii="仿宋" w:hAnsi="仿宋" w:eastAsia="仿宋" w:cs="仿宋"/>
                <w:kern w:val="0"/>
                <w:szCs w:val="21"/>
                <w:highlight w:val="none"/>
              </w:rPr>
              <w:t>第6 章中</w:t>
            </w:r>
            <w:r>
              <w:rPr>
                <w:rFonts w:hint="eastAsia" w:ascii="仿宋" w:hAnsi="仿宋" w:eastAsia="仿宋" w:cs="仿宋"/>
                <w:b/>
                <w:bCs/>
                <w:sz w:val="24"/>
                <w:szCs w:val="24"/>
                <w:highlight w:val="none"/>
                <w:lang w:val="en-US" w:eastAsia="zh-CN"/>
              </w:rPr>
              <w:t>※</w:t>
            </w:r>
            <w:r>
              <w:rPr>
                <w:rFonts w:hint="eastAsia" w:ascii="仿宋" w:hAnsi="仿宋" w:eastAsia="仿宋" w:cs="仿宋"/>
                <w:kern w:val="0"/>
                <w:szCs w:val="21"/>
                <w:highlight w:val="none"/>
              </w:rPr>
              <w:t>项要求</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644" w:type="dxa"/>
            <w:vAlign w:val="center"/>
          </w:tcPr>
          <w:p>
            <w:pPr>
              <w:autoSpaceDE w:val="0"/>
              <w:autoSpaceDN w:val="0"/>
              <w:adjustRightInd w:val="0"/>
              <w:jc w:val="left"/>
              <w:rPr>
                <w:rFonts w:ascii="仿宋" w:hAnsi="仿宋" w:eastAsia="仿宋" w:cs="仿宋"/>
                <w:kern w:val="0"/>
                <w:szCs w:val="21"/>
                <w:highlight w:val="none"/>
              </w:rPr>
            </w:pPr>
            <w:r>
              <w:rPr>
                <w:rFonts w:hint="eastAsia" w:ascii="仿宋" w:hAnsi="仿宋" w:eastAsia="仿宋" w:cs="仿宋"/>
                <w:kern w:val="0"/>
                <w:szCs w:val="21"/>
                <w:highlight w:val="none"/>
              </w:rPr>
              <w:t>投标报价符合招标文件规定的价格标底和其他报价规定</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644" w:type="dxa"/>
            <w:vAlign w:val="center"/>
          </w:tcPr>
          <w:p>
            <w:pPr>
              <w:autoSpaceDE w:val="0"/>
              <w:autoSpaceDN w:val="0"/>
              <w:adjustRightInd w:val="0"/>
              <w:jc w:val="left"/>
              <w:rPr>
                <w:rFonts w:ascii="仿宋" w:hAnsi="仿宋" w:eastAsia="仿宋" w:cs="仿宋"/>
                <w:kern w:val="0"/>
                <w:szCs w:val="21"/>
                <w:highlight w:val="none"/>
              </w:rPr>
            </w:pPr>
            <w:r>
              <w:rPr>
                <w:rFonts w:hint="eastAsia" w:ascii="仿宋" w:hAnsi="仿宋" w:eastAsia="仿宋" w:cs="仿宋"/>
                <w:kern w:val="0"/>
                <w:szCs w:val="21"/>
                <w:highlight w:val="none"/>
              </w:rPr>
              <w:t>不存在招标文件第2章、第3章规定的投标无效情形（资格审查表的内容除外）</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644" w:type="dxa"/>
            <w:vAlign w:val="center"/>
          </w:tcPr>
          <w:p>
            <w:pPr>
              <w:rPr>
                <w:rFonts w:ascii="仿宋" w:hAnsi="仿宋" w:eastAsia="仿宋" w:cs="仿宋"/>
                <w:szCs w:val="21"/>
                <w:highlight w:val="none"/>
              </w:rPr>
            </w:pPr>
            <w:r>
              <w:rPr>
                <w:rFonts w:hint="eastAsia" w:ascii="仿宋" w:hAnsi="仿宋" w:eastAsia="仿宋" w:cs="仿宋"/>
                <w:kern w:val="0"/>
                <w:szCs w:val="21"/>
                <w:highlight w:val="none"/>
              </w:rPr>
              <w:t>未含有采购人不能接受的附加条件的</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44" w:type="dxa"/>
            <w:vAlign w:val="center"/>
          </w:tcPr>
          <w:p>
            <w:pPr>
              <w:rPr>
                <w:rFonts w:ascii="仿宋" w:hAnsi="仿宋" w:eastAsia="仿宋" w:cs="仿宋"/>
                <w:kern w:val="0"/>
                <w:szCs w:val="21"/>
                <w:highlight w:val="none"/>
              </w:rPr>
            </w:pPr>
            <w:r>
              <w:rPr>
                <w:rFonts w:hint="eastAsia" w:ascii="仿宋" w:hAnsi="仿宋" w:eastAsia="仿宋" w:cs="仿宋"/>
                <w:kern w:val="0"/>
                <w:szCs w:val="21"/>
                <w:highlight w:val="none"/>
              </w:rPr>
              <w:t>按招标文件规定和要求格式签署、盖</w:t>
            </w:r>
            <w:r>
              <w:rPr>
                <w:rFonts w:hint="eastAsia" w:ascii="仿宋" w:hAnsi="仿宋" w:eastAsia="仿宋" w:cs="仿宋"/>
                <w:kern w:val="0"/>
                <w:szCs w:val="21"/>
                <w:highlight w:val="none"/>
                <w:lang w:eastAsia="zh-CN"/>
              </w:rPr>
              <w:t>公章</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44" w:type="dxa"/>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结论</w:t>
            </w:r>
          </w:p>
        </w:tc>
        <w:tc>
          <w:tcPr>
            <w:tcW w:w="1843" w:type="dxa"/>
          </w:tcPr>
          <w:p>
            <w:pPr>
              <w:rPr>
                <w:rFonts w:ascii="仿宋" w:hAnsi="仿宋" w:eastAsia="仿宋" w:cs="仿宋"/>
                <w:highlight w:val="none"/>
              </w:rPr>
            </w:pPr>
          </w:p>
        </w:tc>
        <w:tc>
          <w:tcPr>
            <w:tcW w:w="1559" w:type="dxa"/>
          </w:tcPr>
          <w:p>
            <w:pPr>
              <w:rPr>
                <w:rFonts w:ascii="仿宋" w:hAnsi="仿宋" w:eastAsia="仿宋" w:cs="仿宋"/>
                <w:highlight w:val="none"/>
              </w:rPr>
            </w:pPr>
          </w:p>
        </w:tc>
        <w:tc>
          <w:tcPr>
            <w:tcW w:w="1917" w:type="dxa"/>
          </w:tcPr>
          <w:p>
            <w:pPr>
              <w:rPr>
                <w:rFonts w:ascii="仿宋" w:hAnsi="仿宋" w:eastAsia="仿宋" w:cs="仿宋"/>
                <w:highlight w:val="none"/>
              </w:rPr>
            </w:pPr>
          </w:p>
        </w:tc>
      </w:tr>
    </w:tbl>
    <w:p>
      <w:pPr>
        <w:tabs>
          <w:tab w:val="left" w:pos="7665"/>
        </w:tabs>
        <w:spacing w:after="160"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注：以上每一项结论均为“合格”的，则投标人通过符合性审查，如有任意一项结论为“不合格”的，则投标人不通过符合性审查，其投标文件按无效投标文件处理。如果认为投标人有任意一项不合格的，应载明不合格的具体原因。</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3.3.4 评标委员会依法对投标人进行符合性审查结束后，出具符合性审查报告。</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3.3.5 通过符合性审查的投标人不足3 家的，本项目废标。</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3.4 除政府采购法律制度规定的情形外，本项目投标人或者其投标文件有下列情形之一的，作为无效投标处理：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（一）未按照招标文件的规定提交投标保证金的；（本项目不涉及）</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（二）投标文件未按招标文件要求签署、盖章的（招标文件中第七章的3.3.2 除外）；</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（三）不具备招标文件中规定的资格要求的；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（四）报价超过招标文件中规定的预算金额或者最高限价的；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（五）投标文件含有采购人不能接受的附加条件的;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（六）法律、法规和招标文件规定的其他无效情形。</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3.5 比较与评价。按招标文件中规定的评标方法和标准，对未作无效投标处理的投标文件进行技术、服务、商务等方面评估，综合比较与评价。</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3.6 复核。评分汇总结束后，评标委员会应当进行复核，特别要对拟推荐为中标候选投标人的、报价最低的、投标文件被认定为无效的进行重点复核。</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3.7 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3.8 出具评标报告。评标委员会推荐中标候选投标人后，应当向采购人或采购代理机构出具评标报告。评标报告应当包括下列内容：</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（一）招标公告刊登的媒体名称、开标日期和地点；</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（二）获取招标文件的投标人名单和评标委员会成员名单；</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（三）评标方法和标准；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（四）开标记录和评标情况及说明，包括无效投标人名单及原因；</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（五）评标结果，确定的中标候选人名单或者经采购人委托直接确定的中标人；</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（六）其他需要说明的情况，包括评标过程中投标人根据评标委员会要求进行的澄清、说明或者补正，评标委员会成员的更换等。</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（七）报价最高的投标人为中标候选人的，评标委员会应当对其报价的合理性予以特别说明。</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3.9 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采购人或采购代理机构书面反映。采购人或采购代理机构收到书面反映后，应当书面报告采购项目同级财政部门依法处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3.10 投标人应当书面澄清、说明或者更正。</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3.10.1 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3.10.2 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3.10.3 评标委员会要求投标人澄清、说明或者更正，不得超出招标文件的范围，不得以此让投标人实质改变投标文件的内容，不得影响投标人公平竞争。本项目下列内容不得澄清：</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（一）按财政部规定应当在评标时不予承认的投标文件内容事项；</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（二）投标文件中已经明确的内容事项；</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（三）投标文件未提供的材料。</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3.10.4 本项目采购过程中，投标文件报价出现前后不一致的，除招标文件另有规定外，按照下列规定修正：</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（一）投标文件中开标一览表（报价表）内容与投标文件中相应内容不一致的，以开标一览表（报价表）为准；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（二）大写金额和小写金额不一致的，以大写金额为准；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（三）单价金额小数点或者百分比有明显错位的，以开标一览表的总价为准，并修改单价；</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（四）总价金额与按单价汇总金额不一致的，以单价金额计算结果为准。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同时出现两种以上不一致的，按照前款规定的顺序修正。修正后的报价按照财政部87 号令第五十一条第二款的规定经投标人确认后产生约束力，投标人不确认的，其投标无效。</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3.11 低于成本价投标处理。（详见招标文件第二章投标人须知前附表）</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3.12采购人或采购代理机构现场复核评标结果。</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3.12.1评标结果汇总完成后，评标委员会拟出具评标报告前，采购人或采购代理机构应当组织2名以上的本单位工作人员，在采购现场监督人员的监督之下，依据有关的法律制度和采购文件对评标结果进行复核，出具复核报告。存在下列情形之一的，采购人或采购代理机构应当根据情况书面建议评标委员会现场修改评标结果或者重新评标：</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（一）分值汇总计算错误的；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（二）分项评分超出评分标准范围的；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（三）评标委员会成员对客观评审因素评分不一致的；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四）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投标人对本条第一款情形提出质疑的，采购人或者采购代理机构可以组织原评标委员会进行重新评审，重新评审改变评标结果的，应当书面报告本级财政部门。</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3.12.2有下列情形之一的，不得修改评标结果或者重新评标：</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（一）采购人或采购代理机构现场复核时，复核工作人员数量不足的；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（二）采购人或采购代理机构现场复核时，没有采购监督人员监督的；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（三）采购人或采购代理机构现场复核内容超出规定范围的；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（五）采购人或采购代理机构未提供书面建议的。</w:t>
      </w:r>
    </w:p>
    <w:p>
      <w:pPr>
        <w:tabs>
          <w:tab w:val="left" w:pos="7665"/>
        </w:tabs>
        <w:spacing w:after="160" w:line="360" w:lineRule="auto"/>
        <w:ind w:firstLine="361" w:firstLineChars="150"/>
        <w:jc w:val="center"/>
        <w:rPr>
          <w:rFonts w:ascii="仿宋" w:hAnsi="仿宋" w:eastAsia="仿宋" w:cs="仿宋"/>
          <w:b/>
          <w:sz w:val="24"/>
          <w:highlight w:val="none"/>
        </w:rPr>
      </w:pPr>
      <w:r>
        <w:rPr>
          <w:rFonts w:hint="eastAsia" w:ascii="仿宋" w:hAnsi="仿宋" w:eastAsia="仿宋" w:cs="仿宋"/>
          <w:b/>
          <w:sz w:val="24"/>
          <w:highlight w:val="none"/>
        </w:rPr>
        <w:t>4. 评标细则及标准（综合评分法）</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4.1 本次综合评分的因素</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详见综合评分明细表。</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4.3 综合评分明细表</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4.3.1 综合评分明细表的制定以科学合理、降低评标委员会自由裁量权为原则。</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4.3.2 综合评分明细表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11"/>
        <w:gridCol w:w="556"/>
        <w:gridCol w:w="681"/>
        <w:gridCol w:w="490"/>
        <w:gridCol w:w="6121"/>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0" w:type="auto"/>
            <w:vAlign w:val="center"/>
          </w:tcPr>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0" w:type="auto"/>
            <w:vAlign w:val="center"/>
          </w:tcPr>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评分因素</w:t>
            </w:r>
          </w:p>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及权重</w:t>
            </w:r>
          </w:p>
        </w:tc>
        <w:tc>
          <w:tcPr>
            <w:tcW w:w="0" w:type="auto"/>
            <w:vAlign w:val="center"/>
          </w:tcPr>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分　值</w:t>
            </w:r>
          </w:p>
        </w:tc>
        <w:tc>
          <w:tcPr>
            <w:tcW w:w="7161" w:type="dxa"/>
            <w:gridSpan w:val="3"/>
            <w:vAlign w:val="center"/>
          </w:tcPr>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评分标准</w:t>
            </w:r>
          </w:p>
        </w:tc>
        <w:tc>
          <w:tcPr>
            <w:tcW w:w="799"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0" w:type="auto"/>
            <w:vAlign w:val="center"/>
          </w:tcPr>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一</w:t>
            </w:r>
          </w:p>
        </w:tc>
        <w:tc>
          <w:tcPr>
            <w:tcW w:w="0" w:type="auto"/>
            <w:vAlign w:val="center"/>
          </w:tcPr>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报价10%</w:t>
            </w:r>
          </w:p>
        </w:tc>
        <w:tc>
          <w:tcPr>
            <w:tcW w:w="0" w:type="auto"/>
            <w:vAlign w:val="center"/>
          </w:tcPr>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7161" w:type="dxa"/>
            <w:gridSpan w:val="3"/>
            <w:vAlign w:val="center"/>
          </w:tcPr>
          <w:p>
            <w:pPr>
              <w:numPr>
                <w:ilvl w:val="0"/>
                <w:numId w:val="0"/>
              </w:numPr>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以本次有效的最低投标报价为基准价，投标报价得分=(基准价／投标报价)* 10分*100%</w:t>
            </w:r>
          </w:p>
          <w:p>
            <w:pPr>
              <w:numPr>
                <w:ilvl w:val="0"/>
                <w:numId w:val="0"/>
              </w:numPr>
              <w:spacing w:line="360" w:lineRule="auto"/>
              <w:ind w:firstLine="210" w:firstLineChars="100"/>
              <w:rPr>
                <w:rFonts w:hint="eastAsia" w:ascii="仿宋" w:hAnsi="仿宋" w:eastAsia="仿宋" w:cs="仿宋"/>
                <w:highlight w:val="none"/>
              </w:rPr>
            </w:pPr>
            <w:r>
              <w:rPr>
                <w:rFonts w:hint="eastAsia" w:ascii="仿宋" w:hAnsi="仿宋" w:eastAsia="仿宋" w:cs="仿宋"/>
                <w:szCs w:val="21"/>
                <w:highlight w:val="none"/>
              </w:rPr>
              <w:t>注：小微企业(残疾人福利性单位、监狱企业视同小微企业)价格扣除政策按照须知前附表的相关要求执行。</w:t>
            </w:r>
          </w:p>
        </w:tc>
        <w:tc>
          <w:tcPr>
            <w:tcW w:w="799" w:type="dxa"/>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7" w:hRule="atLeast"/>
          <w:jc w:val="center"/>
        </w:trPr>
        <w:tc>
          <w:tcPr>
            <w:tcW w:w="0" w:type="auto"/>
            <w:vMerge w:val="restart"/>
            <w:vAlign w:val="center"/>
          </w:tcPr>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二</w:t>
            </w:r>
          </w:p>
        </w:tc>
        <w:tc>
          <w:tcPr>
            <w:tcW w:w="0" w:type="auto"/>
            <w:vMerge w:val="restart"/>
            <w:vAlign w:val="center"/>
          </w:tcPr>
          <w:p>
            <w:pPr>
              <w:ind w:left="63" w:leftChars="30"/>
              <w:rPr>
                <w:rFonts w:hint="eastAsia" w:ascii="仿宋" w:hAnsi="仿宋" w:eastAsia="仿宋" w:cs="仿宋"/>
                <w:szCs w:val="21"/>
                <w:highlight w:val="none"/>
              </w:rPr>
            </w:pPr>
            <w:r>
              <w:rPr>
                <w:rFonts w:hint="eastAsia" w:ascii="仿宋" w:hAnsi="仿宋" w:eastAsia="仿宋" w:cs="仿宋"/>
                <w:szCs w:val="21"/>
                <w:highlight w:val="none"/>
              </w:rPr>
              <w:t>服务方案50%</w:t>
            </w:r>
          </w:p>
        </w:tc>
        <w:tc>
          <w:tcPr>
            <w:tcW w:w="0" w:type="auto"/>
            <w:vMerge w:val="restart"/>
            <w:vAlign w:val="center"/>
          </w:tcPr>
          <w:p>
            <w:pPr>
              <w:ind w:firstLine="28"/>
              <w:jc w:val="center"/>
              <w:rPr>
                <w:rFonts w:hint="eastAsia" w:ascii="仿宋" w:hAnsi="仿宋" w:eastAsia="仿宋" w:cs="仿宋"/>
                <w:szCs w:val="21"/>
                <w:highlight w:val="none"/>
              </w:rPr>
            </w:pPr>
            <w:r>
              <w:rPr>
                <w:rFonts w:hint="eastAsia" w:ascii="仿宋" w:hAnsi="仿宋" w:eastAsia="仿宋" w:cs="仿宋"/>
                <w:szCs w:val="21"/>
                <w:highlight w:val="none"/>
              </w:rPr>
              <w:t>50分</w:t>
            </w:r>
          </w:p>
        </w:tc>
        <w:tc>
          <w:tcPr>
            <w:tcW w:w="0" w:type="auto"/>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技术内容</w:t>
            </w:r>
          </w:p>
        </w:tc>
        <w:tc>
          <w:tcPr>
            <w:tcW w:w="0" w:type="auto"/>
            <w:vAlign w:val="center"/>
          </w:tcPr>
          <w:p>
            <w:pPr>
              <w:rPr>
                <w:rFonts w:hint="eastAsia" w:ascii="仿宋" w:hAnsi="仿宋" w:eastAsia="仿宋" w:cs="仿宋"/>
                <w:szCs w:val="21"/>
                <w:highlight w:val="none"/>
              </w:rPr>
            </w:pPr>
            <w:r>
              <w:rPr>
                <w:rFonts w:hint="eastAsia" w:ascii="仿宋" w:hAnsi="仿宋" w:eastAsia="仿宋" w:cs="仿宋"/>
                <w:szCs w:val="21"/>
                <w:highlight w:val="none"/>
              </w:rPr>
              <w:t>44分</w:t>
            </w:r>
          </w:p>
        </w:tc>
        <w:tc>
          <w:tcPr>
            <w:tcW w:w="6120" w:type="dxa"/>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1.项目背景（4分）</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分析成都市①公园城市②城市有机更新③TOD战略④容积率管理规定对于城市形态的相关要求，分析梳理精准到位得4分，每有一项未提供或与项目背景不相一致</w:t>
            </w:r>
            <w:r>
              <w:rPr>
                <w:rFonts w:hint="eastAsia" w:ascii="仿宋" w:hAnsi="仿宋" w:eastAsia="仿宋" w:cs="仿宋"/>
                <w:szCs w:val="21"/>
                <w:highlight w:val="none"/>
                <w:lang w:eastAsia="zh-CN"/>
              </w:rPr>
              <w:t>的</w:t>
            </w:r>
            <w:r>
              <w:rPr>
                <w:rFonts w:hint="eastAsia" w:ascii="仿宋" w:hAnsi="仿宋" w:eastAsia="仿宋" w:cs="仿宋"/>
                <w:szCs w:val="21"/>
                <w:highlight w:val="none"/>
              </w:rPr>
              <w:t>扣1分，每有一</w:t>
            </w:r>
            <w:r>
              <w:rPr>
                <w:rFonts w:hint="eastAsia" w:ascii="仿宋" w:hAnsi="仿宋" w:eastAsia="仿宋" w:cs="仿宋"/>
                <w:szCs w:val="21"/>
                <w:highlight w:val="none"/>
                <w:lang w:val="en-US" w:eastAsia="zh-CN"/>
              </w:rPr>
              <w:t>处</w:t>
            </w:r>
            <w:r>
              <w:rPr>
                <w:rFonts w:hint="eastAsia" w:ascii="仿宋" w:hAnsi="仿宋" w:eastAsia="仿宋" w:cs="仿宋"/>
                <w:szCs w:val="21"/>
                <w:highlight w:val="none"/>
              </w:rPr>
              <w:t>内容不够详细或不够清晰扣0.5分，本项分值扣完为止。</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2.规划布局形态分析（6分）</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对武侯区与其他城区相关分区规划和总体城市设计在①城市定位②用地布局③空间结构④城市形态⑤城市风貌⑥城市色彩方面的规划指引分析到位得6分，每有一项未提供</w:t>
            </w:r>
            <w:r>
              <w:rPr>
                <w:rFonts w:hint="eastAsia" w:ascii="仿宋" w:hAnsi="仿宋" w:eastAsia="仿宋" w:cs="仿宋"/>
                <w:szCs w:val="21"/>
                <w:highlight w:val="none"/>
                <w:lang w:eastAsia="zh-CN"/>
              </w:rPr>
              <w:t>的</w:t>
            </w:r>
            <w:r>
              <w:rPr>
                <w:rFonts w:hint="eastAsia" w:ascii="仿宋" w:hAnsi="仿宋" w:eastAsia="仿宋" w:cs="仿宋"/>
                <w:szCs w:val="21"/>
                <w:highlight w:val="none"/>
              </w:rPr>
              <w:t>扣1分，每有一</w:t>
            </w:r>
            <w:r>
              <w:rPr>
                <w:rFonts w:hint="eastAsia" w:ascii="仿宋" w:hAnsi="仿宋" w:eastAsia="仿宋" w:cs="仿宋"/>
                <w:szCs w:val="21"/>
                <w:highlight w:val="none"/>
                <w:lang w:val="en-US" w:eastAsia="zh-CN"/>
              </w:rPr>
              <w:t>处</w:t>
            </w:r>
            <w:r>
              <w:rPr>
                <w:rFonts w:hint="eastAsia" w:ascii="仿宋" w:hAnsi="仿宋" w:eastAsia="仿宋" w:cs="仿宋"/>
                <w:szCs w:val="21"/>
                <w:highlight w:val="none"/>
              </w:rPr>
              <w:t>内容不够详细或不够清晰扣0.5分，本项分值扣完为止。</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3.项目形态提升分析（6分）</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对武侯区与其他城区①重点片区②重要城市节点③TOD综合开发④城市有机更新⑤环城生态公园周边⑥城市轴线区域的城市形态打造、开发强度平衡等规划举措分析到位得6分，每有一</w:t>
            </w:r>
            <w:r>
              <w:rPr>
                <w:rFonts w:hint="eastAsia" w:ascii="仿宋" w:hAnsi="仿宋" w:eastAsia="仿宋" w:cs="仿宋"/>
                <w:szCs w:val="21"/>
                <w:highlight w:val="none"/>
                <w:lang w:val="en-US" w:eastAsia="zh-CN"/>
              </w:rPr>
              <w:t>处</w:t>
            </w:r>
            <w:r>
              <w:rPr>
                <w:rFonts w:hint="eastAsia" w:ascii="仿宋" w:hAnsi="仿宋" w:eastAsia="仿宋" w:cs="仿宋"/>
                <w:szCs w:val="21"/>
                <w:highlight w:val="none"/>
              </w:rPr>
              <w:t>未提供</w:t>
            </w:r>
            <w:r>
              <w:rPr>
                <w:rFonts w:hint="eastAsia" w:ascii="仿宋" w:hAnsi="仿宋" w:eastAsia="仿宋" w:cs="仿宋"/>
                <w:szCs w:val="21"/>
                <w:highlight w:val="none"/>
                <w:lang w:eastAsia="zh-CN"/>
              </w:rPr>
              <w:t>的</w:t>
            </w:r>
            <w:r>
              <w:rPr>
                <w:rFonts w:hint="eastAsia" w:ascii="仿宋" w:hAnsi="仿宋" w:eastAsia="仿宋" w:cs="仿宋"/>
                <w:szCs w:val="21"/>
                <w:highlight w:val="none"/>
              </w:rPr>
              <w:t>扣1分，每有一项内容不够详细或不够清晰扣0.5分，本项分值扣完为止。</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4.武侯区特征与问题（6分）</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系统梳理武侯区城市形态、风貌品质等方面的①优势条件和②现状问题</w:t>
            </w:r>
            <w:r>
              <w:rPr>
                <w:rFonts w:hint="eastAsia" w:ascii="仿宋" w:hAnsi="仿宋" w:eastAsia="仿宋" w:cs="仿宋"/>
                <w:szCs w:val="21"/>
                <w:highlight w:val="none"/>
                <w:lang w:eastAsia="zh-CN"/>
              </w:rPr>
              <w:t>；内容</w:t>
            </w:r>
            <w:r>
              <w:rPr>
                <w:rFonts w:hint="eastAsia" w:ascii="仿宋" w:hAnsi="仿宋" w:eastAsia="仿宋" w:cs="仿宋"/>
                <w:szCs w:val="21"/>
                <w:highlight w:val="none"/>
              </w:rPr>
              <w:t>分析到位得6分，每有一项未提供</w:t>
            </w:r>
            <w:r>
              <w:rPr>
                <w:rFonts w:hint="eastAsia" w:ascii="仿宋" w:hAnsi="仿宋" w:eastAsia="仿宋" w:cs="仿宋"/>
                <w:szCs w:val="21"/>
                <w:highlight w:val="none"/>
                <w:lang w:eastAsia="zh-CN"/>
              </w:rPr>
              <w:t>的</w:t>
            </w:r>
            <w:r>
              <w:rPr>
                <w:rFonts w:hint="eastAsia" w:ascii="仿宋" w:hAnsi="仿宋" w:eastAsia="仿宋" w:cs="仿宋"/>
                <w:szCs w:val="21"/>
                <w:highlight w:val="none"/>
              </w:rPr>
              <w:t>扣3分，每有一</w:t>
            </w:r>
            <w:r>
              <w:rPr>
                <w:rFonts w:hint="eastAsia" w:ascii="仿宋" w:hAnsi="仿宋" w:eastAsia="仿宋" w:cs="仿宋"/>
                <w:szCs w:val="21"/>
                <w:highlight w:val="none"/>
                <w:lang w:val="en-US" w:eastAsia="zh-CN"/>
              </w:rPr>
              <w:t>处</w:t>
            </w:r>
            <w:r>
              <w:rPr>
                <w:rFonts w:hint="eastAsia" w:ascii="仿宋" w:hAnsi="仿宋" w:eastAsia="仿宋" w:cs="仿宋"/>
                <w:szCs w:val="21"/>
                <w:highlight w:val="none"/>
              </w:rPr>
              <w:t>内容不够详细或不够清晰扣1.5分，本项分值扣完为止。</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5.目标思路（2分）</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总结提出武侯区城市形态提升的①规划目标和②总体思路，分析到位得2分</w:t>
            </w:r>
            <w:r>
              <w:rPr>
                <w:rFonts w:hint="eastAsia" w:ascii="仿宋" w:hAnsi="仿宋" w:eastAsia="仿宋" w:cs="仿宋"/>
                <w:szCs w:val="21"/>
                <w:highlight w:val="none"/>
                <w:lang w:eastAsia="zh-CN"/>
              </w:rPr>
              <w:t>；每有一项内容缺失的</w:t>
            </w:r>
            <w:r>
              <w:rPr>
                <w:rFonts w:hint="eastAsia" w:ascii="仿宋" w:hAnsi="仿宋" w:eastAsia="仿宋" w:cs="仿宋"/>
                <w:szCs w:val="21"/>
                <w:highlight w:val="none"/>
              </w:rPr>
              <w:t>扣1分</w:t>
            </w:r>
            <w:r>
              <w:rPr>
                <w:rFonts w:hint="eastAsia" w:ascii="仿宋" w:hAnsi="仿宋" w:eastAsia="仿宋" w:cs="仿宋"/>
                <w:szCs w:val="21"/>
                <w:highlight w:val="none"/>
                <w:lang w:eastAsia="zh-CN"/>
              </w:rPr>
              <w:t>；</w:t>
            </w:r>
            <w:r>
              <w:rPr>
                <w:rFonts w:hint="eastAsia" w:ascii="仿宋" w:hAnsi="仿宋" w:eastAsia="仿宋" w:cs="仿宋"/>
                <w:szCs w:val="21"/>
                <w:highlight w:val="none"/>
              </w:rPr>
              <w:t>每有一</w:t>
            </w:r>
            <w:r>
              <w:rPr>
                <w:rFonts w:hint="eastAsia" w:ascii="仿宋" w:hAnsi="仿宋" w:eastAsia="仿宋" w:cs="仿宋"/>
                <w:szCs w:val="21"/>
                <w:highlight w:val="none"/>
                <w:lang w:val="en-US" w:eastAsia="zh-CN"/>
              </w:rPr>
              <w:t>处</w:t>
            </w:r>
            <w:r>
              <w:rPr>
                <w:rFonts w:hint="eastAsia" w:ascii="仿宋" w:hAnsi="仿宋" w:eastAsia="仿宋" w:cs="仿宋"/>
                <w:szCs w:val="21"/>
                <w:highlight w:val="none"/>
              </w:rPr>
              <w:t>内容不够详细或不够清晰扣</w:t>
            </w:r>
            <w:r>
              <w:rPr>
                <w:rFonts w:hint="eastAsia" w:ascii="仿宋" w:hAnsi="仿宋" w:eastAsia="仿宋" w:cs="仿宋"/>
                <w:szCs w:val="21"/>
                <w:highlight w:val="none"/>
                <w:lang w:val="en-US" w:eastAsia="zh-CN"/>
              </w:rPr>
              <w:t>0.5</w:t>
            </w:r>
            <w:r>
              <w:rPr>
                <w:rFonts w:hint="eastAsia" w:ascii="仿宋" w:hAnsi="仿宋" w:eastAsia="仿宋" w:cs="仿宋"/>
                <w:szCs w:val="21"/>
                <w:highlight w:val="none"/>
              </w:rPr>
              <w:t>分</w:t>
            </w:r>
            <w:r>
              <w:rPr>
                <w:rFonts w:hint="eastAsia" w:ascii="仿宋" w:hAnsi="仿宋" w:eastAsia="仿宋" w:cs="仿宋"/>
                <w:szCs w:val="21"/>
                <w:highlight w:val="none"/>
                <w:lang w:eastAsia="zh-CN"/>
              </w:rPr>
              <w:t>，</w:t>
            </w:r>
            <w:r>
              <w:rPr>
                <w:rFonts w:hint="eastAsia" w:ascii="仿宋" w:hAnsi="仿宋" w:eastAsia="仿宋" w:cs="仿宋"/>
                <w:szCs w:val="21"/>
                <w:highlight w:val="none"/>
              </w:rPr>
              <w:t>本项分值扣完为止。</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6.规划策略（16分）</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提出</w:t>
            </w:r>
            <w:r>
              <w:rPr>
                <w:rFonts w:hint="eastAsia" w:ascii="仿宋" w:hAnsi="仿宋" w:eastAsia="仿宋" w:cs="仿宋"/>
                <w:szCs w:val="21"/>
                <w:highlight w:val="none"/>
                <w:lang w:eastAsia="zh-CN"/>
              </w:rPr>
              <w:t>①</w:t>
            </w:r>
            <w:r>
              <w:rPr>
                <w:rFonts w:hint="eastAsia" w:ascii="仿宋" w:hAnsi="仿宋" w:eastAsia="仿宋" w:cs="仿宋"/>
                <w:szCs w:val="21"/>
                <w:highlight w:val="none"/>
              </w:rPr>
              <w:t>优化武侯区城市形态风貌</w:t>
            </w:r>
            <w:r>
              <w:rPr>
                <w:rFonts w:hint="eastAsia" w:ascii="仿宋" w:hAnsi="仿宋" w:eastAsia="仿宋" w:cs="仿宋"/>
                <w:szCs w:val="21"/>
                <w:highlight w:val="none"/>
                <w:lang w:eastAsia="zh-CN"/>
              </w:rPr>
              <w:t>；②</w:t>
            </w:r>
            <w:r>
              <w:rPr>
                <w:rFonts w:hint="eastAsia" w:ascii="仿宋" w:hAnsi="仿宋" w:eastAsia="仿宋" w:cs="仿宋"/>
                <w:szCs w:val="21"/>
                <w:highlight w:val="none"/>
              </w:rPr>
              <w:t>快速提升城市显识度</w:t>
            </w:r>
            <w:r>
              <w:rPr>
                <w:rFonts w:hint="eastAsia" w:ascii="仿宋" w:hAnsi="仿宋" w:eastAsia="仿宋" w:cs="仿宋"/>
                <w:szCs w:val="21"/>
                <w:highlight w:val="none"/>
                <w:lang w:eastAsia="zh-CN"/>
              </w:rPr>
              <w:t>；③</w:t>
            </w:r>
            <w:r>
              <w:rPr>
                <w:rFonts w:hint="eastAsia" w:ascii="仿宋" w:hAnsi="仿宋" w:eastAsia="仿宋" w:cs="仿宋"/>
                <w:szCs w:val="21"/>
                <w:highlight w:val="none"/>
              </w:rPr>
              <w:t>加大重点片区的设计改造</w:t>
            </w:r>
            <w:r>
              <w:rPr>
                <w:rFonts w:hint="eastAsia" w:ascii="仿宋" w:hAnsi="仿宋" w:eastAsia="仿宋" w:cs="仿宋"/>
                <w:szCs w:val="21"/>
                <w:highlight w:val="none"/>
                <w:lang w:eastAsia="zh-CN"/>
              </w:rPr>
              <w:t>；④</w:t>
            </w:r>
            <w:r>
              <w:rPr>
                <w:rFonts w:hint="eastAsia" w:ascii="仿宋" w:hAnsi="仿宋" w:eastAsia="仿宋" w:cs="仿宋"/>
                <w:szCs w:val="21"/>
                <w:highlight w:val="none"/>
              </w:rPr>
              <w:t>推动城市形态实现大幅跃升方面的规划策略</w:t>
            </w:r>
            <w:r>
              <w:rPr>
                <w:rFonts w:hint="eastAsia" w:ascii="仿宋" w:hAnsi="仿宋" w:eastAsia="仿宋" w:cs="仿宋"/>
                <w:szCs w:val="21"/>
                <w:highlight w:val="none"/>
                <w:lang w:eastAsia="zh-CN"/>
              </w:rPr>
              <w:t>；针对以上四项内容</w:t>
            </w:r>
            <w:r>
              <w:rPr>
                <w:rFonts w:hint="eastAsia" w:ascii="仿宋" w:hAnsi="仿宋" w:eastAsia="仿宋" w:cs="仿宋"/>
                <w:szCs w:val="21"/>
                <w:highlight w:val="none"/>
              </w:rPr>
              <w:t>准确到位，条理结构清晰，具有良好指引性得16分</w:t>
            </w:r>
            <w:r>
              <w:rPr>
                <w:rFonts w:hint="eastAsia" w:ascii="仿宋" w:hAnsi="仿宋" w:eastAsia="仿宋" w:cs="仿宋"/>
                <w:szCs w:val="21"/>
                <w:highlight w:val="none"/>
                <w:lang w:eastAsia="zh-CN"/>
              </w:rPr>
              <w:t>；每有一项</w:t>
            </w:r>
            <w:r>
              <w:rPr>
                <w:rFonts w:hint="eastAsia" w:ascii="仿宋" w:hAnsi="仿宋" w:eastAsia="仿宋" w:cs="仿宋"/>
                <w:szCs w:val="21"/>
                <w:highlight w:val="none"/>
              </w:rPr>
              <w:t>内容</w:t>
            </w:r>
            <w:r>
              <w:rPr>
                <w:rFonts w:hint="eastAsia" w:ascii="仿宋" w:hAnsi="仿宋" w:eastAsia="仿宋" w:cs="仿宋"/>
                <w:szCs w:val="21"/>
                <w:highlight w:val="none"/>
                <w:lang w:eastAsia="zh-CN"/>
              </w:rPr>
              <w:t>未提供的扣</w:t>
            </w:r>
            <w:r>
              <w:rPr>
                <w:rFonts w:hint="eastAsia" w:ascii="仿宋" w:hAnsi="仿宋" w:eastAsia="仿宋" w:cs="仿宋"/>
                <w:szCs w:val="21"/>
                <w:highlight w:val="none"/>
                <w:lang w:val="en-US" w:eastAsia="zh-CN"/>
              </w:rPr>
              <w:t>4分；</w:t>
            </w:r>
            <w:r>
              <w:rPr>
                <w:rFonts w:hint="eastAsia" w:ascii="仿宋" w:hAnsi="仿宋" w:eastAsia="仿宋" w:cs="仿宋"/>
                <w:szCs w:val="21"/>
                <w:highlight w:val="none"/>
                <w:lang w:eastAsia="zh-CN"/>
              </w:rPr>
              <w:t>每一</w:t>
            </w:r>
            <w:r>
              <w:rPr>
                <w:rFonts w:hint="eastAsia" w:ascii="仿宋" w:hAnsi="仿宋" w:eastAsia="仿宋" w:cs="仿宋"/>
                <w:szCs w:val="21"/>
                <w:highlight w:val="none"/>
                <w:lang w:val="en-US" w:eastAsia="zh-CN"/>
              </w:rPr>
              <w:t>处</w:t>
            </w:r>
            <w:r>
              <w:rPr>
                <w:rFonts w:hint="eastAsia" w:ascii="仿宋" w:hAnsi="仿宋" w:eastAsia="仿宋" w:cs="仿宋"/>
                <w:szCs w:val="21"/>
                <w:highlight w:val="none"/>
              </w:rPr>
              <w:t>内容不够准确或不够清晰，指引性一般</w:t>
            </w:r>
            <w:r>
              <w:rPr>
                <w:rFonts w:hint="eastAsia" w:ascii="仿宋" w:hAnsi="仿宋" w:eastAsia="仿宋" w:cs="仿宋"/>
                <w:szCs w:val="21"/>
                <w:highlight w:val="none"/>
                <w:lang w:eastAsia="zh-CN"/>
              </w:rPr>
              <w:t>扣</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，本项分值扣完为止</w:t>
            </w:r>
            <w:r>
              <w:rPr>
                <w:rFonts w:hint="eastAsia" w:ascii="仿宋" w:hAnsi="仿宋" w:eastAsia="仿宋" w:cs="仿宋"/>
                <w:szCs w:val="21"/>
                <w:highlight w:val="none"/>
              </w:rPr>
              <w:t>。</w:t>
            </w:r>
          </w:p>
          <w:p>
            <w:pPr>
              <w:numPr>
                <w:ilvl w:val="0"/>
                <w:numId w:val="0"/>
              </w:numPr>
              <w:spacing w:line="360" w:lineRule="auto"/>
              <w:rPr>
                <w:rFonts w:hint="eastAsia" w:ascii="仿宋" w:hAnsi="仿宋" w:eastAsia="仿宋" w:cs="仿宋"/>
                <w:szCs w:val="21"/>
                <w:highlight w:val="none"/>
              </w:rPr>
            </w:pPr>
            <w:r>
              <w:rPr>
                <w:rFonts w:hint="eastAsia" w:ascii="仿宋" w:hAnsi="仿宋" w:eastAsia="仿宋" w:cs="仿宋"/>
                <w:szCs w:val="21"/>
                <w:highlight w:val="none"/>
              </w:rPr>
              <w:t>7.实施保障（4分）</w:t>
            </w:r>
          </w:p>
          <w:p>
            <w:pPr>
              <w:numPr>
                <w:ilvl w:val="0"/>
                <w:numId w:val="0"/>
              </w:numPr>
              <w:spacing w:line="360" w:lineRule="auto"/>
              <w:rPr>
                <w:rFonts w:hint="eastAsia" w:ascii="仿宋" w:hAnsi="仿宋" w:eastAsia="仿宋" w:cs="仿宋"/>
                <w:szCs w:val="21"/>
                <w:highlight w:val="none"/>
              </w:rPr>
            </w:pPr>
            <w:r>
              <w:rPr>
                <w:rFonts w:hint="eastAsia" w:ascii="仿宋" w:hAnsi="仿宋" w:eastAsia="仿宋" w:cs="仿宋"/>
                <w:szCs w:val="21"/>
                <w:highlight w:val="none"/>
              </w:rPr>
              <w:t>结合武侯区实际，提出城市形态提升的①政策保障及②实施建议，分析准确到位得4分</w:t>
            </w:r>
            <w:r>
              <w:rPr>
                <w:rFonts w:hint="eastAsia" w:ascii="仿宋" w:hAnsi="仿宋" w:eastAsia="仿宋" w:cs="仿宋"/>
                <w:szCs w:val="21"/>
                <w:highlight w:val="none"/>
                <w:lang w:eastAsia="zh-CN"/>
              </w:rPr>
              <w:t>；每有一项内容缺失的</w:t>
            </w:r>
            <w:r>
              <w:rPr>
                <w:rFonts w:hint="eastAsia" w:ascii="仿宋" w:hAnsi="仿宋" w:eastAsia="仿宋" w:cs="仿宋"/>
                <w:szCs w:val="21"/>
                <w:highlight w:val="none"/>
              </w:rPr>
              <w:t>扣2分</w:t>
            </w:r>
            <w:r>
              <w:rPr>
                <w:rFonts w:hint="eastAsia" w:ascii="仿宋" w:hAnsi="仿宋" w:eastAsia="仿宋" w:cs="仿宋"/>
                <w:szCs w:val="21"/>
                <w:highlight w:val="none"/>
                <w:lang w:eastAsia="zh-CN"/>
              </w:rPr>
              <w:t>；</w:t>
            </w:r>
            <w:r>
              <w:rPr>
                <w:rFonts w:hint="eastAsia" w:ascii="仿宋" w:hAnsi="仿宋" w:eastAsia="仿宋" w:cs="仿宋"/>
                <w:szCs w:val="21"/>
                <w:highlight w:val="none"/>
              </w:rPr>
              <w:t>每有一</w:t>
            </w:r>
            <w:r>
              <w:rPr>
                <w:rFonts w:hint="eastAsia" w:ascii="仿宋" w:hAnsi="仿宋" w:eastAsia="仿宋" w:cs="仿宋"/>
                <w:szCs w:val="21"/>
                <w:highlight w:val="none"/>
                <w:lang w:val="en-US" w:eastAsia="zh-CN"/>
              </w:rPr>
              <w:t>处</w:t>
            </w:r>
            <w:r>
              <w:rPr>
                <w:rFonts w:hint="eastAsia" w:ascii="仿宋" w:hAnsi="仿宋" w:eastAsia="仿宋" w:cs="仿宋"/>
                <w:szCs w:val="21"/>
                <w:highlight w:val="none"/>
              </w:rPr>
              <w:t>内容不够详细或不够清晰扣1分</w:t>
            </w:r>
            <w:r>
              <w:rPr>
                <w:rFonts w:hint="eastAsia" w:ascii="仿宋" w:hAnsi="仿宋" w:eastAsia="仿宋" w:cs="仿宋"/>
                <w:szCs w:val="21"/>
                <w:highlight w:val="none"/>
                <w:lang w:eastAsia="zh-CN"/>
              </w:rPr>
              <w:t>，</w:t>
            </w:r>
            <w:r>
              <w:rPr>
                <w:rFonts w:hint="eastAsia" w:ascii="仿宋" w:hAnsi="仿宋" w:eastAsia="仿宋" w:cs="仿宋"/>
                <w:szCs w:val="21"/>
                <w:highlight w:val="none"/>
              </w:rPr>
              <w:t>扣完为止。</w:t>
            </w:r>
          </w:p>
        </w:tc>
        <w:tc>
          <w:tcPr>
            <w:tcW w:w="799"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技术类评分因素</w:t>
            </w:r>
          </w:p>
          <w:p>
            <w:pP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jc w:val="center"/>
        </w:trPr>
        <w:tc>
          <w:tcPr>
            <w:tcW w:w="0" w:type="auto"/>
            <w:vMerge w:val="continue"/>
            <w:vAlign w:val="center"/>
          </w:tcPr>
          <w:p>
            <w:pPr>
              <w:ind w:firstLine="28"/>
              <w:jc w:val="center"/>
              <w:rPr>
                <w:rFonts w:hint="eastAsia" w:ascii="仿宋" w:hAnsi="仿宋" w:eastAsia="仿宋" w:cs="仿宋"/>
                <w:szCs w:val="21"/>
                <w:highlight w:val="none"/>
              </w:rPr>
            </w:pPr>
          </w:p>
        </w:tc>
        <w:tc>
          <w:tcPr>
            <w:tcW w:w="0" w:type="auto"/>
            <w:vMerge w:val="continue"/>
            <w:vAlign w:val="center"/>
          </w:tcPr>
          <w:p>
            <w:pPr>
              <w:ind w:left="63" w:leftChars="30"/>
              <w:rPr>
                <w:rFonts w:hint="eastAsia" w:ascii="仿宋" w:hAnsi="仿宋" w:eastAsia="仿宋" w:cs="仿宋"/>
                <w:szCs w:val="21"/>
                <w:highlight w:val="none"/>
              </w:rPr>
            </w:pPr>
          </w:p>
        </w:tc>
        <w:tc>
          <w:tcPr>
            <w:tcW w:w="0" w:type="auto"/>
            <w:vMerge w:val="continue"/>
            <w:vAlign w:val="center"/>
          </w:tcPr>
          <w:p>
            <w:pPr>
              <w:ind w:firstLine="28"/>
              <w:jc w:val="center"/>
              <w:rPr>
                <w:rFonts w:hint="eastAsia" w:ascii="仿宋" w:hAnsi="仿宋" w:eastAsia="仿宋" w:cs="仿宋"/>
                <w:szCs w:val="21"/>
                <w:highlight w:val="none"/>
              </w:rPr>
            </w:pPr>
          </w:p>
        </w:tc>
        <w:tc>
          <w:tcPr>
            <w:tcW w:w="0" w:type="auto"/>
            <w:vAlign w:val="center"/>
          </w:tcPr>
          <w:p>
            <w:pPr>
              <w:spacing w:line="460" w:lineRule="exact"/>
              <w:jc w:val="center"/>
              <w:rPr>
                <w:rFonts w:hint="eastAsia" w:ascii="仿宋" w:hAnsi="仿宋" w:eastAsia="仿宋" w:cs="仿宋"/>
                <w:szCs w:val="21"/>
                <w:highlight w:val="none"/>
              </w:rPr>
            </w:pPr>
            <w:r>
              <w:rPr>
                <w:rFonts w:hint="eastAsia" w:ascii="仿宋" w:hAnsi="仿宋" w:eastAsia="仿宋" w:cs="仿宋"/>
                <w:szCs w:val="21"/>
                <w:highlight w:val="none"/>
              </w:rPr>
              <w:t>进度</w:t>
            </w:r>
          </w:p>
          <w:p>
            <w:pPr>
              <w:spacing w:line="460" w:lineRule="exact"/>
              <w:jc w:val="center"/>
              <w:rPr>
                <w:rFonts w:hint="eastAsia" w:ascii="仿宋" w:hAnsi="仿宋" w:eastAsia="仿宋" w:cs="仿宋"/>
                <w:szCs w:val="21"/>
                <w:highlight w:val="none"/>
              </w:rPr>
            </w:pPr>
            <w:r>
              <w:rPr>
                <w:rFonts w:hint="eastAsia" w:ascii="仿宋" w:hAnsi="仿宋" w:eastAsia="仿宋" w:cs="仿宋"/>
                <w:szCs w:val="21"/>
                <w:highlight w:val="none"/>
              </w:rPr>
              <w:t>安排</w:t>
            </w:r>
          </w:p>
        </w:tc>
        <w:tc>
          <w:tcPr>
            <w:tcW w:w="0" w:type="auto"/>
            <w:vAlign w:val="center"/>
          </w:tcPr>
          <w:p>
            <w:pPr>
              <w:spacing w:line="460" w:lineRule="exact"/>
              <w:jc w:val="center"/>
              <w:rPr>
                <w:rFonts w:hint="eastAsia" w:ascii="仿宋" w:hAnsi="仿宋" w:eastAsia="仿宋" w:cs="仿宋"/>
                <w:szCs w:val="21"/>
                <w:highlight w:val="none"/>
              </w:rPr>
            </w:pPr>
            <w:r>
              <w:rPr>
                <w:rFonts w:hint="eastAsia" w:ascii="仿宋" w:hAnsi="仿宋" w:eastAsia="仿宋" w:cs="仿宋"/>
                <w:szCs w:val="21"/>
                <w:highlight w:val="none"/>
              </w:rPr>
              <w:t>4分</w:t>
            </w:r>
          </w:p>
        </w:tc>
        <w:tc>
          <w:tcPr>
            <w:tcW w:w="6120" w:type="dxa"/>
            <w:vAlign w:val="center"/>
          </w:tcPr>
          <w:p>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项目进度安排中包含了工期安排和工作任务完成的时限的得4分；每有一项内容缺失的扣2分，每有一</w:t>
            </w:r>
            <w:r>
              <w:rPr>
                <w:rFonts w:hint="eastAsia" w:ascii="仿宋" w:hAnsi="仿宋" w:eastAsia="仿宋" w:cs="仿宋"/>
                <w:szCs w:val="21"/>
                <w:highlight w:val="none"/>
                <w:lang w:val="en-US" w:eastAsia="zh-CN"/>
              </w:rPr>
              <w:t>处</w:t>
            </w:r>
            <w:r>
              <w:rPr>
                <w:rFonts w:hint="eastAsia" w:ascii="仿宋" w:hAnsi="仿宋" w:eastAsia="仿宋" w:cs="仿宋"/>
                <w:szCs w:val="21"/>
                <w:highlight w:val="none"/>
              </w:rPr>
              <w:t>内容不够详细或不够清晰扣1分，扣完为止。</w:t>
            </w:r>
          </w:p>
        </w:tc>
        <w:tc>
          <w:tcPr>
            <w:tcW w:w="799"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技术类评分因素</w:t>
            </w:r>
          </w:p>
          <w:p>
            <w:pP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vMerge w:val="continue"/>
            <w:vAlign w:val="center"/>
          </w:tcPr>
          <w:p>
            <w:pPr>
              <w:ind w:firstLine="28"/>
              <w:jc w:val="center"/>
              <w:rPr>
                <w:rFonts w:hint="eastAsia" w:ascii="仿宋" w:hAnsi="仿宋" w:eastAsia="仿宋" w:cs="仿宋"/>
                <w:szCs w:val="21"/>
                <w:highlight w:val="none"/>
              </w:rPr>
            </w:pPr>
          </w:p>
        </w:tc>
        <w:tc>
          <w:tcPr>
            <w:tcW w:w="0" w:type="auto"/>
            <w:vMerge w:val="continue"/>
            <w:vAlign w:val="center"/>
          </w:tcPr>
          <w:p>
            <w:pPr>
              <w:ind w:left="63" w:leftChars="30"/>
              <w:rPr>
                <w:rFonts w:hint="eastAsia" w:ascii="仿宋" w:hAnsi="仿宋" w:eastAsia="仿宋" w:cs="仿宋"/>
                <w:szCs w:val="21"/>
                <w:highlight w:val="none"/>
              </w:rPr>
            </w:pPr>
          </w:p>
        </w:tc>
        <w:tc>
          <w:tcPr>
            <w:tcW w:w="0" w:type="auto"/>
            <w:vMerge w:val="continue"/>
            <w:vAlign w:val="center"/>
          </w:tcPr>
          <w:p>
            <w:pPr>
              <w:ind w:firstLine="28"/>
              <w:jc w:val="center"/>
              <w:rPr>
                <w:rFonts w:hint="eastAsia" w:ascii="仿宋" w:hAnsi="仿宋" w:eastAsia="仿宋" w:cs="仿宋"/>
                <w:szCs w:val="21"/>
                <w:highlight w:val="none"/>
              </w:rPr>
            </w:pPr>
          </w:p>
        </w:tc>
        <w:tc>
          <w:tcPr>
            <w:tcW w:w="0" w:type="auto"/>
            <w:vAlign w:val="center"/>
          </w:tcPr>
          <w:p>
            <w:pPr>
              <w:spacing w:line="460" w:lineRule="exact"/>
              <w:jc w:val="center"/>
              <w:rPr>
                <w:rFonts w:hint="eastAsia" w:ascii="仿宋" w:hAnsi="仿宋" w:eastAsia="仿宋" w:cs="仿宋"/>
                <w:szCs w:val="21"/>
                <w:highlight w:val="none"/>
              </w:rPr>
            </w:pPr>
            <w:r>
              <w:rPr>
                <w:rFonts w:hint="eastAsia" w:ascii="仿宋" w:hAnsi="仿宋" w:eastAsia="仿宋" w:cs="仿宋"/>
                <w:szCs w:val="21"/>
                <w:highlight w:val="none"/>
              </w:rPr>
              <w:t>跟踪服务承诺</w:t>
            </w:r>
          </w:p>
        </w:tc>
        <w:tc>
          <w:tcPr>
            <w:tcW w:w="0" w:type="auto"/>
            <w:vAlign w:val="center"/>
          </w:tcPr>
          <w:p>
            <w:pPr>
              <w:spacing w:line="460" w:lineRule="exact"/>
              <w:jc w:val="center"/>
              <w:rPr>
                <w:rFonts w:hint="eastAsia" w:ascii="仿宋" w:hAnsi="仿宋" w:eastAsia="仿宋" w:cs="仿宋"/>
                <w:szCs w:val="21"/>
                <w:highlight w:val="none"/>
              </w:rPr>
            </w:pPr>
            <w:r>
              <w:rPr>
                <w:rFonts w:hint="eastAsia" w:ascii="仿宋" w:hAnsi="仿宋" w:eastAsia="仿宋" w:cs="仿宋"/>
                <w:szCs w:val="21"/>
                <w:highlight w:val="none"/>
              </w:rPr>
              <w:t>2分</w:t>
            </w:r>
          </w:p>
        </w:tc>
        <w:tc>
          <w:tcPr>
            <w:tcW w:w="6120" w:type="dxa"/>
            <w:vAlign w:val="center"/>
          </w:tcPr>
          <w:p>
            <w:pPr>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项目跟踪服务承诺包含</w:t>
            </w:r>
            <w:r>
              <w:rPr>
                <w:rFonts w:hint="eastAsia" w:ascii="仿宋" w:hAnsi="仿宋" w:eastAsia="仿宋" w:cs="仿宋"/>
                <w:szCs w:val="21"/>
                <w:highlight w:val="none"/>
                <w:lang w:eastAsia="zh-CN"/>
              </w:rPr>
              <w:t>以下内容：①</w:t>
            </w:r>
            <w:r>
              <w:rPr>
                <w:rFonts w:hint="eastAsia" w:ascii="仿宋" w:hAnsi="仿宋" w:eastAsia="仿宋" w:cs="仿宋"/>
                <w:szCs w:val="21"/>
                <w:highlight w:val="none"/>
              </w:rPr>
              <w:t>保证设计质量</w:t>
            </w:r>
            <w:r>
              <w:rPr>
                <w:rFonts w:hint="eastAsia" w:ascii="仿宋" w:hAnsi="仿宋" w:eastAsia="仿宋" w:cs="仿宋"/>
                <w:szCs w:val="21"/>
                <w:highlight w:val="none"/>
                <w:lang w:eastAsia="zh-CN"/>
              </w:rPr>
              <w:t>、②</w:t>
            </w:r>
            <w:r>
              <w:rPr>
                <w:rFonts w:hint="eastAsia" w:ascii="仿宋" w:hAnsi="仿宋" w:eastAsia="仿宋" w:cs="仿宋"/>
                <w:szCs w:val="21"/>
                <w:highlight w:val="none"/>
              </w:rPr>
              <w:t>配合项目实施</w:t>
            </w:r>
            <w:r>
              <w:rPr>
                <w:rFonts w:hint="eastAsia" w:ascii="仿宋" w:hAnsi="仿宋" w:eastAsia="仿宋" w:cs="仿宋"/>
                <w:szCs w:val="21"/>
                <w:highlight w:val="none"/>
                <w:lang w:eastAsia="zh-CN"/>
              </w:rPr>
              <w:t>并</w:t>
            </w:r>
            <w:r>
              <w:rPr>
                <w:rFonts w:hint="eastAsia" w:ascii="仿宋" w:hAnsi="仿宋" w:eastAsia="仿宋" w:cs="仿宋"/>
                <w:szCs w:val="21"/>
                <w:highlight w:val="none"/>
              </w:rPr>
              <w:t>提供优质服务</w:t>
            </w:r>
            <w:r>
              <w:rPr>
                <w:rFonts w:hint="eastAsia" w:ascii="仿宋" w:hAnsi="仿宋" w:eastAsia="仿宋" w:cs="仿宋"/>
                <w:szCs w:val="21"/>
                <w:highlight w:val="none"/>
                <w:lang w:eastAsia="zh-CN"/>
              </w:rPr>
              <w:t>；</w:t>
            </w:r>
            <w:r>
              <w:rPr>
                <w:rFonts w:hint="eastAsia" w:ascii="仿宋" w:hAnsi="仿宋" w:eastAsia="仿宋" w:cs="仿宋"/>
                <w:szCs w:val="21"/>
                <w:highlight w:val="none"/>
              </w:rPr>
              <w:t>内容详实合理的得2分；每有一项内容缺失的扣1分，每有一</w:t>
            </w:r>
            <w:r>
              <w:rPr>
                <w:rFonts w:hint="eastAsia" w:ascii="仿宋" w:hAnsi="仿宋" w:eastAsia="仿宋" w:cs="仿宋"/>
                <w:szCs w:val="21"/>
                <w:highlight w:val="none"/>
                <w:lang w:val="en-US" w:eastAsia="zh-CN"/>
              </w:rPr>
              <w:t>处</w:t>
            </w:r>
            <w:r>
              <w:rPr>
                <w:rFonts w:hint="eastAsia" w:ascii="仿宋" w:hAnsi="仿宋" w:eastAsia="仿宋" w:cs="仿宋"/>
                <w:szCs w:val="21"/>
                <w:highlight w:val="none"/>
              </w:rPr>
              <w:t>内容不够详细或不够清晰扣0.5分，扣完为止。</w:t>
            </w:r>
          </w:p>
        </w:tc>
        <w:tc>
          <w:tcPr>
            <w:tcW w:w="799" w:type="dxa"/>
            <w:vAlign w:val="center"/>
          </w:tcPr>
          <w:p>
            <w:pPr>
              <w:rPr>
                <w:rFonts w:hint="eastAsia" w:ascii="仿宋" w:hAnsi="仿宋" w:eastAsia="仿宋" w:cs="仿宋"/>
                <w:szCs w:val="21"/>
                <w:highlight w:val="none"/>
              </w:rPr>
            </w:pPr>
            <w:r>
              <w:rPr>
                <w:rFonts w:hint="eastAsia" w:ascii="仿宋" w:hAnsi="仿宋" w:eastAsia="仿宋" w:cs="仿宋"/>
                <w:szCs w:val="21"/>
                <w:highlight w:val="none"/>
              </w:rPr>
              <w:t>技术类评分因素</w:t>
            </w:r>
          </w:p>
          <w:p>
            <w:pP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0" w:type="auto"/>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三</w:t>
            </w:r>
          </w:p>
        </w:tc>
        <w:tc>
          <w:tcPr>
            <w:tcW w:w="0" w:type="auto"/>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履约能力4</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p>
        </w:tc>
        <w:tc>
          <w:tcPr>
            <w:tcW w:w="0" w:type="auto"/>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40</w:t>
            </w:r>
            <w:r>
              <w:rPr>
                <w:rFonts w:hint="eastAsia" w:ascii="仿宋" w:hAnsi="仿宋" w:eastAsia="仿宋" w:cs="仿宋"/>
                <w:szCs w:val="21"/>
                <w:highlight w:val="none"/>
              </w:rPr>
              <w:t>分</w:t>
            </w:r>
          </w:p>
        </w:tc>
        <w:tc>
          <w:tcPr>
            <w:tcW w:w="7161" w:type="dxa"/>
            <w:gridSpan w:val="3"/>
            <w:vAlign w:val="center"/>
          </w:tcPr>
          <w:p>
            <w:pPr>
              <w:jc w:val="center"/>
              <w:rPr>
                <w:rFonts w:hint="eastAsia" w:ascii="仿宋" w:hAnsi="仿宋" w:eastAsia="仿宋" w:cs="仿宋"/>
                <w:szCs w:val="21"/>
                <w:highlight w:val="none"/>
              </w:rPr>
            </w:pPr>
          </w:p>
        </w:tc>
        <w:tc>
          <w:tcPr>
            <w:tcW w:w="799" w:type="dxa"/>
            <w:vAlign w:val="center"/>
          </w:tcPr>
          <w:p>
            <w:pPr>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0" w:type="auto"/>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0" w:type="auto"/>
            <w:vAlign w:val="center"/>
          </w:tcPr>
          <w:p>
            <w:pPr>
              <w:adjustRightInd w:val="0"/>
              <w:snapToGrid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资信</w:t>
            </w:r>
          </w:p>
        </w:tc>
        <w:tc>
          <w:tcPr>
            <w:tcW w:w="0" w:type="auto"/>
            <w:vAlign w:val="center"/>
          </w:tcPr>
          <w:p>
            <w:pPr>
              <w:adjustRightInd w:val="0"/>
              <w:snapToGrid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1分</w:t>
            </w:r>
          </w:p>
        </w:tc>
        <w:tc>
          <w:tcPr>
            <w:tcW w:w="7161" w:type="dxa"/>
            <w:gridSpan w:val="3"/>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投标人具有有效的质量管理体系认证证书的得1分，</w:t>
            </w:r>
            <w:r>
              <w:rPr>
                <w:rFonts w:hint="eastAsia" w:ascii="仿宋" w:hAnsi="仿宋" w:eastAsia="仿宋" w:cs="仿宋"/>
                <w:szCs w:val="21"/>
                <w:highlight w:val="none"/>
                <w:lang w:eastAsia="zh-CN"/>
              </w:rPr>
              <w:t>未提供不得分</w:t>
            </w:r>
            <w:r>
              <w:rPr>
                <w:rFonts w:hint="eastAsia" w:ascii="仿宋" w:hAnsi="仿宋" w:eastAsia="仿宋" w:cs="仿宋"/>
                <w:szCs w:val="21"/>
                <w:highlight w:val="none"/>
              </w:rPr>
              <w:t>。（提供相应证书复印件加盖鲜章。）</w:t>
            </w:r>
          </w:p>
        </w:tc>
        <w:tc>
          <w:tcPr>
            <w:tcW w:w="799" w:type="dxa"/>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6" w:hRule="atLeast"/>
          <w:jc w:val="center"/>
        </w:trPr>
        <w:tc>
          <w:tcPr>
            <w:tcW w:w="0" w:type="auto"/>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0" w:type="auto"/>
            <w:vAlign w:val="center"/>
          </w:tcPr>
          <w:p>
            <w:pPr>
              <w:adjustRightInd w:val="0"/>
              <w:snapToGrid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人员配置</w:t>
            </w:r>
          </w:p>
        </w:tc>
        <w:tc>
          <w:tcPr>
            <w:tcW w:w="0" w:type="auto"/>
            <w:vAlign w:val="center"/>
          </w:tcPr>
          <w:p>
            <w:pPr>
              <w:adjustRightInd w:val="0"/>
              <w:snapToGrid w:val="0"/>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16分</w:t>
            </w:r>
          </w:p>
        </w:tc>
        <w:tc>
          <w:tcPr>
            <w:tcW w:w="7161" w:type="dxa"/>
            <w:gridSpan w:val="3"/>
            <w:vAlign w:val="center"/>
          </w:tcPr>
          <w:p>
            <w:pPr>
              <w:spacing w:line="360" w:lineRule="auto"/>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投标人拟投入项目负责人为具有城市规划相关专业正高级技术职称（如教授级高级工程师）的得3分，具有城市规划相关专业副高级技术职称（如高级工程师）得2分；同时</w:t>
            </w:r>
            <w:r>
              <w:rPr>
                <w:rFonts w:hint="eastAsia" w:ascii="仿宋" w:hAnsi="仿宋" w:eastAsia="仿宋" w:cs="仿宋"/>
                <w:szCs w:val="21"/>
                <w:highlight w:val="none"/>
                <w:lang w:val="en-US" w:eastAsia="zh-CN"/>
              </w:rPr>
              <w:t>又</w:t>
            </w:r>
            <w:r>
              <w:rPr>
                <w:rFonts w:hint="eastAsia" w:ascii="仿宋" w:hAnsi="仿宋" w:eastAsia="仿宋" w:cs="仿宋"/>
                <w:szCs w:val="21"/>
                <w:highlight w:val="none"/>
              </w:rPr>
              <w:t xml:space="preserve">具有注册城市（城乡）规划师的加 3分；本项最多得6分。 </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投标人拟投入的项目团队人员（项目负责人除外）具有城市规划相关专业正高级技术职称（如教授级高级工程师），每有一名得2分；具有城市规划相关专业副高级技术职称（如高级工程师）或注册城市（城乡）规划师，每有一名得1分，本项最多得 10 分。</w:t>
            </w:r>
          </w:p>
          <w:p>
            <w:pPr>
              <w:spacing w:line="360" w:lineRule="auto"/>
              <w:rPr>
                <w:rFonts w:hint="eastAsia" w:ascii="仿宋" w:hAnsi="仿宋" w:eastAsia="仿宋" w:cs="仿宋"/>
                <w:highlight w:val="none"/>
              </w:rPr>
            </w:pPr>
            <w:r>
              <w:rPr>
                <w:rFonts w:hint="eastAsia" w:ascii="仿宋" w:hAnsi="仿宋" w:eastAsia="仿宋" w:cs="仿宋"/>
                <w:sz w:val="18"/>
                <w:szCs w:val="18"/>
                <w:highlight w:val="none"/>
                <w:lang w:val="en-US" w:eastAsia="zh-CN"/>
              </w:rPr>
              <w:t>注：（投标人需提供以上相关人员有效的身份证复印件、有效的资格证书复印件及为本单位人员的证明材料复印件（加盖公章）。无有效证明材料的相应项不得分，以上人员不重复打分）</w:t>
            </w:r>
          </w:p>
        </w:tc>
        <w:tc>
          <w:tcPr>
            <w:tcW w:w="799" w:type="dxa"/>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0" w:type="auto"/>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0" w:type="auto"/>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相关业绩</w:t>
            </w:r>
          </w:p>
        </w:tc>
        <w:tc>
          <w:tcPr>
            <w:tcW w:w="0" w:type="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Hans"/>
              </w:rPr>
              <w:t>分</w:t>
            </w:r>
          </w:p>
        </w:tc>
        <w:tc>
          <w:tcPr>
            <w:tcW w:w="7161" w:type="dxa"/>
            <w:gridSpan w:val="3"/>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投标人从201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年1月1日</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以合同签约时间为准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至投标截止时间前每具有一个规划类</w:t>
            </w:r>
            <w:r>
              <w:rPr>
                <w:rFonts w:hint="eastAsia" w:ascii="仿宋" w:hAnsi="仿宋" w:eastAsia="仿宋" w:cs="仿宋"/>
                <w:color w:val="auto"/>
                <w:szCs w:val="21"/>
                <w:highlight w:val="none"/>
                <w:lang w:eastAsia="zh-CN"/>
              </w:rPr>
              <w:t>似</w:t>
            </w:r>
            <w:r>
              <w:rPr>
                <w:rFonts w:hint="eastAsia" w:ascii="仿宋" w:hAnsi="仿宋" w:eastAsia="仿宋" w:cs="仿宋"/>
                <w:color w:val="auto"/>
                <w:szCs w:val="21"/>
                <w:highlight w:val="none"/>
              </w:rPr>
              <w:t>项目案例，每提供1个得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分，本项最多得 </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 xml:space="preserve"> 分。（提供</w:t>
            </w:r>
            <w:r>
              <w:rPr>
                <w:rFonts w:hint="eastAsia" w:ascii="仿宋" w:hAnsi="仿宋" w:eastAsia="仿宋" w:cs="仿宋"/>
                <w:color w:val="auto"/>
                <w:szCs w:val="21"/>
                <w:highlight w:val="none"/>
                <w:lang w:eastAsia="zh-CN"/>
              </w:rPr>
              <w:t>完整的</w:t>
            </w:r>
            <w:r>
              <w:rPr>
                <w:rFonts w:hint="eastAsia" w:ascii="仿宋" w:hAnsi="仿宋" w:eastAsia="仿宋" w:cs="仿宋"/>
                <w:color w:val="auto"/>
                <w:szCs w:val="21"/>
                <w:highlight w:val="none"/>
              </w:rPr>
              <w:t>合同复印件加盖投标人鲜章）</w:t>
            </w:r>
          </w:p>
        </w:tc>
        <w:tc>
          <w:tcPr>
            <w:tcW w:w="799" w:type="dxa"/>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0" w:type="auto"/>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0" w:type="auto"/>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获奖概况</w:t>
            </w:r>
          </w:p>
        </w:tc>
        <w:tc>
          <w:tcPr>
            <w:tcW w:w="0" w:type="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8分</w:t>
            </w:r>
          </w:p>
        </w:tc>
        <w:tc>
          <w:tcPr>
            <w:tcW w:w="7161" w:type="dxa"/>
            <w:gridSpan w:val="3"/>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投标人在201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年1月1日（含1日）至今，具有类似规划项目（专项规划类或规划研究类），每有一个项目获得省级优秀城乡规划设计三等奖的，得1分，二等奖的得1.5分，一等奖得2分。本项最多得4分。</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投标人在2017年1月1日（含1日）至今每有一个项目获得全国城乡规划设计三等奖的，得2分，二等奖得2.5分，一等奖得3分。本项最多得4分。</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注：提供证书复印件加盖投标人公章，同一项目按最高分计分，并不重复计分。</w:t>
            </w:r>
          </w:p>
        </w:tc>
        <w:tc>
          <w:tcPr>
            <w:tcW w:w="799" w:type="dxa"/>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共同评分因素</w:t>
            </w:r>
          </w:p>
        </w:tc>
      </w:tr>
    </w:tbl>
    <w:p>
      <w:pPr>
        <w:tabs>
          <w:tab w:val="left" w:pos="7665"/>
        </w:tabs>
        <w:spacing w:after="160" w:line="360" w:lineRule="auto"/>
        <w:rPr>
          <w:rFonts w:ascii="仿宋" w:hAnsi="仿宋" w:eastAsia="仿宋" w:cs="仿宋"/>
          <w:sz w:val="24"/>
          <w:highlight w:val="none"/>
        </w:rPr>
      </w:pPr>
    </w:p>
    <w:p>
      <w:pPr>
        <w:tabs>
          <w:tab w:val="left" w:pos="7665"/>
        </w:tabs>
        <w:spacing w:after="160"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 xml:space="preserve">注： </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1．评分的取值按四舍五入法，保留小数点后两位。</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2．本表中若与资格条件有重复的，则作为资格条款进行评审，不计入评分项。</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3．评审专家应对每个投标人每项评分因素给出详细的评审说明（报价评分项除外）。</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4．联合体投标的，以牵头人为准（联合体中有同类资质的投标人按照联合体分工承担相同工作的，应当按照资质等级较低的投标人确定资质等级）。</w:t>
      </w:r>
    </w:p>
    <w:p>
      <w:pPr>
        <w:tabs>
          <w:tab w:val="left" w:pos="7665"/>
        </w:tabs>
        <w:spacing w:after="160" w:line="360" w:lineRule="auto"/>
        <w:ind w:firstLine="361" w:firstLineChars="150"/>
        <w:jc w:val="center"/>
        <w:rPr>
          <w:rFonts w:ascii="仿宋" w:hAnsi="仿宋" w:eastAsia="仿宋" w:cs="仿宋"/>
          <w:b/>
          <w:sz w:val="24"/>
          <w:highlight w:val="none"/>
        </w:rPr>
      </w:pPr>
      <w:r>
        <w:rPr>
          <w:rFonts w:hint="eastAsia" w:ascii="仿宋" w:hAnsi="仿宋" w:eastAsia="仿宋" w:cs="仿宋"/>
          <w:b/>
          <w:sz w:val="24"/>
          <w:highlight w:val="none"/>
        </w:rPr>
        <w:t>5、废标</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5.1 本次政府采购活动中，出现下列情形之一的，予以废标：</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（2）出现影响采购公正的违法、违规行为的；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（3）投标人的报价均超过了采购预算/限价，采购人不能支付的；</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（4）因重大变故，采购任务取消的。</w:t>
      </w:r>
    </w:p>
    <w:p>
      <w:pPr>
        <w:tabs>
          <w:tab w:val="left" w:pos="7665"/>
        </w:tabs>
        <w:spacing w:after="160"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废标后，采购代理机构应在四川政府采购网上公告，并公告废标的情形。投标人需要知晓导致废标情形的具体原因和理由的，可以通过书面形式询问招标采购单位。</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5.2 对于评标过程中废标的采购项目，评标委员会应当对招标文件是否存在倾向性和歧视性、是否存在不合理条款进行论证，并出具书面论证意见。</w:t>
      </w:r>
    </w:p>
    <w:p>
      <w:pPr>
        <w:tabs>
          <w:tab w:val="left" w:pos="7665"/>
        </w:tabs>
        <w:spacing w:after="160" w:line="360" w:lineRule="auto"/>
        <w:ind w:firstLine="361" w:firstLineChars="150"/>
        <w:jc w:val="center"/>
        <w:rPr>
          <w:rFonts w:ascii="仿宋" w:hAnsi="仿宋" w:eastAsia="仿宋" w:cs="仿宋"/>
          <w:b/>
          <w:sz w:val="24"/>
          <w:highlight w:val="none"/>
        </w:rPr>
      </w:pPr>
      <w:r>
        <w:rPr>
          <w:rFonts w:hint="eastAsia" w:ascii="仿宋" w:hAnsi="仿宋" w:eastAsia="仿宋" w:cs="仿宋"/>
          <w:b/>
          <w:sz w:val="24"/>
          <w:highlight w:val="none"/>
        </w:rPr>
        <w:t>6、定标</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6.1 定标原则：本项目根据评标委员会推荐的中标候选供应商名单，按顺序确定中标供应商。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6.2. 定标程序</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6.2.1 评标委员会将评标情况写出书面报告，确定中标候选投标人。</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6.2.2 采购代理机构在评标结束后2 个工作日内将评标报告送采购人。</w:t>
      </w:r>
    </w:p>
    <w:p>
      <w:pPr>
        <w:tabs>
          <w:tab w:val="left" w:pos="7665"/>
        </w:tabs>
        <w:spacing w:after="160" w:line="360" w:lineRule="auto"/>
        <w:ind w:firstLine="360" w:firstLineChars="150"/>
        <w:rPr>
          <w:rFonts w:hint="eastAsia" w:ascii="仿宋" w:hAnsi="仿宋" w:eastAsia="仿宋" w:cs="仿宋"/>
          <w:sz w:val="24"/>
          <w:highlight w:val="none"/>
          <w:lang w:eastAsia="zh-CN"/>
        </w:rPr>
      </w:pPr>
      <w:r>
        <w:rPr>
          <w:rFonts w:hint="eastAsia" w:ascii="仿宋" w:hAnsi="仿宋" w:eastAsia="仿宋" w:cs="仿宋"/>
          <w:sz w:val="24"/>
          <w:highlight w:val="none"/>
        </w:rPr>
        <w:t>6.2.3 采购人在收到评标报告后5 个工作日内，按照评标报告中</w:t>
      </w:r>
      <w:r>
        <w:rPr>
          <w:rFonts w:hint="eastAsia" w:ascii="仿宋" w:hAnsi="仿宋" w:eastAsia="仿宋" w:cs="仿宋"/>
          <w:sz w:val="24"/>
          <w:highlight w:val="none"/>
          <w:lang w:eastAsia="zh-CN"/>
        </w:rPr>
        <w:t>推荐的中标候选供应商顺序确定中标供应商。中标候选供应商并列的，由采购人自主采取公平、择优的方式选择中标供应商。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6.2.4 根据采购人确定的中标投标人，采购代理机构在四川省政府采购网上发布中标公告，并自采购人确定中标之日起2 个工作日内向中标投标人发出中标通知书。</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6.2.5 采购人或采购代理机构不退回投标人投标文件和其他投标资料。</w:t>
      </w:r>
    </w:p>
    <w:p>
      <w:pPr>
        <w:tabs>
          <w:tab w:val="left" w:pos="7665"/>
        </w:tabs>
        <w:spacing w:after="160" w:line="360" w:lineRule="auto"/>
        <w:ind w:firstLine="361" w:firstLineChars="150"/>
        <w:jc w:val="center"/>
        <w:rPr>
          <w:rFonts w:ascii="仿宋" w:hAnsi="仿宋" w:eastAsia="仿宋" w:cs="仿宋"/>
          <w:b/>
          <w:sz w:val="24"/>
          <w:highlight w:val="none"/>
        </w:rPr>
      </w:pPr>
      <w:r>
        <w:rPr>
          <w:rFonts w:hint="eastAsia" w:ascii="仿宋" w:hAnsi="仿宋" w:eastAsia="仿宋" w:cs="仿宋"/>
          <w:b/>
          <w:sz w:val="24"/>
          <w:highlight w:val="none"/>
        </w:rPr>
        <w:t>7. 评标专家在政府采购活动中承担以下义务：</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（一）遵守评审工作纪律；</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（二）按照客观、公正、审慎的原则，根据采购文件规定的评审程序、评审方法和评审标准进行独立评审；</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（三）不得泄露评审文件、评审情况和在评审过程中获悉的商业秘密；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（四）及时向监督部门报告评审过程中采购人或采购代理机构向评审专家做倾向性、误导性的解释或者说明，投标人行贿、提供虚假材料或者串通、受到的非法干预情况等违法违规行为；</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（五）发现采购文件内容违反国家有关强制性规定或者存在歧义、重大缺陷导致评审工作无法进行时，停止评审并向采购人或采购代理机构书面说明情况；</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（六）配合答复处理投标人的询问、质疑和投诉等事项；</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（七）法律、法规和规章规定的其他义务。</w:t>
      </w:r>
    </w:p>
    <w:p>
      <w:pPr>
        <w:tabs>
          <w:tab w:val="left" w:pos="7665"/>
        </w:tabs>
        <w:spacing w:after="160" w:line="360" w:lineRule="auto"/>
        <w:ind w:firstLine="361" w:firstLineChars="150"/>
        <w:jc w:val="center"/>
        <w:rPr>
          <w:rFonts w:ascii="仿宋" w:hAnsi="仿宋" w:eastAsia="仿宋" w:cs="仿宋"/>
          <w:b/>
          <w:sz w:val="24"/>
          <w:highlight w:val="none"/>
        </w:rPr>
      </w:pPr>
      <w:r>
        <w:rPr>
          <w:rFonts w:hint="eastAsia" w:ascii="仿宋" w:hAnsi="仿宋" w:eastAsia="仿宋" w:cs="仿宋"/>
          <w:b/>
          <w:sz w:val="24"/>
          <w:highlight w:val="none"/>
        </w:rPr>
        <w:t>8.评标专家在政府采购活动中应当遵守以下工作纪律：</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（一）遵行《政府采购法》第十二条和《政府采购法实施条例》第九条及财政部关于回避的规定。</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（二）评标前，应当将通讯工具或者相关电子设备交由采购人或采购代理机构统一保管。</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（三）评标过程中，不得与外界联系，因发生不可预见情况，确实需要与外界联系的，应当在监督人员监督之下办理。</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（五）在评标过程中和评标结束后，不得记录、复制或带走任何评标资料，除因规定的义务外，不得向外界透露评标内容。</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（六）服从评标现场采购人或采购代理机构的现场秩序管理，接受评标现场监督人员的合法监督。</w:t>
      </w:r>
    </w:p>
    <w:p>
      <w:pPr>
        <w:tabs>
          <w:tab w:val="left" w:pos="7665"/>
        </w:tabs>
        <w:spacing w:after="16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（七）遵守有关廉洁自律规定，不得私下接触投标人，不得收受投标人及有关业务单位和个人的财物或好处，不得接受采购人或采购代理机构的请托。</w:t>
      </w:r>
      <w:bookmarkEnd w:id="44"/>
      <w:bookmarkEnd w:id="45"/>
      <w:bookmarkEnd w:id="46"/>
      <w:bookmarkEnd w:id="47"/>
      <w:bookmarkEnd w:id="48"/>
    </w:p>
    <w:p>
      <w:pPr>
        <w:pStyle w:val="13"/>
        <w:rPr>
          <w:rFonts w:ascii="仿宋" w:hAnsi="仿宋" w:eastAsia="仿宋" w:cs="仿宋"/>
          <w:highlight w:val="none"/>
        </w:rPr>
      </w:pPr>
      <w:r>
        <w:rPr>
          <w:rFonts w:hint="eastAsia" w:ascii="仿宋" w:hAnsi="仿宋" w:eastAsia="仿宋" w:cs="仿宋"/>
          <w:highlight w:val="none"/>
        </w:rPr>
        <w:br w:type="page"/>
      </w:r>
      <w:bookmarkStart w:id="49" w:name="_Toc69395661"/>
      <w:bookmarkStart w:id="50" w:name="_Toc511206483"/>
      <w:r>
        <w:rPr>
          <w:rFonts w:hint="eastAsia" w:ascii="仿宋" w:hAnsi="仿宋" w:eastAsia="仿宋" w:cs="仿宋"/>
          <w:sz w:val="36"/>
          <w:szCs w:val="36"/>
          <w:highlight w:val="none"/>
        </w:rPr>
        <w:t>第八章  采购合同（参考文本）</w:t>
      </w:r>
      <w:bookmarkEnd w:id="49"/>
    </w:p>
    <w:bookmarkEnd w:id="37"/>
    <w:bookmarkEnd w:id="38"/>
    <w:bookmarkEnd w:id="39"/>
    <w:bookmarkEnd w:id="43"/>
    <w:bookmarkEnd w:id="50"/>
    <w:p>
      <w:pPr>
        <w:rPr>
          <w:rFonts w:ascii="仿宋" w:hAnsi="仿宋" w:eastAsia="仿宋" w:cs="仿宋"/>
          <w:spacing w:val="8"/>
          <w:sz w:val="24"/>
          <w:highlight w:val="none"/>
        </w:rPr>
      </w:pPr>
    </w:p>
    <w:p>
      <w:pPr>
        <w:keepNext w:val="0"/>
        <w:keepLines w:val="0"/>
        <w:pageBreakBefore w:val="0"/>
        <w:widowControl w:val="0"/>
        <w:wordWrap/>
        <w:overflowPunct/>
        <w:topLinePunct w:val="0"/>
        <w:autoSpaceDE w:val="0"/>
        <w:autoSpaceDN w:val="0"/>
        <w:bidi w:val="0"/>
        <w:adjustRightInd w:val="0"/>
        <w:snapToGrid/>
        <w:spacing w:line="420" w:lineRule="exact"/>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（根据项目具体情况签订内容）</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合同编号：</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签订地点：</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签订时间：年月日</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采购人（甲方）：</w:t>
      </w:r>
      <w:r>
        <w:rPr>
          <w:rFonts w:hint="eastAsia" w:ascii="仿宋" w:hAnsi="仿宋" w:eastAsia="仿宋" w:cs="仿宋"/>
          <w:color w:val="auto"/>
          <w:sz w:val="24"/>
          <w:szCs w:val="24"/>
          <w:highlight w:val="none"/>
          <w:lang w:eastAsia="zh-CN"/>
        </w:rPr>
        <w:t>成都市武侯区规划和自然资源局</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（乙方）：</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》、《中华人民共和国政府采购法》与项目行业有关的法律法规，以及</w:t>
      </w:r>
      <w:r>
        <w:rPr>
          <w:rFonts w:hint="eastAsia" w:ascii="仿宋" w:hAnsi="仿宋" w:eastAsia="仿宋" w:cs="仿宋"/>
          <w:b/>
          <w:bCs/>
          <w:sz w:val="24"/>
          <w:highlight w:val="none"/>
          <w:u w:val="single"/>
          <w:lang w:eastAsia="zh-CN"/>
        </w:rPr>
        <w:t>武侯区与其他城区规划布局形态对比研究采购项目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文件》，乙方的《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文件》及《</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通知书》，甲、乙双方同意签订本合同。详细技术说明及其他有关合同项目的特定信息由合同附件予以说明，合同附件及本项目的《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通知书》等均为本合同的组成部分。双方同意共同遵守如下条款：</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第一条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合同文件</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下列与本次采购活动有关的文件及附件是本合同不可分割的组成部分，与本合同具有同等法律效力，这些文件包括但不限于：</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时的书面承诺</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5.合同补充条款或说明</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6.相关附件</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服务内容及成果要求</w:t>
      </w:r>
    </w:p>
    <w:p>
      <w:pPr>
        <w:tabs>
          <w:tab w:val="left" w:pos="7665"/>
        </w:tabs>
        <w:spacing w:after="160" w:line="360" w:lineRule="auto"/>
        <w:ind w:firstLine="361"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服务内容包含：</w:t>
      </w:r>
      <w:r>
        <w:rPr>
          <w:rFonts w:hint="eastAsia" w:ascii="仿宋" w:hAnsi="仿宋" w:eastAsia="仿宋" w:cs="仿宋"/>
          <w:color w:val="auto"/>
          <w:sz w:val="24"/>
          <w:szCs w:val="24"/>
          <w:highlight w:val="none"/>
          <w:lang w:val="en-US" w:eastAsia="zh-CN"/>
        </w:rPr>
        <w:t>1.项目背景。对成都市关于城市形态、风貌品质、开发强度等政策进行分析，总结武侯区城市形态提升的要求。</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规划布局形态分析。分析武侯区与其他城区相关规划和城市设计在城市定位、用地布局、空间结构、城市形态、城市风貌、城市色彩等方面的规划指引。</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项目形态提升分析。分析武侯区与其他城区在重点片区、重要城市节点、TOD综合开发、城市有机更新、环城生态公园周边、城市轴线区域等方面关于城市形态打造、开发强度平衡等规划举措。</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4.武侯区特征与问题。系统梳理武侯区城市形态、风貌品质等方面的现状情况，总结区域优势条件，找准现状问题，为下一步形态提升指引发展方向。</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5.目标思路。为推动武侯高质量发展，聚焦高品质城市形态建设，通过分析现有城市形象特征与问题，针对性提出武侯区城市形态提升的目标和总体思路。</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规划策略。为优化武侯区城市形态风貌，推进城市有机更新，结合公园城市理念，提出塑造特色鲜明对外形象，快速提升城市显识度的系统策略。加大重点片区的设计改造，通过标志性建筑规划布局、重要节点功能塑造、城市有机更新改造等举措，推动城市形态实现大幅跃升。</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7.实施保障。结合武侯区实际，提出城市形态提升的政策保障及建议。</w:t>
      </w:r>
    </w:p>
    <w:p>
      <w:pPr>
        <w:tabs>
          <w:tab w:val="left" w:pos="7665"/>
        </w:tabs>
        <w:spacing w:after="160" w:line="360" w:lineRule="auto"/>
        <w:ind w:firstLine="361"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成果要求： </w:t>
      </w:r>
      <w:r>
        <w:rPr>
          <w:rFonts w:hint="eastAsia" w:ascii="仿宋" w:hAnsi="仿宋" w:eastAsia="仿宋" w:cs="仿宋"/>
          <w:color w:val="auto"/>
          <w:sz w:val="24"/>
          <w:szCs w:val="24"/>
          <w:highlight w:val="none"/>
          <w:lang w:val="en-US" w:eastAsia="zh-CN"/>
        </w:rPr>
        <w:t>1.设计成果内容：图文合订本。</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2.成果形式：汇报演示文件及图文合订本采用Power Point编制。</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3.成果文件：送审成果文件为图文合订本一式四份；正式成果文件须包含图文合订本一式六份和刻录光盘两张。</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第三条</w:t>
      </w:r>
      <w:r>
        <w:rPr>
          <w:rFonts w:hint="eastAsia" w:ascii="仿宋" w:hAnsi="仿宋" w:eastAsia="仿宋" w:cs="仿宋"/>
          <w:b/>
          <w:bCs/>
          <w:color w:val="auto"/>
          <w:sz w:val="24"/>
          <w:szCs w:val="24"/>
          <w:highlight w:val="none"/>
          <w:lang w:val="en-US" w:eastAsia="zh-CN"/>
        </w:rPr>
        <w:t xml:space="preserve"> 履约期限及</w:t>
      </w:r>
      <w:r>
        <w:rPr>
          <w:rFonts w:hint="eastAsia" w:ascii="仿宋" w:hAnsi="仿宋" w:eastAsia="仿宋" w:cs="仿宋"/>
          <w:b/>
          <w:bCs/>
          <w:color w:val="auto"/>
          <w:sz w:val="24"/>
          <w:szCs w:val="24"/>
          <w:highlight w:val="none"/>
          <w:lang w:eastAsia="zh-CN"/>
        </w:rPr>
        <w:t>地点</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履约时间：政府采购合同签订之日起3个月内按采购人要求的方式履约。</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履约地点：采购人指定地点。</w:t>
      </w:r>
    </w:p>
    <w:p>
      <w:pPr>
        <w:numPr>
          <w:ilvl w:val="0"/>
          <w:numId w:val="5"/>
        </w:numPr>
        <w:tabs>
          <w:tab w:val="left" w:pos="7665"/>
        </w:tabs>
        <w:spacing w:after="160"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不要求提供履约保证金。</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第五条</w:t>
      </w:r>
      <w:r>
        <w:rPr>
          <w:rFonts w:hint="eastAsia" w:ascii="仿宋" w:hAnsi="仿宋" w:eastAsia="仿宋" w:cs="仿宋"/>
          <w:b/>
          <w:bCs/>
          <w:color w:val="auto"/>
          <w:sz w:val="24"/>
          <w:szCs w:val="24"/>
          <w:highlight w:val="none"/>
          <w:lang w:val="en-US" w:eastAsia="zh-CN"/>
        </w:rPr>
        <w:t xml:space="preserve"> 服务费用及</w:t>
      </w:r>
      <w:r>
        <w:rPr>
          <w:rFonts w:hint="eastAsia" w:ascii="仿宋" w:hAnsi="仿宋" w:eastAsia="仿宋" w:cs="仿宋"/>
          <w:b/>
          <w:bCs/>
          <w:color w:val="auto"/>
          <w:sz w:val="24"/>
          <w:szCs w:val="24"/>
          <w:highlight w:val="none"/>
        </w:rPr>
        <w:t>支付方式</w:t>
      </w:r>
    </w:p>
    <w:p>
      <w:pPr>
        <w:tabs>
          <w:tab w:val="left" w:pos="7665"/>
        </w:tabs>
        <w:spacing w:after="160" w:line="360" w:lineRule="auto"/>
        <w:ind w:firstLine="360" w:firstLineChars="150"/>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（一）本项目服务费用为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元（大写：人民币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付款方式：政府采购合同签订生效后7个工作日内支付项目合同总金额的50%；项目通过武侯区土地资源管理与建设规划委员会审查后，支付项目合同总金额的40%；中标人向采购人交付最终成果后，支付项目合同总金额的10%。</w:t>
      </w:r>
    </w:p>
    <w:p>
      <w:pPr>
        <w:tabs>
          <w:tab w:val="left" w:pos="7665"/>
        </w:tabs>
        <w:spacing w:after="160" w:line="360" w:lineRule="auto"/>
        <w:ind w:firstLine="361"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验收要求</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严格按照政府采购相关法律法规、《财政部关于进一步加强政府采购需求和履约验收管理的指导意见》（财库［2016］205号）的要求、招标文件要求、投标文件相应内容和行业相关标准验收。</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知识产权及</w:t>
      </w:r>
      <w:r>
        <w:rPr>
          <w:rFonts w:hint="eastAsia" w:ascii="仿宋" w:hAnsi="仿宋" w:eastAsia="仿宋" w:cs="仿宋"/>
          <w:b/>
          <w:bCs/>
          <w:color w:val="auto"/>
          <w:sz w:val="24"/>
          <w:szCs w:val="24"/>
          <w:highlight w:val="none"/>
          <w:lang w:eastAsia="zh-CN"/>
        </w:rPr>
        <w:t>保密</w:t>
      </w:r>
      <w:r>
        <w:rPr>
          <w:rFonts w:hint="eastAsia" w:ascii="仿宋" w:hAnsi="仿宋" w:eastAsia="仿宋" w:cs="仿宋"/>
          <w:b/>
          <w:bCs/>
          <w:color w:val="auto"/>
          <w:sz w:val="24"/>
          <w:szCs w:val="24"/>
          <w:highlight w:val="none"/>
        </w:rPr>
        <w:t>承诺</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乙方保证所提供的服务、使用的工具或其任何一部分均不会侵犯任何第三方的专利权、商标权、著作权或其他合法权益，否则视为乙方违约，由此产生的一切损失由乙方承担。</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经甲乙双方协商一致，若本项目产生知识产权，则归</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拥有。</w:t>
      </w:r>
    </w:p>
    <w:p>
      <w:pPr>
        <w:tabs>
          <w:tab w:val="left" w:pos="7665"/>
        </w:tabs>
        <w:spacing w:after="160"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3、保密：未经甲方同意乙方不得将成果向第三方转让或用于本合同项目外的项目，如发生以上情况，乙方将承担一切由此引起的后果并承担赔偿责任。</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八</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甲方的权利与义务</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甲方按本合同规定的内容，在规定的时间内协助乙方收集规划设计需要的资料及文件，并对其完整性、真实性及时限性负责。由于甲方原因，造成规划设计所需资料不齐、不准、错误或收集困难时，乙方按本合同规定的交付规划设计文件的时间顺延。</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、在合同履行期间，甲方要求终止或解除合同，应及时书面通知乙方。乙方已开始工作的，甲方应根据乙方所完成的阶段性成果结算相应阶段的规划设计费。</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、甲方应根据本合同的约定及时支付乙方阶段性规划设计费用；如果延期支付或拒付，则乙方有权暂停甚至终止下一阶段的规划设计任务。</w:t>
      </w:r>
    </w:p>
    <w:p>
      <w:pPr>
        <w:tabs>
          <w:tab w:val="left" w:pos="7665"/>
        </w:tabs>
        <w:spacing w:after="160" w:line="360" w:lineRule="auto"/>
        <w:ind w:firstLine="360" w:firstLineChars="15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、乙方交付甲方的规划设计方案，甲方应及时将修改调整意见反馈给乙方；如果对阶段性方案的反馈时间超过</w:t>
      </w:r>
      <w:r>
        <w:rPr>
          <w:rFonts w:hint="eastAsia" w:ascii="仿宋" w:hAnsi="仿宋" w:eastAsia="仿宋" w:cs="仿宋"/>
          <w:color w:val="auto"/>
          <w:sz w:val="24"/>
          <w:szCs w:val="24"/>
          <w:highlight w:val="none"/>
          <w:lang w:val="en-US" w:eastAsia="zh-CN"/>
        </w:rPr>
        <w:t>15天的时间，乙方按本合同规定的交付规划设计文件的时间顺延。</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、规划方案若需上级规划主管部门组织评审或者需要甲方组织专家评审的，由乙方承担相关评审费用。</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九</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乙方的权利与义务</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、乙方应按国家规定和合同约定的技术规范、标准进行设计，按本合同规定的内容、时间及份数向甲方交付服务文件，并对提交的设计文件的质量负责。</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、负责对外部的设计资料进行审查，负责该合同项目的设计联络工作。</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、乙方对规划设计文件出现的遗漏或错误负责修改、补充。</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、乙方对规划设计文件出现的遗漏或错误负责修改、补充。由于乙方设计错误造成的损失，乙方除负责采取补救措施外，免收受损失部分的设计费。</w:t>
      </w:r>
    </w:p>
    <w:p>
      <w:pPr>
        <w:tabs>
          <w:tab w:val="left" w:pos="7665"/>
        </w:tabs>
        <w:spacing w:after="160"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5、合同生效后，乙方要求终止或解除合同，乙方应双倍返还甲方已支付的费用。</w:t>
      </w:r>
    </w:p>
    <w:p>
      <w:pPr>
        <w:tabs>
          <w:tab w:val="left" w:pos="7665"/>
        </w:tabs>
        <w:spacing w:after="160" w:line="360" w:lineRule="auto"/>
        <w:ind w:firstLine="360" w:firstLineChars="15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6、乙方交付设计文件后，按规定参加有关上级的设计审查，并根据审查结论负责不超出原定范围的内容做必要调整补充。</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甲乙双方必须遵守本合同并执行合同中的各项规定，保证本合同的合法正常履行。</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乙方提供的服务不符合投标文件、报价文件或本合同规定的，每项违约乙方须向甲方支付本合同总价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%的违约金。</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乙方未能按本合同规定时间提供服务，从逾期之日起每日按本合同总价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‰的数额向甲方支付违约金；逾期半个月以上的，甲方有权解除合同，由此造成的甲方经济损失由乙方承担。</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甲方无正当理由拒绝接受服务，甲方向乙方偿付本合同总</w:t>
      </w:r>
      <w:r>
        <w:rPr>
          <w:rFonts w:hint="eastAsia" w:ascii="仿宋" w:hAnsi="仿宋" w:eastAsia="仿宋" w:cs="仿宋"/>
          <w:color w:val="auto"/>
          <w:sz w:val="24"/>
          <w:szCs w:val="24"/>
          <w:highlight w:val="none"/>
          <w:lang w:eastAsia="zh-CN"/>
        </w:rPr>
        <w:t>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%的违约金。甲方逾期付款，则每日按本合同总价的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‰向乙方偿付违约金。</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任何一方由于不可抗力原因不能履行合同时，应在不可抗力事件发生后应立即通知对方，以减轻可能给对方造成的损失。在取得有关机构的不可抗力证明或双方谅解确认后，允许延期履行或修订合同，并根据情况可部分或全部免于承担违约责任。</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不可抗力事件延续120天以上，双方应友好协商，确定是否继续履行合同。</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第十</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争议的解决</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在执行本合同中发生的或与本合同有关的争端，双方应通过友好协商解决，经协商在不能达成协议时，应选择以下第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种解决方式：</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向成都仲裁委员会提起仲裁；</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向甲方所在地有管辖权的法院提起诉讼。</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在法院审理和仲裁期间，除有争议部分外，本合同其他部分可以履行的仍应按合同条款继续履行。</w:t>
      </w:r>
    </w:p>
    <w:p>
      <w:pPr>
        <w:tabs>
          <w:tab w:val="left" w:pos="7665"/>
        </w:tabs>
        <w:spacing w:after="160" w:line="360" w:lineRule="auto"/>
        <w:ind w:firstLine="361"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第十</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其他</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合同经双方法定代表人或授权委托代理人签字并加盖单位公章后生效。合同一经生效，双方应诚信履行合同，除双方协商一致解除合同外，一方不得无理由解除合同。</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执行中涉及采购资金和采购内容修改或补充的，在符合《中华人民共和国政府采购法》第49条的前提下，须经政府采购监管部门审批，签订书面补充协议后须报政府采购监督管理部门备案，方可作为主合同不可分割的一部分。</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份，自双方签章之日起</w:t>
      </w:r>
      <w:r>
        <w:rPr>
          <w:rFonts w:hint="eastAsia" w:ascii="仿宋" w:hAnsi="仿宋" w:eastAsia="仿宋" w:cs="仿宋"/>
          <w:color w:val="auto"/>
          <w:sz w:val="24"/>
          <w:szCs w:val="24"/>
          <w:highlight w:val="none"/>
          <w:lang w:eastAsia="zh-CN"/>
        </w:rPr>
        <w:t>生</w:t>
      </w:r>
      <w:r>
        <w:rPr>
          <w:rFonts w:hint="eastAsia" w:ascii="仿宋" w:hAnsi="仿宋" w:eastAsia="仿宋" w:cs="仿宋"/>
          <w:color w:val="auto"/>
          <w:sz w:val="24"/>
          <w:szCs w:val="24"/>
          <w:highlight w:val="none"/>
        </w:rPr>
        <w:t>效。甲方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份，政府采购代理机构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份，同级财政部门备案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份，具有同等法律效力。</w:t>
      </w:r>
    </w:p>
    <w:p>
      <w:pPr>
        <w:pStyle w:val="2"/>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（以下无正文，为签署区）</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法定代表人（授权代表）：</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地址：</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开户银行：</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账号：</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p>
    <w:p>
      <w:pPr>
        <w:tabs>
          <w:tab w:val="left" w:pos="7665"/>
        </w:tabs>
        <w:spacing w:after="16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pPr>
        <w:tabs>
          <w:tab w:val="left" w:pos="7665"/>
        </w:tabs>
        <w:spacing w:after="160" w:line="360" w:lineRule="auto"/>
        <w:ind w:firstLine="360" w:firstLineChars="150"/>
        <w:rPr>
          <w:rFonts w:hint="eastAsia" w:ascii="宋体" w:hAnsi="宋体" w:eastAsia="宋体" w:cs="Times New Roman"/>
          <w:color w:val="auto"/>
          <w:sz w:val="24"/>
          <w:highlight w:val="none"/>
        </w:rPr>
      </w:pPr>
      <w:r>
        <w:rPr>
          <w:rFonts w:hint="eastAsia" w:ascii="仿宋" w:hAnsi="仿宋" w:eastAsia="仿宋" w:cs="仿宋"/>
          <w:color w:val="auto"/>
          <w:sz w:val="24"/>
          <w:szCs w:val="24"/>
          <w:highlight w:val="none"/>
        </w:rPr>
        <w:t>签约日期：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签约日期：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tabs>
          <w:tab w:val="left" w:pos="7665"/>
        </w:tabs>
        <w:spacing w:after="160" w:line="360" w:lineRule="auto"/>
        <w:ind w:firstLine="360" w:firstLineChars="150"/>
        <w:rPr>
          <w:rFonts w:ascii="仿宋" w:hAnsi="仿宋" w:eastAsia="仿宋" w:cs="仿宋"/>
          <w:sz w:val="24"/>
          <w:highlight w:val="none"/>
        </w:rPr>
      </w:pPr>
    </w:p>
    <w:sectPr>
      <w:footerReference r:id="rId8" w:type="default"/>
      <w:type w:val="continuous"/>
      <w:pgSz w:w="11907" w:h="16840"/>
      <w:pgMar w:top="1440" w:right="1080" w:bottom="1440" w:left="1080" w:header="851" w:footer="992"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77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t>第</w:t>
                          </w:r>
                          <w:r>
                            <w:fldChar w:fldCharType="begin"/>
                          </w:r>
                          <w:r>
                            <w:instrText xml:space="preserve"> PAGE  \* MERGEFORMAT </w:instrText>
                          </w:r>
                          <w:r>
                            <w:fldChar w:fldCharType="separate"/>
                          </w:r>
                          <w:r>
                            <w:t>1</w:t>
                          </w:r>
                          <w:r>
                            <w:fldChar w:fldCharType="end"/>
                          </w:r>
                          <w:r>
                            <w:t>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oEqEDFAQAAmwMAAA4AAAAAAAAAAQAgAAAAHgEAAGRycy9lMm9Eb2MueG1s&#10;UEsFBgAAAAAGAAYAWQEAAFUFAAAAAA==&#10;">
              <v:fill on="f" focussize="0,0"/>
              <v:stroke on="f"/>
              <v:imagedata o:title=""/>
              <o:lock v:ext="edit" aspectratio="f"/>
              <v:textbox inset="0mm,0mm,0mm,0mm" style="mso-fit-shape-to-text:t;">
                <w:txbxContent>
                  <w:p>
                    <w:pPr>
                      <w:pStyle w:val="10"/>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jc w:val="cente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1</w:t>
                          </w:r>
                          <w:r>
                            <w:rPr>
                              <w:rFonts w:ascii="宋体" w:hAnsi="宋体"/>
                              <w:b/>
                              <w:bCs/>
                            </w:rPr>
                            <w:fldChar w:fldCharType="end"/>
                          </w:r>
                          <w:r>
                            <w:rPr>
                              <w:rFonts w:hint="eastAsia" w:ascii="宋体" w:hAnsi="宋体"/>
                              <w:b/>
                              <w:bCs/>
                            </w:rPr>
                            <w:t>-页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B+McBAACbAwAADgAAAGRycy9lMm9Eb2MueG1srVPNjtMwEL6vxDtY&#10;vtNki4S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tPYnbA08PPPH+dfj+eH7+xN&#10;kqf3WFHVnae6OLyHgZZmjiMFE+uhDTZ9iQ+jPIl7uoirhshkurRarlYlpSTlZofwi6frPmD8oMCy&#10;ZNQ80PSyqOL4CeNYOpek1xzcamPyBI37K0CYY0TlFZhuJyZjx8mKw26Y6O2gORG7ntag5o62njPz&#10;0ZHKaWNmI8zGbjLSi+jfHSK1kbtLqCMUsUoOzS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wB+McBAACbAwAADgAAAAAAAAABACAAAAAeAQAAZHJzL2Uyb0RvYy54&#10;bWxQSwUGAAAAAAYABgBZAQAAVwUAAAAA&#10;">
              <v:fill on="f" focussize="0,0"/>
              <v:stroke on="f"/>
              <v:imagedata o:title=""/>
              <o:lock v:ext="edit" aspectratio="f"/>
              <v:textbox inset="0mm,0mm,0mm,0mm" style="mso-fit-shape-to-text:t;">
                <w:txbxContent>
                  <w:p>
                    <w:pPr>
                      <w:pStyle w:val="10"/>
                      <w:jc w:val="cente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1</w:t>
                    </w:r>
                    <w:r>
                      <w:rPr>
                        <w:rFonts w:ascii="宋体" w:hAnsi="宋体"/>
                        <w:b/>
                        <w:bCs/>
                      </w:rPr>
                      <w:fldChar w:fldCharType="end"/>
                    </w:r>
                    <w:r>
                      <w:rPr>
                        <w:rFonts w:hint="eastAsia" w:ascii="宋体" w:hAnsi="宋体"/>
                        <w:b/>
                        <w:bCs/>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jc w:val="cente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42</w:t>
                          </w:r>
                          <w:r>
                            <w:rPr>
                              <w:rFonts w:ascii="宋体" w:hAnsi="宋体"/>
                              <w:b/>
                              <w:bCs/>
                            </w:rPr>
                            <w:fldChar w:fldCharType="end"/>
                          </w:r>
                          <w:r>
                            <w:rPr>
                              <w:rFonts w:hint="eastAsia" w:ascii="宋体" w:hAnsi="宋体"/>
                              <w:b/>
                              <w:bCs/>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0"/>
                      <w:jc w:val="cente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42</w:t>
                    </w:r>
                    <w:r>
                      <w:rPr>
                        <w:rFonts w:ascii="宋体" w:hAnsi="宋体"/>
                        <w:b/>
                        <w:bCs/>
                      </w:rPr>
                      <w:fldChar w:fldCharType="end"/>
                    </w:r>
                    <w:r>
                      <w:rPr>
                        <w:rFonts w:hint="eastAsia" w:ascii="宋体" w:hAnsi="宋体"/>
                        <w:b/>
                        <w:bCs/>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jc w:val="cente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56</w:t>
                          </w:r>
                          <w:r>
                            <w:rPr>
                              <w:rFonts w:ascii="宋体" w:hAnsi="宋体"/>
                              <w:b/>
                              <w:bCs/>
                            </w:rPr>
                            <w:fldChar w:fldCharType="end"/>
                          </w:r>
                          <w:r>
                            <w:rPr>
                              <w:rFonts w:hint="eastAsia" w:ascii="宋体" w:hAnsi="宋体"/>
                              <w:b/>
                              <w:bCs/>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pPr>
                      <w:pStyle w:val="10"/>
                      <w:jc w:val="cente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56</w:t>
                    </w:r>
                    <w:r>
                      <w:rPr>
                        <w:rFonts w:ascii="宋体" w:hAnsi="宋体"/>
                        <w:b/>
                        <w:bCs/>
                      </w:rPr>
                      <w:fldChar w:fldCharType="end"/>
                    </w:r>
                    <w:r>
                      <w:rPr>
                        <w:rFonts w:hint="eastAsia" w:ascii="宋体" w:hAnsi="宋体"/>
                        <w:b/>
                        <w:bCs/>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1EE8E"/>
    <w:multiLevelType w:val="singleLevel"/>
    <w:tmpl w:val="D8E1EE8E"/>
    <w:lvl w:ilvl="0" w:tentative="0">
      <w:start w:val="4"/>
      <w:numFmt w:val="chineseCounting"/>
      <w:suff w:val="space"/>
      <w:lvlText w:val="第%1条"/>
      <w:lvlJc w:val="left"/>
      <w:rPr>
        <w:rFonts w:hint="eastAsia"/>
      </w:rPr>
    </w:lvl>
  </w:abstractNum>
  <w:abstractNum w:abstractNumId="1">
    <w:nsid w:val="ECF6825B"/>
    <w:multiLevelType w:val="singleLevel"/>
    <w:tmpl w:val="ECF6825B"/>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2071233"/>
    <w:multiLevelType w:val="singleLevel"/>
    <w:tmpl w:val="52071233"/>
    <w:lvl w:ilvl="0" w:tentative="0">
      <w:start w:val="8"/>
      <w:numFmt w:val="chineseCounting"/>
      <w:suff w:val="nothing"/>
      <w:lvlText w:val="%1、"/>
      <w:lvlJc w:val="left"/>
      <w:rPr>
        <w:rFonts w:hint="eastAsia"/>
      </w:rPr>
    </w:lvl>
  </w:abstractNum>
  <w:abstractNum w:abstractNumId="4">
    <w:nsid w:val="7A4C795D"/>
    <w:multiLevelType w:val="singleLevel"/>
    <w:tmpl w:val="7A4C795D"/>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277F1"/>
    <w:rsid w:val="0006591C"/>
    <w:rsid w:val="00093B83"/>
    <w:rsid w:val="00102071"/>
    <w:rsid w:val="0014574C"/>
    <w:rsid w:val="00152732"/>
    <w:rsid w:val="001D4122"/>
    <w:rsid w:val="002432EC"/>
    <w:rsid w:val="002F04C9"/>
    <w:rsid w:val="00325442"/>
    <w:rsid w:val="0034412C"/>
    <w:rsid w:val="00383C0F"/>
    <w:rsid w:val="003B1BBE"/>
    <w:rsid w:val="003F7A72"/>
    <w:rsid w:val="00470816"/>
    <w:rsid w:val="004F512F"/>
    <w:rsid w:val="0067634C"/>
    <w:rsid w:val="006B27A6"/>
    <w:rsid w:val="006B3FFF"/>
    <w:rsid w:val="006E50F2"/>
    <w:rsid w:val="007C4C1F"/>
    <w:rsid w:val="0080799A"/>
    <w:rsid w:val="00823779"/>
    <w:rsid w:val="008A12F6"/>
    <w:rsid w:val="008D3D57"/>
    <w:rsid w:val="009017BC"/>
    <w:rsid w:val="0091270D"/>
    <w:rsid w:val="00944359"/>
    <w:rsid w:val="009B1DB1"/>
    <w:rsid w:val="00A10FDF"/>
    <w:rsid w:val="00AB58A5"/>
    <w:rsid w:val="00B5079D"/>
    <w:rsid w:val="00BA6F88"/>
    <w:rsid w:val="00BC2834"/>
    <w:rsid w:val="00BC4C1E"/>
    <w:rsid w:val="00BF30C1"/>
    <w:rsid w:val="00C0269A"/>
    <w:rsid w:val="00C44000"/>
    <w:rsid w:val="00CC08E4"/>
    <w:rsid w:val="00CE142C"/>
    <w:rsid w:val="00D442C1"/>
    <w:rsid w:val="00DA3D80"/>
    <w:rsid w:val="00DA69BD"/>
    <w:rsid w:val="00E34440"/>
    <w:rsid w:val="00E412B2"/>
    <w:rsid w:val="00E96897"/>
    <w:rsid w:val="00F028EB"/>
    <w:rsid w:val="00F111E7"/>
    <w:rsid w:val="00F2096F"/>
    <w:rsid w:val="03020A0B"/>
    <w:rsid w:val="03477CE7"/>
    <w:rsid w:val="03DB0AB4"/>
    <w:rsid w:val="03FB3331"/>
    <w:rsid w:val="050560F4"/>
    <w:rsid w:val="05117E5E"/>
    <w:rsid w:val="07322A47"/>
    <w:rsid w:val="08031707"/>
    <w:rsid w:val="083A7A83"/>
    <w:rsid w:val="089C3A7D"/>
    <w:rsid w:val="08D32B09"/>
    <w:rsid w:val="090D125C"/>
    <w:rsid w:val="09D52A35"/>
    <w:rsid w:val="0A4743EA"/>
    <w:rsid w:val="0A9122D0"/>
    <w:rsid w:val="0AB44352"/>
    <w:rsid w:val="0B9C2B7D"/>
    <w:rsid w:val="0CDB3F8B"/>
    <w:rsid w:val="0CDD18D7"/>
    <w:rsid w:val="0CE86D7C"/>
    <w:rsid w:val="0E531F9B"/>
    <w:rsid w:val="0EA94D87"/>
    <w:rsid w:val="0FDC0E60"/>
    <w:rsid w:val="101438BB"/>
    <w:rsid w:val="105A292B"/>
    <w:rsid w:val="108C5AF0"/>
    <w:rsid w:val="109106A4"/>
    <w:rsid w:val="11B0630D"/>
    <w:rsid w:val="13647EC7"/>
    <w:rsid w:val="13717CA8"/>
    <w:rsid w:val="138F544B"/>
    <w:rsid w:val="14541ECC"/>
    <w:rsid w:val="14C13760"/>
    <w:rsid w:val="14F045AD"/>
    <w:rsid w:val="156D3056"/>
    <w:rsid w:val="15FC004D"/>
    <w:rsid w:val="16785697"/>
    <w:rsid w:val="179151B1"/>
    <w:rsid w:val="17C345DD"/>
    <w:rsid w:val="18830321"/>
    <w:rsid w:val="19081543"/>
    <w:rsid w:val="19146166"/>
    <w:rsid w:val="19CE781F"/>
    <w:rsid w:val="19E133A4"/>
    <w:rsid w:val="19ED43A4"/>
    <w:rsid w:val="1A247E74"/>
    <w:rsid w:val="1A264837"/>
    <w:rsid w:val="1A5C7169"/>
    <w:rsid w:val="1A5E24CD"/>
    <w:rsid w:val="1A944440"/>
    <w:rsid w:val="1AAD3BA8"/>
    <w:rsid w:val="1B22276E"/>
    <w:rsid w:val="1B7B4DEF"/>
    <w:rsid w:val="1C392DD2"/>
    <w:rsid w:val="1C716B86"/>
    <w:rsid w:val="1CF55B3F"/>
    <w:rsid w:val="1D2C4583"/>
    <w:rsid w:val="1D973F53"/>
    <w:rsid w:val="209B0C4C"/>
    <w:rsid w:val="20F91104"/>
    <w:rsid w:val="21FC697F"/>
    <w:rsid w:val="2252118E"/>
    <w:rsid w:val="23724F31"/>
    <w:rsid w:val="23D76BAF"/>
    <w:rsid w:val="24044B61"/>
    <w:rsid w:val="24D8298B"/>
    <w:rsid w:val="25835A3F"/>
    <w:rsid w:val="259E2AB7"/>
    <w:rsid w:val="25AB47A6"/>
    <w:rsid w:val="25FB792C"/>
    <w:rsid w:val="260B5511"/>
    <w:rsid w:val="26383E32"/>
    <w:rsid w:val="28393A50"/>
    <w:rsid w:val="283D0EDD"/>
    <w:rsid w:val="28805FCE"/>
    <w:rsid w:val="28BA79FC"/>
    <w:rsid w:val="28DD30C5"/>
    <w:rsid w:val="29D40132"/>
    <w:rsid w:val="29D75C84"/>
    <w:rsid w:val="29E37825"/>
    <w:rsid w:val="2A39211C"/>
    <w:rsid w:val="2A5D26C5"/>
    <w:rsid w:val="2A627729"/>
    <w:rsid w:val="2ADE2CE4"/>
    <w:rsid w:val="2B113C19"/>
    <w:rsid w:val="2B33470F"/>
    <w:rsid w:val="2B5663DB"/>
    <w:rsid w:val="2B694145"/>
    <w:rsid w:val="2B7F747E"/>
    <w:rsid w:val="2BC036D4"/>
    <w:rsid w:val="2BDA1CED"/>
    <w:rsid w:val="2C903A56"/>
    <w:rsid w:val="2CA5472D"/>
    <w:rsid w:val="2D98197C"/>
    <w:rsid w:val="2D9E3A79"/>
    <w:rsid w:val="2DA80D6D"/>
    <w:rsid w:val="2E276823"/>
    <w:rsid w:val="2E2E4E4A"/>
    <w:rsid w:val="2E4D7F0C"/>
    <w:rsid w:val="2E7C6ECF"/>
    <w:rsid w:val="2EF402FB"/>
    <w:rsid w:val="2F4A2791"/>
    <w:rsid w:val="2F757EBF"/>
    <w:rsid w:val="2FF0574E"/>
    <w:rsid w:val="3007530C"/>
    <w:rsid w:val="30242817"/>
    <w:rsid w:val="30526285"/>
    <w:rsid w:val="30786888"/>
    <w:rsid w:val="30C01D26"/>
    <w:rsid w:val="3191022E"/>
    <w:rsid w:val="32C05699"/>
    <w:rsid w:val="32D7229C"/>
    <w:rsid w:val="334A1305"/>
    <w:rsid w:val="336E0330"/>
    <w:rsid w:val="341763B3"/>
    <w:rsid w:val="349E504B"/>
    <w:rsid w:val="35174570"/>
    <w:rsid w:val="36451318"/>
    <w:rsid w:val="366D1C5F"/>
    <w:rsid w:val="36ED3AA3"/>
    <w:rsid w:val="37A44F2D"/>
    <w:rsid w:val="37C04BD2"/>
    <w:rsid w:val="37C97629"/>
    <w:rsid w:val="380163DE"/>
    <w:rsid w:val="38CB2B2E"/>
    <w:rsid w:val="39601BD0"/>
    <w:rsid w:val="39756945"/>
    <w:rsid w:val="3A027285"/>
    <w:rsid w:val="3A930481"/>
    <w:rsid w:val="3AA128E8"/>
    <w:rsid w:val="3ADC3991"/>
    <w:rsid w:val="3B9205BA"/>
    <w:rsid w:val="3C650779"/>
    <w:rsid w:val="3D9C58B7"/>
    <w:rsid w:val="3E3B5BB6"/>
    <w:rsid w:val="3EDD1E0B"/>
    <w:rsid w:val="3F1B08A9"/>
    <w:rsid w:val="3F7C2254"/>
    <w:rsid w:val="3FF83A0B"/>
    <w:rsid w:val="40360717"/>
    <w:rsid w:val="416D6D06"/>
    <w:rsid w:val="41DB6DFE"/>
    <w:rsid w:val="41E079C9"/>
    <w:rsid w:val="4201011D"/>
    <w:rsid w:val="42230BEA"/>
    <w:rsid w:val="429976E3"/>
    <w:rsid w:val="42A153EB"/>
    <w:rsid w:val="433904F4"/>
    <w:rsid w:val="43F450F4"/>
    <w:rsid w:val="444D71BA"/>
    <w:rsid w:val="460277F1"/>
    <w:rsid w:val="47683FCA"/>
    <w:rsid w:val="47F76AC0"/>
    <w:rsid w:val="48DF0486"/>
    <w:rsid w:val="49192F7B"/>
    <w:rsid w:val="49C009F1"/>
    <w:rsid w:val="49F3243F"/>
    <w:rsid w:val="4AB0262F"/>
    <w:rsid w:val="4B0875BE"/>
    <w:rsid w:val="4B544D1A"/>
    <w:rsid w:val="4BE9719F"/>
    <w:rsid w:val="4C1017D7"/>
    <w:rsid w:val="4C65284C"/>
    <w:rsid w:val="4C9B5331"/>
    <w:rsid w:val="4DAC5F07"/>
    <w:rsid w:val="4F614A52"/>
    <w:rsid w:val="50183332"/>
    <w:rsid w:val="50823AEB"/>
    <w:rsid w:val="50C45F43"/>
    <w:rsid w:val="50E97241"/>
    <w:rsid w:val="52217B71"/>
    <w:rsid w:val="53802AD0"/>
    <w:rsid w:val="5430783C"/>
    <w:rsid w:val="54650E64"/>
    <w:rsid w:val="55405E77"/>
    <w:rsid w:val="561B34B8"/>
    <w:rsid w:val="56237152"/>
    <w:rsid w:val="585F17EF"/>
    <w:rsid w:val="58C059A3"/>
    <w:rsid w:val="58DA249B"/>
    <w:rsid w:val="5A8474C8"/>
    <w:rsid w:val="5AAB3BC3"/>
    <w:rsid w:val="5B3E348B"/>
    <w:rsid w:val="5B785D5A"/>
    <w:rsid w:val="5BAD01C4"/>
    <w:rsid w:val="5BCB45BB"/>
    <w:rsid w:val="5BF8615C"/>
    <w:rsid w:val="5C11474F"/>
    <w:rsid w:val="5C443874"/>
    <w:rsid w:val="5C4E12A6"/>
    <w:rsid w:val="5CA73B23"/>
    <w:rsid w:val="5D195BB0"/>
    <w:rsid w:val="5D1A072B"/>
    <w:rsid w:val="5D4F1E5C"/>
    <w:rsid w:val="5DCF5EA5"/>
    <w:rsid w:val="5EA66DC6"/>
    <w:rsid w:val="5F7C2541"/>
    <w:rsid w:val="5FE03AFB"/>
    <w:rsid w:val="5FE97DBE"/>
    <w:rsid w:val="62C46E1A"/>
    <w:rsid w:val="6342085F"/>
    <w:rsid w:val="635B1F5B"/>
    <w:rsid w:val="643E4A6A"/>
    <w:rsid w:val="64ED1E42"/>
    <w:rsid w:val="651D260E"/>
    <w:rsid w:val="660329AC"/>
    <w:rsid w:val="66921A76"/>
    <w:rsid w:val="66A939EB"/>
    <w:rsid w:val="677D6E1A"/>
    <w:rsid w:val="68040974"/>
    <w:rsid w:val="682D5A3F"/>
    <w:rsid w:val="688425FF"/>
    <w:rsid w:val="692944B9"/>
    <w:rsid w:val="69EA0EB0"/>
    <w:rsid w:val="6B1E53C8"/>
    <w:rsid w:val="6B6B4CA7"/>
    <w:rsid w:val="6BBC7DEA"/>
    <w:rsid w:val="6BDB3008"/>
    <w:rsid w:val="6C2227C3"/>
    <w:rsid w:val="6C2A1937"/>
    <w:rsid w:val="6CCC6834"/>
    <w:rsid w:val="6CD3274E"/>
    <w:rsid w:val="6DAF3B5C"/>
    <w:rsid w:val="6DD66FD1"/>
    <w:rsid w:val="6E0E7517"/>
    <w:rsid w:val="6F0248B9"/>
    <w:rsid w:val="6F0D776D"/>
    <w:rsid w:val="6F6059CE"/>
    <w:rsid w:val="6F8D7035"/>
    <w:rsid w:val="6FF87E08"/>
    <w:rsid w:val="70B02CE6"/>
    <w:rsid w:val="70BD3B96"/>
    <w:rsid w:val="72406DDC"/>
    <w:rsid w:val="72A86612"/>
    <w:rsid w:val="72B306B7"/>
    <w:rsid w:val="739846B4"/>
    <w:rsid w:val="74031DF3"/>
    <w:rsid w:val="74403473"/>
    <w:rsid w:val="75124744"/>
    <w:rsid w:val="754B4DE2"/>
    <w:rsid w:val="755E73CE"/>
    <w:rsid w:val="774B45EA"/>
    <w:rsid w:val="777B652B"/>
    <w:rsid w:val="78FB1575"/>
    <w:rsid w:val="792F7D74"/>
    <w:rsid w:val="79973BE5"/>
    <w:rsid w:val="79E77290"/>
    <w:rsid w:val="79EC7B52"/>
    <w:rsid w:val="7A1079D5"/>
    <w:rsid w:val="7A7A0B7A"/>
    <w:rsid w:val="7C3A3856"/>
    <w:rsid w:val="7C972E65"/>
    <w:rsid w:val="7D4163BE"/>
    <w:rsid w:val="7DBB243B"/>
    <w:rsid w:val="7DF20915"/>
    <w:rsid w:val="7E4A27D1"/>
    <w:rsid w:val="7EFC1F33"/>
    <w:rsid w:val="7F001D59"/>
    <w:rsid w:val="EF875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6">
    <w:name w:val="Normal Indent"/>
    <w:basedOn w:val="1"/>
    <w:qFormat/>
    <w:uiPriority w:val="0"/>
    <w:pPr>
      <w:ind w:firstLine="420" w:firstLineChars="200"/>
    </w:pPr>
    <w:rPr>
      <w:kern w:val="0"/>
      <w:sz w:val="20"/>
    </w:rPr>
  </w:style>
  <w:style w:type="paragraph" w:styleId="7">
    <w:name w:val="annotation text"/>
    <w:basedOn w:val="1"/>
    <w:link w:val="34"/>
    <w:qFormat/>
    <w:uiPriority w:val="0"/>
    <w:pPr>
      <w:jc w:val="left"/>
    </w:pPr>
    <w:rPr>
      <w:kern w:val="0"/>
      <w:sz w:val="20"/>
    </w:rPr>
  </w:style>
  <w:style w:type="paragraph" w:styleId="8">
    <w:name w:val="Body Text Indent"/>
    <w:basedOn w:val="1"/>
    <w:qFormat/>
    <w:uiPriority w:val="0"/>
    <w:pPr>
      <w:ind w:firstLine="630"/>
    </w:pPr>
    <w:rPr>
      <w:kern w:val="0"/>
      <w:sz w:val="32"/>
      <w:szCs w:val="20"/>
    </w:rPr>
  </w:style>
  <w:style w:type="paragraph" w:styleId="9">
    <w:name w:val="Balloon Text"/>
    <w:basedOn w:val="1"/>
    <w:link w:val="33"/>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nhideWhenUsed/>
    <w:qFormat/>
    <w:uiPriority w:val="39"/>
    <w:pPr>
      <w:tabs>
        <w:tab w:val="right" w:leader="dot" w:pos="9737"/>
      </w:tabs>
      <w:spacing w:line="360" w:lineRule="auto"/>
    </w:pPr>
    <w:rPr>
      <w:rFonts w:ascii="华文中宋" w:hAnsi="华文中宋" w:eastAsia="华文中宋"/>
      <w:b/>
      <w:bCs/>
      <w:sz w:val="24"/>
    </w:rPr>
  </w:style>
  <w:style w:type="paragraph" w:styleId="13">
    <w:name w:val="Title"/>
    <w:basedOn w:val="1"/>
    <w:next w:val="1"/>
    <w:qFormat/>
    <w:uiPriority w:val="10"/>
    <w:pPr>
      <w:spacing w:before="240" w:after="60"/>
      <w:jc w:val="center"/>
      <w:outlineLvl w:val="0"/>
    </w:pPr>
    <w:rPr>
      <w:rFonts w:ascii="Cambria" w:hAnsi="Cambria"/>
      <w:b/>
      <w:bCs/>
      <w:sz w:val="32"/>
      <w:szCs w:val="32"/>
    </w:rPr>
  </w:style>
  <w:style w:type="paragraph" w:styleId="14">
    <w:name w:val="annotation subject"/>
    <w:basedOn w:val="7"/>
    <w:next w:val="7"/>
    <w:link w:val="35"/>
    <w:qFormat/>
    <w:uiPriority w:val="0"/>
    <w:rPr>
      <w:b/>
      <w:bCs/>
      <w:kern w:val="2"/>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FollowedHyperlink"/>
    <w:basedOn w:val="17"/>
    <w:qFormat/>
    <w:uiPriority w:val="0"/>
    <w:rPr>
      <w:color w:val="3D3D3D"/>
      <w:u w:val="none"/>
    </w:rPr>
  </w:style>
  <w:style w:type="character" w:styleId="20">
    <w:name w:val="Emphasis"/>
    <w:basedOn w:val="17"/>
    <w:qFormat/>
    <w:uiPriority w:val="0"/>
    <w:rPr>
      <w:i/>
    </w:rPr>
  </w:style>
  <w:style w:type="character" w:styleId="21">
    <w:name w:val="HTML Definition"/>
    <w:basedOn w:val="17"/>
    <w:qFormat/>
    <w:uiPriority w:val="0"/>
  </w:style>
  <w:style w:type="character" w:styleId="22">
    <w:name w:val="HTML Variable"/>
    <w:basedOn w:val="17"/>
    <w:qFormat/>
    <w:uiPriority w:val="0"/>
  </w:style>
  <w:style w:type="character" w:styleId="23">
    <w:name w:val="Hyperlink"/>
    <w:qFormat/>
    <w:uiPriority w:val="99"/>
    <w:rPr>
      <w:color w:val="0000FF"/>
      <w:u w:val="single"/>
    </w:rPr>
  </w:style>
  <w:style w:type="character" w:styleId="24">
    <w:name w:val="HTML Code"/>
    <w:basedOn w:val="17"/>
    <w:qFormat/>
    <w:uiPriority w:val="0"/>
    <w:rPr>
      <w:rFonts w:ascii="Courier New" w:hAnsi="Courier New"/>
      <w:sz w:val="20"/>
    </w:rPr>
  </w:style>
  <w:style w:type="character" w:styleId="25">
    <w:name w:val="annotation reference"/>
    <w:basedOn w:val="17"/>
    <w:qFormat/>
    <w:uiPriority w:val="0"/>
    <w:rPr>
      <w:sz w:val="21"/>
      <w:szCs w:val="21"/>
    </w:rPr>
  </w:style>
  <w:style w:type="character" w:styleId="26">
    <w:name w:val="HTML Cite"/>
    <w:basedOn w:val="17"/>
    <w:qFormat/>
    <w:uiPriority w:val="0"/>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13、表格内居中正文"/>
    <w:basedOn w:val="1"/>
    <w:qFormat/>
    <w:uiPriority w:val="0"/>
    <w:pPr>
      <w:tabs>
        <w:tab w:val="left" w:pos="0"/>
      </w:tabs>
      <w:wordWrap w:val="0"/>
      <w:topLinePunct/>
      <w:spacing w:line="360" w:lineRule="exact"/>
      <w:jc w:val="center"/>
    </w:pPr>
    <w:rPr>
      <w:rFonts w:ascii="宋体" w:hAnsi="宋体"/>
    </w:rPr>
  </w:style>
  <w:style w:type="paragraph" w:customStyle="1" w:styleId="30">
    <w:name w:val="12、表格内左对齐正文"/>
    <w:basedOn w:val="1"/>
    <w:qFormat/>
    <w:uiPriority w:val="0"/>
    <w:pPr>
      <w:tabs>
        <w:tab w:val="left" w:pos="0"/>
      </w:tabs>
      <w:wordWrap w:val="0"/>
      <w:topLinePunct/>
      <w:spacing w:line="360" w:lineRule="exact"/>
      <w:ind w:left="48" w:leftChars="20"/>
    </w:pPr>
    <w:rPr>
      <w:rFonts w:ascii="宋体" w:hAnsi="宋体"/>
      <w:snapToGrid w:val="0"/>
    </w:rPr>
  </w:style>
  <w:style w:type="paragraph" w:customStyle="1" w:styleId="31">
    <w:name w:val="03、“注：”正文(加粗，首行缩进2字符)"/>
    <w:basedOn w:val="1"/>
    <w:qFormat/>
    <w:uiPriority w:val="0"/>
    <w:pPr>
      <w:tabs>
        <w:tab w:val="left" w:pos="0"/>
      </w:tabs>
      <w:wordWrap w:val="0"/>
      <w:topLinePunct/>
      <w:adjustRightInd w:val="0"/>
      <w:snapToGrid w:val="0"/>
      <w:spacing w:line="440" w:lineRule="exact"/>
      <w:ind w:firstLine="480" w:firstLineChars="200"/>
      <w:jc w:val="left"/>
    </w:pPr>
    <w:rPr>
      <w:rFonts w:ascii="宋体" w:hAnsi="宋体"/>
      <w:b/>
      <w:snapToGrid w:val="0"/>
      <w:sz w:val="2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批注框文本 Char"/>
    <w:basedOn w:val="17"/>
    <w:link w:val="9"/>
    <w:qFormat/>
    <w:uiPriority w:val="0"/>
    <w:rPr>
      <w:rFonts w:ascii="Times New Roman" w:hAnsi="Times New Roman" w:eastAsia="宋体" w:cs="Times New Roman"/>
      <w:kern w:val="2"/>
      <w:sz w:val="18"/>
      <w:szCs w:val="18"/>
    </w:rPr>
  </w:style>
  <w:style w:type="character" w:customStyle="1" w:styleId="34">
    <w:name w:val="批注文字 Char"/>
    <w:basedOn w:val="17"/>
    <w:link w:val="7"/>
    <w:qFormat/>
    <w:uiPriority w:val="0"/>
    <w:rPr>
      <w:rFonts w:ascii="Times New Roman" w:hAnsi="Times New Roman" w:eastAsia="宋体" w:cs="Times New Roman"/>
      <w:szCs w:val="24"/>
    </w:rPr>
  </w:style>
  <w:style w:type="character" w:customStyle="1" w:styleId="35">
    <w:name w:val="批注主题 Char"/>
    <w:basedOn w:val="34"/>
    <w:link w:val="14"/>
    <w:qFormat/>
    <w:uiPriority w:val="0"/>
    <w:rPr>
      <w:rFonts w:ascii="Times New Roman" w:hAnsi="Times New Roman" w:eastAsia="宋体" w:cs="Times New Roman"/>
      <w:b/>
      <w:bCs/>
      <w:kern w:val="2"/>
      <w:sz w:val="21"/>
      <w:szCs w:val="24"/>
    </w:rPr>
  </w:style>
  <w:style w:type="paragraph" w:customStyle="1" w:styleId="36">
    <w:name w:val="标题 5（有编号）（绿盟科技）"/>
    <w:basedOn w:val="1"/>
    <w:next w:val="37"/>
    <w:qFormat/>
    <w:uiPriority w:val="99"/>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7">
    <w:name w:val="正文（绿盟科技）"/>
    <w:qFormat/>
    <w:uiPriority w:val="99"/>
    <w:pPr>
      <w:spacing w:line="300" w:lineRule="auto"/>
    </w:pPr>
    <w:rPr>
      <w:rFonts w:ascii="Arial" w:hAnsi="Arial" w:eastAsia="宋体" w:cs="Times New Roman"/>
      <w:sz w:val="21"/>
      <w:szCs w:val="21"/>
      <w:lang w:val="en-US" w:eastAsia="zh-CN" w:bidi="ar-SA"/>
    </w:rPr>
  </w:style>
  <w:style w:type="paragraph" w:customStyle="1" w:styleId="38">
    <w:name w:val="Table Paragraph"/>
    <w:basedOn w:val="1"/>
    <w:qFormat/>
    <w:uiPriority w:val="1"/>
    <w:rPr>
      <w:rFonts w:ascii="仿宋" w:hAnsi="仿宋" w:eastAsia="仿宋" w:cs="仿宋"/>
      <w:lang w:val="zh-CN" w:bidi="zh-CN"/>
    </w:rPr>
  </w:style>
  <w:style w:type="character" w:customStyle="1" w:styleId="39">
    <w:name w:val="img"/>
    <w:basedOn w:val="17"/>
    <w:qFormat/>
    <w:uiPriority w:val="0"/>
  </w:style>
  <w:style w:type="character" w:customStyle="1" w:styleId="40">
    <w:name w:val="img1"/>
    <w:basedOn w:val="17"/>
    <w:qFormat/>
    <w:uiPriority w:val="0"/>
  </w:style>
  <w:style w:type="paragraph" w:customStyle="1" w:styleId="41">
    <w:name w:val="02、首行缩进2字符正文"/>
    <w:basedOn w:val="1"/>
    <w:qFormat/>
    <w:uiPriority w:val="0"/>
    <w:pPr>
      <w:tabs>
        <w:tab w:val="left" w:pos="0"/>
      </w:tabs>
      <w:wordWrap w:val="0"/>
      <w:topLinePunct/>
      <w:adjustRightInd w:val="0"/>
      <w:snapToGrid w:val="0"/>
      <w:spacing w:line="440" w:lineRule="exact"/>
      <w:ind w:firstLine="480" w:firstLineChars="200"/>
      <w:jc w:val="left"/>
    </w:pPr>
    <w:rPr>
      <w:rFonts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94</Pages>
  <Words>48442</Words>
  <Characters>52537</Characters>
  <Lines>335</Lines>
  <Paragraphs>94</Paragraphs>
  <TotalTime>36</TotalTime>
  <ScaleCrop>false</ScaleCrop>
  <LinksUpToDate>false</LinksUpToDate>
  <CharactersWithSpaces>58301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2021-04-22T10:38:00Z</dcterms:created>
  <dc:creator>Holly Chan</dc:creator>
  <cp:lastModifiedBy>颖妹儿</cp:lastModifiedBy>
  <dcterms:modified xsi:type="dcterms:W3CDTF">2021-10-12T02:26:35Z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7664286BE97D4389836655481C3D983C</vt:lpwstr>
  </property>
</Properties>
</file>