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00" w:lineRule="exact"/>
        <w:ind w:left="220" w:leftChars="100"/>
        <w:rPr>
          <w:sz w:val="24"/>
          <w:szCs w:val="24"/>
        </w:rPr>
      </w:pPr>
      <w:bookmarkStart w:id="0" w:name="page1"/>
      <w:bookmarkEnd w:id="0"/>
    </w:p>
    <w:p>
      <w:pPr>
        <w:spacing w:line="200" w:lineRule="exact"/>
        <w:ind w:left="220" w:leftChars="100"/>
        <w:rPr>
          <w:sz w:val="24"/>
          <w:szCs w:val="24"/>
        </w:rPr>
      </w:pPr>
    </w:p>
    <w:p>
      <w:pPr>
        <w:spacing w:line="218" w:lineRule="exact"/>
        <w:ind w:left="220" w:leftChars="100"/>
        <w:rPr>
          <w:sz w:val="24"/>
          <w:szCs w:val="24"/>
        </w:rPr>
      </w:pPr>
    </w:p>
    <w:p>
      <w:pPr>
        <w:ind w:left="220" w:leftChars="100"/>
        <w:jc w:val="center"/>
        <w:rPr>
          <w:rFonts w:ascii="FZXiaoBiaoSong-B05S" w:hAnsi="宋体" w:eastAsia="FZXiaoBiaoSong-B05S" w:cs="宋体"/>
          <w:b/>
          <w:sz w:val="52"/>
          <w:szCs w:val="52"/>
        </w:rPr>
      </w:pPr>
      <w:r>
        <w:rPr>
          <w:rFonts w:hint="eastAsia" w:ascii="FZXiaoBiaoSong-B05S" w:hAnsi="宋体" w:eastAsia="FZXiaoBiaoSong-B05S" w:cs="宋体"/>
          <w:b/>
          <w:sz w:val="52"/>
          <w:szCs w:val="52"/>
        </w:rPr>
        <w:t>广西大通建设监理咨询管理有限公司</w:t>
      </w:r>
    </w:p>
    <w:p>
      <w:pPr>
        <w:spacing w:line="200" w:lineRule="exact"/>
        <w:ind w:left="220" w:leftChars="100"/>
        <w:rPr>
          <w:sz w:val="24"/>
          <w:szCs w:val="24"/>
        </w:rPr>
      </w:pPr>
    </w:p>
    <w:p>
      <w:pPr>
        <w:spacing w:line="200" w:lineRule="exact"/>
        <w:ind w:left="220" w:leftChars="100"/>
        <w:rPr>
          <w:sz w:val="24"/>
          <w:szCs w:val="24"/>
        </w:rPr>
      </w:pPr>
    </w:p>
    <w:p>
      <w:pPr>
        <w:spacing w:line="200" w:lineRule="exact"/>
        <w:ind w:left="220" w:leftChars="100"/>
        <w:rPr>
          <w:sz w:val="24"/>
          <w:szCs w:val="24"/>
        </w:rPr>
      </w:pPr>
    </w:p>
    <w:p>
      <w:pPr>
        <w:spacing w:line="200" w:lineRule="exact"/>
        <w:ind w:left="220" w:leftChars="100"/>
        <w:rPr>
          <w:sz w:val="24"/>
          <w:szCs w:val="24"/>
        </w:rPr>
      </w:pPr>
    </w:p>
    <w:p>
      <w:pPr>
        <w:spacing w:line="200" w:lineRule="exact"/>
        <w:ind w:left="220" w:leftChars="100"/>
        <w:rPr>
          <w:sz w:val="24"/>
          <w:szCs w:val="24"/>
        </w:rPr>
      </w:pPr>
    </w:p>
    <w:p>
      <w:pPr>
        <w:spacing w:line="200" w:lineRule="exact"/>
        <w:ind w:left="220" w:leftChars="100"/>
        <w:rPr>
          <w:sz w:val="24"/>
          <w:szCs w:val="24"/>
        </w:rPr>
      </w:pPr>
    </w:p>
    <w:p>
      <w:pPr>
        <w:spacing w:line="200" w:lineRule="exact"/>
        <w:ind w:left="220" w:leftChars="100"/>
        <w:rPr>
          <w:sz w:val="24"/>
          <w:szCs w:val="24"/>
        </w:rPr>
      </w:pPr>
    </w:p>
    <w:p>
      <w:pPr>
        <w:spacing w:line="200" w:lineRule="exact"/>
        <w:ind w:left="220" w:leftChars="100"/>
        <w:rPr>
          <w:sz w:val="24"/>
          <w:szCs w:val="24"/>
        </w:rPr>
      </w:pPr>
    </w:p>
    <w:p>
      <w:pPr>
        <w:spacing w:line="200" w:lineRule="exact"/>
        <w:ind w:left="220" w:leftChars="100"/>
        <w:rPr>
          <w:sz w:val="24"/>
          <w:szCs w:val="24"/>
        </w:rPr>
      </w:pPr>
    </w:p>
    <w:p>
      <w:pPr>
        <w:spacing w:line="301" w:lineRule="exact"/>
        <w:ind w:left="220" w:leftChars="100"/>
        <w:rPr>
          <w:sz w:val="24"/>
          <w:szCs w:val="24"/>
        </w:rPr>
      </w:pPr>
    </w:p>
    <w:p>
      <w:pPr>
        <w:spacing w:line="959" w:lineRule="exact"/>
        <w:ind w:left="220" w:leftChars="100"/>
        <w:jc w:val="center"/>
        <w:rPr>
          <w:sz w:val="20"/>
          <w:szCs w:val="20"/>
        </w:rPr>
      </w:pPr>
      <w:r>
        <w:rPr>
          <w:rFonts w:ascii="宋体" w:hAnsi="宋体" w:eastAsia="宋体" w:cs="宋体"/>
          <w:b/>
          <w:bCs/>
          <w:sz w:val="84"/>
          <w:szCs w:val="84"/>
        </w:rPr>
        <w:t>竞争性磋商文件</w:t>
      </w:r>
    </w:p>
    <w:p>
      <w:pPr>
        <w:spacing w:line="200" w:lineRule="exact"/>
        <w:ind w:left="220" w:leftChars="100"/>
        <w:rPr>
          <w:sz w:val="24"/>
          <w:szCs w:val="24"/>
        </w:rPr>
      </w:pPr>
    </w:p>
    <w:p>
      <w:pPr>
        <w:spacing w:line="200" w:lineRule="exact"/>
        <w:ind w:left="220" w:leftChars="100"/>
        <w:rPr>
          <w:sz w:val="24"/>
          <w:szCs w:val="24"/>
        </w:rPr>
      </w:pPr>
    </w:p>
    <w:p>
      <w:pPr>
        <w:spacing w:line="200" w:lineRule="exact"/>
        <w:ind w:left="220" w:leftChars="100"/>
        <w:rPr>
          <w:sz w:val="24"/>
          <w:szCs w:val="24"/>
        </w:rPr>
      </w:pPr>
    </w:p>
    <w:p>
      <w:pPr>
        <w:spacing w:line="200" w:lineRule="exact"/>
        <w:ind w:left="220" w:leftChars="100"/>
        <w:rPr>
          <w:sz w:val="24"/>
          <w:szCs w:val="24"/>
        </w:rPr>
      </w:pPr>
    </w:p>
    <w:p>
      <w:pPr>
        <w:spacing w:line="200" w:lineRule="exact"/>
        <w:ind w:left="220" w:leftChars="100"/>
        <w:rPr>
          <w:sz w:val="24"/>
          <w:szCs w:val="24"/>
        </w:rPr>
      </w:pPr>
    </w:p>
    <w:p>
      <w:pPr>
        <w:spacing w:line="200" w:lineRule="exact"/>
        <w:ind w:left="220" w:leftChars="100"/>
        <w:rPr>
          <w:sz w:val="24"/>
          <w:szCs w:val="24"/>
        </w:rPr>
      </w:pPr>
    </w:p>
    <w:p>
      <w:pPr>
        <w:spacing w:line="200" w:lineRule="exact"/>
        <w:ind w:left="220" w:leftChars="100"/>
        <w:rPr>
          <w:sz w:val="24"/>
          <w:szCs w:val="24"/>
        </w:rPr>
      </w:pPr>
    </w:p>
    <w:p>
      <w:pPr>
        <w:spacing w:line="200" w:lineRule="exact"/>
        <w:ind w:left="220" w:leftChars="100"/>
        <w:rPr>
          <w:sz w:val="24"/>
          <w:szCs w:val="24"/>
        </w:rPr>
      </w:pPr>
    </w:p>
    <w:p>
      <w:pPr>
        <w:spacing w:line="200" w:lineRule="exact"/>
        <w:ind w:left="220" w:leftChars="100"/>
        <w:rPr>
          <w:sz w:val="24"/>
          <w:szCs w:val="24"/>
        </w:rPr>
      </w:pPr>
    </w:p>
    <w:p>
      <w:pPr>
        <w:spacing w:line="200" w:lineRule="exact"/>
        <w:ind w:left="220" w:leftChars="100"/>
        <w:rPr>
          <w:sz w:val="24"/>
          <w:szCs w:val="24"/>
        </w:rPr>
      </w:pPr>
    </w:p>
    <w:p>
      <w:pPr>
        <w:spacing w:line="200" w:lineRule="exact"/>
        <w:ind w:left="220" w:leftChars="100"/>
        <w:rPr>
          <w:sz w:val="24"/>
          <w:szCs w:val="24"/>
        </w:rPr>
      </w:pPr>
    </w:p>
    <w:p>
      <w:pPr>
        <w:spacing w:line="200" w:lineRule="exact"/>
        <w:ind w:left="220" w:leftChars="100"/>
        <w:rPr>
          <w:sz w:val="24"/>
          <w:szCs w:val="24"/>
        </w:rPr>
      </w:pPr>
    </w:p>
    <w:p>
      <w:pPr>
        <w:spacing w:line="400" w:lineRule="exact"/>
        <w:ind w:left="220" w:leftChars="100"/>
        <w:rPr>
          <w:sz w:val="24"/>
          <w:szCs w:val="24"/>
        </w:rPr>
      </w:pPr>
    </w:p>
    <w:p>
      <w:pPr>
        <w:spacing w:line="354" w:lineRule="exact"/>
        <w:jc w:val="center"/>
        <w:rPr>
          <w:rFonts w:eastAsia="宋体"/>
          <w:sz w:val="20"/>
          <w:szCs w:val="20"/>
        </w:rPr>
      </w:pPr>
      <w:r>
        <w:rPr>
          <w:rFonts w:ascii="宋体" w:hAnsi="宋体" w:eastAsia="宋体" w:cs="宋体"/>
          <w:b/>
          <w:bCs/>
          <w:sz w:val="31"/>
          <w:szCs w:val="31"/>
        </w:rPr>
        <w:t>项目名称：</w:t>
      </w:r>
      <w:r>
        <w:rPr>
          <w:rFonts w:hint="eastAsia" w:ascii="宋体" w:hAnsi="宋体" w:eastAsia="宋体" w:cs="宋体"/>
          <w:b/>
          <w:bCs/>
          <w:sz w:val="31"/>
          <w:szCs w:val="31"/>
        </w:rPr>
        <w:t>灵山县公安局第三办公区办案智能化改造项目</w:t>
      </w:r>
    </w:p>
    <w:p>
      <w:pPr>
        <w:spacing w:line="259" w:lineRule="exact"/>
        <w:ind w:left="220" w:leftChars="100"/>
        <w:rPr>
          <w:sz w:val="24"/>
          <w:szCs w:val="24"/>
        </w:rPr>
      </w:pPr>
    </w:p>
    <w:p>
      <w:pPr>
        <w:spacing w:line="366" w:lineRule="exact"/>
        <w:jc w:val="center"/>
        <w:rPr>
          <w:rFonts w:eastAsia="宋体"/>
          <w:sz w:val="20"/>
          <w:szCs w:val="20"/>
        </w:rPr>
      </w:pPr>
      <w:r>
        <w:rPr>
          <w:rFonts w:ascii="宋体" w:hAnsi="宋体" w:eastAsia="宋体" w:cs="宋体"/>
          <w:b/>
          <w:bCs/>
          <w:sz w:val="32"/>
          <w:szCs w:val="32"/>
        </w:rPr>
        <w:t>项目编号：</w:t>
      </w:r>
      <w:r>
        <w:rPr>
          <w:rFonts w:hint="eastAsia" w:ascii="宋体" w:hAnsi="宋体" w:eastAsia="宋体" w:cs="宋体"/>
          <w:b/>
          <w:bCs/>
          <w:sz w:val="32"/>
          <w:szCs w:val="32"/>
        </w:rPr>
        <w:t>QZZC2020-C1-50001-GXDT</w:t>
      </w:r>
    </w:p>
    <w:p>
      <w:pPr>
        <w:spacing w:line="200" w:lineRule="exact"/>
        <w:ind w:left="220" w:leftChars="100"/>
        <w:rPr>
          <w:sz w:val="24"/>
          <w:szCs w:val="24"/>
        </w:rPr>
      </w:pPr>
    </w:p>
    <w:p>
      <w:pPr>
        <w:spacing w:line="200" w:lineRule="exact"/>
        <w:ind w:left="220" w:leftChars="100"/>
        <w:rPr>
          <w:sz w:val="24"/>
          <w:szCs w:val="24"/>
        </w:rPr>
      </w:pPr>
    </w:p>
    <w:p>
      <w:pPr>
        <w:spacing w:line="200" w:lineRule="exact"/>
        <w:ind w:left="220" w:leftChars="100"/>
        <w:rPr>
          <w:sz w:val="24"/>
          <w:szCs w:val="24"/>
        </w:rPr>
      </w:pPr>
    </w:p>
    <w:p>
      <w:pPr>
        <w:spacing w:line="200" w:lineRule="exact"/>
        <w:ind w:left="220" w:leftChars="100"/>
        <w:rPr>
          <w:sz w:val="24"/>
          <w:szCs w:val="24"/>
        </w:rPr>
      </w:pPr>
    </w:p>
    <w:p>
      <w:pPr>
        <w:spacing w:line="200" w:lineRule="exact"/>
        <w:ind w:left="220" w:leftChars="100"/>
        <w:rPr>
          <w:sz w:val="24"/>
          <w:szCs w:val="24"/>
        </w:rPr>
      </w:pPr>
    </w:p>
    <w:p>
      <w:pPr>
        <w:spacing w:line="200" w:lineRule="exact"/>
        <w:ind w:left="220" w:leftChars="100"/>
        <w:rPr>
          <w:sz w:val="24"/>
          <w:szCs w:val="24"/>
        </w:rPr>
      </w:pPr>
    </w:p>
    <w:p>
      <w:pPr>
        <w:spacing w:line="200" w:lineRule="exact"/>
        <w:ind w:left="220" w:leftChars="100"/>
        <w:rPr>
          <w:sz w:val="24"/>
          <w:szCs w:val="24"/>
        </w:rPr>
      </w:pPr>
    </w:p>
    <w:p>
      <w:pPr>
        <w:spacing w:line="200" w:lineRule="exact"/>
        <w:ind w:left="220" w:leftChars="100"/>
        <w:rPr>
          <w:sz w:val="24"/>
          <w:szCs w:val="24"/>
        </w:rPr>
      </w:pPr>
    </w:p>
    <w:p>
      <w:pPr>
        <w:spacing w:line="200" w:lineRule="exact"/>
        <w:ind w:left="220" w:leftChars="100"/>
        <w:rPr>
          <w:sz w:val="24"/>
          <w:szCs w:val="24"/>
        </w:rPr>
      </w:pPr>
    </w:p>
    <w:p>
      <w:pPr>
        <w:spacing w:line="200" w:lineRule="exact"/>
        <w:ind w:left="220" w:leftChars="100"/>
        <w:rPr>
          <w:sz w:val="24"/>
          <w:szCs w:val="24"/>
        </w:rPr>
      </w:pPr>
    </w:p>
    <w:p>
      <w:pPr>
        <w:spacing w:line="355" w:lineRule="exact"/>
        <w:jc w:val="center"/>
        <w:rPr>
          <w:rFonts w:ascii="宋体" w:hAnsi="宋体" w:eastAsia="宋体" w:cs="宋体"/>
          <w:b/>
          <w:bCs/>
          <w:sz w:val="32"/>
          <w:szCs w:val="32"/>
        </w:rPr>
      </w:pPr>
      <w:r>
        <w:rPr>
          <w:rFonts w:ascii="宋体" w:hAnsi="宋体" w:eastAsia="宋体" w:cs="宋体"/>
          <w:b/>
          <w:bCs/>
          <w:sz w:val="32"/>
          <w:szCs w:val="32"/>
        </w:rPr>
        <w:t>采购</w:t>
      </w:r>
      <w:r>
        <w:rPr>
          <w:rFonts w:hint="eastAsia" w:ascii="宋体" w:hAnsi="宋体" w:eastAsia="宋体" w:cs="宋体"/>
          <w:b/>
          <w:bCs/>
          <w:sz w:val="32"/>
          <w:szCs w:val="32"/>
        </w:rPr>
        <w:t>单位</w:t>
      </w:r>
      <w:r>
        <w:rPr>
          <w:rFonts w:ascii="宋体" w:hAnsi="宋体" w:eastAsia="宋体" w:cs="宋体"/>
          <w:b/>
          <w:bCs/>
          <w:sz w:val="32"/>
          <w:szCs w:val="32"/>
        </w:rPr>
        <w:t>：</w:t>
      </w:r>
      <w:r>
        <w:rPr>
          <w:rFonts w:hint="eastAsia" w:ascii="宋体" w:hAnsi="宋体" w:eastAsia="宋体" w:cs="宋体"/>
          <w:b/>
          <w:bCs/>
          <w:sz w:val="32"/>
          <w:szCs w:val="32"/>
        </w:rPr>
        <w:t xml:space="preserve"> 灵山县公安局</w:t>
      </w:r>
    </w:p>
    <w:p>
      <w:pPr>
        <w:spacing w:line="355" w:lineRule="exact"/>
        <w:ind w:firstLine="1285" w:firstLineChars="400"/>
        <w:jc w:val="center"/>
        <w:rPr>
          <w:rFonts w:ascii="宋体" w:hAnsi="宋体" w:eastAsia="宋体" w:cs="宋体"/>
          <w:b/>
          <w:bCs/>
          <w:sz w:val="32"/>
          <w:szCs w:val="32"/>
        </w:rPr>
      </w:pPr>
    </w:p>
    <w:p>
      <w:pPr>
        <w:spacing w:line="366" w:lineRule="exact"/>
        <w:jc w:val="center"/>
        <w:rPr>
          <w:rFonts w:eastAsia="宋体"/>
          <w:sz w:val="20"/>
          <w:szCs w:val="20"/>
        </w:rPr>
      </w:pPr>
      <w:r>
        <w:rPr>
          <w:rFonts w:ascii="宋体" w:hAnsi="宋体" w:eastAsia="宋体" w:cs="宋体"/>
          <w:b/>
          <w:bCs/>
          <w:sz w:val="32"/>
          <w:szCs w:val="32"/>
        </w:rPr>
        <w:t>采购代理机构：</w:t>
      </w:r>
      <w:r>
        <w:rPr>
          <w:rFonts w:hint="eastAsia" w:ascii="宋体" w:hAnsi="宋体" w:eastAsia="宋体" w:cs="宋体"/>
          <w:b/>
          <w:bCs/>
          <w:sz w:val="32"/>
          <w:szCs w:val="32"/>
        </w:rPr>
        <w:t>广西大通建设监理咨询管理有限公司</w:t>
      </w:r>
    </w:p>
    <w:p>
      <w:pPr>
        <w:spacing w:line="259" w:lineRule="exact"/>
        <w:ind w:left="220" w:leftChars="100"/>
        <w:jc w:val="center"/>
        <w:rPr>
          <w:sz w:val="24"/>
          <w:szCs w:val="24"/>
        </w:rPr>
      </w:pPr>
    </w:p>
    <w:p>
      <w:pPr>
        <w:spacing w:line="355" w:lineRule="exact"/>
        <w:ind w:firstLine="1285" w:firstLineChars="400"/>
        <w:jc w:val="center"/>
        <w:rPr>
          <w:rFonts w:ascii="宋体" w:hAnsi="宋体" w:eastAsia="宋体" w:cs="宋体"/>
          <w:b/>
          <w:bCs/>
          <w:sz w:val="32"/>
          <w:szCs w:val="32"/>
        </w:rPr>
        <w:sectPr>
          <w:pgSz w:w="11900" w:h="16840"/>
          <w:pgMar w:top="964" w:right="1123" w:bottom="652" w:left="482" w:header="0" w:footer="397" w:gutter="0"/>
          <w:cols w:space="425" w:num="1"/>
        </w:sectPr>
      </w:pPr>
      <w:r>
        <w:rPr>
          <w:rFonts w:hint="eastAsia" w:ascii="宋体" w:hAnsi="宋体" w:eastAsia="宋体" w:cs="宋体"/>
          <w:b/>
          <w:bCs/>
          <w:sz w:val="32"/>
          <w:szCs w:val="32"/>
        </w:rPr>
        <w:t>二0二0年十一月</w:t>
      </w:r>
    </w:p>
    <w:p>
      <w:pPr>
        <w:spacing w:line="200" w:lineRule="exact"/>
        <w:ind w:left="220" w:leftChars="100"/>
        <w:rPr>
          <w:sz w:val="24"/>
          <w:szCs w:val="24"/>
        </w:rPr>
      </w:pPr>
    </w:p>
    <w:p>
      <w:pPr>
        <w:spacing w:line="200" w:lineRule="exact"/>
        <w:ind w:left="220" w:leftChars="100"/>
        <w:rPr>
          <w:sz w:val="24"/>
          <w:szCs w:val="24"/>
        </w:rPr>
      </w:pPr>
    </w:p>
    <w:p>
      <w:pPr>
        <w:ind w:left="220" w:leftChars="100" w:right="-215"/>
        <w:jc w:val="both"/>
        <w:sectPr>
          <w:type w:val="continuous"/>
          <w:pgSz w:w="11900" w:h="16840"/>
          <w:pgMar w:top="964" w:right="1123" w:bottom="652" w:left="482" w:header="0" w:footer="397" w:gutter="0"/>
          <w:cols w:space="425" w:num="1"/>
        </w:sectPr>
      </w:pPr>
    </w:p>
    <w:p>
      <w:pPr>
        <w:tabs>
          <w:tab w:val="left" w:pos="4760"/>
        </w:tabs>
        <w:spacing w:line="502" w:lineRule="exact"/>
        <w:ind w:left="220" w:leftChars="100"/>
        <w:jc w:val="center"/>
        <w:rPr>
          <w:sz w:val="20"/>
          <w:szCs w:val="20"/>
        </w:rPr>
      </w:pPr>
      <w:bookmarkStart w:id="1" w:name="page2"/>
      <w:bookmarkEnd w:id="1"/>
      <w:r>
        <w:rPr>
          <w:rFonts w:ascii="宋体" w:hAnsi="宋体" w:eastAsia="宋体" w:cs="宋体"/>
          <w:sz w:val="44"/>
          <w:szCs w:val="44"/>
        </w:rPr>
        <w:t>目录</w:t>
      </w:r>
    </w:p>
    <w:p>
      <w:pPr>
        <w:spacing w:line="200" w:lineRule="exact"/>
        <w:ind w:left="220" w:leftChars="100"/>
        <w:jc w:val="both"/>
        <w:rPr>
          <w:sz w:val="20"/>
          <w:szCs w:val="20"/>
        </w:rPr>
      </w:pPr>
    </w:p>
    <w:p>
      <w:pPr>
        <w:spacing w:line="200" w:lineRule="exact"/>
        <w:rPr>
          <w:sz w:val="20"/>
          <w:szCs w:val="20"/>
        </w:rPr>
      </w:pPr>
    </w:p>
    <w:p>
      <w:pPr>
        <w:spacing w:line="200" w:lineRule="exact"/>
        <w:ind w:left="220" w:leftChars="100"/>
        <w:rPr>
          <w:sz w:val="20"/>
          <w:szCs w:val="20"/>
        </w:rPr>
      </w:pPr>
    </w:p>
    <w:p>
      <w:pPr>
        <w:spacing w:line="200" w:lineRule="exact"/>
        <w:ind w:left="220" w:leftChars="100"/>
        <w:rPr>
          <w:sz w:val="20"/>
          <w:szCs w:val="20"/>
        </w:rPr>
      </w:pPr>
    </w:p>
    <w:p>
      <w:pPr>
        <w:spacing w:line="200" w:lineRule="exact"/>
        <w:ind w:left="220" w:leftChars="100"/>
        <w:rPr>
          <w:sz w:val="20"/>
          <w:szCs w:val="20"/>
        </w:rPr>
      </w:pPr>
    </w:p>
    <w:sdt>
      <w:sdtPr>
        <w:rPr>
          <w:rFonts w:ascii="宋体" w:hAnsi="宋体" w:eastAsia="宋体"/>
          <w:sz w:val="21"/>
          <w:szCs w:val="20"/>
        </w:rPr>
        <w:id w:val="147476614"/>
      </w:sdtPr>
      <w:sdtEndPr>
        <w:rPr>
          <w:rFonts w:ascii="宋体" w:hAnsi="宋体" w:eastAsia="宋体"/>
          <w:sz w:val="20"/>
          <w:szCs w:val="20"/>
        </w:rPr>
      </w:sdtEndPr>
      <w:sdtContent>
        <w:p>
          <w:pPr>
            <w:jc w:val="center"/>
          </w:pPr>
        </w:p>
        <w:p>
          <w:pPr>
            <w:pStyle w:val="19"/>
            <w:tabs>
              <w:tab w:val="right" w:leader="dot" w:pos="9140"/>
            </w:tabs>
            <w:spacing w:line="480" w:lineRule="auto"/>
            <w:ind w:firstLine="600" w:firstLineChars="300"/>
            <w:rPr>
              <w:sz w:val="28"/>
              <w:szCs w:val="28"/>
            </w:rPr>
          </w:pPr>
          <w:r>
            <w:fldChar w:fldCharType="begin"/>
          </w:r>
          <w:r>
            <w:instrText xml:space="preserve"> HYPERLINK \l "_Toc13136_WPSOffice_Level1" </w:instrText>
          </w:r>
          <w:r>
            <w:fldChar w:fldCharType="separate"/>
          </w:r>
          <w:r>
            <w:rPr>
              <w:rFonts w:ascii="宋体" w:hAnsi="宋体" w:cs="宋体"/>
              <w:sz w:val="28"/>
              <w:szCs w:val="28"/>
            </w:rPr>
            <w:t>第一章 竞争性磋商公告</w:t>
          </w:r>
          <w:r>
            <w:rPr>
              <w:sz w:val="28"/>
              <w:szCs w:val="28"/>
            </w:rPr>
            <w:tab/>
          </w:r>
          <w:r>
            <w:rPr>
              <w:rFonts w:hint="eastAsia"/>
              <w:sz w:val="28"/>
              <w:szCs w:val="28"/>
            </w:rPr>
            <w:t>2</w:t>
          </w:r>
          <w:r>
            <w:rPr>
              <w:rFonts w:hint="eastAsia"/>
              <w:sz w:val="28"/>
              <w:szCs w:val="28"/>
            </w:rPr>
            <w:fldChar w:fldCharType="end"/>
          </w:r>
        </w:p>
        <w:p>
          <w:pPr>
            <w:pStyle w:val="19"/>
            <w:tabs>
              <w:tab w:val="right" w:leader="dot" w:pos="9140"/>
            </w:tabs>
            <w:spacing w:line="480" w:lineRule="auto"/>
            <w:rPr>
              <w:sz w:val="28"/>
              <w:szCs w:val="28"/>
            </w:rPr>
          </w:pPr>
        </w:p>
        <w:p>
          <w:pPr>
            <w:pStyle w:val="19"/>
            <w:tabs>
              <w:tab w:val="right" w:leader="dot" w:pos="9140"/>
            </w:tabs>
            <w:spacing w:line="480" w:lineRule="auto"/>
            <w:ind w:firstLine="560" w:firstLineChars="200"/>
            <w:rPr>
              <w:sz w:val="28"/>
              <w:szCs w:val="28"/>
            </w:rPr>
          </w:pPr>
          <w:r>
            <w:rPr>
              <w:rFonts w:hint="eastAsia"/>
              <w:sz w:val="28"/>
              <w:szCs w:val="28"/>
            </w:rPr>
            <w:t>第二章  磋商供应商须知</w:t>
          </w:r>
          <w:r>
            <w:rPr>
              <w:sz w:val="28"/>
              <w:szCs w:val="28"/>
            </w:rPr>
            <w:tab/>
          </w:r>
          <w:r>
            <w:rPr>
              <w:rFonts w:hint="eastAsia"/>
              <w:sz w:val="28"/>
              <w:szCs w:val="28"/>
            </w:rPr>
            <w:t>4</w:t>
          </w:r>
        </w:p>
        <w:p>
          <w:pPr>
            <w:pStyle w:val="19"/>
            <w:tabs>
              <w:tab w:val="right" w:leader="dot" w:pos="9140"/>
            </w:tabs>
            <w:spacing w:line="480" w:lineRule="auto"/>
            <w:rPr>
              <w:sz w:val="28"/>
              <w:szCs w:val="28"/>
            </w:rPr>
          </w:pPr>
        </w:p>
        <w:p>
          <w:pPr>
            <w:pStyle w:val="19"/>
            <w:tabs>
              <w:tab w:val="right" w:leader="dot" w:pos="9140"/>
            </w:tabs>
            <w:spacing w:line="480" w:lineRule="auto"/>
            <w:ind w:firstLine="600" w:firstLineChars="300"/>
            <w:rPr>
              <w:sz w:val="28"/>
              <w:szCs w:val="28"/>
            </w:rPr>
          </w:pPr>
          <w:r>
            <w:fldChar w:fldCharType="begin"/>
          </w:r>
          <w:r>
            <w:instrText xml:space="preserve"> HYPERLINK \l "_Toc13425_WPSOffice_Level1" </w:instrText>
          </w:r>
          <w:r>
            <w:fldChar w:fldCharType="separate"/>
          </w:r>
          <w:r>
            <w:rPr>
              <w:rFonts w:ascii="宋体" w:hAnsi="宋体" w:cs="宋体"/>
              <w:sz w:val="28"/>
              <w:szCs w:val="28"/>
            </w:rPr>
            <w:t>第三章</w:t>
          </w:r>
          <w:r>
            <w:rPr>
              <w:rFonts w:hint="eastAsia" w:ascii="宋体" w:hAnsi="宋体" w:cs="宋体"/>
              <w:sz w:val="28"/>
              <w:szCs w:val="28"/>
            </w:rPr>
            <w:t xml:space="preserve"> </w:t>
          </w:r>
          <w:r>
            <w:rPr>
              <w:rFonts w:ascii="宋体" w:hAnsi="宋体" w:cs="宋体"/>
              <w:sz w:val="28"/>
              <w:szCs w:val="28"/>
            </w:rPr>
            <w:t>项目采购需求</w:t>
          </w:r>
          <w:r>
            <w:rPr>
              <w:sz w:val="28"/>
              <w:szCs w:val="28"/>
            </w:rPr>
            <w:tab/>
          </w:r>
          <w:r>
            <w:rPr>
              <w:rFonts w:hint="eastAsia"/>
              <w:sz w:val="28"/>
              <w:szCs w:val="28"/>
            </w:rPr>
            <w:t>1</w:t>
          </w:r>
          <w:r>
            <w:rPr>
              <w:rFonts w:hint="eastAsia"/>
              <w:sz w:val="28"/>
              <w:szCs w:val="28"/>
            </w:rPr>
            <w:fldChar w:fldCharType="end"/>
          </w:r>
          <w:r>
            <w:rPr>
              <w:rFonts w:hint="eastAsia"/>
              <w:sz w:val="28"/>
              <w:szCs w:val="28"/>
            </w:rPr>
            <w:t>9</w:t>
          </w:r>
        </w:p>
        <w:p>
          <w:pPr>
            <w:pStyle w:val="19"/>
            <w:tabs>
              <w:tab w:val="right" w:leader="dot" w:pos="9140"/>
            </w:tabs>
            <w:spacing w:line="480" w:lineRule="auto"/>
            <w:rPr>
              <w:sz w:val="28"/>
              <w:szCs w:val="28"/>
            </w:rPr>
          </w:pPr>
        </w:p>
        <w:p>
          <w:pPr>
            <w:pStyle w:val="19"/>
            <w:tabs>
              <w:tab w:val="right" w:leader="dot" w:pos="9140"/>
            </w:tabs>
            <w:spacing w:line="480" w:lineRule="auto"/>
            <w:ind w:firstLine="600" w:firstLineChars="300"/>
            <w:rPr>
              <w:sz w:val="28"/>
              <w:szCs w:val="28"/>
            </w:rPr>
          </w:pPr>
          <w:r>
            <w:fldChar w:fldCharType="begin"/>
          </w:r>
          <w:r>
            <w:instrText xml:space="preserve"> HYPERLINK \l "_Toc18981_WPSOffice_Level1" </w:instrText>
          </w:r>
          <w:r>
            <w:fldChar w:fldCharType="separate"/>
          </w:r>
          <w:r>
            <w:rPr>
              <w:rFonts w:ascii="宋体" w:hAnsi="宋体" w:cs="宋体"/>
              <w:sz w:val="28"/>
              <w:szCs w:val="28"/>
            </w:rPr>
            <w:t>第四章</w:t>
          </w:r>
          <w:r>
            <w:rPr>
              <w:rFonts w:hint="eastAsia" w:ascii="宋体" w:hAnsi="宋体" w:cs="宋体"/>
              <w:sz w:val="28"/>
              <w:szCs w:val="28"/>
            </w:rPr>
            <w:t xml:space="preserve"> </w:t>
          </w:r>
          <w:r>
            <w:rPr>
              <w:rFonts w:ascii="宋体" w:hAnsi="宋体" w:cs="宋体"/>
              <w:sz w:val="28"/>
              <w:szCs w:val="28"/>
            </w:rPr>
            <w:t>评审办法</w:t>
          </w:r>
          <w:r>
            <w:rPr>
              <w:sz w:val="28"/>
              <w:szCs w:val="28"/>
            </w:rPr>
            <w:tab/>
          </w:r>
          <w:r>
            <w:rPr>
              <w:rFonts w:hint="eastAsia"/>
              <w:sz w:val="28"/>
              <w:szCs w:val="28"/>
            </w:rPr>
            <w:t>2</w:t>
          </w:r>
          <w:r>
            <w:rPr>
              <w:rFonts w:hint="eastAsia"/>
              <w:sz w:val="28"/>
              <w:szCs w:val="28"/>
            </w:rPr>
            <w:fldChar w:fldCharType="end"/>
          </w:r>
          <w:r>
            <w:rPr>
              <w:rFonts w:hint="eastAsia"/>
              <w:sz w:val="28"/>
              <w:szCs w:val="28"/>
            </w:rPr>
            <w:t>5</w:t>
          </w:r>
        </w:p>
        <w:p>
          <w:pPr>
            <w:pStyle w:val="20"/>
            <w:tabs>
              <w:tab w:val="right" w:leader="dot" w:pos="9140"/>
            </w:tabs>
            <w:spacing w:line="480" w:lineRule="auto"/>
            <w:ind w:left="440"/>
            <w:rPr>
              <w:sz w:val="28"/>
              <w:szCs w:val="28"/>
            </w:rPr>
          </w:pPr>
        </w:p>
        <w:p>
          <w:pPr>
            <w:pStyle w:val="19"/>
            <w:tabs>
              <w:tab w:val="right" w:leader="dot" w:pos="9140"/>
            </w:tabs>
            <w:spacing w:line="480" w:lineRule="auto"/>
            <w:ind w:firstLine="600" w:firstLineChars="300"/>
            <w:rPr>
              <w:sz w:val="28"/>
              <w:szCs w:val="28"/>
            </w:rPr>
          </w:pPr>
          <w:r>
            <w:fldChar w:fldCharType="begin"/>
          </w:r>
          <w:r>
            <w:instrText xml:space="preserve"> HYPERLINK \l "_Toc29762_WPSOffice_Level1" </w:instrText>
          </w:r>
          <w:r>
            <w:fldChar w:fldCharType="separate"/>
          </w:r>
          <w:r>
            <w:rPr>
              <w:rFonts w:hint="eastAsia" w:ascii="宋体" w:hAnsi="宋体" w:eastAsiaTheme="minorEastAsia"/>
              <w:sz w:val="28"/>
              <w:szCs w:val="28"/>
            </w:rPr>
            <w:t>第五章 合同主要条款格式</w:t>
          </w:r>
          <w:r>
            <w:rPr>
              <w:sz w:val="28"/>
              <w:szCs w:val="28"/>
            </w:rPr>
            <w:tab/>
          </w:r>
          <w:bookmarkStart w:id="2" w:name="_Toc29762_WPSOffice_Level1Page"/>
          <w:r>
            <w:rPr>
              <w:sz w:val="28"/>
              <w:szCs w:val="28"/>
            </w:rPr>
            <w:t>2</w:t>
          </w:r>
          <w:bookmarkEnd w:id="2"/>
          <w:r>
            <w:rPr>
              <w:rFonts w:hint="eastAsia"/>
              <w:sz w:val="28"/>
              <w:szCs w:val="28"/>
            </w:rPr>
            <w:t>7</w:t>
          </w:r>
          <w:r>
            <w:rPr>
              <w:rFonts w:hint="eastAsia"/>
              <w:sz w:val="28"/>
              <w:szCs w:val="28"/>
            </w:rPr>
            <w:fldChar w:fldCharType="end"/>
          </w:r>
        </w:p>
        <w:p>
          <w:pPr>
            <w:pStyle w:val="20"/>
            <w:tabs>
              <w:tab w:val="right" w:leader="dot" w:pos="9140"/>
            </w:tabs>
            <w:spacing w:line="480" w:lineRule="auto"/>
            <w:ind w:left="440"/>
            <w:rPr>
              <w:sz w:val="28"/>
              <w:szCs w:val="28"/>
            </w:rPr>
          </w:pPr>
        </w:p>
        <w:p>
          <w:pPr>
            <w:pStyle w:val="19"/>
            <w:tabs>
              <w:tab w:val="right" w:leader="dot" w:pos="9140"/>
            </w:tabs>
            <w:spacing w:line="480" w:lineRule="auto"/>
            <w:ind w:firstLine="600" w:firstLineChars="300"/>
          </w:pPr>
          <w:r>
            <w:fldChar w:fldCharType="begin"/>
          </w:r>
          <w:r>
            <w:instrText xml:space="preserve"> HYPERLINK \l "_Toc27060_WPSOffice_Level1" </w:instrText>
          </w:r>
          <w:r>
            <w:fldChar w:fldCharType="separate"/>
          </w:r>
          <w:r>
            <w:rPr>
              <w:rFonts w:ascii="宋体" w:hAnsi="宋体" w:cs="宋体"/>
              <w:sz w:val="28"/>
              <w:szCs w:val="28"/>
            </w:rPr>
            <w:t>第六章</w:t>
          </w:r>
          <w:r>
            <w:rPr>
              <w:rFonts w:hint="eastAsia" w:ascii="宋体" w:hAnsi="宋体" w:cs="宋体"/>
              <w:sz w:val="28"/>
              <w:szCs w:val="28"/>
            </w:rPr>
            <w:t xml:space="preserve"> </w:t>
          </w:r>
          <w:r>
            <w:rPr>
              <w:rFonts w:ascii="宋体" w:hAnsi="宋体" w:cs="宋体"/>
              <w:sz w:val="28"/>
              <w:szCs w:val="28"/>
            </w:rPr>
            <w:t>响应文件格式</w:t>
          </w:r>
          <w:r>
            <w:rPr>
              <w:sz w:val="28"/>
              <w:szCs w:val="28"/>
            </w:rPr>
            <w:tab/>
          </w:r>
          <w:bookmarkStart w:id="3" w:name="_Toc27060_WPSOffice_Level1Page"/>
          <w:r>
            <w:rPr>
              <w:sz w:val="28"/>
              <w:szCs w:val="28"/>
            </w:rPr>
            <w:t>3</w:t>
          </w:r>
          <w:bookmarkEnd w:id="3"/>
          <w:r>
            <w:rPr>
              <w:rFonts w:hint="eastAsia"/>
              <w:sz w:val="28"/>
              <w:szCs w:val="28"/>
            </w:rPr>
            <w:t>3</w:t>
          </w:r>
          <w:r>
            <w:rPr>
              <w:rFonts w:hint="eastAsia"/>
              <w:sz w:val="28"/>
              <w:szCs w:val="28"/>
            </w:rPr>
            <w:fldChar w:fldCharType="end"/>
          </w:r>
        </w:p>
        <w:p>
          <w:pPr>
            <w:pStyle w:val="20"/>
            <w:tabs>
              <w:tab w:val="right" w:leader="dot" w:pos="9140"/>
            </w:tabs>
            <w:spacing w:line="600" w:lineRule="auto"/>
            <w:ind w:left="440"/>
          </w:pPr>
        </w:p>
      </w:sdtContent>
    </w:sdt>
    <w:p>
      <w:pPr>
        <w:spacing w:line="600" w:lineRule="auto"/>
        <w:ind w:left="220" w:leftChars="100"/>
        <w:sectPr>
          <w:footerReference r:id="rId3" w:type="default"/>
          <w:pgSz w:w="11900" w:h="16840"/>
          <w:pgMar w:top="964" w:right="1123" w:bottom="652" w:left="482" w:header="0" w:footer="397" w:gutter="0"/>
          <w:pgNumType w:start="1"/>
          <w:cols w:space="425" w:num="1"/>
        </w:sectPr>
      </w:pPr>
    </w:p>
    <w:p>
      <w:pPr>
        <w:spacing w:line="200" w:lineRule="exact"/>
        <w:ind w:left="220" w:leftChars="100"/>
        <w:rPr>
          <w:sz w:val="20"/>
          <w:szCs w:val="20"/>
        </w:rPr>
      </w:pPr>
    </w:p>
    <w:p>
      <w:pPr>
        <w:spacing w:line="200" w:lineRule="exact"/>
        <w:ind w:left="220" w:leftChars="100"/>
        <w:rPr>
          <w:sz w:val="20"/>
          <w:szCs w:val="20"/>
        </w:rPr>
      </w:pPr>
    </w:p>
    <w:p>
      <w:pPr>
        <w:spacing w:line="200" w:lineRule="exact"/>
        <w:ind w:left="220" w:leftChars="100"/>
        <w:rPr>
          <w:sz w:val="20"/>
          <w:szCs w:val="20"/>
        </w:rPr>
      </w:pPr>
    </w:p>
    <w:p>
      <w:pPr>
        <w:spacing w:line="200" w:lineRule="exact"/>
        <w:ind w:left="220" w:leftChars="100"/>
        <w:rPr>
          <w:sz w:val="20"/>
          <w:szCs w:val="20"/>
        </w:rPr>
      </w:pPr>
    </w:p>
    <w:p>
      <w:pPr>
        <w:spacing w:line="200" w:lineRule="exact"/>
        <w:ind w:left="220" w:leftChars="100"/>
        <w:rPr>
          <w:sz w:val="20"/>
          <w:szCs w:val="20"/>
        </w:rPr>
      </w:pPr>
    </w:p>
    <w:p>
      <w:pPr>
        <w:spacing w:line="200" w:lineRule="exact"/>
        <w:ind w:left="220" w:leftChars="100"/>
        <w:rPr>
          <w:sz w:val="20"/>
          <w:szCs w:val="20"/>
        </w:rPr>
      </w:pPr>
    </w:p>
    <w:p>
      <w:pPr>
        <w:spacing w:line="200" w:lineRule="exact"/>
        <w:ind w:left="220" w:leftChars="100"/>
        <w:rPr>
          <w:sz w:val="20"/>
          <w:szCs w:val="20"/>
        </w:rPr>
      </w:pPr>
    </w:p>
    <w:p>
      <w:pPr>
        <w:spacing w:line="200" w:lineRule="exact"/>
        <w:ind w:left="220" w:leftChars="100"/>
        <w:rPr>
          <w:sz w:val="20"/>
          <w:szCs w:val="20"/>
        </w:rPr>
      </w:pPr>
    </w:p>
    <w:p>
      <w:pPr>
        <w:spacing w:line="200" w:lineRule="exact"/>
        <w:ind w:left="220" w:leftChars="100"/>
        <w:rPr>
          <w:sz w:val="20"/>
          <w:szCs w:val="20"/>
        </w:rPr>
      </w:pPr>
    </w:p>
    <w:p>
      <w:pPr>
        <w:spacing w:line="200" w:lineRule="exact"/>
        <w:ind w:left="220" w:leftChars="100"/>
        <w:rPr>
          <w:sz w:val="20"/>
          <w:szCs w:val="20"/>
        </w:rPr>
      </w:pPr>
    </w:p>
    <w:p>
      <w:pPr>
        <w:spacing w:line="200" w:lineRule="exact"/>
        <w:ind w:left="220" w:leftChars="100"/>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
      <w:pPr>
        <w:rPr>
          <w:sz w:val="20"/>
          <w:szCs w:val="20"/>
        </w:rPr>
      </w:pPr>
    </w:p>
    <w:p>
      <w:pPr>
        <w:spacing w:line="200" w:lineRule="exact"/>
        <w:ind w:left="220" w:leftChars="100"/>
        <w:rPr>
          <w:sz w:val="20"/>
          <w:szCs w:val="20"/>
        </w:rPr>
      </w:pPr>
    </w:p>
    <w:p>
      <w:pPr>
        <w:spacing w:line="200" w:lineRule="exact"/>
        <w:ind w:left="220" w:leftChars="100"/>
        <w:rPr>
          <w:sz w:val="20"/>
          <w:szCs w:val="20"/>
        </w:rPr>
      </w:pPr>
    </w:p>
    <w:p>
      <w:pPr>
        <w:sectPr>
          <w:type w:val="continuous"/>
          <w:pgSz w:w="11900" w:h="16840"/>
          <w:pgMar w:top="964" w:right="1123" w:bottom="652" w:left="482" w:header="0" w:footer="397" w:gutter="0"/>
          <w:cols w:space="425" w:num="1"/>
        </w:sectPr>
      </w:pPr>
    </w:p>
    <w:p>
      <w:pPr>
        <w:rPr>
          <w:rFonts w:ascii="宋体" w:hAnsi="宋体" w:eastAsia="宋体" w:cs="宋体"/>
          <w:b/>
          <w:bCs/>
          <w:sz w:val="32"/>
          <w:szCs w:val="32"/>
        </w:rPr>
      </w:pPr>
      <w:bookmarkStart w:id="4" w:name="page3"/>
      <w:bookmarkEnd w:id="4"/>
      <w:bookmarkStart w:id="5" w:name="_Toc13136_WPSOffice_Level1"/>
      <w:r>
        <w:rPr>
          <w:rFonts w:ascii="宋体" w:hAnsi="宋体" w:eastAsia="宋体" w:cs="宋体"/>
          <w:b/>
          <w:bCs/>
          <w:sz w:val="32"/>
          <w:szCs w:val="32"/>
        </w:rPr>
        <w:br w:type="page"/>
      </w:r>
    </w:p>
    <w:p>
      <w:pPr>
        <w:spacing w:line="366" w:lineRule="exact"/>
        <w:ind w:right="-219"/>
        <w:jc w:val="center"/>
        <w:rPr>
          <w:sz w:val="20"/>
          <w:szCs w:val="20"/>
        </w:rPr>
      </w:pPr>
      <w:r>
        <w:rPr>
          <w:rFonts w:ascii="宋体" w:hAnsi="宋体" w:eastAsia="宋体" w:cs="宋体"/>
          <w:b/>
          <w:bCs/>
          <w:sz w:val="32"/>
          <w:szCs w:val="32"/>
        </w:rPr>
        <w:t>第一章 竞争性磋商公告</w:t>
      </w:r>
      <w:bookmarkEnd w:id="5"/>
    </w:p>
    <w:p>
      <w:pPr>
        <w:spacing w:line="360" w:lineRule="auto"/>
        <w:ind w:left="220" w:leftChars="100"/>
        <w:rPr>
          <w:sz w:val="20"/>
          <w:szCs w:val="20"/>
        </w:rPr>
      </w:pPr>
    </w:p>
    <w:p>
      <w:pPr>
        <w:spacing w:line="400" w:lineRule="exact"/>
        <w:jc w:val="center"/>
        <w:rPr>
          <w:rFonts w:ascii="宋体" w:hAnsi="宋体"/>
          <w:b/>
          <w:sz w:val="32"/>
          <w:szCs w:val="32"/>
        </w:rPr>
      </w:pPr>
      <w:r>
        <w:rPr>
          <w:rFonts w:hint="eastAsia" w:ascii="宋体" w:hAnsi="宋体"/>
          <w:b/>
          <w:sz w:val="32"/>
          <w:szCs w:val="32"/>
        </w:rPr>
        <w:t>广西大通建设监理咨询管理有限公司</w:t>
      </w:r>
    </w:p>
    <w:p>
      <w:pPr>
        <w:spacing w:line="400" w:lineRule="exact"/>
        <w:jc w:val="center"/>
        <w:rPr>
          <w:rFonts w:ascii="宋体" w:hAnsi="宋体"/>
          <w:b/>
          <w:bCs/>
          <w:sz w:val="32"/>
          <w:szCs w:val="32"/>
        </w:rPr>
      </w:pPr>
      <w:r>
        <w:rPr>
          <w:rFonts w:hint="eastAsia" w:ascii="宋体" w:hAnsi="宋体"/>
          <w:b/>
          <w:sz w:val="32"/>
          <w:szCs w:val="32"/>
        </w:rPr>
        <w:t>灵山县公安局第三办公区办案智能化改造项目（项目编号：QZZC2020-C1-50001-GXDT）</w:t>
      </w:r>
      <w:r>
        <w:rPr>
          <w:rFonts w:hint="eastAsia" w:ascii="宋体" w:hAnsi="宋体"/>
          <w:b/>
          <w:bCs/>
          <w:sz w:val="32"/>
          <w:szCs w:val="32"/>
        </w:rPr>
        <w:t>竞争性磋商公告</w:t>
      </w:r>
    </w:p>
    <w:p>
      <w:pPr>
        <w:pStyle w:val="7"/>
        <w:spacing w:line="360" w:lineRule="auto"/>
        <w:rPr>
          <w:rFonts w:ascii="宋体" w:hAnsi="宋体" w:eastAsia="宋体" w:cs="宋体"/>
          <w:b/>
          <w:bCs/>
          <w:spacing w:val="-14"/>
          <w:position w:val="-6"/>
          <w:sz w:val="28"/>
          <w:szCs w:val="28"/>
        </w:rPr>
      </w:pPr>
    </w:p>
    <w:p>
      <w:pPr>
        <w:widowControl w:val="0"/>
        <w:pBdr>
          <w:top w:val="single" w:color="auto" w:sz="4" w:space="1"/>
          <w:left w:val="single" w:color="auto" w:sz="4" w:space="4"/>
          <w:bottom w:val="single" w:color="auto" w:sz="4" w:space="1"/>
          <w:right w:val="single" w:color="auto" w:sz="4" w:space="4"/>
        </w:pBdr>
        <w:spacing w:line="440" w:lineRule="exact"/>
        <w:ind w:firstLine="420" w:firstLineChars="200"/>
        <w:rPr>
          <w:rFonts w:ascii="宋体" w:hAnsi="宋体" w:eastAsia="宋体" w:cs="宋体"/>
          <w:sz w:val="21"/>
          <w:szCs w:val="21"/>
        </w:rPr>
      </w:pPr>
      <w:r>
        <w:rPr>
          <w:rFonts w:hint="eastAsia" w:ascii="宋体" w:hAnsi="宋体" w:eastAsia="宋体" w:cs="宋体"/>
          <w:sz w:val="21"/>
          <w:szCs w:val="21"/>
        </w:rPr>
        <w:t>项目概况</w:t>
      </w:r>
    </w:p>
    <w:p>
      <w:pPr>
        <w:widowControl w:val="0"/>
        <w:pBdr>
          <w:top w:val="single" w:color="auto" w:sz="4" w:space="1"/>
          <w:left w:val="single" w:color="auto" w:sz="4" w:space="4"/>
          <w:bottom w:val="single" w:color="auto" w:sz="4" w:space="1"/>
          <w:right w:val="single" w:color="auto" w:sz="4" w:space="4"/>
        </w:pBdr>
        <w:spacing w:line="440" w:lineRule="exact"/>
        <w:ind w:firstLine="420" w:firstLineChars="200"/>
        <w:rPr>
          <w:sz w:val="21"/>
          <w:szCs w:val="21"/>
        </w:rPr>
      </w:pPr>
      <w:r>
        <w:rPr>
          <w:rFonts w:hint="eastAsia" w:ascii="宋体" w:hAnsi="宋体" w:cs="宋体"/>
          <w:sz w:val="21"/>
          <w:szCs w:val="21"/>
          <w:u w:val="single"/>
        </w:rPr>
        <w:t>灵山县公安局第三办公区办案智能化改造项目</w:t>
      </w:r>
      <w:r>
        <w:rPr>
          <w:rFonts w:hint="eastAsia" w:ascii="宋体" w:hAnsi="宋体" w:eastAsia="宋体" w:cs="宋体"/>
          <w:sz w:val="21"/>
          <w:szCs w:val="21"/>
        </w:rPr>
        <w:t>项目的潜在供应商应在广西大通建设监理咨询管理有限公司(钦州市灵山县灵城镇常兴路1号)获取采购文件，并于</w:t>
      </w:r>
      <w:r>
        <w:rPr>
          <w:rFonts w:hint="eastAsia" w:ascii="宋体" w:hAnsi="宋体" w:eastAsia="宋体" w:cs="宋体"/>
          <w:sz w:val="21"/>
          <w:szCs w:val="21"/>
          <w:u w:val="single"/>
        </w:rPr>
        <w:t xml:space="preserve"> 2020</w:t>
      </w:r>
      <w:r>
        <w:rPr>
          <w:rFonts w:hint="eastAsia" w:ascii="宋体" w:hAnsi="宋体" w:eastAsia="宋体" w:cs="宋体"/>
          <w:bCs/>
          <w:sz w:val="21"/>
          <w:szCs w:val="21"/>
          <w:u w:val="single"/>
        </w:rPr>
        <w:t>年</w:t>
      </w:r>
      <w:r>
        <w:rPr>
          <w:rFonts w:hint="eastAsia" w:ascii="宋体" w:hAnsi="宋体" w:cs="宋体"/>
          <w:bCs/>
          <w:sz w:val="21"/>
          <w:szCs w:val="21"/>
          <w:u w:val="single"/>
        </w:rPr>
        <w:t>11</w:t>
      </w:r>
      <w:r>
        <w:rPr>
          <w:rFonts w:hint="eastAsia" w:ascii="宋体" w:hAnsi="宋体" w:eastAsia="宋体" w:cs="宋体"/>
          <w:bCs/>
          <w:sz w:val="21"/>
          <w:szCs w:val="21"/>
          <w:u w:val="single"/>
        </w:rPr>
        <w:t>月</w:t>
      </w:r>
      <w:r>
        <w:rPr>
          <w:rFonts w:hint="eastAsia" w:ascii="宋体" w:hAnsi="宋体" w:eastAsia="宋体" w:cs="宋体"/>
          <w:bCs/>
          <w:sz w:val="21"/>
          <w:szCs w:val="21"/>
          <w:u w:val="single"/>
          <w:lang w:val="en-US" w:eastAsia="zh-CN"/>
        </w:rPr>
        <w:t>20</w:t>
      </w:r>
      <w:r>
        <w:rPr>
          <w:rFonts w:hint="eastAsia" w:ascii="宋体" w:hAnsi="宋体" w:eastAsia="宋体" w:cs="宋体"/>
          <w:bCs/>
          <w:sz w:val="21"/>
          <w:szCs w:val="21"/>
          <w:u w:val="single"/>
        </w:rPr>
        <w:t>日9点</w:t>
      </w:r>
      <w:r>
        <w:rPr>
          <w:rFonts w:hint="eastAsia" w:ascii="宋体" w:hAnsi="宋体" w:cs="宋体"/>
          <w:bCs/>
          <w:sz w:val="21"/>
          <w:szCs w:val="21"/>
          <w:u w:val="single"/>
        </w:rPr>
        <w:t>30</w:t>
      </w:r>
      <w:r>
        <w:rPr>
          <w:rFonts w:hint="eastAsia" w:ascii="宋体" w:hAnsi="宋体" w:eastAsia="宋体" w:cs="宋体"/>
          <w:bCs/>
          <w:sz w:val="21"/>
          <w:szCs w:val="21"/>
          <w:u w:val="single"/>
        </w:rPr>
        <w:t>分</w:t>
      </w:r>
      <w:r>
        <w:rPr>
          <w:rFonts w:hint="eastAsia" w:ascii="宋体" w:hAnsi="宋体" w:eastAsia="宋体" w:cs="宋体"/>
          <w:bCs/>
          <w:sz w:val="21"/>
          <w:szCs w:val="21"/>
        </w:rPr>
        <w:t>（北京时间）前提交响应文件</w:t>
      </w:r>
      <w:r>
        <w:rPr>
          <w:rFonts w:hint="eastAsia" w:ascii="宋体" w:hAnsi="宋体" w:eastAsia="宋体" w:cs="宋体"/>
          <w:sz w:val="21"/>
          <w:szCs w:val="21"/>
        </w:rPr>
        <w:t>。</w:t>
      </w:r>
    </w:p>
    <w:p>
      <w:pPr>
        <w:widowControl w:val="0"/>
        <w:spacing w:line="440" w:lineRule="exact"/>
        <w:rPr>
          <w:rFonts w:ascii="黑体" w:hAnsi="黑体" w:eastAsia="黑体" w:cs="黑体"/>
          <w:sz w:val="24"/>
          <w:szCs w:val="24"/>
        </w:rPr>
      </w:pPr>
      <w:bookmarkStart w:id="6" w:name="_Toc35393629"/>
      <w:bookmarkStart w:id="7" w:name="_Toc35393798"/>
      <w:bookmarkStart w:id="8" w:name="_Toc28359089"/>
      <w:bookmarkStart w:id="9" w:name="_Toc28359012"/>
      <w:r>
        <w:rPr>
          <w:rFonts w:hint="eastAsia" w:ascii="黑体" w:hAnsi="黑体" w:eastAsia="黑体" w:cs="黑体"/>
          <w:sz w:val="24"/>
          <w:szCs w:val="24"/>
        </w:rPr>
        <w:t>一、项目基本情况</w:t>
      </w:r>
      <w:bookmarkEnd w:id="6"/>
      <w:bookmarkEnd w:id="7"/>
      <w:bookmarkEnd w:id="8"/>
      <w:bookmarkEnd w:id="9"/>
    </w:p>
    <w:p>
      <w:pPr>
        <w:widowControl w:val="0"/>
        <w:spacing w:line="440" w:lineRule="exact"/>
        <w:ind w:firstLine="420" w:firstLineChars="200"/>
        <w:rPr>
          <w:rFonts w:ascii="宋体" w:hAnsi="宋体" w:eastAsia="宋体" w:cs="宋体"/>
          <w:sz w:val="21"/>
          <w:szCs w:val="21"/>
        </w:rPr>
      </w:pPr>
      <w:r>
        <w:rPr>
          <w:rFonts w:hint="eastAsia" w:ascii="宋体" w:hAnsi="宋体" w:eastAsia="宋体" w:cs="宋体"/>
          <w:sz w:val="21"/>
          <w:szCs w:val="21"/>
        </w:rPr>
        <w:t>项目编号：</w:t>
      </w:r>
      <w:r>
        <w:rPr>
          <w:rFonts w:hint="eastAsia" w:ascii="宋体" w:hAnsi="宋体" w:cs="宋体"/>
          <w:sz w:val="21"/>
          <w:szCs w:val="21"/>
        </w:rPr>
        <w:t>QZZC2020-C1-50001-GXDT</w:t>
      </w:r>
    </w:p>
    <w:p>
      <w:pPr>
        <w:widowControl w:val="0"/>
        <w:spacing w:line="440" w:lineRule="exact"/>
        <w:ind w:firstLine="420" w:firstLineChars="200"/>
        <w:rPr>
          <w:rFonts w:ascii="宋体" w:hAnsi="宋体" w:eastAsia="宋体" w:cs="宋体"/>
          <w:sz w:val="21"/>
          <w:szCs w:val="21"/>
        </w:rPr>
      </w:pPr>
      <w:r>
        <w:rPr>
          <w:rFonts w:hint="eastAsia" w:ascii="宋体" w:hAnsi="宋体" w:eastAsia="宋体" w:cs="宋体"/>
          <w:sz w:val="21"/>
          <w:szCs w:val="21"/>
        </w:rPr>
        <w:t>项目名称：</w:t>
      </w:r>
      <w:r>
        <w:rPr>
          <w:rFonts w:hint="eastAsia" w:ascii="宋体" w:hAnsi="宋体" w:cs="宋体"/>
          <w:sz w:val="21"/>
          <w:szCs w:val="21"/>
        </w:rPr>
        <w:t>灵山县公安局第三办公区办案智能化改造项目</w:t>
      </w:r>
    </w:p>
    <w:p>
      <w:pPr>
        <w:widowControl w:val="0"/>
        <w:spacing w:line="440" w:lineRule="exact"/>
        <w:ind w:firstLine="420" w:firstLineChars="200"/>
        <w:rPr>
          <w:rFonts w:ascii="宋体" w:hAnsi="宋体" w:eastAsia="宋体" w:cs="宋体"/>
          <w:sz w:val="21"/>
          <w:szCs w:val="21"/>
        </w:rPr>
      </w:pPr>
      <w:r>
        <w:rPr>
          <w:rFonts w:hint="eastAsia" w:ascii="宋体" w:hAnsi="宋体" w:eastAsia="宋体" w:cs="宋体"/>
          <w:sz w:val="21"/>
          <w:szCs w:val="21"/>
        </w:rPr>
        <w:t>采购方式：竞争性</w:t>
      </w:r>
      <w:r>
        <w:rPr>
          <w:rFonts w:hint="eastAsia" w:ascii="宋体" w:hAnsi="宋体" w:cs="宋体"/>
          <w:sz w:val="21"/>
          <w:szCs w:val="21"/>
        </w:rPr>
        <w:t>磋商</w:t>
      </w:r>
    </w:p>
    <w:p>
      <w:pPr>
        <w:widowControl w:val="0"/>
        <w:spacing w:line="440" w:lineRule="exact"/>
        <w:ind w:firstLine="420" w:firstLineChars="200"/>
        <w:rPr>
          <w:rFonts w:ascii="宋体" w:hAnsi="宋体" w:eastAsia="宋体" w:cs="宋体"/>
          <w:sz w:val="21"/>
          <w:szCs w:val="21"/>
        </w:rPr>
      </w:pPr>
      <w:r>
        <w:rPr>
          <w:rFonts w:hint="eastAsia" w:ascii="宋体" w:hAnsi="宋体" w:eastAsia="宋体" w:cs="宋体"/>
          <w:sz w:val="21"/>
          <w:szCs w:val="21"/>
        </w:rPr>
        <w:t>预算金额：</w:t>
      </w:r>
      <w:r>
        <w:rPr>
          <w:rFonts w:hint="eastAsia" w:ascii="宋体" w:hAnsi="宋体" w:cs="宋体"/>
          <w:sz w:val="21"/>
          <w:szCs w:val="21"/>
        </w:rPr>
        <w:t>853493.00</w:t>
      </w:r>
      <w:r>
        <w:rPr>
          <w:rFonts w:hint="eastAsia" w:ascii="宋体" w:hAnsi="宋体" w:eastAsia="宋体" w:cs="宋体"/>
          <w:sz w:val="21"/>
          <w:szCs w:val="21"/>
        </w:rPr>
        <w:t>元</w:t>
      </w:r>
    </w:p>
    <w:p>
      <w:pPr>
        <w:widowControl w:val="0"/>
        <w:spacing w:line="440" w:lineRule="exact"/>
        <w:ind w:firstLine="420" w:firstLineChars="200"/>
        <w:rPr>
          <w:rFonts w:ascii="宋体" w:hAnsi="宋体" w:eastAsia="宋体" w:cs="宋体"/>
          <w:sz w:val="21"/>
          <w:szCs w:val="21"/>
        </w:rPr>
      </w:pPr>
      <w:r>
        <w:rPr>
          <w:rFonts w:hint="eastAsia" w:ascii="宋体" w:hAnsi="宋体" w:eastAsia="宋体" w:cs="宋体"/>
          <w:sz w:val="21"/>
          <w:szCs w:val="21"/>
        </w:rPr>
        <w:t>最高限价：与预算金额一致</w:t>
      </w:r>
    </w:p>
    <w:p>
      <w:pPr>
        <w:widowControl w:val="0"/>
        <w:spacing w:line="440" w:lineRule="exact"/>
        <w:ind w:firstLine="420" w:firstLineChars="200"/>
        <w:rPr>
          <w:rFonts w:ascii="宋体" w:hAnsi="宋体" w:eastAsia="宋体" w:cs="宋体"/>
          <w:sz w:val="21"/>
          <w:szCs w:val="21"/>
        </w:rPr>
      </w:pPr>
      <w:r>
        <w:rPr>
          <w:rFonts w:hint="eastAsia" w:ascii="宋体" w:hAnsi="宋体" w:eastAsia="宋体" w:cs="宋体"/>
          <w:sz w:val="21"/>
          <w:szCs w:val="21"/>
        </w:rPr>
        <w:t>采购需求：</w:t>
      </w:r>
      <w:r>
        <w:rPr>
          <w:rFonts w:hint="eastAsia" w:ascii="宋体" w:hAnsi="宋体" w:cs="宋体"/>
          <w:sz w:val="21"/>
          <w:szCs w:val="21"/>
        </w:rPr>
        <w:t>灵山县公安局第三办公区办案智能化改造项目</w:t>
      </w:r>
      <w:r>
        <w:rPr>
          <w:rFonts w:hint="eastAsia" w:ascii="宋体" w:hAnsi="宋体" w:eastAsia="宋体" w:cs="宋体"/>
          <w:sz w:val="21"/>
          <w:szCs w:val="21"/>
        </w:rPr>
        <w:t>，如需进一步了解详细内容，具体要求详见竞争性</w:t>
      </w:r>
      <w:r>
        <w:rPr>
          <w:rFonts w:hint="eastAsia" w:ascii="宋体" w:hAnsi="宋体" w:cs="宋体"/>
          <w:sz w:val="21"/>
          <w:szCs w:val="21"/>
        </w:rPr>
        <w:t>磋商</w:t>
      </w:r>
      <w:r>
        <w:rPr>
          <w:rFonts w:hint="eastAsia" w:ascii="宋体" w:hAnsi="宋体" w:eastAsia="宋体" w:cs="宋体"/>
          <w:sz w:val="21"/>
          <w:szCs w:val="21"/>
        </w:rPr>
        <w:t>文件</w:t>
      </w:r>
    </w:p>
    <w:p>
      <w:pPr>
        <w:widowControl w:val="0"/>
        <w:spacing w:line="440" w:lineRule="exact"/>
        <w:ind w:firstLine="420" w:firstLineChars="200"/>
        <w:rPr>
          <w:rFonts w:ascii="宋体" w:hAnsi="宋体" w:eastAsia="宋体" w:cs="宋体"/>
          <w:sz w:val="21"/>
          <w:szCs w:val="21"/>
        </w:rPr>
      </w:pPr>
      <w:r>
        <w:rPr>
          <w:rFonts w:hint="eastAsia" w:ascii="宋体" w:hAnsi="宋体" w:eastAsia="宋体" w:cs="宋体"/>
          <w:sz w:val="21"/>
          <w:szCs w:val="21"/>
        </w:rPr>
        <w:t>合同履行期限：</w:t>
      </w:r>
      <w:r>
        <w:rPr>
          <w:rFonts w:hint="eastAsia" w:ascii="宋体" w:hAnsi="宋体" w:cs="宋体"/>
          <w:sz w:val="21"/>
          <w:szCs w:val="21"/>
        </w:rPr>
        <w:t>10</w:t>
      </w:r>
      <w:r>
        <w:rPr>
          <w:rFonts w:hint="eastAsia" w:ascii="宋体" w:hAnsi="宋体" w:eastAsia="宋体" w:cs="宋体"/>
          <w:sz w:val="21"/>
          <w:szCs w:val="21"/>
        </w:rPr>
        <w:t>日历天，时间从项目合同签订日期开始算起。</w:t>
      </w:r>
    </w:p>
    <w:p>
      <w:pPr>
        <w:widowControl w:val="0"/>
        <w:spacing w:line="440" w:lineRule="exact"/>
        <w:ind w:firstLine="420" w:firstLineChars="200"/>
        <w:rPr>
          <w:rFonts w:ascii="宋体" w:hAnsi="宋体" w:eastAsia="宋体" w:cs="宋体"/>
          <w:sz w:val="21"/>
          <w:szCs w:val="21"/>
        </w:rPr>
      </w:pPr>
      <w:r>
        <w:rPr>
          <w:rFonts w:hint="eastAsia" w:ascii="宋体" w:hAnsi="宋体" w:eastAsia="宋体" w:cs="宋体"/>
          <w:sz w:val="21"/>
          <w:szCs w:val="21"/>
        </w:rPr>
        <w:t>质量要求：合格。</w:t>
      </w:r>
    </w:p>
    <w:p>
      <w:pPr>
        <w:widowControl w:val="0"/>
        <w:spacing w:line="440" w:lineRule="exact"/>
        <w:ind w:firstLine="420" w:firstLineChars="200"/>
        <w:rPr>
          <w:rFonts w:ascii="宋体" w:hAnsi="宋体" w:eastAsia="宋体" w:cs="宋体"/>
          <w:sz w:val="21"/>
          <w:szCs w:val="21"/>
        </w:rPr>
      </w:pPr>
      <w:r>
        <w:rPr>
          <w:rFonts w:hint="eastAsia" w:ascii="宋体" w:hAnsi="宋体" w:eastAsia="宋体" w:cs="宋体"/>
          <w:sz w:val="21"/>
          <w:szCs w:val="21"/>
        </w:rPr>
        <w:t>本项目不接受联合体投标。</w:t>
      </w:r>
    </w:p>
    <w:p>
      <w:pPr>
        <w:widowControl w:val="0"/>
        <w:spacing w:line="440" w:lineRule="exact"/>
        <w:rPr>
          <w:rFonts w:ascii="宋体" w:hAnsi="宋体" w:eastAsia="宋体" w:cs="宋体"/>
          <w:sz w:val="24"/>
          <w:szCs w:val="24"/>
        </w:rPr>
      </w:pPr>
      <w:r>
        <w:rPr>
          <w:rFonts w:hint="eastAsia" w:ascii="黑体" w:hAnsi="黑体" w:eastAsia="黑体" w:cs="黑体"/>
          <w:sz w:val="24"/>
          <w:szCs w:val="24"/>
        </w:rPr>
        <w:t>二、申请人的资格要求：</w:t>
      </w:r>
    </w:p>
    <w:p>
      <w:pPr>
        <w:widowControl w:val="0"/>
        <w:spacing w:line="440" w:lineRule="exact"/>
        <w:ind w:firstLine="420" w:firstLineChars="200"/>
        <w:rPr>
          <w:rFonts w:ascii="宋体" w:hAnsi="宋体" w:eastAsia="宋体" w:cs="宋体"/>
          <w:sz w:val="21"/>
          <w:szCs w:val="21"/>
        </w:rPr>
      </w:pPr>
      <w:r>
        <w:rPr>
          <w:rFonts w:hint="eastAsia" w:ascii="宋体" w:hAnsi="宋体" w:eastAsia="宋体" w:cs="宋体"/>
          <w:sz w:val="21"/>
          <w:szCs w:val="21"/>
        </w:rPr>
        <w:t>1.符合《中华人民共和国政府采购法》第二十二条和《政府采购法实施条例》第十八条规定。</w:t>
      </w:r>
    </w:p>
    <w:p>
      <w:pPr>
        <w:widowControl w:val="0"/>
        <w:spacing w:line="440" w:lineRule="exact"/>
        <w:ind w:firstLine="420" w:firstLineChars="200"/>
        <w:rPr>
          <w:rFonts w:ascii="宋体" w:hAnsi="宋体" w:eastAsia="宋体" w:cs="宋体"/>
          <w:sz w:val="21"/>
          <w:szCs w:val="21"/>
        </w:rPr>
      </w:pPr>
      <w:r>
        <w:rPr>
          <w:rFonts w:hint="eastAsia" w:ascii="宋体" w:hAnsi="宋体" w:eastAsia="宋体" w:cs="宋体"/>
          <w:sz w:val="21"/>
          <w:szCs w:val="21"/>
        </w:rPr>
        <w:t>2.落实政府采购政策需满足的资格要求：政府采购促进中小企业发展，政府采购支持采用本国产品的政策，强制采购环境标志产品、节能产品，促进残疾人就业政府采购政策，政府采购支持监狱企业发展，政府采购扶持不发达地区和少数民族地区。</w:t>
      </w:r>
    </w:p>
    <w:p>
      <w:pPr>
        <w:widowControl w:val="0"/>
        <w:spacing w:line="440" w:lineRule="exact"/>
        <w:ind w:firstLine="420" w:firstLineChars="200"/>
        <w:rPr>
          <w:rFonts w:ascii="宋体" w:hAnsi="宋体" w:eastAsia="宋体" w:cs="宋体"/>
          <w:sz w:val="21"/>
          <w:szCs w:val="21"/>
        </w:rPr>
      </w:pPr>
      <w:r>
        <w:rPr>
          <w:rFonts w:hint="eastAsia" w:ascii="宋体" w:hAnsi="宋体" w:eastAsia="宋体" w:cs="宋体"/>
          <w:sz w:val="21"/>
          <w:szCs w:val="21"/>
        </w:rPr>
        <w:t>3.本项目的特定资格要求：</w:t>
      </w:r>
    </w:p>
    <w:p>
      <w:pPr>
        <w:widowControl w:val="0"/>
        <w:spacing w:line="440" w:lineRule="exact"/>
        <w:ind w:firstLine="420" w:firstLineChars="200"/>
        <w:rPr>
          <w:rFonts w:ascii="宋体" w:hAnsi="宋体" w:eastAsia="宋体" w:cs="宋体"/>
          <w:sz w:val="21"/>
          <w:szCs w:val="21"/>
        </w:rPr>
      </w:pPr>
      <w:r>
        <w:rPr>
          <w:rFonts w:hint="eastAsia" w:ascii="宋体" w:hAnsi="宋体" w:eastAsia="宋体" w:cs="宋体"/>
          <w:sz w:val="21"/>
          <w:szCs w:val="21"/>
        </w:rPr>
        <w:t>（一）生产或经营本次采购货物，国内注册、并具备独立法人资格或其分支机构企业负责人资格的供应商；</w:t>
      </w:r>
    </w:p>
    <w:p>
      <w:pPr>
        <w:widowControl w:val="0"/>
        <w:spacing w:line="440" w:lineRule="exact"/>
        <w:ind w:firstLine="420" w:firstLineChars="200"/>
        <w:rPr>
          <w:rFonts w:ascii="宋体" w:hAnsi="宋体" w:eastAsia="宋体" w:cs="宋体"/>
          <w:sz w:val="21"/>
          <w:szCs w:val="21"/>
        </w:rPr>
      </w:pPr>
      <w:r>
        <w:rPr>
          <w:rFonts w:hint="eastAsia" w:ascii="宋体" w:hAnsi="宋体" w:eastAsia="宋体" w:cs="宋体"/>
          <w:sz w:val="21"/>
          <w:szCs w:val="21"/>
        </w:rPr>
        <w:t>（二）未被“信用中国”网站(www.creditchina.gov.cn)、中国政府采购网 (www.ccgp.gov.cn)等渠道列入失信被执行人、重大税收违法案件当事人名单、政府采购严重违法失信行为记录名单；</w:t>
      </w:r>
    </w:p>
    <w:p>
      <w:pPr>
        <w:widowControl w:val="0"/>
        <w:spacing w:line="440" w:lineRule="exact"/>
        <w:ind w:firstLine="420" w:firstLineChars="200"/>
        <w:rPr>
          <w:rFonts w:ascii="宋体" w:hAnsi="宋体" w:eastAsia="宋体" w:cs="宋体"/>
          <w:sz w:val="21"/>
          <w:szCs w:val="21"/>
        </w:rPr>
      </w:pPr>
      <w:r>
        <w:rPr>
          <w:rFonts w:hint="eastAsia" w:ascii="宋体" w:hAnsi="宋体" w:eastAsia="宋体" w:cs="宋体"/>
          <w:sz w:val="21"/>
          <w:szCs w:val="21"/>
        </w:rPr>
        <w:t>（三）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widowControl w:val="0"/>
        <w:spacing w:line="440" w:lineRule="exact"/>
        <w:ind w:firstLine="420" w:firstLineChars="200"/>
        <w:rPr>
          <w:rFonts w:ascii="宋体" w:hAnsi="宋体" w:eastAsia="宋体" w:cs="宋体"/>
          <w:sz w:val="21"/>
          <w:szCs w:val="21"/>
        </w:rPr>
      </w:pPr>
      <w:r>
        <w:rPr>
          <w:rFonts w:hint="eastAsia" w:ascii="宋体" w:hAnsi="宋体" w:eastAsia="宋体" w:cs="宋体"/>
          <w:sz w:val="21"/>
          <w:szCs w:val="21"/>
        </w:rPr>
        <w:t>4.本项目不接受未购买本竞争性</w:t>
      </w:r>
      <w:r>
        <w:rPr>
          <w:rFonts w:hint="eastAsia" w:ascii="宋体" w:hAnsi="宋体" w:cs="宋体"/>
          <w:sz w:val="21"/>
          <w:szCs w:val="21"/>
        </w:rPr>
        <w:t>磋商</w:t>
      </w:r>
      <w:r>
        <w:rPr>
          <w:rFonts w:hint="eastAsia" w:ascii="宋体" w:hAnsi="宋体" w:eastAsia="宋体" w:cs="宋体"/>
          <w:sz w:val="21"/>
          <w:szCs w:val="21"/>
        </w:rPr>
        <w:t>文件的供应商。</w:t>
      </w:r>
    </w:p>
    <w:p>
      <w:pPr>
        <w:widowControl w:val="0"/>
        <w:spacing w:line="440" w:lineRule="exact"/>
        <w:rPr>
          <w:rFonts w:ascii="黑体" w:hAnsi="黑体" w:eastAsia="黑体" w:cs="黑体"/>
          <w:sz w:val="24"/>
          <w:szCs w:val="24"/>
        </w:rPr>
      </w:pPr>
      <w:r>
        <w:rPr>
          <w:rFonts w:hint="eastAsia" w:ascii="黑体" w:hAnsi="黑体" w:eastAsia="黑体" w:cs="黑体"/>
          <w:sz w:val="24"/>
          <w:szCs w:val="24"/>
        </w:rPr>
        <w:t>三、获取采购文件</w:t>
      </w:r>
    </w:p>
    <w:p>
      <w:pPr>
        <w:widowControl w:val="0"/>
        <w:spacing w:line="440" w:lineRule="exact"/>
        <w:ind w:firstLine="560" w:firstLineChars="200"/>
        <w:rPr>
          <w:rFonts w:ascii="宋体" w:hAnsi="宋体" w:eastAsia="宋体" w:cs="宋体"/>
          <w:sz w:val="21"/>
          <w:szCs w:val="21"/>
        </w:rPr>
      </w:pPr>
      <w:r>
        <w:rPr>
          <w:rFonts w:hint="eastAsia" w:ascii="宋体" w:hAnsi="宋体" w:eastAsia="宋体" w:cs="宋体"/>
          <w:sz w:val="28"/>
          <w:szCs w:val="28"/>
        </w:rPr>
        <w:t xml:space="preserve"> </w:t>
      </w:r>
      <w:r>
        <w:rPr>
          <w:rFonts w:hint="eastAsia" w:ascii="宋体" w:hAnsi="宋体" w:eastAsia="宋体" w:cs="宋体"/>
          <w:sz w:val="21"/>
          <w:szCs w:val="21"/>
        </w:rPr>
        <w:t>时间：</w:t>
      </w:r>
      <w:r>
        <w:rPr>
          <w:rFonts w:hint="eastAsia" w:ascii="宋体" w:hAnsi="宋体" w:eastAsia="宋体" w:cs="宋体"/>
          <w:sz w:val="21"/>
          <w:szCs w:val="21"/>
          <w:u w:val="single"/>
        </w:rPr>
        <w:t>2020 年</w:t>
      </w:r>
      <w:r>
        <w:rPr>
          <w:rFonts w:hint="eastAsia" w:ascii="宋体" w:hAnsi="宋体" w:cs="宋体"/>
          <w:sz w:val="21"/>
          <w:szCs w:val="21"/>
          <w:u w:val="single"/>
        </w:rPr>
        <w:t>11</w:t>
      </w:r>
      <w:r>
        <w:rPr>
          <w:rFonts w:hint="eastAsia" w:ascii="宋体" w:hAnsi="宋体" w:eastAsia="宋体" w:cs="宋体"/>
          <w:sz w:val="21"/>
          <w:szCs w:val="21"/>
          <w:u w:val="single"/>
        </w:rPr>
        <w:t>月</w:t>
      </w:r>
      <w:r>
        <w:rPr>
          <w:rFonts w:hint="eastAsia" w:ascii="宋体" w:hAnsi="宋体" w:eastAsia="宋体" w:cs="宋体"/>
          <w:sz w:val="21"/>
          <w:szCs w:val="21"/>
          <w:u w:val="single"/>
          <w:lang w:val="en-US" w:eastAsia="zh-CN"/>
        </w:rPr>
        <w:t>10</w:t>
      </w:r>
      <w:r>
        <w:rPr>
          <w:rFonts w:hint="eastAsia" w:ascii="宋体" w:hAnsi="宋体" w:eastAsia="宋体" w:cs="宋体"/>
          <w:sz w:val="21"/>
          <w:szCs w:val="21"/>
          <w:u w:val="single"/>
        </w:rPr>
        <w:t xml:space="preserve"> 日至 2020 年</w:t>
      </w:r>
      <w:r>
        <w:rPr>
          <w:rFonts w:hint="eastAsia" w:ascii="宋体" w:hAnsi="宋体" w:cs="宋体"/>
          <w:sz w:val="21"/>
          <w:szCs w:val="21"/>
          <w:u w:val="single"/>
        </w:rPr>
        <w:t>11</w:t>
      </w:r>
      <w:r>
        <w:rPr>
          <w:rFonts w:hint="eastAsia" w:ascii="宋体" w:hAnsi="宋体" w:eastAsia="宋体" w:cs="宋体"/>
          <w:sz w:val="21"/>
          <w:szCs w:val="21"/>
          <w:u w:val="single"/>
        </w:rPr>
        <w:t xml:space="preserve"> 月 </w:t>
      </w:r>
      <w:r>
        <w:rPr>
          <w:rFonts w:hint="eastAsia" w:ascii="宋体" w:hAnsi="宋体" w:cs="宋体"/>
          <w:sz w:val="21"/>
          <w:szCs w:val="21"/>
          <w:u w:val="single"/>
        </w:rPr>
        <w:t>1</w:t>
      </w:r>
      <w:r>
        <w:rPr>
          <w:rFonts w:hint="eastAsia" w:ascii="宋体" w:hAnsi="宋体" w:cs="宋体"/>
          <w:sz w:val="21"/>
          <w:szCs w:val="21"/>
          <w:u w:val="single"/>
          <w:lang w:val="en-US" w:eastAsia="zh-CN"/>
        </w:rPr>
        <w:t>6</w:t>
      </w:r>
      <w:r>
        <w:rPr>
          <w:rFonts w:hint="eastAsia" w:ascii="宋体" w:hAnsi="宋体" w:eastAsia="宋体" w:cs="宋体"/>
          <w:sz w:val="21"/>
          <w:szCs w:val="21"/>
          <w:u w:val="single"/>
        </w:rPr>
        <w:t xml:space="preserve"> 日</w:t>
      </w:r>
      <w:r>
        <w:rPr>
          <w:rFonts w:hint="eastAsia" w:ascii="宋体" w:hAnsi="宋体" w:eastAsia="宋体" w:cs="宋体"/>
          <w:sz w:val="21"/>
          <w:szCs w:val="21"/>
        </w:rPr>
        <w:t>，每天上午</w:t>
      </w:r>
      <w:r>
        <w:rPr>
          <w:rFonts w:hint="eastAsia" w:ascii="宋体" w:hAnsi="宋体" w:eastAsia="宋体" w:cs="宋体"/>
          <w:sz w:val="21"/>
          <w:szCs w:val="21"/>
          <w:u w:val="single"/>
        </w:rPr>
        <w:t xml:space="preserve"> 8:00</w:t>
      </w:r>
      <w:r>
        <w:rPr>
          <w:rFonts w:hint="eastAsia" w:ascii="宋体" w:hAnsi="宋体" w:eastAsia="宋体" w:cs="宋体"/>
          <w:sz w:val="21"/>
          <w:szCs w:val="21"/>
        </w:rPr>
        <w:t xml:space="preserve">至 </w:t>
      </w:r>
      <w:r>
        <w:rPr>
          <w:rFonts w:hint="eastAsia" w:ascii="宋体" w:hAnsi="宋体" w:eastAsia="宋体" w:cs="宋体"/>
          <w:sz w:val="21"/>
          <w:szCs w:val="21"/>
          <w:u w:val="single"/>
        </w:rPr>
        <w:t xml:space="preserve"> 12:00</w:t>
      </w:r>
      <w:r>
        <w:rPr>
          <w:rFonts w:hint="eastAsia" w:ascii="宋体" w:hAnsi="宋体" w:eastAsia="宋体" w:cs="宋体"/>
          <w:sz w:val="21"/>
          <w:szCs w:val="21"/>
        </w:rPr>
        <w:t>，下午</w:t>
      </w:r>
      <w:r>
        <w:rPr>
          <w:rFonts w:hint="eastAsia" w:ascii="宋体" w:hAnsi="宋体" w:eastAsia="宋体" w:cs="宋体"/>
          <w:sz w:val="21"/>
          <w:szCs w:val="21"/>
          <w:u w:val="single"/>
        </w:rPr>
        <w:t xml:space="preserve">  14:30</w:t>
      </w:r>
      <w:r>
        <w:rPr>
          <w:rFonts w:hint="eastAsia" w:ascii="宋体" w:hAnsi="宋体" w:eastAsia="宋体" w:cs="宋体"/>
          <w:sz w:val="21"/>
          <w:szCs w:val="21"/>
        </w:rPr>
        <w:t xml:space="preserve">至 </w:t>
      </w:r>
      <w:r>
        <w:rPr>
          <w:rFonts w:hint="eastAsia" w:ascii="宋体" w:hAnsi="宋体" w:eastAsia="宋体" w:cs="宋体"/>
          <w:sz w:val="21"/>
          <w:szCs w:val="21"/>
          <w:u w:val="single"/>
        </w:rPr>
        <w:t xml:space="preserve">17:30 </w:t>
      </w:r>
      <w:r>
        <w:rPr>
          <w:rFonts w:hint="eastAsia" w:ascii="宋体" w:hAnsi="宋体" w:eastAsia="宋体" w:cs="宋体"/>
          <w:sz w:val="21"/>
          <w:szCs w:val="21"/>
        </w:rPr>
        <w:t>（北京时间，法定节假日除外 ）</w:t>
      </w:r>
    </w:p>
    <w:p>
      <w:pPr>
        <w:widowControl w:val="0"/>
        <w:spacing w:line="440" w:lineRule="exact"/>
        <w:ind w:firstLine="540"/>
        <w:rPr>
          <w:rFonts w:ascii="宋体" w:hAnsi="宋体" w:eastAsia="宋体" w:cs="宋体"/>
          <w:sz w:val="21"/>
          <w:szCs w:val="21"/>
          <w:u w:val="single"/>
        </w:rPr>
      </w:pPr>
      <w:r>
        <w:rPr>
          <w:rFonts w:hint="eastAsia" w:ascii="宋体" w:hAnsi="宋体" w:eastAsia="宋体" w:cs="宋体"/>
          <w:sz w:val="21"/>
          <w:szCs w:val="21"/>
        </w:rPr>
        <w:t>地点：广西大通建设监理咨询管理有限公司灵山分公司(钦州市灵山县灵城镇常兴路1号)。</w:t>
      </w:r>
    </w:p>
    <w:p>
      <w:pPr>
        <w:widowControl w:val="0"/>
        <w:spacing w:line="440" w:lineRule="exact"/>
        <w:ind w:firstLine="540"/>
        <w:rPr>
          <w:rFonts w:ascii="宋体" w:hAnsi="宋体" w:eastAsia="宋体" w:cs="宋体"/>
          <w:sz w:val="21"/>
          <w:szCs w:val="21"/>
        </w:rPr>
      </w:pPr>
      <w:r>
        <w:rPr>
          <w:rFonts w:hint="eastAsia" w:ascii="宋体" w:hAnsi="宋体" w:eastAsia="宋体" w:cs="宋体"/>
          <w:sz w:val="21"/>
          <w:szCs w:val="21"/>
        </w:rPr>
        <w:t>方式：报名方式为现场报名，报名时需提交以下有效资料的复印件，加盖公章，否则不接受报名。</w:t>
      </w:r>
    </w:p>
    <w:p>
      <w:pPr>
        <w:widowControl w:val="0"/>
        <w:spacing w:line="440" w:lineRule="exact"/>
        <w:ind w:firstLine="540"/>
        <w:rPr>
          <w:rFonts w:hint="eastAsia" w:ascii="宋体" w:hAnsi="宋体" w:eastAsia="宋体" w:cs="宋体"/>
          <w:sz w:val="21"/>
          <w:szCs w:val="21"/>
        </w:rPr>
      </w:pPr>
      <w:r>
        <w:rPr>
          <w:rFonts w:hint="eastAsia" w:ascii="宋体" w:hAnsi="宋体" w:eastAsia="宋体" w:cs="宋体"/>
          <w:sz w:val="21"/>
          <w:szCs w:val="21"/>
        </w:rPr>
        <w:t>须由竞标单位法定代表人或拟投入本项目</w:t>
      </w:r>
      <w:r>
        <w:rPr>
          <w:rFonts w:hint="eastAsia" w:ascii="宋体" w:hAnsi="宋体" w:cs="宋体"/>
          <w:sz w:val="21"/>
          <w:szCs w:val="21"/>
        </w:rPr>
        <w:t>技术负责人</w:t>
      </w:r>
      <w:r>
        <w:rPr>
          <w:rFonts w:hint="eastAsia" w:ascii="宋体" w:hAnsi="宋体" w:eastAsia="宋体" w:cs="宋体"/>
          <w:sz w:val="21"/>
          <w:szCs w:val="21"/>
        </w:rPr>
        <w:t>前来报名并购买</w:t>
      </w:r>
      <w:r>
        <w:rPr>
          <w:rFonts w:hint="eastAsia" w:ascii="宋体" w:hAnsi="宋体" w:cs="宋体"/>
          <w:sz w:val="21"/>
          <w:szCs w:val="21"/>
        </w:rPr>
        <w:t>磋商</w:t>
      </w:r>
      <w:r>
        <w:rPr>
          <w:rFonts w:hint="eastAsia" w:ascii="宋体" w:hAnsi="宋体" w:eastAsia="宋体" w:cs="宋体"/>
          <w:sz w:val="21"/>
          <w:szCs w:val="21"/>
        </w:rPr>
        <w:t>文件资料，须携带如下复印件壹份（注：复印件要加盖公章）：法定代表人或委托代理人身份证，非法定代表人携带法定代表人授权书原件和主体资格证明（如营业执照等）,投标人在“信用中国”网站(www.creditchina.gov.cn)失信被执行人、重大税收违法案件当事人名单、政府采购严重违法失信行为的信用查询记录结果页面。</w:t>
      </w:r>
    </w:p>
    <w:p>
      <w:pPr>
        <w:widowControl w:val="0"/>
        <w:spacing w:line="440" w:lineRule="exact"/>
        <w:ind w:firstLine="540"/>
        <w:rPr>
          <w:rFonts w:ascii="宋体" w:hAnsi="宋体" w:eastAsia="宋体" w:cs="宋体"/>
          <w:sz w:val="21"/>
          <w:szCs w:val="21"/>
        </w:rPr>
      </w:pPr>
      <w:r>
        <w:rPr>
          <w:rFonts w:hint="eastAsia" w:ascii="宋体" w:hAnsi="宋体" w:eastAsia="宋体" w:cs="宋体"/>
          <w:sz w:val="21"/>
          <w:szCs w:val="21"/>
        </w:rPr>
        <w:t>售价：</w:t>
      </w:r>
      <w:r>
        <w:rPr>
          <w:rFonts w:hint="eastAsia" w:ascii="宋体" w:hAnsi="宋体" w:cs="宋体"/>
          <w:sz w:val="21"/>
          <w:szCs w:val="21"/>
        </w:rPr>
        <w:t>采购文件</w:t>
      </w:r>
      <w:r>
        <w:rPr>
          <w:rFonts w:hint="eastAsia" w:ascii="宋体" w:hAnsi="宋体" w:eastAsia="宋体" w:cs="宋体"/>
          <w:sz w:val="21"/>
          <w:szCs w:val="21"/>
        </w:rPr>
        <w:t>工本费每本250元（不含资料费），售后不退。(本项目不代办邮寄，不提供电子版</w:t>
      </w:r>
      <w:r>
        <w:rPr>
          <w:rFonts w:hint="eastAsia" w:ascii="宋体" w:hAnsi="宋体" w:cs="宋体"/>
          <w:sz w:val="21"/>
          <w:szCs w:val="21"/>
        </w:rPr>
        <w:t>采购文件</w:t>
      </w:r>
      <w:r>
        <w:rPr>
          <w:rFonts w:hint="eastAsia" w:ascii="宋体" w:hAnsi="宋体" w:eastAsia="宋体" w:cs="宋体"/>
          <w:sz w:val="21"/>
          <w:szCs w:val="21"/>
        </w:rPr>
        <w:t>)。</w:t>
      </w:r>
    </w:p>
    <w:p>
      <w:pPr>
        <w:widowControl w:val="0"/>
        <w:spacing w:line="440" w:lineRule="exact"/>
        <w:rPr>
          <w:rFonts w:ascii="黑体" w:hAnsi="黑体" w:eastAsia="黑体" w:cs="黑体"/>
          <w:sz w:val="24"/>
          <w:szCs w:val="24"/>
        </w:rPr>
      </w:pPr>
      <w:bookmarkStart w:id="10" w:name="_Toc35393632"/>
      <w:bookmarkStart w:id="11" w:name="_Toc35393801"/>
      <w:bookmarkStart w:id="12" w:name="_Toc28359015"/>
      <w:bookmarkStart w:id="13" w:name="_Toc28359092"/>
      <w:r>
        <w:rPr>
          <w:rFonts w:hint="eastAsia" w:ascii="黑体" w:hAnsi="黑体" w:eastAsia="黑体" w:cs="黑体"/>
          <w:sz w:val="24"/>
          <w:szCs w:val="24"/>
        </w:rPr>
        <w:t>四、响应文件提交</w:t>
      </w:r>
      <w:bookmarkEnd w:id="10"/>
      <w:bookmarkEnd w:id="11"/>
      <w:bookmarkEnd w:id="12"/>
      <w:bookmarkEnd w:id="13"/>
    </w:p>
    <w:p>
      <w:pPr>
        <w:widowControl w:val="0"/>
        <w:spacing w:line="440" w:lineRule="exact"/>
        <w:ind w:firstLine="420" w:firstLineChars="200"/>
        <w:rPr>
          <w:rFonts w:ascii="宋体" w:hAnsi="宋体" w:eastAsia="宋体" w:cs="宋体"/>
          <w:bCs/>
          <w:sz w:val="21"/>
          <w:szCs w:val="21"/>
        </w:rPr>
      </w:pPr>
      <w:r>
        <w:rPr>
          <w:rFonts w:hint="eastAsia" w:ascii="宋体" w:hAnsi="宋体" w:eastAsia="宋体" w:cs="宋体"/>
          <w:sz w:val="21"/>
          <w:szCs w:val="21"/>
        </w:rPr>
        <w:t>截止时间：</w:t>
      </w:r>
      <w:r>
        <w:rPr>
          <w:rFonts w:hint="eastAsia" w:ascii="宋体" w:hAnsi="宋体" w:eastAsia="宋体" w:cs="宋体"/>
          <w:sz w:val="21"/>
          <w:szCs w:val="21"/>
          <w:u w:val="single"/>
        </w:rPr>
        <w:t xml:space="preserve"> 2020 </w:t>
      </w:r>
      <w:r>
        <w:rPr>
          <w:rFonts w:hint="eastAsia" w:ascii="宋体" w:hAnsi="宋体" w:eastAsia="宋体" w:cs="宋体"/>
          <w:bCs/>
          <w:sz w:val="21"/>
          <w:szCs w:val="21"/>
          <w:u w:val="single"/>
        </w:rPr>
        <w:t>年</w:t>
      </w:r>
      <w:r>
        <w:rPr>
          <w:rFonts w:hint="eastAsia" w:ascii="宋体" w:hAnsi="宋体" w:cs="宋体"/>
          <w:bCs/>
          <w:sz w:val="21"/>
          <w:szCs w:val="21"/>
          <w:u w:val="single"/>
        </w:rPr>
        <w:t>11</w:t>
      </w:r>
      <w:r>
        <w:rPr>
          <w:rFonts w:hint="eastAsia" w:ascii="宋体" w:hAnsi="宋体" w:eastAsia="宋体" w:cs="宋体"/>
          <w:bCs/>
          <w:sz w:val="21"/>
          <w:szCs w:val="21"/>
          <w:u w:val="single"/>
        </w:rPr>
        <w:t>月</w:t>
      </w:r>
      <w:r>
        <w:rPr>
          <w:rFonts w:hint="eastAsia" w:ascii="宋体" w:hAnsi="宋体" w:eastAsia="宋体" w:cs="宋体"/>
          <w:bCs/>
          <w:sz w:val="21"/>
          <w:szCs w:val="21"/>
          <w:u w:val="single"/>
          <w:lang w:val="en-US" w:eastAsia="zh-CN"/>
        </w:rPr>
        <w:t>20</w:t>
      </w:r>
      <w:r>
        <w:rPr>
          <w:rFonts w:hint="eastAsia" w:ascii="宋体" w:hAnsi="宋体" w:eastAsia="宋体" w:cs="宋体"/>
          <w:bCs/>
          <w:sz w:val="21"/>
          <w:szCs w:val="21"/>
          <w:u w:val="single"/>
        </w:rPr>
        <w:t>日</w:t>
      </w:r>
      <w:r>
        <w:rPr>
          <w:rFonts w:hint="eastAsia" w:ascii="宋体" w:hAnsi="宋体" w:cs="宋体"/>
          <w:bCs/>
          <w:sz w:val="21"/>
          <w:szCs w:val="21"/>
          <w:u w:val="single"/>
        </w:rPr>
        <w:t>9</w:t>
      </w:r>
      <w:r>
        <w:rPr>
          <w:rFonts w:hint="eastAsia" w:ascii="宋体" w:hAnsi="宋体" w:eastAsia="宋体" w:cs="宋体"/>
          <w:bCs/>
          <w:sz w:val="21"/>
          <w:szCs w:val="21"/>
          <w:u w:val="single"/>
        </w:rPr>
        <w:t>点30 分</w:t>
      </w:r>
      <w:r>
        <w:rPr>
          <w:rFonts w:hint="eastAsia" w:ascii="宋体" w:hAnsi="宋体" w:eastAsia="宋体" w:cs="宋体"/>
          <w:bCs/>
          <w:sz w:val="21"/>
          <w:szCs w:val="21"/>
        </w:rPr>
        <w:t>（北京时间）</w:t>
      </w:r>
    </w:p>
    <w:p>
      <w:pPr>
        <w:widowControl w:val="0"/>
        <w:spacing w:line="440" w:lineRule="exact"/>
        <w:ind w:firstLine="420" w:firstLineChars="200"/>
        <w:rPr>
          <w:rFonts w:ascii="宋体" w:hAnsi="宋体" w:eastAsia="宋体" w:cs="宋体"/>
          <w:bCs/>
          <w:sz w:val="21"/>
          <w:szCs w:val="21"/>
          <w:u w:val="single"/>
        </w:rPr>
      </w:pPr>
      <w:r>
        <w:rPr>
          <w:rFonts w:hint="eastAsia" w:ascii="宋体" w:hAnsi="宋体" w:eastAsia="宋体" w:cs="宋体"/>
          <w:sz w:val="21"/>
          <w:szCs w:val="21"/>
        </w:rPr>
        <w:t>地点：广西大通建设监理咨询管理有限公司灵山分公司(钦州市灵山县灵城镇常兴路1号)</w:t>
      </w:r>
    </w:p>
    <w:p>
      <w:pPr>
        <w:widowControl w:val="0"/>
        <w:spacing w:line="440" w:lineRule="exact"/>
        <w:rPr>
          <w:rFonts w:ascii="黑体" w:hAnsi="黑体" w:eastAsia="黑体" w:cs="黑体"/>
          <w:sz w:val="24"/>
          <w:szCs w:val="24"/>
        </w:rPr>
      </w:pPr>
      <w:bookmarkStart w:id="14" w:name="_Toc35393802"/>
      <w:bookmarkStart w:id="15" w:name="_Toc35393633"/>
      <w:bookmarkStart w:id="16" w:name="_Toc28359016"/>
      <w:bookmarkStart w:id="17" w:name="_Toc28359093"/>
      <w:r>
        <w:rPr>
          <w:rFonts w:hint="eastAsia" w:ascii="黑体" w:hAnsi="黑体" w:eastAsia="黑体" w:cs="黑体"/>
          <w:sz w:val="24"/>
          <w:szCs w:val="24"/>
        </w:rPr>
        <w:t>五、开启</w:t>
      </w:r>
      <w:bookmarkEnd w:id="14"/>
      <w:bookmarkEnd w:id="15"/>
      <w:bookmarkEnd w:id="16"/>
      <w:bookmarkEnd w:id="17"/>
    </w:p>
    <w:p>
      <w:pPr>
        <w:widowControl w:val="0"/>
        <w:spacing w:line="440" w:lineRule="exact"/>
        <w:ind w:firstLine="420" w:firstLineChars="200"/>
        <w:rPr>
          <w:rFonts w:ascii="宋体" w:hAnsi="宋体" w:eastAsia="宋体" w:cs="宋体"/>
          <w:sz w:val="21"/>
          <w:szCs w:val="21"/>
        </w:rPr>
      </w:pPr>
      <w:r>
        <w:rPr>
          <w:rFonts w:hint="eastAsia" w:ascii="宋体" w:hAnsi="宋体" w:eastAsia="宋体" w:cs="宋体"/>
          <w:sz w:val="21"/>
          <w:szCs w:val="21"/>
        </w:rPr>
        <w:t>时间：</w:t>
      </w:r>
      <w:r>
        <w:rPr>
          <w:rFonts w:hint="eastAsia" w:ascii="宋体" w:hAnsi="宋体" w:eastAsia="宋体" w:cs="宋体"/>
          <w:sz w:val="21"/>
          <w:szCs w:val="21"/>
          <w:u w:val="single"/>
        </w:rPr>
        <w:t xml:space="preserve">  2020 </w:t>
      </w:r>
      <w:r>
        <w:rPr>
          <w:rFonts w:hint="eastAsia" w:ascii="宋体" w:hAnsi="宋体" w:eastAsia="宋体" w:cs="宋体"/>
          <w:bCs/>
          <w:sz w:val="21"/>
          <w:szCs w:val="21"/>
          <w:u w:val="single"/>
        </w:rPr>
        <w:t>年</w:t>
      </w:r>
      <w:r>
        <w:rPr>
          <w:rFonts w:hint="eastAsia" w:ascii="宋体" w:hAnsi="宋体" w:cs="宋体"/>
          <w:bCs/>
          <w:sz w:val="21"/>
          <w:szCs w:val="21"/>
          <w:u w:val="single"/>
        </w:rPr>
        <w:t>11</w:t>
      </w:r>
      <w:r>
        <w:rPr>
          <w:rFonts w:hint="eastAsia" w:ascii="宋体" w:hAnsi="宋体" w:eastAsia="宋体" w:cs="宋体"/>
          <w:bCs/>
          <w:sz w:val="21"/>
          <w:szCs w:val="21"/>
          <w:u w:val="single"/>
        </w:rPr>
        <w:t>月</w:t>
      </w:r>
      <w:r>
        <w:rPr>
          <w:rFonts w:hint="eastAsia" w:ascii="宋体" w:hAnsi="宋体" w:eastAsia="宋体" w:cs="宋体"/>
          <w:bCs/>
          <w:sz w:val="21"/>
          <w:szCs w:val="21"/>
          <w:u w:val="single"/>
          <w:lang w:val="en-US" w:eastAsia="zh-CN"/>
        </w:rPr>
        <w:t>20</w:t>
      </w:r>
      <w:r>
        <w:rPr>
          <w:rFonts w:hint="eastAsia" w:ascii="宋体" w:hAnsi="宋体" w:eastAsia="宋体" w:cs="宋体"/>
          <w:bCs/>
          <w:sz w:val="21"/>
          <w:szCs w:val="21"/>
          <w:u w:val="single"/>
        </w:rPr>
        <w:t>日</w:t>
      </w:r>
      <w:r>
        <w:rPr>
          <w:rFonts w:hint="eastAsia" w:ascii="宋体" w:hAnsi="宋体" w:cs="宋体"/>
          <w:bCs/>
          <w:sz w:val="21"/>
          <w:szCs w:val="21"/>
          <w:u w:val="single"/>
        </w:rPr>
        <w:t>9</w:t>
      </w:r>
      <w:r>
        <w:rPr>
          <w:rFonts w:hint="eastAsia" w:ascii="宋体" w:hAnsi="宋体" w:eastAsia="宋体" w:cs="宋体"/>
          <w:bCs/>
          <w:sz w:val="21"/>
          <w:szCs w:val="21"/>
          <w:u w:val="single"/>
        </w:rPr>
        <w:t>点30 分</w:t>
      </w:r>
      <w:r>
        <w:rPr>
          <w:rFonts w:hint="eastAsia" w:ascii="宋体" w:hAnsi="宋体" w:eastAsia="宋体" w:cs="宋体"/>
          <w:sz w:val="21"/>
          <w:szCs w:val="21"/>
        </w:rPr>
        <w:t>（北京时间）</w:t>
      </w:r>
    </w:p>
    <w:p>
      <w:pPr>
        <w:widowControl w:val="0"/>
        <w:spacing w:line="440" w:lineRule="exact"/>
        <w:ind w:firstLine="420" w:firstLineChars="200"/>
        <w:rPr>
          <w:rFonts w:ascii="宋体" w:hAnsi="宋体" w:eastAsia="宋体" w:cs="宋体"/>
          <w:bCs/>
          <w:sz w:val="21"/>
          <w:szCs w:val="21"/>
          <w:u w:val="single"/>
        </w:rPr>
      </w:pPr>
      <w:r>
        <w:rPr>
          <w:rFonts w:hint="eastAsia" w:ascii="宋体" w:hAnsi="宋体" w:eastAsia="宋体" w:cs="宋体"/>
          <w:sz w:val="21"/>
          <w:szCs w:val="21"/>
        </w:rPr>
        <w:t>地点：广西大通建设监理咨询管理有限公司灵山分公司(钦州市灵山县灵城镇常兴路1号)</w:t>
      </w:r>
    </w:p>
    <w:p>
      <w:pPr>
        <w:widowControl w:val="0"/>
        <w:spacing w:line="440" w:lineRule="exact"/>
        <w:rPr>
          <w:rFonts w:ascii="黑体" w:hAnsi="黑体" w:eastAsia="黑体" w:cs="黑体"/>
          <w:sz w:val="24"/>
          <w:szCs w:val="24"/>
        </w:rPr>
      </w:pPr>
      <w:bookmarkStart w:id="18" w:name="_Toc28359017"/>
      <w:bookmarkStart w:id="19" w:name="_Toc35393803"/>
      <w:bookmarkStart w:id="20" w:name="_Toc35393634"/>
      <w:bookmarkStart w:id="21" w:name="_Toc28359094"/>
      <w:r>
        <w:rPr>
          <w:rFonts w:hint="eastAsia" w:ascii="黑体" w:hAnsi="黑体" w:eastAsia="黑体" w:cs="黑体"/>
          <w:sz w:val="24"/>
          <w:szCs w:val="24"/>
        </w:rPr>
        <w:t>六、公告期限</w:t>
      </w:r>
      <w:bookmarkEnd w:id="18"/>
      <w:bookmarkEnd w:id="19"/>
      <w:bookmarkEnd w:id="20"/>
      <w:bookmarkEnd w:id="21"/>
    </w:p>
    <w:p>
      <w:pPr>
        <w:widowControl w:val="0"/>
        <w:spacing w:line="440" w:lineRule="exact"/>
        <w:ind w:firstLine="420" w:firstLineChars="200"/>
        <w:rPr>
          <w:rFonts w:ascii="宋体" w:hAnsi="宋体" w:eastAsia="宋体" w:cs="宋体"/>
          <w:sz w:val="21"/>
          <w:szCs w:val="21"/>
        </w:rPr>
      </w:pPr>
      <w:r>
        <w:rPr>
          <w:rFonts w:hint="eastAsia" w:ascii="宋体" w:hAnsi="宋体" w:eastAsia="宋体" w:cs="宋体"/>
          <w:sz w:val="21"/>
          <w:szCs w:val="21"/>
        </w:rPr>
        <w:t>自本公告发布之日起</w:t>
      </w:r>
      <w:r>
        <w:rPr>
          <w:rFonts w:hint="eastAsia" w:ascii="宋体" w:hAnsi="宋体" w:cs="宋体"/>
          <w:sz w:val="21"/>
          <w:szCs w:val="21"/>
        </w:rPr>
        <w:t>5</w:t>
      </w:r>
      <w:r>
        <w:rPr>
          <w:rFonts w:hint="eastAsia" w:ascii="宋体" w:hAnsi="宋体" w:eastAsia="宋体" w:cs="宋体"/>
          <w:sz w:val="21"/>
          <w:szCs w:val="21"/>
        </w:rPr>
        <w:t>个工作日。</w:t>
      </w:r>
    </w:p>
    <w:p>
      <w:pPr>
        <w:widowControl w:val="0"/>
        <w:spacing w:line="440" w:lineRule="exact"/>
        <w:rPr>
          <w:rFonts w:ascii="黑体" w:hAnsi="黑体" w:eastAsia="黑体" w:cs="黑体"/>
          <w:sz w:val="24"/>
          <w:szCs w:val="24"/>
        </w:rPr>
      </w:pPr>
      <w:bookmarkStart w:id="22" w:name="_Toc35393804"/>
      <w:bookmarkStart w:id="23" w:name="_Toc35393635"/>
      <w:r>
        <w:rPr>
          <w:rFonts w:hint="eastAsia" w:ascii="黑体" w:hAnsi="黑体" w:eastAsia="黑体" w:cs="黑体"/>
          <w:sz w:val="24"/>
          <w:szCs w:val="24"/>
        </w:rPr>
        <w:t>七、其他补充事宜</w:t>
      </w:r>
      <w:bookmarkEnd w:id="22"/>
      <w:bookmarkEnd w:id="23"/>
    </w:p>
    <w:p>
      <w:pPr>
        <w:widowControl w:val="0"/>
        <w:spacing w:line="440" w:lineRule="exact"/>
        <w:ind w:firstLine="420" w:firstLineChars="200"/>
        <w:rPr>
          <w:rFonts w:ascii="宋体" w:hAnsi="宋体" w:eastAsia="宋体" w:cs="宋体"/>
          <w:sz w:val="21"/>
          <w:szCs w:val="21"/>
        </w:rPr>
      </w:pPr>
      <w:r>
        <w:rPr>
          <w:rFonts w:hint="eastAsia" w:ascii="宋体" w:hAnsi="宋体" w:eastAsia="宋体" w:cs="宋体"/>
          <w:sz w:val="21"/>
          <w:szCs w:val="21"/>
        </w:rPr>
        <w:t>投标保证金</w:t>
      </w:r>
      <w:r>
        <w:rPr>
          <w:rFonts w:hint="eastAsia" w:ascii="宋体" w:hAnsi="宋体" w:cs="宋体"/>
          <w:sz w:val="21"/>
          <w:szCs w:val="21"/>
        </w:rPr>
        <w:t>捌仟元整</w:t>
      </w:r>
      <w:r>
        <w:rPr>
          <w:rFonts w:hint="eastAsia" w:ascii="宋体" w:hAnsi="宋体" w:eastAsia="宋体" w:cs="宋体"/>
          <w:sz w:val="21"/>
          <w:szCs w:val="21"/>
        </w:rPr>
        <w:t>（￥</w:t>
      </w:r>
      <w:r>
        <w:rPr>
          <w:rFonts w:hint="eastAsia" w:ascii="宋体" w:hAnsi="宋体" w:cs="宋体"/>
          <w:sz w:val="21"/>
          <w:szCs w:val="21"/>
        </w:rPr>
        <w:t>8000</w:t>
      </w:r>
      <w:r>
        <w:rPr>
          <w:rFonts w:hint="eastAsia" w:ascii="宋体" w:hAnsi="宋体" w:eastAsia="宋体" w:cs="宋体"/>
          <w:sz w:val="21"/>
          <w:szCs w:val="21"/>
        </w:rPr>
        <w:t>.00）</w:t>
      </w:r>
    </w:p>
    <w:p>
      <w:pPr>
        <w:widowControl w:val="0"/>
        <w:spacing w:line="440" w:lineRule="exact"/>
        <w:ind w:firstLine="540"/>
        <w:rPr>
          <w:rFonts w:ascii="宋体" w:hAnsi="宋体" w:eastAsia="宋体" w:cs="宋体"/>
          <w:sz w:val="28"/>
          <w:szCs w:val="28"/>
        </w:rPr>
      </w:pPr>
      <w:r>
        <w:rPr>
          <w:rFonts w:hint="eastAsia" w:ascii="宋体" w:hAnsi="宋体" w:cs="宋体"/>
          <w:sz w:val="21"/>
          <w:szCs w:val="21"/>
        </w:rPr>
        <w:t>磋商</w:t>
      </w:r>
      <w:r>
        <w:rPr>
          <w:rFonts w:hint="eastAsia" w:ascii="宋体" w:hAnsi="宋体" w:eastAsia="宋体" w:cs="宋体"/>
          <w:sz w:val="21"/>
          <w:szCs w:val="21"/>
        </w:rPr>
        <w:t>人应至开标截止时间（2020年</w:t>
      </w:r>
      <w:r>
        <w:rPr>
          <w:rFonts w:hint="eastAsia" w:ascii="宋体" w:hAnsi="宋体" w:cs="宋体"/>
          <w:sz w:val="21"/>
          <w:szCs w:val="21"/>
        </w:rPr>
        <w:t>11</w:t>
      </w:r>
      <w:r>
        <w:rPr>
          <w:rFonts w:hint="eastAsia" w:ascii="宋体" w:hAnsi="宋体" w:eastAsia="宋体" w:cs="宋体"/>
          <w:sz w:val="21"/>
          <w:szCs w:val="21"/>
        </w:rPr>
        <w:t>月</w:t>
      </w:r>
      <w:r>
        <w:rPr>
          <w:rFonts w:hint="eastAsia" w:ascii="宋体" w:hAnsi="宋体" w:eastAsia="宋体" w:cs="宋体"/>
          <w:sz w:val="21"/>
          <w:szCs w:val="21"/>
          <w:lang w:val="en-US" w:eastAsia="zh-CN"/>
        </w:rPr>
        <w:t>20</w:t>
      </w:r>
      <w:r>
        <w:rPr>
          <w:rFonts w:hint="eastAsia" w:ascii="宋体" w:hAnsi="宋体" w:eastAsia="宋体" w:cs="宋体"/>
          <w:sz w:val="21"/>
          <w:szCs w:val="21"/>
        </w:rPr>
        <w:t>日</w:t>
      </w:r>
      <w:r>
        <w:rPr>
          <w:rFonts w:hint="eastAsia" w:ascii="宋体" w:hAnsi="宋体" w:cs="宋体"/>
          <w:sz w:val="21"/>
          <w:szCs w:val="21"/>
        </w:rPr>
        <w:t>9</w:t>
      </w:r>
      <w:r>
        <w:rPr>
          <w:rFonts w:hint="eastAsia" w:ascii="宋体" w:hAnsi="宋体" w:eastAsia="宋体" w:cs="宋体"/>
          <w:sz w:val="21"/>
          <w:szCs w:val="21"/>
        </w:rPr>
        <w:t>时30分）前将投标保证金以电汇、转帐、汇票等非现金形式交至以下账户。</w:t>
      </w:r>
    </w:p>
    <w:p>
      <w:pPr>
        <w:widowControl w:val="0"/>
        <w:spacing w:line="440" w:lineRule="exact"/>
        <w:ind w:firstLine="540"/>
        <w:rPr>
          <w:rFonts w:ascii="宋体" w:hAnsi="宋体" w:eastAsia="宋体" w:cs="宋体"/>
          <w:sz w:val="21"/>
          <w:szCs w:val="21"/>
          <w:lang w:val="zh-CN"/>
        </w:rPr>
      </w:pPr>
      <w:r>
        <w:rPr>
          <w:rFonts w:hint="eastAsia" w:ascii="宋体" w:hAnsi="宋体" w:eastAsia="宋体" w:cs="宋体"/>
          <w:sz w:val="21"/>
          <w:szCs w:val="21"/>
          <w:lang w:val="zh-CN"/>
        </w:rPr>
        <w:t xml:space="preserve">开户名称：广西大通建设监理咨询管理有限公司灵山分公司    </w:t>
      </w:r>
    </w:p>
    <w:p>
      <w:pPr>
        <w:widowControl w:val="0"/>
        <w:spacing w:line="440" w:lineRule="exact"/>
        <w:ind w:firstLine="540"/>
        <w:rPr>
          <w:rFonts w:ascii="宋体" w:hAnsi="宋体" w:eastAsia="宋体" w:cs="宋体"/>
          <w:sz w:val="21"/>
          <w:szCs w:val="21"/>
        </w:rPr>
      </w:pPr>
      <w:r>
        <w:rPr>
          <w:rFonts w:hint="eastAsia" w:ascii="宋体" w:hAnsi="宋体" w:eastAsia="宋体" w:cs="宋体"/>
          <w:sz w:val="21"/>
          <w:szCs w:val="21"/>
          <w:lang w:val="zh-CN"/>
        </w:rPr>
        <w:t>开户银行：中国</w:t>
      </w:r>
      <w:r>
        <w:rPr>
          <w:rFonts w:hint="eastAsia" w:ascii="宋体" w:hAnsi="宋体" w:eastAsia="宋体" w:cs="宋体"/>
          <w:sz w:val="21"/>
          <w:szCs w:val="21"/>
        </w:rPr>
        <w:t>建设银行股份有限公司灵山县丰江支行</w:t>
      </w:r>
    </w:p>
    <w:p>
      <w:pPr>
        <w:widowControl w:val="0"/>
        <w:spacing w:line="440" w:lineRule="exact"/>
        <w:ind w:firstLine="540"/>
        <w:rPr>
          <w:rFonts w:ascii="宋体" w:hAnsi="宋体" w:eastAsia="宋体" w:cs="宋体"/>
          <w:b/>
          <w:bCs/>
          <w:sz w:val="28"/>
          <w:szCs w:val="28"/>
        </w:rPr>
      </w:pPr>
      <w:r>
        <w:rPr>
          <w:rFonts w:hint="eastAsia" w:ascii="宋体" w:hAnsi="宋体" w:eastAsia="宋体" w:cs="宋体"/>
          <w:sz w:val="21"/>
          <w:szCs w:val="21"/>
          <w:lang w:val="zh-CN"/>
        </w:rPr>
        <w:t>银行账号：</w:t>
      </w:r>
      <w:r>
        <w:rPr>
          <w:rFonts w:hint="eastAsia" w:ascii="宋体" w:hAnsi="宋体" w:eastAsia="宋体" w:cs="宋体"/>
          <w:sz w:val="21"/>
          <w:szCs w:val="21"/>
        </w:rPr>
        <w:t>45050165755500000584</w:t>
      </w:r>
      <w:r>
        <w:rPr>
          <w:rFonts w:hint="eastAsia" w:ascii="宋体" w:hAnsi="宋体" w:eastAsia="宋体" w:cs="宋体"/>
          <w:sz w:val="28"/>
          <w:szCs w:val="28"/>
        </w:rPr>
        <w:t xml:space="preserve"> </w:t>
      </w:r>
      <w:r>
        <w:rPr>
          <w:rFonts w:hint="eastAsia" w:ascii="宋体" w:hAnsi="宋体" w:eastAsia="宋体" w:cs="宋体"/>
          <w:b/>
          <w:bCs/>
          <w:sz w:val="28"/>
          <w:szCs w:val="28"/>
        </w:rPr>
        <w:t xml:space="preserve"> </w:t>
      </w:r>
    </w:p>
    <w:p>
      <w:pPr>
        <w:widowControl w:val="0"/>
        <w:spacing w:line="440" w:lineRule="exact"/>
        <w:rPr>
          <w:rFonts w:ascii="黑体" w:hAnsi="黑体" w:eastAsia="黑体" w:cs="黑体"/>
          <w:sz w:val="24"/>
          <w:szCs w:val="24"/>
        </w:rPr>
      </w:pPr>
      <w:r>
        <w:rPr>
          <w:rFonts w:hint="eastAsia" w:ascii="宋体" w:hAnsi="宋体" w:eastAsia="宋体" w:cs="宋体"/>
          <w:b/>
          <w:bCs/>
          <w:sz w:val="28"/>
          <w:szCs w:val="28"/>
        </w:rPr>
        <w:t xml:space="preserve"> </w:t>
      </w:r>
      <w:r>
        <w:rPr>
          <w:rFonts w:hint="eastAsia" w:ascii="黑体" w:hAnsi="黑体" w:eastAsia="黑体" w:cs="黑体"/>
          <w:sz w:val="24"/>
          <w:szCs w:val="24"/>
        </w:rPr>
        <w:t>八、对本次采购提出询问，请按以下方式联系。</w:t>
      </w:r>
    </w:p>
    <w:p>
      <w:pPr>
        <w:widowControl w:val="0"/>
        <w:spacing w:line="440" w:lineRule="exact"/>
        <w:ind w:firstLine="420" w:firstLineChars="200"/>
        <w:rPr>
          <w:rFonts w:ascii="宋体" w:hAnsi="宋体" w:eastAsia="宋体" w:cs="宋体"/>
          <w:sz w:val="21"/>
          <w:szCs w:val="21"/>
        </w:rPr>
      </w:pPr>
      <w:bookmarkStart w:id="24" w:name="_Toc28359096"/>
      <w:bookmarkStart w:id="25" w:name="_Toc35393806"/>
      <w:bookmarkStart w:id="26" w:name="_Toc28359019"/>
      <w:bookmarkStart w:id="27" w:name="_Toc35393637"/>
      <w:r>
        <w:rPr>
          <w:rFonts w:hint="eastAsia" w:ascii="宋体" w:hAnsi="宋体" w:eastAsia="宋体" w:cs="宋体"/>
          <w:sz w:val="21"/>
          <w:szCs w:val="21"/>
        </w:rPr>
        <w:t>1.采购人信息</w:t>
      </w:r>
      <w:bookmarkEnd w:id="24"/>
      <w:bookmarkEnd w:id="25"/>
      <w:bookmarkEnd w:id="26"/>
      <w:bookmarkEnd w:id="27"/>
    </w:p>
    <w:p>
      <w:pPr>
        <w:widowControl w:val="0"/>
        <w:spacing w:line="440" w:lineRule="exact"/>
        <w:ind w:firstLine="420" w:firstLineChars="200"/>
        <w:rPr>
          <w:rFonts w:ascii="宋体" w:hAnsi="宋体" w:eastAsia="宋体" w:cs="宋体"/>
          <w:sz w:val="21"/>
          <w:szCs w:val="21"/>
        </w:rPr>
      </w:pPr>
      <w:r>
        <w:rPr>
          <w:rFonts w:hint="eastAsia" w:ascii="宋体" w:hAnsi="宋体" w:eastAsia="宋体" w:cs="宋体"/>
          <w:sz w:val="21"/>
          <w:szCs w:val="21"/>
        </w:rPr>
        <w:t>名称：灵山县公安局</w:t>
      </w:r>
    </w:p>
    <w:p>
      <w:pPr>
        <w:widowControl w:val="0"/>
        <w:spacing w:line="440" w:lineRule="exact"/>
        <w:ind w:firstLine="420" w:firstLineChars="200"/>
        <w:rPr>
          <w:rFonts w:ascii="宋体" w:hAnsi="宋体" w:eastAsia="宋体" w:cs="宋体"/>
          <w:sz w:val="21"/>
          <w:szCs w:val="21"/>
        </w:rPr>
      </w:pPr>
      <w:r>
        <w:rPr>
          <w:rFonts w:hint="eastAsia" w:ascii="宋体" w:hAnsi="宋体" w:eastAsia="宋体" w:cs="宋体"/>
          <w:sz w:val="21"/>
          <w:szCs w:val="21"/>
        </w:rPr>
        <w:t>地址：灵山县三海街道荔香大道2688号</w:t>
      </w:r>
    </w:p>
    <w:p>
      <w:pPr>
        <w:widowControl w:val="0"/>
        <w:spacing w:line="440" w:lineRule="exact"/>
        <w:ind w:firstLine="420" w:firstLineChars="200"/>
        <w:rPr>
          <w:rFonts w:ascii="宋体" w:hAnsi="宋体" w:eastAsia="宋体" w:cs="宋体"/>
          <w:sz w:val="21"/>
          <w:szCs w:val="21"/>
        </w:rPr>
      </w:pPr>
      <w:r>
        <w:rPr>
          <w:rFonts w:hint="eastAsia" w:ascii="宋体" w:hAnsi="宋体" w:eastAsia="宋体" w:cs="宋体"/>
          <w:sz w:val="21"/>
          <w:szCs w:val="21"/>
        </w:rPr>
        <w:t>联系方式：</w:t>
      </w:r>
      <w:r>
        <w:rPr>
          <w:rFonts w:hint="eastAsia" w:ascii="宋体" w:hAnsi="宋体" w:cs="宋体"/>
          <w:sz w:val="21"/>
          <w:szCs w:val="21"/>
          <w:u w:val="dotted"/>
        </w:rPr>
        <w:t>施洋洋</w:t>
      </w:r>
      <w:r>
        <w:rPr>
          <w:rFonts w:hint="eastAsia" w:ascii="宋体" w:hAnsi="宋体" w:eastAsia="宋体" w:cs="宋体"/>
          <w:sz w:val="21"/>
          <w:szCs w:val="21"/>
        </w:rPr>
        <w:t xml:space="preserve"> </w:t>
      </w:r>
      <w:r>
        <w:rPr>
          <w:rFonts w:hint="eastAsia" w:ascii="宋体" w:hAnsi="宋体" w:cs="宋体"/>
          <w:sz w:val="21"/>
          <w:szCs w:val="21"/>
        </w:rPr>
        <w:t>13737750460</w:t>
      </w:r>
    </w:p>
    <w:p>
      <w:pPr>
        <w:widowControl w:val="0"/>
        <w:spacing w:line="440" w:lineRule="exact"/>
        <w:ind w:firstLine="420" w:firstLineChars="200"/>
        <w:rPr>
          <w:rFonts w:ascii="宋体" w:hAnsi="宋体" w:eastAsia="宋体" w:cs="宋体"/>
          <w:sz w:val="21"/>
          <w:szCs w:val="21"/>
        </w:rPr>
      </w:pPr>
      <w:r>
        <w:rPr>
          <w:rFonts w:hint="eastAsia" w:ascii="宋体" w:hAnsi="宋体" w:eastAsia="宋体" w:cs="宋体"/>
          <w:sz w:val="21"/>
          <w:szCs w:val="21"/>
        </w:rPr>
        <w:t>2.采购代理机构信息</w:t>
      </w:r>
    </w:p>
    <w:p>
      <w:pPr>
        <w:widowControl w:val="0"/>
        <w:spacing w:line="440" w:lineRule="exact"/>
        <w:ind w:firstLine="420" w:firstLineChars="200"/>
        <w:rPr>
          <w:rFonts w:ascii="宋体" w:hAnsi="宋体" w:eastAsia="宋体" w:cs="宋体"/>
          <w:sz w:val="21"/>
          <w:szCs w:val="21"/>
        </w:rPr>
      </w:pPr>
      <w:r>
        <w:rPr>
          <w:rFonts w:hint="eastAsia" w:ascii="宋体" w:hAnsi="宋体" w:eastAsia="宋体" w:cs="宋体"/>
          <w:sz w:val="21"/>
          <w:szCs w:val="21"/>
        </w:rPr>
        <w:t>名称：</w:t>
      </w:r>
      <w:r>
        <w:rPr>
          <w:rFonts w:hint="eastAsia" w:ascii="宋体" w:hAnsi="宋体" w:eastAsia="宋体" w:cs="宋体"/>
          <w:sz w:val="21"/>
          <w:szCs w:val="21"/>
          <w:lang w:val="zh-CN"/>
        </w:rPr>
        <w:t>广西大通建设监理咨询管理有限公司</w:t>
      </w:r>
    </w:p>
    <w:p>
      <w:pPr>
        <w:widowControl w:val="0"/>
        <w:spacing w:line="440" w:lineRule="exact"/>
        <w:ind w:firstLine="420" w:firstLineChars="200"/>
        <w:rPr>
          <w:rFonts w:ascii="宋体" w:hAnsi="宋体" w:eastAsia="宋体" w:cs="宋体"/>
          <w:sz w:val="21"/>
          <w:szCs w:val="21"/>
        </w:rPr>
      </w:pPr>
      <w:r>
        <w:rPr>
          <w:rFonts w:hint="eastAsia" w:ascii="宋体" w:hAnsi="宋体" w:eastAsia="宋体" w:cs="宋体"/>
          <w:sz w:val="21"/>
          <w:szCs w:val="21"/>
        </w:rPr>
        <w:t>地址：钦州市灵山县灵城镇常兴路1号</w:t>
      </w:r>
    </w:p>
    <w:p>
      <w:pPr>
        <w:widowControl w:val="0"/>
        <w:spacing w:line="440" w:lineRule="exact"/>
        <w:ind w:firstLine="420" w:firstLineChars="200"/>
        <w:rPr>
          <w:rFonts w:ascii="宋体" w:hAnsi="宋体" w:eastAsia="宋体" w:cs="宋体"/>
          <w:sz w:val="21"/>
          <w:szCs w:val="21"/>
        </w:rPr>
      </w:pPr>
      <w:r>
        <w:rPr>
          <w:rFonts w:hint="eastAsia" w:ascii="宋体" w:hAnsi="宋体" w:eastAsia="宋体" w:cs="宋体"/>
          <w:sz w:val="21"/>
          <w:szCs w:val="21"/>
        </w:rPr>
        <w:t>联系方式：</w:t>
      </w:r>
      <w:bookmarkStart w:id="28" w:name="_Toc28359010"/>
      <w:bookmarkStart w:id="29" w:name="_Toc28359087"/>
      <w:r>
        <w:rPr>
          <w:rFonts w:hint="eastAsia" w:ascii="宋体" w:hAnsi="宋体" w:eastAsia="宋体" w:cs="宋体"/>
          <w:sz w:val="21"/>
          <w:szCs w:val="21"/>
        </w:rPr>
        <w:t xml:space="preserve"> 0777-6681882</w:t>
      </w:r>
    </w:p>
    <w:p>
      <w:pPr>
        <w:widowControl w:val="0"/>
        <w:spacing w:line="440" w:lineRule="exact"/>
        <w:ind w:firstLine="420" w:firstLineChars="200"/>
        <w:rPr>
          <w:rFonts w:ascii="宋体" w:hAnsi="宋体" w:eastAsia="宋体" w:cs="宋体"/>
          <w:sz w:val="21"/>
          <w:szCs w:val="21"/>
        </w:rPr>
      </w:pPr>
      <w:r>
        <w:rPr>
          <w:rFonts w:hint="eastAsia" w:ascii="宋体" w:hAnsi="宋体" w:eastAsia="宋体" w:cs="宋体"/>
          <w:sz w:val="21"/>
          <w:szCs w:val="21"/>
        </w:rPr>
        <w:t>3.项目联系方式</w:t>
      </w:r>
      <w:bookmarkEnd w:id="28"/>
      <w:bookmarkEnd w:id="29"/>
    </w:p>
    <w:p>
      <w:pPr>
        <w:widowControl w:val="0"/>
        <w:spacing w:line="440" w:lineRule="exact"/>
        <w:ind w:firstLine="420" w:firstLineChars="200"/>
        <w:rPr>
          <w:rFonts w:ascii="宋体" w:hAnsi="宋体" w:eastAsia="宋体" w:cs="宋体"/>
          <w:sz w:val="21"/>
          <w:szCs w:val="21"/>
        </w:rPr>
      </w:pPr>
      <w:r>
        <w:rPr>
          <w:rFonts w:hint="eastAsia" w:ascii="宋体" w:hAnsi="宋体" w:eastAsia="宋体" w:cs="宋体"/>
          <w:sz w:val="21"/>
          <w:szCs w:val="21"/>
        </w:rPr>
        <w:t>项目联系人：宁小桦</w:t>
      </w:r>
    </w:p>
    <w:p>
      <w:pPr>
        <w:widowControl w:val="0"/>
        <w:spacing w:line="440" w:lineRule="exact"/>
        <w:ind w:firstLine="420" w:firstLineChars="200"/>
        <w:rPr>
          <w:rFonts w:ascii="宋体" w:hAnsi="宋体" w:eastAsia="宋体" w:cs="宋体"/>
          <w:sz w:val="21"/>
          <w:szCs w:val="21"/>
        </w:rPr>
      </w:pPr>
      <w:r>
        <w:rPr>
          <w:rFonts w:hint="eastAsia" w:ascii="宋体" w:hAnsi="宋体" w:eastAsia="宋体" w:cs="宋体"/>
          <w:sz w:val="21"/>
          <w:szCs w:val="21"/>
        </w:rPr>
        <w:t>电话： 0777-6681882</w:t>
      </w:r>
    </w:p>
    <w:p>
      <w:pPr>
        <w:widowControl w:val="0"/>
        <w:spacing w:line="440" w:lineRule="exact"/>
        <w:ind w:firstLine="420" w:firstLineChars="200"/>
        <w:rPr>
          <w:rFonts w:ascii="宋体" w:hAnsi="宋体" w:cs="宋体"/>
          <w:sz w:val="21"/>
          <w:szCs w:val="21"/>
        </w:rPr>
      </w:pPr>
      <w:r>
        <w:rPr>
          <w:rFonts w:hint="eastAsia" w:ascii="宋体" w:hAnsi="宋体" w:cs="宋体"/>
          <w:sz w:val="21"/>
          <w:szCs w:val="21"/>
        </w:rPr>
        <w:t>4.</w:t>
      </w:r>
      <w:r>
        <w:rPr>
          <w:rFonts w:hint="eastAsia" w:ascii="宋体" w:hAnsi="宋体" w:eastAsia="宋体" w:cs="宋体"/>
          <w:sz w:val="21"/>
          <w:szCs w:val="21"/>
        </w:rPr>
        <w:t>政府采购监督管理部门</w:t>
      </w:r>
      <w:r>
        <w:rPr>
          <w:rFonts w:hint="eastAsia" w:ascii="宋体" w:hAnsi="宋体" w:cs="宋体"/>
          <w:sz w:val="21"/>
          <w:szCs w:val="21"/>
        </w:rPr>
        <w:t>信息</w:t>
      </w:r>
    </w:p>
    <w:p>
      <w:pPr>
        <w:widowControl w:val="0"/>
        <w:spacing w:line="440" w:lineRule="exact"/>
        <w:ind w:firstLine="420" w:firstLineChars="200"/>
        <w:rPr>
          <w:rFonts w:ascii="宋体" w:hAnsi="宋体" w:eastAsia="宋体" w:cs="宋体"/>
          <w:sz w:val="21"/>
          <w:szCs w:val="21"/>
        </w:rPr>
      </w:pPr>
      <w:r>
        <w:rPr>
          <w:rFonts w:hint="eastAsia" w:ascii="宋体" w:hAnsi="宋体" w:cs="宋体"/>
          <w:sz w:val="21"/>
          <w:szCs w:val="21"/>
        </w:rPr>
        <w:t>监督管理机构</w:t>
      </w:r>
      <w:r>
        <w:rPr>
          <w:rFonts w:hint="eastAsia" w:ascii="宋体" w:hAnsi="宋体" w:eastAsia="宋体" w:cs="宋体"/>
          <w:sz w:val="21"/>
          <w:szCs w:val="21"/>
        </w:rPr>
        <w:t xml:space="preserve">：灵山县财政局         </w:t>
      </w:r>
    </w:p>
    <w:p>
      <w:pPr>
        <w:widowControl w:val="0"/>
        <w:spacing w:line="440" w:lineRule="exact"/>
        <w:ind w:firstLine="420" w:firstLineChars="200"/>
        <w:rPr>
          <w:rFonts w:ascii="宋体" w:hAnsi="宋体" w:eastAsia="宋体" w:cs="宋体"/>
          <w:bCs/>
          <w:sz w:val="28"/>
          <w:szCs w:val="28"/>
        </w:rPr>
      </w:pPr>
      <w:r>
        <w:rPr>
          <w:rFonts w:hint="eastAsia" w:ascii="宋体" w:hAnsi="宋体" w:eastAsia="宋体" w:cs="宋体"/>
          <w:sz w:val="21"/>
          <w:szCs w:val="21"/>
        </w:rPr>
        <w:t xml:space="preserve">电话：0777-6428581 </w:t>
      </w:r>
    </w:p>
    <w:p>
      <w:pPr>
        <w:jc w:val="right"/>
        <w:rPr>
          <w:rFonts w:hAnsi="宋体" w:eastAsia="宋体" w:cs="宋体"/>
          <w:bCs/>
          <w:sz w:val="21"/>
          <w:szCs w:val="21"/>
        </w:rPr>
      </w:pPr>
    </w:p>
    <w:p>
      <w:pPr>
        <w:jc w:val="right"/>
      </w:pPr>
      <w:r>
        <w:rPr>
          <w:rFonts w:hint="eastAsia" w:hAnsi="宋体" w:eastAsia="宋体" w:cs="宋体"/>
          <w:bCs/>
          <w:sz w:val="21"/>
          <w:szCs w:val="21"/>
        </w:rPr>
        <w:t xml:space="preserve">                广西大通建设监理咨询管理有限公司</w:t>
      </w:r>
      <w:r>
        <w:rPr>
          <w:rFonts w:hint="eastAsia" w:ascii="宋体" w:hAnsi="宋体" w:eastAsia="宋体" w:cs="宋体"/>
          <w:sz w:val="21"/>
          <w:szCs w:val="21"/>
        </w:rPr>
        <w:t xml:space="preserve">                                                   </w:t>
      </w:r>
      <w:r>
        <w:rPr>
          <w:rFonts w:hint="eastAsia" w:ascii="宋体" w:hAnsi="宋体" w:cs="宋体"/>
          <w:sz w:val="21"/>
          <w:szCs w:val="21"/>
        </w:rPr>
        <w:t xml:space="preserve">  </w:t>
      </w:r>
      <w:r>
        <w:rPr>
          <w:rFonts w:hint="eastAsia" w:ascii="宋体" w:hAnsi="宋体" w:eastAsia="宋体" w:cs="宋体"/>
          <w:sz w:val="21"/>
          <w:szCs w:val="21"/>
        </w:rPr>
        <w:t xml:space="preserve">   </w:t>
      </w:r>
      <w:r>
        <w:rPr>
          <w:rFonts w:hint="eastAsia" w:hAnsi="宋体" w:eastAsia="宋体" w:cs="宋体"/>
          <w:sz w:val="21"/>
          <w:szCs w:val="21"/>
        </w:rPr>
        <w:t>2020</w:t>
      </w:r>
      <w:r>
        <w:rPr>
          <w:rFonts w:hint="eastAsia" w:ascii="宋体" w:hAnsi="宋体" w:eastAsia="宋体" w:cs="宋体"/>
          <w:sz w:val="21"/>
          <w:szCs w:val="21"/>
        </w:rPr>
        <w:t>年</w:t>
      </w:r>
      <w:r>
        <w:rPr>
          <w:rFonts w:hint="eastAsia" w:hAnsi="宋体" w:cs="宋体"/>
          <w:sz w:val="21"/>
          <w:szCs w:val="21"/>
        </w:rPr>
        <w:t>11</w:t>
      </w:r>
      <w:r>
        <w:rPr>
          <w:rFonts w:hint="eastAsia" w:ascii="宋体" w:hAnsi="宋体" w:eastAsia="宋体" w:cs="宋体"/>
          <w:sz w:val="21"/>
          <w:szCs w:val="21"/>
        </w:rPr>
        <w:t>月</w:t>
      </w:r>
      <w:r>
        <w:rPr>
          <w:rFonts w:hint="eastAsia" w:hAnsi="宋体" w:eastAsia="宋体" w:cs="宋体"/>
          <w:sz w:val="21"/>
          <w:szCs w:val="21"/>
          <w:lang w:val="en-US" w:eastAsia="zh-CN"/>
        </w:rPr>
        <w:t>10</w:t>
      </w:r>
      <w:r>
        <w:rPr>
          <w:rFonts w:hint="eastAsia" w:ascii="宋体" w:hAnsi="宋体" w:eastAsia="宋体" w:cs="宋体"/>
          <w:sz w:val="21"/>
          <w:szCs w:val="21"/>
        </w:rPr>
        <w:t xml:space="preserve">日 </w:t>
      </w:r>
    </w:p>
    <w:p>
      <w:pPr>
        <w:spacing w:line="200" w:lineRule="exact"/>
        <w:rPr>
          <w:sz w:val="20"/>
          <w:szCs w:val="20"/>
        </w:rPr>
      </w:pPr>
    </w:p>
    <w:p>
      <w:pPr>
        <w:spacing w:line="200" w:lineRule="exact"/>
        <w:ind w:left="220" w:leftChars="100"/>
        <w:rPr>
          <w:sz w:val="20"/>
          <w:szCs w:val="20"/>
        </w:rPr>
      </w:pPr>
    </w:p>
    <w:p>
      <w:pPr>
        <w:spacing w:line="287" w:lineRule="exact"/>
        <w:ind w:left="220" w:leftChars="100"/>
        <w:rPr>
          <w:sz w:val="20"/>
          <w:szCs w:val="20"/>
        </w:rPr>
      </w:pPr>
    </w:p>
    <w:p>
      <w:pPr>
        <w:ind w:left="220" w:leftChars="100"/>
        <w:sectPr>
          <w:type w:val="continuous"/>
          <w:pgSz w:w="11900" w:h="16840"/>
          <w:pgMar w:top="964" w:right="1123" w:bottom="652" w:left="482" w:header="0" w:footer="397" w:gutter="0"/>
          <w:cols w:space="425" w:num="1"/>
        </w:sectPr>
      </w:pPr>
    </w:p>
    <w:tbl>
      <w:tblPr>
        <w:tblStyle w:val="14"/>
        <w:tblW w:w="10320" w:type="dxa"/>
        <w:tblInd w:w="10" w:type="dxa"/>
        <w:tblLayout w:type="fixed"/>
        <w:tblCellMar>
          <w:top w:w="0" w:type="dxa"/>
          <w:left w:w="0" w:type="dxa"/>
          <w:bottom w:w="0" w:type="dxa"/>
          <w:right w:w="0" w:type="dxa"/>
        </w:tblCellMar>
      </w:tblPr>
      <w:tblGrid>
        <w:gridCol w:w="720"/>
        <w:gridCol w:w="2180"/>
        <w:gridCol w:w="940"/>
        <w:gridCol w:w="420"/>
        <w:gridCol w:w="740"/>
        <w:gridCol w:w="780"/>
        <w:gridCol w:w="4540"/>
      </w:tblGrid>
      <w:tr>
        <w:tblPrEx>
          <w:tblCellMar>
            <w:top w:w="0" w:type="dxa"/>
            <w:left w:w="0" w:type="dxa"/>
            <w:bottom w:w="0" w:type="dxa"/>
            <w:right w:w="0" w:type="dxa"/>
          </w:tblCellMar>
        </w:tblPrEx>
        <w:trPr>
          <w:trHeight w:val="365" w:hRule="atLeast"/>
        </w:trPr>
        <w:tc>
          <w:tcPr>
            <w:tcW w:w="720" w:type="dxa"/>
            <w:vAlign w:val="bottom"/>
          </w:tcPr>
          <w:p>
            <w:pPr>
              <w:rPr>
                <w:sz w:val="24"/>
                <w:szCs w:val="24"/>
              </w:rPr>
            </w:pPr>
            <w:bookmarkStart w:id="30" w:name="page5"/>
            <w:bookmarkEnd w:id="30"/>
          </w:p>
        </w:tc>
        <w:tc>
          <w:tcPr>
            <w:tcW w:w="2180" w:type="dxa"/>
            <w:vAlign w:val="bottom"/>
          </w:tcPr>
          <w:p>
            <w:pPr>
              <w:ind w:left="220" w:leftChars="100"/>
              <w:rPr>
                <w:sz w:val="24"/>
                <w:szCs w:val="24"/>
              </w:rPr>
            </w:pPr>
          </w:p>
        </w:tc>
        <w:tc>
          <w:tcPr>
            <w:tcW w:w="7420" w:type="dxa"/>
            <w:gridSpan w:val="5"/>
            <w:vAlign w:val="bottom"/>
          </w:tcPr>
          <w:p>
            <w:pPr>
              <w:spacing w:line="366" w:lineRule="exact"/>
              <w:ind w:left="220" w:leftChars="100" w:firstLine="964" w:firstLineChars="300"/>
              <w:rPr>
                <w:sz w:val="20"/>
                <w:szCs w:val="20"/>
              </w:rPr>
            </w:pPr>
            <w:r>
              <w:rPr>
                <w:rFonts w:ascii="宋体" w:hAnsi="宋体" w:eastAsia="宋体" w:cs="宋体"/>
                <w:b/>
                <w:bCs/>
                <w:sz w:val="32"/>
                <w:szCs w:val="32"/>
              </w:rPr>
              <w:t>第二章磋商供应商须知</w:t>
            </w:r>
          </w:p>
        </w:tc>
      </w:tr>
      <w:tr>
        <w:tblPrEx>
          <w:tblCellMar>
            <w:top w:w="0" w:type="dxa"/>
            <w:left w:w="0" w:type="dxa"/>
            <w:bottom w:w="0" w:type="dxa"/>
            <w:right w:w="0" w:type="dxa"/>
          </w:tblCellMar>
        </w:tblPrEx>
        <w:trPr>
          <w:trHeight w:val="481" w:hRule="atLeast"/>
        </w:trPr>
        <w:tc>
          <w:tcPr>
            <w:tcW w:w="720" w:type="dxa"/>
            <w:vAlign w:val="bottom"/>
          </w:tcPr>
          <w:p>
            <w:pPr>
              <w:ind w:left="220" w:leftChars="100"/>
              <w:rPr>
                <w:sz w:val="24"/>
                <w:szCs w:val="24"/>
              </w:rPr>
            </w:pPr>
          </w:p>
        </w:tc>
        <w:tc>
          <w:tcPr>
            <w:tcW w:w="2180" w:type="dxa"/>
            <w:vAlign w:val="bottom"/>
          </w:tcPr>
          <w:p>
            <w:pPr>
              <w:ind w:left="220" w:leftChars="100"/>
              <w:rPr>
                <w:sz w:val="24"/>
                <w:szCs w:val="24"/>
              </w:rPr>
            </w:pPr>
          </w:p>
        </w:tc>
        <w:tc>
          <w:tcPr>
            <w:tcW w:w="940" w:type="dxa"/>
            <w:vAlign w:val="bottom"/>
          </w:tcPr>
          <w:p>
            <w:pPr>
              <w:ind w:left="220" w:leftChars="100"/>
              <w:rPr>
                <w:sz w:val="24"/>
                <w:szCs w:val="24"/>
              </w:rPr>
            </w:pPr>
          </w:p>
        </w:tc>
        <w:tc>
          <w:tcPr>
            <w:tcW w:w="6480" w:type="dxa"/>
            <w:gridSpan w:val="4"/>
            <w:vAlign w:val="bottom"/>
          </w:tcPr>
          <w:p>
            <w:pPr>
              <w:spacing w:line="274" w:lineRule="exact"/>
              <w:ind w:left="220" w:leftChars="100"/>
              <w:rPr>
                <w:sz w:val="20"/>
                <w:szCs w:val="20"/>
              </w:rPr>
            </w:pPr>
            <w:r>
              <w:rPr>
                <w:rFonts w:ascii="宋体" w:hAnsi="宋体" w:eastAsia="宋体" w:cs="宋体"/>
                <w:b/>
                <w:bCs/>
                <w:sz w:val="24"/>
                <w:szCs w:val="24"/>
              </w:rPr>
              <w:t>磋商供应商须知前附表</w:t>
            </w:r>
          </w:p>
        </w:tc>
      </w:tr>
      <w:tr>
        <w:tblPrEx>
          <w:tblCellMar>
            <w:top w:w="0" w:type="dxa"/>
            <w:left w:w="0" w:type="dxa"/>
            <w:bottom w:w="0" w:type="dxa"/>
            <w:right w:w="0" w:type="dxa"/>
          </w:tblCellMar>
        </w:tblPrEx>
        <w:trPr>
          <w:trHeight w:val="37" w:hRule="atLeast"/>
        </w:trPr>
        <w:tc>
          <w:tcPr>
            <w:tcW w:w="720" w:type="dxa"/>
            <w:tcBorders>
              <w:bottom w:val="single" w:color="auto" w:sz="8" w:space="0"/>
            </w:tcBorders>
            <w:vAlign w:val="bottom"/>
          </w:tcPr>
          <w:p>
            <w:pPr>
              <w:ind w:left="220" w:leftChars="100"/>
              <w:rPr>
                <w:sz w:val="3"/>
                <w:szCs w:val="3"/>
              </w:rPr>
            </w:pPr>
          </w:p>
        </w:tc>
        <w:tc>
          <w:tcPr>
            <w:tcW w:w="2180" w:type="dxa"/>
            <w:tcBorders>
              <w:bottom w:val="single" w:color="auto" w:sz="8" w:space="0"/>
            </w:tcBorders>
            <w:vAlign w:val="bottom"/>
          </w:tcPr>
          <w:p>
            <w:pPr>
              <w:ind w:left="220" w:leftChars="100"/>
              <w:rPr>
                <w:sz w:val="3"/>
                <w:szCs w:val="3"/>
              </w:rPr>
            </w:pPr>
          </w:p>
        </w:tc>
        <w:tc>
          <w:tcPr>
            <w:tcW w:w="940" w:type="dxa"/>
            <w:tcBorders>
              <w:bottom w:val="single" w:color="auto" w:sz="8" w:space="0"/>
            </w:tcBorders>
            <w:vAlign w:val="bottom"/>
          </w:tcPr>
          <w:p>
            <w:pPr>
              <w:ind w:left="220" w:leftChars="100"/>
              <w:rPr>
                <w:sz w:val="3"/>
                <w:szCs w:val="3"/>
              </w:rPr>
            </w:pPr>
          </w:p>
        </w:tc>
        <w:tc>
          <w:tcPr>
            <w:tcW w:w="420" w:type="dxa"/>
            <w:tcBorders>
              <w:bottom w:val="single" w:color="auto" w:sz="8" w:space="0"/>
            </w:tcBorders>
            <w:vAlign w:val="bottom"/>
          </w:tcPr>
          <w:p>
            <w:pPr>
              <w:ind w:left="220" w:leftChars="100"/>
              <w:rPr>
                <w:sz w:val="3"/>
                <w:szCs w:val="3"/>
              </w:rPr>
            </w:pPr>
          </w:p>
        </w:tc>
        <w:tc>
          <w:tcPr>
            <w:tcW w:w="740" w:type="dxa"/>
            <w:tcBorders>
              <w:bottom w:val="single" w:color="auto" w:sz="8" w:space="0"/>
            </w:tcBorders>
            <w:vAlign w:val="bottom"/>
          </w:tcPr>
          <w:p>
            <w:pPr>
              <w:ind w:left="220" w:leftChars="100"/>
              <w:rPr>
                <w:sz w:val="3"/>
                <w:szCs w:val="3"/>
              </w:rPr>
            </w:pPr>
          </w:p>
        </w:tc>
        <w:tc>
          <w:tcPr>
            <w:tcW w:w="780" w:type="dxa"/>
            <w:tcBorders>
              <w:bottom w:val="single" w:color="auto" w:sz="8" w:space="0"/>
            </w:tcBorders>
            <w:vAlign w:val="bottom"/>
          </w:tcPr>
          <w:p>
            <w:pPr>
              <w:ind w:left="220" w:leftChars="100"/>
              <w:rPr>
                <w:sz w:val="3"/>
                <w:szCs w:val="3"/>
              </w:rPr>
            </w:pPr>
          </w:p>
        </w:tc>
        <w:tc>
          <w:tcPr>
            <w:tcW w:w="4540" w:type="dxa"/>
            <w:tcBorders>
              <w:bottom w:val="single" w:color="auto" w:sz="8" w:space="0"/>
            </w:tcBorders>
            <w:vAlign w:val="bottom"/>
          </w:tcPr>
          <w:p>
            <w:pPr>
              <w:ind w:left="220" w:leftChars="100"/>
              <w:rPr>
                <w:sz w:val="3"/>
                <w:szCs w:val="3"/>
              </w:rPr>
            </w:pPr>
          </w:p>
        </w:tc>
      </w:tr>
      <w:tr>
        <w:tblPrEx>
          <w:tblCellMar>
            <w:top w:w="0" w:type="dxa"/>
            <w:left w:w="0" w:type="dxa"/>
            <w:bottom w:w="0" w:type="dxa"/>
            <w:right w:w="0" w:type="dxa"/>
          </w:tblCellMar>
        </w:tblPrEx>
        <w:trPr>
          <w:trHeight w:val="364" w:hRule="atLeast"/>
        </w:trPr>
        <w:tc>
          <w:tcPr>
            <w:tcW w:w="720" w:type="dxa"/>
            <w:vMerge w:val="restart"/>
            <w:tcBorders>
              <w:left w:val="single" w:color="auto" w:sz="8" w:space="0"/>
              <w:right w:val="single" w:color="auto" w:sz="8" w:space="0"/>
            </w:tcBorders>
            <w:vAlign w:val="center"/>
          </w:tcPr>
          <w:p>
            <w:pPr>
              <w:spacing w:line="274" w:lineRule="exact"/>
              <w:ind w:left="220" w:leftChars="100"/>
              <w:jc w:val="center"/>
              <w:rPr>
                <w:sz w:val="20"/>
                <w:szCs w:val="20"/>
              </w:rPr>
            </w:pPr>
            <w:r>
              <w:rPr>
                <w:rFonts w:ascii="宋体" w:hAnsi="宋体" w:eastAsia="宋体" w:cs="宋体"/>
                <w:w w:val="99"/>
                <w:sz w:val="24"/>
                <w:szCs w:val="24"/>
              </w:rPr>
              <w:t>序号</w:t>
            </w:r>
          </w:p>
        </w:tc>
        <w:tc>
          <w:tcPr>
            <w:tcW w:w="2180" w:type="dxa"/>
            <w:vMerge w:val="restart"/>
            <w:tcBorders>
              <w:right w:val="single" w:color="auto" w:sz="8" w:space="0"/>
            </w:tcBorders>
            <w:vAlign w:val="center"/>
          </w:tcPr>
          <w:p>
            <w:pPr>
              <w:spacing w:line="274" w:lineRule="exact"/>
              <w:ind w:left="220" w:leftChars="100"/>
              <w:jc w:val="center"/>
              <w:rPr>
                <w:sz w:val="20"/>
                <w:szCs w:val="20"/>
              </w:rPr>
            </w:pPr>
            <w:r>
              <w:rPr>
                <w:rFonts w:ascii="宋体" w:hAnsi="宋体" w:eastAsia="宋体" w:cs="宋体"/>
                <w:w w:val="99"/>
                <w:sz w:val="24"/>
                <w:szCs w:val="24"/>
              </w:rPr>
              <w:t>条款名称</w:t>
            </w:r>
          </w:p>
        </w:tc>
        <w:tc>
          <w:tcPr>
            <w:tcW w:w="7420" w:type="dxa"/>
            <w:gridSpan w:val="5"/>
            <w:vMerge w:val="restart"/>
            <w:tcBorders>
              <w:right w:val="single" w:color="auto" w:sz="8" w:space="0"/>
            </w:tcBorders>
            <w:vAlign w:val="center"/>
          </w:tcPr>
          <w:p>
            <w:pPr>
              <w:spacing w:line="274" w:lineRule="exact"/>
              <w:ind w:left="220" w:leftChars="100"/>
              <w:jc w:val="center"/>
              <w:rPr>
                <w:sz w:val="20"/>
                <w:szCs w:val="20"/>
              </w:rPr>
            </w:pPr>
            <w:r>
              <w:rPr>
                <w:rFonts w:ascii="宋体" w:hAnsi="宋体" w:eastAsia="宋体" w:cs="宋体"/>
                <w:sz w:val="24"/>
                <w:szCs w:val="24"/>
              </w:rPr>
              <w:t>内容、要求</w:t>
            </w:r>
          </w:p>
        </w:tc>
      </w:tr>
      <w:tr>
        <w:tblPrEx>
          <w:tblCellMar>
            <w:top w:w="0" w:type="dxa"/>
            <w:left w:w="0" w:type="dxa"/>
            <w:bottom w:w="0" w:type="dxa"/>
            <w:right w:w="0" w:type="dxa"/>
          </w:tblCellMar>
        </w:tblPrEx>
        <w:trPr>
          <w:trHeight w:val="312" w:hRule="atLeast"/>
        </w:trPr>
        <w:tc>
          <w:tcPr>
            <w:tcW w:w="720" w:type="dxa"/>
            <w:vMerge w:val="continue"/>
            <w:tcBorders>
              <w:left w:val="single" w:color="auto" w:sz="8" w:space="0"/>
              <w:bottom w:val="single" w:color="auto" w:sz="4" w:space="0"/>
              <w:right w:val="single" w:color="auto" w:sz="8" w:space="0"/>
            </w:tcBorders>
            <w:vAlign w:val="bottom"/>
          </w:tcPr>
          <w:p>
            <w:pPr>
              <w:ind w:left="220" w:leftChars="100"/>
              <w:rPr>
                <w:sz w:val="11"/>
                <w:szCs w:val="11"/>
              </w:rPr>
            </w:pPr>
          </w:p>
        </w:tc>
        <w:tc>
          <w:tcPr>
            <w:tcW w:w="2180" w:type="dxa"/>
            <w:vMerge w:val="continue"/>
            <w:tcBorders>
              <w:bottom w:val="single" w:color="auto" w:sz="4" w:space="0"/>
              <w:right w:val="single" w:color="auto" w:sz="8" w:space="0"/>
            </w:tcBorders>
            <w:vAlign w:val="bottom"/>
          </w:tcPr>
          <w:p>
            <w:pPr>
              <w:ind w:left="220" w:leftChars="100"/>
              <w:rPr>
                <w:sz w:val="11"/>
                <w:szCs w:val="11"/>
              </w:rPr>
            </w:pPr>
          </w:p>
        </w:tc>
        <w:tc>
          <w:tcPr>
            <w:tcW w:w="7420" w:type="dxa"/>
            <w:gridSpan w:val="5"/>
            <w:vMerge w:val="continue"/>
            <w:tcBorders>
              <w:bottom w:val="single" w:color="auto" w:sz="4" w:space="0"/>
              <w:right w:val="single" w:color="auto" w:sz="8" w:space="0"/>
            </w:tcBorders>
            <w:vAlign w:val="bottom"/>
          </w:tcPr>
          <w:p>
            <w:pPr>
              <w:ind w:left="220" w:leftChars="100"/>
              <w:rPr>
                <w:sz w:val="11"/>
                <w:szCs w:val="11"/>
              </w:rPr>
            </w:pPr>
          </w:p>
        </w:tc>
      </w:tr>
      <w:tr>
        <w:tblPrEx>
          <w:tblCellMar>
            <w:top w:w="0" w:type="dxa"/>
            <w:left w:w="0" w:type="dxa"/>
            <w:bottom w:w="0" w:type="dxa"/>
            <w:right w:w="0" w:type="dxa"/>
          </w:tblCellMar>
        </w:tblPrEx>
        <w:trPr>
          <w:trHeight w:val="633"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240" w:lineRule="exact"/>
              <w:ind w:left="220" w:leftChars="100"/>
              <w:jc w:val="center"/>
              <w:rPr>
                <w:sz w:val="20"/>
                <w:szCs w:val="20"/>
              </w:rPr>
            </w:pPr>
            <w:r>
              <w:rPr>
                <w:rFonts w:ascii="宋体" w:hAnsi="宋体" w:eastAsia="宋体" w:cs="宋体"/>
                <w:w w:val="94"/>
                <w:sz w:val="21"/>
                <w:szCs w:val="21"/>
              </w:rPr>
              <w:t>1</w:t>
            </w:r>
          </w:p>
        </w:tc>
        <w:tc>
          <w:tcPr>
            <w:tcW w:w="2180" w:type="dxa"/>
            <w:tcBorders>
              <w:top w:val="single" w:color="auto" w:sz="4" w:space="0"/>
              <w:left w:val="single" w:color="auto" w:sz="4" w:space="0"/>
              <w:bottom w:val="single" w:color="auto" w:sz="4" w:space="0"/>
              <w:right w:val="single" w:color="auto" w:sz="4" w:space="0"/>
            </w:tcBorders>
            <w:vAlign w:val="center"/>
          </w:tcPr>
          <w:p>
            <w:pPr>
              <w:spacing w:line="240" w:lineRule="exact"/>
              <w:ind w:left="220" w:leftChars="100"/>
              <w:jc w:val="center"/>
              <w:rPr>
                <w:rFonts w:ascii="宋体" w:hAnsi="宋体" w:eastAsia="宋体" w:cs="宋体"/>
                <w:sz w:val="21"/>
                <w:szCs w:val="21"/>
              </w:rPr>
            </w:pPr>
            <w:r>
              <w:rPr>
                <w:rFonts w:ascii="宋体" w:hAnsi="宋体" w:eastAsia="宋体" w:cs="宋体"/>
                <w:sz w:val="21"/>
                <w:szCs w:val="21"/>
              </w:rPr>
              <w:t>项目名称</w:t>
            </w:r>
          </w:p>
        </w:tc>
        <w:tc>
          <w:tcPr>
            <w:tcW w:w="7420"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ind w:left="220" w:leftChars="100"/>
              <w:jc w:val="center"/>
              <w:rPr>
                <w:sz w:val="20"/>
                <w:szCs w:val="20"/>
              </w:rPr>
            </w:pPr>
            <w:r>
              <w:rPr>
                <w:rFonts w:hint="eastAsia" w:ascii="宋体" w:hAnsi="宋体" w:eastAsia="宋体" w:cs="宋体"/>
                <w:sz w:val="21"/>
                <w:szCs w:val="21"/>
              </w:rPr>
              <w:t>灵山县公安局第三办公区办案智能化改造项目</w:t>
            </w:r>
          </w:p>
        </w:tc>
      </w:tr>
      <w:tr>
        <w:tblPrEx>
          <w:tblCellMar>
            <w:top w:w="0" w:type="dxa"/>
            <w:left w:w="0" w:type="dxa"/>
            <w:bottom w:w="0" w:type="dxa"/>
            <w:right w:w="0" w:type="dxa"/>
          </w:tblCellMar>
        </w:tblPrEx>
        <w:trPr>
          <w:trHeight w:val="463"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240" w:lineRule="exact"/>
              <w:ind w:left="220" w:leftChars="100"/>
              <w:jc w:val="center"/>
              <w:rPr>
                <w:sz w:val="20"/>
                <w:szCs w:val="20"/>
              </w:rPr>
            </w:pPr>
            <w:r>
              <w:rPr>
                <w:rFonts w:ascii="宋体" w:hAnsi="宋体" w:eastAsia="宋体" w:cs="宋体"/>
                <w:w w:val="94"/>
                <w:sz w:val="21"/>
                <w:szCs w:val="21"/>
              </w:rPr>
              <w:t>2</w:t>
            </w:r>
          </w:p>
        </w:tc>
        <w:tc>
          <w:tcPr>
            <w:tcW w:w="2180" w:type="dxa"/>
            <w:tcBorders>
              <w:top w:val="single" w:color="auto" w:sz="4" w:space="0"/>
              <w:left w:val="single" w:color="auto" w:sz="4" w:space="0"/>
              <w:bottom w:val="single" w:color="auto" w:sz="4" w:space="0"/>
              <w:right w:val="single" w:color="auto" w:sz="4" w:space="0"/>
            </w:tcBorders>
            <w:vAlign w:val="center"/>
          </w:tcPr>
          <w:p>
            <w:pPr>
              <w:spacing w:line="240" w:lineRule="exact"/>
              <w:ind w:left="220" w:leftChars="100"/>
              <w:jc w:val="center"/>
              <w:rPr>
                <w:rFonts w:ascii="宋体" w:hAnsi="宋体" w:eastAsia="宋体" w:cs="宋体"/>
                <w:sz w:val="21"/>
                <w:szCs w:val="21"/>
              </w:rPr>
            </w:pPr>
            <w:r>
              <w:rPr>
                <w:rFonts w:ascii="宋体" w:hAnsi="宋体" w:eastAsia="宋体" w:cs="宋体"/>
                <w:sz w:val="21"/>
                <w:szCs w:val="21"/>
              </w:rPr>
              <w:t>项目编号</w:t>
            </w:r>
          </w:p>
        </w:tc>
        <w:tc>
          <w:tcPr>
            <w:tcW w:w="7420"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ind w:left="220" w:leftChars="100"/>
              <w:jc w:val="center"/>
              <w:rPr>
                <w:sz w:val="20"/>
                <w:szCs w:val="20"/>
              </w:rPr>
            </w:pPr>
            <w:r>
              <w:rPr>
                <w:rFonts w:hint="eastAsia" w:ascii="宋体" w:hAnsi="宋体" w:eastAsia="宋体" w:cs="宋体"/>
                <w:sz w:val="21"/>
                <w:szCs w:val="21"/>
              </w:rPr>
              <w:t>QZZC2020-C1-50001-GXDT</w:t>
            </w:r>
          </w:p>
        </w:tc>
      </w:tr>
      <w:tr>
        <w:tblPrEx>
          <w:tblCellMar>
            <w:top w:w="0" w:type="dxa"/>
            <w:left w:w="0" w:type="dxa"/>
            <w:bottom w:w="0" w:type="dxa"/>
            <w:right w:w="0" w:type="dxa"/>
          </w:tblCellMar>
        </w:tblPrEx>
        <w:trPr>
          <w:trHeight w:val="312" w:hRule="atLeast"/>
        </w:trPr>
        <w:tc>
          <w:tcPr>
            <w:tcW w:w="720"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ind w:left="220" w:leftChars="100"/>
              <w:jc w:val="center"/>
              <w:rPr>
                <w:sz w:val="20"/>
                <w:szCs w:val="20"/>
              </w:rPr>
            </w:pPr>
            <w:r>
              <w:rPr>
                <w:rFonts w:ascii="宋体" w:hAnsi="宋体" w:eastAsia="宋体" w:cs="宋体"/>
                <w:w w:val="94"/>
                <w:sz w:val="21"/>
                <w:szCs w:val="21"/>
              </w:rPr>
              <w:t>3</w:t>
            </w:r>
          </w:p>
        </w:tc>
        <w:tc>
          <w:tcPr>
            <w:tcW w:w="2180"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ind w:left="220" w:leftChars="100"/>
              <w:jc w:val="center"/>
              <w:rPr>
                <w:rFonts w:ascii="宋体" w:hAnsi="宋体" w:eastAsia="宋体" w:cs="宋体"/>
                <w:sz w:val="21"/>
                <w:szCs w:val="21"/>
              </w:rPr>
            </w:pPr>
            <w:r>
              <w:rPr>
                <w:rFonts w:ascii="宋体" w:hAnsi="宋体" w:eastAsia="宋体" w:cs="宋体"/>
                <w:sz w:val="21"/>
                <w:szCs w:val="21"/>
              </w:rPr>
              <w:t>采购代理机构</w:t>
            </w:r>
          </w:p>
        </w:tc>
        <w:tc>
          <w:tcPr>
            <w:tcW w:w="7420" w:type="dxa"/>
            <w:gridSpan w:val="5"/>
            <w:vMerge w:val="restart"/>
            <w:tcBorders>
              <w:top w:val="single" w:color="auto" w:sz="4" w:space="0"/>
              <w:left w:val="single" w:color="auto" w:sz="4" w:space="0"/>
              <w:bottom w:val="single" w:color="auto" w:sz="4" w:space="0"/>
              <w:right w:val="single" w:color="auto" w:sz="4" w:space="0"/>
            </w:tcBorders>
            <w:vAlign w:val="center"/>
          </w:tcPr>
          <w:p>
            <w:pPr>
              <w:spacing w:line="300" w:lineRule="auto"/>
              <w:ind w:left="220" w:leftChars="100"/>
              <w:jc w:val="both"/>
              <w:rPr>
                <w:rFonts w:ascii="宋体" w:hAnsi="宋体" w:eastAsia="宋体" w:cs="宋体"/>
                <w:sz w:val="21"/>
                <w:szCs w:val="21"/>
              </w:rPr>
            </w:pPr>
            <w:r>
              <w:rPr>
                <w:rFonts w:hint="eastAsia" w:ascii="宋体" w:hAnsi="宋体" w:eastAsia="宋体" w:cs="宋体"/>
                <w:sz w:val="21"/>
                <w:szCs w:val="21"/>
              </w:rPr>
              <w:t>名称：广西大通建设监理咨询管理有限公司</w:t>
            </w:r>
          </w:p>
          <w:p>
            <w:pPr>
              <w:spacing w:line="300" w:lineRule="auto"/>
              <w:ind w:left="220" w:leftChars="100"/>
              <w:jc w:val="both"/>
              <w:rPr>
                <w:rFonts w:eastAsia="宋体"/>
                <w:sz w:val="20"/>
                <w:szCs w:val="20"/>
              </w:rPr>
            </w:pPr>
            <w:r>
              <w:rPr>
                <w:rFonts w:hint="eastAsia" w:ascii="宋体" w:hAnsi="宋体" w:eastAsia="宋体" w:cs="宋体"/>
                <w:sz w:val="21"/>
                <w:szCs w:val="21"/>
              </w:rPr>
              <w:t>地址：钦州市灵山县灵城镇常兴路1号</w:t>
            </w:r>
          </w:p>
        </w:tc>
      </w:tr>
      <w:tr>
        <w:tblPrEx>
          <w:tblCellMar>
            <w:top w:w="0" w:type="dxa"/>
            <w:left w:w="0" w:type="dxa"/>
            <w:bottom w:w="0" w:type="dxa"/>
            <w:right w:w="0" w:type="dxa"/>
          </w:tblCellMar>
        </w:tblPrEx>
        <w:trPr>
          <w:trHeight w:val="312" w:hRule="atLeast"/>
        </w:trPr>
        <w:tc>
          <w:tcPr>
            <w:tcW w:w="720" w:type="dxa"/>
            <w:vMerge w:val="continue"/>
            <w:tcBorders>
              <w:top w:val="single" w:color="auto" w:sz="4" w:space="0"/>
              <w:left w:val="single" w:color="auto" w:sz="4" w:space="0"/>
              <w:bottom w:val="single" w:color="auto" w:sz="4" w:space="0"/>
              <w:right w:val="single" w:color="auto" w:sz="8" w:space="0"/>
            </w:tcBorders>
            <w:vAlign w:val="bottom"/>
          </w:tcPr>
          <w:p>
            <w:pPr>
              <w:ind w:left="220" w:leftChars="100"/>
              <w:rPr>
                <w:sz w:val="13"/>
                <w:szCs w:val="13"/>
              </w:rPr>
            </w:pPr>
          </w:p>
        </w:tc>
        <w:tc>
          <w:tcPr>
            <w:tcW w:w="2180" w:type="dxa"/>
            <w:vMerge w:val="continue"/>
            <w:tcBorders>
              <w:top w:val="single" w:color="auto" w:sz="4" w:space="0"/>
              <w:bottom w:val="single" w:color="auto" w:sz="4" w:space="0"/>
              <w:right w:val="single" w:color="auto" w:sz="8" w:space="0"/>
            </w:tcBorders>
            <w:vAlign w:val="bottom"/>
          </w:tcPr>
          <w:p>
            <w:pPr>
              <w:spacing w:line="240" w:lineRule="exact"/>
              <w:ind w:left="220" w:leftChars="100"/>
              <w:jc w:val="center"/>
              <w:rPr>
                <w:rFonts w:ascii="宋体" w:hAnsi="宋体" w:eastAsia="宋体" w:cs="宋体"/>
                <w:sz w:val="21"/>
                <w:szCs w:val="21"/>
              </w:rPr>
            </w:pPr>
          </w:p>
        </w:tc>
        <w:tc>
          <w:tcPr>
            <w:tcW w:w="7420" w:type="dxa"/>
            <w:gridSpan w:val="5"/>
            <w:vMerge w:val="continue"/>
            <w:tcBorders>
              <w:top w:val="single" w:color="auto" w:sz="4" w:space="0"/>
              <w:bottom w:val="single" w:color="auto" w:sz="4" w:space="0"/>
              <w:right w:val="single" w:color="auto" w:sz="4" w:space="0"/>
            </w:tcBorders>
            <w:vAlign w:val="bottom"/>
          </w:tcPr>
          <w:p>
            <w:pPr>
              <w:spacing w:line="240" w:lineRule="exact"/>
              <w:ind w:left="220" w:leftChars="100"/>
              <w:rPr>
                <w:sz w:val="20"/>
                <w:szCs w:val="20"/>
              </w:rPr>
            </w:pPr>
          </w:p>
        </w:tc>
      </w:tr>
      <w:tr>
        <w:tblPrEx>
          <w:tblCellMar>
            <w:top w:w="0" w:type="dxa"/>
            <w:left w:w="0" w:type="dxa"/>
            <w:bottom w:w="0" w:type="dxa"/>
            <w:right w:w="0" w:type="dxa"/>
          </w:tblCellMar>
        </w:tblPrEx>
        <w:trPr>
          <w:trHeight w:val="312" w:hRule="atLeast"/>
        </w:trPr>
        <w:tc>
          <w:tcPr>
            <w:tcW w:w="720" w:type="dxa"/>
            <w:vMerge w:val="continue"/>
            <w:tcBorders>
              <w:top w:val="single" w:color="auto" w:sz="4" w:space="0"/>
              <w:left w:val="single" w:color="auto" w:sz="4" w:space="0"/>
              <w:bottom w:val="single" w:color="auto" w:sz="4" w:space="0"/>
              <w:right w:val="single" w:color="auto" w:sz="8" w:space="0"/>
            </w:tcBorders>
            <w:vAlign w:val="bottom"/>
          </w:tcPr>
          <w:p>
            <w:pPr>
              <w:ind w:left="220" w:leftChars="100"/>
              <w:rPr>
                <w:sz w:val="13"/>
                <w:szCs w:val="13"/>
              </w:rPr>
            </w:pPr>
          </w:p>
        </w:tc>
        <w:tc>
          <w:tcPr>
            <w:tcW w:w="2180" w:type="dxa"/>
            <w:vMerge w:val="continue"/>
            <w:tcBorders>
              <w:top w:val="single" w:color="auto" w:sz="4" w:space="0"/>
              <w:bottom w:val="single" w:color="auto" w:sz="4" w:space="0"/>
              <w:right w:val="single" w:color="auto" w:sz="8" w:space="0"/>
            </w:tcBorders>
            <w:vAlign w:val="bottom"/>
          </w:tcPr>
          <w:p>
            <w:pPr>
              <w:spacing w:line="240" w:lineRule="exact"/>
              <w:ind w:left="220" w:leftChars="100"/>
              <w:jc w:val="center"/>
              <w:rPr>
                <w:rFonts w:ascii="宋体" w:hAnsi="宋体" w:eastAsia="宋体" w:cs="宋体"/>
                <w:sz w:val="21"/>
                <w:szCs w:val="21"/>
              </w:rPr>
            </w:pPr>
          </w:p>
        </w:tc>
        <w:tc>
          <w:tcPr>
            <w:tcW w:w="7420" w:type="dxa"/>
            <w:gridSpan w:val="5"/>
            <w:vMerge w:val="continue"/>
            <w:tcBorders>
              <w:top w:val="single" w:color="auto" w:sz="4" w:space="0"/>
              <w:bottom w:val="single" w:color="auto" w:sz="4" w:space="0"/>
              <w:right w:val="single" w:color="auto" w:sz="4" w:space="0"/>
            </w:tcBorders>
            <w:vAlign w:val="bottom"/>
          </w:tcPr>
          <w:p>
            <w:pPr>
              <w:ind w:left="220" w:leftChars="100"/>
              <w:rPr>
                <w:sz w:val="13"/>
                <w:szCs w:val="13"/>
              </w:rPr>
            </w:pPr>
          </w:p>
        </w:tc>
      </w:tr>
      <w:tr>
        <w:tblPrEx>
          <w:tblCellMar>
            <w:top w:w="0" w:type="dxa"/>
            <w:left w:w="0" w:type="dxa"/>
            <w:bottom w:w="0" w:type="dxa"/>
            <w:right w:w="0" w:type="dxa"/>
          </w:tblCellMar>
        </w:tblPrEx>
        <w:trPr>
          <w:trHeight w:val="515" w:hRule="atLeast"/>
        </w:trPr>
        <w:tc>
          <w:tcPr>
            <w:tcW w:w="720" w:type="dxa"/>
            <w:tcBorders>
              <w:left w:val="single" w:color="auto" w:sz="8" w:space="0"/>
              <w:bottom w:val="single" w:color="auto" w:sz="8" w:space="0"/>
              <w:right w:val="single" w:color="auto" w:sz="8" w:space="0"/>
            </w:tcBorders>
            <w:vAlign w:val="bottom"/>
          </w:tcPr>
          <w:p>
            <w:pPr>
              <w:spacing w:line="240" w:lineRule="exact"/>
              <w:ind w:left="220" w:leftChars="100"/>
              <w:jc w:val="center"/>
              <w:rPr>
                <w:sz w:val="20"/>
                <w:szCs w:val="20"/>
              </w:rPr>
            </w:pPr>
            <w:r>
              <w:rPr>
                <w:rFonts w:ascii="宋体" w:hAnsi="宋体" w:eastAsia="宋体" w:cs="宋体"/>
                <w:w w:val="94"/>
                <w:sz w:val="21"/>
                <w:szCs w:val="21"/>
              </w:rPr>
              <w:t>4</w:t>
            </w:r>
          </w:p>
        </w:tc>
        <w:tc>
          <w:tcPr>
            <w:tcW w:w="2180" w:type="dxa"/>
            <w:tcBorders>
              <w:bottom w:val="single" w:color="auto" w:sz="8" w:space="0"/>
              <w:right w:val="single" w:color="auto" w:sz="8" w:space="0"/>
            </w:tcBorders>
            <w:vAlign w:val="center"/>
          </w:tcPr>
          <w:p>
            <w:pPr>
              <w:spacing w:line="240" w:lineRule="exact"/>
              <w:ind w:left="220" w:leftChars="100"/>
              <w:jc w:val="center"/>
              <w:rPr>
                <w:rFonts w:ascii="宋体" w:hAnsi="宋体" w:eastAsia="宋体" w:cs="宋体"/>
                <w:sz w:val="21"/>
                <w:szCs w:val="21"/>
              </w:rPr>
            </w:pPr>
            <w:r>
              <w:rPr>
                <w:rFonts w:hint="eastAsia" w:ascii="宋体" w:hAnsi="宋体" w:eastAsia="宋体" w:cs="宋体"/>
                <w:sz w:val="21"/>
                <w:szCs w:val="21"/>
              </w:rPr>
              <w:t>采购预算金额及建设工期</w:t>
            </w:r>
          </w:p>
        </w:tc>
        <w:tc>
          <w:tcPr>
            <w:tcW w:w="7420" w:type="dxa"/>
            <w:gridSpan w:val="5"/>
            <w:tcBorders>
              <w:bottom w:val="single" w:color="auto" w:sz="8" w:space="0"/>
              <w:right w:val="single" w:color="auto" w:sz="8" w:space="0"/>
            </w:tcBorders>
            <w:vAlign w:val="center"/>
          </w:tcPr>
          <w:p>
            <w:pPr>
              <w:spacing w:line="240" w:lineRule="exact"/>
              <w:ind w:left="220" w:leftChars="100"/>
              <w:jc w:val="both"/>
              <w:rPr>
                <w:rFonts w:ascii="宋体" w:hAnsi="宋体" w:eastAsia="宋体" w:cs="宋体"/>
                <w:sz w:val="20"/>
                <w:szCs w:val="20"/>
              </w:rPr>
            </w:pPr>
            <w:r>
              <w:rPr>
                <w:rFonts w:hint="eastAsia" w:ascii="宋体" w:hAnsi="宋体" w:eastAsia="宋体" w:cs="宋体"/>
                <w:sz w:val="21"/>
                <w:szCs w:val="21"/>
              </w:rPr>
              <w:t>采购预算金额（人民币）</w:t>
            </w:r>
            <w:r>
              <w:rPr>
                <w:rFonts w:hint="eastAsia" w:ascii="宋体" w:hAnsi="宋体" w:eastAsia="宋体" w:cs="宋体"/>
                <w:sz w:val="21"/>
                <w:szCs w:val="21"/>
                <w:lang w:eastAsia="zh-CN"/>
              </w:rPr>
              <w:t>：</w:t>
            </w:r>
            <w:r>
              <w:rPr>
                <w:rFonts w:hint="eastAsia" w:ascii="宋体" w:hAnsi="宋体" w:cs="宋体"/>
                <w:sz w:val="21"/>
                <w:szCs w:val="21"/>
              </w:rPr>
              <w:t>853493.00</w:t>
            </w:r>
            <w:r>
              <w:rPr>
                <w:rFonts w:hint="eastAsia" w:ascii="宋体" w:hAnsi="宋体" w:eastAsia="宋体" w:cs="宋体"/>
                <w:sz w:val="21"/>
                <w:szCs w:val="21"/>
              </w:rPr>
              <w:t>元，10个日历日内完成安装调试并使用。</w:t>
            </w:r>
          </w:p>
        </w:tc>
      </w:tr>
      <w:tr>
        <w:tblPrEx>
          <w:tblCellMar>
            <w:top w:w="0" w:type="dxa"/>
            <w:left w:w="0" w:type="dxa"/>
            <w:bottom w:w="0" w:type="dxa"/>
            <w:right w:w="0" w:type="dxa"/>
          </w:tblCellMar>
        </w:tblPrEx>
        <w:trPr>
          <w:trHeight w:val="633" w:hRule="atLeast"/>
        </w:trPr>
        <w:tc>
          <w:tcPr>
            <w:tcW w:w="720" w:type="dxa"/>
            <w:vMerge w:val="restart"/>
            <w:tcBorders>
              <w:left w:val="single" w:color="auto" w:sz="8" w:space="0"/>
              <w:right w:val="single" w:color="auto" w:sz="8" w:space="0"/>
            </w:tcBorders>
            <w:vAlign w:val="center"/>
          </w:tcPr>
          <w:p>
            <w:pPr>
              <w:spacing w:line="240" w:lineRule="exact"/>
              <w:ind w:left="220" w:leftChars="100"/>
              <w:jc w:val="center"/>
              <w:rPr>
                <w:sz w:val="24"/>
                <w:szCs w:val="24"/>
              </w:rPr>
            </w:pPr>
            <w:r>
              <w:rPr>
                <w:rFonts w:ascii="宋体" w:hAnsi="宋体" w:eastAsia="宋体" w:cs="宋体"/>
                <w:w w:val="94"/>
                <w:sz w:val="21"/>
                <w:szCs w:val="21"/>
              </w:rPr>
              <w:t>5</w:t>
            </w:r>
          </w:p>
        </w:tc>
        <w:tc>
          <w:tcPr>
            <w:tcW w:w="2180" w:type="dxa"/>
            <w:vMerge w:val="restart"/>
            <w:tcBorders>
              <w:right w:val="single" w:color="auto" w:sz="8" w:space="0"/>
            </w:tcBorders>
            <w:vAlign w:val="center"/>
          </w:tcPr>
          <w:p>
            <w:pPr>
              <w:spacing w:line="240" w:lineRule="exact"/>
              <w:ind w:left="220" w:leftChars="100"/>
              <w:jc w:val="center"/>
              <w:rPr>
                <w:sz w:val="24"/>
                <w:szCs w:val="24"/>
              </w:rPr>
            </w:pPr>
            <w:r>
              <w:rPr>
                <w:rFonts w:ascii="宋体" w:hAnsi="宋体" w:eastAsia="宋体" w:cs="宋体"/>
                <w:sz w:val="21"/>
                <w:szCs w:val="21"/>
              </w:rPr>
              <w:t>磋商供应商资格</w:t>
            </w:r>
          </w:p>
        </w:tc>
        <w:tc>
          <w:tcPr>
            <w:tcW w:w="7420" w:type="dxa"/>
            <w:gridSpan w:val="5"/>
            <w:vMerge w:val="restart"/>
            <w:tcBorders>
              <w:right w:val="single" w:color="auto" w:sz="8" w:space="0"/>
            </w:tcBorders>
          </w:tcPr>
          <w:p>
            <w:pPr>
              <w:widowControl w:val="0"/>
              <w:spacing w:line="440" w:lineRule="exact"/>
              <w:ind w:firstLine="420" w:firstLineChars="200"/>
              <w:rPr>
                <w:rFonts w:ascii="宋体" w:hAnsi="宋体" w:eastAsia="宋体" w:cs="宋体"/>
                <w:sz w:val="21"/>
                <w:szCs w:val="21"/>
              </w:rPr>
            </w:pPr>
            <w:r>
              <w:rPr>
                <w:rFonts w:hint="eastAsia" w:ascii="宋体" w:hAnsi="宋体" w:eastAsia="宋体" w:cs="宋体"/>
                <w:sz w:val="21"/>
                <w:szCs w:val="21"/>
              </w:rPr>
              <w:t>1.符合《中华人民共和国政府采购法》第二十二条和《政府采购法实施条例》第十八条规定。</w:t>
            </w:r>
          </w:p>
          <w:p>
            <w:pPr>
              <w:widowControl w:val="0"/>
              <w:spacing w:line="440" w:lineRule="exact"/>
              <w:ind w:firstLine="420" w:firstLineChars="200"/>
              <w:rPr>
                <w:rFonts w:ascii="宋体" w:hAnsi="宋体" w:eastAsia="宋体" w:cs="宋体"/>
                <w:sz w:val="21"/>
                <w:szCs w:val="21"/>
              </w:rPr>
            </w:pPr>
            <w:r>
              <w:rPr>
                <w:rFonts w:hint="eastAsia" w:ascii="宋体" w:hAnsi="宋体" w:eastAsia="宋体" w:cs="宋体"/>
                <w:sz w:val="21"/>
                <w:szCs w:val="21"/>
              </w:rPr>
              <w:t>2.落实政府采购政策需满足的资格要求：政府采购促进中小企业发展，政府采购支持采用本国产品的政策，强制采购环境标志产品、节能产品，促进残疾人就业政府采购政策，政府采购支持监狱企业发展，政府采购扶持不发达地区和少数民族地区。</w:t>
            </w:r>
          </w:p>
          <w:p>
            <w:pPr>
              <w:widowControl w:val="0"/>
              <w:spacing w:line="440" w:lineRule="exact"/>
              <w:ind w:firstLine="420" w:firstLineChars="200"/>
              <w:rPr>
                <w:rFonts w:ascii="宋体" w:hAnsi="宋体" w:eastAsia="宋体" w:cs="宋体"/>
                <w:sz w:val="21"/>
                <w:szCs w:val="21"/>
              </w:rPr>
            </w:pPr>
            <w:r>
              <w:rPr>
                <w:rFonts w:hint="eastAsia" w:ascii="宋体" w:hAnsi="宋体" w:eastAsia="宋体" w:cs="宋体"/>
                <w:sz w:val="21"/>
                <w:szCs w:val="21"/>
              </w:rPr>
              <w:t>3.本项目的特定资格要求：</w:t>
            </w:r>
          </w:p>
          <w:p>
            <w:pPr>
              <w:widowControl w:val="0"/>
              <w:spacing w:line="440" w:lineRule="exact"/>
              <w:ind w:firstLine="420" w:firstLineChars="200"/>
              <w:rPr>
                <w:rFonts w:ascii="宋体" w:hAnsi="宋体" w:eastAsia="宋体" w:cs="宋体"/>
                <w:sz w:val="21"/>
                <w:szCs w:val="21"/>
              </w:rPr>
            </w:pPr>
            <w:r>
              <w:rPr>
                <w:rFonts w:hint="eastAsia" w:ascii="宋体" w:hAnsi="宋体" w:eastAsia="宋体" w:cs="宋体"/>
                <w:sz w:val="21"/>
                <w:szCs w:val="21"/>
              </w:rPr>
              <w:t>（一）生产或经营本次采购货物，国内注册、并具备独立法人资格或其分支机构企业负责人资格的供应商；</w:t>
            </w:r>
          </w:p>
          <w:p>
            <w:pPr>
              <w:widowControl w:val="0"/>
              <w:spacing w:line="440" w:lineRule="exact"/>
              <w:ind w:firstLine="420" w:firstLineChars="200"/>
              <w:rPr>
                <w:rFonts w:ascii="宋体" w:hAnsi="宋体" w:eastAsia="宋体" w:cs="宋体"/>
                <w:sz w:val="21"/>
                <w:szCs w:val="21"/>
              </w:rPr>
            </w:pPr>
            <w:r>
              <w:rPr>
                <w:rFonts w:hint="eastAsia" w:ascii="宋体" w:hAnsi="宋体" w:eastAsia="宋体" w:cs="宋体"/>
                <w:sz w:val="21"/>
                <w:szCs w:val="21"/>
              </w:rPr>
              <w:t>（二）未被“信用中国”网站(www.creditchina.gov.cn)、中国政府采购网 (www.ccgp.gov.cn)等渠道列入失信被执行人、重大税收违法案件当事人名单、政府采购严重违法失信行为记录名单；</w:t>
            </w:r>
          </w:p>
          <w:p>
            <w:pPr>
              <w:widowControl w:val="0"/>
              <w:spacing w:line="440" w:lineRule="exact"/>
              <w:ind w:firstLine="420" w:firstLineChars="200"/>
              <w:rPr>
                <w:rFonts w:ascii="宋体" w:hAnsi="宋体" w:eastAsia="宋体" w:cs="宋体"/>
                <w:sz w:val="21"/>
                <w:szCs w:val="21"/>
              </w:rPr>
            </w:pPr>
            <w:r>
              <w:rPr>
                <w:rFonts w:hint="eastAsia" w:ascii="宋体" w:hAnsi="宋体" w:eastAsia="宋体" w:cs="宋体"/>
                <w:sz w:val="21"/>
                <w:szCs w:val="21"/>
              </w:rPr>
              <w:t>（三）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widowControl w:val="0"/>
              <w:spacing w:line="440" w:lineRule="exact"/>
              <w:ind w:firstLine="420" w:firstLineChars="200"/>
              <w:rPr>
                <w:rFonts w:ascii="宋体" w:hAnsi="宋体" w:eastAsia="宋体" w:cs="宋体"/>
                <w:sz w:val="21"/>
                <w:szCs w:val="21"/>
              </w:rPr>
            </w:pPr>
            <w:r>
              <w:rPr>
                <w:rFonts w:hint="eastAsia" w:ascii="宋体" w:hAnsi="宋体" w:eastAsia="宋体" w:cs="宋体"/>
                <w:sz w:val="21"/>
                <w:szCs w:val="21"/>
              </w:rPr>
              <w:t>4.本项目不接受未购买本竞争性</w:t>
            </w:r>
            <w:r>
              <w:rPr>
                <w:rFonts w:hint="eastAsia" w:ascii="宋体" w:hAnsi="宋体" w:cs="宋体"/>
                <w:sz w:val="21"/>
                <w:szCs w:val="21"/>
              </w:rPr>
              <w:t>磋商</w:t>
            </w:r>
            <w:r>
              <w:rPr>
                <w:rFonts w:hint="eastAsia" w:ascii="宋体" w:hAnsi="宋体" w:eastAsia="宋体" w:cs="宋体"/>
                <w:sz w:val="21"/>
                <w:szCs w:val="21"/>
              </w:rPr>
              <w:t>文件的供应商。</w:t>
            </w:r>
          </w:p>
          <w:p>
            <w:pPr>
              <w:spacing w:line="300" w:lineRule="auto"/>
              <w:ind w:left="220" w:leftChars="100"/>
              <w:jc w:val="both"/>
              <w:rPr>
                <w:rFonts w:eastAsia="宋体"/>
                <w:sz w:val="20"/>
                <w:szCs w:val="20"/>
              </w:rPr>
            </w:pPr>
          </w:p>
        </w:tc>
      </w:tr>
      <w:tr>
        <w:tblPrEx>
          <w:tblCellMar>
            <w:top w:w="0" w:type="dxa"/>
            <w:left w:w="0" w:type="dxa"/>
            <w:bottom w:w="0" w:type="dxa"/>
            <w:right w:w="0" w:type="dxa"/>
          </w:tblCellMar>
        </w:tblPrEx>
        <w:trPr>
          <w:trHeight w:val="480" w:hRule="atLeast"/>
        </w:trPr>
        <w:tc>
          <w:tcPr>
            <w:tcW w:w="720" w:type="dxa"/>
            <w:vMerge w:val="continue"/>
            <w:tcBorders>
              <w:left w:val="single" w:color="auto" w:sz="8" w:space="0"/>
              <w:right w:val="single" w:color="auto" w:sz="8" w:space="0"/>
            </w:tcBorders>
            <w:vAlign w:val="bottom"/>
          </w:tcPr>
          <w:p>
            <w:pPr>
              <w:ind w:left="220" w:leftChars="100"/>
              <w:rPr>
                <w:sz w:val="24"/>
                <w:szCs w:val="24"/>
              </w:rPr>
            </w:pPr>
          </w:p>
        </w:tc>
        <w:tc>
          <w:tcPr>
            <w:tcW w:w="2180" w:type="dxa"/>
            <w:vMerge w:val="continue"/>
            <w:tcBorders>
              <w:right w:val="single" w:color="auto" w:sz="8" w:space="0"/>
            </w:tcBorders>
            <w:vAlign w:val="bottom"/>
          </w:tcPr>
          <w:p>
            <w:pPr>
              <w:ind w:left="220" w:leftChars="100"/>
              <w:rPr>
                <w:sz w:val="24"/>
                <w:szCs w:val="24"/>
              </w:rPr>
            </w:pPr>
          </w:p>
        </w:tc>
        <w:tc>
          <w:tcPr>
            <w:tcW w:w="7420" w:type="dxa"/>
            <w:gridSpan w:val="5"/>
            <w:vMerge w:val="continue"/>
            <w:tcBorders>
              <w:right w:val="single" w:color="auto" w:sz="8" w:space="0"/>
            </w:tcBorders>
          </w:tcPr>
          <w:p>
            <w:pPr>
              <w:spacing w:line="240" w:lineRule="exact"/>
              <w:ind w:left="220" w:leftChars="100"/>
              <w:jc w:val="both"/>
              <w:rPr>
                <w:sz w:val="20"/>
                <w:szCs w:val="20"/>
              </w:rPr>
            </w:pPr>
          </w:p>
        </w:tc>
      </w:tr>
      <w:tr>
        <w:tblPrEx>
          <w:tblCellMar>
            <w:top w:w="0" w:type="dxa"/>
            <w:left w:w="0" w:type="dxa"/>
            <w:bottom w:w="0" w:type="dxa"/>
            <w:right w:w="0" w:type="dxa"/>
          </w:tblCellMar>
        </w:tblPrEx>
        <w:trPr>
          <w:trHeight w:val="564" w:hRule="atLeast"/>
        </w:trPr>
        <w:tc>
          <w:tcPr>
            <w:tcW w:w="720" w:type="dxa"/>
            <w:vMerge w:val="continue"/>
            <w:tcBorders>
              <w:left w:val="single" w:color="auto" w:sz="8" w:space="0"/>
              <w:right w:val="single" w:color="auto" w:sz="8" w:space="0"/>
            </w:tcBorders>
            <w:vAlign w:val="bottom"/>
          </w:tcPr>
          <w:p>
            <w:pPr>
              <w:spacing w:line="240" w:lineRule="exact"/>
              <w:ind w:left="220" w:leftChars="100"/>
              <w:jc w:val="center"/>
              <w:rPr>
                <w:sz w:val="24"/>
                <w:szCs w:val="24"/>
              </w:rPr>
            </w:pPr>
          </w:p>
        </w:tc>
        <w:tc>
          <w:tcPr>
            <w:tcW w:w="2180" w:type="dxa"/>
            <w:vMerge w:val="continue"/>
            <w:tcBorders>
              <w:right w:val="single" w:color="auto" w:sz="8" w:space="0"/>
            </w:tcBorders>
            <w:vAlign w:val="bottom"/>
          </w:tcPr>
          <w:p>
            <w:pPr>
              <w:spacing w:line="240" w:lineRule="exact"/>
              <w:ind w:left="220" w:leftChars="100"/>
              <w:jc w:val="center"/>
              <w:rPr>
                <w:sz w:val="24"/>
                <w:szCs w:val="24"/>
              </w:rPr>
            </w:pPr>
          </w:p>
        </w:tc>
        <w:tc>
          <w:tcPr>
            <w:tcW w:w="7420" w:type="dxa"/>
            <w:gridSpan w:val="5"/>
            <w:vMerge w:val="continue"/>
            <w:tcBorders>
              <w:right w:val="single" w:color="auto" w:sz="8" w:space="0"/>
            </w:tcBorders>
          </w:tcPr>
          <w:p>
            <w:pPr>
              <w:spacing w:line="240" w:lineRule="exact"/>
              <w:ind w:left="220" w:leftChars="100"/>
              <w:jc w:val="both"/>
              <w:rPr>
                <w:sz w:val="20"/>
                <w:szCs w:val="20"/>
              </w:rPr>
            </w:pPr>
          </w:p>
        </w:tc>
      </w:tr>
      <w:tr>
        <w:tblPrEx>
          <w:tblCellMar>
            <w:top w:w="0" w:type="dxa"/>
            <w:left w:w="0" w:type="dxa"/>
            <w:bottom w:w="0" w:type="dxa"/>
            <w:right w:w="0" w:type="dxa"/>
          </w:tblCellMar>
        </w:tblPrEx>
        <w:trPr>
          <w:trHeight w:val="1176" w:hRule="atLeast"/>
        </w:trPr>
        <w:tc>
          <w:tcPr>
            <w:tcW w:w="720" w:type="dxa"/>
            <w:vMerge w:val="continue"/>
            <w:tcBorders>
              <w:left w:val="single" w:color="auto" w:sz="8" w:space="0"/>
              <w:right w:val="single" w:color="auto" w:sz="8" w:space="0"/>
            </w:tcBorders>
            <w:vAlign w:val="bottom"/>
          </w:tcPr>
          <w:p>
            <w:pPr>
              <w:ind w:left="220" w:leftChars="100"/>
              <w:rPr>
                <w:sz w:val="24"/>
                <w:szCs w:val="24"/>
              </w:rPr>
            </w:pPr>
          </w:p>
        </w:tc>
        <w:tc>
          <w:tcPr>
            <w:tcW w:w="2180" w:type="dxa"/>
            <w:vMerge w:val="continue"/>
            <w:tcBorders>
              <w:right w:val="single" w:color="auto" w:sz="8" w:space="0"/>
            </w:tcBorders>
            <w:vAlign w:val="bottom"/>
          </w:tcPr>
          <w:p>
            <w:pPr>
              <w:ind w:left="220" w:leftChars="100"/>
              <w:rPr>
                <w:sz w:val="24"/>
                <w:szCs w:val="24"/>
              </w:rPr>
            </w:pPr>
          </w:p>
        </w:tc>
        <w:tc>
          <w:tcPr>
            <w:tcW w:w="7420" w:type="dxa"/>
            <w:gridSpan w:val="5"/>
            <w:vMerge w:val="continue"/>
            <w:tcBorders>
              <w:right w:val="single" w:color="auto" w:sz="8" w:space="0"/>
            </w:tcBorders>
          </w:tcPr>
          <w:p>
            <w:pPr>
              <w:spacing w:line="240" w:lineRule="exact"/>
              <w:ind w:left="220" w:leftChars="100"/>
              <w:jc w:val="both"/>
              <w:rPr>
                <w:sz w:val="20"/>
                <w:szCs w:val="20"/>
              </w:rPr>
            </w:pPr>
          </w:p>
        </w:tc>
      </w:tr>
      <w:tr>
        <w:tblPrEx>
          <w:tblCellMar>
            <w:top w:w="0" w:type="dxa"/>
            <w:left w:w="0" w:type="dxa"/>
            <w:bottom w:w="0" w:type="dxa"/>
            <w:right w:w="0" w:type="dxa"/>
          </w:tblCellMar>
        </w:tblPrEx>
        <w:trPr>
          <w:trHeight w:val="312" w:hRule="atLeast"/>
        </w:trPr>
        <w:tc>
          <w:tcPr>
            <w:tcW w:w="720" w:type="dxa"/>
            <w:vMerge w:val="continue"/>
            <w:tcBorders>
              <w:left w:val="single" w:color="auto" w:sz="8" w:space="0"/>
              <w:bottom w:val="single" w:color="auto" w:sz="4" w:space="0"/>
              <w:right w:val="single" w:color="auto" w:sz="8" w:space="0"/>
            </w:tcBorders>
            <w:vAlign w:val="bottom"/>
          </w:tcPr>
          <w:p>
            <w:pPr>
              <w:ind w:left="220" w:leftChars="100"/>
              <w:rPr>
                <w:sz w:val="24"/>
                <w:szCs w:val="24"/>
              </w:rPr>
            </w:pPr>
          </w:p>
        </w:tc>
        <w:tc>
          <w:tcPr>
            <w:tcW w:w="2180" w:type="dxa"/>
            <w:vMerge w:val="continue"/>
            <w:tcBorders>
              <w:bottom w:val="single" w:color="auto" w:sz="4" w:space="0"/>
              <w:right w:val="single" w:color="auto" w:sz="8" w:space="0"/>
            </w:tcBorders>
            <w:vAlign w:val="bottom"/>
          </w:tcPr>
          <w:p>
            <w:pPr>
              <w:ind w:left="220" w:leftChars="100"/>
              <w:rPr>
                <w:sz w:val="24"/>
                <w:szCs w:val="24"/>
              </w:rPr>
            </w:pPr>
          </w:p>
        </w:tc>
        <w:tc>
          <w:tcPr>
            <w:tcW w:w="7420" w:type="dxa"/>
            <w:gridSpan w:val="5"/>
            <w:vMerge w:val="continue"/>
            <w:tcBorders>
              <w:bottom w:val="single" w:color="auto" w:sz="4" w:space="0"/>
              <w:right w:val="single" w:color="auto" w:sz="8" w:space="0"/>
            </w:tcBorders>
          </w:tcPr>
          <w:p>
            <w:pPr>
              <w:spacing w:line="240" w:lineRule="exact"/>
              <w:ind w:left="220" w:leftChars="100"/>
              <w:jc w:val="both"/>
              <w:rPr>
                <w:sz w:val="20"/>
                <w:szCs w:val="20"/>
              </w:rPr>
            </w:pPr>
          </w:p>
        </w:tc>
      </w:tr>
      <w:tr>
        <w:tblPrEx>
          <w:tblCellMar>
            <w:top w:w="0" w:type="dxa"/>
            <w:left w:w="0" w:type="dxa"/>
            <w:bottom w:w="0" w:type="dxa"/>
            <w:right w:w="0" w:type="dxa"/>
          </w:tblCellMar>
        </w:tblPrEx>
        <w:trPr>
          <w:trHeight w:val="312" w:hRule="atLeast"/>
        </w:trPr>
        <w:tc>
          <w:tcPr>
            <w:tcW w:w="720" w:type="dxa"/>
            <w:vMerge w:val="restart"/>
            <w:tcBorders>
              <w:top w:val="single" w:color="auto" w:sz="4" w:space="0"/>
              <w:left w:val="single" w:color="auto" w:sz="8" w:space="0"/>
              <w:right w:val="single" w:color="auto" w:sz="8" w:space="0"/>
            </w:tcBorders>
            <w:vAlign w:val="center"/>
          </w:tcPr>
          <w:p>
            <w:pPr>
              <w:spacing w:line="240" w:lineRule="exact"/>
              <w:ind w:left="220" w:leftChars="100"/>
              <w:jc w:val="center"/>
              <w:rPr>
                <w:sz w:val="16"/>
                <w:szCs w:val="16"/>
              </w:rPr>
            </w:pPr>
            <w:r>
              <w:rPr>
                <w:rFonts w:ascii="宋体" w:hAnsi="宋体" w:eastAsia="宋体" w:cs="宋体"/>
                <w:w w:val="94"/>
                <w:sz w:val="21"/>
                <w:szCs w:val="21"/>
              </w:rPr>
              <w:t>6</w:t>
            </w:r>
          </w:p>
        </w:tc>
        <w:tc>
          <w:tcPr>
            <w:tcW w:w="2180" w:type="dxa"/>
            <w:vMerge w:val="restart"/>
            <w:tcBorders>
              <w:top w:val="single" w:color="auto" w:sz="4" w:space="0"/>
              <w:right w:val="single" w:color="auto" w:sz="8" w:space="0"/>
            </w:tcBorders>
            <w:vAlign w:val="center"/>
          </w:tcPr>
          <w:p>
            <w:pPr>
              <w:spacing w:line="240" w:lineRule="exact"/>
              <w:ind w:left="220" w:leftChars="100"/>
              <w:jc w:val="center"/>
              <w:rPr>
                <w:sz w:val="16"/>
                <w:szCs w:val="16"/>
              </w:rPr>
            </w:pPr>
            <w:r>
              <w:rPr>
                <w:rFonts w:ascii="宋体" w:hAnsi="宋体" w:eastAsia="宋体" w:cs="宋体"/>
                <w:sz w:val="21"/>
                <w:szCs w:val="21"/>
              </w:rPr>
              <w:t>磋商报价及费用</w:t>
            </w:r>
          </w:p>
        </w:tc>
        <w:tc>
          <w:tcPr>
            <w:tcW w:w="7420" w:type="dxa"/>
            <w:gridSpan w:val="5"/>
            <w:vMerge w:val="restart"/>
            <w:tcBorders>
              <w:top w:val="single" w:color="auto" w:sz="4" w:space="0"/>
              <w:right w:val="single" w:color="auto" w:sz="8" w:space="0"/>
            </w:tcBorders>
            <w:vAlign w:val="center"/>
          </w:tcPr>
          <w:p>
            <w:pPr>
              <w:spacing w:line="300" w:lineRule="auto"/>
              <w:ind w:left="220" w:leftChars="100"/>
              <w:jc w:val="both"/>
              <w:rPr>
                <w:rFonts w:ascii="宋体" w:hAnsi="宋体" w:eastAsia="宋体" w:cs="宋体"/>
                <w:sz w:val="21"/>
                <w:szCs w:val="21"/>
              </w:rPr>
            </w:pPr>
            <w:r>
              <w:rPr>
                <w:rFonts w:hint="eastAsia" w:ascii="宋体" w:hAnsi="宋体" w:eastAsia="宋体" w:cs="宋体"/>
                <w:sz w:val="21"/>
                <w:szCs w:val="21"/>
              </w:rPr>
              <w:t>1、采购项目预算金额（人民币）：</w:t>
            </w:r>
            <w:r>
              <w:rPr>
                <w:rFonts w:hint="eastAsia" w:ascii="宋体" w:hAnsi="宋体" w:cs="宋体"/>
                <w:sz w:val="21"/>
                <w:szCs w:val="21"/>
              </w:rPr>
              <w:t>853493.00</w:t>
            </w:r>
            <w:r>
              <w:rPr>
                <w:rFonts w:hint="eastAsia" w:ascii="宋体" w:hAnsi="宋体" w:eastAsia="宋体" w:cs="宋体"/>
                <w:sz w:val="21"/>
                <w:szCs w:val="21"/>
              </w:rPr>
              <w:t>元，磋商报价超过采购预算金额的，响应文件作无效处理。</w:t>
            </w:r>
          </w:p>
          <w:p>
            <w:pPr>
              <w:spacing w:line="300" w:lineRule="auto"/>
              <w:ind w:left="220" w:leftChars="100"/>
              <w:jc w:val="both"/>
              <w:rPr>
                <w:rFonts w:ascii="宋体" w:hAnsi="宋体" w:eastAsia="宋体" w:cs="宋体"/>
                <w:sz w:val="21"/>
                <w:szCs w:val="21"/>
              </w:rPr>
            </w:pPr>
            <w:r>
              <w:rPr>
                <w:rFonts w:hint="eastAsia" w:ascii="宋体" w:hAnsi="宋体" w:eastAsia="宋体" w:cs="宋体"/>
                <w:sz w:val="21"/>
                <w:szCs w:val="21"/>
              </w:rPr>
              <w:t>2、磋商供应商必须就“服务采购需求”中公布的所有服务内容作完整唯一报价；有选择的或有条件的报价将不予接受。</w:t>
            </w:r>
          </w:p>
          <w:p>
            <w:pPr>
              <w:spacing w:line="300" w:lineRule="auto"/>
              <w:ind w:left="220" w:leftChars="100"/>
              <w:jc w:val="both"/>
              <w:rPr>
                <w:rFonts w:ascii="宋体" w:hAnsi="宋体" w:eastAsia="宋体" w:cs="宋体"/>
                <w:sz w:val="21"/>
                <w:szCs w:val="21"/>
              </w:rPr>
            </w:pPr>
            <w:r>
              <w:rPr>
                <w:rFonts w:hint="eastAsia" w:ascii="宋体" w:hAnsi="宋体" w:eastAsia="宋体" w:cs="宋体"/>
                <w:sz w:val="21"/>
                <w:szCs w:val="21"/>
              </w:rPr>
              <w:t>3、不论磋商结果如何，磋商供应商均应自行承担所有与磋商有关的全部费用；</w:t>
            </w:r>
          </w:p>
          <w:p>
            <w:pPr>
              <w:spacing w:line="300" w:lineRule="auto"/>
              <w:ind w:left="220" w:leftChars="100"/>
              <w:jc w:val="both"/>
              <w:rPr>
                <w:sz w:val="20"/>
                <w:szCs w:val="20"/>
              </w:rPr>
            </w:pPr>
            <w:r>
              <w:rPr>
                <w:rFonts w:hint="eastAsia" w:ascii="宋体" w:hAnsi="宋体" w:eastAsia="宋体" w:cs="宋体"/>
                <w:sz w:val="21"/>
                <w:szCs w:val="21"/>
              </w:rPr>
              <w:t>4、未书面退出谈判的供应商应在规定时间内密封提交最后报价，其最后报价不得超出采购预算；谈判过程中谈判文件未作实质性变动的，最后报价不得超过首次报价。</w:t>
            </w:r>
          </w:p>
        </w:tc>
      </w:tr>
      <w:tr>
        <w:tblPrEx>
          <w:tblCellMar>
            <w:top w:w="0" w:type="dxa"/>
            <w:left w:w="0" w:type="dxa"/>
            <w:bottom w:w="0" w:type="dxa"/>
            <w:right w:w="0" w:type="dxa"/>
          </w:tblCellMar>
        </w:tblPrEx>
        <w:trPr>
          <w:trHeight w:val="630" w:hRule="atLeast"/>
        </w:trPr>
        <w:tc>
          <w:tcPr>
            <w:tcW w:w="720" w:type="dxa"/>
            <w:vMerge w:val="continue"/>
            <w:tcBorders>
              <w:left w:val="single" w:color="auto" w:sz="8" w:space="0"/>
              <w:right w:val="single" w:color="auto" w:sz="8" w:space="0"/>
            </w:tcBorders>
            <w:vAlign w:val="bottom"/>
          </w:tcPr>
          <w:p>
            <w:pPr>
              <w:ind w:left="220" w:leftChars="100"/>
              <w:rPr>
                <w:sz w:val="24"/>
                <w:szCs w:val="24"/>
              </w:rPr>
            </w:pPr>
          </w:p>
        </w:tc>
        <w:tc>
          <w:tcPr>
            <w:tcW w:w="2180" w:type="dxa"/>
            <w:vMerge w:val="continue"/>
            <w:tcBorders>
              <w:right w:val="single" w:color="auto" w:sz="8" w:space="0"/>
            </w:tcBorders>
            <w:vAlign w:val="bottom"/>
          </w:tcPr>
          <w:p>
            <w:pPr>
              <w:ind w:left="220" w:leftChars="100"/>
              <w:rPr>
                <w:sz w:val="24"/>
                <w:szCs w:val="24"/>
              </w:rPr>
            </w:pPr>
          </w:p>
        </w:tc>
        <w:tc>
          <w:tcPr>
            <w:tcW w:w="7420" w:type="dxa"/>
            <w:gridSpan w:val="5"/>
            <w:vMerge w:val="continue"/>
            <w:tcBorders>
              <w:right w:val="single" w:color="auto" w:sz="8" w:space="0"/>
            </w:tcBorders>
            <w:vAlign w:val="bottom"/>
          </w:tcPr>
          <w:p>
            <w:pPr>
              <w:spacing w:line="240" w:lineRule="exact"/>
              <w:ind w:left="220" w:leftChars="100"/>
              <w:rPr>
                <w:sz w:val="20"/>
                <w:szCs w:val="20"/>
              </w:rPr>
            </w:pPr>
          </w:p>
        </w:tc>
      </w:tr>
      <w:tr>
        <w:tblPrEx>
          <w:tblCellMar>
            <w:top w:w="0" w:type="dxa"/>
            <w:left w:w="0" w:type="dxa"/>
            <w:bottom w:w="0" w:type="dxa"/>
            <w:right w:w="0" w:type="dxa"/>
          </w:tblCellMar>
        </w:tblPrEx>
        <w:trPr>
          <w:trHeight w:val="312" w:hRule="atLeast"/>
        </w:trPr>
        <w:tc>
          <w:tcPr>
            <w:tcW w:w="720" w:type="dxa"/>
            <w:vMerge w:val="continue"/>
            <w:tcBorders>
              <w:left w:val="single" w:color="auto" w:sz="8" w:space="0"/>
              <w:right w:val="single" w:color="auto" w:sz="8" w:space="0"/>
            </w:tcBorders>
            <w:vAlign w:val="bottom"/>
          </w:tcPr>
          <w:p>
            <w:pPr>
              <w:ind w:left="220" w:leftChars="100"/>
              <w:rPr>
                <w:sz w:val="10"/>
                <w:szCs w:val="10"/>
              </w:rPr>
            </w:pPr>
          </w:p>
        </w:tc>
        <w:tc>
          <w:tcPr>
            <w:tcW w:w="2180" w:type="dxa"/>
            <w:vMerge w:val="continue"/>
            <w:tcBorders>
              <w:right w:val="single" w:color="auto" w:sz="8" w:space="0"/>
            </w:tcBorders>
            <w:vAlign w:val="bottom"/>
          </w:tcPr>
          <w:p>
            <w:pPr>
              <w:ind w:left="220" w:leftChars="100"/>
              <w:rPr>
                <w:sz w:val="10"/>
                <w:szCs w:val="10"/>
              </w:rPr>
            </w:pPr>
          </w:p>
        </w:tc>
        <w:tc>
          <w:tcPr>
            <w:tcW w:w="7420" w:type="dxa"/>
            <w:gridSpan w:val="5"/>
            <w:vMerge w:val="continue"/>
            <w:tcBorders>
              <w:right w:val="single" w:color="auto" w:sz="8" w:space="0"/>
            </w:tcBorders>
            <w:vAlign w:val="bottom"/>
          </w:tcPr>
          <w:p>
            <w:pPr>
              <w:spacing w:line="240" w:lineRule="exact"/>
              <w:ind w:left="220" w:leftChars="100"/>
              <w:rPr>
                <w:sz w:val="20"/>
                <w:szCs w:val="20"/>
              </w:rPr>
            </w:pPr>
          </w:p>
        </w:tc>
      </w:tr>
      <w:tr>
        <w:tblPrEx>
          <w:tblCellMar>
            <w:top w:w="0" w:type="dxa"/>
            <w:left w:w="0" w:type="dxa"/>
            <w:bottom w:w="0" w:type="dxa"/>
            <w:right w:w="0" w:type="dxa"/>
          </w:tblCellMar>
        </w:tblPrEx>
        <w:trPr>
          <w:trHeight w:val="499" w:hRule="atLeast"/>
        </w:trPr>
        <w:tc>
          <w:tcPr>
            <w:tcW w:w="720" w:type="dxa"/>
            <w:vMerge w:val="continue"/>
            <w:tcBorders>
              <w:left w:val="single" w:color="auto" w:sz="8" w:space="0"/>
              <w:right w:val="single" w:color="auto" w:sz="8" w:space="0"/>
            </w:tcBorders>
            <w:vAlign w:val="bottom"/>
          </w:tcPr>
          <w:p>
            <w:pPr>
              <w:spacing w:line="240" w:lineRule="exact"/>
              <w:ind w:left="220" w:leftChars="100"/>
              <w:jc w:val="center"/>
              <w:rPr>
                <w:sz w:val="16"/>
                <w:szCs w:val="16"/>
              </w:rPr>
            </w:pPr>
          </w:p>
        </w:tc>
        <w:tc>
          <w:tcPr>
            <w:tcW w:w="2180" w:type="dxa"/>
            <w:vMerge w:val="continue"/>
            <w:tcBorders>
              <w:right w:val="single" w:color="auto" w:sz="8" w:space="0"/>
            </w:tcBorders>
            <w:vAlign w:val="bottom"/>
          </w:tcPr>
          <w:p>
            <w:pPr>
              <w:spacing w:line="240" w:lineRule="exact"/>
              <w:ind w:left="220" w:leftChars="100"/>
              <w:jc w:val="center"/>
              <w:rPr>
                <w:sz w:val="16"/>
                <w:szCs w:val="16"/>
              </w:rPr>
            </w:pPr>
          </w:p>
        </w:tc>
        <w:tc>
          <w:tcPr>
            <w:tcW w:w="7420" w:type="dxa"/>
            <w:gridSpan w:val="5"/>
            <w:vMerge w:val="continue"/>
            <w:tcBorders>
              <w:right w:val="single" w:color="auto" w:sz="8" w:space="0"/>
            </w:tcBorders>
            <w:vAlign w:val="bottom"/>
          </w:tcPr>
          <w:p>
            <w:pPr>
              <w:ind w:left="220" w:leftChars="100"/>
              <w:rPr>
                <w:sz w:val="16"/>
                <w:szCs w:val="16"/>
              </w:rPr>
            </w:pPr>
          </w:p>
        </w:tc>
      </w:tr>
      <w:tr>
        <w:tblPrEx>
          <w:tblCellMar>
            <w:top w:w="0" w:type="dxa"/>
            <w:left w:w="0" w:type="dxa"/>
            <w:bottom w:w="0" w:type="dxa"/>
            <w:right w:w="0" w:type="dxa"/>
          </w:tblCellMar>
        </w:tblPrEx>
        <w:trPr>
          <w:trHeight w:val="613" w:hRule="atLeast"/>
        </w:trPr>
        <w:tc>
          <w:tcPr>
            <w:tcW w:w="720" w:type="dxa"/>
            <w:vMerge w:val="continue"/>
            <w:tcBorders>
              <w:left w:val="single" w:color="auto" w:sz="8" w:space="0"/>
              <w:right w:val="single" w:color="auto" w:sz="8" w:space="0"/>
            </w:tcBorders>
            <w:vAlign w:val="bottom"/>
          </w:tcPr>
          <w:p>
            <w:pPr>
              <w:ind w:left="220" w:leftChars="100"/>
              <w:rPr>
                <w:sz w:val="24"/>
                <w:szCs w:val="24"/>
              </w:rPr>
            </w:pPr>
          </w:p>
        </w:tc>
        <w:tc>
          <w:tcPr>
            <w:tcW w:w="2180" w:type="dxa"/>
            <w:vMerge w:val="continue"/>
            <w:tcBorders>
              <w:right w:val="single" w:color="auto" w:sz="8" w:space="0"/>
            </w:tcBorders>
            <w:vAlign w:val="bottom"/>
          </w:tcPr>
          <w:p>
            <w:pPr>
              <w:ind w:left="220" w:leftChars="100"/>
              <w:rPr>
                <w:sz w:val="24"/>
                <w:szCs w:val="24"/>
              </w:rPr>
            </w:pPr>
          </w:p>
        </w:tc>
        <w:tc>
          <w:tcPr>
            <w:tcW w:w="7420" w:type="dxa"/>
            <w:gridSpan w:val="5"/>
            <w:vMerge w:val="continue"/>
            <w:tcBorders>
              <w:right w:val="single" w:color="auto" w:sz="8" w:space="0"/>
            </w:tcBorders>
            <w:vAlign w:val="bottom"/>
          </w:tcPr>
          <w:p>
            <w:pPr>
              <w:spacing w:line="240" w:lineRule="exact"/>
              <w:ind w:left="220" w:leftChars="100"/>
              <w:rPr>
                <w:sz w:val="20"/>
                <w:szCs w:val="20"/>
              </w:rPr>
            </w:pPr>
          </w:p>
        </w:tc>
      </w:tr>
      <w:tr>
        <w:tblPrEx>
          <w:tblCellMar>
            <w:top w:w="0" w:type="dxa"/>
            <w:left w:w="0" w:type="dxa"/>
            <w:bottom w:w="0" w:type="dxa"/>
            <w:right w:w="0" w:type="dxa"/>
          </w:tblCellMar>
        </w:tblPrEx>
        <w:trPr>
          <w:trHeight w:val="312" w:hRule="atLeast"/>
        </w:trPr>
        <w:tc>
          <w:tcPr>
            <w:tcW w:w="720" w:type="dxa"/>
            <w:vMerge w:val="continue"/>
            <w:tcBorders>
              <w:left w:val="single" w:color="auto" w:sz="8" w:space="0"/>
              <w:right w:val="single" w:color="auto" w:sz="8" w:space="0"/>
            </w:tcBorders>
            <w:vAlign w:val="bottom"/>
          </w:tcPr>
          <w:p>
            <w:pPr>
              <w:ind w:left="220" w:leftChars="100"/>
              <w:rPr>
                <w:sz w:val="24"/>
                <w:szCs w:val="24"/>
              </w:rPr>
            </w:pPr>
          </w:p>
        </w:tc>
        <w:tc>
          <w:tcPr>
            <w:tcW w:w="2180" w:type="dxa"/>
            <w:vMerge w:val="continue"/>
            <w:tcBorders>
              <w:right w:val="single" w:color="auto" w:sz="8" w:space="0"/>
            </w:tcBorders>
            <w:vAlign w:val="bottom"/>
          </w:tcPr>
          <w:p>
            <w:pPr>
              <w:ind w:left="220" w:leftChars="100"/>
              <w:rPr>
                <w:sz w:val="24"/>
                <w:szCs w:val="24"/>
              </w:rPr>
            </w:pPr>
          </w:p>
        </w:tc>
        <w:tc>
          <w:tcPr>
            <w:tcW w:w="7420" w:type="dxa"/>
            <w:gridSpan w:val="5"/>
            <w:vMerge w:val="continue"/>
            <w:tcBorders>
              <w:right w:val="single" w:color="auto" w:sz="8" w:space="0"/>
            </w:tcBorders>
            <w:vAlign w:val="bottom"/>
          </w:tcPr>
          <w:p>
            <w:pPr>
              <w:spacing w:line="240" w:lineRule="exact"/>
              <w:ind w:left="220" w:leftChars="100"/>
              <w:rPr>
                <w:sz w:val="20"/>
                <w:szCs w:val="20"/>
              </w:rPr>
            </w:pPr>
          </w:p>
        </w:tc>
      </w:tr>
      <w:tr>
        <w:tblPrEx>
          <w:tblCellMar>
            <w:top w:w="0" w:type="dxa"/>
            <w:left w:w="0" w:type="dxa"/>
            <w:bottom w:w="0" w:type="dxa"/>
            <w:right w:w="0" w:type="dxa"/>
          </w:tblCellMar>
        </w:tblPrEx>
        <w:trPr>
          <w:trHeight w:val="32" w:hRule="atLeast"/>
        </w:trPr>
        <w:tc>
          <w:tcPr>
            <w:tcW w:w="720" w:type="dxa"/>
            <w:tcBorders>
              <w:left w:val="single" w:color="auto" w:sz="8" w:space="0"/>
              <w:bottom w:val="single" w:color="auto" w:sz="8" w:space="0"/>
              <w:right w:val="single" w:color="auto" w:sz="8" w:space="0"/>
            </w:tcBorders>
            <w:vAlign w:val="bottom"/>
          </w:tcPr>
          <w:p>
            <w:pPr>
              <w:ind w:left="220" w:leftChars="100"/>
              <w:rPr>
                <w:sz w:val="2"/>
                <w:szCs w:val="2"/>
              </w:rPr>
            </w:pPr>
          </w:p>
        </w:tc>
        <w:tc>
          <w:tcPr>
            <w:tcW w:w="2180" w:type="dxa"/>
            <w:tcBorders>
              <w:bottom w:val="single" w:color="auto" w:sz="8" w:space="0"/>
              <w:right w:val="single" w:color="auto" w:sz="8" w:space="0"/>
            </w:tcBorders>
            <w:vAlign w:val="bottom"/>
          </w:tcPr>
          <w:p>
            <w:pPr>
              <w:ind w:left="220" w:leftChars="100"/>
              <w:rPr>
                <w:sz w:val="2"/>
                <w:szCs w:val="2"/>
              </w:rPr>
            </w:pPr>
          </w:p>
        </w:tc>
        <w:tc>
          <w:tcPr>
            <w:tcW w:w="7420" w:type="dxa"/>
            <w:gridSpan w:val="5"/>
            <w:tcBorders>
              <w:bottom w:val="single" w:color="auto" w:sz="8" w:space="0"/>
              <w:right w:val="single" w:color="auto" w:sz="8" w:space="0"/>
            </w:tcBorders>
            <w:vAlign w:val="bottom"/>
          </w:tcPr>
          <w:p>
            <w:pPr>
              <w:ind w:left="220" w:leftChars="100"/>
              <w:rPr>
                <w:sz w:val="2"/>
                <w:szCs w:val="2"/>
              </w:rPr>
            </w:pPr>
          </w:p>
        </w:tc>
      </w:tr>
      <w:tr>
        <w:tblPrEx>
          <w:tblCellMar>
            <w:top w:w="0" w:type="dxa"/>
            <w:left w:w="0" w:type="dxa"/>
            <w:bottom w:w="0" w:type="dxa"/>
            <w:right w:w="0" w:type="dxa"/>
          </w:tblCellMar>
        </w:tblPrEx>
        <w:trPr>
          <w:trHeight w:val="312" w:hRule="atLeast"/>
        </w:trPr>
        <w:tc>
          <w:tcPr>
            <w:tcW w:w="720" w:type="dxa"/>
            <w:vMerge w:val="restart"/>
            <w:tcBorders>
              <w:left w:val="single" w:color="auto" w:sz="8" w:space="0"/>
              <w:right w:val="single" w:color="auto" w:sz="8" w:space="0"/>
            </w:tcBorders>
            <w:vAlign w:val="center"/>
          </w:tcPr>
          <w:p>
            <w:pPr>
              <w:spacing w:line="240" w:lineRule="exact"/>
              <w:ind w:left="220" w:leftChars="100"/>
              <w:jc w:val="center"/>
              <w:rPr>
                <w:sz w:val="24"/>
                <w:szCs w:val="24"/>
              </w:rPr>
            </w:pPr>
            <w:r>
              <w:rPr>
                <w:rFonts w:ascii="宋体" w:hAnsi="宋体" w:eastAsia="宋体" w:cs="宋体"/>
                <w:w w:val="94"/>
                <w:sz w:val="21"/>
                <w:szCs w:val="21"/>
              </w:rPr>
              <w:t>7</w:t>
            </w:r>
          </w:p>
        </w:tc>
        <w:tc>
          <w:tcPr>
            <w:tcW w:w="2180" w:type="dxa"/>
            <w:vMerge w:val="restart"/>
            <w:tcBorders>
              <w:right w:val="single" w:color="auto" w:sz="8" w:space="0"/>
            </w:tcBorders>
            <w:vAlign w:val="center"/>
          </w:tcPr>
          <w:p>
            <w:pPr>
              <w:spacing w:line="240" w:lineRule="exact"/>
              <w:ind w:left="220" w:leftChars="100"/>
              <w:jc w:val="center"/>
              <w:rPr>
                <w:sz w:val="24"/>
                <w:szCs w:val="24"/>
              </w:rPr>
            </w:pPr>
            <w:r>
              <w:rPr>
                <w:rFonts w:ascii="宋体" w:hAnsi="宋体" w:eastAsia="宋体" w:cs="宋体"/>
                <w:sz w:val="21"/>
                <w:szCs w:val="21"/>
              </w:rPr>
              <w:t>磋商保证金</w:t>
            </w:r>
          </w:p>
        </w:tc>
        <w:tc>
          <w:tcPr>
            <w:tcW w:w="7420" w:type="dxa"/>
            <w:gridSpan w:val="5"/>
            <w:vMerge w:val="restart"/>
            <w:tcBorders>
              <w:right w:val="single" w:color="auto" w:sz="8" w:space="0"/>
            </w:tcBorders>
            <w:vAlign w:val="bottom"/>
          </w:tcPr>
          <w:p>
            <w:pPr>
              <w:spacing w:line="300" w:lineRule="auto"/>
              <w:ind w:left="220" w:leftChars="100"/>
              <w:jc w:val="both"/>
              <w:rPr>
                <w:rFonts w:ascii="宋体" w:hAnsi="宋体" w:eastAsia="宋体" w:cs="宋体"/>
                <w:sz w:val="21"/>
                <w:szCs w:val="21"/>
              </w:rPr>
            </w:pPr>
            <w:r>
              <w:rPr>
                <w:rFonts w:hint="eastAsia" w:ascii="宋体" w:hAnsi="宋体" w:eastAsia="宋体" w:cs="宋体"/>
                <w:sz w:val="21"/>
                <w:szCs w:val="21"/>
              </w:rPr>
              <w:t>1、投标保证金金额：8000.00元整。（须足额交纳）。</w:t>
            </w:r>
          </w:p>
          <w:p>
            <w:pPr>
              <w:spacing w:line="300" w:lineRule="auto"/>
              <w:ind w:left="220" w:leftChars="100"/>
              <w:jc w:val="both"/>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2、投标保证金有效期：投标截止时间之日起 90 天。</w:t>
            </w:r>
          </w:p>
          <w:p>
            <w:pPr>
              <w:spacing w:line="300" w:lineRule="auto"/>
              <w:ind w:left="220" w:leftChars="100" w:firstLine="420" w:firstLineChars="200"/>
              <w:jc w:val="both"/>
              <w:rPr>
                <w:rFonts w:ascii="宋体" w:hAnsi="宋体" w:eastAsia="宋体" w:cs="宋体"/>
                <w:sz w:val="21"/>
                <w:szCs w:val="21"/>
              </w:rPr>
            </w:pPr>
            <w:r>
              <w:rPr>
                <w:rFonts w:hint="eastAsia" w:ascii="宋体" w:hAnsi="宋体" w:eastAsia="宋体" w:cs="宋体"/>
                <w:sz w:val="21"/>
                <w:szCs w:val="21"/>
              </w:rPr>
              <w:t>投标人应于开标前将投标保证金以电汇、转账等非现金形式从银行基本账户交至以下账户：</w:t>
            </w:r>
          </w:p>
          <w:p>
            <w:pPr>
              <w:spacing w:line="300" w:lineRule="auto"/>
              <w:ind w:left="220" w:leftChars="100" w:firstLine="210" w:firstLineChars="100"/>
              <w:jc w:val="both"/>
              <w:rPr>
                <w:rFonts w:ascii="宋体" w:hAnsi="宋体" w:eastAsia="宋体" w:cs="宋体"/>
                <w:sz w:val="21"/>
                <w:szCs w:val="21"/>
              </w:rPr>
            </w:pPr>
            <w:r>
              <w:rPr>
                <w:rFonts w:hint="eastAsia" w:ascii="宋体" w:hAnsi="宋体" w:eastAsia="宋体" w:cs="宋体"/>
                <w:sz w:val="21"/>
                <w:szCs w:val="21"/>
              </w:rPr>
              <w:t>开户银行：建设银行灵山县丰江路支行</w:t>
            </w:r>
          </w:p>
          <w:p>
            <w:pPr>
              <w:spacing w:line="300" w:lineRule="auto"/>
              <w:ind w:left="220" w:leftChars="100" w:firstLine="210" w:firstLineChars="100"/>
              <w:jc w:val="both"/>
              <w:rPr>
                <w:rFonts w:ascii="宋体" w:hAnsi="宋体" w:eastAsia="宋体" w:cs="宋体"/>
                <w:sz w:val="21"/>
                <w:szCs w:val="21"/>
              </w:rPr>
            </w:pPr>
            <w:r>
              <w:rPr>
                <w:rFonts w:hint="eastAsia" w:ascii="宋体" w:hAnsi="宋体" w:eastAsia="宋体" w:cs="宋体"/>
                <w:sz w:val="21"/>
                <w:szCs w:val="21"/>
              </w:rPr>
              <w:t>户名：广西大通建设监理咨询管理有限公司钦州分公司</w:t>
            </w:r>
          </w:p>
          <w:p>
            <w:pPr>
              <w:spacing w:line="300" w:lineRule="auto"/>
              <w:ind w:left="220" w:leftChars="100" w:firstLine="210" w:firstLineChars="100"/>
              <w:jc w:val="both"/>
              <w:rPr>
                <w:rFonts w:ascii="宋体" w:hAnsi="宋体" w:eastAsia="宋体" w:cs="宋体"/>
                <w:sz w:val="21"/>
                <w:szCs w:val="21"/>
              </w:rPr>
            </w:pPr>
            <w:r>
              <w:rPr>
                <w:rFonts w:hint="eastAsia" w:ascii="宋体" w:hAnsi="宋体" w:eastAsia="宋体" w:cs="宋体"/>
                <w:sz w:val="21"/>
                <w:szCs w:val="21"/>
              </w:rPr>
              <w:t>银行帐号：4505 0165 7555 0968 6868</w:t>
            </w:r>
          </w:p>
          <w:p>
            <w:pPr>
              <w:spacing w:line="300" w:lineRule="auto"/>
              <w:ind w:left="220" w:leftChars="100" w:firstLine="420" w:firstLineChars="200"/>
              <w:jc w:val="both"/>
              <w:rPr>
                <w:rFonts w:ascii="宋体" w:hAnsi="宋体" w:eastAsia="宋体" w:cs="宋体"/>
                <w:sz w:val="21"/>
                <w:szCs w:val="21"/>
              </w:rPr>
            </w:pPr>
            <w:r>
              <w:rPr>
                <w:rFonts w:hint="eastAsia" w:ascii="宋体" w:hAnsi="宋体" w:eastAsia="宋体" w:cs="宋体"/>
                <w:sz w:val="21"/>
                <w:szCs w:val="21"/>
              </w:rPr>
              <w:t>凡未在规定时间内足额交纳或以其它方式交纳的投标保证金均视为无效投标保证金，其投标文件一律作无效处理。</w:t>
            </w:r>
          </w:p>
        </w:tc>
      </w:tr>
      <w:tr>
        <w:tblPrEx>
          <w:tblCellMar>
            <w:top w:w="0" w:type="dxa"/>
            <w:left w:w="0" w:type="dxa"/>
            <w:bottom w:w="0" w:type="dxa"/>
            <w:right w:w="0" w:type="dxa"/>
          </w:tblCellMar>
        </w:tblPrEx>
        <w:trPr>
          <w:trHeight w:val="312" w:hRule="atLeast"/>
        </w:trPr>
        <w:tc>
          <w:tcPr>
            <w:tcW w:w="720" w:type="dxa"/>
            <w:vMerge w:val="continue"/>
            <w:tcBorders>
              <w:left w:val="single" w:color="auto" w:sz="8" w:space="0"/>
              <w:right w:val="single" w:color="auto" w:sz="8" w:space="0"/>
            </w:tcBorders>
            <w:vAlign w:val="bottom"/>
          </w:tcPr>
          <w:p>
            <w:pPr>
              <w:spacing w:line="20" w:lineRule="exact"/>
              <w:ind w:left="220" w:leftChars="100"/>
              <w:rPr>
                <w:sz w:val="1"/>
                <w:szCs w:val="1"/>
              </w:rPr>
            </w:pPr>
          </w:p>
        </w:tc>
        <w:tc>
          <w:tcPr>
            <w:tcW w:w="2180" w:type="dxa"/>
            <w:vMerge w:val="continue"/>
            <w:tcBorders>
              <w:right w:val="single" w:color="auto" w:sz="8" w:space="0"/>
            </w:tcBorders>
            <w:vAlign w:val="bottom"/>
          </w:tcPr>
          <w:p>
            <w:pPr>
              <w:spacing w:line="20" w:lineRule="exact"/>
              <w:ind w:left="220" w:leftChars="100"/>
              <w:rPr>
                <w:sz w:val="1"/>
                <w:szCs w:val="1"/>
              </w:rPr>
            </w:pPr>
          </w:p>
        </w:tc>
        <w:tc>
          <w:tcPr>
            <w:tcW w:w="7420" w:type="dxa"/>
            <w:gridSpan w:val="5"/>
            <w:vMerge w:val="continue"/>
            <w:tcBorders>
              <w:right w:val="single" w:color="auto" w:sz="8" w:space="0"/>
            </w:tcBorders>
            <w:vAlign w:val="bottom"/>
          </w:tcPr>
          <w:p>
            <w:pPr>
              <w:spacing w:line="20" w:lineRule="exact"/>
              <w:ind w:left="220" w:leftChars="100"/>
              <w:rPr>
                <w:sz w:val="1"/>
                <w:szCs w:val="1"/>
              </w:rPr>
            </w:pPr>
          </w:p>
        </w:tc>
      </w:tr>
      <w:tr>
        <w:tblPrEx>
          <w:tblCellMar>
            <w:top w:w="0" w:type="dxa"/>
            <w:left w:w="0" w:type="dxa"/>
            <w:bottom w:w="0" w:type="dxa"/>
            <w:right w:w="0" w:type="dxa"/>
          </w:tblCellMar>
        </w:tblPrEx>
        <w:trPr>
          <w:trHeight w:val="312" w:hRule="atLeast"/>
        </w:trPr>
        <w:tc>
          <w:tcPr>
            <w:tcW w:w="720" w:type="dxa"/>
            <w:vMerge w:val="continue"/>
            <w:tcBorders>
              <w:left w:val="single" w:color="auto" w:sz="8" w:space="0"/>
              <w:right w:val="single" w:color="auto" w:sz="8" w:space="0"/>
            </w:tcBorders>
            <w:vAlign w:val="bottom"/>
          </w:tcPr>
          <w:p>
            <w:pPr>
              <w:ind w:left="220" w:leftChars="100"/>
              <w:rPr>
                <w:sz w:val="24"/>
                <w:szCs w:val="24"/>
              </w:rPr>
            </w:pPr>
          </w:p>
        </w:tc>
        <w:tc>
          <w:tcPr>
            <w:tcW w:w="2180" w:type="dxa"/>
            <w:vMerge w:val="continue"/>
            <w:tcBorders>
              <w:right w:val="single" w:color="auto" w:sz="8" w:space="0"/>
            </w:tcBorders>
            <w:vAlign w:val="bottom"/>
          </w:tcPr>
          <w:p>
            <w:pPr>
              <w:ind w:left="220" w:leftChars="100"/>
              <w:rPr>
                <w:sz w:val="24"/>
                <w:szCs w:val="24"/>
              </w:rPr>
            </w:pPr>
          </w:p>
        </w:tc>
        <w:tc>
          <w:tcPr>
            <w:tcW w:w="7420" w:type="dxa"/>
            <w:gridSpan w:val="5"/>
            <w:vMerge w:val="continue"/>
            <w:tcBorders>
              <w:right w:val="single" w:color="auto" w:sz="8" w:space="0"/>
            </w:tcBorders>
            <w:vAlign w:val="bottom"/>
          </w:tcPr>
          <w:p>
            <w:pPr>
              <w:spacing w:line="240" w:lineRule="exact"/>
              <w:ind w:left="220" w:leftChars="100"/>
              <w:rPr>
                <w:sz w:val="20"/>
                <w:szCs w:val="20"/>
              </w:rPr>
            </w:pPr>
          </w:p>
        </w:tc>
      </w:tr>
      <w:tr>
        <w:tblPrEx>
          <w:tblCellMar>
            <w:top w:w="0" w:type="dxa"/>
            <w:left w:w="0" w:type="dxa"/>
            <w:bottom w:w="0" w:type="dxa"/>
            <w:right w:w="0" w:type="dxa"/>
          </w:tblCellMar>
        </w:tblPrEx>
        <w:trPr>
          <w:trHeight w:val="319" w:hRule="atLeast"/>
        </w:trPr>
        <w:tc>
          <w:tcPr>
            <w:tcW w:w="720" w:type="dxa"/>
            <w:vMerge w:val="continue"/>
            <w:tcBorders>
              <w:left w:val="single" w:color="auto" w:sz="8" w:space="0"/>
              <w:right w:val="single" w:color="auto" w:sz="8" w:space="0"/>
            </w:tcBorders>
            <w:vAlign w:val="bottom"/>
          </w:tcPr>
          <w:p>
            <w:pPr>
              <w:ind w:left="220" w:leftChars="100"/>
              <w:rPr>
                <w:sz w:val="24"/>
                <w:szCs w:val="24"/>
              </w:rPr>
            </w:pPr>
          </w:p>
        </w:tc>
        <w:tc>
          <w:tcPr>
            <w:tcW w:w="2180" w:type="dxa"/>
            <w:vMerge w:val="continue"/>
            <w:tcBorders>
              <w:right w:val="single" w:color="auto" w:sz="8" w:space="0"/>
            </w:tcBorders>
            <w:vAlign w:val="bottom"/>
          </w:tcPr>
          <w:p>
            <w:pPr>
              <w:ind w:left="220" w:leftChars="100"/>
              <w:rPr>
                <w:sz w:val="24"/>
                <w:szCs w:val="24"/>
              </w:rPr>
            </w:pPr>
          </w:p>
        </w:tc>
        <w:tc>
          <w:tcPr>
            <w:tcW w:w="7420" w:type="dxa"/>
            <w:gridSpan w:val="5"/>
            <w:vMerge w:val="continue"/>
            <w:tcBorders>
              <w:right w:val="single" w:color="auto" w:sz="8" w:space="0"/>
            </w:tcBorders>
            <w:vAlign w:val="bottom"/>
          </w:tcPr>
          <w:p>
            <w:pPr>
              <w:spacing w:after="120" w:afterLines="50" w:line="320" w:lineRule="exact"/>
              <w:ind w:left="220" w:leftChars="100" w:firstLine="400" w:firstLineChars="200"/>
              <w:rPr>
                <w:sz w:val="20"/>
                <w:szCs w:val="20"/>
              </w:rPr>
            </w:pPr>
          </w:p>
        </w:tc>
      </w:tr>
      <w:tr>
        <w:tblPrEx>
          <w:tblCellMar>
            <w:top w:w="0" w:type="dxa"/>
            <w:left w:w="0" w:type="dxa"/>
            <w:bottom w:w="0" w:type="dxa"/>
            <w:right w:w="0" w:type="dxa"/>
          </w:tblCellMar>
        </w:tblPrEx>
        <w:trPr>
          <w:trHeight w:val="320" w:hRule="atLeast"/>
        </w:trPr>
        <w:tc>
          <w:tcPr>
            <w:tcW w:w="720" w:type="dxa"/>
            <w:vMerge w:val="continue"/>
            <w:tcBorders>
              <w:left w:val="single" w:color="auto" w:sz="8" w:space="0"/>
              <w:right w:val="single" w:color="auto" w:sz="8" w:space="0"/>
            </w:tcBorders>
            <w:vAlign w:val="bottom"/>
          </w:tcPr>
          <w:p>
            <w:pPr>
              <w:ind w:left="220" w:leftChars="100"/>
              <w:rPr>
                <w:sz w:val="24"/>
                <w:szCs w:val="24"/>
              </w:rPr>
            </w:pPr>
          </w:p>
        </w:tc>
        <w:tc>
          <w:tcPr>
            <w:tcW w:w="2180" w:type="dxa"/>
            <w:vMerge w:val="continue"/>
            <w:tcBorders>
              <w:right w:val="single" w:color="auto" w:sz="8" w:space="0"/>
            </w:tcBorders>
            <w:vAlign w:val="bottom"/>
          </w:tcPr>
          <w:p>
            <w:pPr>
              <w:ind w:left="220" w:leftChars="100"/>
              <w:rPr>
                <w:sz w:val="24"/>
                <w:szCs w:val="24"/>
              </w:rPr>
            </w:pPr>
          </w:p>
        </w:tc>
        <w:tc>
          <w:tcPr>
            <w:tcW w:w="7420" w:type="dxa"/>
            <w:gridSpan w:val="5"/>
            <w:vMerge w:val="continue"/>
            <w:tcBorders>
              <w:right w:val="single" w:color="auto" w:sz="8" w:space="0"/>
            </w:tcBorders>
            <w:vAlign w:val="bottom"/>
          </w:tcPr>
          <w:p>
            <w:pPr>
              <w:spacing w:after="120" w:afterLines="50" w:line="320" w:lineRule="exact"/>
              <w:ind w:left="220" w:leftChars="100" w:firstLine="400" w:firstLineChars="200"/>
              <w:rPr>
                <w:sz w:val="20"/>
                <w:szCs w:val="20"/>
              </w:rPr>
            </w:pPr>
          </w:p>
        </w:tc>
      </w:tr>
      <w:tr>
        <w:tblPrEx>
          <w:tblCellMar>
            <w:top w:w="0" w:type="dxa"/>
            <w:left w:w="0" w:type="dxa"/>
            <w:bottom w:w="0" w:type="dxa"/>
            <w:right w:w="0" w:type="dxa"/>
          </w:tblCellMar>
        </w:tblPrEx>
        <w:trPr>
          <w:trHeight w:val="320" w:hRule="atLeast"/>
        </w:trPr>
        <w:tc>
          <w:tcPr>
            <w:tcW w:w="720" w:type="dxa"/>
            <w:vMerge w:val="continue"/>
            <w:tcBorders>
              <w:left w:val="single" w:color="auto" w:sz="8" w:space="0"/>
              <w:right w:val="single" w:color="auto" w:sz="8" w:space="0"/>
            </w:tcBorders>
            <w:vAlign w:val="bottom"/>
          </w:tcPr>
          <w:p>
            <w:pPr>
              <w:spacing w:line="240" w:lineRule="exact"/>
              <w:ind w:left="220" w:leftChars="100"/>
              <w:jc w:val="center"/>
              <w:rPr>
                <w:sz w:val="20"/>
                <w:szCs w:val="20"/>
              </w:rPr>
            </w:pPr>
          </w:p>
        </w:tc>
        <w:tc>
          <w:tcPr>
            <w:tcW w:w="2180" w:type="dxa"/>
            <w:vMerge w:val="continue"/>
            <w:tcBorders>
              <w:right w:val="single" w:color="auto" w:sz="8" w:space="0"/>
            </w:tcBorders>
            <w:vAlign w:val="bottom"/>
          </w:tcPr>
          <w:p>
            <w:pPr>
              <w:spacing w:line="240" w:lineRule="exact"/>
              <w:ind w:left="220" w:leftChars="100"/>
              <w:jc w:val="center"/>
              <w:rPr>
                <w:sz w:val="20"/>
                <w:szCs w:val="20"/>
              </w:rPr>
            </w:pPr>
          </w:p>
        </w:tc>
        <w:tc>
          <w:tcPr>
            <w:tcW w:w="7420" w:type="dxa"/>
            <w:gridSpan w:val="5"/>
            <w:vMerge w:val="continue"/>
            <w:tcBorders>
              <w:right w:val="single" w:color="auto" w:sz="8" w:space="0"/>
            </w:tcBorders>
            <w:vAlign w:val="bottom"/>
          </w:tcPr>
          <w:p>
            <w:pPr>
              <w:spacing w:after="120" w:afterLines="50" w:line="320" w:lineRule="exact"/>
              <w:ind w:left="220" w:leftChars="100" w:firstLine="400" w:firstLineChars="200"/>
              <w:rPr>
                <w:sz w:val="20"/>
                <w:szCs w:val="20"/>
              </w:rPr>
            </w:pPr>
          </w:p>
        </w:tc>
      </w:tr>
      <w:tr>
        <w:tblPrEx>
          <w:tblCellMar>
            <w:top w:w="0" w:type="dxa"/>
            <w:left w:w="0" w:type="dxa"/>
            <w:bottom w:w="0" w:type="dxa"/>
            <w:right w:w="0" w:type="dxa"/>
          </w:tblCellMar>
        </w:tblPrEx>
        <w:trPr>
          <w:trHeight w:val="312" w:hRule="atLeast"/>
        </w:trPr>
        <w:tc>
          <w:tcPr>
            <w:tcW w:w="720" w:type="dxa"/>
            <w:vMerge w:val="continue"/>
            <w:tcBorders>
              <w:left w:val="single" w:color="auto" w:sz="8" w:space="0"/>
              <w:right w:val="single" w:color="auto" w:sz="8" w:space="0"/>
            </w:tcBorders>
            <w:vAlign w:val="bottom"/>
          </w:tcPr>
          <w:p>
            <w:pPr>
              <w:ind w:left="220" w:leftChars="100"/>
              <w:rPr>
                <w:sz w:val="11"/>
                <w:szCs w:val="11"/>
              </w:rPr>
            </w:pPr>
          </w:p>
        </w:tc>
        <w:tc>
          <w:tcPr>
            <w:tcW w:w="2180" w:type="dxa"/>
            <w:vMerge w:val="continue"/>
            <w:tcBorders>
              <w:right w:val="single" w:color="auto" w:sz="8" w:space="0"/>
            </w:tcBorders>
            <w:vAlign w:val="bottom"/>
          </w:tcPr>
          <w:p>
            <w:pPr>
              <w:ind w:left="220" w:leftChars="100"/>
              <w:rPr>
                <w:sz w:val="11"/>
                <w:szCs w:val="11"/>
              </w:rPr>
            </w:pPr>
          </w:p>
        </w:tc>
        <w:tc>
          <w:tcPr>
            <w:tcW w:w="7420" w:type="dxa"/>
            <w:gridSpan w:val="5"/>
            <w:vMerge w:val="continue"/>
            <w:tcBorders>
              <w:right w:val="single" w:color="auto" w:sz="8" w:space="0"/>
            </w:tcBorders>
            <w:vAlign w:val="bottom"/>
          </w:tcPr>
          <w:p>
            <w:pPr>
              <w:spacing w:after="120" w:afterLines="50" w:line="320" w:lineRule="exact"/>
              <w:ind w:left="220" w:leftChars="100" w:firstLine="400" w:firstLineChars="200"/>
              <w:rPr>
                <w:sz w:val="20"/>
                <w:szCs w:val="20"/>
              </w:rPr>
            </w:pPr>
          </w:p>
        </w:tc>
      </w:tr>
      <w:tr>
        <w:tblPrEx>
          <w:tblCellMar>
            <w:top w:w="0" w:type="dxa"/>
            <w:left w:w="0" w:type="dxa"/>
            <w:bottom w:w="0" w:type="dxa"/>
            <w:right w:w="0" w:type="dxa"/>
          </w:tblCellMar>
        </w:tblPrEx>
        <w:trPr>
          <w:trHeight w:val="312" w:hRule="atLeast"/>
        </w:trPr>
        <w:tc>
          <w:tcPr>
            <w:tcW w:w="720" w:type="dxa"/>
            <w:vMerge w:val="continue"/>
            <w:tcBorders>
              <w:left w:val="single" w:color="auto" w:sz="8" w:space="0"/>
              <w:right w:val="single" w:color="auto" w:sz="8" w:space="0"/>
            </w:tcBorders>
            <w:vAlign w:val="bottom"/>
          </w:tcPr>
          <w:p>
            <w:pPr>
              <w:ind w:left="220" w:leftChars="100"/>
              <w:rPr>
                <w:sz w:val="16"/>
                <w:szCs w:val="16"/>
              </w:rPr>
            </w:pPr>
          </w:p>
        </w:tc>
        <w:tc>
          <w:tcPr>
            <w:tcW w:w="2180" w:type="dxa"/>
            <w:vMerge w:val="continue"/>
            <w:tcBorders>
              <w:right w:val="single" w:color="auto" w:sz="8" w:space="0"/>
            </w:tcBorders>
            <w:vAlign w:val="bottom"/>
          </w:tcPr>
          <w:p>
            <w:pPr>
              <w:ind w:left="220" w:leftChars="100"/>
              <w:rPr>
                <w:sz w:val="16"/>
                <w:szCs w:val="16"/>
              </w:rPr>
            </w:pPr>
          </w:p>
        </w:tc>
        <w:tc>
          <w:tcPr>
            <w:tcW w:w="7420" w:type="dxa"/>
            <w:gridSpan w:val="5"/>
            <w:vMerge w:val="continue"/>
            <w:tcBorders>
              <w:right w:val="single" w:color="auto" w:sz="8" w:space="0"/>
            </w:tcBorders>
            <w:vAlign w:val="bottom"/>
          </w:tcPr>
          <w:p>
            <w:pPr>
              <w:ind w:left="220" w:leftChars="100"/>
              <w:rPr>
                <w:sz w:val="16"/>
                <w:szCs w:val="16"/>
              </w:rPr>
            </w:pPr>
          </w:p>
        </w:tc>
      </w:tr>
      <w:tr>
        <w:tblPrEx>
          <w:tblCellMar>
            <w:top w:w="0" w:type="dxa"/>
            <w:left w:w="0" w:type="dxa"/>
            <w:bottom w:w="0" w:type="dxa"/>
            <w:right w:w="0" w:type="dxa"/>
          </w:tblCellMar>
        </w:tblPrEx>
        <w:trPr>
          <w:trHeight w:val="320" w:hRule="atLeast"/>
        </w:trPr>
        <w:tc>
          <w:tcPr>
            <w:tcW w:w="720" w:type="dxa"/>
            <w:vMerge w:val="continue"/>
            <w:tcBorders>
              <w:left w:val="single" w:color="auto" w:sz="8" w:space="0"/>
              <w:right w:val="single" w:color="auto" w:sz="8" w:space="0"/>
            </w:tcBorders>
            <w:vAlign w:val="bottom"/>
          </w:tcPr>
          <w:p>
            <w:pPr>
              <w:spacing w:line="240" w:lineRule="exact"/>
              <w:ind w:left="220" w:leftChars="100"/>
              <w:jc w:val="center"/>
              <w:rPr>
                <w:sz w:val="24"/>
                <w:szCs w:val="24"/>
              </w:rPr>
            </w:pPr>
          </w:p>
        </w:tc>
        <w:tc>
          <w:tcPr>
            <w:tcW w:w="2180" w:type="dxa"/>
            <w:vMerge w:val="continue"/>
            <w:tcBorders>
              <w:right w:val="single" w:color="auto" w:sz="8" w:space="0"/>
            </w:tcBorders>
            <w:vAlign w:val="bottom"/>
          </w:tcPr>
          <w:p>
            <w:pPr>
              <w:spacing w:line="240" w:lineRule="exact"/>
              <w:ind w:left="220" w:leftChars="100"/>
              <w:jc w:val="center"/>
              <w:rPr>
                <w:sz w:val="24"/>
                <w:szCs w:val="24"/>
              </w:rPr>
            </w:pPr>
          </w:p>
        </w:tc>
        <w:tc>
          <w:tcPr>
            <w:tcW w:w="7420" w:type="dxa"/>
            <w:gridSpan w:val="5"/>
            <w:vMerge w:val="continue"/>
            <w:tcBorders>
              <w:right w:val="single" w:color="auto" w:sz="8" w:space="0"/>
            </w:tcBorders>
            <w:vAlign w:val="bottom"/>
          </w:tcPr>
          <w:p>
            <w:pPr>
              <w:spacing w:line="240" w:lineRule="exact"/>
              <w:ind w:left="220" w:leftChars="100" w:firstLine="400" w:firstLineChars="200"/>
              <w:rPr>
                <w:sz w:val="20"/>
                <w:szCs w:val="20"/>
              </w:rPr>
            </w:pPr>
          </w:p>
        </w:tc>
      </w:tr>
      <w:tr>
        <w:tblPrEx>
          <w:tblCellMar>
            <w:top w:w="0" w:type="dxa"/>
            <w:left w:w="0" w:type="dxa"/>
            <w:bottom w:w="0" w:type="dxa"/>
            <w:right w:w="0" w:type="dxa"/>
          </w:tblCellMar>
        </w:tblPrEx>
        <w:trPr>
          <w:trHeight w:val="320" w:hRule="atLeast"/>
        </w:trPr>
        <w:tc>
          <w:tcPr>
            <w:tcW w:w="720" w:type="dxa"/>
            <w:vMerge w:val="continue"/>
            <w:tcBorders>
              <w:left w:val="single" w:color="auto" w:sz="8" w:space="0"/>
              <w:right w:val="single" w:color="auto" w:sz="8" w:space="0"/>
            </w:tcBorders>
            <w:vAlign w:val="bottom"/>
          </w:tcPr>
          <w:p>
            <w:pPr>
              <w:ind w:left="220" w:leftChars="100"/>
              <w:rPr>
                <w:sz w:val="24"/>
                <w:szCs w:val="24"/>
              </w:rPr>
            </w:pPr>
          </w:p>
        </w:tc>
        <w:tc>
          <w:tcPr>
            <w:tcW w:w="2180" w:type="dxa"/>
            <w:vMerge w:val="continue"/>
            <w:tcBorders>
              <w:right w:val="single" w:color="auto" w:sz="8" w:space="0"/>
            </w:tcBorders>
            <w:vAlign w:val="bottom"/>
          </w:tcPr>
          <w:p>
            <w:pPr>
              <w:ind w:left="220" w:leftChars="100"/>
              <w:rPr>
                <w:sz w:val="24"/>
                <w:szCs w:val="24"/>
              </w:rPr>
            </w:pPr>
          </w:p>
        </w:tc>
        <w:tc>
          <w:tcPr>
            <w:tcW w:w="7420" w:type="dxa"/>
            <w:gridSpan w:val="5"/>
            <w:vMerge w:val="continue"/>
            <w:tcBorders>
              <w:right w:val="single" w:color="auto" w:sz="8" w:space="0"/>
            </w:tcBorders>
            <w:vAlign w:val="bottom"/>
          </w:tcPr>
          <w:p>
            <w:pPr>
              <w:spacing w:line="240" w:lineRule="exact"/>
              <w:ind w:left="220" w:leftChars="100"/>
              <w:rPr>
                <w:sz w:val="20"/>
                <w:szCs w:val="20"/>
              </w:rPr>
            </w:pPr>
          </w:p>
        </w:tc>
      </w:tr>
      <w:tr>
        <w:tblPrEx>
          <w:tblCellMar>
            <w:top w:w="0" w:type="dxa"/>
            <w:left w:w="0" w:type="dxa"/>
            <w:bottom w:w="0" w:type="dxa"/>
            <w:right w:w="0" w:type="dxa"/>
          </w:tblCellMar>
        </w:tblPrEx>
        <w:trPr>
          <w:trHeight w:val="312" w:hRule="atLeast"/>
        </w:trPr>
        <w:tc>
          <w:tcPr>
            <w:tcW w:w="720" w:type="dxa"/>
            <w:vMerge w:val="continue"/>
            <w:tcBorders>
              <w:left w:val="single" w:color="auto" w:sz="8" w:space="0"/>
              <w:right w:val="single" w:color="auto" w:sz="8" w:space="0"/>
            </w:tcBorders>
            <w:vAlign w:val="bottom"/>
          </w:tcPr>
          <w:p>
            <w:pPr>
              <w:ind w:left="220" w:leftChars="100"/>
              <w:rPr>
                <w:sz w:val="24"/>
                <w:szCs w:val="24"/>
              </w:rPr>
            </w:pPr>
          </w:p>
        </w:tc>
        <w:tc>
          <w:tcPr>
            <w:tcW w:w="2180" w:type="dxa"/>
            <w:vMerge w:val="continue"/>
            <w:tcBorders>
              <w:right w:val="single" w:color="auto" w:sz="8" w:space="0"/>
            </w:tcBorders>
            <w:vAlign w:val="bottom"/>
          </w:tcPr>
          <w:p>
            <w:pPr>
              <w:ind w:left="220" w:leftChars="100"/>
              <w:rPr>
                <w:sz w:val="24"/>
                <w:szCs w:val="24"/>
              </w:rPr>
            </w:pPr>
          </w:p>
        </w:tc>
        <w:tc>
          <w:tcPr>
            <w:tcW w:w="7420" w:type="dxa"/>
            <w:gridSpan w:val="5"/>
            <w:vMerge w:val="continue"/>
            <w:tcBorders>
              <w:right w:val="single" w:color="auto" w:sz="8" w:space="0"/>
            </w:tcBorders>
            <w:vAlign w:val="bottom"/>
          </w:tcPr>
          <w:p>
            <w:pPr>
              <w:spacing w:line="240" w:lineRule="exact"/>
              <w:rPr>
                <w:sz w:val="20"/>
                <w:szCs w:val="20"/>
              </w:rPr>
            </w:pPr>
          </w:p>
        </w:tc>
      </w:tr>
      <w:tr>
        <w:tblPrEx>
          <w:tblCellMar>
            <w:top w:w="0" w:type="dxa"/>
            <w:left w:w="0" w:type="dxa"/>
            <w:bottom w:w="0" w:type="dxa"/>
            <w:right w:w="0" w:type="dxa"/>
          </w:tblCellMar>
        </w:tblPrEx>
        <w:trPr>
          <w:trHeight w:val="312" w:hRule="atLeast"/>
        </w:trPr>
        <w:tc>
          <w:tcPr>
            <w:tcW w:w="720" w:type="dxa"/>
            <w:vMerge w:val="continue"/>
            <w:tcBorders>
              <w:left w:val="single" w:color="auto" w:sz="8" w:space="0"/>
              <w:bottom w:val="single" w:color="auto" w:sz="4" w:space="0"/>
              <w:right w:val="single" w:color="auto" w:sz="8" w:space="0"/>
            </w:tcBorders>
            <w:vAlign w:val="bottom"/>
          </w:tcPr>
          <w:p>
            <w:pPr>
              <w:ind w:left="220" w:leftChars="100"/>
              <w:rPr>
                <w:sz w:val="24"/>
                <w:szCs w:val="24"/>
              </w:rPr>
            </w:pPr>
          </w:p>
        </w:tc>
        <w:tc>
          <w:tcPr>
            <w:tcW w:w="2180" w:type="dxa"/>
            <w:vMerge w:val="continue"/>
            <w:tcBorders>
              <w:bottom w:val="single" w:color="auto" w:sz="4" w:space="0"/>
              <w:right w:val="single" w:color="auto" w:sz="8" w:space="0"/>
            </w:tcBorders>
            <w:vAlign w:val="bottom"/>
          </w:tcPr>
          <w:p>
            <w:pPr>
              <w:ind w:left="220" w:leftChars="100"/>
              <w:rPr>
                <w:sz w:val="24"/>
                <w:szCs w:val="24"/>
              </w:rPr>
            </w:pPr>
          </w:p>
        </w:tc>
        <w:tc>
          <w:tcPr>
            <w:tcW w:w="7420" w:type="dxa"/>
            <w:gridSpan w:val="5"/>
            <w:vMerge w:val="continue"/>
            <w:tcBorders>
              <w:bottom w:val="single" w:color="auto" w:sz="4" w:space="0"/>
              <w:right w:val="single" w:color="auto" w:sz="8" w:space="0"/>
            </w:tcBorders>
            <w:vAlign w:val="bottom"/>
          </w:tcPr>
          <w:p>
            <w:pPr>
              <w:spacing w:line="240" w:lineRule="exact"/>
              <w:ind w:left="220" w:leftChars="100"/>
              <w:rPr>
                <w:sz w:val="20"/>
                <w:szCs w:val="20"/>
              </w:rPr>
            </w:pPr>
          </w:p>
        </w:tc>
      </w:tr>
      <w:tr>
        <w:tblPrEx>
          <w:tblCellMar>
            <w:top w:w="0" w:type="dxa"/>
            <w:left w:w="0" w:type="dxa"/>
            <w:bottom w:w="0" w:type="dxa"/>
            <w:right w:w="0" w:type="dxa"/>
          </w:tblCellMar>
        </w:tblPrEx>
        <w:trPr>
          <w:trHeight w:val="499"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240" w:lineRule="exact"/>
              <w:ind w:left="220" w:leftChars="100"/>
              <w:jc w:val="center"/>
              <w:rPr>
                <w:sz w:val="20"/>
                <w:szCs w:val="20"/>
              </w:rPr>
            </w:pPr>
            <w:r>
              <w:rPr>
                <w:rFonts w:ascii="宋体" w:hAnsi="宋体" w:eastAsia="宋体" w:cs="宋体"/>
                <w:sz w:val="21"/>
                <w:szCs w:val="21"/>
              </w:rPr>
              <w:t>8</w:t>
            </w:r>
          </w:p>
        </w:tc>
        <w:tc>
          <w:tcPr>
            <w:tcW w:w="2180" w:type="dxa"/>
            <w:tcBorders>
              <w:top w:val="single" w:color="auto" w:sz="4" w:space="0"/>
              <w:left w:val="single" w:color="auto" w:sz="4" w:space="0"/>
              <w:bottom w:val="single" w:color="auto" w:sz="4" w:space="0"/>
              <w:right w:val="single" w:color="auto" w:sz="4" w:space="0"/>
            </w:tcBorders>
            <w:vAlign w:val="center"/>
          </w:tcPr>
          <w:p>
            <w:pPr>
              <w:spacing w:line="240" w:lineRule="exact"/>
              <w:ind w:left="220" w:leftChars="100"/>
              <w:jc w:val="center"/>
              <w:rPr>
                <w:sz w:val="20"/>
                <w:szCs w:val="20"/>
              </w:rPr>
            </w:pPr>
            <w:r>
              <w:rPr>
                <w:rFonts w:ascii="宋体" w:hAnsi="宋体" w:eastAsia="宋体" w:cs="宋体"/>
                <w:sz w:val="21"/>
                <w:szCs w:val="21"/>
              </w:rPr>
              <w:t>响应文件份数</w:t>
            </w:r>
          </w:p>
        </w:tc>
        <w:tc>
          <w:tcPr>
            <w:tcW w:w="7420"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ind w:left="220" w:leftChars="100"/>
              <w:jc w:val="both"/>
              <w:rPr>
                <w:sz w:val="20"/>
                <w:szCs w:val="20"/>
              </w:rPr>
            </w:pPr>
            <w:r>
              <w:rPr>
                <w:rFonts w:ascii="宋体" w:hAnsi="宋体" w:eastAsia="宋体" w:cs="宋体"/>
                <w:sz w:val="21"/>
                <w:szCs w:val="21"/>
              </w:rPr>
              <w:t>正本壹册，副本</w:t>
            </w:r>
            <w:r>
              <w:rPr>
                <w:rFonts w:hint="eastAsia" w:ascii="宋体" w:hAnsi="宋体" w:eastAsia="宋体" w:cs="宋体"/>
                <w:sz w:val="21"/>
                <w:szCs w:val="21"/>
              </w:rPr>
              <w:t>叁</w:t>
            </w:r>
            <w:r>
              <w:rPr>
                <w:rFonts w:ascii="宋体" w:hAnsi="宋体" w:eastAsia="宋体" w:cs="宋体"/>
                <w:sz w:val="21"/>
                <w:szCs w:val="21"/>
              </w:rPr>
              <w:t>册，须完整提交（A4 纸装订）。</w:t>
            </w:r>
          </w:p>
        </w:tc>
      </w:tr>
    </w:tbl>
    <w:p>
      <w:pPr>
        <w:sectPr>
          <w:pgSz w:w="11900" w:h="16840"/>
          <w:pgMar w:top="964" w:right="1123" w:bottom="652" w:left="482" w:header="0" w:footer="397" w:gutter="0"/>
          <w:cols w:space="425" w:num="1"/>
        </w:sectPr>
      </w:pPr>
    </w:p>
    <w:p>
      <w:pPr>
        <w:bidi w:val="0"/>
        <w:jc w:val="left"/>
        <w:rPr>
          <w:rFonts w:hint="default"/>
          <w:lang w:val="en-US" w:eastAsia="zh-CN"/>
        </w:rPr>
        <w:sectPr>
          <w:type w:val="continuous"/>
          <w:pgSz w:w="11900" w:h="16840"/>
          <w:pgMar w:top="964" w:right="1123" w:bottom="652" w:left="482" w:header="0" w:footer="397" w:gutter="0"/>
          <w:cols w:space="425" w:num="1"/>
        </w:sectPr>
      </w:pPr>
    </w:p>
    <w:tbl>
      <w:tblPr>
        <w:tblStyle w:val="14"/>
        <w:tblW w:w="10680" w:type="dxa"/>
        <w:tblInd w:w="10" w:type="dxa"/>
        <w:tblLayout w:type="fixed"/>
        <w:tblCellMar>
          <w:top w:w="0" w:type="dxa"/>
          <w:left w:w="0" w:type="dxa"/>
          <w:bottom w:w="0" w:type="dxa"/>
          <w:right w:w="0" w:type="dxa"/>
        </w:tblCellMar>
      </w:tblPr>
      <w:tblGrid>
        <w:gridCol w:w="720"/>
        <w:gridCol w:w="2180"/>
        <w:gridCol w:w="7420"/>
        <w:gridCol w:w="360"/>
      </w:tblGrid>
      <w:tr>
        <w:tblPrEx>
          <w:tblCellMar>
            <w:top w:w="0" w:type="dxa"/>
            <w:left w:w="0" w:type="dxa"/>
            <w:bottom w:w="0" w:type="dxa"/>
            <w:right w:w="0" w:type="dxa"/>
          </w:tblCellMar>
        </w:tblPrEx>
        <w:trPr>
          <w:gridAfter w:val="1"/>
          <w:wAfter w:w="360" w:type="dxa"/>
          <w:trHeight w:val="312" w:hRule="atLeast"/>
        </w:trPr>
        <w:tc>
          <w:tcPr>
            <w:tcW w:w="720" w:type="dxa"/>
            <w:vMerge w:val="restart"/>
            <w:tcBorders>
              <w:top w:val="single" w:color="auto" w:sz="4" w:space="0"/>
              <w:left w:val="single" w:color="auto" w:sz="4" w:space="0"/>
              <w:bottom w:val="single" w:color="auto" w:sz="4" w:space="0"/>
              <w:right w:val="single" w:color="auto" w:sz="4" w:space="0"/>
            </w:tcBorders>
            <w:vAlign w:val="center"/>
          </w:tcPr>
          <w:p>
            <w:pPr>
              <w:ind w:left="220" w:leftChars="100"/>
              <w:jc w:val="both"/>
              <w:rPr>
                <w:sz w:val="24"/>
                <w:szCs w:val="24"/>
              </w:rPr>
            </w:pPr>
            <w:bookmarkStart w:id="31" w:name="page6"/>
            <w:bookmarkEnd w:id="31"/>
            <w:r>
              <w:rPr>
                <w:rFonts w:hint="eastAsia"/>
                <w:sz w:val="24"/>
                <w:szCs w:val="24"/>
              </w:rPr>
              <w:t>9</w:t>
            </w:r>
          </w:p>
        </w:tc>
        <w:tc>
          <w:tcPr>
            <w:tcW w:w="2180"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ind w:firstLine="630" w:firstLineChars="300"/>
              <w:jc w:val="both"/>
              <w:rPr>
                <w:rFonts w:ascii="宋体" w:hAnsi="宋体" w:eastAsia="宋体" w:cs="宋体"/>
                <w:sz w:val="21"/>
                <w:szCs w:val="21"/>
              </w:rPr>
            </w:pPr>
            <w:r>
              <w:rPr>
                <w:rFonts w:ascii="宋体" w:hAnsi="宋体" w:eastAsia="宋体" w:cs="宋体"/>
                <w:sz w:val="21"/>
                <w:szCs w:val="21"/>
              </w:rPr>
              <w:t>装订要求</w:t>
            </w:r>
          </w:p>
        </w:tc>
        <w:tc>
          <w:tcPr>
            <w:tcW w:w="7420" w:type="dxa"/>
            <w:vMerge w:val="restart"/>
            <w:tcBorders>
              <w:top w:val="single" w:color="auto" w:sz="4" w:space="0"/>
              <w:left w:val="single" w:color="auto" w:sz="4" w:space="0"/>
              <w:bottom w:val="single" w:color="auto" w:sz="4" w:space="0"/>
              <w:right w:val="single" w:color="auto" w:sz="4" w:space="0"/>
            </w:tcBorders>
          </w:tcPr>
          <w:p>
            <w:pPr>
              <w:spacing w:line="240" w:lineRule="exact"/>
              <w:ind w:left="220" w:leftChars="100" w:firstLine="420" w:firstLineChars="200"/>
              <w:jc w:val="both"/>
              <w:rPr>
                <w:rFonts w:ascii="宋体" w:hAnsi="宋体" w:eastAsia="宋体" w:cs="宋体"/>
                <w:sz w:val="21"/>
                <w:szCs w:val="21"/>
              </w:rPr>
            </w:pPr>
          </w:p>
          <w:p>
            <w:pPr>
              <w:spacing w:line="360" w:lineRule="auto"/>
              <w:ind w:left="220" w:leftChars="100" w:firstLine="420" w:firstLineChars="200"/>
              <w:jc w:val="both"/>
              <w:rPr>
                <w:rFonts w:ascii="宋体" w:hAnsi="宋体" w:eastAsia="宋体" w:cs="宋体"/>
                <w:sz w:val="21"/>
                <w:szCs w:val="21"/>
              </w:rPr>
            </w:pPr>
            <w:r>
              <w:rPr>
                <w:rFonts w:hint="eastAsia" w:ascii="宋体" w:hAnsi="宋体" w:eastAsia="宋体" w:cs="宋体"/>
                <w:sz w:val="21"/>
                <w:szCs w:val="21"/>
              </w:rPr>
              <w:t>磋商供应商应按磋商供应商须知第 11 条响应文件的组成规定的顺序自编目录及页码，响应文件的“正本”、“副本”应当单独装订成册并标注页码，装订应牢固，不易拆散和换页。封面应注明“正本”、“副本”字样，封面上写明项目名称、项目编号、采购代理机构、供应商单位名称。</w:t>
            </w:r>
          </w:p>
        </w:tc>
      </w:tr>
      <w:tr>
        <w:tblPrEx>
          <w:tblCellMar>
            <w:top w:w="0" w:type="dxa"/>
            <w:left w:w="0" w:type="dxa"/>
            <w:bottom w:w="0" w:type="dxa"/>
            <w:right w:w="0" w:type="dxa"/>
          </w:tblCellMar>
        </w:tblPrEx>
        <w:trPr>
          <w:gridAfter w:val="1"/>
          <w:wAfter w:w="360" w:type="dxa"/>
          <w:trHeight w:val="312" w:hRule="atLeast"/>
        </w:trPr>
        <w:tc>
          <w:tcPr>
            <w:tcW w:w="720" w:type="dxa"/>
            <w:vMerge w:val="continue"/>
            <w:tcBorders>
              <w:top w:val="single" w:color="auto" w:sz="4" w:space="0"/>
              <w:left w:val="single" w:color="auto" w:sz="4" w:space="0"/>
              <w:bottom w:val="single" w:color="auto" w:sz="4" w:space="0"/>
              <w:right w:val="single" w:color="auto" w:sz="8" w:space="0"/>
            </w:tcBorders>
            <w:vAlign w:val="bottom"/>
          </w:tcPr>
          <w:p>
            <w:pPr>
              <w:ind w:left="220" w:leftChars="100"/>
              <w:rPr>
                <w:sz w:val="24"/>
                <w:szCs w:val="24"/>
              </w:rPr>
            </w:pPr>
          </w:p>
        </w:tc>
        <w:tc>
          <w:tcPr>
            <w:tcW w:w="2180" w:type="dxa"/>
            <w:vMerge w:val="continue"/>
            <w:tcBorders>
              <w:top w:val="single" w:color="auto" w:sz="4" w:space="0"/>
              <w:bottom w:val="single" w:color="auto" w:sz="4" w:space="0"/>
              <w:right w:val="single" w:color="auto" w:sz="8" w:space="0"/>
            </w:tcBorders>
            <w:vAlign w:val="bottom"/>
          </w:tcPr>
          <w:p>
            <w:pPr>
              <w:spacing w:line="240" w:lineRule="exact"/>
              <w:ind w:left="220" w:leftChars="100" w:firstLine="420" w:firstLineChars="200"/>
              <w:jc w:val="both"/>
              <w:rPr>
                <w:rFonts w:ascii="宋体" w:hAnsi="宋体" w:eastAsia="宋体" w:cs="宋体"/>
                <w:sz w:val="21"/>
                <w:szCs w:val="21"/>
              </w:rPr>
            </w:pPr>
          </w:p>
        </w:tc>
        <w:tc>
          <w:tcPr>
            <w:tcW w:w="7420" w:type="dxa"/>
            <w:vMerge w:val="continue"/>
            <w:tcBorders>
              <w:top w:val="single" w:color="auto" w:sz="4" w:space="0"/>
              <w:bottom w:val="single" w:color="auto" w:sz="4" w:space="0"/>
              <w:right w:val="single" w:color="auto" w:sz="4" w:space="0"/>
            </w:tcBorders>
          </w:tcPr>
          <w:p>
            <w:pPr>
              <w:spacing w:line="240" w:lineRule="exact"/>
              <w:ind w:left="220" w:leftChars="100" w:firstLine="420" w:firstLineChars="200"/>
              <w:jc w:val="both"/>
              <w:rPr>
                <w:rFonts w:ascii="宋体" w:hAnsi="宋体" w:eastAsia="宋体" w:cs="宋体"/>
                <w:sz w:val="21"/>
                <w:szCs w:val="21"/>
              </w:rPr>
            </w:pPr>
          </w:p>
        </w:tc>
      </w:tr>
      <w:tr>
        <w:tblPrEx>
          <w:tblCellMar>
            <w:top w:w="0" w:type="dxa"/>
            <w:left w:w="0" w:type="dxa"/>
            <w:bottom w:w="0" w:type="dxa"/>
            <w:right w:w="0" w:type="dxa"/>
          </w:tblCellMar>
        </w:tblPrEx>
        <w:trPr>
          <w:gridAfter w:val="1"/>
          <w:wAfter w:w="360" w:type="dxa"/>
          <w:trHeight w:val="627" w:hRule="atLeast"/>
        </w:trPr>
        <w:tc>
          <w:tcPr>
            <w:tcW w:w="720" w:type="dxa"/>
            <w:vMerge w:val="continue"/>
            <w:tcBorders>
              <w:top w:val="single" w:color="auto" w:sz="4" w:space="0"/>
              <w:left w:val="single" w:color="auto" w:sz="4" w:space="0"/>
              <w:bottom w:val="single" w:color="auto" w:sz="4" w:space="0"/>
              <w:right w:val="single" w:color="auto" w:sz="8" w:space="0"/>
            </w:tcBorders>
            <w:vAlign w:val="bottom"/>
          </w:tcPr>
          <w:p>
            <w:pPr>
              <w:ind w:left="220" w:leftChars="100"/>
              <w:rPr>
                <w:sz w:val="24"/>
                <w:szCs w:val="24"/>
              </w:rPr>
            </w:pPr>
          </w:p>
        </w:tc>
        <w:tc>
          <w:tcPr>
            <w:tcW w:w="2180" w:type="dxa"/>
            <w:vMerge w:val="continue"/>
            <w:tcBorders>
              <w:top w:val="single" w:color="auto" w:sz="4" w:space="0"/>
              <w:bottom w:val="single" w:color="auto" w:sz="4" w:space="0"/>
              <w:right w:val="single" w:color="auto" w:sz="8" w:space="0"/>
            </w:tcBorders>
            <w:vAlign w:val="bottom"/>
          </w:tcPr>
          <w:p>
            <w:pPr>
              <w:spacing w:line="240" w:lineRule="exact"/>
              <w:ind w:left="220" w:leftChars="100" w:firstLine="420" w:firstLineChars="200"/>
              <w:jc w:val="both"/>
              <w:rPr>
                <w:rFonts w:ascii="宋体" w:hAnsi="宋体" w:eastAsia="宋体" w:cs="宋体"/>
                <w:sz w:val="21"/>
                <w:szCs w:val="21"/>
              </w:rPr>
            </w:pPr>
          </w:p>
        </w:tc>
        <w:tc>
          <w:tcPr>
            <w:tcW w:w="7420" w:type="dxa"/>
            <w:vMerge w:val="continue"/>
            <w:tcBorders>
              <w:top w:val="single" w:color="auto" w:sz="4" w:space="0"/>
              <w:bottom w:val="single" w:color="auto" w:sz="4" w:space="0"/>
              <w:right w:val="single" w:color="auto" w:sz="4" w:space="0"/>
            </w:tcBorders>
          </w:tcPr>
          <w:p>
            <w:pPr>
              <w:spacing w:line="240" w:lineRule="exact"/>
              <w:ind w:left="220" w:leftChars="100" w:firstLine="420" w:firstLineChars="200"/>
              <w:jc w:val="both"/>
              <w:rPr>
                <w:rFonts w:ascii="宋体" w:hAnsi="宋体" w:eastAsia="宋体" w:cs="宋体"/>
                <w:sz w:val="21"/>
                <w:szCs w:val="21"/>
              </w:rPr>
            </w:pPr>
          </w:p>
        </w:tc>
      </w:tr>
      <w:tr>
        <w:tblPrEx>
          <w:tblCellMar>
            <w:top w:w="0" w:type="dxa"/>
            <w:left w:w="0" w:type="dxa"/>
            <w:bottom w:w="0" w:type="dxa"/>
            <w:right w:w="0" w:type="dxa"/>
          </w:tblCellMar>
        </w:tblPrEx>
        <w:trPr>
          <w:gridAfter w:val="1"/>
          <w:wAfter w:w="360" w:type="dxa"/>
          <w:trHeight w:val="333" w:hRule="atLeast"/>
        </w:trPr>
        <w:tc>
          <w:tcPr>
            <w:tcW w:w="720" w:type="dxa"/>
            <w:vMerge w:val="restart"/>
            <w:tcBorders>
              <w:top w:val="single" w:color="auto" w:sz="4" w:space="0"/>
              <w:left w:val="single" w:color="auto" w:sz="8" w:space="0"/>
              <w:bottom w:val="single" w:color="auto" w:sz="4" w:space="0"/>
              <w:right w:val="single" w:color="auto" w:sz="8" w:space="0"/>
            </w:tcBorders>
            <w:vAlign w:val="center"/>
          </w:tcPr>
          <w:p>
            <w:pPr>
              <w:spacing w:line="240" w:lineRule="exact"/>
              <w:ind w:left="220" w:leftChars="100" w:right="155"/>
              <w:jc w:val="center"/>
              <w:rPr>
                <w:sz w:val="20"/>
                <w:szCs w:val="20"/>
              </w:rPr>
            </w:pPr>
            <w:r>
              <w:rPr>
                <w:rFonts w:ascii="宋体" w:hAnsi="宋体" w:eastAsia="宋体" w:cs="宋体"/>
                <w:sz w:val="21"/>
                <w:szCs w:val="21"/>
              </w:rPr>
              <w:t>10</w:t>
            </w:r>
          </w:p>
        </w:tc>
        <w:tc>
          <w:tcPr>
            <w:tcW w:w="2180" w:type="dxa"/>
            <w:vMerge w:val="restart"/>
            <w:tcBorders>
              <w:top w:val="single" w:color="auto" w:sz="4" w:space="0"/>
              <w:bottom w:val="single" w:color="auto" w:sz="4" w:space="0"/>
              <w:right w:val="single" w:color="auto" w:sz="8" w:space="0"/>
            </w:tcBorders>
            <w:vAlign w:val="center"/>
          </w:tcPr>
          <w:p>
            <w:pPr>
              <w:spacing w:line="240" w:lineRule="exact"/>
              <w:ind w:left="220" w:leftChars="100" w:firstLine="420" w:firstLineChars="200"/>
              <w:jc w:val="both"/>
              <w:rPr>
                <w:rFonts w:ascii="宋体" w:hAnsi="宋体" w:eastAsia="宋体" w:cs="宋体"/>
                <w:sz w:val="21"/>
                <w:szCs w:val="21"/>
              </w:rPr>
            </w:pPr>
            <w:r>
              <w:rPr>
                <w:rFonts w:ascii="宋体" w:hAnsi="宋体" w:eastAsia="宋体" w:cs="宋体"/>
                <w:sz w:val="21"/>
                <w:szCs w:val="21"/>
              </w:rPr>
              <w:t>包装、密封</w:t>
            </w:r>
          </w:p>
        </w:tc>
        <w:tc>
          <w:tcPr>
            <w:tcW w:w="7420" w:type="dxa"/>
            <w:vMerge w:val="restart"/>
            <w:tcBorders>
              <w:top w:val="single" w:color="auto" w:sz="4" w:space="0"/>
              <w:bottom w:val="single" w:color="auto" w:sz="4" w:space="0"/>
              <w:right w:val="single" w:color="auto" w:sz="8" w:space="0"/>
            </w:tcBorders>
          </w:tcPr>
          <w:p>
            <w:pPr>
              <w:spacing w:line="240" w:lineRule="exact"/>
              <w:ind w:left="220" w:leftChars="100" w:firstLine="420" w:firstLineChars="200"/>
              <w:jc w:val="both"/>
              <w:rPr>
                <w:rFonts w:ascii="宋体" w:hAnsi="宋体" w:eastAsia="宋体" w:cs="宋体"/>
                <w:sz w:val="21"/>
                <w:szCs w:val="21"/>
              </w:rPr>
            </w:pPr>
          </w:p>
          <w:p>
            <w:pPr>
              <w:spacing w:line="360" w:lineRule="auto"/>
              <w:ind w:left="220" w:leftChars="100" w:firstLine="420" w:firstLineChars="200"/>
              <w:jc w:val="both"/>
              <w:rPr>
                <w:rFonts w:ascii="宋体" w:hAnsi="宋体" w:eastAsia="宋体" w:cs="宋体"/>
                <w:sz w:val="21"/>
                <w:szCs w:val="21"/>
              </w:rPr>
            </w:pPr>
            <w:r>
              <w:rPr>
                <w:rFonts w:ascii="宋体" w:hAnsi="宋体" w:eastAsia="宋体" w:cs="宋体"/>
                <w:sz w:val="21"/>
                <w:szCs w:val="21"/>
              </w:rPr>
              <w:t>正本、副本</w:t>
            </w:r>
            <w:r>
              <w:rPr>
                <w:rFonts w:hint="eastAsia" w:ascii="宋体" w:hAnsi="宋体" w:eastAsia="宋体" w:cs="宋体"/>
                <w:sz w:val="21"/>
                <w:szCs w:val="21"/>
              </w:rPr>
              <w:t>及电子文档</w:t>
            </w:r>
            <w:r>
              <w:rPr>
                <w:rFonts w:ascii="宋体" w:hAnsi="宋体" w:eastAsia="宋体" w:cs="宋体"/>
                <w:sz w:val="21"/>
                <w:szCs w:val="21"/>
              </w:rPr>
              <w:t>密封在一个响应文件袋中，并在每一封贴处密封签章（公章、法定代表人或其授权委托代理人签字均可</w:t>
            </w:r>
            <w:r>
              <w:rPr>
                <w:rFonts w:hint="eastAsia" w:ascii="宋体" w:hAnsi="宋体" w:eastAsia="宋体" w:cs="宋体"/>
                <w:sz w:val="21"/>
                <w:szCs w:val="21"/>
              </w:rPr>
              <w:t>。</w:t>
            </w:r>
          </w:p>
        </w:tc>
      </w:tr>
      <w:tr>
        <w:tblPrEx>
          <w:tblCellMar>
            <w:top w:w="0" w:type="dxa"/>
            <w:left w:w="0" w:type="dxa"/>
            <w:bottom w:w="0" w:type="dxa"/>
            <w:right w:w="0" w:type="dxa"/>
          </w:tblCellMar>
        </w:tblPrEx>
        <w:trPr>
          <w:gridAfter w:val="1"/>
          <w:wAfter w:w="360" w:type="dxa"/>
          <w:trHeight w:val="312" w:hRule="atLeast"/>
        </w:trPr>
        <w:tc>
          <w:tcPr>
            <w:tcW w:w="720" w:type="dxa"/>
            <w:vMerge w:val="continue"/>
            <w:tcBorders>
              <w:top w:val="single" w:color="auto" w:sz="4" w:space="0"/>
              <w:left w:val="single" w:color="auto" w:sz="8" w:space="0"/>
              <w:bottom w:val="single" w:color="auto" w:sz="4" w:space="0"/>
              <w:right w:val="single" w:color="auto" w:sz="8" w:space="0"/>
            </w:tcBorders>
            <w:vAlign w:val="bottom"/>
          </w:tcPr>
          <w:p>
            <w:pPr>
              <w:spacing w:line="240" w:lineRule="exact"/>
              <w:ind w:left="220" w:leftChars="100" w:right="155"/>
              <w:jc w:val="right"/>
              <w:rPr>
                <w:sz w:val="20"/>
                <w:szCs w:val="20"/>
              </w:rPr>
            </w:pPr>
          </w:p>
        </w:tc>
        <w:tc>
          <w:tcPr>
            <w:tcW w:w="2180" w:type="dxa"/>
            <w:vMerge w:val="continue"/>
            <w:tcBorders>
              <w:top w:val="single" w:color="auto" w:sz="4" w:space="0"/>
              <w:bottom w:val="single" w:color="auto" w:sz="4" w:space="0"/>
              <w:right w:val="single" w:color="auto" w:sz="8" w:space="0"/>
            </w:tcBorders>
            <w:vAlign w:val="bottom"/>
          </w:tcPr>
          <w:p>
            <w:pPr>
              <w:spacing w:line="240" w:lineRule="exact"/>
              <w:ind w:left="220" w:leftChars="100"/>
              <w:jc w:val="center"/>
              <w:rPr>
                <w:sz w:val="20"/>
                <w:szCs w:val="20"/>
              </w:rPr>
            </w:pPr>
          </w:p>
        </w:tc>
        <w:tc>
          <w:tcPr>
            <w:tcW w:w="7420" w:type="dxa"/>
            <w:vMerge w:val="continue"/>
            <w:tcBorders>
              <w:top w:val="single" w:color="auto" w:sz="4" w:space="0"/>
              <w:bottom w:val="single" w:color="auto" w:sz="4" w:space="0"/>
              <w:right w:val="single" w:color="auto" w:sz="8" w:space="0"/>
            </w:tcBorders>
            <w:vAlign w:val="bottom"/>
          </w:tcPr>
          <w:p>
            <w:pPr>
              <w:spacing w:line="240" w:lineRule="exact"/>
              <w:ind w:left="220" w:leftChars="100"/>
              <w:rPr>
                <w:sz w:val="20"/>
                <w:szCs w:val="20"/>
              </w:rPr>
            </w:pPr>
          </w:p>
        </w:tc>
      </w:tr>
      <w:tr>
        <w:tblPrEx>
          <w:tblCellMar>
            <w:top w:w="0" w:type="dxa"/>
            <w:left w:w="0" w:type="dxa"/>
            <w:bottom w:w="0" w:type="dxa"/>
            <w:right w:w="0" w:type="dxa"/>
          </w:tblCellMar>
        </w:tblPrEx>
        <w:trPr>
          <w:gridAfter w:val="1"/>
          <w:wAfter w:w="360" w:type="dxa"/>
          <w:trHeight w:val="312" w:hRule="atLeast"/>
        </w:trPr>
        <w:tc>
          <w:tcPr>
            <w:tcW w:w="720" w:type="dxa"/>
            <w:vMerge w:val="continue"/>
            <w:tcBorders>
              <w:top w:val="single" w:color="auto" w:sz="4" w:space="0"/>
              <w:left w:val="single" w:color="auto" w:sz="8" w:space="0"/>
              <w:bottom w:val="single" w:color="auto" w:sz="4" w:space="0"/>
              <w:right w:val="single" w:color="auto" w:sz="8" w:space="0"/>
            </w:tcBorders>
            <w:vAlign w:val="bottom"/>
          </w:tcPr>
          <w:p>
            <w:pPr>
              <w:ind w:left="220" w:leftChars="100"/>
              <w:rPr>
                <w:sz w:val="24"/>
                <w:szCs w:val="24"/>
              </w:rPr>
            </w:pPr>
          </w:p>
        </w:tc>
        <w:tc>
          <w:tcPr>
            <w:tcW w:w="2180" w:type="dxa"/>
            <w:vMerge w:val="continue"/>
            <w:tcBorders>
              <w:top w:val="single" w:color="auto" w:sz="4" w:space="0"/>
              <w:bottom w:val="single" w:color="auto" w:sz="4" w:space="0"/>
              <w:right w:val="single" w:color="auto" w:sz="8" w:space="0"/>
            </w:tcBorders>
            <w:vAlign w:val="bottom"/>
          </w:tcPr>
          <w:p>
            <w:pPr>
              <w:ind w:left="220" w:leftChars="100"/>
              <w:rPr>
                <w:sz w:val="24"/>
                <w:szCs w:val="24"/>
              </w:rPr>
            </w:pPr>
          </w:p>
        </w:tc>
        <w:tc>
          <w:tcPr>
            <w:tcW w:w="7420" w:type="dxa"/>
            <w:vMerge w:val="continue"/>
            <w:tcBorders>
              <w:top w:val="single" w:color="auto" w:sz="4" w:space="0"/>
              <w:bottom w:val="single" w:color="auto" w:sz="4" w:space="0"/>
              <w:right w:val="single" w:color="auto" w:sz="8" w:space="0"/>
            </w:tcBorders>
            <w:vAlign w:val="bottom"/>
          </w:tcPr>
          <w:p>
            <w:pPr>
              <w:spacing w:line="240" w:lineRule="exact"/>
              <w:ind w:left="220" w:leftChars="100"/>
              <w:rPr>
                <w:sz w:val="20"/>
                <w:szCs w:val="20"/>
              </w:rPr>
            </w:pPr>
          </w:p>
        </w:tc>
      </w:tr>
      <w:tr>
        <w:tblPrEx>
          <w:tblCellMar>
            <w:top w:w="0" w:type="dxa"/>
            <w:left w:w="0" w:type="dxa"/>
            <w:bottom w:w="0" w:type="dxa"/>
            <w:right w:w="0" w:type="dxa"/>
          </w:tblCellMar>
        </w:tblPrEx>
        <w:trPr>
          <w:gridAfter w:val="1"/>
          <w:wAfter w:w="360" w:type="dxa"/>
          <w:trHeight w:val="103" w:hRule="atLeast"/>
        </w:trPr>
        <w:tc>
          <w:tcPr>
            <w:tcW w:w="720" w:type="dxa"/>
            <w:vMerge w:val="continue"/>
            <w:tcBorders>
              <w:top w:val="single" w:color="auto" w:sz="4" w:space="0"/>
              <w:left w:val="single" w:color="auto" w:sz="8" w:space="0"/>
              <w:bottom w:val="single" w:color="auto" w:sz="4" w:space="0"/>
              <w:right w:val="single" w:color="auto" w:sz="8" w:space="0"/>
            </w:tcBorders>
            <w:vAlign w:val="bottom"/>
          </w:tcPr>
          <w:p>
            <w:pPr>
              <w:ind w:left="220" w:leftChars="100"/>
              <w:rPr>
                <w:sz w:val="9"/>
                <w:szCs w:val="9"/>
              </w:rPr>
            </w:pPr>
          </w:p>
        </w:tc>
        <w:tc>
          <w:tcPr>
            <w:tcW w:w="2180" w:type="dxa"/>
            <w:vMerge w:val="continue"/>
            <w:tcBorders>
              <w:top w:val="single" w:color="auto" w:sz="4" w:space="0"/>
              <w:bottom w:val="single" w:color="auto" w:sz="4" w:space="0"/>
              <w:right w:val="single" w:color="auto" w:sz="8" w:space="0"/>
            </w:tcBorders>
            <w:vAlign w:val="bottom"/>
          </w:tcPr>
          <w:p>
            <w:pPr>
              <w:ind w:left="220" w:leftChars="100"/>
              <w:rPr>
                <w:sz w:val="9"/>
                <w:szCs w:val="9"/>
              </w:rPr>
            </w:pPr>
          </w:p>
        </w:tc>
        <w:tc>
          <w:tcPr>
            <w:tcW w:w="7420" w:type="dxa"/>
            <w:vMerge w:val="continue"/>
            <w:tcBorders>
              <w:top w:val="single" w:color="auto" w:sz="4" w:space="0"/>
              <w:bottom w:val="single" w:color="auto" w:sz="4" w:space="0"/>
              <w:right w:val="single" w:color="auto" w:sz="8" w:space="0"/>
            </w:tcBorders>
            <w:vAlign w:val="bottom"/>
          </w:tcPr>
          <w:p>
            <w:pPr>
              <w:ind w:left="220" w:leftChars="100"/>
              <w:rPr>
                <w:sz w:val="9"/>
                <w:szCs w:val="9"/>
              </w:rPr>
            </w:pPr>
          </w:p>
        </w:tc>
      </w:tr>
      <w:tr>
        <w:tblPrEx>
          <w:tblCellMar>
            <w:top w:w="0" w:type="dxa"/>
            <w:left w:w="0" w:type="dxa"/>
            <w:bottom w:w="0" w:type="dxa"/>
            <w:right w:w="0" w:type="dxa"/>
          </w:tblCellMar>
        </w:tblPrEx>
        <w:trPr>
          <w:gridAfter w:val="1"/>
          <w:wAfter w:w="360" w:type="dxa"/>
          <w:trHeight w:val="422" w:hRule="atLeast"/>
        </w:trPr>
        <w:tc>
          <w:tcPr>
            <w:tcW w:w="720" w:type="dxa"/>
            <w:vMerge w:val="restart"/>
            <w:tcBorders>
              <w:top w:val="single" w:color="auto" w:sz="4" w:space="0"/>
              <w:left w:val="single" w:color="auto" w:sz="8" w:space="0"/>
              <w:right w:val="single" w:color="auto" w:sz="8" w:space="0"/>
            </w:tcBorders>
            <w:vAlign w:val="center"/>
          </w:tcPr>
          <w:p>
            <w:pPr>
              <w:spacing w:line="240" w:lineRule="exact"/>
              <w:ind w:left="220" w:leftChars="100" w:right="155"/>
              <w:jc w:val="center"/>
              <w:rPr>
                <w:sz w:val="20"/>
                <w:szCs w:val="20"/>
              </w:rPr>
            </w:pPr>
            <w:r>
              <w:rPr>
                <w:rFonts w:ascii="宋体" w:hAnsi="宋体" w:eastAsia="宋体" w:cs="宋体"/>
                <w:sz w:val="21"/>
                <w:szCs w:val="21"/>
              </w:rPr>
              <w:t>11</w:t>
            </w:r>
          </w:p>
        </w:tc>
        <w:tc>
          <w:tcPr>
            <w:tcW w:w="2180" w:type="dxa"/>
            <w:vMerge w:val="restart"/>
            <w:tcBorders>
              <w:top w:val="single" w:color="auto" w:sz="4" w:space="0"/>
              <w:right w:val="single" w:color="auto" w:sz="8" w:space="0"/>
            </w:tcBorders>
            <w:vAlign w:val="center"/>
          </w:tcPr>
          <w:p>
            <w:pPr>
              <w:spacing w:line="240" w:lineRule="exact"/>
              <w:ind w:left="220" w:leftChars="100"/>
              <w:jc w:val="center"/>
              <w:rPr>
                <w:sz w:val="20"/>
                <w:szCs w:val="20"/>
              </w:rPr>
            </w:pPr>
            <w:r>
              <w:rPr>
                <w:rFonts w:ascii="宋体" w:hAnsi="宋体" w:eastAsia="宋体" w:cs="宋体"/>
                <w:sz w:val="21"/>
                <w:szCs w:val="21"/>
              </w:rPr>
              <w:t>包封袋上写明</w:t>
            </w:r>
          </w:p>
        </w:tc>
        <w:tc>
          <w:tcPr>
            <w:tcW w:w="7420" w:type="dxa"/>
            <w:vMerge w:val="restart"/>
            <w:tcBorders>
              <w:top w:val="single" w:color="auto" w:sz="4" w:space="0"/>
              <w:right w:val="single" w:color="auto" w:sz="8" w:space="0"/>
            </w:tcBorders>
          </w:tcPr>
          <w:p>
            <w:pPr>
              <w:spacing w:line="240" w:lineRule="exact"/>
              <w:ind w:left="220" w:leftChars="100"/>
              <w:jc w:val="both"/>
              <w:rPr>
                <w:rFonts w:ascii="宋体" w:hAnsi="宋体" w:eastAsia="宋体" w:cs="宋体"/>
                <w:sz w:val="21"/>
                <w:szCs w:val="21"/>
              </w:rPr>
            </w:pPr>
          </w:p>
          <w:p>
            <w:pPr>
              <w:spacing w:line="360" w:lineRule="auto"/>
              <w:ind w:left="220" w:leftChars="100"/>
              <w:jc w:val="both"/>
              <w:rPr>
                <w:rFonts w:ascii="宋体" w:hAnsi="宋体" w:eastAsia="宋体" w:cs="宋体"/>
                <w:sz w:val="21"/>
                <w:szCs w:val="21"/>
              </w:rPr>
            </w:pPr>
            <w:r>
              <w:rPr>
                <w:rFonts w:ascii="宋体" w:hAnsi="宋体" w:eastAsia="宋体" w:cs="宋体"/>
                <w:sz w:val="21"/>
                <w:szCs w:val="21"/>
              </w:rPr>
              <w:t>项目名称：</w:t>
            </w:r>
          </w:p>
          <w:p>
            <w:pPr>
              <w:spacing w:line="360" w:lineRule="auto"/>
              <w:ind w:left="220" w:leftChars="100"/>
              <w:jc w:val="both"/>
              <w:rPr>
                <w:sz w:val="20"/>
                <w:szCs w:val="20"/>
              </w:rPr>
            </w:pPr>
            <w:r>
              <w:rPr>
                <w:rFonts w:ascii="宋体" w:hAnsi="宋体" w:eastAsia="宋体" w:cs="宋体"/>
                <w:sz w:val="21"/>
                <w:szCs w:val="21"/>
              </w:rPr>
              <w:t>项目编号：</w:t>
            </w:r>
          </w:p>
          <w:p>
            <w:pPr>
              <w:spacing w:line="360" w:lineRule="auto"/>
              <w:ind w:left="220" w:leftChars="100"/>
              <w:jc w:val="both"/>
              <w:rPr>
                <w:sz w:val="20"/>
                <w:szCs w:val="20"/>
              </w:rPr>
            </w:pPr>
            <w:r>
              <w:rPr>
                <w:rFonts w:ascii="宋体" w:hAnsi="宋体" w:eastAsia="宋体" w:cs="宋体"/>
                <w:sz w:val="21"/>
                <w:szCs w:val="21"/>
              </w:rPr>
              <w:t>采购代理机构：</w:t>
            </w:r>
          </w:p>
          <w:p>
            <w:pPr>
              <w:spacing w:line="360" w:lineRule="auto"/>
              <w:ind w:left="220" w:leftChars="100"/>
              <w:jc w:val="both"/>
              <w:rPr>
                <w:sz w:val="20"/>
                <w:szCs w:val="20"/>
              </w:rPr>
            </w:pPr>
            <w:r>
              <w:rPr>
                <w:rFonts w:ascii="宋体" w:hAnsi="宋体" w:eastAsia="宋体" w:cs="宋体"/>
                <w:sz w:val="21"/>
                <w:szCs w:val="21"/>
              </w:rPr>
              <w:t>供应商单位名称：</w:t>
            </w:r>
          </w:p>
          <w:p>
            <w:pPr>
              <w:spacing w:line="360" w:lineRule="auto"/>
              <w:ind w:left="220" w:leftChars="100"/>
              <w:jc w:val="both"/>
              <w:rPr>
                <w:sz w:val="20"/>
                <w:szCs w:val="20"/>
              </w:rPr>
            </w:pPr>
            <w:r>
              <w:rPr>
                <w:rFonts w:ascii="宋体" w:hAnsi="宋体" w:eastAsia="宋体" w:cs="宋体"/>
                <w:sz w:val="21"/>
                <w:szCs w:val="21"/>
              </w:rPr>
              <w:t xml:space="preserve">在 </w:t>
            </w:r>
            <w:r>
              <w:rPr>
                <w:rFonts w:hint="eastAsia" w:ascii="宋体" w:hAnsi="宋体" w:eastAsia="宋体" w:cs="宋体"/>
                <w:sz w:val="21"/>
                <w:szCs w:val="21"/>
              </w:rPr>
              <w:t>2020</w:t>
            </w:r>
            <w:r>
              <w:rPr>
                <w:rFonts w:ascii="宋体" w:hAnsi="宋体" w:eastAsia="宋体" w:cs="宋体"/>
                <w:sz w:val="21"/>
                <w:szCs w:val="21"/>
              </w:rPr>
              <w:t xml:space="preserve"> 年</w:t>
            </w:r>
            <w:r>
              <w:rPr>
                <w:rFonts w:hint="eastAsia" w:ascii="宋体" w:hAnsi="宋体" w:eastAsia="宋体" w:cs="宋体"/>
                <w:sz w:val="21"/>
                <w:szCs w:val="21"/>
              </w:rPr>
              <w:t>11月</w:t>
            </w:r>
            <w:r>
              <w:rPr>
                <w:rFonts w:hint="eastAsia" w:ascii="宋体" w:hAnsi="宋体" w:eastAsia="宋体" w:cs="宋体"/>
                <w:sz w:val="21"/>
                <w:szCs w:val="21"/>
                <w:lang w:val="en-US" w:eastAsia="zh-CN"/>
              </w:rPr>
              <w:t>20</w:t>
            </w:r>
            <w:r>
              <w:rPr>
                <w:rFonts w:hint="eastAsia" w:ascii="宋体" w:hAnsi="宋体" w:eastAsia="宋体" w:cs="宋体"/>
                <w:sz w:val="21"/>
                <w:szCs w:val="21"/>
              </w:rPr>
              <w:t>日9时30分</w:t>
            </w:r>
            <w:r>
              <w:rPr>
                <w:rFonts w:ascii="宋体" w:hAnsi="宋体" w:eastAsia="宋体" w:cs="宋体"/>
                <w:sz w:val="21"/>
                <w:szCs w:val="21"/>
              </w:rPr>
              <w:t>前不得开启(此处磋商供应商填写磋商截止时间)</w:t>
            </w:r>
          </w:p>
        </w:tc>
      </w:tr>
      <w:tr>
        <w:tblPrEx>
          <w:tblCellMar>
            <w:top w:w="0" w:type="dxa"/>
            <w:left w:w="0" w:type="dxa"/>
            <w:bottom w:w="0" w:type="dxa"/>
            <w:right w:w="0" w:type="dxa"/>
          </w:tblCellMar>
        </w:tblPrEx>
        <w:trPr>
          <w:gridAfter w:val="1"/>
          <w:wAfter w:w="360" w:type="dxa"/>
          <w:trHeight w:val="312" w:hRule="atLeast"/>
        </w:trPr>
        <w:tc>
          <w:tcPr>
            <w:tcW w:w="720" w:type="dxa"/>
            <w:vMerge w:val="continue"/>
            <w:tcBorders>
              <w:left w:val="single" w:color="auto" w:sz="8" w:space="0"/>
              <w:right w:val="single" w:color="auto" w:sz="8" w:space="0"/>
            </w:tcBorders>
            <w:vAlign w:val="center"/>
          </w:tcPr>
          <w:p>
            <w:pPr>
              <w:ind w:left="220" w:leftChars="100"/>
              <w:jc w:val="center"/>
              <w:rPr>
                <w:sz w:val="24"/>
                <w:szCs w:val="24"/>
              </w:rPr>
            </w:pPr>
          </w:p>
        </w:tc>
        <w:tc>
          <w:tcPr>
            <w:tcW w:w="2180" w:type="dxa"/>
            <w:vMerge w:val="continue"/>
            <w:tcBorders>
              <w:right w:val="single" w:color="auto" w:sz="8" w:space="0"/>
            </w:tcBorders>
            <w:vAlign w:val="center"/>
          </w:tcPr>
          <w:p>
            <w:pPr>
              <w:ind w:left="220" w:leftChars="100"/>
              <w:jc w:val="center"/>
              <w:rPr>
                <w:sz w:val="24"/>
                <w:szCs w:val="24"/>
              </w:rPr>
            </w:pPr>
          </w:p>
        </w:tc>
        <w:tc>
          <w:tcPr>
            <w:tcW w:w="7420" w:type="dxa"/>
            <w:vMerge w:val="continue"/>
            <w:tcBorders>
              <w:right w:val="single" w:color="auto" w:sz="8" w:space="0"/>
            </w:tcBorders>
          </w:tcPr>
          <w:p>
            <w:pPr>
              <w:spacing w:line="240" w:lineRule="exact"/>
              <w:ind w:left="220" w:leftChars="100"/>
              <w:jc w:val="both"/>
              <w:rPr>
                <w:sz w:val="20"/>
                <w:szCs w:val="20"/>
              </w:rPr>
            </w:pPr>
          </w:p>
        </w:tc>
      </w:tr>
      <w:tr>
        <w:trPr>
          <w:gridAfter w:val="1"/>
          <w:wAfter w:w="360" w:type="dxa"/>
          <w:trHeight w:val="312" w:hRule="atLeast"/>
        </w:trPr>
        <w:tc>
          <w:tcPr>
            <w:tcW w:w="720" w:type="dxa"/>
            <w:vMerge w:val="continue"/>
            <w:tcBorders>
              <w:left w:val="single" w:color="auto" w:sz="8" w:space="0"/>
              <w:right w:val="single" w:color="auto" w:sz="8" w:space="0"/>
            </w:tcBorders>
            <w:vAlign w:val="center"/>
          </w:tcPr>
          <w:p>
            <w:pPr>
              <w:spacing w:line="240" w:lineRule="exact"/>
              <w:ind w:left="220" w:leftChars="100" w:right="155"/>
              <w:jc w:val="center"/>
              <w:rPr>
                <w:sz w:val="20"/>
                <w:szCs w:val="20"/>
              </w:rPr>
            </w:pPr>
          </w:p>
        </w:tc>
        <w:tc>
          <w:tcPr>
            <w:tcW w:w="2180" w:type="dxa"/>
            <w:vMerge w:val="continue"/>
            <w:tcBorders>
              <w:right w:val="single" w:color="auto" w:sz="8" w:space="0"/>
            </w:tcBorders>
            <w:vAlign w:val="center"/>
          </w:tcPr>
          <w:p>
            <w:pPr>
              <w:spacing w:line="240" w:lineRule="exact"/>
              <w:ind w:left="220" w:leftChars="100"/>
              <w:jc w:val="center"/>
              <w:rPr>
                <w:sz w:val="20"/>
                <w:szCs w:val="20"/>
              </w:rPr>
            </w:pPr>
          </w:p>
        </w:tc>
        <w:tc>
          <w:tcPr>
            <w:tcW w:w="7420" w:type="dxa"/>
            <w:vMerge w:val="continue"/>
            <w:tcBorders>
              <w:right w:val="single" w:color="auto" w:sz="8" w:space="0"/>
            </w:tcBorders>
          </w:tcPr>
          <w:p>
            <w:pPr>
              <w:spacing w:line="240" w:lineRule="exact"/>
              <w:ind w:left="220" w:leftChars="100"/>
              <w:jc w:val="both"/>
              <w:rPr>
                <w:sz w:val="20"/>
                <w:szCs w:val="20"/>
              </w:rPr>
            </w:pPr>
          </w:p>
        </w:tc>
      </w:tr>
      <w:tr>
        <w:trPr>
          <w:gridAfter w:val="1"/>
          <w:wAfter w:w="360" w:type="dxa"/>
          <w:trHeight w:val="312" w:hRule="atLeast"/>
        </w:trPr>
        <w:tc>
          <w:tcPr>
            <w:tcW w:w="720" w:type="dxa"/>
            <w:vMerge w:val="continue"/>
            <w:tcBorders>
              <w:left w:val="single" w:color="auto" w:sz="8" w:space="0"/>
              <w:right w:val="single" w:color="auto" w:sz="8" w:space="0"/>
            </w:tcBorders>
            <w:vAlign w:val="center"/>
          </w:tcPr>
          <w:p>
            <w:pPr>
              <w:ind w:left="220" w:leftChars="100"/>
              <w:jc w:val="center"/>
              <w:rPr>
                <w:sz w:val="13"/>
                <w:szCs w:val="13"/>
              </w:rPr>
            </w:pPr>
          </w:p>
        </w:tc>
        <w:tc>
          <w:tcPr>
            <w:tcW w:w="2180" w:type="dxa"/>
            <w:vMerge w:val="continue"/>
            <w:tcBorders>
              <w:right w:val="single" w:color="auto" w:sz="8" w:space="0"/>
            </w:tcBorders>
            <w:vAlign w:val="center"/>
          </w:tcPr>
          <w:p>
            <w:pPr>
              <w:ind w:left="220" w:leftChars="100"/>
              <w:jc w:val="center"/>
              <w:rPr>
                <w:sz w:val="13"/>
                <w:szCs w:val="13"/>
              </w:rPr>
            </w:pPr>
          </w:p>
        </w:tc>
        <w:tc>
          <w:tcPr>
            <w:tcW w:w="7420" w:type="dxa"/>
            <w:vMerge w:val="continue"/>
            <w:tcBorders>
              <w:right w:val="single" w:color="auto" w:sz="8" w:space="0"/>
            </w:tcBorders>
          </w:tcPr>
          <w:p>
            <w:pPr>
              <w:spacing w:line="240" w:lineRule="exact"/>
              <w:ind w:left="220" w:leftChars="100"/>
              <w:jc w:val="both"/>
              <w:rPr>
                <w:sz w:val="20"/>
                <w:szCs w:val="20"/>
              </w:rPr>
            </w:pPr>
          </w:p>
        </w:tc>
      </w:tr>
      <w:tr>
        <w:tblPrEx>
          <w:tblCellMar>
            <w:top w:w="0" w:type="dxa"/>
            <w:left w:w="0" w:type="dxa"/>
            <w:bottom w:w="0" w:type="dxa"/>
            <w:right w:w="0" w:type="dxa"/>
          </w:tblCellMar>
        </w:tblPrEx>
        <w:trPr>
          <w:gridAfter w:val="1"/>
          <w:wAfter w:w="360" w:type="dxa"/>
          <w:trHeight w:val="312" w:hRule="atLeast"/>
        </w:trPr>
        <w:tc>
          <w:tcPr>
            <w:tcW w:w="720" w:type="dxa"/>
            <w:vMerge w:val="continue"/>
            <w:tcBorders>
              <w:left w:val="single" w:color="auto" w:sz="8" w:space="0"/>
              <w:right w:val="single" w:color="auto" w:sz="8" w:space="0"/>
            </w:tcBorders>
            <w:vAlign w:val="center"/>
          </w:tcPr>
          <w:p>
            <w:pPr>
              <w:ind w:left="220" w:leftChars="100"/>
              <w:jc w:val="center"/>
              <w:rPr>
                <w:sz w:val="13"/>
                <w:szCs w:val="13"/>
              </w:rPr>
            </w:pPr>
          </w:p>
        </w:tc>
        <w:tc>
          <w:tcPr>
            <w:tcW w:w="2180" w:type="dxa"/>
            <w:vMerge w:val="continue"/>
            <w:tcBorders>
              <w:right w:val="single" w:color="auto" w:sz="8" w:space="0"/>
            </w:tcBorders>
            <w:vAlign w:val="center"/>
          </w:tcPr>
          <w:p>
            <w:pPr>
              <w:ind w:left="220" w:leftChars="100"/>
              <w:jc w:val="center"/>
              <w:rPr>
                <w:sz w:val="13"/>
                <w:szCs w:val="13"/>
              </w:rPr>
            </w:pPr>
          </w:p>
        </w:tc>
        <w:tc>
          <w:tcPr>
            <w:tcW w:w="7420" w:type="dxa"/>
            <w:vMerge w:val="continue"/>
            <w:tcBorders>
              <w:right w:val="single" w:color="auto" w:sz="8" w:space="0"/>
            </w:tcBorders>
          </w:tcPr>
          <w:p>
            <w:pPr>
              <w:ind w:left="220" w:leftChars="100"/>
              <w:jc w:val="both"/>
              <w:rPr>
                <w:sz w:val="13"/>
                <w:szCs w:val="13"/>
              </w:rPr>
            </w:pPr>
          </w:p>
        </w:tc>
      </w:tr>
      <w:tr>
        <w:tblPrEx>
          <w:tblCellMar>
            <w:top w:w="0" w:type="dxa"/>
            <w:left w:w="0" w:type="dxa"/>
            <w:bottom w:w="0" w:type="dxa"/>
            <w:right w:w="0" w:type="dxa"/>
          </w:tblCellMar>
        </w:tblPrEx>
        <w:trPr>
          <w:gridAfter w:val="1"/>
          <w:wAfter w:w="360" w:type="dxa"/>
          <w:trHeight w:val="589" w:hRule="atLeast"/>
        </w:trPr>
        <w:tc>
          <w:tcPr>
            <w:tcW w:w="720" w:type="dxa"/>
            <w:vMerge w:val="continue"/>
            <w:tcBorders>
              <w:left w:val="single" w:color="auto" w:sz="8" w:space="0"/>
              <w:right w:val="single" w:color="auto" w:sz="8" w:space="0"/>
            </w:tcBorders>
            <w:vAlign w:val="center"/>
          </w:tcPr>
          <w:p>
            <w:pPr>
              <w:ind w:left="220" w:leftChars="100"/>
              <w:jc w:val="center"/>
              <w:rPr>
                <w:sz w:val="24"/>
                <w:szCs w:val="24"/>
              </w:rPr>
            </w:pPr>
          </w:p>
        </w:tc>
        <w:tc>
          <w:tcPr>
            <w:tcW w:w="2180" w:type="dxa"/>
            <w:vMerge w:val="continue"/>
            <w:tcBorders>
              <w:right w:val="single" w:color="auto" w:sz="8" w:space="0"/>
            </w:tcBorders>
            <w:vAlign w:val="center"/>
          </w:tcPr>
          <w:p>
            <w:pPr>
              <w:ind w:left="220" w:leftChars="100"/>
              <w:jc w:val="center"/>
              <w:rPr>
                <w:sz w:val="24"/>
                <w:szCs w:val="24"/>
              </w:rPr>
            </w:pPr>
          </w:p>
        </w:tc>
        <w:tc>
          <w:tcPr>
            <w:tcW w:w="7420" w:type="dxa"/>
            <w:vMerge w:val="continue"/>
            <w:tcBorders>
              <w:right w:val="single" w:color="auto" w:sz="8" w:space="0"/>
            </w:tcBorders>
          </w:tcPr>
          <w:p>
            <w:pPr>
              <w:spacing w:line="240" w:lineRule="exact"/>
              <w:ind w:left="220" w:leftChars="100"/>
              <w:jc w:val="both"/>
              <w:rPr>
                <w:sz w:val="20"/>
                <w:szCs w:val="20"/>
              </w:rPr>
            </w:pPr>
          </w:p>
        </w:tc>
      </w:tr>
      <w:tr>
        <w:tblPrEx>
          <w:tblCellMar>
            <w:top w:w="0" w:type="dxa"/>
            <w:left w:w="0" w:type="dxa"/>
            <w:bottom w:w="0" w:type="dxa"/>
            <w:right w:w="0" w:type="dxa"/>
          </w:tblCellMar>
        </w:tblPrEx>
        <w:trPr>
          <w:gridAfter w:val="1"/>
          <w:wAfter w:w="360" w:type="dxa"/>
          <w:trHeight w:val="312" w:hRule="atLeast"/>
        </w:trPr>
        <w:tc>
          <w:tcPr>
            <w:tcW w:w="720" w:type="dxa"/>
            <w:vMerge w:val="continue"/>
            <w:tcBorders>
              <w:left w:val="single" w:color="auto" w:sz="8" w:space="0"/>
              <w:bottom w:val="single" w:color="auto" w:sz="8" w:space="0"/>
              <w:right w:val="single" w:color="auto" w:sz="8" w:space="0"/>
            </w:tcBorders>
            <w:vAlign w:val="center"/>
          </w:tcPr>
          <w:p>
            <w:pPr>
              <w:ind w:left="220" w:leftChars="100"/>
              <w:jc w:val="center"/>
              <w:rPr>
                <w:sz w:val="16"/>
                <w:szCs w:val="16"/>
              </w:rPr>
            </w:pPr>
          </w:p>
        </w:tc>
        <w:tc>
          <w:tcPr>
            <w:tcW w:w="2180" w:type="dxa"/>
            <w:vMerge w:val="continue"/>
            <w:tcBorders>
              <w:bottom w:val="single" w:color="auto" w:sz="8" w:space="0"/>
              <w:right w:val="single" w:color="auto" w:sz="8" w:space="0"/>
            </w:tcBorders>
            <w:vAlign w:val="center"/>
          </w:tcPr>
          <w:p>
            <w:pPr>
              <w:ind w:left="220" w:leftChars="100"/>
              <w:jc w:val="center"/>
              <w:rPr>
                <w:sz w:val="16"/>
                <w:szCs w:val="16"/>
              </w:rPr>
            </w:pPr>
          </w:p>
        </w:tc>
        <w:tc>
          <w:tcPr>
            <w:tcW w:w="7420" w:type="dxa"/>
            <w:vMerge w:val="continue"/>
            <w:tcBorders>
              <w:bottom w:val="single" w:color="auto" w:sz="8" w:space="0"/>
              <w:right w:val="single" w:color="auto" w:sz="8" w:space="0"/>
            </w:tcBorders>
          </w:tcPr>
          <w:p>
            <w:pPr>
              <w:ind w:left="220" w:leftChars="100"/>
              <w:jc w:val="both"/>
              <w:rPr>
                <w:sz w:val="16"/>
                <w:szCs w:val="16"/>
              </w:rPr>
            </w:pPr>
          </w:p>
        </w:tc>
      </w:tr>
      <w:tr>
        <w:tblPrEx>
          <w:tblCellMar>
            <w:top w:w="0" w:type="dxa"/>
            <w:left w:w="0" w:type="dxa"/>
            <w:bottom w:w="0" w:type="dxa"/>
            <w:right w:w="0" w:type="dxa"/>
          </w:tblCellMar>
        </w:tblPrEx>
        <w:trPr>
          <w:gridAfter w:val="1"/>
          <w:wAfter w:w="360" w:type="dxa"/>
          <w:trHeight w:val="389" w:hRule="atLeast"/>
        </w:trPr>
        <w:tc>
          <w:tcPr>
            <w:tcW w:w="720" w:type="dxa"/>
            <w:vMerge w:val="restart"/>
            <w:tcBorders>
              <w:left w:val="single" w:color="auto" w:sz="8" w:space="0"/>
              <w:right w:val="single" w:color="auto" w:sz="8" w:space="0"/>
            </w:tcBorders>
            <w:vAlign w:val="center"/>
          </w:tcPr>
          <w:p>
            <w:pPr>
              <w:spacing w:line="240" w:lineRule="exact"/>
              <w:ind w:left="220" w:leftChars="100" w:right="155"/>
              <w:jc w:val="center"/>
              <w:rPr>
                <w:sz w:val="20"/>
                <w:szCs w:val="20"/>
              </w:rPr>
            </w:pPr>
            <w:r>
              <w:rPr>
                <w:rFonts w:ascii="宋体" w:hAnsi="宋体" w:eastAsia="宋体" w:cs="宋体"/>
                <w:sz w:val="21"/>
                <w:szCs w:val="21"/>
              </w:rPr>
              <w:t>12</w:t>
            </w:r>
          </w:p>
        </w:tc>
        <w:tc>
          <w:tcPr>
            <w:tcW w:w="2180" w:type="dxa"/>
            <w:vMerge w:val="restart"/>
            <w:tcBorders>
              <w:right w:val="single" w:color="auto" w:sz="8" w:space="0"/>
            </w:tcBorders>
            <w:vAlign w:val="center"/>
          </w:tcPr>
          <w:p>
            <w:pPr>
              <w:spacing w:line="240" w:lineRule="exact"/>
              <w:ind w:left="220" w:leftChars="100"/>
              <w:jc w:val="center"/>
              <w:rPr>
                <w:sz w:val="20"/>
                <w:szCs w:val="20"/>
              </w:rPr>
            </w:pPr>
            <w:r>
              <w:rPr>
                <w:rFonts w:ascii="宋体" w:hAnsi="宋体" w:eastAsia="宋体" w:cs="宋体"/>
                <w:sz w:val="21"/>
                <w:szCs w:val="21"/>
              </w:rPr>
              <w:t>磋商供应商公章</w:t>
            </w:r>
          </w:p>
        </w:tc>
        <w:tc>
          <w:tcPr>
            <w:tcW w:w="7420" w:type="dxa"/>
            <w:vMerge w:val="restart"/>
            <w:tcBorders>
              <w:right w:val="single" w:color="auto" w:sz="8" w:space="0"/>
            </w:tcBorders>
          </w:tcPr>
          <w:p>
            <w:pPr>
              <w:spacing w:line="240" w:lineRule="exact"/>
              <w:ind w:left="220" w:leftChars="100" w:firstLine="420" w:firstLineChars="200"/>
              <w:jc w:val="both"/>
              <w:rPr>
                <w:rFonts w:ascii="宋体" w:hAnsi="宋体" w:eastAsia="宋体" w:cs="宋体"/>
                <w:sz w:val="21"/>
                <w:szCs w:val="21"/>
              </w:rPr>
            </w:pPr>
          </w:p>
          <w:p>
            <w:pPr>
              <w:spacing w:line="360" w:lineRule="auto"/>
              <w:ind w:left="220" w:leftChars="100" w:firstLine="420" w:firstLineChars="200"/>
              <w:jc w:val="both"/>
              <w:rPr>
                <w:sz w:val="20"/>
                <w:szCs w:val="20"/>
              </w:rPr>
            </w:pPr>
            <w:r>
              <w:rPr>
                <w:rFonts w:ascii="宋体" w:hAnsi="宋体" w:eastAsia="宋体" w:cs="宋体"/>
                <w:sz w:val="21"/>
                <w:szCs w:val="21"/>
              </w:rPr>
              <w:t>本竞争性磋商文件中描述磋商供应商的“公章”是指根据我国对公章的管理规定，用磋商供应商法定主体行为名称制作的印章，除本文件有特殊规定外，磋商供应商的财务章、部门章、分公司章、工会章、合同章、磋商专用章、业务专用章及银行的转账章、现金收讫章、现金付讫章等其它形式印章均不能代替公章</w:t>
            </w:r>
          </w:p>
        </w:tc>
      </w:tr>
      <w:tr>
        <w:tblPrEx>
          <w:tblCellMar>
            <w:top w:w="0" w:type="dxa"/>
            <w:left w:w="0" w:type="dxa"/>
            <w:bottom w:w="0" w:type="dxa"/>
            <w:right w:w="0" w:type="dxa"/>
          </w:tblCellMar>
        </w:tblPrEx>
        <w:trPr>
          <w:gridAfter w:val="1"/>
          <w:wAfter w:w="360" w:type="dxa"/>
          <w:trHeight w:val="312" w:hRule="atLeast"/>
        </w:trPr>
        <w:tc>
          <w:tcPr>
            <w:tcW w:w="720" w:type="dxa"/>
            <w:vMerge w:val="continue"/>
            <w:tcBorders>
              <w:left w:val="single" w:color="auto" w:sz="8" w:space="0"/>
              <w:right w:val="single" w:color="auto" w:sz="8" w:space="0"/>
            </w:tcBorders>
            <w:vAlign w:val="center"/>
          </w:tcPr>
          <w:p>
            <w:pPr>
              <w:ind w:left="220" w:leftChars="100"/>
              <w:jc w:val="center"/>
              <w:rPr>
                <w:sz w:val="24"/>
                <w:szCs w:val="24"/>
              </w:rPr>
            </w:pPr>
          </w:p>
        </w:tc>
        <w:tc>
          <w:tcPr>
            <w:tcW w:w="2180" w:type="dxa"/>
            <w:vMerge w:val="continue"/>
            <w:tcBorders>
              <w:right w:val="single" w:color="auto" w:sz="8" w:space="0"/>
            </w:tcBorders>
            <w:vAlign w:val="center"/>
          </w:tcPr>
          <w:p>
            <w:pPr>
              <w:ind w:left="220" w:leftChars="100"/>
              <w:jc w:val="center"/>
              <w:rPr>
                <w:sz w:val="24"/>
                <w:szCs w:val="24"/>
              </w:rPr>
            </w:pPr>
          </w:p>
        </w:tc>
        <w:tc>
          <w:tcPr>
            <w:tcW w:w="7420" w:type="dxa"/>
            <w:vMerge w:val="continue"/>
            <w:tcBorders>
              <w:right w:val="single" w:color="auto" w:sz="8" w:space="0"/>
            </w:tcBorders>
            <w:vAlign w:val="bottom"/>
          </w:tcPr>
          <w:p>
            <w:pPr>
              <w:spacing w:line="240" w:lineRule="exact"/>
              <w:ind w:left="220" w:leftChars="100"/>
              <w:rPr>
                <w:sz w:val="20"/>
                <w:szCs w:val="20"/>
              </w:rPr>
            </w:pPr>
          </w:p>
        </w:tc>
      </w:tr>
      <w:tr>
        <w:tblPrEx>
          <w:tblCellMar>
            <w:top w:w="0" w:type="dxa"/>
            <w:left w:w="0" w:type="dxa"/>
            <w:bottom w:w="0" w:type="dxa"/>
            <w:right w:w="0" w:type="dxa"/>
          </w:tblCellMar>
        </w:tblPrEx>
        <w:trPr>
          <w:gridAfter w:val="1"/>
          <w:wAfter w:w="360" w:type="dxa"/>
          <w:trHeight w:val="312" w:hRule="atLeast"/>
        </w:trPr>
        <w:tc>
          <w:tcPr>
            <w:tcW w:w="720" w:type="dxa"/>
            <w:vMerge w:val="continue"/>
            <w:tcBorders>
              <w:left w:val="single" w:color="auto" w:sz="8" w:space="0"/>
              <w:right w:val="single" w:color="auto" w:sz="8" w:space="0"/>
            </w:tcBorders>
            <w:vAlign w:val="center"/>
          </w:tcPr>
          <w:p>
            <w:pPr>
              <w:spacing w:line="240" w:lineRule="exact"/>
              <w:ind w:left="220" w:leftChars="100" w:right="155"/>
              <w:jc w:val="center"/>
              <w:rPr>
                <w:sz w:val="20"/>
                <w:szCs w:val="20"/>
              </w:rPr>
            </w:pPr>
          </w:p>
        </w:tc>
        <w:tc>
          <w:tcPr>
            <w:tcW w:w="2180" w:type="dxa"/>
            <w:vMerge w:val="continue"/>
            <w:tcBorders>
              <w:right w:val="single" w:color="auto" w:sz="8" w:space="0"/>
            </w:tcBorders>
            <w:vAlign w:val="center"/>
          </w:tcPr>
          <w:p>
            <w:pPr>
              <w:spacing w:line="240" w:lineRule="exact"/>
              <w:ind w:left="220" w:leftChars="100"/>
              <w:jc w:val="center"/>
              <w:rPr>
                <w:sz w:val="20"/>
                <w:szCs w:val="20"/>
              </w:rPr>
            </w:pPr>
          </w:p>
        </w:tc>
        <w:tc>
          <w:tcPr>
            <w:tcW w:w="7420" w:type="dxa"/>
            <w:vMerge w:val="continue"/>
            <w:tcBorders>
              <w:right w:val="single" w:color="auto" w:sz="8" w:space="0"/>
            </w:tcBorders>
            <w:vAlign w:val="bottom"/>
          </w:tcPr>
          <w:p>
            <w:pPr>
              <w:spacing w:line="240" w:lineRule="exact"/>
              <w:ind w:left="220" w:leftChars="100"/>
              <w:rPr>
                <w:sz w:val="20"/>
                <w:szCs w:val="20"/>
              </w:rPr>
            </w:pPr>
          </w:p>
        </w:tc>
      </w:tr>
      <w:tr>
        <w:tblPrEx>
          <w:tblCellMar>
            <w:top w:w="0" w:type="dxa"/>
            <w:left w:w="0" w:type="dxa"/>
            <w:bottom w:w="0" w:type="dxa"/>
            <w:right w:w="0" w:type="dxa"/>
          </w:tblCellMar>
        </w:tblPrEx>
        <w:trPr>
          <w:gridAfter w:val="1"/>
          <w:wAfter w:w="360" w:type="dxa"/>
          <w:trHeight w:val="312" w:hRule="atLeast"/>
        </w:trPr>
        <w:tc>
          <w:tcPr>
            <w:tcW w:w="720" w:type="dxa"/>
            <w:vMerge w:val="continue"/>
            <w:tcBorders>
              <w:left w:val="single" w:color="auto" w:sz="8" w:space="0"/>
              <w:right w:val="single" w:color="auto" w:sz="8" w:space="0"/>
            </w:tcBorders>
            <w:vAlign w:val="center"/>
          </w:tcPr>
          <w:p>
            <w:pPr>
              <w:ind w:left="220" w:leftChars="100"/>
              <w:jc w:val="center"/>
              <w:rPr>
                <w:sz w:val="24"/>
                <w:szCs w:val="24"/>
              </w:rPr>
            </w:pPr>
          </w:p>
        </w:tc>
        <w:tc>
          <w:tcPr>
            <w:tcW w:w="2180" w:type="dxa"/>
            <w:vMerge w:val="continue"/>
            <w:tcBorders>
              <w:right w:val="single" w:color="auto" w:sz="8" w:space="0"/>
            </w:tcBorders>
            <w:vAlign w:val="center"/>
          </w:tcPr>
          <w:p>
            <w:pPr>
              <w:ind w:left="220" w:leftChars="100"/>
              <w:jc w:val="center"/>
              <w:rPr>
                <w:sz w:val="24"/>
                <w:szCs w:val="24"/>
              </w:rPr>
            </w:pPr>
          </w:p>
        </w:tc>
        <w:tc>
          <w:tcPr>
            <w:tcW w:w="7420" w:type="dxa"/>
            <w:vMerge w:val="continue"/>
            <w:tcBorders>
              <w:right w:val="single" w:color="auto" w:sz="8" w:space="0"/>
            </w:tcBorders>
            <w:vAlign w:val="bottom"/>
          </w:tcPr>
          <w:p>
            <w:pPr>
              <w:spacing w:line="240" w:lineRule="exact"/>
              <w:ind w:left="220" w:leftChars="100"/>
              <w:rPr>
                <w:sz w:val="20"/>
                <w:szCs w:val="20"/>
              </w:rPr>
            </w:pPr>
          </w:p>
        </w:tc>
      </w:tr>
      <w:tr>
        <w:trPr>
          <w:gridAfter w:val="1"/>
          <w:wAfter w:w="360" w:type="dxa"/>
          <w:trHeight w:val="312" w:hRule="atLeast"/>
        </w:trPr>
        <w:tc>
          <w:tcPr>
            <w:tcW w:w="720" w:type="dxa"/>
            <w:vMerge w:val="continue"/>
            <w:tcBorders>
              <w:left w:val="single" w:color="auto" w:sz="8" w:space="0"/>
              <w:right w:val="single" w:color="auto" w:sz="8" w:space="0"/>
            </w:tcBorders>
            <w:vAlign w:val="center"/>
          </w:tcPr>
          <w:p>
            <w:pPr>
              <w:ind w:left="220" w:leftChars="100"/>
              <w:jc w:val="center"/>
              <w:rPr>
                <w:sz w:val="24"/>
                <w:szCs w:val="24"/>
              </w:rPr>
            </w:pPr>
          </w:p>
        </w:tc>
        <w:tc>
          <w:tcPr>
            <w:tcW w:w="2180" w:type="dxa"/>
            <w:vMerge w:val="continue"/>
            <w:tcBorders>
              <w:right w:val="single" w:color="auto" w:sz="8" w:space="0"/>
            </w:tcBorders>
            <w:vAlign w:val="center"/>
          </w:tcPr>
          <w:p>
            <w:pPr>
              <w:ind w:left="220" w:leftChars="100"/>
              <w:jc w:val="center"/>
              <w:rPr>
                <w:sz w:val="24"/>
                <w:szCs w:val="24"/>
              </w:rPr>
            </w:pPr>
          </w:p>
        </w:tc>
        <w:tc>
          <w:tcPr>
            <w:tcW w:w="7420" w:type="dxa"/>
            <w:vMerge w:val="continue"/>
            <w:tcBorders>
              <w:right w:val="single" w:color="auto" w:sz="8" w:space="0"/>
            </w:tcBorders>
            <w:vAlign w:val="bottom"/>
          </w:tcPr>
          <w:p>
            <w:pPr>
              <w:spacing w:line="240" w:lineRule="exact"/>
              <w:ind w:left="220" w:leftChars="100"/>
              <w:rPr>
                <w:sz w:val="20"/>
                <w:szCs w:val="20"/>
              </w:rPr>
            </w:pPr>
          </w:p>
        </w:tc>
      </w:tr>
      <w:tr>
        <w:tblPrEx>
          <w:tblCellMar>
            <w:top w:w="0" w:type="dxa"/>
            <w:left w:w="0" w:type="dxa"/>
            <w:bottom w:w="0" w:type="dxa"/>
            <w:right w:w="0" w:type="dxa"/>
          </w:tblCellMar>
        </w:tblPrEx>
        <w:trPr>
          <w:gridAfter w:val="1"/>
          <w:wAfter w:w="360" w:type="dxa"/>
          <w:trHeight w:val="312" w:hRule="atLeast"/>
        </w:trPr>
        <w:tc>
          <w:tcPr>
            <w:tcW w:w="720" w:type="dxa"/>
            <w:vMerge w:val="continue"/>
            <w:tcBorders>
              <w:left w:val="single" w:color="auto" w:sz="8" w:space="0"/>
              <w:bottom w:val="single" w:color="auto" w:sz="8" w:space="0"/>
              <w:right w:val="single" w:color="auto" w:sz="8" w:space="0"/>
            </w:tcBorders>
            <w:vAlign w:val="center"/>
          </w:tcPr>
          <w:p>
            <w:pPr>
              <w:ind w:left="220" w:leftChars="100"/>
              <w:jc w:val="center"/>
              <w:rPr>
                <w:sz w:val="14"/>
                <w:szCs w:val="14"/>
              </w:rPr>
            </w:pPr>
          </w:p>
        </w:tc>
        <w:tc>
          <w:tcPr>
            <w:tcW w:w="2180" w:type="dxa"/>
            <w:vMerge w:val="continue"/>
            <w:tcBorders>
              <w:bottom w:val="single" w:color="auto" w:sz="8" w:space="0"/>
              <w:right w:val="single" w:color="auto" w:sz="8" w:space="0"/>
            </w:tcBorders>
            <w:vAlign w:val="center"/>
          </w:tcPr>
          <w:p>
            <w:pPr>
              <w:ind w:left="220" w:leftChars="100"/>
              <w:jc w:val="center"/>
              <w:rPr>
                <w:sz w:val="14"/>
                <w:szCs w:val="14"/>
              </w:rPr>
            </w:pPr>
          </w:p>
        </w:tc>
        <w:tc>
          <w:tcPr>
            <w:tcW w:w="7420" w:type="dxa"/>
            <w:vMerge w:val="continue"/>
            <w:tcBorders>
              <w:bottom w:val="single" w:color="auto" w:sz="8" w:space="0"/>
              <w:right w:val="single" w:color="auto" w:sz="8" w:space="0"/>
            </w:tcBorders>
            <w:vAlign w:val="bottom"/>
          </w:tcPr>
          <w:p>
            <w:pPr>
              <w:ind w:left="220" w:leftChars="100"/>
              <w:rPr>
                <w:sz w:val="14"/>
                <w:szCs w:val="14"/>
              </w:rPr>
            </w:pPr>
          </w:p>
        </w:tc>
      </w:tr>
      <w:tr>
        <w:tblPrEx>
          <w:tblCellMar>
            <w:top w:w="0" w:type="dxa"/>
            <w:left w:w="0" w:type="dxa"/>
            <w:bottom w:w="0" w:type="dxa"/>
            <w:right w:w="0" w:type="dxa"/>
          </w:tblCellMar>
        </w:tblPrEx>
        <w:trPr>
          <w:gridAfter w:val="1"/>
          <w:wAfter w:w="360" w:type="dxa"/>
          <w:trHeight w:val="312" w:hRule="atLeast"/>
        </w:trPr>
        <w:tc>
          <w:tcPr>
            <w:tcW w:w="720" w:type="dxa"/>
            <w:vMerge w:val="restart"/>
            <w:tcBorders>
              <w:left w:val="single" w:color="auto" w:sz="8" w:space="0"/>
              <w:right w:val="single" w:color="auto" w:sz="8" w:space="0"/>
            </w:tcBorders>
            <w:vAlign w:val="center"/>
          </w:tcPr>
          <w:p>
            <w:pPr>
              <w:spacing w:line="240" w:lineRule="exact"/>
              <w:ind w:left="220" w:leftChars="100" w:right="155"/>
              <w:jc w:val="center"/>
              <w:rPr>
                <w:sz w:val="20"/>
                <w:szCs w:val="20"/>
              </w:rPr>
            </w:pPr>
            <w:r>
              <w:rPr>
                <w:rFonts w:ascii="宋体" w:hAnsi="宋体" w:eastAsia="宋体" w:cs="宋体"/>
                <w:sz w:val="21"/>
                <w:szCs w:val="21"/>
              </w:rPr>
              <w:t>13</w:t>
            </w:r>
          </w:p>
        </w:tc>
        <w:tc>
          <w:tcPr>
            <w:tcW w:w="2180" w:type="dxa"/>
            <w:vMerge w:val="restart"/>
            <w:tcBorders>
              <w:right w:val="single" w:color="auto" w:sz="8" w:space="0"/>
            </w:tcBorders>
            <w:vAlign w:val="center"/>
          </w:tcPr>
          <w:p>
            <w:pPr>
              <w:spacing w:line="240" w:lineRule="exact"/>
              <w:jc w:val="both"/>
              <w:rPr>
                <w:sz w:val="20"/>
                <w:szCs w:val="20"/>
              </w:rPr>
            </w:pPr>
            <w:r>
              <w:rPr>
                <w:rFonts w:ascii="Calibri" w:hAnsi="Calibri" w:eastAsia="Calibri" w:cs="Calibri"/>
                <w:sz w:val="21"/>
                <w:szCs w:val="21"/>
              </w:rPr>
              <w:t>响应文件递交起止时间</w:t>
            </w:r>
          </w:p>
        </w:tc>
        <w:tc>
          <w:tcPr>
            <w:tcW w:w="7420" w:type="dxa"/>
            <w:vMerge w:val="restart"/>
            <w:tcBorders>
              <w:right w:val="single" w:color="auto" w:sz="8" w:space="0"/>
            </w:tcBorders>
            <w:vAlign w:val="center"/>
          </w:tcPr>
          <w:p>
            <w:r>
              <w:rPr>
                <w:rFonts w:hint="eastAsia" w:ascii="宋体" w:hAnsi="宋体" w:eastAsia="宋体" w:cs="宋体"/>
                <w:sz w:val="21"/>
                <w:szCs w:val="21"/>
              </w:rPr>
              <w:t>2020</w:t>
            </w:r>
            <w:r>
              <w:rPr>
                <w:rFonts w:ascii="宋体" w:hAnsi="宋体" w:eastAsia="宋体" w:cs="宋体"/>
                <w:sz w:val="21"/>
                <w:szCs w:val="21"/>
              </w:rPr>
              <w:t xml:space="preserve"> 年</w:t>
            </w:r>
            <w:r>
              <w:rPr>
                <w:rFonts w:hint="eastAsia" w:ascii="宋体" w:hAnsi="宋体" w:eastAsia="宋体" w:cs="宋体"/>
                <w:sz w:val="21"/>
                <w:szCs w:val="21"/>
              </w:rPr>
              <w:t>11月</w:t>
            </w:r>
            <w:r>
              <w:rPr>
                <w:rFonts w:hint="eastAsia" w:ascii="宋体" w:hAnsi="宋体" w:eastAsia="宋体" w:cs="宋体"/>
                <w:sz w:val="21"/>
                <w:szCs w:val="21"/>
                <w:lang w:val="en-US" w:eastAsia="zh-CN"/>
              </w:rPr>
              <w:t>20</w:t>
            </w:r>
            <w:r>
              <w:rPr>
                <w:rFonts w:hint="eastAsia" w:ascii="宋体" w:hAnsi="宋体" w:eastAsia="宋体" w:cs="宋体"/>
                <w:sz w:val="21"/>
                <w:szCs w:val="21"/>
              </w:rPr>
              <w:t>日9时00分</w:t>
            </w:r>
            <w:r>
              <w:rPr>
                <w:rFonts w:hint="eastAsia"/>
              </w:rPr>
              <w:t>至</w:t>
            </w:r>
            <w:r>
              <w:t xml:space="preserve"> </w:t>
            </w:r>
            <w:r>
              <w:rPr>
                <w:rFonts w:hint="eastAsia" w:ascii="宋体" w:hAnsi="宋体" w:eastAsia="宋体" w:cs="宋体"/>
                <w:sz w:val="21"/>
                <w:szCs w:val="21"/>
              </w:rPr>
              <w:t>2020</w:t>
            </w:r>
            <w:r>
              <w:rPr>
                <w:rFonts w:ascii="宋体" w:hAnsi="宋体" w:eastAsia="宋体" w:cs="宋体"/>
                <w:sz w:val="21"/>
                <w:szCs w:val="21"/>
              </w:rPr>
              <w:t xml:space="preserve"> 年</w:t>
            </w:r>
            <w:r>
              <w:rPr>
                <w:rFonts w:hint="eastAsia" w:ascii="宋体" w:hAnsi="宋体" w:eastAsia="宋体" w:cs="宋体"/>
                <w:sz w:val="21"/>
                <w:szCs w:val="21"/>
              </w:rPr>
              <w:t>11月</w:t>
            </w:r>
            <w:r>
              <w:rPr>
                <w:rFonts w:hint="eastAsia" w:ascii="宋体" w:hAnsi="宋体" w:eastAsia="宋体" w:cs="宋体"/>
                <w:sz w:val="21"/>
                <w:szCs w:val="21"/>
                <w:lang w:val="en-US" w:eastAsia="zh-CN"/>
              </w:rPr>
              <w:t>20</w:t>
            </w:r>
            <w:r>
              <w:rPr>
                <w:rFonts w:hint="eastAsia" w:ascii="宋体" w:hAnsi="宋体" w:eastAsia="宋体" w:cs="宋体"/>
                <w:sz w:val="21"/>
                <w:szCs w:val="21"/>
              </w:rPr>
              <w:t>日9时30分</w:t>
            </w:r>
          </w:p>
        </w:tc>
      </w:tr>
      <w:tr>
        <w:tblPrEx>
          <w:tblCellMar>
            <w:top w:w="0" w:type="dxa"/>
            <w:left w:w="0" w:type="dxa"/>
            <w:bottom w:w="0" w:type="dxa"/>
            <w:right w:w="0" w:type="dxa"/>
          </w:tblCellMar>
        </w:tblPrEx>
        <w:trPr>
          <w:gridAfter w:val="1"/>
          <w:wAfter w:w="360" w:type="dxa"/>
          <w:trHeight w:val="312" w:hRule="atLeast"/>
        </w:trPr>
        <w:tc>
          <w:tcPr>
            <w:tcW w:w="720" w:type="dxa"/>
            <w:vMerge w:val="continue"/>
            <w:tcBorders>
              <w:left w:val="single" w:color="auto" w:sz="8" w:space="0"/>
              <w:right w:val="single" w:color="auto" w:sz="8" w:space="0"/>
            </w:tcBorders>
            <w:vAlign w:val="center"/>
          </w:tcPr>
          <w:p>
            <w:pPr>
              <w:ind w:left="220" w:leftChars="100"/>
              <w:jc w:val="center"/>
              <w:rPr>
                <w:sz w:val="16"/>
                <w:szCs w:val="16"/>
              </w:rPr>
            </w:pPr>
          </w:p>
        </w:tc>
        <w:tc>
          <w:tcPr>
            <w:tcW w:w="2180" w:type="dxa"/>
            <w:vMerge w:val="continue"/>
            <w:tcBorders>
              <w:right w:val="single" w:color="auto" w:sz="8" w:space="0"/>
            </w:tcBorders>
            <w:vAlign w:val="center"/>
          </w:tcPr>
          <w:p>
            <w:pPr>
              <w:spacing w:line="240" w:lineRule="exact"/>
              <w:ind w:left="220" w:leftChars="100"/>
              <w:jc w:val="center"/>
              <w:rPr>
                <w:sz w:val="20"/>
                <w:szCs w:val="20"/>
              </w:rPr>
            </w:pPr>
          </w:p>
        </w:tc>
        <w:tc>
          <w:tcPr>
            <w:tcW w:w="7420" w:type="dxa"/>
            <w:vMerge w:val="continue"/>
            <w:tcBorders>
              <w:right w:val="single" w:color="auto" w:sz="8" w:space="0"/>
            </w:tcBorders>
            <w:vAlign w:val="center"/>
          </w:tcPr>
          <w:p>
            <w:pPr>
              <w:ind w:left="220" w:leftChars="100"/>
              <w:jc w:val="center"/>
              <w:rPr>
                <w:sz w:val="16"/>
                <w:szCs w:val="16"/>
                <w:highlight w:val="yellow"/>
              </w:rPr>
            </w:pPr>
          </w:p>
        </w:tc>
      </w:tr>
      <w:tr>
        <w:tblPrEx>
          <w:tblCellMar>
            <w:top w:w="0" w:type="dxa"/>
            <w:left w:w="0" w:type="dxa"/>
            <w:bottom w:w="0" w:type="dxa"/>
            <w:right w:w="0" w:type="dxa"/>
          </w:tblCellMar>
        </w:tblPrEx>
        <w:trPr>
          <w:gridAfter w:val="1"/>
          <w:wAfter w:w="360" w:type="dxa"/>
          <w:trHeight w:val="312" w:hRule="atLeast"/>
        </w:trPr>
        <w:tc>
          <w:tcPr>
            <w:tcW w:w="720" w:type="dxa"/>
            <w:vMerge w:val="continue"/>
            <w:tcBorders>
              <w:left w:val="single" w:color="auto" w:sz="8" w:space="0"/>
              <w:right w:val="single" w:color="auto" w:sz="8" w:space="0"/>
            </w:tcBorders>
            <w:vAlign w:val="center"/>
          </w:tcPr>
          <w:p>
            <w:pPr>
              <w:ind w:left="220" w:leftChars="100"/>
              <w:jc w:val="center"/>
              <w:rPr>
                <w:sz w:val="9"/>
                <w:szCs w:val="9"/>
              </w:rPr>
            </w:pPr>
          </w:p>
        </w:tc>
        <w:tc>
          <w:tcPr>
            <w:tcW w:w="2180" w:type="dxa"/>
            <w:vMerge w:val="continue"/>
            <w:tcBorders>
              <w:right w:val="single" w:color="auto" w:sz="8" w:space="0"/>
            </w:tcBorders>
            <w:vAlign w:val="center"/>
          </w:tcPr>
          <w:p>
            <w:pPr>
              <w:ind w:left="220" w:leftChars="100"/>
              <w:jc w:val="center"/>
              <w:rPr>
                <w:sz w:val="9"/>
                <w:szCs w:val="9"/>
              </w:rPr>
            </w:pPr>
          </w:p>
        </w:tc>
        <w:tc>
          <w:tcPr>
            <w:tcW w:w="7420" w:type="dxa"/>
            <w:vMerge w:val="continue"/>
            <w:tcBorders>
              <w:right w:val="single" w:color="auto" w:sz="8" w:space="0"/>
            </w:tcBorders>
            <w:vAlign w:val="center"/>
          </w:tcPr>
          <w:p>
            <w:pPr>
              <w:ind w:left="220" w:leftChars="100"/>
              <w:jc w:val="center"/>
              <w:rPr>
                <w:sz w:val="9"/>
                <w:szCs w:val="9"/>
                <w:highlight w:val="yellow"/>
              </w:rPr>
            </w:pPr>
          </w:p>
        </w:tc>
      </w:tr>
      <w:tr>
        <w:tblPrEx>
          <w:tblCellMar>
            <w:top w:w="0" w:type="dxa"/>
            <w:left w:w="0" w:type="dxa"/>
            <w:bottom w:w="0" w:type="dxa"/>
            <w:right w:w="0" w:type="dxa"/>
          </w:tblCellMar>
        </w:tblPrEx>
        <w:trPr>
          <w:gridAfter w:val="1"/>
          <w:wAfter w:w="360" w:type="dxa"/>
          <w:trHeight w:val="312" w:hRule="atLeast"/>
        </w:trPr>
        <w:tc>
          <w:tcPr>
            <w:tcW w:w="720" w:type="dxa"/>
            <w:vMerge w:val="continue"/>
            <w:tcBorders>
              <w:left w:val="single" w:color="auto" w:sz="8" w:space="0"/>
              <w:bottom w:val="single" w:color="auto" w:sz="8" w:space="0"/>
              <w:right w:val="single" w:color="auto" w:sz="8" w:space="0"/>
            </w:tcBorders>
            <w:vAlign w:val="center"/>
          </w:tcPr>
          <w:p>
            <w:pPr>
              <w:ind w:left="220" w:leftChars="100"/>
              <w:jc w:val="center"/>
              <w:rPr>
                <w:sz w:val="2"/>
                <w:szCs w:val="2"/>
              </w:rPr>
            </w:pPr>
          </w:p>
        </w:tc>
        <w:tc>
          <w:tcPr>
            <w:tcW w:w="2180" w:type="dxa"/>
            <w:vMerge w:val="continue"/>
            <w:tcBorders>
              <w:bottom w:val="single" w:color="auto" w:sz="8" w:space="0"/>
              <w:right w:val="single" w:color="auto" w:sz="8" w:space="0"/>
            </w:tcBorders>
            <w:vAlign w:val="center"/>
          </w:tcPr>
          <w:p>
            <w:pPr>
              <w:ind w:left="220" w:leftChars="100"/>
              <w:jc w:val="center"/>
              <w:rPr>
                <w:sz w:val="2"/>
                <w:szCs w:val="2"/>
              </w:rPr>
            </w:pPr>
          </w:p>
        </w:tc>
        <w:tc>
          <w:tcPr>
            <w:tcW w:w="7420" w:type="dxa"/>
            <w:vMerge w:val="continue"/>
            <w:tcBorders>
              <w:bottom w:val="single" w:color="auto" w:sz="8" w:space="0"/>
              <w:right w:val="single" w:color="auto" w:sz="8" w:space="0"/>
            </w:tcBorders>
            <w:vAlign w:val="center"/>
          </w:tcPr>
          <w:p>
            <w:pPr>
              <w:ind w:left="220" w:leftChars="100"/>
              <w:jc w:val="center"/>
              <w:rPr>
                <w:sz w:val="2"/>
                <w:szCs w:val="2"/>
                <w:highlight w:val="yellow"/>
              </w:rPr>
            </w:pPr>
          </w:p>
        </w:tc>
      </w:tr>
      <w:tr>
        <w:tblPrEx>
          <w:tblCellMar>
            <w:top w:w="0" w:type="dxa"/>
            <w:left w:w="0" w:type="dxa"/>
            <w:bottom w:w="0" w:type="dxa"/>
            <w:right w:w="0" w:type="dxa"/>
          </w:tblCellMar>
        </w:tblPrEx>
        <w:trPr>
          <w:gridAfter w:val="1"/>
          <w:wAfter w:w="360" w:type="dxa"/>
          <w:trHeight w:val="312" w:hRule="atLeast"/>
        </w:trPr>
        <w:tc>
          <w:tcPr>
            <w:tcW w:w="720" w:type="dxa"/>
            <w:vMerge w:val="restart"/>
            <w:tcBorders>
              <w:left w:val="single" w:color="auto" w:sz="8" w:space="0"/>
              <w:right w:val="single" w:color="auto" w:sz="8" w:space="0"/>
            </w:tcBorders>
            <w:vAlign w:val="center"/>
          </w:tcPr>
          <w:p>
            <w:pPr>
              <w:spacing w:line="240" w:lineRule="exact"/>
              <w:ind w:left="220" w:leftChars="100" w:right="155"/>
              <w:jc w:val="center"/>
              <w:rPr>
                <w:sz w:val="20"/>
                <w:szCs w:val="20"/>
              </w:rPr>
            </w:pPr>
            <w:r>
              <w:rPr>
                <w:rFonts w:ascii="宋体" w:hAnsi="宋体" w:eastAsia="宋体" w:cs="宋体"/>
                <w:sz w:val="21"/>
                <w:szCs w:val="21"/>
              </w:rPr>
              <w:t>14</w:t>
            </w:r>
          </w:p>
        </w:tc>
        <w:tc>
          <w:tcPr>
            <w:tcW w:w="2180" w:type="dxa"/>
            <w:vMerge w:val="restart"/>
            <w:tcBorders>
              <w:right w:val="single" w:color="auto" w:sz="8" w:space="0"/>
            </w:tcBorders>
            <w:vAlign w:val="center"/>
          </w:tcPr>
          <w:p>
            <w:pPr>
              <w:spacing w:line="240" w:lineRule="exact"/>
              <w:jc w:val="center"/>
              <w:rPr>
                <w:rFonts w:ascii="Calibri" w:hAnsi="Calibri" w:eastAsia="Calibri" w:cs="Calibri"/>
                <w:sz w:val="21"/>
                <w:szCs w:val="21"/>
              </w:rPr>
            </w:pPr>
            <w:r>
              <w:rPr>
                <w:rFonts w:ascii="Calibri" w:hAnsi="Calibri" w:eastAsia="Calibri" w:cs="Calibri"/>
                <w:sz w:val="21"/>
                <w:szCs w:val="21"/>
              </w:rPr>
              <w:t>响应文件递交截止时</w:t>
            </w:r>
          </w:p>
          <w:p>
            <w:pPr>
              <w:spacing w:line="240" w:lineRule="exact"/>
              <w:jc w:val="center"/>
              <w:rPr>
                <w:sz w:val="20"/>
                <w:szCs w:val="20"/>
              </w:rPr>
            </w:pPr>
            <w:r>
              <w:rPr>
                <w:rFonts w:ascii="Calibri" w:hAnsi="Calibri" w:eastAsia="Calibri" w:cs="Calibri"/>
                <w:sz w:val="21"/>
                <w:szCs w:val="21"/>
              </w:rPr>
              <w:t>间</w:t>
            </w:r>
          </w:p>
        </w:tc>
        <w:tc>
          <w:tcPr>
            <w:tcW w:w="7420" w:type="dxa"/>
            <w:vMerge w:val="restart"/>
            <w:tcBorders>
              <w:right w:val="single" w:color="auto" w:sz="8" w:space="0"/>
            </w:tcBorders>
            <w:vAlign w:val="center"/>
          </w:tcPr>
          <w:p>
            <w:r>
              <w:rPr>
                <w:rFonts w:hint="eastAsia" w:ascii="宋体" w:hAnsi="宋体" w:eastAsia="宋体" w:cs="宋体"/>
                <w:sz w:val="21"/>
                <w:szCs w:val="21"/>
              </w:rPr>
              <w:t>2020</w:t>
            </w:r>
            <w:r>
              <w:rPr>
                <w:rFonts w:ascii="宋体" w:hAnsi="宋体" w:eastAsia="宋体" w:cs="宋体"/>
                <w:sz w:val="21"/>
                <w:szCs w:val="21"/>
              </w:rPr>
              <w:t xml:space="preserve"> 年</w:t>
            </w:r>
            <w:r>
              <w:rPr>
                <w:rFonts w:hint="eastAsia" w:ascii="宋体" w:hAnsi="宋体" w:eastAsia="宋体" w:cs="宋体"/>
                <w:sz w:val="21"/>
                <w:szCs w:val="21"/>
              </w:rPr>
              <w:t>11月</w:t>
            </w:r>
            <w:r>
              <w:rPr>
                <w:rFonts w:hint="eastAsia" w:ascii="宋体" w:hAnsi="宋体" w:eastAsia="宋体" w:cs="宋体"/>
                <w:sz w:val="21"/>
                <w:szCs w:val="21"/>
                <w:lang w:val="en-US" w:eastAsia="zh-CN"/>
              </w:rPr>
              <w:t>20</w:t>
            </w:r>
            <w:r>
              <w:rPr>
                <w:rFonts w:hint="eastAsia" w:ascii="宋体" w:hAnsi="宋体" w:eastAsia="宋体" w:cs="宋体"/>
                <w:sz w:val="21"/>
                <w:szCs w:val="21"/>
              </w:rPr>
              <w:t>日9时30分</w:t>
            </w:r>
          </w:p>
        </w:tc>
      </w:tr>
      <w:tr>
        <w:tblPrEx>
          <w:tblCellMar>
            <w:top w:w="0" w:type="dxa"/>
            <w:left w:w="0" w:type="dxa"/>
            <w:bottom w:w="0" w:type="dxa"/>
            <w:right w:w="0" w:type="dxa"/>
          </w:tblCellMar>
        </w:tblPrEx>
        <w:trPr>
          <w:gridAfter w:val="1"/>
          <w:wAfter w:w="360" w:type="dxa"/>
          <w:trHeight w:val="312" w:hRule="atLeast"/>
        </w:trPr>
        <w:tc>
          <w:tcPr>
            <w:tcW w:w="720" w:type="dxa"/>
            <w:vMerge w:val="continue"/>
            <w:tcBorders>
              <w:left w:val="single" w:color="auto" w:sz="8" w:space="0"/>
              <w:right w:val="single" w:color="auto" w:sz="8" w:space="0"/>
            </w:tcBorders>
            <w:vAlign w:val="center"/>
          </w:tcPr>
          <w:p>
            <w:pPr>
              <w:ind w:left="220" w:leftChars="100"/>
              <w:jc w:val="center"/>
              <w:rPr>
                <w:sz w:val="10"/>
                <w:szCs w:val="10"/>
              </w:rPr>
            </w:pPr>
          </w:p>
        </w:tc>
        <w:tc>
          <w:tcPr>
            <w:tcW w:w="2180" w:type="dxa"/>
            <w:vMerge w:val="continue"/>
            <w:tcBorders>
              <w:right w:val="single" w:color="auto" w:sz="8" w:space="0"/>
            </w:tcBorders>
            <w:vAlign w:val="center"/>
          </w:tcPr>
          <w:p>
            <w:pPr>
              <w:spacing w:line="240" w:lineRule="exact"/>
              <w:ind w:left="220" w:leftChars="100"/>
              <w:jc w:val="center"/>
              <w:rPr>
                <w:sz w:val="20"/>
                <w:szCs w:val="20"/>
              </w:rPr>
            </w:pPr>
          </w:p>
        </w:tc>
        <w:tc>
          <w:tcPr>
            <w:tcW w:w="7420" w:type="dxa"/>
            <w:vMerge w:val="continue"/>
            <w:tcBorders>
              <w:right w:val="single" w:color="auto" w:sz="8" w:space="0"/>
            </w:tcBorders>
            <w:vAlign w:val="bottom"/>
          </w:tcPr>
          <w:p>
            <w:pPr>
              <w:ind w:left="220" w:leftChars="100"/>
              <w:rPr>
                <w:sz w:val="10"/>
                <w:szCs w:val="10"/>
              </w:rPr>
            </w:pPr>
          </w:p>
        </w:tc>
      </w:tr>
      <w:tr>
        <w:tblPrEx>
          <w:tblCellMar>
            <w:top w:w="0" w:type="dxa"/>
            <w:left w:w="0" w:type="dxa"/>
            <w:bottom w:w="0" w:type="dxa"/>
            <w:right w:w="0" w:type="dxa"/>
          </w:tblCellMar>
        </w:tblPrEx>
        <w:trPr>
          <w:gridAfter w:val="1"/>
          <w:wAfter w:w="360" w:type="dxa"/>
          <w:trHeight w:val="312" w:hRule="atLeast"/>
        </w:trPr>
        <w:tc>
          <w:tcPr>
            <w:tcW w:w="720" w:type="dxa"/>
            <w:vMerge w:val="continue"/>
            <w:tcBorders>
              <w:left w:val="single" w:color="auto" w:sz="8" w:space="0"/>
              <w:right w:val="single" w:color="auto" w:sz="8" w:space="0"/>
            </w:tcBorders>
            <w:vAlign w:val="center"/>
          </w:tcPr>
          <w:p>
            <w:pPr>
              <w:ind w:left="220" w:leftChars="100"/>
              <w:jc w:val="center"/>
              <w:rPr>
                <w:sz w:val="13"/>
                <w:szCs w:val="13"/>
              </w:rPr>
            </w:pPr>
          </w:p>
        </w:tc>
        <w:tc>
          <w:tcPr>
            <w:tcW w:w="2180" w:type="dxa"/>
            <w:vMerge w:val="continue"/>
            <w:tcBorders>
              <w:right w:val="single" w:color="auto" w:sz="8" w:space="0"/>
            </w:tcBorders>
            <w:vAlign w:val="center"/>
          </w:tcPr>
          <w:p>
            <w:pPr>
              <w:ind w:left="220" w:leftChars="100"/>
              <w:jc w:val="center"/>
              <w:rPr>
                <w:sz w:val="13"/>
                <w:szCs w:val="13"/>
              </w:rPr>
            </w:pPr>
          </w:p>
        </w:tc>
        <w:tc>
          <w:tcPr>
            <w:tcW w:w="7420" w:type="dxa"/>
            <w:vMerge w:val="continue"/>
            <w:tcBorders>
              <w:right w:val="single" w:color="auto" w:sz="8" w:space="0"/>
            </w:tcBorders>
            <w:vAlign w:val="bottom"/>
          </w:tcPr>
          <w:p>
            <w:pPr>
              <w:ind w:left="220" w:leftChars="100"/>
              <w:rPr>
                <w:sz w:val="13"/>
                <w:szCs w:val="13"/>
              </w:rPr>
            </w:pPr>
          </w:p>
        </w:tc>
      </w:tr>
      <w:tr>
        <w:tblPrEx>
          <w:tblCellMar>
            <w:top w:w="0" w:type="dxa"/>
            <w:left w:w="0" w:type="dxa"/>
            <w:bottom w:w="0" w:type="dxa"/>
            <w:right w:w="0" w:type="dxa"/>
          </w:tblCellMar>
        </w:tblPrEx>
        <w:trPr>
          <w:gridAfter w:val="1"/>
          <w:wAfter w:w="360" w:type="dxa"/>
          <w:trHeight w:val="312" w:hRule="atLeast"/>
        </w:trPr>
        <w:tc>
          <w:tcPr>
            <w:tcW w:w="720" w:type="dxa"/>
            <w:vMerge w:val="continue"/>
            <w:tcBorders>
              <w:left w:val="single" w:color="auto" w:sz="8" w:space="0"/>
              <w:bottom w:val="single" w:color="auto" w:sz="4" w:space="0"/>
              <w:right w:val="single" w:color="auto" w:sz="8" w:space="0"/>
            </w:tcBorders>
            <w:vAlign w:val="center"/>
          </w:tcPr>
          <w:p>
            <w:pPr>
              <w:ind w:left="220" w:leftChars="100"/>
              <w:jc w:val="center"/>
              <w:rPr>
                <w:sz w:val="2"/>
                <w:szCs w:val="2"/>
              </w:rPr>
            </w:pPr>
          </w:p>
        </w:tc>
        <w:tc>
          <w:tcPr>
            <w:tcW w:w="2180" w:type="dxa"/>
            <w:vMerge w:val="continue"/>
            <w:tcBorders>
              <w:bottom w:val="single" w:color="auto" w:sz="4" w:space="0"/>
              <w:right w:val="single" w:color="auto" w:sz="8" w:space="0"/>
            </w:tcBorders>
            <w:vAlign w:val="center"/>
          </w:tcPr>
          <w:p>
            <w:pPr>
              <w:ind w:left="220" w:leftChars="100"/>
              <w:jc w:val="center"/>
              <w:rPr>
                <w:sz w:val="2"/>
                <w:szCs w:val="2"/>
              </w:rPr>
            </w:pPr>
          </w:p>
        </w:tc>
        <w:tc>
          <w:tcPr>
            <w:tcW w:w="7420" w:type="dxa"/>
            <w:vMerge w:val="continue"/>
            <w:tcBorders>
              <w:bottom w:val="single" w:color="auto" w:sz="4" w:space="0"/>
              <w:right w:val="single" w:color="auto" w:sz="8" w:space="0"/>
            </w:tcBorders>
            <w:vAlign w:val="bottom"/>
          </w:tcPr>
          <w:p>
            <w:pPr>
              <w:ind w:left="220" w:leftChars="100"/>
              <w:rPr>
                <w:sz w:val="2"/>
                <w:szCs w:val="2"/>
              </w:rPr>
            </w:pPr>
          </w:p>
        </w:tc>
      </w:tr>
      <w:tr>
        <w:tblPrEx>
          <w:tblCellMar>
            <w:top w:w="0" w:type="dxa"/>
            <w:left w:w="0" w:type="dxa"/>
            <w:bottom w:w="0" w:type="dxa"/>
            <w:right w:w="0" w:type="dxa"/>
          </w:tblCellMar>
        </w:tblPrEx>
        <w:trPr>
          <w:gridAfter w:val="1"/>
          <w:wAfter w:w="360" w:type="dxa"/>
          <w:trHeight w:val="820"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240" w:lineRule="exact"/>
              <w:ind w:left="220" w:leftChars="100" w:right="155"/>
              <w:jc w:val="center"/>
              <w:rPr>
                <w:sz w:val="20"/>
                <w:szCs w:val="20"/>
              </w:rPr>
            </w:pPr>
            <w:r>
              <w:rPr>
                <w:rFonts w:ascii="宋体" w:hAnsi="宋体" w:eastAsia="宋体" w:cs="宋体"/>
                <w:sz w:val="21"/>
                <w:szCs w:val="21"/>
              </w:rPr>
              <w:t>15</w:t>
            </w:r>
          </w:p>
        </w:tc>
        <w:tc>
          <w:tcPr>
            <w:tcW w:w="218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21"/>
                <w:szCs w:val="21"/>
              </w:rPr>
            </w:pPr>
            <w:r>
              <w:rPr>
                <w:rFonts w:hint="eastAsia" w:ascii="宋体" w:hAnsi="宋体" w:eastAsia="宋体" w:cs="宋体"/>
                <w:sz w:val="21"/>
                <w:szCs w:val="21"/>
              </w:rPr>
              <w:t>响应文件递交地点</w:t>
            </w:r>
          </w:p>
        </w:tc>
        <w:tc>
          <w:tcPr>
            <w:tcW w:w="7420" w:type="dxa"/>
            <w:tcBorders>
              <w:top w:val="single" w:color="auto" w:sz="4" w:space="0"/>
              <w:left w:val="single" w:color="auto" w:sz="4" w:space="0"/>
              <w:bottom w:val="single" w:color="auto" w:sz="4" w:space="0"/>
              <w:right w:val="single" w:color="auto" w:sz="4" w:space="0"/>
            </w:tcBorders>
            <w:vAlign w:val="center"/>
          </w:tcPr>
          <w:p>
            <w:pPr>
              <w:ind w:left="220" w:leftChars="-500" w:hanging="1320" w:hangingChars="600"/>
              <w:jc w:val="center"/>
            </w:pPr>
            <w:r>
              <w:rPr>
                <w:rFonts w:hint="eastAsia"/>
              </w:rPr>
              <w:t xml:space="preserve">广西大通建设监理咨询管理有限公司钦州分公司                                                   </w:t>
            </w:r>
          </w:p>
          <w:p>
            <w:pPr>
              <w:ind w:left="220" w:leftChars="-500" w:hanging="1320" w:hangingChars="600"/>
              <w:jc w:val="center"/>
            </w:pPr>
            <w:r>
              <w:rPr>
                <w:rFonts w:hint="eastAsia"/>
              </w:rPr>
              <w:t>（</w:t>
            </w:r>
            <w:r>
              <w:rPr>
                <w:rFonts w:hint="eastAsia" w:ascii="宋体" w:hAnsi="宋体" w:eastAsia="宋体" w:cs="宋体"/>
                <w:sz w:val="21"/>
                <w:szCs w:val="21"/>
              </w:rPr>
              <w:t>钦州市灵山县灵城镇常兴路1号</w:t>
            </w:r>
            <w:r>
              <w:rPr>
                <w:rFonts w:hint="eastAsia"/>
              </w:rPr>
              <w:t>）</w:t>
            </w:r>
          </w:p>
        </w:tc>
      </w:tr>
      <w:tr>
        <w:tblPrEx>
          <w:tblCellMar>
            <w:top w:w="0" w:type="dxa"/>
            <w:left w:w="0" w:type="dxa"/>
            <w:bottom w:w="0" w:type="dxa"/>
            <w:right w:w="0" w:type="dxa"/>
          </w:tblCellMar>
        </w:tblPrEx>
        <w:trPr>
          <w:gridAfter w:val="1"/>
          <w:wAfter w:w="360" w:type="dxa"/>
          <w:trHeight w:val="312" w:hRule="atLeast"/>
        </w:trPr>
        <w:tc>
          <w:tcPr>
            <w:tcW w:w="720" w:type="dxa"/>
            <w:vMerge w:val="restart"/>
            <w:tcBorders>
              <w:top w:val="single" w:color="auto" w:sz="4" w:space="0"/>
              <w:left w:val="single" w:color="auto" w:sz="4" w:space="0"/>
              <w:bottom w:val="single" w:color="auto" w:sz="4" w:space="0"/>
              <w:right w:val="single" w:color="auto" w:sz="4" w:space="0"/>
            </w:tcBorders>
            <w:vAlign w:val="center"/>
          </w:tcPr>
          <w:p>
            <w:pPr>
              <w:ind w:left="220" w:leftChars="100"/>
              <w:jc w:val="center"/>
              <w:rPr>
                <w:sz w:val="17"/>
                <w:szCs w:val="17"/>
              </w:rPr>
            </w:pPr>
            <w:r>
              <w:rPr>
                <w:rFonts w:hint="eastAsia"/>
                <w:sz w:val="17"/>
                <w:szCs w:val="17"/>
              </w:rPr>
              <w:t>16</w:t>
            </w:r>
          </w:p>
        </w:tc>
        <w:tc>
          <w:tcPr>
            <w:tcW w:w="2180"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eastAsia="宋体" w:cs="宋体"/>
                <w:sz w:val="21"/>
                <w:szCs w:val="21"/>
              </w:rPr>
            </w:pPr>
            <w:r>
              <w:rPr>
                <w:rFonts w:hint="eastAsia" w:ascii="宋体" w:hAnsi="宋体" w:eastAsia="宋体" w:cs="宋体"/>
                <w:sz w:val="21"/>
                <w:szCs w:val="21"/>
              </w:rPr>
              <w:t>磋商时间、地点、人员</w:t>
            </w:r>
          </w:p>
        </w:tc>
        <w:tc>
          <w:tcPr>
            <w:tcW w:w="7420" w:type="dxa"/>
            <w:vMerge w:val="restart"/>
            <w:tcBorders>
              <w:top w:val="single" w:color="auto" w:sz="4" w:space="0"/>
              <w:left w:val="single" w:color="auto" w:sz="4" w:space="0"/>
              <w:bottom w:val="single" w:color="auto" w:sz="4" w:space="0"/>
              <w:right w:val="single" w:color="auto" w:sz="4" w:space="0"/>
            </w:tcBorders>
          </w:tcPr>
          <w:p>
            <w:pPr>
              <w:spacing w:line="240" w:lineRule="exact"/>
              <w:ind w:left="220" w:leftChars="100"/>
              <w:rPr>
                <w:rFonts w:ascii="宋体" w:hAnsi="宋体" w:eastAsia="宋体" w:cs="宋体"/>
                <w:sz w:val="21"/>
                <w:szCs w:val="21"/>
              </w:rPr>
            </w:pPr>
          </w:p>
          <w:p>
            <w:pPr>
              <w:spacing w:line="360" w:lineRule="auto"/>
              <w:rPr>
                <w:rFonts w:ascii="宋体" w:hAnsi="宋体" w:eastAsia="宋体" w:cs="宋体"/>
                <w:sz w:val="21"/>
                <w:szCs w:val="21"/>
              </w:rPr>
            </w:pPr>
            <w:r>
              <w:rPr>
                <w:rFonts w:ascii="宋体" w:hAnsi="宋体" w:eastAsia="宋体" w:cs="宋体"/>
                <w:sz w:val="21"/>
                <w:szCs w:val="21"/>
              </w:rPr>
              <w:t>1.磋商时间：响应文件递交截止时间后。</w:t>
            </w:r>
          </w:p>
          <w:p>
            <w:pPr>
              <w:spacing w:line="360" w:lineRule="auto"/>
              <w:rPr>
                <w:rFonts w:ascii="宋体" w:hAnsi="宋体" w:eastAsia="宋体" w:cs="宋体"/>
                <w:sz w:val="21"/>
                <w:szCs w:val="21"/>
              </w:rPr>
            </w:pPr>
            <w:r>
              <w:rPr>
                <w:rFonts w:ascii="宋体" w:hAnsi="宋体" w:eastAsia="宋体" w:cs="宋体"/>
                <w:sz w:val="21"/>
                <w:szCs w:val="21"/>
              </w:rPr>
              <w:t>2.磋商地点：</w:t>
            </w:r>
            <w:r>
              <w:rPr>
                <w:rFonts w:hint="eastAsia" w:ascii="宋体" w:hAnsi="宋体" w:eastAsia="宋体" w:cs="宋体"/>
                <w:sz w:val="21"/>
                <w:szCs w:val="21"/>
              </w:rPr>
              <w:t>广西大通建设监理咨询管理有限公司钦州分公司（地址：钦州市灵山县灵城镇常兴路1号）</w:t>
            </w:r>
          </w:p>
          <w:p>
            <w:pPr>
              <w:spacing w:line="360" w:lineRule="auto"/>
              <w:rPr>
                <w:rFonts w:ascii="宋体" w:hAnsi="宋体" w:eastAsia="宋体" w:cs="宋体"/>
                <w:sz w:val="21"/>
                <w:szCs w:val="21"/>
              </w:rPr>
            </w:pPr>
            <w:r>
              <w:rPr>
                <w:rFonts w:ascii="宋体" w:hAnsi="宋体" w:eastAsia="宋体" w:cs="宋体"/>
                <w:sz w:val="21"/>
                <w:szCs w:val="21"/>
              </w:rPr>
              <w:t>3.磋商参加人员：供应商法定代表人、负责人、自然人或相应的委托代理人持有效身份证原件参加磋商。请供应商按时到达指定地点等候当面磋商。</w:t>
            </w:r>
          </w:p>
          <w:p>
            <w:pPr>
              <w:spacing w:line="360" w:lineRule="auto"/>
              <w:rPr>
                <w:sz w:val="20"/>
                <w:szCs w:val="20"/>
              </w:rPr>
            </w:pPr>
            <w:r>
              <w:rPr>
                <w:rFonts w:ascii="宋体" w:hAnsi="宋体" w:eastAsia="宋体" w:cs="宋体"/>
                <w:sz w:val="21"/>
                <w:szCs w:val="21"/>
              </w:rPr>
              <w:t>4.响应文件递交截止时间后，由磋商小组在评标室内开启响应文件。</w:t>
            </w:r>
          </w:p>
        </w:tc>
      </w:tr>
      <w:tr>
        <w:tblPrEx>
          <w:tblCellMar>
            <w:top w:w="0" w:type="dxa"/>
            <w:left w:w="0" w:type="dxa"/>
            <w:bottom w:w="0" w:type="dxa"/>
            <w:right w:w="0" w:type="dxa"/>
          </w:tblCellMar>
        </w:tblPrEx>
        <w:trPr>
          <w:gridAfter w:val="1"/>
          <w:wAfter w:w="360" w:type="dxa"/>
          <w:trHeight w:val="330" w:hRule="atLeast"/>
        </w:trPr>
        <w:tc>
          <w:tcPr>
            <w:tcW w:w="720" w:type="dxa"/>
            <w:vMerge w:val="continue"/>
            <w:tcBorders>
              <w:top w:val="single" w:color="auto" w:sz="4" w:space="0"/>
              <w:left w:val="single" w:color="auto" w:sz="4" w:space="0"/>
              <w:bottom w:val="single" w:color="auto" w:sz="4" w:space="0"/>
              <w:right w:val="single" w:color="auto" w:sz="8" w:space="0"/>
            </w:tcBorders>
            <w:vAlign w:val="center"/>
          </w:tcPr>
          <w:p>
            <w:pPr>
              <w:ind w:left="220" w:leftChars="100"/>
              <w:jc w:val="center"/>
              <w:rPr>
                <w:sz w:val="24"/>
                <w:szCs w:val="24"/>
              </w:rPr>
            </w:pPr>
          </w:p>
        </w:tc>
        <w:tc>
          <w:tcPr>
            <w:tcW w:w="2180" w:type="dxa"/>
            <w:vMerge w:val="continue"/>
            <w:tcBorders>
              <w:top w:val="single" w:color="auto" w:sz="4" w:space="0"/>
              <w:bottom w:val="single" w:color="auto" w:sz="4" w:space="0"/>
              <w:right w:val="single" w:color="auto" w:sz="8" w:space="0"/>
            </w:tcBorders>
            <w:vAlign w:val="center"/>
          </w:tcPr>
          <w:p>
            <w:pPr>
              <w:ind w:left="220" w:leftChars="100"/>
              <w:jc w:val="center"/>
              <w:rPr>
                <w:sz w:val="24"/>
                <w:szCs w:val="24"/>
              </w:rPr>
            </w:pPr>
          </w:p>
        </w:tc>
        <w:tc>
          <w:tcPr>
            <w:tcW w:w="7420" w:type="dxa"/>
            <w:vMerge w:val="continue"/>
            <w:tcBorders>
              <w:top w:val="single" w:color="auto" w:sz="4" w:space="0"/>
              <w:bottom w:val="single" w:color="auto" w:sz="4" w:space="0"/>
              <w:right w:val="single" w:color="auto" w:sz="4" w:space="0"/>
            </w:tcBorders>
          </w:tcPr>
          <w:p>
            <w:pPr>
              <w:spacing w:line="240" w:lineRule="exact"/>
              <w:ind w:left="220" w:leftChars="100"/>
              <w:jc w:val="both"/>
              <w:rPr>
                <w:sz w:val="20"/>
                <w:szCs w:val="20"/>
              </w:rPr>
            </w:pPr>
          </w:p>
        </w:tc>
      </w:tr>
      <w:tr>
        <w:tblPrEx>
          <w:tblCellMar>
            <w:top w:w="0" w:type="dxa"/>
            <w:left w:w="0" w:type="dxa"/>
            <w:bottom w:w="0" w:type="dxa"/>
            <w:right w:w="0" w:type="dxa"/>
          </w:tblCellMar>
        </w:tblPrEx>
        <w:trPr>
          <w:gridAfter w:val="1"/>
          <w:wAfter w:w="360" w:type="dxa"/>
          <w:trHeight w:val="312" w:hRule="atLeast"/>
        </w:trPr>
        <w:tc>
          <w:tcPr>
            <w:tcW w:w="720" w:type="dxa"/>
            <w:vMerge w:val="continue"/>
            <w:tcBorders>
              <w:top w:val="single" w:color="auto" w:sz="4" w:space="0"/>
              <w:left w:val="single" w:color="auto" w:sz="4" w:space="0"/>
              <w:bottom w:val="single" w:color="auto" w:sz="4" w:space="0"/>
              <w:right w:val="single" w:color="auto" w:sz="8" w:space="0"/>
            </w:tcBorders>
            <w:vAlign w:val="center"/>
          </w:tcPr>
          <w:p>
            <w:pPr>
              <w:spacing w:line="20" w:lineRule="exact"/>
              <w:ind w:left="220" w:leftChars="100"/>
              <w:jc w:val="center"/>
              <w:rPr>
                <w:sz w:val="1"/>
                <w:szCs w:val="1"/>
              </w:rPr>
            </w:pPr>
          </w:p>
        </w:tc>
        <w:tc>
          <w:tcPr>
            <w:tcW w:w="2180" w:type="dxa"/>
            <w:vMerge w:val="continue"/>
            <w:tcBorders>
              <w:top w:val="single" w:color="auto" w:sz="4" w:space="0"/>
              <w:bottom w:val="single" w:color="auto" w:sz="4" w:space="0"/>
              <w:right w:val="single" w:color="auto" w:sz="8" w:space="0"/>
            </w:tcBorders>
            <w:vAlign w:val="center"/>
          </w:tcPr>
          <w:p>
            <w:pPr>
              <w:spacing w:line="240" w:lineRule="exact"/>
              <w:ind w:left="220" w:leftChars="100"/>
              <w:jc w:val="center"/>
              <w:rPr>
                <w:sz w:val="20"/>
                <w:szCs w:val="20"/>
              </w:rPr>
            </w:pPr>
          </w:p>
        </w:tc>
        <w:tc>
          <w:tcPr>
            <w:tcW w:w="7420" w:type="dxa"/>
            <w:vMerge w:val="continue"/>
            <w:tcBorders>
              <w:top w:val="single" w:color="auto" w:sz="4" w:space="0"/>
              <w:bottom w:val="single" w:color="auto" w:sz="4" w:space="0"/>
              <w:right w:val="single" w:color="auto" w:sz="4" w:space="0"/>
            </w:tcBorders>
            <w:shd w:val="clear" w:color="auto" w:fill="000000"/>
          </w:tcPr>
          <w:p>
            <w:pPr>
              <w:spacing w:line="20" w:lineRule="exact"/>
              <w:ind w:left="220" w:leftChars="100"/>
              <w:jc w:val="both"/>
              <w:rPr>
                <w:sz w:val="1"/>
                <w:szCs w:val="1"/>
              </w:rPr>
            </w:pPr>
          </w:p>
        </w:tc>
      </w:tr>
      <w:tr>
        <w:tblPrEx>
          <w:tblCellMar>
            <w:top w:w="0" w:type="dxa"/>
            <w:left w:w="0" w:type="dxa"/>
            <w:bottom w:w="0" w:type="dxa"/>
            <w:right w:w="0" w:type="dxa"/>
          </w:tblCellMar>
        </w:tblPrEx>
        <w:trPr>
          <w:gridAfter w:val="1"/>
          <w:wAfter w:w="360" w:type="dxa"/>
          <w:trHeight w:val="312" w:hRule="atLeast"/>
        </w:trPr>
        <w:tc>
          <w:tcPr>
            <w:tcW w:w="720" w:type="dxa"/>
            <w:vMerge w:val="continue"/>
            <w:tcBorders>
              <w:top w:val="single" w:color="auto" w:sz="4" w:space="0"/>
              <w:left w:val="single" w:color="auto" w:sz="4" w:space="0"/>
              <w:bottom w:val="single" w:color="auto" w:sz="4" w:space="0"/>
              <w:right w:val="single" w:color="auto" w:sz="8" w:space="0"/>
            </w:tcBorders>
            <w:vAlign w:val="center"/>
          </w:tcPr>
          <w:p>
            <w:pPr>
              <w:ind w:left="220" w:leftChars="100"/>
              <w:jc w:val="center"/>
              <w:rPr>
                <w:sz w:val="11"/>
                <w:szCs w:val="11"/>
              </w:rPr>
            </w:pPr>
          </w:p>
        </w:tc>
        <w:tc>
          <w:tcPr>
            <w:tcW w:w="2180" w:type="dxa"/>
            <w:vMerge w:val="continue"/>
            <w:tcBorders>
              <w:top w:val="single" w:color="auto" w:sz="4" w:space="0"/>
              <w:bottom w:val="single" w:color="auto" w:sz="4" w:space="0"/>
              <w:right w:val="single" w:color="auto" w:sz="8" w:space="0"/>
            </w:tcBorders>
            <w:vAlign w:val="center"/>
          </w:tcPr>
          <w:p>
            <w:pPr>
              <w:ind w:left="220" w:leftChars="100"/>
              <w:jc w:val="center"/>
              <w:rPr>
                <w:sz w:val="11"/>
                <w:szCs w:val="11"/>
              </w:rPr>
            </w:pPr>
          </w:p>
        </w:tc>
        <w:tc>
          <w:tcPr>
            <w:tcW w:w="7420" w:type="dxa"/>
            <w:vMerge w:val="continue"/>
            <w:tcBorders>
              <w:top w:val="single" w:color="auto" w:sz="4" w:space="0"/>
              <w:bottom w:val="single" w:color="auto" w:sz="4" w:space="0"/>
              <w:right w:val="single" w:color="auto" w:sz="4" w:space="0"/>
            </w:tcBorders>
          </w:tcPr>
          <w:p>
            <w:pPr>
              <w:spacing w:line="240" w:lineRule="exact"/>
              <w:ind w:left="220" w:leftChars="100"/>
              <w:jc w:val="both"/>
              <w:rPr>
                <w:sz w:val="20"/>
                <w:szCs w:val="20"/>
              </w:rPr>
            </w:pPr>
          </w:p>
        </w:tc>
      </w:tr>
      <w:tr>
        <w:tblPrEx>
          <w:tblCellMar>
            <w:top w:w="0" w:type="dxa"/>
            <w:left w:w="0" w:type="dxa"/>
            <w:bottom w:w="0" w:type="dxa"/>
            <w:right w:w="0" w:type="dxa"/>
          </w:tblCellMar>
        </w:tblPrEx>
        <w:trPr>
          <w:gridAfter w:val="1"/>
          <w:wAfter w:w="360" w:type="dxa"/>
          <w:trHeight w:val="312" w:hRule="atLeast"/>
        </w:trPr>
        <w:tc>
          <w:tcPr>
            <w:tcW w:w="720" w:type="dxa"/>
            <w:vMerge w:val="continue"/>
            <w:tcBorders>
              <w:top w:val="single" w:color="auto" w:sz="4" w:space="0"/>
              <w:left w:val="single" w:color="auto" w:sz="4" w:space="0"/>
              <w:bottom w:val="single" w:color="auto" w:sz="4" w:space="0"/>
              <w:right w:val="single" w:color="auto" w:sz="8" w:space="0"/>
            </w:tcBorders>
            <w:vAlign w:val="center"/>
          </w:tcPr>
          <w:p>
            <w:pPr>
              <w:ind w:left="220" w:leftChars="100"/>
              <w:jc w:val="center"/>
              <w:rPr>
                <w:sz w:val="17"/>
                <w:szCs w:val="17"/>
              </w:rPr>
            </w:pPr>
          </w:p>
        </w:tc>
        <w:tc>
          <w:tcPr>
            <w:tcW w:w="2180" w:type="dxa"/>
            <w:vMerge w:val="continue"/>
            <w:tcBorders>
              <w:top w:val="single" w:color="auto" w:sz="4" w:space="0"/>
              <w:bottom w:val="single" w:color="auto" w:sz="4" w:space="0"/>
              <w:right w:val="single" w:color="auto" w:sz="8" w:space="0"/>
            </w:tcBorders>
            <w:vAlign w:val="center"/>
          </w:tcPr>
          <w:p>
            <w:pPr>
              <w:ind w:left="220" w:leftChars="100"/>
              <w:jc w:val="center"/>
              <w:rPr>
                <w:sz w:val="17"/>
                <w:szCs w:val="17"/>
              </w:rPr>
            </w:pPr>
          </w:p>
        </w:tc>
        <w:tc>
          <w:tcPr>
            <w:tcW w:w="7420" w:type="dxa"/>
            <w:vMerge w:val="continue"/>
            <w:tcBorders>
              <w:top w:val="single" w:color="auto" w:sz="4" w:space="0"/>
              <w:bottom w:val="single" w:color="auto" w:sz="4" w:space="0"/>
              <w:right w:val="single" w:color="auto" w:sz="4" w:space="0"/>
            </w:tcBorders>
          </w:tcPr>
          <w:p>
            <w:pPr>
              <w:ind w:left="220" w:leftChars="100"/>
              <w:jc w:val="both"/>
              <w:rPr>
                <w:sz w:val="17"/>
                <w:szCs w:val="17"/>
              </w:rPr>
            </w:pPr>
          </w:p>
        </w:tc>
      </w:tr>
      <w:tr>
        <w:tblPrEx>
          <w:tblCellMar>
            <w:top w:w="0" w:type="dxa"/>
            <w:left w:w="0" w:type="dxa"/>
            <w:bottom w:w="0" w:type="dxa"/>
            <w:right w:w="0" w:type="dxa"/>
          </w:tblCellMar>
        </w:tblPrEx>
        <w:trPr>
          <w:gridAfter w:val="1"/>
          <w:wAfter w:w="360" w:type="dxa"/>
          <w:trHeight w:val="480" w:hRule="atLeast"/>
        </w:trPr>
        <w:tc>
          <w:tcPr>
            <w:tcW w:w="720" w:type="dxa"/>
            <w:vMerge w:val="continue"/>
            <w:tcBorders>
              <w:top w:val="single" w:color="auto" w:sz="4" w:space="0"/>
              <w:left w:val="single" w:color="auto" w:sz="4" w:space="0"/>
              <w:bottom w:val="single" w:color="auto" w:sz="4" w:space="0"/>
              <w:right w:val="single" w:color="auto" w:sz="8" w:space="0"/>
            </w:tcBorders>
            <w:vAlign w:val="center"/>
          </w:tcPr>
          <w:p>
            <w:pPr>
              <w:ind w:left="220" w:leftChars="100"/>
              <w:jc w:val="center"/>
              <w:rPr>
                <w:sz w:val="24"/>
                <w:szCs w:val="24"/>
              </w:rPr>
            </w:pPr>
          </w:p>
        </w:tc>
        <w:tc>
          <w:tcPr>
            <w:tcW w:w="2180" w:type="dxa"/>
            <w:vMerge w:val="continue"/>
            <w:tcBorders>
              <w:top w:val="single" w:color="auto" w:sz="4" w:space="0"/>
              <w:bottom w:val="single" w:color="auto" w:sz="4" w:space="0"/>
              <w:right w:val="single" w:color="auto" w:sz="8" w:space="0"/>
            </w:tcBorders>
            <w:vAlign w:val="center"/>
          </w:tcPr>
          <w:p>
            <w:pPr>
              <w:ind w:left="220" w:leftChars="100"/>
              <w:jc w:val="center"/>
              <w:rPr>
                <w:sz w:val="24"/>
                <w:szCs w:val="24"/>
              </w:rPr>
            </w:pPr>
          </w:p>
        </w:tc>
        <w:tc>
          <w:tcPr>
            <w:tcW w:w="7420" w:type="dxa"/>
            <w:vMerge w:val="continue"/>
            <w:tcBorders>
              <w:top w:val="single" w:color="auto" w:sz="4" w:space="0"/>
              <w:bottom w:val="single" w:color="auto" w:sz="4" w:space="0"/>
              <w:right w:val="single" w:color="auto" w:sz="4" w:space="0"/>
            </w:tcBorders>
          </w:tcPr>
          <w:p>
            <w:pPr>
              <w:spacing w:line="240" w:lineRule="exact"/>
              <w:ind w:left="220" w:leftChars="100"/>
              <w:jc w:val="both"/>
              <w:rPr>
                <w:sz w:val="20"/>
                <w:szCs w:val="20"/>
              </w:rPr>
            </w:pPr>
          </w:p>
        </w:tc>
      </w:tr>
      <w:tr>
        <w:tblPrEx>
          <w:tblCellMar>
            <w:top w:w="0" w:type="dxa"/>
            <w:left w:w="0" w:type="dxa"/>
            <w:bottom w:w="0" w:type="dxa"/>
            <w:right w:w="0" w:type="dxa"/>
          </w:tblCellMar>
        </w:tblPrEx>
        <w:trPr>
          <w:gridAfter w:val="1"/>
          <w:wAfter w:w="360" w:type="dxa"/>
          <w:trHeight w:val="533"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240" w:lineRule="exact"/>
              <w:ind w:left="220" w:leftChars="100" w:right="155"/>
              <w:jc w:val="center"/>
              <w:rPr>
                <w:sz w:val="20"/>
                <w:szCs w:val="20"/>
              </w:rPr>
            </w:pPr>
            <w:r>
              <w:rPr>
                <w:rFonts w:ascii="宋体" w:hAnsi="宋体" w:eastAsia="宋体" w:cs="宋体"/>
                <w:sz w:val="21"/>
                <w:szCs w:val="21"/>
              </w:rPr>
              <w:t>17</w:t>
            </w:r>
          </w:p>
        </w:tc>
        <w:tc>
          <w:tcPr>
            <w:tcW w:w="2180" w:type="dxa"/>
            <w:tcBorders>
              <w:top w:val="single" w:color="auto" w:sz="4" w:space="0"/>
              <w:left w:val="single" w:color="auto" w:sz="4" w:space="0"/>
              <w:bottom w:val="single" w:color="auto" w:sz="4" w:space="0"/>
              <w:right w:val="single" w:color="auto" w:sz="4" w:space="0"/>
            </w:tcBorders>
            <w:vAlign w:val="center"/>
          </w:tcPr>
          <w:p>
            <w:pPr>
              <w:spacing w:line="240" w:lineRule="exact"/>
              <w:ind w:left="220" w:leftChars="100"/>
              <w:jc w:val="center"/>
              <w:rPr>
                <w:sz w:val="20"/>
                <w:szCs w:val="20"/>
              </w:rPr>
            </w:pPr>
            <w:r>
              <w:rPr>
                <w:rFonts w:ascii="宋体" w:hAnsi="宋体" w:eastAsia="宋体" w:cs="宋体"/>
                <w:sz w:val="21"/>
                <w:szCs w:val="21"/>
              </w:rPr>
              <w:t>响应文件有效期</w:t>
            </w:r>
          </w:p>
        </w:tc>
        <w:tc>
          <w:tcPr>
            <w:tcW w:w="7420" w:type="dxa"/>
            <w:tcBorders>
              <w:top w:val="single" w:color="auto" w:sz="4" w:space="0"/>
              <w:left w:val="single" w:color="auto" w:sz="4" w:space="0"/>
              <w:bottom w:val="single" w:color="auto" w:sz="4" w:space="0"/>
              <w:right w:val="single" w:color="auto" w:sz="4" w:space="0"/>
            </w:tcBorders>
            <w:vAlign w:val="center"/>
          </w:tcPr>
          <w:p>
            <w:pPr>
              <w:spacing w:line="240" w:lineRule="exact"/>
              <w:jc w:val="both"/>
              <w:rPr>
                <w:sz w:val="20"/>
                <w:szCs w:val="20"/>
              </w:rPr>
            </w:pPr>
            <w:r>
              <w:rPr>
                <w:rFonts w:ascii="宋体" w:hAnsi="宋体" w:eastAsia="宋体" w:cs="宋体"/>
                <w:sz w:val="21"/>
                <w:szCs w:val="21"/>
              </w:rPr>
              <w:t>磋商截止时间之日起 60 天</w:t>
            </w:r>
          </w:p>
        </w:tc>
      </w:tr>
      <w:tr>
        <w:tblPrEx>
          <w:tblCellMar>
            <w:top w:w="0" w:type="dxa"/>
            <w:left w:w="0" w:type="dxa"/>
            <w:bottom w:w="0" w:type="dxa"/>
            <w:right w:w="0" w:type="dxa"/>
          </w:tblCellMar>
        </w:tblPrEx>
        <w:trPr>
          <w:gridAfter w:val="1"/>
          <w:wAfter w:w="360" w:type="dxa"/>
          <w:trHeight w:val="631"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240" w:lineRule="exact"/>
              <w:ind w:left="220" w:leftChars="100" w:right="155"/>
              <w:jc w:val="center"/>
              <w:rPr>
                <w:sz w:val="20"/>
                <w:szCs w:val="20"/>
              </w:rPr>
            </w:pPr>
            <w:r>
              <w:rPr>
                <w:rFonts w:ascii="宋体" w:hAnsi="宋体" w:eastAsia="宋体" w:cs="宋体"/>
                <w:sz w:val="21"/>
                <w:szCs w:val="21"/>
              </w:rPr>
              <w:t>18</w:t>
            </w:r>
          </w:p>
        </w:tc>
        <w:tc>
          <w:tcPr>
            <w:tcW w:w="2180" w:type="dxa"/>
            <w:tcBorders>
              <w:top w:val="single" w:color="auto" w:sz="4" w:space="0"/>
              <w:left w:val="single" w:color="auto" w:sz="4" w:space="0"/>
              <w:bottom w:val="single" w:color="auto" w:sz="4" w:space="0"/>
              <w:right w:val="single" w:color="auto" w:sz="4" w:space="0"/>
            </w:tcBorders>
            <w:vAlign w:val="center"/>
          </w:tcPr>
          <w:p>
            <w:pPr>
              <w:spacing w:line="240" w:lineRule="exact"/>
              <w:ind w:left="220" w:leftChars="100"/>
              <w:jc w:val="center"/>
              <w:rPr>
                <w:sz w:val="20"/>
                <w:szCs w:val="20"/>
              </w:rPr>
            </w:pPr>
            <w:r>
              <w:rPr>
                <w:rFonts w:hint="eastAsia" w:ascii="宋体" w:hAnsi="宋体" w:eastAsia="宋体" w:cs="宋体"/>
                <w:sz w:val="21"/>
                <w:szCs w:val="21"/>
              </w:rPr>
              <w:t>评标办法</w:t>
            </w:r>
          </w:p>
        </w:tc>
        <w:tc>
          <w:tcPr>
            <w:tcW w:w="7420" w:type="dxa"/>
            <w:tcBorders>
              <w:top w:val="single" w:color="auto" w:sz="4" w:space="0"/>
              <w:left w:val="single" w:color="auto" w:sz="4" w:space="0"/>
              <w:bottom w:val="single" w:color="auto" w:sz="4" w:space="0"/>
              <w:right w:val="single" w:color="auto" w:sz="4" w:space="0"/>
            </w:tcBorders>
            <w:vAlign w:val="center"/>
          </w:tcPr>
          <w:p>
            <w:pPr>
              <w:spacing w:line="240" w:lineRule="exact"/>
              <w:ind w:firstLine="420" w:firstLineChars="200"/>
              <w:jc w:val="both"/>
              <w:rPr>
                <w:sz w:val="20"/>
                <w:szCs w:val="20"/>
              </w:rPr>
            </w:pPr>
            <w:r>
              <w:rPr>
                <w:rFonts w:ascii="宋体" w:hAnsi="宋体" w:eastAsia="宋体" w:cs="宋体"/>
                <w:sz w:val="21"/>
                <w:szCs w:val="21"/>
              </w:rPr>
              <w:t>具体详见第四章评审办法</w:t>
            </w:r>
          </w:p>
        </w:tc>
      </w:tr>
      <w:tr>
        <w:tblPrEx>
          <w:tblCellMar>
            <w:top w:w="0" w:type="dxa"/>
            <w:left w:w="0" w:type="dxa"/>
            <w:bottom w:w="0" w:type="dxa"/>
            <w:right w:w="0" w:type="dxa"/>
          </w:tblCellMar>
        </w:tblPrEx>
        <w:trPr>
          <w:gridAfter w:val="1"/>
          <w:wAfter w:w="360" w:type="dxa"/>
          <w:trHeight w:val="1292"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240" w:lineRule="exact"/>
              <w:ind w:left="220" w:leftChars="100" w:right="155"/>
              <w:jc w:val="center"/>
            </w:pPr>
            <w:r>
              <w:rPr>
                <w:rFonts w:ascii="宋体" w:hAnsi="宋体" w:eastAsia="宋体" w:cs="宋体"/>
                <w:sz w:val="21"/>
                <w:szCs w:val="21"/>
              </w:rPr>
              <w:t>19</w:t>
            </w:r>
          </w:p>
        </w:tc>
        <w:tc>
          <w:tcPr>
            <w:tcW w:w="2180" w:type="dxa"/>
            <w:tcBorders>
              <w:top w:val="single" w:color="auto" w:sz="4" w:space="0"/>
              <w:left w:val="single" w:color="auto" w:sz="4" w:space="0"/>
              <w:bottom w:val="single" w:color="auto" w:sz="4" w:space="0"/>
              <w:right w:val="single" w:color="auto" w:sz="4" w:space="0"/>
            </w:tcBorders>
            <w:vAlign w:val="center"/>
          </w:tcPr>
          <w:p>
            <w:pPr>
              <w:spacing w:line="240" w:lineRule="exact"/>
              <w:ind w:left="220" w:leftChars="100"/>
              <w:jc w:val="center"/>
            </w:pPr>
            <w:r>
              <w:rPr>
                <w:rFonts w:ascii="宋体" w:hAnsi="宋体" w:eastAsia="宋体" w:cs="宋体"/>
                <w:sz w:val="21"/>
                <w:szCs w:val="21"/>
              </w:rPr>
              <w:t>磋商小组的组成</w:t>
            </w:r>
          </w:p>
        </w:tc>
        <w:tc>
          <w:tcPr>
            <w:tcW w:w="7420" w:type="dxa"/>
            <w:tcBorders>
              <w:top w:val="single" w:color="auto" w:sz="4" w:space="0"/>
              <w:left w:val="single" w:color="auto" w:sz="4" w:space="0"/>
              <w:bottom w:val="single" w:color="auto" w:sz="4" w:space="0"/>
              <w:right w:val="single" w:color="auto" w:sz="4" w:space="0"/>
            </w:tcBorders>
            <w:vAlign w:val="center"/>
          </w:tcPr>
          <w:p>
            <w:pPr>
              <w:ind w:firstLine="440" w:firstLineChars="200"/>
              <w:rPr>
                <w:szCs w:val="20"/>
              </w:rPr>
            </w:pPr>
            <w:r>
              <w:rPr>
                <w:rFonts w:hint="eastAsia"/>
              </w:rPr>
              <w:t>磋商及评审工作由采购代理机构负责组织，具体磋商、评审工作由依法组建的磋商小组负责，本项目的磋商小组由采购人代表和有关方面的专家组成。磋商小组的构成： 3 人，其中采购人代表 1 人，有关专家  2 人。</w:t>
            </w:r>
          </w:p>
        </w:tc>
      </w:tr>
      <w:tr>
        <w:tblPrEx>
          <w:tblCellMar>
            <w:top w:w="0" w:type="dxa"/>
            <w:left w:w="0" w:type="dxa"/>
            <w:bottom w:w="0" w:type="dxa"/>
            <w:right w:w="0" w:type="dxa"/>
          </w:tblCellMar>
        </w:tblPrEx>
        <w:trPr>
          <w:gridAfter w:val="1"/>
          <w:wAfter w:w="360" w:type="dxa"/>
          <w:trHeight w:val="339" w:hRule="atLeast"/>
        </w:trPr>
        <w:tc>
          <w:tcPr>
            <w:tcW w:w="720"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ind w:left="220" w:leftChars="100" w:right="155"/>
              <w:jc w:val="center"/>
              <w:rPr>
                <w:sz w:val="20"/>
                <w:szCs w:val="20"/>
              </w:rPr>
            </w:pPr>
            <w:r>
              <w:rPr>
                <w:rFonts w:ascii="宋体" w:hAnsi="宋体" w:eastAsia="宋体" w:cs="宋体"/>
                <w:sz w:val="21"/>
                <w:szCs w:val="21"/>
              </w:rPr>
              <w:t>20</w:t>
            </w:r>
          </w:p>
        </w:tc>
        <w:tc>
          <w:tcPr>
            <w:tcW w:w="2180"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ind w:firstLine="630" w:firstLineChars="300"/>
              <w:jc w:val="both"/>
              <w:rPr>
                <w:sz w:val="20"/>
                <w:szCs w:val="20"/>
              </w:rPr>
            </w:pPr>
            <w:r>
              <w:rPr>
                <w:rFonts w:ascii="宋体" w:hAnsi="宋体" w:eastAsia="宋体" w:cs="宋体"/>
                <w:sz w:val="21"/>
                <w:szCs w:val="21"/>
              </w:rPr>
              <w:t>成交通知书</w:t>
            </w:r>
          </w:p>
        </w:tc>
        <w:tc>
          <w:tcPr>
            <w:tcW w:w="7420" w:type="dxa"/>
            <w:vMerge w:val="restart"/>
            <w:tcBorders>
              <w:top w:val="single" w:color="auto" w:sz="4" w:space="0"/>
              <w:left w:val="single" w:color="auto" w:sz="4" w:space="0"/>
              <w:bottom w:val="single" w:color="auto" w:sz="4" w:space="0"/>
              <w:right w:val="single" w:color="auto" w:sz="4" w:space="0"/>
            </w:tcBorders>
          </w:tcPr>
          <w:p>
            <w:pPr>
              <w:ind w:firstLine="440" w:firstLineChars="200"/>
              <w:rPr>
                <w:szCs w:val="20"/>
              </w:rPr>
            </w:pPr>
            <w:r>
              <w:t>采购代理机构于磋商结束后两个工作日内将评审报告送交采购人，采购人应当自收到评审报告五个工作日内在评审报告推荐的成交候选人中按顺序确定成交供应商，采购代理机构在成交供应商确定之日起两个工作日内发出成交通知书。</w:t>
            </w:r>
          </w:p>
        </w:tc>
      </w:tr>
      <w:tr>
        <w:tblPrEx>
          <w:tblCellMar>
            <w:top w:w="0" w:type="dxa"/>
            <w:left w:w="0" w:type="dxa"/>
            <w:bottom w:w="0" w:type="dxa"/>
            <w:right w:w="0" w:type="dxa"/>
          </w:tblCellMar>
        </w:tblPrEx>
        <w:trPr>
          <w:gridAfter w:val="1"/>
          <w:wAfter w:w="360" w:type="dxa"/>
          <w:trHeight w:val="400" w:hRule="atLeast"/>
        </w:trPr>
        <w:tc>
          <w:tcPr>
            <w:tcW w:w="720" w:type="dxa"/>
            <w:vMerge w:val="continue"/>
            <w:tcBorders>
              <w:top w:val="single" w:color="auto" w:sz="4" w:space="0"/>
              <w:left w:val="single" w:color="auto" w:sz="4" w:space="0"/>
              <w:bottom w:val="single" w:color="auto" w:sz="4" w:space="0"/>
              <w:right w:val="single" w:color="auto" w:sz="8" w:space="0"/>
            </w:tcBorders>
            <w:vAlign w:val="center"/>
          </w:tcPr>
          <w:p>
            <w:pPr>
              <w:spacing w:line="240" w:lineRule="exact"/>
              <w:ind w:left="220" w:leftChars="100" w:right="155"/>
              <w:jc w:val="center"/>
              <w:rPr>
                <w:sz w:val="20"/>
                <w:szCs w:val="20"/>
              </w:rPr>
            </w:pPr>
          </w:p>
        </w:tc>
        <w:tc>
          <w:tcPr>
            <w:tcW w:w="2180" w:type="dxa"/>
            <w:vMerge w:val="continue"/>
            <w:tcBorders>
              <w:top w:val="single" w:color="auto" w:sz="4" w:space="0"/>
              <w:bottom w:val="single" w:color="auto" w:sz="4" w:space="0"/>
              <w:right w:val="single" w:color="auto" w:sz="8" w:space="0"/>
            </w:tcBorders>
            <w:vAlign w:val="center"/>
          </w:tcPr>
          <w:p>
            <w:pPr>
              <w:spacing w:line="240" w:lineRule="exact"/>
              <w:ind w:firstLine="600" w:firstLineChars="300"/>
              <w:jc w:val="center"/>
              <w:rPr>
                <w:sz w:val="20"/>
                <w:szCs w:val="20"/>
              </w:rPr>
            </w:pPr>
          </w:p>
        </w:tc>
        <w:tc>
          <w:tcPr>
            <w:tcW w:w="7420" w:type="dxa"/>
            <w:vMerge w:val="continue"/>
            <w:tcBorders>
              <w:top w:val="single" w:color="auto" w:sz="4" w:space="0"/>
              <w:bottom w:val="single" w:color="auto" w:sz="4" w:space="0"/>
              <w:right w:val="single" w:color="auto" w:sz="4" w:space="0"/>
            </w:tcBorders>
            <w:vAlign w:val="bottom"/>
          </w:tcPr>
          <w:p>
            <w:pPr>
              <w:spacing w:line="240" w:lineRule="exact"/>
              <w:ind w:left="220" w:leftChars="100"/>
              <w:rPr>
                <w:sz w:val="20"/>
                <w:szCs w:val="20"/>
              </w:rPr>
            </w:pPr>
          </w:p>
        </w:tc>
      </w:tr>
      <w:tr>
        <w:tblPrEx>
          <w:tblCellMar>
            <w:top w:w="0" w:type="dxa"/>
            <w:left w:w="0" w:type="dxa"/>
            <w:bottom w:w="0" w:type="dxa"/>
            <w:right w:w="0" w:type="dxa"/>
          </w:tblCellMar>
        </w:tblPrEx>
        <w:trPr>
          <w:gridAfter w:val="1"/>
          <w:wAfter w:w="360" w:type="dxa"/>
          <w:trHeight w:val="541" w:hRule="atLeast"/>
        </w:trPr>
        <w:tc>
          <w:tcPr>
            <w:tcW w:w="720" w:type="dxa"/>
            <w:vMerge w:val="continue"/>
            <w:tcBorders>
              <w:top w:val="single" w:color="auto" w:sz="4" w:space="0"/>
              <w:left w:val="single" w:color="auto" w:sz="4" w:space="0"/>
              <w:bottom w:val="single" w:color="auto" w:sz="4" w:space="0"/>
              <w:right w:val="single" w:color="auto" w:sz="8" w:space="0"/>
            </w:tcBorders>
            <w:vAlign w:val="center"/>
          </w:tcPr>
          <w:p>
            <w:pPr>
              <w:ind w:left="220" w:leftChars="100"/>
              <w:jc w:val="center"/>
              <w:rPr>
                <w:sz w:val="4"/>
                <w:szCs w:val="4"/>
              </w:rPr>
            </w:pPr>
          </w:p>
        </w:tc>
        <w:tc>
          <w:tcPr>
            <w:tcW w:w="2180" w:type="dxa"/>
            <w:vMerge w:val="continue"/>
            <w:tcBorders>
              <w:top w:val="single" w:color="auto" w:sz="4" w:space="0"/>
              <w:bottom w:val="single" w:color="auto" w:sz="4" w:space="0"/>
              <w:right w:val="single" w:color="auto" w:sz="8" w:space="0"/>
            </w:tcBorders>
            <w:vAlign w:val="center"/>
          </w:tcPr>
          <w:p>
            <w:pPr>
              <w:ind w:left="220" w:leftChars="100"/>
              <w:jc w:val="center"/>
              <w:rPr>
                <w:sz w:val="4"/>
                <w:szCs w:val="4"/>
              </w:rPr>
            </w:pPr>
          </w:p>
        </w:tc>
        <w:tc>
          <w:tcPr>
            <w:tcW w:w="7420" w:type="dxa"/>
            <w:vMerge w:val="continue"/>
            <w:tcBorders>
              <w:top w:val="single" w:color="auto" w:sz="4" w:space="0"/>
              <w:bottom w:val="single" w:color="auto" w:sz="4" w:space="0"/>
              <w:right w:val="single" w:color="auto" w:sz="4" w:space="0"/>
            </w:tcBorders>
            <w:vAlign w:val="bottom"/>
          </w:tcPr>
          <w:p>
            <w:pPr>
              <w:ind w:left="220" w:leftChars="100"/>
              <w:rPr>
                <w:sz w:val="4"/>
                <w:szCs w:val="4"/>
              </w:rPr>
            </w:pPr>
          </w:p>
        </w:tc>
      </w:tr>
      <w:tr>
        <w:trPr>
          <w:trHeight w:val="326" w:hRule="atLeast"/>
        </w:trPr>
        <w:tc>
          <w:tcPr>
            <w:tcW w:w="720" w:type="dxa"/>
            <w:vMerge w:val="restart"/>
            <w:tcBorders>
              <w:top w:val="single" w:color="auto" w:sz="8" w:space="0"/>
              <w:left w:val="single" w:color="auto" w:sz="8" w:space="0"/>
              <w:right w:val="single" w:color="auto" w:sz="8" w:space="0"/>
            </w:tcBorders>
            <w:vAlign w:val="center"/>
          </w:tcPr>
          <w:p>
            <w:pPr>
              <w:spacing w:line="240" w:lineRule="exact"/>
              <w:ind w:left="220" w:leftChars="100" w:right="155"/>
              <w:jc w:val="center"/>
              <w:rPr>
                <w:sz w:val="24"/>
                <w:szCs w:val="24"/>
              </w:rPr>
            </w:pPr>
            <w:bookmarkStart w:id="32" w:name="page7"/>
            <w:bookmarkEnd w:id="32"/>
            <w:r>
              <w:rPr>
                <w:rFonts w:ascii="宋体" w:hAnsi="宋体" w:eastAsia="宋体" w:cs="宋体"/>
                <w:sz w:val="21"/>
                <w:szCs w:val="21"/>
              </w:rPr>
              <w:t>21</w:t>
            </w:r>
          </w:p>
        </w:tc>
        <w:tc>
          <w:tcPr>
            <w:tcW w:w="2180" w:type="dxa"/>
            <w:vMerge w:val="restart"/>
            <w:tcBorders>
              <w:top w:val="single" w:color="auto" w:sz="8" w:space="0"/>
              <w:right w:val="single" w:color="auto" w:sz="8" w:space="0"/>
            </w:tcBorders>
            <w:vAlign w:val="center"/>
          </w:tcPr>
          <w:p>
            <w:pPr>
              <w:spacing w:line="240" w:lineRule="exact"/>
              <w:ind w:left="220" w:leftChars="100"/>
              <w:jc w:val="center"/>
              <w:rPr>
                <w:sz w:val="24"/>
                <w:szCs w:val="24"/>
              </w:rPr>
            </w:pPr>
            <w:r>
              <w:rPr>
                <w:rFonts w:ascii="宋体" w:hAnsi="宋体" w:eastAsia="宋体" w:cs="宋体"/>
                <w:sz w:val="21"/>
                <w:szCs w:val="21"/>
              </w:rPr>
              <w:t>信用查询</w:t>
            </w:r>
          </w:p>
        </w:tc>
        <w:tc>
          <w:tcPr>
            <w:tcW w:w="7420" w:type="dxa"/>
            <w:vMerge w:val="restart"/>
            <w:tcBorders>
              <w:top w:val="single" w:color="auto" w:sz="8" w:space="0"/>
              <w:right w:val="single" w:color="auto" w:sz="8" w:space="0"/>
            </w:tcBorders>
            <w:vAlign w:val="bottom"/>
          </w:tcPr>
          <w:p>
            <w:pPr>
              <w:spacing w:line="360" w:lineRule="auto"/>
              <w:ind w:right="100" w:firstLine="420" w:firstLineChars="200"/>
              <w:rPr>
                <w:rFonts w:ascii="宋体" w:hAnsi="宋体" w:eastAsia="宋体" w:cs="宋体"/>
                <w:sz w:val="21"/>
                <w:szCs w:val="21"/>
              </w:rPr>
            </w:pPr>
            <w:r>
              <w:rPr>
                <w:rFonts w:ascii="宋体" w:hAnsi="宋体" w:eastAsia="宋体" w:cs="宋体"/>
                <w:sz w:val="21"/>
                <w:szCs w:val="21"/>
              </w:rPr>
              <w:t>根据《关于做好政府采购有关信用主体标识码登记及在政府采购活动中查询使用信用记录有关问题的通知》（桂财采〔2016〕37），由采购代理机构对第一成交候选人进行信用查询：</w:t>
            </w:r>
          </w:p>
          <w:p>
            <w:pPr>
              <w:spacing w:line="360" w:lineRule="auto"/>
              <w:ind w:right="100" w:firstLine="210" w:firstLineChars="100"/>
              <w:rPr>
                <w:rFonts w:ascii="宋体" w:hAnsi="宋体" w:eastAsia="宋体" w:cs="宋体"/>
                <w:sz w:val="21"/>
                <w:szCs w:val="21"/>
              </w:rPr>
            </w:pPr>
            <w:r>
              <w:rPr>
                <w:rFonts w:ascii="宋体" w:hAnsi="宋体" w:eastAsia="宋体" w:cs="宋体"/>
                <w:sz w:val="21"/>
                <w:szCs w:val="21"/>
              </w:rPr>
              <w:t>（1）查询渠道：“信用中国”网站(www.creditchina.gov.cn)、中国政府采购网(www.ccgp.gov.cn)等；</w:t>
            </w:r>
          </w:p>
          <w:p>
            <w:pPr>
              <w:spacing w:line="360" w:lineRule="auto"/>
              <w:ind w:right="100" w:firstLine="210" w:firstLineChars="100"/>
              <w:rPr>
                <w:rFonts w:ascii="宋体" w:hAnsi="宋体" w:eastAsia="宋体" w:cs="宋体"/>
                <w:sz w:val="21"/>
                <w:szCs w:val="21"/>
              </w:rPr>
            </w:pPr>
            <w:r>
              <w:rPr>
                <w:rFonts w:ascii="宋体" w:hAnsi="宋体" w:eastAsia="宋体" w:cs="宋体"/>
                <w:sz w:val="21"/>
                <w:szCs w:val="21"/>
              </w:rPr>
              <w:t>（2）查询截止时点：成交通知书发出前；</w:t>
            </w:r>
          </w:p>
          <w:p>
            <w:pPr>
              <w:spacing w:line="360" w:lineRule="auto"/>
              <w:ind w:right="100" w:firstLine="210" w:firstLineChars="100"/>
              <w:rPr>
                <w:rFonts w:ascii="宋体" w:hAnsi="宋体" w:eastAsia="宋体" w:cs="宋体"/>
                <w:sz w:val="21"/>
                <w:szCs w:val="21"/>
              </w:rPr>
            </w:pPr>
            <w:r>
              <w:rPr>
                <w:rFonts w:ascii="宋体" w:hAnsi="宋体" w:eastAsia="宋体" w:cs="宋体"/>
                <w:sz w:val="21"/>
                <w:szCs w:val="21"/>
              </w:rPr>
              <w:t>（3）信用信息查询记录和证据留存方式：在查询网站中直接打印查询记录，打印材料作为采购活动资料保存。</w:t>
            </w:r>
          </w:p>
          <w:p>
            <w:pPr>
              <w:spacing w:line="360" w:lineRule="auto"/>
              <w:ind w:right="100" w:firstLine="210" w:firstLineChars="100"/>
              <w:rPr>
                <w:sz w:val="20"/>
                <w:szCs w:val="20"/>
              </w:rPr>
            </w:pPr>
            <w:r>
              <w:rPr>
                <w:rFonts w:ascii="宋体" w:hAnsi="宋体" w:eastAsia="宋体" w:cs="宋体"/>
                <w:sz w:val="21"/>
                <w:szCs w:val="21"/>
              </w:rPr>
              <w:t>（4）信用信息使用规则：对在中国政府采购网（www.ccgp.gov.cn）</w:t>
            </w:r>
            <w:r>
              <w:rPr>
                <w:rFonts w:hint="eastAsia" w:ascii="宋体" w:hAnsi="宋体" w:eastAsia="宋体" w:cs="宋体"/>
                <w:sz w:val="21"/>
                <w:szCs w:val="21"/>
              </w:rPr>
              <w:t>、</w:t>
            </w:r>
            <w:r>
              <w:rPr>
                <w:rFonts w:ascii="宋体" w:hAnsi="宋体" w:eastAsia="宋体" w:cs="宋体"/>
                <w:sz w:val="21"/>
                <w:szCs w:val="21"/>
              </w:rPr>
              <w:t>“信用中国”网（www.creditchina.gov.cn）等渠道列入失信被执行人、重大税收违法案件当事人名单、政府采购严重违法失信行为记录名单及其他不符合《中华人民共和国政府采购法》第二十二条规定条件的供应商，取消其成交候选人资格。</w:t>
            </w:r>
          </w:p>
        </w:tc>
        <w:tc>
          <w:tcPr>
            <w:tcW w:w="360" w:type="dxa"/>
            <w:vAlign w:val="bottom"/>
          </w:tcPr>
          <w:p>
            <w:pPr>
              <w:ind w:left="220" w:leftChars="100"/>
              <w:rPr>
                <w:sz w:val="1"/>
                <w:szCs w:val="1"/>
              </w:rPr>
            </w:pPr>
          </w:p>
        </w:tc>
      </w:tr>
      <w:tr>
        <w:tblPrEx>
          <w:tblCellMar>
            <w:top w:w="0" w:type="dxa"/>
            <w:left w:w="0" w:type="dxa"/>
            <w:bottom w:w="0" w:type="dxa"/>
            <w:right w:w="0" w:type="dxa"/>
          </w:tblCellMar>
        </w:tblPrEx>
        <w:trPr>
          <w:trHeight w:val="360" w:hRule="atLeast"/>
        </w:trPr>
        <w:tc>
          <w:tcPr>
            <w:tcW w:w="720" w:type="dxa"/>
            <w:vMerge w:val="continue"/>
            <w:tcBorders>
              <w:left w:val="single" w:color="auto" w:sz="8" w:space="0"/>
              <w:right w:val="single" w:color="auto" w:sz="8" w:space="0"/>
            </w:tcBorders>
            <w:vAlign w:val="bottom"/>
          </w:tcPr>
          <w:p>
            <w:pPr>
              <w:ind w:left="220" w:leftChars="100"/>
              <w:rPr>
                <w:sz w:val="24"/>
                <w:szCs w:val="24"/>
              </w:rPr>
            </w:pPr>
          </w:p>
        </w:tc>
        <w:tc>
          <w:tcPr>
            <w:tcW w:w="2180" w:type="dxa"/>
            <w:vMerge w:val="continue"/>
            <w:tcBorders>
              <w:right w:val="single" w:color="auto" w:sz="8" w:space="0"/>
            </w:tcBorders>
            <w:vAlign w:val="bottom"/>
          </w:tcPr>
          <w:p>
            <w:pPr>
              <w:ind w:left="220" w:leftChars="100"/>
              <w:rPr>
                <w:sz w:val="24"/>
                <w:szCs w:val="24"/>
              </w:rPr>
            </w:pPr>
          </w:p>
        </w:tc>
        <w:tc>
          <w:tcPr>
            <w:tcW w:w="7420" w:type="dxa"/>
            <w:vMerge w:val="continue"/>
            <w:tcBorders>
              <w:right w:val="single" w:color="auto" w:sz="8" w:space="0"/>
            </w:tcBorders>
            <w:vAlign w:val="bottom"/>
          </w:tcPr>
          <w:p>
            <w:pPr>
              <w:spacing w:line="240" w:lineRule="exact"/>
              <w:ind w:left="220" w:leftChars="100"/>
              <w:rPr>
                <w:sz w:val="20"/>
                <w:szCs w:val="20"/>
              </w:rPr>
            </w:pPr>
          </w:p>
        </w:tc>
        <w:tc>
          <w:tcPr>
            <w:tcW w:w="360" w:type="dxa"/>
            <w:vAlign w:val="bottom"/>
          </w:tcPr>
          <w:p>
            <w:pPr>
              <w:ind w:left="220" w:leftChars="100"/>
              <w:rPr>
                <w:sz w:val="1"/>
                <w:szCs w:val="1"/>
              </w:rPr>
            </w:pPr>
          </w:p>
        </w:tc>
      </w:tr>
      <w:tr>
        <w:trPr>
          <w:trHeight w:val="360" w:hRule="atLeast"/>
        </w:trPr>
        <w:tc>
          <w:tcPr>
            <w:tcW w:w="720" w:type="dxa"/>
            <w:vMerge w:val="continue"/>
            <w:tcBorders>
              <w:left w:val="single" w:color="auto" w:sz="8" w:space="0"/>
              <w:right w:val="single" w:color="auto" w:sz="8" w:space="0"/>
            </w:tcBorders>
            <w:vAlign w:val="bottom"/>
          </w:tcPr>
          <w:p>
            <w:pPr>
              <w:ind w:left="220" w:leftChars="100"/>
              <w:rPr>
                <w:sz w:val="24"/>
                <w:szCs w:val="24"/>
              </w:rPr>
            </w:pPr>
          </w:p>
        </w:tc>
        <w:tc>
          <w:tcPr>
            <w:tcW w:w="2180" w:type="dxa"/>
            <w:vMerge w:val="continue"/>
            <w:tcBorders>
              <w:right w:val="single" w:color="auto" w:sz="8" w:space="0"/>
            </w:tcBorders>
            <w:vAlign w:val="bottom"/>
          </w:tcPr>
          <w:p>
            <w:pPr>
              <w:ind w:left="220" w:leftChars="100"/>
              <w:rPr>
                <w:sz w:val="24"/>
                <w:szCs w:val="24"/>
              </w:rPr>
            </w:pPr>
          </w:p>
        </w:tc>
        <w:tc>
          <w:tcPr>
            <w:tcW w:w="7420" w:type="dxa"/>
            <w:vMerge w:val="continue"/>
            <w:tcBorders>
              <w:right w:val="single" w:color="auto" w:sz="8" w:space="0"/>
            </w:tcBorders>
            <w:vAlign w:val="bottom"/>
          </w:tcPr>
          <w:p>
            <w:pPr>
              <w:spacing w:line="240" w:lineRule="exact"/>
              <w:ind w:left="220" w:leftChars="100"/>
              <w:rPr>
                <w:sz w:val="20"/>
                <w:szCs w:val="20"/>
              </w:rPr>
            </w:pPr>
          </w:p>
        </w:tc>
        <w:tc>
          <w:tcPr>
            <w:tcW w:w="360" w:type="dxa"/>
            <w:vAlign w:val="bottom"/>
          </w:tcPr>
          <w:p>
            <w:pPr>
              <w:ind w:left="220" w:leftChars="100"/>
              <w:rPr>
                <w:sz w:val="1"/>
                <w:szCs w:val="1"/>
              </w:rPr>
            </w:pPr>
          </w:p>
        </w:tc>
      </w:tr>
      <w:tr>
        <w:tblPrEx>
          <w:tblCellMar>
            <w:top w:w="0" w:type="dxa"/>
            <w:left w:w="0" w:type="dxa"/>
            <w:bottom w:w="0" w:type="dxa"/>
            <w:right w:w="0" w:type="dxa"/>
          </w:tblCellMar>
        </w:tblPrEx>
        <w:trPr>
          <w:trHeight w:val="1316" w:hRule="atLeast"/>
        </w:trPr>
        <w:tc>
          <w:tcPr>
            <w:tcW w:w="720" w:type="dxa"/>
            <w:vMerge w:val="continue"/>
            <w:tcBorders>
              <w:left w:val="single" w:color="auto" w:sz="8" w:space="0"/>
              <w:right w:val="single" w:color="auto" w:sz="8" w:space="0"/>
            </w:tcBorders>
            <w:vAlign w:val="bottom"/>
          </w:tcPr>
          <w:p>
            <w:pPr>
              <w:ind w:left="220" w:leftChars="100"/>
              <w:rPr>
                <w:sz w:val="24"/>
                <w:szCs w:val="24"/>
              </w:rPr>
            </w:pPr>
          </w:p>
        </w:tc>
        <w:tc>
          <w:tcPr>
            <w:tcW w:w="2180" w:type="dxa"/>
            <w:vMerge w:val="continue"/>
            <w:tcBorders>
              <w:right w:val="single" w:color="auto" w:sz="8" w:space="0"/>
            </w:tcBorders>
            <w:vAlign w:val="bottom"/>
          </w:tcPr>
          <w:p>
            <w:pPr>
              <w:ind w:left="220" w:leftChars="100"/>
              <w:rPr>
                <w:sz w:val="24"/>
                <w:szCs w:val="24"/>
              </w:rPr>
            </w:pPr>
          </w:p>
        </w:tc>
        <w:tc>
          <w:tcPr>
            <w:tcW w:w="7420" w:type="dxa"/>
            <w:vMerge w:val="continue"/>
            <w:tcBorders>
              <w:right w:val="single" w:color="auto" w:sz="8" w:space="0"/>
            </w:tcBorders>
            <w:vAlign w:val="bottom"/>
          </w:tcPr>
          <w:p>
            <w:pPr>
              <w:spacing w:line="240" w:lineRule="exact"/>
              <w:ind w:left="220" w:leftChars="100"/>
              <w:rPr>
                <w:sz w:val="20"/>
                <w:szCs w:val="20"/>
              </w:rPr>
            </w:pPr>
          </w:p>
        </w:tc>
        <w:tc>
          <w:tcPr>
            <w:tcW w:w="360" w:type="dxa"/>
            <w:vAlign w:val="bottom"/>
          </w:tcPr>
          <w:p>
            <w:pPr>
              <w:ind w:left="220" w:leftChars="100"/>
              <w:rPr>
                <w:sz w:val="1"/>
                <w:szCs w:val="1"/>
              </w:rPr>
            </w:pPr>
          </w:p>
        </w:tc>
      </w:tr>
      <w:tr>
        <w:trPr>
          <w:trHeight w:val="126" w:hRule="atLeast"/>
        </w:trPr>
        <w:tc>
          <w:tcPr>
            <w:tcW w:w="720" w:type="dxa"/>
            <w:vMerge w:val="continue"/>
            <w:tcBorders>
              <w:left w:val="single" w:color="auto" w:sz="8" w:space="0"/>
              <w:bottom w:val="single" w:color="auto" w:sz="8" w:space="0"/>
              <w:right w:val="single" w:color="auto" w:sz="8" w:space="0"/>
            </w:tcBorders>
            <w:vAlign w:val="bottom"/>
          </w:tcPr>
          <w:p>
            <w:pPr>
              <w:ind w:left="220" w:leftChars="100"/>
              <w:rPr>
                <w:sz w:val="3"/>
                <w:szCs w:val="3"/>
              </w:rPr>
            </w:pPr>
          </w:p>
        </w:tc>
        <w:tc>
          <w:tcPr>
            <w:tcW w:w="2180" w:type="dxa"/>
            <w:vMerge w:val="continue"/>
            <w:tcBorders>
              <w:bottom w:val="single" w:color="auto" w:sz="8" w:space="0"/>
              <w:right w:val="single" w:color="auto" w:sz="8" w:space="0"/>
            </w:tcBorders>
            <w:vAlign w:val="bottom"/>
          </w:tcPr>
          <w:p>
            <w:pPr>
              <w:ind w:left="220" w:leftChars="100"/>
              <w:rPr>
                <w:sz w:val="3"/>
                <w:szCs w:val="3"/>
              </w:rPr>
            </w:pPr>
          </w:p>
        </w:tc>
        <w:tc>
          <w:tcPr>
            <w:tcW w:w="7420" w:type="dxa"/>
            <w:vMerge w:val="continue"/>
            <w:tcBorders>
              <w:bottom w:val="single" w:color="auto" w:sz="8" w:space="0"/>
              <w:right w:val="single" w:color="auto" w:sz="8" w:space="0"/>
            </w:tcBorders>
            <w:vAlign w:val="bottom"/>
          </w:tcPr>
          <w:p>
            <w:pPr>
              <w:ind w:left="220" w:leftChars="100"/>
              <w:rPr>
                <w:sz w:val="3"/>
                <w:szCs w:val="3"/>
              </w:rPr>
            </w:pPr>
          </w:p>
        </w:tc>
        <w:tc>
          <w:tcPr>
            <w:tcW w:w="360" w:type="dxa"/>
            <w:vAlign w:val="bottom"/>
          </w:tcPr>
          <w:p>
            <w:pPr>
              <w:ind w:left="220" w:leftChars="100"/>
              <w:rPr>
                <w:sz w:val="1"/>
                <w:szCs w:val="1"/>
              </w:rPr>
            </w:pPr>
          </w:p>
        </w:tc>
      </w:tr>
      <w:tr>
        <w:tblPrEx>
          <w:tblCellMar>
            <w:top w:w="0" w:type="dxa"/>
            <w:left w:w="0" w:type="dxa"/>
            <w:bottom w:w="0" w:type="dxa"/>
            <w:right w:w="0" w:type="dxa"/>
          </w:tblCellMar>
        </w:tblPrEx>
        <w:trPr>
          <w:trHeight w:val="360" w:hRule="atLeast"/>
        </w:trPr>
        <w:tc>
          <w:tcPr>
            <w:tcW w:w="720" w:type="dxa"/>
            <w:vMerge w:val="continue"/>
            <w:tcBorders>
              <w:left w:val="single" w:color="auto" w:sz="8" w:space="0"/>
              <w:right w:val="single" w:color="auto" w:sz="8" w:space="0"/>
            </w:tcBorders>
            <w:vAlign w:val="bottom"/>
          </w:tcPr>
          <w:p>
            <w:pPr>
              <w:ind w:left="220" w:leftChars="100"/>
              <w:rPr>
                <w:sz w:val="24"/>
                <w:szCs w:val="24"/>
              </w:rPr>
            </w:pPr>
          </w:p>
        </w:tc>
        <w:tc>
          <w:tcPr>
            <w:tcW w:w="2180" w:type="dxa"/>
            <w:vMerge w:val="continue"/>
            <w:tcBorders>
              <w:right w:val="single" w:color="auto" w:sz="8" w:space="0"/>
            </w:tcBorders>
            <w:vAlign w:val="bottom"/>
          </w:tcPr>
          <w:p>
            <w:pPr>
              <w:ind w:left="220" w:leftChars="100"/>
              <w:rPr>
                <w:sz w:val="24"/>
                <w:szCs w:val="24"/>
              </w:rPr>
            </w:pPr>
          </w:p>
        </w:tc>
        <w:tc>
          <w:tcPr>
            <w:tcW w:w="7420" w:type="dxa"/>
            <w:vMerge w:val="continue"/>
            <w:tcBorders>
              <w:right w:val="single" w:color="auto" w:sz="8" w:space="0"/>
            </w:tcBorders>
          </w:tcPr>
          <w:p>
            <w:pPr>
              <w:spacing w:line="240" w:lineRule="exact"/>
              <w:ind w:left="220" w:leftChars="100"/>
              <w:jc w:val="both"/>
              <w:rPr>
                <w:sz w:val="20"/>
                <w:szCs w:val="20"/>
              </w:rPr>
            </w:pPr>
          </w:p>
        </w:tc>
        <w:tc>
          <w:tcPr>
            <w:tcW w:w="360" w:type="dxa"/>
            <w:vAlign w:val="bottom"/>
          </w:tcPr>
          <w:p>
            <w:pPr>
              <w:ind w:left="220" w:leftChars="100"/>
              <w:rPr>
                <w:sz w:val="1"/>
                <w:szCs w:val="1"/>
              </w:rPr>
            </w:pPr>
          </w:p>
        </w:tc>
      </w:tr>
      <w:tr>
        <w:tblPrEx>
          <w:tblCellMar>
            <w:top w:w="0" w:type="dxa"/>
            <w:left w:w="0" w:type="dxa"/>
            <w:bottom w:w="0" w:type="dxa"/>
            <w:right w:w="0" w:type="dxa"/>
          </w:tblCellMar>
        </w:tblPrEx>
        <w:trPr>
          <w:trHeight w:val="360" w:hRule="atLeast"/>
        </w:trPr>
        <w:tc>
          <w:tcPr>
            <w:tcW w:w="720" w:type="dxa"/>
            <w:vMerge w:val="continue"/>
            <w:tcBorders>
              <w:left w:val="single" w:color="auto" w:sz="8" w:space="0"/>
              <w:right w:val="single" w:color="auto" w:sz="8" w:space="0"/>
            </w:tcBorders>
            <w:vAlign w:val="bottom"/>
          </w:tcPr>
          <w:p>
            <w:pPr>
              <w:spacing w:line="240" w:lineRule="exact"/>
              <w:ind w:left="220" w:leftChars="100" w:right="155"/>
              <w:jc w:val="right"/>
              <w:rPr>
                <w:sz w:val="20"/>
                <w:szCs w:val="20"/>
              </w:rPr>
            </w:pPr>
          </w:p>
        </w:tc>
        <w:tc>
          <w:tcPr>
            <w:tcW w:w="2180" w:type="dxa"/>
            <w:vMerge w:val="continue"/>
            <w:tcBorders>
              <w:right w:val="single" w:color="auto" w:sz="8" w:space="0"/>
            </w:tcBorders>
            <w:vAlign w:val="bottom"/>
          </w:tcPr>
          <w:p>
            <w:pPr>
              <w:ind w:left="220" w:leftChars="100"/>
              <w:rPr>
                <w:sz w:val="24"/>
                <w:szCs w:val="24"/>
              </w:rPr>
            </w:pPr>
          </w:p>
        </w:tc>
        <w:tc>
          <w:tcPr>
            <w:tcW w:w="7420" w:type="dxa"/>
            <w:vMerge w:val="continue"/>
            <w:tcBorders>
              <w:right w:val="single" w:color="auto" w:sz="8" w:space="0"/>
            </w:tcBorders>
          </w:tcPr>
          <w:p>
            <w:pPr>
              <w:spacing w:line="240" w:lineRule="exact"/>
              <w:ind w:left="220" w:leftChars="100"/>
              <w:jc w:val="both"/>
              <w:rPr>
                <w:sz w:val="20"/>
                <w:szCs w:val="20"/>
              </w:rPr>
            </w:pPr>
          </w:p>
        </w:tc>
        <w:tc>
          <w:tcPr>
            <w:tcW w:w="360" w:type="dxa"/>
            <w:vAlign w:val="bottom"/>
          </w:tcPr>
          <w:p>
            <w:pPr>
              <w:ind w:left="220" w:leftChars="100"/>
              <w:rPr>
                <w:sz w:val="1"/>
                <w:szCs w:val="1"/>
              </w:rPr>
            </w:pPr>
          </w:p>
        </w:tc>
      </w:tr>
      <w:tr>
        <w:tblPrEx>
          <w:tblCellMar>
            <w:top w:w="0" w:type="dxa"/>
            <w:left w:w="0" w:type="dxa"/>
            <w:bottom w:w="0" w:type="dxa"/>
            <w:right w:w="0" w:type="dxa"/>
          </w:tblCellMar>
        </w:tblPrEx>
        <w:trPr>
          <w:trHeight w:val="360" w:hRule="atLeast"/>
        </w:trPr>
        <w:tc>
          <w:tcPr>
            <w:tcW w:w="720" w:type="dxa"/>
            <w:vMerge w:val="continue"/>
            <w:tcBorders>
              <w:left w:val="single" w:color="auto" w:sz="8" w:space="0"/>
              <w:right w:val="single" w:color="auto" w:sz="8" w:space="0"/>
            </w:tcBorders>
            <w:vAlign w:val="bottom"/>
          </w:tcPr>
          <w:p>
            <w:pPr>
              <w:ind w:left="220" w:leftChars="100"/>
              <w:rPr>
                <w:sz w:val="24"/>
                <w:szCs w:val="24"/>
              </w:rPr>
            </w:pPr>
          </w:p>
        </w:tc>
        <w:tc>
          <w:tcPr>
            <w:tcW w:w="2180" w:type="dxa"/>
            <w:vMerge w:val="continue"/>
            <w:tcBorders>
              <w:right w:val="single" w:color="auto" w:sz="8" w:space="0"/>
            </w:tcBorders>
            <w:vAlign w:val="bottom"/>
          </w:tcPr>
          <w:p>
            <w:pPr>
              <w:ind w:left="220" w:leftChars="100"/>
              <w:rPr>
                <w:sz w:val="24"/>
                <w:szCs w:val="24"/>
              </w:rPr>
            </w:pPr>
          </w:p>
        </w:tc>
        <w:tc>
          <w:tcPr>
            <w:tcW w:w="7420" w:type="dxa"/>
            <w:vMerge w:val="continue"/>
            <w:tcBorders>
              <w:right w:val="single" w:color="auto" w:sz="8" w:space="0"/>
            </w:tcBorders>
          </w:tcPr>
          <w:p>
            <w:pPr>
              <w:spacing w:line="240" w:lineRule="exact"/>
              <w:ind w:left="220" w:leftChars="100"/>
              <w:jc w:val="both"/>
              <w:rPr>
                <w:sz w:val="20"/>
                <w:szCs w:val="20"/>
              </w:rPr>
            </w:pPr>
          </w:p>
        </w:tc>
        <w:tc>
          <w:tcPr>
            <w:tcW w:w="360" w:type="dxa"/>
            <w:vAlign w:val="bottom"/>
          </w:tcPr>
          <w:p>
            <w:pPr>
              <w:ind w:left="220" w:leftChars="100"/>
              <w:rPr>
                <w:sz w:val="1"/>
                <w:szCs w:val="1"/>
              </w:rPr>
            </w:pPr>
          </w:p>
        </w:tc>
      </w:tr>
      <w:tr>
        <w:trPr>
          <w:trHeight w:val="128" w:hRule="atLeast"/>
        </w:trPr>
        <w:tc>
          <w:tcPr>
            <w:tcW w:w="720" w:type="dxa"/>
            <w:vMerge w:val="continue"/>
            <w:tcBorders>
              <w:left w:val="single" w:color="auto" w:sz="8" w:space="0"/>
              <w:right w:val="single" w:color="auto" w:sz="8" w:space="0"/>
            </w:tcBorders>
            <w:vAlign w:val="bottom"/>
          </w:tcPr>
          <w:p>
            <w:pPr>
              <w:ind w:left="220" w:leftChars="100"/>
              <w:rPr>
                <w:sz w:val="18"/>
                <w:szCs w:val="18"/>
              </w:rPr>
            </w:pPr>
          </w:p>
        </w:tc>
        <w:tc>
          <w:tcPr>
            <w:tcW w:w="2180" w:type="dxa"/>
            <w:vMerge w:val="continue"/>
            <w:tcBorders>
              <w:right w:val="single" w:color="auto" w:sz="8" w:space="0"/>
            </w:tcBorders>
            <w:vAlign w:val="bottom"/>
          </w:tcPr>
          <w:p>
            <w:pPr>
              <w:spacing w:line="212" w:lineRule="exact"/>
              <w:ind w:left="220" w:leftChars="100"/>
              <w:jc w:val="center"/>
              <w:rPr>
                <w:sz w:val="20"/>
                <w:szCs w:val="20"/>
              </w:rPr>
            </w:pPr>
          </w:p>
        </w:tc>
        <w:tc>
          <w:tcPr>
            <w:tcW w:w="7420" w:type="dxa"/>
            <w:vMerge w:val="continue"/>
            <w:tcBorders>
              <w:right w:val="single" w:color="auto" w:sz="8" w:space="0"/>
            </w:tcBorders>
          </w:tcPr>
          <w:p>
            <w:pPr>
              <w:spacing w:line="240" w:lineRule="exact"/>
              <w:ind w:left="220" w:leftChars="100"/>
              <w:jc w:val="both"/>
              <w:rPr>
                <w:sz w:val="20"/>
                <w:szCs w:val="20"/>
              </w:rPr>
            </w:pPr>
          </w:p>
        </w:tc>
        <w:tc>
          <w:tcPr>
            <w:tcW w:w="360" w:type="dxa"/>
            <w:vAlign w:val="bottom"/>
          </w:tcPr>
          <w:p>
            <w:pPr>
              <w:ind w:left="220" w:leftChars="100"/>
              <w:rPr>
                <w:sz w:val="1"/>
                <w:szCs w:val="1"/>
              </w:rPr>
            </w:pPr>
          </w:p>
        </w:tc>
      </w:tr>
      <w:tr>
        <w:tblPrEx>
          <w:tblCellMar>
            <w:top w:w="0" w:type="dxa"/>
            <w:left w:w="0" w:type="dxa"/>
            <w:bottom w:w="0" w:type="dxa"/>
            <w:right w:w="0" w:type="dxa"/>
          </w:tblCellMar>
        </w:tblPrEx>
        <w:trPr>
          <w:trHeight w:val="148" w:hRule="atLeast"/>
        </w:trPr>
        <w:tc>
          <w:tcPr>
            <w:tcW w:w="720" w:type="dxa"/>
            <w:vMerge w:val="continue"/>
            <w:tcBorders>
              <w:left w:val="single" w:color="auto" w:sz="8" w:space="0"/>
              <w:right w:val="single" w:color="auto" w:sz="8" w:space="0"/>
            </w:tcBorders>
            <w:vAlign w:val="bottom"/>
          </w:tcPr>
          <w:p>
            <w:pPr>
              <w:ind w:left="220" w:leftChars="100"/>
              <w:rPr>
                <w:sz w:val="12"/>
                <w:szCs w:val="12"/>
              </w:rPr>
            </w:pPr>
          </w:p>
        </w:tc>
        <w:tc>
          <w:tcPr>
            <w:tcW w:w="2180" w:type="dxa"/>
            <w:vMerge w:val="continue"/>
            <w:tcBorders>
              <w:right w:val="single" w:color="auto" w:sz="8" w:space="0"/>
            </w:tcBorders>
            <w:vAlign w:val="bottom"/>
          </w:tcPr>
          <w:p>
            <w:pPr>
              <w:ind w:left="220" w:leftChars="100"/>
              <w:rPr>
                <w:sz w:val="12"/>
                <w:szCs w:val="12"/>
              </w:rPr>
            </w:pPr>
          </w:p>
        </w:tc>
        <w:tc>
          <w:tcPr>
            <w:tcW w:w="7420" w:type="dxa"/>
            <w:vMerge w:val="continue"/>
            <w:tcBorders>
              <w:right w:val="single" w:color="auto" w:sz="8" w:space="0"/>
            </w:tcBorders>
          </w:tcPr>
          <w:p>
            <w:pPr>
              <w:ind w:left="220" w:leftChars="100"/>
              <w:jc w:val="both"/>
              <w:rPr>
                <w:sz w:val="12"/>
                <w:szCs w:val="12"/>
              </w:rPr>
            </w:pPr>
          </w:p>
        </w:tc>
        <w:tc>
          <w:tcPr>
            <w:tcW w:w="360" w:type="dxa"/>
            <w:vAlign w:val="bottom"/>
          </w:tcPr>
          <w:p>
            <w:pPr>
              <w:ind w:left="220" w:leftChars="100"/>
              <w:rPr>
                <w:sz w:val="1"/>
                <w:szCs w:val="1"/>
              </w:rPr>
            </w:pPr>
          </w:p>
        </w:tc>
      </w:tr>
      <w:tr>
        <w:tblPrEx>
          <w:tblCellMar>
            <w:top w:w="0" w:type="dxa"/>
            <w:left w:w="0" w:type="dxa"/>
            <w:bottom w:w="0" w:type="dxa"/>
            <w:right w:w="0" w:type="dxa"/>
          </w:tblCellMar>
        </w:tblPrEx>
        <w:trPr>
          <w:trHeight w:val="280" w:hRule="atLeast"/>
        </w:trPr>
        <w:tc>
          <w:tcPr>
            <w:tcW w:w="720" w:type="dxa"/>
            <w:vMerge w:val="continue"/>
            <w:tcBorders>
              <w:left w:val="single" w:color="auto" w:sz="8" w:space="0"/>
              <w:bottom w:val="single" w:color="auto" w:sz="8" w:space="0"/>
              <w:right w:val="single" w:color="auto" w:sz="8" w:space="0"/>
            </w:tcBorders>
            <w:vAlign w:val="bottom"/>
          </w:tcPr>
          <w:p>
            <w:pPr>
              <w:ind w:left="220" w:leftChars="100"/>
              <w:rPr>
                <w:sz w:val="17"/>
                <w:szCs w:val="17"/>
              </w:rPr>
            </w:pPr>
          </w:p>
        </w:tc>
        <w:tc>
          <w:tcPr>
            <w:tcW w:w="2180" w:type="dxa"/>
            <w:vMerge w:val="continue"/>
            <w:tcBorders>
              <w:bottom w:val="single" w:color="auto" w:sz="8" w:space="0"/>
              <w:right w:val="single" w:color="auto" w:sz="8" w:space="0"/>
            </w:tcBorders>
            <w:vAlign w:val="bottom"/>
          </w:tcPr>
          <w:p>
            <w:pPr>
              <w:ind w:left="220" w:leftChars="100"/>
              <w:rPr>
                <w:sz w:val="17"/>
                <w:szCs w:val="17"/>
              </w:rPr>
            </w:pPr>
          </w:p>
        </w:tc>
        <w:tc>
          <w:tcPr>
            <w:tcW w:w="7420" w:type="dxa"/>
            <w:vMerge w:val="continue"/>
            <w:tcBorders>
              <w:bottom w:val="single" w:color="auto" w:sz="8" w:space="0"/>
              <w:right w:val="single" w:color="auto" w:sz="8" w:space="0"/>
            </w:tcBorders>
          </w:tcPr>
          <w:p>
            <w:pPr>
              <w:ind w:left="220" w:leftChars="100"/>
              <w:jc w:val="both"/>
              <w:rPr>
                <w:sz w:val="17"/>
                <w:szCs w:val="17"/>
              </w:rPr>
            </w:pPr>
          </w:p>
        </w:tc>
        <w:tc>
          <w:tcPr>
            <w:tcW w:w="360" w:type="dxa"/>
            <w:vAlign w:val="bottom"/>
          </w:tcPr>
          <w:p>
            <w:pPr>
              <w:ind w:left="220" w:leftChars="100"/>
              <w:rPr>
                <w:sz w:val="1"/>
                <w:szCs w:val="1"/>
              </w:rPr>
            </w:pPr>
          </w:p>
        </w:tc>
      </w:tr>
      <w:tr>
        <w:tblPrEx>
          <w:tblCellMar>
            <w:top w:w="0" w:type="dxa"/>
            <w:left w:w="0" w:type="dxa"/>
            <w:bottom w:w="0" w:type="dxa"/>
            <w:right w:w="0" w:type="dxa"/>
          </w:tblCellMar>
        </w:tblPrEx>
        <w:trPr>
          <w:trHeight w:val="258" w:hRule="atLeast"/>
        </w:trPr>
        <w:tc>
          <w:tcPr>
            <w:tcW w:w="720" w:type="dxa"/>
            <w:vMerge w:val="restart"/>
            <w:tcBorders>
              <w:left w:val="single" w:color="auto" w:sz="8" w:space="0"/>
              <w:right w:val="single" w:color="auto" w:sz="8" w:space="0"/>
            </w:tcBorders>
            <w:vAlign w:val="center"/>
          </w:tcPr>
          <w:p>
            <w:pPr>
              <w:spacing w:line="240" w:lineRule="exact"/>
              <w:ind w:left="220" w:leftChars="100" w:right="155"/>
              <w:jc w:val="center"/>
              <w:rPr>
                <w:sz w:val="20"/>
                <w:szCs w:val="20"/>
              </w:rPr>
            </w:pPr>
            <w:r>
              <w:rPr>
                <w:rFonts w:ascii="宋体" w:hAnsi="宋体" w:eastAsia="宋体" w:cs="宋体"/>
                <w:sz w:val="21"/>
                <w:szCs w:val="21"/>
              </w:rPr>
              <w:t>2</w:t>
            </w:r>
            <w:r>
              <w:rPr>
                <w:rFonts w:hint="eastAsia" w:ascii="宋体" w:hAnsi="宋体" w:eastAsia="宋体" w:cs="宋体"/>
                <w:sz w:val="21"/>
                <w:szCs w:val="21"/>
              </w:rPr>
              <w:t>2</w:t>
            </w:r>
          </w:p>
        </w:tc>
        <w:tc>
          <w:tcPr>
            <w:tcW w:w="2180" w:type="dxa"/>
            <w:vMerge w:val="restart"/>
            <w:tcBorders>
              <w:right w:val="single" w:color="auto" w:sz="8" w:space="0"/>
            </w:tcBorders>
            <w:vAlign w:val="center"/>
          </w:tcPr>
          <w:p>
            <w:pPr>
              <w:spacing w:line="240" w:lineRule="exact"/>
              <w:ind w:left="220" w:leftChars="100"/>
              <w:jc w:val="center"/>
              <w:rPr>
                <w:sz w:val="20"/>
                <w:szCs w:val="20"/>
              </w:rPr>
            </w:pPr>
            <w:r>
              <w:rPr>
                <w:rFonts w:ascii="宋体" w:hAnsi="宋体" w:eastAsia="宋体" w:cs="宋体"/>
                <w:sz w:val="21"/>
                <w:szCs w:val="21"/>
              </w:rPr>
              <w:t>签订合同时间</w:t>
            </w:r>
          </w:p>
        </w:tc>
        <w:tc>
          <w:tcPr>
            <w:tcW w:w="7420" w:type="dxa"/>
            <w:vMerge w:val="restart"/>
            <w:tcBorders>
              <w:right w:val="single" w:color="auto" w:sz="8" w:space="0"/>
            </w:tcBorders>
            <w:vAlign w:val="center"/>
          </w:tcPr>
          <w:p>
            <w:pPr>
              <w:spacing w:line="240" w:lineRule="exact"/>
              <w:jc w:val="both"/>
              <w:rPr>
                <w:rFonts w:ascii="宋体" w:hAnsi="宋体" w:eastAsia="宋体" w:cs="宋体"/>
                <w:sz w:val="21"/>
                <w:szCs w:val="21"/>
              </w:rPr>
            </w:pPr>
            <w:r>
              <w:rPr>
                <w:rFonts w:ascii="宋体" w:hAnsi="宋体" w:eastAsia="宋体" w:cs="宋体"/>
                <w:sz w:val="21"/>
                <w:szCs w:val="21"/>
              </w:rPr>
              <w:t>成交通知书发出之日起</w:t>
            </w:r>
            <w:r>
              <w:rPr>
                <w:rFonts w:hint="eastAsia" w:ascii="宋体" w:hAnsi="宋体" w:eastAsia="宋体" w:cs="宋体"/>
                <w:sz w:val="21"/>
                <w:szCs w:val="21"/>
              </w:rPr>
              <w:t>5个工作日</w:t>
            </w:r>
            <w:r>
              <w:rPr>
                <w:rFonts w:ascii="宋体" w:hAnsi="宋体" w:eastAsia="宋体" w:cs="宋体"/>
                <w:sz w:val="21"/>
                <w:szCs w:val="21"/>
              </w:rPr>
              <w:t>内。</w:t>
            </w:r>
            <w:r>
              <w:rPr>
                <w:rFonts w:hint="eastAsia" w:ascii="宋体" w:hAnsi="宋体" w:eastAsia="宋体" w:cs="宋体"/>
                <w:sz w:val="21"/>
                <w:szCs w:val="21"/>
              </w:rPr>
              <w:t>成交供应商领取成交通知书后，应按规定与采购人签订合同。</w:t>
            </w:r>
          </w:p>
        </w:tc>
        <w:tc>
          <w:tcPr>
            <w:tcW w:w="360" w:type="dxa"/>
            <w:vAlign w:val="bottom"/>
          </w:tcPr>
          <w:p>
            <w:pPr>
              <w:ind w:left="220" w:leftChars="100"/>
              <w:rPr>
                <w:sz w:val="1"/>
                <w:szCs w:val="1"/>
              </w:rPr>
            </w:pPr>
          </w:p>
        </w:tc>
      </w:tr>
      <w:tr>
        <w:tblPrEx>
          <w:tblCellMar>
            <w:top w:w="0" w:type="dxa"/>
            <w:left w:w="0" w:type="dxa"/>
            <w:bottom w:w="0" w:type="dxa"/>
            <w:right w:w="0" w:type="dxa"/>
          </w:tblCellMar>
        </w:tblPrEx>
        <w:trPr>
          <w:trHeight w:val="150" w:hRule="atLeast"/>
        </w:trPr>
        <w:tc>
          <w:tcPr>
            <w:tcW w:w="720" w:type="dxa"/>
            <w:vMerge w:val="continue"/>
            <w:tcBorders>
              <w:left w:val="single" w:color="auto" w:sz="8" w:space="0"/>
              <w:right w:val="single" w:color="auto" w:sz="8" w:space="0"/>
            </w:tcBorders>
            <w:vAlign w:val="bottom"/>
          </w:tcPr>
          <w:p>
            <w:pPr>
              <w:ind w:left="220" w:leftChars="100"/>
              <w:rPr>
                <w:sz w:val="13"/>
                <w:szCs w:val="13"/>
              </w:rPr>
            </w:pPr>
          </w:p>
        </w:tc>
        <w:tc>
          <w:tcPr>
            <w:tcW w:w="2180" w:type="dxa"/>
            <w:vMerge w:val="continue"/>
            <w:tcBorders>
              <w:right w:val="single" w:color="auto" w:sz="8" w:space="0"/>
            </w:tcBorders>
            <w:vAlign w:val="bottom"/>
          </w:tcPr>
          <w:p>
            <w:pPr>
              <w:ind w:left="220" w:leftChars="100"/>
              <w:rPr>
                <w:sz w:val="13"/>
                <w:szCs w:val="13"/>
              </w:rPr>
            </w:pPr>
          </w:p>
        </w:tc>
        <w:tc>
          <w:tcPr>
            <w:tcW w:w="7420" w:type="dxa"/>
            <w:vMerge w:val="continue"/>
            <w:tcBorders>
              <w:right w:val="single" w:color="auto" w:sz="8" w:space="0"/>
            </w:tcBorders>
          </w:tcPr>
          <w:p>
            <w:pPr>
              <w:spacing w:line="240" w:lineRule="exact"/>
              <w:ind w:left="220" w:leftChars="100"/>
              <w:jc w:val="both"/>
              <w:rPr>
                <w:sz w:val="20"/>
                <w:szCs w:val="20"/>
              </w:rPr>
            </w:pPr>
          </w:p>
        </w:tc>
        <w:tc>
          <w:tcPr>
            <w:tcW w:w="360" w:type="dxa"/>
            <w:vAlign w:val="bottom"/>
          </w:tcPr>
          <w:p>
            <w:pPr>
              <w:ind w:left="220" w:leftChars="100"/>
              <w:rPr>
                <w:sz w:val="1"/>
                <w:szCs w:val="1"/>
              </w:rPr>
            </w:pPr>
          </w:p>
        </w:tc>
      </w:tr>
      <w:tr>
        <w:tblPrEx>
          <w:tblCellMar>
            <w:top w:w="0" w:type="dxa"/>
            <w:left w:w="0" w:type="dxa"/>
            <w:bottom w:w="0" w:type="dxa"/>
            <w:right w:w="0" w:type="dxa"/>
          </w:tblCellMar>
        </w:tblPrEx>
        <w:trPr>
          <w:trHeight w:val="150" w:hRule="atLeast"/>
        </w:trPr>
        <w:tc>
          <w:tcPr>
            <w:tcW w:w="720" w:type="dxa"/>
            <w:vMerge w:val="continue"/>
            <w:tcBorders>
              <w:left w:val="single" w:color="auto" w:sz="8" w:space="0"/>
              <w:right w:val="single" w:color="auto" w:sz="8" w:space="0"/>
            </w:tcBorders>
            <w:vAlign w:val="bottom"/>
          </w:tcPr>
          <w:p>
            <w:pPr>
              <w:ind w:left="220" w:leftChars="100"/>
              <w:rPr>
                <w:sz w:val="13"/>
                <w:szCs w:val="13"/>
              </w:rPr>
            </w:pPr>
          </w:p>
        </w:tc>
        <w:tc>
          <w:tcPr>
            <w:tcW w:w="2180" w:type="dxa"/>
            <w:vMerge w:val="continue"/>
            <w:tcBorders>
              <w:right w:val="single" w:color="auto" w:sz="8" w:space="0"/>
            </w:tcBorders>
            <w:vAlign w:val="bottom"/>
          </w:tcPr>
          <w:p>
            <w:pPr>
              <w:ind w:left="220" w:leftChars="100"/>
              <w:rPr>
                <w:sz w:val="13"/>
                <w:szCs w:val="13"/>
              </w:rPr>
            </w:pPr>
          </w:p>
        </w:tc>
        <w:tc>
          <w:tcPr>
            <w:tcW w:w="7420" w:type="dxa"/>
            <w:vMerge w:val="continue"/>
            <w:tcBorders>
              <w:right w:val="single" w:color="auto" w:sz="8" w:space="0"/>
            </w:tcBorders>
          </w:tcPr>
          <w:p>
            <w:pPr>
              <w:ind w:left="220" w:leftChars="100"/>
              <w:jc w:val="both"/>
              <w:rPr>
                <w:sz w:val="13"/>
                <w:szCs w:val="13"/>
              </w:rPr>
            </w:pPr>
          </w:p>
        </w:tc>
        <w:tc>
          <w:tcPr>
            <w:tcW w:w="360" w:type="dxa"/>
            <w:vAlign w:val="bottom"/>
          </w:tcPr>
          <w:p>
            <w:pPr>
              <w:ind w:left="220" w:leftChars="100"/>
              <w:rPr>
                <w:sz w:val="1"/>
                <w:szCs w:val="1"/>
              </w:rPr>
            </w:pPr>
          </w:p>
        </w:tc>
      </w:tr>
      <w:tr>
        <w:tblPrEx>
          <w:tblCellMar>
            <w:top w:w="0" w:type="dxa"/>
            <w:left w:w="0" w:type="dxa"/>
            <w:bottom w:w="0" w:type="dxa"/>
            <w:right w:w="0" w:type="dxa"/>
          </w:tblCellMar>
        </w:tblPrEx>
        <w:trPr>
          <w:trHeight w:val="106" w:hRule="atLeast"/>
        </w:trPr>
        <w:tc>
          <w:tcPr>
            <w:tcW w:w="720" w:type="dxa"/>
            <w:vMerge w:val="continue"/>
            <w:tcBorders>
              <w:left w:val="single" w:color="auto" w:sz="8" w:space="0"/>
              <w:bottom w:val="single" w:color="auto" w:sz="8" w:space="0"/>
              <w:right w:val="single" w:color="auto" w:sz="8" w:space="0"/>
            </w:tcBorders>
            <w:vAlign w:val="bottom"/>
          </w:tcPr>
          <w:p>
            <w:pPr>
              <w:ind w:left="220" w:leftChars="100"/>
              <w:rPr>
                <w:sz w:val="2"/>
                <w:szCs w:val="2"/>
              </w:rPr>
            </w:pPr>
          </w:p>
        </w:tc>
        <w:tc>
          <w:tcPr>
            <w:tcW w:w="2180" w:type="dxa"/>
            <w:vMerge w:val="continue"/>
            <w:tcBorders>
              <w:bottom w:val="single" w:color="auto" w:sz="8" w:space="0"/>
              <w:right w:val="single" w:color="auto" w:sz="8" w:space="0"/>
            </w:tcBorders>
            <w:vAlign w:val="bottom"/>
          </w:tcPr>
          <w:p>
            <w:pPr>
              <w:ind w:left="220" w:leftChars="100"/>
              <w:rPr>
                <w:sz w:val="2"/>
                <w:szCs w:val="2"/>
              </w:rPr>
            </w:pPr>
          </w:p>
        </w:tc>
        <w:tc>
          <w:tcPr>
            <w:tcW w:w="7420" w:type="dxa"/>
            <w:vMerge w:val="continue"/>
            <w:tcBorders>
              <w:bottom w:val="single" w:color="auto" w:sz="8" w:space="0"/>
              <w:right w:val="single" w:color="auto" w:sz="8" w:space="0"/>
            </w:tcBorders>
          </w:tcPr>
          <w:p>
            <w:pPr>
              <w:ind w:left="220" w:leftChars="100"/>
              <w:jc w:val="both"/>
              <w:rPr>
                <w:sz w:val="2"/>
                <w:szCs w:val="2"/>
              </w:rPr>
            </w:pPr>
          </w:p>
        </w:tc>
        <w:tc>
          <w:tcPr>
            <w:tcW w:w="360" w:type="dxa"/>
            <w:vAlign w:val="bottom"/>
          </w:tcPr>
          <w:p>
            <w:pPr>
              <w:ind w:left="220" w:leftChars="100"/>
              <w:rPr>
                <w:sz w:val="1"/>
                <w:szCs w:val="1"/>
              </w:rPr>
            </w:pPr>
          </w:p>
        </w:tc>
      </w:tr>
      <w:tr>
        <w:trPr>
          <w:trHeight w:val="298" w:hRule="atLeast"/>
        </w:trPr>
        <w:tc>
          <w:tcPr>
            <w:tcW w:w="720" w:type="dxa"/>
            <w:vMerge w:val="restart"/>
            <w:tcBorders>
              <w:left w:val="single" w:color="auto" w:sz="8" w:space="0"/>
              <w:right w:val="single" w:color="auto" w:sz="8" w:space="0"/>
            </w:tcBorders>
            <w:vAlign w:val="center"/>
          </w:tcPr>
          <w:p>
            <w:pPr>
              <w:spacing w:line="240" w:lineRule="exact"/>
              <w:ind w:left="220" w:leftChars="100" w:right="155"/>
              <w:jc w:val="center"/>
              <w:rPr>
                <w:sz w:val="20"/>
                <w:szCs w:val="20"/>
              </w:rPr>
            </w:pPr>
            <w:r>
              <w:rPr>
                <w:rFonts w:ascii="宋体" w:hAnsi="宋体" w:eastAsia="宋体" w:cs="宋体"/>
                <w:sz w:val="21"/>
                <w:szCs w:val="21"/>
              </w:rPr>
              <w:t>2</w:t>
            </w:r>
            <w:r>
              <w:rPr>
                <w:rFonts w:hint="eastAsia" w:ascii="宋体" w:hAnsi="宋体" w:eastAsia="宋体" w:cs="宋体"/>
                <w:sz w:val="21"/>
                <w:szCs w:val="21"/>
              </w:rPr>
              <w:t>3</w:t>
            </w:r>
          </w:p>
        </w:tc>
        <w:tc>
          <w:tcPr>
            <w:tcW w:w="2180" w:type="dxa"/>
            <w:vMerge w:val="restart"/>
            <w:tcBorders>
              <w:right w:val="single" w:color="auto" w:sz="8" w:space="0"/>
            </w:tcBorders>
            <w:vAlign w:val="center"/>
          </w:tcPr>
          <w:p>
            <w:pPr>
              <w:spacing w:line="240" w:lineRule="exact"/>
              <w:ind w:left="220" w:leftChars="100"/>
              <w:jc w:val="center"/>
              <w:rPr>
                <w:rFonts w:ascii="宋体" w:hAnsi="宋体" w:eastAsia="宋体" w:cs="宋体"/>
                <w:sz w:val="21"/>
                <w:szCs w:val="21"/>
              </w:rPr>
            </w:pPr>
            <w:r>
              <w:rPr>
                <w:rFonts w:ascii="宋体" w:hAnsi="宋体" w:eastAsia="宋体" w:cs="宋体"/>
                <w:sz w:val="21"/>
                <w:szCs w:val="21"/>
              </w:rPr>
              <w:t>合同备案存档</w:t>
            </w:r>
          </w:p>
        </w:tc>
        <w:tc>
          <w:tcPr>
            <w:tcW w:w="7420" w:type="dxa"/>
            <w:vMerge w:val="restart"/>
            <w:tcBorders>
              <w:right w:val="single" w:color="auto" w:sz="8" w:space="0"/>
            </w:tcBorders>
            <w:vAlign w:val="center"/>
          </w:tcPr>
          <w:p>
            <w:pPr>
              <w:spacing w:line="240" w:lineRule="exact"/>
              <w:jc w:val="both"/>
              <w:rPr>
                <w:rFonts w:ascii="宋体" w:hAnsi="宋体" w:eastAsia="宋体" w:cs="宋体"/>
                <w:sz w:val="21"/>
                <w:szCs w:val="21"/>
              </w:rPr>
            </w:pPr>
            <w:r>
              <w:rPr>
                <w:rFonts w:ascii="宋体" w:hAnsi="宋体" w:eastAsia="宋体" w:cs="宋体"/>
                <w:sz w:val="21"/>
                <w:szCs w:val="21"/>
              </w:rPr>
              <w:t>采购合同双方自签订之日起2个工作日内将合同原件一份交采购代理机构存档。</w:t>
            </w:r>
          </w:p>
        </w:tc>
        <w:tc>
          <w:tcPr>
            <w:tcW w:w="360" w:type="dxa"/>
            <w:vAlign w:val="bottom"/>
          </w:tcPr>
          <w:p>
            <w:pPr>
              <w:ind w:left="220" w:leftChars="100"/>
              <w:rPr>
                <w:sz w:val="1"/>
                <w:szCs w:val="1"/>
              </w:rPr>
            </w:pPr>
          </w:p>
        </w:tc>
      </w:tr>
      <w:tr>
        <w:tblPrEx>
          <w:tblCellMar>
            <w:top w:w="0" w:type="dxa"/>
            <w:left w:w="0" w:type="dxa"/>
            <w:bottom w:w="0" w:type="dxa"/>
            <w:right w:w="0" w:type="dxa"/>
          </w:tblCellMar>
        </w:tblPrEx>
        <w:trPr>
          <w:trHeight w:val="175" w:hRule="atLeast"/>
        </w:trPr>
        <w:tc>
          <w:tcPr>
            <w:tcW w:w="720" w:type="dxa"/>
            <w:vMerge w:val="continue"/>
            <w:tcBorders>
              <w:left w:val="single" w:color="auto" w:sz="8" w:space="0"/>
              <w:bottom w:val="single" w:color="auto" w:sz="8" w:space="0"/>
              <w:right w:val="single" w:color="auto" w:sz="8" w:space="0"/>
            </w:tcBorders>
            <w:vAlign w:val="bottom"/>
          </w:tcPr>
          <w:p>
            <w:pPr>
              <w:ind w:left="220" w:leftChars="100"/>
              <w:rPr>
                <w:sz w:val="6"/>
                <w:szCs w:val="6"/>
              </w:rPr>
            </w:pPr>
          </w:p>
        </w:tc>
        <w:tc>
          <w:tcPr>
            <w:tcW w:w="2180" w:type="dxa"/>
            <w:vMerge w:val="continue"/>
            <w:tcBorders>
              <w:bottom w:val="single" w:color="auto" w:sz="8" w:space="0"/>
              <w:right w:val="single" w:color="auto" w:sz="8" w:space="0"/>
            </w:tcBorders>
            <w:vAlign w:val="bottom"/>
          </w:tcPr>
          <w:p>
            <w:pPr>
              <w:ind w:left="220" w:leftChars="100"/>
              <w:rPr>
                <w:sz w:val="6"/>
                <w:szCs w:val="6"/>
              </w:rPr>
            </w:pPr>
          </w:p>
        </w:tc>
        <w:tc>
          <w:tcPr>
            <w:tcW w:w="7420" w:type="dxa"/>
            <w:vMerge w:val="continue"/>
            <w:tcBorders>
              <w:bottom w:val="single" w:color="auto" w:sz="8" w:space="0"/>
              <w:right w:val="single" w:color="auto" w:sz="8" w:space="0"/>
            </w:tcBorders>
            <w:vAlign w:val="bottom"/>
          </w:tcPr>
          <w:p>
            <w:pPr>
              <w:ind w:left="220" w:leftChars="100"/>
              <w:rPr>
                <w:sz w:val="6"/>
                <w:szCs w:val="6"/>
              </w:rPr>
            </w:pPr>
          </w:p>
        </w:tc>
        <w:tc>
          <w:tcPr>
            <w:tcW w:w="360" w:type="dxa"/>
            <w:vAlign w:val="bottom"/>
          </w:tcPr>
          <w:p>
            <w:pPr>
              <w:ind w:left="220" w:leftChars="100"/>
              <w:rPr>
                <w:sz w:val="1"/>
                <w:szCs w:val="1"/>
              </w:rPr>
            </w:pPr>
          </w:p>
        </w:tc>
      </w:tr>
      <w:tr>
        <w:tblPrEx>
          <w:tblCellMar>
            <w:top w:w="0" w:type="dxa"/>
            <w:left w:w="0" w:type="dxa"/>
            <w:bottom w:w="0" w:type="dxa"/>
            <w:right w:w="0" w:type="dxa"/>
          </w:tblCellMar>
        </w:tblPrEx>
        <w:trPr>
          <w:trHeight w:val="420" w:hRule="atLeast"/>
        </w:trPr>
        <w:tc>
          <w:tcPr>
            <w:tcW w:w="720" w:type="dxa"/>
            <w:vMerge w:val="restart"/>
            <w:tcBorders>
              <w:left w:val="single" w:color="auto" w:sz="8" w:space="0"/>
              <w:right w:val="single" w:color="auto" w:sz="8" w:space="0"/>
            </w:tcBorders>
            <w:vAlign w:val="center"/>
          </w:tcPr>
          <w:p>
            <w:pPr>
              <w:spacing w:line="240" w:lineRule="exact"/>
              <w:ind w:left="220" w:leftChars="100" w:right="155"/>
              <w:jc w:val="center"/>
              <w:rPr>
                <w:sz w:val="20"/>
                <w:szCs w:val="20"/>
              </w:rPr>
            </w:pPr>
            <w:r>
              <w:rPr>
                <w:rFonts w:ascii="宋体" w:hAnsi="宋体" w:eastAsia="宋体" w:cs="宋体"/>
                <w:sz w:val="21"/>
                <w:szCs w:val="21"/>
              </w:rPr>
              <w:t>2</w:t>
            </w:r>
            <w:r>
              <w:rPr>
                <w:rFonts w:hint="eastAsia" w:ascii="宋体" w:hAnsi="宋体" w:eastAsia="宋体" w:cs="宋体"/>
                <w:sz w:val="21"/>
                <w:szCs w:val="21"/>
              </w:rPr>
              <w:t>4</w:t>
            </w:r>
          </w:p>
        </w:tc>
        <w:tc>
          <w:tcPr>
            <w:tcW w:w="2180" w:type="dxa"/>
            <w:vMerge w:val="restart"/>
            <w:tcBorders>
              <w:right w:val="single" w:color="auto" w:sz="8" w:space="0"/>
            </w:tcBorders>
            <w:vAlign w:val="center"/>
          </w:tcPr>
          <w:p>
            <w:pPr>
              <w:ind w:left="220" w:leftChars="100"/>
              <w:jc w:val="center"/>
              <w:rPr>
                <w:sz w:val="24"/>
                <w:szCs w:val="24"/>
              </w:rPr>
            </w:pPr>
            <w:r>
              <w:rPr>
                <w:rFonts w:ascii="宋体" w:hAnsi="宋体" w:eastAsia="宋体" w:cs="宋体"/>
                <w:sz w:val="21"/>
                <w:szCs w:val="21"/>
              </w:rPr>
              <w:t>采购代理服务费</w:t>
            </w:r>
          </w:p>
        </w:tc>
        <w:tc>
          <w:tcPr>
            <w:tcW w:w="7420" w:type="dxa"/>
            <w:vMerge w:val="restart"/>
            <w:tcBorders>
              <w:right w:val="single" w:color="auto" w:sz="8" w:space="0"/>
            </w:tcBorders>
          </w:tcPr>
          <w:p>
            <w:pPr>
              <w:spacing w:line="360" w:lineRule="auto"/>
              <w:rPr>
                <w:szCs w:val="20"/>
              </w:rPr>
            </w:pPr>
            <w:r>
              <w:rPr>
                <w:rFonts w:ascii="宋体" w:hAnsi="宋体" w:eastAsia="宋体" w:cs="宋体"/>
                <w:sz w:val="21"/>
                <w:szCs w:val="21"/>
              </w:rPr>
              <w:t>成交供应商领取成交通知书前，向</w:t>
            </w:r>
            <w:r>
              <w:rPr>
                <w:rFonts w:hint="eastAsia" w:ascii="宋体" w:hAnsi="宋体" w:eastAsia="宋体" w:cs="宋体"/>
                <w:sz w:val="21"/>
                <w:szCs w:val="21"/>
              </w:rPr>
              <w:t>广西大通建设监理咨询管理有限公司</w:t>
            </w:r>
            <w:r>
              <w:rPr>
                <w:rFonts w:ascii="宋体" w:hAnsi="宋体" w:eastAsia="宋体" w:cs="宋体"/>
                <w:sz w:val="21"/>
                <w:szCs w:val="21"/>
              </w:rPr>
              <w:t>一次性付清采购代理服务费和评委费。本项目的采购代理服务收费标准参照计价格[2002]1980 号《招标代理服务收费管理暂行办法》货物类收费标准向成交供应商收取。</w:t>
            </w:r>
          </w:p>
        </w:tc>
        <w:tc>
          <w:tcPr>
            <w:tcW w:w="360" w:type="dxa"/>
            <w:vAlign w:val="bottom"/>
          </w:tcPr>
          <w:p>
            <w:pPr>
              <w:ind w:left="220" w:leftChars="100"/>
              <w:rPr>
                <w:sz w:val="1"/>
                <w:szCs w:val="1"/>
              </w:rPr>
            </w:pPr>
          </w:p>
        </w:tc>
      </w:tr>
      <w:tr>
        <w:trPr>
          <w:trHeight w:val="837" w:hRule="atLeast"/>
        </w:trPr>
        <w:tc>
          <w:tcPr>
            <w:tcW w:w="720" w:type="dxa"/>
            <w:vMerge w:val="continue"/>
            <w:tcBorders>
              <w:left w:val="single" w:color="auto" w:sz="8" w:space="0"/>
              <w:right w:val="single" w:color="auto" w:sz="8" w:space="0"/>
            </w:tcBorders>
            <w:vAlign w:val="center"/>
          </w:tcPr>
          <w:p>
            <w:pPr>
              <w:spacing w:line="240" w:lineRule="exact"/>
              <w:ind w:left="220" w:leftChars="100" w:right="155"/>
              <w:jc w:val="center"/>
              <w:rPr>
                <w:sz w:val="20"/>
                <w:szCs w:val="20"/>
              </w:rPr>
            </w:pPr>
          </w:p>
        </w:tc>
        <w:tc>
          <w:tcPr>
            <w:tcW w:w="2180" w:type="dxa"/>
            <w:vMerge w:val="continue"/>
            <w:tcBorders>
              <w:right w:val="single" w:color="auto" w:sz="8" w:space="0"/>
            </w:tcBorders>
            <w:vAlign w:val="center"/>
          </w:tcPr>
          <w:p>
            <w:pPr>
              <w:ind w:left="220" w:leftChars="100"/>
              <w:jc w:val="center"/>
              <w:rPr>
                <w:sz w:val="24"/>
                <w:szCs w:val="24"/>
              </w:rPr>
            </w:pPr>
          </w:p>
        </w:tc>
        <w:tc>
          <w:tcPr>
            <w:tcW w:w="7420" w:type="dxa"/>
            <w:vMerge w:val="continue"/>
            <w:tcBorders>
              <w:right w:val="single" w:color="auto" w:sz="8" w:space="0"/>
            </w:tcBorders>
          </w:tcPr>
          <w:p>
            <w:pPr>
              <w:spacing w:line="240" w:lineRule="exact"/>
              <w:ind w:left="220" w:leftChars="100" w:firstLine="400" w:firstLineChars="200"/>
              <w:jc w:val="both"/>
              <w:rPr>
                <w:sz w:val="20"/>
                <w:szCs w:val="20"/>
              </w:rPr>
            </w:pPr>
          </w:p>
        </w:tc>
        <w:tc>
          <w:tcPr>
            <w:tcW w:w="360" w:type="dxa"/>
            <w:vAlign w:val="bottom"/>
          </w:tcPr>
          <w:p>
            <w:pPr>
              <w:ind w:left="220" w:leftChars="100"/>
              <w:rPr>
                <w:sz w:val="1"/>
                <w:szCs w:val="1"/>
              </w:rPr>
            </w:pPr>
          </w:p>
        </w:tc>
      </w:tr>
      <w:tr>
        <w:tblPrEx>
          <w:tblCellMar>
            <w:top w:w="0" w:type="dxa"/>
            <w:left w:w="0" w:type="dxa"/>
            <w:bottom w:w="0" w:type="dxa"/>
            <w:right w:w="0" w:type="dxa"/>
          </w:tblCellMar>
        </w:tblPrEx>
        <w:trPr>
          <w:trHeight w:val="90" w:hRule="atLeast"/>
        </w:trPr>
        <w:tc>
          <w:tcPr>
            <w:tcW w:w="720" w:type="dxa"/>
            <w:vMerge w:val="continue"/>
            <w:tcBorders>
              <w:left w:val="single" w:color="auto" w:sz="8" w:space="0"/>
              <w:bottom w:val="single" w:color="auto" w:sz="8" w:space="0"/>
              <w:right w:val="single" w:color="auto" w:sz="8" w:space="0"/>
            </w:tcBorders>
            <w:vAlign w:val="center"/>
          </w:tcPr>
          <w:p>
            <w:pPr>
              <w:ind w:left="220" w:leftChars="100"/>
              <w:jc w:val="center"/>
              <w:rPr>
                <w:sz w:val="24"/>
                <w:szCs w:val="24"/>
              </w:rPr>
            </w:pPr>
          </w:p>
        </w:tc>
        <w:tc>
          <w:tcPr>
            <w:tcW w:w="2180" w:type="dxa"/>
            <w:vMerge w:val="continue"/>
            <w:tcBorders>
              <w:bottom w:val="single" w:color="auto" w:sz="8" w:space="0"/>
              <w:right w:val="single" w:color="auto" w:sz="8" w:space="0"/>
            </w:tcBorders>
            <w:vAlign w:val="center"/>
          </w:tcPr>
          <w:p>
            <w:pPr>
              <w:ind w:left="220" w:leftChars="100"/>
              <w:jc w:val="center"/>
              <w:rPr>
                <w:sz w:val="24"/>
                <w:szCs w:val="24"/>
              </w:rPr>
            </w:pPr>
          </w:p>
        </w:tc>
        <w:tc>
          <w:tcPr>
            <w:tcW w:w="7420" w:type="dxa"/>
            <w:vMerge w:val="continue"/>
            <w:tcBorders>
              <w:bottom w:val="single" w:color="auto" w:sz="8" w:space="0"/>
              <w:right w:val="single" w:color="auto" w:sz="8" w:space="0"/>
            </w:tcBorders>
          </w:tcPr>
          <w:p>
            <w:pPr>
              <w:spacing w:line="267" w:lineRule="exact"/>
              <w:ind w:left="220" w:leftChars="100"/>
              <w:jc w:val="both"/>
              <w:rPr>
                <w:sz w:val="20"/>
                <w:szCs w:val="20"/>
              </w:rPr>
            </w:pPr>
          </w:p>
        </w:tc>
        <w:tc>
          <w:tcPr>
            <w:tcW w:w="360" w:type="dxa"/>
            <w:vAlign w:val="bottom"/>
          </w:tcPr>
          <w:p>
            <w:pPr>
              <w:ind w:left="220" w:leftChars="100"/>
              <w:rPr>
                <w:sz w:val="1"/>
                <w:szCs w:val="1"/>
              </w:rPr>
            </w:pPr>
          </w:p>
        </w:tc>
      </w:tr>
      <w:tr>
        <w:tblPrEx>
          <w:tblCellMar>
            <w:top w:w="0" w:type="dxa"/>
            <w:left w:w="0" w:type="dxa"/>
            <w:bottom w:w="0" w:type="dxa"/>
            <w:right w:w="0" w:type="dxa"/>
          </w:tblCellMar>
        </w:tblPrEx>
        <w:trPr>
          <w:trHeight w:val="298" w:hRule="atLeast"/>
        </w:trPr>
        <w:tc>
          <w:tcPr>
            <w:tcW w:w="720" w:type="dxa"/>
            <w:vMerge w:val="restart"/>
            <w:tcBorders>
              <w:left w:val="single" w:color="auto" w:sz="8" w:space="0"/>
              <w:right w:val="single" w:color="auto" w:sz="8" w:space="0"/>
            </w:tcBorders>
            <w:vAlign w:val="center"/>
          </w:tcPr>
          <w:p>
            <w:pPr>
              <w:spacing w:line="240" w:lineRule="exact"/>
              <w:ind w:left="220" w:leftChars="100" w:right="155"/>
              <w:jc w:val="center"/>
              <w:rPr>
                <w:sz w:val="20"/>
                <w:szCs w:val="20"/>
              </w:rPr>
            </w:pPr>
            <w:r>
              <w:rPr>
                <w:rFonts w:ascii="宋体" w:hAnsi="宋体" w:eastAsia="宋体" w:cs="宋体"/>
                <w:sz w:val="21"/>
                <w:szCs w:val="21"/>
              </w:rPr>
              <w:t>2</w:t>
            </w:r>
            <w:r>
              <w:rPr>
                <w:rFonts w:hint="eastAsia" w:ascii="宋体" w:hAnsi="宋体" w:eastAsia="宋体" w:cs="宋体"/>
                <w:sz w:val="21"/>
                <w:szCs w:val="21"/>
              </w:rPr>
              <w:t>5</w:t>
            </w:r>
          </w:p>
        </w:tc>
        <w:tc>
          <w:tcPr>
            <w:tcW w:w="2180" w:type="dxa"/>
            <w:vMerge w:val="restart"/>
            <w:tcBorders>
              <w:right w:val="single" w:color="auto" w:sz="8" w:space="0"/>
            </w:tcBorders>
            <w:vAlign w:val="center"/>
          </w:tcPr>
          <w:p>
            <w:pPr>
              <w:spacing w:line="240" w:lineRule="exact"/>
              <w:ind w:left="220" w:leftChars="100"/>
              <w:jc w:val="center"/>
              <w:rPr>
                <w:sz w:val="20"/>
                <w:szCs w:val="20"/>
              </w:rPr>
            </w:pPr>
            <w:r>
              <w:rPr>
                <w:rFonts w:ascii="宋体" w:hAnsi="宋体" w:eastAsia="宋体" w:cs="宋体"/>
                <w:sz w:val="21"/>
                <w:szCs w:val="21"/>
              </w:rPr>
              <w:t>解释权</w:t>
            </w:r>
          </w:p>
        </w:tc>
        <w:tc>
          <w:tcPr>
            <w:tcW w:w="7420" w:type="dxa"/>
            <w:vMerge w:val="restart"/>
            <w:tcBorders>
              <w:right w:val="single" w:color="auto" w:sz="8" w:space="0"/>
            </w:tcBorders>
          </w:tcPr>
          <w:p>
            <w:pPr>
              <w:spacing w:line="240" w:lineRule="exact"/>
              <w:ind w:left="220" w:leftChars="100"/>
              <w:jc w:val="both"/>
              <w:rPr>
                <w:rFonts w:ascii="宋体" w:hAnsi="宋体" w:eastAsia="宋体" w:cs="宋体"/>
                <w:sz w:val="21"/>
                <w:szCs w:val="21"/>
              </w:rPr>
            </w:pPr>
          </w:p>
          <w:p>
            <w:pPr>
              <w:spacing w:line="240" w:lineRule="exact"/>
              <w:jc w:val="both"/>
              <w:rPr>
                <w:sz w:val="20"/>
                <w:szCs w:val="20"/>
              </w:rPr>
            </w:pPr>
            <w:r>
              <w:rPr>
                <w:rFonts w:ascii="宋体" w:hAnsi="宋体" w:eastAsia="宋体" w:cs="宋体"/>
                <w:sz w:val="21"/>
                <w:szCs w:val="21"/>
              </w:rPr>
              <w:t>本竞争性磋商文件的解释权属于采购代理机构。</w:t>
            </w:r>
          </w:p>
        </w:tc>
        <w:tc>
          <w:tcPr>
            <w:tcW w:w="360" w:type="dxa"/>
            <w:vAlign w:val="bottom"/>
          </w:tcPr>
          <w:p>
            <w:pPr>
              <w:ind w:left="220" w:leftChars="100"/>
              <w:rPr>
                <w:sz w:val="1"/>
                <w:szCs w:val="1"/>
              </w:rPr>
            </w:pPr>
          </w:p>
        </w:tc>
      </w:tr>
      <w:tr>
        <w:tblPrEx>
          <w:tblCellMar>
            <w:top w:w="0" w:type="dxa"/>
            <w:left w:w="0" w:type="dxa"/>
            <w:bottom w:w="0" w:type="dxa"/>
            <w:right w:w="0" w:type="dxa"/>
          </w:tblCellMar>
        </w:tblPrEx>
        <w:trPr>
          <w:trHeight w:val="304" w:hRule="atLeast"/>
        </w:trPr>
        <w:tc>
          <w:tcPr>
            <w:tcW w:w="720" w:type="dxa"/>
            <w:vMerge w:val="continue"/>
            <w:tcBorders>
              <w:left w:val="single" w:color="auto" w:sz="8" w:space="0"/>
              <w:bottom w:val="single" w:color="auto" w:sz="8" w:space="0"/>
              <w:right w:val="single" w:color="auto" w:sz="8" w:space="0"/>
            </w:tcBorders>
            <w:vAlign w:val="center"/>
          </w:tcPr>
          <w:p>
            <w:pPr>
              <w:ind w:left="220" w:leftChars="100"/>
              <w:jc w:val="center"/>
              <w:rPr>
                <w:sz w:val="5"/>
                <w:szCs w:val="5"/>
              </w:rPr>
            </w:pPr>
          </w:p>
        </w:tc>
        <w:tc>
          <w:tcPr>
            <w:tcW w:w="2180" w:type="dxa"/>
            <w:vMerge w:val="continue"/>
            <w:tcBorders>
              <w:bottom w:val="single" w:color="auto" w:sz="8" w:space="0"/>
              <w:right w:val="single" w:color="auto" w:sz="8" w:space="0"/>
            </w:tcBorders>
            <w:vAlign w:val="center"/>
          </w:tcPr>
          <w:p>
            <w:pPr>
              <w:ind w:left="220" w:leftChars="100"/>
              <w:jc w:val="center"/>
              <w:rPr>
                <w:sz w:val="5"/>
                <w:szCs w:val="5"/>
              </w:rPr>
            </w:pPr>
          </w:p>
        </w:tc>
        <w:tc>
          <w:tcPr>
            <w:tcW w:w="7420" w:type="dxa"/>
            <w:vMerge w:val="continue"/>
            <w:tcBorders>
              <w:bottom w:val="single" w:color="auto" w:sz="8" w:space="0"/>
              <w:right w:val="single" w:color="auto" w:sz="8" w:space="0"/>
            </w:tcBorders>
            <w:vAlign w:val="center"/>
          </w:tcPr>
          <w:p>
            <w:pPr>
              <w:ind w:left="220" w:leftChars="100"/>
              <w:jc w:val="center"/>
              <w:rPr>
                <w:sz w:val="5"/>
                <w:szCs w:val="5"/>
              </w:rPr>
            </w:pPr>
          </w:p>
        </w:tc>
        <w:tc>
          <w:tcPr>
            <w:tcW w:w="360" w:type="dxa"/>
            <w:vAlign w:val="bottom"/>
          </w:tcPr>
          <w:p>
            <w:pPr>
              <w:ind w:left="220" w:leftChars="100"/>
              <w:rPr>
                <w:sz w:val="1"/>
                <w:szCs w:val="1"/>
              </w:rPr>
            </w:pPr>
          </w:p>
        </w:tc>
      </w:tr>
      <w:tr>
        <w:tblPrEx>
          <w:tblCellMar>
            <w:top w:w="0" w:type="dxa"/>
            <w:left w:w="0" w:type="dxa"/>
            <w:bottom w:w="0" w:type="dxa"/>
            <w:right w:w="0" w:type="dxa"/>
          </w:tblCellMar>
        </w:tblPrEx>
        <w:trPr>
          <w:trHeight w:val="495" w:hRule="atLeast"/>
        </w:trPr>
        <w:tc>
          <w:tcPr>
            <w:tcW w:w="720" w:type="dxa"/>
            <w:vMerge w:val="restart"/>
            <w:tcBorders>
              <w:left w:val="single" w:color="auto" w:sz="8" w:space="0"/>
              <w:right w:val="single" w:color="auto" w:sz="8" w:space="0"/>
            </w:tcBorders>
            <w:vAlign w:val="center"/>
          </w:tcPr>
          <w:p>
            <w:pPr>
              <w:spacing w:line="240" w:lineRule="exact"/>
              <w:ind w:left="220" w:leftChars="100" w:right="155"/>
              <w:jc w:val="center"/>
              <w:rPr>
                <w:sz w:val="20"/>
                <w:szCs w:val="20"/>
              </w:rPr>
            </w:pPr>
            <w:r>
              <w:rPr>
                <w:rFonts w:ascii="宋体" w:hAnsi="宋体" w:eastAsia="宋体" w:cs="宋体"/>
                <w:sz w:val="21"/>
                <w:szCs w:val="21"/>
              </w:rPr>
              <w:t>2</w:t>
            </w:r>
            <w:r>
              <w:rPr>
                <w:rFonts w:hint="eastAsia" w:ascii="宋体" w:hAnsi="宋体" w:eastAsia="宋体" w:cs="宋体"/>
                <w:sz w:val="21"/>
                <w:szCs w:val="21"/>
              </w:rPr>
              <w:t>6</w:t>
            </w:r>
          </w:p>
        </w:tc>
        <w:tc>
          <w:tcPr>
            <w:tcW w:w="2180" w:type="dxa"/>
            <w:vMerge w:val="restart"/>
            <w:tcBorders>
              <w:right w:val="single" w:color="auto" w:sz="8" w:space="0"/>
            </w:tcBorders>
            <w:vAlign w:val="center"/>
          </w:tcPr>
          <w:p>
            <w:pPr>
              <w:spacing w:line="240" w:lineRule="exact"/>
              <w:ind w:left="220" w:leftChars="100"/>
              <w:jc w:val="center"/>
              <w:rPr>
                <w:sz w:val="20"/>
                <w:szCs w:val="20"/>
              </w:rPr>
            </w:pPr>
            <w:r>
              <w:rPr>
                <w:rFonts w:ascii="宋体" w:hAnsi="宋体" w:eastAsia="宋体" w:cs="宋体"/>
                <w:sz w:val="21"/>
                <w:szCs w:val="21"/>
              </w:rPr>
              <w:t>监督管理机构</w:t>
            </w:r>
          </w:p>
        </w:tc>
        <w:tc>
          <w:tcPr>
            <w:tcW w:w="7420" w:type="dxa"/>
            <w:vMerge w:val="restart"/>
            <w:tcBorders>
              <w:right w:val="single" w:color="auto" w:sz="8" w:space="0"/>
            </w:tcBorders>
            <w:vAlign w:val="center"/>
          </w:tcPr>
          <w:p>
            <w:pPr>
              <w:tabs>
                <w:tab w:val="left" w:pos="312"/>
              </w:tabs>
              <w:spacing w:line="240" w:lineRule="exact"/>
              <w:jc w:val="both"/>
              <w:rPr>
                <w:sz w:val="20"/>
                <w:szCs w:val="20"/>
              </w:rPr>
            </w:pPr>
            <w:r>
              <w:rPr>
                <w:rFonts w:hint="eastAsia" w:ascii="宋体" w:hAnsi="宋体" w:eastAsia="宋体" w:cs="宋体"/>
                <w:sz w:val="21"/>
                <w:szCs w:val="21"/>
              </w:rPr>
              <w:t xml:space="preserve">灵山县财政局   </w:t>
            </w:r>
            <w:r>
              <w:rPr>
                <w:rFonts w:ascii="宋体" w:hAnsi="宋体" w:eastAsia="宋体" w:cs="宋体"/>
                <w:sz w:val="21"/>
                <w:szCs w:val="21"/>
              </w:rPr>
              <w:t xml:space="preserve"> 电话：</w:t>
            </w:r>
            <w:r>
              <w:rPr>
                <w:rFonts w:hint="eastAsia" w:ascii="宋体" w:hAnsi="宋体" w:eastAsia="宋体" w:cs="宋体"/>
                <w:sz w:val="21"/>
                <w:szCs w:val="21"/>
              </w:rPr>
              <w:t>0777-6428581</w:t>
            </w:r>
          </w:p>
        </w:tc>
        <w:tc>
          <w:tcPr>
            <w:tcW w:w="360" w:type="dxa"/>
            <w:vAlign w:val="bottom"/>
          </w:tcPr>
          <w:p>
            <w:pPr>
              <w:ind w:left="220" w:leftChars="100"/>
              <w:rPr>
                <w:sz w:val="1"/>
                <w:szCs w:val="1"/>
              </w:rPr>
            </w:pPr>
          </w:p>
        </w:tc>
      </w:tr>
      <w:tr>
        <w:tblPrEx>
          <w:tblCellMar>
            <w:top w:w="0" w:type="dxa"/>
            <w:left w:w="0" w:type="dxa"/>
            <w:bottom w:w="0" w:type="dxa"/>
            <w:right w:w="0" w:type="dxa"/>
          </w:tblCellMar>
        </w:tblPrEx>
        <w:trPr>
          <w:trHeight w:val="90" w:hRule="atLeast"/>
        </w:trPr>
        <w:tc>
          <w:tcPr>
            <w:tcW w:w="720" w:type="dxa"/>
            <w:vMerge w:val="continue"/>
            <w:tcBorders>
              <w:left w:val="single" w:color="auto" w:sz="8" w:space="0"/>
              <w:bottom w:val="single" w:color="auto" w:sz="8" w:space="0"/>
              <w:right w:val="single" w:color="auto" w:sz="8" w:space="0"/>
            </w:tcBorders>
            <w:vAlign w:val="bottom"/>
          </w:tcPr>
          <w:p>
            <w:pPr>
              <w:ind w:left="220" w:leftChars="100"/>
              <w:rPr>
                <w:sz w:val="5"/>
                <w:szCs w:val="5"/>
              </w:rPr>
            </w:pPr>
          </w:p>
        </w:tc>
        <w:tc>
          <w:tcPr>
            <w:tcW w:w="2180" w:type="dxa"/>
            <w:vMerge w:val="continue"/>
            <w:tcBorders>
              <w:bottom w:val="single" w:color="auto" w:sz="8" w:space="0"/>
              <w:right w:val="single" w:color="auto" w:sz="8" w:space="0"/>
            </w:tcBorders>
            <w:vAlign w:val="bottom"/>
          </w:tcPr>
          <w:p>
            <w:pPr>
              <w:ind w:left="220" w:leftChars="100"/>
              <w:rPr>
                <w:sz w:val="5"/>
                <w:szCs w:val="5"/>
              </w:rPr>
            </w:pPr>
          </w:p>
        </w:tc>
        <w:tc>
          <w:tcPr>
            <w:tcW w:w="7420" w:type="dxa"/>
            <w:vMerge w:val="continue"/>
            <w:tcBorders>
              <w:bottom w:val="single" w:color="auto" w:sz="8" w:space="0"/>
              <w:right w:val="single" w:color="auto" w:sz="8" w:space="0"/>
            </w:tcBorders>
            <w:vAlign w:val="bottom"/>
          </w:tcPr>
          <w:p>
            <w:pPr>
              <w:ind w:left="220" w:leftChars="100"/>
              <w:rPr>
                <w:sz w:val="5"/>
                <w:szCs w:val="5"/>
              </w:rPr>
            </w:pPr>
          </w:p>
        </w:tc>
        <w:tc>
          <w:tcPr>
            <w:tcW w:w="360" w:type="dxa"/>
            <w:vAlign w:val="bottom"/>
          </w:tcPr>
          <w:p>
            <w:pPr>
              <w:ind w:left="220" w:leftChars="100"/>
              <w:rPr>
                <w:sz w:val="1"/>
                <w:szCs w:val="1"/>
              </w:rPr>
            </w:pPr>
          </w:p>
        </w:tc>
      </w:tr>
    </w:tbl>
    <w:p>
      <w:pPr>
        <w:spacing w:line="200" w:lineRule="exact"/>
        <w:ind w:left="220" w:leftChars="100"/>
        <w:rPr>
          <w:sz w:val="20"/>
          <w:szCs w:val="20"/>
        </w:rPr>
      </w:pPr>
    </w:p>
    <w:p>
      <w:pPr>
        <w:ind w:left="220" w:leftChars="100"/>
        <w:sectPr>
          <w:pgSz w:w="11900" w:h="16840"/>
          <w:pgMar w:top="964" w:right="1123" w:bottom="652" w:left="482" w:header="0" w:footer="397" w:gutter="0"/>
          <w:cols w:space="425" w:num="1"/>
        </w:sectPr>
      </w:pPr>
    </w:p>
    <w:p>
      <w:pPr>
        <w:sectPr>
          <w:type w:val="continuous"/>
          <w:pgSz w:w="11900" w:h="16840"/>
          <w:pgMar w:top="964" w:right="1123" w:bottom="652" w:left="482" w:header="0" w:footer="397" w:gutter="0"/>
          <w:cols w:space="425" w:num="1"/>
        </w:sectPr>
      </w:pPr>
    </w:p>
    <w:p>
      <w:pPr>
        <w:spacing w:line="320" w:lineRule="exact"/>
        <w:jc w:val="center"/>
        <w:rPr>
          <w:sz w:val="20"/>
          <w:szCs w:val="20"/>
        </w:rPr>
      </w:pPr>
      <w:bookmarkStart w:id="33" w:name="page8"/>
      <w:bookmarkEnd w:id="33"/>
      <w:bookmarkStart w:id="34" w:name="_Toc712_WPSOffice_Level1"/>
      <w:r>
        <w:rPr>
          <w:rFonts w:ascii="宋体" w:hAnsi="宋体" w:eastAsia="宋体" w:cs="宋体"/>
          <w:b/>
          <w:bCs/>
          <w:sz w:val="28"/>
          <w:szCs w:val="28"/>
        </w:rPr>
        <w:t>一、总则</w:t>
      </w:r>
      <w:bookmarkEnd w:id="34"/>
    </w:p>
    <w:p>
      <w:pPr>
        <w:spacing w:line="274" w:lineRule="exact"/>
        <w:ind w:left="220" w:leftChars="100"/>
        <w:rPr>
          <w:sz w:val="20"/>
          <w:szCs w:val="20"/>
        </w:rPr>
      </w:pPr>
    </w:p>
    <w:p>
      <w:pPr>
        <w:spacing w:line="360" w:lineRule="auto"/>
        <w:ind w:left="220" w:leftChars="100"/>
        <w:rPr>
          <w:sz w:val="20"/>
          <w:szCs w:val="20"/>
        </w:rPr>
      </w:pPr>
      <w:bookmarkStart w:id="35" w:name="_Toc7444_WPSOffice_Level2"/>
      <w:r>
        <w:rPr>
          <w:rFonts w:ascii="宋体" w:hAnsi="宋体" w:eastAsia="宋体" w:cs="宋体"/>
          <w:b/>
          <w:bCs/>
          <w:sz w:val="21"/>
          <w:szCs w:val="21"/>
        </w:rPr>
        <w:t>1、适应范围</w:t>
      </w:r>
      <w:bookmarkEnd w:id="35"/>
    </w:p>
    <w:p>
      <w:pPr>
        <w:spacing w:line="360" w:lineRule="auto"/>
        <w:ind w:left="220" w:leftChars="100" w:right="100" w:firstLine="434"/>
        <w:rPr>
          <w:sz w:val="20"/>
          <w:szCs w:val="20"/>
        </w:rPr>
      </w:pPr>
      <w:r>
        <w:rPr>
          <w:rFonts w:ascii="宋体" w:hAnsi="宋体" w:eastAsia="宋体" w:cs="宋体"/>
          <w:sz w:val="21"/>
          <w:szCs w:val="21"/>
        </w:rPr>
        <w:t>本竞争性磋商文件（以下简称磋商文件）适用于本项目的磋商、评标、合同履约、验收、付款等行为（法律、法规另有规定的，从其规定）。</w:t>
      </w:r>
    </w:p>
    <w:p>
      <w:pPr>
        <w:spacing w:line="360" w:lineRule="auto"/>
        <w:ind w:left="220" w:leftChars="100"/>
        <w:rPr>
          <w:sz w:val="20"/>
          <w:szCs w:val="20"/>
        </w:rPr>
      </w:pPr>
      <w:bookmarkStart w:id="36" w:name="_Toc12194_WPSOffice_Level2"/>
      <w:r>
        <w:rPr>
          <w:rFonts w:ascii="宋体" w:hAnsi="宋体" w:eastAsia="宋体" w:cs="宋体"/>
          <w:b/>
          <w:bCs/>
          <w:sz w:val="21"/>
          <w:szCs w:val="21"/>
        </w:rPr>
        <w:t>2、定义</w:t>
      </w:r>
      <w:bookmarkEnd w:id="36"/>
    </w:p>
    <w:p>
      <w:pPr>
        <w:spacing w:line="360" w:lineRule="auto"/>
        <w:ind w:left="220" w:leftChars="100"/>
        <w:rPr>
          <w:sz w:val="20"/>
          <w:szCs w:val="20"/>
        </w:rPr>
      </w:pPr>
      <w:r>
        <w:rPr>
          <w:rFonts w:ascii="宋体" w:hAnsi="宋体" w:eastAsia="宋体" w:cs="宋体"/>
          <w:sz w:val="21"/>
          <w:szCs w:val="21"/>
        </w:rPr>
        <w:t>2.1、“采购单位”是指组织本次采购的采购人和采购代理机构。</w:t>
      </w:r>
    </w:p>
    <w:p>
      <w:pPr>
        <w:spacing w:line="360" w:lineRule="auto"/>
        <w:ind w:left="220" w:leftChars="100" w:right="100" w:firstLine="434"/>
        <w:rPr>
          <w:sz w:val="20"/>
          <w:szCs w:val="20"/>
        </w:rPr>
      </w:pPr>
      <w:r>
        <w:rPr>
          <w:rFonts w:ascii="宋体" w:hAnsi="宋体" w:eastAsia="宋体" w:cs="宋体"/>
          <w:sz w:val="21"/>
          <w:szCs w:val="21"/>
        </w:rPr>
        <w:t>2.2、“磋商供应商”是指符合本次采购项目的磋商供应商资格并提交响应文件、参加磋商的供应商。如果该供应商在本次磋商中成交，即成为“成交供应商”。</w:t>
      </w:r>
    </w:p>
    <w:p>
      <w:pPr>
        <w:spacing w:line="360" w:lineRule="auto"/>
        <w:ind w:left="220" w:leftChars="100" w:right="100" w:firstLine="434"/>
        <w:rPr>
          <w:sz w:val="20"/>
          <w:szCs w:val="20"/>
        </w:rPr>
      </w:pPr>
      <w:r>
        <w:rPr>
          <w:rFonts w:ascii="宋体" w:hAnsi="宋体" w:eastAsia="宋体" w:cs="宋体"/>
          <w:sz w:val="21"/>
          <w:szCs w:val="21"/>
        </w:rPr>
        <w:t>2.3、“货物”系指按磋商文件规定，磋商供应商须向采购人提供的一切设备、保险、税金、备品备件、工具、手册及其它有关技术资料和材料。</w:t>
      </w:r>
    </w:p>
    <w:p>
      <w:pPr>
        <w:spacing w:line="360" w:lineRule="auto"/>
        <w:ind w:left="220" w:leftChars="100" w:right="100" w:firstLine="434"/>
        <w:rPr>
          <w:sz w:val="20"/>
          <w:szCs w:val="20"/>
        </w:rPr>
      </w:pPr>
      <w:r>
        <w:rPr>
          <w:rFonts w:ascii="宋体" w:hAnsi="宋体" w:eastAsia="宋体" w:cs="宋体"/>
          <w:sz w:val="21"/>
          <w:szCs w:val="21"/>
        </w:rPr>
        <w:t>2.4、“服务”系指按磋商文件规定，磋商供应商须承担的安装、调试、技术协助、校准、培训、技术指导以及其他类似的义务。</w:t>
      </w:r>
    </w:p>
    <w:p>
      <w:pPr>
        <w:spacing w:line="360" w:lineRule="auto"/>
        <w:ind w:left="220" w:leftChars="100"/>
        <w:rPr>
          <w:sz w:val="20"/>
          <w:szCs w:val="20"/>
        </w:rPr>
      </w:pPr>
      <w:r>
        <w:rPr>
          <w:rFonts w:ascii="宋体" w:hAnsi="宋体" w:eastAsia="宋体" w:cs="宋体"/>
          <w:sz w:val="21"/>
          <w:szCs w:val="21"/>
        </w:rPr>
        <w:t>2.5、“项目”系指磋商供应商按磋商文件规定向采购人提供的货物和服务。</w:t>
      </w:r>
    </w:p>
    <w:p>
      <w:pPr>
        <w:spacing w:line="360" w:lineRule="auto"/>
        <w:ind w:left="220" w:leftChars="100"/>
        <w:rPr>
          <w:sz w:val="20"/>
          <w:szCs w:val="20"/>
        </w:rPr>
      </w:pPr>
      <w:r>
        <w:rPr>
          <w:rFonts w:ascii="宋体" w:hAnsi="宋体" w:eastAsia="宋体" w:cs="宋体"/>
          <w:sz w:val="21"/>
          <w:szCs w:val="21"/>
        </w:rPr>
        <w:t>2.6、“书面形式”包括信函、传真、电报等。</w:t>
      </w:r>
    </w:p>
    <w:p>
      <w:pPr>
        <w:spacing w:line="360" w:lineRule="auto"/>
        <w:ind w:left="220" w:leftChars="100"/>
        <w:rPr>
          <w:sz w:val="20"/>
          <w:szCs w:val="20"/>
        </w:rPr>
      </w:pPr>
      <w:bookmarkStart w:id="37" w:name="_Toc712_WPSOffice_Level2"/>
      <w:r>
        <w:rPr>
          <w:rFonts w:ascii="宋体" w:hAnsi="宋体" w:eastAsia="宋体" w:cs="宋体"/>
          <w:b/>
          <w:bCs/>
          <w:sz w:val="21"/>
          <w:szCs w:val="21"/>
        </w:rPr>
        <w:t>3、磋商供应商资格</w:t>
      </w:r>
      <w:bookmarkEnd w:id="37"/>
    </w:p>
    <w:p>
      <w:pPr>
        <w:spacing w:line="360" w:lineRule="auto"/>
        <w:ind w:left="220" w:leftChars="100"/>
        <w:rPr>
          <w:sz w:val="20"/>
          <w:szCs w:val="20"/>
        </w:rPr>
      </w:pPr>
      <w:r>
        <w:rPr>
          <w:rFonts w:ascii="宋体" w:hAnsi="宋体" w:eastAsia="宋体" w:cs="宋体"/>
          <w:sz w:val="21"/>
          <w:szCs w:val="21"/>
        </w:rPr>
        <w:t>见磋商供应商须知前附表。</w:t>
      </w:r>
    </w:p>
    <w:p>
      <w:pPr>
        <w:spacing w:line="360" w:lineRule="auto"/>
        <w:ind w:left="220" w:leftChars="100"/>
        <w:rPr>
          <w:sz w:val="20"/>
          <w:szCs w:val="20"/>
        </w:rPr>
      </w:pPr>
      <w:bookmarkStart w:id="38" w:name="_Toc13842_WPSOffice_Level2"/>
      <w:r>
        <w:rPr>
          <w:rFonts w:ascii="宋体" w:hAnsi="宋体" w:eastAsia="宋体" w:cs="宋体"/>
          <w:b/>
          <w:bCs/>
          <w:sz w:val="21"/>
          <w:szCs w:val="21"/>
        </w:rPr>
        <w:t>4、磋商费用</w:t>
      </w:r>
      <w:bookmarkEnd w:id="38"/>
    </w:p>
    <w:p>
      <w:pPr>
        <w:spacing w:line="360" w:lineRule="auto"/>
        <w:ind w:left="220" w:leftChars="100"/>
        <w:rPr>
          <w:sz w:val="20"/>
          <w:szCs w:val="20"/>
        </w:rPr>
      </w:pPr>
      <w:r>
        <w:rPr>
          <w:rFonts w:ascii="宋体" w:hAnsi="宋体" w:eastAsia="宋体" w:cs="宋体"/>
          <w:sz w:val="21"/>
          <w:szCs w:val="21"/>
        </w:rPr>
        <w:t>见磋商供应商须知前附表。</w:t>
      </w:r>
    </w:p>
    <w:p>
      <w:pPr>
        <w:spacing w:line="360" w:lineRule="auto"/>
        <w:ind w:left="220" w:leftChars="100"/>
        <w:rPr>
          <w:sz w:val="20"/>
          <w:szCs w:val="20"/>
        </w:rPr>
      </w:pPr>
      <w:bookmarkStart w:id="39" w:name="_Toc28275_WPSOffice_Level2"/>
      <w:r>
        <w:rPr>
          <w:rFonts w:ascii="宋体" w:hAnsi="宋体" w:eastAsia="宋体" w:cs="宋体"/>
          <w:b/>
          <w:bCs/>
          <w:sz w:val="21"/>
          <w:szCs w:val="21"/>
        </w:rPr>
        <w:t>5、联合体磋商要求</w:t>
      </w:r>
      <w:bookmarkEnd w:id="39"/>
    </w:p>
    <w:p>
      <w:pPr>
        <w:spacing w:line="360" w:lineRule="auto"/>
        <w:ind w:left="220" w:leftChars="100" w:firstLine="420" w:firstLineChars="200"/>
        <w:rPr>
          <w:sz w:val="20"/>
          <w:szCs w:val="20"/>
        </w:rPr>
      </w:pPr>
      <w:r>
        <w:rPr>
          <w:rFonts w:ascii="宋体" w:hAnsi="宋体" w:eastAsia="宋体" w:cs="宋体"/>
          <w:sz w:val="21"/>
          <w:szCs w:val="21"/>
        </w:rPr>
        <w:t>5.1 两个以上供应商可以组成一个联合体，以一个供应商的身份参与磋商。</w:t>
      </w:r>
    </w:p>
    <w:p>
      <w:pPr>
        <w:spacing w:line="360" w:lineRule="auto"/>
        <w:ind w:left="220" w:leftChars="100" w:right="100" w:firstLine="434"/>
        <w:rPr>
          <w:sz w:val="20"/>
          <w:szCs w:val="20"/>
        </w:rPr>
      </w:pPr>
      <w:r>
        <w:rPr>
          <w:rFonts w:ascii="宋体" w:hAnsi="宋体" w:eastAsia="宋体" w:cs="宋体"/>
          <w:sz w:val="21"/>
          <w:szCs w:val="21"/>
        </w:rPr>
        <w:t>5.2 以联合体形式参加磋商的，联合体各方均应当符合“具有独立承担民事责任的能力”的条件。本项目有特殊要求规定供应商特定条件的，联合体各方中至少应当有一方符合磋商文件规定的特定条件。</w:t>
      </w:r>
    </w:p>
    <w:p>
      <w:pPr>
        <w:spacing w:line="360" w:lineRule="auto"/>
        <w:ind w:left="220" w:leftChars="100" w:firstLine="434"/>
        <w:rPr>
          <w:sz w:val="20"/>
          <w:szCs w:val="20"/>
        </w:rPr>
      </w:pPr>
      <w:r>
        <w:rPr>
          <w:rFonts w:ascii="宋体" w:hAnsi="宋体" w:eastAsia="宋体" w:cs="宋体"/>
          <w:sz w:val="21"/>
          <w:szCs w:val="21"/>
        </w:rPr>
        <w:t>5.3 联合体各方之间应当签订联合体协议书，明确约定联合体各方承担的工作和相应的责任（各方承担的责任与义务分工应当符合服物采购需求，涉及行政许可范围的内容应由具有相应资质的成员承担；否则，联合体不成立），并将联合体协议书（格式见附件）连同响应文件一并提交本采购代理机构。联合体各方签订联合体协议书后，不得再单独参加或者与其他供应商另外组成联合体参加同一合同项下的政府采购活动，否则，与之相关的响应文件均无效。</w:t>
      </w:r>
    </w:p>
    <w:p>
      <w:pPr>
        <w:spacing w:line="360" w:lineRule="auto"/>
        <w:ind w:left="220" w:leftChars="100" w:right="120" w:firstLine="434"/>
        <w:rPr>
          <w:sz w:val="20"/>
          <w:szCs w:val="20"/>
        </w:rPr>
      </w:pPr>
      <w:r>
        <w:rPr>
          <w:rFonts w:ascii="宋体" w:hAnsi="宋体" w:eastAsia="宋体" w:cs="宋体"/>
          <w:sz w:val="21"/>
          <w:szCs w:val="21"/>
        </w:rPr>
        <w:t>5.4 联合体各方中至少要有一方符合磋商文件规定的特定资质条件，有同类资质的供应商组成的联合体按照联合体分工承担相同工作的，应当按照资质等级较低的供应商确定资质等级。</w:t>
      </w:r>
    </w:p>
    <w:p>
      <w:pPr>
        <w:spacing w:line="360" w:lineRule="auto"/>
        <w:ind w:left="220" w:leftChars="100" w:firstLine="420" w:firstLineChars="200"/>
        <w:rPr>
          <w:sz w:val="20"/>
          <w:szCs w:val="20"/>
        </w:rPr>
      </w:pPr>
      <w:r>
        <w:rPr>
          <w:rFonts w:ascii="宋体" w:hAnsi="宋体" w:eastAsia="宋体" w:cs="宋体"/>
          <w:sz w:val="21"/>
          <w:szCs w:val="21"/>
        </w:rPr>
        <w:t>5.5 联合体各方均应按照磋商文件的规定分别提交资格文件。</w:t>
      </w:r>
    </w:p>
    <w:p>
      <w:pPr>
        <w:spacing w:line="360" w:lineRule="auto"/>
        <w:ind w:left="220" w:leftChars="100" w:firstLine="420" w:firstLineChars="200"/>
        <w:rPr>
          <w:rFonts w:ascii="宋体" w:hAnsi="宋体" w:eastAsia="宋体" w:cs="宋体"/>
          <w:sz w:val="21"/>
          <w:szCs w:val="21"/>
        </w:rPr>
      </w:pPr>
      <w:r>
        <w:rPr>
          <w:rFonts w:ascii="宋体" w:hAnsi="宋体" w:eastAsia="宋体" w:cs="宋体"/>
          <w:sz w:val="21"/>
          <w:szCs w:val="21"/>
        </w:rPr>
        <w:t>5.6 根据《政府采购促进中小企业发展暂行办法》（财库[2011]181 号）第六条规定，鼓励大中型企业和其他自然人、法人或者其他组织与小型、微型企业组成联合体共同参加非专门面向中小企业的政府采购活动。联合协议书</w:t>
      </w:r>
      <w:r>
        <w:rPr>
          <w:rFonts w:hint="eastAsia" w:ascii="宋体" w:hAnsi="宋体" w:eastAsia="宋体" w:cs="宋体"/>
          <w:sz w:val="21"/>
          <w:szCs w:val="21"/>
        </w:rPr>
        <w:t>，</w:t>
      </w:r>
      <w:r>
        <w:rPr>
          <w:rFonts w:ascii="宋体" w:hAnsi="宋体" w:eastAsia="宋体" w:cs="宋体"/>
          <w:sz w:val="21"/>
          <w:szCs w:val="21"/>
        </w:rPr>
        <w:t>中，小型、微型企业产品的协议合同金额占到联合体协议合同总金额 30%以上的，可给予联合体 2%的价格扣除。联合体各方均为小型、微型企业的，联合体视同为小型、微型企业，可享受该办法第四条、第五条规定的扶持政策。</w:t>
      </w:r>
    </w:p>
    <w:p>
      <w:pPr>
        <w:spacing w:line="360" w:lineRule="auto"/>
        <w:ind w:left="220" w:leftChars="100"/>
        <w:rPr>
          <w:sz w:val="20"/>
          <w:szCs w:val="20"/>
        </w:rPr>
      </w:pPr>
    </w:p>
    <w:p>
      <w:r>
        <w:t>组成联合体的大中型企业和其他自然人、法人或者其他组织，与小型、微型企业之间不得存在投资关系（小型、微型企业提供中型企业制造的服务的，视同为中型企业）</w:t>
      </w:r>
      <w:r>
        <w:rPr>
          <w:rFonts w:hint="eastAsia"/>
        </w:rPr>
        <w:t>。</w:t>
      </w:r>
      <w:bookmarkStart w:id="40" w:name="page9"/>
      <w:bookmarkEnd w:id="40"/>
      <w:bookmarkStart w:id="41" w:name="_Toc1351_WPSOffice_Level2"/>
    </w:p>
    <w:p>
      <w:pPr>
        <w:rPr>
          <w:sz w:val="21"/>
          <w:szCs w:val="21"/>
        </w:rPr>
      </w:pPr>
      <w:r>
        <w:rPr>
          <w:rFonts w:ascii="宋体" w:hAnsi="宋体" w:eastAsia="宋体" w:cs="宋体"/>
          <w:b/>
          <w:bCs/>
          <w:sz w:val="21"/>
          <w:szCs w:val="21"/>
        </w:rPr>
        <w:t>6、质疑</w:t>
      </w:r>
      <w:bookmarkEnd w:id="41"/>
    </w:p>
    <w:p>
      <w:pPr>
        <w:spacing w:line="360" w:lineRule="auto"/>
        <w:ind w:left="220" w:leftChars="100" w:firstLine="434"/>
        <w:rPr>
          <w:sz w:val="21"/>
          <w:szCs w:val="21"/>
        </w:rPr>
      </w:pPr>
      <w:r>
        <w:rPr>
          <w:rFonts w:ascii="宋体" w:hAnsi="宋体" w:eastAsia="宋体" w:cs="宋体"/>
          <w:sz w:val="21"/>
          <w:szCs w:val="21"/>
        </w:rPr>
        <w:t>6.1、磋商供应商认为磋商文件、磋商过程或成交结果使自己的合法权益受到损害的，应当在知道或者应知其权益受到损害之日起七个工作日内，以书面形式向采购代理机构提出质疑，采购代理机构应认真做好质疑处理工作。</w:t>
      </w:r>
    </w:p>
    <w:p>
      <w:pPr>
        <w:spacing w:line="360" w:lineRule="auto"/>
        <w:ind w:left="220" w:leftChars="100" w:right="120" w:firstLine="434"/>
        <w:rPr>
          <w:sz w:val="21"/>
          <w:szCs w:val="21"/>
        </w:rPr>
      </w:pPr>
      <w:r>
        <w:rPr>
          <w:rFonts w:ascii="宋体" w:hAnsi="宋体" w:eastAsia="宋体" w:cs="宋体"/>
          <w:sz w:val="21"/>
          <w:szCs w:val="21"/>
        </w:rPr>
        <w:t>6.2 供应商对采购代理机构的质疑答复不满意或者采购代理机构未在规定的时间内作出答复的，可以在答复期满后十五个工作日内向全州县人民政府采购管理办公室投诉。</w:t>
      </w:r>
    </w:p>
    <w:p>
      <w:pPr>
        <w:spacing w:line="360" w:lineRule="auto"/>
        <w:ind w:left="220" w:leftChars="100" w:right="100" w:firstLine="434"/>
        <w:rPr>
          <w:sz w:val="20"/>
          <w:szCs w:val="20"/>
        </w:rPr>
      </w:pPr>
      <w:r>
        <w:rPr>
          <w:rFonts w:ascii="宋体" w:hAnsi="宋体" w:eastAsia="宋体" w:cs="宋体"/>
          <w:sz w:val="21"/>
          <w:szCs w:val="21"/>
        </w:rPr>
        <w:t>6.3 质疑、投诉应当采用书面形式，质疑书、投诉书实行实名制，均应明确阐述谈判文件、磋商过程或成交结果中使自己合法权益受到损害的实质性内容，并提供必要的证明材料。</w:t>
      </w:r>
    </w:p>
    <w:p>
      <w:pPr>
        <w:spacing w:line="360" w:lineRule="auto"/>
        <w:rPr>
          <w:sz w:val="20"/>
          <w:szCs w:val="20"/>
        </w:rPr>
      </w:pPr>
      <w:bookmarkStart w:id="42" w:name="_Toc7384_WPSOffice_Level2"/>
      <w:r>
        <w:rPr>
          <w:rFonts w:hint="eastAsia" w:ascii="宋体" w:hAnsi="宋体" w:eastAsia="宋体" w:cs="宋体"/>
          <w:b/>
          <w:bCs/>
          <w:sz w:val="21"/>
          <w:szCs w:val="21"/>
        </w:rPr>
        <w:t>7、</w:t>
      </w:r>
      <w:r>
        <w:rPr>
          <w:rFonts w:ascii="宋体" w:hAnsi="宋体" w:eastAsia="宋体" w:cs="宋体"/>
          <w:b/>
          <w:bCs/>
          <w:sz w:val="21"/>
          <w:szCs w:val="21"/>
        </w:rPr>
        <w:t>转包与分包</w:t>
      </w:r>
      <w:bookmarkEnd w:id="42"/>
    </w:p>
    <w:p>
      <w:pPr>
        <w:spacing w:line="360" w:lineRule="auto"/>
        <w:ind w:left="220" w:leftChars="100" w:firstLine="420" w:firstLineChars="200"/>
        <w:rPr>
          <w:sz w:val="20"/>
          <w:szCs w:val="20"/>
        </w:rPr>
      </w:pPr>
      <w:bookmarkStart w:id="43" w:name="_Toc7444_WPSOffice_Level3"/>
      <w:r>
        <w:rPr>
          <w:rFonts w:ascii="宋体" w:hAnsi="宋体" w:eastAsia="宋体" w:cs="宋体"/>
          <w:sz w:val="21"/>
          <w:szCs w:val="21"/>
        </w:rPr>
        <w:t>7.1 本项目不允许转包。</w:t>
      </w:r>
      <w:bookmarkEnd w:id="43"/>
    </w:p>
    <w:p>
      <w:pPr>
        <w:spacing w:line="360" w:lineRule="auto"/>
        <w:ind w:left="220" w:leftChars="100" w:firstLine="420" w:firstLineChars="200"/>
        <w:rPr>
          <w:sz w:val="20"/>
          <w:szCs w:val="20"/>
        </w:rPr>
      </w:pPr>
      <w:bookmarkStart w:id="44" w:name="_Toc12194_WPSOffice_Level3"/>
      <w:r>
        <w:rPr>
          <w:rFonts w:ascii="宋体" w:hAnsi="宋体" w:eastAsia="宋体" w:cs="宋体"/>
          <w:sz w:val="21"/>
          <w:szCs w:val="21"/>
        </w:rPr>
        <w:t>7.2 本项目不可以分包。</w:t>
      </w:r>
      <w:bookmarkEnd w:id="44"/>
    </w:p>
    <w:p>
      <w:pPr>
        <w:spacing w:line="360" w:lineRule="auto"/>
        <w:rPr>
          <w:sz w:val="20"/>
          <w:szCs w:val="20"/>
        </w:rPr>
      </w:pPr>
      <w:bookmarkStart w:id="45" w:name="_Toc11821_WPSOffice_Level2"/>
      <w:r>
        <w:rPr>
          <w:rFonts w:hint="eastAsia" w:ascii="宋体" w:hAnsi="宋体" w:eastAsia="宋体" w:cs="宋体"/>
          <w:b/>
          <w:bCs/>
          <w:sz w:val="21"/>
          <w:szCs w:val="21"/>
        </w:rPr>
        <w:t>8、特别说明</w:t>
      </w:r>
      <w:bookmarkEnd w:id="45"/>
    </w:p>
    <w:p>
      <w:pPr>
        <w:spacing w:line="360" w:lineRule="auto"/>
        <w:ind w:left="220" w:leftChars="100" w:firstLine="420" w:firstLineChars="200"/>
        <w:rPr>
          <w:sz w:val="20"/>
          <w:szCs w:val="20"/>
        </w:rPr>
      </w:pPr>
      <w:r>
        <w:rPr>
          <w:rFonts w:ascii="宋体" w:hAnsi="宋体" w:eastAsia="宋体" w:cs="宋体"/>
          <w:sz w:val="21"/>
          <w:szCs w:val="21"/>
        </w:rPr>
        <w:t>8.1 关联供应商不得参加同一合同项下采购活动，否则响应文件将被视为无效：</w:t>
      </w:r>
    </w:p>
    <w:p>
      <w:pPr>
        <w:spacing w:line="360" w:lineRule="auto"/>
        <w:ind w:left="220" w:leftChars="100" w:firstLine="422" w:firstLineChars="200"/>
        <w:rPr>
          <w:sz w:val="20"/>
          <w:szCs w:val="20"/>
        </w:rPr>
      </w:pPr>
      <w:r>
        <w:rPr>
          <w:rFonts w:ascii="宋体" w:hAnsi="宋体" w:eastAsia="宋体" w:cs="宋体"/>
          <w:b/>
          <w:bCs/>
          <w:sz w:val="21"/>
          <w:szCs w:val="21"/>
        </w:rPr>
        <w:t>（1）单位负责人为同一人或者存在直接控股、管理关系的，不得参加同一合同项下的政府采购活动。</w:t>
      </w:r>
    </w:p>
    <w:p>
      <w:pPr>
        <w:spacing w:line="360" w:lineRule="auto"/>
        <w:ind w:right="80" w:firstLine="632" w:firstLineChars="300"/>
        <w:rPr>
          <w:sz w:val="20"/>
          <w:szCs w:val="20"/>
        </w:rPr>
      </w:pPr>
      <w:r>
        <w:rPr>
          <w:rFonts w:ascii="宋体" w:hAnsi="宋体" w:eastAsia="宋体" w:cs="宋体"/>
          <w:b/>
          <w:bCs/>
          <w:sz w:val="21"/>
          <w:szCs w:val="21"/>
        </w:rPr>
        <w:t>（2）为本采购项目提供整体设计、规范编制或者项目管理、监理、检测等服务的供应商，不得再参加本次采购活动。</w:t>
      </w:r>
    </w:p>
    <w:p>
      <w:pPr>
        <w:spacing w:line="360" w:lineRule="auto"/>
        <w:ind w:left="220" w:leftChars="100" w:right="120" w:firstLine="434"/>
        <w:jc w:val="both"/>
        <w:rPr>
          <w:sz w:val="20"/>
          <w:szCs w:val="20"/>
        </w:rPr>
      </w:pPr>
      <w:r>
        <w:rPr>
          <w:rFonts w:ascii="宋体" w:hAnsi="宋体" w:eastAsia="宋体" w:cs="宋体"/>
          <w:sz w:val="21"/>
          <w:szCs w:val="21"/>
        </w:rPr>
        <w:t>8.2 磋商供应商磋商所使用的资格、信誉、荣誉、业绩与企业认证必须为本法人所拥有，磋商供应商磋商所使用的采购项目实施人员必须为磋商供应商员工。</w:t>
      </w:r>
    </w:p>
    <w:p>
      <w:pPr>
        <w:spacing w:line="360" w:lineRule="auto"/>
        <w:ind w:left="220" w:leftChars="100" w:right="120" w:firstLine="434"/>
        <w:jc w:val="both"/>
        <w:rPr>
          <w:sz w:val="20"/>
          <w:szCs w:val="20"/>
        </w:rPr>
      </w:pPr>
      <w:r>
        <w:rPr>
          <w:rFonts w:ascii="宋体" w:hAnsi="宋体" w:eastAsia="宋体" w:cs="宋体"/>
          <w:sz w:val="21"/>
          <w:szCs w:val="21"/>
        </w:rPr>
        <w:t>8.3 磋商供应商应仔细阅读磋商文件的所有内容，按照磋商文件的要求提交响应文件，并对所提供的全部资料的真实性承担法律责任。</w:t>
      </w:r>
    </w:p>
    <w:p>
      <w:pPr>
        <w:spacing w:line="360" w:lineRule="auto"/>
        <w:ind w:left="220" w:leftChars="100" w:right="100" w:firstLine="434"/>
        <w:jc w:val="both"/>
        <w:rPr>
          <w:sz w:val="20"/>
          <w:szCs w:val="20"/>
        </w:rPr>
      </w:pPr>
      <w:r>
        <w:rPr>
          <w:rFonts w:ascii="宋体" w:hAnsi="宋体" w:eastAsia="宋体" w:cs="宋体"/>
          <w:sz w:val="21"/>
          <w:szCs w:val="21"/>
        </w:rPr>
        <w:t>8.4 磋商供应商在磋商活动中提供任何虚假材料，其磋商无效，并报监管部门查处；成交后发现的，成交人须依照《中华人民共和国消费者权益保护法》第 49 条之规定双倍赔偿采购人，且民事赔偿并不免除违法磋商供应商的行政与刑事责任。</w:t>
      </w:r>
    </w:p>
    <w:p>
      <w:pPr>
        <w:jc w:val="center"/>
        <w:rPr>
          <w:sz w:val="20"/>
          <w:szCs w:val="20"/>
        </w:rPr>
      </w:pPr>
      <w:bookmarkStart w:id="46" w:name="_Toc13842_WPSOffice_Level1"/>
      <w:r>
        <w:rPr>
          <w:rFonts w:ascii="宋体" w:hAnsi="宋体" w:eastAsia="宋体" w:cs="宋体"/>
          <w:b/>
          <w:bCs/>
          <w:sz w:val="28"/>
          <w:szCs w:val="28"/>
        </w:rPr>
        <w:t>二、磋商文件</w:t>
      </w:r>
      <w:bookmarkEnd w:id="46"/>
    </w:p>
    <w:p>
      <w:pPr>
        <w:spacing w:line="360" w:lineRule="auto"/>
        <w:ind w:left="220" w:leftChars="100"/>
        <w:rPr>
          <w:sz w:val="20"/>
          <w:szCs w:val="20"/>
        </w:rPr>
      </w:pPr>
      <w:bookmarkStart w:id="47" w:name="_Toc28036_WPSOffice_Level2"/>
      <w:r>
        <w:rPr>
          <w:rFonts w:ascii="宋体" w:hAnsi="宋体" w:eastAsia="宋体" w:cs="宋体"/>
          <w:b/>
          <w:bCs/>
          <w:sz w:val="21"/>
          <w:szCs w:val="21"/>
        </w:rPr>
        <w:t>9、磋商文件的构成</w:t>
      </w:r>
      <w:bookmarkEnd w:id="47"/>
    </w:p>
    <w:p>
      <w:pPr>
        <w:spacing w:line="360" w:lineRule="auto"/>
        <w:ind w:left="220" w:leftChars="100"/>
        <w:rPr>
          <w:sz w:val="20"/>
          <w:szCs w:val="20"/>
        </w:rPr>
      </w:pPr>
      <w:r>
        <w:rPr>
          <w:rFonts w:ascii="宋体" w:hAnsi="宋体" w:eastAsia="宋体" w:cs="宋体"/>
          <w:sz w:val="21"/>
          <w:szCs w:val="21"/>
        </w:rPr>
        <w:t>（1）磋商公告；</w:t>
      </w:r>
    </w:p>
    <w:p>
      <w:pPr>
        <w:spacing w:line="360" w:lineRule="auto"/>
        <w:ind w:left="220" w:leftChars="100"/>
        <w:rPr>
          <w:sz w:val="20"/>
          <w:szCs w:val="20"/>
        </w:rPr>
      </w:pPr>
      <w:r>
        <w:rPr>
          <w:rFonts w:ascii="宋体" w:hAnsi="宋体" w:eastAsia="宋体" w:cs="宋体"/>
          <w:sz w:val="21"/>
          <w:szCs w:val="21"/>
        </w:rPr>
        <w:t>（2）磋商供应商须知；</w:t>
      </w:r>
    </w:p>
    <w:p>
      <w:pPr>
        <w:spacing w:line="360" w:lineRule="auto"/>
        <w:ind w:left="220" w:leftChars="100"/>
        <w:rPr>
          <w:sz w:val="20"/>
          <w:szCs w:val="20"/>
        </w:rPr>
      </w:pPr>
      <w:r>
        <w:rPr>
          <w:rFonts w:ascii="宋体" w:hAnsi="宋体" w:eastAsia="宋体" w:cs="宋体"/>
          <w:sz w:val="21"/>
          <w:szCs w:val="21"/>
        </w:rPr>
        <w:t>（3）服务采购需求（“服务采购需求”中的所有条款要求均为实质性要求）；</w:t>
      </w:r>
    </w:p>
    <w:p>
      <w:pPr>
        <w:spacing w:line="360" w:lineRule="auto"/>
        <w:ind w:left="220" w:leftChars="100"/>
        <w:rPr>
          <w:sz w:val="20"/>
          <w:szCs w:val="20"/>
        </w:rPr>
      </w:pPr>
      <w:r>
        <w:rPr>
          <w:rFonts w:ascii="宋体" w:hAnsi="宋体" w:eastAsia="宋体" w:cs="宋体"/>
          <w:sz w:val="21"/>
          <w:szCs w:val="21"/>
        </w:rPr>
        <w:t>（4）评标办法；</w:t>
      </w:r>
    </w:p>
    <w:p>
      <w:pPr>
        <w:spacing w:line="360" w:lineRule="auto"/>
        <w:ind w:left="220" w:leftChars="100"/>
        <w:rPr>
          <w:sz w:val="20"/>
          <w:szCs w:val="20"/>
        </w:rPr>
      </w:pPr>
      <w:r>
        <w:rPr>
          <w:rFonts w:ascii="宋体" w:hAnsi="宋体" w:eastAsia="宋体" w:cs="宋体"/>
          <w:sz w:val="21"/>
          <w:szCs w:val="21"/>
        </w:rPr>
        <w:t>（5）合同主要条款及格式；</w:t>
      </w:r>
    </w:p>
    <w:p>
      <w:pPr>
        <w:spacing w:line="360" w:lineRule="auto"/>
        <w:ind w:left="220" w:leftChars="100"/>
        <w:rPr>
          <w:rFonts w:ascii="宋体" w:hAnsi="宋体" w:eastAsia="宋体" w:cs="宋体"/>
          <w:sz w:val="21"/>
          <w:szCs w:val="21"/>
        </w:rPr>
      </w:pPr>
      <w:r>
        <w:rPr>
          <w:rFonts w:ascii="宋体" w:hAnsi="宋体" w:eastAsia="宋体" w:cs="宋体"/>
          <w:sz w:val="21"/>
          <w:szCs w:val="21"/>
        </w:rPr>
        <w:t>（6）响应文件格式。</w:t>
      </w:r>
    </w:p>
    <w:p>
      <w:pPr>
        <w:spacing w:line="360" w:lineRule="auto"/>
        <w:ind w:left="220" w:leftChars="100"/>
        <w:rPr>
          <w:sz w:val="20"/>
          <w:szCs w:val="20"/>
        </w:rPr>
      </w:pPr>
      <w:bookmarkStart w:id="48" w:name="_Toc9001_WPSOffice_Level2"/>
      <w:r>
        <w:rPr>
          <w:rFonts w:ascii="宋体" w:hAnsi="宋体" w:eastAsia="宋体" w:cs="宋体"/>
          <w:b/>
          <w:bCs/>
          <w:sz w:val="21"/>
          <w:szCs w:val="21"/>
        </w:rPr>
        <w:t>10、磋商文件的澄清与修改</w:t>
      </w:r>
      <w:bookmarkEnd w:id="48"/>
    </w:p>
    <w:p>
      <w:pPr>
        <w:spacing w:line="360" w:lineRule="auto"/>
        <w:ind w:left="220" w:leftChars="100" w:right="100" w:firstLine="437"/>
        <w:jc w:val="both"/>
        <w:rPr>
          <w:sz w:val="20"/>
          <w:szCs w:val="20"/>
        </w:rPr>
      </w:pPr>
      <w:r>
        <w:rPr>
          <w:rFonts w:ascii="宋体" w:hAnsi="宋体" w:eastAsia="宋体" w:cs="宋体"/>
          <w:sz w:val="21"/>
          <w:szCs w:val="21"/>
        </w:rPr>
        <w:t>10.1、提交首次响应文件截止之日前，采购代理机构可以对已发出的磋商文件进行必要澄清或者修改，澄清或者修改的内容可能影响响应文件编制的，采购代理机构应当在提交首次响应文件递交截止时间五日前向竞标人已书面形式发布更正通知，不足五日的，应当顺延首次响应文件递交截止时间。</w:t>
      </w:r>
    </w:p>
    <w:p>
      <w:pPr>
        <w:spacing w:line="360" w:lineRule="auto"/>
        <w:ind w:left="220" w:leftChars="100" w:right="100" w:firstLine="437"/>
        <w:jc w:val="both"/>
        <w:rPr>
          <w:sz w:val="20"/>
          <w:szCs w:val="20"/>
        </w:rPr>
      </w:pPr>
      <w:r>
        <w:rPr>
          <w:rFonts w:ascii="宋体" w:hAnsi="宋体" w:eastAsia="宋体" w:cs="宋体"/>
          <w:sz w:val="21"/>
          <w:szCs w:val="21"/>
        </w:rPr>
        <w:t>10.2、澄清、答复、修改、补充的内容为磋商文件的组成部分。当澄清、答复、修改、补充通知就同一内容的表述不一致时，以最后发出的书面文件为准。</w:t>
      </w:r>
    </w:p>
    <w:p>
      <w:pPr>
        <w:spacing w:line="360" w:lineRule="auto"/>
        <w:ind w:left="220" w:leftChars="100" w:firstLine="420" w:firstLineChars="200"/>
      </w:pPr>
      <w:r>
        <w:rPr>
          <w:rFonts w:ascii="宋体" w:hAnsi="宋体" w:eastAsia="宋体" w:cs="宋体"/>
          <w:sz w:val="21"/>
          <w:szCs w:val="21"/>
        </w:rPr>
        <w:t>10.3、磋商文件的澄清、答复、修改或补充都应该通过代理本项目的采购代理机构以法定形式发布，采购人非通过本机构，不得擅自澄清、答复、修改或补充磋商文件。</w:t>
      </w:r>
    </w:p>
    <w:p>
      <w:pPr>
        <w:spacing w:line="360" w:lineRule="auto"/>
        <w:ind w:left="220" w:leftChars="100" w:right="-319"/>
        <w:rPr>
          <w:rFonts w:ascii="宋体" w:hAnsi="宋体" w:eastAsia="宋体" w:cs="宋体"/>
          <w:sz w:val="21"/>
          <w:szCs w:val="21"/>
        </w:rPr>
      </w:pPr>
      <w:r>
        <w:rPr>
          <w:rFonts w:ascii="宋体" w:hAnsi="宋体" w:eastAsia="宋体" w:cs="宋体"/>
          <w:sz w:val="21"/>
          <w:szCs w:val="21"/>
        </w:rPr>
        <w:t>10.4 采购代理机构可以视采购具体情况，延长首次响应文件递交截止时间和磋商时间，并在本项目竞争性磋商公告发布的同一媒体上发布变更公告</w:t>
      </w:r>
      <w:r>
        <w:rPr>
          <w:rFonts w:hint="eastAsia" w:ascii="宋体" w:hAnsi="宋体" w:eastAsia="宋体" w:cs="宋体"/>
          <w:sz w:val="21"/>
          <w:szCs w:val="21"/>
        </w:rPr>
        <w:t>。</w:t>
      </w:r>
      <w:bookmarkStart w:id="49" w:name="_Toc28275_WPSOffice_Level1"/>
    </w:p>
    <w:p>
      <w:pPr>
        <w:spacing w:line="360" w:lineRule="auto"/>
        <w:ind w:left="220" w:leftChars="100" w:right="-319"/>
        <w:jc w:val="center"/>
        <w:rPr>
          <w:sz w:val="20"/>
          <w:szCs w:val="20"/>
        </w:rPr>
      </w:pPr>
      <w:r>
        <w:rPr>
          <w:rFonts w:ascii="宋体" w:hAnsi="宋体" w:eastAsia="宋体" w:cs="宋体"/>
          <w:b/>
          <w:bCs/>
          <w:sz w:val="28"/>
          <w:szCs w:val="28"/>
        </w:rPr>
        <w:t>三、竞争性磋商响应文件的编制</w:t>
      </w:r>
      <w:bookmarkEnd w:id="49"/>
    </w:p>
    <w:p>
      <w:pPr>
        <w:spacing w:line="360" w:lineRule="auto"/>
        <w:ind w:left="220" w:leftChars="100"/>
        <w:rPr>
          <w:sz w:val="20"/>
          <w:szCs w:val="20"/>
        </w:rPr>
      </w:pPr>
      <w:bookmarkStart w:id="50" w:name="_Toc32302_WPSOffice_Level2"/>
      <w:r>
        <w:rPr>
          <w:rFonts w:ascii="宋体" w:hAnsi="宋体" w:eastAsia="宋体" w:cs="宋体"/>
          <w:b/>
          <w:bCs/>
          <w:sz w:val="21"/>
          <w:szCs w:val="21"/>
        </w:rPr>
        <w:t>11、竞争性磋商响应文件（以下简称响应文件）的组成及要求</w:t>
      </w:r>
      <w:bookmarkEnd w:id="50"/>
    </w:p>
    <w:p>
      <w:pPr>
        <w:spacing w:line="360" w:lineRule="auto"/>
        <w:ind w:left="220" w:leftChars="100" w:firstLine="422" w:firstLineChars="200"/>
        <w:rPr>
          <w:b/>
          <w:bCs/>
          <w:sz w:val="20"/>
          <w:szCs w:val="20"/>
        </w:rPr>
      </w:pPr>
      <w:r>
        <w:rPr>
          <w:rFonts w:ascii="宋体" w:hAnsi="宋体" w:eastAsia="宋体" w:cs="宋体"/>
          <w:b/>
          <w:bCs/>
          <w:sz w:val="21"/>
          <w:szCs w:val="21"/>
        </w:rPr>
        <w:t>11.1 响应文件组成【格式见第六章“响应文件格式”】</w:t>
      </w:r>
    </w:p>
    <w:p>
      <w:pPr>
        <w:spacing w:line="360" w:lineRule="auto"/>
        <w:ind w:left="220" w:leftChars="100" w:firstLine="422" w:firstLineChars="200"/>
        <w:rPr>
          <w:sz w:val="20"/>
          <w:szCs w:val="20"/>
        </w:rPr>
      </w:pPr>
      <w:bookmarkStart w:id="51" w:name="_Toc712_WPSOffice_Level3"/>
      <w:r>
        <w:rPr>
          <w:rFonts w:ascii="宋体" w:hAnsi="宋体" w:eastAsia="宋体" w:cs="宋体"/>
          <w:b/>
          <w:bCs/>
          <w:sz w:val="21"/>
          <w:szCs w:val="21"/>
        </w:rPr>
        <w:t>11.1.1 资格性响应证明材料：</w:t>
      </w:r>
      <w:bookmarkEnd w:id="51"/>
    </w:p>
    <w:p>
      <w:pPr>
        <w:spacing w:line="360" w:lineRule="auto"/>
        <w:ind w:left="220" w:leftChars="100"/>
        <w:rPr>
          <w:sz w:val="20"/>
          <w:szCs w:val="20"/>
        </w:rPr>
      </w:pPr>
      <w:r>
        <w:rPr>
          <w:rFonts w:ascii="宋体" w:hAnsi="宋体" w:eastAsia="宋体" w:cs="宋体"/>
          <w:sz w:val="21"/>
          <w:szCs w:val="21"/>
        </w:rPr>
        <w:t>（1）磋商函（格式见附件）</w:t>
      </w:r>
      <w:r>
        <w:rPr>
          <w:rFonts w:ascii="宋体" w:hAnsi="宋体" w:eastAsia="宋体" w:cs="宋体"/>
          <w:b/>
          <w:bCs/>
          <w:sz w:val="21"/>
          <w:szCs w:val="21"/>
        </w:rPr>
        <w:t>（必须提供）；</w:t>
      </w:r>
    </w:p>
    <w:p>
      <w:pPr>
        <w:spacing w:line="360" w:lineRule="auto"/>
        <w:ind w:left="220" w:leftChars="100"/>
        <w:rPr>
          <w:sz w:val="20"/>
          <w:szCs w:val="20"/>
        </w:rPr>
      </w:pPr>
      <w:r>
        <w:rPr>
          <w:rFonts w:ascii="宋体" w:hAnsi="宋体" w:eastAsia="宋体" w:cs="宋体"/>
          <w:sz w:val="21"/>
          <w:szCs w:val="21"/>
        </w:rPr>
        <w:t>（2）法定代表人有效的身份证复印件</w:t>
      </w:r>
      <w:r>
        <w:rPr>
          <w:rFonts w:ascii="宋体" w:hAnsi="宋体" w:eastAsia="宋体" w:cs="宋体"/>
          <w:b/>
          <w:bCs/>
          <w:sz w:val="21"/>
          <w:szCs w:val="21"/>
        </w:rPr>
        <w:t>（必须提供）</w:t>
      </w:r>
      <w:r>
        <w:rPr>
          <w:rFonts w:ascii="宋体" w:hAnsi="宋体" w:eastAsia="宋体" w:cs="宋体"/>
          <w:sz w:val="21"/>
          <w:szCs w:val="21"/>
        </w:rPr>
        <w:t>；</w:t>
      </w:r>
    </w:p>
    <w:p>
      <w:pPr>
        <w:spacing w:line="360" w:lineRule="auto"/>
        <w:ind w:left="220" w:leftChars="100"/>
        <w:rPr>
          <w:sz w:val="20"/>
          <w:szCs w:val="20"/>
        </w:rPr>
      </w:pPr>
      <w:r>
        <w:rPr>
          <w:rFonts w:ascii="宋体" w:hAnsi="宋体" w:eastAsia="宋体" w:cs="宋体"/>
          <w:sz w:val="20"/>
          <w:szCs w:val="20"/>
        </w:rPr>
        <w:t>（3）</w:t>
      </w:r>
      <w:r>
        <w:rPr>
          <w:rFonts w:ascii="宋体" w:hAnsi="宋体" w:eastAsia="宋体" w:cs="宋体"/>
          <w:sz w:val="21"/>
          <w:szCs w:val="21"/>
        </w:rPr>
        <w:t>供应商的授权委托书原件、委托代理人身份证正反面复印件</w:t>
      </w:r>
      <w:r>
        <w:rPr>
          <w:rFonts w:ascii="宋体" w:hAnsi="宋体" w:eastAsia="宋体" w:cs="宋体"/>
          <w:b/>
          <w:bCs/>
          <w:sz w:val="21"/>
          <w:szCs w:val="21"/>
        </w:rPr>
        <w:t>（委托代理时必须提供）；</w:t>
      </w:r>
    </w:p>
    <w:p>
      <w:pPr>
        <w:spacing w:line="360" w:lineRule="auto"/>
        <w:ind w:left="220" w:leftChars="100"/>
        <w:rPr>
          <w:sz w:val="20"/>
          <w:szCs w:val="20"/>
        </w:rPr>
      </w:pPr>
      <w:r>
        <w:rPr>
          <w:rFonts w:ascii="宋体" w:hAnsi="宋体" w:eastAsia="宋体" w:cs="宋体"/>
          <w:sz w:val="21"/>
          <w:szCs w:val="21"/>
        </w:rPr>
        <w:t>（4）磋商保证金交纳证明复印件</w:t>
      </w:r>
      <w:r>
        <w:rPr>
          <w:rFonts w:ascii="宋体" w:hAnsi="宋体" w:eastAsia="宋体" w:cs="宋体"/>
          <w:b/>
          <w:bCs/>
          <w:sz w:val="21"/>
          <w:szCs w:val="21"/>
        </w:rPr>
        <w:t>（必须提供）</w:t>
      </w:r>
      <w:r>
        <w:rPr>
          <w:rFonts w:ascii="宋体" w:hAnsi="宋体" w:eastAsia="宋体" w:cs="宋体"/>
          <w:sz w:val="21"/>
          <w:szCs w:val="21"/>
        </w:rPr>
        <w:t>；</w:t>
      </w:r>
    </w:p>
    <w:p>
      <w:pPr>
        <w:spacing w:line="360" w:lineRule="auto"/>
        <w:ind w:left="220" w:leftChars="100"/>
        <w:rPr>
          <w:sz w:val="20"/>
          <w:szCs w:val="20"/>
        </w:rPr>
      </w:pPr>
      <w:r>
        <w:rPr>
          <w:rFonts w:ascii="宋体" w:hAnsi="宋体" w:eastAsia="宋体" w:cs="宋体"/>
          <w:sz w:val="21"/>
          <w:szCs w:val="21"/>
        </w:rPr>
        <w:t>（5）磋商供应商的法人或者其他组织的营业执照副本复印件</w:t>
      </w:r>
      <w:r>
        <w:rPr>
          <w:rFonts w:ascii="宋体" w:hAnsi="宋体" w:eastAsia="宋体" w:cs="宋体"/>
          <w:b/>
          <w:bCs/>
          <w:sz w:val="21"/>
          <w:szCs w:val="21"/>
        </w:rPr>
        <w:t>复印件（必须提供，自然人除外）</w:t>
      </w:r>
      <w:r>
        <w:rPr>
          <w:rFonts w:ascii="宋体" w:hAnsi="宋体" w:eastAsia="宋体" w:cs="宋体"/>
          <w:sz w:val="21"/>
          <w:szCs w:val="21"/>
        </w:rPr>
        <w:t>；</w:t>
      </w:r>
    </w:p>
    <w:p>
      <w:pPr>
        <w:spacing w:line="360" w:lineRule="auto"/>
        <w:ind w:left="220" w:leftChars="100"/>
        <w:rPr>
          <w:sz w:val="21"/>
          <w:szCs w:val="21"/>
        </w:rPr>
      </w:pPr>
      <w:r>
        <w:rPr>
          <w:rFonts w:ascii="宋体" w:hAnsi="宋体" w:eastAsia="宋体" w:cs="宋体"/>
          <w:b/>
          <w:bCs/>
          <w:sz w:val="21"/>
          <w:szCs w:val="21"/>
        </w:rPr>
        <w:t>注：①法人包括企业法人、机关法人、事业单位法人和社会团体法人；其他组织主要包括合伙企业、非企业专</w:t>
      </w:r>
    </w:p>
    <w:p>
      <w:pPr>
        <w:spacing w:line="360" w:lineRule="auto"/>
        <w:ind w:left="220" w:leftChars="100"/>
        <w:rPr>
          <w:sz w:val="20"/>
          <w:szCs w:val="20"/>
        </w:rPr>
      </w:pPr>
      <w:r>
        <w:rPr>
          <w:rFonts w:ascii="宋体" w:hAnsi="宋体" w:eastAsia="宋体" w:cs="宋体"/>
          <w:b/>
          <w:bCs/>
          <w:sz w:val="21"/>
          <w:szCs w:val="21"/>
        </w:rPr>
        <w:t>业服务机构、个体工商户、农村承包经营户。②如供应商为企业（包括合伙企业），应提供工商部门注册的有效</w:t>
      </w:r>
      <w:r>
        <w:rPr>
          <w:rFonts w:ascii="Calibri" w:hAnsi="Calibri" w:eastAsia="Calibri" w:cs="Calibri"/>
          <w:b/>
          <w:bCs/>
          <w:sz w:val="21"/>
          <w:szCs w:val="21"/>
        </w:rPr>
        <w:t>“</w:t>
      </w:r>
      <w:r>
        <w:rPr>
          <w:rFonts w:ascii="宋体" w:hAnsi="宋体" w:eastAsia="宋体" w:cs="宋体"/>
          <w:b/>
          <w:bCs/>
          <w:sz w:val="21"/>
          <w:szCs w:val="21"/>
        </w:rPr>
        <w:t>企业法人营业执照</w:t>
      </w:r>
      <w:r>
        <w:rPr>
          <w:rFonts w:ascii="Calibri" w:hAnsi="Calibri" w:eastAsia="Calibri" w:cs="Calibri"/>
          <w:b/>
          <w:bCs/>
          <w:sz w:val="21"/>
          <w:szCs w:val="21"/>
        </w:rPr>
        <w:t>”</w:t>
      </w:r>
      <w:r>
        <w:rPr>
          <w:rFonts w:ascii="宋体" w:hAnsi="宋体" w:eastAsia="宋体" w:cs="宋体"/>
          <w:b/>
          <w:bCs/>
          <w:sz w:val="21"/>
          <w:szCs w:val="21"/>
        </w:rPr>
        <w:t>或</w:t>
      </w:r>
      <w:r>
        <w:rPr>
          <w:rFonts w:ascii="Calibri" w:hAnsi="Calibri" w:eastAsia="Calibri" w:cs="Calibri"/>
          <w:b/>
          <w:bCs/>
          <w:sz w:val="21"/>
          <w:szCs w:val="21"/>
        </w:rPr>
        <w:t>“</w:t>
      </w:r>
      <w:r>
        <w:rPr>
          <w:rFonts w:ascii="宋体" w:hAnsi="宋体" w:eastAsia="宋体" w:cs="宋体"/>
          <w:b/>
          <w:bCs/>
          <w:sz w:val="21"/>
          <w:szCs w:val="21"/>
        </w:rPr>
        <w:t>营业执照；供应商为事业单位，应提供有效的</w:t>
      </w:r>
      <w:r>
        <w:rPr>
          <w:rFonts w:ascii="Calibri" w:hAnsi="Calibri" w:eastAsia="Calibri" w:cs="Calibri"/>
          <w:b/>
          <w:bCs/>
          <w:sz w:val="21"/>
          <w:szCs w:val="21"/>
        </w:rPr>
        <w:t>“</w:t>
      </w:r>
      <w:r>
        <w:rPr>
          <w:rFonts w:ascii="宋体" w:hAnsi="宋体" w:eastAsia="宋体" w:cs="宋体"/>
          <w:b/>
          <w:bCs/>
          <w:sz w:val="21"/>
          <w:szCs w:val="21"/>
        </w:rPr>
        <w:t>事业单位法人证书</w:t>
      </w:r>
      <w:r>
        <w:rPr>
          <w:rFonts w:ascii="Calibri" w:hAnsi="Calibri" w:eastAsia="Calibri" w:cs="Calibri"/>
          <w:b/>
          <w:bCs/>
          <w:sz w:val="21"/>
          <w:szCs w:val="21"/>
        </w:rPr>
        <w:t>”</w:t>
      </w:r>
      <w:r>
        <w:rPr>
          <w:rFonts w:ascii="宋体" w:hAnsi="宋体" w:eastAsia="宋体" w:cs="宋体"/>
          <w:b/>
          <w:bCs/>
          <w:sz w:val="21"/>
          <w:szCs w:val="21"/>
        </w:rPr>
        <w:t>；供应商为非企业专业服务机构的，应提供执业许可证等证明文件；供应商为个体工商户，应提供有效的</w:t>
      </w:r>
      <w:r>
        <w:rPr>
          <w:rFonts w:ascii="Calibri" w:hAnsi="Calibri" w:eastAsia="Calibri" w:cs="Calibri"/>
          <w:b/>
          <w:bCs/>
          <w:sz w:val="21"/>
          <w:szCs w:val="21"/>
        </w:rPr>
        <w:t>“</w:t>
      </w:r>
      <w:r>
        <w:rPr>
          <w:rFonts w:ascii="宋体" w:hAnsi="宋体" w:eastAsia="宋体" w:cs="宋体"/>
          <w:b/>
          <w:bCs/>
          <w:sz w:val="21"/>
          <w:szCs w:val="21"/>
        </w:rPr>
        <w:t>个体工商户营业执照</w:t>
      </w:r>
      <w:r>
        <w:rPr>
          <w:rFonts w:ascii="Calibri" w:hAnsi="Calibri" w:eastAsia="Calibri" w:cs="Calibri"/>
          <w:b/>
          <w:bCs/>
          <w:sz w:val="21"/>
          <w:szCs w:val="21"/>
        </w:rPr>
        <w:t>”</w:t>
      </w:r>
      <w:r>
        <w:rPr>
          <w:rFonts w:ascii="宋体" w:hAnsi="宋体" w:eastAsia="宋体" w:cs="宋体"/>
          <w:b/>
          <w:bCs/>
          <w:sz w:val="21"/>
          <w:szCs w:val="21"/>
        </w:rPr>
        <w:t>。</w:t>
      </w:r>
    </w:p>
    <w:p>
      <w:pPr>
        <w:spacing w:line="360" w:lineRule="auto"/>
        <w:ind w:left="220" w:leftChars="100"/>
        <w:rPr>
          <w:sz w:val="20"/>
          <w:szCs w:val="20"/>
        </w:rPr>
      </w:pPr>
      <w:r>
        <w:rPr>
          <w:rFonts w:ascii="宋体" w:hAnsi="宋体" w:eastAsia="宋体" w:cs="宋体"/>
          <w:sz w:val="21"/>
          <w:szCs w:val="21"/>
        </w:rPr>
        <w:t>（6）磋商供应商加政府采购活动前</w:t>
      </w:r>
      <w:r>
        <w:rPr>
          <w:rFonts w:ascii="Calibri" w:hAnsi="Calibri" w:eastAsia="Calibri" w:cs="Calibri"/>
          <w:sz w:val="21"/>
          <w:szCs w:val="21"/>
        </w:rPr>
        <w:t xml:space="preserve"> 3 </w:t>
      </w:r>
      <w:r>
        <w:rPr>
          <w:rFonts w:ascii="宋体" w:hAnsi="宋体" w:eastAsia="宋体" w:cs="宋体"/>
          <w:sz w:val="21"/>
          <w:szCs w:val="21"/>
        </w:rPr>
        <w:t>年内在经营活动中没有重大违法记录的书面声明</w:t>
      </w:r>
      <w:r>
        <w:rPr>
          <w:rFonts w:ascii="宋体" w:hAnsi="宋体" w:eastAsia="宋体" w:cs="宋体"/>
          <w:b/>
          <w:bCs/>
          <w:sz w:val="21"/>
          <w:szCs w:val="21"/>
        </w:rPr>
        <w:t>（必须提供）；</w:t>
      </w:r>
    </w:p>
    <w:p>
      <w:pPr>
        <w:spacing w:line="360" w:lineRule="auto"/>
        <w:ind w:left="220" w:leftChars="100" w:firstLine="422" w:firstLineChars="200"/>
        <w:rPr>
          <w:sz w:val="20"/>
          <w:szCs w:val="20"/>
        </w:rPr>
      </w:pPr>
      <w:bookmarkStart w:id="52" w:name="_Toc13842_WPSOffice_Level3"/>
      <w:r>
        <w:rPr>
          <w:rFonts w:ascii="宋体" w:hAnsi="宋体" w:eastAsia="宋体" w:cs="宋体"/>
          <w:b/>
          <w:bCs/>
          <w:sz w:val="21"/>
          <w:szCs w:val="21"/>
        </w:rPr>
        <w:t>11.1.2 符合性响应证明材料</w:t>
      </w:r>
      <w:bookmarkEnd w:id="52"/>
    </w:p>
    <w:p>
      <w:pPr>
        <w:spacing w:line="360" w:lineRule="auto"/>
        <w:ind w:left="220" w:leftChars="100"/>
        <w:rPr>
          <w:sz w:val="20"/>
          <w:szCs w:val="20"/>
        </w:rPr>
      </w:pPr>
      <w:r>
        <w:rPr>
          <w:rFonts w:ascii="宋体" w:hAnsi="宋体" w:eastAsia="宋体" w:cs="宋体"/>
          <w:sz w:val="21"/>
          <w:szCs w:val="21"/>
        </w:rPr>
        <w:t>（7）磋商报价明细表（格式见附件）</w:t>
      </w:r>
      <w:r>
        <w:rPr>
          <w:rFonts w:ascii="宋体" w:hAnsi="宋体" w:eastAsia="宋体" w:cs="宋体"/>
          <w:b/>
          <w:bCs/>
          <w:sz w:val="21"/>
          <w:szCs w:val="21"/>
        </w:rPr>
        <w:t>（必须提供）</w:t>
      </w:r>
      <w:r>
        <w:rPr>
          <w:rFonts w:ascii="宋体" w:hAnsi="宋体" w:eastAsia="宋体" w:cs="宋体"/>
          <w:sz w:val="21"/>
          <w:szCs w:val="21"/>
        </w:rPr>
        <w:t>；</w:t>
      </w:r>
    </w:p>
    <w:p>
      <w:pPr>
        <w:spacing w:line="360" w:lineRule="auto"/>
        <w:ind w:left="220" w:leftChars="100"/>
        <w:rPr>
          <w:rFonts w:ascii="宋体" w:hAnsi="宋体" w:eastAsia="宋体" w:cs="宋体"/>
          <w:b/>
          <w:bCs/>
          <w:sz w:val="21"/>
          <w:szCs w:val="21"/>
        </w:rPr>
      </w:pPr>
      <w:r>
        <w:rPr>
          <w:rFonts w:ascii="宋体" w:hAnsi="宋体" w:eastAsia="宋体" w:cs="宋体"/>
          <w:sz w:val="21"/>
          <w:szCs w:val="21"/>
        </w:rPr>
        <w:t>（8）技术规格偏离表（格式见附件）</w:t>
      </w:r>
      <w:r>
        <w:rPr>
          <w:rFonts w:ascii="宋体" w:hAnsi="宋体" w:eastAsia="宋体" w:cs="宋体"/>
          <w:b/>
          <w:bCs/>
          <w:sz w:val="21"/>
          <w:szCs w:val="21"/>
        </w:rPr>
        <w:t>（必须提供）；</w:t>
      </w:r>
      <w:bookmarkStart w:id="53" w:name="page10"/>
      <w:bookmarkEnd w:id="53"/>
    </w:p>
    <w:p>
      <w:pPr>
        <w:spacing w:line="360" w:lineRule="auto"/>
        <w:ind w:left="220" w:leftChars="100"/>
        <w:rPr>
          <w:sz w:val="20"/>
          <w:szCs w:val="20"/>
        </w:rPr>
      </w:pPr>
      <w:r>
        <w:rPr>
          <w:rFonts w:ascii="宋体" w:hAnsi="宋体" w:eastAsia="宋体" w:cs="宋体"/>
          <w:sz w:val="21"/>
          <w:szCs w:val="21"/>
        </w:rPr>
        <w:t>（9）磋商供应商在“信用中国”网(www.creditchina.gov.cn)、中国政府采购网(www.ccgp.gov.cn)查询网站直接打印的信用查询记录打印材料</w:t>
      </w:r>
      <w:r>
        <w:rPr>
          <w:rFonts w:ascii="宋体" w:hAnsi="宋体" w:eastAsia="宋体" w:cs="宋体"/>
          <w:b/>
          <w:bCs/>
          <w:sz w:val="21"/>
          <w:szCs w:val="21"/>
        </w:rPr>
        <w:t>（必须提供）</w:t>
      </w:r>
    </w:p>
    <w:p>
      <w:pPr>
        <w:spacing w:line="360" w:lineRule="auto"/>
        <w:ind w:left="220" w:leftChars="100" w:right="20" w:firstLine="210"/>
        <w:rPr>
          <w:sz w:val="20"/>
          <w:szCs w:val="20"/>
        </w:rPr>
      </w:pPr>
      <w:r>
        <w:rPr>
          <w:rFonts w:ascii="宋体" w:hAnsi="宋体" w:eastAsia="宋体" w:cs="宋体"/>
          <w:sz w:val="21"/>
          <w:szCs w:val="21"/>
        </w:rPr>
        <w:t>（1</w:t>
      </w:r>
      <w:r>
        <w:rPr>
          <w:rFonts w:hint="eastAsia" w:ascii="宋体" w:hAnsi="宋体" w:eastAsia="宋体" w:cs="宋体"/>
          <w:sz w:val="21"/>
          <w:szCs w:val="21"/>
        </w:rPr>
        <w:t>0</w:t>
      </w:r>
      <w:r>
        <w:rPr>
          <w:rFonts w:ascii="宋体" w:hAnsi="宋体" w:eastAsia="宋体" w:cs="宋体"/>
          <w:sz w:val="21"/>
          <w:szCs w:val="21"/>
        </w:rPr>
        <w:t>）磋商供应商针对本项目售后服务承诺书</w:t>
      </w:r>
      <w:r>
        <w:rPr>
          <w:rFonts w:ascii="宋体" w:hAnsi="宋体" w:eastAsia="宋体" w:cs="宋体"/>
          <w:b/>
          <w:bCs/>
          <w:sz w:val="21"/>
          <w:szCs w:val="21"/>
        </w:rPr>
        <w:t>（含免费保修期、交付使用期、技术服务、技术培训、售后服务的内容和措施等）（必须提供）</w:t>
      </w:r>
      <w:r>
        <w:rPr>
          <w:rFonts w:ascii="宋体" w:hAnsi="宋体" w:eastAsia="宋体" w:cs="宋体"/>
          <w:sz w:val="21"/>
          <w:szCs w:val="21"/>
        </w:rPr>
        <w:t>；</w:t>
      </w:r>
    </w:p>
    <w:p>
      <w:pPr>
        <w:spacing w:line="360" w:lineRule="auto"/>
        <w:ind w:left="220" w:leftChars="100"/>
        <w:rPr>
          <w:sz w:val="21"/>
          <w:szCs w:val="21"/>
        </w:rPr>
      </w:pPr>
      <w:r>
        <w:rPr>
          <w:rFonts w:ascii="宋体" w:hAnsi="宋体" w:eastAsia="宋体" w:cs="宋体"/>
          <w:sz w:val="21"/>
          <w:szCs w:val="21"/>
        </w:rPr>
        <w:t>（1</w:t>
      </w:r>
      <w:r>
        <w:rPr>
          <w:rFonts w:hint="eastAsia" w:ascii="宋体" w:hAnsi="宋体" w:eastAsia="宋体" w:cs="宋体"/>
          <w:sz w:val="21"/>
          <w:szCs w:val="21"/>
        </w:rPr>
        <w:t>1</w:t>
      </w:r>
      <w:r>
        <w:rPr>
          <w:rFonts w:ascii="宋体" w:hAnsi="宋体" w:eastAsia="宋体" w:cs="宋体"/>
          <w:sz w:val="21"/>
          <w:szCs w:val="21"/>
        </w:rPr>
        <w:t>）货物性能</w:t>
      </w:r>
      <w:r>
        <w:rPr>
          <w:rFonts w:hint="eastAsia" w:ascii="宋体" w:hAnsi="宋体" w:eastAsia="宋体" w:cs="宋体"/>
          <w:sz w:val="21"/>
          <w:szCs w:val="21"/>
        </w:rPr>
        <w:t>材料</w:t>
      </w:r>
      <w:r>
        <w:rPr>
          <w:rFonts w:ascii="宋体" w:hAnsi="宋体" w:eastAsia="宋体" w:cs="宋体"/>
          <w:b/>
          <w:bCs/>
          <w:sz w:val="21"/>
          <w:szCs w:val="21"/>
        </w:rPr>
        <w:t>(如有，请提供)</w:t>
      </w:r>
    </w:p>
    <w:p>
      <w:pPr>
        <w:spacing w:line="360" w:lineRule="auto"/>
        <w:ind w:left="220" w:leftChars="100"/>
        <w:rPr>
          <w:sz w:val="21"/>
          <w:szCs w:val="21"/>
        </w:rPr>
      </w:pPr>
      <w:r>
        <w:rPr>
          <w:rFonts w:ascii="宋体" w:hAnsi="宋体" w:eastAsia="宋体" w:cs="宋体"/>
          <w:sz w:val="21"/>
          <w:szCs w:val="21"/>
        </w:rPr>
        <w:t>（1</w:t>
      </w:r>
      <w:r>
        <w:rPr>
          <w:rFonts w:hint="eastAsia" w:ascii="宋体" w:hAnsi="宋体" w:eastAsia="宋体" w:cs="宋体"/>
          <w:sz w:val="21"/>
          <w:szCs w:val="21"/>
        </w:rPr>
        <w:t>2</w:t>
      </w:r>
      <w:r>
        <w:rPr>
          <w:rFonts w:ascii="宋体" w:hAnsi="宋体" w:eastAsia="宋体" w:cs="宋体"/>
          <w:sz w:val="21"/>
          <w:szCs w:val="21"/>
        </w:rPr>
        <w:t>）节能方面的资质证书复印件</w:t>
      </w:r>
      <w:r>
        <w:rPr>
          <w:rFonts w:ascii="宋体" w:hAnsi="宋体" w:eastAsia="宋体" w:cs="宋体"/>
          <w:b/>
          <w:bCs/>
          <w:sz w:val="21"/>
          <w:szCs w:val="21"/>
        </w:rPr>
        <w:t>（如有，请提供）</w:t>
      </w:r>
      <w:r>
        <w:rPr>
          <w:rFonts w:ascii="宋体" w:hAnsi="宋体" w:eastAsia="宋体" w:cs="宋体"/>
          <w:sz w:val="21"/>
          <w:szCs w:val="21"/>
        </w:rPr>
        <w:t>；</w:t>
      </w:r>
    </w:p>
    <w:p>
      <w:pPr>
        <w:spacing w:line="360" w:lineRule="auto"/>
        <w:ind w:left="220" w:leftChars="100"/>
        <w:rPr>
          <w:sz w:val="21"/>
          <w:szCs w:val="21"/>
        </w:rPr>
      </w:pPr>
      <w:r>
        <w:rPr>
          <w:rFonts w:ascii="宋体" w:hAnsi="宋体" w:eastAsia="宋体" w:cs="宋体"/>
          <w:sz w:val="21"/>
          <w:szCs w:val="21"/>
        </w:rPr>
        <w:t>（1</w:t>
      </w:r>
      <w:r>
        <w:rPr>
          <w:rFonts w:hint="eastAsia" w:ascii="宋体" w:hAnsi="宋体" w:eastAsia="宋体" w:cs="宋体"/>
          <w:sz w:val="21"/>
          <w:szCs w:val="21"/>
        </w:rPr>
        <w:t>3</w:t>
      </w:r>
      <w:r>
        <w:rPr>
          <w:rFonts w:ascii="宋体" w:hAnsi="宋体" w:eastAsia="宋体" w:cs="宋体"/>
          <w:sz w:val="21"/>
          <w:szCs w:val="21"/>
        </w:rPr>
        <w:t>）环保方面的资质证书复印件</w:t>
      </w:r>
      <w:r>
        <w:rPr>
          <w:rFonts w:ascii="宋体" w:hAnsi="宋体" w:eastAsia="宋体" w:cs="宋体"/>
          <w:b/>
          <w:bCs/>
          <w:sz w:val="21"/>
          <w:szCs w:val="21"/>
        </w:rPr>
        <w:t>（如有，请提供）</w:t>
      </w:r>
      <w:r>
        <w:rPr>
          <w:rFonts w:ascii="宋体" w:hAnsi="宋体" w:eastAsia="宋体" w:cs="宋体"/>
          <w:sz w:val="21"/>
          <w:szCs w:val="21"/>
        </w:rPr>
        <w:t>；</w:t>
      </w:r>
    </w:p>
    <w:p>
      <w:pPr>
        <w:spacing w:line="360" w:lineRule="auto"/>
        <w:ind w:firstLine="210" w:firstLineChars="100"/>
        <w:rPr>
          <w:rFonts w:ascii="Calibri" w:hAnsi="Calibri" w:eastAsia="Calibri" w:cs="Calibri"/>
          <w:sz w:val="21"/>
          <w:szCs w:val="21"/>
        </w:rPr>
      </w:pPr>
      <w:r>
        <w:rPr>
          <w:rFonts w:ascii="宋体" w:hAnsi="宋体" w:eastAsia="宋体" w:cs="宋体"/>
          <w:sz w:val="21"/>
          <w:szCs w:val="21"/>
        </w:rPr>
        <w:t>（1</w:t>
      </w:r>
      <w:r>
        <w:rPr>
          <w:rFonts w:hint="eastAsia" w:ascii="宋体" w:hAnsi="宋体" w:eastAsia="宋体" w:cs="宋体"/>
          <w:sz w:val="21"/>
          <w:szCs w:val="21"/>
        </w:rPr>
        <w:t>4</w:t>
      </w:r>
      <w:r>
        <w:rPr>
          <w:rFonts w:ascii="宋体" w:hAnsi="宋体" w:eastAsia="宋体" w:cs="宋体"/>
          <w:sz w:val="21"/>
          <w:szCs w:val="21"/>
        </w:rPr>
        <w:t>）“采购需求”中须提供的证明文件</w:t>
      </w:r>
      <w:r>
        <w:rPr>
          <w:rFonts w:ascii="宋体" w:hAnsi="宋体" w:eastAsia="宋体" w:cs="宋体"/>
          <w:b/>
          <w:bCs/>
          <w:sz w:val="21"/>
          <w:szCs w:val="21"/>
        </w:rPr>
        <w:t>（按采购需求的要求提供）</w:t>
      </w:r>
      <w:r>
        <w:rPr>
          <w:rFonts w:ascii="Calibri" w:hAnsi="Calibri" w:eastAsia="Calibri" w:cs="Calibri"/>
          <w:sz w:val="21"/>
          <w:szCs w:val="21"/>
        </w:rPr>
        <w:t>;</w:t>
      </w:r>
    </w:p>
    <w:p>
      <w:pPr>
        <w:spacing w:line="360" w:lineRule="auto"/>
        <w:ind w:firstLine="210" w:firstLineChars="100"/>
        <w:rPr>
          <w:sz w:val="21"/>
          <w:szCs w:val="21"/>
        </w:rPr>
      </w:pPr>
      <w:r>
        <w:rPr>
          <w:rFonts w:ascii="宋体" w:hAnsi="宋体" w:eastAsia="宋体" w:cs="宋体"/>
          <w:sz w:val="21"/>
          <w:szCs w:val="21"/>
        </w:rPr>
        <w:t>（1</w:t>
      </w:r>
      <w:r>
        <w:rPr>
          <w:rFonts w:hint="eastAsia" w:ascii="宋体" w:hAnsi="宋体" w:eastAsia="宋体" w:cs="宋体"/>
          <w:sz w:val="21"/>
          <w:szCs w:val="21"/>
        </w:rPr>
        <w:t>5</w:t>
      </w:r>
      <w:r>
        <w:rPr>
          <w:rFonts w:ascii="宋体" w:hAnsi="宋体" w:eastAsia="宋体" w:cs="宋体"/>
          <w:sz w:val="21"/>
          <w:szCs w:val="21"/>
        </w:rPr>
        <w:t>）联合体协议书</w:t>
      </w:r>
      <w:r>
        <w:rPr>
          <w:rFonts w:ascii="宋体" w:hAnsi="宋体" w:eastAsia="宋体" w:cs="宋体"/>
          <w:b/>
          <w:bCs/>
          <w:sz w:val="21"/>
          <w:szCs w:val="21"/>
        </w:rPr>
        <w:t>（如有，请提供）；</w:t>
      </w:r>
    </w:p>
    <w:p>
      <w:pPr>
        <w:spacing w:line="360" w:lineRule="auto"/>
        <w:ind w:left="220" w:leftChars="100"/>
        <w:rPr>
          <w:sz w:val="21"/>
          <w:szCs w:val="21"/>
        </w:rPr>
      </w:pPr>
      <w:r>
        <w:rPr>
          <w:rFonts w:ascii="宋体" w:hAnsi="宋体" w:eastAsia="宋体" w:cs="宋体"/>
          <w:sz w:val="21"/>
          <w:szCs w:val="21"/>
        </w:rPr>
        <w:t>（1</w:t>
      </w:r>
      <w:r>
        <w:rPr>
          <w:rFonts w:hint="eastAsia" w:ascii="宋体" w:hAnsi="宋体" w:eastAsia="宋体" w:cs="宋体"/>
          <w:sz w:val="21"/>
          <w:szCs w:val="21"/>
        </w:rPr>
        <w:t>6</w:t>
      </w:r>
      <w:r>
        <w:rPr>
          <w:rFonts w:ascii="宋体" w:hAnsi="宋体" w:eastAsia="宋体" w:cs="宋体"/>
          <w:sz w:val="21"/>
          <w:szCs w:val="21"/>
        </w:rPr>
        <w:t>）项目实施人员一览表</w:t>
      </w:r>
      <w:r>
        <w:rPr>
          <w:rFonts w:ascii="宋体" w:hAnsi="宋体" w:eastAsia="宋体" w:cs="宋体"/>
          <w:b/>
          <w:bCs/>
          <w:sz w:val="21"/>
          <w:szCs w:val="21"/>
        </w:rPr>
        <w:t>（如有，请提供）；</w:t>
      </w:r>
    </w:p>
    <w:p>
      <w:pPr>
        <w:spacing w:line="360" w:lineRule="auto"/>
        <w:ind w:left="220" w:leftChars="100"/>
        <w:rPr>
          <w:sz w:val="21"/>
          <w:szCs w:val="21"/>
        </w:rPr>
      </w:pPr>
      <w:r>
        <w:rPr>
          <w:rFonts w:ascii="宋体" w:hAnsi="宋体" w:eastAsia="宋体" w:cs="宋体"/>
          <w:sz w:val="21"/>
          <w:szCs w:val="21"/>
        </w:rPr>
        <w:t>（1</w:t>
      </w:r>
      <w:r>
        <w:rPr>
          <w:rFonts w:hint="eastAsia" w:ascii="宋体" w:hAnsi="宋体" w:eastAsia="宋体" w:cs="宋体"/>
          <w:sz w:val="21"/>
          <w:szCs w:val="21"/>
        </w:rPr>
        <w:t>7</w:t>
      </w:r>
      <w:r>
        <w:rPr>
          <w:rFonts w:ascii="宋体" w:hAnsi="宋体" w:eastAsia="宋体" w:cs="宋体"/>
          <w:sz w:val="21"/>
          <w:szCs w:val="21"/>
        </w:rPr>
        <w:t xml:space="preserve">）投标品牌 </w:t>
      </w:r>
      <w:r>
        <w:rPr>
          <w:rFonts w:ascii="宋体" w:hAnsi="宋体" w:eastAsia="宋体" w:cs="宋体"/>
          <w:sz w:val="21"/>
          <w:szCs w:val="21"/>
          <w:u w:val="single"/>
        </w:rPr>
        <w:t>2017年</w:t>
      </w:r>
      <w:r>
        <w:rPr>
          <w:rFonts w:ascii="宋体" w:hAnsi="宋体" w:eastAsia="宋体" w:cs="宋体"/>
          <w:sz w:val="21"/>
          <w:szCs w:val="21"/>
        </w:rPr>
        <w:t>以来通过中介审计的有效财务审计报告复印件</w:t>
      </w:r>
      <w:r>
        <w:rPr>
          <w:rFonts w:ascii="宋体" w:hAnsi="宋体" w:eastAsia="宋体" w:cs="宋体"/>
          <w:b/>
          <w:bCs/>
          <w:sz w:val="21"/>
          <w:szCs w:val="21"/>
        </w:rPr>
        <w:t>（如有，请提供）</w:t>
      </w:r>
      <w:r>
        <w:rPr>
          <w:rFonts w:ascii="宋体" w:hAnsi="宋体" w:eastAsia="宋体" w:cs="宋体"/>
          <w:sz w:val="21"/>
          <w:szCs w:val="21"/>
        </w:rPr>
        <w:t>；</w:t>
      </w:r>
    </w:p>
    <w:p>
      <w:pPr>
        <w:spacing w:line="360" w:lineRule="auto"/>
        <w:ind w:firstLine="210" w:firstLineChars="100"/>
        <w:rPr>
          <w:rFonts w:ascii="宋体" w:hAnsi="宋体" w:eastAsia="宋体" w:cs="宋体"/>
          <w:sz w:val="21"/>
          <w:szCs w:val="21"/>
        </w:rPr>
      </w:pPr>
      <w:r>
        <w:rPr>
          <w:rFonts w:ascii="宋体" w:hAnsi="宋体" w:eastAsia="宋体" w:cs="宋体"/>
          <w:sz w:val="21"/>
          <w:szCs w:val="21"/>
        </w:rPr>
        <w:t>（1</w:t>
      </w:r>
      <w:r>
        <w:rPr>
          <w:rFonts w:hint="eastAsia" w:ascii="宋体" w:hAnsi="宋体" w:eastAsia="宋体" w:cs="宋体"/>
          <w:sz w:val="21"/>
          <w:szCs w:val="21"/>
        </w:rPr>
        <w:t>8</w:t>
      </w:r>
      <w:r>
        <w:rPr>
          <w:rFonts w:ascii="宋体" w:hAnsi="宋体" w:eastAsia="宋体" w:cs="宋体"/>
          <w:sz w:val="21"/>
          <w:szCs w:val="21"/>
        </w:rPr>
        <w:t xml:space="preserve">）投标品牌 </w:t>
      </w:r>
      <w:r>
        <w:rPr>
          <w:rFonts w:ascii="宋体" w:hAnsi="宋体" w:eastAsia="宋体" w:cs="宋体"/>
          <w:sz w:val="21"/>
          <w:szCs w:val="21"/>
          <w:u w:val="single"/>
        </w:rPr>
        <w:t>2017年</w:t>
      </w:r>
      <w:r>
        <w:rPr>
          <w:rFonts w:ascii="宋体" w:hAnsi="宋体" w:eastAsia="宋体" w:cs="宋体"/>
          <w:sz w:val="21"/>
          <w:szCs w:val="21"/>
        </w:rPr>
        <w:t>以来具有的同类项目业绩的相关证明材料（无不良记录，以中标、成交通知书或签订的销售合同和相应发票为准， 并能清晰反映所销售的货物名称、种类、金额）</w:t>
      </w:r>
      <w:r>
        <w:rPr>
          <w:rFonts w:ascii="宋体" w:hAnsi="宋体" w:eastAsia="宋体" w:cs="宋体"/>
          <w:b/>
          <w:bCs/>
          <w:sz w:val="21"/>
          <w:szCs w:val="21"/>
        </w:rPr>
        <w:t>（如有，请提供）；</w:t>
      </w:r>
    </w:p>
    <w:p>
      <w:pPr>
        <w:spacing w:line="360" w:lineRule="auto"/>
        <w:ind w:left="220" w:leftChars="100"/>
        <w:rPr>
          <w:sz w:val="20"/>
          <w:szCs w:val="20"/>
        </w:rPr>
      </w:pPr>
      <w:r>
        <w:rPr>
          <w:rFonts w:ascii="宋体" w:hAnsi="宋体" w:eastAsia="宋体" w:cs="宋体"/>
          <w:sz w:val="21"/>
          <w:szCs w:val="21"/>
        </w:rPr>
        <w:t>（</w:t>
      </w:r>
      <w:r>
        <w:rPr>
          <w:rFonts w:hint="eastAsia" w:ascii="宋体" w:hAnsi="宋体" w:eastAsia="宋体" w:cs="宋体"/>
          <w:sz w:val="21"/>
          <w:szCs w:val="21"/>
        </w:rPr>
        <w:t>19</w:t>
      </w:r>
      <w:r>
        <w:rPr>
          <w:rFonts w:ascii="宋体" w:hAnsi="宋体" w:eastAsia="宋体" w:cs="宋体"/>
          <w:sz w:val="21"/>
          <w:szCs w:val="21"/>
        </w:rPr>
        <w:t>）其他证明文件的复印件（如属于小型、微型企业的，以提供工商注册地的工业和信息化部门出具的相关</w:t>
      </w:r>
    </w:p>
    <w:p>
      <w:pPr>
        <w:spacing w:line="360" w:lineRule="auto"/>
        <w:ind w:left="220" w:leftChars="100"/>
        <w:rPr>
          <w:sz w:val="20"/>
          <w:szCs w:val="20"/>
        </w:rPr>
      </w:pPr>
      <w:r>
        <w:rPr>
          <w:rFonts w:ascii="宋体" w:hAnsi="宋体" w:eastAsia="宋体" w:cs="宋体"/>
          <w:sz w:val="21"/>
          <w:szCs w:val="21"/>
        </w:rPr>
        <w:t>证明材料为准,并附《中小企业声明函》格式见附件）</w:t>
      </w:r>
      <w:r>
        <w:rPr>
          <w:rFonts w:hint="eastAsia" w:ascii="宋体" w:hAnsi="宋体" w:eastAsia="宋体" w:cs="宋体"/>
          <w:sz w:val="21"/>
          <w:szCs w:val="21"/>
        </w:rPr>
        <w:t>；</w:t>
      </w:r>
    </w:p>
    <w:p>
      <w:pPr>
        <w:spacing w:line="360" w:lineRule="auto"/>
        <w:ind w:left="220" w:leftChars="100"/>
        <w:rPr>
          <w:sz w:val="20"/>
          <w:szCs w:val="20"/>
        </w:rPr>
        <w:sectPr>
          <w:pgSz w:w="11900" w:h="16840"/>
          <w:pgMar w:top="964" w:right="1123" w:bottom="652" w:left="482" w:header="0" w:footer="397" w:gutter="0"/>
          <w:cols w:space="425" w:num="1"/>
        </w:sectPr>
      </w:pPr>
      <w:r>
        <w:rPr>
          <w:rFonts w:ascii="宋体" w:hAnsi="宋体" w:eastAsia="宋体" w:cs="宋体"/>
          <w:sz w:val="21"/>
          <w:szCs w:val="21"/>
        </w:rPr>
        <w:t>（2</w:t>
      </w:r>
      <w:r>
        <w:rPr>
          <w:rFonts w:hint="eastAsia" w:ascii="宋体" w:hAnsi="宋体" w:eastAsia="宋体" w:cs="宋体"/>
          <w:sz w:val="21"/>
          <w:szCs w:val="21"/>
        </w:rPr>
        <w:t>0</w:t>
      </w:r>
      <w:r>
        <w:rPr>
          <w:rFonts w:ascii="宋体" w:hAnsi="宋体" w:eastAsia="宋体" w:cs="宋体"/>
          <w:sz w:val="21"/>
          <w:szCs w:val="21"/>
        </w:rPr>
        <w:t>）供应商所投产品为广西工业产品的，如实提供《广西工业产品声明函》，并出具相关证明材料为准</w:t>
      </w:r>
      <w:r>
        <w:rPr>
          <w:rFonts w:ascii="宋体" w:hAnsi="宋体" w:eastAsia="宋体" w:cs="宋体"/>
          <w:b/>
          <w:bCs/>
          <w:sz w:val="21"/>
          <w:szCs w:val="21"/>
        </w:rPr>
        <w:t>（如有，请提供）</w:t>
      </w:r>
      <w:r>
        <w:rPr>
          <w:rFonts w:hint="eastAsia" w:ascii="宋体" w:hAnsi="宋体" w:eastAsia="宋体" w:cs="宋体"/>
          <w:b/>
          <w:bCs/>
          <w:sz w:val="21"/>
          <w:szCs w:val="21"/>
        </w:rPr>
        <w:t>；</w:t>
      </w:r>
    </w:p>
    <w:p>
      <w:pPr>
        <w:spacing w:line="360" w:lineRule="auto"/>
        <w:ind w:left="220" w:leftChars="100"/>
        <w:rPr>
          <w:rFonts w:ascii="宋体" w:hAnsi="宋体" w:eastAsia="宋体" w:cs="宋体"/>
          <w:sz w:val="21"/>
          <w:szCs w:val="21"/>
        </w:rPr>
      </w:pPr>
      <w:r>
        <w:rPr>
          <w:rFonts w:hint="eastAsia" w:ascii="宋体" w:hAnsi="宋体" w:eastAsia="宋体" w:cs="宋体"/>
          <w:sz w:val="21"/>
          <w:szCs w:val="21"/>
        </w:rPr>
        <w:t>（</w:t>
      </w:r>
      <w:r>
        <w:rPr>
          <w:rFonts w:ascii="宋体" w:hAnsi="宋体" w:eastAsia="宋体" w:cs="宋体"/>
          <w:sz w:val="21"/>
          <w:szCs w:val="21"/>
        </w:rPr>
        <w:t>2</w:t>
      </w:r>
      <w:r>
        <w:rPr>
          <w:rFonts w:hint="eastAsia" w:ascii="宋体" w:hAnsi="宋体" w:eastAsia="宋体" w:cs="宋体"/>
          <w:sz w:val="21"/>
          <w:szCs w:val="21"/>
        </w:rPr>
        <w:t>1</w:t>
      </w:r>
      <w:r>
        <w:rPr>
          <w:rFonts w:ascii="宋体" w:hAnsi="宋体" w:eastAsia="宋体" w:cs="宋体"/>
          <w:sz w:val="21"/>
          <w:szCs w:val="21"/>
        </w:rPr>
        <w:t>）符合条件的残疾人福利性单位在参加政府采购活动时，应当提供《残疾人福利性单位声明函》（见附</w:t>
      </w:r>
    </w:p>
    <w:p>
      <w:pPr>
        <w:spacing w:line="360" w:lineRule="auto"/>
        <w:ind w:left="220" w:leftChars="100"/>
        <w:rPr>
          <w:sz w:val="20"/>
          <w:szCs w:val="20"/>
        </w:rPr>
      </w:pPr>
      <w:r>
        <w:rPr>
          <w:rFonts w:ascii="宋体" w:hAnsi="宋体" w:eastAsia="宋体" w:cs="宋体"/>
          <w:sz w:val="21"/>
          <w:szCs w:val="21"/>
        </w:rPr>
        <w:t>件），出具相关证明材料为准，并对声明的真实性负责</w:t>
      </w:r>
      <w:r>
        <w:rPr>
          <w:rFonts w:ascii="宋体" w:hAnsi="宋体" w:eastAsia="宋体" w:cs="宋体"/>
          <w:b/>
          <w:bCs/>
          <w:sz w:val="21"/>
          <w:szCs w:val="21"/>
        </w:rPr>
        <w:t>（如有，请提供）</w:t>
      </w:r>
    </w:p>
    <w:p>
      <w:pPr>
        <w:spacing w:line="360" w:lineRule="auto"/>
        <w:ind w:left="220" w:leftChars="100"/>
        <w:rPr>
          <w:sz w:val="21"/>
          <w:szCs w:val="21"/>
        </w:rPr>
      </w:pPr>
      <w:r>
        <w:rPr>
          <w:rFonts w:ascii="宋体" w:hAnsi="宋体" w:eastAsia="宋体" w:cs="宋体"/>
          <w:sz w:val="21"/>
          <w:szCs w:val="21"/>
        </w:rPr>
        <w:t>（2</w:t>
      </w:r>
      <w:r>
        <w:rPr>
          <w:rFonts w:hint="eastAsia" w:ascii="宋体" w:hAnsi="宋体" w:eastAsia="宋体" w:cs="宋体"/>
          <w:sz w:val="21"/>
          <w:szCs w:val="21"/>
        </w:rPr>
        <w:t>2</w:t>
      </w:r>
      <w:r>
        <w:rPr>
          <w:rFonts w:ascii="宋体" w:hAnsi="宋体" w:eastAsia="宋体" w:cs="宋体"/>
          <w:sz w:val="21"/>
          <w:szCs w:val="21"/>
        </w:rPr>
        <w:t>）磋商供应商可结合本项目的评标办法视自身情况自行提交相关证明材料。以上有关材料应真实有效，并加盖磋商供应商公章（扫描公章无效）。属于“必须提供”的文件必须于本项目截标前与响应文件同时提交，否则，磋商无效。</w:t>
      </w:r>
    </w:p>
    <w:p>
      <w:pPr>
        <w:spacing w:line="360" w:lineRule="auto"/>
        <w:ind w:left="220" w:leftChars="100" w:firstLine="422" w:firstLineChars="200"/>
        <w:rPr>
          <w:sz w:val="21"/>
          <w:szCs w:val="21"/>
        </w:rPr>
      </w:pPr>
      <w:r>
        <w:rPr>
          <w:rFonts w:ascii="宋体" w:hAnsi="宋体" w:eastAsia="宋体" w:cs="宋体"/>
          <w:b/>
          <w:bCs/>
          <w:sz w:val="21"/>
          <w:szCs w:val="21"/>
        </w:rPr>
        <w:t xml:space="preserve">11.2 </w:t>
      </w:r>
      <w:r>
        <w:rPr>
          <w:rFonts w:ascii="宋体" w:hAnsi="宋体" w:eastAsia="宋体" w:cs="宋体"/>
          <w:sz w:val="21"/>
          <w:szCs w:val="21"/>
        </w:rPr>
        <w:t>供应商应按竞争性磋商文件第六章“响应文件格式”编制响应文件。</w:t>
      </w:r>
    </w:p>
    <w:p>
      <w:pPr>
        <w:spacing w:line="360" w:lineRule="auto"/>
        <w:ind w:left="220" w:leftChars="100"/>
        <w:rPr>
          <w:sz w:val="21"/>
          <w:szCs w:val="21"/>
        </w:rPr>
      </w:pPr>
      <w:bookmarkStart w:id="54" w:name="_Toc13425_WPSOffice_Level2"/>
      <w:r>
        <w:rPr>
          <w:rFonts w:ascii="宋体" w:hAnsi="宋体" w:eastAsia="宋体" w:cs="宋体"/>
          <w:b/>
          <w:bCs/>
          <w:sz w:val="21"/>
          <w:szCs w:val="21"/>
        </w:rPr>
        <w:t>12、响应文件的语言及计量</w:t>
      </w:r>
      <w:bookmarkEnd w:id="54"/>
    </w:p>
    <w:p>
      <w:pPr>
        <w:spacing w:line="360" w:lineRule="auto"/>
        <w:ind w:left="220" w:leftChars="100" w:right="120" w:firstLine="420"/>
        <w:jc w:val="both"/>
        <w:rPr>
          <w:sz w:val="21"/>
          <w:szCs w:val="21"/>
        </w:rPr>
      </w:pPr>
      <w:r>
        <w:rPr>
          <w:rFonts w:ascii="宋体" w:hAnsi="宋体" w:eastAsia="宋体" w:cs="宋体"/>
          <w:sz w:val="21"/>
          <w:szCs w:val="21"/>
        </w:rPr>
        <w:t>12.1、响应文件以及磋商供应商与采购代理机构就有关磋商事宜的所有来往函电，均应以中文汉语书写。磋商供应商提交的支持文件和印刷的文献可以使用别的语言，但其相应内容必须附有中文翻译文本，在解释响应文件时以中文翻译文本为准。</w:t>
      </w:r>
    </w:p>
    <w:p>
      <w:pPr>
        <w:spacing w:line="360" w:lineRule="auto"/>
        <w:ind w:left="220" w:leftChars="100" w:right="120" w:firstLine="420"/>
        <w:jc w:val="both"/>
        <w:rPr>
          <w:sz w:val="20"/>
          <w:szCs w:val="20"/>
        </w:rPr>
      </w:pPr>
      <w:r>
        <w:rPr>
          <w:rFonts w:ascii="宋体" w:hAnsi="宋体" w:eastAsia="宋体" w:cs="宋体"/>
          <w:sz w:val="21"/>
          <w:szCs w:val="21"/>
        </w:rPr>
        <w:t>12.2、磋商计量单位，磋商文件已有明确规定的，使用磋商文件规定的计量单位；磋商文件没有规定的，应采用中华人民共和国法定计量单位（货币单位：人民币元），否则视同未响应。</w:t>
      </w:r>
    </w:p>
    <w:p>
      <w:pPr>
        <w:spacing w:line="360" w:lineRule="auto"/>
        <w:ind w:left="220" w:leftChars="100"/>
        <w:rPr>
          <w:sz w:val="20"/>
          <w:szCs w:val="20"/>
        </w:rPr>
      </w:pPr>
      <w:bookmarkStart w:id="55" w:name="_Toc18981_WPSOffice_Level2"/>
      <w:r>
        <w:rPr>
          <w:rFonts w:ascii="宋体" w:hAnsi="宋体" w:eastAsia="宋体" w:cs="宋体"/>
          <w:b/>
          <w:bCs/>
          <w:sz w:val="21"/>
          <w:szCs w:val="21"/>
        </w:rPr>
        <w:t>13、磋商报价</w:t>
      </w:r>
      <w:bookmarkEnd w:id="55"/>
    </w:p>
    <w:p>
      <w:pPr>
        <w:spacing w:line="360" w:lineRule="auto"/>
        <w:ind w:left="220" w:leftChars="100" w:firstLine="420" w:firstLineChars="200"/>
        <w:rPr>
          <w:sz w:val="21"/>
          <w:szCs w:val="21"/>
        </w:rPr>
      </w:pPr>
      <w:r>
        <w:rPr>
          <w:rFonts w:ascii="宋体" w:hAnsi="宋体" w:eastAsia="宋体" w:cs="宋体"/>
          <w:sz w:val="21"/>
          <w:szCs w:val="21"/>
        </w:rPr>
        <w:t>13.1、磋商报价应按磋商文件中相关附表格式填写，报价超过所竞标采购预算总金额的，响应文件作无效处理。</w:t>
      </w:r>
    </w:p>
    <w:p>
      <w:pPr>
        <w:spacing w:line="360" w:lineRule="auto"/>
        <w:ind w:left="220" w:leftChars="100" w:right="120" w:firstLine="420"/>
        <w:jc w:val="both"/>
        <w:rPr>
          <w:sz w:val="21"/>
          <w:szCs w:val="21"/>
        </w:rPr>
      </w:pPr>
      <w:r>
        <w:rPr>
          <w:rFonts w:ascii="宋体" w:hAnsi="宋体" w:eastAsia="宋体" w:cs="宋体"/>
          <w:sz w:val="21"/>
          <w:szCs w:val="21"/>
        </w:rPr>
        <w:t>13.2、磋商供应商必须就“服务采购需求”中所有服务内容作完整唯一报价，否则，其磋商将被拒绝。响应文件只允许有一个报价，有选择的或有条件的报价将不予接受。</w:t>
      </w:r>
    </w:p>
    <w:p>
      <w:pPr>
        <w:spacing w:line="360" w:lineRule="auto"/>
        <w:ind w:left="220" w:leftChars="100"/>
        <w:rPr>
          <w:sz w:val="21"/>
          <w:szCs w:val="21"/>
        </w:rPr>
      </w:pPr>
    </w:p>
    <w:p>
      <w:pPr>
        <w:spacing w:line="360" w:lineRule="auto"/>
        <w:ind w:left="220" w:leftChars="100" w:firstLine="420" w:firstLineChars="200"/>
        <w:rPr>
          <w:sz w:val="21"/>
          <w:szCs w:val="21"/>
        </w:rPr>
      </w:pPr>
      <w:r>
        <w:rPr>
          <w:rFonts w:ascii="宋体" w:hAnsi="宋体" w:eastAsia="宋体" w:cs="宋体"/>
          <w:sz w:val="21"/>
          <w:szCs w:val="21"/>
        </w:rPr>
        <w:t>13.3、磋商报价应包括本次采购范围内保险、税金、培训及其他所有成本费用的总和；供应商综合考虑在报价中。</w:t>
      </w:r>
    </w:p>
    <w:p>
      <w:pPr>
        <w:spacing w:line="360" w:lineRule="auto"/>
        <w:ind w:left="220" w:leftChars="100" w:right="120" w:firstLine="420"/>
        <w:jc w:val="both"/>
        <w:rPr>
          <w:sz w:val="21"/>
          <w:szCs w:val="21"/>
        </w:rPr>
      </w:pPr>
      <w:r>
        <w:rPr>
          <w:rFonts w:ascii="宋体" w:hAnsi="宋体" w:eastAsia="宋体" w:cs="宋体"/>
          <w:sz w:val="21"/>
          <w:szCs w:val="21"/>
        </w:rPr>
        <w:t>13.4、未书面退出磋商的供应商应在规定时间内密封提交最后报价，其最后报价不得超出采购预算；磋商过程中磋商文件未作实质性变动的，最后报价不得超过首次报价。</w:t>
      </w:r>
    </w:p>
    <w:p>
      <w:pPr>
        <w:spacing w:line="360" w:lineRule="auto"/>
        <w:ind w:left="220" w:leftChars="100"/>
        <w:rPr>
          <w:sz w:val="21"/>
          <w:szCs w:val="21"/>
        </w:rPr>
      </w:pPr>
      <w:bookmarkStart w:id="56" w:name="_Toc29762_WPSOffice_Level2"/>
      <w:r>
        <w:rPr>
          <w:rFonts w:ascii="宋体" w:hAnsi="宋体" w:eastAsia="宋体" w:cs="宋体"/>
          <w:b/>
          <w:bCs/>
          <w:sz w:val="21"/>
          <w:szCs w:val="21"/>
        </w:rPr>
        <w:t>14、响应文件有效期</w:t>
      </w:r>
      <w:bookmarkEnd w:id="56"/>
    </w:p>
    <w:p>
      <w:pPr>
        <w:spacing w:line="360" w:lineRule="auto"/>
        <w:ind w:left="220" w:leftChars="100" w:firstLine="420" w:firstLineChars="200"/>
        <w:rPr>
          <w:sz w:val="21"/>
          <w:szCs w:val="21"/>
        </w:rPr>
      </w:pPr>
      <w:r>
        <w:rPr>
          <w:rFonts w:ascii="宋体" w:hAnsi="宋体" w:eastAsia="宋体" w:cs="宋体"/>
          <w:sz w:val="21"/>
          <w:szCs w:val="21"/>
        </w:rPr>
        <w:t>14.1、按磋商供应商须知前附表规定的响应文件有效期，有效期不足的响应文件将被拒绝。</w:t>
      </w:r>
    </w:p>
    <w:p>
      <w:pPr>
        <w:spacing w:line="360" w:lineRule="auto"/>
        <w:ind w:left="220" w:leftChars="100" w:right="120" w:firstLine="420"/>
        <w:jc w:val="both"/>
        <w:rPr>
          <w:sz w:val="20"/>
          <w:szCs w:val="20"/>
        </w:rPr>
      </w:pPr>
      <w:r>
        <w:rPr>
          <w:rFonts w:ascii="宋体" w:hAnsi="宋体" w:eastAsia="宋体" w:cs="宋体"/>
          <w:sz w:val="21"/>
          <w:szCs w:val="21"/>
        </w:rPr>
        <w:t>14.2、出现特殊情况下，需要延长磋商有效期的，采购代理机构以书面形式通知所有磋商供应商延长磋商有效期。磋商供应商同意延长的，应相应延长其磋商保证金的有效期，但不能修改响应文件。磋商供应商拒绝延长的，其磋商无效，但磋商供应商有权收回其磋商保证金。</w:t>
      </w:r>
    </w:p>
    <w:p>
      <w:pPr>
        <w:spacing w:line="360" w:lineRule="auto"/>
        <w:ind w:left="220" w:leftChars="100"/>
        <w:rPr>
          <w:sz w:val="20"/>
          <w:szCs w:val="20"/>
        </w:rPr>
      </w:pPr>
      <w:bookmarkStart w:id="57" w:name="_Toc13875_WPSOffice_Level2"/>
      <w:r>
        <w:rPr>
          <w:rFonts w:ascii="宋体" w:hAnsi="宋体" w:eastAsia="宋体" w:cs="宋体"/>
          <w:b/>
          <w:bCs/>
          <w:sz w:val="21"/>
          <w:szCs w:val="21"/>
        </w:rPr>
        <w:t>15、磋商保证金</w:t>
      </w:r>
      <w:bookmarkEnd w:id="57"/>
    </w:p>
    <w:p>
      <w:pPr>
        <w:spacing w:line="360" w:lineRule="auto"/>
        <w:ind w:left="220" w:leftChars="100" w:firstLine="420" w:firstLineChars="200"/>
        <w:rPr>
          <w:sz w:val="20"/>
          <w:szCs w:val="20"/>
        </w:rPr>
      </w:pPr>
      <w:r>
        <w:rPr>
          <w:rFonts w:ascii="宋体" w:hAnsi="宋体" w:eastAsia="宋体" w:cs="宋体"/>
          <w:sz w:val="21"/>
          <w:szCs w:val="21"/>
        </w:rPr>
        <w:t>15.1、磋商保证金的金额：</w:t>
      </w:r>
      <w:r>
        <w:rPr>
          <w:rFonts w:ascii="宋体" w:hAnsi="宋体" w:eastAsia="宋体" w:cs="宋体"/>
          <w:b/>
          <w:bCs/>
          <w:sz w:val="21"/>
          <w:szCs w:val="21"/>
        </w:rPr>
        <w:t>￥</w:t>
      </w:r>
      <w:r>
        <w:rPr>
          <w:rFonts w:hint="eastAsia" w:ascii="宋体" w:hAnsi="宋体" w:eastAsia="宋体" w:cs="宋体"/>
          <w:b/>
          <w:bCs/>
          <w:sz w:val="21"/>
          <w:szCs w:val="21"/>
        </w:rPr>
        <w:t>8000</w:t>
      </w:r>
      <w:r>
        <w:rPr>
          <w:rFonts w:ascii="宋体" w:hAnsi="宋体" w:eastAsia="宋体" w:cs="宋体"/>
          <w:b/>
          <w:bCs/>
          <w:sz w:val="21"/>
          <w:szCs w:val="21"/>
        </w:rPr>
        <w:t>.00（须足额交纳，否则磋商无效）。</w:t>
      </w:r>
    </w:p>
    <w:p>
      <w:pPr>
        <w:spacing w:after="120" w:afterLines="50" w:line="360" w:lineRule="auto"/>
        <w:ind w:firstLine="630" w:firstLineChars="300"/>
        <w:rPr>
          <w:rFonts w:ascii="宋体" w:hAnsi="宋体" w:eastAsia="宋体" w:cs="宋体"/>
          <w:sz w:val="21"/>
          <w:szCs w:val="21"/>
        </w:rPr>
      </w:pPr>
      <w:r>
        <w:rPr>
          <w:rFonts w:ascii="宋体" w:hAnsi="宋体" w:eastAsia="宋体" w:cs="宋体"/>
          <w:sz w:val="21"/>
          <w:szCs w:val="21"/>
        </w:rPr>
        <w:t xml:space="preserve">15.2、磋商保证金交纳方式：供应商应于时间 </w:t>
      </w:r>
      <w:r>
        <w:rPr>
          <w:rFonts w:hint="eastAsia" w:ascii="宋体" w:hAnsi="宋体" w:eastAsia="宋体" w:cs="宋体"/>
          <w:sz w:val="21"/>
          <w:szCs w:val="21"/>
        </w:rPr>
        <w:t>2020</w:t>
      </w:r>
      <w:r>
        <w:rPr>
          <w:rFonts w:ascii="宋体" w:hAnsi="宋体" w:eastAsia="宋体" w:cs="宋体"/>
          <w:sz w:val="21"/>
          <w:szCs w:val="21"/>
        </w:rPr>
        <w:t>年</w:t>
      </w:r>
      <w:r>
        <w:rPr>
          <w:rFonts w:hint="eastAsia" w:ascii="宋体" w:hAnsi="宋体" w:eastAsia="宋体" w:cs="宋体"/>
          <w:sz w:val="21"/>
          <w:szCs w:val="21"/>
        </w:rPr>
        <w:t>11</w:t>
      </w:r>
      <w:r>
        <w:rPr>
          <w:rFonts w:ascii="宋体" w:hAnsi="宋体" w:eastAsia="宋体" w:cs="宋体"/>
          <w:sz w:val="21"/>
          <w:szCs w:val="21"/>
        </w:rPr>
        <w:t>月</w:t>
      </w:r>
      <w:r>
        <w:rPr>
          <w:rFonts w:hint="eastAsia" w:ascii="宋体" w:hAnsi="宋体" w:eastAsia="宋体" w:cs="宋体"/>
          <w:sz w:val="21"/>
          <w:szCs w:val="21"/>
          <w:lang w:val="en-US" w:eastAsia="zh-CN"/>
        </w:rPr>
        <w:t>20</w:t>
      </w:r>
      <w:r>
        <w:rPr>
          <w:rFonts w:ascii="宋体" w:hAnsi="宋体" w:eastAsia="宋体" w:cs="宋体"/>
          <w:sz w:val="21"/>
          <w:szCs w:val="21"/>
        </w:rPr>
        <w:t>日</w:t>
      </w:r>
      <w:r>
        <w:rPr>
          <w:rFonts w:hint="eastAsia" w:ascii="宋体" w:hAnsi="宋体" w:eastAsia="宋体" w:cs="宋体"/>
          <w:sz w:val="21"/>
          <w:szCs w:val="21"/>
        </w:rPr>
        <w:t>9</w:t>
      </w:r>
      <w:r>
        <w:rPr>
          <w:rFonts w:ascii="宋体" w:hAnsi="宋体" w:eastAsia="宋体" w:cs="宋体"/>
          <w:sz w:val="21"/>
          <w:szCs w:val="21"/>
        </w:rPr>
        <w:t>时</w:t>
      </w:r>
      <w:r>
        <w:rPr>
          <w:rFonts w:hint="eastAsia" w:ascii="宋体" w:hAnsi="宋体" w:eastAsia="宋体" w:cs="宋体"/>
          <w:sz w:val="21"/>
          <w:szCs w:val="21"/>
        </w:rPr>
        <w:t>30</w:t>
      </w:r>
      <w:r>
        <w:rPr>
          <w:rFonts w:ascii="宋体" w:hAnsi="宋体" w:eastAsia="宋体" w:cs="宋体"/>
          <w:sz w:val="21"/>
          <w:szCs w:val="21"/>
        </w:rPr>
        <w:t>分前</w:t>
      </w:r>
      <w:r>
        <w:rPr>
          <w:rFonts w:hint="eastAsia" w:ascii="宋体" w:hAnsi="宋体" w:eastAsia="宋体" w:cs="宋体"/>
          <w:sz w:val="21"/>
          <w:szCs w:val="21"/>
        </w:rPr>
        <w:t>将投标保证金以电汇、转账等非现金形式从银行基本账户交至以下账户：</w:t>
      </w:r>
    </w:p>
    <w:p>
      <w:pPr>
        <w:spacing w:after="120" w:afterLines="50" w:line="360" w:lineRule="auto"/>
        <w:ind w:firstLine="420" w:firstLineChars="200"/>
        <w:rPr>
          <w:rFonts w:ascii="宋体" w:hAnsi="宋体" w:eastAsia="宋体" w:cs="宋体"/>
          <w:sz w:val="21"/>
          <w:szCs w:val="21"/>
        </w:rPr>
      </w:pPr>
      <w:r>
        <w:rPr>
          <w:rFonts w:hint="eastAsia" w:ascii="宋体" w:hAnsi="宋体" w:eastAsia="宋体" w:cs="宋体"/>
          <w:sz w:val="21"/>
          <w:szCs w:val="21"/>
        </w:rPr>
        <w:t>开户银行：建设银行灵山县丰江路支行</w:t>
      </w:r>
    </w:p>
    <w:p>
      <w:pPr>
        <w:spacing w:after="120" w:afterLines="50" w:line="360" w:lineRule="auto"/>
        <w:ind w:firstLine="420" w:firstLineChars="200"/>
        <w:rPr>
          <w:rFonts w:ascii="宋体" w:hAnsi="宋体" w:eastAsia="宋体" w:cs="宋体"/>
          <w:sz w:val="21"/>
          <w:szCs w:val="21"/>
        </w:rPr>
      </w:pPr>
      <w:r>
        <w:rPr>
          <w:rFonts w:hint="eastAsia" w:ascii="宋体" w:hAnsi="宋体" w:eastAsia="宋体" w:cs="宋体"/>
          <w:sz w:val="21"/>
          <w:szCs w:val="21"/>
        </w:rPr>
        <w:t>户名：广西大通建设监理咨询管理有限公司钦州分公司</w:t>
      </w:r>
    </w:p>
    <w:p>
      <w:pPr>
        <w:spacing w:after="120" w:afterLines="50" w:line="360" w:lineRule="auto"/>
        <w:ind w:firstLine="420" w:firstLineChars="200"/>
        <w:sectPr>
          <w:type w:val="continuous"/>
          <w:pgSz w:w="11900" w:h="16840"/>
          <w:pgMar w:top="964" w:right="1123" w:bottom="652" w:left="482" w:header="0" w:footer="397" w:gutter="0"/>
          <w:cols w:space="425" w:num="1"/>
        </w:sectPr>
      </w:pPr>
      <w:r>
        <w:rPr>
          <w:rFonts w:hint="eastAsia" w:ascii="宋体" w:hAnsi="宋体" w:eastAsia="宋体" w:cs="宋体"/>
          <w:sz w:val="21"/>
          <w:szCs w:val="21"/>
        </w:rPr>
        <w:t>银行帐号：4505 0165 7555 0968 6868</w:t>
      </w:r>
    </w:p>
    <w:p>
      <w:pPr>
        <w:spacing w:line="300" w:lineRule="auto"/>
        <w:ind w:left="220" w:leftChars="100" w:firstLine="420" w:firstLineChars="200"/>
        <w:jc w:val="both"/>
        <w:rPr>
          <w:rFonts w:ascii="宋体" w:hAnsi="宋体" w:eastAsia="宋体" w:cs="宋体"/>
          <w:sz w:val="21"/>
          <w:szCs w:val="21"/>
        </w:rPr>
      </w:pPr>
      <w:bookmarkStart w:id="58" w:name="page11"/>
      <w:bookmarkEnd w:id="58"/>
      <w:r>
        <w:rPr>
          <w:rFonts w:hint="eastAsia" w:ascii="宋体" w:hAnsi="宋体" w:eastAsia="宋体" w:cs="宋体"/>
          <w:sz w:val="21"/>
          <w:szCs w:val="21"/>
        </w:rPr>
        <w:t>凡未在规定时间内足额交纳或以其它方式交纳的投标保证金均视为无效投标保证金，其投标文件一律作无效处理。</w:t>
      </w:r>
    </w:p>
    <w:p>
      <w:pPr>
        <w:spacing w:line="360" w:lineRule="auto"/>
        <w:ind w:left="220" w:leftChars="100" w:firstLine="420" w:firstLineChars="200"/>
        <w:rPr>
          <w:rFonts w:ascii="宋体" w:hAnsi="宋体" w:eastAsia="宋体" w:cs="宋体"/>
          <w:sz w:val="21"/>
          <w:szCs w:val="21"/>
        </w:rPr>
      </w:pPr>
      <w:r>
        <w:rPr>
          <w:rFonts w:ascii="宋体" w:hAnsi="宋体" w:eastAsia="宋体" w:cs="宋体"/>
          <w:sz w:val="21"/>
          <w:szCs w:val="21"/>
        </w:rPr>
        <w:t>15.3、对未足额、按时交纳磋商保证金的，均按未交纳磋商保证金处理，并由磋商小组现场核定该响应无效。</w:t>
      </w:r>
    </w:p>
    <w:p>
      <w:pPr>
        <w:spacing w:line="360" w:lineRule="auto"/>
        <w:ind w:left="220" w:leftChars="100" w:right="100" w:firstLine="420"/>
        <w:jc w:val="both"/>
        <w:rPr>
          <w:sz w:val="20"/>
          <w:szCs w:val="20"/>
        </w:rPr>
      </w:pPr>
      <w:r>
        <w:rPr>
          <w:rFonts w:ascii="宋体" w:hAnsi="宋体" w:eastAsia="宋体" w:cs="宋体"/>
          <w:sz w:val="21"/>
          <w:szCs w:val="21"/>
        </w:rPr>
        <w:t>15.4、磋商保证金的退还均以转账形式（无息）退回到供应商银行账户。除磋商文件规定不予退还保证金的情形外，未成交供应商的磋商保证金在成交通知书发出后五个工作日内，采购代理机构以转账方式退还。成交供应商将政府采购合同一份送采购代理机构备案存档后，在五个工作日内予以退还其磋商保证金。</w:t>
      </w:r>
    </w:p>
    <w:p>
      <w:pPr>
        <w:spacing w:line="360" w:lineRule="auto"/>
        <w:ind w:left="220" w:leftChars="100" w:firstLine="420" w:firstLineChars="200"/>
        <w:rPr>
          <w:sz w:val="20"/>
          <w:szCs w:val="20"/>
        </w:rPr>
      </w:pPr>
      <w:r>
        <w:rPr>
          <w:rFonts w:ascii="宋体" w:hAnsi="宋体" w:eastAsia="宋体" w:cs="宋体"/>
          <w:sz w:val="21"/>
          <w:szCs w:val="21"/>
        </w:rPr>
        <w:t>15.5、磋商供应商有下列情形之一的，磋商保证金将不予退还；</w:t>
      </w:r>
    </w:p>
    <w:p>
      <w:pPr>
        <w:spacing w:line="360" w:lineRule="auto"/>
        <w:ind w:left="220" w:leftChars="100"/>
        <w:rPr>
          <w:sz w:val="20"/>
          <w:szCs w:val="20"/>
        </w:rPr>
      </w:pPr>
      <w:r>
        <w:rPr>
          <w:rFonts w:ascii="宋体" w:hAnsi="宋体" w:eastAsia="宋体" w:cs="宋体"/>
          <w:sz w:val="21"/>
          <w:szCs w:val="21"/>
        </w:rPr>
        <w:t>（1）磋商供应商在磋商有效期内撤回响应文件的；</w:t>
      </w:r>
    </w:p>
    <w:p>
      <w:pPr>
        <w:spacing w:line="360" w:lineRule="auto"/>
        <w:ind w:left="220" w:leftChars="100"/>
        <w:rPr>
          <w:sz w:val="20"/>
          <w:szCs w:val="20"/>
        </w:rPr>
      </w:pPr>
      <w:r>
        <w:rPr>
          <w:rFonts w:ascii="宋体" w:hAnsi="宋体" w:eastAsia="宋体" w:cs="宋体"/>
          <w:sz w:val="21"/>
          <w:szCs w:val="21"/>
        </w:rPr>
        <w:t>（2）磋商供应商在磋商过程中弄虚作假，提供虚假材料的；</w:t>
      </w:r>
    </w:p>
    <w:p>
      <w:pPr>
        <w:spacing w:line="360" w:lineRule="auto"/>
        <w:ind w:left="220" w:leftChars="100"/>
        <w:rPr>
          <w:sz w:val="20"/>
          <w:szCs w:val="20"/>
        </w:rPr>
      </w:pPr>
      <w:r>
        <w:rPr>
          <w:rFonts w:ascii="宋体" w:hAnsi="宋体" w:eastAsia="宋体" w:cs="宋体"/>
          <w:sz w:val="21"/>
          <w:szCs w:val="21"/>
        </w:rPr>
        <w:t>（3）成交供应商不与采购人签订合同的（不可抗力除外）；</w:t>
      </w:r>
    </w:p>
    <w:p>
      <w:pPr>
        <w:numPr>
          <w:ilvl w:val="0"/>
          <w:numId w:val="1"/>
        </w:numPr>
        <w:spacing w:line="360" w:lineRule="auto"/>
        <w:ind w:left="220" w:leftChars="100" w:right="840"/>
        <w:rPr>
          <w:rFonts w:ascii="宋体" w:hAnsi="宋体" w:eastAsia="宋体" w:cs="宋体"/>
          <w:sz w:val="21"/>
          <w:szCs w:val="21"/>
        </w:rPr>
      </w:pPr>
      <w:r>
        <w:rPr>
          <w:rFonts w:ascii="宋体" w:hAnsi="宋体" w:eastAsia="宋体" w:cs="宋体"/>
          <w:sz w:val="21"/>
          <w:szCs w:val="21"/>
        </w:rPr>
        <w:t>将成交项目转让给他人或者在响应文件中未说明且未经采购人同意，将成交项目分包给他人的；</w:t>
      </w:r>
    </w:p>
    <w:p>
      <w:pPr>
        <w:numPr>
          <w:ilvl w:val="0"/>
          <w:numId w:val="1"/>
        </w:numPr>
        <w:spacing w:line="360" w:lineRule="auto"/>
        <w:ind w:left="220" w:leftChars="100" w:right="840"/>
        <w:rPr>
          <w:sz w:val="20"/>
          <w:szCs w:val="20"/>
        </w:rPr>
      </w:pPr>
      <w:r>
        <w:rPr>
          <w:rFonts w:ascii="宋体" w:hAnsi="宋体" w:eastAsia="宋体" w:cs="宋体"/>
          <w:sz w:val="21"/>
          <w:szCs w:val="21"/>
        </w:rPr>
        <w:t>拒绝履行合同义务的；</w:t>
      </w:r>
    </w:p>
    <w:p>
      <w:pPr>
        <w:spacing w:line="360" w:lineRule="auto"/>
        <w:ind w:left="220" w:leftChars="100"/>
        <w:rPr>
          <w:sz w:val="20"/>
          <w:szCs w:val="20"/>
        </w:rPr>
      </w:pPr>
      <w:r>
        <w:rPr>
          <w:rFonts w:ascii="宋体" w:hAnsi="宋体" w:eastAsia="宋体" w:cs="宋体"/>
          <w:sz w:val="21"/>
          <w:szCs w:val="21"/>
        </w:rPr>
        <w:t>（6）其他严重扰乱采购程序的。</w:t>
      </w:r>
    </w:p>
    <w:p>
      <w:pPr>
        <w:spacing w:line="360" w:lineRule="auto"/>
        <w:ind w:left="220" w:leftChars="100"/>
        <w:rPr>
          <w:sz w:val="20"/>
          <w:szCs w:val="20"/>
        </w:rPr>
      </w:pPr>
      <w:r>
        <w:rPr>
          <w:rFonts w:ascii="宋体" w:hAnsi="宋体" w:eastAsia="宋体" w:cs="宋体"/>
          <w:b/>
          <w:bCs/>
          <w:sz w:val="21"/>
          <w:szCs w:val="21"/>
        </w:rPr>
        <w:t>16、响应文件的份数、装订、签署和包装、密封</w:t>
      </w:r>
    </w:p>
    <w:p>
      <w:pPr>
        <w:spacing w:line="360" w:lineRule="auto"/>
        <w:ind w:left="220" w:leftChars="100" w:firstLine="420" w:firstLineChars="200"/>
        <w:rPr>
          <w:sz w:val="20"/>
          <w:szCs w:val="20"/>
        </w:rPr>
      </w:pPr>
      <w:r>
        <w:rPr>
          <w:rFonts w:ascii="宋体" w:hAnsi="宋体" w:eastAsia="宋体" w:cs="宋体"/>
          <w:sz w:val="21"/>
          <w:szCs w:val="21"/>
        </w:rPr>
        <w:t>16.1、响应文件份数：正本壹册，副本</w:t>
      </w:r>
      <w:r>
        <w:rPr>
          <w:rFonts w:hint="eastAsia" w:ascii="宋体" w:hAnsi="宋体" w:eastAsia="宋体" w:cs="宋体"/>
          <w:sz w:val="21"/>
          <w:szCs w:val="21"/>
        </w:rPr>
        <w:t>叁</w:t>
      </w:r>
      <w:r>
        <w:rPr>
          <w:rFonts w:ascii="宋体" w:hAnsi="宋体" w:eastAsia="宋体" w:cs="宋体"/>
          <w:sz w:val="21"/>
          <w:szCs w:val="21"/>
        </w:rPr>
        <w:t>册，须完整提交。</w:t>
      </w:r>
    </w:p>
    <w:p>
      <w:pPr>
        <w:spacing w:line="360" w:lineRule="auto"/>
        <w:ind w:left="220" w:leftChars="100" w:firstLine="420" w:firstLineChars="200"/>
        <w:rPr>
          <w:sz w:val="20"/>
          <w:szCs w:val="20"/>
        </w:rPr>
      </w:pPr>
      <w:r>
        <w:rPr>
          <w:rFonts w:ascii="宋体" w:hAnsi="宋体" w:eastAsia="宋体" w:cs="宋体"/>
          <w:sz w:val="21"/>
          <w:szCs w:val="21"/>
        </w:rPr>
        <w:t>16.2、磋商供应商应按磋商供应商须知第 11 条响应文件的组成规定的顺序自编目录及页码。</w:t>
      </w:r>
    </w:p>
    <w:p>
      <w:pPr>
        <w:spacing w:line="360" w:lineRule="auto"/>
        <w:ind w:left="220" w:leftChars="100" w:right="100" w:firstLine="420"/>
        <w:jc w:val="both"/>
        <w:rPr>
          <w:sz w:val="20"/>
          <w:szCs w:val="20"/>
        </w:rPr>
      </w:pPr>
      <w:r>
        <w:rPr>
          <w:rFonts w:ascii="宋体" w:hAnsi="宋体" w:eastAsia="宋体" w:cs="宋体"/>
          <w:sz w:val="21"/>
          <w:szCs w:val="21"/>
        </w:rPr>
        <w:t>响应文件的“正本”、“副本”应当单独装订成册并标注页码，装订应牢固，不易拆散和换页。封面应注明“正本”、“副本”字样，封面上写明项目名称、项目编号、采购代理机构、供应商单位名称。</w:t>
      </w:r>
    </w:p>
    <w:p>
      <w:pPr>
        <w:spacing w:line="360" w:lineRule="auto"/>
        <w:ind w:left="220" w:leftChars="100" w:right="100" w:firstLine="420"/>
        <w:jc w:val="both"/>
        <w:rPr>
          <w:sz w:val="20"/>
          <w:szCs w:val="20"/>
        </w:rPr>
      </w:pPr>
      <w:r>
        <w:rPr>
          <w:rFonts w:ascii="宋体" w:hAnsi="宋体" w:eastAsia="宋体" w:cs="宋体"/>
          <w:sz w:val="21"/>
          <w:szCs w:val="21"/>
        </w:rPr>
        <w:t>16.3、响应文件的正本需打印或用不褪色的墨水填写，响应文件正本除本磋商文件中规定的可提供复印件外均须提供原件。</w:t>
      </w:r>
    </w:p>
    <w:p>
      <w:pPr>
        <w:spacing w:line="360" w:lineRule="auto"/>
        <w:ind w:left="220" w:leftChars="100" w:right="100" w:firstLine="420"/>
        <w:jc w:val="both"/>
        <w:rPr>
          <w:sz w:val="20"/>
          <w:szCs w:val="20"/>
        </w:rPr>
      </w:pPr>
      <w:r>
        <w:rPr>
          <w:rFonts w:ascii="宋体" w:hAnsi="宋体" w:eastAsia="宋体" w:cs="宋体"/>
          <w:sz w:val="21"/>
          <w:szCs w:val="21"/>
        </w:rPr>
        <w:t>16.4、响应文件须由磋商供应商在规定位置加盖磋商供应商公章（扫描公章无效）并由法定代表人或授权委托代理人签署，磋商供应商应写全称，响应文件副本可以是加盖公章（自然人除外）的正本的复印件，当正本与副本不一致时，以正本为准。</w:t>
      </w:r>
    </w:p>
    <w:p>
      <w:pPr>
        <w:spacing w:line="360" w:lineRule="auto"/>
        <w:ind w:left="220" w:leftChars="100" w:right="100" w:firstLine="420"/>
        <w:jc w:val="both"/>
        <w:rPr>
          <w:sz w:val="20"/>
          <w:szCs w:val="20"/>
        </w:rPr>
      </w:pPr>
      <w:r>
        <w:rPr>
          <w:rFonts w:ascii="宋体" w:hAnsi="宋体" w:eastAsia="宋体" w:cs="宋体"/>
          <w:sz w:val="21"/>
          <w:szCs w:val="21"/>
        </w:rPr>
        <w:t>16.5、响应文件不得涂改，若有修改错漏处，须加盖磋商供应商公章及法定代表人或授权委托代理人签字或盖法定代表人印章。响应文件因字迹潦草或表达不清所引起的后果由磋商供应商负责。</w:t>
      </w:r>
    </w:p>
    <w:p>
      <w:pPr>
        <w:spacing w:line="360" w:lineRule="auto"/>
        <w:ind w:left="220" w:leftChars="100" w:right="100" w:firstLine="420"/>
        <w:jc w:val="both"/>
        <w:rPr>
          <w:sz w:val="20"/>
          <w:szCs w:val="20"/>
        </w:rPr>
      </w:pPr>
      <w:r>
        <w:rPr>
          <w:rFonts w:ascii="宋体" w:hAnsi="宋体" w:eastAsia="宋体" w:cs="宋体"/>
          <w:sz w:val="21"/>
          <w:szCs w:val="21"/>
        </w:rPr>
        <w:t>16.6、正本、副本及一份投标产品样本密封在一个响应文件袋中，响应文件的包装、密封、标记见磋商供应商须知前附表。</w:t>
      </w:r>
    </w:p>
    <w:p>
      <w:pPr>
        <w:spacing w:line="360" w:lineRule="auto"/>
        <w:ind w:left="220" w:leftChars="100" w:right="100" w:firstLine="420"/>
        <w:jc w:val="both"/>
        <w:rPr>
          <w:sz w:val="20"/>
          <w:szCs w:val="20"/>
        </w:rPr>
      </w:pPr>
      <w:r>
        <w:rPr>
          <w:rFonts w:ascii="宋体" w:hAnsi="宋体" w:eastAsia="宋体" w:cs="宋体"/>
          <w:sz w:val="21"/>
          <w:szCs w:val="21"/>
        </w:rPr>
        <w:t>16.7、本竞争性磋商文件中描述磋商供应商的“公章”是指根据我国对公章的管理规定，用磋商供应商法定主体行为名称制作的印章，除本文件有特殊规定外，磋商供应商的财务章、部门章、分公司章、工会章、合同章、磋商专用章、业务专用章及银行的转账章、现金收讫章、现金付讫章等其它形式印章均不能代替公章。</w:t>
      </w:r>
    </w:p>
    <w:p>
      <w:pPr>
        <w:spacing w:line="360" w:lineRule="auto"/>
        <w:ind w:left="220" w:leftChars="100"/>
        <w:rPr>
          <w:sz w:val="20"/>
          <w:szCs w:val="20"/>
        </w:rPr>
      </w:pPr>
      <w:r>
        <w:rPr>
          <w:rFonts w:ascii="宋体" w:hAnsi="宋体" w:eastAsia="宋体" w:cs="宋体"/>
          <w:b/>
          <w:bCs/>
          <w:sz w:val="21"/>
          <w:szCs w:val="21"/>
        </w:rPr>
        <w:t>17、响应文件的修改和撤回</w:t>
      </w:r>
    </w:p>
    <w:p>
      <w:pPr>
        <w:spacing w:line="360" w:lineRule="auto"/>
        <w:ind w:left="220" w:leftChars="100" w:right="100" w:firstLine="434"/>
        <w:jc w:val="both"/>
        <w:rPr>
          <w:sz w:val="20"/>
          <w:szCs w:val="20"/>
        </w:rPr>
      </w:pPr>
      <w:r>
        <w:rPr>
          <w:rFonts w:ascii="宋体" w:hAnsi="宋体" w:eastAsia="宋体" w:cs="宋体"/>
          <w:sz w:val="21"/>
          <w:szCs w:val="21"/>
        </w:rPr>
        <w:t>17.1、磋商供应商在响应文件截止时间之前，可以对已递交的响应文件进行修改或撤回，并书面通知采购代理机构，补充、修改的内容与响应文件不一致的，以补充、修改的内容为准。</w:t>
      </w:r>
    </w:p>
    <w:p>
      <w:pPr>
        <w:spacing w:line="360" w:lineRule="auto"/>
        <w:ind w:left="220" w:leftChars="100" w:firstLine="420" w:firstLineChars="200"/>
        <w:rPr>
          <w:sz w:val="20"/>
          <w:szCs w:val="20"/>
        </w:rPr>
      </w:pPr>
      <w:r>
        <w:rPr>
          <w:rFonts w:ascii="宋体" w:hAnsi="宋体" w:eastAsia="宋体" w:cs="宋体"/>
          <w:sz w:val="21"/>
          <w:szCs w:val="21"/>
        </w:rPr>
        <w:t>17.2、在响应文件截止时间后的响应文件有效期内，磋商供应商不得撤回其响应文件。</w:t>
      </w:r>
    </w:p>
    <w:p>
      <w:pPr>
        <w:spacing w:line="360" w:lineRule="auto"/>
        <w:ind w:left="220" w:leftChars="100"/>
        <w:rPr>
          <w:sz w:val="20"/>
          <w:szCs w:val="20"/>
        </w:rPr>
      </w:pPr>
      <w:r>
        <w:rPr>
          <w:rFonts w:ascii="宋体" w:hAnsi="宋体" w:eastAsia="宋体" w:cs="宋体"/>
          <w:b/>
          <w:bCs/>
          <w:sz w:val="21"/>
          <w:szCs w:val="21"/>
        </w:rPr>
        <w:t>18、响应文件的递交</w:t>
      </w:r>
    </w:p>
    <w:p>
      <w:pPr>
        <w:spacing w:line="360" w:lineRule="auto"/>
        <w:ind w:left="220" w:leftChars="100"/>
        <w:sectPr>
          <w:type w:val="continuous"/>
          <w:pgSz w:w="11900" w:h="16840"/>
          <w:pgMar w:top="964" w:right="1123" w:bottom="652" w:left="482" w:header="0" w:footer="397" w:gutter="0"/>
          <w:cols w:space="425" w:num="1"/>
        </w:sectPr>
      </w:pPr>
    </w:p>
    <w:p>
      <w:pPr>
        <w:spacing w:line="360" w:lineRule="auto"/>
        <w:ind w:left="220" w:leftChars="100"/>
        <w:rPr>
          <w:sz w:val="20"/>
          <w:szCs w:val="20"/>
        </w:rPr>
      </w:pPr>
    </w:p>
    <w:p>
      <w:pPr>
        <w:spacing w:line="360" w:lineRule="auto"/>
        <w:ind w:left="220" w:leftChars="100" w:firstLine="420" w:firstLineChars="200"/>
        <w:rPr>
          <w:sz w:val="20"/>
          <w:szCs w:val="20"/>
        </w:rPr>
      </w:pPr>
      <w:r>
        <w:rPr>
          <w:rFonts w:ascii="宋体" w:hAnsi="宋体" w:eastAsia="宋体" w:cs="宋体"/>
          <w:sz w:val="21"/>
          <w:szCs w:val="21"/>
        </w:rPr>
        <w:t>18.1、磋商供应商应按磋商供应商须知前附表规定的响应文件截止时间前递交响应文件。</w:t>
      </w:r>
    </w:p>
    <w:p>
      <w:pPr>
        <w:spacing w:line="360" w:lineRule="auto"/>
        <w:ind w:left="220" w:leftChars="100" w:firstLine="420" w:firstLineChars="200"/>
        <w:rPr>
          <w:sz w:val="20"/>
          <w:szCs w:val="20"/>
        </w:rPr>
      </w:pPr>
      <w:r>
        <w:rPr>
          <w:rFonts w:ascii="宋体" w:hAnsi="宋体" w:eastAsia="宋体" w:cs="宋体"/>
          <w:sz w:val="21"/>
          <w:szCs w:val="21"/>
        </w:rPr>
        <w:t>18.2、磋商供应商递交响应文件的地点：见磋商供应商须知前附表。</w:t>
      </w:r>
    </w:p>
    <w:p>
      <w:pPr>
        <w:spacing w:line="360" w:lineRule="auto"/>
        <w:ind w:left="220" w:leftChars="100" w:firstLine="420" w:firstLineChars="200"/>
        <w:rPr>
          <w:sz w:val="20"/>
          <w:szCs w:val="20"/>
        </w:rPr>
      </w:pPr>
      <w:r>
        <w:rPr>
          <w:rFonts w:ascii="宋体" w:hAnsi="宋体" w:eastAsia="宋体" w:cs="宋体"/>
          <w:sz w:val="21"/>
          <w:szCs w:val="21"/>
        </w:rPr>
        <w:t>18.3、除磋商供应商须知前附表另有规定外，磋商供应商所递交的响应文件不予退还。</w:t>
      </w:r>
    </w:p>
    <w:p>
      <w:pPr>
        <w:spacing w:line="360" w:lineRule="auto"/>
        <w:ind w:left="220" w:leftChars="100" w:firstLine="420" w:firstLineChars="200"/>
        <w:rPr>
          <w:rFonts w:ascii="宋体" w:hAnsi="宋体" w:eastAsia="宋体" w:cs="宋体"/>
          <w:sz w:val="21"/>
          <w:szCs w:val="21"/>
        </w:rPr>
        <w:sectPr>
          <w:type w:val="continuous"/>
          <w:pgSz w:w="11900" w:h="16840"/>
          <w:pgMar w:top="964" w:right="1123" w:bottom="652" w:left="482" w:header="0" w:footer="397" w:gutter="0"/>
          <w:cols w:space="425" w:num="1"/>
        </w:sectPr>
      </w:pPr>
      <w:r>
        <w:rPr>
          <w:rFonts w:ascii="宋体" w:hAnsi="宋体" w:eastAsia="宋体" w:cs="宋体"/>
          <w:sz w:val="21"/>
          <w:szCs w:val="21"/>
        </w:rPr>
        <w:t>18.4、逾期送达的或者未送达指定地点的响应文件，采购代理机构不予受理</w:t>
      </w:r>
      <w:r>
        <w:rPr>
          <w:rFonts w:hint="eastAsia" w:ascii="宋体" w:hAnsi="宋体" w:eastAsia="宋体" w:cs="宋体"/>
          <w:sz w:val="21"/>
          <w:szCs w:val="21"/>
        </w:rPr>
        <w:t>。</w:t>
      </w:r>
    </w:p>
    <w:p>
      <w:pPr>
        <w:spacing w:line="360" w:lineRule="auto"/>
        <w:ind w:left="220" w:leftChars="100"/>
        <w:jc w:val="center"/>
        <w:rPr>
          <w:sz w:val="20"/>
          <w:szCs w:val="20"/>
        </w:rPr>
      </w:pPr>
      <w:bookmarkStart w:id="59" w:name="page12"/>
      <w:bookmarkEnd w:id="59"/>
      <w:bookmarkStart w:id="60" w:name="_Toc1351_WPSOffice_Level1"/>
      <w:r>
        <w:rPr>
          <w:rFonts w:ascii="宋体" w:hAnsi="宋体" w:eastAsia="宋体" w:cs="宋体"/>
          <w:b/>
          <w:bCs/>
          <w:sz w:val="28"/>
          <w:szCs w:val="28"/>
        </w:rPr>
        <w:t>四、竞争性磋商（简称磋商）与评审</w:t>
      </w:r>
      <w:bookmarkEnd w:id="60"/>
    </w:p>
    <w:p>
      <w:pPr>
        <w:spacing w:line="360" w:lineRule="auto"/>
        <w:ind w:left="220" w:leftChars="100" w:firstLine="422" w:firstLineChars="200"/>
        <w:rPr>
          <w:rFonts w:ascii="宋体" w:hAnsi="宋体" w:eastAsia="宋体" w:cs="宋体"/>
          <w:sz w:val="21"/>
          <w:szCs w:val="21"/>
        </w:rPr>
        <w:sectPr>
          <w:type w:val="continuous"/>
          <w:pgSz w:w="11900" w:h="16840"/>
          <w:pgMar w:top="964" w:right="1123" w:bottom="652" w:left="482" w:header="0" w:footer="397" w:gutter="0"/>
          <w:cols w:space="425" w:num="1"/>
        </w:sectPr>
      </w:pPr>
      <w:bookmarkStart w:id="61" w:name="_Toc19002_WPSOffice_Level2"/>
      <w:r>
        <w:rPr>
          <w:rFonts w:ascii="宋体" w:hAnsi="宋体" w:eastAsia="宋体" w:cs="宋体"/>
          <w:b/>
          <w:bCs/>
          <w:sz w:val="21"/>
          <w:szCs w:val="21"/>
        </w:rPr>
        <w:t>19.1 磋商小组组成</w:t>
      </w:r>
      <w:bookmarkEnd w:id="61"/>
      <w:r>
        <w:rPr>
          <w:rFonts w:hint="eastAsia" w:ascii="宋体" w:hAnsi="宋体" w:eastAsia="宋体" w:cs="宋体"/>
          <w:b/>
          <w:bCs/>
          <w:sz w:val="21"/>
          <w:szCs w:val="21"/>
        </w:rPr>
        <w:t>：</w:t>
      </w:r>
    </w:p>
    <w:p>
      <w:pPr>
        <w:spacing w:line="360" w:lineRule="auto"/>
        <w:ind w:left="220" w:leftChars="100" w:firstLine="420" w:firstLineChars="200"/>
        <w:rPr>
          <w:sz w:val="20"/>
          <w:szCs w:val="20"/>
        </w:rPr>
      </w:pPr>
      <w:bookmarkStart w:id="62" w:name="page13"/>
      <w:bookmarkEnd w:id="62"/>
      <w:r>
        <w:rPr>
          <w:rFonts w:ascii="宋体" w:hAnsi="宋体" w:eastAsia="宋体" w:cs="宋体"/>
          <w:sz w:val="21"/>
          <w:szCs w:val="21"/>
        </w:rPr>
        <w:t>磋商及评审工作由采购代理机构负责组织，具体磋商、评审工作由依法组建的磋商小组负责，磋商小组由有关方面的专家组成，磋商小组的组成见磋商供应商须知前附表。</w:t>
      </w:r>
    </w:p>
    <w:p>
      <w:pPr>
        <w:spacing w:line="360" w:lineRule="auto"/>
        <w:ind w:left="220" w:leftChars="100" w:firstLine="422" w:firstLineChars="200"/>
        <w:rPr>
          <w:sz w:val="20"/>
          <w:szCs w:val="20"/>
        </w:rPr>
      </w:pPr>
      <w:bookmarkStart w:id="63" w:name="_Toc16912_WPSOffice_Level2"/>
      <w:r>
        <w:rPr>
          <w:rFonts w:ascii="宋体" w:hAnsi="宋体" w:eastAsia="宋体" w:cs="宋体"/>
          <w:b/>
          <w:bCs/>
          <w:sz w:val="21"/>
          <w:szCs w:val="21"/>
        </w:rPr>
        <w:t>19.2 磋商时间、地点、人员：</w:t>
      </w:r>
      <w:bookmarkEnd w:id="63"/>
    </w:p>
    <w:p>
      <w:pPr>
        <w:spacing w:line="360" w:lineRule="auto"/>
        <w:ind w:left="220" w:leftChars="100"/>
        <w:rPr>
          <w:sz w:val="21"/>
          <w:szCs w:val="21"/>
        </w:rPr>
      </w:pPr>
      <w:r>
        <w:rPr>
          <w:rFonts w:ascii="宋体" w:hAnsi="宋体" w:eastAsia="宋体" w:cs="宋体"/>
          <w:sz w:val="21"/>
          <w:szCs w:val="21"/>
        </w:rPr>
        <w:t>19.2.1 磋商时间：响应文件递交截止时间后。</w:t>
      </w:r>
    </w:p>
    <w:p>
      <w:pPr>
        <w:spacing w:line="360" w:lineRule="auto"/>
        <w:ind w:left="220" w:leftChars="100" w:firstLine="420" w:firstLineChars="200"/>
        <w:rPr>
          <w:sz w:val="21"/>
          <w:szCs w:val="21"/>
        </w:rPr>
      </w:pPr>
      <w:r>
        <w:rPr>
          <w:rFonts w:ascii="宋体" w:hAnsi="宋体" w:eastAsia="宋体" w:cs="宋体"/>
          <w:sz w:val="21"/>
          <w:szCs w:val="21"/>
        </w:rPr>
        <w:t>19.2.2 磋商地点：</w:t>
      </w:r>
      <w:r>
        <w:rPr>
          <w:rFonts w:hint="eastAsia" w:ascii="宋体" w:hAnsi="宋体" w:eastAsia="宋体" w:cs="宋体"/>
          <w:sz w:val="21"/>
          <w:szCs w:val="21"/>
        </w:rPr>
        <w:t>广西大通建设监理咨询管理有限公司钦州分公司（地址：广西灵山县灵城镇双鹤二路与宝石大道交汇处）</w:t>
      </w:r>
      <w:r>
        <w:rPr>
          <w:rFonts w:ascii="宋体" w:hAnsi="宋体" w:eastAsia="宋体" w:cs="宋体"/>
          <w:sz w:val="21"/>
          <w:szCs w:val="21"/>
        </w:rPr>
        <w:t>。</w:t>
      </w:r>
    </w:p>
    <w:p>
      <w:pPr>
        <w:spacing w:line="360" w:lineRule="auto"/>
        <w:ind w:left="220" w:leftChars="100" w:firstLine="420" w:firstLineChars="200"/>
        <w:rPr>
          <w:sz w:val="21"/>
          <w:szCs w:val="21"/>
        </w:rPr>
      </w:pPr>
      <w:r>
        <w:rPr>
          <w:rFonts w:ascii="宋体" w:hAnsi="宋体" w:eastAsia="宋体" w:cs="宋体"/>
          <w:sz w:val="21"/>
          <w:szCs w:val="21"/>
        </w:rPr>
        <w:t>19.2.3 磋商参加人员：供应商法定代表人、负责人、自然人或相应的委托代理人持有效身份证原件参加磋商。请供应商按时到达指定地点等候当面磋商。</w:t>
      </w:r>
    </w:p>
    <w:p>
      <w:pPr>
        <w:spacing w:line="360" w:lineRule="auto"/>
        <w:ind w:left="220" w:leftChars="100" w:firstLine="420" w:firstLineChars="200"/>
        <w:rPr>
          <w:sz w:val="21"/>
          <w:szCs w:val="21"/>
        </w:rPr>
      </w:pPr>
      <w:r>
        <w:rPr>
          <w:rFonts w:ascii="宋体" w:hAnsi="宋体" w:eastAsia="宋体" w:cs="宋体"/>
          <w:sz w:val="21"/>
          <w:szCs w:val="21"/>
        </w:rPr>
        <w:t>19.2.4 响应文件递交截止时间后，由磋商小组在评标室内开启响应文件。</w:t>
      </w:r>
    </w:p>
    <w:p>
      <w:pPr>
        <w:spacing w:line="360" w:lineRule="auto"/>
        <w:ind w:left="220" w:leftChars="100"/>
        <w:rPr>
          <w:sz w:val="20"/>
          <w:szCs w:val="20"/>
        </w:rPr>
      </w:pPr>
      <w:r>
        <w:rPr>
          <w:rFonts w:ascii="宋体" w:hAnsi="宋体" w:eastAsia="宋体" w:cs="宋体"/>
          <w:b/>
          <w:bCs/>
          <w:sz w:val="21"/>
          <w:szCs w:val="21"/>
        </w:rPr>
        <w:t>20. 评审原则和评审办法</w:t>
      </w:r>
    </w:p>
    <w:p>
      <w:pPr>
        <w:spacing w:line="360" w:lineRule="auto"/>
        <w:ind w:left="220" w:leftChars="100" w:firstLine="420" w:firstLineChars="200"/>
        <w:rPr>
          <w:sz w:val="20"/>
          <w:szCs w:val="20"/>
        </w:rPr>
      </w:pPr>
      <w:r>
        <w:rPr>
          <w:rFonts w:ascii="宋体" w:hAnsi="宋体" w:eastAsia="宋体" w:cs="宋体"/>
          <w:sz w:val="21"/>
          <w:szCs w:val="21"/>
        </w:rPr>
        <w:t>20.1 磋商小组必须坚持公平、公正、科学和择优的原则。</w:t>
      </w:r>
    </w:p>
    <w:p>
      <w:pPr>
        <w:spacing w:line="360" w:lineRule="auto"/>
        <w:ind w:left="220" w:leftChars="100" w:firstLine="420" w:firstLineChars="200"/>
        <w:rPr>
          <w:sz w:val="20"/>
          <w:szCs w:val="20"/>
        </w:rPr>
      </w:pPr>
      <w:r>
        <w:rPr>
          <w:rFonts w:ascii="宋体" w:hAnsi="宋体" w:eastAsia="宋体" w:cs="宋体"/>
          <w:sz w:val="21"/>
          <w:szCs w:val="21"/>
        </w:rPr>
        <w:t>20.2 评审办法：详见第四章评审办法</w:t>
      </w:r>
    </w:p>
    <w:p>
      <w:pPr>
        <w:spacing w:line="360" w:lineRule="auto"/>
        <w:ind w:left="220" w:leftChars="100" w:firstLine="420" w:firstLineChars="200"/>
        <w:rPr>
          <w:sz w:val="20"/>
          <w:szCs w:val="20"/>
        </w:rPr>
      </w:pPr>
      <w:r>
        <w:rPr>
          <w:rFonts w:ascii="宋体" w:hAnsi="宋体" w:eastAsia="宋体" w:cs="宋体"/>
          <w:sz w:val="21"/>
          <w:szCs w:val="21"/>
        </w:rPr>
        <w:t>20.3 磋商小组应按磋商文件进行评审，不得擅自更改评审办法。</w:t>
      </w:r>
    </w:p>
    <w:p>
      <w:pPr>
        <w:spacing w:line="360" w:lineRule="auto"/>
        <w:ind w:left="220" w:leftChars="100" w:firstLine="420" w:firstLineChars="200"/>
        <w:rPr>
          <w:sz w:val="20"/>
          <w:szCs w:val="20"/>
        </w:rPr>
      </w:pPr>
      <w:r>
        <w:rPr>
          <w:rFonts w:ascii="宋体" w:hAnsi="宋体" w:eastAsia="宋体" w:cs="宋体"/>
          <w:sz w:val="21"/>
          <w:szCs w:val="21"/>
        </w:rPr>
        <w:t>20.4 在评审过程中，磋商小组任何人不得对某个供应商发表任何倾向性意见，不得向其他磋商小组成员明示或者暗示自己的评审意见。</w:t>
      </w:r>
    </w:p>
    <w:p>
      <w:pPr>
        <w:spacing w:line="360" w:lineRule="auto"/>
        <w:ind w:left="220" w:leftChars="100" w:firstLine="420" w:firstLineChars="200"/>
        <w:rPr>
          <w:sz w:val="20"/>
          <w:szCs w:val="20"/>
        </w:rPr>
      </w:pPr>
      <w:r>
        <w:rPr>
          <w:rFonts w:ascii="宋体" w:hAnsi="宋体" w:eastAsia="宋体" w:cs="宋体"/>
          <w:sz w:val="21"/>
          <w:szCs w:val="21"/>
        </w:rPr>
        <w:t>20.5  磋商小组成员对需要共同认定的事项存在争议的，按照少数服从多数的原则作出结论。持不</w:t>
      </w:r>
    </w:p>
    <w:p>
      <w:pPr>
        <w:spacing w:line="360" w:lineRule="auto"/>
        <w:ind w:left="220" w:leftChars="100"/>
        <w:rPr>
          <w:sz w:val="20"/>
          <w:szCs w:val="20"/>
        </w:rPr>
      </w:pPr>
      <w:r>
        <w:rPr>
          <w:rFonts w:ascii="宋体" w:hAnsi="宋体" w:eastAsia="宋体" w:cs="宋体"/>
          <w:sz w:val="21"/>
          <w:szCs w:val="21"/>
        </w:rPr>
        <w:t>同意见的磋商小组成员应当在评审报告上签署不同意见并说明理由，否则视为同意。</w:t>
      </w:r>
    </w:p>
    <w:p>
      <w:pPr>
        <w:spacing w:line="360" w:lineRule="auto"/>
        <w:ind w:left="220" w:leftChars="100"/>
        <w:rPr>
          <w:sz w:val="20"/>
          <w:szCs w:val="20"/>
        </w:rPr>
      </w:pPr>
      <w:r>
        <w:rPr>
          <w:rFonts w:ascii="宋体" w:hAnsi="宋体" w:eastAsia="宋体" w:cs="宋体"/>
          <w:b/>
          <w:bCs/>
          <w:sz w:val="21"/>
          <w:szCs w:val="21"/>
        </w:rPr>
        <w:t>21. 评审程序及磋商要求</w:t>
      </w:r>
    </w:p>
    <w:p>
      <w:pPr>
        <w:spacing w:line="360" w:lineRule="auto"/>
        <w:ind w:left="220" w:leftChars="100" w:right="100" w:firstLine="420"/>
        <w:jc w:val="both"/>
        <w:rPr>
          <w:sz w:val="20"/>
          <w:szCs w:val="20"/>
        </w:rPr>
      </w:pPr>
      <w:r>
        <w:rPr>
          <w:rFonts w:ascii="宋体" w:hAnsi="宋体" w:eastAsia="宋体" w:cs="宋体"/>
          <w:sz w:val="21"/>
          <w:szCs w:val="21"/>
        </w:rPr>
        <w:t>21.1 采购代理机构核实磋商小组成员身份，告知回避要求，宣布评审工作纪律和程序，统一保管通讯工具或相关电子设备，推选磋商小组组长。</w:t>
      </w:r>
    </w:p>
    <w:p>
      <w:pPr>
        <w:spacing w:line="360" w:lineRule="auto"/>
        <w:ind w:left="220" w:leftChars="100" w:right="100" w:firstLine="420"/>
        <w:jc w:val="both"/>
        <w:rPr>
          <w:sz w:val="20"/>
          <w:szCs w:val="20"/>
        </w:rPr>
      </w:pPr>
      <w:r>
        <w:rPr>
          <w:rFonts w:ascii="宋体" w:hAnsi="宋体" w:eastAsia="宋体" w:cs="宋体"/>
          <w:sz w:val="21"/>
          <w:szCs w:val="21"/>
        </w:rPr>
        <w:t>21.2 磋商小组应当对发布公告的竞争性磋商文件（简称磋商文件）进行确认，审查供应商的响应文件并作出评价；要求供应商解释或者澄清其响应文件；编写评审报告；告知采购人、采购代理机构在评审过程中发现的供应商的违法违规行为。</w:t>
      </w:r>
    </w:p>
    <w:p>
      <w:pPr>
        <w:spacing w:line="360" w:lineRule="auto"/>
        <w:ind w:left="220" w:leftChars="100" w:right="100" w:firstLine="420"/>
        <w:jc w:val="both"/>
        <w:rPr>
          <w:sz w:val="20"/>
          <w:szCs w:val="20"/>
        </w:rPr>
      </w:pPr>
      <w:r>
        <w:rPr>
          <w:rFonts w:ascii="宋体" w:hAnsi="宋体" w:eastAsia="宋体" w:cs="宋体"/>
          <w:sz w:val="21"/>
          <w:szCs w:val="21"/>
        </w:rPr>
        <w:t>21.3 磋商小组依据法律法规和竞争性磋商文件的规定，首先对响应文件中的资格证明、保证金等进行资格性审查，以确定供应商是否具备本项目供应商资格；再对通过资格性审查的供应商响应文件的有效性、完整性和对磋商文件的响应程度进行符合性审查，以确定是否对磋商文件的实质性要求做出响应。</w:t>
      </w:r>
    </w:p>
    <w:p>
      <w:pPr>
        <w:spacing w:line="360" w:lineRule="auto"/>
        <w:ind w:left="220" w:leftChars="100" w:right="100" w:firstLine="420"/>
        <w:jc w:val="both"/>
        <w:rPr>
          <w:sz w:val="20"/>
          <w:szCs w:val="20"/>
        </w:rPr>
      </w:pPr>
      <w:r>
        <w:rPr>
          <w:rFonts w:ascii="宋体" w:hAnsi="宋体" w:eastAsia="宋体" w:cs="宋体"/>
          <w:sz w:val="21"/>
          <w:szCs w:val="21"/>
        </w:rPr>
        <w:t>在进行资格性审查时，磋商小组将进入《国家企业信用信息公示系统》对企业股东及出资等信息进行查询，对存在《中华人民共和国政府采购法实施条例》第十八条第一款情形的，其响应文件将被视为无效文件。</w:t>
      </w:r>
    </w:p>
    <w:p>
      <w:pPr>
        <w:spacing w:line="360" w:lineRule="auto"/>
        <w:ind w:left="220" w:leftChars="100" w:right="100" w:firstLine="420"/>
        <w:jc w:val="both"/>
        <w:rPr>
          <w:sz w:val="20"/>
          <w:szCs w:val="20"/>
        </w:rPr>
      </w:pPr>
      <w:r>
        <w:rPr>
          <w:rFonts w:ascii="宋体" w:hAnsi="宋体" w:eastAsia="宋体" w:cs="宋体"/>
          <w:sz w:val="21"/>
          <w:szCs w:val="21"/>
        </w:rPr>
        <w:t>21.4 磋商小组如发现供应商提供的证明文件不齐全或不符合规定格式的，应一次性告知供应商，供应商应在规定的时间内当场补正或更正。</w:t>
      </w:r>
    </w:p>
    <w:p>
      <w:pPr>
        <w:spacing w:line="360" w:lineRule="auto"/>
        <w:ind w:left="220" w:leftChars="100" w:right="100" w:firstLine="400" w:firstLineChars="200"/>
        <w:jc w:val="both"/>
        <w:rPr>
          <w:rFonts w:ascii="宋体" w:hAnsi="宋体" w:eastAsia="宋体" w:cs="宋体"/>
          <w:sz w:val="21"/>
          <w:szCs w:val="21"/>
        </w:rPr>
      </w:pPr>
      <w:r>
        <w:rPr>
          <w:rFonts w:ascii="宋体" w:hAnsi="宋体" w:eastAsia="宋体" w:cs="宋体"/>
          <w:sz w:val="20"/>
          <w:szCs w:val="20"/>
        </w:rPr>
        <w:t xml:space="preserve">21.5 </w:t>
      </w:r>
      <w:r>
        <w:rPr>
          <w:rFonts w:ascii="宋体" w:hAnsi="宋体" w:eastAsia="宋体" w:cs="宋体"/>
          <w:sz w:val="21"/>
          <w:szCs w:val="21"/>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澄清、说明或者更正应由其法定代表人、负责人、自然人或相应的授权委托代表签字或者加盖供应商公章（自然人除外）。由授权委托代表签字的，应当附授权委托书。供应商为自然人的，应当由本人签字并附身份证明。</w:t>
      </w:r>
    </w:p>
    <w:p>
      <w:pPr>
        <w:spacing w:line="360" w:lineRule="auto"/>
        <w:ind w:left="220" w:leftChars="100" w:right="100" w:firstLine="420"/>
        <w:jc w:val="both"/>
        <w:rPr>
          <w:sz w:val="20"/>
          <w:szCs w:val="20"/>
        </w:rPr>
      </w:pPr>
      <w:r>
        <w:rPr>
          <w:rFonts w:ascii="宋体" w:hAnsi="宋体" w:eastAsia="宋体" w:cs="宋体"/>
          <w:sz w:val="21"/>
          <w:szCs w:val="21"/>
        </w:rPr>
        <w:t>根据磋商文件规定的程序、评审办法等事项与实质性响应竞争性磋商文件要求的供应商进行磋商。未实质性响应磋商文件的响应文件按无效处理，磋商小组应当告知有关供应商。</w:t>
      </w:r>
    </w:p>
    <w:p>
      <w:pPr>
        <w:spacing w:line="360" w:lineRule="auto"/>
        <w:rPr>
          <w:sz w:val="20"/>
          <w:szCs w:val="20"/>
        </w:rPr>
      </w:pPr>
      <w:r>
        <w:rPr>
          <w:rFonts w:ascii="宋体" w:hAnsi="宋体" w:eastAsia="宋体" w:cs="宋体"/>
          <w:sz w:val="21"/>
          <w:szCs w:val="21"/>
        </w:rPr>
        <w:t>磋商小组所有成员应当按已确定的磋商顺序集中与单一供应商分别进行磋商，并给予所有实质性响应竞争性磋商文件要求的供应商平等的磋商机会。磋商中，磋商小组不得透露与磋商有关的其他供应商的技术资料、价格和其他信息。</w:t>
      </w:r>
    </w:p>
    <w:p>
      <w:pPr>
        <w:spacing w:line="360" w:lineRule="auto"/>
        <w:ind w:left="220" w:leftChars="100" w:firstLine="420" w:firstLineChars="200"/>
        <w:rPr>
          <w:sz w:val="20"/>
          <w:szCs w:val="20"/>
        </w:rPr>
      </w:pPr>
      <w:r>
        <w:rPr>
          <w:rFonts w:ascii="宋体" w:hAnsi="宋体" w:eastAsia="宋体" w:cs="宋体"/>
          <w:sz w:val="21"/>
          <w:szCs w:val="21"/>
        </w:rPr>
        <w:t>采购代理机构对磋商过程和重要磋商内容进行记录，磋商双方在记录上签字确认。</w:t>
      </w:r>
    </w:p>
    <w:p>
      <w:pPr>
        <w:spacing w:line="360" w:lineRule="auto"/>
        <w:ind w:left="220" w:leftChars="100" w:right="100" w:firstLine="420"/>
        <w:rPr>
          <w:sz w:val="20"/>
          <w:szCs w:val="20"/>
        </w:rPr>
      </w:pPr>
      <w:r>
        <w:rPr>
          <w:rFonts w:ascii="宋体" w:hAnsi="宋体" w:eastAsia="宋体" w:cs="宋体"/>
          <w:sz w:val="21"/>
          <w:szCs w:val="21"/>
        </w:rPr>
        <w:t>21.6 在磋商过程中，磋商小组可以根据磋商文件和磋商情况实质性变动项目需求中的技术、服务要求以及合同草案条款，但不得变动磋商文件中的其他内容。实质性变动的内容，须经采购人代表确认。</w:t>
      </w:r>
    </w:p>
    <w:p>
      <w:pPr>
        <w:spacing w:line="360" w:lineRule="auto"/>
        <w:ind w:left="220" w:leftChars="100" w:right="100" w:firstLine="420"/>
        <w:rPr>
          <w:sz w:val="20"/>
          <w:szCs w:val="20"/>
        </w:rPr>
      </w:pPr>
      <w:r>
        <w:rPr>
          <w:rFonts w:ascii="宋体" w:hAnsi="宋体" w:eastAsia="宋体" w:cs="宋体"/>
          <w:sz w:val="21"/>
          <w:szCs w:val="21"/>
        </w:rPr>
        <w:t>对磋商文件作出的实质性变动是磋商文件的有效组成部分，磋商小组应当及时以书面形式同时通知所有参加磋商的供应商。</w:t>
      </w:r>
    </w:p>
    <w:p>
      <w:pPr>
        <w:spacing w:line="360" w:lineRule="auto"/>
        <w:ind w:left="220" w:leftChars="100" w:right="100" w:firstLine="420"/>
        <w:rPr>
          <w:sz w:val="20"/>
          <w:szCs w:val="20"/>
        </w:rPr>
      </w:pPr>
      <w:r>
        <w:rPr>
          <w:rFonts w:ascii="宋体" w:hAnsi="宋体" w:eastAsia="宋体" w:cs="宋体"/>
          <w:sz w:val="21"/>
          <w:szCs w:val="21"/>
        </w:rPr>
        <w:t>供应商应当按照磋商文件的变动情况和磋商小组的要求重新提交响应文件，并由其法定代表人、负责人、自然人或相应的授权委托代表签字或者加盖供应商公章（自然人除外）。逾时不交的，视同放弃磋商。</w:t>
      </w:r>
    </w:p>
    <w:p>
      <w:pPr>
        <w:spacing w:line="360" w:lineRule="auto"/>
        <w:ind w:left="220" w:leftChars="100" w:right="100" w:firstLine="420"/>
        <w:rPr>
          <w:sz w:val="20"/>
          <w:szCs w:val="20"/>
        </w:rPr>
      </w:pPr>
      <w:r>
        <w:rPr>
          <w:rFonts w:ascii="宋体" w:hAnsi="宋体" w:eastAsia="宋体" w:cs="宋体"/>
          <w:sz w:val="21"/>
          <w:szCs w:val="21"/>
        </w:rPr>
        <w:t>21.7 在采购过程中符合竞争要求的供应商或者报价未超过采购预算的供应商不足 3 家的，采购人或者采购代理机构应当终止竞争性磋商采购活动。</w:t>
      </w:r>
    </w:p>
    <w:p>
      <w:pPr>
        <w:spacing w:line="360" w:lineRule="auto"/>
        <w:ind w:left="220" w:leftChars="100" w:firstLine="422" w:firstLineChars="200"/>
        <w:rPr>
          <w:b/>
          <w:bCs/>
          <w:sz w:val="20"/>
          <w:szCs w:val="20"/>
        </w:rPr>
      </w:pPr>
      <w:r>
        <w:rPr>
          <w:rFonts w:ascii="宋体" w:hAnsi="宋体" w:eastAsia="宋体" w:cs="宋体"/>
          <w:b/>
          <w:bCs/>
          <w:sz w:val="21"/>
          <w:szCs w:val="21"/>
        </w:rPr>
        <w:t>21.8 最后报价</w:t>
      </w:r>
    </w:p>
    <w:p>
      <w:pPr>
        <w:spacing w:line="360" w:lineRule="auto"/>
        <w:ind w:left="220" w:leftChars="100" w:right="100" w:firstLine="420"/>
        <w:rPr>
          <w:sz w:val="20"/>
          <w:szCs w:val="20"/>
        </w:rPr>
      </w:pPr>
      <w:r>
        <w:rPr>
          <w:rFonts w:ascii="宋体" w:hAnsi="宋体" w:eastAsia="宋体" w:cs="宋体"/>
          <w:sz w:val="21"/>
          <w:szCs w:val="21"/>
        </w:rPr>
        <w:t>21.8.1 磋商文件能够详细列明采购标的的技术、服务要求的，磋商结束后，磋商小组应当要求所有继续参加磋商的供应商在规定时间内密封提交最后报价，提交最后报价的供应商不得少于 3 家。</w:t>
      </w:r>
    </w:p>
    <w:p>
      <w:pPr>
        <w:spacing w:line="360" w:lineRule="auto"/>
        <w:ind w:left="220" w:leftChars="100" w:firstLine="420"/>
        <w:jc w:val="both"/>
        <w:rPr>
          <w:sz w:val="20"/>
          <w:szCs w:val="20"/>
        </w:rPr>
      </w:pPr>
      <w:r>
        <w:rPr>
          <w:rFonts w:ascii="宋体" w:hAnsi="宋体" w:eastAsia="宋体" w:cs="宋体"/>
          <w:sz w:val="21"/>
          <w:szCs w:val="21"/>
        </w:rPr>
        <w:t>21.8.2 磋商文件不能详细列明采购标的的技术、服务要求的，需由磋商供应商提供最终设计方案或解决方案的，磋商结束后，磋商小组应当按照少数服从多数的原则投票推荐 3 家以上（含 3 家）供应商的设计方案或者解决方案，并要求其在规定时间内密封提交最后报价。</w:t>
      </w:r>
    </w:p>
    <w:p>
      <w:pPr>
        <w:spacing w:line="360" w:lineRule="auto"/>
        <w:ind w:left="220" w:leftChars="100" w:firstLine="420" w:firstLineChars="200"/>
        <w:rPr>
          <w:sz w:val="20"/>
          <w:szCs w:val="20"/>
        </w:rPr>
      </w:pPr>
      <w:r>
        <w:rPr>
          <w:rFonts w:ascii="宋体" w:hAnsi="宋体" w:eastAsia="宋体" w:cs="宋体"/>
          <w:sz w:val="21"/>
          <w:szCs w:val="21"/>
        </w:rPr>
        <w:t>21.8.3 最后报价是供应商响应文件的有效组成部分。</w:t>
      </w:r>
    </w:p>
    <w:p>
      <w:pPr>
        <w:spacing w:line="360" w:lineRule="auto"/>
        <w:ind w:left="220" w:leftChars="100" w:firstLine="420" w:firstLineChars="200"/>
        <w:rPr>
          <w:sz w:val="20"/>
          <w:szCs w:val="20"/>
        </w:rPr>
      </w:pPr>
      <w:r>
        <w:rPr>
          <w:rFonts w:ascii="宋体" w:hAnsi="宋体" w:eastAsia="宋体" w:cs="宋体"/>
          <w:sz w:val="21"/>
          <w:szCs w:val="21"/>
        </w:rPr>
        <w:t>21.9 已提交响应文件的供应商，在提交最后报价之前，可以根据磋商情况书面退出磋商。</w:t>
      </w:r>
    </w:p>
    <w:p>
      <w:pPr>
        <w:spacing w:line="360" w:lineRule="auto"/>
        <w:ind w:left="220" w:leftChars="100" w:right="100" w:firstLine="420"/>
        <w:rPr>
          <w:sz w:val="20"/>
          <w:szCs w:val="20"/>
        </w:rPr>
      </w:pPr>
      <w:r>
        <w:rPr>
          <w:rFonts w:ascii="宋体" w:hAnsi="宋体" w:eastAsia="宋体" w:cs="宋体"/>
          <w:sz w:val="21"/>
          <w:szCs w:val="21"/>
        </w:rPr>
        <w:t>未书面退出磋商的供应商在规定时间内密封提交最后报价，其最后报价超出采购预算导致已通过评审的响应文件无效的，按供应商在提交响应文件截止时间后撤回响应文件处理。</w:t>
      </w:r>
    </w:p>
    <w:p>
      <w:pPr>
        <w:spacing w:line="360" w:lineRule="auto"/>
        <w:ind w:left="220" w:leftChars="100" w:firstLine="420" w:firstLineChars="200"/>
        <w:rPr>
          <w:sz w:val="20"/>
          <w:szCs w:val="20"/>
        </w:rPr>
      </w:pPr>
      <w:r>
        <w:rPr>
          <w:rFonts w:ascii="宋体" w:hAnsi="宋体" w:eastAsia="宋体" w:cs="宋体"/>
          <w:sz w:val="21"/>
          <w:szCs w:val="21"/>
        </w:rPr>
        <w:t>21.10 评审报告</w:t>
      </w:r>
    </w:p>
    <w:p>
      <w:pPr>
        <w:spacing w:line="360" w:lineRule="auto"/>
        <w:ind w:left="220" w:leftChars="100" w:right="100" w:firstLine="420"/>
        <w:rPr>
          <w:sz w:val="20"/>
          <w:szCs w:val="20"/>
        </w:rPr>
      </w:pPr>
      <w:r>
        <w:rPr>
          <w:rFonts w:ascii="宋体" w:hAnsi="宋体" w:eastAsia="宋体" w:cs="宋体"/>
          <w:sz w:val="21"/>
          <w:szCs w:val="21"/>
        </w:rPr>
        <w:t>磋商小组应当从质量和服务均能满足磋商文件全部实质性响应要求的供应商中，按照评审报价（最后报价及享受政府采购政策的优惠扣除）由低到高的顺序提出 3 名以上（含 3 名）成交候选人，并编写评审报告。</w:t>
      </w:r>
    </w:p>
    <w:p>
      <w:pPr>
        <w:spacing w:line="360" w:lineRule="auto"/>
        <w:ind w:left="220" w:leftChars="100" w:firstLine="420"/>
        <w:rPr>
          <w:rFonts w:ascii="宋体" w:hAnsi="宋体" w:eastAsia="宋体" w:cs="宋体"/>
          <w:sz w:val="21"/>
          <w:szCs w:val="21"/>
        </w:rPr>
      </w:pPr>
      <w:r>
        <w:rPr>
          <w:rFonts w:ascii="宋体" w:hAnsi="宋体" w:eastAsia="宋体" w:cs="宋体"/>
          <w:sz w:val="21"/>
          <w:szCs w:val="21"/>
        </w:rPr>
        <w:t>21.11 采购代理机构发现磋商小组有明显的违规倾向或歧视现象，或不按评审办法进行，或其他不正常行为的，应当及时制止。如制止无效，应及时向采购人报告。</w:t>
      </w:r>
    </w:p>
    <w:p>
      <w:pPr>
        <w:spacing w:line="360" w:lineRule="auto"/>
        <w:ind w:left="220" w:leftChars="100"/>
        <w:rPr>
          <w:sz w:val="20"/>
          <w:szCs w:val="20"/>
        </w:rPr>
      </w:pPr>
      <w:r>
        <w:rPr>
          <w:rFonts w:ascii="宋体" w:hAnsi="宋体" w:eastAsia="宋体" w:cs="宋体"/>
          <w:b/>
          <w:bCs/>
          <w:sz w:val="21"/>
          <w:szCs w:val="21"/>
        </w:rPr>
        <w:t>22. 确定成交供应商</w:t>
      </w:r>
    </w:p>
    <w:p>
      <w:pPr>
        <w:spacing w:line="360" w:lineRule="auto"/>
        <w:ind w:left="220" w:leftChars="100"/>
        <w:rPr>
          <w:sz w:val="21"/>
          <w:szCs w:val="21"/>
        </w:rPr>
      </w:pPr>
      <w:r>
        <w:rPr>
          <w:rFonts w:ascii="宋体" w:hAnsi="宋体" w:eastAsia="宋体" w:cs="宋体"/>
          <w:sz w:val="21"/>
          <w:szCs w:val="21"/>
        </w:rPr>
        <w:t>（1）磋商小组应当根据综合评分情况，按照综合得分由高到低顺序推荐成交候选供应商，并编写评审报告。</w:t>
      </w:r>
    </w:p>
    <w:p>
      <w:pPr>
        <w:spacing w:line="360" w:lineRule="auto"/>
        <w:rPr>
          <w:sz w:val="21"/>
          <w:szCs w:val="21"/>
        </w:rPr>
      </w:pPr>
      <w:r>
        <w:rPr>
          <w:rFonts w:ascii="宋体" w:hAnsi="宋体" w:eastAsia="宋体" w:cs="宋体"/>
          <w:sz w:val="21"/>
          <w:szCs w:val="21"/>
        </w:rPr>
        <w:t>磋商小组根据综合得分由高到低排列次序，若得分相同时，以评审报价由低到高顺序排列；若得分相同且评审报价相同的，以最后报价由低到高顺序排列；若仍相同的，按项目货物性能分由高到低顺序排列并推荐成交候选供应商。</w:t>
      </w:r>
    </w:p>
    <w:p>
      <w:pPr>
        <w:spacing w:line="360" w:lineRule="auto"/>
        <w:ind w:right="100" w:firstLine="210" w:firstLineChars="100"/>
        <w:jc w:val="both"/>
        <w:rPr>
          <w:sz w:val="21"/>
          <w:szCs w:val="21"/>
        </w:rPr>
      </w:pPr>
      <w:r>
        <w:rPr>
          <w:rFonts w:ascii="宋体" w:hAnsi="宋体" w:eastAsia="宋体" w:cs="宋体"/>
          <w:sz w:val="21"/>
          <w:szCs w:val="21"/>
        </w:rPr>
        <w:t>（2）采购单位应当确定磋商小组推荐排名前三名的成交候选供应商为成交供应商。若通过资格性和符合性审查的投标人不足四家时，则磋商小组不再评分直接全部推荐为成交候选供应商，并按程序全部确定成交供应商。</w:t>
      </w:r>
    </w:p>
    <w:p>
      <w:pPr>
        <w:spacing w:line="360" w:lineRule="auto"/>
        <w:ind w:right="100" w:firstLine="210" w:firstLineChars="100"/>
        <w:jc w:val="both"/>
        <w:rPr>
          <w:sz w:val="21"/>
          <w:szCs w:val="21"/>
        </w:rPr>
      </w:pPr>
      <w:r>
        <w:rPr>
          <w:rFonts w:ascii="宋体" w:hAnsi="宋体" w:eastAsia="宋体" w:cs="宋体"/>
          <w:sz w:val="21"/>
          <w:szCs w:val="21"/>
        </w:rPr>
        <w:t>（3）排名前三的成交候选供应商放弃成交、因不可抗力提出不能履行合同，或者磋商文件规定应当提交履约保证金而在规定的期限内未能提交的，或因失信行为被取消成交候选人资格的，采购单位可以确定排名之后的成交候选供应商为成交供应商。</w:t>
      </w:r>
    </w:p>
    <w:p>
      <w:pPr>
        <w:spacing w:line="360" w:lineRule="auto"/>
        <w:ind w:left="220" w:leftChars="100"/>
        <w:rPr>
          <w:sz w:val="20"/>
          <w:szCs w:val="20"/>
        </w:rPr>
      </w:pPr>
      <w:r>
        <w:rPr>
          <w:rFonts w:ascii="宋体" w:hAnsi="宋体" w:eastAsia="宋体" w:cs="宋体"/>
          <w:b/>
          <w:bCs/>
          <w:sz w:val="21"/>
          <w:szCs w:val="21"/>
        </w:rPr>
        <w:t>23</w:t>
      </w:r>
      <w:r>
        <w:rPr>
          <w:rFonts w:hint="eastAsia" w:ascii="宋体" w:hAnsi="宋体" w:eastAsia="宋体" w:cs="宋体"/>
          <w:b/>
          <w:bCs/>
          <w:sz w:val="21"/>
          <w:szCs w:val="21"/>
        </w:rPr>
        <w:t>.</w:t>
      </w:r>
      <w:r>
        <w:rPr>
          <w:rFonts w:ascii="宋体" w:hAnsi="宋体" w:eastAsia="宋体" w:cs="宋体"/>
          <w:b/>
          <w:bCs/>
          <w:sz w:val="21"/>
          <w:szCs w:val="21"/>
        </w:rPr>
        <w:t>属于下列情况之一者，响应文件无效：</w:t>
      </w:r>
    </w:p>
    <w:p>
      <w:pPr>
        <w:spacing w:line="360" w:lineRule="auto"/>
        <w:ind w:left="220" w:leftChars="100"/>
        <w:rPr>
          <w:sz w:val="20"/>
          <w:szCs w:val="20"/>
        </w:rPr>
      </w:pPr>
      <w:r>
        <w:rPr>
          <w:rFonts w:ascii="宋体" w:hAnsi="宋体" w:eastAsia="宋体" w:cs="宋体"/>
          <w:sz w:val="21"/>
          <w:szCs w:val="21"/>
        </w:rPr>
        <w:t>（1）未按 15 条款交纳保证金的；</w:t>
      </w:r>
    </w:p>
    <w:p>
      <w:pPr>
        <w:spacing w:line="360" w:lineRule="auto"/>
        <w:ind w:left="220" w:leftChars="100"/>
        <w:rPr>
          <w:sz w:val="20"/>
          <w:szCs w:val="20"/>
        </w:rPr>
      </w:pPr>
      <w:r>
        <w:rPr>
          <w:rFonts w:ascii="宋体" w:hAnsi="宋体" w:eastAsia="宋体" w:cs="宋体"/>
          <w:sz w:val="21"/>
          <w:szCs w:val="21"/>
        </w:rPr>
        <w:t>（2）未按磋商文件规定完整提交响应文件或未按规定要求密封、签字、盖章的；</w:t>
      </w:r>
    </w:p>
    <w:p>
      <w:pPr>
        <w:spacing w:line="360" w:lineRule="auto"/>
        <w:ind w:left="220" w:leftChars="100"/>
        <w:rPr>
          <w:sz w:val="20"/>
          <w:szCs w:val="20"/>
        </w:rPr>
      </w:pPr>
      <w:r>
        <w:rPr>
          <w:rFonts w:ascii="宋体" w:hAnsi="宋体" w:eastAsia="宋体" w:cs="宋体"/>
          <w:sz w:val="21"/>
          <w:szCs w:val="21"/>
        </w:rPr>
        <w:t>（3）超越了行政审批的经营范围的；</w:t>
      </w:r>
    </w:p>
    <w:p>
      <w:pPr>
        <w:spacing w:line="360" w:lineRule="auto"/>
        <w:ind w:left="220" w:leftChars="100"/>
        <w:rPr>
          <w:sz w:val="20"/>
          <w:szCs w:val="20"/>
        </w:rPr>
      </w:pPr>
      <w:r>
        <w:rPr>
          <w:rFonts w:ascii="宋体" w:hAnsi="宋体" w:eastAsia="宋体" w:cs="宋体"/>
          <w:sz w:val="21"/>
          <w:szCs w:val="21"/>
        </w:rPr>
        <w:t>（4）不具备磋商文件规定的资格要求的；</w:t>
      </w:r>
    </w:p>
    <w:p>
      <w:pPr>
        <w:spacing w:line="360" w:lineRule="auto"/>
        <w:ind w:left="220" w:leftChars="100"/>
        <w:rPr>
          <w:sz w:val="20"/>
          <w:szCs w:val="20"/>
        </w:rPr>
      </w:pPr>
      <w:r>
        <w:rPr>
          <w:rFonts w:ascii="宋体" w:hAnsi="宋体" w:eastAsia="宋体" w:cs="宋体"/>
          <w:sz w:val="21"/>
          <w:szCs w:val="21"/>
        </w:rPr>
        <w:t>（5）响应文件未按磋商文件的内容和要求编制，或提供虚假材料的；</w:t>
      </w:r>
    </w:p>
    <w:p>
      <w:pPr>
        <w:spacing w:line="360" w:lineRule="auto"/>
        <w:ind w:left="220" w:leftChars="100"/>
        <w:rPr>
          <w:sz w:val="20"/>
          <w:szCs w:val="20"/>
        </w:rPr>
      </w:pPr>
      <w:r>
        <w:rPr>
          <w:rFonts w:ascii="宋体" w:hAnsi="宋体" w:eastAsia="宋体" w:cs="宋体"/>
          <w:sz w:val="21"/>
          <w:szCs w:val="21"/>
        </w:rPr>
        <w:t>（6）属于“必须提供”的响应文件未能按时提供或补正、更正的；</w:t>
      </w:r>
    </w:p>
    <w:p>
      <w:pPr>
        <w:spacing w:line="360" w:lineRule="auto"/>
        <w:ind w:left="220" w:leftChars="100"/>
        <w:rPr>
          <w:sz w:val="20"/>
          <w:szCs w:val="20"/>
        </w:rPr>
      </w:pPr>
      <w:r>
        <w:rPr>
          <w:rFonts w:ascii="宋体" w:hAnsi="宋体" w:eastAsia="宋体" w:cs="宋体"/>
          <w:sz w:val="21"/>
          <w:szCs w:val="21"/>
        </w:rPr>
        <w:t>（7）响应文件有效期、保证金有效期、交货时间、免费保修期、售后服务不能满足磋商文件要求的；</w:t>
      </w:r>
    </w:p>
    <w:p>
      <w:pPr>
        <w:spacing w:line="360" w:lineRule="auto"/>
        <w:ind w:left="227" w:leftChars="100" w:right="420" w:hanging="7"/>
        <w:rPr>
          <w:sz w:val="20"/>
          <w:szCs w:val="20"/>
        </w:rPr>
      </w:pPr>
      <w:r>
        <w:rPr>
          <w:rFonts w:ascii="宋体" w:hAnsi="宋体" w:eastAsia="宋体" w:cs="宋体"/>
          <w:sz w:val="21"/>
          <w:szCs w:val="21"/>
        </w:rPr>
        <w:t>（8）供应商未就“项目采购需求”中的所有服务内容作完整唯一报价的，或报价超出采购预算总金额的；（9）未在磋商小组规定的时间内重新提交响应文件的；</w:t>
      </w:r>
    </w:p>
    <w:p>
      <w:pPr>
        <w:spacing w:line="360" w:lineRule="auto"/>
        <w:ind w:left="220" w:leftChars="100"/>
        <w:rPr>
          <w:sz w:val="20"/>
          <w:szCs w:val="20"/>
        </w:rPr>
      </w:pPr>
      <w:r>
        <w:rPr>
          <w:rFonts w:ascii="宋体" w:hAnsi="宋体" w:eastAsia="宋体" w:cs="宋体"/>
          <w:sz w:val="21"/>
          <w:szCs w:val="21"/>
        </w:rPr>
        <w:t>（10）未满足磋商文件全部实质性要求的或者响应文件有采购人不能接受的附加条件的；</w:t>
      </w:r>
    </w:p>
    <w:p>
      <w:pPr>
        <w:spacing w:line="360" w:lineRule="auto"/>
        <w:ind w:left="220" w:leftChars="100"/>
        <w:rPr>
          <w:sz w:val="20"/>
          <w:szCs w:val="20"/>
        </w:rPr>
      </w:pPr>
      <w:r>
        <w:rPr>
          <w:rFonts w:ascii="宋体" w:hAnsi="宋体" w:eastAsia="宋体" w:cs="宋体"/>
          <w:sz w:val="21"/>
          <w:szCs w:val="21"/>
        </w:rPr>
        <w:t>（11）未按规定向采购代理机构购买本项目磋商文件的（有文件规定除外）；</w:t>
      </w:r>
    </w:p>
    <w:p>
      <w:pPr>
        <w:spacing w:line="360" w:lineRule="auto"/>
        <w:ind w:left="220" w:leftChars="100"/>
        <w:rPr>
          <w:sz w:val="20"/>
          <w:szCs w:val="20"/>
        </w:rPr>
      </w:pPr>
      <w:r>
        <w:rPr>
          <w:rFonts w:ascii="宋体" w:hAnsi="宋体" w:eastAsia="宋体" w:cs="宋体"/>
          <w:sz w:val="21"/>
          <w:szCs w:val="21"/>
        </w:rPr>
        <w:t>（12）不符合法律、法规和磋商文件规定的其他实质性要求和条件的。</w:t>
      </w:r>
    </w:p>
    <w:p>
      <w:pPr>
        <w:spacing w:line="360" w:lineRule="auto"/>
        <w:ind w:left="220" w:leftChars="100"/>
        <w:rPr>
          <w:sz w:val="20"/>
          <w:szCs w:val="20"/>
        </w:rPr>
      </w:pPr>
      <w:r>
        <w:rPr>
          <w:rFonts w:ascii="宋体" w:hAnsi="宋体" w:eastAsia="宋体" w:cs="宋体"/>
          <w:b/>
          <w:bCs/>
          <w:sz w:val="21"/>
          <w:szCs w:val="21"/>
        </w:rPr>
        <w:t>磋商供应商有下列情形之一的，视为串通磋商，响应文件将被视为无效：</w:t>
      </w:r>
    </w:p>
    <w:p>
      <w:pPr>
        <w:spacing w:line="360" w:lineRule="auto"/>
        <w:ind w:left="220" w:leftChars="100" w:right="700"/>
        <w:rPr>
          <w:sz w:val="20"/>
          <w:szCs w:val="20"/>
        </w:rPr>
      </w:pPr>
      <w:r>
        <w:rPr>
          <w:rFonts w:ascii="宋体" w:hAnsi="宋体" w:eastAsia="宋体" w:cs="宋体"/>
          <w:sz w:val="21"/>
          <w:szCs w:val="21"/>
        </w:rPr>
        <w:t>（1）不同磋商供应商的响应文件由同一单位或者个人编制；或不同磋商供应商报名的 IP 地址一致的；（2）不同磋商供应商委托同一单位或者个人办理磋商事宜；</w:t>
      </w:r>
    </w:p>
    <w:p>
      <w:pPr>
        <w:spacing w:line="360" w:lineRule="auto"/>
        <w:ind w:left="220" w:leftChars="100" w:right="3740"/>
        <w:rPr>
          <w:sz w:val="20"/>
          <w:szCs w:val="20"/>
        </w:rPr>
      </w:pPr>
      <w:r>
        <w:rPr>
          <w:rFonts w:ascii="宋体" w:hAnsi="宋体" w:eastAsia="宋体" w:cs="宋体"/>
          <w:sz w:val="21"/>
          <w:szCs w:val="21"/>
        </w:rPr>
        <w:t>（3）不同的磋商供应商的响应文件载明的项目管理员为同一个人；（4）不同磋商供应商的响应文件异常一致或磋商报价呈规律性差异；（5）不同磋商供应商的响应文件相互混装；</w:t>
      </w:r>
    </w:p>
    <w:p>
      <w:pPr>
        <w:spacing w:line="360" w:lineRule="auto"/>
        <w:ind w:left="220" w:leftChars="100"/>
        <w:rPr>
          <w:sz w:val="20"/>
          <w:szCs w:val="20"/>
        </w:rPr>
      </w:pPr>
      <w:r>
        <w:rPr>
          <w:rFonts w:ascii="宋体" w:hAnsi="宋体" w:eastAsia="宋体" w:cs="宋体"/>
          <w:sz w:val="21"/>
          <w:szCs w:val="21"/>
        </w:rPr>
        <w:t>（6）不同磋商供应商的磋商保证金从同一单位或者个人账户转出；</w:t>
      </w:r>
    </w:p>
    <w:p>
      <w:pPr>
        <w:spacing w:line="360" w:lineRule="auto"/>
        <w:ind w:left="220" w:leftChars="100"/>
        <w:rPr>
          <w:sz w:val="20"/>
          <w:szCs w:val="20"/>
        </w:rPr>
      </w:pPr>
      <w:r>
        <w:rPr>
          <w:rFonts w:ascii="宋体" w:hAnsi="宋体" w:eastAsia="宋体" w:cs="宋体"/>
          <w:sz w:val="21"/>
          <w:szCs w:val="21"/>
        </w:rPr>
        <w:t>（7）响应文件实质性要求未做变动，磋商供应商最终报价高于第一次报价的。</w:t>
      </w:r>
    </w:p>
    <w:p>
      <w:pPr>
        <w:tabs>
          <w:tab w:val="left" w:pos="835"/>
        </w:tabs>
        <w:spacing w:line="360" w:lineRule="auto"/>
        <w:ind w:left="220" w:leftChars="100" w:right="80"/>
        <w:rPr>
          <w:rFonts w:ascii="宋体" w:hAnsi="宋体" w:eastAsia="宋体" w:cs="宋体"/>
          <w:b/>
          <w:bCs/>
          <w:sz w:val="21"/>
          <w:szCs w:val="21"/>
        </w:rPr>
      </w:pPr>
      <w:r>
        <w:rPr>
          <w:rFonts w:hint="eastAsia" w:ascii="宋体" w:hAnsi="宋体" w:eastAsia="宋体" w:cs="宋体"/>
          <w:b/>
          <w:bCs/>
          <w:sz w:val="21"/>
          <w:szCs w:val="21"/>
        </w:rPr>
        <w:t>24.</w:t>
      </w:r>
      <w:r>
        <w:rPr>
          <w:rFonts w:ascii="宋体" w:hAnsi="宋体" w:eastAsia="宋体" w:cs="宋体"/>
          <w:b/>
          <w:bCs/>
          <w:sz w:val="21"/>
          <w:szCs w:val="21"/>
        </w:rPr>
        <w:t>出现下列情形之一的，采购人或者采购代理机构应当终止竞争性磋商采购活动，发布项目终止公告并说明原因，重新开展采购活动：</w:t>
      </w:r>
    </w:p>
    <w:p>
      <w:pPr>
        <w:spacing w:line="360" w:lineRule="auto"/>
        <w:ind w:left="220" w:leftChars="100"/>
        <w:rPr>
          <w:sz w:val="20"/>
          <w:szCs w:val="20"/>
        </w:rPr>
      </w:pPr>
      <w:r>
        <w:rPr>
          <w:rFonts w:ascii="宋体" w:hAnsi="宋体" w:eastAsia="宋体" w:cs="宋体"/>
          <w:sz w:val="21"/>
          <w:szCs w:val="21"/>
        </w:rPr>
        <w:t>（1）因情况变化，不再符合规定的竞争性磋商采购方式适用情形的；</w:t>
      </w:r>
    </w:p>
    <w:p>
      <w:pPr>
        <w:spacing w:line="360" w:lineRule="auto"/>
        <w:ind w:left="220" w:leftChars="100"/>
        <w:rPr>
          <w:sz w:val="20"/>
          <w:szCs w:val="20"/>
        </w:rPr>
      </w:pPr>
      <w:r>
        <w:rPr>
          <w:rFonts w:ascii="宋体" w:hAnsi="宋体" w:eastAsia="宋体" w:cs="宋体"/>
          <w:sz w:val="21"/>
          <w:szCs w:val="21"/>
        </w:rPr>
        <w:t>（2）出现影响采购公正的违法、违规行为的；</w:t>
      </w:r>
    </w:p>
    <w:p>
      <w:pPr>
        <w:spacing w:line="360" w:lineRule="auto"/>
        <w:ind w:left="220" w:leftChars="100"/>
        <w:rPr>
          <w:sz w:val="20"/>
          <w:szCs w:val="20"/>
        </w:rPr>
      </w:pPr>
      <w:r>
        <w:rPr>
          <w:rFonts w:ascii="宋体" w:hAnsi="宋体" w:eastAsia="宋体" w:cs="宋体"/>
          <w:sz w:val="21"/>
          <w:szCs w:val="21"/>
        </w:rPr>
        <w:t>（3）在采购过程中符合竞争要求的供应商或者报价未超过采购预算的供应商不足 3 家的。</w:t>
      </w:r>
    </w:p>
    <w:p>
      <w:pPr>
        <w:spacing w:line="360" w:lineRule="auto"/>
        <w:ind w:left="220" w:leftChars="100"/>
        <w:rPr>
          <w:sz w:val="20"/>
          <w:szCs w:val="20"/>
        </w:rPr>
      </w:pPr>
      <w:r>
        <w:rPr>
          <w:rFonts w:ascii="宋体" w:hAnsi="宋体" w:eastAsia="宋体" w:cs="宋体"/>
          <w:b/>
          <w:bCs/>
          <w:sz w:val="21"/>
          <w:szCs w:val="21"/>
        </w:rPr>
        <w:t>25. 磋商过程的监控</w:t>
      </w:r>
    </w:p>
    <w:p>
      <w:pPr>
        <w:spacing w:line="360" w:lineRule="auto"/>
        <w:ind w:left="220" w:leftChars="100" w:firstLine="420" w:firstLineChars="200"/>
        <w:rPr>
          <w:sz w:val="20"/>
          <w:szCs w:val="20"/>
        </w:rPr>
      </w:pPr>
      <w:r>
        <w:rPr>
          <w:rFonts w:ascii="宋体" w:hAnsi="宋体" w:eastAsia="宋体" w:cs="宋体"/>
          <w:sz w:val="21"/>
          <w:szCs w:val="21"/>
        </w:rPr>
        <w:t>本项目磋商过程实行全程录音、录像监控，供应商在磋商过程中所进行的试图影响磋商结果的不公正活动，可</w:t>
      </w:r>
    </w:p>
    <w:p>
      <w:pPr>
        <w:spacing w:line="360" w:lineRule="auto"/>
        <w:ind w:left="220" w:leftChars="100"/>
        <w:rPr>
          <w:sz w:val="20"/>
          <w:szCs w:val="20"/>
        </w:rPr>
      </w:pPr>
      <w:r>
        <w:rPr>
          <w:rFonts w:ascii="宋体" w:hAnsi="宋体" w:eastAsia="宋体" w:cs="宋体"/>
          <w:sz w:val="21"/>
          <w:szCs w:val="21"/>
        </w:rPr>
        <w:t>能导致其磋商被拒绝。</w:t>
      </w:r>
    </w:p>
    <w:p>
      <w:pPr>
        <w:spacing w:line="360" w:lineRule="auto"/>
        <w:ind w:left="220" w:leftChars="100"/>
        <w:rPr>
          <w:sz w:val="20"/>
          <w:szCs w:val="20"/>
        </w:rPr>
      </w:pPr>
      <w:r>
        <w:rPr>
          <w:rFonts w:ascii="宋体" w:hAnsi="宋体" w:eastAsia="宋体" w:cs="宋体"/>
          <w:b/>
          <w:bCs/>
          <w:sz w:val="21"/>
          <w:szCs w:val="21"/>
        </w:rPr>
        <w:t>26.信用查询</w:t>
      </w:r>
    </w:p>
    <w:p>
      <w:pPr>
        <w:spacing w:line="360" w:lineRule="auto"/>
        <w:ind w:firstLine="440" w:firstLineChars="200"/>
        <w:rPr>
          <w:sz w:val="21"/>
          <w:szCs w:val="21"/>
        </w:rPr>
      </w:pPr>
      <w:r>
        <w:t>根据《关于做好政府采购有关信用主体标识码登记及在政府采购活动中查询使用信用记录有关问题的通知》（桂</w:t>
      </w:r>
      <w:r>
        <w:rPr>
          <w:rFonts w:hint="eastAsia" w:ascii="宋体" w:hAnsi="宋体" w:eastAsia="宋体" w:cs="宋体"/>
          <w:sz w:val="21"/>
          <w:szCs w:val="21"/>
        </w:rPr>
        <w:t>15</w:t>
      </w:r>
      <w:r>
        <w:rPr>
          <w:rFonts w:ascii="宋体" w:hAnsi="宋体" w:eastAsia="宋体" w:cs="宋体"/>
          <w:sz w:val="21"/>
          <w:szCs w:val="21"/>
        </w:rPr>
        <w:t>财采〔2016〕37），由采购代理机构对所有成交候选人进行信用查询：</w:t>
      </w:r>
    </w:p>
    <w:p>
      <w:pPr>
        <w:numPr>
          <w:ilvl w:val="0"/>
          <w:numId w:val="2"/>
        </w:numPr>
        <w:spacing w:line="360" w:lineRule="auto"/>
        <w:ind w:left="220" w:leftChars="100" w:right="640"/>
        <w:rPr>
          <w:rFonts w:ascii="宋体" w:hAnsi="宋体" w:eastAsia="宋体" w:cs="宋体"/>
          <w:sz w:val="21"/>
          <w:szCs w:val="21"/>
        </w:rPr>
      </w:pPr>
      <w:r>
        <w:rPr>
          <w:rFonts w:ascii="宋体" w:hAnsi="宋体" w:eastAsia="宋体" w:cs="宋体"/>
          <w:sz w:val="21"/>
          <w:szCs w:val="21"/>
        </w:rPr>
        <w:t>查询渠道：“信用中国”网站(www.creditchina.gov.cn）、中国政府采购网(www.ccgp.gov.cn)等；</w:t>
      </w:r>
    </w:p>
    <w:p>
      <w:pPr>
        <w:spacing w:line="360" w:lineRule="auto"/>
        <w:ind w:right="640" w:firstLine="210" w:firstLineChars="100"/>
        <w:rPr>
          <w:sz w:val="20"/>
          <w:szCs w:val="20"/>
        </w:rPr>
      </w:pPr>
      <w:r>
        <w:rPr>
          <w:rFonts w:ascii="宋体" w:hAnsi="宋体" w:eastAsia="宋体" w:cs="宋体"/>
          <w:sz w:val="21"/>
          <w:szCs w:val="21"/>
        </w:rPr>
        <w:t>（2）查询截止时点：成交通知书发出前；</w:t>
      </w:r>
    </w:p>
    <w:p>
      <w:pPr>
        <w:numPr>
          <w:ilvl w:val="0"/>
          <w:numId w:val="3"/>
        </w:numPr>
        <w:spacing w:line="360" w:lineRule="auto"/>
        <w:ind w:left="220" w:leftChars="100"/>
        <w:rPr>
          <w:rFonts w:ascii="宋体" w:hAnsi="宋体" w:eastAsia="宋体" w:cs="宋体"/>
          <w:sz w:val="21"/>
          <w:szCs w:val="21"/>
        </w:rPr>
      </w:pPr>
      <w:r>
        <w:rPr>
          <w:rFonts w:ascii="宋体" w:hAnsi="宋体" w:eastAsia="宋体" w:cs="宋体"/>
          <w:sz w:val="21"/>
          <w:szCs w:val="21"/>
        </w:rPr>
        <w:t>信用信息查询记录和证据留存方式：在查询网站中直接打印查询记录，打印材料作为采购活动资料保存。</w:t>
      </w:r>
    </w:p>
    <w:p>
      <w:pPr>
        <w:spacing w:line="360" w:lineRule="auto"/>
        <w:ind w:firstLine="420" w:firstLineChars="200"/>
        <w:rPr>
          <w:rFonts w:ascii="宋体" w:hAnsi="宋体" w:eastAsia="宋体" w:cs="宋体"/>
          <w:sz w:val="21"/>
          <w:szCs w:val="21"/>
        </w:rPr>
      </w:pPr>
      <w:r>
        <w:rPr>
          <w:rFonts w:ascii="宋体" w:hAnsi="宋体" w:eastAsia="宋体" w:cs="宋体"/>
          <w:sz w:val="21"/>
          <w:szCs w:val="21"/>
        </w:rPr>
        <w:t>（4）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取消其成交候选人资格。两个以上的自然人、法人或者其他组织组成一个联合体，以一个供应商的身份共同参加政府采购活动的，对所有联合体成员进行信用记录查询，联合体成员存在不良信用记录的，视同联合体存在不良信用记录。</w:t>
      </w:r>
    </w:p>
    <w:p>
      <w:pPr>
        <w:spacing w:line="360" w:lineRule="auto"/>
        <w:ind w:left="220" w:leftChars="100"/>
        <w:rPr>
          <w:sz w:val="20"/>
          <w:szCs w:val="20"/>
        </w:rPr>
      </w:pPr>
      <w:r>
        <w:rPr>
          <w:rFonts w:ascii="Calibri" w:hAnsi="Calibri" w:eastAsia="Calibri" w:cs="Calibri"/>
          <w:b/>
          <w:bCs/>
          <w:sz w:val="21"/>
          <w:szCs w:val="21"/>
        </w:rPr>
        <w:t>27.</w:t>
      </w:r>
      <w:r>
        <w:rPr>
          <w:rFonts w:ascii="宋体" w:hAnsi="宋体" w:eastAsia="宋体" w:cs="宋体"/>
          <w:b/>
          <w:bCs/>
          <w:sz w:val="21"/>
          <w:szCs w:val="21"/>
        </w:rPr>
        <w:t>成交通知书</w:t>
      </w:r>
    </w:p>
    <w:p>
      <w:pPr>
        <w:spacing w:line="360" w:lineRule="auto"/>
        <w:ind w:firstLine="420" w:firstLineChars="200"/>
        <w:rPr>
          <w:sz w:val="20"/>
          <w:szCs w:val="20"/>
        </w:rPr>
      </w:pPr>
      <w:r>
        <w:rPr>
          <w:rFonts w:ascii="Calibri" w:hAnsi="Calibri" w:eastAsia="Calibri" w:cs="Calibri"/>
          <w:sz w:val="21"/>
          <w:szCs w:val="21"/>
        </w:rPr>
        <w:t xml:space="preserve">27.1 </w:t>
      </w:r>
      <w:r>
        <w:rPr>
          <w:rFonts w:ascii="宋体" w:hAnsi="宋体" w:eastAsia="宋体" w:cs="宋体"/>
          <w:sz w:val="21"/>
          <w:szCs w:val="21"/>
        </w:rPr>
        <w:t>采购代理机构于磋商结束后两个工作日内将评审报告送交采购人，采购人应当自收到评审报告五个工作日内在评审报告推荐的成交候选人中按顺序确定成交供应商，采购代理机构在成交供应商确定之日起两个工作日内发出成交通知书。</w:t>
      </w:r>
    </w:p>
    <w:p>
      <w:pPr>
        <w:spacing w:line="360" w:lineRule="auto"/>
        <w:ind w:firstLine="420" w:firstLineChars="200"/>
        <w:rPr>
          <w:rFonts w:eastAsia="宋体"/>
        </w:rPr>
        <w:sectPr>
          <w:type w:val="continuous"/>
          <w:pgSz w:w="11900" w:h="16840"/>
          <w:pgMar w:top="964" w:right="1123" w:bottom="652" w:left="482" w:header="0" w:footer="397" w:gutter="0"/>
          <w:cols w:space="425" w:num="1"/>
        </w:sectPr>
      </w:pPr>
      <w:r>
        <w:rPr>
          <w:rFonts w:ascii="Calibri" w:hAnsi="Calibri" w:eastAsia="Calibri" w:cs="Calibri"/>
          <w:sz w:val="21"/>
          <w:szCs w:val="21"/>
        </w:rPr>
        <w:t xml:space="preserve">27.2 </w:t>
      </w:r>
      <w:r>
        <w:rPr>
          <w:rFonts w:ascii="宋体" w:hAnsi="宋体" w:eastAsia="宋体" w:cs="宋体"/>
          <w:sz w:val="21"/>
          <w:szCs w:val="21"/>
        </w:rPr>
        <w:t>采购代理机构无义务向未成交的供应商解释未成交原因和退还响应文件</w:t>
      </w:r>
      <w:r>
        <w:rPr>
          <w:rFonts w:hint="eastAsia" w:ascii="宋体" w:hAnsi="宋体" w:eastAsia="宋体" w:cs="宋体"/>
          <w:sz w:val="21"/>
          <w:szCs w:val="21"/>
        </w:rPr>
        <w:t>。</w:t>
      </w:r>
    </w:p>
    <w:p>
      <w:pPr>
        <w:spacing w:line="360" w:lineRule="auto"/>
        <w:ind w:left="220" w:leftChars="100"/>
        <w:jc w:val="center"/>
        <w:rPr>
          <w:sz w:val="20"/>
          <w:szCs w:val="20"/>
        </w:rPr>
      </w:pPr>
      <w:bookmarkStart w:id="64" w:name="page15"/>
      <w:bookmarkEnd w:id="64"/>
      <w:bookmarkStart w:id="65" w:name="page14"/>
      <w:bookmarkEnd w:id="65"/>
      <w:bookmarkStart w:id="66" w:name="_Toc7384_WPSOffice_Level1"/>
      <w:r>
        <w:rPr>
          <w:rFonts w:ascii="宋体" w:hAnsi="宋体" w:eastAsia="宋体" w:cs="宋体"/>
          <w:b/>
          <w:bCs/>
          <w:sz w:val="28"/>
          <w:szCs w:val="28"/>
        </w:rPr>
        <w:t>五、签订合同</w:t>
      </w:r>
      <w:bookmarkEnd w:id="66"/>
    </w:p>
    <w:p>
      <w:pPr>
        <w:spacing w:line="360" w:lineRule="auto"/>
        <w:ind w:left="220" w:leftChars="100"/>
        <w:rPr>
          <w:sz w:val="20"/>
          <w:szCs w:val="20"/>
        </w:rPr>
      </w:pPr>
    </w:p>
    <w:p>
      <w:pPr>
        <w:spacing w:line="360" w:lineRule="auto"/>
        <w:ind w:left="220" w:leftChars="100"/>
        <w:rPr>
          <w:sz w:val="20"/>
          <w:szCs w:val="20"/>
        </w:rPr>
      </w:pPr>
      <w:r>
        <w:rPr>
          <w:rFonts w:ascii="宋体" w:hAnsi="宋体" w:eastAsia="宋体" w:cs="宋体"/>
          <w:b/>
          <w:bCs/>
          <w:sz w:val="21"/>
          <w:szCs w:val="21"/>
        </w:rPr>
        <w:t>28、签订合同</w:t>
      </w:r>
    </w:p>
    <w:p>
      <w:pPr>
        <w:spacing w:line="360" w:lineRule="auto"/>
        <w:ind w:left="220" w:leftChars="100" w:firstLine="420" w:firstLineChars="200"/>
        <w:rPr>
          <w:rFonts w:hint="eastAsia" w:eastAsia="宋体"/>
          <w:sz w:val="20"/>
          <w:szCs w:val="20"/>
          <w:lang w:eastAsia="zh-CN"/>
        </w:rPr>
      </w:pPr>
      <w:r>
        <w:rPr>
          <w:rFonts w:ascii="Calibri" w:hAnsi="Calibri" w:eastAsia="Calibri" w:cs="Calibri"/>
          <w:sz w:val="21"/>
          <w:szCs w:val="21"/>
        </w:rPr>
        <w:t>28.1</w:t>
      </w:r>
      <w:r>
        <w:rPr>
          <w:rFonts w:ascii="宋体" w:hAnsi="宋体" w:eastAsia="宋体" w:cs="宋体"/>
          <w:sz w:val="21"/>
          <w:szCs w:val="21"/>
        </w:rPr>
        <w:t>、签订合同时间：成交通知书发出之日起</w:t>
      </w:r>
      <w:r>
        <w:rPr>
          <w:rFonts w:hint="eastAsia" w:ascii="宋体" w:hAnsi="宋体" w:eastAsia="宋体" w:cs="宋体"/>
          <w:sz w:val="21"/>
          <w:szCs w:val="21"/>
        </w:rPr>
        <w:t>5个工作日</w:t>
      </w:r>
      <w:r>
        <w:rPr>
          <w:rFonts w:ascii="宋体" w:hAnsi="宋体" w:eastAsia="宋体" w:cs="宋体"/>
          <w:sz w:val="21"/>
          <w:szCs w:val="21"/>
        </w:rPr>
        <w:t>内。成交供应商领取成交通知书后，应按规定与采购人签订合同</w:t>
      </w:r>
      <w:r>
        <w:rPr>
          <w:rFonts w:hint="eastAsia" w:ascii="宋体" w:hAnsi="宋体" w:eastAsia="宋体" w:cs="宋体"/>
          <w:sz w:val="21"/>
          <w:szCs w:val="21"/>
        </w:rPr>
        <w:t>。各采购人要自采购合同签订之日起2个工作日内，将政府采购合同在广西壮族自治区政府采购网上公告（涉密除外）</w:t>
      </w:r>
      <w:r>
        <w:rPr>
          <w:rFonts w:hint="eastAsia" w:ascii="宋体" w:hAnsi="宋体" w:eastAsia="宋体" w:cs="宋体"/>
          <w:sz w:val="21"/>
          <w:szCs w:val="21"/>
          <w:lang w:eastAsia="zh-CN"/>
        </w:rPr>
        <w:t>。</w:t>
      </w:r>
    </w:p>
    <w:p>
      <w:pPr>
        <w:spacing w:line="360" w:lineRule="auto"/>
        <w:ind w:left="220" w:leftChars="100" w:firstLine="420" w:firstLineChars="200"/>
        <w:rPr>
          <w:sz w:val="20"/>
          <w:szCs w:val="20"/>
        </w:rPr>
      </w:pPr>
      <w:r>
        <w:rPr>
          <w:rFonts w:ascii="Calibri" w:hAnsi="Calibri" w:eastAsia="Calibri" w:cs="Calibri"/>
          <w:sz w:val="21"/>
          <w:szCs w:val="21"/>
        </w:rPr>
        <w:t>28.2</w:t>
      </w:r>
      <w:r>
        <w:rPr>
          <w:rFonts w:ascii="宋体" w:hAnsi="宋体" w:eastAsia="宋体" w:cs="宋体"/>
          <w:sz w:val="21"/>
          <w:szCs w:val="21"/>
        </w:rPr>
        <w:t>、成交供应商为联合体的，联合体各方均应与采购人分别签订合同，并承担连带责任。</w:t>
      </w:r>
    </w:p>
    <w:p>
      <w:pPr>
        <w:spacing w:line="360" w:lineRule="auto"/>
        <w:ind w:firstLine="630" w:firstLineChars="300"/>
        <w:rPr>
          <w:sz w:val="20"/>
          <w:szCs w:val="20"/>
        </w:rPr>
      </w:pPr>
      <w:r>
        <w:rPr>
          <w:rFonts w:ascii="Calibri" w:hAnsi="Calibri" w:eastAsia="Calibri" w:cs="Calibri"/>
          <w:sz w:val="21"/>
          <w:szCs w:val="21"/>
        </w:rPr>
        <w:t xml:space="preserve">28.3 </w:t>
      </w:r>
      <w:r>
        <w:rPr>
          <w:rFonts w:ascii="宋体" w:hAnsi="宋体" w:eastAsia="宋体" w:cs="宋体"/>
          <w:sz w:val="21"/>
          <w:szCs w:val="21"/>
        </w:rPr>
        <w:t>如成交供应商有下列情形之一的，成交供应商全部磋商保证金不予退还。采购代理机构可从磋商小组推荐的成交候选供应商中按顺序重新确定成交供应商或重新组织采购。拒绝签订采购合同的成交供应商不得参加对该项目重新开展的采购活动。</w:t>
      </w:r>
    </w:p>
    <w:p>
      <w:pPr>
        <w:spacing w:line="360" w:lineRule="auto"/>
        <w:ind w:left="220" w:leftChars="100"/>
        <w:rPr>
          <w:sz w:val="20"/>
          <w:szCs w:val="20"/>
        </w:rPr>
      </w:pPr>
      <w:r>
        <w:rPr>
          <w:rFonts w:ascii="宋体" w:hAnsi="宋体" w:eastAsia="宋体" w:cs="宋体"/>
          <w:sz w:val="21"/>
          <w:szCs w:val="21"/>
        </w:rPr>
        <w:t>（</w:t>
      </w:r>
      <w:r>
        <w:rPr>
          <w:rFonts w:ascii="Calibri" w:hAnsi="Calibri" w:eastAsia="Calibri" w:cs="Calibri"/>
          <w:sz w:val="21"/>
          <w:szCs w:val="21"/>
        </w:rPr>
        <w:t>1</w:t>
      </w:r>
      <w:r>
        <w:rPr>
          <w:rFonts w:ascii="宋体" w:hAnsi="宋体" w:eastAsia="宋体" w:cs="宋体"/>
          <w:sz w:val="21"/>
          <w:szCs w:val="21"/>
        </w:rPr>
        <w:t>）成交后不与采购人签订合同的（不可抗力除外）；</w:t>
      </w:r>
    </w:p>
    <w:p>
      <w:pPr>
        <w:spacing w:line="360" w:lineRule="auto"/>
        <w:ind w:left="220" w:leftChars="100"/>
        <w:rPr>
          <w:sz w:val="20"/>
          <w:szCs w:val="20"/>
        </w:rPr>
      </w:pPr>
      <w:r>
        <w:rPr>
          <w:rFonts w:ascii="宋体" w:hAnsi="宋体" w:eastAsia="宋体" w:cs="宋体"/>
          <w:sz w:val="21"/>
          <w:szCs w:val="21"/>
        </w:rPr>
        <w:t>（</w:t>
      </w:r>
      <w:r>
        <w:rPr>
          <w:rFonts w:ascii="Calibri" w:hAnsi="Calibri" w:eastAsia="Calibri" w:cs="Calibri"/>
          <w:sz w:val="21"/>
          <w:szCs w:val="21"/>
        </w:rPr>
        <w:t>2</w:t>
      </w:r>
      <w:r>
        <w:rPr>
          <w:rFonts w:ascii="宋体" w:hAnsi="宋体" w:eastAsia="宋体" w:cs="宋体"/>
          <w:sz w:val="21"/>
          <w:szCs w:val="21"/>
        </w:rPr>
        <w:t>）将成交项目转让给他人，或者在响应文件中未说明，且未经采购人同意，将成交项目分包给他人的；</w:t>
      </w:r>
    </w:p>
    <w:p>
      <w:pPr>
        <w:spacing w:line="360" w:lineRule="auto"/>
        <w:ind w:left="220" w:leftChars="100"/>
        <w:rPr>
          <w:sz w:val="20"/>
          <w:szCs w:val="20"/>
        </w:rPr>
      </w:pPr>
      <w:r>
        <w:rPr>
          <w:rFonts w:ascii="宋体" w:hAnsi="宋体" w:eastAsia="宋体" w:cs="宋体"/>
          <w:sz w:val="21"/>
          <w:szCs w:val="21"/>
        </w:rPr>
        <w:t>拒绝履行合同义务的。</w:t>
      </w:r>
    </w:p>
    <w:p>
      <w:pPr>
        <w:spacing w:line="360" w:lineRule="auto"/>
        <w:ind w:left="220" w:leftChars="100" w:firstLine="420" w:firstLineChars="200"/>
        <w:rPr>
          <w:sz w:val="20"/>
          <w:szCs w:val="20"/>
        </w:rPr>
      </w:pPr>
      <w:r>
        <w:rPr>
          <w:rFonts w:ascii="Calibri" w:hAnsi="Calibri" w:eastAsia="Calibri" w:cs="Calibri"/>
          <w:sz w:val="21"/>
          <w:szCs w:val="21"/>
        </w:rPr>
        <w:t>28.4</w:t>
      </w:r>
      <w:r>
        <w:rPr>
          <w:rFonts w:ascii="宋体" w:hAnsi="宋体" w:eastAsia="宋体" w:cs="宋体"/>
          <w:sz w:val="21"/>
          <w:szCs w:val="21"/>
        </w:rPr>
        <w:t>、合同备案存档：政府采购合同双方自签订之日起</w:t>
      </w:r>
      <w:r>
        <w:rPr>
          <w:rFonts w:ascii="Calibri" w:hAnsi="Calibri" w:eastAsia="Calibri" w:cs="Calibri"/>
          <w:sz w:val="21"/>
          <w:szCs w:val="21"/>
        </w:rPr>
        <w:t xml:space="preserve"> </w:t>
      </w:r>
      <w:r>
        <w:rPr>
          <w:rFonts w:hint="eastAsia" w:ascii="Calibri" w:hAnsi="Calibri" w:cs="Calibri"/>
          <w:sz w:val="21"/>
          <w:szCs w:val="21"/>
        </w:rPr>
        <w:t>2</w:t>
      </w:r>
      <w:r>
        <w:rPr>
          <w:rFonts w:ascii="Calibri" w:hAnsi="Calibri" w:eastAsia="Calibri" w:cs="Calibri"/>
          <w:sz w:val="21"/>
          <w:szCs w:val="21"/>
        </w:rPr>
        <w:t xml:space="preserve"> </w:t>
      </w:r>
      <w:r>
        <w:rPr>
          <w:rFonts w:ascii="宋体" w:hAnsi="宋体" w:eastAsia="宋体" w:cs="宋体"/>
          <w:sz w:val="21"/>
          <w:szCs w:val="21"/>
        </w:rPr>
        <w:t>个工作日内将合同原件一份交采购代理机构存档。</w:t>
      </w:r>
    </w:p>
    <w:p>
      <w:pPr>
        <w:spacing w:line="360" w:lineRule="auto"/>
        <w:ind w:left="220" w:leftChars="100" w:firstLine="420" w:firstLineChars="200"/>
        <w:rPr>
          <w:sz w:val="21"/>
          <w:szCs w:val="21"/>
        </w:rPr>
        <w:sectPr>
          <w:pgSz w:w="11900" w:h="16840"/>
          <w:pgMar w:top="964" w:right="1123" w:bottom="652" w:left="482" w:header="0" w:footer="397" w:gutter="0"/>
          <w:cols w:space="425" w:num="1"/>
        </w:sectPr>
      </w:pPr>
    </w:p>
    <w:p>
      <w:pPr>
        <w:jc w:val="center"/>
        <w:rPr>
          <w:sz w:val="28"/>
          <w:szCs w:val="28"/>
        </w:rPr>
      </w:pPr>
      <w:bookmarkStart w:id="67" w:name="_Toc11821_WPSOffice_Level1"/>
      <w:bookmarkStart w:id="122" w:name="_GoBack"/>
      <w:r>
        <w:rPr>
          <w:rFonts w:ascii="宋体" w:hAnsi="宋体" w:eastAsia="宋体" w:cs="宋体"/>
          <w:b/>
          <w:bCs/>
          <w:sz w:val="28"/>
          <w:szCs w:val="28"/>
        </w:rPr>
        <w:t>六、其他事项</w:t>
      </w:r>
      <w:bookmarkEnd w:id="67"/>
    </w:p>
    <w:bookmarkEnd w:id="122"/>
    <w:p>
      <w:pPr>
        <w:spacing w:line="360" w:lineRule="auto"/>
        <w:ind w:left="220" w:leftChars="100"/>
        <w:rPr>
          <w:sz w:val="20"/>
          <w:szCs w:val="20"/>
        </w:rPr>
      </w:pPr>
      <w:r>
        <w:rPr>
          <w:rFonts w:ascii="宋体" w:hAnsi="宋体" w:eastAsia="宋体" w:cs="宋体"/>
          <w:b/>
          <w:bCs/>
          <w:sz w:val="21"/>
          <w:szCs w:val="21"/>
        </w:rPr>
        <w:t>30、采购代理服务费</w:t>
      </w:r>
    </w:p>
    <w:p>
      <w:pPr>
        <w:numPr>
          <w:ilvl w:val="0"/>
          <w:numId w:val="4"/>
        </w:numPr>
        <w:spacing w:line="360" w:lineRule="auto"/>
        <w:ind w:left="220" w:leftChars="100" w:right="100" w:firstLine="420"/>
        <w:jc w:val="both"/>
        <w:rPr>
          <w:rFonts w:ascii="宋体" w:hAnsi="宋体" w:eastAsia="宋体" w:cs="宋体"/>
          <w:sz w:val="21"/>
          <w:szCs w:val="21"/>
        </w:rPr>
      </w:pPr>
      <w:r>
        <w:rPr>
          <w:rFonts w:ascii="宋体" w:hAnsi="宋体" w:eastAsia="宋体" w:cs="宋体"/>
          <w:sz w:val="21"/>
          <w:szCs w:val="21"/>
        </w:rPr>
        <w:t>成交供应商领取成交通知书前，向</w:t>
      </w:r>
      <w:r>
        <w:rPr>
          <w:rFonts w:hint="eastAsia" w:ascii="宋体" w:hAnsi="宋体" w:eastAsia="宋体" w:cs="宋体"/>
          <w:sz w:val="21"/>
          <w:szCs w:val="21"/>
        </w:rPr>
        <w:t>广西大通建设监理咨询管理有限公司</w:t>
      </w:r>
      <w:r>
        <w:rPr>
          <w:rFonts w:ascii="宋体" w:hAnsi="宋体" w:eastAsia="宋体" w:cs="宋体"/>
          <w:sz w:val="21"/>
          <w:szCs w:val="21"/>
        </w:rPr>
        <w:t>一次性付清采购代理服务费和评委费。本项目的采购代理服务收费标准参照计价格[2002]1980 号《招标代理服务收费管理暂行办法》货物类收费标准向成交供应商收取。</w:t>
      </w:r>
    </w:p>
    <w:p>
      <w:pPr>
        <w:spacing w:line="360" w:lineRule="auto"/>
        <w:ind w:left="220" w:leftChars="100" w:right="100" w:firstLine="420" w:firstLineChars="200"/>
        <w:jc w:val="both"/>
        <w:rPr>
          <w:sz w:val="20"/>
          <w:szCs w:val="20"/>
        </w:rPr>
      </w:pPr>
      <w:r>
        <w:rPr>
          <w:rFonts w:hint="eastAsia" w:ascii="宋体" w:hAnsi="宋体" w:eastAsia="宋体" w:cs="宋体"/>
          <w:sz w:val="21"/>
          <w:szCs w:val="21"/>
        </w:rPr>
        <w:t>2、</w:t>
      </w:r>
      <w:r>
        <w:rPr>
          <w:rFonts w:ascii="宋体" w:hAnsi="宋体" w:eastAsia="宋体" w:cs="宋体"/>
          <w:sz w:val="21"/>
          <w:szCs w:val="21"/>
        </w:rPr>
        <w:t>采购代理服务收费标准</w:t>
      </w:r>
    </w:p>
    <w:tbl>
      <w:tblPr>
        <w:tblStyle w:val="14"/>
        <w:tblW w:w="4999" w:type="pct"/>
        <w:tblInd w:w="0" w:type="dxa"/>
        <w:tblLayout w:type="autofit"/>
        <w:tblCellMar>
          <w:top w:w="0" w:type="dxa"/>
          <w:left w:w="0" w:type="dxa"/>
          <w:bottom w:w="0" w:type="dxa"/>
          <w:right w:w="0" w:type="dxa"/>
        </w:tblCellMar>
      </w:tblPr>
      <w:tblGrid>
        <w:gridCol w:w="4118"/>
        <w:gridCol w:w="2119"/>
        <w:gridCol w:w="2038"/>
        <w:gridCol w:w="2038"/>
      </w:tblGrid>
      <w:tr>
        <w:tblPrEx>
          <w:tblCellMar>
            <w:top w:w="0" w:type="dxa"/>
            <w:left w:w="0" w:type="dxa"/>
            <w:bottom w:w="0" w:type="dxa"/>
            <w:right w:w="0" w:type="dxa"/>
          </w:tblCellMar>
        </w:tblPrEx>
        <w:trPr>
          <w:trHeight w:val="1482" w:hRule="exact"/>
        </w:trPr>
        <w:tc>
          <w:tcPr>
            <w:tcW w:w="1996" w:type="pct"/>
            <w:tcBorders>
              <w:top w:val="single" w:color="auto" w:sz="8" w:space="0"/>
              <w:left w:val="single" w:color="auto" w:sz="8" w:space="0"/>
              <w:bottom w:val="single" w:color="auto" w:sz="8" w:space="0"/>
              <w:right w:val="single" w:color="auto" w:sz="8" w:space="0"/>
            </w:tcBorders>
            <w:vAlign w:val="center"/>
          </w:tcPr>
          <w:p>
            <w:pPr>
              <w:ind w:right="-176" w:rightChars="-80"/>
              <w:rPr>
                <w:rFonts w:ascii="宋体" w:hAnsi="宋体" w:eastAsia="宋体" w:cs="宋体"/>
                <w:color w:val="000000"/>
                <w:sz w:val="21"/>
                <w:szCs w:val="21"/>
              </w:rPr>
            </w:pPr>
            <w:r>
              <w:rPr>
                <w:rFonts w:ascii="宋体" w:hAnsi="宋体" w:eastAsia="宋体" w:cs="宋体"/>
                <w:color w:val="000000"/>
                <w:sz w:val="21"/>
                <w:szCs w:val="21"/>
              </w:rPr>
              <w:pict>
                <v:shape id="FreeForm 7" o:spid="_x0000_s1035" style="position:absolute;left:0pt;margin-left:48.5pt;margin-top:-0.4pt;height:73.75pt;width:158.2pt;z-index:251679744;mso-width-relative:page;mso-height-relative:page;" filled="f" coordsize="2610,1520" path="m0,0l2610,1520e">
                  <v:path arrowok="t"/>
                  <v:fill on="f" focussize="0,0"/>
                  <v:stroke/>
                  <v:imagedata o:title=""/>
                  <o:lock v:ext="edit"/>
                </v:shape>
              </w:pict>
            </w:r>
            <w:r>
              <w:rPr>
                <w:rFonts w:hint="eastAsia" w:ascii="宋体" w:hAnsi="宋体" w:eastAsia="宋体" w:cs="宋体"/>
                <w:color w:val="000000"/>
                <w:sz w:val="21"/>
                <w:szCs w:val="21"/>
              </w:rPr>
              <w:t xml:space="preserve">                </w:t>
            </w:r>
          </w:p>
          <w:p>
            <w:pPr>
              <w:ind w:right="-176" w:rightChars="-80"/>
              <w:rPr>
                <w:rFonts w:ascii="宋体" w:hAnsi="宋体" w:eastAsia="宋体" w:cs="宋体"/>
                <w:color w:val="000000"/>
                <w:sz w:val="21"/>
                <w:szCs w:val="21"/>
              </w:rPr>
            </w:pPr>
            <w:r>
              <w:rPr>
                <w:rFonts w:hint="eastAsia" w:ascii="宋体" w:hAnsi="宋体" w:eastAsia="宋体" w:cs="宋体"/>
                <w:color w:val="000000"/>
                <w:sz w:val="21"/>
                <w:szCs w:val="21"/>
              </w:rPr>
              <w:t xml:space="preserve">       费率型          服务类型</w:t>
            </w:r>
          </w:p>
          <w:p>
            <w:pPr>
              <w:ind w:right="-176" w:rightChars="-80"/>
              <w:rPr>
                <w:rFonts w:ascii="宋体" w:hAnsi="宋体" w:eastAsia="宋体" w:cs="宋体"/>
                <w:color w:val="000000"/>
                <w:sz w:val="21"/>
                <w:szCs w:val="21"/>
              </w:rPr>
            </w:pPr>
            <w:r>
              <w:rPr>
                <w:rFonts w:ascii="宋体" w:hAnsi="宋体" w:eastAsia="宋体" w:cs="宋体"/>
                <w:color w:val="000000"/>
                <w:sz w:val="21"/>
                <w:szCs w:val="21"/>
              </w:rPr>
              <w:pict>
                <v:shape id="FreeForm 8" o:spid="_x0000_s1036" style="position:absolute;left:0pt;margin-left:-0.5pt;margin-top:4.9pt;height:41.65pt;width:204.4pt;z-index:251680768;mso-width-relative:page;mso-height-relative:page;" filled="f" coordsize="3590,890" path="m0,0l3590,890e">
                  <v:path arrowok="t"/>
                  <v:fill on="f" focussize="0,0"/>
                  <v:stroke/>
                  <v:imagedata o:title=""/>
                  <o:lock v:ext="edit"/>
                </v:shape>
              </w:pict>
            </w:r>
          </w:p>
          <w:p>
            <w:pPr>
              <w:ind w:right="-176" w:rightChars="-80"/>
              <w:rPr>
                <w:rFonts w:ascii="宋体" w:hAnsi="宋体" w:eastAsia="宋体" w:cs="宋体"/>
                <w:color w:val="000000"/>
                <w:sz w:val="21"/>
                <w:szCs w:val="21"/>
              </w:rPr>
            </w:pPr>
          </w:p>
          <w:p>
            <w:pPr>
              <w:ind w:right="-176" w:rightChars="-80"/>
              <w:rPr>
                <w:rFonts w:ascii="宋体" w:hAnsi="宋体" w:eastAsia="宋体" w:cs="宋体"/>
                <w:color w:val="000000"/>
                <w:sz w:val="21"/>
                <w:szCs w:val="21"/>
              </w:rPr>
            </w:pPr>
            <w:r>
              <w:rPr>
                <w:rFonts w:hint="eastAsia" w:ascii="宋体" w:hAnsi="宋体" w:eastAsia="宋体" w:cs="宋体"/>
                <w:color w:val="000000"/>
                <w:sz w:val="21"/>
                <w:szCs w:val="21"/>
              </w:rPr>
              <w:t>中标金额（万元）</w:t>
            </w:r>
          </w:p>
        </w:tc>
        <w:tc>
          <w:tcPr>
            <w:tcW w:w="1027" w:type="pct"/>
            <w:tcBorders>
              <w:top w:val="single" w:color="auto" w:sz="8" w:space="0"/>
              <w:left w:val="single" w:color="auto" w:sz="8" w:space="0"/>
              <w:bottom w:val="single" w:color="auto" w:sz="8" w:space="0"/>
              <w:right w:val="single" w:color="auto" w:sz="8" w:space="0"/>
            </w:tcBorders>
            <w:vAlign w:val="center"/>
          </w:tcPr>
          <w:p>
            <w:pPr>
              <w:ind w:right="-176" w:rightChars="-80"/>
              <w:jc w:val="center"/>
              <w:rPr>
                <w:rFonts w:ascii="宋体" w:hAnsi="宋体" w:eastAsia="宋体" w:cs="宋体"/>
                <w:color w:val="000000"/>
                <w:sz w:val="21"/>
                <w:szCs w:val="21"/>
              </w:rPr>
            </w:pPr>
            <w:r>
              <w:rPr>
                <w:rFonts w:hint="eastAsia" w:ascii="宋体" w:hAnsi="宋体" w:eastAsia="宋体" w:cs="宋体"/>
                <w:color w:val="000000"/>
                <w:sz w:val="21"/>
                <w:szCs w:val="21"/>
              </w:rPr>
              <w:t>货物招标</w:t>
            </w:r>
          </w:p>
        </w:tc>
        <w:tc>
          <w:tcPr>
            <w:tcW w:w="988" w:type="pct"/>
            <w:tcBorders>
              <w:top w:val="single" w:color="auto" w:sz="8" w:space="0"/>
              <w:left w:val="single" w:color="auto" w:sz="8" w:space="0"/>
              <w:bottom w:val="single" w:color="auto" w:sz="8" w:space="0"/>
              <w:right w:val="single" w:color="auto" w:sz="8" w:space="0"/>
            </w:tcBorders>
            <w:vAlign w:val="center"/>
          </w:tcPr>
          <w:p>
            <w:pPr>
              <w:ind w:right="-176" w:rightChars="-80"/>
              <w:jc w:val="center"/>
              <w:rPr>
                <w:rFonts w:ascii="宋体" w:hAnsi="宋体" w:eastAsia="宋体" w:cs="宋体"/>
                <w:color w:val="000000"/>
                <w:sz w:val="21"/>
                <w:szCs w:val="21"/>
              </w:rPr>
            </w:pPr>
            <w:r>
              <w:rPr>
                <w:rFonts w:hint="eastAsia" w:ascii="宋体" w:hAnsi="宋体" w:eastAsia="宋体" w:cs="宋体"/>
                <w:color w:val="000000"/>
                <w:sz w:val="21"/>
                <w:szCs w:val="21"/>
              </w:rPr>
              <w:t>服务招标</w:t>
            </w:r>
          </w:p>
        </w:tc>
        <w:tc>
          <w:tcPr>
            <w:tcW w:w="988" w:type="pct"/>
            <w:tcBorders>
              <w:top w:val="single" w:color="auto" w:sz="8" w:space="0"/>
              <w:left w:val="single" w:color="auto" w:sz="8" w:space="0"/>
              <w:bottom w:val="single" w:color="auto" w:sz="8" w:space="0"/>
              <w:right w:val="single" w:color="auto" w:sz="8" w:space="0"/>
            </w:tcBorders>
            <w:vAlign w:val="center"/>
          </w:tcPr>
          <w:p>
            <w:pPr>
              <w:ind w:right="-176" w:rightChars="-80"/>
              <w:jc w:val="center"/>
              <w:rPr>
                <w:rFonts w:ascii="宋体" w:hAnsi="宋体" w:eastAsia="宋体" w:cs="宋体"/>
                <w:color w:val="000000"/>
                <w:sz w:val="21"/>
                <w:szCs w:val="21"/>
              </w:rPr>
            </w:pPr>
            <w:r>
              <w:rPr>
                <w:rFonts w:hint="eastAsia" w:ascii="宋体" w:hAnsi="宋体" w:eastAsia="宋体" w:cs="宋体"/>
                <w:color w:val="000000"/>
                <w:sz w:val="21"/>
                <w:szCs w:val="21"/>
              </w:rPr>
              <w:t>工程招标</w:t>
            </w:r>
          </w:p>
        </w:tc>
      </w:tr>
      <w:tr>
        <w:tblPrEx>
          <w:tblCellMar>
            <w:top w:w="0" w:type="dxa"/>
            <w:left w:w="0" w:type="dxa"/>
            <w:bottom w:w="0" w:type="dxa"/>
            <w:right w:w="0" w:type="dxa"/>
          </w:tblCellMar>
        </w:tblPrEx>
        <w:trPr>
          <w:trHeight w:val="446" w:hRule="exact"/>
        </w:trPr>
        <w:tc>
          <w:tcPr>
            <w:tcW w:w="1996" w:type="pct"/>
            <w:tcBorders>
              <w:top w:val="single" w:color="auto" w:sz="8" w:space="0"/>
              <w:left w:val="single" w:color="auto" w:sz="8" w:space="0"/>
              <w:bottom w:val="single" w:color="auto" w:sz="8" w:space="0"/>
              <w:right w:val="single" w:color="auto" w:sz="8" w:space="0"/>
            </w:tcBorders>
            <w:vAlign w:val="center"/>
          </w:tcPr>
          <w:p>
            <w:pPr>
              <w:ind w:right="-176" w:rightChars="-80"/>
              <w:jc w:val="center"/>
              <w:rPr>
                <w:rFonts w:ascii="宋体" w:hAnsi="宋体" w:eastAsia="宋体" w:cs="宋体"/>
                <w:color w:val="000000"/>
                <w:sz w:val="21"/>
                <w:szCs w:val="21"/>
              </w:rPr>
            </w:pPr>
            <w:r>
              <w:rPr>
                <w:rFonts w:hint="eastAsia" w:ascii="宋体" w:hAnsi="宋体" w:eastAsia="宋体" w:cs="宋体"/>
                <w:color w:val="000000"/>
                <w:sz w:val="21"/>
                <w:szCs w:val="21"/>
              </w:rPr>
              <w:t>100以下</w:t>
            </w:r>
          </w:p>
        </w:tc>
        <w:tc>
          <w:tcPr>
            <w:tcW w:w="1027" w:type="pct"/>
            <w:tcBorders>
              <w:top w:val="single" w:color="auto" w:sz="8" w:space="0"/>
              <w:left w:val="single" w:color="auto" w:sz="8" w:space="0"/>
              <w:bottom w:val="single" w:color="auto" w:sz="8" w:space="0"/>
              <w:right w:val="single" w:color="auto" w:sz="8" w:space="0"/>
            </w:tcBorders>
            <w:vAlign w:val="center"/>
          </w:tcPr>
          <w:p>
            <w:pPr>
              <w:ind w:right="-176" w:rightChars="-80"/>
              <w:jc w:val="center"/>
              <w:rPr>
                <w:rFonts w:ascii="宋体" w:hAnsi="宋体" w:eastAsia="宋体" w:cs="宋体"/>
                <w:color w:val="000000"/>
                <w:sz w:val="21"/>
                <w:szCs w:val="21"/>
              </w:rPr>
            </w:pPr>
            <w:r>
              <w:rPr>
                <w:rFonts w:hint="eastAsia" w:ascii="宋体" w:hAnsi="宋体" w:eastAsia="宋体" w:cs="宋体"/>
                <w:color w:val="000000"/>
                <w:sz w:val="21"/>
                <w:szCs w:val="21"/>
              </w:rPr>
              <w:t>1．5％</w:t>
            </w:r>
          </w:p>
        </w:tc>
        <w:tc>
          <w:tcPr>
            <w:tcW w:w="988" w:type="pct"/>
            <w:tcBorders>
              <w:top w:val="single" w:color="auto" w:sz="8" w:space="0"/>
              <w:left w:val="single" w:color="auto" w:sz="8" w:space="0"/>
              <w:bottom w:val="single" w:color="auto" w:sz="8" w:space="0"/>
              <w:right w:val="single" w:color="auto" w:sz="8" w:space="0"/>
            </w:tcBorders>
            <w:vAlign w:val="center"/>
          </w:tcPr>
          <w:p>
            <w:pPr>
              <w:ind w:right="-176" w:rightChars="-80"/>
              <w:jc w:val="center"/>
              <w:rPr>
                <w:rFonts w:ascii="宋体" w:hAnsi="宋体" w:eastAsia="宋体" w:cs="宋体"/>
                <w:color w:val="000000"/>
                <w:sz w:val="21"/>
                <w:szCs w:val="21"/>
              </w:rPr>
            </w:pPr>
            <w:r>
              <w:rPr>
                <w:rFonts w:hint="eastAsia" w:ascii="宋体" w:hAnsi="宋体" w:eastAsia="宋体" w:cs="宋体"/>
                <w:color w:val="000000"/>
                <w:sz w:val="21"/>
                <w:szCs w:val="21"/>
              </w:rPr>
              <w:t>1．5％</w:t>
            </w:r>
          </w:p>
        </w:tc>
        <w:tc>
          <w:tcPr>
            <w:tcW w:w="988" w:type="pct"/>
            <w:tcBorders>
              <w:top w:val="single" w:color="auto" w:sz="8" w:space="0"/>
              <w:left w:val="single" w:color="auto" w:sz="8" w:space="0"/>
              <w:bottom w:val="single" w:color="auto" w:sz="8" w:space="0"/>
              <w:right w:val="single" w:color="auto" w:sz="8" w:space="0"/>
            </w:tcBorders>
            <w:vAlign w:val="center"/>
          </w:tcPr>
          <w:p>
            <w:pPr>
              <w:ind w:right="-176" w:rightChars="-80"/>
              <w:jc w:val="center"/>
              <w:rPr>
                <w:rFonts w:ascii="宋体" w:hAnsi="宋体" w:eastAsia="宋体" w:cs="宋体"/>
                <w:color w:val="000000"/>
                <w:sz w:val="21"/>
                <w:szCs w:val="21"/>
              </w:rPr>
            </w:pPr>
            <w:r>
              <w:rPr>
                <w:rFonts w:hint="eastAsia" w:ascii="宋体" w:hAnsi="宋体" w:eastAsia="宋体" w:cs="宋体"/>
                <w:color w:val="000000"/>
                <w:sz w:val="21"/>
                <w:szCs w:val="21"/>
              </w:rPr>
              <w:t>1.O％</w:t>
            </w:r>
          </w:p>
        </w:tc>
      </w:tr>
      <w:tr>
        <w:tblPrEx>
          <w:tblCellMar>
            <w:top w:w="0" w:type="dxa"/>
            <w:left w:w="0" w:type="dxa"/>
            <w:bottom w:w="0" w:type="dxa"/>
            <w:right w:w="0" w:type="dxa"/>
          </w:tblCellMar>
        </w:tblPrEx>
        <w:trPr>
          <w:trHeight w:val="575" w:hRule="exact"/>
        </w:trPr>
        <w:tc>
          <w:tcPr>
            <w:tcW w:w="1996" w:type="pct"/>
            <w:tcBorders>
              <w:top w:val="single" w:color="auto" w:sz="8" w:space="0"/>
              <w:left w:val="single" w:color="auto" w:sz="8" w:space="0"/>
              <w:bottom w:val="single" w:color="auto" w:sz="8" w:space="0"/>
              <w:right w:val="single" w:color="auto" w:sz="8" w:space="0"/>
            </w:tcBorders>
            <w:vAlign w:val="center"/>
          </w:tcPr>
          <w:p>
            <w:pPr>
              <w:ind w:right="-176" w:rightChars="-80"/>
              <w:jc w:val="center"/>
              <w:rPr>
                <w:rFonts w:ascii="宋体" w:hAnsi="宋体" w:eastAsia="宋体" w:cs="宋体"/>
                <w:color w:val="000000"/>
                <w:sz w:val="21"/>
                <w:szCs w:val="21"/>
              </w:rPr>
            </w:pPr>
            <w:r>
              <w:rPr>
                <w:rFonts w:hint="eastAsia" w:ascii="宋体" w:hAnsi="宋体" w:eastAsia="宋体" w:cs="宋体"/>
                <w:color w:val="000000"/>
                <w:sz w:val="21"/>
                <w:szCs w:val="21"/>
              </w:rPr>
              <w:t>100—500</w:t>
            </w:r>
          </w:p>
        </w:tc>
        <w:tc>
          <w:tcPr>
            <w:tcW w:w="1027" w:type="pct"/>
            <w:tcBorders>
              <w:top w:val="single" w:color="auto" w:sz="8" w:space="0"/>
              <w:left w:val="single" w:color="auto" w:sz="8" w:space="0"/>
              <w:bottom w:val="single" w:color="auto" w:sz="8" w:space="0"/>
              <w:right w:val="single" w:color="auto" w:sz="8" w:space="0"/>
            </w:tcBorders>
            <w:vAlign w:val="center"/>
          </w:tcPr>
          <w:p>
            <w:pPr>
              <w:ind w:right="-176" w:rightChars="-80"/>
              <w:jc w:val="center"/>
              <w:rPr>
                <w:rFonts w:ascii="宋体" w:hAnsi="宋体" w:eastAsia="宋体" w:cs="宋体"/>
                <w:color w:val="000000"/>
                <w:sz w:val="21"/>
                <w:szCs w:val="21"/>
              </w:rPr>
            </w:pPr>
            <w:r>
              <w:rPr>
                <w:rFonts w:hint="eastAsia" w:ascii="宋体" w:hAnsi="宋体" w:eastAsia="宋体" w:cs="宋体"/>
                <w:color w:val="000000"/>
                <w:sz w:val="21"/>
                <w:szCs w:val="21"/>
              </w:rPr>
              <w:t>1．1％</w:t>
            </w:r>
          </w:p>
        </w:tc>
        <w:tc>
          <w:tcPr>
            <w:tcW w:w="988" w:type="pct"/>
            <w:tcBorders>
              <w:top w:val="single" w:color="auto" w:sz="8" w:space="0"/>
              <w:left w:val="single" w:color="auto" w:sz="8" w:space="0"/>
              <w:bottom w:val="single" w:color="auto" w:sz="8" w:space="0"/>
              <w:right w:val="single" w:color="auto" w:sz="8" w:space="0"/>
            </w:tcBorders>
            <w:vAlign w:val="center"/>
          </w:tcPr>
          <w:p>
            <w:pPr>
              <w:ind w:right="-176" w:rightChars="-80"/>
              <w:jc w:val="center"/>
              <w:rPr>
                <w:rFonts w:ascii="宋体" w:hAnsi="宋体" w:eastAsia="宋体" w:cs="宋体"/>
                <w:color w:val="000000"/>
                <w:sz w:val="21"/>
                <w:szCs w:val="21"/>
              </w:rPr>
            </w:pPr>
            <w:r>
              <w:rPr>
                <w:rFonts w:hint="eastAsia" w:ascii="宋体" w:hAnsi="宋体" w:eastAsia="宋体" w:cs="宋体"/>
                <w:color w:val="000000"/>
                <w:sz w:val="21"/>
                <w:szCs w:val="21"/>
              </w:rPr>
              <w:t>O．8％</w:t>
            </w:r>
          </w:p>
        </w:tc>
        <w:tc>
          <w:tcPr>
            <w:tcW w:w="988" w:type="pct"/>
            <w:tcBorders>
              <w:top w:val="single" w:color="auto" w:sz="8" w:space="0"/>
              <w:left w:val="single" w:color="auto" w:sz="8" w:space="0"/>
              <w:bottom w:val="single" w:color="auto" w:sz="8" w:space="0"/>
              <w:right w:val="single" w:color="auto" w:sz="8" w:space="0"/>
            </w:tcBorders>
            <w:vAlign w:val="center"/>
          </w:tcPr>
          <w:p>
            <w:pPr>
              <w:ind w:right="-176" w:rightChars="-80"/>
              <w:jc w:val="center"/>
              <w:rPr>
                <w:rFonts w:ascii="宋体" w:hAnsi="宋体" w:eastAsia="宋体" w:cs="宋体"/>
                <w:color w:val="000000"/>
                <w:sz w:val="21"/>
                <w:szCs w:val="21"/>
              </w:rPr>
            </w:pPr>
            <w:r>
              <w:rPr>
                <w:rFonts w:hint="eastAsia" w:ascii="宋体" w:hAnsi="宋体" w:eastAsia="宋体" w:cs="宋体"/>
                <w:color w:val="000000"/>
                <w:sz w:val="21"/>
                <w:szCs w:val="21"/>
              </w:rPr>
              <w:t>0．7％</w:t>
            </w:r>
          </w:p>
        </w:tc>
      </w:tr>
      <w:tr>
        <w:tblPrEx>
          <w:tblCellMar>
            <w:top w:w="0" w:type="dxa"/>
            <w:left w:w="0" w:type="dxa"/>
            <w:bottom w:w="0" w:type="dxa"/>
            <w:right w:w="0" w:type="dxa"/>
          </w:tblCellMar>
        </w:tblPrEx>
        <w:trPr>
          <w:trHeight w:val="442" w:hRule="exact"/>
        </w:trPr>
        <w:tc>
          <w:tcPr>
            <w:tcW w:w="1996" w:type="pct"/>
            <w:tcBorders>
              <w:top w:val="single" w:color="auto" w:sz="8" w:space="0"/>
              <w:left w:val="single" w:color="auto" w:sz="8" w:space="0"/>
              <w:bottom w:val="single" w:color="auto" w:sz="8" w:space="0"/>
              <w:right w:val="single" w:color="auto" w:sz="8" w:space="0"/>
            </w:tcBorders>
            <w:vAlign w:val="center"/>
          </w:tcPr>
          <w:p>
            <w:pPr>
              <w:ind w:right="-176" w:rightChars="-80"/>
              <w:jc w:val="center"/>
              <w:rPr>
                <w:rFonts w:ascii="宋体" w:hAnsi="宋体" w:eastAsia="宋体" w:cs="宋体"/>
                <w:color w:val="000000"/>
                <w:sz w:val="21"/>
                <w:szCs w:val="21"/>
              </w:rPr>
            </w:pPr>
            <w:r>
              <w:rPr>
                <w:rFonts w:hint="eastAsia" w:ascii="宋体" w:hAnsi="宋体" w:eastAsia="宋体" w:cs="宋体"/>
                <w:color w:val="000000"/>
                <w:sz w:val="21"/>
                <w:szCs w:val="21"/>
              </w:rPr>
              <w:t>500一1000</w:t>
            </w:r>
          </w:p>
        </w:tc>
        <w:tc>
          <w:tcPr>
            <w:tcW w:w="1027" w:type="pct"/>
            <w:tcBorders>
              <w:top w:val="single" w:color="auto" w:sz="8" w:space="0"/>
              <w:left w:val="single" w:color="auto" w:sz="8" w:space="0"/>
              <w:bottom w:val="single" w:color="auto" w:sz="8" w:space="0"/>
              <w:right w:val="single" w:color="auto" w:sz="8" w:space="0"/>
            </w:tcBorders>
            <w:vAlign w:val="center"/>
          </w:tcPr>
          <w:p>
            <w:pPr>
              <w:ind w:right="-176" w:rightChars="-80"/>
              <w:jc w:val="center"/>
              <w:rPr>
                <w:rFonts w:ascii="宋体" w:hAnsi="宋体" w:eastAsia="宋体" w:cs="宋体"/>
                <w:color w:val="000000"/>
                <w:sz w:val="21"/>
                <w:szCs w:val="21"/>
              </w:rPr>
            </w:pPr>
            <w:r>
              <w:rPr>
                <w:rFonts w:hint="eastAsia" w:ascii="宋体" w:hAnsi="宋体" w:eastAsia="宋体" w:cs="宋体"/>
                <w:color w:val="000000"/>
                <w:sz w:val="21"/>
                <w:szCs w:val="21"/>
              </w:rPr>
              <w:t>0．8％</w:t>
            </w:r>
          </w:p>
        </w:tc>
        <w:tc>
          <w:tcPr>
            <w:tcW w:w="988" w:type="pct"/>
            <w:tcBorders>
              <w:top w:val="single" w:color="auto" w:sz="8" w:space="0"/>
              <w:left w:val="single" w:color="auto" w:sz="8" w:space="0"/>
              <w:bottom w:val="single" w:color="auto" w:sz="8" w:space="0"/>
              <w:right w:val="single" w:color="auto" w:sz="8" w:space="0"/>
            </w:tcBorders>
            <w:vAlign w:val="center"/>
          </w:tcPr>
          <w:p>
            <w:pPr>
              <w:ind w:right="-176" w:rightChars="-80"/>
              <w:jc w:val="center"/>
              <w:rPr>
                <w:rFonts w:ascii="宋体" w:hAnsi="宋体" w:eastAsia="宋体" w:cs="宋体"/>
                <w:color w:val="000000"/>
                <w:sz w:val="21"/>
                <w:szCs w:val="21"/>
              </w:rPr>
            </w:pPr>
            <w:r>
              <w:rPr>
                <w:rFonts w:hint="eastAsia" w:ascii="宋体" w:hAnsi="宋体" w:eastAsia="宋体" w:cs="宋体"/>
                <w:color w:val="000000"/>
                <w:sz w:val="21"/>
                <w:szCs w:val="21"/>
              </w:rPr>
              <w:t>0．45％</w:t>
            </w:r>
          </w:p>
        </w:tc>
        <w:tc>
          <w:tcPr>
            <w:tcW w:w="988" w:type="pct"/>
            <w:tcBorders>
              <w:top w:val="single" w:color="auto" w:sz="8" w:space="0"/>
              <w:left w:val="single" w:color="auto" w:sz="8" w:space="0"/>
              <w:bottom w:val="single" w:color="auto" w:sz="8" w:space="0"/>
              <w:right w:val="single" w:color="auto" w:sz="8" w:space="0"/>
            </w:tcBorders>
            <w:vAlign w:val="center"/>
          </w:tcPr>
          <w:p>
            <w:pPr>
              <w:ind w:right="-176" w:rightChars="-80"/>
              <w:jc w:val="center"/>
              <w:rPr>
                <w:rFonts w:ascii="宋体" w:hAnsi="宋体" w:eastAsia="宋体" w:cs="宋体"/>
                <w:color w:val="000000"/>
                <w:sz w:val="21"/>
                <w:szCs w:val="21"/>
              </w:rPr>
            </w:pPr>
            <w:r>
              <w:rPr>
                <w:rFonts w:hint="eastAsia" w:ascii="宋体" w:hAnsi="宋体" w:eastAsia="宋体" w:cs="宋体"/>
                <w:color w:val="000000"/>
                <w:sz w:val="21"/>
                <w:szCs w:val="21"/>
              </w:rPr>
              <w:t>0．55％</w:t>
            </w:r>
          </w:p>
        </w:tc>
      </w:tr>
      <w:tr>
        <w:tblPrEx>
          <w:tblCellMar>
            <w:top w:w="0" w:type="dxa"/>
            <w:left w:w="0" w:type="dxa"/>
            <w:bottom w:w="0" w:type="dxa"/>
            <w:right w:w="0" w:type="dxa"/>
          </w:tblCellMar>
        </w:tblPrEx>
        <w:trPr>
          <w:trHeight w:val="480" w:hRule="exact"/>
        </w:trPr>
        <w:tc>
          <w:tcPr>
            <w:tcW w:w="1996" w:type="pct"/>
            <w:tcBorders>
              <w:top w:val="single" w:color="auto" w:sz="8" w:space="0"/>
              <w:left w:val="single" w:color="auto" w:sz="8" w:space="0"/>
              <w:bottom w:val="single" w:color="auto" w:sz="8" w:space="0"/>
              <w:right w:val="single" w:color="auto" w:sz="8" w:space="0"/>
            </w:tcBorders>
            <w:vAlign w:val="center"/>
          </w:tcPr>
          <w:p>
            <w:pPr>
              <w:ind w:right="-176" w:rightChars="-80"/>
              <w:jc w:val="center"/>
              <w:rPr>
                <w:rFonts w:ascii="宋体" w:hAnsi="宋体" w:eastAsia="宋体" w:cs="宋体"/>
                <w:color w:val="000000"/>
                <w:sz w:val="21"/>
                <w:szCs w:val="21"/>
              </w:rPr>
            </w:pPr>
            <w:r>
              <w:rPr>
                <w:rFonts w:hint="eastAsia" w:ascii="宋体" w:hAnsi="宋体" w:eastAsia="宋体" w:cs="宋体"/>
                <w:color w:val="000000"/>
                <w:sz w:val="21"/>
                <w:szCs w:val="21"/>
              </w:rPr>
              <w:t>1000—5000</w:t>
            </w:r>
          </w:p>
        </w:tc>
        <w:tc>
          <w:tcPr>
            <w:tcW w:w="1027" w:type="pct"/>
            <w:tcBorders>
              <w:top w:val="single" w:color="auto" w:sz="8" w:space="0"/>
              <w:left w:val="single" w:color="auto" w:sz="8" w:space="0"/>
              <w:bottom w:val="single" w:color="auto" w:sz="8" w:space="0"/>
              <w:right w:val="single" w:color="auto" w:sz="8" w:space="0"/>
            </w:tcBorders>
            <w:vAlign w:val="center"/>
          </w:tcPr>
          <w:p>
            <w:pPr>
              <w:ind w:right="-176" w:rightChars="-80"/>
              <w:jc w:val="center"/>
              <w:rPr>
                <w:rFonts w:ascii="宋体" w:hAnsi="宋体" w:eastAsia="宋体" w:cs="宋体"/>
                <w:color w:val="000000"/>
                <w:sz w:val="21"/>
                <w:szCs w:val="21"/>
              </w:rPr>
            </w:pPr>
            <w:r>
              <w:rPr>
                <w:rFonts w:hint="eastAsia" w:ascii="宋体" w:hAnsi="宋体" w:eastAsia="宋体" w:cs="宋体"/>
                <w:color w:val="000000"/>
                <w:sz w:val="21"/>
                <w:szCs w:val="21"/>
              </w:rPr>
              <w:t>0．5％</w:t>
            </w:r>
          </w:p>
        </w:tc>
        <w:tc>
          <w:tcPr>
            <w:tcW w:w="988" w:type="pct"/>
            <w:tcBorders>
              <w:top w:val="single" w:color="auto" w:sz="8" w:space="0"/>
              <w:left w:val="single" w:color="auto" w:sz="8" w:space="0"/>
              <w:bottom w:val="single" w:color="auto" w:sz="8" w:space="0"/>
              <w:right w:val="single" w:color="auto" w:sz="8" w:space="0"/>
            </w:tcBorders>
            <w:vAlign w:val="center"/>
          </w:tcPr>
          <w:p>
            <w:pPr>
              <w:ind w:right="-176" w:rightChars="-80"/>
              <w:jc w:val="center"/>
              <w:rPr>
                <w:rFonts w:ascii="宋体" w:hAnsi="宋体" w:eastAsia="宋体" w:cs="宋体"/>
                <w:color w:val="000000"/>
                <w:sz w:val="21"/>
                <w:szCs w:val="21"/>
              </w:rPr>
            </w:pPr>
            <w:r>
              <w:rPr>
                <w:rFonts w:hint="eastAsia" w:ascii="宋体" w:hAnsi="宋体" w:eastAsia="宋体" w:cs="宋体"/>
                <w:color w:val="000000"/>
                <w:sz w:val="21"/>
                <w:szCs w:val="21"/>
              </w:rPr>
              <w:t>O．25％</w:t>
            </w:r>
          </w:p>
        </w:tc>
        <w:tc>
          <w:tcPr>
            <w:tcW w:w="988" w:type="pct"/>
            <w:tcBorders>
              <w:top w:val="single" w:color="auto" w:sz="8" w:space="0"/>
              <w:left w:val="single" w:color="auto" w:sz="8" w:space="0"/>
              <w:bottom w:val="single" w:color="auto" w:sz="8" w:space="0"/>
              <w:right w:val="single" w:color="auto" w:sz="8" w:space="0"/>
            </w:tcBorders>
            <w:vAlign w:val="center"/>
          </w:tcPr>
          <w:p>
            <w:pPr>
              <w:ind w:right="-176" w:rightChars="-80"/>
              <w:jc w:val="center"/>
              <w:rPr>
                <w:rFonts w:ascii="宋体" w:hAnsi="宋体" w:eastAsia="宋体" w:cs="宋体"/>
                <w:color w:val="000000"/>
                <w:sz w:val="21"/>
                <w:szCs w:val="21"/>
              </w:rPr>
            </w:pPr>
            <w:r>
              <w:rPr>
                <w:rFonts w:hint="eastAsia" w:ascii="宋体" w:hAnsi="宋体" w:eastAsia="宋体" w:cs="宋体"/>
                <w:color w:val="000000"/>
                <w:sz w:val="21"/>
                <w:szCs w:val="21"/>
              </w:rPr>
              <w:t>O．35％</w:t>
            </w:r>
          </w:p>
        </w:tc>
      </w:tr>
      <w:tr>
        <w:tblPrEx>
          <w:tblCellMar>
            <w:top w:w="0" w:type="dxa"/>
            <w:left w:w="0" w:type="dxa"/>
            <w:bottom w:w="0" w:type="dxa"/>
            <w:right w:w="0" w:type="dxa"/>
          </w:tblCellMar>
        </w:tblPrEx>
        <w:trPr>
          <w:trHeight w:val="562" w:hRule="exact"/>
        </w:trPr>
        <w:tc>
          <w:tcPr>
            <w:tcW w:w="1996" w:type="pct"/>
            <w:tcBorders>
              <w:top w:val="single" w:color="auto" w:sz="8" w:space="0"/>
              <w:left w:val="single" w:color="auto" w:sz="8" w:space="0"/>
              <w:bottom w:val="single" w:color="auto" w:sz="8" w:space="0"/>
              <w:right w:val="single" w:color="auto" w:sz="8" w:space="0"/>
            </w:tcBorders>
            <w:vAlign w:val="center"/>
          </w:tcPr>
          <w:p>
            <w:pPr>
              <w:ind w:right="-176" w:rightChars="-80"/>
              <w:jc w:val="center"/>
              <w:rPr>
                <w:rFonts w:ascii="宋体" w:hAnsi="宋体" w:eastAsia="宋体" w:cs="宋体"/>
                <w:color w:val="000000"/>
                <w:sz w:val="21"/>
                <w:szCs w:val="21"/>
              </w:rPr>
            </w:pPr>
            <w:r>
              <w:rPr>
                <w:rFonts w:hint="eastAsia" w:ascii="宋体" w:hAnsi="宋体" w:eastAsia="宋体" w:cs="宋体"/>
                <w:color w:val="000000"/>
                <w:sz w:val="21"/>
                <w:szCs w:val="21"/>
              </w:rPr>
              <w:t>5000—10000</w:t>
            </w:r>
          </w:p>
        </w:tc>
        <w:tc>
          <w:tcPr>
            <w:tcW w:w="1027" w:type="pct"/>
            <w:tcBorders>
              <w:top w:val="single" w:color="auto" w:sz="8" w:space="0"/>
              <w:left w:val="single" w:color="auto" w:sz="8" w:space="0"/>
              <w:bottom w:val="single" w:color="auto" w:sz="8" w:space="0"/>
              <w:right w:val="single" w:color="auto" w:sz="8" w:space="0"/>
            </w:tcBorders>
            <w:vAlign w:val="center"/>
          </w:tcPr>
          <w:p>
            <w:pPr>
              <w:ind w:right="-176" w:rightChars="-80"/>
              <w:jc w:val="center"/>
              <w:rPr>
                <w:rFonts w:ascii="宋体" w:hAnsi="宋体" w:eastAsia="宋体" w:cs="宋体"/>
                <w:color w:val="000000"/>
                <w:sz w:val="21"/>
                <w:szCs w:val="21"/>
              </w:rPr>
            </w:pPr>
            <w:r>
              <w:rPr>
                <w:rFonts w:hint="eastAsia" w:ascii="宋体" w:hAnsi="宋体" w:eastAsia="宋体" w:cs="宋体"/>
                <w:color w:val="000000"/>
                <w:sz w:val="21"/>
                <w:szCs w:val="21"/>
              </w:rPr>
              <w:t>0．25％</w:t>
            </w:r>
          </w:p>
        </w:tc>
        <w:tc>
          <w:tcPr>
            <w:tcW w:w="988" w:type="pct"/>
            <w:tcBorders>
              <w:top w:val="single" w:color="auto" w:sz="8" w:space="0"/>
              <w:left w:val="single" w:color="auto" w:sz="8" w:space="0"/>
              <w:bottom w:val="single" w:color="auto" w:sz="8" w:space="0"/>
              <w:right w:val="single" w:color="auto" w:sz="8" w:space="0"/>
            </w:tcBorders>
            <w:vAlign w:val="center"/>
          </w:tcPr>
          <w:p>
            <w:pPr>
              <w:ind w:right="-176" w:rightChars="-80"/>
              <w:jc w:val="center"/>
              <w:rPr>
                <w:rFonts w:ascii="宋体" w:hAnsi="宋体" w:eastAsia="宋体" w:cs="宋体"/>
                <w:color w:val="000000"/>
                <w:sz w:val="21"/>
                <w:szCs w:val="21"/>
              </w:rPr>
            </w:pPr>
            <w:r>
              <w:rPr>
                <w:rFonts w:hint="eastAsia" w:ascii="宋体" w:hAnsi="宋体" w:eastAsia="宋体" w:cs="宋体"/>
                <w:color w:val="000000"/>
                <w:sz w:val="21"/>
                <w:szCs w:val="21"/>
              </w:rPr>
              <w:t>0 1％</w:t>
            </w:r>
          </w:p>
        </w:tc>
        <w:tc>
          <w:tcPr>
            <w:tcW w:w="988" w:type="pct"/>
            <w:tcBorders>
              <w:top w:val="single" w:color="auto" w:sz="8" w:space="0"/>
              <w:left w:val="single" w:color="auto" w:sz="8" w:space="0"/>
              <w:bottom w:val="single" w:color="auto" w:sz="8" w:space="0"/>
              <w:right w:val="single" w:color="auto" w:sz="8" w:space="0"/>
            </w:tcBorders>
            <w:vAlign w:val="center"/>
          </w:tcPr>
          <w:p>
            <w:pPr>
              <w:ind w:right="-176" w:rightChars="-80"/>
              <w:jc w:val="center"/>
              <w:rPr>
                <w:rFonts w:ascii="宋体" w:hAnsi="宋体" w:eastAsia="宋体" w:cs="宋体"/>
                <w:color w:val="000000"/>
                <w:sz w:val="21"/>
                <w:szCs w:val="21"/>
              </w:rPr>
            </w:pPr>
            <w:r>
              <w:rPr>
                <w:rFonts w:hint="eastAsia" w:ascii="宋体" w:hAnsi="宋体" w:eastAsia="宋体" w:cs="宋体"/>
                <w:color w:val="000000"/>
                <w:sz w:val="21"/>
                <w:szCs w:val="21"/>
              </w:rPr>
              <w:t>0．2％</w:t>
            </w:r>
          </w:p>
        </w:tc>
      </w:tr>
      <w:tr>
        <w:trPr>
          <w:trHeight w:val="428" w:hRule="exact"/>
        </w:trPr>
        <w:tc>
          <w:tcPr>
            <w:tcW w:w="1996" w:type="pct"/>
            <w:tcBorders>
              <w:top w:val="single" w:color="auto" w:sz="8" w:space="0"/>
              <w:left w:val="single" w:color="auto" w:sz="8" w:space="0"/>
              <w:bottom w:val="single" w:color="auto" w:sz="8" w:space="0"/>
              <w:right w:val="single" w:color="auto" w:sz="8" w:space="0"/>
            </w:tcBorders>
            <w:vAlign w:val="center"/>
          </w:tcPr>
          <w:p>
            <w:pPr>
              <w:ind w:right="-176" w:rightChars="-80"/>
              <w:jc w:val="center"/>
              <w:rPr>
                <w:rFonts w:ascii="宋体" w:hAnsi="宋体" w:eastAsia="宋体" w:cs="宋体"/>
                <w:color w:val="000000"/>
                <w:sz w:val="21"/>
                <w:szCs w:val="21"/>
              </w:rPr>
            </w:pPr>
            <w:r>
              <w:rPr>
                <w:rFonts w:hint="eastAsia" w:ascii="宋体" w:hAnsi="宋体" w:eastAsia="宋体" w:cs="宋体"/>
                <w:color w:val="000000"/>
                <w:sz w:val="21"/>
                <w:szCs w:val="21"/>
              </w:rPr>
              <w:t>10000一100000</w:t>
            </w:r>
          </w:p>
        </w:tc>
        <w:tc>
          <w:tcPr>
            <w:tcW w:w="1027" w:type="pct"/>
            <w:tcBorders>
              <w:top w:val="single" w:color="auto" w:sz="8" w:space="0"/>
              <w:left w:val="single" w:color="auto" w:sz="8" w:space="0"/>
              <w:bottom w:val="single" w:color="auto" w:sz="8" w:space="0"/>
              <w:right w:val="single" w:color="auto" w:sz="8" w:space="0"/>
            </w:tcBorders>
            <w:vAlign w:val="center"/>
          </w:tcPr>
          <w:p>
            <w:pPr>
              <w:ind w:right="-176" w:rightChars="-80"/>
              <w:jc w:val="center"/>
              <w:rPr>
                <w:rFonts w:ascii="宋体" w:hAnsi="宋体" w:eastAsia="宋体" w:cs="宋体"/>
                <w:color w:val="000000"/>
                <w:sz w:val="21"/>
                <w:szCs w:val="21"/>
              </w:rPr>
            </w:pPr>
            <w:r>
              <w:rPr>
                <w:rFonts w:hint="eastAsia" w:ascii="宋体" w:hAnsi="宋体" w:eastAsia="宋体" w:cs="宋体"/>
                <w:color w:val="000000"/>
                <w:sz w:val="21"/>
                <w:szCs w:val="21"/>
              </w:rPr>
              <w:t>O．05％</w:t>
            </w:r>
          </w:p>
        </w:tc>
        <w:tc>
          <w:tcPr>
            <w:tcW w:w="988" w:type="pct"/>
            <w:tcBorders>
              <w:top w:val="single" w:color="auto" w:sz="8" w:space="0"/>
              <w:left w:val="single" w:color="auto" w:sz="8" w:space="0"/>
              <w:bottom w:val="single" w:color="auto" w:sz="8" w:space="0"/>
              <w:right w:val="single" w:color="auto" w:sz="8" w:space="0"/>
            </w:tcBorders>
            <w:vAlign w:val="center"/>
          </w:tcPr>
          <w:p>
            <w:pPr>
              <w:ind w:right="-176" w:rightChars="-80"/>
              <w:jc w:val="center"/>
              <w:rPr>
                <w:rFonts w:ascii="宋体" w:hAnsi="宋体" w:eastAsia="宋体" w:cs="宋体"/>
                <w:color w:val="000000"/>
                <w:sz w:val="21"/>
                <w:szCs w:val="21"/>
              </w:rPr>
            </w:pPr>
            <w:r>
              <w:rPr>
                <w:rFonts w:hint="eastAsia" w:ascii="宋体" w:hAnsi="宋体" w:eastAsia="宋体" w:cs="宋体"/>
                <w:color w:val="000000"/>
                <w:sz w:val="21"/>
                <w:szCs w:val="21"/>
              </w:rPr>
              <w:t>0．05％</w:t>
            </w:r>
          </w:p>
        </w:tc>
        <w:tc>
          <w:tcPr>
            <w:tcW w:w="988" w:type="pct"/>
            <w:tcBorders>
              <w:top w:val="single" w:color="auto" w:sz="8" w:space="0"/>
              <w:left w:val="single" w:color="auto" w:sz="8" w:space="0"/>
              <w:bottom w:val="single" w:color="auto" w:sz="8" w:space="0"/>
              <w:right w:val="single" w:color="auto" w:sz="8" w:space="0"/>
            </w:tcBorders>
            <w:vAlign w:val="center"/>
          </w:tcPr>
          <w:p>
            <w:pPr>
              <w:ind w:right="-176" w:rightChars="-80"/>
              <w:jc w:val="center"/>
              <w:rPr>
                <w:rFonts w:ascii="宋体" w:hAnsi="宋体" w:eastAsia="宋体" w:cs="宋体"/>
                <w:color w:val="000000"/>
                <w:sz w:val="21"/>
                <w:szCs w:val="21"/>
              </w:rPr>
            </w:pPr>
            <w:r>
              <w:rPr>
                <w:rFonts w:hint="eastAsia" w:ascii="宋体" w:hAnsi="宋体" w:eastAsia="宋体" w:cs="宋体"/>
                <w:color w:val="000000"/>
                <w:sz w:val="21"/>
                <w:szCs w:val="21"/>
              </w:rPr>
              <w:t>O．05％</w:t>
            </w:r>
          </w:p>
        </w:tc>
      </w:tr>
      <w:tr>
        <w:tblPrEx>
          <w:tblCellMar>
            <w:top w:w="0" w:type="dxa"/>
            <w:left w:w="0" w:type="dxa"/>
            <w:bottom w:w="0" w:type="dxa"/>
            <w:right w:w="0" w:type="dxa"/>
          </w:tblCellMar>
        </w:tblPrEx>
        <w:trPr>
          <w:trHeight w:val="605" w:hRule="exact"/>
        </w:trPr>
        <w:tc>
          <w:tcPr>
            <w:tcW w:w="1996" w:type="pct"/>
            <w:tcBorders>
              <w:top w:val="single" w:color="auto" w:sz="8" w:space="0"/>
              <w:left w:val="single" w:color="auto" w:sz="8" w:space="0"/>
              <w:bottom w:val="single" w:color="auto" w:sz="8" w:space="0"/>
              <w:right w:val="single" w:color="auto" w:sz="8" w:space="0"/>
            </w:tcBorders>
            <w:vAlign w:val="center"/>
          </w:tcPr>
          <w:p>
            <w:pPr>
              <w:ind w:right="-176" w:rightChars="-80"/>
              <w:jc w:val="center"/>
              <w:rPr>
                <w:rFonts w:ascii="宋体" w:hAnsi="宋体" w:eastAsia="宋体" w:cs="宋体"/>
                <w:color w:val="000000"/>
                <w:sz w:val="21"/>
                <w:szCs w:val="21"/>
              </w:rPr>
            </w:pPr>
            <w:r>
              <w:rPr>
                <w:rFonts w:hint="eastAsia" w:ascii="宋体" w:hAnsi="宋体" w:eastAsia="宋体" w:cs="宋体"/>
                <w:color w:val="000000"/>
                <w:sz w:val="21"/>
                <w:szCs w:val="21"/>
              </w:rPr>
              <w:t>100000以上</w:t>
            </w:r>
          </w:p>
        </w:tc>
        <w:tc>
          <w:tcPr>
            <w:tcW w:w="1027" w:type="pct"/>
            <w:tcBorders>
              <w:top w:val="single" w:color="auto" w:sz="8" w:space="0"/>
              <w:left w:val="single" w:color="auto" w:sz="8" w:space="0"/>
              <w:bottom w:val="single" w:color="auto" w:sz="8" w:space="0"/>
              <w:right w:val="single" w:color="auto" w:sz="8" w:space="0"/>
            </w:tcBorders>
            <w:vAlign w:val="center"/>
          </w:tcPr>
          <w:p>
            <w:pPr>
              <w:ind w:right="-176" w:rightChars="-80"/>
              <w:jc w:val="center"/>
              <w:rPr>
                <w:rFonts w:ascii="宋体" w:hAnsi="宋体" w:eastAsia="宋体" w:cs="宋体"/>
                <w:color w:val="000000"/>
                <w:sz w:val="21"/>
                <w:szCs w:val="21"/>
              </w:rPr>
            </w:pPr>
            <w:r>
              <w:rPr>
                <w:rFonts w:hint="eastAsia" w:ascii="宋体" w:hAnsi="宋体" w:eastAsia="宋体" w:cs="宋体"/>
                <w:color w:val="000000"/>
                <w:sz w:val="21"/>
                <w:szCs w:val="21"/>
              </w:rPr>
              <w:t>O．01％</w:t>
            </w:r>
          </w:p>
        </w:tc>
        <w:tc>
          <w:tcPr>
            <w:tcW w:w="988" w:type="pct"/>
            <w:tcBorders>
              <w:top w:val="single" w:color="auto" w:sz="8" w:space="0"/>
              <w:left w:val="single" w:color="auto" w:sz="8" w:space="0"/>
              <w:bottom w:val="single" w:color="auto" w:sz="8" w:space="0"/>
              <w:right w:val="single" w:color="auto" w:sz="8" w:space="0"/>
            </w:tcBorders>
            <w:vAlign w:val="center"/>
          </w:tcPr>
          <w:p>
            <w:pPr>
              <w:ind w:right="-176" w:rightChars="-80"/>
              <w:jc w:val="center"/>
              <w:rPr>
                <w:rFonts w:ascii="宋体" w:hAnsi="宋体" w:eastAsia="宋体" w:cs="宋体"/>
                <w:color w:val="000000"/>
                <w:sz w:val="21"/>
                <w:szCs w:val="21"/>
              </w:rPr>
            </w:pPr>
            <w:r>
              <w:rPr>
                <w:rFonts w:hint="eastAsia" w:ascii="宋体" w:hAnsi="宋体" w:eastAsia="宋体" w:cs="宋体"/>
                <w:color w:val="000000"/>
                <w:sz w:val="21"/>
                <w:szCs w:val="21"/>
              </w:rPr>
              <w:t>O 01％</w:t>
            </w:r>
          </w:p>
        </w:tc>
        <w:tc>
          <w:tcPr>
            <w:tcW w:w="988" w:type="pct"/>
            <w:tcBorders>
              <w:top w:val="single" w:color="auto" w:sz="8" w:space="0"/>
              <w:left w:val="single" w:color="auto" w:sz="8" w:space="0"/>
              <w:bottom w:val="single" w:color="auto" w:sz="8" w:space="0"/>
              <w:right w:val="single" w:color="auto" w:sz="8" w:space="0"/>
            </w:tcBorders>
            <w:vAlign w:val="center"/>
          </w:tcPr>
          <w:p>
            <w:pPr>
              <w:ind w:right="-176" w:rightChars="-80"/>
              <w:jc w:val="center"/>
              <w:rPr>
                <w:rFonts w:ascii="宋体" w:hAnsi="宋体" w:eastAsia="宋体" w:cs="宋体"/>
                <w:color w:val="000000"/>
                <w:sz w:val="21"/>
                <w:szCs w:val="21"/>
              </w:rPr>
            </w:pPr>
            <w:r>
              <w:rPr>
                <w:rFonts w:hint="eastAsia" w:ascii="宋体" w:hAnsi="宋体" w:eastAsia="宋体" w:cs="宋体"/>
                <w:color w:val="000000"/>
                <w:sz w:val="21"/>
                <w:szCs w:val="21"/>
              </w:rPr>
              <w:t>0 01％</w:t>
            </w:r>
          </w:p>
        </w:tc>
      </w:tr>
    </w:tbl>
    <w:p>
      <w:pPr>
        <w:spacing w:line="360" w:lineRule="auto"/>
        <w:ind w:left="220" w:leftChars="100"/>
        <w:rPr>
          <w:sz w:val="20"/>
          <w:szCs w:val="20"/>
        </w:rPr>
      </w:pPr>
      <w:r>
        <w:rPr>
          <w:rFonts w:ascii="宋体" w:hAnsi="宋体" w:eastAsia="宋体" w:cs="宋体"/>
          <w:sz w:val="21"/>
          <w:szCs w:val="21"/>
        </w:rPr>
        <w:t>注：采购代理服务收费按差额定率累进法计算。</w:t>
      </w:r>
    </w:p>
    <w:p>
      <w:pPr>
        <w:spacing w:line="360" w:lineRule="auto"/>
        <w:ind w:left="220" w:leftChars="100"/>
        <w:rPr>
          <w:sz w:val="20"/>
          <w:szCs w:val="20"/>
        </w:rPr>
      </w:pPr>
      <w:r>
        <w:rPr>
          <w:rFonts w:ascii="宋体" w:hAnsi="宋体" w:eastAsia="宋体" w:cs="宋体"/>
          <w:b/>
          <w:bCs/>
          <w:sz w:val="21"/>
          <w:szCs w:val="21"/>
        </w:rPr>
        <w:t>31.采购代理机构银行账户：</w:t>
      </w:r>
    </w:p>
    <w:p>
      <w:pPr>
        <w:spacing w:line="360" w:lineRule="auto"/>
        <w:ind w:firstLine="440" w:firstLineChars="200"/>
        <w:rPr>
          <w:rFonts w:ascii="宋体" w:hAnsi="宋体"/>
          <w:bCs/>
          <w:szCs w:val="21"/>
        </w:rPr>
      </w:pPr>
      <w:bookmarkStart w:id="68" w:name="_Toc28036_WPSOffice_Level1"/>
      <w:r>
        <w:rPr>
          <w:rFonts w:hint="eastAsia" w:ascii="宋体" w:hAnsi="宋体"/>
          <w:bCs/>
          <w:szCs w:val="21"/>
        </w:rPr>
        <w:t>开户银行：建设银行灵山县丰江路支行</w:t>
      </w:r>
      <w:bookmarkEnd w:id="68"/>
    </w:p>
    <w:p>
      <w:pPr>
        <w:spacing w:line="360" w:lineRule="auto"/>
        <w:ind w:firstLine="440" w:firstLineChars="200"/>
        <w:rPr>
          <w:rFonts w:ascii="宋体" w:hAnsi="宋体"/>
          <w:bCs/>
          <w:szCs w:val="21"/>
        </w:rPr>
      </w:pPr>
      <w:bookmarkStart w:id="69" w:name="_Toc9001_WPSOffice_Level1"/>
      <w:r>
        <w:rPr>
          <w:rFonts w:hint="eastAsia" w:ascii="宋体" w:hAnsi="宋体"/>
          <w:bCs/>
          <w:szCs w:val="21"/>
        </w:rPr>
        <w:t>户名：广西大通建设监理咨询管理有限公司钦州分公司</w:t>
      </w:r>
      <w:bookmarkEnd w:id="69"/>
    </w:p>
    <w:p>
      <w:pPr>
        <w:spacing w:line="360" w:lineRule="auto"/>
        <w:ind w:firstLine="440" w:firstLineChars="200"/>
        <w:rPr>
          <w:rFonts w:ascii="宋体" w:hAnsi="宋体"/>
          <w:bCs/>
          <w:szCs w:val="21"/>
        </w:rPr>
      </w:pPr>
      <w:bookmarkStart w:id="70" w:name="_Toc32302_WPSOffice_Level1"/>
      <w:r>
        <w:rPr>
          <w:rFonts w:hint="eastAsia" w:ascii="宋体" w:hAnsi="宋体"/>
          <w:bCs/>
          <w:szCs w:val="21"/>
        </w:rPr>
        <w:t>银行帐号：4505 0165 7555 0968 6868</w:t>
      </w:r>
      <w:bookmarkEnd w:id="70"/>
    </w:p>
    <w:p>
      <w:pPr>
        <w:tabs>
          <w:tab w:val="left" w:pos="842"/>
        </w:tabs>
        <w:spacing w:line="360" w:lineRule="auto"/>
        <w:ind w:left="220" w:leftChars="100"/>
        <w:rPr>
          <w:rFonts w:ascii="宋体" w:hAnsi="宋体" w:eastAsia="宋体" w:cs="宋体"/>
          <w:b/>
          <w:bCs/>
          <w:sz w:val="21"/>
          <w:szCs w:val="21"/>
        </w:rPr>
      </w:pPr>
      <w:r>
        <w:rPr>
          <w:rFonts w:hint="eastAsia" w:ascii="宋体" w:hAnsi="宋体" w:eastAsia="宋体" w:cs="宋体"/>
          <w:b/>
          <w:bCs/>
          <w:sz w:val="21"/>
          <w:szCs w:val="21"/>
        </w:rPr>
        <w:t>32.</w:t>
      </w:r>
      <w:r>
        <w:rPr>
          <w:rFonts w:ascii="宋体" w:hAnsi="宋体" w:eastAsia="宋体" w:cs="宋体"/>
          <w:b/>
          <w:bCs/>
          <w:sz w:val="21"/>
          <w:szCs w:val="21"/>
        </w:rPr>
        <w:t>解释权：</w:t>
      </w:r>
      <w:r>
        <w:rPr>
          <w:rFonts w:ascii="宋体" w:hAnsi="宋体" w:eastAsia="宋体" w:cs="宋体"/>
          <w:sz w:val="21"/>
          <w:szCs w:val="21"/>
        </w:rPr>
        <w:t>本竞争性磋商文件是根据《中华人民共和国政府采购法》、《中华人民共和国政府采购法实施条例》、财政部令第 87 号《政府采购货物和服务招标投标管理办法》和政府采购管理有关规定编制，本竞争性磋商文件的解释权属于采购代理机构。</w:t>
      </w:r>
    </w:p>
    <w:p>
      <w:pPr>
        <w:spacing w:line="360" w:lineRule="auto"/>
        <w:ind w:left="220" w:leftChars="100"/>
        <w:sectPr>
          <w:type w:val="continuous"/>
          <w:pgSz w:w="11900" w:h="16840"/>
          <w:pgMar w:top="964" w:right="1123" w:bottom="652" w:left="482" w:header="0" w:footer="397" w:gutter="0"/>
          <w:cols w:space="425" w:num="1"/>
        </w:sectPr>
      </w:pPr>
    </w:p>
    <w:p>
      <w:pPr>
        <w:spacing w:line="360" w:lineRule="auto"/>
        <w:sectPr>
          <w:type w:val="continuous"/>
          <w:pgSz w:w="11900" w:h="16840"/>
          <w:pgMar w:top="964" w:right="1123" w:bottom="652" w:left="482" w:header="0" w:footer="397" w:gutter="0"/>
          <w:cols w:space="425" w:num="1"/>
        </w:sectPr>
      </w:pPr>
    </w:p>
    <w:p>
      <w:pPr>
        <w:spacing w:line="360" w:lineRule="auto"/>
        <w:ind w:left="220" w:leftChars="100"/>
        <w:jc w:val="center"/>
        <w:rPr>
          <w:sz w:val="20"/>
          <w:szCs w:val="20"/>
        </w:rPr>
      </w:pPr>
      <w:bookmarkStart w:id="71" w:name="page18"/>
      <w:bookmarkEnd w:id="71"/>
      <w:bookmarkStart w:id="72" w:name="page17"/>
      <w:bookmarkEnd w:id="72"/>
      <w:bookmarkStart w:id="73" w:name="_Toc13425_WPSOffice_Level1"/>
      <w:r>
        <w:rPr>
          <w:rFonts w:ascii="宋体" w:hAnsi="宋体" w:eastAsia="宋体" w:cs="宋体"/>
          <w:b/>
          <w:bCs/>
          <w:sz w:val="32"/>
          <w:szCs w:val="32"/>
        </w:rPr>
        <w:t>第三章项目采购需求</w:t>
      </w:r>
      <w:bookmarkEnd w:id="73"/>
    </w:p>
    <w:p>
      <w:pPr>
        <w:spacing w:line="360" w:lineRule="auto"/>
        <w:ind w:left="220" w:leftChars="100"/>
        <w:rPr>
          <w:sz w:val="20"/>
          <w:szCs w:val="20"/>
        </w:rPr>
      </w:pPr>
      <w:r>
        <w:rPr>
          <w:rFonts w:ascii="宋体" w:hAnsi="宋体" w:eastAsia="宋体" w:cs="宋体"/>
          <w:sz w:val="21"/>
          <w:szCs w:val="21"/>
        </w:rPr>
        <w:t>说明：</w:t>
      </w:r>
    </w:p>
    <w:p>
      <w:pPr>
        <w:rPr>
          <w:rFonts w:ascii="宋体" w:hAnsi="宋体" w:eastAsia="宋体" w:cs="宋体"/>
          <w:sz w:val="21"/>
          <w:szCs w:val="21"/>
        </w:rPr>
      </w:pPr>
      <w:r>
        <w:rPr>
          <w:rFonts w:hint="eastAsia" w:ascii="宋体" w:hAnsi="宋体" w:eastAsia="宋体" w:cs="宋体"/>
          <w:sz w:val="21"/>
          <w:szCs w:val="21"/>
        </w:rPr>
        <w:t>1、本招标文件所称中小企业必须符合《政府采购促进中小企业发展暂行办法》第二条规定。</w:t>
      </w:r>
    </w:p>
    <w:p>
      <w:pPr>
        <w:rPr>
          <w:rFonts w:ascii="宋体" w:hAnsi="宋体" w:eastAsia="宋体" w:cs="宋体"/>
          <w:sz w:val="21"/>
          <w:szCs w:val="21"/>
        </w:rPr>
      </w:pPr>
      <w:r>
        <w:rPr>
          <w:rFonts w:hint="eastAsia" w:ascii="宋体" w:hAnsi="宋体" w:eastAsia="宋体" w:cs="宋体"/>
          <w:sz w:val="21"/>
          <w:szCs w:val="21"/>
        </w:rPr>
        <w:t>2、小型和微型企业产品的价格给予6%-10%的扣除，用扣除后的价格参与评审，具体扣除比例以第六   章《评标办法及评标标准》的规定为准。</w:t>
      </w:r>
    </w:p>
    <w:p>
      <w:pPr>
        <w:rPr>
          <w:rFonts w:ascii="宋体" w:hAnsi="宋体" w:eastAsia="宋体" w:cs="宋体"/>
          <w:sz w:val="21"/>
          <w:szCs w:val="21"/>
        </w:rPr>
      </w:pPr>
      <w:r>
        <w:rPr>
          <w:rFonts w:hint="eastAsia" w:ascii="宋体" w:hAnsi="宋体" w:eastAsia="宋体" w:cs="宋体"/>
          <w:sz w:val="21"/>
          <w:szCs w:val="21"/>
        </w:rPr>
        <w:t>3、小型、微型企业提供中型企业制造的货物的，视同为中型企业。</w:t>
      </w:r>
    </w:p>
    <w:p>
      <w:pPr>
        <w:rPr>
          <w:rFonts w:ascii="宋体" w:hAnsi="宋体" w:eastAsia="宋体" w:cs="宋体"/>
          <w:sz w:val="21"/>
          <w:szCs w:val="21"/>
        </w:rPr>
      </w:pPr>
      <w:r>
        <w:rPr>
          <w:rFonts w:hint="eastAsia" w:ascii="宋体" w:hAnsi="宋体" w:eastAsia="宋体" w:cs="宋体"/>
          <w:sz w:val="21"/>
          <w:szCs w:val="21"/>
        </w:rPr>
        <w:t>4、小型、微型企业提供大型企业制造的货物的，视同为大型企业。</w:t>
      </w:r>
    </w:p>
    <w:p>
      <w:pPr>
        <w:rPr>
          <w:rFonts w:ascii="宋体" w:hAnsi="宋体" w:eastAsia="宋体" w:cs="宋体"/>
          <w:sz w:val="21"/>
          <w:szCs w:val="21"/>
        </w:rPr>
      </w:pPr>
      <w:r>
        <w:rPr>
          <w:rFonts w:hint="eastAsia" w:ascii="宋体" w:hAnsi="宋体" w:eastAsia="宋体" w:cs="宋体"/>
          <w:sz w:val="21"/>
          <w:szCs w:val="21"/>
        </w:rPr>
        <w:t>5、根据财库〔2019〕9号及财库〔2019〕19号文件规定，台式计算机，便携式计算机、平板式微型计算机，激光打印机，针式打印机，液晶显示器，制冷压缩机（冷水机组、水源热泵机组、溴化锂吸收式冷水机组），空调机组[多联式空调（热泵）机组（制冷量＞14000W），单元式空气调节机（制冷量＞14000W）]，专用制冷、空调设备（机房空调），镇流器（管型荧光灯镇流器），空调机[房间空气调节器、多联式空调（热泵）机组（制冷量≤14000W）、单元式空气调节机（制冷量≤14000W）]，电热水器，普通照明用双端荧光灯，电视设备[普通电视设备（电视机）]，视频设备（视频监控设备、监视器），便器（坐便器、蹲便器、小便器），水嘴均为节能产品政府采购品目清单内标注“★”的品目，属于政府强制采购节能产品。若采购货物属于以上品目清单的产品时，投标人的投标货物必须使用政府强制采购的节能产品，投标人必须在投标文件中提供所投产品的节能产品认证证书复印件（加盖投标人公章），否则作无效投标处理。</w:t>
      </w:r>
    </w:p>
    <w:p>
      <w:pPr>
        <w:rPr>
          <w:rFonts w:ascii="宋体" w:hAnsi="宋体" w:eastAsia="宋体" w:cs="宋体"/>
          <w:sz w:val="21"/>
          <w:szCs w:val="21"/>
        </w:rPr>
      </w:pPr>
      <w:r>
        <w:rPr>
          <w:rFonts w:hint="eastAsia" w:ascii="宋体" w:hAnsi="宋体" w:eastAsia="宋体" w:cs="宋体"/>
          <w:sz w:val="21"/>
          <w:szCs w:val="21"/>
        </w:rPr>
        <w:t>6、标注“▲”号的参数为重要技术指标、功能项、将作为货物性能的重要评分依据。</w:t>
      </w:r>
    </w:p>
    <w:p>
      <w:pPr>
        <w:rPr>
          <w:rFonts w:ascii="宋体" w:hAnsi="宋体" w:eastAsia="宋体" w:cs="宋体"/>
          <w:sz w:val="21"/>
          <w:szCs w:val="21"/>
        </w:rPr>
      </w:pPr>
      <w:r>
        <w:rPr>
          <w:rFonts w:hint="eastAsia" w:ascii="宋体" w:hAnsi="宋体" w:eastAsia="宋体" w:cs="宋体"/>
          <w:sz w:val="21"/>
          <w:szCs w:val="21"/>
        </w:rPr>
        <w:t>7、标注“★”号参数是实质性响应的参数要求或商务条款，必须逐条满足，否则投标文件将被视为无效。</w:t>
      </w:r>
    </w:p>
    <w:p/>
    <w:tbl>
      <w:tblPr>
        <w:tblStyle w:val="14"/>
        <w:tblW w:w="994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79"/>
        <w:gridCol w:w="1743"/>
        <w:gridCol w:w="709"/>
        <w:gridCol w:w="681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945" w:type="dxa"/>
            <w:gridSpan w:val="4"/>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360" w:lineRule="exact"/>
              <w:jc w:val="center"/>
              <w:rPr>
                <w:rFonts w:ascii="宋体" w:hAnsi="宋体" w:eastAsia="宋体" w:cs="宋体"/>
                <w:b/>
                <w:sz w:val="21"/>
                <w:szCs w:val="21"/>
              </w:rPr>
            </w:pPr>
            <w:r>
              <w:rPr>
                <w:rFonts w:hint="eastAsia" w:ascii="宋体" w:hAnsi="宋体" w:eastAsia="宋体" w:cs="宋体"/>
                <w:sz w:val="21"/>
                <w:szCs w:val="21"/>
              </w:rPr>
              <w:t>一、项目要求及技术需求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7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360" w:lineRule="exact"/>
              <w:jc w:val="center"/>
              <w:rPr>
                <w:rFonts w:ascii="宋体" w:hAnsi="宋体" w:eastAsia="宋体" w:cs="宋体"/>
                <w:b/>
                <w:sz w:val="21"/>
                <w:szCs w:val="21"/>
              </w:rPr>
            </w:pPr>
            <w:r>
              <w:rPr>
                <w:rFonts w:hint="eastAsia" w:ascii="宋体" w:hAnsi="宋体" w:eastAsia="宋体" w:cs="宋体"/>
                <w:b/>
                <w:sz w:val="21"/>
                <w:szCs w:val="21"/>
              </w:rPr>
              <w:t>项号</w:t>
            </w:r>
          </w:p>
        </w:tc>
        <w:tc>
          <w:tcPr>
            <w:tcW w:w="174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b/>
                <w:sz w:val="21"/>
                <w:szCs w:val="21"/>
              </w:rPr>
            </w:pPr>
            <w:r>
              <w:rPr>
                <w:rFonts w:hint="eastAsia" w:ascii="宋体" w:hAnsi="宋体" w:eastAsia="宋体" w:cs="宋体"/>
                <w:b/>
                <w:sz w:val="21"/>
                <w:szCs w:val="21"/>
              </w:rPr>
              <w:t>货物名称</w:t>
            </w: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b/>
                <w:sz w:val="21"/>
                <w:szCs w:val="21"/>
              </w:rPr>
            </w:pPr>
            <w:r>
              <w:rPr>
                <w:rFonts w:hint="eastAsia" w:ascii="宋体" w:hAnsi="宋体" w:eastAsia="宋体" w:cs="宋体"/>
                <w:b/>
                <w:sz w:val="21"/>
                <w:szCs w:val="21"/>
              </w:rPr>
              <w:t>数量</w:t>
            </w:r>
          </w:p>
        </w:tc>
        <w:tc>
          <w:tcPr>
            <w:tcW w:w="681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b/>
                <w:sz w:val="21"/>
                <w:szCs w:val="21"/>
              </w:rPr>
            </w:pPr>
            <w:r>
              <w:rPr>
                <w:rFonts w:hint="eastAsia" w:ascii="宋体" w:hAnsi="宋体" w:eastAsia="宋体" w:cs="宋体"/>
                <w:b/>
                <w:sz w:val="21"/>
                <w:szCs w:val="21"/>
              </w:rPr>
              <w:t>技术参数要求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16"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color w:val="000000"/>
                <w:sz w:val="21"/>
                <w:szCs w:val="21"/>
              </w:rPr>
            </w:pPr>
            <w:r>
              <w:rPr>
                <w:rFonts w:hint="eastAsia" w:ascii="宋体" w:hAnsi="宋体" w:eastAsia="宋体"/>
                <w:color w:val="000000"/>
                <w:sz w:val="21"/>
                <w:szCs w:val="21"/>
              </w:rPr>
              <w:t>1</w:t>
            </w:r>
          </w:p>
        </w:tc>
        <w:tc>
          <w:tcPr>
            <w:tcW w:w="174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sz w:val="21"/>
                <w:szCs w:val="21"/>
              </w:rPr>
            </w:pPr>
            <w:r>
              <w:rPr>
                <w:rFonts w:hint="eastAsia" w:ascii="宋体" w:hAnsi="宋体" w:eastAsia="宋体"/>
                <w:sz w:val="21"/>
                <w:szCs w:val="21"/>
              </w:rPr>
              <w:t>高性能PC，用于出入管控人像比对及出入区登记业务</w:t>
            </w: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color w:val="000000"/>
                <w:sz w:val="21"/>
                <w:szCs w:val="21"/>
              </w:rPr>
            </w:pPr>
            <w:r>
              <w:rPr>
                <w:rFonts w:hint="eastAsia" w:ascii="宋体" w:hAnsi="宋体" w:eastAsia="宋体"/>
                <w:color w:val="000000"/>
                <w:sz w:val="21"/>
                <w:szCs w:val="21"/>
              </w:rPr>
              <w:t>1台</w:t>
            </w:r>
          </w:p>
        </w:tc>
        <w:tc>
          <w:tcPr>
            <w:tcW w:w="6814"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 w:val="21"/>
                <w:szCs w:val="21"/>
              </w:rPr>
            </w:pPr>
            <w:r>
              <w:rPr>
                <w:rFonts w:hint="eastAsia" w:ascii="宋体" w:hAnsi="宋体" w:eastAsia="宋体"/>
                <w:sz w:val="21"/>
                <w:szCs w:val="21"/>
              </w:rPr>
              <w:t>intel I5-9400/8G DDR4/2G独显/256G高速SDD+1TB硬盘/HDMI VGA USB 2.0 3.0千兆有线网卡/19.5英寸液晶显示器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color w:val="000000"/>
                <w:sz w:val="21"/>
                <w:szCs w:val="21"/>
              </w:rPr>
            </w:pPr>
            <w:r>
              <w:rPr>
                <w:rFonts w:hint="eastAsia" w:ascii="宋体" w:hAnsi="宋体" w:eastAsia="宋体"/>
                <w:color w:val="000000"/>
                <w:sz w:val="21"/>
                <w:szCs w:val="21"/>
              </w:rPr>
              <w:t>2</w:t>
            </w:r>
          </w:p>
        </w:tc>
        <w:tc>
          <w:tcPr>
            <w:tcW w:w="174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sz w:val="21"/>
                <w:szCs w:val="21"/>
              </w:rPr>
            </w:pPr>
            <w:r>
              <w:rPr>
                <w:rFonts w:hint="eastAsia" w:ascii="宋体" w:hAnsi="宋体" w:eastAsia="宋体"/>
                <w:sz w:val="21"/>
                <w:szCs w:val="21"/>
              </w:rPr>
              <w:t>人员信息采集仪</w:t>
            </w: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color w:val="000000"/>
                <w:sz w:val="21"/>
                <w:szCs w:val="21"/>
              </w:rPr>
            </w:pPr>
            <w:r>
              <w:rPr>
                <w:rFonts w:hint="eastAsia" w:ascii="宋体" w:hAnsi="宋体" w:eastAsia="宋体"/>
                <w:color w:val="000000"/>
                <w:sz w:val="21"/>
                <w:szCs w:val="21"/>
              </w:rPr>
              <w:t>1套</w:t>
            </w:r>
          </w:p>
        </w:tc>
        <w:tc>
          <w:tcPr>
            <w:tcW w:w="6814"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sz w:val="21"/>
                <w:szCs w:val="21"/>
              </w:rPr>
            </w:pPr>
            <w:r>
              <w:rPr>
                <w:rFonts w:hint="eastAsia" w:ascii="宋体" w:hAnsi="宋体" w:eastAsia="宋体"/>
                <w:sz w:val="21"/>
                <w:szCs w:val="21"/>
              </w:rPr>
              <w:t>人员信息综合采集标准化工作站,，活体指纹/掌纹采集设备，二代证读卡器，人员数字相片采集系统：摄像头、人像补光灯、日光色温、人像采集软件。条码读卡器，专业定制计算机，办公打印机，快速文档扫描仪，身高体重，标准化人员信息采集系统软件V7.0，提供设备集成安装培训。</w:t>
            </w:r>
          </w:p>
          <w:p>
            <w:pPr>
              <w:spacing w:line="360" w:lineRule="exact"/>
              <w:rPr>
                <w:rFonts w:ascii="宋体" w:hAnsi="宋体" w:eastAsia="宋体"/>
                <w:sz w:val="21"/>
                <w:szCs w:val="21"/>
              </w:rPr>
            </w:pPr>
            <w:r>
              <w:rPr>
                <w:rFonts w:hint="eastAsia" w:ascii="宋体" w:hAnsi="宋体" w:eastAsia="宋体"/>
                <w:sz w:val="21"/>
                <w:szCs w:val="21"/>
              </w:rPr>
              <w:t>1、系统须直接嵌入广西警务综合应用平台的人员信息录入界面，成为人员系统的一个子模块，操作人员可在警务综合应用平台下直接同步录入、采集、上传人员基本信息和活体指掌纹数据。</w:t>
            </w:r>
          </w:p>
          <w:p>
            <w:pPr>
              <w:spacing w:line="360" w:lineRule="exact"/>
              <w:rPr>
                <w:rFonts w:ascii="宋体" w:hAnsi="宋体" w:eastAsia="宋体"/>
                <w:sz w:val="21"/>
                <w:szCs w:val="21"/>
              </w:rPr>
            </w:pPr>
            <w:r>
              <w:rPr>
                <w:rFonts w:hint="eastAsia" w:ascii="宋体" w:hAnsi="宋体" w:eastAsia="宋体"/>
                <w:sz w:val="21"/>
                <w:szCs w:val="21"/>
              </w:rPr>
              <w:t>2、系统须实现滚动指纹采集、四连指平面采集、掌纹采集、侧掌采集功能，四连指采集完成后能实现自动切割。</w:t>
            </w:r>
          </w:p>
          <w:p>
            <w:pPr>
              <w:spacing w:line="360" w:lineRule="exact"/>
              <w:rPr>
                <w:rFonts w:ascii="宋体" w:hAnsi="宋体" w:eastAsia="宋体"/>
                <w:sz w:val="21"/>
                <w:szCs w:val="21"/>
              </w:rPr>
            </w:pPr>
            <w:r>
              <w:rPr>
                <w:rFonts w:hint="eastAsia" w:ascii="宋体" w:hAnsi="宋体" w:eastAsia="宋体"/>
                <w:sz w:val="21"/>
                <w:szCs w:val="21"/>
              </w:rPr>
              <w:t>3、系统具备采集质量的自动判断功能，包括但不限于图像滑动模糊、捺印速度异常、指纹干湿判断、镜头清洁度判断等。</w:t>
            </w:r>
          </w:p>
          <w:p>
            <w:pPr>
              <w:spacing w:line="360" w:lineRule="exact"/>
              <w:rPr>
                <w:rFonts w:ascii="宋体" w:hAnsi="宋体" w:eastAsia="宋体"/>
                <w:sz w:val="21"/>
                <w:szCs w:val="21"/>
              </w:rPr>
            </w:pPr>
            <w:r>
              <w:rPr>
                <w:rFonts w:hint="eastAsia" w:ascii="宋体" w:hAnsi="宋体" w:eastAsia="宋体"/>
                <w:sz w:val="21"/>
                <w:szCs w:val="21"/>
              </w:rPr>
              <w:t>4、系统须具备采集端指纹特征提取功能，实现基于特征的质量控制功能，质量判断结果与在用指纹系统判定结果一致。</w:t>
            </w:r>
          </w:p>
          <w:p>
            <w:pPr>
              <w:spacing w:line="360" w:lineRule="exact"/>
              <w:rPr>
                <w:rFonts w:ascii="宋体" w:hAnsi="宋体" w:eastAsia="宋体"/>
                <w:sz w:val="21"/>
                <w:szCs w:val="21"/>
              </w:rPr>
            </w:pPr>
            <w:r>
              <w:rPr>
                <w:rFonts w:hint="eastAsia" w:ascii="宋体" w:hAnsi="宋体" w:eastAsia="宋体"/>
                <w:sz w:val="21"/>
                <w:szCs w:val="21"/>
              </w:rPr>
              <w:t>5、须具备人员信息、指纹、掌纹自动入库功能，数据不经过任何数据格式处理与转换直接入在用的指掌纹自动识别系统。</w:t>
            </w:r>
          </w:p>
          <w:p>
            <w:pPr>
              <w:spacing w:line="360" w:lineRule="exact"/>
              <w:rPr>
                <w:rFonts w:ascii="宋体" w:hAnsi="宋体" w:eastAsia="宋体"/>
                <w:sz w:val="21"/>
                <w:szCs w:val="21"/>
              </w:rPr>
            </w:pPr>
            <w:r>
              <w:rPr>
                <w:rFonts w:hint="eastAsia" w:ascii="宋体" w:hAnsi="宋体" w:eastAsia="宋体"/>
                <w:sz w:val="21"/>
                <w:szCs w:val="21"/>
              </w:rPr>
              <w:t>6、须自动发送指纹倒查比对请求，倒查结果自动发送到采集点所属分县局在用的指纹自动识别系统远程客户端进行检视，分县局指纹远程客户端结果认定后，倒查结果自动反馈到指纹采集工作站。</w:t>
            </w:r>
          </w:p>
          <w:p>
            <w:pPr>
              <w:spacing w:line="360" w:lineRule="exact"/>
              <w:rPr>
                <w:rFonts w:ascii="宋体" w:hAnsi="宋体" w:eastAsia="宋体"/>
                <w:sz w:val="21"/>
                <w:szCs w:val="21"/>
              </w:rPr>
            </w:pPr>
            <w:r>
              <w:rPr>
                <w:rFonts w:hint="eastAsia" w:ascii="宋体" w:hAnsi="宋体" w:eastAsia="宋体"/>
                <w:sz w:val="21"/>
                <w:szCs w:val="21"/>
              </w:rPr>
              <w:t>7、须具备指纹查重结果反馈及采集端自动确认的功能，采集端自动向在用的指纹自动识别系统发送查重比对请求，查重结果自动反馈到指纹采集工作站后，采集端对查重结果自动确认。</w:t>
            </w:r>
          </w:p>
          <w:p>
            <w:pPr>
              <w:spacing w:line="360" w:lineRule="exact"/>
              <w:rPr>
                <w:rFonts w:ascii="宋体" w:hAnsi="宋体" w:eastAsia="宋体"/>
                <w:sz w:val="21"/>
                <w:szCs w:val="21"/>
              </w:rPr>
            </w:pPr>
            <w:r>
              <w:rPr>
                <w:rFonts w:hint="eastAsia" w:ascii="宋体" w:hAnsi="宋体" w:eastAsia="宋体"/>
                <w:sz w:val="21"/>
                <w:szCs w:val="21"/>
              </w:rPr>
              <w:t>8、须具备对采集点的统一管理软件，实现对采集点的集中管理，可以监控采集点的在线情况。</w:t>
            </w:r>
          </w:p>
          <w:p>
            <w:pPr>
              <w:spacing w:line="360" w:lineRule="exact"/>
              <w:rPr>
                <w:rFonts w:ascii="宋体" w:hAnsi="宋体" w:eastAsia="宋体"/>
                <w:sz w:val="21"/>
                <w:szCs w:val="21"/>
              </w:rPr>
            </w:pPr>
            <w:r>
              <w:rPr>
                <w:rFonts w:hint="eastAsia" w:ascii="宋体" w:hAnsi="宋体" w:eastAsia="宋体"/>
                <w:sz w:val="21"/>
                <w:szCs w:val="21"/>
              </w:rPr>
              <w:t>9、须具备利用在用的指掌纹系统的比中结果自动形成缉控库，采集的数据自动比对缉控库并反馈比中结果到采集端。</w:t>
            </w:r>
          </w:p>
          <w:p>
            <w:pPr>
              <w:spacing w:line="360" w:lineRule="exact"/>
              <w:rPr>
                <w:rFonts w:ascii="宋体" w:hAnsi="宋体" w:eastAsia="宋体"/>
                <w:sz w:val="21"/>
                <w:szCs w:val="21"/>
              </w:rPr>
            </w:pPr>
            <w:r>
              <w:rPr>
                <w:rFonts w:hint="eastAsia" w:ascii="宋体" w:hAnsi="宋体" w:eastAsia="宋体"/>
                <w:sz w:val="21"/>
                <w:szCs w:val="21"/>
              </w:rPr>
              <w:t>10、在采集点系统重新安装后，须自动从采集管理软件下载本采集点数据。</w:t>
            </w:r>
          </w:p>
          <w:p>
            <w:pPr>
              <w:spacing w:line="360" w:lineRule="exact"/>
              <w:rPr>
                <w:rFonts w:ascii="宋体" w:hAnsi="宋体" w:eastAsia="宋体"/>
                <w:sz w:val="21"/>
                <w:szCs w:val="21"/>
              </w:rPr>
            </w:pPr>
            <w:r>
              <w:rPr>
                <w:rFonts w:hint="eastAsia" w:ascii="宋体" w:hAnsi="宋体" w:eastAsia="宋体"/>
                <w:sz w:val="21"/>
                <w:szCs w:val="21"/>
              </w:rPr>
              <w:t>★11、为确保货物质量及良好售后服务，签订合同时须提供生产厂家针对此项目的售后服务保证函原件、供货证明原件并加盖生产厂家公章。</w:t>
            </w:r>
          </w:p>
          <w:p>
            <w:pPr>
              <w:spacing w:line="360" w:lineRule="exact"/>
              <w:rPr>
                <w:rFonts w:ascii="宋体" w:hAnsi="宋体" w:eastAsia="宋体" w:cs="宋体"/>
                <w:sz w:val="21"/>
                <w:szCs w:val="21"/>
              </w:rPr>
            </w:pPr>
            <w:r>
              <w:rPr>
                <w:rFonts w:hint="eastAsia" w:ascii="宋体" w:hAnsi="宋体" w:eastAsia="宋体"/>
                <w:sz w:val="21"/>
                <w:szCs w:val="21"/>
              </w:rPr>
              <w:t>★12、集成要求：设备保证与区厅指掌纹自动识别系统的无缝衔接，签订合同时须提供指掌纹自动识别系统接口接入证明材料并加盖生产厂家公章。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color w:val="000000"/>
                <w:sz w:val="21"/>
                <w:szCs w:val="21"/>
              </w:rPr>
            </w:pPr>
            <w:r>
              <w:rPr>
                <w:rFonts w:hint="eastAsia" w:ascii="宋体" w:hAnsi="宋体" w:eastAsia="宋体"/>
                <w:color w:val="000000"/>
                <w:sz w:val="21"/>
                <w:szCs w:val="21"/>
              </w:rPr>
              <w:t>3</w:t>
            </w:r>
          </w:p>
        </w:tc>
        <w:tc>
          <w:tcPr>
            <w:tcW w:w="174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color w:val="000000"/>
                <w:sz w:val="21"/>
                <w:szCs w:val="21"/>
              </w:rPr>
            </w:pPr>
            <w:r>
              <w:rPr>
                <w:rFonts w:hint="eastAsia" w:ascii="宋体" w:hAnsi="宋体" w:eastAsia="宋体"/>
                <w:color w:val="000000"/>
                <w:sz w:val="21"/>
                <w:szCs w:val="21"/>
              </w:rPr>
              <w:t>公安办案区自服务管理终端（办案一体智能机）</w:t>
            </w: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color w:val="000000"/>
                <w:sz w:val="21"/>
                <w:szCs w:val="21"/>
              </w:rPr>
            </w:pPr>
            <w:r>
              <w:rPr>
                <w:rFonts w:hint="eastAsia" w:ascii="宋体" w:hAnsi="宋体" w:eastAsia="宋体"/>
                <w:color w:val="000000"/>
                <w:sz w:val="21"/>
                <w:szCs w:val="21"/>
              </w:rPr>
              <w:t>1台</w:t>
            </w:r>
          </w:p>
        </w:tc>
        <w:tc>
          <w:tcPr>
            <w:tcW w:w="6814"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olor w:val="000000"/>
                <w:sz w:val="21"/>
                <w:szCs w:val="21"/>
              </w:rPr>
            </w:pPr>
            <w:r>
              <w:rPr>
                <w:rFonts w:hint="eastAsia" w:ascii="宋体" w:hAnsi="宋体" w:eastAsia="宋体"/>
                <w:color w:val="000000"/>
                <w:sz w:val="21"/>
                <w:szCs w:val="21"/>
              </w:rPr>
              <w:t>高可靠性工控主机;</w:t>
            </w:r>
          </w:p>
          <w:p>
            <w:pPr>
              <w:spacing w:line="360" w:lineRule="exact"/>
              <w:rPr>
                <w:rFonts w:ascii="宋体" w:hAnsi="宋体" w:eastAsia="宋体"/>
                <w:color w:val="000000"/>
                <w:sz w:val="21"/>
                <w:szCs w:val="21"/>
              </w:rPr>
            </w:pPr>
            <w:r>
              <w:rPr>
                <w:rFonts w:hint="eastAsia" w:ascii="宋体" w:hAnsi="宋体" w:eastAsia="宋体"/>
                <w:color w:val="000000"/>
                <w:sz w:val="21"/>
                <w:szCs w:val="21"/>
              </w:rPr>
              <w:t>人体感应器;</w:t>
            </w:r>
          </w:p>
          <w:p>
            <w:pPr>
              <w:spacing w:line="360" w:lineRule="exact"/>
              <w:rPr>
                <w:rFonts w:ascii="宋体" w:hAnsi="宋体" w:eastAsia="宋体"/>
                <w:color w:val="000000"/>
                <w:sz w:val="21"/>
                <w:szCs w:val="21"/>
              </w:rPr>
            </w:pPr>
            <w:r>
              <w:rPr>
                <w:rFonts w:hint="eastAsia" w:ascii="宋体" w:hAnsi="宋体" w:eastAsia="宋体"/>
                <w:color w:val="000000"/>
                <w:sz w:val="21"/>
                <w:szCs w:val="21"/>
              </w:rPr>
              <w:t>BIOID多生物特征感应式身份认证;</w:t>
            </w:r>
          </w:p>
          <w:p>
            <w:pPr>
              <w:spacing w:line="360" w:lineRule="exact"/>
              <w:rPr>
                <w:rFonts w:ascii="宋体" w:hAnsi="宋体" w:eastAsia="宋体"/>
                <w:color w:val="000000"/>
                <w:sz w:val="21"/>
                <w:szCs w:val="21"/>
              </w:rPr>
            </w:pPr>
            <w:r>
              <w:rPr>
                <w:rFonts w:hint="eastAsia" w:ascii="宋体" w:hAnsi="宋体" w:eastAsia="宋体"/>
                <w:color w:val="000000"/>
                <w:sz w:val="21"/>
                <w:szCs w:val="21"/>
              </w:rPr>
              <w:t>21寸手写电磁屏;</w:t>
            </w:r>
          </w:p>
          <w:p>
            <w:pPr>
              <w:spacing w:line="360" w:lineRule="exact"/>
              <w:rPr>
                <w:rFonts w:ascii="宋体" w:hAnsi="宋体" w:eastAsia="宋体"/>
                <w:color w:val="000000"/>
                <w:sz w:val="21"/>
                <w:szCs w:val="21"/>
              </w:rPr>
            </w:pPr>
            <w:r>
              <w:rPr>
                <w:rFonts w:hint="eastAsia" w:ascii="宋体" w:hAnsi="宋体" w:eastAsia="宋体"/>
                <w:color w:val="000000"/>
                <w:sz w:val="21"/>
                <w:szCs w:val="21"/>
              </w:rPr>
              <w:t>指纹采集模块;</w:t>
            </w:r>
          </w:p>
          <w:p>
            <w:pPr>
              <w:spacing w:line="360" w:lineRule="exact"/>
              <w:rPr>
                <w:rFonts w:ascii="宋体" w:hAnsi="宋体" w:eastAsia="宋体"/>
                <w:color w:val="000000"/>
                <w:sz w:val="21"/>
                <w:szCs w:val="21"/>
              </w:rPr>
            </w:pPr>
            <w:r>
              <w:rPr>
                <w:rFonts w:hint="eastAsia" w:ascii="宋体" w:hAnsi="宋体" w:eastAsia="宋体"/>
                <w:color w:val="000000"/>
                <w:sz w:val="21"/>
                <w:szCs w:val="21"/>
              </w:rPr>
              <w:t>人像采集模块;</w:t>
            </w:r>
          </w:p>
          <w:p>
            <w:pPr>
              <w:spacing w:line="360" w:lineRule="exact"/>
              <w:rPr>
                <w:rFonts w:ascii="宋体" w:hAnsi="宋体" w:eastAsia="宋体"/>
                <w:color w:val="000000"/>
                <w:sz w:val="21"/>
                <w:szCs w:val="21"/>
              </w:rPr>
            </w:pPr>
            <w:r>
              <w:rPr>
                <w:rFonts w:hint="eastAsia" w:ascii="宋体" w:hAnsi="宋体" w:eastAsia="宋体"/>
                <w:color w:val="000000"/>
                <w:sz w:val="21"/>
                <w:szCs w:val="21"/>
              </w:rPr>
              <w:t>身份证及RFID读取模块;</w:t>
            </w:r>
          </w:p>
          <w:p>
            <w:pPr>
              <w:spacing w:line="360" w:lineRule="exact"/>
              <w:rPr>
                <w:rFonts w:ascii="宋体" w:hAnsi="宋体" w:eastAsia="宋体"/>
                <w:color w:val="000000"/>
                <w:sz w:val="21"/>
                <w:szCs w:val="21"/>
              </w:rPr>
            </w:pPr>
            <w:r>
              <w:rPr>
                <w:rFonts w:hint="eastAsia" w:ascii="宋体" w:hAnsi="宋体" w:eastAsia="宋体"/>
                <w:color w:val="000000"/>
                <w:sz w:val="21"/>
                <w:szCs w:val="21"/>
              </w:rPr>
              <w:t>条码制作及识读读取;</w:t>
            </w:r>
          </w:p>
          <w:p>
            <w:pPr>
              <w:spacing w:line="360" w:lineRule="exact"/>
              <w:rPr>
                <w:rFonts w:ascii="宋体" w:hAnsi="宋体" w:eastAsia="宋体"/>
                <w:color w:val="000000"/>
                <w:sz w:val="21"/>
                <w:szCs w:val="21"/>
              </w:rPr>
            </w:pPr>
            <w:r>
              <w:rPr>
                <w:rFonts w:hint="eastAsia" w:ascii="宋体" w:hAnsi="宋体" w:eastAsia="宋体"/>
                <w:color w:val="000000"/>
                <w:sz w:val="21"/>
                <w:szCs w:val="21"/>
              </w:rPr>
              <w:t>台账及体检报告打印机;</w:t>
            </w:r>
          </w:p>
          <w:p>
            <w:pPr>
              <w:spacing w:line="360" w:lineRule="exact"/>
              <w:rPr>
                <w:rFonts w:ascii="宋体" w:hAnsi="宋体" w:eastAsia="宋体"/>
                <w:color w:val="000000"/>
                <w:sz w:val="21"/>
                <w:szCs w:val="21"/>
              </w:rPr>
            </w:pPr>
            <w:r>
              <w:rPr>
                <w:rFonts w:hint="eastAsia" w:ascii="宋体" w:hAnsi="宋体" w:eastAsia="宋体"/>
                <w:color w:val="000000"/>
                <w:sz w:val="21"/>
                <w:szCs w:val="21"/>
              </w:rPr>
              <w:t>存管设备控制器;</w:t>
            </w:r>
          </w:p>
          <w:p>
            <w:pPr>
              <w:spacing w:line="360" w:lineRule="exact"/>
              <w:rPr>
                <w:rFonts w:ascii="宋体" w:hAnsi="宋体" w:eastAsia="宋体"/>
                <w:color w:val="000000"/>
                <w:sz w:val="21"/>
                <w:szCs w:val="21"/>
              </w:rPr>
            </w:pPr>
            <w:r>
              <w:rPr>
                <w:rFonts w:hint="eastAsia" w:ascii="宋体" w:hAnsi="宋体" w:eastAsia="宋体"/>
                <w:color w:val="000000"/>
                <w:sz w:val="21"/>
                <w:szCs w:val="21"/>
              </w:rPr>
              <w:t>可折叠物品拍摄;</w:t>
            </w:r>
          </w:p>
          <w:p>
            <w:pPr>
              <w:spacing w:line="360" w:lineRule="exact"/>
              <w:rPr>
                <w:rFonts w:ascii="宋体" w:hAnsi="宋体" w:eastAsia="宋体"/>
                <w:color w:val="000000"/>
                <w:sz w:val="21"/>
                <w:szCs w:val="21"/>
              </w:rPr>
            </w:pPr>
            <w:r>
              <w:rPr>
                <w:rFonts w:hint="eastAsia" w:ascii="宋体" w:hAnsi="宋体" w:eastAsia="宋体"/>
                <w:color w:val="000000"/>
                <w:sz w:val="21"/>
                <w:szCs w:val="21"/>
              </w:rPr>
              <w:t>签名捺印及安全管理算法;</w:t>
            </w:r>
          </w:p>
          <w:p>
            <w:pPr>
              <w:spacing w:line="360" w:lineRule="exact"/>
              <w:rPr>
                <w:rFonts w:ascii="宋体" w:hAnsi="宋体" w:eastAsia="宋体"/>
                <w:color w:val="000000"/>
                <w:sz w:val="21"/>
                <w:szCs w:val="21"/>
              </w:rPr>
            </w:pPr>
            <w:r>
              <w:rPr>
                <w:rFonts w:hint="eastAsia" w:ascii="宋体" w:hAnsi="宋体" w:eastAsia="宋体"/>
                <w:color w:val="000000"/>
                <w:sz w:val="21"/>
                <w:szCs w:val="21"/>
              </w:rPr>
              <w:t>▲内置可支持该设备运行所有功能的嵌入式软件（需提供由权威第三方机构出具的“嵌入式软件”证明材料并加盖投标人公章）</w:t>
            </w:r>
          </w:p>
          <w:p>
            <w:pPr>
              <w:spacing w:line="360" w:lineRule="exact"/>
              <w:rPr>
                <w:rFonts w:ascii="宋体" w:hAnsi="宋体" w:eastAsia="宋体" w:cs="宋体"/>
                <w:color w:val="000000"/>
                <w:sz w:val="21"/>
                <w:szCs w:val="21"/>
              </w:rPr>
            </w:pPr>
            <w:r>
              <w:rPr>
                <w:rFonts w:hint="eastAsia" w:ascii="宋体" w:hAnsi="宋体" w:eastAsia="宋体"/>
                <w:color w:val="000000"/>
                <w:sz w:val="21"/>
                <w:szCs w:val="21"/>
              </w:rPr>
              <w:t>▲设备内置嵌入式软件应具备身份管理、入区登记、人身检查、台账管理、登记签名、出区登记等功能模块；（需提供第三方检测机构出具的测试报告复印件并加盖投标人公章，证明材料中应至少包含以上6项功能模块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color w:val="000000"/>
                <w:sz w:val="21"/>
                <w:szCs w:val="21"/>
              </w:rPr>
            </w:pPr>
            <w:r>
              <w:rPr>
                <w:rFonts w:hint="eastAsia" w:ascii="宋体" w:hAnsi="宋体" w:eastAsia="宋体"/>
                <w:color w:val="000000"/>
                <w:sz w:val="21"/>
                <w:szCs w:val="21"/>
              </w:rPr>
              <w:t>4</w:t>
            </w:r>
          </w:p>
        </w:tc>
        <w:tc>
          <w:tcPr>
            <w:tcW w:w="174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color w:val="000000"/>
                <w:sz w:val="21"/>
                <w:szCs w:val="21"/>
              </w:rPr>
            </w:pPr>
            <w:r>
              <w:rPr>
                <w:rFonts w:hint="eastAsia" w:ascii="宋体" w:hAnsi="宋体" w:eastAsia="宋体"/>
                <w:color w:val="000000"/>
                <w:sz w:val="21"/>
                <w:szCs w:val="21"/>
              </w:rPr>
              <w:t>看守电脑</w:t>
            </w: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color w:val="000000"/>
                <w:sz w:val="21"/>
                <w:szCs w:val="21"/>
              </w:rPr>
            </w:pPr>
            <w:r>
              <w:rPr>
                <w:rFonts w:hint="eastAsia" w:ascii="宋体" w:hAnsi="宋体" w:eastAsia="宋体"/>
                <w:color w:val="000000"/>
                <w:sz w:val="21"/>
                <w:szCs w:val="21"/>
              </w:rPr>
              <w:t>1台</w:t>
            </w:r>
          </w:p>
        </w:tc>
        <w:tc>
          <w:tcPr>
            <w:tcW w:w="6814"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 w:val="21"/>
                <w:szCs w:val="21"/>
              </w:rPr>
            </w:pPr>
            <w:r>
              <w:rPr>
                <w:rFonts w:hint="eastAsia" w:ascii="宋体" w:hAnsi="宋体" w:eastAsia="宋体"/>
                <w:sz w:val="21"/>
                <w:szCs w:val="21"/>
              </w:rPr>
              <w:t>intel I5-9400/8G DDR4/2G独显/256G高速SDD+1TB硬盘/HDMI VGA USB 2.0 3.0千兆有线网卡/19.5英寸液晶显示器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color w:val="000000"/>
                <w:sz w:val="21"/>
                <w:szCs w:val="21"/>
              </w:rPr>
            </w:pPr>
            <w:r>
              <w:rPr>
                <w:rFonts w:hint="eastAsia" w:ascii="宋体" w:hAnsi="宋体" w:eastAsia="宋体"/>
                <w:color w:val="000000"/>
                <w:sz w:val="21"/>
                <w:szCs w:val="21"/>
              </w:rPr>
              <w:t>5</w:t>
            </w:r>
          </w:p>
        </w:tc>
        <w:tc>
          <w:tcPr>
            <w:tcW w:w="174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sz w:val="21"/>
                <w:szCs w:val="21"/>
              </w:rPr>
            </w:pPr>
            <w:r>
              <w:rPr>
                <w:rFonts w:hint="eastAsia" w:ascii="宋体" w:hAnsi="宋体" w:eastAsia="宋体"/>
                <w:sz w:val="21"/>
                <w:szCs w:val="21"/>
              </w:rPr>
              <w:t>审讯主机</w:t>
            </w: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color w:val="000000"/>
                <w:sz w:val="21"/>
                <w:szCs w:val="21"/>
              </w:rPr>
            </w:pPr>
            <w:r>
              <w:rPr>
                <w:rFonts w:hint="eastAsia" w:ascii="宋体" w:hAnsi="宋体" w:eastAsia="宋体"/>
                <w:color w:val="000000"/>
                <w:sz w:val="21"/>
                <w:szCs w:val="21"/>
              </w:rPr>
              <w:t>2台</w:t>
            </w:r>
          </w:p>
        </w:tc>
        <w:tc>
          <w:tcPr>
            <w:tcW w:w="6814"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 w:val="21"/>
                <w:szCs w:val="21"/>
              </w:rPr>
            </w:pPr>
            <w:r>
              <w:rPr>
                <w:rFonts w:hint="eastAsia" w:ascii="宋体" w:hAnsi="宋体" w:eastAsia="宋体" w:cs="宋体"/>
                <w:sz w:val="21"/>
                <w:szCs w:val="21"/>
              </w:rPr>
              <w:t>高清同步录音录像服务器，8寸触摸显示屏，支持4个1080p高清网络摄像机接入(H.265)，支持画中画合成，支持双光盘同步刻录及同步回放。含两个DVD刻录机，可独立拆卸。含2T硬盘，含双千兆网口。提供HDMI+VGA视频输入/输出接口，支持示证编码。支持多类音频接口：mini卡侬、数字Mic、3.5mm接口。</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color w:val="000000"/>
                <w:sz w:val="21"/>
                <w:szCs w:val="21"/>
              </w:rPr>
            </w:pPr>
            <w:r>
              <w:rPr>
                <w:rFonts w:hint="eastAsia" w:ascii="宋体" w:hAnsi="宋体" w:eastAsia="宋体"/>
                <w:color w:val="000000"/>
                <w:sz w:val="21"/>
                <w:szCs w:val="21"/>
              </w:rPr>
              <w:t>6</w:t>
            </w:r>
          </w:p>
        </w:tc>
        <w:tc>
          <w:tcPr>
            <w:tcW w:w="174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sz w:val="21"/>
                <w:szCs w:val="21"/>
              </w:rPr>
            </w:pPr>
            <w:r>
              <w:rPr>
                <w:rFonts w:hint="eastAsia" w:ascii="宋体" w:hAnsi="宋体" w:eastAsia="宋体"/>
                <w:sz w:val="21"/>
                <w:szCs w:val="21"/>
              </w:rPr>
              <w:t>全景监控</w:t>
            </w: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color w:val="000000"/>
                <w:sz w:val="21"/>
                <w:szCs w:val="21"/>
              </w:rPr>
            </w:pPr>
            <w:r>
              <w:rPr>
                <w:rFonts w:hint="eastAsia" w:ascii="宋体" w:hAnsi="宋体" w:eastAsia="宋体"/>
                <w:color w:val="000000"/>
                <w:sz w:val="21"/>
                <w:szCs w:val="21"/>
              </w:rPr>
              <w:t>3台</w:t>
            </w:r>
          </w:p>
        </w:tc>
        <w:tc>
          <w:tcPr>
            <w:tcW w:w="6814"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olor w:val="000000"/>
                <w:sz w:val="21"/>
                <w:szCs w:val="21"/>
              </w:rPr>
            </w:pPr>
            <w:r>
              <w:rPr>
                <w:rFonts w:hint="eastAsia" w:ascii="宋体" w:hAnsi="宋体" w:eastAsia="宋体"/>
                <w:color w:val="000000"/>
                <w:sz w:val="21"/>
                <w:szCs w:val="21"/>
              </w:rPr>
              <w:t>高清防暴半球型网络摄像机，2.1mm定焦镜头。</w:t>
            </w:r>
          </w:p>
          <w:p>
            <w:pPr>
              <w:spacing w:line="360" w:lineRule="exact"/>
              <w:rPr>
                <w:rFonts w:ascii="宋体" w:hAnsi="宋体" w:eastAsia="宋体" w:cs="宋体"/>
                <w:color w:val="000000"/>
                <w:sz w:val="21"/>
                <w:szCs w:val="21"/>
              </w:rPr>
            </w:pPr>
            <w:r>
              <w:rPr>
                <w:rFonts w:hint="eastAsia" w:ascii="宋体" w:hAnsi="宋体" w:eastAsia="宋体"/>
                <w:color w:val="000000"/>
                <w:sz w:val="21"/>
                <w:szCs w:val="21"/>
              </w:rPr>
              <w:t>1/2.8"200W像素高性能传感器，0.0002Lux星光级超低照度，120dB超宽动态。H.265/H.264，1080P/720P/D1，30fps。基础智能。1× RS485，2×Line IN，1×Line OUT，1×告警输入输出，1×模拟视频输出，1× 内置TF卡槽。功耗10W，DC12V。不含电源。IP67。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color w:val="000000"/>
                <w:sz w:val="21"/>
                <w:szCs w:val="21"/>
              </w:rPr>
            </w:pPr>
            <w:r>
              <w:rPr>
                <w:rFonts w:hint="eastAsia" w:ascii="宋体" w:hAnsi="宋体" w:eastAsia="宋体"/>
                <w:color w:val="000000"/>
                <w:sz w:val="21"/>
                <w:szCs w:val="21"/>
              </w:rPr>
              <w:t>7</w:t>
            </w:r>
          </w:p>
        </w:tc>
        <w:tc>
          <w:tcPr>
            <w:tcW w:w="174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color w:val="000000"/>
                <w:sz w:val="21"/>
                <w:szCs w:val="21"/>
              </w:rPr>
            </w:pPr>
            <w:r>
              <w:rPr>
                <w:rFonts w:hint="eastAsia" w:ascii="宋体" w:hAnsi="宋体" w:eastAsia="宋体"/>
                <w:color w:val="000000"/>
                <w:sz w:val="21"/>
                <w:szCs w:val="21"/>
              </w:rPr>
              <w:t>摄像机电源</w:t>
            </w: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color w:val="000000"/>
                <w:sz w:val="21"/>
                <w:szCs w:val="21"/>
              </w:rPr>
            </w:pPr>
            <w:r>
              <w:rPr>
                <w:rFonts w:hint="eastAsia" w:ascii="宋体" w:hAnsi="宋体" w:eastAsia="宋体"/>
                <w:color w:val="000000"/>
                <w:sz w:val="21"/>
                <w:szCs w:val="21"/>
              </w:rPr>
              <w:t>3个</w:t>
            </w:r>
          </w:p>
        </w:tc>
        <w:tc>
          <w:tcPr>
            <w:tcW w:w="6814"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color w:val="000000"/>
                <w:sz w:val="21"/>
                <w:szCs w:val="21"/>
              </w:rPr>
            </w:pPr>
            <w:r>
              <w:rPr>
                <w:rFonts w:hint="eastAsia" w:ascii="宋体" w:hAnsi="宋体" w:eastAsia="宋体"/>
                <w:color w:val="000000"/>
                <w:sz w:val="21"/>
                <w:szCs w:val="21"/>
              </w:rPr>
              <w:t>摄像机电源适配器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color w:val="000000"/>
                <w:sz w:val="21"/>
                <w:szCs w:val="21"/>
              </w:rPr>
            </w:pPr>
            <w:r>
              <w:rPr>
                <w:rFonts w:hint="eastAsia" w:ascii="宋体" w:hAnsi="宋体" w:eastAsia="宋体"/>
                <w:color w:val="000000"/>
                <w:sz w:val="21"/>
                <w:szCs w:val="21"/>
              </w:rPr>
              <w:t>8</w:t>
            </w:r>
          </w:p>
        </w:tc>
        <w:tc>
          <w:tcPr>
            <w:tcW w:w="174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sz w:val="21"/>
                <w:szCs w:val="21"/>
              </w:rPr>
            </w:pPr>
            <w:r>
              <w:rPr>
                <w:rFonts w:hint="eastAsia" w:ascii="宋体" w:hAnsi="宋体" w:eastAsia="宋体"/>
                <w:sz w:val="21"/>
                <w:szCs w:val="21"/>
              </w:rPr>
              <w:t>拾音器</w:t>
            </w: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color w:val="000000"/>
                <w:sz w:val="21"/>
                <w:szCs w:val="21"/>
              </w:rPr>
            </w:pPr>
            <w:r>
              <w:rPr>
                <w:rFonts w:hint="eastAsia" w:ascii="宋体" w:hAnsi="宋体" w:eastAsia="宋体"/>
                <w:color w:val="000000"/>
                <w:sz w:val="21"/>
                <w:szCs w:val="21"/>
              </w:rPr>
              <w:t>3台</w:t>
            </w:r>
          </w:p>
        </w:tc>
        <w:tc>
          <w:tcPr>
            <w:tcW w:w="6814"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color w:val="000000"/>
                <w:sz w:val="21"/>
                <w:szCs w:val="21"/>
              </w:rPr>
            </w:pPr>
            <w:r>
              <w:rPr>
                <w:rFonts w:hint="eastAsia" w:ascii="宋体" w:hAnsi="宋体" w:eastAsia="宋体"/>
                <w:color w:val="000000"/>
                <w:sz w:val="21"/>
                <w:szCs w:val="21"/>
              </w:rPr>
              <w:t>高保真拾音器，抗回声、抗啸叫，适用于审讯室、会议室等空旷房间安装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color w:val="000000"/>
                <w:sz w:val="21"/>
                <w:szCs w:val="21"/>
              </w:rPr>
            </w:pPr>
            <w:r>
              <w:rPr>
                <w:rFonts w:hint="eastAsia" w:ascii="宋体" w:hAnsi="宋体" w:eastAsia="宋体"/>
                <w:color w:val="000000"/>
                <w:sz w:val="21"/>
                <w:szCs w:val="21"/>
              </w:rPr>
              <w:t>9</w:t>
            </w:r>
          </w:p>
        </w:tc>
        <w:tc>
          <w:tcPr>
            <w:tcW w:w="174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sz w:val="21"/>
                <w:szCs w:val="21"/>
              </w:rPr>
            </w:pPr>
            <w:r>
              <w:rPr>
                <w:rFonts w:hint="eastAsia" w:ascii="宋体" w:hAnsi="宋体" w:eastAsia="宋体"/>
                <w:sz w:val="21"/>
                <w:szCs w:val="21"/>
              </w:rPr>
              <w:t>视音频流媒体融合服务器</w:t>
            </w: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color w:val="000000"/>
                <w:sz w:val="21"/>
                <w:szCs w:val="21"/>
              </w:rPr>
            </w:pPr>
            <w:r>
              <w:rPr>
                <w:rFonts w:hint="eastAsia" w:ascii="宋体" w:hAnsi="宋体" w:eastAsia="宋体"/>
                <w:color w:val="000000"/>
                <w:sz w:val="21"/>
                <w:szCs w:val="21"/>
              </w:rPr>
              <w:t>1台</w:t>
            </w:r>
          </w:p>
        </w:tc>
        <w:tc>
          <w:tcPr>
            <w:tcW w:w="6814"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sz w:val="21"/>
                <w:szCs w:val="21"/>
              </w:rPr>
            </w:pPr>
            <w:r>
              <w:rPr>
                <w:rFonts w:hint="eastAsia" w:ascii="宋体" w:hAnsi="宋体" w:eastAsia="宋体"/>
                <w:sz w:val="21"/>
                <w:szCs w:val="21"/>
              </w:rPr>
              <w:t>专用音视频流媒体融合服务器（2U）, 内置高性能工业控制主机、标准视音频统一接入/转发模组、实时屏幕流编解码接入/转发模组、实时证据流编解码接入/转发模组、HLS编解码模组等部件；内置GB/T 28281、RTSP、HLS等多种接口协议，视音频融合编解码算法，关键视音频切片上报算法；可对接办案区全部视音频设备（包括但不限于IPC\NVR\SVR\行为分析仪等）支持2000路设备接入\300路并发解码\跨平台、跨浏览器实时访问\移动智能设备（警务通）访问。</w:t>
            </w:r>
          </w:p>
          <w:p>
            <w:pPr>
              <w:spacing w:line="360" w:lineRule="exact"/>
              <w:rPr>
                <w:rFonts w:ascii="宋体" w:hAnsi="宋体" w:eastAsia="宋体"/>
                <w:sz w:val="21"/>
                <w:szCs w:val="21"/>
              </w:rPr>
            </w:pPr>
            <w:r>
              <w:rPr>
                <w:rFonts w:hint="eastAsia" w:ascii="宋体" w:hAnsi="宋体" w:eastAsia="宋体"/>
                <w:sz w:val="21"/>
                <w:szCs w:val="21"/>
              </w:rPr>
              <w:t>▲内置可支持该设备运行所有功能的嵌入式软件（需提供由权威第三方机构出具的“嵌入式软件”著作权证书</w:t>
            </w:r>
            <w:r>
              <w:rPr>
                <w:rFonts w:hint="eastAsia" w:ascii="宋体" w:hAnsi="宋体" w:eastAsia="宋体"/>
                <w:color w:val="000000"/>
                <w:sz w:val="21"/>
                <w:szCs w:val="21"/>
              </w:rPr>
              <w:t>并加盖投标人公章</w:t>
            </w:r>
            <w:r>
              <w:rPr>
                <w:rFonts w:hint="eastAsia" w:ascii="宋体" w:hAnsi="宋体" w:eastAsia="宋体"/>
                <w:sz w:val="21"/>
                <w:szCs w:val="21"/>
              </w:rPr>
              <w:t>）</w:t>
            </w:r>
          </w:p>
          <w:p>
            <w:pPr>
              <w:spacing w:line="360" w:lineRule="exact"/>
              <w:rPr>
                <w:rFonts w:ascii="宋体" w:hAnsi="宋体" w:eastAsia="宋体"/>
                <w:sz w:val="21"/>
                <w:szCs w:val="21"/>
              </w:rPr>
            </w:pPr>
            <w:r>
              <w:rPr>
                <w:rFonts w:hint="eastAsia" w:ascii="宋体" w:hAnsi="宋体" w:eastAsia="宋体"/>
                <w:sz w:val="21"/>
                <w:szCs w:val="21"/>
              </w:rPr>
              <w:t>▲设备内置嵌入式软件应具备添加设备、监控视频播放、录像回访、开始转码、桌面推流等功能模块；（需提供第三方检测机构出具的测试报告复印件</w:t>
            </w:r>
            <w:r>
              <w:rPr>
                <w:rFonts w:hint="eastAsia" w:ascii="宋体" w:hAnsi="宋体" w:eastAsia="宋体"/>
                <w:color w:val="000000"/>
                <w:sz w:val="21"/>
                <w:szCs w:val="21"/>
              </w:rPr>
              <w:t>并加盖投标人公章</w:t>
            </w:r>
            <w:r>
              <w:rPr>
                <w:rFonts w:hint="eastAsia" w:ascii="宋体" w:hAnsi="宋体" w:eastAsia="宋体"/>
                <w:sz w:val="21"/>
                <w:szCs w:val="21"/>
              </w:rPr>
              <w:t>，证明材料中应至少包含以上5项功能模块需求）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color w:val="000000"/>
                <w:sz w:val="21"/>
                <w:szCs w:val="21"/>
              </w:rPr>
            </w:pPr>
            <w:r>
              <w:rPr>
                <w:rFonts w:hint="eastAsia" w:ascii="宋体" w:hAnsi="宋体" w:eastAsia="宋体"/>
                <w:color w:val="000000"/>
                <w:sz w:val="21"/>
                <w:szCs w:val="21"/>
              </w:rPr>
              <w:t>10</w:t>
            </w:r>
          </w:p>
        </w:tc>
        <w:tc>
          <w:tcPr>
            <w:tcW w:w="174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sz w:val="21"/>
                <w:szCs w:val="21"/>
              </w:rPr>
            </w:pPr>
            <w:r>
              <w:rPr>
                <w:rFonts w:hint="eastAsia" w:ascii="宋体" w:hAnsi="宋体" w:eastAsia="宋体"/>
                <w:sz w:val="21"/>
                <w:szCs w:val="21"/>
              </w:rPr>
              <w:t>高性能台式PC机</w:t>
            </w: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color w:val="000000"/>
                <w:sz w:val="21"/>
                <w:szCs w:val="21"/>
              </w:rPr>
            </w:pPr>
            <w:r>
              <w:rPr>
                <w:rFonts w:hint="eastAsia" w:ascii="宋体" w:hAnsi="宋体" w:eastAsia="宋体"/>
                <w:color w:val="000000"/>
                <w:sz w:val="21"/>
                <w:szCs w:val="21"/>
              </w:rPr>
              <w:t>1台</w:t>
            </w:r>
          </w:p>
        </w:tc>
        <w:tc>
          <w:tcPr>
            <w:tcW w:w="6814"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 w:val="21"/>
                <w:szCs w:val="21"/>
              </w:rPr>
            </w:pPr>
            <w:r>
              <w:rPr>
                <w:rFonts w:hint="eastAsia" w:ascii="宋体" w:hAnsi="宋体" w:eastAsia="宋体"/>
                <w:sz w:val="21"/>
                <w:szCs w:val="21"/>
              </w:rPr>
              <w:t>intel I5-9400/8G DDR4/2G独显/256G高速SDD+1TB硬盘/HDMI VGA USB 2.0 3.0千兆有线网卡/19.5英寸液晶显示器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color w:val="000000"/>
                <w:sz w:val="21"/>
                <w:szCs w:val="21"/>
              </w:rPr>
            </w:pPr>
            <w:r>
              <w:rPr>
                <w:rFonts w:hint="eastAsia" w:ascii="宋体" w:hAnsi="宋体" w:eastAsia="宋体"/>
                <w:color w:val="000000"/>
                <w:sz w:val="21"/>
                <w:szCs w:val="21"/>
              </w:rPr>
              <w:t>11</w:t>
            </w:r>
          </w:p>
        </w:tc>
        <w:tc>
          <w:tcPr>
            <w:tcW w:w="174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sz w:val="21"/>
                <w:szCs w:val="21"/>
              </w:rPr>
            </w:pPr>
            <w:r>
              <w:rPr>
                <w:rFonts w:hint="eastAsia" w:ascii="宋体" w:hAnsi="宋体" w:eastAsia="宋体"/>
                <w:sz w:val="21"/>
                <w:szCs w:val="21"/>
              </w:rPr>
              <w:t>办案区管理信息系统</w:t>
            </w: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color w:val="000000"/>
                <w:sz w:val="21"/>
                <w:szCs w:val="21"/>
              </w:rPr>
            </w:pPr>
            <w:r>
              <w:rPr>
                <w:rFonts w:hint="eastAsia" w:ascii="宋体" w:hAnsi="宋体" w:eastAsia="宋体"/>
                <w:color w:val="000000"/>
                <w:sz w:val="21"/>
                <w:szCs w:val="21"/>
              </w:rPr>
              <w:t>1套</w:t>
            </w:r>
          </w:p>
        </w:tc>
        <w:tc>
          <w:tcPr>
            <w:tcW w:w="6814"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sz w:val="21"/>
                <w:szCs w:val="21"/>
              </w:rPr>
            </w:pPr>
            <w:r>
              <w:rPr>
                <w:rFonts w:hint="eastAsia" w:ascii="宋体" w:hAnsi="宋体" w:eastAsia="宋体"/>
                <w:sz w:val="21"/>
                <w:szCs w:val="21"/>
              </w:rPr>
              <w:t>办案区智能管理系统可对涉案人员，随身物品的信息进行管理，除此之外，办案区视频，人员身份识别，功能室使用控制，墙体，弱电等均可通过本系统进行管理，强制促进办案区工作人员程序到位，步骤规范，行为安全。</w:t>
            </w:r>
          </w:p>
          <w:p>
            <w:pPr>
              <w:spacing w:line="360" w:lineRule="exact"/>
              <w:rPr>
                <w:rFonts w:ascii="宋体" w:hAnsi="宋体" w:eastAsia="宋体" w:cs="宋体"/>
                <w:sz w:val="21"/>
                <w:szCs w:val="21"/>
              </w:rPr>
            </w:pPr>
            <w:r>
              <w:rPr>
                <w:rFonts w:hint="eastAsia" w:ascii="宋体" w:hAnsi="宋体" w:eastAsia="宋体"/>
                <w:sz w:val="21"/>
                <w:szCs w:val="21"/>
              </w:rPr>
              <w:t>▲功能模块：1、功能区域管理；2、人员入区登记；3、人身安全检查信息登记；4、物品存管信息登记；5、人员标采信息登记；6、出区登记；7、办案区使用情况登记；8、办案流程台账查询。（需提供由同时具备CMA、CNAS、CAL检测资质的检测机构出具的软件系统类检测报告复印件，至少包含以上8项功能，缺一不可并加盖投标人公章，检测报告封面应有以上三项检测资质标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color w:val="000000"/>
                <w:sz w:val="21"/>
                <w:szCs w:val="21"/>
              </w:rPr>
            </w:pPr>
            <w:r>
              <w:rPr>
                <w:rFonts w:hint="eastAsia" w:ascii="宋体" w:hAnsi="宋体" w:eastAsia="宋体"/>
                <w:color w:val="000000"/>
                <w:sz w:val="21"/>
                <w:szCs w:val="21"/>
              </w:rPr>
              <w:t>12</w:t>
            </w:r>
          </w:p>
        </w:tc>
        <w:tc>
          <w:tcPr>
            <w:tcW w:w="174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sz w:val="21"/>
                <w:szCs w:val="21"/>
              </w:rPr>
            </w:pPr>
            <w:r>
              <w:rPr>
                <w:rFonts w:hint="eastAsia" w:ascii="宋体" w:hAnsi="宋体" w:eastAsia="宋体"/>
                <w:sz w:val="21"/>
                <w:szCs w:val="21"/>
              </w:rPr>
              <w:t>大屏电视</w:t>
            </w: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color w:val="000000"/>
                <w:sz w:val="21"/>
                <w:szCs w:val="21"/>
              </w:rPr>
            </w:pPr>
            <w:r>
              <w:rPr>
                <w:rFonts w:hint="eastAsia" w:ascii="宋体" w:hAnsi="宋体" w:eastAsia="宋体"/>
                <w:color w:val="000000"/>
                <w:sz w:val="21"/>
                <w:szCs w:val="21"/>
              </w:rPr>
              <w:t>1套</w:t>
            </w:r>
          </w:p>
        </w:tc>
        <w:tc>
          <w:tcPr>
            <w:tcW w:w="6814"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 w:val="21"/>
                <w:szCs w:val="21"/>
              </w:rPr>
            </w:pPr>
            <w:r>
              <w:rPr>
                <w:rFonts w:hint="eastAsia" w:ascii="宋体" w:hAnsi="宋体" w:eastAsia="宋体"/>
                <w:sz w:val="21"/>
                <w:szCs w:val="21"/>
              </w:rPr>
              <w:t>Android系统，LED背光；显示尺寸：75寸，显示比例：16：9；物理分辨率：4K；支持USB，HDMI接口。</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color w:val="000000"/>
                <w:sz w:val="21"/>
                <w:szCs w:val="21"/>
              </w:rPr>
            </w:pPr>
            <w:r>
              <w:rPr>
                <w:rFonts w:hint="eastAsia" w:ascii="宋体" w:hAnsi="宋体" w:eastAsia="宋体"/>
                <w:color w:val="000000"/>
                <w:sz w:val="21"/>
                <w:szCs w:val="21"/>
              </w:rPr>
              <w:t>13</w:t>
            </w:r>
          </w:p>
        </w:tc>
        <w:tc>
          <w:tcPr>
            <w:tcW w:w="174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sz w:val="21"/>
                <w:szCs w:val="21"/>
              </w:rPr>
            </w:pPr>
            <w:r>
              <w:rPr>
                <w:rFonts w:hint="eastAsia" w:ascii="宋体" w:hAnsi="宋体" w:eastAsia="宋体"/>
                <w:sz w:val="21"/>
                <w:szCs w:val="21"/>
              </w:rPr>
              <w:t>高性能台式PC机</w:t>
            </w: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color w:val="000000"/>
                <w:sz w:val="21"/>
                <w:szCs w:val="21"/>
              </w:rPr>
            </w:pPr>
            <w:r>
              <w:rPr>
                <w:rFonts w:hint="eastAsia" w:ascii="宋体" w:hAnsi="宋体" w:eastAsia="宋体"/>
                <w:color w:val="000000"/>
                <w:sz w:val="21"/>
                <w:szCs w:val="21"/>
              </w:rPr>
              <w:t>1台</w:t>
            </w:r>
          </w:p>
        </w:tc>
        <w:tc>
          <w:tcPr>
            <w:tcW w:w="6814"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 w:val="21"/>
                <w:szCs w:val="21"/>
              </w:rPr>
            </w:pPr>
            <w:r>
              <w:rPr>
                <w:rFonts w:hint="eastAsia" w:ascii="宋体" w:hAnsi="宋体" w:eastAsia="宋体"/>
                <w:sz w:val="21"/>
                <w:szCs w:val="21"/>
              </w:rPr>
              <w:t>intel I5-9400/8G DDR4/2G独显/256G高速SDD+1TB硬盘/HDMI VGA USB 2.0 3.0千兆有线网卡/19.5英寸液晶显示器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color w:val="000000"/>
                <w:sz w:val="21"/>
                <w:szCs w:val="21"/>
              </w:rPr>
            </w:pPr>
            <w:r>
              <w:rPr>
                <w:rFonts w:hint="eastAsia" w:ascii="宋体" w:hAnsi="宋体" w:eastAsia="宋体"/>
                <w:color w:val="000000"/>
                <w:sz w:val="21"/>
                <w:szCs w:val="21"/>
              </w:rPr>
              <w:t>14</w:t>
            </w:r>
          </w:p>
        </w:tc>
        <w:tc>
          <w:tcPr>
            <w:tcW w:w="174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sz w:val="21"/>
                <w:szCs w:val="21"/>
              </w:rPr>
            </w:pPr>
            <w:r>
              <w:rPr>
                <w:rFonts w:hint="eastAsia" w:ascii="宋体" w:hAnsi="宋体" w:eastAsia="宋体"/>
                <w:sz w:val="21"/>
                <w:szCs w:val="21"/>
              </w:rPr>
              <w:t>涉案物证管理信息系统</w:t>
            </w: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color w:val="000000"/>
                <w:sz w:val="21"/>
                <w:szCs w:val="21"/>
              </w:rPr>
            </w:pPr>
            <w:r>
              <w:rPr>
                <w:rFonts w:hint="eastAsia" w:ascii="宋体" w:hAnsi="宋体" w:eastAsia="宋体"/>
                <w:color w:val="000000"/>
                <w:sz w:val="21"/>
                <w:szCs w:val="21"/>
              </w:rPr>
              <w:t>1套</w:t>
            </w:r>
          </w:p>
        </w:tc>
        <w:tc>
          <w:tcPr>
            <w:tcW w:w="6814"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sz w:val="21"/>
                <w:szCs w:val="21"/>
              </w:rPr>
            </w:pPr>
            <w:r>
              <w:rPr>
                <w:rFonts w:hint="eastAsia" w:ascii="宋体" w:hAnsi="宋体" w:eastAsia="宋体"/>
                <w:sz w:val="21"/>
                <w:szCs w:val="21"/>
              </w:rPr>
              <w:t>涉案财物管理系统以公安机关在执法办案过程中通过依法扣押，查封，冻结，扣留，调取，先行登记保存，抽样取证，追缴，收缴等方式提取或者固定的与案件相关，需要作为证据使用的物品，款项，数据，文件以及办案过程中依法收取的各类保证金等为对象，以入库，保存，出库，处理等环节为重点，实现物证在公安机关的全流程管理</w:t>
            </w:r>
          </w:p>
          <w:p>
            <w:pPr>
              <w:spacing w:line="360" w:lineRule="exact"/>
              <w:rPr>
                <w:rFonts w:ascii="宋体" w:hAnsi="宋体" w:eastAsia="宋体" w:cs="宋体"/>
                <w:sz w:val="21"/>
                <w:szCs w:val="21"/>
              </w:rPr>
            </w:pPr>
            <w:r>
              <w:rPr>
                <w:rFonts w:hint="eastAsia" w:ascii="宋体" w:hAnsi="宋体" w:eastAsia="宋体"/>
                <w:sz w:val="21"/>
                <w:szCs w:val="21"/>
              </w:rPr>
              <w:t>▲功能模块：1、案件信息管理；2、物品延期登记；3、物品调用延期登记；4、物品存放场所管理；5、物品存放区域管理；6、物品存放空间管理；7、物品条码查询；8、涉案财物综合台账查询。（需提供由同时具备CMA、CNAS、CAL检测资质的检测机构出具的软件系统类检测报告复印件，至少包含以上8项功能，缺一不可并加盖投标人公章，检测报告封面应有以上三项检测资质标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color w:val="000000"/>
                <w:sz w:val="21"/>
                <w:szCs w:val="21"/>
              </w:rPr>
            </w:pPr>
            <w:r>
              <w:rPr>
                <w:rFonts w:hint="eastAsia" w:ascii="宋体" w:hAnsi="宋体" w:eastAsia="宋体"/>
                <w:color w:val="000000"/>
                <w:sz w:val="21"/>
                <w:szCs w:val="21"/>
              </w:rPr>
              <w:t>15</w:t>
            </w:r>
          </w:p>
        </w:tc>
        <w:tc>
          <w:tcPr>
            <w:tcW w:w="174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sz w:val="21"/>
                <w:szCs w:val="21"/>
              </w:rPr>
            </w:pPr>
            <w:r>
              <w:rPr>
                <w:rFonts w:hint="eastAsia" w:ascii="宋体" w:hAnsi="宋体" w:eastAsia="宋体"/>
                <w:sz w:val="21"/>
                <w:szCs w:val="21"/>
              </w:rPr>
              <w:t>案管智能终端</w:t>
            </w: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color w:val="000000"/>
                <w:sz w:val="21"/>
                <w:szCs w:val="21"/>
              </w:rPr>
            </w:pPr>
            <w:r>
              <w:rPr>
                <w:rFonts w:hint="eastAsia" w:ascii="宋体" w:hAnsi="宋体" w:eastAsia="宋体"/>
                <w:color w:val="000000"/>
                <w:sz w:val="21"/>
                <w:szCs w:val="21"/>
              </w:rPr>
              <w:t>1台</w:t>
            </w:r>
          </w:p>
        </w:tc>
        <w:tc>
          <w:tcPr>
            <w:tcW w:w="6814"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sz w:val="21"/>
                <w:szCs w:val="21"/>
              </w:rPr>
            </w:pPr>
            <w:r>
              <w:rPr>
                <w:rFonts w:hint="eastAsia" w:ascii="宋体" w:hAnsi="宋体" w:eastAsia="宋体"/>
                <w:sz w:val="21"/>
                <w:szCs w:val="21"/>
              </w:rPr>
              <w:t>产品规格:</w:t>
            </w:r>
          </w:p>
          <w:p>
            <w:pPr>
              <w:spacing w:line="360" w:lineRule="exact"/>
              <w:rPr>
                <w:rFonts w:ascii="宋体" w:hAnsi="宋体" w:eastAsia="宋体"/>
                <w:sz w:val="21"/>
                <w:szCs w:val="21"/>
              </w:rPr>
            </w:pPr>
            <w:r>
              <w:rPr>
                <w:rFonts w:hint="eastAsia" w:ascii="宋体" w:hAnsi="宋体" w:eastAsia="宋体"/>
                <w:sz w:val="21"/>
                <w:szCs w:val="21"/>
              </w:rPr>
              <w:t>1、工控级主机配置不低于；定制低能耗CPU3.0Ghz；8G DDR3 1600MZ内存；256GSSD硬盘；2个千兆网口；支持VGA+DVI双显</w:t>
            </w:r>
          </w:p>
          <w:p>
            <w:pPr>
              <w:spacing w:line="360" w:lineRule="exact"/>
              <w:rPr>
                <w:rFonts w:ascii="宋体" w:hAnsi="宋体" w:eastAsia="宋体"/>
                <w:sz w:val="21"/>
                <w:szCs w:val="21"/>
              </w:rPr>
            </w:pPr>
            <w:r>
              <w:rPr>
                <w:rFonts w:hint="eastAsia" w:ascii="宋体" w:hAnsi="宋体" w:eastAsia="宋体"/>
                <w:sz w:val="21"/>
                <w:szCs w:val="21"/>
              </w:rPr>
              <w:t>2、不少于10个USB接口，不少于10个串行接口</w:t>
            </w:r>
          </w:p>
          <w:p>
            <w:pPr>
              <w:spacing w:line="360" w:lineRule="exact"/>
              <w:rPr>
                <w:rFonts w:ascii="宋体" w:hAnsi="宋体" w:eastAsia="宋体"/>
                <w:sz w:val="21"/>
                <w:szCs w:val="21"/>
              </w:rPr>
            </w:pPr>
            <w:r>
              <w:rPr>
                <w:rFonts w:hint="eastAsia" w:ascii="宋体" w:hAnsi="宋体" w:eastAsia="宋体"/>
                <w:sz w:val="21"/>
                <w:szCs w:val="21"/>
              </w:rPr>
              <w:t>3、▲A4幅面高速扫描设备，每分钟扫描速度不少于三十页（60面）（需提供由同时具备CMA、CNAS、CAL检测资质的检测机构出具的硬件设备类检测报告复印件并加盖投标人公章，检测报告封面应有以上三项检测资质标识）</w:t>
            </w:r>
          </w:p>
          <w:p>
            <w:pPr>
              <w:spacing w:line="360" w:lineRule="exact"/>
              <w:rPr>
                <w:rFonts w:ascii="宋体" w:hAnsi="宋体" w:eastAsia="宋体"/>
                <w:sz w:val="21"/>
                <w:szCs w:val="21"/>
              </w:rPr>
            </w:pPr>
            <w:r>
              <w:rPr>
                <w:rFonts w:hint="eastAsia" w:ascii="宋体" w:hAnsi="宋体" w:eastAsia="宋体"/>
                <w:sz w:val="21"/>
                <w:szCs w:val="21"/>
              </w:rPr>
              <w:t>4、高速扫描支持上方进纸、下方出纸方式；</w:t>
            </w:r>
          </w:p>
          <w:p>
            <w:pPr>
              <w:spacing w:line="360" w:lineRule="exact"/>
              <w:rPr>
                <w:rFonts w:ascii="宋体" w:hAnsi="宋体" w:eastAsia="宋体"/>
                <w:sz w:val="21"/>
                <w:szCs w:val="21"/>
              </w:rPr>
            </w:pPr>
            <w:r>
              <w:rPr>
                <w:rFonts w:hint="eastAsia" w:ascii="宋体" w:hAnsi="宋体" w:eastAsia="宋体"/>
                <w:sz w:val="21"/>
                <w:szCs w:val="21"/>
              </w:rPr>
              <w:t>5、▲良好的防卡纸能力，连续扫描不出现卡纸现象； （需提供由同时具备CMA、CNAS、CAL检测资质的检测机构出具的硬件设备类检测报告复印件并加盖投标人公章，检测报告封面应有以上三项检测资质标识）</w:t>
            </w:r>
          </w:p>
          <w:p>
            <w:pPr>
              <w:spacing w:line="360" w:lineRule="exact"/>
              <w:rPr>
                <w:rFonts w:ascii="宋体" w:hAnsi="宋体" w:eastAsia="宋体"/>
                <w:sz w:val="21"/>
                <w:szCs w:val="21"/>
              </w:rPr>
            </w:pPr>
            <w:r>
              <w:rPr>
                <w:rFonts w:hint="eastAsia" w:ascii="宋体" w:hAnsi="宋体" w:eastAsia="宋体"/>
                <w:sz w:val="21"/>
                <w:szCs w:val="21"/>
              </w:rPr>
              <w:t>6、嵌入式DVD RW刻录设备 1个</w:t>
            </w:r>
          </w:p>
          <w:p>
            <w:pPr>
              <w:spacing w:line="360" w:lineRule="exact"/>
              <w:rPr>
                <w:rFonts w:ascii="宋体" w:hAnsi="宋体" w:eastAsia="宋体"/>
                <w:sz w:val="21"/>
                <w:szCs w:val="21"/>
              </w:rPr>
            </w:pPr>
            <w:r>
              <w:rPr>
                <w:rFonts w:hint="eastAsia" w:ascii="宋体" w:hAnsi="宋体" w:eastAsia="宋体"/>
                <w:sz w:val="21"/>
                <w:szCs w:val="21"/>
              </w:rPr>
              <w:t>7、国密级安全电子证书2枚，支持和检察院安全交换电子案卷</w:t>
            </w:r>
          </w:p>
          <w:p>
            <w:pPr>
              <w:spacing w:line="360" w:lineRule="exact"/>
              <w:rPr>
                <w:rFonts w:ascii="宋体" w:hAnsi="宋体" w:eastAsia="宋体"/>
                <w:sz w:val="21"/>
                <w:szCs w:val="21"/>
              </w:rPr>
            </w:pPr>
            <w:r>
              <w:rPr>
                <w:rFonts w:hint="eastAsia" w:ascii="宋体" w:hAnsi="宋体" w:eastAsia="宋体"/>
                <w:sz w:val="21"/>
                <w:szCs w:val="21"/>
              </w:rPr>
              <w:t>8、▲高容量存纸，至少支持50页案卷材料放置；（需提供由同时具备CMA、CNAS、CAL检测资质的检测机构出具的硬件设备类检测报告复印件并加盖投标人公章，检测报告封面应有以上三项检测资质标识）</w:t>
            </w:r>
          </w:p>
          <w:p>
            <w:pPr>
              <w:spacing w:line="360" w:lineRule="exact"/>
              <w:rPr>
                <w:rFonts w:ascii="宋体" w:hAnsi="宋体" w:eastAsia="宋体"/>
                <w:sz w:val="21"/>
                <w:szCs w:val="21"/>
              </w:rPr>
            </w:pPr>
            <w:r>
              <w:rPr>
                <w:rFonts w:hint="eastAsia" w:ascii="宋体" w:hAnsi="宋体" w:eastAsia="宋体"/>
                <w:sz w:val="21"/>
                <w:szCs w:val="21"/>
              </w:rPr>
              <w:t>9、≥21.5英寸高清晰度嵌入式显示屏</w:t>
            </w:r>
          </w:p>
          <w:p>
            <w:pPr>
              <w:spacing w:line="360" w:lineRule="exact"/>
              <w:rPr>
                <w:rFonts w:ascii="宋体" w:hAnsi="宋体" w:eastAsia="宋体"/>
                <w:sz w:val="21"/>
                <w:szCs w:val="21"/>
              </w:rPr>
            </w:pPr>
            <w:r>
              <w:rPr>
                <w:rFonts w:hint="eastAsia" w:ascii="宋体" w:hAnsi="宋体" w:eastAsia="宋体"/>
                <w:sz w:val="21"/>
                <w:szCs w:val="21"/>
              </w:rPr>
              <w:t>10、智能高清人像抓拍及身份验证一体化模组；</w:t>
            </w:r>
          </w:p>
          <w:p>
            <w:pPr>
              <w:spacing w:line="360" w:lineRule="exact"/>
              <w:rPr>
                <w:rFonts w:ascii="宋体" w:hAnsi="宋体" w:eastAsia="宋体"/>
                <w:sz w:val="21"/>
                <w:szCs w:val="21"/>
              </w:rPr>
            </w:pPr>
            <w:r>
              <w:rPr>
                <w:rFonts w:hint="eastAsia" w:ascii="宋体" w:hAnsi="宋体" w:eastAsia="宋体"/>
                <w:sz w:val="21"/>
                <w:szCs w:val="21"/>
              </w:rPr>
              <w:t>11、符合公安部标准，采用二代居民身份证指纹图像采集标准的指纹采集模块</w:t>
            </w:r>
          </w:p>
          <w:p>
            <w:pPr>
              <w:spacing w:line="360" w:lineRule="exact"/>
              <w:rPr>
                <w:rFonts w:ascii="宋体" w:hAnsi="宋体" w:eastAsia="宋体"/>
                <w:sz w:val="21"/>
                <w:szCs w:val="21"/>
              </w:rPr>
            </w:pPr>
            <w:r>
              <w:rPr>
                <w:rFonts w:hint="eastAsia" w:ascii="宋体" w:hAnsi="宋体" w:eastAsia="宋体"/>
                <w:sz w:val="21"/>
                <w:szCs w:val="21"/>
              </w:rPr>
              <w:t>12、▲较强的环境适应性，可支持0-50摄氏度环境下工作，支持-40-60摄氏度环境下正常存储；（需提供由同时具备CMA、CNAS、CAL检测资质的检测机构出具的硬件设备类检测报告复印件并加盖投标人公章，检测报告封面应有以上三项检测资质标识）</w:t>
            </w:r>
          </w:p>
          <w:p>
            <w:pPr>
              <w:spacing w:line="360" w:lineRule="exact"/>
              <w:rPr>
                <w:rFonts w:ascii="宋体" w:hAnsi="宋体" w:eastAsia="宋体"/>
                <w:sz w:val="21"/>
                <w:szCs w:val="21"/>
              </w:rPr>
            </w:pPr>
            <w:r>
              <w:rPr>
                <w:rFonts w:hint="eastAsia" w:ascii="宋体" w:hAnsi="宋体" w:eastAsia="宋体"/>
                <w:sz w:val="21"/>
                <w:szCs w:val="21"/>
              </w:rPr>
              <w:t>13、▲良好的抗静电能力：静电放电扰度符合GB/T17626.2-2008中等级3规定，安全可靠；（需提供由同时具备CMA、CNAS、CAL检测资质的检测机构出具的硬件设备类检测报告复印件并加盖投标人公章，检测报告封面应有以上三项检测资质标识）</w:t>
            </w:r>
          </w:p>
          <w:p>
            <w:pPr>
              <w:spacing w:line="360" w:lineRule="exact"/>
              <w:rPr>
                <w:rFonts w:ascii="宋体" w:hAnsi="宋体" w:eastAsia="宋体"/>
                <w:sz w:val="21"/>
                <w:szCs w:val="21"/>
              </w:rPr>
            </w:pPr>
            <w:r>
              <w:rPr>
                <w:rFonts w:hint="eastAsia" w:ascii="宋体" w:hAnsi="宋体" w:eastAsia="宋体"/>
                <w:sz w:val="21"/>
                <w:szCs w:val="21"/>
              </w:rPr>
              <w:t>14、一体化成型，可置物的工作台，采用上掀盖方式维护扫描设备</w:t>
            </w:r>
          </w:p>
          <w:p>
            <w:pPr>
              <w:spacing w:line="360" w:lineRule="exact"/>
              <w:rPr>
                <w:rFonts w:ascii="宋体" w:hAnsi="宋体" w:eastAsia="宋体"/>
                <w:sz w:val="21"/>
                <w:szCs w:val="21"/>
              </w:rPr>
            </w:pPr>
            <w:r>
              <w:rPr>
                <w:rFonts w:hint="eastAsia" w:ascii="宋体" w:hAnsi="宋体" w:eastAsia="宋体"/>
                <w:sz w:val="21"/>
                <w:szCs w:val="21"/>
              </w:rPr>
              <w:t>技术/算法：</w:t>
            </w:r>
          </w:p>
          <w:p>
            <w:pPr>
              <w:spacing w:line="360" w:lineRule="exact"/>
              <w:rPr>
                <w:rFonts w:ascii="宋体" w:hAnsi="宋体" w:eastAsia="宋体"/>
                <w:sz w:val="21"/>
                <w:szCs w:val="21"/>
              </w:rPr>
            </w:pPr>
            <w:r>
              <w:rPr>
                <w:rFonts w:hint="eastAsia" w:ascii="宋体" w:hAnsi="宋体" w:eastAsia="宋体"/>
                <w:sz w:val="21"/>
                <w:szCs w:val="21"/>
              </w:rPr>
              <w:t>15、▲内置可支持该设备运行所有功能的嵌入式软件；（需提供由权威第三方机构出具的“嵌入式软件”证明材料并加盖投标人公章）</w:t>
            </w:r>
          </w:p>
          <w:p>
            <w:pPr>
              <w:spacing w:line="360" w:lineRule="exact"/>
              <w:rPr>
                <w:rFonts w:ascii="宋体" w:hAnsi="宋体" w:eastAsia="宋体"/>
                <w:sz w:val="21"/>
                <w:szCs w:val="21"/>
              </w:rPr>
            </w:pPr>
            <w:r>
              <w:rPr>
                <w:rFonts w:hint="eastAsia" w:ascii="宋体" w:hAnsi="宋体" w:eastAsia="宋体"/>
                <w:sz w:val="21"/>
                <w:szCs w:val="21"/>
              </w:rPr>
              <w:t>16、▲内置案卷国密安全加密算法；（需提供国家密码管理局密码检测中心出具的商用密码产品认证证书复印件并加盖投标人公章）</w:t>
            </w:r>
          </w:p>
          <w:p>
            <w:pPr>
              <w:spacing w:line="360" w:lineRule="exact"/>
              <w:rPr>
                <w:rFonts w:ascii="宋体" w:hAnsi="宋体" w:eastAsia="宋体"/>
                <w:sz w:val="21"/>
                <w:szCs w:val="21"/>
              </w:rPr>
            </w:pPr>
            <w:r>
              <w:rPr>
                <w:rFonts w:hint="eastAsia" w:ascii="宋体" w:hAnsi="宋体" w:eastAsia="宋体"/>
                <w:sz w:val="21"/>
                <w:szCs w:val="21"/>
              </w:rPr>
              <w:t>17、内置案卷材料电子水印及加密条码算法</w:t>
            </w:r>
          </w:p>
          <w:p>
            <w:pPr>
              <w:spacing w:line="360" w:lineRule="exact"/>
              <w:rPr>
                <w:rFonts w:ascii="宋体" w:hAnsi="宋体" w:eastAsia="宋体"/>
                <w:sz w:val="21"/>
                <w:szCs w:val="21"/>
              </w:rPr>
            </w:pPr>
            <w:r>
              <w:rPr>
                <w:rFonts w:hint="eastAsia" w:ascii="宋体" w:hAnsi="宋体" w:eastAsia="宋体"/>
                <w:sz w:val="21"/>
                <w:szCs w:val="21"/>
              </w:rPr>
              <w:t>主要功能：</w:t>
            </w:r>
          </w:p>
          <w:p>
            <w:pPr>
              <w:spacing w:line="360" w:lineRule="exact"/>
              <w:rPr>
                <w:rFonts w:ascii="宋体" w:hAnsi="宋体" w:eastAsia="宋体"/>
                <w:sz w:val="21"/>
                <w:szCs w:val="21"/>
              </w:rPr>
            </w:pPr>
            <w:r>
              <w:rPr>
                <w:rFonts w:hint="eastAsia" w:ascii="宋体" w:hAnsi="宋体" w:eastAsia="宋体"/>
                <w:sz w:val="21"/>
                <w:szCs w:val="21"/>
              </w:rPr>
              <w:t xml:space="preserve">  1、▲指纹验证：支持通过指纹验证登录系统；（需提供由同时具备CMA、CNAS、CAL检测资质的检测机构出具的硬件设备类检测报告复印件并加盖投标人公章，检测报告封面应有以上三项检测资质标识）</w:t>
            </w:r>
          </w:p>
          <w:p>
            <w:pPr>
              <w:spacing w:line="360" w:lineRule="exact"/>
              <w:rPr>
                <w:rFonts w:ascii="宋体" w:hAnsi="宋体" w:eastAsia="宋体"/>
                <w:sz w:val="21"/>
                <w:szCs w:val="21"/>
              </w:rPr>
            </w:pPr>
            <w:r>
              <w:rPr>
                <w:rFonts w:hint="eastAsia" w:ascii="宋体" w:hAnsi="宋体" w:eastAsia="宋体"/>
                <w:sz w:val="21"/>
                <w:szCs w:val="21"/>
              </w:rPr>
              <w:t xml:space="preserve">  2、人像验证：支持通过人像自动识别验证身份，登录系统；</w:t>
            </w:r>
          </w:p>
          <w:p>
            <w:pPr>
              <w:spacing w:line="360" w:lineRule="exact"/>
              <w:rPr>
                <w:rFonts w:ascii="宋体" w:hAnsi="宋体" w:eastAsia="宋体"/>
                <w:sz w:val="21"/>
                <w:szCs w:val="21"/>
              </w:rPr>
            </w:pPr>
            <w:r>
              <w:rPr>
                <w:rFonts w:hint="eastAsia" w:ascii="宋体" w:hAnsi="宋体" w:eastAsia="宋体"/>
                <w:sz w:val="21"/>
                <w:szCs w:val="21"/>
              </w:rPr>
              <w:t xml:space="preserve">  3、卷宗管理：支持通过多种方式建立电子案卷卷宗，并可选择多种案卷模板建立案卷</w:t>
            </w:r>
          </w:p>
          <w:p>
            <w:pPr>
              <w:spacing w:line="360" w:lineRule="exact"/>
              <w:rPr>
                <w:rFonts w:ascii="宋体" w:hAnsi="宋体" w:eastAsia="宋体"/>
                <w:sz w:val="21"/>
                <w:szCs w:val="21"/>
              </w:rPr>
            </w:pPr>
            <w:r>
              <w:rPr>
                <w:rFonts w:hint="eastAsia" w:ascii="宋体" w:hAnsi="宋体" w:eastAsia="宋体"/>
                <w:sz w:val="21"/>
                <w:szCs w:val="21"/>
              </w:rPr>
              <w:t xml:space="preserve">  4、快速采集：支持自动驱动高速扫描或高速拍摄模块批量完成案卷材料的扫描、检测、压缩、存储，并自动为每份案卷材料叠加数字水印，生成唯一性条码；支持快速一键式重新采集</w:t>
            </w:r>
          </w:p>
          <w:p>
            <w:pPr>
              <w:spacing w:line="360" w:lineRule="exact"/>
              <w:rPr>
                <w:rFonts w:ascii="宋体" w:hAnsi="宋体" w:eastAsia="宋体"/>
                <w:sz w:val="21"/>
                <w:szCs w:val="21"/>
              </w:rPr>
            </w:pPr>
            <w:r>
              <w:rPr>
                <w:rFonts w:hint="eastAsia" w:ascii="宋体" w:hAnsi="宋体" w:eastAsia="宋体"/>
                <w:sz w:val="21"/>
                <w:szCs w:val="21"/>
              </w:rPr>
              <w:t xml:space="preserve">  5、▲案卷刻录：自动完成电子案卷文件的安全加密；支持自动生成PDF格式案卷材料并刻录；读取光盘信息时，需输入密码进行验证；（需提供由同时具备CMA、CNAS、CAL检测资质的检测机构出具的硬件设备类检测报告复印件并加盖投标人公章，检测报告封面应有以上三项检测资质标识）</w:t>
            </w:r>
          </w:p>
          <w:p>
            <w:pPr>
              <w:spacing w:line="360" w:lineRule="exact"/>
              <w:rPr>
                <w:rFonts w:ascii="宋体" w:hAnsi="宋体" w:eastAsia="宋体"/>
                <w:sz w:val="21"/>
                <w:szCs w:val="21"/>
              </w:rPr>
            </w:pPr>
            <w:r>
              <w:rPr>
                <w:rFonts w:hint="eastAsia" w:ascii="宋体" w:hAnsi="宋体" w:eastAsia="宋体"/>
                <w:sz w:val="21"/>
                <w:szCs w:val="21"/>
              </w:rPr>
              <w:t xml:space="preserve">  6、案卷阅卷：支持以电子书方式便捷阅览电子案卷，支持灵活的翻页和跳转，支持实时快速批注，支持关联视音频、数据的实时展示</w:t>
            </w:r>
          </w:p>
          <w:p>
            <w:pPr>
              <w:spacing w:line="360" w:lineRule="exact"/>
              <w:rPr>
                <w:rFonts w:ascii="宋体" w:hAnsi="宋体" w:eastAsia="宋体"/>
                <w:sz w:val="21"/>
                <w:szCs w:val="21"/>
              </w:rPr>
            </w:pPr>
            <w:r>
              <w:rPr>
                <w:rFonts w:hint="eastAsia" w:ascii="宋体" w:hAnsi="宋体" w:eastAsia="宋体"/>
                <w:sz w:val="21"/>
                <w:szCs w:val="21"/>
              </w:rPr>
              <w:t xml:space="preserve">  7、案卷打印：支持部分或全部打印电子案卷的内容；</w:t>
            </w:r>
          </w:p>
          <w:p>
            <w:pPr>
              <w:spacing w:line="360" w:lineRule="exact"/>
              <w:rPr>
                <w:rFonts w:ascii="宋体" w:hAnsi="宋体" w:eastAsia="宋体"/>
                <w:sz w:val="21"/>
                <w:szCs w:val="21"/>
              </w:rPr>
            </w:pPr>
            <w:r>
              <w:rPr>
                <w:rFonts w:hint="eastAsia" w:ascii="宋体" w:hAnsi="宋体" w:eastAsia="宋体"/>
                <w:sz w:val="21"/>
                <w:szCs w:val="21"/>
              </w:rPr>
              <w:t xml:space="preserve">  8、案卷流转：支持案卷移送、案卷接收、提请逮捕流转、移送起诉流转、补充侦查流转等多种案卷流转需求</w:t>
            </w:r>
          </w:p>
          <w:p>
            <w:pPr>
              <w:spacing w:line="360" w:lineRule="exact"/>
              <w:rPr>
                <w:rFonts w:ascii="宋体" w:hAnsi="宋体" w:eastAsia="宋体"/>
                <w:sz w:val="21"/>
                <w:szCs w:val="21"/>
              </w:rPr>
            </w:pPr>
            <w:r>
              <w:rPr>
                <w:rFonts w:hint="eastAsia" w:ascii="宋体" w:hAnsi="宋体" w:eastAsia="宋体"/>
                <w:sz w:val="21"/>
                <w:szCs w:val="21"/>
              </w:rPr>
              <w:t xml:space="preserve">  9、案卷管理：支持变更（更新）办案人、单位，案卷归档、案卷作废（撤销）</w:t>
            </w:r>
          </w:p>
          <w:p>
            <w:pPr>
              <w:spacing w:line="360" w:lineRule="exact"/>
              <w:rPr>
                <w:rFonts w:ascii="宋体" w:hAnsi="宋体" w:eastAsia="宋体"/>
                <w:sz w:val="21"/>
                <w:szCs w:val="21"/>
              </w:rPr>
            </w:pPr>
            <w:r>
              <w:rPr>
                <w:rFonts w:hint="eastAsia" w:ascii="宋体" w:hAnsi="宋体" w:eastAsia="宋体"/>
                <w:sz w:val="21"/>
                <w:szCs w:val="21"/>
              </w:rPr>
              <w:t xml:space="preserve">  10、案卷柜控制：采用与实际案卷柜相同的布局，实时对每个存放单元的操作进行轨迹记录</w:t>
            </w:r>
          </w:p>
          <w:p>
            <w:pPr>
              <w:spacing w:line="360" w:lineRule="exact"/>
              <w:rPr>
                <w:rFonts w:ascii="宋体" w:hAnsi="宋体" w:eastAsia="宋体"/>
                <w:sz w:val="21"/>
                <w:szCs w:val="21"/>
              </w:rPr>
            </w:pPr>
            <w:r>
              <w:rPr>
                <w:rFonts w:hint="eastAsia" w:ascii="宋体" w:hAnsi="宋体" w:eastAsia="宋体"/>
                <w:sz w:val="21"/>
                <w:szCs w:val="21"/>
              </w:rPr>
              <w:t xml:space="preserve">  11、▲轨迹跟踪：可随时查阅案卷调阅记录；（需提供由同时具备CMA、CNAS、CAL检测资质的检测机构出具的硬件设备类检测报告复印件并加盖投标人公章，检测报告封面应有以上三项检测资质标识）</w:t>
            </w:r>
          </w:p>
          <w:p>
            <w:pPr>
              <w:spacing w:line="360" w:lineRule="exact"/>
              <w:rPr>
                <w:rFonts w:ascii="宋体" w:hAnsi="宋体" w:eastAsia="宋体"/>
                <w:sz w:val="21"/>
                <w:szCs w:val="21"/>
              </w:rPr>
            </w:pPr>
            <w:r>
              <w:rPr>
                <w:rFonts w:hint="eastAsia" w:ascii="宋体" w:hAnsi="宋体" w:eastAsia="宋体"/>
                <w:sz w:val="21"/>
                <w:szCs w:val="21"/>
              </w:rPr>
              <w:t>接口：</w:t>
            </w:r>
          </w:p>
          <w:p>
            <w:pPr>
              <w:spacing w:line="360" w:lineRule="exact"/>
              <w:rPr>
                <w:rFonts w:ascii="宋体" w:hAnsi="宋体" w:eastAsia="宋体" w:cs="宋体"/>
                <w:sz w:val="21"/>
                <w:szCs w:val="21"/>
              </w:rPr>
            </w:pPr>
            <w:r>
              <w:rPr>
                <w:rFonts w:hint="eastAsia" w:ascii="宋体" w:hAnsi="宋体" w:eastAsia="宋体"/>
                <w:sz w:val="21"/>
                <w:szCs w:val="21"/>
              </w:rPr>
              <w:t>1、 应支持无缝对接案卷管理系统，并和案卷管理系统协同工作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color w:val="000000"/>
                <w:sz w:val="21"/>
                <w:szCs w:val="21"/>
              </w:rPr>
            </w:pPr>
            <w:r>
              <w:rPr>
                <w:rFonts w:hint="eastAsia" w:ascii="宋体" w:hAnsi="宋体" w:eastAsia="宋体"/>
                <w:color w:val="000000"/>
                <w:sz w:val="21"/>
                <w:szCs w:val="21"/>
              </w:rPr>
              <w:t>16</w:t>
            </w:r>
          </w:p>
        </w:tc>
        <w:tc>
          <w:tcPr>
            <w:tcW w:w="174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sz w:val="21"/>
                <w:szCs w:val="21"/>
              </w:rPr>
            </w:pPr>
            <w:r>
              <w:rPr>
                <w:rFonts w:hint="eastAsia" w:ascii="宋体" w:hAnsi="宋体" w:eastAsia="宋体"/>
                <w:sz w:val="21"/>
                <w:szCs w:val="21"/>
              </w:rPr>
              <w:t>智能案管柜</w:t>
            </w: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color w:val="000000"/>
                <w:sz w:val="21"/>
                <w:szCs w:val="21"/>
              </w:rPr>
            </w:pPr>
            <w:r>
              <w:rPr>
                <w:rFonts w:hint="eastAsia" w:ascii="宋体" w:hAnsi="宋体" w:eastAsia="宋体"/>
                <w:color w:val="000000"/>
                <w:sz w:val="21"/>
                <w:szCs w:val="21"/>
              </w:rPr>
              <w:t>1台</w:t>
            </w:r>
          </w:p>
        </w:tc>
        <w:tc>
          <w:tcPr>
            <w:tcW w:w="6814"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sz w:val="21"/>
                <w:szCs w:val="21"/>
              </w:rPr>
            </w:pPr>
            <w:r>
              <w:rPr>
                <w:rFonts w:hint="eastAsia" w:ascii="宋体" w:hAnsi="宋体" w:eastAsia="宋体"/>
                <w:sz w:val="21"/>
                <w:szCs w:val="21"/>
              </w:rPr>
              <w:t>柜体：1900mm（高）*900 mm（宽）*450mm 厚）门板/门控系统等/内置电源等设备/需提供IP地址/支持基于网络的远程控制/一体化成型</w:t>
            </w:r>
          </w:p>
          <w:p>
            <w:pPr>
              <w:spacing w:line="360" w:lineRule="exact"/>
              <w:rPr>
                <w:rFonts w:ascii="宋体" w:hAnsi="宋体" w:eastAsia="宋体"/>
                <w:sz w:val="21"/>
                <w:szCs w:val="21"/>
              </w:rPr>
            </w:pPr>
            <w:r>
              <w:rPr>
                <w:rFonts w:hint="eastAsia" w:ascii="宋体" w:hAnsi="宋体" w:eastAsia="宋体"/>
                <w:sz w:val="21"/>
                <w:szCs w:val="21"/>
              </w:rPr>
              <w:t>10格存储单元</w:t>
            </w:r>
          </w:p>
          <w:p>
            <w:pPr>
              <w:spacing w:line="360" w:lineRule="exact"/>
              <w:rPr>
                <w:rFonts w:ascii="宋体" w:hAnsi="宋体" w:eastAsia="宋体"/>
                <w:sz w:val="21"/>
                <w:szCs w:val="21"/>
              </w:rPr>
            </w:pPr>
            <w:r>
              <w:rPr>
                <w:rFonts w:hint="eastAsia" w:ascii="宋体" w:hAnsi="宋体" w:eastAsia="宋体"/>
                <w:sz w:val="21"/>
                <w:szCs w:val="21"/>
              </w:rPr>
              <w:t>能够与物证模块关联</w:t>
            </w:r>
          </w:p>
          <w:p>
            <w:pPr>
              <w:spacing w:line="360" w:lineRule="exact"/>
              <w:rPr>
                <w:rFonts w:ascii="宋体" w:hAnsi="宋体" w:eastAsia="宋体"/>
                <w:sz w:val="21"/>
                <w:szCs w:val="21"/>
              </w:rPr>
            </w:pPr>
            <w:r>
              <w:rPr>
                <w:rFonts w:hint="eastAsia" w:ascii="宋体" w:hAnsi="宋体" w:eastAsia="宋体"/>
                <w:sz w:val="21"/>
                <w:szCs w:val="21"/>
              </w:rPr>
              <w:t>案卷/物证存放</w:t>
            </w:r>
          </w:p>
          <w:p>
            <w:pPr>
              <w:spacing w:line="360" w:lineRule="exact"/>
              <w:rPr>
                <w:rFonts w:ascii="宋体" w:hAnsi="宋体" w:eastAsia="宋体"/>
                <w:sz w:val="21"/>
                <w:szCs w:val="21"/>
              </w:rPr>
            </w:pPr>
            <w:r>
              <w:rPr>
                <w:rFonts w:hint="eastAsia" w:ascii="宋体" w:hAnsi="宋体" w:eastAsia="宋体"/>
                <w:sz w:val="21"/>
                <w:szCs w:val="21"/>
              </w:rPr>
              <w:t>支持同一批物品存管不同单元的软件调度算法</w:t>
            </w:r>
          </w:p>
          <w:p>
            <w:pPr>
              <w:spacing w:line="360" w:lineRule="exact"/>
              <w:rPr>
                <w:rFonts w:ascii="宋体" w:hAnsi="宋体" w:eastAsia="宋体"/>
                <w:sz w:val="21"/>
                <w:szCs w:val="21"/>
              </w:rPr>
            </w:pPr>
            <w:r>
              <w:rPr>
                <w:rFonts w:hint="eastAsia" w:ascii="宋体" w:hAnsi="宋体" w:eastAsia="宋体"/>
                <w:sz w:val="21"/>
                <w:szCs w:val="21"/>
              </w:rPr>
              <w:t>存/取记录全部流程化管理</w:t>
            </w:r>
          </w:p>
          <w:p>
            <w:pPr>
              <w:spacing w:line="360" w:lineRule="exact"/>
              <w:rPr>
                <w:rFonts w:ascii="宋体" w:hAnsi="宋体" w:eastAsia="宋体" w:cs="宋体"/>
                <w:sz w:val="21"/>
                <w:szCs w:val="21"/>
              </w:rPr>
            </w:pPr>
            <w:r>
              <w:rPr>
                <w:rFonts w:hint="eastAsia" w:ascii="宋体" w:hAnsi="宋体" w:eastAsia="宋体"/>
                <w:sz w:val="21"/>
                <w:szCs w:val="21"/>
              </w:rPr>
              <w:t>最多可接2个副柜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color w:val="000000"/>
                <w:sz w:val="21"/>
                <w:szCs w:val="21"/>
              </w:rPr>
            </w:pPr>
            <w:r>
              <w:rPr>
                <w:rFonts w:hint="eastAsia" w:ascii="宋体" w:hAnsi="宋体" w:eastAsia="宋体"/>
                <w:color w:val="000000"/>
                <w:sz w:val="21"/>
                <w:szCs w:val="21"/>
              </w:rPr>
              <w:t>17</w:t>
            </w:r>
          </w:p>
        </w:tc>
        <w:tc>
          <w:tcPr>
            <w:tcW w:w="174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sz w:val="21"/>
                <w:szCs w:val="21"/>
              </w:rPr>
            </w:pPr>
            <w:r>
              <w:rPr>
                <w:rFonts w:hint="eastAsia" w:ascii="宋体" w:hAnsi="宋体" w:eastAsia="宋体"/>
                <w:sz w:val="21"/>
                <w:szCs w:val="21"/>
              </w:rPr>
              <w:t>智能案管柜副柜</w:t>
            </w: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color w:val="000000"/>
                <w:sz w:val="21"/>
                <w:szCs w:val="21"/>
              </w:rPr>
            </w:pPr>
            <w:r>
              <w:rPr>
                <w:rFonts w:hint="eastAsia" w:ascii="宋体" w:hAnsi="宋体" w:eastAsia="宋体"/>
                <w:color w:val="000000"/>
                <w:sz w:val="21"/>
                <w:szCs w:val="21"/>
              </w:rPr>
              <w:t>1台</w:t>
            </w:r>
          </w:p>
        </w:tc>
        <w:tc>
          <w:tcPr>
            <w:tcW w:w="6814"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sz w:val="21"/>
                <w:szCs w:val="21"/>
              </w:rPr>
            </w:pPr>
            <w:r>
              <w:rPr>
                <w:rFonts w:hint="eastAsia" w:ascii="宋体" w:hAnsi="宋体" w:eastAsia="宋体"/>
                <w:sz w:val="21"/>
                <w:szCs w:val="21"/>
              </w:rPr>
              <w:t>柜体：1900mm（高）*900 mm（宽）*450mm 厚）门板/和主柜配套使用/共享主柜主控系统/普通案卷、物证副柜、能够与物证模块关联，小型物证存放/支持多个副柜联合使用</w:t>
            </w:r>
          </w:p>
          <w:p>
            <w:pPr>
              <w:spacing w:line="360" w:lineRule="exact"/>
              <w:rPr>
                <w:rFonts w:ascii="宋体" w:hAnsi="宋体" w:eastAsia="宋体"/>
                <w:sz w:val="21"/>
                <w:szCs w:val="21"/>
              </w:rPr>
            </w:pPr>
            <w:r>
              <w:rPr>
                <w:rFonts w:hint="eastAsia" w:ascii="宋体" w:hAnsi="宋体" w:eastAsia="宋体"/>
                <w:sz w:val="21"/>
                <w:szCs w:val="21"/>
              </w:rPr>
              <w:t>存管空间可灵活定义</w:t>
            </w:r>
          </w:p>
          <w:p>
            <w:pPr>
              <w:spacing w:line="360" w:lineRule="exact"/>
              <w:rPr>
                <w:rFonts w:ascii="宋体" w:hAnsi="宋体" w:eastAsia="宋体"/>
                <w:sz w:val="21"/>
                <w:szCs w:val="21"/>
              </w:rPr>
            </w:pPr>
            <w:r>
              <w:rPr>
                <w:rFonts w:hint="eastAsia" w:ascii="宋体" w:hAnsi="宋体" w:eastAsia="宋体"/>
                <w:sz w:val="21"/>
                <w:szCs w:val="21"/>
              </w:rPr>
              <w:t>门控系统等</w:t>
            </w:r>
          </w:p>
          <w:p>
            <w:pPr>
              <w:spacing w:line="360" w:lineRule="exact"/>
              <w:rPr>
                <w:rFonts w:ascii="宋体" w:hAnsi="宋体" w:eastAsia="宋体" w:cs="宋体"/>
                <w:sz w:val="21"/>
                <w:szCs w:val="21"/>
              </w:rPr>
            </w:pPr>
            <w:r>
              <w:rPr>
                <w:rFonts w:hint="eastAsia" w:ascii="宋体" w:hAnsi="宋体" w:eastAsia="宋体"/>
                <w:sz w:val="21"/>
                <w:szCs w:val="21"/>
              </w:rPr>
              <w:t>可编程指令集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color w:val="000000"/>
                <w:sz w:val="21"/>
                <w:szCs w:val="21"/>
              </w:rPr>
            </w:pPr>
            <w:r>
              <w:rPr>
                <w:rFonts w:hint="eastAsia" w:ascii="宋体" w:hAnsi="宋体" w:eastAsia="宋体"/>
                <w:color w:val="000000"/>
                <w:sz w:val="21"/>
                <w:szCs w:val="21"/>
              </w:rPr>
              <w:t>18</w:t>
            </w:r>
          </w:p>
        </w:tc>
        <w:tc>
          <w:tcPr>
            <w:tcW w:w="174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color w:val="000000"/>
                <w:sz w:val="21"/>
                <w:szCs w:val="21"/>
              </w:rPr>
            </w:pPr>
            <w:r>
              <w:rPr>
                <w:rFonts w:hint="eastAsia" w:ascii="宋体" w:hAnsi="宋体" w:eastAsia="宋体"/>
                <w:color w:val="000000"/>
                <w:sz w:val="21"/>
                <w:szCs w:val="21"/>
              </w:rPr>
              <w:t>办公桌</w:t>
            </w: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color w:val="000000"/>
                <w:sz w:val="21"/>
                <w:szCs w:val="21"/>
              </w:rPr>
            </w:pPr>
            <w:r>
              <w:rPr>
                <w:rFonts w:hint="eastAsia" w:ascii="宋体" w:hAnsi="宋体" w:eastAsia="宋体"/>
                <w:color w:val="000000"/>
                <w:sz w:val="21"/>
                <w:szCs w:val="21"/>
              </w:rPr>
              <w:t>1张</w:t>
            </w:r>
          </w:p>
        </w:tc>
        <w:tc>
          <w:tcPr>
            <w:tcW w:w="6814"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color w:val="000000"/>
                <w:sz w:val="21"/>
                <w:szCs w:val="21"/>
              </w:rPr>
            </w:pPr>
            <w:r>
              <w:rPr>
                <w:rFonts w:hint="eastAsia" w:ascii="宋体" w:hAnsi="宋体" w:eastAsia="宋体"/>
                <w:color w:val="000000"/>
                <w:sz w:val="21"/>
                <w:szCs w:val="21"/>
              </w:rPr>
              <w:t>定制，规格：1400L*700D*760H mm</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olor w:val="000000"/>
                <w:sz w:val="21"/>
                <w:szCs w:val="21"/>
              </w:rPr>
            </w:pPr>
            <w:r>
              <w:rPr>
                <w:rFonts w:ascii="宋体" w:hAnsi="宋体" w:eastAsia="宋体"/>
                <w:color w:val="000000"/>
                <w:sz w:val="21"/>
                <w:szCs w:val="21"/>
              </w:rPr>
              <mc:AlternateContent>
                <mc:Choice Requires="wps">
                  <w:drawing>
                    <wp:anchor distT="0" distB="0" distL="114300" distR="114300" simplePos="0" relativeHeight="251682816" behindDoc="0" locked="0" layoutInCell="1" allowOverlap="1">
                      <wp:simplePos x="0" y="0"/>
                      <wp:positionH relativeFrom="column">
                        <wp:posOffset>0</wp:posOffset>
                      </wp:positionH>
                      <wp:positionV relativeFrom="paragraph">
                        <wp:posOffset>0</wp:posOffset>
                      </wp:positionV>
                      <wp:extent cx="85725" cy="9525"/>
                      <wp:effectExtent l="19050" t="57150" r="9525" b="28575"/>
                      <wp:wrapNone/>
                      <wp:docPr id="15" name="文本框 15"/>
                      <wp:cNvGraphicFramePr/>
                      <a:graphic xmlns:a="http://schemas.openxmlformats.org/drawingml/2006/main">
                        <a:graphicData uri="http://schemas.microsoft.com/office/word/2010/wordprocessingShape">
                          <wps:wsp>
                            <wps:cNvSpPr txBox="1"/>
                            <wps:spPr>
                              <a:xfrm>
                                <a:off x="0" y="0"/>
                                <a:ext cx="85090" cy="9525"/>
                              </a:xfrm>
                              <a:prstGeom prst="rect">
                                <a:avLst/>
                              </a:prstGeom>
                              <a:noFill/>
                              <a:ln w="9525">
                                <a:noFill/>
                              </a:ln>
                            </wps:spPr>
                            <wps:txbx>
                              <w:txbxContent>
                                <w:p/>
                              </w:txbxContent>
                            </wps:txbx>
                            <wps:bodyPr/>
                          </wps:wsp>
                        </a:graphicData>
                      </a:graphic>
                    </wp:anchor>
                  </w:drawing>
                </mc:Choice>
                <mc:Fallback>
                  <w:pict>
                    <v:shape id="_x0000_s1026" o:spid="_x0000_s1026" o:spt="202" type="#_x0000_t202" style="position:absolute;left:0pt;margin-left:0pt;margin-top:0pt;height:0.75pt;width:6.75pt;z-index:251682816;mso-width-relative:page;mso-height-relative:page;" filled="f" stroked="f" coordsize="21600,21600" o:gfxdata="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MxA453QAAAAAgEAAA8AAAAAAAAA&#10;AQAgAAAAIgAAAGRycy9kb3ducmV2LnhtbFBLAQIUABQAAAAIAIdO4kCYY0eopwEAAEkDAAAOAAAA&#10;AAAAAAEAIAAAAB8BAABkcnMvZTJvRG9jLnhtbFBLBQYAAAAABgAGAFkBAAA4BQAAAAA=&#10;">
                      <v:fill on="f" focussize="0,0"/>
                      <v:stroke on="f"/>
                      <v:imagedata o:title=""/>
                      <o:lock v:ext="edit" aspectratio="f"/>
                      <v:textbox>
                        <w:txbxContent>
                          <w:p/>
                        </w:txbxContent>
                      </v:textbox>
                    </v:shape>
                  </w:pict>
                </mc:Fallback>
              </mc:AlternateContent>
            </w:r>
            <w:r>
              <w:rPr>
                <w:rFonts w:ascii="宋体" w:hAnsi="宋体" w:eastAsia="宋体"/>
                <w:color w:val="000000"/>
                <w:sz w:val="21"/>
                <w:szCs w:val="21"/>
              </w:rPr>
              <mc:AlternateContent>
                <mc:Choice Requires="wps">
                  <w:drawing>
                    <wp:anchor distT="0" distB="0" distL="114300" distR="114300" simplePos="0" relativeHeight="251683840" behindDoc="0" locked="0" layoutInCell="1" allowOverlap="1">
                      <wp:simplePos x="0" y="0"/>
                      <wp:positionH relativeFrom="column">
                        <wp:posOffset>0</wp:posOffset>
                      </wp:positionH>
                      <wp:positionV relativeFrom="paragraph">
                        <wp:posOffset>0</wp:posOffset>
                      </wp:positionV>
                      <wp:extent cx="85725" cy="9525"/>
                      <wp:effectExtent l="19050" t="57150" r="9525" b="28575"/>
                      <wp:wrapNone/>
                      <wp:docPr id="14" name="文本框 14"/>
                      <wp:cNvGraphicFramePr/>
                      <a:graphic xmlns:a="http://schemas.openxmlformats.org/drawingml/2006/main">
                        <a:graphicData uri="http://schemas.microsoft.com/office/word/2010/wordprocessingShape">
                          <wps:wsp>
                            <wps:cNvSpPr txBox="1"/>
                            <wps:spPr>
                              <a:xfrm>
                                <a:off x="0" y="0"/>
                                <a:ext cx="85090" cy="9525"/>
                              </a:xfrm>
                              <a:prstGeom prst="rect">
                                <a:avLst/>
                              </a:prstGeom>
                              <a:noFill/>
                              <a:ln w="9525">
                                <a:noFill/>
                              </a:ln>
                            </wps:spPr>
                            <wps:txbx>
                              <w:txbxContent>
                                <w:p/>
                              </w:txbxContent>
                            </wps:txbx>
                            <wps:bodyPr/>
                          </wps:wsp>
                        </a:graphicData>
                      </a:graphic>
                    </wp:anchor>
                  </w:drawing>
                </mc:Choice>
                <mc:Fallback>
                  <w:pict>
                    <v:shape id="_x0000_s1026" o:spid="_x0000_s1026" o:spt="202" type="#_x0000_t202" style="position:absolute;left:0pt;margin-left:0pt;margin-top:0pt;height:0.75pt;width:6.75pt;z-index:251683840;mso-width-relative:page;mso-height-relative:page;" filled="f" stroked="f" coordsize="21600,21600" o:gfxdata="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MxA453QAAAAAgEAAA8AAAAAAAAA&#10;AQAgAAAAIgAAAGRycy9kb3ducmV2LnhtbFBLAQIUABQAAAAIAIdO4kAuKBpfpwEAAEkDAAAOAAAA&#10;AAAAAAEAIAAAAB8BAABkcnMvZTJvRG9jLnhtbFBLBQYAAAAABgAGAFkBAAA4BQAAAAA=&#10;">
                      <v:fill on="f" focussize="0,0"/>
                      <v:stroke on="f"/>
                      <v:imagedata o:title=""/>
                      <o:lock v:ext="edit" aspectratio="f"/>
                      <v:textbox>
                        <w:txbxContent>
                          <w:p/>
                        </w:txbxContent>
                      </v:textbox>
                    </v:shape>
                  </w:pict>
                </mc:Fallback>
              </mc:AlternateContent>
            </w:r>
            <w:r>
              <w:rPr>
                <w:rFonts w:ascii="宋体" w:hAnsi="宋体" w:eastAsia="宋体"/>
                <w:color w:val="000000"/>
                <w:sz w:val="21"/>
                <w:szCs w:val="21"/>
              </w:rPr>
              <mc:AlternateContent>
                <mc:Choice Requires="wps">
                  <w:drawing>
                    <wp:anchor distT="0" distB="0" distL="114300" distR="114300" simplePos="0" relativeHeight="251684864" behindDoc="0" locked="0" layoutInCell="1" allowOverlap="1">
                      <wp:simplePos x="0" y="0"/>
                      <wp:positionH relativeFrom="column">
                        <wp:posOffset>0</wp:posOffset>
                      </wp:positionH>
                      <wp:positionV relativeFrom="paragraph">
                        <wp:posOffset>0</wp:posOffset>
                      </wp:positionV>
                      <wp:extent cx="85725" cy="9525"/>
                      <wp:effectExtent l="19050" t="57150" r="9525" b="28575"/>
                      <wp:wrapNone/>
                      <wp:docPr id="13" name="文本框 13"/>
                      <wp:cNvGraphicFramePr/>
                      <a:graphic xmlns:a="http://schemas.openxmlformats.org/drawingml/2006/main">
                        <a:graphicData uri="http://schemas.microsoft.com/office/word/2010/wordprocessingShape">
                          <wps:wsp>
                            <wps:cNvSpPr txBox="1"/>
                            <wps:spPr>
                              <a:xfrm>
                                <a:off x="0" y="0"/>
                                <a:ext cx="85090" cy="9525"/>
                              </a:xfrm>
                              <a:prstGeom prst="rect">
                                <a:avLst/>
                              </a:prstGeom>
                              <a:noFill/>
                              <a:ln w="9525">
                                <a:noFill/>
                              </a:ln>
                            </wps:spPr>
                            <wps:txbx>
                              <w:txbxContent>
                                <w:p/>
                              </w:txbxContent>
                            </wps:txbx>
                            <wps:bodyPr/>
                          </wps:wsp>
                        </a:graphicData>
                      </a:graphic>
                    </wp:anchor>
                  </w:drawing>
                </mc:Choice>
                <mc:Fallback>
                  <w:pict>
                    <v:shape id="_x0000_s1026" o:spid="_x0000_s1026" o:spt="202" type="#_x0000_t202" style="position:absolute;left:0pt;margin-left:0pt;margin-top:0pt;height:0.75pt;width:6.75pt;z-index:251684864;mso-width-relative:page;mso-height-relative:page;" filled="f" stroked="f" coordsize="21600,21600" o:gfxdata="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MxA453QAAAAAgEAAA8AAAAAAAAA&#10;AQAgAAAAIgAAAGRycy9kb3ducmV2LnhtbFBLAQIUABQAAAAIAIdO4kDv0Bv2pwEAAEkDAAAOAAAA&#10;AAAAAAEAIAAAAB8BAABkcnMvZTJvRG9jLnhtbFBLBQYAAAAABgAGAFkBAAA4BQAAAAA=&#10;">
                      <v:fill on="f" focussize="0,0"/>
                      <v:stroke on="f"/>
                      <v:imagedata o:title=""/>
                      <o:lock v:ext="edit" aspectratio="f"/>
                      <v:textbox>
                        <w:txbxContent>
                          <w:p/>
                        </w:txbxContent>
                      </v:textbox>
                    </v:shape>
                  </w:pict>
                </mc:Fallback>
              </mc:AlternateContent>
            </w:r>
            <w:r>
              <w:rPr>
                <w:rFonts w:ascii="宋体" w:hAnsi="宋体" w:eastAsia="宋体"/>
                <w:color w:val="000000"/>
                <w:sz w:val="21"/>
                <w:szCs w:val="21"/>
              </w:rPr>
              <mc:AlternateContent>
                <mc:Choice Requires="wps">
                  <w:drawing>
                    <wp:anchor distT="0" distB="0" distL="114300" distR="114300" simplePos="0" relativeHeight="251685888" behindDoc="0" locked="0" layoutInCell="1" allowOverlap="1">
                      <wp:simplePos x="0" y="0"/>
                      <wp:positionH relativeFrom="column">
                        <wp:posOffset>0</wp:posOffset>
                      </wp:positionH>
                      <wp:positionV relativeFrom="paragraph">
                        <wp:posOffset>0</wp:posOffset>
                      </wp:positionV>
                      <wp:extent cx="85725" cy="9525"/>
                      <wp:effectExtent l="19050" t="57150" r="9525" b="28575"/>
                      <wp:wrapNone/>
                      <wp:docPr id="12" name="文本框 12"/>
                      <wp:cNvGraphicFramePr/>
                      <a:graphic xmlns:a="http://schemas.openxmlformats.org/drawingml/2006/main">
                        <a:graphicData uri="http://schemas.microsoft.com/office/word/2010/wordprocessingShape">
                          <wps:wsp>
                            <wps:cNvSpPr txBox="1"/>
                            <wps:spPr>
                              <a:xfrm>
                                <a:off x="0" y="0"/>
                                <a:ext cx="85090" cy="9525"/>
                              </a:xfrm>
                              <a:prstGeom prst="rect">
                                <a:avLst/>
                              </a:prstGeom>
                              <a:noFill/>
                              <a:ln w="9525">
                                <a:noFill/>
                              </a:ln>
                            </wps:spPr>
                            <wps:txbx>
                              <w:txbxContent>
                                <w:p/>
                              </w:txbxContent>
                            </wps:txbx>
                            <wps:bodyPr/>
                          </wps:wsp>
                        </a:graphicData>
                      </a:graphic>
                    </wp:anchor>
                  </w:drawing>
                </mc:Choice>
                <mc:Fallback>
                  <w:pict>
                    <v:shape id="_x0000_s1026" o:spid="_x0000_s1026" o:spt="202" type="#_x0000_t202" style="position:absolute;left:0pt;margin-left:0pt;margin-top:0pt;height:0.75pt;width:6.75pt;z-index:251685888;mso-width-relative:page;mso-height-relative:page;" filled="f" stroked="f" coordsize="21600,21600" o:gfxdata="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MxA453QAAAAAgEAAA8AAAAAAAAA&#10;AQAgAAAAIgAAAGRycy9kb3ducmV2LnhtbFBLAQIUABQAAAAIAIdO4kBZm0YBpwEAAEkDAAAOAAAA&#10;AAAAAAEAIAAAAB8BAABkcnMvZTJvRG9jLnhtbFBLBQYAAAAABgAGAFkBAAA4BQAAAAA=&#10;">
                      <v:fill on="f" focussize="0,0"/>
                      <v:stroke on="f"/>
                      <v:imagedata o:title=""/>
                      <o:lock v:ext="edit" aspectratio="f"/>
                      <v:textbox>
                        <w:txbxContent>
                          <w:p/>
                        </w:txbxContent>
                      </v:textbox>
                    </v:shape>
                  </w:pict>
                </mc:Fallback>
              </mc:AlternateContent>
            </w:r>
            <w:r>
              <w:rPr>
                <w:rFonts w:ascii="宋体" w:hAnsi="宋体" w:eastAsia="宋体"/>
                <w:color w:val="000000"/>
                <w:sz w:val="21"/>
                <w:szCs w:val="21"/>
              </w:rPr>
              <mc:AlternateContent>
                <mc:Choice Requires="wps">
                  <w:drawing>
                    <wp:anchor distT="0" distB="0" distL="114300" distR="114300" simplePos="0" relativeHeight="251686912" behindDoc="0" locked="0" layoutInCell="1" allowOverlap="1">
                      <wp:simplePos x="0" y="0"/>
                      <wp:positionH relativeFrom="column">
                        <wp:posOffset>0</wp:posOffset>
                      </wp:positionH>
                      <wp:positionV relativeFrom="paragraph">
                        <wp:posOffset>0</wp:posOffset>
                      </wp:positionV>
                      <wp:extent cx="85725" cy="9525"/>
                      <wp:effectExtent l="19050" t="57150" r="9525" b="28575"/>
                      <wp:wrapNone/>
                      <wp:docPr id="11" name="文本框 11"/>
                      <wp:cNvGraphicFramePr/>
                      <a:graphic xmlns:a="http://schemas.openxmlformats.org/drawingml/2006/main">
                        <a:graphicData uri="http://schemas.microsoft.com/office/word/2010/wordprocessingShape">
                          <wps:wsp>
                            <wps:cNvSpPr txBox="1"/>
                            <wps:spPr>
                              <a:xfrm>
                                <a:off x="0" y="0"/>
                                <a:ext cx="85090" cy="9525"/>
                              </a:xfrm>
                              <a:prstGeom prst="rect">
                                <a:avLst/>
                              </a:prstGeom>
                              <a:noFill/>
                              <a:ln w="9525">
                                <a:noFill/>
                              </a:ln>
                            </wps:spPr>
                            <wps:txbx>
                              <w:txbxContent>
                                <w:p/>
                              </w:txbxContent>
                            </wps:txbx>
                            <wps:bodyPr/>
                          </wps:wsp>
                        </a:graphicData>
                      </a:graphic>
                    </wp:anchor>
                  </w:drawing>
                </mc:Choice>
                <mc:Fallback>
                  <w:pict>
                    <v:shape id="_x0000_s1026" o:spid="_x0000_s1026" o:spt="202" type="#_x0000_t202" style="position:absolute;left:0pt;margin-left:0pt;margin-top:0pt;height:0.75pt;width:6.75pt;z-index:251686912;mso-width-relative:page;mso-height-relative:page;" filled="f" stroked="f" coordsize="21600,21600" o:gfxdata="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MxA453QAAAAAgEAAA8AAAAAAAAA&#10;AQAgAAAAIgAAAGRycy9kb3ducmV2LnhtbFBLAQIUABQAAAAIAIdO4kDCQdDDpwEAAEkDAAAOAAAA&#10;AAAAAAEAIAAAAB8BAABkcnMvZTJvRG9jLnhtbFBLBQYAAAAABgAGAFkBAAA4BQAAAAA=&#10;">
                      <v:fill on="f" focussize="0,0"/>
                      <v:stroke on="f"/>
                      <v:imagedata o:title=""/>
                      <o:lock v:ext="edit" aspectratio="f"/>
                      <v:textbox>
                        <w:txbxContent>
                          <w:p/>
                        </w:txbxContent>
                      </v:textbox>
                    </v:shape>
                  </w:pict>
                </mc:Fallback>
              </mc:AlternateContent>
            </w:r>
            <w:r>
              <w:rPr>
                <w:rFonts w:ascii="宋体" w:hAnsi="宋体" w:eastAsia="宋体"/>
                <w:color w:val="000000"/>
                <w:sz w:val="21"/>
                <w:szCs w:val="21"/>
              </w:rPr>
              <mc:AlternateContent>
                <mc:Choice Requires="wps">
                  <w:drawing>
                    <wp:anchor distT="0" distB="0" distL="114300" distR="114300" simplePos="0" relativeHeight="251687936" behindDoc="0" locked="0" layoutInCell="1" allowOverlap="1">
                      <wp:simplePos x="0" y="0"/>
                      <wp:positionH relativeFrom="column">
                        <wp:posOffset>0</wp:posOffset>
                      </wp:positionH>
                      <wp:positionV relativeFrom="paragraph">
                        <wp:posOffset>0</wp:posOffset>
                      </wp:positionV>
                      <wp:extent cx="85725" cy="9525"/>
                      <wp:effectExtent l="19050" t="57150" r="9525" b="28575"/>
                      <wp:wrapNone/>
                      <wp:docPr id="10" name="文本框 10"/>
                      <wp:cNvGraphicFramePr/>
                      <a:graphic xmlns:a="http://schemas.openxmlformats.org/drawingml/2006/main">
                        <a:graphicData uri="http://schemas.microsoft.com/office/word/2010/wordprocessingShape">
                          <wps:wsp>
                            <wps:cNvSpPr txBox="1"/>
                            <wps:spPr>
                              <a:xfrm>
                                <a:off x="0" y="0"/>
                                <a:ext cx="85090" cy="9525"/>
                              </a:xfrm>
                              <a:prstGeom prst="rect">
                                <a:avLst/>
                              </a:prstGeom>
                              <a:noFill/>
                              <a:ln w="9525">
                                <a:noFill/>
                              </a:ln>
                            </wps:spPr>
                            <wps:txbx>
                              <w:txbxContent>
                                <w:p/>
                              </w:txbxContent>
                            </wps:txbx>
                            <wps:bodyPr/>
                          </wps:wsp>
                        </a:graphicData>
                      </a:graphic>
                    </wp:anchor>
                  </w:drawing>
                </mc:Choice>
                <mc:Fallback>
                  <w:pict>
                    <v:shape id="_x0000_s1026" o:spid="_x0000_s1026" o:spt="202" type="#_x0000_t202" style="position:absolute;left:0pt;margin-left:0pt;margin-top:0pt;height:0.75pt;width:6.75pt;z-index:251687936;mso-width-relative:page;mso-height-relative:page;" filled="f" stroked="f" coordsize="21600,21600" o:gfxdata="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zEDjndAAAAACAQAADwAAAAAAAAAB&#10;ACAAAAAiAAAAZHJzL2Rvd25yZXYueG1sUEsBAhQAFAAAAAgAh07iQHQKjTSmAQAASQMAAA4AAAAA&#10;AAAAAQAgAAAAHwEAAGRycy9lMm9Eb2MueG1sUEsFBgAAAAAGAAYAWQEAADcFAAAAAA==&#10;">
                      <v:fill on="f" focussize="0,0"/>
                      <v:stroke on="f"/>
                      <v:imagedata o:title=""/>
                      <o:lock v:ext="edit" aspectratio="f"/>
                      <v:textbox>
                        <w:txbxContent>
                          <w:p/>
                        </w:txbxContent>
                      </v:textbox>
                    </v:shape>
                  </w:pict>
                </mc:Fallback>
              </mc:AlternateContent>
            </w:r>
            <w:r>
              <w:rPr>
                <w:rFonts w:ascii="宋体" w:hAnsi="宋体" w:eastAsia="宋体"/>
                <w:color w:val="000000"/>
                <w:sz w:val="21"/>
                <w:szCs w:val="21"/>
              </w:rPr>
              <mc:AlternateContent>
                <mc:Choice Requires="wps">
                  <w:drawing>
                    <wp:anchor distT="0" distB="0" distL="114300" distR="114300" simplePos="0" relativeHeight="251688960" behindDoc="0" locked="0" layoutInCell="1" allowOverlap="1">
                      <wp:simplePos x="0" y="0"/>
                      <wp:positionH relativeFrom="column">
                        <wp:posOffset>0</wp:posOffset>
                      </wp:positionH>
                      <wp:positionV relativeFrom="paragraph">
                        <wp:posOffset>0</wp:posOffset>
                      </wp:positionV>
                      <wp:extent cx="85725" cy="9525"/>
                      <wp:effectExtent l="19050" t="57150" r="9525" b="28575"/>
                      <wp:wrapNone/>
                      <wp:docPr id="8" name="文本框 8"/>
                      <wp:cNvGraphicFramePr/>
                      <a:graphic xmlns:a="http://schemas.openxmlformats.org/drawingml/2006/main">
                        <a:graphicData uri="http://schemas.microsoft.com/office/word/2010/wordprocessingShape">
                          <wps:wsp>
                            <wps:cNvSpPr txBox="1"/>
                            <wps:spPr>
                              <a:xfrm>
                                <a:off x="0" y="0"/>
                                <a:ext cx="85090" cy="9525"/>
                              </a:xfrm>
                              <a:prstGeom prst="rect">
                                <a:avLst/>
                              </a:prstGeom>
                              <a:noFill/>
                              <a:ln w="9525">
                                <a:noFill/>
                              </a:ln>
                            </wps:spPr>
                            <wps:txbx>
                              <w:txbxContent>
                                <w:p/>
                              </w:txbxContent>
                            </wps:txbx>
                            <wps:bodyPr/>
                          </wps:wsp>
                        </a:graphicData>
                      </a:graphic>
                    </wp:anchor>
                  </w:drawing>
                </mc:Choice>
                <mc:Fallback>
                  <w:pict>
                    <v:shape id="_x0000_s1026" o:spid="_x0000_s1026" o:spt="202" type="#_x0000_t202" style="position:absolute;left:0pt;margin-left:0pt;margin-top:0pt;height:0.75pt;width:6.75pt;z-index:251688960;mso-width-relative:page;mso-height-relative:page;" filled="f" stroked="f" coordsize="21600,21600" o:gfxdata="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DMQOOd0AAAAAIBAAAPAAAAAAAAAAEA&#10;IAAAACIAAABkcnMvZG93bnJldi54bWxQSwECFAAUAAAACACHTuJA0c3AcKUBAABHAwAADgAAAAAA&#10;AAABACAAAAAfAQAAZHJzL2Uyb0RvYy54bWxQSwUGAAAAAAYABgBZAQAANgUAAAAA&#10;">
                      <v:fill on="f" focussize="0,0"/>
                      <v:stroke on="f"/>
                      <v:imagedata o:title=""/>
                      <o:lock v:ext="edit" aspectratio="f"/>
                      <v:textbox>
                        <w:txbxContent>
                          <w:p/>
                        </w:txbxContent>
                      </v:textbox>
                    </v:shape>
                  </w:pict>
                </mc:Fallback>
              </mc:AlternateContent>
            </w:r>
            <w:r>
              <w:rPr>
                <w:rFonts w:ascii="宋体" w:hAnsi="宋体" w:eastAsia="宋体"/>
                <w:color w:val="000000"/>
                <w:sz w:val="21"/>
                <w:szCs w:val="21"/>
              </w:rPr>
              <mc:AlternateContent>
                <mc:Choice Requires="wps">
                  <w:drawing>
                    <wp:anchor distT="0" distB="0" distL="114300" distR="114300" simplePos="0" relativeHeight="251689984" behindDoc="0" locked="0" layoutInCell="1" allowOverlap="1">
                      <wp:simplePos x="0" y="0"/>
                      <wp:positionH relativeFrom="column">
                        <wp:posOffset>0</wp:posOffset>
                      </wp:positionH>
                      <wp:positionV relativeFrom="paragraph">
                        <wp:posOffset>0</wp:posOffset>
                      </wp:positionV>
                      <wp:extent cx="85725" cy="9525"/>
                      <wp:effectExtent l="19050" t="57150" r="9525" b="28575"/>
                      <wp:wrapNone/>
                      <wp:docPr id="9" name="文本框 9"/>
                      <wp:cNvGraphicFramePr/>
                      <a:graphic xmlns:a="http://schemas.openxmlformats.org/drawingml/2006/main">
                        <a:graphicData uri="http://schemas.microsoft.com/office/word/2010/wordprocessingShape">
                          <wps:wsp>
                            <wps:cNvSpPr txBox="1"/>
                            <wps:spPr>
                              <a:xfrm>
                                <a:off x="0" y="0"/>
                                <a:ext cx="85090" cy="9525"/>
                              </a:xfrm>
                              <a:prstGeom prst="rect">
                                <a:avLst/>
                              </a:prstGeom>
                              <a:noFill/>
                              <a:ln w="9525">
                                <a:noFill/>
                              </a:ln>
                            </wps:spPr>
                            <wps:txbx>
                              <w:txbxContent>
                                <w:p/>
                              </w:txbxContent>
                            </wps:txbx>
                            <wps:bodyPr/>
                          </wps:wsp>
                        </a:graphicData>
                      </a:graphic>
                    </wp:anchor>
                  </w:drawing>
                </mc:Choice>
                <mc:Fallback>
                  <w:pict>
                    <v:shape id="_x0000_s1026" o:spid="_x0000_s1026" o:spt="202" type="#_x0000_t202" style="position:absolute;left:0pt;margin-left:0pt;margin-top:0pt;height:0.75pt;width:6.75pt;z-index:251689984;mso-width-relative:page;mso-height-relative:page;" filled="f" stroked="f" coordsize="21600,21600" o:gfxdata="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zEDjndAAAAACAQAADwAAAAAAAAAB&#10;ACAAAAAiAAAAZHJzL2Rvd25yZXYueG1sUEsBAhQAFAAAAAgAh07iQJmN7i2mAQAARwMAAA4AAAAA&#10;AAAAAQAgAAAAHwEAAGRycy9lMm9Eb2MueG1sUEsFBgAAAAAGAAYAWQEAADcFAAAAAA==&#10;">
                      <v:fill on="f" focussize="0,0"/>
                      <v:stroke on="f"/>
                      <v:imagedata o:title=""/>
                      <o:lock v:ext="edit" aspectratio="f"/>
                      <v:textbox>
                        <w:txbxContent>
                          <w:p/>
                        </w:txbxContent>
                      </v:textbox>
                    </v:shape>
                  </w:pict>
                </mc:Fallback>
              </mc:AlternateContent>
            </w:r>
            <w:r>
              <w:rPr>
                <w:rFonts w:ascii="宋体" w:hAnsi="宋体" w:eastAsia="宋体"/>
                <w:color w:val="000000"/>
                <w:sz w:val="21"/>
                <w:szCs w:val="21"/>
              </w:rPr>
              <mc:AlternateContent>
                <mc:Choice Requires="wps">
                  <w:drawing>
                    <wp:anchor distT="0" distB="0" distL="114300" distR="114300" simplePos="0" relativeHeight="251691008" behindDoc="0" locked="0" layoutInCell="1" allowOverlap="1">
                      <wp:simplePos x="0" y="0"/>
                      <wp:positionH relativeFrom="column">
                        <wp:posOffset>0</wp:posOffset>
                      </wp:positionH>
                      <wp:positionV relativeFrom="paragraph">
                        <wp:posOffset>0</wp:posOffset>
                      </wp:positionV>
                      <wp:extent cx="85725" cy="9525"/>
                      <wp:effectExtent l="19050" t="57150" r="9525" b="28575"/>
                      <wp:wrapNone/>
                      <wp:docPr id="7" name="文本框 7"/>
                      <wp:cNvGraphicFramePr/>
                      <a:graphic xmlns:a="http://schemas.openxmlformats.org/drawingml/2006/main">
                        <a:graphicData uri="http://schemas.microsoft.com/office/word/2010/wordprocessingShape">
                          <wps:wsp>
                            <wps:cNvSpPr txBox="1"/>
                            <wps:spPr>
                              <a:xfrm>
                                <a:off x="0" y="0"/>
                                <a:ext cx="85090" cy="9525"/>
                              </a:xfrm>
                              <a:prstGeom prst="rect">
                                <a:avLst/>
                              </a:prstGeom>
                              <a:noFill/>
                              <a:ln w="9525">
                                <a:noFill/>
                              </a:ln>
                            </wps:spPr>
                            <wps:txbx>
                              <w:txbxContent>
                                <w:p/>
                              </w:txbxContent>
                            </wps:txbx>
                            <wps:bodyPr/>
                          </wps:wsp>
                        </a:graphicData>
                      </a:graphic>
                    </wp:anchor>
                  </w:drawing>
                </mc:Choice>
                <mc:Fallback>
                  <w:pict>
                    <v:shape id="_x0000_s1026" o:spid="_x0000_s1026" o:spt="202" type="#_x0000_t202" style="position:absolute;left:0pt;margin-left:0pt;margin-top:0pt;height:0.75pt;width:6.75pt;z-index:251691008;mso-width-relative:page;mso-height-relative:page;" filled="f" stroked="f" coordsize="21600,21600" o:gfxdata="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zEDjndAAAAACAQAADwAAAAAAAAAB&#10;ACAAAAAiAAAAZHJzL2Rvd25yZXYueG1sUEsBAhQAFAAAAAgAh07iQOsCm7ymAQAARwMAAA4AAAAA&#10;AAAAAQAgAAAAHwEAAGRycy9lMm9Eb2MueG1sUEsFBgAAAAAGAAYAWQEAADcFAAAAAA==&#10;">
                      <v:fill on="f" focussize="0,0"/>
                      <v:stroke on="f"/>
                      <v:imagedata o:title=""/>
                      <o:lock v:ext="edit" aspectratio="f"/>
                      <v:textbox>
                        <w:txbxContent>
                          <w:p/>
                        </w:txbxContent>
                      </v:textbox>
                    </v:shape>
                  </w:pict>
                </mc:Fallback>
              </mc:AlternateContent>
            </w:r>
            <w:r>
              <w:rPr>
                <w:rFonts w:ascii="宋体" w:hAnsi="宋体" w:eastAsia="宋体"/>
                <w:color w:val="000000"/>
                <w:sz w:val="21"/>
                <w:szCs w:val="21"/>
              </w:rPr>
              <mc:AlternateContent>
                <mc:Choice Requires="wps">
                  <w:drawing>
                    <wp:anchor distT="0" distB="0" distL="114300" distR="114300" simplePos="0" relativeHeight="251692032" behindDoc="0" locked="0" layoutInCell="1" allowOverlap="1">
                      <wp:simplePos x="0" y="0"/>
                      <wp:positionH relativeFrom="column">
                        <wp:posOffset>0</wp:posOffset>
                      </wp:positionH>
                      <wp:positionV relativeFrom="paragraph">
                        <wp:posOffset>0</wp:posOffset>
                      </wp:positionV>
                      <wp:extent cx="85725" cy="9525"/>
                      <wp:effectExtent l="19050" t="57150" r="9525" b="28575"/>
                      <wp:wrapNone/>
                      <wp:docPr id="6" name="文本框 6"/>
                      <wp:cNvGraphicFramePr/>
                      <a:graphic xmlns:a="http://schemas.openxmlformats.org/drawingml/2006/main">
                        <a:graphicData uri="http://schemas.microsoft.com/office/word/2010/wordprocessingShape">
                          <wps:wsp>
                            <wps:cNvSpPr txBox="1"/>
                            <wps:spPr>
                              <a:xfrm>
                                <a:off x="0" y="0"/>
                                <a:ext cx="85090" cy="9525"/>
                              </a:xfrm>
                              <a:prstGeom prst="rect">
                                <a:avLst/>
                              </a:prstGeom>
                              <a:noFill/>
                              <a:ln w="9525">
                                <a:noFill/>
                              </a:ln>
                            </wps:spPr>
                            <wps:txbx>
                              <w:txbxContent>
                                <w:p/>
                              </w:txbxContent>
                            </wps:txbx>
                            <wps:bodyPr/>
                          </wps:wsp>
                        </a:graphicData>
                      </a:graphic>
                    </wp:anchor>
                  </w:drawing>
                </mc:Choice>
                <mc:Fallback>
                  <w:pict>
                    <v:shape id="_x0000_s1026" o:spid="_x0000_s1026" o:spt="202" type="#_x0000_t202" style="position:absolute;left:0pt;margin-left:0pt;margin-top:0pt;height:0.75pt;width:6.75pt;z-index:251692032;mso-width-relative:page;mso-height-relative:page;" filled="f" stroked="f" coordsize="21600,21600" o:gfxdata="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zEDjndAAAAACAQAADwAAAAAAAAAB&#10;ACAAAAAiAAAAZHJzL2Rvd25yZXYueG1sUEsBAhQAFAAAAAgAh07iQKNCteGmAQAARwMAAA4AAAAA&#10;AAAAAQAgAAAAHwEAAGRycy9lMm9Eb2MueG1sUEsFBgAAAAAGAAYAWQEAADcFAAAAAA==&#10;">
                      <v:fill on="f" focussize="0,0"/>
                      <v:stroke on="f"/>
                      <v:imagedata o:title=""/>
                      <o:lock v:ext="edit" aspectratio="f"/>
                      <v:textbox>
                        <w:txbxContent>
                          <w:p/>
                        </w:txbxContent>
                      </v:textbox>
                    </v:shape>
                  </w:pict>
                </mc:Fallback>
              </mc:AlternateContent>
            </w:r>
            <w:r>
              <w:rPr>
                <w:rFonts w:ascii="宋体" w:hAnsi="宋体" w:eastAsia="宋体"/>
                <w:color w:val="000000"/>
                <w:sz w:val="21"/>
                <w:szCs w:val="21"/>
              </w:rPr>
              <mc:AlternateContent>
                <mc:Choice Requires="wps">
                  <w:drawing>
                    <wp:anchor distT="0" distB="0" distL="114300" distR="114300" simplePos="0" relativeHeight="251693056" behindDoc="0" locked="0" layoutInCell="1" allowOverlap="1">
                      <wp:simplePos x="0" y="0"/>
                      <wp:positionH relativeFrom="column">
                        <wp:posOffset>0</wp:posOffset>
                      </wp:positionH>
                      <wp:positionV relativeFrom="paragraph">
                        <wp:posOffset>0</wp:posOffset>
                      </wp:positionV>
                      <wp:extent cx="85725" cy="9525"/>
                      <wp:effectExtent l="19050" t="57150" r="9525" b="28575"/>
                      <wp:wrapNone/>
                      <wp:docPr id="5" name="文本框 5"/>
                      <wp:cNvGraphicFramePr/>
                      <a:graphic xmlns:a="http://schemas.openxmlformats.org/drawingml/2006/main">
                        <a:graphicData uri="http://schemas.microsoft.com/office/word/2010/wordprocessingShape">
                          <wps:wsp>
                            <wps:cNvSpPr txBox="1"/>
                            <wps:spPr>
                              <a:xfrm>
                                <a:off x="0" y="0"/>
                                <a:ext cx="85090" cy="9525"/>
                              </a:xfrm>
                              <a:prstGeom prst="rect">
                                <a:avLst/>
                              </a:prstGeom>
                              <a:noFill/>
                              <a:ln w="9525">
                                <a:noFill/>
                              </a:ln>
                            </wps:spPr>
                            <wps:bodyPr/>
                          </wps:wsp>
                        </a:graphicData>
                      </a:graphic>
                    </wp:anchor>
                  </w:drawing>
                </mc:Choice>
                <mc:Fallback>
                  <w:pict>
                    <v:shape id="_x0000_s1026" o:spid="_x0000_s1026" o:spt="202" type="#_x0000_t202" style="position:absolute;left:0pt;margin-left:0pt;margin-top:0pt;height:0.75pt;width:6.75pt;z-index:251693056;mso-width-relative:page;mso-height-relative:page;" filled="f" stroked="f" coordsize="21600,21600" o:gfxdata="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MxA453QAAAAAgEAAA8AAAAAAAAAAQAgAAAA&#10;IgAAAGRycy9kb3ducmV2LnhtbFBLAQIUABQAAAAIAIdO4kAhjWoYoQEAADwDAAAOAAAAAAAAAAEA&#10;IAAAAB8BAABkcnMvZTJvRG9jLnhtbFBLBQYAAAAABgAGAFkBAAAyBQAAAAA=&#10;">
                      <v:fill on="f" focussize="0,0"/>
                      <v:stroke on="f"/>
                      <v:imagedata o:title=""/>
                      <o:lock v:ext="edit" aspectratio="f"/>
                    </v:shape>
                  </w:pict>
                </mc:Fallback>
              </mc:AlternateContent>
            </w:r>
            <w:r>
              <w:rPr>
                <w:rFonts w:ascii="宋体" w:hAnsi="宋体" w:eastAsia="宋体"/>
                <w:color w:val="000000"/>
                <w:sz w:val="21"/>
                <w:szCs w:val="21"/>
              </w:rPr>
              <mc:AlternateContent>
                <mc:Choice Requires="wps">
                  <w:drawing>
                    <wp:anchor distT="0" distB="0" distL="114300" distR="114300" simplePos="0" relativeHeight="251694080" behindDoc="0" locked="0" layoutInCell="1" allowOverlap="1">
                      <wp:simplePos x="0" y="0"/>
                      <wp:positionH relativeFrom="column">
                        <wp:posOffset>0</wp:posOffset>
                      </wp:positionH>
                      <wp:positionV relativeFrom="paragraph">
                        <wp:posOffset>0</wp:posOffset>
                      </wp:positionV>
                      <wp:extent cx="85725" cy="9525"/>
                      <wp:effectExtent l="19050" t="57150" r="9525" b="28575"/>
                      <wp:wrapNone/>
                      <wp:docPr id="4" name="文本框 4"/>
                      <wp:cNvGraphicFramePr/>
                      <a:graphic xmlns:a="http://schemas.openxmlformats.org/drawingml/2006/main">
                        <a:graphicData uri="http://schemas.microsoft.com/office/word/2010/wordprocessingShape">
                          <wps:wsp>
                            <wps:cNvSpPr txBox="1"/>
                            <wps:spPr>
                              <a:xfrm>
                                <a:off x="0" y="0"/>
                                <a:ext cx="85090" cy="9525"/>
                              </a:xfrm>
                              <a:prstGeom prst="rect">
                                <a:avLst/>
                              </a:prstGeom>
                              <a:noFill/>
                              <a:ln w="9525">
                                <a:noFill/>
                              </a:ln>
                            </wps:spPr>
                            <wps:bodyPr/>
                          </wps:wsp>
                        </a:graphicData>
                      </a:graphic>
                    </wp:anchor>
                  </w:drawing>
                </mc:Choice>
                <mc:Fallback>
                  <w:pict>
                    <v:shape id="_x0000_s1026" o:spid="_x0000_s1026" o:spt="202" type="#_x0000_t202" style="position:absolute;left:0pt;margin-left:0pt;margin-top:0pt;height:0.75pt;width:6.75pt;z-index:251694080;mso-width-relative:page;mso-height-relative:page;" filled="f" stroked="f" coordsize="21600,21600" o:gfxdata="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zEDjndAAAAACAQAADwAAAAAAAAABACAAAAAi&#10;AAAAZHJzL2Rvd25yZXYueG1sUEsBAhQAFAAAAAgAh07iQAWEIgugAQAAPAMAAA4AAAAAAAAAAQAg&#10;AAAAHwEAAGRycy9lMm9Eb2MueG1sUEsFBgAAAAAGAAYAWQEAADEFAAAAAA==&#10;">
                      <v:fill on="f" focussize="0,0"/>
                      <v:stroke on="f"/>
                      <v:imagedata o:title=""/>
                      <o:lock v:ext="edit" aspectratio="f"/>
                    </v:shape>
                  </w:pict>
                </mc:Fallback>
              </mc:AlternateContent>
            </w:r>
            <w:r>
              <w:rPr>
                <w:rFonts w:ascii="宋体" w:hAnsi="宋体" w:eastAsia="宋体"/>
                <w:color w:val="000000"/>
                <w:sz w:val="21"/>
                <w:szCs w:val="21"/>
              </w:rPr>
              <mc:AlternateContent>
                <mc:Choice Requires="wps">
                  <w:drawing>
                    <wp:anchor distT="0" distB="0" distL="114300" distR="114300" simplePos="0" relativeHeight="251695104" behindDoc="0" locked="0" layoutInCell="1" allowOverlap="1">
                      <wp:simplePos x="0" y="0"/>
                      <wp:positionH relativeFrom="column">
                        <wp:posOffset>0</wp:posOffset>
                      </wp:positionH>
                      <wp:positionV relativeFrom="paragraph">
                        <wp:posOffset>0</wp:posOffset>
                      </wp:positionV>
                      <wp:extent cx="85725" cy="9525"/>
                      <wp:effectExtent l="19050" t="57150" r="9525" b="28575"/>
                      <wp:wrapNone/>
                      <wp:docPr id="3" name="文本框 3"/>
                      <wp:cNvGraphicFramePr/>
                      <a:graphic xmlns:a="http://schemas.openxmlformats.org/drawingml/2006/main">
                        <a:graphicData uri="http://schemas.microsoft.com/office/word/2010/wordprocessingShape">
                          <wps:wsp>
                            <wps:cNvSpPr txBox="1"/>
                            <wps:spPr>
                              <a:xfrm>
                                <a:off x="0" y="0"/>
                                <a:ext cx="85090" cy="9525"/>
                              </a:xfrm>
                              <a:prstGeom prst="rect">
                                <a:avLst/>
                              </a:prstGeom>
                              <a:noFill/>
                              <a:ln w="9525">
                                <a:noFill/>
                              </a:ln>
                            </wps:spPr>
                            <wps:bodyPr/>
                          </wps:wsp>
                        </a:graphicData>
                      </a:graphic>
                    </wp:anchor>
                  </w:drawing>
                </mc:Choice>
                <mc:Fallback>
                  <w:pict>
                    <v:shape id="_x0000_s1026" o:spid="_x0000_s1026" o:spt="202" type="#_x0000_t202" style="position:absolute;left:0pt;margin-left:0pt;margin-top:0pt;height:0.75pt;width:6.75pt;z-index:251695104;mso-width-relative:page;mso-height-relative:page;" filled="f" stroked="f" coordsize="21600,21600" o:gfxdata="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zEDjndAAAAACAQAADwAAAAAAAAABACAAAAAi&#10;AAAAZHJzL2Rvd25yZXYueG1sUEsBAhQAFAAAAAgAh07iQPm72nOgAQAAPAMAAA4AAAAAAAAAAQAg&#10;AAAAHwEAAGRycy9lMm9Eb2MueG1sUEsFBgAAAAAGAAYAWQEAADEFAAAAAA==&#10;">
                      <v:fill on="f" focussize="0,0"/>
                      <v:stroke on="f"/>
                      <v:imagedata o:title=""/>
                      <o:lock v:ext="edit" aspectratio="f"/>
                    </v:shape>
                  </w:pict>
                </mc:Fallback>
              </mc:AlternateContent>
            </w:r>
            <w:r>
              <w:rPr>
                <w:rFonts w:ascii="宋体" w:hAnsi="宋体" w:eastAsia="宋体"/>
                <w:color w:val="000000"/>
                <w:sz w:val="21"/>
                <w:szCs w:val="21"/>
              </w:rPr>
              <mc:AlternateContent>
                <mc:Choice Requires="wps">
                  <w:drawing>
                    <wp:anchor distT="0" distB="0" distL="114300" distR="114300" simplePos="0" relativeHeight="251696128" behindDoc="0" locked="0" layoutInCell="1" allowOverlap="1">
                      <wp:simplePos x="0" y="0"/>
                      <wp:positionH relativeFrom="column">
                        <wp:posOffset>0</wp:posOffset>
                      </wp:positionH>
                      <wp:positionV relativeFrom="paragraph">
                        <wp:posOffset>0</wp:posOffset>
                      </wp:positionV>
                      <wp:extent cx="85725" cy="9525"/>
                      <wp:effectExtent l="19050" t="57150" r="9525" b="28575"/>
                      <wp:wrapNone/>
                      <wp:docPr id="2" name="文本框 2"/>
                      <wp:cNvGraphicFramePr/>
                      <a:graphic xmlns:a="http://schemas.openxmlformats.org/drawingml/2006/main">
                        <a:graphicData uri="http://schemas.microsoft.com/office/word/2010/wordprocessingShape">
                          <wps:wsp>
                            <wps:cNvSpPr txBox="1"/>
                            <wps:spPr>
                              <a:xfrm>
                                <a:off x="0" y="0"/>
                                <a:ext cx="85090" cy="9525"/>
                              </a:xfrm>
                              <a:prstGeom prst="rect">
                                <a:avLst/>
                              </a:prstGeom>
                              <a:noFill/>
                              <a:ln w="9525">
                                <a:noFill/>
                              </a:ln>
                            </wps:spPr>
                            <wps:bodyPr/>
                          </wps:wsp>
                        </a:graphicData>
                      </a:graphic>
                    </wp:anchor>
                  </w:drawing>
                </mc:Choice>
                <mc:Fallback>
                  <w:pict>
                    <v:shape id="_x0000_s1026" o:spid="_x0000_s1026" o:spt="202" type="#_x0000_t202" style="position:absolute;left:0pt;margin-left:0pt;margin-top:0pt;height:0.75pt;width:6.75pt;z-index:251696128;mso-width-relative:page;mso-height-relative:page;" filled="f" stroked="f" coordsize="21600,21600" o:gfxdata="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zEDjndAAAAACAQAADwAAAAAAAAABACAAAAAi&#10;AAAAZHJzL2Rvd25yZXYueG1sUEsBAhQAFAAAAAgAh07iQN2ykmCgAQAAPAMAAA4AAAAAAAAAAQAg&#10;AAAAHwEAAGRycy9lMm9Eb2MueG1sUEsFBgAAAAAGAAYAWQEAADEFAAAAAA==&#10;">
                      <v:fill on="f" focussize="0,0"/>
                      <v:stroke on="f"/>
                      <v:imagedata o:title=""/>
                      <o:lock v:ext="edit" aspectratio="f"/>
                    </v:shape>
                  </w:pict>
                </mc:Fallback>
              </mc:AlternateContent>
            </w:r>
            <w:r>
              <w:rPr>
                <w:rFonts w:ascii="宋体" w:hAnsi="宋体" w:eastAsia="宋体"/>
                <w:color w:val="000000"/>
                <w:sz w:val="21"/>
                <w:szCs w:val="21"/>
              </w:rPr>
              <mc:AlternateContent>
                <mc:Choice Requires="wps">
                  <w:drawing>
                    <wp:anchor distT="0" distB="0" distL="114300" distR="114300" simplePos="0" relativeHeight="251697152" behindDoc="0" locked="0" layoutInCell="1" allowOverlap="1">
                      <wp:simplePos x="0" y="0"/>
                      <wp:positionH relativeFrom="column">
                        <wp:posOffset>0</wp:posOffset>
                      </wp:positionH>
                      <wp:positionV relativeFrom="paragraph">
                        <wp:posOffset>0</wp:posOffset>
                      </wp:positionV>
                      <wp:extent cx="85725" cy="9525"/>
                      <wp:effectExtent l="19050" t="57150" r="9525" b="28575"/>
                      <wp:wrapNone/>
                      <wp:docPr id="1" name="文本框 1"/>
                      <wp:cNvGraphicFramePr/>
                      <a:graphic xmlns:a="http://schemas.openxmlformats.org/drawingml/2006/main">
                        <a:graphicData uri="http://schemas.microsoft.com/office/word/2010/wordprocessingShape">
                          <wps:wsp>
                            <wps:cNvSpPr txBox="1"/>
                            <wps:spPr>
                              <a:xfrm>
                                <a:off x="0" y="0"/>
                                <a:ext cx="85090" cy="9525"/>
                              </a:xfrm>
                              <a:prstGeom prst="rect">
                                <a:avLst/>
                              </a:prstGeom>
                              <a:noFill/>
                              <a:ln w="9525">
                                <a:noFill/>
                              </a:ln>
                            </wps:spPr>
                            <wps:bodyPr/>
                          </wps:wsp>
                        </a:graphicData>
                      </a:graphic>
                    </wp:anchor>
                  </w:drawing>
                </mc:Choice>
                <mc:Fallback>
                  <w:pict>
                    <v:shape id="_x0000_s1026" o:spid="_x0000_s1026" o:spt="202" type="#_x0000_t202" style="position:absolute;left:0pt;margin-left:0pt;margin-top:0pt;height:0.75pt;width:6.75pt;z-index:251697152;mso-width-relative:page;mso-height-relative:page;" filled="f" stroked="f" coordsize="21600,21600" o:gfxdata="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zEDjndAAAAACAQAADwAAAAAAAAABACAAAAAi&#10;AAAAZHJzL2Rvd25yZXYueG1sUEsBAhQAFAAAAAgAh07iQLGpSlWgAQAAPAMAAA4AAAAAAAAAAQAg&#10;AAAAHwEAAGRycy9lMm9Eb2MueG1sUEsFBgAAAAAGAAYAWQEAADEFAAAAAA==&#10;">
                      <v:fill on="f" focussize="0,0"/>
                      <v:stroke on="f"/>
                      <v:imagedata o:title=""/>
                      <o:lock v:ext="edit" aspectratio="f"/>
                    </v:shape>
                  </w:pict>
                </mc:Fallback>
              </mc:AlternateContent>
            </w:r>
            <w:r>
              <w:rPr>
                <w:rFonts w:ascii="宋体" w:hAnsi="宋体" w:eastAsia="宋体"/>
                <w:color w:val="000000"/>
                <w:sz w:val="21"/>
                <w:szCs w:val="21"/>
              </w:rPr>
              <mc:AlternateContent>
                <mc:Choice Requires="wps">
                  <w:drawing>
                    <wp:anchor distT="0" distB="0" distL="114300" distR="114300" simplePos="0" relativeHeight="251698176" behindDoc="0" locked="0" layoutInCell="1" allowOverlap="1">
                      <wp:simplePos x="0" y="0"/>
                      <wp:positionH relativeFrom="column">
                        <wp:posOffset>0</wp:posOffset>
                      </wp:positionH>
                      <wp:positionV relativeFrom="paragraph">
                        <wp:posOffset>0</wp:posOffset>
                      </wp:positionV>
                      <wp:extent cx="85725" cy="9525"/>
                      <wp:effectExtent l="19050" t="57150" r="9525" b="28575"/>
                      <wp:wrapNone/>
                      <wp:docPr id="33" name="文本框 33"/>
                      <wp:cNvGraphicFramePr/>
                      <a:graphic xmlns:a="http://schemas.openxmlformats.org/drawingml/2006/main">
                        <a:graphicData uri="http://schemas.microsoft.com/office/word/2010/wordprocessingShape">
                          <wps:wsp>
                            <wps:cNvSpPr txBox="1"/>
                            <wps:spPr>
                              <a:xfrm>
                                <a:off x="0" y="0"/>
                                <a:ext cx="85090" cy="9525"/>
                              </a:xfrm>
                              <a:prstGeom prst="rect">
                                <a:avLst/>
                              </a:prstGeom>
                              <a:noFill/>
                              <a:ln w="9525">
                                <a:noFill/>
                              </a:ln>
                            </wps:spPr>
                            <wps:bodyPr/>
                          </wps:wsp>
                        </a:graphicData>
                      </a:graphic>
                    </wp:anchor>
                  </w:drawing>
                </mc:Choice>
                <mc:Fallback>
                  <w:pict>
                    <v:shape id="_x0000_s1026" o:spid="_x0000_s1026" o:spt="202" type="#_x0000_t202" style="position:absolute;left:0pt;margin-left:0pt;margin-top:0pt;height:0.75pt;width:6.75pt;z-index:251698176;mso-width-relative:page;mso-height-relative:page;" filled="f" stroked="f" coordsize="21600,21600" o:gfxdata="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MxA453QAAAAAgEAAA8AAAAAAAAAAQAgAAAA&#10;IgAAAGRycy9kb3ducmV2LnhtbFBLAQIUABQAAAAIAIdO4kA21yCcoQEAAD4DAAAOAAAAAAAAAAEA&#10;IAAAAB8BAABkcnMvZTJvRG9jLnhtbFBLBQYAAAAABgAGAFkBAAAyBQAAAAA=&#10;">
                      <v:fill on="f" focussize="0,0"/>
                      <v:stroke on="f"/>
                      <v:imagedata o:title=""/>
                      <o:lock v:ext="edit" aspectratio="f"/>
                    </v:shape>
                  </w:pict>
                </mc:Fallback>
              </mc:AlternateContent>
            </w:r>
            <w:r>
              <w:rPr>
                <w:rFonts w:hint="eastAsia" w:ascii="宋体" w:hAnsi="宋体" w:eastAsia="宋体"/>
                <w:color w:val="000000"/>
                <w:sz w:val="21"/>
                <w:szCs w:val="21"/>
              </w:rPr>
              <w:t>19</w:t>
            </w:r>
          </w:p>
        </w:tc>
        <w:tc>
          <w:tcPr>
            <w:tcW w:w="174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olor w:val="000000"/>
                <w:sz w:val="21"/>
                <w:szCs w:val="21"/>
              </w:rPr>
            </w:pPr>
            <w:r>
              <w:rPr>
                <w:rFonts w:hint="eastAsia" w:ascii="宋体" w:hAnsi="宋体" w:eastAsia="宋体"/>
                <w:color w:val="000000"/>
                <w:sz w:val="21"/>
                <w:szCs w:val="21"/>
              </w:rPr>
              <w:t>单口面板</w:t>
            </w: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color w:val="000000"/>
                <w:sz w:val="21"/>
                <w:szCs w:val="21"/>
              </w:rPr>
            </w:pPr>
            <w:r>
              <w:rPr>
                <w:rFonts w:hint="eastAsia" w:ascii="宋体" w:hAnsi="宋体" w:eastAsia="宋体"/>
                <w:color w:val="000000"/>
                <w:sz w:val="21"/>
                <w:szCs w:val="21"/>
              </w:rPr>
              <w:t>10个</w:t>
            </w:r>
          </w:p>
        </w:tc>
        <w:tc>
          <w:tcPr>
            <w:tcW w:w="6814"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color w:val="000000"/>
                <w:sz w:val="21"/>
                <w:szCs w:val="21"/>
              </w:rPr>
            </w:pPr>
            <w:r>
              <w:rPr>
                <w:rFonts w:hint="eastAsia" w:ascii="宋体" w:hAnsi="宋体" w:eastAsia="宋体"/>
                <w:color w:val="000000"/>
                <w:sz w:val="21"/>
                <w:szCs w:val="21"/>
              </w:rPr>
              <w:t>模块面板(含边框/标签),带防尘盖,白色</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color w:val="000000"/>
                <w:sz w:val="21"/>
                <w:szCs w:val="21"/>
              </w:rPr>
            </w:pPr>
            <w:r>
              <w:rPr>
                <w:rFonts w:hint="eastAsia" w:ascii="宋体" w:hAnsi="宋体" w:eastAsia="宋体"/>
                <w:color w:val="000000"/>
                <w:sz w:val="21"/>
                <w:szCs w:val="21"/>
              </w:rPr>
              <w:t>20</w:t>
            </w:r>
          </w:p>
        </w:tc>
        <w:tc>
          <w:tcPr>
            <w:tcW w:w="174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color w:val="000000"/>
                <w:sz w:val="21"/>
                <w:szCs w:val="21"/>
              </w:rPr>
            </w:pPr>
            <w:r>
              <w:rPr>
                <w:rFonts w:hint="eastAsia" w:ascii="宋体" w:hAnsi="宋体" w:eastAsia="宋体"/>
                <w:color w:val="000000"/>
                <w:sz w:val="21"/>
                <w:szCs w:val="21"/>
              </w:rPr>
              <w:t>双口面板</w:t>
            </w: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color w:val="000000"/>
                <w:sz w:val="21"/>
                <w:szCs w:val="21"/>
              </w:rPr>
            </w:pPr>
            <w:r>
              <w:rPr>
                <w:rFonts w:hint="eastAsia" w:ascii="宋体" w:hAnsi="宋体" w:eastAsia="宋体"/>
                <w:color w:val="000000"/>
                <w:sz w:val="21"/>
                <w:szCs w:val="21"/>
              </w:rPr>
              <w:t>10个</w:t>
            </w:r>
          </w:p>
        </w:tc>
        <w:tc>
          <w:tcPr>
            <w:tcW w:w="6814"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color w:val="000000"/>
                <w:sz w:val="21"/>
                <w:szCs w:val="21"/>
              </w:rPr>
            </w:pPr>
            <w:r>
              <w:rPr>
                <w:rFonts w:hint="eastAsia" w:ascii="宋体" w:hAnsi="宋体" w:eastAsia="宋体"/>
                <w:color w:val="000000"/>
                <w:sz w:val="21"/>
                <w:szCs w:val="21"/>
              </w:rPr>
              <w:t>面板(含边框/标签),带防尘盖,白色</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color w:val="000000"/>
                <w:sz w:val="21"/>
                <w:szCs w:val="21"/>
              </w:rPr>
            </w:pPr>
            <w:r>
              <w:rPr>
                <w:rFonts w:hint="eastAsia" w:ascii="宋体" w:hAnsi="宋体" w:eastAsia="宋体"/>
                <w:color w:val="000000"/>
                <w:sz w:val="21"/>
                <w:szCs w:val="21"/>
              </w:rPr>
              <w:t>21</w:t>
            </w:r>
          </w:p>
        </w:tc>
        <w:tc>
          <w:tcPr>
            <w:tcW w:w="174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color w:val="000000"/>
                <w:sz w:val="21"/>
                <w:szCs w:val="21"/>
              </w:rPr>
            </w:pPr>
            <w:r>
              <w:rPr>
                <w:rFonts w:hint="eastAsia" w:ascii="宋体" w:hAnsi="宋体" w:eastAsia="宋体"/>
                <w:color w:val="000000"/>
                <w:sz w:val="21"/>
                <w:szCs w:val="21"/>
              </w:rPr>
              <w:t>双口地插</w:t>
            </w: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color w:val="000000"/>
                <w:sz w:val="21"/>
                <w:szCs w:val="21"/>
              </w:rPr>
            </w:pPr>
            <w:r>
              <w:rPr>
                <w:rFonts w:hint="eastAsia" w:ascii="宋体" w:hAnsi="宋体" w:eastAsia="宋体"/>
                <w:color w:val="000000"/>
                <w:sz w:val="21"/>
                <w:szCs w:val="21"/>
              </w:rPr>
              <w:t>2个</w:t>
            </w:r>
          </w:p>
        </w:tc>
        <w:tc>
          <w:tcPr>
            <w:tcW w:w="6814"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color w:val="000000"/>
                <w:sz w:val="21"/>
                <w:szCs w:val="21"/>
              </w:rPr>
            </w:pPr>
            <w:r>
              <w:rPr>
                <w:rFonts w:hint="eastAsia" w:ascii="宋体" w:hAnsi="宋体" w:eastAsia="宋体"/>
                <w:color w:val="000000"/>
                <w:sz w:val="21"/>
                <w:szCs w:val="21"/>
              </w:rPr>
              <w:t>办公桌地面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color w:val="000000"/>
                <w:sz w:val="21"/>
                <w:szCs w:val="21"/>
              </w:rPr>
            </w:pPr>
            <w:r>
              <w:rPr>
                <w:rFonts w:hint="eastAsia" w:ascii="宋体" w:hAnsi="宋体" w:eastAsia="宋体"/>
                <w:color w:val="000000"/>
                <w:sz w:val="21"/>
                <w:szCs w:val="21"/>
              </w:rPr>
              <w:t>22</w:t>
            </w:r>
          </w:p>
        </w:tc>
        <w:tc>
          <w:tcPr>
            <w:tcW w:w="174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color w:val="000000"/>
                <w:sz w:val="21"/>
                <w:szCs w:val="21"/>
              </w:rPr>
            </w:pPr>
            <w:r>
              <w:rPr>
                <w:rFonts w:hint="eastAsia" w:ascii="宋体" w:hAnsi="宋体" w:eastAsia="宋体"/>
                <w:color w:val="000000"/>
                <w:sz w:val="21"/>
                <w:szCs w:val="21"/>
              </w:rPr>
              <w:t>底盒</w:t>
            </w: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color w:val="000000"/>
                <w:sz w:val="21"/>
                <w:szCs w:val="21"/>
              </w:rPr>
            </w:pPr>
            <w:r>
              <w:rPr>
                <w:rFonts w:hint="eastAsia" w:ascii="宋体" w:hAnsi="宋体" w:eastAsia="宋体"/>
                <w:color w:val="000000"/>
                <w:sz w:val="21"/>
                <w:szCs w:val="21"/>
              </w:rPr>
              <w:t>22个</w:t>
            </w:r>
          </w:p>
        </w:tc>
        <w:tc>
          <w:tcPr>
            <w:tcW w:w="6814"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color w:val="000000"/>
                <w:sz w:val="21"/>
                <w:szCs w:val="21"/>
              </w:rPr>
            </w:pPr>
            <w:r>
              <w:rPr>
                <w:rFonts w:hint="eastAsia" w:ascii="宋体" w:hAnsi="宋体" w:eastAsia="宋体"/>
                <w:color w:val="000000"/>
                <w:sz w:val="21"/>
                <w:szCs w:val="21"/>
              </w:rPr>
              <w:t>86型 暗敷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color w:val="000000"/>
                <w:sz w:val="21"/>
                <w:szCs w:val="21"/>
              </w:rPr>
            </w:pPr>
            <w:r>
              <w:rPr>
                <w:rFonts w:hint="eastAsia" w:ascii="宋体" w:hAnsi="宋体" w:eastAsia="宋体"/>
                <w:color w:val="000000"/>
                <w:sz w:val="21"/>
                <w:szCs w:val="21"/>
              </w:rPr>
              <w:t>23</w:t>
            </w:r>
          </w:p>
        </w:tc>
        <w:tc>
          <w:tcPr>
            <w:tcW w:w="174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color w:val="000000"/>
                <w:sz w:val="21"/>
                <w:szCs w:val="21"/>
              </w:rPr>
            </w:pPr>
            <w:r>
              <w:rPr>
                <w:rFonts w:hint="eastAsia" w:ascii="宋体" w:hAnsi="宋体" w:eastAsia="宋体"/>
                <w:color w:val="000000"/>
                <w:sz w:val="21"/>
                <w:szCs w:val="21"/>
              </w:rPr>
              <w:t>模块</w:t>
            </w: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color w:val="000000"/>
                <w:sz w:val="21"/>
                <w:szCs w:val="21"/>
              </w:rPr>
            </w:pPr>
            <w:r>
              <w:rPr>
                <w:rFonts w:hint="eastAsia" w:ascii="宋体" w:hAnsi="宋体" w:eastAsia="宋体"/>
                <w:color w:val="000000"/>
                <w:sz w:val="21"/>
                <w:szCs w:val="21"/>
              </w:rPr>
              <w:t>32个</w:t>
            </w:r>
          </w:p>
        </w:tc>
        <w:tc>
          <w:tcPr>
            <w:tcW w:w="6814"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color w:val="000000"/>
                <w:sz w:val="21"/>
                <w:szCs w:val="21"/>
              </w:rPr>
            </w:pPr>
            <w:r>
              <w:rPr>
                <w:rFonts w:hint="eastAsia" w:ascii="宋体" w:hAnsi="宋体" w:eastAsia="宋体"/>
                <w:color w:val="000000"/>
                <w:sz w:val="21"/>
                <w:szCs w:val="21"/>
              </w:rPr>
              <w:t>六类非屏蔽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color w:val="000000"/>
                <w:sz w:val="21"/>
                <w:szCs w:val="21"/>
              </w:rPr>
            </w:pPr>
            <w:r>
              <w:rPr>
                <w:rFonts w:hint="eastAsia" w:ascii="宋体" w:hAnsi="宋体" w:eastAsia="宋体"/>
                <w:color w:val="000000"/>
                <w:sz w:val="21"/>
                <w:szCs w:val="21"/>
              </w:rPr>
              <w:t>24</w:t>
            </w:r>
          </w:p>
        </w:tc>
        <w:tc>
          <w:tcPr>
            <w:tcW w:w="174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color w:val="000000"/>
                <w:sz w:val="21"/>
                <w:szCs w:val="21"/>
              </w:rPr>
            </w:pPr>
            <w:r>
              <w:rPr>
                <w:rFonts w:hint="eastAsia" w:ascii="宋体" w:hAnsi="宋体" w:eastAsia="宋体"/>
                <w:color w:val="000000"/>
                <w:sz w:val="21"/>
                <w:szCs w:val="21"/>
              </w:rPr>
              <w:t>PVC穿线管</w:t>
            </w: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color w:val="000000"/>
                <w:sz w:val="21"/>
                <w:szCs w:val="21"/>
              </w:rPr>
            </w:pPr>
            <w:r>
              <w:rPr>
                <w:rFonts w:hint="eastAsia" w:ascii="宋体" w:hAnsi="宋体" w:eastAsia="宋体"/>
                <w:color w:val="000000"/>
                <w:sz w:val="21"/>
                <w:szCs w:val="21"/>
              </w:rPr>
              <w:t>100米</w:t>
            </w:r>
          </w:p>
        </w:tc>
        <w:tc>
          <w:tcPr>
            <w:tcW w:w="6814"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color w:val="000000"/>
                <w:sz w:val="21"/>
                <w:szCs w:val="21"/>
              </w:rPr>
            </w:pPr>
            <w:r>
              <w:rPr>
                <w:rFonts w:hint="eastAsia" w:ascii="宋体" w:hAnsi="宋体" w:eastAsia="宋体"/>
                <w:color w:val="000000"/>
                <w:sz w:val="21"/>
                <w:szCs w:val="21"/>
              </w:rPr>
              <w:t>φ25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color w:val="000000"/>
                <w:sz w:val="21"/>
                <w:szCs w:val="21"/>
              </w:rPr>
            </w:pPr>
            <w:r>
              <w:rPr>
                <w:rFonts w:hint="eastAsia" w:ascii="宋体" w:hAnsi="宋体" w:eastAsia="宋体"/>
                <w:color w:val="000000"/>
                <w:sz w:val="21"/>
                <w:szCs w:val="21"/>
              </w:rPr>
              <w:t>25</w:t>
            </w:r>
          </w:p>
        </w:tc>
        <w:tc>
          <w:tcPr>
            <w:tcW w:w="174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sz w:val="21"/>
                <w:szCs w:val="21"/>
              </w:rPr>
            </w:pPr>
            <w:r>
              <w:rPr>
                <w:rFonts w:hint="eastAsia" w:ascii="宋体" w:hAnsi="宋体" w:eastAsia="宋体"/>
                <w:sz w:val="21"/>
                <w:szCs w:val="21"/>
              </w:rPr>
              <w:t>电源线RVV2*1.0</w:t>
            </w: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color w:val="000000"/>
                <w:sz w:val="21"/>
                <w:szCs w:val="21"/>
              </w:rPr>
            </w:pPr>
            <w:r>
              <w:rPr>
                <w:rFonts w:hint="eastAsia" w:ascii="宋体" w:hAnsi="宋体" w:eastAsia="宋体"/>
                <w:color w:val="000000"/>
                <w:sz w:val="21"/>
                <w:szCs w:val="21"/>
              </w:rPr>
              <w:t>200米</w:t>
            </w:r>
          </w:p>
        </w:tc>
        <w:tc>
          <w:tcPr>
            <w:tcW w:w="6814"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 w:val="21"/>
                <w:szCs w:val="21"/>
              </w:rPr>
            </w:pPr>
            <w:r>
              <w:rPr>
                <w:rFonts w:hint="eastAsia" w:ascii="宋体" w:hAnsi="宋体" w:eastAsia="宋体"/>
                <w:sz w:val="21"/>
                <w:szCs w:val="21"/>
              </w:rPr>
              <w:t>国标，无氧铜，2芯，每芯1平方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color w:val="000000"/>
                <w:sz w:val="21"/>
                <w:szCs w:val="21"/>
              </w:rPr>
            </w:pPr>
            <w:r>
              <w:rPr>
                <w:rFonts w:hint="eastAsia" w:ascii="宋体" w:hAnsi="宋体" w:eastAsia="宋体"/>
                <w:color w:val="000000"/>
                <w:sz w:val="21"/>
                <w:szCs w:val="21"/>
              </w:rPr>
              <w:t>26</w:t>
            </w:r>
          </w:p>
        </w:tc>
        <w:tc>
          <w:tcPr>
            <w:tcW w:w="174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sz w:val="21"/>
                <w:szCs w:val="21"/>
              </w:rPr>
            </w:pPr>
            <w:r>
              <w:rPr>
                <w:rFonts w:hint="eastAsia" w:ascii="宋体" w:hAnsi="宋体" w:eastAsia="宋体"/>
                <w:sz w:val="21"/>
                <w:szCs w:val="21"/>
              </w:rPr>
              <w:t>镀锌金属桥架</w:t>
            </w: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color w:val="000000"/>
                <w:sz w:val="21"/>
                <w:szCs w:val="21"/>
              </w:rPr>
            </w:pPr>
            <w:r>
              <w:rPr>
                <w:rFonts w:hint="eastAsia" w:ascii="宋体" w:hAnsi="宋体" w:eastAsia="宋体"/>
                <w:color w:val="000000"/>
                <w:sz w:val="21"/>
                <w:szCs w:val="21"/>
              </w:rPr>
              <w:t>35米</w:t>
            </w:r>
          </w:p>
        </w:tc>
        <w:tc>
          <w:tcPr>
            <w:tcW w:w="6814"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 w:val="21"/>
                <w:szCs w:val="21"/>
              </w:rPr>
            </w:pPr>
            <w:r>
              <w:rPr>
                <w:rFonts w:hint="eastAsia" w:ascii="宋体" w:hAnsi="宋体" w:eastAsia="宋体"/>
                <w:sz w:val="21"/>
                <w:szCs w:val="21"/>
              </w:rPr>
              <w:t>国标,规格：100*100（mm）</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color w:val="000000"/>
                <w:sz w:val="21"/>
                <w:szCs w:val="21"/>
              </w:rPr>
            </w:pPr>
            <w:r>
              <w:rPr>
                <w:rFonts w:hint="eastAsia" w:ascii="宋体" w:hAnsi="宋体" w:eastAsia="宋体"/>
                <w:color w:val="000000"/>
                <w:sz w:val="21"/>
                <w:szCs w:val="21"/>
              </w:rPr>
              <w:t>27</w:t>
            </w:r>
          </w:p>
        </w:tc>
        <w:tc>
          <w:tcPr>
            <w:tcW w:w="174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color w:val="000000"/>
                <w:sz w:val="21"/>
                <w:szCs w:val="21"/>
              </w:rPr>
            </w:pPr>
            <w:r>
              <w:rPr>
                <w:rFonts w:hint="eastAsia" w:ascii="宋体" w:hAnsi="宋体" w:eastAsia="宋体"/>
                <w:color w:val="000000"/>
                <w:sz w:val="21"/>
                <w:szCs w:val="21"/>
              </w:rPr>
              <w:t>理线器</w:t>
            </w: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color w:val="000000"/>
                <w:sz w:val="21"/>
                <w:szCs w:val="21"/>
              </w:rPr>
            </w:pPr>
            <w:r>
              <w:rPr>
                <w:rFonts w:hint="eastAsia" w:ascii="宋体" w:hAnsi="宋体" w:eastAsia="宋体"/>
                <w:color w:val="000000"/>
                <w:sz w:val="21"/>
                <w:szCs w:val="21"/>
              </w:rPr>
              <w:t>3个</w:t>
            </w:r>
          </w:p>
        </w:tc>
        <w:tc>
          <w:tcPr>
            <w:tcW w:w="6814"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color w:val="000000"/>
                <w:sz w:val="21"/>
                <w:szCs w:val="21"/>
              </w:rPr>
            </w:pPr>
            <w:r>
              <w:rPr>
                <w:rFonts w:hint="eastAsia" w:ascii="宋体" w:hAnsi="宋体" w:eastAsia="宋体"/>
                <w:color w:val="000000"/>
                <w:sz w:val="21"/>
                <w:szCs w:val="21"/>
              </w:rPr>
              <w:t>1U配套使用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color w:val="000000"/>
                <w:sz w:val="21"/>
                <w:szCs w:val="21"/>
              </w:rPr>
            </w:pPr>
            <w:r>
              <w:rPr>
                <w:rFonts w:hint="eastAsia" w:ascii="宋体" w:hAnsi="宋体" w:eastAsia="宋体"/>
                <w:color w:val="000000"/>
                <w:sz w:val="21"/>
                <w:szCs w:val="21"/>
              </w:rPr>
              <w:t>28</w:t>
            </w:r>
          </w:p>
        </w:tc>
        <w:tc>
          <w:tcPr>
            <w:tcW w:w="174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color w:val="000000"/>
                <w:sz w:val="21"/>
                <w:szCs w:val="21"/>
              </w:rPr>
            </w:pPr>
            <w:r>
              <w:rPr>
                <w:rFonts w:hint="eastAsia" w:ascii="宋体" w:hAnsi="宋体" w:eastAsia="宋体"/>
                <w:color w:val="000000"/>
                <w:sz w:val="21"/>
                <w:szCs w:val="21"/>
              </w:rPr>
              <w:t>PDU插座</w:t>
            </w: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color w:val="000000"/>
                <w:sz w:val="21"/>
                <w:szCs w:val="21"/>
              </w:rPr>
            </w:pPr>
            <w:r>
              <w:rPr>
                <w:rFonts w:hint="eastAsia" w:ascii="宋体" w:hAnsi="宋体" w:eastAsia="宋体"/>
                <w:color w:val="000000"/>
                <w:sz w:val="21"/>
                <w:szCs w:val="21"/>
              </w:rPr>
              <w:t>2个</w:t>
            </w:r>
          </w:p>
        </w:tc>
        <w:tc>
          <w:tcPr>
            <w:tcW w:w="6814"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color w:val="000000"/>
                <w:sz w:val="21"/>
                <w:szCs w:val="21"/>
              </w:rPr>
            </w:pPr>
            <w:r>
              <w:rPr>
                <w:rFonts w:hint="eastAsia" w:ascii="宋体" w:hAnsi="宋体" w:eastAsia="宋体"/>
                <w:color w:val="000000"/>
                <w:sz w:val="21"/>
                <w:szCs w:val="21"/>
              </w:rPr>
              <w:t>8位防雷10A/16A插座PDU电源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color w:val="000000"/>
                <w:sz w:val="21"/>
                <w:szCs w:val="21"/>
              </w:rPr>
            </w:pPr>
            <w:r>
              <w:rPr>
                <w:rFonts w:hint="eastAsia" w:ascii="宋体" w:hAnsi="宋体" w:eastAsia="宋体"/>
                <w:color w:val="000000"/>
                <w:sz w:val="21"/>
                <w:szCs w:val="21"/>
              </w:rPr>
              <w:t>29</w:t>
            </w:r>
          </w:p>
        </w:tc>
        <w:tc>
          <w:tcPr>
            <w:tcW w:w="174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color w:val="000000"/>
                <w:sz w:val="21"/>
                <w:szCs w:val="21"/>
              </w:rPr>
            </w:pPr>
            <w:r>
              <w:rPr>
                <w:rFonts w:hint="eastAsia" w:ascii="宋体" w:hAnsi="宋体" w:eastAsia="宋体"/>
                <w:color w:val="000000"/>
                <w:sz w:val="21"/>
                <w:szCs w:val="21"/>
              </w:rPr>
              <w:t>服务器机柜</w:t>
            </w: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color w:val="000000"/>
                <w:sz w:val="21"/>
                <w:szCs w:val="21"/>
              </w:rPr>
            </w:pPr>
            <w:r>
              <w:rPr>
                <w:rFonts w:hint="eastAsia" w:ascii="宋体" w:hAnsi="宋体" w:eastAsia="宋体"/>
                <w:color w:val="000000"/>
                <w:sz w:val="21"/>
                <w:szCs w:val="21"/>
              </w:rPr>
              <w:t>1台</w:t>
            </w:r>
          </w:p>
        </w:tc>
        <w:tc>
          <w:tcPr>
            <w:tcW w:w="6814"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color w:val="000000"/>
                <w:sz w:val="21"/>
                <w:szCs w:val="21"/>
              </w:rPr>
            </w:pPr>
            <w:r>
              <w:rPr>
                <w:rFonts w:hint="eastAsia" w:ascii="宋体" w:hAnsi="宋体" w:eastAsia="宋体"/>
                <w:color w:val="000000"/>
                <w:sz w:val="21"/>
                <w:szCs w:val="21"/>
              </w:rPr>
              <w:t>1*0.6*2服务器机柜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color w:val="000000"/>
                <w:sz w:val="21"/>
                <w:szCs w:val="21"/>
              </w:rPr>
            </w:pPr>
            <w:r>
              <w:rPr>
                <w:rFonts w:hint="eastAsia" w:ascii="宋体" w:hAnsi="宋体" w:eastAsia="宋体"/>
                <w:color w:val="000000"/>
                <w:sz w:val="21"/>
                <w:szCs w:val="21"/>
              </w:rPr>
              <w:t>30</w:t>
            </w:r>
          </w:p>
        </w:tc>
        <w:tc>
          <w:tcPr>
            <w:tcW w:w="174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sz w:val="21"/>
                <w:szCs w:val="21"/>
              </w:rPr>
            </w:pPr>
            <w:r>
              <w:rPr>
                <w:rFonts w:hint="eastAsia" w:ascii="宋体" w:hAnsi="宋体" w:eastAsia="宋体"/>
                <w:sz w:val="21"/>
                <w:szCs w:val="21"/>
              </w:rPr>
              <w:t>24口千兆接入交换机</w:t>
            </w: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color w:val="000000"/>
                <w:sz w:val="21"/>
                <w:szCs w:val="21"/>
              </w:rPr>
            </w:pPr>
            <w:r>
              <w:rPr>
                <w:rFonts w:hint="eastAsia" w:ascii="宋体" w:hAnsi="宋体" w:eastAsia="宋体"/>
                <w:color w:val="000000"/>
                <w:sz w:val="21"/>
                <w:szCs w:val="21"/>
              </w:rPr>
              <w:t>1台</w:t>
            </w:r>
          </w:p>
        </w:tc>
        <w:tc>
          <w:tcPr>
            <w:tcW w:w="6814"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 w:val="21"/>
                <w:szCs w:val="21"/>
              </w:rPr>
            </w:pPr>
            <w:r>
              <w:rPr>
                <w:rFonts w:hint="eastAsia" w:ascii="宋体" w:hAnsi="宋体" w:eastAsia="宋体"/>
                <w:sz w:val="21"/>
                <w:szCs w:val="21"/>
              </w:rPr>
              <w:t>24个10/100/1000Base-T以太网端口,交流供电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color w:val="000000"/>
                <w:sz w:val="21"/>
                <w:szCs w:val="21"/>
              </w:rPr>
            </w:pPr>
            <w:r>
              <w:rPr>
                <w:rFonts w:hint="eastAsia" w:ascii="宋体" w:hAnsi="宋体" w:eastAsia="宋体"/>
                <w:color w:val="000000"/>
                <w:sz w:val="21"/>
                <w:szCs w:val="21"/>
              </w:rPr>
              <w:t>31</w:t>
            </w:r>
          </w:p>
        </w:tc>
        <w:tc>
          <w:tcPr>
            <w:tcW w:w="174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sz w:val="21"/>
                <w:szCs w:val="21"/>
              </w:rPr>
            </w:pPr>
            <w:r>
              <w:rPr>
                <w:rFonts w:hint="eastAsia" w:ascii="宋体" w:hAnsi="宋体" w:eastAsia="宋体"/>
                <w:sz w:val="21"/>
                <w:szCs w:val="21"/>
              </w:rPr>
              <w:t>系统集成</w:t>
            </w: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color w:val="000000"/>
                <w:sz w:val="21"/>
                <w:szCs w:val="21"/>
              </w:rPr>
            </w:pPr>
            <w:r>
              <w:rPr>
                <w:rFonts w:hint="eastAsia" w:ascii="宋体" w:hAnsi="宋体" w:eastAsia="宋体"/>
                <w:color w:val="000000"/>
                <w:sz w:val="21"/>
                <w:szCs w:val="21"/>
              </w:rPr>
              <w:t>1套</w:t>
            </w:r>
          </w:p>
        </w:tc>
        <w:tc>
          <w:tcPr>
            <w:tcW w:w="6814"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 w:val="21"/>
                <w:szCs w:val="21"/>
              </w:rPr>
            </w:pPr>
            <w:r>
              <w:rPr>
                <w:rFonts w:hint="eastAsia" w:ascii="宋体" w:hAnsi="宋体" w:eastAsia="宋体"/>
                <w:sz w:val="21"/>
                <w:szCs w:val="21"/>
              </w:rPr>
              <w:t>含硬件安装、调试，软件部署、调试，软件硬件联调等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color w:val="000000"/>
                <w:sz w:val="21"/>
                <w:szCs w:val="21"/>
              </w:rPr>
            </w:pPr>
            <w:r>
              <w:rPr>
                <w:rFonts w:hint="eastAsia" w:ascii="宋体" w:hAnsi="宋体" w:eastAsia="宋体"/>
                <w:color w:val="000000"/>
                <w:sz w:val="21"/>
                <w:szCs w:val="21"/>
              </w:rPr>
              <w:t>32</w:t>
            </w:r>
          </w:p>
        </w:tc>
        <w:tc>
          <w:tcPr>
            <w:tcW w:w="174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sz w:val="21"/>
                <w:szCs w:val="21"/>
              </w:rPr>
            </w:pPr>
            <w:r>
              <w:rPr>
                <w:rFonts w:hint="eastAsia" w:ascii="宋体" w:hAnsi="宋体" w:eastAsia="宋体"/>
                <w:sz w:val="21"/>
                <w:szCs w:val="21"/>
              </w:rPr>
              <w:t>空调</w:t>
            </w: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color w:val="000000"/>
                <w:sz w:val="21"/>
                <w:szCs w:val="21"/>
              </w:rPr>
            </w:pPr>
            <w:r>
              <w:rPr>
                <w:rFonts w:hint="eastAsia" w:ascii="宋体" w:hAnsi="宋体" w:eastAsia="宋体"/>
                <w:color w:val="000000"/>
                <w:sz w:val="21"/>
                <w:szCs w:val="21"/>
              </w:rPr>
              <w:t>2台</w:t>
            </w:r>
          </w:p>
        </w:tc>
        <w:tc>
          <w:tcPr>
            <w:tcW w:w="6814"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 w:val="21"/>
                <w:szCs w:val="21"/>
              </w:rPr>
            </w:pPr>
            <w:r>
              <w:rPr>
                <w:rFonts w:hint="eastAsia" w:ascii="宋体" w:hAnsi="宋体" w:eastAsia="宋体" w:cs="宋体"/>
                <w:sz w:val="21"/>
                <w:szCs w:val="21"/>
              </w:rPr>
              <w:t>1.5P/冷暖挂机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color w:val="000000"/>
                <w:sz w:val="21"/>
                <w:szCs w:val="21"/>
              </w:rPr>
            </w:pPr>
            <w:r>
              <w:rPr>
                <w:rFonts w:hint="eastAsia" w:ascii="宋体" w:hAnsi="宋体" w:eastAsia="宋体"/>
                <w:color w:val="000000"/>
                <w:sz w:val="21"/>
                <w:szCs w:val="21"/>
              </w:rPr>
              <w:t>33</w:t>
            </w:r>
          </w:p>
        </w:tc>
        <w:tc>
          <w:tcPr>
            <w:tcW w:w="174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sz w:val="21"/>
                <w:szCs w:val="21"/>
              </w:rPr>
            </w:pPr>
            <w:r>
              <w:rPr>
                <w:rFonts w:hint="eastAsia" w:ascii="宋体" w:hAnsi="宋体" w:eastAsia="宋体"/>
                <w:sz w:val="21"/>
                <w:szCs w:val="21"/>
              </w:rPr>
              <w:t>天花铝扣板</w:t>
            </w: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color w:val="000000"/>
                <w:sz w:val="21"/>
                <w:szCs w:val="21"/>
              </w:rPr>
            </w:pPr>
            <w:r>
              <w:rPr>
                <w:rFonts w:hint="eastAsia" w:ascii="宋体" w:hAnsi="宋体" w:eastAsia="宋体"/>
                <w:color w:val="000000"/>
                <w:sz w:val="21"/>
                <w:szCs w:val="21"/>
              </w:rPr>
              <w:t>62m</w:t>
            </w:r>
            <w:r>
              <w:rPr>
                <w:rFonts w:hint="eastAsia" w:ascii="宋体" w:hAnsi="宋体" w:eastAsia="宋体"/>
                <w:sz w:val="21"/>
                <w:szCs w:val="21"/>
                <w:vertAlign w:val="superscript"/>
              </w:rPr>
              <w:t>2</w:t>
            </w:r>
          </w:p>
        </w:tc>
        <w:tc>
          <w:tcPr>
            <w:tcW w:w="6814"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sz w:val="21"/>
                <w:szCs w:val="21"/>
              </w:rPr>
            </w:pPr>
            <w:r>
              <w:rPr>
                <w:rFonts w:hint="eastAsia" w:ascii="宋体" w:hAnsi="宋体" w:eastAsia="宋体"/>
                <w:sz w:val="21"/>
                <w:szCs w:val="21"/>
              </w:rPr>
              <w:t xml:space="preserve">1、轻钢龙骨； </w:t>
            </w:r>
          </w:p>
          <w:p>
            <w:pPr>
              <w:spacing w:line="360" w:lineRule="exact"/>
              <w:rPr>
                <w:rFonts w:ascii="宋体" w:hAnsi="宋体" w:eastAsia="宋体"/>
                <w:sz w:val="21"/>
                <w:szCs w:val="21"/>
              </w:rPr>
            </w:pPr>
            <w:r>
              <w:rPr>
                <w:rFonts w:hint="eastAsia" w:ascii="宋体" w:hAnsi="宋体" w:eastAsia="宋体"/>
                <w:sz w:val="21"/>
                <w:szCs w:val="21"/>
              </w:rPr>
              <w:t xml:space="preserve">2、三角副骨 </w:t>
            </w:r>
          </w:p>
          <w:p>
            <w:pPr>
              <w:spacing w:line="360" w:lineRule="exact"/>
              <w:rPr>
                <w:rFonts w:ascii="宋体" w:hAnsi="宋体" w:eastAsia="宋体" w:cs="宋体"/>
                <w:sz w:val="21"/>
                <w:szCs w:val="21"/>
              </w:rPr>
            </w:pPr>
            <w:r>
              <w:rPr>
                <w:rFonts w:hint="eastAsia" w:ascii="宋体" w:hAnsi="宋体" w:eastAsia="宋体"/>
                <w:sz w:val="21"/>
                <w:szCs w:val="21"/>
              </w:rPr>
              <w:t>3、600*600l铝扣板08厚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color w:val="000000"/>
                <w:sz w:val="21"/>
                <w:szCs w:val="21"/>
              </w:rPr>
            </w:pPr>
            <w:r>
              <w:rPr>
                <w:rFonts w:hint="eastAsia" w:ascii="宋体" w:hAnsi="宋体" w:eastAsia="宋体"/>
                <w:color w:val="000000"/>
                <w:sz w:val="21"/>
                <w:szCs w:val="21"/>
              </w:rPr>
              <w:t>34</w:t>
            </w:r>
          </w:p>
        </w:tc>
        <w:tc>
          <w:tcPr>
            <w:tcW w:w="174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sz w:val="21"/>
                <w:szCs w:val="21"/>
              </w:rPr>
            </w:pPr>
            <w:r>
              <w:rPr>
                <w:rFonts w:hint="eastAsia" w:ascii="宋体" w:hAnsi="宋体" w:eastAsia="宋体"/>
                <w:sz w:val="21"/>
                <w:szCs w:val="21"/>
              </w:rPr>
              <w:t>蓝腰线</w:t>
            </w: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color w:val="000000"/>
                <w:sz w:val="21"/>
                <w:szCs w:val="21"/>
              </w:rPr>
            </w:pPr>
            <w:r>
              <w:rPr>
                <w:rFonts w:hint="eastAsia" w:ascii="宋体" w:hAnsi="宋体" w:eastAsia="宋体"/>
                <w:color w:val="000000"/>
                <w:sz w:val="21"/>
                <w:szCs w:val="21"/>
              </w:rPr>
              <w:t>1项</w:t>
            </w:r>
          </w:p>
        </w:tc>
        <w:tc>
          <w:tcPr>
            <w:tcW w:w="6814"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 w:val="21"/>
                <w:szCs w:val="21"/>
              </w:rPr>
            </w:pPr>
            <w:r>
              <w:rPr>
                <w:rFonts w:hint="eastAsia" w:ascii="宋体" w:hAnsi="宋体" w:eastAsia="宋体" w:cs="宋体"/>
                <w:sz w:val="21"/>
                <w:szCs w:val="21"/>
              </w:rPr>
              <w:t>打印、即时贴、高10cm</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color w:val="000000"/>
                <w:sz w:val="21"/>
                <w:szCs w:val="21"/>
              </w:rPr>
            </w:pPr>
            <w:r>
              <w:rPr>
                <w:rFonts w:hint="eastAsia" w:ascii="宋体" w:hAnsi="宋体" w:eastAsia="宋体"/>
                <w:color w:val="000000"/>
                <w:sz w:val="21"/>
                <w:szCs w:val="21"/>
              </w:rPr>
              <w:t>35</w:t>
            </w:r>
          </w:p>
        </w:tc>
        <w:tc>
          <w:tcPr>
            <w:tcW w:w="174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sz w:val="21"/>
                <w:szCs w:val="21"/>
              </w:rPr>
            </w:pPr>
            <w:r>
              <w:rPr>
                <w:rFonts w:hint="eastAsia" w:ascii="宋体" w:hAnsi="宋体" w:eastAsia="宋体"/>
                <w:sz w:val="21"/>
                <w:szCs w:val="21"/>
              </w:rPr>
              <w:t>制度牌</w:t>
            </w: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color w:val="000000"/>
                <w:sz w:val="21"/>
                <w:szCs w:val="21"/>
              </w:rPr>
            </w:pPr>
            <w:r>
              <w:rPr>
                <w:rFonts w:hint="eastAsia" w:ascii="宋体" w:hAnsi="宋体" w:eastAsia="宋体"/>
                <w:color w:val="000000"/>
                <w:sz w:val="21"/>
                <w:szCs w:val="21"/>
              </w:rPr>
              <w:t>1项</w:t>
            </w:r>
          </w:p>
        </w:tc>
        <w:tc>
          <w:tcPr>
            <w:tcW w:w="6814"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 w:val="21"/>
                <w:szCs w:val="21"/>
              </w:rPr>
            </w:pPr>
            <w:r>
              <w:rPr>
                <w:rFonts w:hint="eastAsia" w:ascii="宋体" w:hAnsi="宋体" w:eastAsia="宋体"/>
                <w:sz w:val="21"/>
                <w:szCs w:val="21"/>
              </w:rPr>
              <w:t>500宽*800高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color w:val="000000"/>
                <w:sz w:val="21"/>
                <w:szCs w:val="21"/>
              </w:rPr>
            </w:pPr>
            <w:r>
              <w:rPr>
                <w:rFonts w:hint="eastAsia" w:ascii="宋体" w:hAnsi="宋体" w:eastAsia="宋体"/>
                <w:color w:val="000000"/>
                <w:sz w:val="21"/>
                <w:szCs w:val="21"/>
              </w:rPr>
              <w:t>36</w:t>
            </w:r>
          </w:p>
        </w:tc>
        <w:tc>
          <w:tcPr>
            <w:tcW w:w="174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sz w:val="21"/>
                <w:szCs w:val="21"/>
              </w:rPr>
            </w:pPr>
            <w:r>
              <w:rPr>
                <w:rFonts w:hint="eastAsia" w:ascii="宋体" w:hAnsi="宋体" w:eastAsia="宋体"/>
                <w:sz w:val="21"/>
                <w:szCs w:val="21"/>
              </w:rPr>
              <w:t>筒灯</w:t>
            </w: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color w:val="000000"/>
                <w:sz w:val="21"/>
                <w:szCs w:val="21"/>
              </w:rPr>
            </w:pPr>
            <w:r>
              <w:rPr>
                <w:rFonts w:hint="eastAsia" w:ascii="宋体" w:hAnsi="宋体" w:eastAsia="宋体"/>
                <w:color w:val="000000"/>
                <w:sz w:val="21"/>
                <w:szCs w:val="21"/>
              </w:rPr>
              <w:t>8只</w:t>
            </w:r>
          </w:p>
        </w:tc>
        <w:tc>
          <w:tcPr>
            <w:tcW w:w="6814"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 w:val="21"/>
                <w:szCs w:val="21"/>
              </w:rPr>
            </w:pPr>
            <w:r>
              <w:rPr>
                <w:rFonts w:hint="eastAsia" w:ascii="宋体" w:hAnsi="宋体" w:eastAsia="宋体"/>
                <w:sz w:val="21"/>
                <w:szCs w:val="21"/>
              </w:rPr>
              <w:t>LED; 12W/开口7公分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16"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color w:val="000000"/>
                <w:sz w:val="21"/>
                <w:szCs w:val="21"/>
              </w:rPr>
            </w:pPr>
            <w:r>
              <w:rPr>
                <w:rFonts w:hint="eastAsia" w:ascii="宋体" w:hAnsi="宋体" w:eastAsia="宋体"/>
                <w:color w:val="000000"/>
                <w:sz w:val="21"/>
                <w:szCs w:val="21"/>
              </w:rPr>
              <w:t>37</w:t>
            </w:r>
          </w:p>
        </w:tc>
        <w:tc>
          <w:tcPr>
            <w:tcW w:w="174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sz w:val="21"/>
                <w:szCs w:val="21"/>
              </w:rPr>
            </w:pPr>
            <w:r>
              <w:rPr>
                <w:rFonts w:hint="eastAsia" w:ascii="宋体" w:hAnsi="宋体" w:eastAsia="宋体"/>
                <w:sz w:val="21"/>
                <w:szCs w:val="21"/>
              </w:rPr>
              <w:t>灯盘</w:t>
            </w: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color w:val="000000"/>
                <w:sz w:val="21"/>
                <w:szCs w:val="21"/>
              </w:rPr>
            </w:pPr>
            <w:r>
              <w:rPr>
                <w:rFonts w:hint="eastAsia" w:ascii="宋体" w:hAnsi="宋体" w:eastAsia="宋体"/>
                <w:color w:val="000000"/>
                <w:sz w:val="21"/>
                <w:szCs w:val="21"/>
              </w:rPr>
              <w:t>14套</w:t>
            </w:r>
          </w:p>
        </w:tc>
        <w:tc>
          <w:tcPr>
            <w:tcW w:w="6814"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 w:val="21"/>
                <w:szCs w:val="21"/>
              </w:rPr>
            </w:pPr>
            <w:r>
              <w:rPr>
                <w:rFonts w:hint="eastAsia" w:ascii="宋体" w:hAnsi="宋体" w:eastAsia="宋体"/>
                <w:sz w:val="21"/>
                <w:szCs w:val="21"/>
              </w:rPr>
              <w:t>LED;600*600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color w:val="000000"/>
                <w:sz w:val="21"/>
                <w:szCs w:val="21"/>
              </w:rPr>
            </w:pPr>
            <w:r>
              <w:rPr>
                <w:rFonts w:hint="eastAsia" w:ascii="宋体" w:hAnsi="宋体" w:eastAsia="宋体"/>
                <w:color w:val="000000"/>
                <w:sz w:val="21"/>
                <w:szCs w:val="21"/>
              </w:rPr>
              <w:t>38</w:t>
            </w:r>
          </w:p>
        </w:tc>
        <w:tc>
          <w:tcPr>
            <w:tcW w:w="174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sz w:val="21"/>
                <w:szCs w:val="21"/>
              </w:rPr>
            </w:pPr>
            <w:r>
              <w:rPr>
                <w:rFonts w:hint="eastAsia" w:ascii="宋体" w:hAnsi="宋体" w:eastAsia="宋体"/>
                <w:sz w:val="21"/>
                <w:szCs w:val="21"/>
              </w:rPr>
              <w:t>排气扇</w:t>
            </w: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color w:val="000000"/>
                <w:sz w:val="21"/>
                <w:szCs w:val="21"/>
              </w:rPr>
            </w:pPr>
            <w:r>
              <w:rPr>
                <w:rFonts w:hint="eastAsia" w:ascii="宋体" w:hAnsi="宋体" w:eastAsia="宋体"/>
                <w:color w:val="000000"/>
                <w:sz w:val="21"/>
                <w:szCs w:val="21"/>
              </w:rPr>
              <w:t>5个</w:t>
            </w:r>
          </w:p>
        </w:tc>
        <w:tc>
          <w:tcPr>
            <w:tcW w:w="6814"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 w:val="21"/>
                <w:szCs w:val="21"/>
              </w:rPr>
            </w:pPr>
            <w:r>
              <w:rPr>
                <w:rFonts w:hint="eastAsia" w:ascii="宋体" w:hAnsi="宋体" w:eastAsia="宋体"/>
                <w:sz w:val="21"/>
                <w:szCs w:val="21"/>
              </w:rPr>
              <w:t>300*300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color w:val="000000"/>
                <w:sz w:val="21"/>
                <w:szCs w:val="21"/>
              </w:rPr>
            </w:pPr>
            <w:r>
              <w:rPr>
                <w:rFonts w:hint="eastAsia" w:ascii="宋体" w:hAnsi="宋体" w:eastAsia="宋体"/>
                <w:color w:val="000000"/>
                <w:sz w:val="21"/>
                <w:szCs w:val="21"/>
              </w:rPr>
              <w:t>39</w:t>
            </w:r>
          </w:p>
        </w:tc>
        <w:tc>
          <w:tcPr>
            <w:tcW w:w="174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sz w:val="21"/>
                <w:szCs w:val="21"/>
              </w:rPr>
            </w:pPr>
            <w:r>
              <w:rPr>
                <w:rFonts w:hint="eastAsia" w:ascii="宋体" w:hAnsi="宋体" w:eastAsia="宋体"/>
                <w:sz w:val="21"/>
                <w:szCs w:val="21"/>
              </w:rPr>
              <w:t>排气内部管道110</w:t>
            </w: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color w:val="000000"/>
                <w:sz w:val="21"/>
                <w:szCs w:val="21"/>
              </w:rPr>
            </w:pPr>
            <w:r>
              <w:rPr>
                <w:rFonts w:hint="eastAsia" w:ascii="宋体" w:hAnsi="宋体" w:eastAsia="宋体"/>
                <w:color w:val="000000"/>
                <w:sz w:val="21"/>
                <w:szCs w:val="21"/>
              </w:rPr>
              <w:t>4.5m</w:t>
            </w:r>
          </w:p>
        </w:tc>
        <w:tc>
          <w:tcPr>
            <w:tcW w:w="6814"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 w:val="21"/>
                <w:szCs w:val="21"/>
              </w:rPr>
            </w:pPr>
            <w:r>
              <w:rPr>
                <w:rFonts w:hint="eastAsia" w:ascii="宋体" w:hAnsi="宋体" w:eastAsia="宋体"/>
                <w:sz w:val="21"/>
                <w:szCs w:val="21"/>
              </w:rPr>
              <w:t>110管PVC管道</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color w:val="000000"/>
                <w:sz w:val="21"/>
                <w:szCs w:val="21"/>
              </w:rPr>
            </w:pPr>
            <w:r>
              <w:rPr>
                <w:rFonts w:hint="eastAsia" w:ascii="宋体" w:hAnsi="宋体" w:eastAsia="宋体"/>
                <w:color w:val="000000"/>
                <w:sz w:val="21"/>
                <w:szCs w:val="21"/>
              </w:rPr>
              <w:t>40</w:t>
            </w:r>
          </w:p>
        </w:tc>
        <w:tc>
          <w:tcPr>
            <w:tcW w:w="174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sz w:val="21"/>
                <w:szCs w:val="21"/>
              </w:rPr>
            </w:pPr>
            <w:r>
              <w:rPr>
                <w:rFonts w:hint="eastAsia" w:ascii="宋体" w:hAnsi="宋体" w:eastAsia="宋体"/>
                <w:sz w:val="21"/>
                <w:szCs w:val="21"/>
              </w:rPr>
              <w:t>开孔110</w:t>
            </w: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color w:val="000000"/>
                <w:sz w:val="21"/>
                <w:szCs w:val="21"/>
              </w:rPr>
            </w:pPr>
            <w:r>
              <w:rPr>
                <w:rFonts w:hint="eastAsia" w:ascii="宋体" w:hAnsi="宋体" w:eastAsia="宋体"/>
                <w:color w:val="000000"/>
                <w:sz w:val="21"/>
                <w:szCs w:val="21"/>
              </w:rPr>
              <w:t>5个</w:t>
            </w:r>
          </w:p>
        </w:tc>
        <w:tc>
          <w:tcPr>
            <w:tcW w:w="6814"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 w:val="21"/>
                <w:szCs w:val="21"/>
              </w:rPr>
            </w:pPr>
            <w:r>
              <w:rPr>
                <w:rFonts w:hint="eastAsia" w:ascii="宋体" w:hAnsi="宋体" w:eastAsia="宋体" w:cs="宋体"/>
                <w:sz w:val="21"/>
                <w:szCs w:val="21"/>
              </w:rPr>
              <w:t>水钻开口</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color w:val="000000"/>
                <w:sz w:val="21"/>
                <w:szCs w:val="21"/>
              </w:rPr>
            </w:pPr>
            <w:r>
              <w:rPr>
                <w:rFonts w:hint="eastAsia" w:ascii="宋体" w:hAnsi="宋体" w:eastAsia="宋体"/>
                <w:color w:val="000000"/>
                <w:sz w:val="21"/>
                <w:szCs w:val="21"/>
              </w:rPr>
              <w:t>41</w:t>
            </w:r>
          </w:p>
        </w:tc>
        <w:tc>
          <w:tcPr>
            <w:tcW w:w="174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sz w:val="21"/>
                <w:szCs w:val="21"/>
              </w:rPr>
            </w:pPr>
            <w:r>
              <w:rPr>
                <w:rFonts w:hint="eastAsia" w:ascii="宋体" w:hAnsi="宋体" w:eastAsia="宋体"/>
                <w:sz w:val="21"/>
                <w:szCs w:val="21"/>
              </w:rPr>
              <w:t>墙面刮腻子粉、刷漆</w:t>
            </w: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color w:val="000000"/>
                <w:sz w:val="21"/>
                <w:szCs w:val="21"/>
              </w:rPr>
            </w:pPr>
            <w:r>
              <w:rPr>
                <w:rFonts w:hint="eastAsia" w:ascii="宋体" w:hAnsi="宋体" w:eastAsia="宋体"/>
                <w:color w:val="000000"/>
                <w:sz w:val="21"/>
                <w:szCs w:val="21"/>
              </w:rPr>
              <w:t>130m</w:t>
            </w:r>
            <w:r>
              <w:rPr>
                <w:rFonts w:hint="eastAsia" w:ascii="宋体" w:hAnsi="宋体" w:eastAsia="宋体"/>
                <w:sz w:val="21"/>
                <w:szCs w:val="21"/>
                <w:vertAlign w:val="superscript"/>
              </w:rPr>
              <w:t>2</w:t>
            </w:r>
          </w:p>
        </w:tc>
        <w:tc>
          <w:tcPr>
            <w:tcW w:w="6814"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sz w:val="21"/>
                <w:szCs w:val="21"/>
              </w:rPr>
            </w:pPr>
            <w:r>
              <w:rPr>
                <w:rFonts w:hint="eastAsia" w:ascii="宋体" w:hAnsi="宋体" w:eastAsia="宋体"/>
                <w:sz w:val="21"/>
                <w:szCs w:val="21"/>
              </w:rPr>
              <w:t xml:space="preserve">1、108胶水；       </w:t>
            </w:r>
          </w:p>
          <w:p>
            <w:pPr>
              <w:spacing w:line="360" w:lineRule="exact"/>
              <w:rPr>
                <w:rFonts w:ascii="宋体" w:hAnsi="宋体" w:eastAsia="宋体"/>
                <w:sz w:val="21"/>
                <w:szCs w:val="21"/>
              </w:rPr>
            </w:pPr>
            <w:r>
              <w:rPr>
                <w:rFonts w:hint="eastAsia" w:ascii="宋体" w:hAnsi="宋体" w:eastAsia="宋体"/>
                <w:sz w:val="21"/>
                <w:szCs w:val="21"/>
              </w:rPr>
              <w:t xml:space="preserve">2、腻子粉；    </w:t>
            </w:r>
          </w:p>
          <w:p>
            <w:pPr>
              <w:spacing w:line="360" w:lineRule="exact"/>
              <w:rPr>
                <w:rFonts w:ascii="宋体" w:hAnsi="宋体" w:eastAsia="宋体" w:cs="宋体"/>
                <w:sz w:val="21"/>
                <w:szCs w:val="21"/>
              </w:rPr>
            </w:pPr>
            <w:r>
              <w:rPr>
                <w:rFonts w:hint="eastAsia" w:ascii="宋体" w:hAnsi="宋体" w:eastAsia="宋体"/>
                <w:sz w:val="21"/>
                <w:szCs w:val="21"/>
              </w:rPr>
              <w:t>3、净味白色乳胶漆油二遍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color w:val="000000"/>
                <w:sz w:val="21"/>
                <w:szCs w:val="21"/>
              </w:rPr>
            </w:pPr>
            <w:r>
              <w:rPr>
                <w:rFonts w:hint="eastAsia" w:ascii="宋体" w:hAnsi="宋体" w:eastAsia="宋体"/>
                <w:color w:val="000000"/>
                <w:sz w:val="21"/>
                <w:szCs w:val="21"/>
              </w:rPr>
              <w:t>42</w:t>
            </w:r>
          </w:p>
        </w:tc>
        <w:tc>
          <w:tcPr>
            <w:tcW w:w="174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sz w:val="21"/>
                <w:szCs w:val="21"/>
              </w:rPr>
            </w:pPr>
            <w:r>
              <w:rPr>
                <w:rFonts w:hint="eastAsia" w:ascii="宋体" w:hAnsi="宋体" w:eastAsia="宋体"/>
                <w:sz w:val="21"/>
                <w:szCs w:val="21"/>
              </w:rPr>
              <w:t>工作台</w:t>
            </w: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color w:val="000000"/>
                <w:sz w:val="21"/>
                <w:szCs w:val="21"/>
              </w:rPr>
            </w:pPr>
            <w:r>
              <w:rPr>
                <w:rFonts w:hint="eastAsia" w:ascii="宋体" w:hAnsi="宋体" w:eastAsia="宋体"/>
                <w:color w:val="000000"/>
                <w:sz w:val="21"/>
                <w:szCs w:val="21"/>
              </w:rPr>
              <w:t>2m</w:t>
            </w:r>
          </w:p>
        </w:tc>
        <w:tc>
          <w:tcPr>
            <w:tcW w:w="6814"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sz w:val="21"/>
                <w:szCs w:val="21"/>
              </w:rPr>
            </w:pPr>
            <w:r>
              <w:rPr>
                <w:rFonts w:hint="eastAsia" w:ascii="宋体" w:hAnsi="宋体" w:eastAsia="宋体"/>
                <w:sz w:val="21"/>
                <w:szCs w:val="21"/>
              </w:rPr>
              <w:t xml:space="preserve">1、18厘免漆板   </w:t>
            </w:r>
          </w:p>
          <w:p>
            <w:pPr>
              <w:spacing w:line="360" w:lineRule="exact"/>
              <w:rPr>
                <w:rFonts w:ascii="宋体" w:hAnsi="宋体" w:eastAsia="宋体"/>
                <w:sz w:val="21"/>
                <w:szCs w:val="21"/>
              </w:rPr>
            </w:pPr>
            <w:r>
              <w:rPr>
                <w:rFonts w:hint="eastAsia" w:ascii="宋体" w:hAnsi="宋体" w:eastAsia="宋体"/>
                <w:sz w:val="21"/>
                <w:szCs w:val="21"/>
              </w:rPr>
              <w:t xml:space="preserve">2、铝塑板饰面  </w:t>
            </w:r>
          </w:p>
          <w:p>
            <w:pPr>
              <w:spacing w:line="360" w:lineRule="exact"/>
              <w:rPr>
                <w:rFonts w:ascii="宋体" w:hAnsi="宋体" w:eastAsia="宋体" w:cs="宋体"/>
                <w:sz w:val="21"/>
                <w:szCs w:val="21"/>
              </w:rPr>
            </w:pPr>
            <w:r>
              <w:rPr>
                <w:rFonts w:hint="eastAsia" w:ascii="宋体" w:hAnsi="宋体" w:eastAsia="宋体"/>
                <w:sz w:val="21"/>
                <w:szCs w:val="21"/>
              </w:rPr>
              <w:t>3、石英石台面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color w:val="000000"/>
                <w:sz w:val="21"/>
                <w:szCs w:val="21"/>
              </w:rPr>
            </w:pPr>
            <w:r>
              <w:rPr>
                <w:rFonts w:hint="eastAsia" w:ascii="宋体" w:hAnsi="宋体" w:eastAsia="宋体"/>
                <w:color w:val="000000"/>
                <w:sz w:val="21"/>
                <w:szCs w:val="21"/>
              </w:rPr>
              <w:t>43</w:t>
            </w:r>
          </w:p>
        </w:tc>
        <w:tc>
          <w:tcPr>
            <w:tcW w:w="174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sz w:val="21"/>
                <w:szCs w:val="21"/>
              </w:rPr>
            </w:pPr>
            <w:r>
              <w:rPr>
                <w:rFonts w:hint="eastAsia" w:ascii="宋体" w:hAnsi="宋体" w:eastAsia="宋体"/>
                <w:sz w:val="21"/>
                <w:szCs w:val="21"/>
              </w:rPr>
              <w:t>单开门</w:t>
            </w: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color w:val="000000"/>
                <w:sz w:val="21"/>
                <w:szCs w:val="21"/>
              </w:rPr>
            </w:pPr>
            <w:r>
              <w:rPr>
                <w:rFonts w:hint="eastAsia" w:ascii="宋体" w:hAnsi="宋体" w:eastAsia="宋体"/>
                <w:color w:val="000000"/>
                <w:sz w:val="21"/>
                <w:szCs w:val="21"/>
              </w:rPr>
              <w:t>3套</w:t>
            </w:r>
          </w:p>
        </w:tc>
        <w:tc>
          <w:tcPr>
            <w:tcW w:w="6814"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 w:val="21"/>
                <w:szCs w:val="21"/>
              </w:rPr>
            </w:pPr>
            <w:r>
              <w:rPr>
                <w:rFonts w:hint="eastAsia" w:ascii="宋体" w:hAnsi="宋体" w:eastAsia="宋体"/>
                <w:sz w:val="21"/>
                <w:szCs w:val="21"/>
              </w:rPr>
              <w:t>12厘钢化白玻璃、高2米</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color w:val="000000"/>
                <w:sz w:val="21"/>
                <w:szCs w:val="21"/>
              </w:rPr>
            </w:pPr>
            <w:r>
              <w:rPr>
                <w:rFonts w:hint="eastAsia" w:ascii="宋体" w:hAnsi="宋体" w:eastAsia="宋体"/>
                <w:color w:val="000000"/>
                <w:sz w:val="21"/>
                <w:szCs w:val="21"/>
              </w:rPr>
              <w:t>44</w:t>
            </w:r>
          </w:p>
        </w:tc>
        <w:tc>
          <w:tcPr>
            <w:tcW w:w="174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sz w:val="21"/>
                <w:szCs w:val="21"/>
              </w:rPr>
            </w:pPr>
            <w:r>
              <w:rPr>
                <w:rFonts w:hint="eastAsia" w:ascii="宋体" w:hAnsi="宋体" w:eastAsia="宋体"/>
                <w:sz w:val="21"/>
                <w:szCs w:val="21"/>
              </w:rPr>
              <w:t>双开门</w:t>
            </w: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color w:val="000000"/>
                <w:sz w:val="21"/>
                <w:szCs w:val="21"/>
              </w:rPr>
            </w:pPr>
            <w:r>
              <w:rPr>
                <w:rFonts w:hint="eastAsia" w:ascii="宋体" w:hAnsi="宋体" w:eastAsia="宋体"/>
                <w:color w:val="000000"/>
                <w:sz w:val="21"/>
                <w:szCs w:val="21"/>
              </w:rPr>
              <w:t>4套</w:t>
            </w:r>
          </w:p>
        </w:tc>
        <w:tc>
          <w:tcPr>
            <w:tcW w:w="6814"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 w:val="21"/>
                <w:szCs w:val="21"/>
              </w:rPr>
            </w:pPr>
            <w:r>
              <w:rPr>
                <w:rFonts w:hint="eastAsia" w:ascii="宋体" w:hAnsi="宋体" w:eastAsia="宋体"/>
                <w:sz w:val="21"/>
                <w:szCs w:val="21"/>
              </w:rPr>
              <w:t>12厘钢化白玻璃、高2米</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color w:val="000000"/>
                <w:sz w:val="21"/>
                <w:szCs w:val="21"/>
              </w:rPr>
            </w:pPr>
            <w:r>
              <w:rPr>
                <w:rFonts w:hint="eastAsia" w:ascii="宋体" w:hAnsi="宋体" w:eastAsia="宋体"/>
                <w:color w:val="000000"/>
                <w:sz w:val="21"/>
                <w:szCs w:val="21"/>
              </w:rPr>
              <w:t>48</w:t>
            </w:r>
          </w:p>
        </w:tc>
        <w:tc>
          <w:tcPr>
            <w:tcW w:w="174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sz w:val="21"/>
                <w:szCs w:val="21"/>
              </w:rPr>
            </w:pPr>
            <w:r>
              <w:rPr>
                <w:rFonts w:hint="eastAsia" w:ascii="宋体" w:hAnsi="宋体" w:eastAsia="宋体"/>
                <w:sz w:val="21"/>
                <w:szCs w:val="21"/>
              </w:rPr>
              <w:t>蹲便器</w:t>
            </w: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color w:val="000000"/>
                <w:sz w:val="21"/>
                <w:szCs w:val="21"/>
              </w:rPr>
            </w:pPr>
            <w:r>
              <w:rPr>
                <w:rFonts w:hint="eastAsia" w:ascii="宋体" w:hAnsi="宋体" w:eastAsia="宋体"/>
                <w:color w:val="000000"/>
                <w:sz w:val="21"/>
                <w:szCs w:val="21"/>
              </w:rPr>
              <w:t>1套</w:t>
            </w:r>
          </w:p>
        </w:tc>
        <w:tc>
          <w:tcPr>
            <w:tcW w:w="6814"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 w:val="21"/>
                <w:szCs w:val="21"/>
              </w:rPr>
            </w:pPr>
            <w:r>
              <w:rPr>
                <w:rFonts w:ascii="宋体" w:hAnsi="宋体" w:eastAsia="宋体" w:cs="宋体"/>
                <w:sz w:val="21"/>
                <w:szCs w:val="21"/>
              </w:rPr>
              <w:t>610*420*220</w:t>
            </w:r>
            <w:r>
              <w:rPr>
                <w:rFonts w:hint="eastAsia" w:ascii="宋体" w:hAnsi="宋体" w:eastAsia="宋体" w:cs="宋体"/>
                <w:sz w:val="21"/>
                <w:szCs w:val="21"/>
              </w:rPr>
              <w:t xml:space="preserve"> 冲水阀式便盆陶瓷白色</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color w:val="000000"/>
                <w:sz w:val="21"/>
                <w:szCs w:val="21"/>
              </w:rPr>
            </w:pPr>
            <w:r>
              <w:rPr>
                <w:rFonts w:hint="eastAsia" w:ascii="宋体" w:hAnsi="宋体" w:eastAsia="宋体"/>
                <w:color w:val="000000"/>
                <w:sz w:val="21"/>
                <w:szCs w:val="21"/>
              </w:rPr>
              <w:t>49</w:t>
            </w:r>
          </w:p>
        </w:tc>
        <w:tc>
          <w:tcPr>
            <w:tcW w:w="174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sz w:val="21"/>
                <w:szCs w:val="21"/>
              </w:rPr>
            </w:pPr>
            <w:r>
              <w:rPr>
                <w:rFonts w:hint="eastAsia" w:ascii="宋体" w:hAnsi="宋体" w:eastAsia="宋体"/>
                <w:sz w:val="21"/>
                <w:szCs w:val="21"/>
              </w:rPr>
              <w:t>洗手盆</w:t>
            </w: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color w:val="000000"/>
                <w:sz w:val="21"/>
                <w:szCs w:val="21"/>
              </w:rPr>
            </w:pPr>
            <w:r>
              <w:rPr>
                <w:rFonts w:hint="eastAsia" w:ascii="宋体" w:hAnsi="宋体" w:eastAsia="宋体"/>
                <w:color w:val="000000"/>
                <w:sz w:val="21"/>
                <w:szCs w:val="21"/>
              </w:rPr>
              <w:t>1套</w:t>
            </w:r>
          </w:p>
        </w:tc>
        <w:tc>
          <w:tcPr>
            <w:tcW w:w="6814"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 w:val="21"/>
                <w:szCs w:val="21"/>
              </w:rPr>
            </w:pPr>
            <w:r>
              <w:rPr>
                <w:rFonts w:hint="eastAsia" w:ascii="宋体" w:hAnsi="宋体" w:eastAsia="宋体"/>
                <w:sz w:val="21"/>
                <w:szCs w:val="21"/>
              </w:rPr>
              <w:t>立柱式陶瓷白色</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color w:val="000000"/>
                <w:sz w:val="21"/>
                <w:szCs w:val="21"/>
              </w:rPr>
            </w:pPr>
            <w:r>
              <w:rPr>
                <w:rFonts w:hint="eastAsia" w:ascii="宋体" w:hAnsi="宋体" w:eastAsia="宋体"/>
                <w:color w:val="000000"/>
                <w:sz w:val="21"/>
                <w:szCs w:val="21"/>
              </w:rPr>
              <w:t>51</w:t>
            </w:r>
          </w:p>
        </w:tc>
        <w:tc>
          <w:tcPr>
            <w:tcW w:w="174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sz w:val="21"/>
                <w:szCs w:val="21"/>
              </w:rPr>
            </w:pPr>
            <w:r>
              <w:rPr>
                <w:rFonts w:hint="eastAsia" w:ascii="宋体" w:hAnsi="宋体" w:eastAsia="宋体"/>
                <w:sz w:val="21"/>
                <w:szCs w:val="21"/>
              </w:rPr>
              <w:t>单开玻璃门</w:t>
            </w: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color w:val="000000"/>
                <w:sz w:val="21"/>
                <w:szCs w:val="21"/>
              </w:rPr>
            </w:pPr>
            <w:r>
              <w:rPr>
                <w:rFonts w:hint="eastAsia" w:ascii="宋体" w:hAnsi="宋体" w:eastAsia="宋体"/>
                <w:color w:val="000000"/>
                <w:sz w:val="21"/>
                <w:szCs w:val="21"/>
              </w:rPr>
              <w:t>3扇</w:t>
            </w:r>
          </w:p>
        </w:tc>
        <w:tc>
          <w:tcPr>
            <w:tcW w:w="6814"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 w:val="21"/>
                <w:szCs w:val="21"/>
              </w:rPr>
            </w:pPr>
            <w:r>
              <w:rPr>
                <w:rFonts w:hint="eastAsia" w:ascii="宋体" w:hAnsi="宋体" w:eastAsia="宋体"/>
                <w:sz w:val="21"/>
                <w:szCs w:val="21"/>
              </w:rPr>
              <w:t>900mm宽、高2000mm</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color w:val="000000"/>
                <w:sz w:val="21"/>
                <w:szCs w:val="21"/>
              </w:rPr>
            </w:pPr>
            <w:r>
              <w:rPr>
                <w:rFonts w:hint="eastAsia" w:ascii="宋体" w:hAnsi="宋体" w:eastAsia="宋体"/>
                <w:color w:val="000000"/>
                <w:sz w:val="21"/>
                <w:szCs w:val="21"/>
              </w:rPr>
              <w:t>53</w:t>
            </w:r>
          </w:p>
        </w:tc>
        <w:tc>
          <w:tcPr>
            <w:tcW w:w="174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sz w:val="21"/>
                <w:szCs w:val="21"/>
              </w:rPr>
            </w:pPr>
            <w:r>
              <w:rPr>
                <w:rFonts w:hint="eastAsia" w:ascii="宋体" w:hAnsi="宋体" w:eastAsia="宋体"/>
                <w:sz w:val="21"/>
                <w:szCs w:val="21"/>
              </w:rPr>
              <w:t>排气内部管道110</w:t>
            </w: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color w:val="000000"/>
                <w:sz w:val="21"/>
                <w:szCs w:val="21"/>
              </w:rPr>
            </w:pPr>
            <w:r>
              <w:rPr>
                <w:rFonts w:hint="eastAsia" w:ascii="宋体" w:hAnsi="宋体" w:eastAsia="宋体"/>
                <w:color w:val="000000"/>
                <w:sz w:val="21"/>
                <w:szCs w:val="21"/>
              </w:rPr>
              <w:t>18m</w:t>
            </w:r>
          </w:p>
        </w:tc>
        <w:tc>
          <w:tcPr>
            <w:tcW w:w="6814"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 w:val="21"/>
                <w:szCs w:val="21"/>
              </w:rPr>
            </w:pPr>
            <w:r>
              <w:rPr>
                <w:rFonts w:hint="eastAsia" w:ascii="宋体" w:hAnsi="宋体" w:eastAsia="宋体"/>
                <w:sz w:val="21"/>
                <w:szCs w:val="21"/>
              </w:rPr>
              <w:t>DN110管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color w:val="000000"/>
                <w:sz w:val="21"/>
                <w:szCs w:val="21"/>
              </w:rPr>
            </w:pPr>
            <w:r>
              <w:rPr>
                <w:rFonts w:hint="eastAsia" w:ascii="宋体" w:hAnsi="宋体" w:eastAsia="宋体"/>
                <w:color w:val="000000"/>
                <w:sz w:val="21"/>
                <w:szCs w:val="21"/>
              </w:rPr>
              <w:t>56</w:t>
            </w:r>
          </w:p>
        </w:tc>
        <w:tc>
          <w:tcPr>
            <w:tcW w:w="174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sz w:val="21"/>
                <w:szCs w:val="21"/>
              </w:rPr>
            </w:pPr>
            <w:r>
              <w:rPr>
                <w:rFonts w:hint="eastAsia" w:ascii="宋体" w:hAnsi="宋体" w:eastAsia="宋体"/>
                <w:sz w:val="21"/>
                <w:szCs w:val="21"/>
              </w:rPr>
              <w:t>墙面刮白</w:t>
            </w: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color w:val="000000"/>
                <w:sz w:val="21"/>
                <w:szCs w:val="21"/>
              </w:rPr>
            </w:pPr>
            <w:r>
              <w:rPr>
                <w:rFonts w:hint="eastAsia" w:ascii="宋体" w:hAnsi="宋体" w:eastAsia="宋体"/>
                <w:color w:val="000000"/>
                <w:sz w:val="21"/>
                <w:szCs w:val="21"/>
              </w:rPr>
              <w:t>135m</w:t>
            </w:r>
            <w:r>
              <w:rPr>
                <w:rFonts w:hint="eastAsia" w:ascii="宋体" w:hAnsi="宋体" w:eastAsia="宋体"/>
                <w:sz w:val="21"/>
                <w:szCs w:val="21"/>
                <w:vertAlign w:val="superscript"/>
              </w:rPr>
              <w:t>2</w:t>
            </w:r>
          </w:p>
        </w:tc>
        <w:tc>
          <w:tcPr>
            <w:tcW w:w="6814"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 w:val="21"/>
                <w:szCs w:val="21"/>
              </w:rPr>
            </w:pPr>
            <w:r>
              <w:rPr>
                <w:rFonts w:hint="eastAsia" w:ascii="宋体" w:hAnsi="宋体" w:eastAsia="宋体"/>
                <w:sz w:val="21"/>
                <w:szCs w:val="21"/>
              </w:rPr>
              <w:t>腻子粉、一底两面、面刷乳胶漆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color w:val="000000"/>
                <w:sz w:val="21"/>
                <w:szCs w:val="21"/>
              </w:rPr>
            </w:pPr>
            <w:r>
              <w:rPr>
                <w:rFonts w:hint="eastAsia" w:ascii="宋体" w:hAnsi="宋体" w:eastAsia="宋体"/>
                <w:color w:val="000000"/>
                <w:sz w:val="21"/>
                <w:szCs w:val="21"/>
              </w:rPr>
              <w:t>57</w:t>
            </w:r>
          </w:p>
        </w:tc>
        <w:tc>
          <w:tcPr>
            <w:tcW w:w="174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sz w:val="21"/>
                <w:szCs w:val="21"/>
              </w:rPr>
            </w:pPr>
            <w:r>
              <w:rPr>
                <w:rFonts w:hint="eastAsia" w:ascii="宋体" w:hAnsi="宋体" w:eastAsia="宋体"/>
                <w:sz w:val="21"/>
                <w:szCs w:val="21"/>
              </w:rPr>
              <w:t>工作台</w:t>
            </w: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color w:val="000000"/>
                <w:sz w:val="21"/>
                <w:szCs w:val="21"/>
              </w:rPr>
            </w:pPr>
            <w:r>
              <w:rPr>
                <w:rFonts w:hint="eastAsia" w:ascii="宋体" w:hAnsi="宋体" w:eastAsia="宋体"/>
                <w:color w:val="000000"/>
                <w:sz w:val="21"/>
                <w:szCs w:val="21"/>
              </w:rPr>
              <w:t>1.5m</w:t>
            </w:r>
          </w:p>
        </w:tc>
        <w:tc>
          <w:tcPr>
            <w:tcW w:w="6814"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 w:val="21"/>
                <w:szCs w:val="21"/>
              </w:rPr>
            </w:pPr>
            <w:r>
              <w:rPr>
                <w:rFonts w:hint="eastAsia" w:ascii="宋体" w:hAnsi="宋体" w:eastAsia="宋体"/>
                <w:sz w:val="21"/>
                <w:szCs w:val="21"/>
              </w:rPr>
              <w:t>18厘多层板、石英石台面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color w:val="000000"/>
                <w:sz w:val="21"/>
                <w:szCs w:val="21"/>
              </w:rPr>
            </w:pPr>
            <w:r>
              <w:rPr>
                <w:rFonts w:hint="eastAsia" w:ascii="宋体" w:hAnsi="宋体" w:eastAsia="宋体"/>
                <w:color w:val="000000"/>
                <w:sz w:val="21"/>
                <w:szCs w:val="21"/>
              </w:rPr>
              <w:t>58</w:t>
            </w:r>
          </w:p>
        </w:tc>
        <w:tc>
          <w:tcPr>
            <w:tcW w:w="174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sz w:val="21"/>
                <w:szCs w:val="21"/>
              </w:rPr>
            </w:pPr>
            <w:r>
              <w:rPr>
                <w:rFonts w:hint="eastAsia" w:ascii="宋体" w:hAnsi="宋体" w:eastAsia="宋体"/>
                <w:sz w:val="21"/>
                <w:szCs w:val="21"/>
              </w:rPr>
              <w:t>钢化玻璃隔断</w:t>
            </w: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color w:val="000000"/>
                <w:sz w:val="21"/>
                <w:szCs w:val="21"/>
              </w:rPr>
            </w:pPr>
            <w:r>
              <w:rPr>
                <w:rFonts w:hint="eastAsia" w:ascii="宋体" w:hAnsi="宋体" w:eastAsia="宋体"/>
                <w:color w:val="000000"/>
                <w:sz w:val="21"/>
                <w:szCs w:val="21"/>
              </w:rPr>
              <w:t>15m</w:t>
            </w:r>
            <w:r>
              <w:rPr>
                <w:rFonts w:hint="eastAsia" w:ascii="宋体" w:hAnsi="宋体" w:eastAsia="宋体"/>
                <w:sz w:val="21"/>
                <w:szCs w:val="21"/>
                <w:vertAlign w:val="superscript"/>
              </w:rPr>
              <w:t>2</w:t>
            </w:r>
          </w:p>
        </w:tc>
        <w:tc>
          <w:tcPr>
            <w:tcW w:w="6814"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 w:val="21"/>
                <w:szCs w:val="21"/>
              </w:rPr>
            </w:pPr>
            <w:r>
              <w:rPr>
                <w:rFonts w:hint="eastAsia" w:ascii="宋体" w:hAnsi="宋体" w:eastAsia="宋体"/>
                <w:sz w:val="21"/>
                <w:szCs w:val="21"/>
              </w:rPr>
              <w:t>12厘钢化白玻、高2米</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color w:val="000000"/>
                <w:sz w:val="21"/>
                <w:szCs w:val="21"/>
              </w:rPr>
            </w:pPr>
            <w:r>
              <w:rPr>
                <w:rFonts w:hint="eastAsia" w:ascii="宋体" w:hAnsi="宋体" w:eastAsia="宋体"/>
                <w:color w:val="000000"/>
                <w:sz w:val="21"/>
                <w:szCs w:val="21"/>
              </w:rPr>
              <w:t>59</w:t>
            </w:r>
          </w:p>
        </w:tc>
        <w:tc>
          <w:tcPr>
            <w:tcW w:w="174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sz w:val="21"/>
                <w:szCs w:val="21"/>
              </w:rPr>
            </w:pPr>
            <w:r>
              <w:rPr>
                <w:rFonts w:hint="eastAsia" w:ascii="宋体" w:hAnsi="宋体" w:eastAsia="宋体"/>
                <w:sz w:val="21"/>
                <w:szCs w:val="21"/>
              </w:rPr>
              <w:t>强电布管布线</w:t>
            </w: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color w:val="000000"/>
                <w:sz w:val="21"/>
                <w:szCs w:val="21"/>
              </w:rPr>
            </w:pPr>
            <w:r>
              <w:rPr>
                <w:rFonts w:hint="eastAsia" w:ascii="宋体" w:hAnsi="宋体" w:eastAsia="宋体"/>
                <w:color w:val="000000"/>
                <w:sz w:val="21"/>
                <w:szCs w:val="21"/>
              </w:rPr>
              <w:t>65m</w:t>
            </w:r>
            <w:r>
              <w:rPr>
                <w:rFonts w:hint="eastAsia" w:ascii="宋体" w:hAnsi="宋体" w:eastAsia="宋体"/>
                <w:sz w:val="21"/>
                <w:szCs w:val="21"/>
                <w:vertAlign w:val="superscript"/>
              </w:rPr>
              <w:t>2</w:t>
            </w:r>
          </w:p>
        </w:tc>
        <w:tc>
          <w:tcPr>
            <w:tcW w:w="6814"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sz w:val="21"/>
                <w:szCs w:val="21"/>
              </w:rPr>
            </w:pPr>
            <w:r>
              <w:rPr>
                <w:rFonts w:hint="eastAsia" w:ascii="宋体" w:hAnsi="宋体" w:eastAsia="宋体"/>
                <w:sz w:val="21"/>
                <w:szCs w:val="21"/>
              </w:rPr>
              <w:t>1、线管PC-DN20；</w:t>
            </w:r>
          </w:p>
          <w:p>
            <w:pPr>
              <w:spacing w:line="360" w:lineRule="exact"/>
              <w:rPr>
                <w:rFonts w:ascii="宋体" w:hAnsi="宋体" w:eastAsia="宋体" w:cs="宋体"/>
                <w:sz w:val="21"/>
                <w:szCs w:val="21"/>
              </w:rPr>
            </w:pPr>
            <w:r>
              <w:rPr>
                <w:rFonts w:hint="eastAsia" w:ascii="宋体" w:hAnsi="宋体" w:eastAsia="宋体"/>
                <w:sz w:val="21"/>
                <w:szCs w:val="21"/>
              </w:rPr>
              <w:t>2、照明线2.5+1.5mm</w:t>
            </w:r>
            <w:r>
              <w:rPr>
                <w:rFonts w:hint="eastAsia" w:ascii="宋体" w:hAnsi="宋体" w:eastAsia="宋体"/>
                <w:sz w:val="21"/>
                <w:szCs w:val="21"/>
                <w:vertAlign w:val="superscript"/>
              </w:rPr>
              <w:t>2</w:t>
            </w:r>
            <w:r>
              <w:rPr>
                <w:rFonts w:hint="eastAsia" w:ascii="宋体" w:hAnsi="宋体" w:eastAsia="宋体"/>
                <w:color w:val="000000"/>
                <w:sz w:val="21"/>
                <w:szCs w:val="21"/>
              </w:rPr>
              <w:t>,普通插座线2.5+1.5mm</w:t>
            </w:r>
            <w:r>
              <w:rPr>
                <w:rFonts w:hint="eastAsia" w:ascii="宋体" w:hAnsi="宋体" w:eastAsia="宋体"/>
                <w:sz w:val="21"/>
                <w:szCs w:val="21"/>
                <w:vertAlign w:val="superscript"/>
              </w:rPr>
              <w:t>2</w:t>
            </w:r>
            <w:r>
              <w:rPr>
                <w:rFonts w:hint="eastAsia" w:ascii="宋体" w:hAnsi="宋体" w:eastAsia="宋体"/>
                <w:color w:val="000000"/>
                <w:sz w:val="21"/>
                <w:szCs w:val="21"/>
              </w:rPr>
              <w:t>，空调4+2.5mm</w:t>
            </w:r>
            <w:r>
              <w:rPr>
                <w:rFonts w:hint="eastAsia" w:ascii="宋体" w:hAnsi="宋体" w:eastAsia="宋体"/>
                <w:sz w:val="21"/>
                <w:szCs w:val="21"/>
                <w:vertAlign w:val="superscript"/>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16"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color w:val="000000"/>
                <w:sz w:val="21"/>
                <w:szCs w:val="21"/>
              </w:rPr>
            </w:pPr>
            <w:r>
              <w:rPr>
                <w:rFonts w:hint="eastAsia" w:ascii="宋体" w:hAnsi="宋体" w:eastAsia="宋体"/>
                <w:color w:val="000000"/>
                <w:sz w:val="21"/>
                <w:szCs w:val="21"/>
              </w:rPr>
              <w:t>60</w:t>
            </w:r>
          </w:p>
        </w:tc>
        <w:tc>
          <w:tcPr>
            <w:tcW w:w="174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sz w:val="21"/>
                <w:szCs w:val="21"/>
              </w:rPr>
            </w:pPr>
            <w:r>
              <w:rPr>
                <w:rFonts w:hint="eastAsia" w:ascii="宋体" w:hAnsi="宋体" w:eastAsia="宋体" w:cs="宋体"/>
                <w:sz w:val="21"/>
                <w:szCs w:val="21"/>
              </w:rPr>
              <w:t>其他辅材</w:t>
            </w: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color w:val="000000"/>
                <w:sz w:val="21"/>
                <w:szCs w:val="21"/>
              </w:rPr>
            </w:pPr>
            <w:r>
              <w:rPr>
                <w:rFonts w:hint="eastAsia" w:ascii="宋体" w:hAnsi="宋体" w:eastAsia="宋体"/>
                <w:color w:val="000000"/>
                <w:sz w:val="21"/>
                <w:szCs w:val="21"/>
              </w:rPr>
              <w:t>26位</w:t>
            </w:r>
          </w:p>
        </w:tc>
        <w:tc>
          <w:tcPr>
            <w:tcW w:w="6814"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 w:val="21"/>
                <w:szCs w:val="21"/>
              </w:rPr>
            </w:pPr>
            <w:r>
              <w:rPr>
                <w:rFonts w:hint="eastAsia" w:ascii="宋体" w:hAnsi="宋体" w:eastAsia="宋体"/>
                <w:sz w:val="21"/>
                <w:szCs w:val="21"/>
              </w:rPr>
              <w:t>开关插座主材、线材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color w:val="000000"/>
                <w:sz w:val="21"/>
                <w:szCs w:val="21"/>
              </w:rPr>
            </w:pPr>
            <w:r>
              <w:rPr>
                <w:rFonts w:hint="eastAsia" w:ascii="宋体" w:hAnsi="宋体" w:eastAsia="宋体"/>
                <w:color w:val="000000"/>
                <w:sz w:val="21"/>
                <w:szCs w:val="21"/>
              </w:rPr>
              <w:t>61</w:t>
            </w:r>
          </w:p>
        </w:tc>
        <w:tc>
          <w:tcPr>
            <w:tcW w:w="174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sz w:val="21"/>
                <w:szCs w:val="21"/>
              </w:rPr>
            </w:pPr>
            <w:r>
              <w:rPr>
                <w:rFonts w:hint="eastAsia" w:ascii="宋体" w:hAnsi="宋体" w:eastAsia="宋体"/>
                <w:sz w:val="21"/>
                <w:szCs w:val="21"/>
              </w:rPr>
              <w:t>地面保护、清洁</w:t>
            </w: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color w:val="000000"/>
                <w:sz w:val="21"/>
                <w:szCs w:val="21"/>
              </w:rPr>
            </w:pPr>
            <w:r>
              <w:rPr>
                <w:rFonts w:hint="eastAsia" w:ascii="宋体" w:hAnsi="宋体" w:eastAsia="宋体"/>
                <w:color w:val="000000"/>
                <w:sz w:val="21"/>
                <w:szCs w:val="21"/>
              </w:rPr>
              <w:t>65m</w:t>
            </w:r>
            <w:r>
              <w:rPr>
                <w:rFonts w:hint="eastAsia" w:ascii="宋体" w:hAnsi="宋体" w:eastAsia="宋体"/>
                <w:sz w:val="21"/>
                <w:szCs w:val="21"/>
                <w:vertAlign w:val="superscript"/>
              </w:rPr>
              <w:t>2</w:t>
            </w:r>
          </w:p>
        </w:tc>
        <w:tc>
          <w:tcPr>
            <w:tcW w:w="6814"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 w:val="21"/>
                <w:szCs w:val="21"/>
              </w:rPr>
            </w:pPr>
            <w:r>
              <w:rPr>
                <w:rFonts w:hint="eastAsia" w:ascii="宋体" w:hAnsi="宋体" w:eastAsia="宋体"/>
                <w:sz w:val="21"/>
                <w:szCs w:val="21"/>
              </w:rPr>
              <w:t>地面保护膜、清洁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olor w:val="000000"/>
                <w:sz w:val="21"/>
                <w:szCs w:val="21"/>
              </w:rPr>
            </w:pPr>
            <w:r>
              <w:rPr>
                <w:rFonts w:hint="eastAsia" w:ascii="宋体" w:hAnsi="宋体" w:eastAsia="宋体"/>
                <w:color w:val="000000"/>
                <w:sz w:val="21"/>
                <w:szCs w:val="21"/>
              </w:rPr>
              <w:t>62</w:t>
            </w:r>
          </w:p>
        </w:tc>
        <w:tc>
          <w:tcPr>
            <w:tcW w:w="174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sz w:val="21"/>
                <w:szCs w:val="21"/>
              </w:rPr>
            </w:pPr>
            <w:r>
              <w:rPr>
                <w:rFonts w:hint="eastAsia" w:ascii="宋体" w:hAnsi="宋体" w:eastAsia="宋体"/>
                <w:sz w:val="21"/>
                <w:szCs w:val="21"/>
              </w:rPr>
              <w:t>措施费</w:t>
            </w: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olor w:val="000000"/>
                <w:sz w:val="21"/>
                <w:szCs w:val="21"/>
              </w:rPr>
            </w:pPr>
            <w:r>
              <w:rPr>
                <w:rFonts w:hint="eastAsia" w:ascii="宋体" w:hAnsi="宋体" w:eastAsia="宋体"/>
                <w:color w:val="000000"/>
                <w:sz w:val="21"/>
                <w:szCs w:val="21"/>
              </w:rPr>
              <w:t>1项</w:t>
            </w:r>
          </w:p>
        </w:tc>
        <w:tc>
          <w:tcPr>
            <w:tcW w:w="6814"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sz w:val="21"/>
                <w:szCs w:val="21"/>
              </w:rPr>
            </w:pPr>
            <w:r>
              <w:rPr>
                <w:rFonts w:hint="eastAsia" w:ascii="宋体" w:hAnsi="宋体" w:eastAsia="宋体"/>
                <w:sz w:val="21"/>
                <w:szCs w:val="21"/>
              </w:rPr>
              <w:t>安全施工进场、架子、挡板</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9945" w:type="dxa"/>
            <w:gridSpan w:val="4"/>
            <w:tcBorders>
              <w:top w:val="single" w:color="auto" w:sz="4" w:space="0"/>
              <w:left w:val="single" w:color="auto" w:sz="4" w:space="0"/>
              <w:bottom w:val="single" w:color="auto" w:sz="4" w:space="0"/>
              <w:right w:val="single" w:color="auto" w:sz="4" w:space="0"/>
            </w:tcBorders>
            <w:vAlign w:val="center"/>
          </w:tcPr>
          <w:p>
            <w:pPr>
              <w:pStyle w:val="24"/>
              <w:spacing w:line="360" w:lineRule="exact"/>
              <w:ind w:firstLine="0" w:firstLineChars="0"/>
              <w:rPr>
                <w:rFonts w:ascii="宋体" w:hAnsi="宋体" w:eastAsia="宋体" w:cs="宋体"/>
                <w:sz w:val="21"/>
                <w:szCs w:val="21"/>
              </w:rPr>
            </w:pPr>
            <w:r>
              <w:rPr>
                <w:rFonts w:hint="eastAsia" w:ascii="宋体" w:hAnsi="宋体" w:eastAsia="宋体" w:cs="宋体"/>
                <w:sz w:val="21"/>
                <w:szCs w:val="21"/>
              </w:rPr>
              <w:t>售后服务及其他商务要求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841" w:hRule="atLeast"/>
          <w:jc w:val="center"/>
        </w:trPr>
        <w:tc>
          <w:tcPr>
            <w:tcW w:w="9945" w:type="dxa"/>
            <w:gridSpan w:val="4"/>
            <w:tcBorders>
              <w:top w:val="single" w:color="auto" w:sz="4" w:space="0"/>
              <w:left w:val="single" w:color="auto" w:sz="4" w:space="0"/>
              <w:bottom w:val="single" w:color="auto" w:sz="4" w:space="0"/>
              <w:right w:val="single" w:color="auto" w:sz="4" w:space="0"/>
            </w:tcBorders>
            <w:vAlign w:val="center"/>
          </w:tcPr>
          <w:p>
            <w:pPr>
              <w:pStyle w:val="8"/>
              <w:spacing w:line="360" w:lineRule="exact"/>
              <w:rPr>
                <w:rFonts w:hAnsi="宋体" w:eastAsia="宋体" w:cs="宋体"/>
                <w:sz w:val="21"/>
              </w:rPr>
            </w:pPr>
            <w:r>
              <w:rPr>
                <w:rFonts w:hint="eastAsia" w:hAnsi="宋体" w:eastAsia="宋体" w:cs="宋体"/>
                <w:b/>
                <w:sz w:val="21"/>
              </w:rPr>
              <w:t>一、合同签订期：</w:t>
            </w:r>
            <w:r>
              <w:rPr>
                <w:rFonts w:hint="eastAsia" w:hAnsi="宋体" w:eastAsia="宋体" w:cs="宋体"/>
                <w:sz w:val="21"/>
              </w:rPr>
              <w:t>自成交通知书发出之日起5个工作日内签订合同。</w:t>
            </w:r>
          </w:p>
          <w:p>
            <w:pPr>
              <w:pStyle w:val="8"/>
              <w:spacing w:line="360" w:lineRule="exact"/>
              <w:rPr>
                <w:rFonts w:hAnsi="宋体" w:eastAsia="宋体" w:cs="宋体"/>
                <w:sz w:val="21"/>
              </w:rPr>
            </w:pPr>
            <w:r>
              <w:rPr>
                <w:rFonts w:hint="eastAsia" w:hAnsi="宋体" w:eastAsia="宋体" w:cs="宋体"/>
                <w:b/>
                <w:sz w:val="21"/>
              </w:rPr>
              <w:t>二、交货期：</w:t>
            </w:r>
            <w:r>
              <w:rPr>
                <w:rFonts w:hint="eastAsia" w:hAnsi="宋体" w:eastAsia="宋体" w:cs="宋体"/>
                <w:sz w:val="21"/>
              </w:rPr>
              <w:t>自合同签订之日起10日（日历天）内交货并安装调式完毕，并达到验收条件。</w:t>
            </w:r>
          </w:p>
          <w:p>
            <w:pPr>
              <w:pStyle w:val="8"/>
              <w:spacing w:line="360" w:lineRule="exact"/>
              <w:rPr>
                <w:rFonts w:hAnsi="宋体" w:eastAsia="宋体" w:cs="宋体"/>
                <w:sz w:val="21"/>
              </w:rPr>
            </w:pPr>
            <w:r>
              <w:rPr>
                <w:rFonts w:hint="eastAsia" w:hAnsi="宋体" w:eastAsia="宋体" w:cs="宋体"/>
                <w:b/>
                <w:sz w:val="21"/>
              </w:rPr>
              <w:t>三、交货地点：</w:t>
            </w:r>
            <w:r>
              <w:rPr>
                <w:rFonts w:hint="eastAsia" w:hAnsi="宋体" w:eastAsia="宋体" w:cs="宋体"/>
                <w:sz w:val="21"/>
              </w:rPr>
              <w:t>采购人指定地点。</w:t>
            </w:r>
          </w:p>
          <w:p>
            <w:pPr>
              <w:pStyle w:val="8"/>
              <w:spacing w:line="360" w:lineRule="exact"/>
              <w:rPr>
                <w:rFonts w:hAnsi="宋体" w:eastAsia="宋体" w:cs="宋体"/>
                <w:sz w:val="21"/>
              </w:rPr>
            </w:pPr>
            <w:r>
              <w:rPr>
                <w:rFonts w:hint="eastAsia" w:hAnsi="宋体" w:eastAsia="宋体" w:cs="宋体"/>
                <w:b/>
                <w:sz w:val="21"/>
              </w:rPr>
              <w:t>四、交货方式：</w:t>
            </w:r>
            <w:r>
              <w:rPr>
                <w:rFonts w:hint="eastAsia" w:hAnsi="宋体" w:eastAsia="宋体" w:cs="宋体"/>
                <w:sz w:val="21"/>
              </w:rPr>
              <w:t>现场交货</w:t>
            </w:r>
          </w:p>
          <w:p>
            <w:pPr>
              <w:pStyle w:val="8"/>
              <w:spacing w:line="360" w:lineRule="exact"/>
              <w:rPr>
                <w:rFonts w:hAnsi="宋体" w:eastAsia="宋体" w:cs="宋体"/>
                <w:sz w:val="21"/>
              </w:rPr>
            </w:pPr>
            <w:r>
              <w:rPr>
                <w:rFonts w:hint="eastAsia" w:hAnsi="宋体" w:eastAsia="宋体" w:cs="宋体"/>
                <w:b/>
                <w:sz w:val="21"/>
              </w:rPr>
              <w:t>五、货物要求：</w:t>
            </w:r>
            <w:r>
              <w:rPr>
                <w:rFonts w:hint="eastAsia" w:hAnsi="宋体" w:eastAsia="宋体" w:cs="宋体"/>
                <w:sz w:val="21"/>
              </w:rPr>
              <w:t>竞标人所竞标的设备必须是全新、完整、未使用过的优质产品。设备必须为符合国家有关质量安全标准的合格产品。产品零部件、配件、包装及安装材料必须是未经使用的全新的并符合国家有关质量安全标准的合格产品。</w:t>
            </w:r>
          </w:p>
          <w:p>
            <w:pPr>
              <w:pStyle w:val="8"/>
              <w:spacing w:line="360" w:lineRule="exact"/>
              <w:rPr>
                <w:rFonts w:hAnsi="宋体" w:eastAsia="宋体" w:cs="宋体"/>
                <w:sz w:val="21"/>
              </w:rPr>
            </w:pPr>
            <w:r>
              <w:rPr>
                <w:rFonts w:hint="eastAsia" w:hAnsi="宋体" w:eastAsia="宋体" w:cs="宋体"/>
                <w:b/>
                <w:sz w:val="21"/>
              </w:rPr>
              <w:t>六、质保期：</w:t>
            </w:r>
            <w:r>
              <w:rPr>
                <w:rFonts w:hint="eastAsia" w:hAnsi="宋体" w:eastAsia="宋体" w:cs="宋体"/>
                <w:sz w:val="21"/>
              </w:rPr>
              <w:t>按国家三包政策，自安装、验收合格并交付使用之日起壹年质保，质保期内免费维修、维护、定期回访。</w:t>
            </w:r>
          </w:p>
          <w:p>
            <w:pPr>
              <w:pStyle w:val="8"/>
              <w:spacing w:line="360" w:lineRule="exact"/>
              <w:rPr>
                <w:rFonts w:hAnsi="宋体" w:eastAsia="宋体" w:cs="宋体"/>
                <w:b/>
                <w:sz w:val="21"/>
              </w:rPr>
            </w:pPr>
            <w:r>
              <w:rPr>
                <w:rFonts w:hint="eastAsia" w:hAnsi="宋体" w:eastAsia="宋体" w:cs="宋体"/>
                <w:b/>
                <w:sz w:val="21"/>
              </w:rPr>
              <w:t>七、售后服务：</w:t>
            </w:r>
          </w:p>
          <w:p>
            <w:pPr>
              <w:pStyle w:val="8"/>
              <w:spacing w:line="360" w:lineRule="exact"/>
              <w:rPr>
                <w:rFonts w:hAnsi="宋体" w:eastAsia="宋体" w:cs="宋体"/>
                <w:sz w:val="21"/>
              </w:rPr>
            </w:pPr>
            <w:r>
              <w:rPr>
                <w:rFonts w:hint="eastAsia" w:hAnsi="宋体" w:eastAsia="宋体" w:cs="宋体"/>
                <w:sz w:val="21"/>
              </w:rPr>
              <w:t>1、服务响应时间：一般使用问题，接到使用单位要求后实时解决问题；系统发生故障，接到使用单位要求后2个小时内提供解决方案，24小时内解决问题；系统发生严重故障无法运行的，接到使用单位要求后2个小时内提供解决方案，48小时内解决问题。</w:t>
            </w:r>
          </w:p>
          <w:p>
            <w:pPr>
              <w:pStyle w:val="8"/>
              <w:spacing w:line="360" w:lineRule="exact"/>
              <w:rPr>
                <w:rFonts w:hAnsi="宋体" w:eastAsia="宋体" w:cs="宋体"/>
                <w:sz w:val="21"/>
              </w:rPr>
            </w:pPr>
            <w:r>
              <w:rPr>
                <w:rFonts w:hint="eastAsia" w:hAnsi="宋体" w:eastAsia="宋体" w:cs="宋体"/>
                <w:sz w:val="21"/>
              </w:rPr>
              <w:t>2、服务响应方式：根据使用单位要求及系统故障情况提供电子邮件、电话、即时通信工具、远程维护以及现场维护等方式。</w:t>
            </w:r>
          </w:p>
          <w:p>
            <w:pPr>
              <w:pStyle w:val="8"/>
              <w:spacing w:line="360" w:lineRule="exact"/>
              <w:rPr>
                <w:rFonts w:hAnsi="宋体" w:eastAsia="宋体" w:cs="宋体"/>
                <w:sz w:val="21"/>
              </w:rPr>
            </w:pPr>
            <w:r>
              <w:rPr>
                <w:rFonts w:hint="eastAsia" w:hAnsi="宋体" w:eastAsia="宋体" w:cs="宋体"/>
                <w:b/>
                <w:sz w:val="21"/>
              </w:rPr>
              <w:t>八、付款方式：</w:t>
            </w:r>
            <w:r>
              <w:rPr>
                <w:rFonts w:hint="eastAsia" w:hAnsi="宋体" w:eastAsia="宋体" w:cs="宋体"/>
                <w:sz w:val="21"/>
              </w:rPr>
              <w:t>本项目无预付款。甲乙双方签订合同，乙方按要求供货、安装、调试及验收合格后，甲方在5个工作日内向乙方支付全部合同款的100%。</w:t>
            </w:r>
          </w:p>
          <w:p>
            <w:pPr>
              <w:pStyle w:val="8"/>
              <w:spacing w:line="360" w:lineRule="exact"/>
              <w:rPr>
                <w:rFonts w:hAnsi="宋体" w:eastAsia="宋体" w:cs="宋体"/>
                <w:b/>
                <w:sz w:val="21"/>
              </w:rPr>
            </w:pPr>
            <w:r>
              <w:rPr>
                <w:rFonts w:hint="eastAsia" w:hAnsi="宋体" w:eastAsia="宋体" w:cs="宋体"/>
                <w:b/>
                <w:sz w:val="21"/>
              </w:rPr>
              <w:t>九、其他要求：</w:t>
            </w:r>
          </w:p>
          <w:p>
            <w:pPr>
              <w:pStyle w:val="8"/>
              <w:spacing w:line="360" w:lineRule="exact"/>
              <w:rPr>
                <w:rFonts w:hAnsi="宋体" w:eastAsia="宋体" w:cs="宋体"/>
                <w:sz w:val="21"/>
              </w:rPr>
            </w:pPr>
            <w:r>
              <w:rPr>
                <w:rFonts w:hint="eastAsia" w:hAnsi="宋体" w:eastAsia="宋体" w:cs="宋体"/>
                <w:sz w:val="21"/>
              </w:rPr>
              <w:t>竞标报价为采购人指定地点的现场交货价，包括：</w:t>
            </w:r>
          </w:p>
          <w:p>
            <w:pPr>
              <w:pStyle w:val="8"/>
              <w:spacing w:line="360" w:lineRule="exact"/>
              <w:rPr>
                <w:rFonts w:hAnsi="宋体" w:eastAsia="宋体" w:cs="宋体"/>
                <w:sz w:val="21"/>
              </w:rPr>
            </w:pPr>
            <w:r>
              <w:rPr>
                <w:rFonts w:hint="eastAsia" w:hAnsi="宋体" w:eastAsia="宋体" w:cs="宋体"/>
                <w:sz w:val="21"/>
              </w:rPr>
              <w:t xml:space="preserve">1、所报总价为包含完成项目的所有费用，除工程量另有增加外，不增补新的费用。 </w:t>
            </w:r>
          </w:p>
          <w:p>
            <w:pPr>
              <w:pStyle w:val="8"/>
              <w:spacing w:line="360" w:lineRule="exact"/>
              <w:rPr>
                <w:rFonts w:hAnsi="宋体" w:eastAsia="宋体" w:cs="宋体"/>
                <w:sz w:val="21"/>
              </w:rPr>
            </w:pPr>
            <w:r>
              <w:rPr>
                <w:rFonts w:hint="eastAsia" w:hAnsi="宋体" w:eastAsia="宋体" w:cs="宋体"/>
                <w:sz w:val="21"/>
              </w:rPr>
              <w:t xml:space="preserve">2、投标人在投标报价中应包含货物、货物标准附件、备品备件、专用工具、设备安装辅材、施工辅材、包装、运输、装卸、保险、货到就位的各种费用以及安装、调试、税金、售后服务、技术培训及其他所有成本费用；采购人不再支付任何费用。如出现参数不满足或由于投标人的原因造成品质不满足招标要求，采购人有权要求更换设备或变更安装方案，不增加任何费用。 </w:t>
            </w:r>
          </w:p>
          <w:p>
            <w:pPr>
              <w:pStyle w:val="8"/>
              <w:spacing w:line="360" w:lineRule="exact"/>
              <w:rPr>
                <w:rFonts w:hAnsi="宋体" w:eastAsia="宋体" w:cs="宋体"/>
                <w:sz w:val="21"/>
              </w:rPr>
            </w:pPr>
            <w:r>
              <w:rPr>
                <w:rFonts w:hint="eastAsia" w:hAnsi="宋体" w:eastAsia="宋体" w:cs="宋体"/>
                <w:sz w:val="21"/>
              </w:rPr>
              <w:t>3.备品备件及耗材等要求：中标供应商应按中标价或优于市场价提供相关配件和服务。</w:t>
            </w:r>
          </w:p>
          <w:p>
            <w:pPr>
              <w:pStyle w:val="8"/>
              <w:spacing w:line="360" w:lineRule="exact"/>
              <w:rPr>
                <w:rFonts w:hAnsi="宋体" w:eastAsia="宋体" w:cs="宋体"/>
                <w:b/>
                <w:sz w:val="21"/>
              </w:rPr>
            </w:pPr>
            <w:r>
              <w:rPr>
                <w:rFonts w:hint="eastAsia" w:hAnsi="宋体" w:eastAsia="宋体" w:cs="宋体"/>
                <w:b/>
                <w:sz w:val="21"/>
              </w:rPr>
              <w:t>十、★依据《全区公安机关执法办案管理中心信息系统建设规范》（试行）中关于“一、总则：（六）自治区公安厅负责建设全区公安机关执法办案管理中心统一监管平台（以下简称“监管平台”），提供并指导各地应用。各市、县公安机关直接应用监管平台监督管理本辖区执法办案管理中心运行情况。同一地区建设多个执法办案管理中心的，应全部纳入监管平台管理，各市、县公安机关管理人员通过登陆监管平台对本辖区执法办案管理中心进行监督管理”的要求，投标人投标时必须在投标文件中书面承诺投标产品“办案区管理信息系统、涉案物证管理信息系统”能够互联互通“区厅执法监督平台”,承诺在签订合同后3个工作日内完成对接工作，如不能满足以上对接要求的，则视为虚假应标，采购人有权追究其虚假应标的责任。</w:t>
            </w:r>
          </w:p>
        </w:tc>
      </w:tr>
    </w:tbl>
    <w:p/>
    <w:p>
      <w:pPr>
        <w:rPr>
          <w:rFonts w:ascii="宋体" w:hAnsi="宋体" w:eastAsia="宋体" w:cs="宋体"/>
          <w:sz w:val="21"/>
          <w:szCs w:val="21"/>
        </w:rPr>
        <w:sectPr>
          <w:pgSz w:w="11900" w:h="16840"/>
          <w:pgMar w:top="964" w:right="1123" w:bottom="652" w:left="482" w:header="0" w:footer="397" w:gutter="0"/>
          <w:cols w:space="425" w:num="1"/>
        </w:sectPr>
      </w:pPr>
      <w:bookmarkStart w:id="74" w:name="page23"/>
      <w:bookmarkEnd w:id="74"/>
    </w:p>
    <w:p>
      <w:pPr>
        <w:spacing w:line="360" w:lineRule="auto"/>
        <w:jc w:val="center"/>
        <w:rPr>
          <w:sz w:val="20"/>
          <w:szCs w:val="20"/>
        </w:rPr>
      </w:pPr>
      <w:bookmarkStart w:id="75" w:name="page24"/>
      <w:bookmarkEnd w:id="75"/>
      <w:bookmarkStart w:id="76" w:name="_Toc18981_WPSOffice_Level1"/>
      <w:r>
        <w:rPr>
          <w:rFonts w:ascii="宋体" w:hAnsi="宋体" w:eastAsia="宋体" w:cs="宋体"/>
          <w:b/>
          <w:bCs/>
          <w:sz w:val="32"/>
          <w:szCs w:val="32"/>
        </w:rPr>
        <w:t>第四章</w:t>
      </w:r>
      <w:r>
        <w:rPr>
          <w:rFonts w:hint="eastAsia" w:ascii="宋体" w:hAnsi="宋体" w:eastAsia="宋体" w:cs="宋体"/>
          <w:b/>
          <w:bCs/>
          <w:sz w:val="32"/>
          <w:szCs w:val="32"/>
        </w:rPr>
        <w:t xml:space="preserve">  </w:t>
      </w:r>
      <w:r>
        <w:rPr>
          <w:rFonts w:ascii="宋体" w:hAnsi="宋体" w:eastAsia="宋体" w:cs="宋体"/>
          <w:b/>
          <w:bCs/>
          <w:sz w:val="32"/>
          <w:szCs w:val="32"/>
        </w:rPr>
        <w:t>评审办法</w:t>
      </w:r>
      <w:bookmarkEnd w:id="76"/>
    </w:p>
    <w:p>
      <w:pPr>
        <w:spacing w:line="360" w:lineRule="auto"/>
        <w:ind w:firstLine="420"/>
        <w:rPr>
          <w:rFonts w:ascii="宋体" w:hAnsi="宋体" w:cs="宋体"/>
          <w:bCs/>
          <w:sz w:val="21"/>
          <w:szCs w:val="21"/>
        </w:rPr>
      </w:pPr>
      <w:r>
        <w:rPr>
          <w:rFonts w:hint="eastAsia" w:ascii="宋体" w:hAnsi="宋体" w:cs="宋体"/>
          <w:bCs/>
          <w:sz w:val="21"/>
          <w:szCs w:val="21"/>
        </w:rPr>
        <w:t>一、评标原则</w:t>
      </w:r>
    </w:p>
    <w:p>
      <w:pPr>
        <w:pStyle w:val="22"/>
        <w:spacing w:before="0" w:after="0"/>
        <w:ind w:firstLine="422"/>
        <w:rPr>
          <w:b/>
          <w:sz w:val="21"/>
          <w:szCs w:val="21"/>
        </w:rPr>
      </w:pPr>
      <w:r>
        <w:rPr>
          <w:rFonts w:hint="eastAsia"/>
          <w:b/>
          <w:sz w:val="21"/>
          <w:szCs w:val="21"/>
        </w:rPr>
        <w:t>本项目采用百分制综合评分法，评审细则如：</w:t>
      </w:r>
    </w:p>
    <w:p>
      <w:pPr>
        <w:pStyle w:val="23"/>
        <w:spacing w:line="360" w:lineRule="auto"/>
        <w:ind w:firstLine="420" w:firstLineChars="200"/>
        <w:rPr>
          <w:rFonts w:ascii="宋体" w:hAnsi="宋体" w:eastAsia="宋体"/>
          <w:b/>
          <w:sz w:val="21"/>
        </w:rPr>
      </w:pPr>
      <w:r>
        <w:rPr>
          <w:rFonts w:hint="eastAsia" w:ascii="宋体" w:hAnsi="宋体" w:eastAsia="宋体"/>
          <w:color w:val="000000"/>
          <w:sz w:val="21"/>
        </w:rPr>
        <w:t>（一）</w:t>
      </w:r>
      <w:r>
        <w:rPr>
          <w:rFonts w:hint="eastAsia" w:ascii="宋体" w:hAnsi="宋体" w:eastAsia="宋体"/>
          <w:sz w:val="21"/>
        </w:rPr>
        <w:t>采用综合评分法。</w:t>
      </w:r>
    </w:p>
    <w:p>
      <w:pPr>
        <w:pStyle w:val="23"/>
        <w:spacing w:line="360" w:lineRule="auto"/>
        <w:ind w:firstLine="420" w:firstLineChars="200"/>
        <w:rPr>
          <w:rFonts w:ascii="宋体" w:hAnsi="宋体" w:eastAsia="宋体"/>
          <w:sz w:val="21"/>
        </w:rPr>
      </w:pPr>
      <w:r>
        <w:rPr>
          <w:rFonts w:hint="eastAsia" w:ascii="宋体" w:hAnsi="宋体" w:eastAsia="宋体"/>
          <w:color w:val="000000"/>
          <w:sz w:val="21"/>
        </w:rPr>
        <w:t>（二）</w:t>
      </w:r>
      <w:r>
        <w:rPr>
          <w:rFonts w:hint="eastAsia" w:ascii="宋体" w:hAnsi="宋体" w:eastAsia="宋体"/>
          <w:sz w:val="21"/>
        </w:rPr>
        <w:t>计分办法（按四舍五入取至小数点后二位）</w:t>
      </w:r>
    </w:p>
    <w:p>
      <w:pPr>
        <w:spacing w:line="360" w:lineRule="auto"/>
        <w:ind w:firstLine="310" w:firstLineChars="147"/>
        <w:rPr>
          <w:rFonts w:hAnsi="宋体" w:cs="宋体"/>
          <w:b/>
          <w:bCs/>
          <w:color w:val="000000"/>
          <w:sz w:val="21"/>
          <w:szCs w:val="21"/>
        </w:rPr>
      </w:pPr>
      <w:r>
        <w:rPr>
          <w:rFonts w:hint="eastAsia" w:hAnsi="宋体" w:cs="宋体"/>
          <w:b/>
          <w:color w:val="000000"/>
          <w:sz w:val="21"/>
          <w:szCs w:val="21"/>
        </w:rPr>
        <w:t>1、价格</w:t>
      </w:r>
      <w:r>
        <w:rPr>
          <w:rFonts w:hAnsi="宋体" w:cs="宋体"/>
          <w:b/>
          <w:color w:val="000000"/>
          <w:sz w:val="21"/>
          <w:szCs w:val="21"/>
        </w:rPr>
        <w:t>分</w:t>
      </w:r>
      <w:r>
        <w:rPr>
          <w:rFonts w:hint="eastAsia" w:hAnsi="宋体" w:cs="宋体"/>
          <w:b/>
          <w:color w:val="000000"/>
          <w:sz w:val="21"/>
          <w:szCs w:val="21"/>
        </w:rPr>
        <w:t>…</w:t>
      </w:r>
      <w:r>
        <w:rPr>
          <w:rFonts w:hint="eastAsia" w:hAnsi="宋体" w:cs="宋体"/>
          <w:b/>
          <w:bCs/>
          <w:color w:val="000000"/>
          <w:sz w:val="21"/>
          <w:szCs w:val="21"/>
        </w:rPr>
        <w:t>………………</w:t>
      </w:r>
      <w:r>
        <w:rPr>
          <w:rFonts w:hint="eastAsia" w:hAnsi="宋体" w:cs="宋体"/>
          <w:b/>
          <w:color w:val="000000"/>
          <w:sz w:val="21"/>
          <w:szCs w:val="21"/>
        </w:rPr>
        <w:t>………………</w:t>
      </w:r>
      <w:r>
        <w:rPr>
          <w:rFonts w:hint="eastAsia" w:hAnsi="宋体" w:cs="宋体"/>
          <w:b/>
          <w:bCs/>
          <w:color w:val="000000"/>
          <w:sz w:val="21"/>
          <w:szCs w:val="21"/>
        </w:rPr>
        <w:t>…………</w:t>
      </w:r>
      <w:r>
        <w:rPr>
          <w:rFonts w:hint="eastAsia" w:hAnsi="宋体" w:cs="宋体"/>
          <w:b/>
          <w:color w:val="000000"/>
          <w:sz w:val="21"/>
          <w:szCs w:val="21"/>
        </w:rPr>
        <w:t>……</w:t>
      </w:r>
      <w:r>
        <w:rPr>
          <w:rFonts w:hint="eastAsia" w:hAnsi="宋体" w:cs="宋体"/>
          <w:b/>
          <w:bCs/>
          <w:color w:val="000000"/>
          <w:sz w:val="21"/>
          <w:szCs w:val="21"/>
        </w:rPr>
        <w:t>………</w:t>
      </w:r>
      <w:r>
        <w:rPr>
          <w:rFonts w:hint="eastAsia" w:hAnsi="宋体" w:cs="宋体"/>
          <w:b/>
          <w:color w:val="000000"/>
          <w:sz w:val="21"/>
          <w:szCs w:val="21"/>
        </w:rPr>
        <w:t>……</w:t>
      </w:r>
      <w:r>
        <w:rPr>
          <w:rFonts w:hint="eastAsia" w:hAnsi="宋体" w:cs="宋体"/>
          <w:b/>
          <w:bCs/>
          <w:color w:val="000000"/>
          <w:sz w:val="21"/>
          <w:szCs w:val="21"/>
        </w:rPr>
        <w:t>……………</w:t>
      </w:r>
      <w:r>
        <w:rPr>
          <w:rFonts w:hint="eastAsia" w:hAnsi="宋体" w:cs="宋体"/>
          <w:b/>
          <w:color w:val="000000"/>
          <w:sz w:val="21"/>
          <w:szCs w:val="21"/>
        </w:rPr>
        <w:t>…</w:t>
      </w:r>
      <w:r>
        <w:rPr>
          <w:rFonts w:hint="eastAsia" w:hAnsi="宋体" w:cs="宋体"/>
          <w:b/>
          <w:bCs/>
          <w:color w:val="000000"/>
          <w:sz w:val="21"/>
          <w:szCs w:val="21"/>
        </w:rPr>
        <w:t>………………30分</w:t>
      </w:r>
    </w:p>
    <w:p>
      <w:pPr>
        <w:pStyle w:val="8"/>
        <w:spacing w:line="360" w:lineRule="auto"/>
        <w:ind w:firstLine="420"/>
        <w:rPr>
          <w:rFonts w:hAnsi="宋体" w:cs="黑体"/>
          <w:sz w:val="21"/>
        </w:rPr>
      </w:pPr>
      <w:r>
        <w:rPr>
          <w:rFonts w:hint="eastAsia" w:hAnsi="宋体" w:cs="黑体"/>
          <w:sz w:val="21"/>
        </w:rPr>
        <w:t>（</w:t>
      </w:r>
      <w:r>
        <w:rPr>
          <w:rFonts w:hAnsi="宋体" w:cs="黑体"/>
          <w:sz w:val="21"/>
        </w:rPr>
        <w:t>1</w:t>
      </w:r>
      <w:r>
        <w:rPr>
          <w:rFonts w:hint="eastAsia" w:hAnsi="宋体" w:cs="黑体"/>
          <w:sz w:val="21"/>
        </w:rPr>
        <w:t>）竞标单位按《政府采购促进中小企业发展暂行办法》（财库</w:t>
      </w:r>
      <w:r>
        <w:rPr>
          <w:rFonts w:hAnsi="宋体" w:cs="黑体"/>
          <w:sz w:val="21"/>
        </w:rPr>
        <w:t>[2011]181</w:t>
      </w:r>
      <w:r>
        <w:rPr>
          <w:rFonts w:hint="eastAsia" w:hAnsi="宋体" w:cs="黑体"/>
          <w:sz w:val="21"/>
        </w:rPr>
        <w:t>号）认定为小型和微型企业的（以竞标文件提供的符合规定的有关证明材料为准），对竞标价给予</w:t>
      </w:r>
      <w:r>
        <w:rPr>
          <w:rFonts w:hAnsi="宋体" w:cs="黑体"/>
          <w:sz w:val="21"/>
        </w:rPr>
        <w:t>6%</w:t>
      </w:r>
      <w:r>
        <w:rPr>
          <w:rFonts w:hint="eastAsia" w:hAnsi="宋体" w:cs="黑体"/>
          <w:sz w:val="21"/>
        </w:rPr>
        <w:t>的扣除，扣除后的价格为评标价，即评标价</w:t>
      </w:r>
      <w:r>
        <w:rPr>
          <w:rFonts w:hAnsi="宋体" w:cs="黑体"/>
          <w:sz w:val="21"/>
        </w:rPr>
        <w:t>=</w:t>
      </w:r>
      <w:r>
        <w:rPr>
          <w:rFonts w:hint="eastAsia" w:hAnsi="宋体" w:cs="黑体"/>
          <w:sz w:val="21"/>
        </w:rPr>
        <w:t>竞标价×（</w:t>
      </w:r>
      <w:r>
        <w:rPr>
          <w:rFonts w:hAnsi="宋体" w:cs="黑体"/>
          <w:sz w:val="21"/>
        </w:rPr>
        <w:t>1-6%</w:t>
      </w:r>
      <w:r>
        <w:rPr>
          <w:rFonts w:hint="eastAsia" w:hAnsi="宋体" w:cs="黑体"/>
          <w:sz w:val="21"/>
        </w:rPr>
        <w:t>）；除上述情况外，评标价</w:t>
      </w:r>
      <w:r>
        <w:rPr>
          <w:rFonts w:hAnsi="宋体" w:cs="黑体"/>
          <w:sz w:val="21"/>
        </w:rPr>
        <w:t>=</w:t>
      </w:r>
      <w:r>
        <w:rPr>
          <w:rFonts w:hint="eastAsia" w:hAnsi="宋体" w:cs="黑体"/>
          <w:sz w:val="21"/>
        </w:rPr>
        <w:t>竞标价。</w:t>
      </w:r>
    </w:p>
    <w:p>
      <w:pPr>
        <w:pStyle w:val="8"/>
        <w:spacing w:line="360" w:lineRule="auto"/>
        <w:ind w:firstLine="420"/>
        <w:rPr>
          <w:rFonts w:hAnsi="宋体" w:cs="黑体"/>
          <w:sz w:val="21"/>
        </w:rPr>
      </w:pPr>
      <w:r>
        <w:rPr>
          <w:rFonts w:hint="eastAsia" w:hAnsi="宋体" w:cs="黑体"/>
          <w:sz w:val="21"/>
        </w:rPr>
        <w:t>（</w:t>
      </w:r>
      <w:r>
        <w:rPr>
          <w:rFonts w:hAnsi="宋体" w:cs="黑体"/>
          <w:sz w:val="21"/>
        </w:rPr>
        <w:t>2</w:t>
      </w:r>
      <w:r>
        <w:rPr>
          <w:rFonts w:hint="eastAsia" w:hAnsi="宋体" w:cs="黑体"/>
          <w:sz w:val="21"/>
        </w:rPr>
        <w:t>）以进入评标的最低的评标报价为30分。</w:t>
      </w:r>
    </w:p>
    <w:p>
      <w:pPr>
        <w:pStyle w:val="8"/>
        <w:spacing w:line="360" w:lineRule="auto"/>
        <w:ind w:firstLine="2951" w:firstLineChars="1400"/>
        <w:rPr>
          <w:rFonts w:hAnsi="宋体"/>
          <w:b/>
          <w:bCs/>
          <w:sz w:val="21"/>
        </w:rPr>
      </w:pPr>
      <w:r>
        <w:rPr>
          <w:rFonts w:hint="eastAsia" w:hAnsi="宋体"/>
          <w:b/>
          <w:bCs/>
          <w:sz w:val="21"/>
        </w:rPr>
        <w:t>竞标人最低报价（金额）</w:t>
      </w:r>
    </w:p>
    <w:p>
      <w:pPr>
        <w:pStyle w:val="8"/>
        <w:spacing w:line="360" w:lineRule="auto"/>
        <w:ind w:firstLine="422"/>
        <w:rPr>
          <w:rFonts w:hAnsi="宋体"/>
          <w:b/>
          <w:bCs/>
          <w:sz w:val="21"/>
        </w:rPr>
      </w:pPr>
      <w:r>
        <w:rPr>
          <w:rFonts w:hint="eastAsia" w:hAnsi="宋体"/>
          <w:b/>
          <w:bCs/>
          <w:sz w:val="21"/>
        </w:rPr>
        <w:t>（</w:t>
      </w:r>
      <w:r>
        <w:rPr>
          <w:rFonts w:hAnsi="宋体"/>
          <w:b/>
          <w:bCs/>
          <w:sz w:val="21"/>
        </w:rPr>
        <w:t>3</w:t>
      </w:r>
      <w:r>
        <w:rPr>
          <w:rFonts w:hint="eastAsia" w:hAnsi="宋体"/>
          <w:b/>
          <w:bCs/>
          <w:sz w:val="21"/>
        </w:rPr>
        <w:t>）某竞标人价格分</w:t>
      </w:r>
      <w:r>
        <w:rPr>
          <w:rFonts w:hAnsi="宋体"/>
          <w:b/>
          <w:bCs/>
          <w:sz w:val="21"/>
        </w:rPr>
        <w:t xml:space="preserve"> = --------------------------  ×</w:t>
      </w:r>
      <w:r>
        <w:rPr>
          <w:rFonts w:hint="eastAsia" w:hAnsi="宋体"/>
          <w:b/>
          <w:bCs/>
          <w:sz w:val="21"/>
        </w:rPr>
        <w:t>3</w:t>
      </w:r>
      <w:r>
        <w:rPr>
          <w:rFonts w:hAnsi="宋体"/>
          <w:b/>
          <w:bCs/>
          <w:sz w:val="21"/>
        </w:rPr>
        <w:t>0</w:t>
      </w:r>
      <w:r>
        <w:rPr>
          <w:rFonts w:hint="eastAsia" w:hAnsi="宋体"/>
          <w:b/>
          <w:bCs/>
          <w:sz w:val="21"/>
        </w:rPr>
        <w:t>分</w:t>
      </w:r>
    </w:p>
    <w:p>
      <w:pPr>
        <w:pStyle w:val="8"/>
        <w:spacing w:line="360" w:lineRule="auto"/>
        <w:ind w:firstLine="2951" w:firstLineChars="1400"/>
        <w:rPr>
          <w:rFonts w:hAnsi="宋体"/>
          <w:b/>
          <w:bCs/>
          <w:sz w:val="21"/>
        </w:rPr>
      </w:pPr>
      <w:r>
        <w:rPr>
          <w:rFonts w:hint="eastAsia" w:hAnsi="宋体"/>
          <w:b/>
          <w:bCs/>
          <w:sz w:val="21"/>
        </w:rPr>
        <w:t>某竞标人报价（金额）</w:t>
      </w:r>
    </w:p>
    <w:p>
      <w:pPr>
        <w:spacing w:line="360" w:lineRule="auto"/>
        <w:ind w:firstLine="420"/>
        <w:rPr>
          <w:rFonts w:hAnsi="宋体" w:cs="宋体"/>
          <w:b/>
          <w:bCs/>
          <w:color w:val="000000"/>
          <w:sz w:val="21"/>
          <w:szCs w:val="21"/>
          <w:lang w:val="zh-CN"/>
        </w:rPr>
      </w:pPr>
      <w:r>
        <w:rPr>
          <w:rFonts w:hint="eastAsia" w:hAnsi="宋体" w:cs="黑体"/>
          <w:sz w:val="21"/>
          <w:szCs w:val="21"/>
        </w:rPr>
        <w:t>（4）为了确保招标质量和维护公平的竞争，确保中标人正常履约，供应商的竞标报价低于项目预算价格85%的，应当要求其在评标现场合理的时间内提供书面说明，必要时提交相关证明材料（包括所有服务（包括所有服务工作量清单分项价格、总价措施项目费、规费、税金、利润点、管理费、保证金费、预备费、其他等供评审，并附上有乙级以上造价审核资质的第三方机构出据的预算评审证明原件）；竞标人不能证明其报价合理性的，评标委员会应当将其作为无效竞标处理。</w:t>
      </w:r>
    </w:p>
    <w:p>
      <w:pPr>
        <w:spacing w:line="360" w:lineRule="auto"/>
        <w:rPr>
          <w:rFonts w:ascii="微软雅黑" w:hAnsi="微软雅黑" w:eastAsia="微软雅黑" w:cs="微软雅黑"/>
          <w:sz w:val="21"/>
        </w:rPr>
      </w:pPr>
      <w:r>
        <w:rPr>
          <w:rFonts w:hint="eastAsia" w:hAnsi="宋体" w:cs="宋体"/>
          <w:b/>
          <w:color w:val="000000"/>
          <w:sz w:val="21"/>
          <w:szCs w:val="21"/>
        </w:rPr>
        <w:t>2、设备性能分…</w:t>
      </w:r>
      <w:r>
        <w:rPr>
          <w:rFonts w:hint="eastAsia" w:hAnsi="宋体" w:cs="宋体"/>
          <w:b/>
          <w:bCs/>
          <w:color w:val="000000"/>
          <w:sz w:val="21"/>
          <w:szCs w:val="21"/>
        </w:rPr>
        <w:t>………………</w:t>
      </w:r>
      <w:r>
        <w:rPr>
          <w:rFonts w:hint="eastAsia" w:hAnsi="宋体" w:cs="宋体"/>
          <w:b/>
          <w:color w:val="000000"/>
          <w:sz w:val="21"/>
          <w:szCs w:val="21"/>
        </w:rPr>
        <w:t>………………</w:t>
      </w:r>
      <w:r>
        <w:rPr>
          <w:rFonts w:hint="eastAsia" w:hAnsi="宋体" w:cs="宋体"/>
          <w:b/>
          <w:bCs/>
          <w:color w:val="000000"/>
          <w:sz w:val="21"/>
          <w:szCs w:val="21"/>
        </w:rPr>
        <w:t>…………</w:t>
      </w:r>
      <w:r>
        <w:rPr>
          <w:rFonts w:hint="eastAsia" w:hAnsi="宋体" w:cs="宋体"/>
          <w:b/>
          <w:color w:val="000000"/>
          <w:sz w:val="21"/>
          <w:szCs w:val="21"/>
        </w:rPr>
        <w:t>……</w:t>
      </w:r>
      <w:r>
        <w:rPr>
          <w:rFonts w:hint="eastAsia" w:hAnsi="宋体" w:cs="宋体"/>
          <w:b/>
          <w:bCs/>
          <w:color w:val="000000"/>
          <w:sz w:val="21"/>
          <w:szCs w:val="21"/>
        </w:rPr>
        <w:t>………</w:t>
      </w:r>
      <w:r>
        <w:rPr>
          <w:rFonts w:hint="eastAsia" w:hAnsi="宋体" w:cs="宋体"/>
          <w:b/>
          <w:color w:val="000000"/>
          <w:sz w:val="21"/>
          <w:szCs w:val="21"/>
        </w:rPr>
        <w:t>……</w:t>
      </w:r>
      <w:r>
        <w:rPr>
          <w:rFonts w:hint="eastAsia" w:hAnsi="宋体" w:cs="宋体"/>
          <w:b/>
          <w:bCs/>
          <w:color w:val="000000"/>
          <w:sz w:val="21"/>
          <w:szCs w:val="21"/>
        </w:rPr>
        <w:t>……………</w:t>
      </w:r>
      <w:r>
        <w:rPr>
          <w:rFonts w:hint="eastAsia" w:hAnsi="宋体" w:cs="宋体"/>
          <w:b/>
          <w:color w:val="000000"/>
          <w:sz w:val="21"/>
          <w:szCs w:val="21"/>
        </w:rPr>
        <w:t>…</w:t>
      </w:r>
      <w:r>
        <w:rPr>
          <w:rFonts w:hint="eastAsia" w:hAnsi="宋体" w:cs="宋体"/>
          <w:b/>
          <w:bCs/>
          <w:color w:val="000000"/>
          <w:sz w:val="21"/>
          <w:szCs w:val="21"/>
        </w:rPr>
        <w:t>…………………</w:t>
      </w:r>
      <w:r>
        <w:rPr>
          <w:rFonts w:hint="eastAsia" w:hAnsi="宋体" w:cs="宋体"/>
          <w:b/>
          <w:bCs/>
          <w:color w:val="000000"/>
          <w:szCs w:val="21"/>
        </w:rPr>
        <w:t>29</w:t>
      </w:r>
      <w:r>
        <w:rPr>
          <w:rFonts w:hint="eastAsia" w:hAnsi="宋体" w:cs="宋体"/>
          <w:b/>
          <w:bCs/>
          <w:color w:val="000000"/>
          <w:sz w:val="21"/>
          <w:szCs w:val="21"/>
        </w:rPr>
        <w:t>分</w:t>
      </w:r>
    </w:p>
    <w:p>
      <w:pPr>
        <w:spacing w:line="360" w:lineRule="auto"/>
        <w:ind w:firstLine="420"/>
        <w:rPr>
          <w:rFonts w:hAnsi="宋体" w:cs="黑体"/>
          <w:sz w:val="21"/>
          <w:szCs w:val="21"/>
        </w:rPr>
      </w:pPr>
      <w:r>
        <w:rPr>
          <w:rFonts w:hint="eastAsia" w:hAnsi="宋体" w:cs="黑体"/>
          <w:sz w:val="21"/>
          <w:szCs w:val="21"/>
        </w:rPr>
        <w:t>项目需求技术参数中非标“▲”号项参数每一项不满足扣1分，标“▲”号项参数每一项不满足扣2分，扣完为止；设备性能满足或优于招标文件要求得29分。</w:t>
      </w:r>
    </w:p>
    <w:p>
      <w:pPr>
        <w:spacing w:line="360" w:lineRule="auto"/>
        <w:rPr>
          <w:rFonts w:ascii="微软雅黑" w:hAnsi="微软雅黑" w:eastAsia="微软雅黑" w:cs="微软雅黑"/>
          <w:sz w:val="21"/>
        </w:rPr>
      </w:pPr>
      <w:r>
        <w:rPr>
          <w:rFonts w:hint="eastAsia" w:hAnsi="宋体" w:cs="宋体"/>
          <w:b/>
          <w:color w:val="000000"/>
          <w:szCs w:val="21"/>
        </w:rPr>
        <w:t>3</w:t>
      </w:r>
      <w:r>
        <w:rPr>
          <w:rFonts w:hint="eastAsia" w:hAnsi="宋体" w:cs="宋体"/>
          <w:b/>
          <w:color w:val="000000"/>
          <w:sz w:val="21"/>
          <w:szCs w:val="21"/>
        </w:rPr>
        <w:t>、</w:t>
      </w:r>
      <w:r>
        <w:rPr>
          <w:rFonts w:hint="eastAsia" w:hAnsi="宋体" w:cs="宋体"/>
          <w:b/>
          <w:color w:val="000000"/>
          <w:szCs w:val="21"/>
        </w:rPr>
        <w:t>接口能力</w:t>
      </w:r>
      <w:r>
        <w:rPr>
          <w:rFonts w:hint="eastAsia" w:hAnsi="宋体" w:cs="宋体"/>
          <w:b/>
          <w:color w:val="000000"/>
          <w:sz w:val="21"/>
          <w:szCs w:val="21"/>
        </w:rPr>
        <w:t>分…</w:t>
      </w:r>
      <w:r>
        <w:rPr>
          <w:rFonts w:hint="eastAsia" w:hAnsi="宋体" w:cs="宋体"/>
          <w:b/>
          <w:bCs/>
          <w:color w:val="000000"/>
          <w:sz w:val="21"/>
          <w:szCs w:val="21"/>
        </w:rPr>
        <w:t>………………</w:t>
      </w:r>
      <w:r>
        <w:rPr>
          <w:rFonts w:hint="eastAsia" w:hAnsi="宋体" w:cs="宋体"/>
          <w:b/>
          <w:color w:val="000000"/>
          <w:sz w:val="21"/>
          <w:szCs w:val="21"/>
        </w:rPr>
        <w:t>………………</w:t>
      </w:r>
      <w:r>
        <w:rPr>
          <w:rFonts w:hint="eastAsia" w:hAnsi="宋体" w:cs="宋体"/>
          <w:b/>
          <w:bCs/>
          <w:color w:val="000000"/>
          <w:sz w:val="21"/>
          <w:szCs w:val="21"/>
        </w:rPr>
        <w:t>…………</w:t>
      </w:r>
      <w:r>
        <w:rPr>
          <w:rFonts w:hint="eastAsia" w:hAnsi="宋体" w:cs="宋体"/>
          <w:b/>
          <w:color w:val="000000"/>
          <w:sz w:val="21"/>
          <w:szCs w:val="21"/>
        </w:rPr>
        <w:t>……</w:t>
      </w:r>
      <w:r>
        <w:rPr>
          <w:rFonts w:hint="eastAsia" w:hAnsi="宋体" w:cs="宋体"/>
          <w:b/>
          <w:bCs/>
          <w:color w:val="000000"/>
          <w:sz w:val="21"/>
          <w:szCs w:val="21"/>
        </w:rPr>
        <w:t>………</w:t>
      </w:r>
      <w:r>
        <w:rPr>
          <w:rFonts w:hint="eastAsia" w:hAnsi="宋体" w:cs="宋体"/>
          <w:b/>
          <w:color w:val="000000"/>
          <w:sz w:val="21"/>
          <w:szCs w:val="21"/>
        </w:rPr>
        <w:t>……</w:t>
      </w:r>
      <w:r>
        <w:rPr>
          <w:rFonts w:hint="eastAsia" w:hAnsi="宋体" w:cs="宋体"/>
          <w:b/>
          <w:bCs/>
          <w:color w:val="000000"/>
          <w:sz w:val="21"/>
          <w:szCs w:val="21"/>
        </w:rPr>
        <w:t>……………</w:t>
      </w:r>
      <w:r>
        <w:rPr>
          <w:rFonts w:hint="eastAsia" w:hAnsi="宋体" w:cs="宋体"/>
          <w:b/>
          <w:color w:val="000000"/>
          <w:sz w:val="21"/>
          <w:szCs w:val="21"/>
        </w:rPr>
        <w:t>…</w:t>
      </w:r>
      <w:r>
        <w:rPr>
          <w:rFonts w:hint="eastAsia" w:hAnsi="宋体" w:cs="宋体"/>
          <w:b/>
          <w:bCs/>
          <w:color w:val="000000"/>
          <w:sz w:val="21"/>
          <w:szCs w:val="21"/>
        </w:rPr>
        <w:t>…………………</w:t>
      </w:r>
      <w:r>
        <w:rPr>
          <w:rFonts w:hint="eastAsia" w:hAnsi="宋体" w:cs="宋体"/>
          <w:b/>
          <w:bCs/>
          <w:color w:val="000000"/>
          <w:szCs w:val="21"/>
        </w:rPr>
        <w:t>5</w:t>
      </w:r>
      <w:r>
        <w:rPr>
          <w:rFonts w:hint="eastAsia" w:hAnsi="宋体" w:cs="宋体"/>
          <w:b/>
          <w:bCs/>
          <w:color w:val="000000"/>
          <w:sz w:val="21"/>
          <w:szCs w:val="21"/>
        </w:rPr>
        <w:t>分</w:t>
      </w:r>
    </w:p>
    <w:p>
      <w:pPr>
        <w:spacing w:line="360" w:lineRule="auto"/>
        <w:ind w:firstLine="420"/>
        <w:rPr>
          <w:rFonts w:hAnsi="宋体" w:cs="黑体"/>
          <w:sz w:val="21"/>
          <w:szCs w:val="21"/>
        </w:rPr>
      </w:pPr>
      <w:r>
        <w:rPr>
          <w:rFonts w:hint="eastAsia" w:hAnsi="宋体" w:cs="黑体"/>
          <w:sz w:val="21"/>
          <w:szCs w:val="21"/>
        </w:rPr>
        <w:t>投标人承诺本项目所投产品“办案区管理信息系统、涉案物证管理信息系统”平台软件可实现和自治区公安厅执法监督平台的对接，提供执法监督及管理平台实现执法办案各类要素信息和广西区厅警务信息综合平台数据交换，并具备为多功能执法办案管理中心提供数据归集、交换、支撑服务的能力的证明文件；满足得5分，不满足不得分。</w:t>
      </w:r>
    </w:p>
    <w:p>
      <w:pPr>
        <w:spacing w:line="460" w:lineRule="exact"/>
        <w:rPr>
          <w:rFonts w:hAnsi="宋体" w:cs="宋体"/>
          <w:b/>
          <w:sz w:val="21"/>
        </w:rPr>
      </w:pPr>
      <w:r>
        <w:rPr>
          <w:rFonts w:hint="eastAsia" w:ascii="微软雅黑" w:hAnsi="微软雅黑" w:eastAsia="微软雅黑" w:cs="微软雅黑"/>
          <w:b/>
        </w:rPr>
        <w:t>4</w:t>
      </w:r>
      <w:r>
        <w:rPr>
          <w:rFonts w:hint="eastAsia" w:ascii="微软雅黑" w:hAnsi="微软雅黑" w:eastAsia="微软雅黑" w:cs="微软雅黑"/>
          <w:b/>
          <w:sz w:val="21"/>
        </w:rPr>
        <w:t>、</w:t>
      </w:r>
      <w:r>
        <w:rPr>
          <w:rFonts w:hint="eastAsia" w:hAnsi="宋体" w:cs="宋体"/>
          <w:b/>
          <w:sz w:val="21"/>
        </w:rPr>
        <w:t>实施方案分</w:t>
      </w:r>
      <w:r>
        <w:rPr>
          <w:rFonts w:hint="eastAsia" w:hAnsi="宋体" w:cs="宋体"/>
          <w:b/>
          <w:color w:val="000000"/>
          <w:sz w:val="21"/>
          <w:szCs w:val="21"/>
        </w:rPr>
        <w:t>…</w:t>
      </w:r>
      <w:r>
        <w:rPr>
          <w:rFonts w:hint="eastAsia" w:hAnsi="宋体" w:cs="宋体"/>
          <w:b/>
          <w:bCs/>
          <w:color w:val="000000"/>
          <w:sz w:val="21"/>
          <w:szCs w:val="21"/>
        </w:rPr>
        <w:t>………………</w:t>
      </w:r>
      <w:r>
        <w:rPr>
          <w:rFonts w:hint="eastAsia" w:hAnsi="宋体" w:cs="宋体"/>
          <w:b/>
          <w:color w:val="000000"/>
          <w:sz w:val="21"/>
          <w:szCs w:val="21"/>
        </w:rPr>
        <w:t>………………</w:t>
      </w:r>
      <w:r>
        <w:rPr>
          <w:rFonts w:hint="eastAsia" w:hAnsi="宋体" w:cs="宋体"/>
          <w:b/>
          <w:bCs/>
          <w:color w:val="000000"/>
          <w:sz w:val="21"/>
          <w:szCs w:val="21"/>
        </w:rPr>
        <w:t>…………</w:t>
      </w:r>
      <w:r>
        <w:rPr>
          <w:rFonts w:hint="eastAsia" w:hAnsi="宋体" w:cs="宋体"/>
          <w:b/>
          <w:color w:val="000000"/>
          <w:sz w:val="21"/>
          <w:szCs w:val="21"/>
        </w:rPr>
        <w:t>……</w:t>
      </w:r>
      <w:r>
        <w:rPr>
          <w:rFonts w:hint="eastAsia" w:hAnsi="宋体" w:cs="宋体"/>
          <w:b/>
          <w:bCs/>
          <w:color w:val="000000"/>
          <w:sz w:val="21"/>
          <w:szCs w:val="21"/>
        </w:rPr>
        <w:t>………</w:t>
      </w:r>
      <w:r>
        <w:rPr>
          <w:rFonts w:hint="eastAsia" w:hAnsi="宋体" w:cs="宋体"/>
          <w:b/>
          <w:color w:val="000000"/>
          <w:sz w:val="21"/>
          <w:szCs w:val="21"/>
        </w:rPr>
        <w:t>……</w:t>
      </w:r>
      <w:r>
        <w:rPr>
          <w:rFonts w:hint="eastAsia" w:hAnsi="宋体" w:cs="宋体"/>
          <w:b/>
          <w:bCs/>
          <w:color w:val="000000"/>
          <w:sz w:val="21"/>
          <w:szCs w:val="21"/>
        </w:rPr>
        <w:t>………………</w:t>
      </w:r>
      <w:r>
        <w:rPr>
          <w:rFonts w:hint="eastAsia" w:hAnsi="宋体" w:cs="宋体"/>
          <w:b/>
          <w:color w:val="000000"/>
          <w:sz w:val="21"/>
          <w:szCs w:val="21"/>
        </w:rPr>
        <w:t>…</w:t>
      </w:r>
      <w:r>
        <w:rPr>
          <w:rFonts w:hint="eastAsia" w:hAnsi="宋体" w:cs="宋体"/>
          <w:b/>
          <w:bCs/>
          <w:color w:val="000000"/>
          <w:sz w:val="21"/>
          <w:szCs w:val="21"/>
        </w:rPr>
        <w:t>………………</w:t>
      </w:r>
      <w:r>
        <w:rPr>
          <w:rFonts w:hAnsi="宋体" w:cs="宋体"/>
          <w:b/>
          <w:sz w:val="21"/>
        </w:rPr>
        <w:t>18</w:t>
      </w:r>
      <w:r>
        <w:rPr>
          <w:rFonts w:hint="eastAsia" w:hAnsi="宋体" w:cs="宋体"/>
          <w:b/>
          <w:sz w:val="21"/>
        </w:rPr>
        <w:t>分</w:t>
      </w:r>
    </w:p>
    <w:p>
      <w:pPr>
        <w:spacing w:line="360" w:lineRule="auto"/>
        <w:ind w:firstLine="420"/>
        <w:rPr>
          <w:rFonts w:hAnsi="宋体" w:eastAsia="宋体" w:cs="黑体"/>
          <w:sz w:val="21"/>
          <w:szCs w:val="21"/>
        </w:rPr>
      </w:pPr>
      <w:r>
        <w:rPr>
          <w:rFonts w:hint="eastAsia" w:hAnsi="宋体" w:eastAsia="宋体" w:cs="黑体"/>
          <w:sz w:val="21"/>
          <w:szCs w:val="21"/>
        </w:rPr>
        <w:t>由评委在打分前根据招标文件要求，对比各投标人投标文件中“实施方案”内容,在相应档次内独立打分。</w:t>
      </w:r>
    </w:p>
    <w:p>
      <w:pPr>
        <w:spacing w:line="360" w:lineRule="auto"/>
        <w:ind w:firstLine="420"/>
        <w:rPr>
          <w:rFonts w:hAnsi="宋体" w:eastAsia="宋体" w:cs="黑体"/>
          <w:sz w:val="21"/>
          <w:szCs w:val="21"/>
        </w:rPr>
      </w:pPr>
      <w:r>
        <w:rPr>
          <w:rFonts w:hint="eastAsia" w:hAnsi="宋体" w:eastAsia="宋体" w:cs="黑体"/>
          <w:sz w:val="21"/>
          <w:szCs w:val="21"/>
        </w:rPr>
        <w:t>一档（</w:t>
      </w:r>
      <w:r>
        <w:rPr>
          <w:rFonts w:hint="eastAsia" w:hAnsi="宋体" w:cs="黑体"/>
          <w:szCs w:val="21"/>
        </w:rPr>
        <w:t>6</w:t>
      </w:r>
      <w:r>
        <w:rPr>
          <w:rFonts w:hint="eastAsia" w:hAnsi="宋体" w:eastAsia="宋体" w:cs="黑体"/>
          <w:sz w:val="21"/>
          <w:szCs w:val="21"/>
        </w:rPr>
        <w:t xml:space="preserve">分）：实施方案的科学性，完整性，可操作性，合理性简单，可行，描述了技术特性及基本设计。                                  </w:t>
      </w:r>
    </w:p>
    <w:p>
      <w:pPr>
        <w:spacing w:line="360" w:lineRule="auto"/>
        <w:ind w:firstLine="420"/>
        <w:rPr>
          <w:rFonts w:hAnsi="宋体" w:eastAsia="宋体" w:cs="黑体"/>
          <w:sz w:val="21"/>
          <w:szCs w:val="21"/>
        </w:rPr>
      </w:pPr>
      <w:r>
        <w:rPr>
          <w:rFonts w:hint="eastAsia" w:hAnsi="宋体" w:eastAsia="宋体" w:cs="黑体"/>
          <w:sz w:val="21"/>
          <w:szCs w:val="21"/>
        </w:rPr>
        <w:t>二档（</w:t>
      </w:r>
      <w:r>
        <w:rPr>
          <w:rFonts w:hint="eastAsia" w:hAnsi="宋体" w:cs="黑体"/>
          <w:szCs w:val="21"/>
        </w:rPr>
        <w:t>12</w:t>
      </w:r>
      <w:r>
        <w:rPr>
          <w:rFonts w:hint="eastAsia" w:hAnsi="宋体" w:eastAsia="宋体" w:cs="黑体"/>
          <w:sz w:val="21"/>
          <w:szCs w:val="21"/>
        </w:rPr>
        <w:t>分）：实施方案的科学性，完整性，可操作性，合理性明了，提供详细的实施方案。</w:t>
      </w:r>
    </w:p>
    <w:p>
      <w:pPr>
        <w:spacing w:line="360" w:lineRule="auto"/>
        <w:ind w:firstLine="420"/>
        <w:rPr>
          <w:rFonts w:hAnsi="宋体" w:cs="黑体"/>
          <w:sz w:val="21"/>
          <w:szCs w:val="21"/>
        </w:rPr>
      </w:pPr>
      <w:r>
        <w:rPr>
          <w:rFonts w:hint="eastAsia" w:hAnsi="宋体" w:eastAsia="宋体" w:cs="黑体"/>
          <w:sz w:val="21"/>
          <w:szCs w:val="21"/>
        </w:rPr>
        <w:t>三档（</w:t>
      </w:r>
      <w:r>
        <w:rPr>
          <w:rFonts w:hint="eastAsia" w:hAnsi="宋体" w:cs="黑体"/>
          <w:szCs w:val="21"/>
        </w:rPr>
        <w:t>18</w:t>
      </w:r>
      <w:r>
        <w:rPr>
          <w:rFonts w:hint="eastAsia" w:hAnsi="宋体" w:eastAsia="宋体" w:cs="黑体"/>
          <w:sz w:val="21"/>
          <w:szCs w:val="21"/>
        </w:rPr>
        <w:t>分）：实施方案的科学性，完整性，可操作性，合理性针对性强，针对本项目具体情况，提出的实施方案，思路清晰，明确，可行性强，具有详细的施工方案。</w:t>
      </w:r>
    </w:p>
    <w:p>
      <w:pPr>
        <w:pStyle w:val="8"/>
        <w:tabs>
          <w:tab w:val="left" w:pos="426"/>
        </w:tabs>
        <w:snapToGrid w:val="0"/>
        <w:spacing w:line="360" w:lineRule="auto"/>
        <w:rPr>
          <w:rFonts w:hAnsi="宋体" w:cs="宋体"/>
          <w:b/>
          <w:bCs/>
          <w:color w:val="000000"/>
          <w:sz w:val="21"/>
        </w:rPr>
      </w:pPr>
      <w:r>
        <w:rPr>
          <w:rFonts w:hint="eastAsia" w:hAnsi="宋体" w:cs="宋体"/>
          <w:b/>
          <w:color w:val="000000"/>
        </w:rPr>
        <w:t>5</w:t>
      </w:r>
      <w:r>
        <w:rPr>
          <w:rFonts w:hint="eastAsia" w:hAnsi="宋体" w:cs="宋体"/>
          <w:b/>
          <w:color w:val="000000"/>
          <w:sz w:val="21"/>
        </w:rPr>
        <w:t>、</w:t>
      </w:r>
      <w:r>
        <w:rPr>
          <w:rFonts w:hint="eastAsia" w:hAnsi="宋体" w:cs="宋体"/>
          <w:b/>
          <w:bCs/>
          <w:color w:val="000000"/>
          <w:sz w:val="21"/>
        </w:rPr>
        <w:t>售后服务分</w:t>
      </w:r>
      <w:r>
        <w:rPr>
          <w:rFonts w:hint="eastAsia" w:hAnsi="宋体" w:cs="宋体"/>
          <w:b/>
          <w:color w:val="000000"/>
          <w:sz w:val="21"/>
        </w:rPr>
        <w:t>………………………………………</w:t>
      </w:r>
      <w:r>
        <w:rPr>
          <w:rFonts w:hint="eastAsia" w:hAnsi="宋体" w:cs="宋体"/>
          <w:b/>
          <w:bCs/>
          <w:color w:val="000000"/>
          <w:sz w:val="21"/>
        </w:rPr>
        <w:t>………</w:t>
      </w:r>
      <w:r>
        <w:rPr>
          <w:rFonts w:hint="eastAsia" w:hAnsi="宋体" w:cs="宋体"/>
          <w:b/>
          <w:color w:val="000000"/>
          <w:sz w:val="21"/>
        </w:rPr>
        <w:t>……</w:t>
      </w:r>
      <w:r>
        <w:rPr>
          <w:rFonts w:hint="eastAsia" w:hAnsi="宋体" w:cs="宋体"/>
          <w:b/>
          <w:bCs/>
          <w:color w:val="000000"/>
          <w:sz w:val="21"/>
        </w:rPr>
        <w:t>……………………………18分</w:t>
      </w:r>
    </w:p>
    <w:p>
      <w:pPr>
        <w:pStyle w:val="24"/>
        <w:autoSpaceDE w:val="0"/>
        <w:autoSpaceDN w:val="0"/>
        <w:adjustRightInd w:val="0"/>
        <w:snapToGrid w:val="0"/>
        <w:spacing w:line="360" w:lineRule="auto"/>
        <w:rPr>
          <w:rFonts w:ascii="宋体" w:hAnsi="宋体" w:cs="宋体"/>
          <w:color w:val="000000"/>
          <w:sz w:val="21"/>
          <w:szCs w:val="21"/>
        </w:rPr>
      </w:pPr>
      <w:r>
        <w:rPr>
          <w:rFonts w:hint="eastAsia" w:ascii="宋体" w:hAnsi="宋体" w:cs="宋体"/>
          <w:color w:val="000000"/>
          <w:sz w:val="21"/>
          <w:szCs w:val="21"/>
        </w:rPr>
        <w:t>根据投标文件对售后服务承诺的内容,由评委集体讨论确定各投标人所属的档次等级后，在等级内由各评委独立打分。</w:t>
      </w:r>
    </w:p>
    <w:p>
      <w:pPr>
        <w:pStyle w:val="24"/>
        <w:autoSpaceDE w:val="0"/>
        <w:autoSpaceDN w:val="0"/>
        <w:adjustRightInd w:val="0"/>
        <w:snapToGrid w:val="0"/>
        <w:spacing w:line="360" w:lineRule="auto"/>
        <w:rPr>
          <w:rFonts w:ascii="宋体" w:hAnsi="宋体" w:eastAsia="宋体" w:cs="宋体"/>
          <w:color w:val="000000"/>
          <w:sz w:val="21"/>
          <w:szCs w:val="21"/>
        </w:rPr>
      </w:pPr>
      <w:r>
        <w:rPr>
          <w:rFonts w:hint="eastAsia" w:ascii="宋体" w:hAnsi="宋体" w:eastAsia="宋体" w:cs="宋体"/>
          <w:color w:val="000000"/>
          <w:sz w:val="21"/>
          <w:szCs w:val="21"/>
        </w:rPr>
        <w:t>由评委在打分前根据投标人售后服务方案：包括投标文件中售后服务承诺书内容的完整性、可行性和货物免费保修期限、交货期、到达故障现场时间以及定期维护 (注明时间)及其他优惠等内容，集体讨论确定各投标人售后服务方案的等级后，在相应等级内由各评委独立打分。</w:t>
      </w:r>
    </w:p>
    <w:p>
      <w:pPr>
        <w:spacing w:line="360" w:lineRule="auto"/>
        <w:ind w:firstLine="420" w:firstLineChars="200"/>
        <w:rPr>
          <w:rFonts w:ascii="宋体" w:hAnsi="宋体" w:cs="宋体"/>
          <w:color w:val="000000"/>
          <w:szCs w:val="21"/>
        </w:rPr>
      </w:pPr>
      <w:r>
        <w:rPr>
          <w:rFonts w:hint="eastAsia" w:ascii="宋体" w:hAnsi="宋体" w:eastAsia="宋体" w:cs="宋体"/>
          <w:color w:val="000000"/>
          <w:sz w:val="21"/>
          <w:szCs w:val="21"/>
        </w:rPr>
        <w:t>一档（6分）：售后服务方案内容不全，无项目实施计划或不适用。</w:t>
      </w:r>
      <w:r>
        <w:rPr>
          <w:rFonts w:hint="eastAsia" w:ascii="宋体" w:hAnsi="宋体" w:cs="宋体"/>
          <w:color w:val="000000"/>
          <w:szCs w:val="21"/>
        </w:rPr>
        <w:t xml:space="preserve">                                                           </w:t>
      </w:r>
    </w:p>
    <w:p>
      <w:pPr>
        <w:spacing w:line="360" w:lineRule="auto"/>
        <w:ind w:firstLine="420" w:firstLineChars="200"/>
        <w:rPr>
          <w:rFonts w:ascii="宋体" w:hAnsi="宋体" w:eastAsia="宋体" w:cs="宋体"/>
          <w:color w:val="000000"/>
          <w:sz w:val="21"/>
          <w:szCs w:val="21"/>
        </w:rPr>
      </w:pPr>
      <w:r>
        <w:rPr>
          <w:rFonts w:hint="eastAsia" w:ascii="宋体" w:hAnsi="宋体" w:eastAsia="宋体" w:cs="宋体"/>
          <w:color w:val="000000"/>
          <w:sz w:val="21"/>
          <w:szCs w:val="21"/>
        </w:rPr>
        <w:t>二档（12分）：售后服务表述较清晰、完整，措施具体有效可行，定期派人员上门负责维护设备，响应时间满足采购要求，培训支持方案、配送服务方案和本地化服务支持一般，投标人具备较强的合同执行诚信度和执行能力，安装方案，进度计划、安装调试方案、验收方法与措施等方案表述不完整，或者没有针对项目实际情况进行表述，或者进度、安全、质量保证措施表述缺少必要内容，保障性不强的；</w:t>
      </w:r>
    </w:p>
    <w:p>
      <w:pPr>
        <w:spacing w:line="360" w:lineRule="auto"/>
        <w:ind w:firstLine="420" w:firstLineChars="200"/>
        <w:rPr>
          <w:rFonts w:ascii="宋体" w:hAnsi="宋体" w:eastAsia="宋体" w:cs="宋体"/>
          <w:color w:val="000000"/>
          <w:sz w:val="21"/>
          <w:szCs w:val="21"/>
        </w:rPr>
      </w:pPr>
      <w:r>
        <w:rPr>
          <w:rFonts w:hint="eastAsia" w:ascii="宋体" w:hAnsi="宋体" w:eastAsia="宋体" w:cs="宋体"/>
          <w:color w:val="000000"/>
          <w:sz w:val="21"/>
          <w:szCs w:val="21"/>
        </w:rPr>
        <w:t>三档（18分）：售后服务方案内容完整、齐全、可行，有项目实施计划，指定专人负责运作维护，响应时间优于采购要求，电话支持、备品备件、质保期外的维护费用及优惠、维修设备及人员配备和运行机制、应急事件问题处理等方面内容，培训支持方案、应急预案、配送服务方案可行，安装方案，进度计划、安装调试方案、验收方法与措施等方案完整，符合项目情况，进度、安全、质量保证措施完善保障性强。</w:t>
      </w:r>
    </w:p>
    <w:p>
      <w:pPr>
        <w:spacing w:line="360" w:lineRule="auto"/>
        <w:ind w:firstLine="422" w:firstLineChars="200"/>
        <w:rPr>
          <w:rFonts w:hAnsi="宋体" w:cs="宋体"/>
          <w:b/>
          <w:color w:val="000000"/>
          <w:sz w:val="21"/>
          <w:szCs w:val="21"/>
        </w:rPr>
      </w:pPr>
      <w:r>
        <w:rPr>
          <w:rFonts w:hint="eastAsia" w:hAnsi="宋体" w:cs="宋体"/>
          <w:b/>
          <w:color w:val="000000"/>
          <w:sz w:val="21"/>
          <w:szCs w:val="21"/>
        </w:rPr>
        <w:t>总得分 =1＋2＋3+4+5。</w:t>
      </w:r>
    </w:p>
    <w:p>
      <w:pPr>
        <w:spacing w:line="360" w:lineRule="auto"/>
        <w:ind w:firstLine="420" w:firstLineChars="200"/>
        <w:rPr>
          <w:rFonts w:ascii="宋体" w:hAnsi="宋体" w:cs="宋体"/>
          <w:bCs/>
          <w:sz w:val="21"/>
          <w:szCs w:val="21"/>
        </w:rPr>
      </w:pPr>
      <w:r>
        <w:rPr>
          <w:rFonts w:hint="eastAsia" w:ascii="宋体" w:hAnsi="宋体" w:cs="宋体"/>
          <w:bCs/>
          <w:sz w:val="21"/>
          <w:szCs w:val="21"/>
        </w:rPr>
        <w:t>三、中标候选人推荐原则</w:t>
      </w:r>
    </w:p>
    <w:p>
      <w:pPr>
        <w:spacing w:line="360" w:lineRule="auto"/>
        <w:rPr>
          <w:sz w:val="21"/>
          <w:szCs w:val="21"/>
        </w:rPr>
      </w:pPr>
      <w:r>
        <w:rPr>
          <w:rFonts w:hint="eastAsia" w:ascii="宋体" w:hAnsi="宋体" w:cs="宋体"/>
          <w:sz w:val="21"/>
          <w:szCs w:val="21"/>
        </w:rPr>
        <w:t>评标委员会将根据总得分由高到低排列次序（总得分相同时，以投标报价由低到高顺序排列；总得分相同且投标报价相同的，按技术指标优劣顺序排列）并推荐3名中标候选供应商。招标采购单位应当确定评审委员会推荐排名第一的中标候选人为中标人。排名第一的中标候选人放弃中标、因不可抗力提出不能履行合同，或者招标文件规定应当提交履约保证金而在规定的期限内未能提交的，招标采购单位可以确定排定第二的中标候选人为中标人。排名第二的中标候选人因前款规定的同样原因不能签订合同的，招标采购单位可以确定排名第三的中标候选人为中标人，其余以此类推。</w:t>
      </w:r>
    </w:p>
    <w:p>
      <w:pPr>
        <w:spacing w:line="360" w:lineRule="auto"/>
        <w:ind w:left="220" w:leftChars="100"/>
        <w:rPr>
          <w:sz w:val="21"/>
          <w:szCs w:val="21"/>
        </w:rPr>
        <w:sectPr>
          <w:pgSz w:w="11900" w:h="16840"/>
          <w:pgMar w:top="964" w:right="1123" w:bottom="652" w:left="482" w:header="0" w:footer="397" w:gutter="0"/>
          <w:cols w:space="425" w:num="1"/>
        </w:sectPr>
      </w:pPr>
    </w:p>
    <w:p>
      <w:pPr>
        <w:spacing w:line="360" w:lineRule="auto"/>
        <w:ind w:left="220" w:leftChars="100"/>
        <w:rPr>
          <w:sz w:val="20"/>
          <w:szCs w:val="20"/>
        </w:rPr>
      </w:pPr>
    </w:p>
    <w:p>
      <w:pPr>
        <w:spacing w:line="360" w:lineRule="auto"/>
        <w:ind w:left="220" w:leftChars="100"/>
        <w:rPr>
          <w:sz w:val="20"/>
          <w:szCs w:val="20"/>
        </w:rPr>
      </w:pPr>
    </w:p>
    <w:p>
      <w:pPr>
        <w:spacing w:line="360" w:lineRule="auto"/>
        <w:rPr>
          <w:sz w:val="20"/>
          <w:szCs w:val="20"/>
        </w:rPr>
      </w:pPr>
    </w:p>
    <w:p>
      <w:pPr>
        <w:spacing w:line="360" w:lineRule="auto"/>
        <w:ind w:left="220" w:leftChars="100"/>
        <w:rPr>
          <w:sz w:val="20"/>
          <w:szCs w:val="20"/>
        </w:rPr>
      </w:pPr>
    </w:p>
    <w:p>
      <w:pPr>
        <w:spacing w:line="360" w:lineRule="auto"/>
        <w:ind w:left="220" w:leftChars="100"/>
        <w:rPr>
          <w:sz w:val="20"/>
          <w:szCs w:val="20"/>
        </w:rPr>
      </w:pPr>
    </w:p>
    <w:p>
      <w:pPr>
        <w:spacing w:line="360" w:lineRule="auto"/>
        <w:ind w:left="220" w:leftChars="100"/>
        <w:rPr>
          <w:sz w:val="20"/>
          <w:szCs w:val="20"/>
        </w:rPr>
      </w:pPr>
    </w:p>
    <w:p>
      <w:pPr>
        <w:spacing w:line="360" w:lineRule="auto"/>
        <w:ind w:left="220" w:leftChars="100"/>
        <w:rPr>
          <w:sz w:val="20"/>
          <w:szCs w:val="20"/>
        </w:rPr>
      </w:pPr>
    </w:p>
    <w:p>
      <w:pPr>
        <w:spacing w:line="360" w:lineRule="auto"/>
        <w:ind w:left="220" w:leftChars="100"/>
        <w:rPr>
          <w:sz w:val="20"/>
          <w:szCs w:val="20"/>
        </w:rPr>
      </w:pPr>
    </w:p>
    <w:p>
      <w:pPr>
        <w:spacing w:line="360" w:lineRule="auto"/>
        <w:ind w:left="220" w:leftChars="100"/>
        <w:rPr>
          <w:sz w:val="20"/>
          <w:szCs w:val="20"/>
        </w:rPr>
      </w:pPr>
    </w:p>
    <w:p>
      <w:pPr>
        <w:spacing w:line="360" w:lineRule="auto"/>
        <w:ind w:left="220" w:leftChars="100"/>
        <w:rPr>
          <w:sz w:val="20"/>
          <w:szCs w:val="20"/>
        </w:rPr>
      </w:pPr>
    </w:p>
    <w:p>
      <w:pPr>
        <w:spacing w:line="360" w:lineRule="auto"/>
        <w:sectPr>
          <w:type w:val="continuous"/>
          <w:pgSz w:w="11900" w:h="16840"/>
          <w:pgMar w:top="964" w:right="1123" w:bottom="652" w:left="482" w:header="0" w:footer="397" w:gutter="0"/>
          <w:cols w:space="425" w:num="1"/>
        </w:sectPr>
      </w:pPr>
    </w:p>
    <w:p>
      <w:pPr>
        <w:rPr>
          <w:rFonts w:ascii="宋体" w:hAnsi="宋体"/>
          <w:b/>
          <w:bCs/>
          <w:kern w:val="44"/>
          <w:sz w:val="44"/>
          <w:szCs w:val="44"/>
        </w:rPr>
      </w:pPr>
      <w:bookmarkStart w:id="77" w:name="page27"/>
      <w:bookmarkEnd w:id="77"/>
      <w:bookmarkStart w:id="78" w:name="_Toc29762_WPSOffice_Level1"/>
      <w:bookmarkStart w:id="79" w:name="_Toc381264731"/>
      <w:bookmarkStart w:id="80" w:name="_Toc493760867"/>
      <w:r>
        <w:rPr>
          <w:rFonts w:ascii="宋体" w:hAnsi="宋体"/>
        </w:rPr>
        <w:br w:type="page"/>
      </w:r>
    </w:p>
    <w:p>
      <w:pPr>
        <w:pStyle w:val="3"/>
        <w:spacing w:before="200" w:after="400" w:line="360" w:lineRule="auto"/>
        <w:jc w:val="center"/>
        <w:rPr>
          <w:rFonts w:ascii="宋体" w:hAnsi="宋体"/>
          <w:sz w:val="32"/>
          <w:szCs w:val="32"/>
        </w:rPr>
      </w:pPr>
      <w:r>
        <w:rPr>
          <w:rFonts w:hint="eastAsia" w:ascii="宋体" w:hAnsi="宋体"/>
        </w:rPr>
        <w:t>第五章  合同主要条款格式</w:t>
      </w:r>
      <w:bookmarkEnd w:id="78"/>
      <w:bookmarkEnd w:id="79"/>
      <w:bookmarkEnd w:id="80"/>
    </w:p>
    <w:p>
      <w:pPr>
        <w:snapToGrid w:val="0"/>
        <w:spacing w:line="360" w:lineRule="auto"/>
        <w:ind w:right="525" w:firstLine="6930" w:firstLineChars="3150"/>
        <w:rPr>
          <w:rFonts w:ascii="FangSong_GB2312" w:eastAsia="FangSong_GB2312"/>
          <w:bCs/>
          <w:szCs w:val="21"/>
        </w:rPr>
      </w:pPr>
      <w:bookmarkStart w:id="81" w:name="_Toc13875_WPSOffice_Level1"/>
      <w:r>
        <w:rPr>
          <w:rFonts w:hint="eastAsia" w:ascii="FangSong_GB2312" w:eastAsia="FangSong_GB2312"/>
          <w:bCs/>
          <w:szCs w:val="21"/>
        </w:rPr>
        <w:t>合同编号：</w:t>
      </w:r>
      <w:bookmarkEnd w:id="81"/>
    </w:p>
    <w:p>
      <w:pPr>
        <w:snapToGrid w:val="0"/>
        <w:spacing w:line="360" w:lineRule="auto"/>
        <w:ind w:right="525" w:firstLine="6930" w:firstLineChars="3150"/>
        <w:rPr>
          <w:rFonts w:ascii="FangSong_GB2312" w:eastAsia="FangSong_GB2312"/>
          <w:bCs/>
          <w:szCs w:val="21"/>
        </w:rPr>
      </w:pPr>
    </w:p>
    <w:p>
      <w:pPr>
        <w:snapToGrid w:val="0"/>
        <w:spacing w:line="360" w:lineRule="auto"/>
        <w:jc w:val="center"/>
        <w:rPr>
          <w:rFonts w:ascii="FangSong_GB2312" w:hAnsi="STZhongsong" w:eastAsia="FangSong_GB2312"/>
          <w:b/>
          <w:bCs/>
          <w:sz w:val="32"/>
          <w:szCs w:val="32"/>
        </w:rPr>
      </w:pPr>
      <w:bookmarkStart w:id="82" w:name="_Toc31848_WPSOffice_Level2"/>
      <w:r>
        <w:rPr>
          <w:rFonts w:hint="eastAsia" w:ascii="FangSong_GB2312" w:hAnsi="STZhongsong" w:eastAsia="FangSong_GB2312"/>
          <w:b/>
          <w:bCs/>
          <w:sz w:val="32"/>
          <w:szCs w:val="32"/>
        </w:rPr>
        <w:t>广西壮族自治区政府采购合同</w:t>
      </w:r>
      <w:bookmarkEnd w:id="82"/>
    </w:p>
    <w:p>
      <w:pPr>
        <w:snapToGrid w:val="0"/>
        <w:spacing w:line="360" w:lineRule="auto"/>
        <w:jc w:val="center"/>
        <w:rPr>
          <w:rFonts w:ascii="FangSong_GB2312" w:eastAsia="FangSong_GB2312"/>
          <w:b/>
          <w:bCs/>
          <w:sz w:val="32"/>
          <w:szCs w:val="32"/>
        </w:rPr>
      </w:pPr>
      <w:bookmarkStart w:id="83" w:name="_Toc1638_WPSOffice_Level2"/>
      <w:r>
        <w:rPr>
          <w:rFonts w:hint="eastAsia" w:ascii="FangSong_GB2312" w:hAnsi="STZhongsong" w:eastAsia="FangSong_GB2312"/>
          <w:b/>
          <w:sz w:val="32"/>
          <w:szCs w:val="32"/>
        </w:rPr>
        <w:t>（试行）文本</w:t>
      </w:r>
      <w:bookmarkEnd w:id="83"/>
    </w:p>
    <w:p>
      <w:pPr>
        <w:snapToGrid w:val="0"/>
        <w:spacing w:line="360" w:lineRule="auto"/>
        <w:ind w:right="480"/>
        <w:rPr>
          <w:rFonts w:ascii="宋体" w:hAnsi="宋体"/>
          <w:bCs/>
          <w:sz w:val="21"/>
          <w:szCs w:val="21"/>
          <w:u w:val="single"/>
        </w:rPr>
      </w:pPr>
      <w:r>
        <w:rPr>
          <w:rFonts w:hint="eastAsia" w:ascii="宋体" w:hAnsi="宋体"/>
          <w:bCs/>
          <w:sz w:val="21"/>
          <w:szCs w:val="21"/>
        </w:rPr>
        <w:t>合同编号：</w:t>
      </w:r>
    </w:p>
    <w:p>
      <w:pPr>
        <w:snapToGrid w:val="0"/>
        <w:spacing w:line="360" w:lineRule="auto"/>
        <w:rPr>
          <w:rFonts w:ascii="宋体" w:hAnsi="宋体"/>
          <w:sz w:val="21"/>
          <w:szCs w:val="21"/>
          <w:u w:val="single"/>
        </w:rPr>
      </w:pPr>
      <w:r>
        <w:rPr>
          <w:rFonts w:hint="eastAsia" w:ascii="宋体" w:hAnsi="宋体"/>
          <w:sz w:val="21"/>
          <w:szCs w:val="21"/>
        </w:rPr>
        <w:t xml:space="preserve">采购单位（甲方）                            </w:t>
      </w:r>
      <w:r>
        <w:rPr>
          <w:rFonts w:hint="eastAsia" w:ascii="宋体" w:hAnsi="宋体"/>
          <w:spacing w:val="-20"/>
          <w:sz w:val="21"/>
          <w:szCs w:val="21"/>
        </w:rPr>
        <w:t>采 购 计 划 号</w:t>
      </w:r>
    </w:p>
    <w:p>
      <w:pPr>
        <w:snapToGrid w:val="0"/>
        <w:spacing w:line="360" w:lineRule="auto"/>
        <w:rPr>
          <w:rFonts w:ascii="宋体" w:hAnsi="宋体"/>
          <w:sz w:val="21"/>
          <w:szCs w:val="21"/>
          <w:u w:val="single"/>
        </w:rPr>
      </w:pPr>
      <w:r>
        <w:rPr>
          <w:rFonts w:hint="eastAsia" w:ascii="宋体" w:hAnsi="宋体"/>
          <w:sz w:val="21"/>
          <w:szCs w:val="21"/>
        </w:rPr>
        <w:t xml:space="preserve">供 应 商（乙方）                            </w:t>
      </w:r>
      <w:r>
        <w:rPr>
          <w:rFonts w:hint="eastAsia" w:ascii="宋体" w:hAnsi="宋体"/>
          <w:spacing w:val="-20"/>
          <w:sz w:val="21"/>
          <w:szCs w:val="21"/>
        </w:rPr>
        <w:t>项目名称 和 编号</w:t>
      </w:r>
    </w:p>
    <w:p>
      <w:pPr>
        <w:snapToGrid w:val="0"/>
        <w:spacing w:line="360" w:lineRule="auto"/>
        <w:rPr>
          <w:rFonts w:ascii="宋体" w:hAnsi="宋体"/>
          <w:sz w:val="21"/>
          <w:szCs w:val="21"/>
          <w:u w:val="single"/>
        </w:rPr>
      </w:pPr>
      <w:r>
        <w:rPr>
          <w:rFonts w:hint="eastAsia" w:ascii="宋体" w:hAnsi="宋体"/>
          <w:sz w:val="21"/>
          <w:szCs w:val="21"/>
        </w:rPr>
        <w:t>签  订  地  点                              签 订 时 间</w:t>
      </w:r>
    </w:p>
    <w:p>
      <w:pPr>
        <w:snapToGrid w:val="0"/>
        <w:spacing w:line="360" w:lineRule="auto"/>
        <w:ind w:firstLine="420" w:firstLineChars="200"/>
        <w:rPr>
          <w:rFonts w:ascii="宋体" w:hAnsi="宋体"/>
          <w:sz w:val="21"/>
          <w:szCs w:val="21"/>
        </w:rPr>
      </w:pPr>
    </w:p>
    <w:p>
      <w:pPr>
        <w:snapToGrid w:val="0"/>
        <w:spacing w:line="360" w:lineRule="auto"/>
        <w:ind w:firstLine="420" w:firstLineChars="200"/>
        <w:rPr>
          <w:rFonts w:ascii="宋体" w:hAnsi="宋体"/>
          <w:sz w:val="21"/>
          <w:szCs w:val="21"/>
        </w:rPr>
      </w:pPr>
      <w:r>
        <w:rPr>
          <w:rFonts w:hint="eastAsia" w:ascii="宋体" w:hAnsi="宋体"/>
          <w:sz w:val="21"/>
          <w:szCs w:val="21"/>
        </w:rPr>
        <w:t>根据《中华人民共和国政府采购法》、《中华人民共和国合同法》等法律、法规规定，按照招投标文件（采购文件）规定条款和中标（成交）供应商承诺，甲乙双方签订本合同。</w:t>
      </w:r>
    </w:p>
    <w:p>
      <w:pPr>
        <w:snapToGrid w:val="0"/>
        <w:spacing w:line="360" w:lineRule="auto"/>
        <w:ind w:firstLine="422" w:firstLineChars="200"/>
        <w:rPr>
          <w:rFonts w:ascii="宋体" w:hAnsi="宋体"/>
          <w:b/>
          <w:sz w:val="21"/>
          <w:szCs w:val="21"/>
        </w:rPr>
      </w:pPr>
      <w:r>
        <w:rPr>
          <w:rFonts w:hint="eastAsia" w:ascii="宋体" w:hAnsi="宋体"/>
          <w:b/>
          <w:sz w:val="21"/>
          <w:szCs w:val="21"/>
        </w:rPr>
        <w:t>第一条　合同标的</w:t>
      </w:r>
    </w:p>
    <w:p>
      <w:pPr>
        <w:snapToGrid w:val="0"/>
        <w:spacing w:line="360" w:lineRule="auto"/>
        <w:ind w:firstLine="420" w:firstLineChars="200"/>
        <w:rPr>
          <w:rFonts w:ascii="宋体" w:hAnsi="宋体"/>
          <w:sz w:val="21"/>
          <w:szCs w:val="21"/>
        </w:rPr>
      </w:pPr>
      <w:r>
        <w:rPr>
          <w:rFonts w:hint="eastAsia" w:ascii="宋体" w:hAnsi="宋体"/>
          <w:sz w:val="21"/>
          <w:szCs w:val="21"/>
        </w:rPr>
        <w:t>1、供货一览表</w:t>
      </w:r>
    </w:p>
    <w:tbl>
      <w:tblPr>
        <w:tblStyle w:val="14"/>
        <w:tblW w:w="9196" w:type="dxa"/>
        <w:tblInd w:w="3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5"/>
        <w:gridCol w:w="1095"/>
        <w:gridCol w:w="1140"/>
        <w:gridCol w:w="1112"/>
        <w:gridCol w:w="1199"/>
        <w:gridCol w:w="1005"/>
        <w:gridCol w:w="900"/>
        <w:gridCol w:w="1200"/>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0" w:hRule="atLeast"/>
        </w:trPr>
        <w:tc>
          <w:tcPr>
            <w:tcW w:w="345" w:type="dxa"/>
            <w:vAlign w:val="center"/>
          </w:tcPr>
          <w:p>
            <w:pPr>
              <w:snapToGrid w:val="0"/>
              <w:spacing w:line="360" w:lineRule="auto"/>
              <w:jc w:val="center"/>
              <w:rPr>
                <w:rFonts w:ascii="宋体" w:hAnsi="宋体"/>
                <w:sz w:val="21"/>
                <w:szCs w:val="21"/>
              </w:rPr>
            </w:pPr>
            <w:r>
              <w:rPr>
                <w:rFonts w:hint="eastAsia" w:ascii="宋体" w:hAnsi="宋体"/>
                <w:sz w:val="21"/>
                <w:szCs w:val="21"/>
              </w:rPr>
              <w:t>序号</w:t>
            </w:r>
          </w:p>
        </w:tc>
        <w:tc>
          <w:tcPr>
            <w:tcW w:w="1095" w:type="dxa"/>
            <w:vAlign w:val="center"/>
          </w:tcPr>
          <w:p>
            <w:pPr>
              <w:snapToGrid w:val="0"/>
              <w:spacing w:line="360" w:lineRule="auto"/>
              <w:jc w:val="center"/>
              <w:rPr>
                <w:rFonts w:ascii="宋体" w:hAnsi="宋体"/>
                <w:sz w:val="21"/>
                <w:szCs w:val="21"/>
              </w:rPr>
            </w:pPr>
            <w:r>
              <w:rPr>
                <w:rFonts w:hint="eastAsia" w:ascii="宋体" w:hAnsi="宋体"/>
                <w:sz w:val="21"/>
                <w:szCs w:val="21"/>
              </w:rPr>
              <w:t>产品名称</w:t>
            </w:r>
          </w:p>
        </w:tc>
        <w:tc>
          <w:tcPr>
            <w:tcW w:w="1140" w:type="dxa"/>
            <w:vAlign w:val="center"/>
          </w:tcPr>
          <w:p>
            <w:pPr>
              <w:snapToGrid w:val="0"/>
              <w:spacing w:line="360" w:lineRule="auto"/>
              <w:jc w:val="center"/>
              <w:rPr>
                <w:rFonts w:ascii="宋体" w:hAnsi="宋体"/>
                <w:sz w:val="21"/>
                <w:szCs w:val="21"/>
              </w:rPr>
            </w:pPr>
            <w:r>
              <w:rPr>
                <w:rFonts w:hint="eastAsia" w:ascii="宋体" w:hAnsi="宋体"/>
                <w:sz w:val="21"/>
                <w:szCs w:val="21"/>
              </w:rPr>
              <w:t>商标品牌</w:t>
            </w:r>
          </w:p>
        </w:tc>
        <w:tc>
          <w:tcPr>
            <w:tcW w:w="1112" w:type="dxa"/>
            <w:vAlign w:val="center"/>
          </w:tcPr>
          <w:p>
            <w:pPr>
              <w:snapToGrid w:val="0"/>
              <w:spacing w:line="360" w:lineRule="auto"/>
              <w:jc w:val="center"/>
              <w:rPr>
                <w:rFonts w:ascii="宋体" w:hAnsi="宋体"/>
                <w:sz w:val="21"/>
                <w:szCs w:val="21"/>
              </w:rPr>
            </w:pPr>
            <w:r>
              <w:rPr>
                <w:rFonts w:hint="eastAsia" w:ascii="宋体" w:hAnsi="宋体"/>
                <w:sz w:val="21"/>
                <w:szCs w:val="21"/>
              </w:rPr>
              <w:t>规格型号</w:t>
            </w:r>
          </w:p>
        </w:tc>
        <w:tc>
          <w:tcPr>
            <w:tcW w:w="1199" w:type="dxa"/>
            <w:vAlign w:val="center"/>
          </w:tcPr>
          <w:p>
            <w:pPr>
              <w:snapToGrid w:val="0"/>
              <w:spacing w:line="360" w:lineRule="auto"/>
              <w:jc w:val="center"/>
              <w:rPr>
                <w:rFonts w:ascii="宋体" w:hAnsi="宋体"/>
                <w:sz w:val="21"/>
                <w:szCs w:val="21"/>
              </w:rPr>
            </w:pPr>
            <w:r>
              <w:rPr>
                <w:rFonts w:hint="eastAsia" w:ascii="宋体" w:hAnsi="宋体"/>
                <w:sz w:val="21"/>
                <w:szCs w:val="21"/>
              </w:rPr>
              <w:t>生产厂家</w:t>
            </w:r>
          </w:p>
        </w:tc>
        <w:tc>
          <w:tcPr>
            <w:tcW w:w="1005" w:type="dxa"/>
            <w:vAlign w:val="center"/>
          </w:tcPr>
          <w:p>
            <w:pPr>
              <w:snapToGrid w:val="0"/>
              <w:spacing w:line="360" w:lineRule="auto"/>
              <w:jc w:val="center"/>
              <w:rPr>
                <w:rFonts w:ascii="宋体" w:hAnsi="宋体"/>
                <w:sz w:val="21"/>
                <w:szCs w:val="21"/>
              </w:rPr>
            </w:pPr>
            <w:r>
              <w:rPr>
                <w:rFonts w:hint="eastAsia" w:ascii="宋体" w:hAnsi="宋体"/>
                <w:sz w:val="21"/>
                <w:szCs w:val="21"/>
              </w:rPr>
              <w:t>数量</w:t>
            </w:r>
          </w:p>
        </w:tc>
        <w:tc>
          <w:tcPr>
            <w:tcW w:w="900" w:type="dxa"/>
            <w:vAlign w:val="center"/>
          </w:tcPr>
          <w:p>
            <w:pPr>
              <w:snapToGrid w:val="0"/>
              <w:spacing w:line="360" w:lineRule="auto"/>
              <w:jc w:val="center"/>
              <w:rPr>
                <w:rFonts w:ascii="宋体" w:hAnsi="宋体"/>
                <w:sz w:val="21"/>
                <w:szCs w:val="21"/>
              </w:rPr>
            </w:pPr>
            <w:r>
              <w:rPr>
                <w:rFonts w:hint="eastAsia" w:ascii="宋体" w:hAnsi="宋体"/>
                <w:sz w:val="21"/>
                <w:szCs w:val="21"/>
              </w:rPr>
              <w:t>单位</w:t>
            </w:r>
          </w:p>
        </w:tc>
        <w:tc>
          <w:tcPr>
            <w:tcW w:w="1200" w:type="dxa"/>
            <w:vAlign w:val="center"/>
          </w:tcPr>
          <w:p>
            <w:pPr>
              <w:snapToGrid w:val="0"/>
              <w:spacing w:line="360" w:lineRule="auto"/>
              <w:jc w:val="center"/>
              <w:rPr>
                <w:rFonts w:ascii="宋体" w:hAnsi="宋体"/>
                <w:sz w:val="21"/>
                <w:szCs w:val="21"/>
              </w:rPr>
            </w:pPr>
            <w:r>
              <w:rPr>
                <w:rFonts w:hint="eastAsia" w:ascii="宋体" w:hAnsi="宋体"/>
                <w:sz w:val="21"/>
                <w:szCs w:val="21"/>
              </w:rPr>
              <w:t>单  价</w:t>
            </w:r>
          </w:p>
          <w:p>
            <w:pPr>
              <w:snapToGrid w:val="0"/>
              <w:spacing w:line="360" w:lineRule="auto"/>
              <w:jc w:val="center"/>
              <w:rPr>
                <w:rFonts w:ascii="宋体" w:hAnsi="宋体"/>
                <w:sz w:val="21"/>
                <w:szCs w:val="21"/>
              </w:rPr>
            </w:pPr>
            <w:r>
              <w:rPr>
                <w:rFonts w:hint="eastAsia" w:ascii="宋体" w:hAnsi="宋体"/>
                <w:sz w:val="21"/>
                <w:szCs w:val="21"/>
              </w:rPr>
              <w:t>（元）</w:t>
            </w:r>
          </w:p>
        </w:tc>
        <w:tc>
          <w:tcPr>
            <w:tcW w:w="1200" w:type="dxa"/>
            <w:vAlign w:val="center"/>
          </w:tcPr>
          <w:p>
            <w:pPr>
              <w:snapToGrid w:val="0"/>
              <w:spacing w:line="360" w:lineRule="auto"/>
              <w:jc w:val="center"/>
              <w:rPr>
                <w:rFonts w:ascii="宋体" w:hAnsi="宋体"/>
                <w:sz w:val="21"/>
                <w:szCs w:val="21"/>
              </w:rPr>
            </w:pPr>
            <w:r>
              <w:rPr>
                <w:rFonts w:hint="eastAsia" w:ascii="宋体" w:hAnsi="宋体"/>
                <w:sz w:val="21"/>
                <w:szCs w:val="21"/>
              </w:rPr>
              <w:t>金  额</w:t>
            </w:r>
          </w:p>
          <w:p>
            <w:pPr>
              <w:snapToGrid w:val="0"/>
              <w:spacing w:line="360" w:lineRule="auto"/>
              <w:jc w:val="center"/>
              <w:rPr>
                <w:rFonts w:ascii="宋体" w:hAnsi="宋体"/>
                <w:sz w:val="21"/>
                <w:szCs w:val="21"/>
              </w:rPr>
            </w:pPr>
            <w:r>
              <w:rPr>
                <w:rFonts w:hint="eastAsia" w:ascii="宋体" w:hAnsi="宋体"/>
                <w:sz w:val="21"/>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345" w:type="dxa"/>
            <w:vAlign w:val="center"/>
          </w:tcPr>
          <w:p>
            <w:pPr>
              <w:snapToGrid w:val="0"/>
              <w:spacing w:line="360" w:lineRule="auto"/>
              <w:jc w:val="center"/>
              <w:rPr>
                <w:rFonts w:ascii="宋体" w:hAnsi="宋体"/>
                <w:sz w:val="21"/>
                <w:szCs w:val="21"/>
              </w:rPr>
            </w:pPr>
            <w:r>
              <w:rPr>
                <w:rFonts w:hint="eastAsia" w:ascii="宋体" w:hAnsi="宋体"/>
                <w:sz w:val="21"/>
                <w:szCs w:val="21"/>
              </w:rPr>
              <w:t>1</w:t>
            </w:r>
          </w:p>
        </w:tc>
        <w:tc>
          <w:tcPr>
            <w:tcW w:w="1095" w:type="dxa"/>
            <w:vAlign w:val="center"/>
          </w:tcPr>
          <w:p>
            <w:pPr>
              <w:snapToGrid w:val="0"/>
              <w:spacing w:line="360" w:lineRule="auto"/>
              <w:jc w:val="center"/>
              <w:rPr>
                <w:rFonts w:ascii="宋体" w:hAnsi="宋体"/>
                <w:sz w:val="21"/>
                <w:szCs w:val="21"/>
              </w:rPr>
            </w:pPr>
          </w:p>
        </w:tc>
        <w:tc>
          <w:tcPr>
            <w:tcW w:w="1140" w:type="dxa"/>
            <w:vAlign w:val="center"/>
          </w:tcPr>
          <w:p>
            <w:pPr>
              <w:snapToGrid w:val="0"/>
              <w:spacing w:line="360" w:lineRule="auto"/>
              <w:jc w:val="center"/>
              <w:rPr>
                <w:rFonts w:ascii="宋体" w:hAnsi="宋体"/>
                <w:sz w:val="21"/>
                <w:szCs w:val="21"/>
              </w:rPr>
            </w:pPr>
          </w:p>
        </w:tc>
        <w:tc>
          <w:tcPr>
            <w:tcW w:w="1112" w:type="dxa"/>
            <w:vAlign w:val="center"/>
          </w:tcPr>
          <w:p>
            <w:pPr>
              <w:snapToGrid w:val="0"/>
              <w:spacing w:line="360" w:lineRule="auto"/>
              <w:jc w:val="center"/>
              <w:rPr>
                <w:rFonts w:ascii="宋体" w:hAnsi="宋体"/>
                <w:sz w:val="21"/>
                <w:szCs w:val="21"/>
              </w:rPr>
            </w:pPr>
          </w:p>
        </w:tc>
        <w:tc>
          <w:tcPr>
            <w:tcW w:w="1199" w:type="dxa"/>
          </w:tcPr>
          <w:p>
            <w:pPr>
              <w:snapToGrid w:val="0"/>
              <w:spacing w:line="360" w:lineRule="auto"/>
              <w:jc w:val="center"/>
              <w:rPr>
                <w:rFonts w:ascii="宋体" w:hAnsi="宋体"/>
                <w:sz w:val="21"/>
                <w:szCs w:val="21"/>
              </w:rPr>
            </w:pPr>
          </w:p>
        </w:tc>
        <w:tc>
          <w:tcPr>
            <w:tcW w:w="1005" w:type="dxa"/>
          </w:tcPr>
          <w:p>
            <w:pPr>
              <w:snapToGrid w:val="0"/>
              <w:spacing w:line="360" w:lineRule="auto"/>
              <w:jc w:val="center"/>
              <w:rPr>
                <w:rFonts w:ascii="宋体" w:hAnsi="宋体"/>
                <w:sz w:val="21"/>
                <w:szCs w:val="21"/>
              </w:rPr>
            </w:pPr>
          </w:p>
        </w:tc>
        <w:tc>
          <w:tcPr>
            <w:tcW w:w="900" w:type="dxa"/>
          </w:tcPr>
          <w:p>
            <w:pPr>
              <w:snapToGrid w:val="0"/>
              <w:spacing w:line="360" w:lineRule="auto"/>
              <w:jc w:val="center"/>
              <w:rPr>
                <w:rFonts w:ascii="宋体" w:hAnsi="宋体"/>
                <w:sz w:val="21"/>
                <w:szCs w:val="21"/>
              </w:rPr>
            </w:pPr>
          </w:p>
        </w:tc>
        <w:tc>
          <w:tcPr>
            <w:tcW w:w="1200" w:type="dxa"/>
            <w:vAlign w:val="center"/>
          </w:tcPr>
          <w:p>
            <w:pPr>
              <w:snapToGrid w:val="0"/>
              <w:spacing w:line="360" w:lineRule="auto"/>
              <w:jc w:val="center"/>
              <w:rPr>
                <w:rFonts w:ascii="宋体" w:hAnsi="宋体"/>
                <w:sz w:val="21"/>
                <w:szCs w:val="21"/>
              </w:rPr>
            </w:pPr>
          </w:p>
        </w:tc>
        <w:tc>
          <w:tcPr>
            <w:tcW w:w="1200" w:type="dxa"/>
            <w:vAlign w:val="center"/>
          </w:tcPr>
          <w:p>
            <w:pPr>
              <w:snapToGrid w:val="0"/>
              <w:spacing w:line="360" w:lineRule="auto"/>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345" w:type="dxa"/>
            <w:vAlign w:val="center"/>
          </w:tcPr>
          <w:p>
            <w:pPr>
              <w:snapToGrid w:val="0"/>
              <w:spacing w:line="360" w:lineRule="auto"/>
              <w:jc w:val="center"/>
              <w:rPr>
                <w:rFonts w:ascii="宋体" w:hAnsi="宋体"/>
                <w:sz w:val="21"/>
                <w:szCs w:val="21"/>
              </w:rPr>
            </w:pPr>
            <w:r>
              <w:rPr>
                <w:rFonts w:hint="eastAsia" w:ascii="宋体" w:hAnsi="宋体"/>
                <w:sz w:val="21"/>
                <w:szCs w:val="21"/>
              </w:rPr>
              <w:t>2</w:t>
            </w:r>
          </w:p>
        </w:tc>
        <w:tc>
          <w:tcPr>
            <w:tcW w:w="1095" w:type="dxa"/>
            <w:vAlign w:val="center"/>
          </w:tcPr>
          <w:p>
            <w:pPr>
              <w:snapToGrid w:val="0"/>
              <w:spacing w:line="360" w:lineRule="auto"/>
              <w:jc w:val="center"/>
              <w:rPr>
                <w:rFonts w:ascii="宋体" w:hAnsi="宋体"/>
                <w:sz w:val="21"/>
                <w:szCs w:val="21"/>
              </w:rPr>
            </w:pPr>
          </w:p>
        </w:tc>
        <w:tc>
          <w:tcPr>
            <w:tcW w:w="1140" w:type="dxa"/>
            <w:vAlign w:val="center"/>
          </w:tcPr>
          <w:p>
            <w:pPr>
              <w:snapToGrid w:val="0"/>
              <w:spacing w:line="360" w:lineRule="auto"/>
              <w:jc w:val="center"/>
              <w:rPr>
                <w:rFonts w:ascii="宋体" w:hAnsi="宋体"/>
                <w:sz w:val="21"/>
                <w:szCs w:val="21"/>
              </w:rPr>
            </w:pPr>
          </w:p>
        </w:tc>
        <w:tc>
          <w:tcPr>
            <w:tcW w:w="1112" w:type="dxa"/>
            <w:vAlign w:val="center"/>
          </w:tcPr>
          <w:p>
            <w:pPr>
              <w:snapToGrid w:val="0"/>
              <w:spacing w:line="360" w:lineRule="auto"/>
              <w:jc w:val="center"/>
              <w:rPr>
                <w:rFonts w:ascii="宋体" w:hAnsi="宋体"/>
                <w:sz w:val="21"/>
                <w:szCs w:val="21"/>
              </w:rPr>
            </w:pPr>
          </w:p>
        </w:tc>
        <w:tc>
          <w:tcPr>
            <w:tcW w:w="1199" w:type="dxa"/>
          </w:tcPr>
          <w:p>
            <w:pPr>
              <w:snapToGrid w:val="0"/>
              <w:spacing w:line="360" w:lineRule="auto"/>
              <w:jc w:val="center"/>
              <w:rPr>
                <w:rFonts w:ascii="宋体" w:hAnsi="宋体"/>
                <w:sz w:val="21"/>
                <w:szCs w:val="21"/>
              </w:rPr>
            </w:pPr>
          </w:p>
        </w:tc>
        <w:tc>
          <w:tcPr>
            <w:tcW w:w="1005" w:type="dxa"/>
          </w:tcPr>
          <w:p>
            <w:pPr>
              <w:snapToGrid w:val="0"/>
              <w:spacing w:line="360" w:lineRule="auto"/>
              <w:jc w:val="center"/>
              <w:rPr>
                <w:rFonts w:ascii="宋体" w:hAnsi="宋体"/>
                <w:sz w:val="21"/>
                <w:szCs w:val="21"/>
              </w:rPr>
            </w:pPr>
          </w:p>
        </w:tc>
        <w:tc>
          <w:tcPr>
            <w:tcW w:w="900" w:type="dxa"/>
          </w:tcPr>
          <w:p>
            <w:pPr>
              <w:snapToGrid w:val="0"/>
              <w:spacing w:line="360" w:lineRule="auto"/>
              <w:jc w:val="center"/>
              <w:rPr>
                <w:rFonts w:ascii="宋体" w:hAnsi="宋体"/>
                <w:sz w:val="21"/>
                <w:szCs w:val="21"/>
              </w:rPr>
            </w:pPr>
          </w:p>
        </w:tc>
        <w:tc>
          <w:tcPr>
            <w:tcW w:w="1200" w:type="dxa"/>
            <w:vAlign w:val="center"/>
          </w:tcPr>
          <w:p>
            <w:pPr>
              <w:snapToGrid w:val="0"/>
              <w:spacing w:line="360" w:lineRule="auto"/>
              <w:jc w:val="center"/>
              <w:rPr>
                <w:rFonts w:ascii="宋体" w:hAnsi="宋体"/>
                <w:sz w:val="21"/>
                <w:szCs w:val="21"/>
              </w:rPr>
            </w:pPr>
          </w:p>
        </w:tc>
        <w:tc>
          <w:tcPr>
            <w:tcW w:w="1200" w:type="dxa"/>
            <w:vAlign w:val="center"/>
          </w:tcPr>
          <w:p>
            <w:pPr>
              <w:snapToGrid w:val="0"/>
              <w:spacing w:line="360" w:lineRule="auto"/>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345" w:type="dxa"/>
            <w:vAlign w:val="center"/>
          </w:tcPr>
          <w:p>
            <w:pPr>
              <w:snapToGrid w:val="0"/>
              <w:spacing w:line="360" w:lineRule="auto"/>
              <w:jc w:val="center"/>
              <w:rPr>
                <w:rFonts w:ascii="宋体" w:hAnsi="宋体"/>
                <w:sz w:val="21"/>
                <w:szCs w:val="21"/>
              </w:rPr>
            </w:pPr>
            <w:r>
              <w:rPr>
                <w:rFonts w:hint="eastAsia" w:ascii="宋体" w:hAnsi="宋体"/>
                <w:sz w:val="21"/>
                <w:szCs w:val="21"/>
              </w:rPr>
              <w:t>3</w:t>
            </w:r>
          </w:p>
        </w:tc>
        <w:tc>
          <w:tcPr>
            <w:tcW w:w="1095" w:type="dxa"/>
            <w:vAlign w:val="center"/>
          </w:tcPr>
          <w:p>
            <w:pPr>
              <w:snapToGrid w:val="0"/>
              <w:spacing w:line="360" w:lineRule="auto"/>
              <w:jc w:val="center"/>
              <w:rPr>
                <w:rFonts w:ascii="宋体" w:hAnsi="宋体"/>
                <w:sz w:val="21"/>
                <w:szCs w:val="21"/>
              </w:rPr>
            </w:pPr>
          </w:p>
        </w:tc>
        <w:tc>
          <w:tcPr>
            <w:tcW w:w="1140" w:type="dxa"/>
            <w:vAlign w:val="center"/>
          </w:tcPr>
          <w:p>
            <w:pPr>
              <w:snapToGrid w:val="0"/>
              <w:spacing w:line="360" w:lineRule="auto"/>
              <w:jc w:val="center"/>
              <w:rPr>
                <w:rFonts w:ascii="宋体" w:hAnsi="宋体"/>
                <w:sz w:val="21"/>
                <w:szCs w:val="21"/>
              </w:rPr>
            </w:pPr>
          </w:p>
        </w:tc>
        <w:tc>
          <w:tcPr>
            <w:tcW w:w="1112" w:type="dxa"/>
            <w:vAlign w:val="center"/>
          </w:tcPr>
          <w:p>
            <w:pPr>
              <w:snapToGrid w:val="0"/>
              <w:spacing w:line="360" w:lineRule="auto"/>
              <w:jc w:val="center"/>
              <w:rPr>
                <w:rFonts w:ascii="宋体" w:hAnsi="宋体"/>
                <w:sz w:val="21"/>
                <w:szCs w:val="21"/>
              </w:rPr>
            </w:pPr>
          </w:p>
        </w:tc>
        <w:tc>
          <w:tcPr>
            <w:tcW w:w="1199" w:type="dxa"/>
          </w:tcPr>
          <w:p>
            <w:pPr>
              <w:snapToGrid w:val="0"/>
              <w:spacing w:line="360" w:lineRule="auto"/>
              <w:jc w:val="center"/>
              <w:rPr>
                <w:rFonts w:ascii="宋体" w:hAnsi="宋体"/>
                <w:sz w:val="21"/>
                <w:szCs w:val="21"/>
              </w:rPr>
            </w:pPr>
          </w:p>
        </w:tc>
        <w:tc>
          <w:tcPr>
            <w:tcW w:w="1005" w:type="dxa"/>
          </w:tcPr>
          <w:p>
            <w:pPr>
              <w:snapToGrid w:val="0"/>
              <w:spacing w:line="360" w:lineRule="auto"/>
              <w:jc w:val="center"/>
              <w:rPr>
                <w:rFonts w:ascii="宋体" w:hAnsi="宋体"/>
                <w:sz w:val="21"/>
                <w:szCs w:val="21"/>
              </w:rPr>
            </w:pPr>
          </w:p>
        </w:tc>
        <w:tc>
          <w:tcPr>
            <w:tcW w:w="900" w:type="dxa"/>
          </w:tcPr>
          <w:p>
            <w:pPr>
              <w:snapToGrid w:val="0"/>
              <w:spacing w:line="360" w:lineRule="auto"/>
              <w:jc w:val="center"/>
              <w:rPr>
                <w:rFonts w:ascii="宋体" w:hAnsi="宋体"/>
                <w:sz w:val="21"/>
                <w:szCs w:val="21"/>
              </w:rPr>
            </w:pPr>
          </w:p>
        </w:tc>
        <w:tc>
          <w:tcPr>
            <w:tcW w:w="1200" w:type="dxa"/>
            <w:vAlign w:val="center"/>
          </w:tcPr>
          <w:p>
            <w:pPr>
              <w:snapToGrid w:val="0"/>
              <w:spacing w:line="360" w:lineRule="auto"/>
              <w:jc w:val="center"/>
              <w:rPr>
                <w:rFonts w:ascii="宋体" w:hAnsi="宋体"/>
                <w:sz w:val="21"/>
                <w:szCs w:val="21"/>
              </w:rPr>
            </w:pPr>
          </w:p>
        </w:tc>
        <w:tc>
          <w:tcPr>
            <w:tcW w:w="1200" w:type="dxa"/>
            <w:vAlign w:val="center"/>
          </w:tcPr>
          <w:p>
            <w:pPr>
              <w:snapToGrid w:val="0"/>
              <w:spacing w:line="360" w:lineRule="auto"/>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9196" w:type="dxa"/>
            <w:gridSpan w:val="9"/>
            <w:vAlign w:val="center"/>
          </w:tcPr>
          <w:p>
            <w:pPr>
              <w:snapToGrid w:val="0"/>
              <w:spacing w:line="360" w:lineRule="auto"/>
              <w:rPr>
                <w:rFonts w:ascii="宋体" w:hAnsi="宋体"/>
                <w:sz w:val="21"/>
                <w:szCs w:val="21"/>
              </w:rPr>
            </w:pPr>
            <w:r>
              <w:rPr>
                <w:rFonts w:hint="eastAsia" w:ascii="宋体" w:hAnsi="宋体"/>
                <w:sz w:val="21"/>
                <w:szCs w:val="21"/>
              </w:rPr>
              <w:t xml:space="preserve">人民币合计金额（大写）                                  （小写）           </w:t>
            </w:r>
          </w:p>
        </w:tc>
      </w:tr>
    </w:tbl>
    <w:p>
      <w:pPr>
        <w:snapToGrid w:val="0"/>
        <w:spacing w:line="360" w:lineRule="auto"/>
        <w:ind w:right="420" w:firstLine="420" w:firstLineChars="200"/>
        <w:rPr>
          <w:rFonts w:ascii="宋体" w:hAnsi="宋体"/>
          <w:sz w:val="21"/>
          <w:szCs w:val="21"/>
        </w:rPr>
      </w:pPr>
      <w:r>
        <w:rPr>
          <w:rFonts w:hint="eastAsia" w:ascii="宋体" w:hAnsi="宋体"/>
          <w:sz w:val="21"/>
          <w:szCs w:val="21"/>
        </w:rPr>
        <w:t>2、合同合计金额包括货物价款，备件、专用工具、安装、调试、检验、技术培训及技术资料和包装、运输等全部费用。如招投标文件对其另有规定的，从其规定。</w:t>
      </w:r>
    </w:p>
    <w:p>
      <w:pPr>
        <w:snapToGrid w:val="0"/>
        <w:spacing w:line="360" w:lineRule="auto"/>
        <w:ind w:firstLine="422" w:firstLineChars="200"/>
        <w:rPr>
          <w:rFonts w:ascii="宋体" w:hAnsi="宋体"/>
          <w:sz w:val="21"/>
          <w:szCs w:val="21"/>
        </w:rPr>
      </w:pPr>
      <w:r>
        <w:rPr>
          <w:rFonts w:hint="eastAsia" w:ascii="宋体" w:hAnsi="宋体"/>
          <w:b/>
          <w:sz w:val="21"/>
          <w:szCs w:val="21"/>
        </w:rPr>
        <w:t>第二条　质量保证</w:t>
      </w:r>
    </w:p>
    <w:p>
      <w:pPr>
        <w:snapToGrid w:val="0"/>
        <w:spacing w:line="360" w:lineRule="auto"/>
        <w:ind w:firstLine="420" w:firstLineChars="200"/>
        <w:rPr>
          <w:rFonts w:ascii="宋体" w:hAnsi="宋体"/>
          <w:sz w:val="21"/>
          <w:szCs w:val="21"/>
        </w:rPr>
      </w:pPr>
      <w:r>
        <w:rPr>
          <w:rFonts w:hint="eastAsia" w:ascii="宋体" w:hAnsi="宋体"/>
          <w:sz w:val="21"/>
          <w:szCs w:val="21"/>
        </w:rPr>
        <w:t>1、乙方所提供的货物型号、技术规格、技术参数等质量必须与招投标文件和承诺相一致。乙方提供的自主创新产品、节能和环保产品必须是列入政府采购清单的产品。</w:t>
      </w:r>
    </w:p>
    <w:p>
      <w:pPr>
        <w:snapToGrid w:val="0"/>
        <w:spacing w:line="360" w:lineRule="auto"/>
        <w:ind w:firstLine="420" w:firstLineChars="200"/>
        <w:rPr>
          <w:rFonts w:ascii="宋体" w:hAnsi="宋体"/>
          <w:sz w:val="21"/>
          <w:szCs w:val="21"/>
          <w:u w:val="single"/>
        </w:rPr>
      </w:pPr>
      <w:r>
        <w:rPr>
          <w:rFonts w:hint="eastAsia" w:ascii="宋体" w:hAnsi="宋体"/>
          <w:sz w:val="21"/>
          <w:szCs w:val="21"/>
        </w:rPr>
        <w:t>2、乙方所提供的货物必须是全新、未使用的原装产品，且在正常安装、使用和保养条件下，其使用寿命期内各项指标均达到质量要求。</w:t>
      </w:r>
    </w:p>
    <w:p>
      <w:pPr>
        <w:snapToGrid w:val="0"/>
        <w:spacing w:line="360" w:lineRule="auto"/>
        <w:ind w:firstLine="422" w:firstLineChars="200"/>
        <w:rPr>
          <w:rFonts w:ascii="宋体" w:hAnsi="宋体"/>
          <w:sz w:val="21"/>
          <w:szCs w:val="21"/>
        </w:rPr>
      </w:pPr>
      <w:r>
        <w:rPr>
          <w:rFonts w:hint="eastAsia" w:ascii="宋体" w:hAnsi="宋体"/>
          <w:b/>
          <w:sz w:val="21"/>
          <w:szCs w:val="21"/>
        </w:rPr>
        <w:t>第三条　权利保证</w:t>
      </w:r>
    </w:p>
    <w:p>
      <w:pPr>
        <w:snapToGrid w:val="0"/>
        <w:spacing w:line="360" w:lineRule="auto"/>
        <w:ind w:firstLine="420" w:firstLineChars="200"/>
        <w:rPr>
          <w:rFonts w:ascii="宋体" w:hAnsi="宋体"/>
          <w:sz w:val="21"/>
          <w:szCs w:val="21"/>
        </w:rPr>
      </w:pPr>
      <w:r>
        <w:rPr>
          <w:rFonts w:hint="eastAsia" w:ascii="宋体" w:hAnsi="宋体"/>
          <w:sz w:val="21"/>
          <w:szCs w:val="21"/>
        </w:rPr>
        <w:t>乙方应保证所提供货物在使用时不会侵犯任何第三方的专利权、商标权、工业设计权或其他权利。</w:t>
      </w:r>
    </w:p>
    <w:p>
      <w:pPr>
        <w:snapToGrid w:val="0"/>
        <w:spacing w:line="360" w:lineRule="auto"/>
        <w:ind w:firstLine="420" w:firstLineChars="200"/>
        <w:rPr>
          <w:rFonts w:ascii="宋体" w:hAnsi="宋体"/>
          <w:sz w:val="21"/>
          <w:szCs w:val="21"/>
        </w:rPr>
      </w:pPr>
      <w:r>
        <w:rPr>
          <w:rFonts w:hint="eastAsia" w:ascii="宋体" w:hAnsi="宋体"/>
          <w:sz w:val="21"/>
          <w:szCs w:val="21"/>
        </w:rPr>
        <w:t>乙方应按招标文件规定的时间向甲方提供使用货物的有关技术资料。</w:t>
      </w:r>
    </w:p>
    <w:p>
      <w:pPr>
        <w:snapToGrid w:val="0"/>
        <w:spacing w:line="360" w:lineRule="auto"/>
        <w:ind w:firstLine="420" w:firstLineChars="200"/>
        <w:rPr>
          <w:rFonts w:ascii="宋体" w:hAnsi="宋体"/>
          <w:sz w:val="21"/>
          <w:szCs w:val="21"/>
        </w:rPr>
      </w:pPr>
      <w:r>
        <w:rPr>
          <w:rFonts w:hint="eastAsia" w:ascii="宋体" w:hAnsi="宋体"/>
          <w:sz w:val="21"/>
          <w:szCs w:val="21"/>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napToGrid w:val="0"/>
        <w:spacing w:line="360" w:lineRule="auto"/>
        <w:ind w:firstLine="420" w:firstLineChars="200"/>
        <w:rPr>
          <w:rFonts w:ascii="宋体" w:hAnsi="宋体"/>
          <w:sz w:val="21"/>
          <w:szCs w:val="21"/>
        </w:rPr>
      </w:pPr>
      <w:r>
        <w:rPr>
          <w:rFonts w:hint="eastAsia" w:ascii="宋体" w:hAnsi="宋体"/>
          <w:sz w:val="21"/>
          <w:szCs w:val="21"/>
        </w:rPr>
        <w:t>乙方保证所交付的货物的所有权完全属于乙方且无任何抵押、质押、查封等产权瑕疵。</w:t>
      </w:r>
    </w:p>
    <w:p>
      <w:pPr>
        <w:snapToGrid w:val="0"/>
        <w:spacing w:line="360" w:lineRule="auto"/>
        <w:ind w:firstLine="422" w:firstLineChars="200"/>
        <w:rPr>
          <w:rFonts w:ascii="宋体" w:hAnsi="宋体"/>
          <w:b/>
          <w:sz w:val="21"/>
          <w:szCs w:val="21"/>
        </w:rPr>
      </w:pPr>
      <w:r>
        <w:rPr>
          <w:rFonts w:hint="eastAsia" w:ascii="宋体" w:hAnsi="宋体"/>
          <w:b/>
          <w:sz w:val="21"/>
          <w:szCs w:val="21"/>
        </w:rPr>
        <w:t>第四条　包装和运输</w:t>
      </w:r>
    </w:p>
    <w:p>
      <w:pPr>
        <w:snapToGrid w:val="0"/>
        <w:spacing w:line="360" w:lineRule="auto"/>
        <w:ind w:firstLine="420" w:firstLineChars="200"/>
        <w:rPr>
          <w:rFonts w:ascii="宋体" w:hAnsi="宋体"/>
          <w:sz w:val="21"/>
          <w:szCs w:val="21"/>
        </w:rPr>
      </w:pPr>
      <w:r>
        <w:rPr>
          <w:rFonts w:hint="eastAsia" w:ascii="宋体" w:hAnsi="宋体"/>
          <w:sz w:val="21"/>
          <w:szCs w:val="21"/>
        </w:rPr>
        <w:t>1、乙方提供的货物均应按招投标文件要求的包装材料、包装标准、包装方式进行包装，每一包装单元内应附详细的装箱单和质量合格证。</w:t>
      </w:r>
    </w:p>
    <w:p>
      <w:pPr>
        <w:snapToGrid w:val="0"/>
        <w:spacing w:line="360" w:lineRule="auto"/>
        <w:ind w:firstLine="420" w:firstLineChars="200"/>
        <w:rPr>
          <w:rFonts w:ascii="宋体" w:hAnsi="宋体"/>
          <w:sz w:val="21"/>
          <w:szCs w:val="21"/>
        </w:rPr>
      </w:pPr>
      <w:r>
        <w:rPr>
          <w:rFonts w:hint="eastAsia" w:ascii="宋体" w:hAnsi="宋体"/>
          <w:sz w:val="21"/>
          <w:szCs w:val="21"/>
        </w:rPr>
        <w:t>2、货物的运输方式：</w:t>
      </w:r>
      <w:r>
        <w:rPr>
          <w:rFonts w:hint="eastAsia" w:ascii="宋体" w:hAnsi="宋体"/>
          <w:sz w:val="21"/>
          <w:szCs w:val="21"/>
          <w:u w:val="single"/>
        </w:rPr>
        <w:t xml:space="preserve">           不限            </w:t>
      </w:r>
      <w:r>
        <w:rPr>
          <w:rFonts w:hint="eastAsia" w:ascii="宋体" w:hAnsi="宋体"/>
          <w:sz w:val="21"/>
          <w:szCs w:val="21"/>
        </w:rPr>
        <w:t>。</w:t>
      </w:r>
    </w:p>
    <w:p>
      <w:pPr>
        <w:snapToGrid w:val="0"/>
        <w:spacing w:line="360" w:lineRule="auto"/>
        <w:ind w:firstLine="420" w:firstLineChars="200"/>
        <w:rPr>
          <w:rFonts w:ascii="宋体" w:hAnsi="宋体"/>
          <w:sz w:val="21"/>
          <w:szCs w:val="21"/>
          <w:u w:val="single"/>
        </w:rPr>
      </w:pPr>
      <w:r>
        <w:rPr>
          <w:rFonts w:hint="eastAsia" w:ascii="宋体" w:hAnsi="宋体"/>
          <w:sz w:val="21"/>
          <w:szCs w:val="21"/>
        </w:rPr>
        <w:t>3、乙方负责货物运输，货物运输合理损耗及计算方法：</w:t>
      </w:r>
      <w:r>
        <w:rPr>
          <w:rFonts w:hint="eastAsia" w:ascii="宋体" w:hAnsi="宋体"/>
          <w:sz w:val="21"/>
          <w:szCs w:val="21"/>
          <w:u w:val="single"/>
        </w:rPr>
        <w:t xml:space="preserve">       无     </w:t>
      </w:r>
      <w:r>
        <w:rPr>
          <w:rFonts w:hint="eastAsia" w:ascii="宋体" w:hAnsi="宋体"/>
          <w:sz w:val="21"/>
          <w:szCs w:val="21"/>
        </w:rPr>
        <w:t>。</w:t>
      </w:r>
    </w:p>
    <w:p>
      <w:pPr>
        <w:snapToGrid w:val="0"/>
        <w:spacing w:line="360" w:lineRule="auto"/>
        <w:ind w:firstLine="422" w:firstLineChars="200"/>
        <w:rPr>
          <w:rFonts w:ascii="宋体" w:hAnsi="宋体"/>
          <w:sz w:val="21"/>
          <w:szCs w:val="21"/>
        </w:rPr>
      </w:pPr>
      <w:r>
        <w:rPr>
          <w:rFonts w:hint="eastAsia" w:ascii="宋体" w:hAnsi="宋体"/>
          <w:b/>
          <w:sz w:val="21"/>
          <w:szCs w:val="21"/>
        </w:rPr>
        <w:t>第五条　交付和验收</w:t>
      </w:r>
    </w:p>
    <w:p>
      <w:pPr>
        <w:snapToGrid w:val="0"/>
        <w:spacing w:line="360" w:lineRule="auto"/>
        <w:ind w:firstLine="420" w:firstLineChars="200"/>
        <w:rPr>
          <w:rFonts w:ascii="宋体" w:hAnsi="宋体"/>
          <w:sz w:val="21"/>
          <w:szCs w:val="21"/>
        </w:rPr>
      </w:pPr>
      <w:r>
        <w:rPr>
          <w:rFonts w:hint="eastAsia" w:ascii="宋体" w:hAnsi="宋体"/>
          <w:sz w:val="21"/>
          <w:szCs w:val="21"/>
        </w:rPr>
        <w:t>1、交货时间：、地点：。</w:t>
      </w:r>
    </w:p>
    <w:p>
      <w:pPr>
        <w:snapToGrid w:val="0"/>
        <w:spacing w:line="360" w:lineRule="auto"/>
        <w:ind w:firstLine="420" w:firstLineChars="200"/>
        <w:rPr>
          <w:rFonts w:ascii="宋体" w:hAnsi="宋体"/>
          <w:sz w:val="21"/>
          <w:szCs w:val="21"/>
        </w:rPr>
      </w:pPr>
      <w:r>
        <w:rPr>
          <w:rFonts w:hint="eastAsia" w:ascii="宋体" w:hAnsi="宋体"/>
          <w:sz w:val="21"/>
          <w:szCs w:val="21"/>
        </w:rPr>
        <w:t>2、乙方提供不符合招投标文件和本合同规定的货物，甲方有权拒绝接受。</w:t>
      </w:r>
    </w:p>
    <w:p>
      <w:pPr>
        <w:snapToGrid w:val="0"/>
        <w:spacing w:line="360" w:lineRule="auto"/>
        <w:ind w:firstLine="420" w:firstLineChars="200"/>
        <w:rPr>
          <w:rFonts w:ascii="宋体" w:hAnsi="宋体"/>
          <w:sz w:val="21"/>
          <w:szCs w:val="21"/>
        </w:rPr>
      </w:pPr>
      <w:r>
        <w:rPr>
          <w:rFonts w:hint="eastAsia" w:ascii="宋体" w:hAnsi="宋体"/>
          <w:sz w:val="21"/>
          <w:szCs w:val="21"/>
        </w:rPr>
        <w:t>3、乙方应将所提供货物的装箱清单、用户手册、原厂保修卡、随机资料、工具和备品、备件等交付给甲方，如有缺失应及时补齐，否则视为逾期交货。</w:t>
      </w:r>
    </w:p>
    <w:p>
      <w:pPr>
        <w:snapToGrid w:val="0"/>
        <w:spacing w:line="360" w:lineRule="auto"/>
        <w:ind w:firstLine="420" w:firstLineChars="200"/>
        <w:rPr>
          <w:rFonts w:ascii="宋体" w:hAnsi="宋体"/>
          <w:sz w:val="21"/>
          <w:szCs w:val="21"/>
        </w:rPr>
      </w:pPr>
      <w:r>
        <w:rPr>
          <w:rFonts w:hint="eastAsia" w:ascii="宋体" w:hAnsi="宋体"/>
          <w:sz w:val="21"/>
          <w:szCs w:val="21"/>
        </w:rPr>
        <w:t>4、甲方应当在到货（安装、调试完）后七个工作日内进行验收，逾期不验收的，乙方可视同验收合格。验收合格后由甲乙双方签署货物验收单并加盖采购单位公章，甲乙双方各执一份。</w:t>
      </w:r>
    </w:p>
    <w:p>
      <w:pPr>
        <w:snapToGrid w:val="0"/>
        <w:spacing w:line="360" w:lineRule="auto"/>
        <w:ind w:firstLine="420" w:firstLineChars="200"/>
        <w:rPr>
          <w:rFonts w:ascii="宋体" w:hAnsi="宋体"/>
          <w:sz w:val="21"/>
          <w:szCs w:val="21"/>
        </w:rPr>
      </w:pPr>
      <w:r>
        <w:rPr>
          <w:rFonts w:hint="eastAsia" w:ascii="宋体" w:hAnsi="宋体"/>
          <w:sz w:val="21"/>
          <w:szCs w:val="21"/>
        </w:rPr>
        <w:t>5、采购人委托采购代理机构组织的验收项目，其验收时间以该项目验收方案确定的验收时间为准，验收结果以该项目验收报告结论为准。在验收过程中发现乙方有违约问题，可暂缓资金结算，待违约问题解决后，方可办理资金结算事宜。</w:t>
      </w:r>
    </w:p>
    <w:p>
      <w:pPr>
        <w:snapToGrid w:val="0"/>
        <w:spacing w:line="360" w:lineRule="auto"/>
        <w:ind w:firstLine="420" w:firstLineChars="200"/>
        <w:rPr>
          <w:rFonts w:ascii="宋体" w:hAnsi="宋体"/>
          <w:sz w:val="21"/>
          <w:szCs w:val="21"/>
        </w:rPr>
      </w:pPr>
      <w:r>
        <w:rPr>
          <w:rFonts w:hint="eastAsia" w:ascii="宋体" w:hAnsi="宋体"/>
          <w:sz w:val="21"/>
          <w:szCs w:val="21"/>
        </w:rPr>
        <w:t>6、甲方对验收有异议的，在验收后五个工作日内以书面形式向乙方提出，乙方应自收到甲方书面异议后日内及时予以解决。</w:t>
      </w:r>
    </w:p>
    <w:p>
      <w:pPr>
        <w:snapToGrid w:val="0"/>
        <w:spacing w:line="360" w:lineRule="auto"/>
        <w:ind w:firstLine="422" w:firstLineChars="200"/>
        <w:rPr>
          <w:rFonts w:ascii="宋体" w:hAnsi="宋体"/>
          <w:b/>
          <w:sz w:val="21"/>
          <w:szCs w:val="21"/>
        </w:rPr>
      </w:pPr>
      <w:r>
        <w:rPr>
          <w:rFonts w:hint="eastAsia" w:ascii="宋体" w:hAnsi="宋体"/>
          <w:b/>
          <w:sz w:val="21"/>
          <w:szCs w:val="21"/>
        </w:rPr>
        <w:t>第六条　安装和培训</w:t>
      </w:r>
    </w:p>
    <w:p>
      <w:pPr>
        <w:snapToGrid w:val="0"/>
        <w:spacing w:line="360" w:lineRule="auto"/>
        <w:ind w:firstLine="420" w:firstLineChars="200"/>
        <w:rPr>
          <w:rFonts w:ascii="宋体" w:hAnsi="宋体"/>
          <w:sz w:val="21"/>
          <w:szCs w:val="21"/>
        </w:rPr>
      </w:pPr>
      <w:bookmarkStart w:id="84" w:name="_Toc7608_WPSOffice_Level2"/>
      <w:r>
        <w:rPr>
          <w:rFonts w:hint="eastAsia" w:ascii="宋体" w:hAnsi="宋体"/>
          <w:sz w:val="21"/>
          <w:szCs w:val="21"/>
        </w:rPr>
        <w:t>1、甲方应提供必要安装条件（如场地、电源、水源等）。</w:t>
      </w:r>
      <w:bookmarkEnd w:id="84"/>
    </w:p>
    <w:p>
      <w:pPr>
        <w:snapToGrid w:val="0"/>
        <w:spacing w:line="360" w:lineRule="auto"/>
        <w:ind w:firstLine="420" w:firstLineChars="200"/>
        <w:rPr>
          <w:rFonts w:ascii="宋体" w:hAnsi="宋体"/>
          <w:sz w:val="21"/>
          <w:szCs w:val="21"/>
          <w:u w:val="single"/>
        </w:rPr>
      </w:pPr>
      <w:bookmarkStart w:id="85" w:name="_Toc3853_WPSOffice_Level2"/>
      <w:r>
        <w:rPr>
          <w:rFonts w:hint="eastAsia" w:ascii="宋体" w:hAnsi="宋体"/>
          <w:sz w:val="21"/>
          <w:szCs w:val="21"/>
        </w:rPr>
        <w:t>2、乙方负责甲方有关人员的培训。培训时间、地点：</w:t>
      </w:r>
      <w:r>
        <w:rPr>
          <w:rFonts w:hint="eastAsia" w:ascii="宋体" w:hAnsi="宋体"/>
          <w:sz w:val="21"/>
          <w:szCs w:val="21"/>
          <w:u w:val="single"/>
        </w:rPr>
        <w:t xml:space="preserve">                   。</w:t>
      </w:r>
      <w:bookmarkEnd w:id="85"/>
    </w:p>
    <w:p>
      <w:pPr>
        <w:snapToGrid w:val="0"/>
        <w:spacing w:line="360" w:lineRule="auto"/>
        <w:ind w:firstLine="422" w:firstLineChars="200"/>
        <w:rPr>
          <w:rFonts w:ascii="宋体" w:hAnsi="宋体"/>
          <w:b/>
          <w:sz w:val="21"/>
          <w:szCs w:val="21"/>
        </w:rPr>
      </w:pPr>
      <w:r>
        <w:rPr>
          <w:rFonts w:hint="eastAsia" w:ascii="宋体" w:hAnsi="宋体"/>
          <w:b/>
          <w:sz w:val="21"/>
          <w:szCs w:val="21"/>
        </w:rPr>
        <w:t>第七条  售后服务、保修期</w:t>
      </w:r>
    </w:p>
    <w:p>
      <w:pPr>
        <w:snapToGrid w:val="0"/>
        <w:spacing w:line="360" w:lineRule="auto"/>
        <w:ind w:firstLine="420" w:firstLineChars="200"/>
        <w:rPr>
          <w:rFonts w:ascii="宋体" w:hAnsi="宋体"/>
          <w:sz w:val="21"/>
          <w:szCs w:val="21"/>
        </w:rPr>
      </w:pPr>
      <w:r>
        <w:rPr>
          <w:rFonts w:hint="eastAsia" w:ascii="宋体" w:hAnsi="宋体"/>
          <w:sz w:val="21"/>
          <w:szCs w:val="21"/>
        </w:rPr>
        <w:t>1、乙方应按照国家有关法律法规和“三包”规定以及招投标文件和本合同所附的《服务承诺》，为甲方提供售后服务。</w:t>
      </w:r>
    </w:p>
    <w:p>
      <w:pPr>
        <w:snapToGrid w:val="0"/>
        <w:spacing w:line="360" w:lineRule="auto"/>
        <w:ind w:firstLine="420" w:firstLineChars="200"/>
        <w:rPr>
          <w:rFonts w:ascii="宋体" w:hAnsi="宋体"/>
          <w:sz w:val="21"/>
          <w:szCs w:val="21"/>
          <w:u w:val="single"/>
        </w:rPr>
      </w:pPr>
      <w:r>
        <w:rPr>
          <w:rFonts w:hint="eastAsia" w:ascii="宋体" w:hAnsi="宋体"/>
          <w:sz w:val="21"/>
          <w:szCs w:val="21"/>
        </w:rPr>
        <w:t>2、货物保修期：。</w:t>
      </w:r>
    </w:p>
    <w:p>
      <w:pPr>
        <w:snapToGrid w:val="0"/>
        <w:spacing w:line="360" w:lineRule="auto"/>
        <w:ind w:firstLine="420" w:firstLineChars="200"/>
        <w:rPr>
          <w:rFonts w:ascii="宋体" w:hAnsi="宋体"/>
          <w:sz w:val="21"/>
          <w:szCs w:val="21"/>
          <w:u w:val="single"/>
        </w:rPr>
      </w:pPr>
      <w:r>
        <w:rPr>
          <w:rFonts w:hint="eastAsia" w:ascii="宋体" w:hAnsi="宋体"/>
          <w:sz w:val="21"/>
          <w:szCs w:val="21"/>
        </w:rPr>
        <w:t>3、乙方提供的服务承诺和售后服务及保修期责任等其它具体约定事项。（见合同附件）</w:t>
      </w:r>
    </w:p>
    <w:p>
      <w:pPr>
        <w:snapToGrid w:val="0"/>
        <w:spacing w:line="360" w:lineRule="auto"/>
        <w:ind w:firstLine="422" w:firstLineChars="200"/>
        <w:rPr>
          <w:rFonts w:ascii="宋体" w:hAnsi="宋体"/>
          <w:sz w:val="21"/>
          <w:szCs w:val="21"/>
        </w:rPr>
      </w:pPr>
      <w:r>
        <w:rPr>
          <w:rFonts w:hint="eastAsia" w:ascii="宋体" w:hAnsi="宋体"/>
          <w:b/>
          <w:sz w:val="21"/>
          <w:szCs w:val="21"/>
        </w:rPr>
        <w:t>第八条　付款方式和保证金</w:t>
      </w:r>
    </w:p>
    <w:p>
      <w:pPr>
        <w:pStyle w:val="8"/>
        <w:snapToGrid w:val="0"/>
        <w:spacing w:before="120" w:after="120" w:line="360" w:lineRule="auto"/>
        <w:ind w:firstLine="420" w:firstLineChars="200"/>
        <w:rPr>
          <w:rFonts w:hAnsi="宋体"/>
          <w:bCs/>
          <w:sz w:val="21"/>
        </w:rPr>
      </w:pPr>
      <w:r>
        <w:rPr>
          <w:rFonts w:hint="eastAsia" w:hAnsi="宋体"/>
          <w:bCs/>
          <w:sz w:val="21"/>
        </w:rPr>
        <w:t>1、当采购数量与实际使用数量不一致时，乙方应根据实际使用量供货，合同的最终结算金额按实际使用量乘以成交单价进行计算。</w:t>
      </w:r>
    </w:p>
    <w:p>
      <w:pPr>
        <w:snapToGrid w:val="0"/>
        <w:spacing w:line="360" w:lineRule="auto"/>
        <w:ind w:firstLine="420" w:firstLineChars="200"/>
        <w:rPr>
          <w:rFonts w:ascii="宋体" w:hAnsi="宋体"/>
          <w:sz w:val="21"/>
          <w:szCs w:val="21"/>
          <w:u w:val="single"/>
        </w:rPr>
      </w:pPr>
      <w:r>
        <w:rPr>
          <w:rFonts w:hint="eastAsia" w:ascii="宋体" w:hAnsi="宋体"/>
          <w:bCs/>
          <w:sz w:val="21"/>
          <w:szCs w:val="21"/>
        </w:rPr>
        <w:t>2、</w:t>
      </w:r>
      <w:r>
        <w:rPr>
          <w:rFonts w:hint="eastAsia" w:ascii="宋体" w:hAnsi="宋体"/>
          <w:sz w:val="21"/>
          <w:szCs w:val="21"/>
        </w:rPr>
        <w:t>资金性质；</w:t>
      </w:r>
      <w:r>
        <w:rPr>
          <w:rFonts w:hint="eastAsia" w:ascii="宋体" w:hAnsi="宋体"/>
          <w:sz w:val="21"/>
          <w:szCs w:val="21"/>
          <w:u w:val="single"/>
        </w:rPr>
        <w:t xml:space="preserve">  财政资金    </w:t>
      </w:r>
      <w:r>
        <w:rPr>
          <w:rFonts w:hint="eastAsia" w:ascii="宋体" w:hAnsi="宋体"/>
          <w:sz w:val="21"/>
          <w:szCs w:val="21"/>
        </w:rPr>
        <w:t>。</w:t>
      </w:r>
    </w:p>
    <w:p>
      <w:pPr>
        <w:spacing w:line="360" w:lineRule="auto"/>
        <w:ind w:firstLine="413" w:firstLineChars="197"/>
        <w:rPr>
          <w:sz w:val="21"/>
          <w:szCs w:val="21"/>
          <w:u w:val="single"/>
        </w:rPr>
      </w:pPr>
      <w:r>
        <w:rPr>
          <w:rFonts w:hint="eastAsia"/>
          <w:sz w:val="21"/>
          <w:szCs w:val="21"/>
        </w:rPr>
        <w:t>3、付款方式：</w:t>
      </w:r>
      <w:r>
        <w:rPr>
          <w:rFonts w:hint="eastAsia"/>
          <w:sz w:val="21"/>
          <w:szCs w:val="21"/>
          <w:u w:val="single"/>
        </w:rPr>
        <w:t xml:space="preserve">  项目验收合格后一年内付清。   </w:t>
      </w:r>
    </w:p>
    <w:p>
      <w:pPr>
        <w:snapToGrid w:val="0"/>
        <w:spacing w:line="360" w:lineRule="auto"/>
        <w:ind w:right="33" w:firstLine="422" w:firstLineChars="200"/>
        <w:rPr>
          <w:rFonts w:ascii="宋体" w:hAnsi="宋体"/>
          <w:b/>
          <w:sz w:val="21"/>
          <w:szCs w:val="21"/>
        </w:rPr>
      </w:pPr>
      <w:r>
        <w:rPr>
          <w:rFonts w:hint="eastAsia" w:ascii="宋体" w:hAnsi="宋体"/>
          <w:b/>
          <w:sz w:val="21"/>
          <w:szCs w:val="21"/>
        </w:rPr>
        <w:t>第九条　质量保证金</w:t>
      </w:r>
    </w:p>
    <w:p>
      <w:pPr>
        <w:snapToGrid w:val="0"/>
        <w:spacing w:line="360" w:lineRule="auto"/>
        <w:ind w:left="-64" w:leftChars="-29" w:firstLine="514" w:firstLineChars="245"/>
        <w:rPr>
          <w:rFonts w:ascii="宋体" w:hAnsi="宋体"/>
          <w:sz w:val="21"/>
          <w:szCs w:val="21"/>
        </w:rPr>
      </w:pPr>
      <w:r>
        <w:rPr>
          <w:rFonts w:hint="eastAsia" w:ascii="宋体" w:hAnsi="宋体"/>
          <w:sz w:val="21"/>
          <w:szCs w:val="21"/>
        </w:rPr>
        <w:t>乙方应在货物验收合格无异议后五个工作日内按本合同合计金额</w:t>
      </w:r>
      <w:r>
        <w:rPr>
          <w:rFonts w:hint="eastAsia" w:ascii="宋体" w:hAnsi="宋体"/>
          <w:sz w:val="21"/>
          <w:szCs w:val="21"/>
          <w:u w:val="single"/>
        </w:rPr>
        <w:t xml:space="preserve">  5%  </w:t>
      </w:r>
      <w:r>
        <w:rPr>
          <w:rFonts w:hint="eastAsia" w:ascii="宋体" w:hAnsi="宋体"/>
          <w:sz w:val="21"/>
          <w:szCs w:val="21"/>
        </w:rPr>
        <w:t>比例向甲方提交质量保证金（或从合同货款中扣留），质量保证期过后五个工作日内无息返还。</w:t>
      </w:r>
    </w:p>
    <w:p>
      <w:pPr>
        <w:snapToGrid w:val="0"/>
        <w:spacing w:line="360" w:lineRule="auto"/>
        <w:ind w:firstLine="422" w:firstLineChars="200"/>
        <w:rPr>
          <w:rFonts w:ascii="宋体" w:hAnsi="宋体"/>
          <w:b/>
          <w:sz w:val="21"/>
          <w:szCs w:val="21"/>
        </w:rPr>
      </w:pPr>
      <w:r>
        <w:rPr>
          <w:rFonts w:hint="eastAsia" w:ascii="宋体" w:hAnsi="宋体"/>
          <w:b/>
          <w:sz w:val="21"/>
          <w:szCs w:val="21"/>
        </w:rPr>
        <w:t>第十条　税费</w:t>
      </w:r>
    </w:p>
    <w:p>
      <w:pPr>
        <w:snapToGrid w:val="0"/>
        <w:spacing w:line="360" w:lineRule="auto"/>
        <w:ind w:firstLine="420" w:firstLineChars="200"/>
        <w:rPr>
          <w:rFonts w:ascii="宋体" w:hAnsi="宋体"/>
          <w:sz w:val="21"/>
          <w:szCs w:val="21"/>
        </w:rPr>
      </w:pPr>
      <w:r>
        <w:rPr>
          <w:rFonts w:hint="eastAsia" w:ascii="宋体" w:hAnsi="宋体"/>
          <w:sz w:val="21"/>
          <w:szCs w:val="21"/>
        </w:rPr>
        <w:t>本合同执行中相关的一切税费均由乙方承担。</w:t>
      </w:r>
    </w:p>
    <w:p>
      <w:pPr>
        <w:snapToGrid w:val="0"/>
        <w:spacing w:line="360" w:lineRule="auto"/>
        <w:ind w:firstLine="422" w:firstLineChars="200"/>
        <w:rPr>
          <w:rFonts w:ascii="宋体" w:hAnsi="宋体"/>
          <w:b/>
          <w:sz w:val="21"/>
          <w:szCs w:val="21"/>
        </w:rPr>
      </w:pPr>
      <w:r>
        <w:rPr>
          <w:rFonts w:hint="eastAsia" w:ascii="宋体" w:hAnsi="宋体"/>
          <w:b/>
          <w:sz w:val="21"/>
          <w:szCs w:val="21"/>
        </w:rPr>
        <w:t>第十一条、质量保证及售后服务</w:t>
      </w:r>
    </w:p>
    <w:p>
      <w:pPr>
        <w:snapToGrid w:val="0"/>
        <w:spacing w:line="360" w:lineRule="auto"/>
        <w:ind w:firstLine="420" w:firstLineChars="200"/>
        <w:rPr>
          <w:rFonts w:ascii="宋体" w:hAnsi="宋体"/>
          <w:sz w:val="21"/>
          <w:szCs w:val="21"/>
        </w:rPr>
      </w:pPr>
      <w:r>
        <w:rPr>
          <w:rFonts w:hint="eastAsia" w:ascii="宋体" w:hAnsi="宋体"/>
          <w:sz w:val="21"/>
          <w:szCs w:val="21"/>
        </w:rPr>
        <w:t>1. 乙方应按招标文件规定的货物性能、技术要求、质量标准向甲方提供未经使用的全新产品。</w:t>
      </w:r>
    </w:p>
    <w:p>
      <w:pPr>
        <w:pStyle w:val="8"/>
        <w:snapToGrid w:val="0"/>
        <w:spacing w:before="120" w:after="120" w:line="360" w:lineRule="auto"/>
        <w:rPr>
          <w:rFonts w:hAnsi="宋体"/>
          <w:sz w:val="21"/>
        </w:rPr>
      </w:pPr>
      <w:r>
        <w:rPr>
          <w:rFonts w:hint="eastAsia" w:hAnsi="宋体"/>
          <w:sz w:val="21"/>
        </w:rPr>
        <w:t>对达不到要求者，根据实际情况，经双方协商，可按以下办法处理：</w:t>
      </w:r>
    </w:p>
    <w:p>
      <w:pPr>
        <w:pStyle w:val="8"/>
        <w:snapToGrid w:val="0"/>
        <w:spacing w:before="120" w:after="120" w:line="360" w:lineRule="auto"/>
        <w:ind w:firstLine="420" w:firstLineChars="200"/>
        <w:rPr>
          <w:rFonts w:hAnsi="宋体"/>
          <w:sz w:val="21"/>
        </w:rPr>
      </w:pPr>
      <w:r>
        <w:rPr>
          <w:rFonts w:hint="eastAsia" w:hAnsi="宋体"/>
          <w:sz w:val="21"/>
        </w:rPr>
        <w:t>⑴ 更换：由乙方承担所发生的全部费用。</w:t>
      </w:r>
    </w:p>
    <w:p>
      <w:pPr>
        <w:pStyle w:val="8"/>
        <w:snapToGrid w:val="0"/>
        <w:spacing w:before="120" w:after="120" w:line="360" w:lineRule="auto"/>
        <w:ind w:firstLine="420"/>
        <w:rPr>
          <w:rFonts w:hAnsi="宋体"/>
          <w:sz w:val="21"/>
        </w:rPr>
      </w:pPr>
      <w:r>
        <w:rPr>
          <w:rFonts w:hint="eastAsia" w:hAnsi="宋体"/>
          <w:sz w:val="21"/>
        </w:rPr>
        <w:t>⑵ 贬值处理：由甲乙双方合议定价。</w:t>
      </w:r>
    </w:p>
    <w:p>
      <w:pPr>
        <w:pStyle w:val="8"/>
        <w:snapToGrid w:val="0"/>
        <w:spacing w:before="120" w:after="120" w:line="360" w:lineRule="auto"/>
        <w:ind w:left="440" w:leftChars="200"/>
        <w:rPr>
          <w:rFonts w:hAnsi="宋体"/>
          <w:sz w:val="21"/>
        </w:rPr>
      </w:pPr>
      <w:r>
        <w:rPr>
          <w:rFonts w:hint="eastAsia" w:hAnsi="宋体"/>
          <w:sz w:val="21"/>
        </w:rPr>
        <w:t>⑶ 退货处理：乙方应退还甲方支付的合同款，同时应承担该货物的直接费用（运输、保险、检验、货款利息及银行手续费等）。</w:t>
      </w:r>
    </w:p>
    <w:p>
      <w:pPr>
        <w:pStyle w:val="8"/>
        <w:snapToGrid w:val="0"/>
        <w:spacing w:before="120" w:after="120" w:line="360" w:lineRule="auto"/>
        <w:ind w:firstLine="420" w:firstLineChars="200"/>
        <w:rPr>
          <w:rFonts w:hAnsi="宋体"/>
          <w:sz w:val="21"/>
        </w:rPr>
      </w:pPr>
      <w:r>
        <w:rPr>
          <w:rFonts w:hint="eastAsia" w:hAnsi="宋体"/>
          <w:sz w:val="21"/>
        </w:rPr>
        <w:t>2、如在使用过程中发生质量问题，乙方在接到甲方通知后在小时内到达甲方现场处理。</w:t>
      </w:r>
    </w:p>
    <w:p>
      <w:pPr>
        <w:pStyle w:val="8"/>
        <w:snapToGrid w:val="0"/>
        <w:spacing w:before="120" w:after="120" w:line="360" w:lineRule="auto"/>
        <w:ind w:firstLine="420" w:firstLineChars="200"/>
        <w:rPr>
          <w:rFonts w:hAnsi="宋体"/>
          <w:sz w:val="21"/>
        </w:rPr>
      </w:pPr>
      <w:r>
        <w:rPr>
          <w:rFonts w:hint="eastAsia" w:hAnsi="宋体"/>
          <w:sz w:val="21"/>
        </w:rPr>
        <w:t>3、在质保期内，乙方应对货物出现的质量及安全问题负责处理解决并承担一切费用。</w:t>
      </w:r>
    </w:p>
    <w:p>
      <w:pPr>
        <w:snapToGrid w:val="0"/>
        <w:spacing w:line="360" w:lineRule="auto"/>
        <w:ind w:firstLine="420" w:firstLineChars="200"/>
        <w:rPr>
          <w:rFonts w:ascii="宋体" w:hAnsi="宋体"/>
          <w:sz w:val="21"/>
          <w:szCs w:val="21"/>
        </w:rPr>
      </w:pPr>
      <w:r>
        <w:rPr>
          <w:rFonts w:hint="eastAsia" w:ascii="宋体" w:hAnsi="宋体"/>
          <w:sz w:val="21"/>
          <w:szCs w:val="21"/>
        </w:rPr>
        <w:t>4、上述的货物免费保修期为年，因人为因素出现的故障不在免费保修范围内。超过保修期的机器设备，终生维修，维修时只收部件成本费。</w:t>
      </w:r>
    </w:p>
    <w:p>
      <w:pPr>
        <w:pStyle w:val="8"/>
        <w:snapToGrid w:val="0"/>
        <w:spacing w:before="120" w:after="120" w:line="360" w:lineRule="auto"/>
        <w:ind w:firstLine="413" w:firstLineChars="196"/>
        <w:rPr>
          <w:rFonts w:hAnsi="宋体"/>
          <w:b/>
          <w:sz w:val="21"/>
        </w:rPr>
      </w:pPr>
      <w:r>
        <w:rPr>
          <w:rFonts w:hint="eastAsia" w:hAnsi="宋体"/>
          <w:b/>
          <w:sz w:val="21"/>
        </w:rPr>
        <w:t>第十二条、调试和验收</w:t>
      </w:r>
    </w:p>
    <w:p>
      <w:pPr>
        <w:pStyle w:val="8"/>
        <w:snapToGrid w:val="0"/>
        <w:spacing w:before="120" w:after="120" w:line="360" w:lineRule="auto"/>
        <w:ind w:firstLine="420" w:firstLineChars="200"/>
        <w:rPr>
          <w:rFonts w:hAnsi="宋体"/>
          <w:sz w:val="21"/>
        </w:rPr>
      </w:pPr>
      <w:r>
        <w:rPr>
          <w:rFonts w:hint="eastAsia" w:hAnsi="宋体"/>
          <w:sz w:val="21"/>
        </w:rPr>
        <w:t>1、甲方对乙方提交的货物依据招标文件上的技术规格要求和国家有关质量标准进行现场测试、初步验收，外观、说明书符合招标文件技术要求的，给予签收，初步验收不合格的不予签收。货到后，甲方应当在到货（安装、调试完）后七个工作日内进行验收。</w:t>
      </w:r>
    </w:p>
    <w:p>
      <w:pPr>
        <w:pStyle w:val="8"/>
        <w:snapToGrid w:val="0"/>
        <w:spacing w:before="120" w:after="120" w:line="360" w:lineRule="auto"/>
        <w:ind w:firstLine="420" w:firstLineChars="200"/>
        <w:rPr>
          <w:rFonts w:hAnsi="宋体"/>
          <w:sz w:val="21"/>
        </w:rPr>
      </w:pPr>
      <w:r>
        <w:rPr>
          <w:rFonts w:hint="eastAsia" w:hAnsi="宋体"/>
          <w:sz w:val="21"/>
        </w:rPr>
        <w:t>2、乙方交货前应对产品作出全面检查和对验收文件进行整理，并列出清单，作为甲方收货验收和使用的技术条件依据，检验的结果应随货物交甲方。</w:t>
      </w:r>
    </w:p>
    <w:p>
      <w:pPr>
        <w:pStyle w:val="8"/>
        <w:snapToGrid w:val="0"/>
        <w:spacing w:before="120" w:after="120" w:line="360" w:lineRule="auto"/>
        <w:ind w:firstLine="420" w:firstLineChars="200"/>
        <w:rPr>
          <w:rFonts w:hAnsi="宋体"/>
          <w:sz w:val="21"/>
          <w:u w:val="single"/>
        </w:rPr>
      </w:pPr>
      <w:r>
        <w:rPr>
          <w:rFonts w:hint="eastAsia" w:hAnsi="宋体"/>
          <w:sz w:val="21"/>
        </w:rPr>
        <w:t>3、甲方对乙方提供的货物在使用前进行调试时，乙方需负责安装并培训甲方的使用操作人员，并协助甲方一起调试，直到符合技术要求，甲方才做最终验收。</w:t>
      </w:r>
    </w:p>
    <w:p>
      <w:pPr>
        <w:pStyle w:val="8"/>
        <w:snapToGrid w:val="0"/>
        <w:spacing w:before="120" w:after="120" w:line="360" w:lineRule="auto"/>
        <w:ind w:firstLine="420" w:firstLineChars="200"/>
        <w:rPr>
          <w:rFonts w:hAnsi="宋体"/>
          <w:sz w:val="21"/>
        </w:rPr>
      </w:pPr>
      <w:r>
        <w:rPr>
          <w:rFonts w:hint="eastAsia" w:hAnsi="宋体"/>
          <w:sz w:val="21"/>
        </w:rPr>
        <w:t>4、对技术复杂的货物，甲方应请国家认可的专业检测机构参与初步验收及最终验收，并由其出具质量检测报告。</w:t>
      </w:r>
    </w:p>
    <w:p>
      <w:pPr>
        <w:snapToGrid w:val="0"/>
        <w:spacing w:line="360" w:lineRule="auto"/>
        <w:ind w:firstLine="420" w:firstLineChars="200"/>
        <w:rPr>
          <w:rFonts w:ascii="宋体" w:hAnsi="宋体"/>
          <w:sz w:val="21"/>
          <w:szCs w:val="21"/>
        </w:rPr>
      </w:pPr>
      <w:r>
        <w:rPr>
          <w:rFonts w:hint="eastAsia" w:ascii="宋体" w:hAnsi="宋体"/>
          <w:sz w:val="21"/>
          <w:szCs w:val="21"/>
        </w:rPr>
        <w:t>5、验收时乙方必须在现场，验收完毕后作出验收结果报告；验收费用由乙方负责。</w:t>
      </w:r>
    </w:p>
    <w:p>
      <w:pPr>
        <w:pStyle w:val="8"/>
        <w:snapToGrid w:val="0"/>
        <w:spacing w:before="120" w:after="120" w:line="360" w:lineRule="auto"/>
        <w:ind w:firstLine="413" w:firstLineChars="196"/>
        <w:rPr>
          <w:rFonts w:hAnsi="宋体"/>
          <w:b/>
          <w:sz w:val="21"/>
        </w:rPr>
      </w:pPr>
      <w:r>
        <w:rPr>
          <w:rFonts w:hint="eastAsia" w:hAnsi="宋体"/>
          <w:b/>
          <w:sz w:val="21"/>
        </w:rPr>
        <w:t>第十三条、货物包装、发运及运输</w:t>
      </w:r>
    </w:p>
    <w:p>
      <w:pPr>
        <w:pStyle w:val="8"/>
        <w:snapToGrid w:val="0"/>
        <w:spacing w:before="120" w:after="120" w:line="360" w:lineRule="auto"/>
        <w:ind w:firstLine="420" w:firstLineChars="200"/>
        <w:rPr>
          <w:rFonts w:hAnsi="宋体"/>
          <w:sz w:val="21"/>
        </w:rPr>
      </w:pPr>
      <w:r>
        <w:rPr>
          <w:rFonts w:hint="eastAsia" w:hAnsi="宋体"/>
          <w:sz w:val="21"/>
        </w:rPr>
        <w:t>1、乙方应在货物发运前对其进行满足运输距离、防潮、防震、防锈和防破损装卸等要求包装，以保证货物安全运达甲方指定地点。</w:t>
      </w:r>
    </w:p>
    <w:p>
      <w:pPr>
        <w:pStyle w:val="8"/>
        <w:snapToGrid w:val="0"/>
        <w:spacing w:before="120" w:after="120" w:line="360" w:lineRule="auto"/>
        <w:ind w:left="440" w:leftChars="200"/>
        <w:rPr>
          <w:rFonts w:hAnsi="宋体"/>
          <w:sz w:val="21"/>
        </w:rPr>
      </w:pPr>
      <w:r>
        <w:rPr>
          <w:rFonts w:hint="eastAsia" w:hAnsi="宋体"/>
          <w:sz w:val="21"/>
        </w:rPr>
        <w:t>2、使用说明书、质量检验证明书、随配附件和工具以及清单一并附于货物内。</w:t>
      </w:r>
    </w:p>
    <w:p>
      <w:pPr>
        <w:pStyle w:val="8"/>
        <w:snapToGrid w:val="0"/>
        <w:spacing w:before="120" w:after="120" w:line="360" w:lineRule="auto"/>
        <w:ind w:left="440" w:leftChars="200"/>
        <w:rPr>
          <w:rFonts w:hAnsi="宋体"/>
          <w:sz w:val="21"/>
        </w:rPr>
      </w:pPr>
      <w:r>
        <w:rPr>
          <w:rFonts w:hint="eastAsia" w:hAnsi="宋体"/>
          <w:sz w:val="21"/>
        </w:rPr>
        <w:t>3、乙方在货物发运手续办理完毕后二十四小时内或货到甲方四十八小时前通知甲方，以准备接货。</w:t>
      </w:r>
    </w:p>
    <w:p>
      <w:pPr>
        <w:pStyle w:val="8"/>
        <w:snapToGrid w:val="0"/>
        <w:spacing w:before="120" w:after="120" w:line="360" w:lineRule="auto"/>
        <w:ind w:left="440" w:leftChars="200"/>
        <w:rPr>
          <w:rFonts w:hAnsi="宋体"/>
          <w:sz w:val="21"/>
        </w:rPr>
      </w:pPr>
      <w:r>
        <w:rPr>
          <w:rFonts w:hint="eastAsia" w:hAnsi="宋体"/>
          <w:sz w:val="21"/>
        </w:rPr>
        <w:t>4、货物在交付甲方前发生的风险均由乙方负责。</w:t>
      </w:r>
    </w:p>
    <w:p>
      <w:pPr>
        <w:snapToGrid w:val="0"/>
        <w:spacing w:line="360" w:lineRule="auto"/>
        <w:ind w:firstLine="420" w:firstLineChars="200"/>
        <w:rPr>
          <w:rFonts w:ascii="宋体" w:hAnsi="宋体"/>
          <w:spacing w:val="-8"/>
          <w:sz w:val="21"/>
          <w:szCs w:val="21"/>
        </w:rPr>
      </w:pPr>
      <w:r>
        <w:rPr>
          <w:rFonts w:hint="eastAsia" w:ascii="宋体" w:hAnsi="宋体"/>
          <w:sz w:val="21"/>
          <w:szCs w:val="21"/>
        </w:rPr>
        <w:t>5、货</w:t>
      </w:r>
      <w:r>
        <w:rPr>
          <w:rFonts w:hint="eastAsia" w:ascii="宋体" w:hAnsi="宋体"/>
          <w:spacing w:val="-8"/>
          <w:sz w:val="21"/>
          <w:szCs w:val="21"/>
        </w:rPr>
        <w:t>物在规定的交付期限内由乙方送达甲方指定的地点视为交付，乙方同时需通知甲方货物已送达。</w:t>
      </w:r>
    </w:p>
    <w:p>
      <w:pPr>
        <w:snapToGrid w:val="0"/>
        <w:spacing w:line="360" w:lineRule="auto"/>
        <w:ind w:firstLine="422" w:firstLineChars="200"/>
        <w:rPr>
          <w:rFonts w:ascii="宋体" w:hAnsi="宋体"/>
          <w:b/>
          <w:sz w:val="21"/>
          <w:szCs w:val="21"/>
        </w:rPr>
      </w:pPr>
      <w:r>
        <w:rPr>
          <w:rFonts w:hint="eastAsia" w:ascii="宋体" w:hAnsi="宋体"/>
          <w:b/>
          <w:sz w:val="21"/>
          <w:szCs w:val="21"/>
        </w:rPr>
        <w:t>第十四条　违约责任</w:t>
      </w:r>
    </w:p>
    <w:p>
      <w:pPr>
        <w:snapToGrid w:val="0"/>
        <w:spacing w:line="360" w:lineRule="auto"/>
        <w:ind w:firstLine="539" w:firstLineChars="257"/>
        <w:rPr>
          <w:rFonts w:ascii="宋体" w:hAnsi="宋体"/>
          <w:sz w:val="21"/>
          <w:szCs w:val="21"/>
        </w:rPr>
      </w:pPr>
      <w:r>
        <w:rPr>
          <w:rFonts w:hint="eastAsia" w:ascii="宋体" w:hAnsi="宋体"/>
          <w:sz w:val="21"/>
          <w:szCs w:val="21"/>
        </w:rPr>
        <w:t xml:space="preserve">1、乙方所提供的货物规格、技术标准、材料等质量不合格的，应及时更换，更换不及时的按逾期交货处罚；因质量问题甲方不同意接收的或特殊情况甲方同意接收的，乙方应向甲方支付违约货款额 5%违约金并赔偿甲方经济损失。                                       </w:t>
      </w:r>
    </w:p>
    <w:p>
      <w:pPr>
        <w:snapToGrid w:val="0"/>
        <w:spacing w:line="360" w:lineRule="auto"/>
        <w:ind w:firstLine="472" w:firstLineChars="225"/>
        <w:rPr>
          <w:rFonts w:ascii="宋体" w:hAnsi="宋体"/>
          <w:sz w:val="21"/>
          <w:szCs w:val="21"/>
        </w:rPr>
      </w:pPr>
      <w:r>
        <w:rPr>
          <w:rFonts w:hint="eastAsia" w:ascii="宋体" w:hAnsi="宋体"/>
          <w:sz w:val="21"/>
          <w:szCs w:val="21"/>
        </w:rPr>
        <w:t>2、乙方提供的货物如侵犯了第三方合法权益而引发的任何纠纷或诉讼，均由乙方负责交涉并承担全部责任。</w:t>
      </w:r>
    </w:p>
    <w:p>
      <w:pPr>
        <w:snapToGrid w:val="0"/>
        <w:spacing w:line="360" w:lineRule="auto"/>
        <w:ind w:firstLine="420" w:firstLineChars="200"/>
        <w:rPr>
          <w:rFonts w:ascii="宋体" w:hAnsi="宋体"/>
          <w:sz w:val="21"/>
          <w:szCs w:val="21"/>
        </w:rPr>
      </w:pPr>
      <w:r>
        <w:rPr>
          <w:rFonts w:hint="eastAsia" w:ascii="宋体" w:hAnsi="宋体"/>
          <w:sz w:val="21"/>
          <w:szCs w:val="21"/>
        </w:rPr>
        <w:t>3、因包装、运输引起的货物损坏，按质量不合格处理。</w:t>
      </w:r>
    </w:p>
    <w:p>
      <w:pPr>
        <w:snapToGrid w:val="0"/>
        <w:spacing w:line="360" w:lineRule="auto"/>
        <w:ind w:firstLine="420" w:firstLineChars="200"/>
        <w:rPr>
          <w:rFonts w:ascii="宋体" w:hAnsi="宋体"/>
          <w:sz w:val="21"/>
          <w:szCs w:val="21"/>
        </w:rPr>
      </w:pPr>
      <w:r>
        <w:rPr>
          <w:rFonts w:hint="eastAsia" w:ascii="宋体" w:hAnsi="宋体"/>
          <w:sz w:val="21"/>
          <w:szCs w:val="21"/>
        </w:rPr>
        <w:t>4、甲方无故延期接收货物、乙方逾期交货的，每天向对方偿付违约货款额3‰违约金，但违约金累计不得超过违约货款额</w:t>
      </w:r>
      <w:r>
        <w:rPr>
          <w:rFonts w:hint="eastAsia" w:ascii="宋体" w:hAnsi="宋体"/>
          <w:sz w:val="21"/>
          <w:szCs w:val="21"/>
          <w:u w:val="single"/>
        </w:rPr>
        <w:t xml:space="preserve"> 5% </w:t>
      </w:r>
      <w:r>
        <w:rPr>
          <w:rFonts w:hint="eastAsia" w:ascii="宋体" w:hAnsi="宋体"/>
          <w:sz w:val="21"/>
          <w:szCs w:val="21"/>
        </w:rPr>
        <w:t>，超过</w:t>
      </w:r>
      <w:r>
        <w:rPr>
          <w:rFonts w:hint="eastAsia" w:ascii="宋体" w:hAnsi="宋体"/>
          <w:sz w:val="21"/>
          <w:szCs w:val="21"/>
          <w:u w:val="single"/>
        </w:rPr>
        <w:t xml:space="preserve"> 3 </w:t>
      </w:r>
      <w:r>
        <w:rPr>
          <w:rFonts w:hint="eastAsia" w:ascii="宋体" w:hAnsi="宋体"/>
          <w:sz w:val="21"/>
          <w:szCs w:val="21"/>
        </w:rPr>
        <w:t>天对方有权解除合同，违约方承担因此给对方造成的经济损失；甲方延期付货款的，每天向乙方偿付延期货款额</w:t>
      </w:r>
      <w:r>
        <w:rPr>
          <w:rFonts w:hint="eastAsia" w:ascii="宋体" w:hAnsi="宋体"/>
          <w:sz w:val="21"/>
          <w:szCs w:val="21"/>
          <w:u w:val="single"/>
        </w:rPr>
        <w:t xml:space="preserve"> 3‰ </w:t>
      </w:r>
      <w:r>
        <w:rPr>
          <w:rFonts w:hint="eastAsia" w:ascii="宋体" w:hAnsi="宋体"/>
          <w:sz w:val="21"/>
          <w:szCs w:val="21"/>
        </w:rPr>
        <w:t xml:space="preserve"> 滞纳金，但滞纳金累计不得超过延期货款额</w:t>
      </w:r>
      <w:r>
        <w:rPr>
          <w:rFonts w:hint="eastAsia" w:ascii="宋体" w:hAnsi="宋体"/>
          <w:sz w:val="21"/>
          <w:szCs w:val="21"/>
          <w:u w:val="single"/>
        </w:rPr>
        <w:t xml:space="preserve"> 5% </w:t>
      </w:r>
      <w:r>
        <w:rPr>
          <w:rFonts w:hint="eastAsia" w:ascii="宋体" w:hAnsi="宋体"/>
          <w:sz w:val="21"/>
          <w:szCs w:val="21"/>
        </w:rPr>
        <w:t>。</w:t>
      </w:r>
    </w:p>
    <w:p>
      <w:pPr>
        <w:snapToGrid w:val="0"/>
        <w:spacing w:line="360" w:lineRule="auto"/>
        <w:ind w:firstLine="420" w:firstLineChars="200"/>
        <w:rPr>
          <w:rFonts w:ascii="宋体" w:hAnsi="宋体"/>
          <w:sz w:val="21"/>
          <w:szCs w:val="21"/>
        </w:rPr>
      </w:pPr>
      <w:r>
        <w:rPr>
          <w:rFonts w:hint="eastAsia" w:ascii="宋体" w:hAnsi="宋体"/>
          <w:sz w:val="21"/>
          <w:szCs w:val="21"/>
        </w:rPr>
        <w:t>5、乙方未按本合同和投标文件中规定的服务承诺提供售后服务的，乙方应按本合同合计金额</w:t>
      </w:r>
      <w:r>
        <w:rPr>
          <w:rFonts w:hint="eastAsia" w:ascii="宋体" w:hAnsi="宋体"/>
          <w:sz w:val="21"/>
          <w:szCs w:val="21"/>
          <w:u w:val="single"/>
        </w:rPr>
        <w:t xml:space="preserve"> 5% </w:t>
      </w:r>
      <w:r>
        <w:rPr>
          <w:rFonts w:hint="eastAsia" w:ascii="宋体" w:hAnsi="宋体"/>
          <w:sz w:val="21"/>
          <w:szCs w:val="21"/>
        </w:rPr>
        <w:t>向甲方支付违约金。</w:t>
      </w:r>
    </w:p>
    <w:p>
      <w:pPr>
        <w:snapToGrid w:val="0"/>
        <w:spacing w:line="360" w:lineRule="auto"/>
        <w:ind w:firstLine="420" w:firstLineChars="200"/>
        <w:rPr>
          <w:rFonts w:ascii="宋体" w:hAnsi="宋体"/>
          <w:sz w:val="21"/>
          <w:szCs w:val="21"/>
        </w:rPr>
      </w:pPr>
      <w:r>
        <w:rPr>
          <w:rFonts w:hint="eastAsia" w:ascii="宋体" w:hAnsi="宋体"/>
          <w:sz w:val="21"/>
          <w:szCs w:val="21"/>
        </w:rPr>
        <w:t>6、乙方提供的货物在质量保证期内，因设计、工艺或材料的缺陷和其它质量原因造成的问题，由乙方负责，费用从质量保证金中扣除，不足另补。</w:t>
      </w:r>
    </w:p>
    <w:p>
      <w:pPr>
        <w:snapToGrid w:val="0"/>
        <w:spacing w:line="360" w:lineRule="auto"/>
        <w:ind w:firstLine="420" w:firstLineChars="200"/>
        <w:rPr>
          <w:rFonts w:ascii="宋体" w:hAnsi="宋体"/>
          <w:sz w:val="21"/>
          <w:szCs w:val="21"/>
        </w:rPr>
      </w:pPr>
      <w:r>
        <w:rPr>
          <w:rFonts w:hint="eastAsia" w:ascii="宋体" w:hAnsi="宋体"/>
          <w:sz w:val="21"/>
          <w:szCs w:val="21"/>
        </w:rPr>
        <w:t>7、其它违约行为按违约货款额5%收取违约金并赔偿经济损失。</w:t>
      </w:r>
    </w:p>
    <w:p>
      <w:pPr>
        <w:pStyle w:val="8"/>
        <w:snapToGrid w:val="0"/>
        <w:spacing w:before="120" w:after="120" w:line="360" w:lineRule="auto"/>
        <w:ind w:firstLine="413" w:firstLineChars="196"/>
        <w:rPr>
          <w:rFonts w:hAnsi="宋体"/>
          <w:b/>
          <w:sz w:val="21"/>
        </w:rPr>
      </w:pPr>
      <w:r>
        <w:rPr>
          <w:rFonts w:hint="eastAsia" w:hAnsi="宋体"/>
          <w:b/>
          <w:sz w:val="21"/>
        </w:rPr>
        <w:t>第十五条、不可抗力事件处理</w:t>
      </w:r>
    </w:p>
    <w:p>
      <w:pPr>
        <w:pStyle w:val="8"/>
        <w:snapToGrid w:val="0"/>
        <w:spacing w:before="120" w:after="120" w:line="360" w:lineRule="auto"/>
        <w:ind w:firstLine="420" w:firstLineChars="200"/>
        <w:rPr>
          <w:rFonts w:hAnsi="宋体"/>
          <w:sz w:val="21"/>
        </w:rPr>
      </w:pPr>
      <w:r>
        <w:rPr>
          <w:rFonts w:hint="eastAsia" w:hAnsi="宋体"/>
          <w:sz w:val="21"/>
        </w:rPr>
        <w:t>1、在合同有效期内，任何一方因不可抗力事件导致不能履行合同，则合同履行期可延长，其延长期与不可抗力影响期相同。</w:t>
      </w:r>
    </w:p>
    <w:p>
      <w:pPr>
        <w:pStyle w:val="8"/>
        <w:snapToGrid w:val="0"/>
        <w:spacing w:before="120" w:after="120" w:line="360" w:lineRule="auto"/>
        <w:ind w:firstLine="420" w:firstLineChars="200"/>
        <w:rPr>
          <w:rFonts w:hAnsi="宋体"/>
          <w:sz w:val="21"/>
        </w:rPr>
      </w:pPr>
      <w:r>
        <w:rPr>
          <w:rFonts w:hint="eastAsia" w:hAnsi="宋体"/>
          <w:sz w:val="21"/>
        </w:rPr>
        <w:t>2、不可抗力事件发生后，应立即通知对方，并寄送有关权威机构出具的证明。</w:t>
      </w:r>
    </w:p>
    <w:p>
      <w:pPr>
        <w:snapToGrid w:val="0"/>
        <w:spacing w:line="360" w:lineRule="auto"/>
        <w:ind w:firstLine="420" w:firstLineChars="200"/>
        <w:rPr>
          <w:rFonts w:ascii="宋体" w:hAnsi="宋体"/>
          <w:sz w:val="21"/>
          <w:szCs w:val="21"/>
        </w:rPr>
      </w:pPr>
      <w:r>
        <w:rPr>
          <w:rFonts w:hint="eastAsia" w:ascii="宋体" w:hAnsi="宋体"/>
          <w:sz w:val="21"/>
          <w:szCs w:val="21"/>
        </w:rPr>
        <w:t>3、不可抗力事件延续一百二十天以上，双方应通过友好协商，确定是否继续履行合同。</w:t>
      </w:r>
    </w:p>
    <w:p>
      <w:pPr>
        <w:snapToGrid w:val="0"/>
        <w:spacing w:line="360" w:lineRule="auto"/>
        <w:ind w:firstLine="422" w:firstLineChars="200"/>
        <w:rPr>
          <w:rFonts w:ascii="宋体" w:hAnsi="宋体"/>
          <w:sz w:val="21"/>
          <w:szCs w:val="21"/>
        </w:rPr>
      </w:pPr>
      <w:r>
        <w:rPr>
          <w:rFonts w:hint="eastAsia" w:ascii="宋体" w:hAnsi="宋体"/>
          <w:b/>
          <w:sz w:val="21"/>
          <w:szCs w:val="21"/>
        </w:rPr>
        <w:t>第十六条  合同争议解决</w:t>
      </w:r>
    </w:p>
    <w:p>
      <w:pPr>
        <w:snapToGrid w:val="0"/>
        <w:spacing w:line="360" w:lineRule="auto"/>
        <w:ind w:firstLine="420" w:firstLineChars="200"/>
        <w:rPr>
          <w:rFonts w:ascii="宋体" w:hAnsi="宋体"/>
          <w:sz w:val="21"/>
          <w:szCs w:val="21"/>
        </w:rPr>
      </w:pPr>
      <w:r>
        <w:rPr>
          <w:rFonts w:hint="eastAsia" w:ascii="宋体" w:hAnsi="宋体"/>
          <w:sz w:val="21"/>
          <w:szCs w:val="21"/>
        </w:rPr>
        <w:t>1、因货物质量问题发生争议的，应邀请国家认可的质量检测机构对货物质量进行鉴定。货物符合标准的，鉴定费由甲方承担；货物不符合标准的，鉴定费由乙方承担。</w:t>
      </w:r>
    </w:p>
    <w:p>
      <w:pPr>
        <w:snapToGrid w:val="0"/>
        <w:spacing w:line="360" w:lineRule="auto"/>
        <w:ind w:firstLine="420" w:firstLineChars="200"/>
        <w:rPr>
          <w:rFonts w:ascii="宋体" w:hAnsi="宋体"/>
          <w:sz w:val="21"/>
          <w:szCs w:val="21"/>
        </w:rPr>
      </w:pPr>
      <w:r>
        <w:rPr>
          <w:rFonts w:hint="eastAsia" w:ascii="宋体" w:hAnsi="宋体"/>
          <w:sz w:val="21"/>
          <w:szCs w:val="21"/>
        </w:rPr>
        <w:t>2、因履行本合同引起的或与本合同有关的争议，甲乙双方应首先通过友好协商解决，如果协商不能解决，可向仲裁委员会申请仲裁或向人民法院提起诉讼。</w:t>
      </w:r>
    </w:p>
    <w:p>
      <w:pPr>
        <w:snapToGrid w:val="0"/>
        <w:spacing w:line="360" w:lineRule="auto"/>
        <w:ind w:firstLine="420" w:firstLineChars="200"/>
        <w:rPr>
          <w:rFonts w:ascii="宋体" w:hAnsi="宋体"/>
          <w:sz w:val="21"/>
          <w:szCs w:val="21"/>
        </w:rPr>
      </w:pPr>
      <w:r>
        <w:rPr>
          <w:rFonts w:hint="eastAsia" w:ascii="宋体" w:hAnsi="宋体"/>
          <w:sz w:val="21"/>
          <w:szCs w:val="21"/>
        </w:rPr>
        <w:t>3、诉讼期间，本合同继续履行。</w:t>
      </w:r>
    </w:p>
    <w:p>
      <w:pPr>
        <w:pStyle w:val="8"/>
        <w:snapToGrid w:val="0"/>
        <w:spacing w:before="120" w:after="120" w:line="360" w:lineRule="auto"/>
        <w:ind w:firstLine="413" w:firstLineChars="196"/>
        <w:rPr>
          <w:rFonts w:hAnsi="宋体"/>
          <w:b/>
          <w:sz w:val="21"/>
        </w:rPr>
      </w:pPr>
      <w:r>
        <w:rPr>
          <w:rFonts w:hint="eastAsia" w:hAnsi="宋体"/>
          <w:b/>
          <w:sz w:val="21"/>
        </w:rPr>
        <w:t>第十七条、诉讼</w:t>
      </w:r>
    </w:p>
    <w:p>
      <w:pPr>
        <w:pStyle w:val="8"/>
        <w:snapToGrid w:val="0"/>
        <w:spacing w:before="120" w:after="120" w:line="360" w:lineRule="auto"/>
        <w:ind w:firstLine="359" w:firstLineChars="171"/>
        <w:rPr>
          <w:rFonts w:hAnsi="宋体"/>
          <w:sz w:val="21"/>
        </w:rPr>
      </w:pPr>
      <w:r>
        <w:rPr>
          <w:rFonts w:hint="eastAsia" w:hAnsi="宋体"/>
          <w:sz w:val="21"/>
        </w:rPr>
        <w:t xml:space="preserve"> 双方在执行合同中所发生的一切争议，应通过协商解决。如协商不能解决，可向仲裁委员会申请仲裁或向人民法院提起诉讼。</w:t>
      </w:r>
    </w:p>
    <w:p>
      <w:pPr>
        <w:pStyle w:val="8"/>
        <w:snapToGrid w:val="0"/>
        <w:spacing w:before="120" w:after="120" w:line="360" w:lineRule="auto"/>
        <w:ind w:firstLine="413" w:firstLineChars="196"/>
        <w:rPr>
          <w:rFonts w:hAnsi="宋体"/>
          <w:b/>
          <w:sz w:val="21"/>
        </w:rPr>
      </w:pPr>
      <w:r>
        <w:rPr>
          <w:rFonts w:hint="eastAsia" w:hAnsi="宋体"/>
          <w:b/>
          <w:sz w:val="21"/>
        </w:rPr>
        <w:t>第十八条、合同生效及其它</w:t>
      </w:r>
    </w:p>
    <w:p>
      <w:pPr>
        <w:pStyle w:val="8"/>
        <w:snapToGrid w:val="0"/>
        <w:spacing w:before="120" w:after="120" w:line="360" w:lineRule="auto"/>
        <w:ind w:firstLine="422" w:firstLineChars="200"/>
        <w:rPr>
          <w:rFonts w:hAnsi="宋体"/>
          <w:b/>
          <w:sz w:val="21"/>
        </w:rPr>
      </w:pPr>
      <w:r>
        <w:rPr>
          <w:rFonts w:hint="eastAsia" w:hAnsi="宋体"/>
          <w:b/>
          <w:sz w:val="21"/>
        </w:rPr>
        <w:t>1、合同经双方法定代表人或授权代表签字并加盖单位公章后生效。</w:t>
      </w:r>
    </w:p>
    <w:p>
      <w:pPr>
        <w:pStyle w:val="8"/>
        <w:snapToGrid w:val="0"/>
        <w:spacing w:before="120" w:after="120" w:line="360" w:lineRule="auto"/>
        <w:ind w:firstLine="422" w:firstLineChars="200"/>
        <w:rPr>
          <w:rFonts w:hAnsi="宋体"/>
          <w:b/>
          <w:sz w:val="21"/>
        </w:rPr>
      </w:pPr>
      <w:r>
        <w:rPr>
          <w:rFonts w:hint="eastAsia" w:hAnsi="宋体"/>
          <w:b/>
          <w:sz w:val="21"/>
        </w:rPr>
        <w:t>2、合同执行中涉及采购资金和采购内容修改或补充的，须经财政部门审批，并签书面补充协议报财政部门备案，方可作为主合同不可分割的一部分。</w:t>
      </w:r>
    </w:p>
    <w:p>
      <w:pPr>
        <w:snapToGrid w:val="0"/>
        <w:spacing w:line="360" w:lineRule="auto"/>
        <w:ind w:firstLine="422" w:firstLineChars="200"/>
        <w:rPr>
          <w:rFonts w:ascii="宋体" w:hAnsi="宋体"/>
          <w:b/>
          <w:sz w:val="21"/>
          <w:szCs w:val="21"/>
        </w:rPr>
      </w:pPr>
      <w:r>
        <w:rPr>
          <w:rFonts w:hint="eastAsia" w:ascii="宋体" w:hAnsi="宋体"/>
          <w:b/>
          <w:sz w:val="21"/>
          <w:szCs w:val="21"/>
        </w:rPr>
        <w:t>3、本合同未尽事宜，遵照《合同法》有关条文执行。</w:t>
      </w:r>
    </w:p>
    <w:p>
      <w:pPr>
        <w:pStyle w:val="8"/>
        <w:snapToGrid w:val="0"/>
        <w:spacing w:before="120" w:after="120" w:line="360" w:lineRule="auto"/>
        <w:ind w:firstLine="413" w:firstLineChars="196"/>
        <w:rPr>
          <w:rFonts w:hAnsi="宋体"/>
          <w:b/>
          <w:sz w:val="21"/>
        </w:rPr>
      </w:pPr>
      <w:r>
        <w:rPr>
          <w:rFonts w:hint="eastAsia" w:hAnsi="宋体"/>
          <w:b/>
          <w:sz w:val="21"/>
        </w:rPr>
        <w:t>第十九条、合同的变更、终止与转让</w:t>
      </w:r>
    </w:p>
    <w:p>
      <w:pPr>
        <w:pStyle w:val="8"/>
        <w:snapToGrid w:val="0"/>
        <w:spacing w:before="120" w:after="120" w:line="360" w:lineRule="auto"/>
        <w:ind w:firstLine="420" w:firstLineChars="200"/>
        <w:rPr>
          <w:rFonts w:hAnsi="宋体"/>
          <w:sz w:val="21"/>
        </w:rPr>
      </w:pPr>
      <w:r>
        <w:rPr>
          <w:rFonts w:hint="eastAsia" w:hAnsi="宋体"/>
          <w:sz w:val="21"/>
        </w:rPr>
        <w:t>1、除《中华人民共和国政府采购法》第五十条规定的情形外，本合同一经签订，甲乙双方不得擅自变更、中止或终止。</w:t>
      </w:r>
    </w:p>
    <w:p>
      <w:pPr>
        <w:pStyle w:val="8"/>
        <w:snapToGrid w:val="0"/>
        <w:spacing w:before="120" w:after="120" w:line="360" w:lineRule="auto"/>
        <w:ind w:firstLine="420" w:firstLineChars="200"/>
        <w:rPr>
          <w:rFonts w:hAnsi="宋体"/>
          <w:sz w:val="21"/>
        </w:rPr>
      </w:pPr>
      <w:r>
        <w:rPr>
          <w:rFonts w:hint="eastAsia" w:hAnsi="宋体"/>
          <w:sz w:val="21"/>
        </w:rPr>
        <w:t>2、乙方不得擅自转让（无进口资格的供应商委托进口货物除外）其应履行的合同义务。</w:t>
      </w:r>
    </w:p>
    <w:p>
      <w:pPr>
        <w:pStyle w:val="8"/>
        <w:snapToGrid w:val="0"/>
        <w:spacing w:before="120" w:after="120" w:line="360" w:lineRule="auto"/>
        <w:ind w:firstLine="413" w:firstLineChars="196"/>
        <w:rPr>
          <w:rFonts w:hAnsi="宋体"/>
          <w:b/>
          <w:sz w:val="21"/>
        </w:rPr>
      </w:pPr>
      <w:r>
        <w:rPr>
          <w:rFonts w:hint="eastAsia" w:hAnsi="宋体"/>
          <w:b/>
          <w:sz w:val="21"/>
        </w:rPr>
        <w:t>第二十条、签订本合同依据</w:t>
      </w:r>
    </w:p>
    <w:p>
      <w:pPr>
        <w:pStyle w:val="8"/>
        <w:snapToGrid w:val="0"/>
        <w:spacing w:before="120" w:after="120" w:line="360" w:lineRule="auto"/>
        <w:ind w:firstLine="420" w:firstLineChars="200"/>
        <w:rPr>
          <w:rFonts w:hAnsi="宋体"/>
          <w:sz w:val="21"/>
        </w:rPr>
      </w:pPr>
      <w:bookmarkStart w:id="86" w:name="_Toc9001_WPSOffice_Level3"/>
      <w:r>
        <w:rPr>
          <w:rFonts w:hint="eastAsia" w:hAnsi="宋体"/>
          <w:sz w:val="21"/>
        </w:rPr>
        <w:t>1、政府采购招标文件；</w:t>
      </w:r>
      <w:bookmarkEnd w:id="86"/>
    </w:p>
    <w:p>
      <w:pPr>
        <w:pStyle w:val="8"/>
        <w:snapToGrid w:val="0"/>
        <w:spacing w:before="120" w:after="120" w:line="360" w:lineRule="auto"/>
        <w:ind w:firstLine="420" w:firstLineChars="200"/>
        <w:rPr>
          <w:rFonts w:hAnsi="宋体"/>
          <w:sz w:val="21"/>
        </w:rPr>
      </w:pPr>
      <w:bookmarkStart w:id="87" w:name="_Toc32302_WPSOffice_Level3"/>
      <w:r>
        <w:rPr>
          <w:rFonts w:hint="eastAsia" w:hAnsi="宋体"/>
          <w:sz w:val="21"/>
        </w:rPr>
        <w:t>2、乙方提供的采购投标（或应答）文件；</w:t>
      </w:r>
      <w:bookmarkEnd w:id="87"/>
    </w:p>
    <w:p>
      <w:pPr>
        <w:snapToGrid w:val="0"/>
        <w:spacing w:line="360" w:lineRule="auto"/>
        <w:ind w:firstLine="420" w:firstLineChars="200"/>
        <w:rPr>
          <w:rFonts w:ascii="宋体" w:hAnsi="宋体"/>
          <w:sz w:val="21"/>
          <w:szCs w:val="21"/>
        </w:rPr>
      </w:pPr>
      <w:bookmarkStart w:id="88" w:name="_Toc13425_WPSOffice_Level3"/>
      <w:r>
        <w:rPr>
          <w:rFonts w:hint="eastAsia" w:ascii="宋体" w:hAnsi="宋体"/>
          <w:sz w:val="21"/>
          <w:szCs w:val="21"/>
        </w:rPr>
        <w:t>3、投标承诺书；</w:t>
      </w:r>
      <w:bookmarkEnd w:id="88"/>
    </w:p>
    <w:p>
      <w:pPr>
        <w:snapToGrid w:val="0"/>
        <w:spacing w:line="360" w:lineRule="auto"/>
        <w:ind w:firstLine="420" w:firstLineChars="200"/>
        <w:rPr>
          <w:rFonts w:ascii="宋体" w:hAnsi="宋体"/>
          <w:sz w:val="21"/>
          <w:szCs w:val="21"/>
        </w:rPr>
      </w:pPr>
      <w:bookmarkStart w:id="89" w:name="_Toc18981_WPSOffice_Level3"/>
      <w:r>
        <w:rPr>
          <w:rFonts w:hint="eastAsia" w:ascii="宋体" w:hAnsi="宋体"/>
          <w:sz w:val="21"/>
          <w:szCs w:val="21"/>
        </w:rPr>
        <w:t>4、中标或成交通知书。</w:t>
      </w:r>
      <w:bookmarkEnd w:id="89"/>
    </w:p>
    <w:p>
      <w:pPr>
        <w:snapToGrid w:val="0"/>
        <w:spacing w:line="360" w:lineRule="auto"/>
        <w:ind w:firstLine="422" w:firstLineChars="200"/>
        <w:rPr>
          <w:rFonts w:ascii="宋体" w:hAnsi="宋体"/>
          <w:sz w:val="21"/>
          <w:szCs w:val="21"/>
        </w:rPr>
      </w:pPr>
      <w:r>
        <w:rPr>
          <w:rFonts w:hint="eastAsia" w:ascii="宋体" w:hAnsi="宋体"/>
          <w:b/>
          <w:sz w:val="21"/>
          <w:szCs w:val="21"/>
        </w:rPr>
        <w:t xml:space="preserve">第二十一条  </w:t>
      </w:r>
      <w:r>
        <w:rPr>
          <w:rFonts w:hint="eastAsia" w:ascii="宋体" w:hAnsi="宋体"/>
          <w:sz w:val="21"/>
          <w:szCs w:val="21"/>
        </w:rPr>
        <w:t>本合同一式四份，具有同等法律效力，财政部门（政府采购监管部门）、采购代理机构各一份，甲乙双方各一份（可根据需要另增加）。</w:t>
      </w:r>
    </w:p>
    <w:p>
      <w:pPr>
        <w:snapToGrid w:val="0"/>
        <w:spacing w:line="360" w:lineRule="auto"/>
        <w:ind w:firstLine="420" w:firstLineChars="200"/>
        <w:rPr>
          <w:rFonts w:ascii="宋体" w:hAnsi="宋体"/>
          <w:sz w:val="21"/>
          <w:szCs w:val="21"/>
        </w:rPr>
      </w:pPr>
      <w:r>
        <w:rPr>
          <w:rFonts w:hint="eastAsia" w:ascii="宋体" w:hAnsi="宋体"/>
          <w:sz w:val="21"/>
          <w:szCs w:val="21"/>
        </w:rPr>
        <w:t>本合同甲乙双方签字盖章后生效，自签订之日起七个工作日内，采购人或采购代理机构应当将合同副本报同级财政部门备案。</w:t>
      </w:r>
    </w:p>
    <w:p>
      <w:pPr>
        <w:snapToGrid w:val="0"/>
        <w:spacing w:line="360" w:lineRule="auto"/>
        <w:ind w:firstLine="420" w:firstLineChars="200"/>
        <w:rPr>
          <w:rFonts w:ascii="宋体" w:hAnsi="宋体"/>
          <w:sz w:val="21"/>
          <w:szCs w:val="21"/>
        </w:rPr>
      </w:pPr>
    </w:p>
    <w:p>
      <w:pPr>
        <w:snapToGrid w:val="0"/>
        <w:spacing w:line="360" w:lineRule="auto"/>
        <w:ind w:firstLine="420" w:firstLineChars="200"/>
        <w:rPr>
          <w:rFonts w:ascii="宋体" w:hAnsi="宋体"/>
          <w:sz w:val="21"/>
          <w:szCs w:val="21"/>
        </w:rPr>
      </w:pPr>
    </w:p>
    <w:tbl>
      <w:tblPr>
        <w:tblStyle w:val="14"/>
        <w:tblW w:w="9000" w:type="dxa"/>
        <w:tblInd w:w="6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70"/>
        <w:gridCol w:w="4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7" w:hRule="atLeast"/>
        </w:trPr>
        <w:tc>
          <w:tcPr>
            <w:tcW w:w="4470" w:type="dxa"/>
            <w:vAlign w:val="center"/>
          </w:tcPr>
          <w:p>
            <w:pPr>
              <w:snapToGrid w:val="0"/>
              <w:spacing w:line="360" w:lineRule="auto"/>
              <w:rPr>
                <w:rFonts w:ascii="宋体" w:hAnsi="宋体"/>
                <w:sz w:val="21"/>
                <w:szCs w:val="21"/>
              </w:rPr>
            </w:pPr>
            <w:r>
              <w:rPr>
                <w:rFonts w:hint="eastAsia" w:ascii="宋体" w:hAnsi="宋体"/>
                <w:sz w:val="21"/>
                <w:szCs w:val="21"/>
              </w:rPr>
              <w:t xml:space="preserve">甲方（章）           </w:t>
            </w:r>
          </w:p>
          <w:p>
            <w:pPr>
              <w:snapToGrid w:val="0"/>
              <w:spacing w:line="360" w:lineRule="auto"/>
              <w:rPr>
                <w:rFonts w:ascii="宋体" w:hAnsi="宋体"/>
                <w:sz w:val="21"/>
                <w:szCs w:val="21"/>
              </w:rPr>
            </w:pPr>
          </w:p>
          <w:p>
            <w:pPr>
              <w:snapToGrid w:val="0"/>
              <w:spacing w:line="360" w:lineRule="auto"/>
              <w:ind w:firstLine="945" w:firstLineChars="450"/>
              <w:jc w:val="right"/>
              <w:rPr>
                <w:rFonts w:ascii="宋体" w:hAnsi="宋体"/>
                <w:sz w:val="21"/>
                <w:szCs w:val="21"/>
              </w:rPr>
            </w:pPr>
            <w:r>
              <w:rPr>
                <w:rFonts w:hint="eastAsia" w:ascii="宋体" w:hAnsi="宋体"/>
                <w:sz w:val="21"/>
                <w:szCs w:val="21"/>
              </w:rPr>
              <w:t>年   月   日</w:t>
            </w:r>
          </w:p>
        </w:tc>
        <w:tc>
          <w:tcPr>
            <w:tcW w:w="4530" w:type="dxa"/>
            <w:vAlign w:val="center"/>
          </w:tcPr>
          <w:p>
            <w:pPr>
              <w:snapToGrid w:val="0"/>
              <w:spacing w:line="360" w:lineRule="auto"/>
              <w:rPr>
                <w:rFonts w:ascii="宋体" w:hAnsi="宋体"/>
                <w:sz w:val="21"/>
                <w:szCs w:val="21"/>
              </w:rPr>
            </w:pPr>
            <w:r>
              <w:rPr>
                <w:rFonts w:hint="eastAsia" w:ascii="宋体" w:hAnsi="宋体"/>
                <w:sz w:val="21"/>
                <w:szCs w:val="21"/>
              </w:rPr>
              <w:t xml:space="preserve">乙方（章）              </w:t>
            </w:r>
          </w:p>
          <w:p>
            <w:pPr>
              <w:snapToGrid w:val="0"/>
              <w:spacing w:line="360" w:lineRule="auto"/>
              <w:rPr>
                <w:rFonts w:ascii="宋体" w:hAnsi="宋体"/>
                <w:sz w:val="21"/>
                <w:szCs w:val="21"/>
              </w:rPr>
            </w:pPr>
          </w:p>
          <w:p>
            <w:pPr>
              <w:snapToGrid w:val="0"/>
              <w:spacing w:line="360" w:lineRule="auto"/>
              <w:jc w:val="right"/>
              <w:rPr>
                <w:rFonts w:ascii="宋体" w:hAnsi="宋体"/>
                <w:sz w:val="21"/>
                <w:szCs w:val="21"/>
              </w:rPr>
            </w:pPr>
            <w:r>
              <w:rPr>
                <w:rFonts w:hint="eastAsia" w:ascii="宋体" w:hAnsi="宋体"/>
                <w:sz w:val="21"/>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8" w:hRule="atLeast"/>
        </w:trPr>
        <w:tc>
          <w:tcPr>
            <w:tcW w:w="4470" w:type="dxa"/>
            <w:vAlign w:val="center"/>
          </w:tcPr>
          <w:p>
            <w:pPr>
              <w:snapToGrid w:val="0"/>
              <w:spacing w:line="360" w:lineRule="auto"/>
              <w:rPr>
                <w:rFonts w:ascii="宋体" w:hAnsi="宋体"/>
                <w:sz w:val="21"/>
                <w:szCs w:val="21"/>
              </w:rPr>
            </w:pPr>
            <w:r>
              <w:rPr>
                <w:rFonts w:hint="eastAsia" w:ascii="宋体" w:hAnsi="宋体"/>
                <w:sz w:val="21"/>
                <w:szCs w:val="21"/>
              </w:rPr>
              <w:t>单位地址：</w:t>
            </w:r>
          </w:p>
        </w:tc>
        <w:tc>
          <w:tcPr>
            <w:tcW w:w="4530" w:type="dxa"/>
            <w:vAlign w:val="center"/>
          </w:tcPr>
          <w:p>
            <w:pPr>
              <w:snapToGrid w:val="0"/>
              <w:spacing w:line="360" w:lineRule="auto"/>
              <w:rPr>
                <w:rFonts w:ascii="宋体" w:hAnsi="宋体"/>
                <w:sz w:val="21"/>
                <w:szCs w:val="21"/>
              </w:rPr>
            </w:pPr>
            <w:r>
              <w:rPr>
                <w:rFonts w:hint="eastAsia" w:ascii="宋体" w:hAnsi="宋体"/>
                <w:sz w:val="21"/>
                <w:szCs w:val="21"/>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4" w:hRule="atLeast"/>
        </w:trPr>
        <w:tc>
          <w:tcPr>
            <w:tcW w:w="4470" w:type="dxa"/>
            <w:vAlign w:val="center"/>
          </w:tcPr>
          <w:p>
            <w:pPr>
              <w:snapToGrid w:val="0"/>
              <w:spacing w:line="360" w:lineRule="auto"/>
              <w:rPr>
                <w:rFonts w:ascii="宋体" w:hAnsi="宋体"/>
                <w:sz w:val="21"/>
                <w:szCs w:val="21"/>
              </w:rPr>
            </w:pPr>
            <w:r>
              <w:rPr>
                <w:rFonts w:hint="eastAsia" w:ascii="宋体" w:hAnsi="宋体"/>
                <w:sz w:val="21"/>
                <w:szCs w:val="21"/>
              </w:rPr>
              <w:t>法定代表人：</w:t>
            </w:r>
          </w:p>
        </w:tc>
        <w:tc>
          <w:tcPr>
            <w:tcW w:w="4530" w:type="dxa"/>
            <w:vAlign w:val="center"/>
          </w:tcPr>
          <w:p>
            <w:pPr>
              <w:snapToGrid w:val="0"/>
              <w:spacing w:line="360" w:lineRule="auto"/>
              <w:rPr>
                <w:rFonts w:ascii="宋体" w:hAnsi="宋体"/>
                <w:sz w:val="21"/>
                <w:szCs w:val="21"/>
              </w:rPr>
            </w:pPr>
            <w:r>
              <w:rPr>
                <w:rFonts w:hint="eastAsia" w:ascii="宋体" w:hAnsi="宋体"/>
                <w:sz w:val="21"/>
                <w:szCs w:val="21"/>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trPr>
        <w:tc>
          <w:tcPr>
            <w:tcW w:w="4470" w:type="dxa"/>
            <w:vAlign w:val="center"/>
          </w:tcPr>
          <w:p>
            <w:pPr>
              <w:snapToGrid w:val="0"/>
              <w:spacing w:line="360" w:lineRule="auto"/>
              <w:rPr>
                <w:rFonts w:ascii="宋体" w:hAnsi="宋体"/>
                <w:sz w:val="21"/>
                <w:szCs w:val="21"/>
              </w:rPr>
            </w:pPr>
            <w:r>
              <w:rPr>
                <w:rFonts w:hint="eastAsia" w:ascii="宋体" w:hAnsi="宋体"/>
                <w:sz w:val="21"/>
                <w:szCs w:val="21"/>
              </w:rPr>
              <w:t>委托代理人：</w:t>
            </w:r>
          </w:p>
        </w:tc>
        <w:tc>
          <w:tcPr>
            <w:tcW w:w="4530" w:type="dxa"/>
            <w:vAlign w:val="center"/>
          </w:tcPr>
          <w:p>
            <w:pPr>
              <w:snapToGrid w:val="0"/>
              <w:spacing w:line="360" w:lineRule="auto"/>
              <w:rPr>
                <w:rFonts w:ascii="宋体" w:hAnsi="宋体"/>
                <w:sz w:val="21"/>
                <w:szCs w:val="21"/>
              </w:rPr>
            </w:pPr>
            <w:r>
              <w:rPr>
                <w:rFonts w:hint="eastAsia" w:ascii="宋体" w:hAnsi="宋体"/>
                <w:sz w:val="21"/>
                <w:szCs w:val="21"/>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8" w:hRule="atLeast"/>
        </w:trPr>
        <w:tc>
          <w:tcPr>
            <w:tcW w:w="4470" w:type="dxa"/>
            <w:vAlign w:val="center"/>
          </w:tcPr>
          <w:p>
            <w:pPr>
              <w:snapToGrid w:val="0"/>
              <w:spacing w:line="360" w:lineRule="auto"/>
              <w:rPr>
                <w:rFonts w:ascii="宋体" w:hAnsi="宋体"/>
                <w:sz w:val="21"/>
                <w:szCs w:val="21"/>
              </w:rPr>
            </w:pPr>
            <w:r>
              <w:rPr>
                <w:rFonts w:hint="eastAsia" w:ascii="宋体" w:hAnsi="宋体"/>
                <w:sz w:val="21"/>
                <w:szCs w:val="21"/>
              </w:rPr>
              <w:t>电话：</w:t>
            </w:r>
          </w:p>
        </w:tc>
        <w:tc>
          <w:tcPr>
            <w:tcW w:w="4530" w:type="dxa"/>
            <w:vAlign w:val="center"/>
          </w:tcPr>
          <w:p>
            <w:pPr>
              <w:snapToGrid w:val="0"/>
              <w:spacing w:line="360" w:lineRule="auto"/>
              <w:rPr>
                <w:rFonts w:ascii="宋体" w:hAnsi="宋体"/>
                <w:sz w:val="21"/>
                <w:szCs w:val="21"/>
              </w:rPr>
            </w:pPr>
            <w:r>
              <w:rPr>
                <w:rFonts w:hint="eastAsia" w:ascii="宋体" w:hAnsi="宋体"/>
                <w:sz w:val="21"/>
                <w:szCs w:val="21"/>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3" w:hRule="atLeast"/>
        </w:trPr>
        <w:tc>
          <w:tcPr>
            <w:tcW w:w="4470" w:type="dxa"/>
            <w:vAlign w:val="center"/>
          </w:tcPr>
          <w:p>
            <w:pPr>
              <w:snapToGrid w:val="0"/>
              <w:spacing w:line="360" w:lineRule="auto"/>
              <w:rPr>
                <w:rFonts w:ascii="宋体" w:hAnsi="宋体"/>
                <w:sz w:val="21"/>
                <w:szCs w:val="21"/>
              </w:rPr>
            </w:pPr>
            <w:r>
              <w:rPr>
                <w:rFonts w:hint="eastAsia" w:ascii="宋体" w:hAnsi="宋体"/>
                <w:sz w:val="21"/>
                <w:szCs w:val="21"/>
              </w:rPr>
              <w:t>电子邮箱：</w:t>
            </w:r>
          </w:p>
        </w:tc>
        <w:tc>
          <w:tcPr>
            <w:tcW w:w="4530" w:type="dxa"/>
            <w:vAlign w:val="center"/>
          </w:tcPr>
          <w:p>
            <w:pPr>
              <w:snapToGrid w:val="0"/>
              <w:spacing w:line="360" w:lineRule="auto"/>
              <w:rPr>
                <w:rFonts w:ascii="宋体" w:hAnsi="宋体"/>
                <w:sz w:val="21"/>
                <w:szCs w:val="21"/>
              </w:rPr>
            </w:pPr>
            <w:r>
              <w:rPr>
                <w:rFonts w:hint="eastAsia" w:ascii="宋体" w:hAnsi="宋体"/>
                <w:sz w:val="21"/>
                <w:szCs w:val="21"/>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trPr>
        <w:tc>
          <w:tcPr>
            <w:tcW w:w="4470" w:type="dxa"/>
            <w:vAlign w:val="center"/>
          </w:tcPr>
          <w:p>
            <w:pPr>
              <w:snapToGrid w:val="0"/>
              <w:spacing w:line="360" w:lineRule="auto"/>
              <w:rPr>
                <w:rFonts w:ascii="宋体" w:hAnsi="宋体"/>
                <w:sz w:val="21"/>
                <w:szCs w:val="21"/>
              </w:rPr>
            </w:pPr>
            <w:r>
              <w:rPr>
                <w:rFonts w:hint="eastAsia" w:ascii="宋体" w:hAnsi="宋体"/>
                <w:sz w:val="21"/>
                <w:szCs w:val="21"/>
              </w:rPr>
              <w:t>开户银行：</w:t>
            </w:r>
          </w:p>
        </w:tc>
        <w:tc>
          <w:tcPr>
            <w:tcW w:w="4530" w:type="dxa"/>
            <w:vAlign w:val="center"/>
          </w:tcPr>
          <w:p>
            <w:pPr>
              <w:snapToGrid w:val="0"/>
              <w:spacing w:line="360" w:lineRule="auto"/>
              <w:rPr>
                <w:rFonts w:ascii="宋体" w:hAnsi="宋体"/>
                <w:sz w:val="21"/>
                <w:szCs w:val="21"/>
              </w:rPr>
            </w:pPr>
            <w:r>
              <w:rPr>
                <w:rFonts w:hint="eastAsia" w:ascii="宋体" w:hAnsi="宋体"/>
                <w:sz w:val="21"/>
                <w:szCs w:val="21"/>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trPr>
        <w:tc>
          <w:tcPr>
            <w:tcW w:w="4470" w:type="dxa"/>
            <w:vAlign w:val="center"/>
          </w:tcPr>
          <w:p>
            <w:pPr>
              <w:snapToGrid w:val="0"/>
              <w:spacing w:line="360" w:lineRule="auto"/>
              <w:rPr>
                <w:rFonts w:ascii="宋体" w:hAnsi="宋体"/>
                <w:sz w:val="21"/>
                <w:szCs w:val="21"/>
              </w:rPr>
            </w:pPr>
            <w:r>
              <w:rPr>
                <w:rFonts w:hint="eastAsia" w:ascii="宋体" w:hAnsi="宋体"/>
                <w:sz w:val="21"/>
                <w:szCs w:val="21"/>
              </w:rPr>
              <w:t>账号：</w:t>
            </w:r>
          </w:p>
        </w:tc>
        <w:tc>
          <w:tcPr>
            <w:tcW w:w="4530" w:type="dxa"/>
            <w:vAlign w:val="center"/>
          </w:tcPr>
          <w:p>
            <w:pPr>
              <w:snapToGrid w:val="0"/>
              <w:spacing w:line="360" w:lineRule="auto"/>
              <w:rPr>
                <w:rFonts w:ascii="宋体" w:hAnsi="宋体"/>
                <w:sz w:val="21"/>
                <w:szCs w:val="21"/>
              </w:rPr>
            </w:pPr>
            <w:r>
              <w:rPr>
                <w:rFonts w:hint="eastAsia" w:ascii="宋体" w:hAnsi="宋体"/>
                <w:sz w:val="21"/>
                <w:szCs w:val="21"/>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8" w:hRule="atLeast"/>
        </w:trPr>
        <w:tc>
          <w:tcPr>
            <w:tcW w:w="4470" w:type="dxa"/>
            <w:vAlign w:val="center"/>
          </w:tcPr>
          <w:p>
            <w:pPr>
              <w:snapToGrid w:val="0"/>
              <w:spacing w:line="360" w:lineRule="auto"/>
              <w:rPr>
                <w:rFonts w:ascii="宋体" w:hAnsi="宋体"/>
                <w:sz w:val="21"/>
                <w:szCs w:val="21"/>
              </w:rPr>
            </w:pPr>
            <w:r>
              <w:rPr>
                <w:rFonts w:hint="eastAsia" w:ascii="宋体" w:hAnsi="宋体"/>
                <w:sz w:val="21"/>
                <w:szCs w:val="21"/>
              </w:rPr>
              <w:t>邮政编码：</w:t>
            </w:r>
          </w:p>
        </w:tc>
        <w:tc>
          <w:tcPr>
            <w:tcW w:w="4530" w:type="dxa"/>
            <w:vAlign w:val="center"/>
          </w:tcPr>
          <w:p>
            <w:pPr>
              <w:snapToGrid w:val="0"/>
              <w:spacing w:line="360" w:lineRule="auto"/>
              <w:rPr>
                <w:rFonts w:ascii="宋体" w:hAnsi="宋体"/>
                <w:sz w:val="21"/>
                <w:szCs w:val="21"/>
              </w:rPr>
            </w:pPr>
            <w:r>
              <w:rPr>
                <w:rFonts w:hint="eastAsia" w:ascii="宋体" w:hAnsi="宋体"/>
                <w:sz w:val="21"/>
                <w:szCs w:val="21"/>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8" w:hRule="atLeast"/>
        </w:trPr>
        <w:tc>
          <w:tcPr>
            <w:tcW w:w="9000" w:type="dxa"/>
            <w:gridSpan w:val="2"/>
          </w:tcPr>
          <w:p>
            <w:pPr>
              <w:snapToGrid w:val="0"/>
              <w:spacing w:line="360" w:lineRule="auto"/>
              <w:ind w:left="2530" w:leftChars="1007" w:hanging="315" w:hangingChars="150"/>
              <w:rPr>
                <w:rFonts w:ascii="宋体" w:hAnsi="宋体"/>
                <w:sz w:val="21"/>
                <w:szCs w:val="21"/>
              </w:rPr>
            </w:pPr>
          </w:p>
          <w:p>
            <w:pPr>
              <w:snapToGrid w:val="0"/>
              <w:spacing w:line="360" w:lineRule="auto"/>
              <w:rPr>
                <w:rFonts w:ascii="宋体" w:hAnsi="宋体"/>
                <w:sz w:val="21"/>
                <w:szCs w:val="21"/>
              </w:rPr>
            </w:pPr>
            <w:r>
              <w:rPr>
                <w:rFonts w:hint="eastAsia" w:ascii="宋体" w:hAnsi="宋体"/>
                <w:sz w:val="21"/>
                <w:szCs w:val="21"/>
              </w:rPr>
              <w:t>经办人：</w:t>
            </w:r>
          </w:p>
          <w:p>
            <w:pPr>
              <w:snapToGrid w:val="0"/>
              <w:spacing w:line="360" w:lineRule="auto"/>
              <w:ind w:firstLine="630" w:firstLineChars="300"/>
              <w:jc w:val="right"/>
              <w:rPr>
                <w:rFonts w:ascii="宋体" w:hAnsi="宋体"/>
                <w:sz w:val="21"/>
                <w:szCs w:val="21"/>
              </w:rPr>
            </w:pPr>
            <w:r>
              <w:rPr>
                <w:rFonts w:hint="eastAsia" w:ascii="宋体" w:hAnsi="宋体"/>
                <w:sz w:val="21"/>
                <w:szCs w:val="21"/>
              </w:rPr>
              <w:t>年    月    日</w:t>
            </w:r>
          </w:p>
        </w:tc>
      </w:tr>
    </w:tbl>
    <w:p>
      <w:pPr>
        <w:snapToGrid w:val="0"/>
        <w:spacing w:line="360" w:lineRule="auto"/>
        <w:ind w:left="420" w:hanging="420" w:hangingChars="200"/>
        <w:rPr>
          <w:rFonts w:ascii="宋体" w:hAnsi="宋体"/>
          <w:sz w:val="21"/>
          <w:szCs w:val="21"/>
        </w:rPr>
      </w:pPr>
    </w:p>
    <w:p>
      <w:pPr>
        <w:snapToGrid w:val="0"/>
        <w:spacing w:line="360" w:lineRule="auto"/>
        <w:ind w:left="420" w:hanging="420" w:hangingChars="200"/>
        <w:rPr>
          <w:rFonts w:ascii="宋体" w:hAnsi="宋体"/>
          <w:sz w:val="21"/>
          <w:szCs w:val="21"/>
        </w:rPr>
      </w:pPr>
    </w:p>
    <w:p>
      <w:pPr>
        <w:snapToGrid w:val="0"/>
        <w:spacing w:line="360" w:lineRule="auto"/>
        <w:ind w:left="420" w:hanging="420" w:hangingChars="200"/>
        <w:rPr>
          <w:rFonts w:ascii="宋体" w:hAnsi="宋体"/>
          <w:sz w:val="21"/>
          <w:szCs w:val="21"/>
        </w:rPr>
      </w:pPr>
    </w:p>
    <w:p>
      <w:pPr>
        <w:snapToGrid w:val="0"/>
        <w:spacing w:line="360" w:lineRule="auto"/>
        <w:ind w:left="420" w:hanging="420" w:hangingChars="200"/>
        <w:rPr>
          <w:rFonts w:ascii="宋体" w:hAnsi="宋体"/>
          <w:sz w:val="21"/>
          <w:szCs w:val="21"/>
        </w:rPr>
      </w:pPr>
    </w:p>
    <w:p>
      <w:pPr>
        <w:snapToGrid w:val="0"/>
        <w:spacing w:line="360" w:lineRule="auto"/>
        <w:ind w:left="420" w:hanging="420" w:hangingChars="200"/>
        <w:rPr>
          <w:rFonts w:ascii="宋体" w:hAnsi="宋体"/>
          <w:sz w:val="21"/>
          <w:szCs w:val="21"/>
        </w:rPr>
      </w:pPr>
    </w:p>
    <w:p>
      <w:pPr>
        <w:snapToGrid w:val="0"/>
        <w:spacing w:line="360" w:lineRule="auto"/>
        <w:ind w:left="420" w:hanging="420" w:hangingChars="200"/>
        <w:rPr>
          <w:rFonts w:ascii="宋体" w:hAnsi="宋体"/>
          <w:sz w:val="21"/>
          <w:szCs w:val="21"/>
        </w:rPr>
      </w:pPr>
    </w:p>
    <w:p>
      <w:pPr>
        <w:snapToGrid w:val="0"/>
        <w:spacing w:line="360" w:lineRule="auto"/>
        <w:ind w:left="420" w:hanging="420" w:hangingChars="200"/>
        <w:rPr>
          <w:rFonts w:ascii="宋体" w:hAnsi="宋体"/>
          <w:sz w:val="21"/>
          <w:szCs w:val="21"/>
        </w:rPr>
      </w:pPr>
    </w:p>
    <w:p>
      <w:pPr>
        <w:snapToGrid w:val="0"/>
        <w:spacing w:line="360" w:lineRule="auto"/>
        <w:ind w:left="420" w:hanging="420" w:hangingChars="200"/>
        <w:rPr>
          <w:rFonts w:ascii="宋体" w:hAnsi="宋体"/>
          <w:sz w:val="21"/>
          <w:szCs w:val="21"/>
        </w:rPr>
      </w:pPr>
    </w:p>
    <w:p>
      <w:pPr>
        <w:snapToGrid w:val="0"/>
        <w:spacing w:line="360" w:lineRule="auto"/>
        <w:ind w:left="420" w:hanging="420" w:hangingChars="200"/>
        <w:rPr>
          <w:rFonts w:ascii="宋体" w:hAnsi="宋体"/>
          <w:sz w:val="21"/>
          <w:szCs w:val="21"/>
        </w:rPr>
      </w:pPr>
    </w:p>
    <w:p>
      <w:pPr>
        <w:snapToGrid w:val="0"/>
        <w:spacing w:line="360" w:lineRule="auto"/>
        <w:jc w:val="center"/>
        <w:rPr>
          <w:rFonts w:ascii="宋体" w:hAnsi="宋体"/>
          <w:b/>
          <w:sz w:val="21"/>
          <w:szCs w:val="21"/>
        </w:rPr>
      </w:pPr>
      <w:bookmarkStart w:id="90" w:name="_Toc20379_WPSOffice_Level2"/>
      <w:r>
        <w:rPr>
          <w:rFonts w:hint="eastAsia" w:ascii="宋体" w:hAnsi="宋体"/>
          <w:b/>
          <w:sz w:val="21"/>
          <w:szCs w:val="21"/>
        </w:rPr>
        <w:t>合 同 附 件</w:t>
      </w:r>
      <w:bookmarkEnd w:id="90"/>
    </w:p>
    <w:tbl>
      <w:tblPr>
        <w:tblStyle w:val="14"/>
        <w:tblW w:w="8326" w:type="dxa"/>
        <w:tblInd w:w="602" w:type="dxa"/>
        <w:tblLayout w:type="fixed"/>
        <w:tblCellMar>
          <w:top w:w="0" w:type="dxa"/>
          <w:left w:w="108" w:type="dxa"/>
          <w:bottom w:w="0" w:type="dxa"/>
          <w:right w:w="108" w:type="dxa"/>
        </w:tblCellMar>
      </w:tblPr>
      <w:tblGrid>
        <w:gridCol w:w="3646"/>
        <w:gridCol w:w="4680"/>
      </w:tblGrid>
      <w:tr>
        <w:tblPrEx>
          <w:tblCellMar>
            <w:top w:w="0" w:type="dxa"/>
            <w:left w:w="108" w:type="dxa"/>
            <w:bottom w:w="0" w:type="dxa"/>
            <w:right w:w="108" w:type="dxa"/>
          </w:tblCellMar>
        </w:tblPrEx>
        <w:trPr>
          <w:trHeight w:val="454" w:hRule="exact"/>
        </w:trPr>
        <w:tc>
          <w:tcPr>
            <w:tcW w:w="8326" w:type="dxa"/>
            <w:gridSpan w:val="2"/>
            <w:tcBorders>
              <w:top w:val="single" w:color="auto" w:sz="4" w:space="0"/>
              <w:left w:val="single" w:color="auto" w:sz="4" w:space="0"/>
              <w:right w:val="single" w:color="auto" w:sz="4" w:space="0"/>
            </w:tcBorders>
            <w:vAlign w:val="center"/>
          </w:tcPr>
          <w:p>
            <w:pPr>
              <w:snapToGrid w:val="0"/>
              <w:spacing w:line="360" w:lineRule="auto"/>
              <w:ind w:firstLine="420" w:firstLineChars="200"/>
              <w:rPr>
                <w:rFonts w:ascii="宋体" w:hAnsi="宋体"/>
                <w:sz w:val="21"/>
                <w:szCs w:val="21"/>
              </w:rPr>
            </w:pPr>
            <w:r>
              <w:rPr>
                <w:rFonts w:hint="eastAsia" w:ascii="宋体" w:hAnsi="宋体"/>
                <w:sz w:val="21"/>
                <w:szCs w:val="21"/>
              </w:rPr>
              <w:t>1、供应商承诺具体事项：</w:t>
            </w:r>
          </w:p>
        </w:tc>
      </w:tr>
      <w:tr>
        <w:tblPrEx>
          <w:tblCellMar>
            <w:top w:w="0" w:type="dxa"/>
            <w:left w:w="108" w:type="dxa"/>
            <w:bottom w:w="0" w:type="dxa"/>
            <w:right w:w="108" w:type="dxa"/>
          </w:tblCellMar>
        </w:tblPrEx>
        <w:trPr>
          <w:trHeight w:val="454" w:hRule="exact"/>
        </w:trPr>
        <w:tc>
          <w:tcPr>
            <w:tcW w:w="8326" w:type="dxa"/>
            <w:gridSpan w:val="2"/>
            <w:tcBorders>
              <w:left w:val="single" w:color="auto" w:sz="4" w:space="0"/>
              <w:right w:val="single" w:color="auto" w:sz="4" w:space="0"/>
            </w:tcBorders>
            <w:vAlign w:val="center"/>
          </w:tcPr>
          <w:p>
            <w:pPr>
              <w:snapToGrid w:val="0"/>
              <w:spacing w:line="360" w:lineRule="auto"/>
              <w:ind w:firstLine="420" w:firstLineChars="200"/>
              <w:rPr>
                <w:rFonts w:ascii="宋体" w:hAnsi="宋体"/>
                <w:sz w:val="21"/>
                <w:szCs w:val="21"/>
              </w:rPr>
            </w:pPr>
          </w:p>
        </w:tc>
      </w:tr>
      <w:tr>
        <w:tblPrEx>
          <w:tblCellMar>
            <w:top w:w="0" w:type="dxa"/>
            <w:left w:w="108" w:type="dxa"/>
            <w:bottom w:w="0" w:type="dxa"/>
            <w:right w:w="108" w:type="dxa"/>
          </w:tblCellMar>
        </w:tblPrEx>
        <w:trPr>
          <w:trHeight w:val="80" w:hRule="exact"/>
        </w:trPr>
        <w:tc>
          <w:tcPr>
            <w:tcW w:w="8326" w:type="dxa"/>
            <w:gridSpan w:val="2"/>
            <w:tcBorders>
              <w:left w:val="single" w:color="auto" w:sz="4" w:space="0"/>
              <w:right w:val="single" w:color="auto" w:sz="4" w:space="0"/>
            </w:tcBorders>
            <w:vAlign w:val="center"/>
          </w:tcPr>
          <w:p>
            <w:pPr>
              <w:snapToGrid w:val="0"/>
              <w:spacing w:line="360" w:lineRule="auto"/>
              <w:rPr>
                <w:rFonts w:ascii="宋体" w:hAnsi="宋体"/>
                <w:sz w:val="21"/>
                <w:szCs w:val="21"/>
              </w:rPr>
            </w:pPr>
          </w:p>
        </w:tc>
      </w:tr>
      <w:tr>
        <w:tblPrEx>
          <w:tblCellMar>
            <w:top w:w="0" w:type="dxa"/>
            <w:left w:w="108" w:type="dxa"/>
            <w:bottom w:w="0" w:type="dxa"/>
            <w:right w:w="108" w:type="dxa"/>
          </w:tblCellMar>
        </w:tblPrEx>
        <w:trPr>
          <w:trHeight w:val="454" w:hRule="exact"/>
        </w:trPr>
        <w:tc>
          <w:tcPr>
            <w:tcW w:w="8326" w:type="dxa"/>
            <w:gridSpan w:val="2"/>
            <w:tcBorders>
              <w:top w:val="single" w:color="auto" w:sz="4" w:space="0"/>
              <w:left w:val="single" w:color="auto" w:sz="4" w:space="0"/>
              <w:right w:val="single" w:color="auto" w:sz="4" w:space="0"/>
            </w:tcBorders>
            <w:vAlign w:val="center"/>
          </w:tcPr>
          <w:p>
            <w:pPr>
              <w:snapToGrid w:val="0"/>
              <w:spacing w:line="360" w:lineRule="auto"/>
              <w:ind w:firstLine="420" w:firstLineChars="200"/>
              <w:rPr>
                <w:rFonts w:ascii="宋体" w:hAnsi="宋体"/>
                <w:sz w:val="21"/>
                <w:szCs w:val="21"/>
              </w:rPr>
            </w:pPr>
            <w:r>
              <w:rPr>
                <w:rFonts w:hint="eastAsia" w:ascii="宋体" w:hAnsi="宋体"/>
                <w:sz w:val="21"/>
                <w:szCs w:val="21"/>
              </w:rPr>
              <w:t>2、售后服务具体事项：</w:t>
            </w:r>
          </w:p>
        </w:tc>
      </w:tr>
      <w:tr>
        <w:tblPrEx>
          <w:tblCellMar>
            <w:top w:w="0" w:type="dxa"/>
            <w:left w:w="108" w:type="dxa"/>
            <w:bottom w:w="0" w:type="dxa"/>
            <w:right w:w="108" w:type="dxa"/>
          </w:tblCellMar>
        </w:tblPrEx>
        <w:trPr>
          <w:trHeight w:val="454" w:hRule="exact"/>
        </w:trPr>
        <w:tc>
          <w:tcPr>
            <w:tcW w:w="8326" w:type="dxa"/>
            <w:gridSpan w:val="2"/>
            <w:tcBorders>
              <w:left w:val="single" w:color="auto" w:sz="4" w:space="0"/>
              <w:right w:val="single" w:color="auto" w:sz="4" w:space="0"/>
            </w:tcBorders>
            <w:vAlign w:val="center"/>
          </w:tcPr>
          <w:p>
            <w:pPr>
              <w:snapToGrid w:val="0"/>
              <w:spacing w:line="360" w:lineRule="auto"/>
              <w:ind w:firstLine="420" w:firstLineChars="200"/>
              <w:rPr>
                <w:rFonts w:ascii="宋体" w:hAnsi="宋体"/>
                <w:sz w:val="21"/>
                <w:szCs w:val="21"/>
              </w:rPr>
            </w:pPr>
          </w:p>
        </w:tc>
      </w:tr>
      <w:tr>
        <w:tblPrEx>
          <w:tblCellMar>
            <w:top w:w="0" w:type="dxa"/>
            <w:left w:w="108" w:type="dxa"/>
            <w:bottom w:w="0" w:type="dxa"/>
            <w:right w:w="108" w:type="dxa"/>
          </w:tblCellMar>
        </w:tblPrEx>
        <w:trPr>
          <w:trHeight w:val="80" w:hRule="exact"/>
        </w:trPr>
        <w:tc>
          <w:tcPr>
            <w:tcW w:w="8326" w:type="dxa"/>
            <w:gridSpan w:val="2"/>
            <w:tcBorders>
              <w:left w:val="single" w:color="auto" w:sz="4" w:space="0"/>
              <w:right w:val="single" w:color="auto" w:sz="4" w:space="0"/>
            </w:tcBorders>
            <w:vAlign w:val="center"/>
          </w:tcPr>
          <w:p>
            <w:pPr>
              <w:snapToGrid w:val="0"/>
              <w:spacing w:line="360" w:lineRule="auto"/>
              <w:ind w:firstLine="420" w:firstLineChars="200"/>
              <w:rPr>
                <w:rFonts w:ascii="宋体" w:hAnsi="宋体"/>
                <w:sz w:val="21"/>
                <w:szCs w:val="21"/>
              </w:rPr>
            </w:pPr>
          </w:p>
        </w:tc>
      </w:tr>
      <w:tr>
        <w:tblPrEx>
          <w:tblCellMar>
            <w:top w:w="0" w:type="dxa"/>
            <w:left w:w="108" w:type="dxa"/>
            <w:bottom w:w="0" w:type="dxa"/>
            <w:right w:w="108" w:type="dxa"/>
          </w:tblCellMar>
        </w:tblPrEx>
        <w:trPr>
          <w:trHeight w:val="454" w:hRule="exact"/>
        </w:trPr>
        <w:tc>
          <w:tcPr>
            <w:tcW w:w="8326" w:type="dxa"/>
            <w:gridSpan w:val="2"/>
            <w:tcBorders>
              <w:top w:val="single" w:color="auto" w:sz="4" w:space="0"/>
              <w:left w:val="single" w:color="auto" w:sz="4" w:space="0"/>
              <w:right w:val="single" w:color="auto" w:sz="4" w:space="0"/>
            </w:tcBorders>
            <w:vAlign w:val="center"/>
          </w:tcPr>
          <w:p>
            <w:pPr>
              <w:snapToGrid w:val="0"/>
              <w:spacing w:line="360" w:lineRule="auto"/>
              <w:ind w:firstLine="420" w:firstLineChars="200"/>
              <w:rPr>
                <w:rFonts w:ascii="宋体" w:hAnsi="宋体"/>
                <w:sz w:val="21"/>
                <w:szCs w:val="21"/>
              </w:rPr>
            </w:pPr>
            <w:r>
              <w:rPr>
                <w:rFonts w:hint="eastAsia" w:ascii="宋体" w:hAnsi="宋体"/>
                <w:sz w:val="21"/>
                <w:szCs w:val="21"/>
              </w:rPr>
              <w:t>3、保修期责任：</w:t>
            </w:r>
          </w:p>
        </w:tc>
      </w:tr>
      <w:tr>
        <w:tblPrEx>
          <w:tblCellMar>
            <w:top w:w="0" w:type="dxa"/>
            <w:left w:w="108" w:type="dxa"/>
            <w:bottom w:w="0" w:type="dxa"/>
            <w:right w:w="108" w:type="dxa"/>
          </w:tblCellMar>
        </w:tblPrEx>
        <w:trPr>
          <w:trHeight w:val="454" w:hRule="exact"/>
        </w:trPr>
        <w:tc>
          <w:tcPr>
            <w:tcW w:w="8326" w:type="dxa"/>
            <w:gridSpan w:val="2"/>
            <w:tcBorders>
              <w:left w:val="single" w:color="auto" w:sz="4" w:space="0"/>
              <w:right w:val="single" w:color="auto" w:sz="4" w:space="0"/>
            </w:tcBorders>
            <w:vAlign w:val="center"/>
          </w:tcPr>
          <w:p>
            <w:pPr>
              <w:snapToGrid w:val="0"/>
              <w:spacing w:line="360" w:lineRule="auto"/>
              <w:ind w:firstLine="420" w:firstLineChars="200"/>
              <w:rPr>
                <w:rFonts w:ascii="宋体" w:hAnsi="宋体"/>
                <w:sz w:val="21"/>
                <w:szCs w:val="21"/>
              </w:rPr>
            </w:pPr>
          </w:p>
        </w:tc>
      </w:tr>
      <w:tr>
        <w:tblPrEx>
          <w:tblCellMar>
            <w:top w:w="0" w:type="dxa"/>
            <w:left w:w="108" w:type="dxa"/>
            <w:bottom w:w="0" w:type="dxa"/>
            <w:right w:w="108" w:type="dxa"/>
          </w:tblCellMar>
        </w:tblPrEx>
        <w:trPr>
          <w:trHeight w:val="80" w:hRule="exact"/>
        </w:trPr>
        <w:tc>
          <w:tcPr>
            <w:tcW w:w="8326" w:type="dxa"/>
            <w:gridSpan w:val="2"/>
            <w:tcBorders>
              <w:left w:val="single" w:color="auto" w:sz="4" w:space="0"/>
              <w:right w:val="single" w:color="auto" w:sz="4" w:space="0"/>
            </w:tcBorders>
            <w:vAlign w:val="center"/>
          </w:tcPr>
          <w:p>
            <w:pPr>
              <w:snapToGrid w:val="0"/>
              <w:spacing w:line="360" w:lineRule="auto"/>
              <w:ind w:firstLine="420" w:firstLineChars="200"/>
              <w:rPr>
                <w:rFonts w:ascii="宋体" w:hAnsi="宋体"/>
                <w:sz w:val="21"/>
                <w:szCs w:val="21"/>
              </w:rPr>
            </w:pPr>
          </w:p>
        </w:tc>
      </w:tr>
      <w:tr>
        <w:tblPrEx>
          <w:tblCellMar>
            <w:top w:w="0" w:type="dxa"/>
            <w:left w:w="108" w:type="dxa"/>
            <w:bottom w:w="0" w:type="dxa"/>
            <w:right w:w="108" w:type="dxa"/>
          </w:tblCellMar>
        </w:tblPrEx>
        <w:trPr>
          <w:trHeight w:val="454" w:hRule="exact"/>
        </w:trPr>
        <w:tc>
          <w:tcPr>
            <w:tcW w:w="8326" w:type="dxa"/>
            <w:gridSpan w:val="2"/>
            <w:tcBorders>
              <w:top w:val="single" w:color="auto" w:sz="4" w:space="0"/>
              <w:left w:val="single" w:color="auto" w:sz="4" w:space="0"/>
              <w:right w:val="single" w:color="auto" w:sz="4" w:space="0"/>
            </w:tcBorders>
            <w:vAlign w:val="center"/>
          </w:tcPr>
          <w:p>
            <w:pPr>
              <w:snapToGrid w:val="0"/>
              <w:spacing w:line="360" w:lineRule="auto"/>
              <w:ind w:firstLine="420" w:firstLineChars="200"/>
              <w:rPr>
                <w:rFonts w:ascii="宋体" w:hAnsi="宋体"/>
                <w:sz w:val="21"/>
                <w:szCs w:val="21"/>
              </w:rPr>
            </w:pPr>
            <w:r>
              <w:rPr>
                <w:rFonts w:hint="eastAsia" w:ascii="宋体" w:hAnsi="宋体"/>
                <w:sz w:val="21"/>
                <w:szCs w:val="21"/>
              </w:rPr>
              <w:t>4、其他具体事项：</w:t>
            </w:r>
          </w:p>
        </w:tc>
      </w:tr>
      <w:tr>
        <w:tblPrEx>
          <w:tblCellMar>
            <w:top w:w="0" w:type="dxa"/>
            <w:left w:w="108" w:type="dxa"/>
            <w:bottom w:w="0" w:type="dxa"/>
            <w:right w:w="108" w:type="dxa"/>
          </w:tblCellMar>
        </w:tblPrEx>
        <w:trPr>
          <w:trHeight w:val="454" w:hRule="exact"/>
        </w:trPr>
        <w:tc>
          <w:tcPr>
            <w:tcW w:w="8326" w:type="dxa"/>
            <w:gridSpan w:val="2"/>
            <w:tcBorders>
              <w:left w:val="single" w:color="auto" w:sz="4" w:space="0"/>
              <w:right w:val="single" w:color="auto" w:sz="4" w:space="0"/>
            </w:tcBorders>
            <w:vAlign w:val="center"/>
          </w:tcPr>
          <w:p>
            <w:pPr>
              <w:snapToGrid w:val="0"/>
              <w:spacing w:line="360" w:lineRule="auto"/>
              <w:ind w:firstLine="422" w:firstLineChars="200"/>
              <w:rPr>
                <w:rFonts w:ascii="宋体" w:hAnsi="宋体"/>
                <w:b/>
                <w:sz w:val="21"/>
                <w:szCs w:val="21"/>
              </w:rPr>
            </w:pPr>
          </w:p>
        </w:tc>
      </w:tr>
      <w:tr>
        <w:tblPrEx>
          <w:tblCellMar>
            <w:top w:w="0" w:type="dxa"/>
            <w:left w:w="108" w:type="dxa"/>
            <w:bottom w:w="0" w:type="dxa"/>
            <w:right w:w="108" w:type="dxa"/>
          </w:tblCellMar>
        </w:tblPrEx>
        <w:trPr>
          <w:trHeight w:val="1293" w:hRule="atLeast"/>
        </w:trPr>
        <w:tc>
          <w:tcPr>
            <w:tcW w:w="364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420" w:firstLineChars="200"/>
              <w:rPr>
                <w:rFonts w:ascii="宋体" w:hAnsi="宋体"/>
                <w:sz w:val="21"/>
                <w:szCs w:val="21"/>
              </w:rPr>
            </w:pPr>
            <w:r>
              <w:rPr>
                <w:rFonts w:hint="eastAsia" w:ascii="宋体" w:hAnsi="宋体"/>
                <w:sz w:val="21"/>
                <w:szCs w:val="21"/>
              </w:rPr>
              <w:t>甲方（章）</w:t>
            </w:r>
          </w:p>
          <w:p>
            <w:pPr>
              <w:snapToGrid w:val="0"/>
              <w:spacing w:line="360" w:lineRule="auto"/>
              <w:ind w:firstLine="420" w:firstLineChars="200"/>
              <w:rPr>
                <w:rFonts w:ascii="宋体" w:hAnsi="宋体"/>
                <w:sz w:val="21"/>
                <w:szCs w:val="21"/>
              </w:rPr>
            </w:pPr>
          </w:p>
          <w:p>
            <w:pPr>
              <w:snapToGrid w:val="0"/>
              <w:spacing w:line="360" w:lineRule="auto"/>
              <w:ind w:firstLine="420" w:firstLineChars="200"/>
              <w:rPr>
                <w:rFonts w:ascii="宋体" w:hAnsi="宋体"/>
                <w:sz w:val="21"/>
                <w:szCs w:val="21"/>
              </w:rPr>
            </w:pPr>
          </w:p>
          <w:p>
            <w:pPr>
              <w:snapToGrid w:val="0"/>
              <w:spacing w:line="360" w:lineRule="auto"/>
              <w:ind w:firstLine="420" w:firstLineChars="200"/>
              <w:rPr>
                <w:rFonts w:ascii="宋体" w:hAnsi="宋体"/>
                <w:sz w:val="21"/>
                <w:szCs w:val="21"/>
              </w:rPr>
            </w:pPr>
            <w:r>
              <w:rPr>
                <w:rFonts w:hint="eastAsia" w:ascii="宋体" w:hAnsi="宋体"/>
                <w:sz w:val="21"/>
                <w:szCs w:val="21"/>
              </w:rPr>
              <w:t xml:space="preserve">               年   月   日 </w:t>
            </w:r>
          </w:p>
        </w:tc>
        <w:tc>
          <w:tcPr>
            <w:tcW w:w="468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420" w:firstLineChars="200"/>
              <w:rPr>
                <w:rFonts w:ascii="宋体" w:hAnsi="宋体"/>
                <w:sz w:val="21"/>
                <w:szCs w:val="21"/>
              </w:rPr>
            </w:pPr>
            <w:r>
              <w:rPr>
                <w:rFonts w:hint="eastAsia" w:ascii="宋体" w:hAnsi="宋体"/>
                <w:sz w:val="21"/>
                <w:szCs w:val="21"/>
              </w:rPr>
              <w:t>乙方（章）</w:t>
            </w:r>
          </w:p>
          <w:p>
            <w:pPr>
              <w:snapToGrid w:val="0"/>
              <w:spacing w:line="360" w:lineRule="auto"/>
              <w:ind w:firstLine="420" w:firstLineChars="200"/>
              <w:rPr>
                <w:rFonts w:ascii="宋体" w:hAnsi="宋体"/>
                <w:sz w:val="21"/>
                <w:szCs w:val="21"/>
              </w:rPr>
            </w:pPr>
          </w:p>
          <w:p>
            <w:pPr>
              <w:snapToGrid w:val="0"/>
              <w:spacing w:line="360" w:lineRule="auto"/>
              <w:ind w:firstLine="420" w:firstLineChars="200"/>
              <w:rPr>
                <w:rFonts w:ascii="宋体" w:hAnsi="宋体"/>
                <w:sz w:val="21"/>
                <w:szCs w:val="21"/>
              </w:rPr>
            </w:pPr>
          </w:p>
          <w:p>
            <w:pPr>
              <w:snapToGrid w:val="0"/>
              <w:spacing w:line="360" w:lineRule="auto"/>
              <w:ind w:firstLine="420" w:firstLineChars="200"/>
              <w:rPr>
                <w:rFonts w:ascii="宋体" w:hAnsi="宋体"/>
                <w:sz w:val="21"/>
                <w:szCs w:val="21"/>
              </w:rPr>
            </w:pPr>
            <w:r>
              <w:rPr>
                <w:rFonts w:hint="eastAsia" w:ascii="宋体" w:hAnsi="宋体"/>
                <w:sz w:val="21"/>
                <w:szCs w:val="21"/>
              </w:rPr>
              <w:t xml:space="preserve">                年   月   日</w:t>
            </w:r>
          </w:p>
        </w:tc>
      </w:tr>
    </w:tbl>
    <w:p>
      <w:pPr>
        <w:snapToGrid w:val="0"/>
        <w:spacing w:line="360" w:lineRule="auto"/>
        <w:ind w:firstLine="420" w:firstLineChars="200"/>
        <w:rPr>
          <w:rFonts w:ascii="宋体" w:hAnsi="宋体"/>
          <w:sz w:val="21"/>
          <w:szCs w:val="21"/>
        </w:rPr>
      </w:pPr>
      <w:r>
        <w:rPr>
          <w:rFonts w:hint="eastAsia" w:ascii="宋体" w:hAnsi="宋体"/>
          <w:sz w:val="21"/>
          <w:szCs w:val="21"/>
        </w:rPr>
        <w:t>注：售后服务事项填不下时可另加附页</w:t>
      </w:r>
    </w:p>
    <w:p>
      <w:pPr>
        <w:spacing w:line="360" w:lineRule="auto"/>
        <w:ind w:left="220" w:leftChars="100"/>
        <w:rPr>
          <w:sz w:val="21"/>
          <w:szCs w:val="21"/>
        </w:rPr>
      </w:pPr>
    </w:p>
    <w:p>
      <w:pPr>
        <w:spacing w:line="360" w:lineRule="auto"/>
        <w:ind w:left="220" w:leftChars="100"/>
        <w:rPr>
          <w:sz w:val="20"/>
          <w:szCs w:val="20"/>
        </w:rPr>
      </w:pPr>
    </w:p>
    <w:p>
      <w:pPr>
        <w:spacing w:line="360" w:lineRule="auto"/>
        <w:ind w:left="220" w:leftChars="100"/>
        <w:rPr>
          <w:sz w:val="20"/>
          <w:szCs w:val="20"/>
        </w:rPr>
      </w:pPr>
    </w:p>
    <w:p>
      <w:pPr>
        <w:spacing w:line="360" w:lineRule="auto"/>
        <w:ind w:left="220" w:leftChars="100"/>
        <w:rPr>
          <w:sz w:val="20"/>
          <w:szCs w:val="20"/>
        </w:rPr>
      </w:pPr>
    </w:p>
    <w:p>
      <w:pPr>
        <w:spacing w:line="360" w:lineRule="auto"/>
        <w:ind w:left="220" w:leftChars="100"/>
        <w:rPr>
          <w:sz w:val="20"/>
          <w:szCs w:val="20"/>
        </w:rPr>
      </w:pPr>
    </w:p>
    <w:p>
      <w:pPr>
        <w:spacing w:line="360" w:lineRule="auto"/>
        <w:ind w:left="220" w:leftChars="100"/>
        <w:rPr>
          <w:sz w:val="20"/>
          <w:szCs w:val="20"/>
        </w:rPr>
      </w:pPr>
    </w:p>
    <w:p>
      <w:pPr>
        <w:spacing w:line="360" w:lineRule="auto"/>
        <w:ind w:left="220" w:leftChars="100"/>
        <w:rPr>
          <w:sz w:val="20"/>
          <w:szCs w:val="20"/>
        </w:rPr>
      </w:pPr>
    </w:p>
    <w:p>
      <w:pPr>
        <w:spacing w:line="360" w:lineRule="auto"/>
        <w:ind w:left="220" w:leftChars="100"/>
        <w:rPr>
          <w:sz w:val="20"/>
          <w:szCs w:val="20"/>
        </w:rPr>
      </w:pPr>
    </w:p>
    <w:p>
      <w:pPr>
        <w:spacing w:line="360" w:lineRule="auto"/>
        <w:ind w:left="220" w:leftChars="100"/>
        <w:rPr>
          <w:sz w:val="20"/>
          <w:szCs w:val="20"/>
        </w:rPr>
      </w:pPr>
    </w:p>
    <w:p>
      <w:pPr>
        <w:spacing w:line="360" w:lineRule="auto"/>
        <w:ind w:left="220" w:leftChars="100"/>
        <w:rPr>
          <w:sz w:val="20"/>
          <w:szCs w:val="20"/>
        </w:rPr>
      </w:pPr>
    </w:p>
    <w:p>
      <w:pPr>
        <w:spacing w:line="360" w:lineRule="auto"/>
        <w:ind w:left="220" w:leftChars="100"/>
        <w:rPr>
          <w:sz w:val="20"/>
          <w:szCs w:val="20"/>
        </w:rPr>
      </w:pPr>
    </w:p>
    <w:p>
      <w:pPr>
        <w:spacing w:line="360" w:lineRule="auto"/>
        <w:ind w:left="220" w:leftChars="100"/>
        <w:rPr>
          <w:sz w:val="20"/>
          <w:szCs w:val="20"/>
        </w:rPr>
      </w:pPr>
    </w:p>
    <w:p>
      <w:pPr>
        <w:spacing w:line="360" w:lineRule="auto"/>
        <w:ind w:left="220" w:leftChars="100"/>
        <w:rPr>
          <w:sz w:val="20"/>
          <w:szCs w:val="20"/>
        </w:rPr>
      </w:pPr>
    </w:p>
    <w:p>
      <w:pPr>
        <w:spacing w:line="360" w:lineRule="auto"/>
        <w:sectPr>
          <w:type w:val="continuous"/>
          <w:pgSz w:w="11900" w:h="16840"/>
          <w:pgMar w:top="964" w:right="1123" w:bottom="652" w:left="482" w:header="0" w:footer="397" w:gutter="0"/>
          <w:cols w:space="425" w:num="1"/>
        </w:sectPr>
      </w:pPr>
    </w:p>
    <w:p>
      <w:pPr>
        <w:spacing w:line="360" w:lineRule="auto"/>
        <w:jc w:val="center"/>
      </w:pPr>
      <w:bookmarkStart w:id="91" w:name="page31"/>
      <w:bookmarkEnd w:id="91"/>
      <w:bookmarkStart w:id="92" w:name="_Toc27060_WPSOffice_Level1"/>
      <w:r>
        <w:rPr>
          <w:rFonts w:ascii="宋体" w:hAnsi="宋体" w:eastAsia="宋体" w:cs="宋体"/>
          <w:b/>
          <w:bCs/>
          <w:sz w:val="40"/>
          <w:szCs w:val="40"/>
        </w:rPr>
        <w:t>第六章</w:t>
      </w:r>
      <w:r>
        <w:rPr>
          <w:rFonts w:hint="eastAsia" w:ascii="宋体" w:hAnsi="宋体" w:eastAsia="宋体" w:cs="宋体"/>
          <w:b/>
          <w:bCs/>
          <w:sz w:val="40"/>
          <w:szCs w:val="40"/>
        </w:rPr>
        <w:t xml:space="preserve">   </w:t>
      </w:r>
      <w:r>
        <w:rPr>
          <w:rFonts w:ascii="宋体" w:hAnsi="宋体" w:eastAsia="宋体" w:cs="宋体"/>
          <w:b/>
          <w:bCs/>
          <w:sz w:val="40"/>
          <w:szCs w:val="40"/>
        </w:rPr>
        <w:t>响应文件格式</w:t>
      </w:r>
      <w:bookmarkEnd w:id="92"/>
    </w:p>
    <w:p>
      <w:pPr>
        <w:spacing w:line="360" w:lineRule="auto"/>
        <w:ind w:left="220" w:leftChars="100"/>
        <w:rPr>
          <w:sz w:val="20"/>
          <w:szCs w:val="20"/>
        </w:rPr>
      </w:pPr>
    </w:p>
    <w:p>
      <w:pPr>
        <w:spacing w:line="360" w:lineRule="auto"/>
        <w:ind w:left="220" w:leftChars="100"/>
        <w:rPr>
          <w:sz w:val="20"/>
          <w:szCs w:val="20"/>
        </w:rPr>
      </w:pPr>
      <w:r>
        <w:rPr>
          <w:rFonts w:ascii="宋体" w:hAnsi="宋体" w:eastAsia="宋体" w:cs="宋体"/>
          <w:b/>
          <w:bCs/>
          <w:sz w:val="28"/>
          <w:szCs w:val="28"/>
        </w:rPr>
        <w:t>1、磋商函（格式见附件）（必须提供）；</w:t>
      </w:r>
    </w:p>
    <w:p>
      <w:pPr>
        <w:spacing w:line="360" w:lineRule="auto"/>
        <w:ind w:left="220" w:leftChars="100"/>
        <w:rPr>
          <w:sz w:val="20"/>
          <w:szCs w:val="20"/>
        </w:rPr>
      </w:pPr>
      <w:r>
        <w:rPr>
          <w:rFonts w:ascii="宋体" w:hAnsi="宋体" w:eastAsia="宋体" w:cs="宋体"/>
          <w:b/>
          <w:bCs/>
          <w:sz w:val="24"/>
          <w:szCs w:val="24"/>
        </w:rPr>
        <w:t>附件：</w:t>
      </w:r>
    </w:p>
    <w:p>
      <w:pPr>
        <w:spacing w:line="360" w:lineRule="auto"/>
        <w:ind w:left="220" w:leftChars="100"/>
        <w:jc w:val="center"/>
        <w:rPr>
          <w:sz w:val="20"/>
          <w:szCs w:val="20"/>
        </w:rPr>
      </w:pPr>
      <w:bookmarkStart w:id="93" w:name="_Toc29858_WPSOffice_Level1"/>
      <w:r>
        <w:rPr>
          <w:rFonts w:ascii="宋体" w:hAnsi="宋体" w:eastAsia="宋体" w:cs="宋体"/>
          <w:b/>
          <w:bCs/>
          <w:sz w:val="32"/>
          <w:szCs w:val="32"/>
        </w:rPr>
        <w:t>磋商函（格式）</w:t>
      </w:r>
      <w:bookmarkEnd w:id="93"/>
    </w:p>
    <w:p>
      <w:pPr>
        <w:spacing w:line="360" w:lineRule="auto"/>
        <w:ind w:left="220" w:leftChars="100"/>
        <w:rPr>
          <w:rFonts w:eastAsia="宋体"/>
          <w:sz w:val="20"/>
          <w:szCs w:val="20"/>
        </w:rPr>
      </w:pPr>
      <w:r>
        <w:rPr>
          <w:rFonts w:ascii="宋体" w:hAnsi="宋体" w:eastAsia="宋体" w:cs="宋体"/>
          <w:sz w:val="21"/>
          <w:szCs w:val="21"/>
        </w:rPr>
        <w:t>致</w:t>
      </w:r>
      <w:r>
        <w:rPr>
          <w:rFonts w:ascii="宋体" w:hAnsi="宋体" w:eastAsia="宋体" w:cs="宋体"/>
          <w:sz w:val="21"/>
          <w:szCs w:val="21"/>
          <w:u w:val="single"/>
        </w:rPr>
        <w:t>：</w:t>
      </w:r>
      <w:r>
        <w:rPr>
          <w:rFonts w:hint="eastAsia" w:ascii="宋体" w:hAnsi="宋体" w:eastAsia="宋体" w:cs="宋体"/>
          <w:sz w:val="21"/>
          <w:szCs w:val="21"/>
          <w:u w:val="single"/>
        </w:rPr>
        <w:t>广西大通建设监理咨询管理有限公司</w:t>
      </w:r>
    </w:p>
    <w:p>
      <w:pPr>
        <w:spacing w:line="360" w:lineRule="auto"/>
        <w:ind w:left="220" w:leftChars="100" w:firstLine="420" w:firstLineChars="200"/>
        <w:rPr>
          <w:rFonts w:ascii="宋体" w:hAnsi="宋体" w:eastAsia="宋体" w:cs="宋体"/>
          <w:sz w:val="21"/>
          <w:szCs w:val="21"/>
        </w:rPr>
      </w:pPr>
      <w:r>
        <w:rPr>
          <w:rFonts w:hint="eastAsia" w:ascii="宋体" w:hAnsi="宋体" w:eastAsia="宋体" w:cs="宋体"/>
          <w:sz w:val="21"/>
          <w:szCs w:val="21"/>
        </w:rPr>
        <w:t>根据贵方项目磋商文件，项目编号，签字代表（姓名）经正式授权并代表磋商供应商（磋商单位名称），提交响应文件正本壹份，副本叁份。</w:t>
      </w:r>
    </w:p>
    <w:p>
      <w:pPr>
        <w:spacing w:line="360" w:lineRule="auto"/>
        <w:ind w:left="220" w:leftChars="100"/>
        <w:rPr>
          <w:sz w:val="24"/>
          <w:szCs w:val="24"/>
        </w:rPr>
      </w:pPr>
      <w:r>
        <w:rPr>
          <w:rFonts w:ascii="宋体" w:hAnsi="宋体" w:eastAsia="宋体" w:cs="宋体"/>
          <w:sz w:val="21"/>
          <w:szCs w:val="21"/>
        </w:rPr>
        <w:t>据此函，签字代表宣布同意如下：</w:t>
      </w:r>
    </w:p>
    <w:p>
      <w:pPr>
        <w:spacing w:line="360" w:lineRule="auto"/>
        <w:ind w:left="220" w:leftChars="100"/>
        <w:rPr>
          <w:sz w:val="20"/>
          <w:szCs w:val="20"/>
        </w:rPr>
      </w:pPr>
      <w:r>
        <w:rPr>
          <w:rFonts w:ascii="宋体" w:hAnsi="宋体" w:eastAsia="宋体" w:cs="宋体"/>
          <w:sz w:val="21"/>
          <w:szCs w:val="21"/>
        </w:rPr>
        <w:t>1、按磋商文件服务采购需求和磋商报价表：磋商总报价</w:t>
      </w:r>
      <w:r>
        <w:rPr>
          <w:rFonts w:hint="eastAsia" w:ascii="宋体" w:hAnsi="宋体" w:eastAsia="宋体" w:cs="宋体"/>
          <w:sz w:val="21"/>
          <w:szCs w:val="21"/>
        </w:rPr>
        <w:t>（￥）</w:t>
      </w:r>
      <w:r>
        <w:rPr>
          <w:rFonts w:ascii="宋体" w:hAnsi="宋体" w:eastAsia="宋体" w:cs="宋体"/>
          <w:sz w:val="21"/>
          <w:szCs w:val="21"/>
        </w:rPr>
        <w:t>（大写）元人民币</w:t>
      </w:r>
    </w:p>
    <w:p>
      <w:pPr>
        <w:spacing w:line="360" w:lineRule="auto"/>
        <w:ind w:left="220" w:leftChars="100"/>
        <w:rPr>
          <w:sz w:val="20"/>
          <w:szCs w:val="20"/>
        </w:rPr>
      </w:pPr>
      <w:r>
        <w:rPr>
          <w:rFonts w:ascii="宋体" w:hAnsi="宋体" w:eastAsia="宋体" w:cs="宋体"/>
          <w:sz w:val="21"/>
          <w:szCs w:val="21"/>
        </w:rPr>
        <w:t>，工期：。</w:t>
      </w:r>
    </w:p>
    <w:p>
      <w:pPr>
        <w:spacing w:line="360" w:lineRule="auto"/>
        <w:ind w:left="220" w:leftChars="100" w:right="100"/>
        <w:rPr>
          <w:rFonts w:ascii="宋体" w:hAnsi="宋体" w:eastAsia="宋体" w:cs="宋体"/>
          <w:sz w:val="21"/>
          <w:szCs w:val="21"/>
        </w:rPr>
      </w:pPr>
      <w:r>
        <w:rPr>
          <w:rFonts w:hint="eastAsia" w:ascii="宋体" w:hAnsi="宋体" w:eastAsia="宋体" w:cs="宋体"/>
          <w:sz w:val="21"/>
          <w:szCs w:val="21"/>
        </w:rPr>
        <w:t>2、</w:t>
      </w:r>
      <w:r>
        <w:rPr>
          <w:rFonts w:ascii="宋体" w:hAnsi="宋体" w:eastAsia="宋体" w:cs="宋体"/>
          <w:sz w:val="21"/>
          <w:szCs w:val="21"/>
        </w:rPr>
        <w:t>我方承诺已具备磋商文件规定的磋商供应商资格条件。</w:t>
      </w:r>
    </w:p>
    <w:p>
      <w:pPr>
        <w:spacing w:line="360" w:lineRule="auto"/>
        <w:ind w:left="220" w:leftChars="100" w:right="100"/>
        <w:rPr>
          <w:sz w:val="20"/>
          <w:szCs w:val="20"/>
        </w:rPr>
      </w:pPr>
      <w:r>
        <w:rPr>
          <w:rFonts w:ascii="宋体" w:hAnsi="宋体" w:eastAsia="宋体" w:cs="宋体"/>
          <w:sz w:val="21"/>
          <w:szCs w:val="21"/>
        </w:rPr>
        <w:t>3、我方已详细审核磋商文件，包括修改文件（如有的话）和有关附件，将自行承担因对全部磋商文件理解不正</w:t>
      </w:r>
    </w:p>
    <w:p>
      <w:pPr>
        <w:spacing w:line="360" w:lineRule="auto"/>
        <w:ind w:left="220" w:leftChars="100"/>
        <w:rPr>
          <w:sz w:val="20"/>
          <w:szCs w:val="20"/>
        </w:rPr>
      </w:pPr>
      <w:r>
        <w:rPr>
          <w:rFonts w:ascii="宋体" w:hAnsi="宋体" w:eastAsia="宋体" w:cs="宋体"/>
          <w:sz w:val="21"/>
          <w:szCs w:val="21"/>
        </w:rPr>
        <w:t>确或误解而产生的相应后果。</w:t>
      </w:r>
    </w:p>
    <w:p>
      <w:pPr>
        <w:spacing w:line="360" w:lineRule="auto"/>
        <w:ind w:left="220" w:leftChars="100"/>
        <w:rPr>
          <w:sz w:val="20"/>
          <w:szCs w:val="20"/>
        </w:rPr>
      </w:pPr>
      <w:r>
        <w:rPr>
          <w:rFonts w:ascii="宋体" w:hAnsi="宋体" w:eastAsia="宋体" w:cs="宋体"/>
          <w:sz w:val="21"/>
          <w:szCs w:val="21"/>
        </w:rPr>
        <w:t>4、如我方成交：</w:t>
      </w:r>
    </w:p>
    <w:p>
      <w:pPr>
        <w:spacing w:line="360" w:lineRule="auto"/>
        <w:ind w:left="220" w:leftChars="100"/>
        <w:rPr>
          <w:sz w:val="20"/>
          <w:szCs w:val="20"/>
        </w:rPr>
      </w:pPr>
      <w:r>
        <w:rPr>
          <w:rFonts w:ascii="宋体" w:hAnsi="宋体" w:eastAsia="宋体" w:cs="宋体"/>
          <w:sz w:val="21"/>
          <w:szCs w:val="21"/>
        </w:rPr>
        <w:t>（1）我方承诺在收到成交通知书后，在成交通知书规定的期限内与采购人签订合同。</w:t>
      </w:r>
    </w:p>
    <w:p>
      <w:pPr>
        <w:spacing w:line="360" w:lineRule="auto"/>
        <w:ind w:right="100" w:firstLine="210" w:firstLineChars="100"/>
        <w:rPr>
          <w:sz w:val="20"/>
          <w:szCs w:val="20"/>
        </w:rPr>
      </w:pPr>
      <w:r>
        <w:rPr>
          <w:rFonts w:ascii="宋体" w:hAnsi="宋体" w:eastAsia="宋体" w:cs="宋体"/>
          <w:sz w:val="21"/>
          <w:szCs w:val="21"/>
        </w:rPr>
        <w:t>（2）我方承诺本响应文件至本项目合同履行完毕止均保持有效，按磋商文件及政府采购法律、法规的规定履行合同责任和义务。</w:t>
      </w:r>
    </w:p>
    <w:p>
      <w:pPr>
        <w:spacing w:line="360" w:lineRule="auto"/>
        <w:ind w:left="220" w:leftChars="100"/>
        <w:rPr>
          <w:rFonts w:ascii="宋体" w:hAnsi="宋体" w:eastAsia="宋体" w:cs="宋体"/>
          <w:sz w:val="21"/>
          <w:szCs w:val="21"/>
        </w:rPr>
      </w:pPr>
      <w:r>
        <w:rPr>
          <w:rFonts w:ascii="宋体" w:hAnsi="宋体" w:eastAsia="宋体" w:cs="宋体"/>
          <w:sz w:val="21"/>
          <w:szCs w:val="21"/>
        </w:rPr>
        <w:t>与本磋商有关的正式通讯地址为：</w:t>
      </w:r>
    </w:p>
    <w:p>
      <w:pPr>
        <w:spacing w:line="360" w:lineRule="auto"/>
        <w:ind w:left="220" w:leftChars="100"/>
        <w:rPr>
          <w:sz w:val="21"/>
          <w:szCs w:val="21"/>
        </w:rPr>
      </w:pPr>
      <w:r>
        <w:rPr>
          <w:rFonts w:ascii="宋体" w:hAnsi="宋体" w:eastAsia="宋体" w:cs="宋体"/>
          <w:sz w:val="21"/>
          <w:szCs w:val="21"/>
        </w:rPr>
        <w:t>地址：</w:t>
      </w:r>
    </w:p>
    <w:p>
      <w:pPr>
        <w:spacing w:line="360" w:lineRule="auto"/>
        <w:ind w:left="220" w:leftChars="100"/>
        <w:rPr>
          <w:sz w:val="21"/>
          <w:szCs w:val="21"/>
        </w:rPr>
      </w:pPr>
      <w:r>
        <w:rPr>
          <w:rFonts w:ascii="宋体" w:hAnsi="宋体" w:eastAsia="宋体" w:cs="宋体"/>
          <w:w w:val="95"/>
          <w:sz w:val="21"/>
          <w:szCs w:val="21"/>
        </w:rPr>
        <w:t>邮编：</w:t>
      </w:r>
    </w:p>
    <w:p>
      <w:pPr>
        <w:spacing w:line="360" w:lineRule="auto"/>
        <w:ind w:left="220" w:leftChars="100"/>
        <w:rPr>
          <w:rFonts w:ascii="宋体" w:hAnsi="宋体" w:eastAsia="宋体" w:cs="宋体"/>
          <w:sz w:val="21"/>
          <w:szCs w:val="21"/>
        </w:rPr>
      </w:pPr>
      <w:r>
        <w:rPr>
          <w:rFonts w:ascii="宋体" w:hAnsi="宋体" w:eastAsia="宋体" w:cs="宋体"/>
          <w:sz w:val="21"/>
          <w:szCs w:val="21"/>
        </w:rPr>
        <w:t>电话、传真：</w:t>
      </w:r>
    </w:p>
    <w:p>
      <w:pPr>
        <w:spacing w:line="360" w:lineRule="auto"/>
        <w:ind w:left="220" w:leftChars="100"/>
        <w:rPr>
          <w:sz w:val="21"/>
          <w:szCs w:val="21"/>
        </w:rPr>
      </w:pPr>
      <w:r>
        <w:rPr>
          <w:rFonts w:ascii="宋体" w:hAnsi="宋体" w:eastAsia="宋体" w:cs="宋体"/>
          <w:sz w:val="21"/>
          <w:szCs w:val="21"/>
        </w:rPr>
        <w:t>开户名称：</w:t>
      </w:r>
    </w:p>
    <w:p>
      <w:pPr>
        <w:spacing w:line="360" w:lineRule="auto"/>
        <w:ind w:left="220" w:leftChars="100"/>
        <w:rPr>
          <w:sz w:val="21"/>
          <w:szCs w:val="21"/>
        </w:rPr>
      </w:pPr>
      <w:r>
        <w:rPr>
          <w:rFonts w:ascii="宋体" w:hAnsi="宋体" w:eastAsia="宋体" w:cs="宋体"/>
          <w:sz w:val="21"/>
          <w:szCs w:val="21"/>
        </w:rPr>
        <w:t>开户银行：</w:t>
      </w:r>
    </w:p>
    <w:p>
      <w:pPr>
        <w:spacing w:line="360" w:lineRule="auto"/>
        <w:ind w:left="220" w:leftChars="100"/>
        <w:rPr>
          <w:sz w:val="21"/>
          <w:szCs w:val="21"/>
        </w:rPr>
      </w:pPr>
      <w:r>
        <w:rPr>
          <w:rFonts w:ascii="宋体" w:hAnsi="宋体" w:eastAsia="宋体" w:cs="宋体"/>
          <w:sz w:val="21"/>
          <w:szCs w:val="21"/>
        </w:rPr>
        <w:t>账号：</w:t>
      </w:r>
    </w:p>
    <w:p>
      <w:pPr>
        <w:spacing w:line="360" w:lineRule="auto"/>
        <w:ind w:left="220" w:leftChars="100"/>
        <w:rPr>
          <w:sz w:val="21"/>
          <w:szCs w:val="21"/>
        </w:rPr>
      </w:pPr>
      <w:r>
        <w:rPr>
          <w:rFonts w:ascii="宋体" w:hAnsi="宋体" w:eastAsia="宋体" w:cs="宋体"/>
          <w:sz w:val="21"/>
          <w:szCs w:val="21"/>
        </w:rPr>
        <w:t>磋商供应商（公章）：</w:t>
      </w:r>
    </w:p>
    <w:p>
      <w:pPr>
        <w:spacing w:line="360" w:lineRule="auto"/>
        <w:ind w:left="220" w:leftChars="100"/>
        <w:rPr>
          <w:sz w:val="21"/>
          <w:szCs w:val="21"/>
        </w:rPr>
      </w:pPr>
      <w:r>
        <w:rPr>
          <w:rFonts w:ascii="宋体" w:hAnsi="宋体" w:eastAsia="宋体" w:cs="宋体"/>
          <w:sz w:val="21"/>
          <w:szCs w:val="21"/>
        </w:rPr>
        <w:t>法定代表人或委托代理人签名：</w:t>
      </w:r>
    </w:p>
    <w:p>
      <w:pPr>
        <w:spacing w:line="360" w:lineRule="auto"/>
        <w:ind w:left="220" w:leftChars="100"/>
        <w:rPr>
          <w:rFonts w:ascii="宋体" w:hAnsi="宋体" w:eastAsia="宋体" w:cs="宋体"/>
          <w:sz w:val="21"/>
          <w:szCs w:val="21"/>
        </w:rPr>
      </w:pPr>
      <w:r>
        <w:rPr>
          <w:rFonts w:ascii="宋体" w:hAnsi="宋体" w:eastAsia="宋体" w:cs="宋体"/>
          <w:sz w:val="21"/>
          <w:szCs w:val="21"/>
        </w:rPr>
        <w:t>磋商日期：</w:t>
      </w:r>
    </w:p>
    <w:p>
      <w:pPr>
        <w:spacing w:line="360" w:lineRule="auto"/>
        <w:ind w:left="220" w:leftChars="100"/>
        <w:rPr>
          <w:rFonts w:ascii="宋体" w:hAnsi="宋体" w:eastAsia="宋体" w:cs="宋体"/>
          <w:sz w:val="21"/>
          <w:szCs w:val="21"/>
        </w:rPr>
      </w:pPr>
      <w:r>
        <w:rPr>
          <w:rFonts w:ascii="宋体" w:hAnsi="宋体" w:eastAsia="宋体" w:cs="宋体"/>
          <w:sz w:val="21"/>
          <w:szCs w:val="21"/>
        </w:rPr>
        <w:t>注：1、未按照本磋商函（格式）要求填报的磋商函将被视为非实质性响应磋商要求，从而导致该磋商被拒绝。</w:t>
      </w:r>
    </w:p>
    <w:p>
      <w:pPr>
        <w:spacing w:line="360" w:lineRule="auto"/>
        <w:ind w:left="220" w:leftChars="100"/>
        <w:rPr>
          <w:rFonts w:ascii="宋体" w:hAnsi="宋体" w:eastAsia="宋体" w:cs="宋体"/>
          <w:sz w:val="21"/>
          <w:szCs w:val="21"/>
        </w:rPr>
      </w:pPr>
      <w:r>
        <w:rPr>
          <w:rFonts w:ascii="宋体" w:hAnsi="宋体" w:eastAsia="宋体" w:cs="宋体"/>
          <w:sz w:val="21"/>
          <w:szCs w:val="21"/>
        </w:rPr>
        <w:t>2、磋商函须由法定代表人或委托代理人签名并加盖磋商供应商公章。</w:t>
      </w:r>
    </w:p>
    <w:p>
      <w:pPr>
        <w:spacing w:line="360" w:lineRule="auto"/>
        <w:ind w:left="220" w:leftChars="100"/>
        <w:rPr>
          <w:sz w:val="18"/>
          <w:szCs w:val="18"/>
        </w:rPr>
        <w:sectPr>
          <w:pgSz w:w="11900" w:h="16840"/>
          <w:pgMar w:top="964" w:right="1123" w:bottom="652" w:left="482" w:header="0" w:footer="397" w:gutter="0"/>
          <w:cols w:space="425" w:num="1"/>
        </w:sectPr>
      </w:pPr>
    </w:p>
    <w:p>
      <w:pPr>
        <w:spacing w:line="360" w:lineRule="auto"/>
        <w:ind w:left="220" w:leftChars="100"/>
        <w:rPr>
          <w:sz w:val="20"/>
          <w:szCs w:val="20"/>
        </w:rPr>
      </w:pPr>
    </w:p>
    <w:p>
      <w:pPr>
        <w:spacing w:line="360" w:lineRule="auto"/>
        <w:ind w:left="220" w:leftChars="100"/>
        <w:rPr>
          <w:sz w:val="20"/>
          <w:szCs w:val="20"/>
        </w:rPr>
      </w:pPr>
    </w:p>
    <w:p>
      <w:pPr>
        <w:spacing w:line="360" w:lineRule="auto"/>
        <w:ind w:left="220" w:leftChars="100"/>
        <w:rPr>
          <w:sz w:val="20"/>
          <w:szCs w:val="20"/>
        </w:rPr>
      </w:pPr>
    </w:p>
    <w:p>
      <w:pPr>
        <w:spacing w:line="360" w:lineRule="auto"/>
        <w:rPr>
          <w:sz w:val="20"/>
          <w:szCs w:val="20"/>
        </w:rPr>
      </w:pPr>
    </w:p>
    <w:p>
      <w:pPr>
        <w:spacing w:line="360" w:lineRule="auto"/>
        <w:ind w:left="220" w:leftChars="100"/>
        <w:rPr>
          <w:sz w:val="20"/>
          <w:szCs w:val="20"/>
        </w:rPr>
        <w:sectPr>
          <w:type w:val="continuous"/>
          <w:pgSz w:w="11900" w:h="16840"/>
          <w:pgMar w:top="964" w:right="1123" w:bottom="652" w:left="482" w:header="0" w:footer="397" w:gutter="0"/>
          <w:cols w:space="425" w:num="1"/>
        </w:sectPr>
      </w:pPr>
      <w:r>
        <w:rPr>
          <w:rFonts w:ascii="宋体" w:hAnsi="宋体" w:eastAsia="宋体" w:cs="宋体"/>
          <w:b/>
          <w:bCs/>
          <w:sz w:val="28"/>
          <w:szCs w:val="28"/>
        </w:rPr>
        <w:t>2、法定代表人有效的身份证复印件（必须提供）</w:t>
      </w:r>
    </w:p>
    <w:p>
      <w:pPr>
        <w:spacing w:line="360" w:lineRule="auto"/>
        <w:rPr>
          <w:sz w:val="20"/>
          <w:szCs w:val="20"/>
        </w:rPr>
      </w:pPr>
      <w:bookmarkStart w:id="94" w:name="page32"/>
      <w:bookmarkEnd w:id="94"/>
      <w:r>
        <w:rPr>
          <w:rFonts w:ascii="宋体" w:hAnsi="宋体" w:eastAsia="宋体" w:cs="宋体"/>
          <w:b/>
          <w:bCs/>
          <w:sz w:val="27"/>
          <w:szCs w:val="27"/>
        </w:rPr>
        <w:t>3、供应商的授权委托书原件、委托代理人身份证正反面复印件（委托代理时必须提供）；</w:t>
      </w:r>
    </w:p>
    <w:p>
      <w:pPr>
        <w:spacing w:line="360" w:lineRule="auto"/>
        <w:ind w:left="220" w:leftChars="100"/>
        <w:rPr>
          <w:sz w:val="20"/>
          <w:szCs w:val="20"/>
        </w:rPr>
      </w:pPr>
      <w:bookmarkStart w:id="95" w:name="_Toc24829_WPSOffice_Level2"/>
      <w:r>
        <w:rPr>
          <w:rFonts w:ascii="宋体" w:hAnsi="宋体" w:eastAsia="宋体" w:cs="宋体"/>
          <w:b/>
          <w:bCs/>
          <w:sz w:val="28"/>
          <w:szCs w:val="28"/>
        </w:rPr>
        <w:t>附件：法人授权委托书（格式）</w:t>
      </w:r>
      <w:bookmarkEnd w:id="95"/>
    </w:p>
    <w:p>
      <w:pPr>
        <w:spacing w:line="360" w:lineRule="auto"/>
        <w:ind w:left="220" w:leftChars="100" w:right="-39"/>
        <w:jc w:val="center"/>
        <w:rPr>
          <w:sz w:val="20"/>
          <w:szCs w:val="20"/>
        </w:rPr>
      </w:pPr>
      <w:bookmarkStart w:id="96" w:name="_Toc16806_WPSOffice_Level2"/>
      <w:r>
        <w:rPr>
          <w:rFonts w:ascii="宋体" w:hAnsi="宋体" w:eastAsia="宋体" w:cs="宋体"/>
          <w:b/>
          <w:bCs/>
          <w:sz w:val="32"/>
          <w:szCs w:val="32"/>
        </w:rPr>
        <w:t>授权委托书（格式一）</w:t>
      </w:r>
      <w:bookmarkEnd w:id="96"/>
    </w:p>
    <w:p>
      <w:pPr>
        <w:spacing w:line="360" w:lineRule="auto"/>
        <w:ind w:left="220" w:leftChars="100"/>
        <w:rPr>
          <w:rFonts w:ascii="宋体" w:hAnsi="宋体" w:eastAsia="宋体" w:cs="宋体"/>
          <w:b/>
          <w:bCs/>
          <w:sz w:val="21"/>
          <w:szCs w:val="21"/>
        </w:rPr>
      </w:pPr>
      <w:r>
        <w:rPr>
          <w:rFonts w:ascii="宋体" w:hAnsi="宋体" w:eastAsia="宋体" w:cs="宋体"/>
          <w:b/>
          <w:bCs/>
          <w:sz w:val="21"/>
          <w:szCs w:val="21"/>
        </w:rPr>
        <w:t>致</w:t>
      </w:r>
      <w:r>
        <w:rPr>
          <w:rFonts w:ascii="宋体" w:hAnsi="宋体" w:eastAsia="宋体" w:cs="宋体"/>
          <w:sz w:val="21"/>
          <w:szCs w:val="21"/>
        </w:rPr>
        <w:t>：</w:t>
      </w:r>
      <w:r>
        <w:rPr>
          <w:rFonts w:hint="eastAsia" w:ascii="宋体" w:hAnsi="宋体" w:eastAsia="宋体" w:cs="宋体"/>
          <w:sz w:val="21"/>
          <w:szCs w:val="21"/>
        </w:rPr>
        <w:t>广西大通建设监理咨询管理有限公司</w:t>
      </w:r>
    </w:p>
    <w:p>
      <w:pPr>
        <w:spacing w:line="360" w:lineRule="auto"/>
        <w:ind w:left="220" w:leftChars="100" w:firstLine="420" w:firstLineChars="200"/>
        <w:rPr>
          <w:rFonts w:ascii="宋体" w:hAnsi="宋体" w:eastAsia="宋体" w:cs="宋体"/>
          <w:sz w:val="21"/>
          <w:szCs w:val="21"/>
        </w:rPr>
      </w:pPr>
      <w:r>
        <w:rPr>
          <w:rFonts w:ascii="宋体" w:hAnsi="宋体" w:eastAsia="宋体" w:cs="宋体"/>
          <w:sz w:val="21"/>
          <w:szCs w:val="21"/>
        </w:rPr>
        <w:t>我（姓名）系（供应商名称）的法定代表人（负责人），现授权委</w:t>
      </w:r>
      <w:r>
        <w:rPr>
          <w:rFonts w:hint="eastAsia" w:ascii="宋体" w:hAnsi="宋体" w:eastAsia="宋体" w:cs="宋体"/>
          <w:sz w:val="21"/>
          <w:szCs w:val="21"/>
        </w:rPr>
        <w:t>托本单位在</w:t>
      </w:r>
      <w:r>
        <w:rPr>
          <w:rFonts w:ascii="宋体" w:hAnsi="宋体" w:eastAsia="宋体" w:cs="宋体"/>
          <w:sz w:val="21"/>
          <w:szCs w:val="21"/>
        </w:rPr>
        <w:t>职职工（姓名）以我公司名义参加（项目名称及项目编号）</w:t>
      </w:r>
    </w:p>
    <w:p>
      <w:pPr>
        <w:spacing w:line="360" w:lineRule="auto"/>
        <w:ind w:left="220" w:leftChars="100"/>
        <w:rPr>
          <w:rFonts w:ascii="宋体" w:hAnsi="宋体" w:eastAsia="宋体" w:cs="宋体"/>
          <w:sz w:val="21"/>
          <w:szCs w:val="21"/>
        </w:rPr>
      </w:pPr>
      <w:r>
        <w:rPr>
          <w:rFonts w:ascii="宋体" w:hAnsi="宋体" w:eastAsia="宋体" w:cs="宋体"/>
          <w:sz w:val="21"/>
          <w:szCs w:val="21"/>
        </w:rPr>
        <w:t>项目的磋商活动，并代表我方全权办理针对上述项目的磋商、签约等具体事务和签署相关文件。我方对被授权人的签字事项负全部责任。</w:t>
      </w:r>
    </w:p>
    <w:p>
      <w:pPr>
        <w:spacing w:line="360" w:lineRule="auto"/>
        <w:ind w:left="220" w:leftChars="100"/>
        <w:rPr>
          <w:rFonts w:ascii="宋体" w:hAnsi="宋体" w:eastAsia="宋体" w:cs="宋体"/>
          <w:sz w:val="21"/>
          <w:szCs w:val="21"/>
        </w:rPr>
      </w:pPr>
    </w:p>
    <w:p>
      <w:pPr>
        <w:spacing w:line="360" w:lineRule="auto"/>
        <w:ind w:left="220" w:leftChars="100"/>
        <w:rPr>
          <w:rFonts w:ascii="宋体" w:hAnsi="宋体" w:eastAsia="宋体" w:cs="宋体"/>
          <w:sz w:val="21"/>
          <w:szCs w:val="21"/>
        </w:rPr>
      </w:pPr>
      <w:r>
        <w:rPr>
          <w:rFonts w:hint="eastAsia" w:ascii="宋体" w:hAnsi="宋体" w:eastAsia="宋体" w:cs="宋体"/>
          <w:sz w:val="21"/>
          <w:szCs w:val="21"/>
        </w:rPr>
        <w:t>授权委托代理期限：从年月日起至年月日止。</w:t>
      </w:r>
    </w:p>
    <w:p>
      <w:pPr>
        <w:spacing w:line="360" w:lineRule="auto"/>
        <w:ind w:left="220" w:leftChars="100"/>
        <w:rPr>
          <w:sz w:val="20"/>
          <w:szCs w:val="20"/>
        </w:rPr>
      </w:pPr>
      <w:r>
        <w:rPr>
          <w:rFonts w:ascii="宋体" w:hAnsi="宋体" w:eastAsia="宋体" w:cs="宋体"/>
          <w:sz w:val="21"/>
          <w:szCs w:val="21"/>
        </w:rPr>
        <w:t>代理人无转委托权,特此委托。</w:t>
      </w:r>
    </w:p>
    <w:p>
      <w:pPr>
        <w:spacing w:line="360" w:lineRule="auto"/>
        <w:ind w:left="220" w:leftChars="100"/>
        <w:rPr>
          <w:sz w:val="20"/>
          <w:szCs w:val="20"/>
        </w:rPr>
      </w:pPr>
    </w:p>
    <w:p>
      <w:pPr>
        <w:spacing w:line="360" w:lineRule="auto"/>
        <w:ind w:left="220" w:leftChars="100"/>
        <w:rPr>
          <w:sz w:val="20"/>
          <w:szCs w:val="20"/>
        </w:rPr>
      </w:pPr>
    </w:p>
    <w:p>
      <w:pPr>
        <w:spacing w:line="360" w:lineRule="auto"/>
        <w:ind w:left="220" w:leftChars="100"/>
        <w:rPr>
          <w:sz w:val="20"/>
          <w:szCs w:val="20"/>
        </w:rPr>
      </w:pPr>
      <w:r>
        <w:rPr>
          <w:rFonts w:ascii="宋体" w:hAnsi="宋体" w:eastAsia="宋体" w:cs="宋体"/>
          <w:sz w:val="21"/>
          <w:szCs w:val="21"/>
        </w:rPr>
        <w:t>我已在下面签字，以资证明。</w:t>
      </w:r>
    </w:p>
    <w:p>
      <w:pPr>
        <w:spacing w:line="360" w:lineRule="auto"/>
        <w:ind w:left="220" w:leftChars="100"/>
        <w:rPr>
          <w:sz w:val="20"/>
          <w:szCs w:val="20"/>
        </w:rPr>
      </w:pPr>
    </w:p>
    <w:p>
      <w:pPr>
        <w:spacing w:line="360" w:lineRule="auto"/>
        <w:rPr>
          <w:sz w:val="20"/>
          <w:szCs w:val="20"/>
        </w:rPr>
      </w:pPr>
    </w:p>
    <w:p>
      <w:pPr>
        <w:spacing w:line="360" w:lineRule="auto"/>
        <w:ind w:left="220" w:leftChars="100"/>
        <w:rPr>
          <w:sz w:val="20"/>
          <w:szCs w:val="20"/>
        </w:rPr>
      </w:pPr>
    </w:p>
    <w:p>
      <w:pPr>
        <w:spacing w:line="360" w:lineRule="auto"/>
        <w:ind w:left="220" w:leftChars="100"/>
        <w:rPr>
          <w:sz w:val="20"/>
          <w:szCs w:val="20"/>
        </w:rPr>
      </w:pPr>
      <w:r>
        <w:rPr>
          <w:rFonts w:ascii="宋体" w:hAnsi="宋体" w:eastAsia="宋体" w:cs="宋体"/>
          <w:sz w:val="21"/>
          <w:szCs w:val="21"/>
        </w:rPr>
        <w:t>供应商（公章）：</w:t>
      </w:r>
    </w:p>
    <w:p>
      <w:pPr>
        <w:spacing w:line="360" w:lineRule="auto"/>
        <w:ind w:left="220" w:leftChars="100"/>
        <w:rPr>
          <w:sz w:val="20"/>
          <w:szCs w:val="20"/>
        </w:rPr>
      </w:pPr>
      <w:r>
        <w:rPr>
          <w:sz w:val="20"/>
          <w:szCs w:val="20"/>
        </w:rPr>
        <w:pict>
          <v:line id="Shape 35" o:spid="_x0000_s1032" o:spt="20" style="position:absolute;left:0pt;margin-left:99.45pt;margin-top:-0.2pt;height:0pt;width:183.7pt;z-index:-251641856;mso-width-relative:page;mso-height-relative:page;" filled="t" coordsize="21600,21600" o:allowincell="f" o:gfxdata="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BjDOzu1QAAAAcBAAAPAAAAAAAAAAEAIAAAACIAAABk&#10;cnMvZG93bnJldi54bWxQSwECFAAUAAAACACHTuJAR4WCW5cBAABNAwAADgAAAAAAAAABACAAAAAk&#10;AQAAZHJzL2Uyb0RvYy54bWxQSwUGAAAAAAYABgBZAQAALQUAAAAA&#10;">
            <v:path arrowok="t"/>
            <v:fill on="t" focussize="0,0"/>
            <v:stroke weight="0.48pt" joinstyle="miter"/>
            <v:imagedata o:title=""/>
            <o:lock v:ext="edit"/>
          </v:line>
        </w:pict>
      </w:r>
    </w:p>
    <w:p>
      <w:pPr>
        <w:spacing w:line="360" w:lineRule="auto"/>
        <w:ind w:left="220" w:leftChars="100"/>
        <w:rPr>
          <w:sz w:val="20"/>
          <w:szCs w:val="20"/>
        </w:rPr>
      </w:pPr>
    </w:p>
    <w:p>
      <w:pPr>
        <w:spacing w:line="360" w:lineRule="auto"/>
        <w:ind w:left="220" w:leftChars="100"/>
        <w:rPr>
          <w:sz w:val="20"/>
          <w:szCs w:val="20"/>
        </w:rPr>
      </w:pPr>
    </w:p>
    <w:p>
      <w:pPr>
        <w:tabs>
          <w:tab w:val="left" w:pos="6800"/>
          <w:tab w:val="left" w:pos="7640"/>
          <w:tab w:val="left" w:pos="8380"/>
        </w:tabs>
        <w:spacing w:line="360" w:lineRule="auto"/>
        <w:ind w:left="220" w:leftChars="100"/>
        <w:rPr>
          <w:sz w:val="20"/>
          <w:szCs w:val="20"/>
        </w:rPr>
      </w:pPr>
      <w:r>
        <w:rPr>
          <w:rFonts w:ascii="宋体" w:hAnsi="宋体" w:eastAsia="宋体" w:cs="宋体"/>
          <w:sz w:val="21"/>
          <w:szCs w:val="21"/>
        </w:rPr>
        <w:t>法定代表人（负责人）签字：</w:t>
      </w:r>
      <w:r>
        <w:rPr>
          <w:sz w:val="20"/>
          <w:szCs w:val="20"/>
        </w:rPr>
        <w:tab/>
      </w:r>
      <w:r>
        <w:rPr>
          <w:rFonts w:ascii="宋体" w:hAnsi="宋体" w:eastAsia="宋体" w:cs="宋体"/>
          <w:sz w:val="21"/>
          <w:szCs w:val="21"/>
        </w:rPr>
        <w:t>年</w:t>
      </w:r>
      <w:r>
        <w:rPr>
          <w:sz w:val="20"/>
          <w:szCs w:val="20"/>
        </w:rPr>
        <w:tab/>
      </w:r>
      <w:r>
        <w:rPr>
          <w:rFonts w:ascii="宋体" w:hAnsi="宋体" w:eastAsia="宋体" w:cs="宋体"/>
          <w:sz w:val="21"/>
          <w:szCs w:val="21"/>
        </w:rPr>
        <w:t>月</w:t>
      </w:r>
      <w:r>
        <w:rPr>
          <w:sz w:val="20"/>
          <w:szCs w:val="20"/>
        </w:rPr>
        <w:tab/>
      </w:r>
      <w:r>
        <w:rPr>
          <w:rFonts w:ascii="宋体" w:hAnsi="宋体" w:eastAsia="宋体" w:cs="宋体"/>
          <w:sz w:val="20"/>
          <w:szCs w:val="20"/>
        </w:rPr>
        <w:t>日</w:t>
      </w:r>
    </w:p>
    <w:p>
      <w:pPr>
        <w:spacing w:line="360" w:lineRule="auto"/>
        <w:ind w:left="220" w:leftChars="100"/>
        <w:rPr>
          <w:sz w:val="20"/>
          <w:szCs w:val="20"/>
        </w:rPr>
      </w:pPr>
      <w:r>
        <w:rPr>
          <w:sz w:val="20"/>
          <w:szCs w:val="20"/>
        </w:rPr>
        <w:pict>
          <v:line id="Shape 36" o:spid="_x0000_s1031" o:spt="20" style="position:absolute;left:0pt;margin-left:157.15pt;margin-top:-0.2pt;height:0pt;width:94.5pt;z-index:-251640832;mso-width-relative:page;mso-height-relative:page;" filled="t" coordsize="21600,21600" o:allowincell="f" o:gfxdata="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D26W/DVAAAABwEAAA8AAAAAAAAAAQAgAAAAIgAAAGRy&#10;cy9kb3ducmV2LnhtbFBLAQIUABQAAAAIAIdO4kDZ9cVtlgEAAE0DAAAOAAAAAAAAAAEAIAAAACQB&#10;AABkcnMvZTJvRG9jLnhtbFBLBQYAAAAABgAGAFkBAAAsBQAAAAA=&#10;">
            <v:path arrowok="t"/>
            <v:fill on="t" focussize="0,0"/>
            <v:stroke weight="0.48pt" joinstyle="miter"/>
            <v:imagedata o:title=""/>
            <o:lock v:ext="edit"/>
          </v:line>
        </w:pict>
      </w:r>
      <w:r>
        <w:rPr>
          <w:sz w:val="20"/>
          <w:szCs w:val="20"/>
        </w:rPr>
        <w:pict>
          <v:line id="Shape 37" o:spid="_x0000_s1030" o:spt="20" style="position:absolute;left:0pt;margin-left:304.15pt;margin-top:-0.2pt;height:0pt;width:36.8pt;z-index:-251639808;mso-width-relative:page;mso-height-relative:page;" filled="t" coordsize="21600,21600" o:allowincell="f" o:gfxdata="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CDssA91gAAAAcBAAAPAAAAAAAAAAEAIAAAACIAAABk&#10;cnMvZG93bnJldi54bWxQSwECFAAUAAAACACHTuJAhNfPbpYBAABMAwAADgAAAAAAAAABACAAAAAl&#10;AQAAZHJzL2Uyb0RvYy54bWxQSwUGAAAAAAYABgBZAQAALQUAAAAA&#10;">
            <v:path arrowok="t"/>
            <v:fill on="t" focussize="0,0"/>
            <v:stroke weight="0.48pt" joinstyle="miter"/>
            <v:imagedata o:title=""/>
            <o:lock v:ext="edit"/>
          </v:line>
        </w:pict>
      </w:r>
      <w:r>
        <w:rPr>
          <w:sz w:val="20"/>
          <w:szCs w:val="20"/>
        </w:rPr>
        <w:pict>
          <v:line id="Shape 38" o:spid="_x0000_s1029" o:spt="20" style="position:absolute;left:0pt;margin-left:351.45pt;margin-top:-0.2pt;height:0pt;width:31.5pt;z-index:-251638784;mso-width-relative:page;mso-height-relative:page;" filled="t" coordsize="21600,21600" o:allowincell="f" o:gfxdata="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M+lsd/VAAAABwEAAA8AAAAAAAAAAQAgAAAAIgAAAGRy&#10;cy9kb3ducmV2LnhtbFBLAQIUABQAAAAIAIdO4kDIyG8VlgEAAEwDAAAOAAAAAAAAAAEAIAAAACQB&#10;AABkcnMvZTJvRG9jLnhtbFBLBQYAAAAABgAGAFkBAAAsBQAAAAA=&#10;">
            <v:path arrowok="t"/>
            <v:fill on="t" focussize="0,0"/>
            <v:stroke weight="0.48pt" joinstyle="miter"/>
            <v:imagedata o:title=""/>
            <o:lock v:ext="edit"/>
          </v:line>
        </w:pict>
      </w:r>
      <w:r>
        <w:rPr>
          <w:sz w:val="20"/>
          <w:szCs w:val="20"/>
        </w:rPr>
        <w:pict>
          <v:line id="Shape 39" o:spid="_x0000_s1028" o:spt="20" style="position:absolute;left:0pt;margin-left:393.45pt;margin-top:-0.2pt;height:0pt;width:26.2pt;z-index:-251637760;mso-width-relative:page;mso-height-relative:page;" filled="t" coordsize="21600,21600" o:allowincell="f" o:gfxdata="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WaPHKtcAAAAHAQAADwAAAAAAAAABACAAAAAiAAAA&#10;ZHJzL2Rvd25yZXYueG1sUEsBAhQAFAAAAAgAh07iQIw/ghqWAQAATAMAAA4AAAAAAAAAAQAgAAAA&#10;JgEAAGRycy9lMm9Eb2MueG1sUEsFBgAAAAAGAAYAWQEAAC4FAAAAAA==&#10;">
            <v:path arrowok="t"/>
            <v:fill on="t" focussize="0,0"/>
            <v:stroke weight="0.48pt" joinstyle="miter"/>
            <v:imagedata o:title=""/>
            <o:lock v:ext="edit"/>
          </v:line>
        </w:pict>
      </w:r>
    </w:p>
    <w:p>
      <w:pPr>
        <w:spacing w:line="360" w:lineRule="auto"/>
        <w:ind w:left="220" w:leftChars="100"/>
        <w:rPr>
          <w:sz w:val="20"/>
          <w:szCs w:val="20"/>
        </w:rPr>
      </w:pPr>
    </w:p>
    <w:p>
      <w:pPr>
        <w:spacing w:line="360" w:lineRule="auto"/>
        <w:ind w:left="220" w:leftChars="100"/>
        <w:rPr>
          <w:sz w:val="20"/>
          <w:szCs w:val="20"/>
        </w:rPr>
      </w:pPr>
    </w:p>
    <w:p>
      <w:pPr>
        <w:spacing w:line="360" w:lineRule="auto"/>
        <w:ind w:left="220" w:leftChars="100" w:right="240" w:firstLine="600"/>
        <w:rPr>
          <w:sz w:val="20"/>
          <w:szCs w:val="20"/>
        </w:rPr>
      </w:pPr>
      <w:r>
        <w:rPr>
          <w:rFonts w:ascii="宋体" w:hAnsi="宋体" w:eastAsia="宋体" w:cs="宋体"/>
          <w:b/>
          <w:bCs/>
          <w:sz w:val="24"/>
          <w:szCs w:val="24"/>
        </w:rPr>
        <w:t>附：委托代理人身份证正反面复印件（委托代理时必须提供）</w:t>
      </w:r>
    </w:p>
    <w:p>
      <w:pPr>
        <w:spacing w:line="360" w:lineRule="auto"/>
        <w:ind w:left="220" w:leftChars="100"/>
        <w:rPr>
          <w:sz w:val="20"/>
          <w:szCs w:val="20"/>
        </w:rPr>
      </w:pPr>
    </w:p>
    <w:p>
      <w:pPr>
        <w:spacing w:line="360" w:lineRule="auto"/>
        <w:ind w:left="220" w:leftChars="100"/>
        <w:rPr>
          <w:sz w:val="20"/>
          <w:szCs w:val="20"/>
        </w:rPr>
      </w:pPr>
    </w:p>
    <w:p>
      <w:pPr>
        <w:spacing w:line="360" w:lineRule="auto"/>
        <w:ind w:left="220" w:leftChars="100"/>
        <w:rPr>
          <w:sz w:val="20"/>
          <w:szCs w:val="20"/>
        </w:rPr>
      </w:pPr>
    </w:p>
    <w:p>
      <w:pPr>
        <w:spacing w:line="360" w:lineRule="auto"/>
        <w:ind w:left="220" w:leftChars="100"/>
        <w:rPr>
          <w:sz w:val="20"/>
          <w:szCs w:val="20"/>
        </w:rPr>
      </w:pPr>
    </w:p>
    <w:p>
      <w:pPr>
        <w:spacing w:line="360" w:lineRule="auto"/>
        <w:ind w:left="220" w:leftChars="100"/>
        <w:rPr>
          <w:sz w:val="20"/>
          <w:szCs w:val="20"/>
        </w:rPr>
      </w:pPr>
    </w:p>
    <w:p>
      <w:pPr>
        <w:spacing w:line="360" w:lineRule="auto"/>
        <w:ind w:left="220" w:leftChars="100"/>
        <w:rPr>
          <w:sz w:val="20"/>
          <w:szCs w:val="20"/>
        </w:rPr>
      </w:pPr>
    </w:p>
    <w:p>
      <w:pPr>
        <w:spacing w:line="360" w:lineRule="auto"/>
        <w:ind w:left="220" w:leftChars="100"/>
        <w:rPr>
          <w:sz w:val="20"/>
          <w:szCs w:val="20"/>
        </w:rPr>
      </w:pPr>
    </w:p>
    <w:p>
      <w:pPr>
        <w:spacing w:line="360" w:lineRule="auto"/>
        <w:ind w:left="220" w:leftChars="100"/>
        <w:rPr>
          <w:sz w:val="20"/>
          <w:szCs w:val="20"/>
        </w:rPr>
      </w:pPr>
    </w:p>
    <w:p>
      <w:pPr>
        <w:spacing w:line="360" w:lineRule="auto"/>
        <w:ind w:left="220" w:leftChars="100"/>
        <w:rPr>
          <w:sz w:val="20"/>
          <w:szCs w:val="20"/>
        </w:rPr>
      </w:pPr>
    </w:p>
    <w:p>
      <w:pPr>
        <w:spacing w:line="360" w:lineRule="auto"/>
        <w:ind w:left="220" w:leftChars="100"/>
        <w:rPr>
          <w:sz w:val="20"/>
          <w:szCs w:val="20"/>
        </w:rPr>
      </w:pPr>
    </w:p>
    <w:p>
      <w:pPr>
        <w:spacing w:line="360" w:lineRule="auto"/>
        <w:ind w:left="220" w:leftChars="100"/>
        <w:sectPr>
          <w:pgSz w:w="11900" w:h="16840"/>
          <w:pgMar w:top="964" w:right="1123" w:bottom="652" w:left="482" w:header="0" w:footer="397" w:gutter="0"/>
          <w:cols w:space="425" w:num="1"/>
        </w:sectPr>
      </w:pPr>
    </w:p>
    <w:p>
      <w:pPr>
        <w:spacing w:line="360" w:lineRule="auto"/>
        <w:rPr>
          <w:sz w:val="20"/>
          <w:szCs w:val="20"/>
        </w:rPr>
      </w:pPr>
      <w:bookmarkStart w:id="97" w:name="page33"/>
      <w:bookmarkEnd w:id="97"/>
    </w:p>
    <w:p>
      <w:pPr>
        <w:spacing w:line="360" w:lineRule="auto"/>
        <w:ind w:left="220" w:leftChars="100"/>
        <w:rPr>
          <w:sz w:val="20"/>
          <w:szCs w:val="20"/>
        </w:rPr>
      </w:pPr>
      <w:r>
        <w:rPr>
          <w:rFonts w:ascii="宋体" w:hAnsi="宋体" w:eastAsia="宋体" w:cs="宋体"/>
          <w:b/>
          <w:bCs/>
          <w:sz w:val="28"/>
          <w:szCs w:val="28"/>
        </w:rPr>
        <w:t>4、磋商保证金交纳证明复印件（必须提供）；</w:t>
      </w:r>
    </w:p>
    <w:p>
      <w:pPr>
        <w:spacing w:line="360" w:lineRule="auto"/>
        <w:ind w:left="220" w:leftChars="100" w:right="60"/>
        <w:rPr>
          <w:sz w:val="20"/>
          <w:szCs w:val="20"/>
        </w:rPr>
      </w:pPr>
      <w:r>
        <w:rPr>
          <w:rFonts w:ascii="Calibri" w:hAnsi="Calibri" w:eastAsia="Calibri" w:cs="Calibri"/>
          <w:b/>
          <w:bCs/>
          <w:sz w:val="28"/>
          <w:szCs w:val="28"/>
        </w:rPr>
        <w:t>5</w:t>
      </w:r>
      <w:r>
        <w:rPr>
          <w:rFonts w:ascii="宋体" w:hAnsi="宋体" w:eastAsia="宋体" w:cs="宋体"/>
          <w:b/>
          <w:bCs/>
          <w:sz w:val="28"/>
          <w:szCs w:val="28"/>
        </w:rPr>
        <w:t>、磋商供应商的法人或者其他组织的营业执照副本复印件（必须提供，自然人除外）；</w:t>
      </w:r>
    </w:p>
    <w:p>
      <w:pPr>
        <w:spacing w:line="360" w:lineRule="auto"/>
        <w:ind w:left="220" w:leftChars="100"/>
        <w:rPr>
          <w:sz w:val="20"/>
          <w:szCs w:val="20"/>
        </w:rPr>
      </w:pPr>
    </w:p>
    <w:p>
      <w:pPr>
        <w:spacing w:line="360" w:lineRule="auto"/>
        <w:ind w:left="220" w:leftChars="100"/>
        <w:rPr>
          <w:sz w:val="20"/>
          <w:szCs w:val="20"/>
        </w:rPr>
      </w:pPr>
      <w:r>
        <w:rPr>
          <w:rFonts w:ascii="宋体" w:hAnsi="宋体" w:eastAsia="宋体" w:cs="宋体"/>
          <w:b/>
          <w:bCs/>
          <w:sz w:val="21"/>
          <w:szCs w:val="21"/>
        </w:rPr>
        <w:t>注：①法人包括企业法人、机关法人、事业单位法人和社会团体法人；其他组织主要包括合伙企业、非企</w:t>
      </w:r>
    </w:p>
    <w:p>
      <w:pPr>
        <w:spacing w:line="360" w:lineRule="auto"/>
        <w:ind w:left="220" w:leftChars="100"/>
        <w:rPr>
          <w:sz w:val="20"/>
          <w:szCs w:val="20"/>
        </w:rPr>
      </w:pPr>
      <w:r>
        <w:rPr>
          <w:rFonts w:ascii="宋体" w:hAnsi="宋体" w:eastAsia="宋体" w:cs="宋体"/>
          <w:b/>
          <w:bCs/>
          <w:sz w:val="21"/>
          <w:szCs w:val="21"/>
        </w:rPr>
        <w:t>业专业服务机构、个体工商户、农村承包经营户。②如供应商为企业（包括合伙企业），应提供工商部门注册的有效</w:t>
      </w:r>
      <w:r>
        <w:rPr>
          <w:rFonts w:ascii="Calibri" w:hAnsi="Calibri" w:eastAsia="Calibri" w:cs="Calibri"/>
          <w:b/>
          <w:bCs/>
          <w:sz w:val="21"/>
          <w:szCs w:val="21"/>
        </w:rPr>
        <w:t>“</w:t>
      </w:r>
      <w:r>
        <w:rPr>
          <w:rFonts w:ascii="宋体" w:hAnsi="宋体" w:eastAsia="宋体" w:cs="宋体"/>
          <w:b/>
          <w:bCs/>
          <w:sz w:val="21"/>
          <w:szCs w:val="21"/>
        </w:rPr>
        <w:t>企业法人营业执照</w:t>
      </w:r>
      <w:r>
        <w:rPr>
          <w:rFonts w:ascii="Calibri" w:hAnsi="Calibri" w:eastAsia="Calibri" w:cs="Calibri"/>
          <w:b/>
          <w:bCs/>
          <w:sz w:val="21"/>
          <w:szCs w:val="21"/>
        </w:rPr>
        <w:t>”</w:t>
      </w:r>
      <w:r>
        <w:rPr>
          <w:rFonts w:ascii="宋体" w:hAnsi="宋体" w:eastAsia="宋体" w:cs="宋体"/>
          <w:b/>
          <w:bCs/>
          <w:sz w:val="21"/>
          <w:szCs w:val="21"/>
        </w:rPr>
        <w:t>或</w:t>
      </w:r>
      <w:r>
        <w:rPr>
          <w:rFonts w:ascii="Calibri" w:hAnsi="Calibri" w:eastAsia="Calibri" w:cs="Calibri"/>
          <w:b/>
          <w:bCs/>
          <w:sz w:val="21"/>
          <w:szCs w:val="21"/>
        </w:rPr>
        <w:t>“</w:t>
      </w:r>
      <w:r>
        <w:rPr>
          <w:rFonts w:ascii="宋体" w:hAnsi="宋体" w:eastAsia="宋体" w:cs="宋体"/>
          <w:b/>
          <w:bCs/>
          <w:sz w:val="21"/>
          <w:szCs w:val="21"/>
        </w:rPr>
        <w:t>营业执照；供应商为事业单位，应提供有效的</w:t>
      </w:r>
      <w:r>
        <w:rPr>
          <w:rFonts w:ascii="Calibri" w:hAnsi="Calibri" w:eastAsia="Calibri" w:cs="Calibri"/>
          <w:b/>
          <w:bCs/>
          <w:sz w:val="21"/>
          <w:szCs w:val="21"/>
        </w:rPr>
        <w:t>“</w:t>
      </w:r>
      <w:r>
        <w:rPr>
          <w:rFonts w:ascii="宋体" w:hAnsi="宋体" w:eastAsia="宋体" w:cs="宋体"/>
          <w:b/>
          <w:bCs/>
          <w:sz w:val="21"/>
          <w:szCs w:val="21"/>
        </w:rPr>
        <w:t>事业单位法人证书</w:t>
      </w:r>
      <w:r>
        <w:rPr>
          <w:rFonts w:ascii="Calibri" w:hAnsi="Calibri" w:eastAsia="Calibri" w:cs="Calibri"/>
          <w:b/>
          <w:bCs/>
          <w:sz w:val="21"/>
          <w:szCs w:val="21"/>
        </w:rPr>
        <w:t>”</w:t>
      </w:r>
      <w:r>
        <w:rPr>
          <w:rFonts w:ascii="宋体" w:hAnsi="宋体" w:eastAsia="宋体" w:cs="宋体"/>
          <w:b/>
          <w:bCs/>
          <w:sz w:val="21"/>
          <w:szCs w:val="21"/>
        </w:rPr>
        <w:t>；供应商为非企业专业服务机构的，应提供执业许可证等证明文件；供应商为个体工商户，应提供有效的</w:t>
      </w:r>
      <w:r>
        <w:rPr>
          <w:rFonts w:ascii="Calibri" w:hAnsi="Calibri" w:eastAsia="Calibri" w:cs="Calibri"/>
          <w:b/>
          <w:bCs/>
          <w:sz w:val="21"/>
          <w:szCs w:val="21"/>
        </w:rPr>
        <w:t>“</w:t>
      </w:r>
      <w:r>
        <w:rPr>
          <w:rFonts w:ascii="宋体" w:hAnsi="宋体" w:eastAsia="宋体" w:cs="宋体"/>
          <w:b/>
          <w:bCs/>
          <w:sz w:val="21"/>
          <w:szCs w:val="21"/>
        </w:rPr>
        <w:t>个体工商户营业执照</w:t>
      </w:r>
      <w:r>
        <w:rPr>
          <w:rFonts w:ascii="Calibri" w:hAnsi="Calibri" w:eastAsia="Calibri" w:cs="Calibri"/>
          <w:b/>
          <w:bCs/>
          <w:sz w:val="21"/>
          <w:szCs w:val="21"/>
        </w:rPr>
        <w:t>”</w:t>
      </w:r>
      <w:r>
        <w:rPr>
          <w:rFonts w:ascii="宋体" w:hAnsi="宋体" w:eastAsia="宋体" w:cs="宋体"/>
          <w:b/>
          <w:bCs/>
          <w:sz w:val="21"/>
          <w:szCs w:val="21"/>
        </w:rPr>
        <w:t>。</w:t>
      </w:r>
    </w:p>
    <w:p>
      <w:pPr>
        <w:numPr>
          <w:ilvl w:val="0"/>
          <w:numId w:val="5"/>
        </w:numPr>
        <w:spacing w:line="360" w:lineRule="auto"/>
        <w:ind w:left="220" w:leftChars="100" w:right="60"/>
        <w:rPr>
          <w:rFonts w:ascii="宋体" w:hAnsi="宋体" w:eastAsia="宋体" w:cs="宋体"/>
          <w:b/>
          <w:bCs/>
          <w:sz w:val="28"/>
          <w:szCs w:val="28"/>
        </w:rPr>
      </w:pPr>
      <w:r>
        <w:rPr>
          <w:rFonts w:ascii="宋体" w:hAnsi="宋体" w:eastAsia="宋体" w:cs="宋体"/>
          <w:b/>
          <w:bCs/>
          <w:sz w:val="28"/>
          <w:szCs w:val="28"/>
        </w:rPr>
        <w:t>供应商参加政府采购活动前 3 年内在经营活动中没有重大违法记录的书面声明（必须提供）</w:t>
      </w:r>
    </w:p>
    <w:p>
      <w:pPr>
        <w:spacing w:line="360" w:lineRule="auto"/>
        <w:ind w:left="220" w:leftChars="100"/>
        <w:rPr>
          <w:sz w:val="20"/>
          <w:szCs w:val="20"/>
        </w:rPr>
      </w:pPr>
      <w:bookmarkStart w:id="98" w:name="_Toc28474_WPSOffice_Level1"/>
      <w:r>
        <w:rPr>
          <w:rFonts w:ascii="宋体" w:hAnsi="宋体" w:eastAsia="宋体" w:cs="宋体"/>
          <w:b/>
          <w:bCs/>
          <w:sz w:val="32"/>
          <w:szCs w:val="32"/>
        </w:rPr>
        <w:t>附件：</w:t>
      </w:r>
      <w:bookmarkEnd w:id="98"/>
    </w:p>
    <w:p>
      <w:pPr>
        <w:spacing w:line="360" w:lineRule="auto"/>
        <w:ind w:left="220" w:leftChars="100"/>
        <w:rPr>
          <w:sz w:val="20"/>
          <w:szCs w:val="20"/>
        </w:rPr>
      </w:pPr>
    </w:p>
    <w:p>
      <w:pPr>
        <w:tabs>
          <w:tab w:val="left" w:pos="460"/>
        </w:tabs>
        <w:spacing w:line="360" w:lineRule="auto"/>
        <w:ind w:left="220" w:leftChars="100"/>
        <w:jc w:val="center"/>
        <w:rPr>
          <w:sz w:val="20"/>
          <w:szCs w:val="20"/>
        </w:rPr>
      </w:pPr>
      <w:bookmarkStart w:id="99" w:name="_Toc13027_WPSOffice_Level2"/>
      <w:r>
        <w:rPr>
          <w:rFonts w:ascii="宋体" w:hAnsi="宋体" w:eastAsia="宋体" w:cs="宋体"/>
          <w:b/>
          <w:bCs/>
          <w:sz w:val="32"/>
          <w:szCs w:val="32"/>
        </w:rPr>
        <w:t>声</w:t>
      </w:r>
      <w:r>
        <w:rPr>
          <w:sz w:val="20"/>
          <w:szCs w:val="20"/>
        </w:rPr>
        <w:tab/>
      </w:r>
      <w:r>
        <w:rPr>
          <w:rFonts w:ascii="宋体" w:hAnsi="宋体" w:eastAsia="宋体" w:cs="宋体"/>
          <w:b/>
          <w:bCs/>
          <w:sz w:val="32"/>
          <w:szCs w:val="32"/>
        </w:rPr>
        <w:t>明</w:t>
      </w:r>
      <w:bookmarkEnd w:id="99"/>
    </w:p>
    <w:p>
      <w:pPr>
        <w:spacing w:line="360" w:lineRule="auto"/>
        <w:ind w:left="220" w:leftChars="100"/>
        <w:rPr>
          <w:sz w:val="20"/>
          <w:szCs w:val="20"/>
        </w:rPr>
      </w:pPr>
    </w:p>
    <w:p>
      <w:pPr>
        <w:spacing w:line="360" w:lineRule="auto"/>
        <w:ind w:left="220" w:leftChars="100"/>
        <w:rPr>
          <w:rFonts w:eastAsia="宋体"/>
          <w:sz w:val="20"/>
          <w:szCs w:val="20"/>
        </w:rPr>
      </w:pPr>
      <w:r>
        <w:rPr>
          <w:rFonts w:ascii="宋体" w:hAnsi="宋体" w:eastAsia="宋体" w:cs="宋体"/>
          <w:b/>
          <w:bCs/>
          <w:sz w:val="21"/>
          <w:szCs w:val="21"/>
        </w:rPr>
        <w:t>致</w:t>
      </w:r>
      <w:r>
        <w:rPr>
          <w:rFonts w:ascii="宋体" w:hAnsi="宋体" w:eastAsia="宋体" w:cs="宋体"/>
          <w:sz w:val="21"/>
          <w:szCs w:val="21"/>
        </w:rPr>
        <w:t>：</w:t>
      </w:r>
      <w:r>
        <w:rPr>
          <w:rFonts w:hint="eastAsia" w:ascii="宋体" w:hAnsi="宋体" w:eastAsia="宋体" w:cs="宋体"/>
          <w:sz w:val="21"/>
          <w:szCs w:val="21"/>
          <w:u w:val="single"/>
        </w:rPr>
        <w:t>广西大通建设监理咨询管理有限公司</w:t>
      </w:r>
    </w:p>
    <w:p>
      <w:pPr>
        <w:spacing w:line="360" w:lineRule="auto"/>
        <w:ind w:left="220" w:leftChars="100"/>
        <w:rPr>
          <w:sz w:val="20"/>
          <w:szCs w:val="20"/>
        </w:rPr>
      </w:pPr>
    </w:p>
    <w:p>
      <w:pPr>
        <w:spacing w:line="360" w:lineRule="auto"/>
        <w:ind w:left="220" w:leftChars="100"/>
        <w:rPr>
          <w:sz w:val="20"/>
          <w:szCs w:val="20"/>
        </w:rPr>
      </w:pPr>
    </w:p>
    <w:p>
      <w:pPr>
        <w:spacing w:line="360" w:lineRule="auto"/>
        <w:ind w:left="220" w:leftChars="100" w:right="40" w:firstLine="420"/>
        <w:rPr>
          <w:sz w:val="20"/>
          <w:szCs w:val="20"/>
        </w:rPr>
      </w:pPr>
      <w:r>
        <w:rPr>
          <w:rFonts w:ascii="宋体" w:hAnsi="宋体" w:eastAsia="宋体" w:cs="宋体"/>
          <w:sz w:val="21"/>
          <w:szCs w:val="21"/>
        </w:rPr>
        <w:t>我（公司）郑重声明，在参加政府采购活动前 3 年内在经营活动中没有重大违法记录（重大违法记录是指供应商因违法经营受到刑事处罚或者责令停产停业、吊销许可证或者执照、较大数额罚款等行政处罚）。</w:t>
      </w:r>
    </w:p>
    <w:p>
      <w:pPr>
        <w:spacing w:line="360" w:lineRule="auto"/>
        <w:rPr>
          <w:sz w:val="20"/>
          <w:szCs w:val="20"/>
        </w:rPr>
      </w:pPr>
    </w:p>
    <w:p>
      <w:pPr>
        <w:spacing w:line="360" w:lineRule="auto"/>
        <w:ind w:left="220" w:leftChars="100"/>
        <w:rPr>
          <w:sz w:val="20"/>
          <w:szCs w:val="20"/>
        </w:rPr>
      </w:pPr>
      <w:r>
        <w:rPr>
          <w:rFonts w:ascii="宋体" w:hAnsi="宋体" w:eastAsia="宋体" w:cs="宋体"/>
          <w:sz w:val="21"/>
          <w:szCs w:val="21"/>
        </w:rPr>
        <w:t>供应商（公章，自然人除外）：</w:t>
      </w:r>
    </w:p>
    <w:p>
      <w:pPr>
        <w:spacing w:line="360" w:lineRule="auto"/>
        <w:ind w:left="220" w:leftChars="100"/>
        <w:rPr>
          <w:sz w:val="20"/>
          <w:szCs w:val="20"/>
        </w:rPr>
      </w:pPr>
    </w:p>
    <w:p>
      <w:pPr>
        <w:spacing w:line="360" w:lineRule="auto"/>
        <w:ind w:left="220" w:leftChars="100"/>
        <w:rPr>
          <w:sz w:val="20"/>
          <w:szCs w:val="20"/>
        </w:rPr>
      </w:pPr>
    </w:p>
    <w:p>
      <w:pPr>
        <w:spacing w:line="360" w:lineRule="auto"/>
        <w:ind w:left="220" w:leftChars="100" w:right="40"/>
        <w:rPr>
          <w:sz w:val="20"/>
          <w:szCs w:val="20"/>
        </w:rPr>
      </w:pPr>
      <w:r>
        <w:rPr>
          <w:rFonts w:ascii="宋体" w:hAnsi="宋体" w:eastAsia="宋体" w:cs="宋体"/>
          <w:sz w:val="21"/>
          <w:szCs w:val="21"/>
        </w:rPr>
        <w:t>法定代表人、负责人、自然人或相应的委托代理人签字或盖章（属自然人的应在签名处加盖食指指印）：</w:t>
      </w:r>
    </w:p>
    <w:p>
      <w:pPr>
        <w:spacing w:line="360" w:lineRule="auto"/>
        <w:ind w:left="220" w:leftChars="100"/>
        <w:rPr>
          <w:sz w:val="20"/>
          <w:szCs w:val="20"/>
        </w:rPr>
      </w:pPr>
    </w:p>
    <w:p>
      <w:pPr>
        <w:spacing w:line="360" w:lineRule="auto"/>
        <w:ind w:left="220" w:leftChars="100"/>
        <w:rPr>
          <w:sz w:val="20"/>
          <w:szCs w:val="20"/>
        </w:rPr>
      </w:pPr>
    </w:p>
    <w:p>
      <w:pPr>
        <w:tabs>
          <w:tab w:val="left" w:pos="6380"/>
        </w:tabs>
        <w:spacing w:line="360" w:lineRule="auto"/>
        <w:ind w:left="220" w:leftChars="100"/>
        <w:rPr>
          <w:sz w:val="20"/>
          <w:szCs w:val="20"/>
        </w:rPr>
      </w:pPr>
      <w:r>
        <w:rPr>
          <w:rFonts w:ascii="宋体" w:hAnsi="宋体" w:eastAsia="宋体" w:cs="宋体"/>
          <w:sz w:val="21"/>
          <w:szCs w:val="21"/>
        </w:rPr>
        <w:t>日期：</w:t>
      </w:r>
    </w:p>
    <w:p>
      <w:pPr>
        <w:spacing w:line="360" w:lineRule="auto"/>
        <w:ind w:left="220" w:leftChars="100"/>
        <w:sectPr>
          <w:pgSz w:w="11900" w:h="16840"/>
          <w:pgMar w:top="964" w:right="1123" w:bottom="652" w:left="482" w:header="0" w:footer="397" w:gutter="0"/>
          <w:cols w:space="425" w:num="1"/>
        </w:sectPr>
      </w:pPr>
    </w:p>
    <w:p>
      <w:pPr>
        <w:spacing w:line="360" w:lineRule="auto"/>
        <w:ind w:left="220" w:leftChars="100"/>
        <w:rPr>
          <w:sz w:val="20"/>
          <w:szCs w:val="20"/>
        </w:rPr>
      </w:pPr>
      <w:bookmarkStart w:id="100" w:name="page34"/>
      <w:bookmarkEnd w:id="100"/>
      <w:r>
        <w:rPr>
          <w:rFonts w:ascii="宋体" w:hAnsi="宋体" w:eastAsia="宋体" w:cs="宋体"/>
          <w:b/>
          <w:bCs/>
          <w:sz w:val="28"/>
          <w:szCs w:val="28"/>
        </w:rPr>
        <w:t>7、磋商报价明细表（格式见附件）（必须提供）；</w:t>
      </w:r>
    </w:p>
    <w:p>
      <w:pPr>
        <w:pStyle w:val="8"/>
        <w:snapToGrid w:val="0"/>
        <w:spacing w:before="295" w:after="295" w:line="360" w:lineRule="auto"/>
        <w:jc w:val="center"/>
        <w:rPr>
          <w:rFonts w:hAnsi="宋体"/>
          <w:b/>
          <w:sz w:val="32"/>
          <w:szCs w:val="32"/>
        </w:rPr>
      </w:pPr>
      <w:bookmarkStart w:id="101" w:name="_Toc14472_WPSOffice_Level2"/>
      <w:r>
        <w:rPr>
          <w:rFonts w:hint="eastAsia" w:hAnsi="宋体"/>
          <w:b/>
          <w:sz w:val="32"/>
          <w:szCs w:val="32"/>
        </w:rPr>
        <w:t>投标报价明细表</w:t>
      </w:r>
      <w:bookmarkEnd w:id="101"/>
    </w:p>
    <w:p>
      <w:pPr>
        <w:spacing w:line="360" w:lineRule="auto"/>
      </w:pPr>
      <w:bookmarkStart w:id="102" w:name="_Toc19002_WPSOffice_Level1"/>
      <w:r>
        <w:rPr>
          <w:rFonts w:hint="eastAsia"/>
        </w:rPr>
        <w:t>采购项目名称：</w:t>
      </w:r>
      <w:bookmarkEnd w:id="102"/>
    </w:p>
    <w:p>
      <w:pPr>
        <w:spacing w:line="360" w:lineRule="auto"/>
      </w:pPr>
      <w:bookmarkStart w:id="103" w:name="_Toc16912_WPSOffice_Level1"/>
      <w:r>
        <w:rPr>
          <w:rFonts w:hint="eastAsia"/>
        </w:rPr>
        <w:t>采购项目编号：</w:t>
      </w:r>
      <w:bookmarkEnd w:id="103"/>
    </w:p>
    <w:p>
      <w:pPr>
        <w:spacing w:line="360" w:lineRule="auto"/>
      </w:pPr>
      <w:bookmarkStart w:id="104" w:name="_Toc17531_WPSOffice_Level1"/>
      <w:r>
        <w:rPr>
          <w:rFonts w:hint="eastAsia"/>
        </w:rPr>
        <w:t>金额单位：人民币（元）</w:t>
      </w:r>
      <w:bookmarkEnd w:id="104"/>
    </w:p>
    <w:tbl>
      <w:tblPr>
        <w:tblStyle w:val="14"/>
        <w:tblW w:w="4999"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827"/>
        <w:gridCol w:w="1562"/>
        <w:gridCol w:w="1280"/>
        <w:gridCol w:w="1190"/>
        <w:gridCol w:w="1282"/>
        <w:gridCol w:w="1282"/>
        <w:gridCol w:w="1072"/>
        <w:gridCol w:w="201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34" w:hRule="atLeast"/>
          <w:jc w:val="center"/>
        </w:trPr>
        <w:tc>
          <w:tcPr>
            <w:tcW w:w="394" w:type="pct"/>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line="360" w:lineRule="auto"/>
              <w:jc w:val="center"/>
              <w:rPr>
                <w:rFonts w:ascii="宋体" w:hAnsi="宋体"/>
                <w:szCs w:val="21"/>
              </w:rPr>
            </w:pPr>
            <w:r>
              <w:rPr>
                <w:rFonts w:hint="eastAsia" w:ascii="宋体" w:hAnsi="宋体"/>
                <w:szCs w:val="21"/>
              </w:rPr>
              <w:t>序号</w:t>
            </w:r>
          </w:p>
        </w:tc>
        <w:tc>
          <w:tcPr>
            <w:tcW w:w="743" w:type="pct"/>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line="360" w:lineRule="auto"/>
              <w:jc w:val="center"/>
              <w:rPr>
                <w:rFonts w:ascii="宋体" w:hAnsi="宋体"/>
                <w:szCs w:val="21"/>
              </w:rPr>
            </w:pPr>
            <w:r>
              <w:rPr>
                <w:rFonts w:hint="eastAsia" w:ascii="宋体" w:hAnsi="宋体"/>
                <w:szCs w:val="21"/>
              </w:rPr>
              <w:t>货物（或服务）名 称</w:t>
            </w:r>
          </w:p>
        </w:tc>
        <w:tc>
          <w:tcPr>
            <w:tcW w:w="609" w:type="pct"/>
            <w:tcBorders>
              <w:top w:val="single" w:color="auto" w:sz="4" w:space="0"/>
              <w:left w:val="single" w:color="auto" w:sz="4" w:space="0"/>
              <w:bottom w:val="single" w:color="auto" w:sz="4" w:space="0"/>
              <w:right w:val="single" w:color="auto" w:sz="4" w:space="0"/>
            </w:tcBorders>
            <w:vAlign w:val="center"/>
          </w:tcPr>
          <w:p>
            <w:pPr>
              <w:pStyle w:val="18"/>
              <w:spacing w:line="360" w:lineRule="auto"/>
              <w:rPr>
                <w:rFonts w:ascii="宋体" w:eastAsia="宋体"/>
                <w:b w:val="0"/>
                <w:color w:val="auto"/>
                <w:sz w:val="22"/>
                <w:szCs w:val="22"/>
              </w:rPr>
            </w:pPr>
            <w:r>
              <w:rPr>
                <w:rFonts w:hint="eastAsia" w:ascii="宋体" w:eastAsia="宋体"/>
                <w:b w:val="0"/>
                <w:color w:val="auto"/>
                <w:sz w:val="22"/>
                <w:szCs w:val="22"/>
              </w:rPr>
              <w:t>生产厂家</w:t>
            </w:r>
          </w:p>
        </w:tc>
        <w:tc>
          <w:tcPr>
            <w:tcW w:w="566" w:type="pct"/>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line="360" w:lineRule="auto"/>
              <w:jc w:val="center"/>
              <w:rPr>
                <w:rFonts w:ascii="宋体" w:hAnsi="宋体"/>
                <w:szCs w:val="21"/>
              </w:rPr>
            </w:pPr>
            <w:r>
              <w:rPr>
                <w:rFonts w:hint="eastAsia" w:ascii="宋体" w:hAnsi="宋体"/>
                <w:szCs w:val="21"/>
              </w:rPr>
              <w:t>规格型号</w:t>
            </w:r>
          </w:p>
        </w:tc>
        <w:tc>
          <w:tcPr>
            <w:tcW w:w="610" w:type="pct"/>
            <w:tcBorders>
              <w:top w:val="single" w:color="auto" w:sz="4" w:space="0"/>
              <w:left w:val="single" w:color="auto" w:sz="4" w:space="0"/>
              <w:bottom w:val="single" w:color="auto" w:sz="4" w:space="0"/>
              <w:right w:val="single" w:color="auto" w:sz="4" w:space="0"/>
            </w:tcBorders>
            <w:vAlign w:val="center"/>
          </w:tcPr>
          <w:p>
            <w:pPr>
              <w:pStyle w:val="18"/>
              <w:spacing w:line="360" w:lineRule="auto"/>
              <w:rPr>
                <w:rFonts w:ascii="宋体" w:eastAsia="宋体"/>
                <w:b w:val="0"/>
                <w:color w:val="auto"/>
                <w:sz w:val="22"/>
                <w:szCs w:val="22"/>
              </w:rPr>
            </w:pPr>
            <w:r>
              <w:rPr>
                <w:rFonts w:hint="eastAsia" w:ascii="宋体" w:eastAsia="宋体"/>
                <w:b w:val="0"/>
                <w:color w:val="auto"/>
                <w:sz w:val="22"/>
                <w:szCs w:val="22"/>
              </w:rPr>
              <w:t>单位</w:t>
            </w:r>
          </w:p>
        </w:tc>
        <w:tc>
          <w:tcPr>
            <w:tcW w:w="610" w:type="pct"/>
            <w:tcBorders>
              <w:top w:val="single" w:color="auto" w:sz="4" w:space="0"/>
              <w:left w:val="single" w:color="auto" w:sz="4" w:space="0"/>
              <w:bottom w:val="single" w:color="auto" w:sz="4" w:space="0"/>
              <w:right w:val="single" w:color="auto" w:sz="4" w:space="0"/>
            </w:tcBorders>
            <w:vAlign w:val="center"/>
          </w:tcPr>
          <w:p>
            <w:pPr>
              <w:pStyle w:val="18"/>
              <w:spacing w:line="360" w:lineRule="auto"/>
              <w:rPr>
                <w:rFonts w:ascii="宋体" w:eastAsia="宋体"/>
                <w:b w:val="0"/>
                <w:color w:val="auto"/>
                <w:sz w:val="22"/>
                <w:szCs w:val="22"/>
              </w:rPr>
            </w:pPr>
            <w:r>
              <w:rPr>
                <w:rFonts w:hint="eastAsia" w:ascii="宋体" w:eastAsia="宋体"/>
                <w:b w:val="0"/>
                <w:color w:val="auto"/>
                <w:sz w:val="22"/>
                <w:szCs w:val="22"/>
              </w:rPr>
              <w:t>数量</w:t>
            </w:r>
          </w:p>
        </w:tc>
        <w:tc>
          <w:tcPr>
            <w:tcW w:w="510" w:type="pct"/>
            <w:tcBorders>
              <w:top w:val="single" w:color="auto" w:sz="4" w:space="0"/>
              <w:left w:val="single" w:color="auto" w:sz="4" w:space="0"/>
              <w:bottom w:val="single" w:color="auto" w:sz="4" w:space="0"/>
              <w:right w:val="single" w:color="auto" w:sz="4" w:space="0"/>
            </w:tcBorders>
            <w:vAlign w:val="center"/>
          </w:tcPr>
          <w:p>
            <w:pPr>
              <w:pStyle w:val="18"/>
              <w:spacing w:line="360" w:lineRule="auto"/>
              <w:rPr>
                <w:rFonts w:ascii="宋体" w:eastAsia="宋体"/>
                <w:b w:val="0"/>
                <w:color w:val="auto"/>
                <w:sz w:val="22"/>
                <w:szCs w:val="22"/>
              </w:rPr>
            </w:pPr>
            <w:r>
              <w:rPr>
                <w:rFonts w:hint="eastAsia" w:ascii="宋体" w:eastAsia="宋体"/>
                <w:b w:val="0"/>
                <w:color w:val="auto"/>
                <w:sz w:val="22"/>
                <w:szCs w:val="22"/>
              </w:rPr>
              <w:t>单价</w:t>
            </w:r>
          </w:p>
        </w:tc>
        <w:tc>
          <w:tcPr>
            <w:tcW w:w="954" w:type="pct"/>
            <w:tcBorders>
              <w:top w:val="single" w:color="auto" w:sz="4" w:space="0"/>
              <w:left w:val="single" w:color="auto" w:sz="4" w:space="0"/>
              <w:bottom w:val="single" w:color="auto" w:sz="4" w:space="0"/>
              <w:right w:val="single" w:color="auto" w:sz="4" w:space="0"/>
            </w:tcBorders>
            <w:vAlign w:val="center"/>
          </w:tcPr>
          <w:p>
            <w:pPr>
              <w:pStyle w:val="18"/>
              <w:spacing w:line="360" w:lineRule="auto"/>
              <w:rPr>
                <w:rFonts w:ascii="宋体" w:eastAsia="宋体"/>
                <w:b w:val="0"/>
                <w:color w:val="auto"/>
                <w:sz w:val="22"/>
                <w:szCs w:val="22"/>
              </w:rPr>
            </w:pPr>
            <w:r>
              <w:rPr>
                <w:rFonts w:hint="eastAsia" w:ascii="宋体" w:eastAsia="宋体"/>
                <w:b w:val="0"/>
                <w:color w:val="auto"/>
                <w:sz w:val="22"/>
                <w:szCs w:val="22"/>
              </w:rPr>
              <w:t>单项合计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6" w:hRule="atLeast"/>
          <w:jc w:val="center"/>
        </w:trPr>
        <w:tc>
          <w:tcPr>
            <w:tcW w:w="394" w:type="pct"/>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auto"/>
              <w:jc w:val="center"/>
              <w:rPr>
                <w:rFonts w:ascii="宋体" w:hAnsi="宋体"/>
                <w:spacing w:val="20"/>
                <w:szCs w:val="18"/>
              </w:rPr>
            </w:pPr>
            <w:r>
              <w:rPr>
                <w:rFonts w:hint="eastAsia" w:ascii="宋体" w:hAnsi="宋体"/>
                <w:spacing w:val="20"/>
                <w:szCs w:val="18"/>
              </w:rPr>
              <w:t>1</w:t>
            </w:r>
          </w:p>
        </w:tc>
        <w:tc>
          <w:tcPr>
            <w:tcW w:w="743" w:type="pct"/>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auto"/>
              <w:jc w:val="center"/>
              <w:rPr>
                <w:rFonts w:ascii="宋体" w:hAnsi="宋体"/>
                <w:spacing w:val="20"/>
                <w:szCs w:val="18"/>
              </w:rPr>
            </w:pPr>
          </w:p>
        </w:tc>
        <w:tc>
          <w:tcPr>
            <w:tcW w:w="609" w:type="pct"/>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auto"/>
              <w:jc w:val="center"/>
              <w:rPr>
                <w:rFonts w:ascii="宋体" w:hAnsi="宋体"/>
                <w:spacing w:val="20"/>
                <w:szCs w:val="18"/>
              </w:rPr>
            </w:pPr>
          </w:p>
        </w:tc>
        <w:tc>
          <w:tcPr>
            <w:tcW w:w="566" w:type="pct"/>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auto"/>
              <w:jc w:val="center"/>
              <w:rPr>
                <w:rFonts w:ascii="宋体" w:hAnsi="宋体"/>
                <w:spacing w:val="20"/>
                <w:szCs w:val="18"/>
              </w:rPr>
            </w:pPr>
          </w:p>
        </w:tc>
        <w:tc>
          <w:tcPr>
            <w:tcW w:w="610" w:type="pct"/>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auto"/>
              <w:jc w:val="center"/>
              <w:rPr>
                <w:rFonts w:ascii="宋体" w:hAnsi="宋体"/>
                <w:spacing w:val="20"/>
                <w:szCs w:val="18"/>
              </w:rPr>
            </w:pPr>
          </w:p>
        </w:tc>
        <w:tc>
          <w:tcPr>
            <w:tcW w:w="610" w:type="pct"/>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auto"/>
              <w:jc w:val="center"/>
              <w:rPr>
                <w:rFonts w:ascii="宋体" w:hAnsi="宋体"/>
                <w:spacing w:val="20"/>
                <w:szCs w:val="18"/>
              </w:rPr>
            </w:pPr>
          </w:p>
        </w:tc>
        <w:tc>
          <w:tcPr>
            <w:tcW w:w="510" w:type="pct"/>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auto"/>
              <w:jc w:val="center"/>
              <w:rPr>
                <w:rFonts w:ascii="宋体" w:hAnsi="宋体"/>
                <w:spacing w:val="20"/>
                <w:szCs w:val="18"/>
              </w:rPr>
            </w:pPr>
          </w:p>
        </w:tc>
        <w:tc>
          <w:tcPr>
            <w:tcW w:w="954" w:type="pct"/>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auto"/>
              <w:jc w:val="center"/>
              <w:rPr>
                <w:rFonts w:ascii="宋体" w:hAnsi="宋体"/>
                <w:spacing w:val="20"/>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6" w:hRule="atLeast"/>
          <w:jc w:val="center"/>
        </w:trPr>
        <w:tc>
          <w:tcPr>
            <w:tcW w:w="394" w:type="pct"/>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auto"/>
              <w:jc w:val="center"/>
              <w:rPr>
                <w:rFonts w:ascii="宋体" w:hAnsi="宋体"/>
                <w:spacing w:val="20"/>
                <w:szCs w:val="18"/>
              </w:rPr>
            </w:pPr>
            <w:r>
              <w:rPr>
                <w:rFonts w:hint="eastAsia" w:ascii="宋体" w:hAnsi="宋体"/>
                <w:spacing w:val="20"/>
                <w:szCs w:val="18"/>
              </w:rPr>
              <w:t>2</w:t>
            </w:r>
          </w:p>
        </w:tc>
        <w:tc>
          <w:tcPr>
            <w:tcW w:w="743" w:type="pct"/>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auto"/>
              <w:jc w:val="center"/>
              <w:rPr>
                <w:rFonts w:ascii="宋体" w:hAnsi="宋体"/>
                <w:spacing w:val="20"/>
                <w:sz w:val="21"/>
                <w:szCs w:val="18"/>
              </w:rPr>
            </w:pPr>
          </w:p>
        </w:tc>
        <w:tc>
          <w:tcPr>
            <w:tcW w:w="609" w:type="pct"/>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auto"/>
              <w:jc w:val="center"/>
              <w:rPr>
                <w:rFonts w:ascii="宋体" w:hAnsi="宋体"/>
                <w:spacing w:val="20"/>
                <w:szCs w:val="18"/>
              </w:rPr>
            </w:pPr>
          </w:p>
        </w:tc>
        <w:tc>
          <w:tcPr>
            <w:tcW w:w="566" w:type="pct"/>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auto"/>
              <w:jc w:val="center"/>
              <w:rPr>
                <w:rFonts w:ascii="宋体" w:hAnsi="宋体"/>
                <w:spacing w:val="20"/>
                <w:szCs w:val="18"/>
              </w:rPr>
            </w:pPr>
          </w:p>
        </w:tc>
        <w:tc>
          <w:tcPr>
            <w:tcW w:w="610" w:type="pct"/>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auto"/>
              <w:jc w:val="center"/>
              <w:rPr>
                <w:rFonts w:ascii="宋体" w:hAnsi="宋体"/>
                <w:spacing w:val="20"/>
                <w:szCs w:val="18"/>
              </w:rPr>
            </w:pPr>
          </w:p>
        </w:tc>
        <w:tc>
          <w:tcPr>
            <w:tcW w:w="610" w:type="pct"/>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auto"/>
              <w:jc w:val="center"/>
              <w:rPr>
                <w:rFonts w:ascii="宋体" w:hAnsi="宋体"/>
                <w:spacing w:val="20"/>
                <w:szCs w:val="18"/>
              </w:rPr>
            </w:pPr>
          </w:p>
        </w:tc>
        <w:tc>
          <w:tcPr>
            <w:tcW w:w="510" w:type="pct"/>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auto"/>
              <w:jc w:val="center"/>
              <w:rPr>
                <w:rFonts w:ascii="宋体" w:hAnsi="宋体"/>
                <w:spacing w:val="20"/>
                <w:szCs w:val="18"/>
              </w:rPr>
            </w:pPr>
          </w:p>
        </w:tc>
        <w:tc>
          <w:tcPr>
            <w:tcW w:w="954" w:type="pct"/>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auto"/>
              <w:jc w:val="center"/>
              <w:rPr>
                <w:rFonts w:ascii="宋体" w:hAnsi="宋体"/>
                <w:spacing w:val="20"/>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6" w:hRule="atLeast"/>
          <w:jc w:val="center"/>
        </w:trPr>
        <w:tc>
          <w:tcPr>
            <w:tcW w:w="394" w:type="pct"/>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auto"/>
              <w:jc w:val="center"/>
              <w:rPr>
                <w:rFonts w:ascii="宋体" w:hAnsi="宋体"/>
                <w:spacing w:val="20"/>
                <w:szCs w:val="18"/>
              </w:rPr>
            </w:pPr>
            <w:r>
              <w:rPr>
                <w:rFonts w:hint="eastAsia" w:ascii="宋体" w:hAnsi="宋体"/>
                <w:spacing w:val="20"/>
                <w:szCs w:val="18"/>
              </w:rPr>
              <w:t>...</w:t>
            </w:r>
          </w:p>
        </w:tc>
        <w:tc>
          <w:tcPr>
            <w:tcW w:w="743" w:type="pct"/>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auto"/>
              <w:jc w:val="center"/>
              <w:rPr>
                <w:rFonts w:ascii="宋体" w:hAnsi="宋体"/>
                <w:spacing w:val="20"/>
                <w:sz w:val="21"/>
                <w:szCs w:val="18"/>
              </w:rPr>
            </w:pPr>
          </w:p>
        </w:tc>
        <w:tc>
          <w:tcPr>
            <w:tcW w:w="609" w:type="pct"/>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auto"/>
              <w:jc w:val="center"/>
              <w:rPr>
                <w:rFonts w:ascii="宋体" w:hAnsi="宋体"/>
                <w:spacing w:val="20"/>
                <w:szCs w:val="18"/>
              </w:rPr>
            </w:pPr>
          </w:p>
        </w:tc>
        <w:tc>
          <w:tcPr>
            <w:tcW w:w="566" w:type="pct"/>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auto"/>
              <w:jc w:val="center"/>
              <w:rPr>
                <w:rFonts w:ascii="宋体" w:hAnsi="宋体"/>
                <w:spacing w:val="20"/>
                <w:szCs w:val="18"/>
              </w:rPr>
            </w:pPr>
          </w:p>
        </w:tc>
        <w:tc>
          <w:tcPr>
            <w:tcW w:w="610" w:type="pct"/>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auto"/>
              <w:jc w:val="center"/>
              <w:rPr>
                <w:rFonts w:ascii="宋体" w:hAnsi="宋体"/>
                <w:spacing w:val="20"/>
                <w:szCs w:val="18"/>
              </w:rPr>
            </w:pPr>
          </w:p>
        </w:tc>
        <w:tc>
          <w:tcPr>
            <w:tcW w:w="610" w:type="pct"/>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auto"/>
              <w:jc w:val="center"/>
              <w:rPr>
                <w:rFonts w:ascii="宋体" w:hAnsi="宋体"/>
                <w:spacing w:val="20"/>
                <w:szCs w:val="18"/>
              </w:rPr>
            </w:pPr>
          </w:p>
        </w:tc>
        <w:tc>
          <w:tcPr>
            <w:tcW w:w="510" w:type="pct"/>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auto"/>
              <w:jc w:val="center"/>
              <w:rPr>
                <w:rFonts w:ascii="宋体" w:hAnsi="宋体"/>
                <w:spacing w:val="20"/>
                <w:szCs w:val="18"/>
              </w:rPr>
            </w:pPr>
          </w:p>
        </w:tc>
        <w:tc>
          <w:tcPr>
            <w:tcW w:w="954" w:type="pct"/>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auto"/>
              <w:jc w:val="center"/>
              <w:rPr>
                <w:rFonts w:ascii="宋体" w:hAnsi="宋体"/>
                <w:spacing w:val="20"/>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6" w:hRule="atLeast"/>
          <w:jc w:val="center"/>
        </w:trPr>
        <w:tc>
          <w:tcPr>
            <w:tcW w:w="5000" w:type="pct"/>
            <w:gridSpan w:val="8"/>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auto"/>
              <w:rPr>
                <w:rFonts w:ascii="宋体" w:hAnsi="宋体"/>
                <w:spacing w:val="20"/>
                <w:szCs w:val="18"/>
              </w:rPr>
            </w:pPr>
            <w:r>
              <w:rPr>
                <w:rFonts w:hint="eastAsia" w:ascii="宋体" w:hAnsi="宋体"/>
                <w:sz w:val="21"/>
                <w:szCs w:val="21"/>
              </w:rPr>
              <w:t>投标总价</w:t>
            </w:r>
            <w:r>
              <w:rPr>
                <w:rFonts w:hint="eastAsia" w:ascii="宋体" w:hAnsi="宋体"/>
                <w:spacing w:val="20"/>
                <w:szCs w:val="21"/>
              </w:rPr>
              <w:t>：</w:t>
            </w:r>
            <w:r>
              <w:rPr>
                <w:rFonts w:hint="eastAsia" w:ascii="宋体" w:hAnsi="宋体"/>
                <w:sz w:val="21"/>
                <w:szCs w:val="21"/>
              </w:rPr>
              <w:t>人民币            （￥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1" w:hRule="atLeast"/>
          <w:jc w:val="center"/>
        </w:trPr>
        <w:tc>
          <w:tcPr>
            <w:tcW w:w="5000" w:type="pct"/>
            <w:gridSpan w:val="8"/>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auto"/>
              <w:rPr>
                <w:rFonts w:ascii="宋体" w:hAnsi="宋体"/>
                <w:sz w:val="21"/>
                <w:szCs w:val="21"/>
                <w:u w:val="single"/>
              </w:rPr>
            </w:pPr>
            <w:r>
              <w:rPr>
                <w:rFonts w:hint="eastAsia" w:ascii="宋体" w:hAnsi="宋体"/>
                <w:sz w:val="21"/>
                <w:szCs w:val="21"/>
              </w:rPr>
              <w:t>交货期：</w:t>
            </w:r>
            <w:r>
              <w:rPr>
                <w:rFonts w:hint="eastAsia" w:ascii="宋体" w:hAnsi="宋体"/>
                <w:sz w:val="21"/>
                <w:szCs w:val="21"/>
                <w:u w:val="singl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34" w:hRule="atLeast"/>
          <w:jc w:val="center"/>
        </w:trPr>
        <w:tc>
          <w:tcPr>
            <w:tcW w:w="5000" w:type="pct"/>
            <w:gridSpan w:val="8"/>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auto"/>
              <w:rPr>
                <w:rFonts w:ascii="宋体" w:hAnsi="宋体"/>
                <w:szCs w:val="20"/>
              </w:rPr>
            </w:pPr>
            <w:r>
              <w:rPr>
                <w:rFonts w:hint="eastAsia" w:ascii="宋体" w:hAnsi="宋体"/>
                <w:szCs w:val="20"/>
              </w:rPr>
              <w:t>投标报价包含货物（服务）、随配附件、配置系统、备品备件、工具、运抵指定交货地点、安装、安装所需材料、调试的各种费用、人员培训费（至少培训三人）和售后服务、税金、质保期运行维护费及其他所有成本费用的总和。</w:t>
            </w:r>
          </w:p>
        </w:tc>
      </w:tr>
    </w:tbl>
    <w:p>
      <w:pPr>
        <w:spacing w:line="360" w:lineRule="auto"/>
        <w:ind w:left="220" w:leftChars="100"/>
        <w:rPr>
          <w:rFonts w:ascii="宋体" w:hAnsi="宋体" w:eastAsia="宋体" w:cs="宋体"/>
          <w:sz w:val="21"/>
          <w:szCs w:val="21"/>
        </w:rPr>
      </w:pPr>
    </w:p>
    <w:p>
      <w:pPr>
        <w:spacing w:line="360" w:lineRule="auto"/>
        <w:ind w:left="220" w:leftChars="100"/>
        <w:rPr>
          <w:sz w:val="20"/>
          <w:szCs w:val="20"/>
        </w:rPr>
      </w:pPr>
      <w:r>
        <w:rPr>
          <w:rFonts w:ascii="宋体" w:hAnsi="宋体" w:eastAsia="宋体" w:cs="宋体"/>
          <w:sz w:val="21"/>
          <w:szCs w:val="21"/>
        </w:rPr>
        <w:t>供应商（公章，自然人除外）：</w:t>
      </w:r>
    </w:p>
    <w:p>
      <w:pPr>
        <w:spacing w:line="360" w:lineRule="auto"/>
        <w:ind w:left="220" w:leftChars="100"/>
        <w:rPr>
          <w:sz w:val="20"/>
          <w:szCs w:val="20"/>
        </w:rPr>
      </w:pPr>
      <w:r>
        <w:rPr>
          <w:rFonts w:ascii="宋体" w:hAnsi="宋体" w:eastAsia="宋体" w:cs="宋体"/>
          <w:sz w:val="21"/>
          <w:szCs w:val="21"/>
        </w:rPr>
        <w:t>法定代表人、负责人、自然人或相应的委托代理人签字或盖章（属自然人的应在签名处加盖食指指印）：</w:t>
      </w:r>
    </w:p>
    <w:p>
      <w:pPr>
        <w:spacing w:line="360" w:lineRule="auto"/>
        <w:ind w:left="220" w:leftChars="100"/>
        <w:rPr>
          <w:sz w:val="20"/>
          <w:szCs w:val="20"/>
        </w:rPr>
      </w:pPr>
      <w:r>
        <w:rPr>
          <w:rFonts w:ascii="宋体" w:hAnsi="宋体" w:eastAsia="宋体" w:cs="宋体"/>
          <w:sz w:val="21"/>
          <w:szCs w:val="21"/>
        </w:rPr>
        <w:t>日期：</w:t>
      </w:r>
    </w:p>
    <w:p>
      <w:pPr>
        <w:spacing w:line="360" w:lineRule="auto"/>
        <w:ind w:left="220" w:leftChars="100"/>
        <w:rPr>
          <w:sz w:val="20"/>
          <w:szCs w:val="20"/>
        </w:rPr>
      </w:pPr>
      <w:r>
        <w:rPr>
          <w:rFonts w:ascii="宋体" w:hAnsi="宋体" w:eastAsia="宋体" w:cs="宋体"/>
          <w:sz w:val="21"/>
          <w:szCs w:val="21"/>
        </w:rPr>
        <w:t>注</w:t>
      </w:r>
      <w:r>
        <w:rPr>
          <w:rFonts w:ascii="宋体" w:hAnsi="宋体" w:eastAsia="宋体" w:cs="宋体"/>
          <w:b/>
          <w:bCs/>
          <w:sz w:val="21"/>
          <w:szCs w:val="21"/>
        </w:rPr>
        <w:t>：</w:t>
      </w:r>
      <w:r>
        <w:rPr>
          <w:rFonts w:ascii="宋体" w:hAnsi="宋体" w:eastAsia="宋体" w:cs="宋体"/>
          <w:sz w:val="21"/>
          <w:szCs w:val="21"/>
        </w:rPr>
        <w:t>1.各供应商必须就“货物采购需求”中的所有内容作完整唯一报价，否则，其响应文件无效。</w:t>
      </w:r>
    </w:p>
    <w:p>
      <w:pPr>
        <w:spacing w:line="360" w:lineRule="auto"/>
        <w:ind w:left="220" w:leftChars="100" w:firstLine="420" w:firstLineChars="200"/>
        <w:rPr>
          <w:sz w:val="20"/>
          <w:szCs w:val="20"/>
        </w:rPr>
      </w:pPr>
      <w:r>
        <w:rPr>
          <w:rFonts w:ascii="宋体" w:hAnsi="宋体" w:eastAsia="宋体" w:cs="宋体"/>
          <w:sz w:val="21"/>
          <w:szCs w:val="21"/>
        </w:rPr>
        <w:t>2.供应商应根据所提供的货物如实填写磋商报价表的各项内容。</w:t>
      </w:r>
    </w:p>
    <w:p>
      <w:pPr>
        <w:spacing w:line="360" w:lineRule="auto"/>
        <w:ind w:left="209" w:leftChars="95" w:right="100" w:firstLine="420" w:firstLineChars="200"/>
        <w:rPr>
          <w:sz w:val="20"/>
          <w:szCs w:val="20"/>
        </w:rPr>
      </w:pPr>
      <w:r>
        <w:rPr>
          <w:rFonts w:ascii="宋体" w:hAnsi="宋体" w:eastAsia="宋体" w:cs="宋体"/>
          <w:sz w:val="21"/>
          <w:szCs w:val="21"/>
        </w:rPr>
        <w:t>3.磋商报价表须由法定代表人、负责人、自然人或相应的委托代理人签字或盖章（属自然人的应在签名处加盖食指指印）并加盖供应商公章（自然人除外）。当本表由多页构成时，需逐页加盖供应商公章（属自然人的须逐页签字）。</w:t>
      </w:r>
    </w:p>
    <w:p>
      <w:pPr>
        <w:spacing w:line="360" w:lineRule="auto"/>
        <w:ind w:left="220" w:leftChars="100" w:right="100" w:firstLine="420" w:firstLineChars="200"/>
        <w:rPr>
          <w:sz w:val="20"/>
          <w:szCs w:val="20"/>
        </w:rPr>
      </w:pPr>
      <w:r>
        <w:rPr>
          <w:rFonts w:ascii="宋体" w:hAnsi="宋体" w:eastAsia="宋体" w:cs="宋体"/>
          <w:sz w:val="21"/>
          <w:szCs w:val="21"/>
        </w:rPr>
        <w:t>4.如全部或部分产品属于《节能产品政府采购清单》或《环境标志产品政府采购清单》目录范围的，供应商应在本表备注栏内写明各分项货物属于节能（或环境标志）产品政府采购清单第几类第几项序号的产品，以便磋商小组作为优先采购或评审的依据。</w:t>
      </w:r>
    </w:p>
    <w:p>
      <w:pPr>
        <w:spacing w:line="360" w:lineRule="auto"/>
        <w:ind w:left="220" w:leftChars="100"/>
        <w:sectPr>
          <w:pgSz w:w="11900" w:h="16840"/>
          <w:pgMar w:top="964" w:right="1123" w:bottom="652" w:left="482" w:header="0" w:footer="397" w:gutter="0"/>
          <w:cols w:space="425" w:num="1"/>
        </w:sectPr>
      </w:pPr>
    </w:p>
    <w:p>
      <w:pPr>
        <w:spacing w:line="360" w:lineRule="auto"/>
        <w:sectPr>
          <w:type w:val="continuous"/>
          <w:pgSz w:w="11900" w:h="16840"/>
          <w:pgMar w:top="964" w:right="1123" w:bottom="652" w:left="482" w:header="0" w:footer="397" w:gutter="0"/>
          <w:cols w:space="425" w:num="1"/>
        </w:sectPr>
      </w:pPr>
    </w:p>
    <w:p>
      <w:pPr>
        <w:spacing w:line="360" w:lineRule="auto"/>
        <w:ind w:left="220" w:leftChars="100"/>
        <w:rPr>
          <w:sz w:val="20"/>
          <w:szCs w:val="20"/>
        </w:rPr>
      </w:pPr>
      <w:bookmarkStart w:id="105" w:name="page35"/>
      <w:bookmarkEnd w:id="105"/>
    </w:p>
    <w:p>
      <w:pPr>
        <w:spacing w:line="360" w:lineRule="auto"/>
        <w:ind w:left="220" w:leftChars="100"/>
        <w:rPr>
          <w:sz w:val="20"/>
          <w:szCs w:val="20"/>
        </w:rPr>
      </w:pPr>
      <w:r>
        <w:rPr>
          <w:rFonts w:ascii="宋体" w:hAnsi="宋体" w:eastAsia="宋体" w:cs="宋体"/>
          <w:b/>
          <w:bCs/>
          <w:sz w:val="28"/>
          <w:szCs w:val="28"/>
        </w:rPr>
        <w:t>8、技术规格偏离表（必须提供）</w:t>
      </w:r>
    </w:p>
    <w:p>
      <w:pPr>
        <w:spacing w:line="360" w:lineRule="auto"/>
        <w:ind w:left="220" w:leftChars="100"/>
        <w:rPr>
          <w:sz w:val="20"/>
          <w:szCs w:val="20"/>
        </w:rPr>
      </w:pPr>
      <w:bookmarkStart w:id="106" w:name="_Toc12835_WPSOffice_Level1"/>
      <w:r>
        <w:rPr>
          <w:rFonts w:ascii="宋体" w:hAnsi="宋体" w:eastAsia="宋体" w:cs="宋体"/>
          <w:b/>
          <w:bCs/>
          <w:sz w:val="32"/>
          <w:szCs w:val="32"/>
        </w:rPr>
        <w:t>附件：</w:t>
      </w:r>
      <w:bookmarkEnd w:id="106"/>
    </w:p>
    <w:p>
      <w:pPr>
        <w:spacing w:line="360" w:lineRule="auto"/>
        <w:ind w:left="220" w:leftChars="100"/>
        <w:rPr>
          <w:sz w:val="20"/>
          <w:szCs w:val="20"/>
        </w:rPr>
      </w:pPr>
      <w:bookmarkStart w:id="107" w:name="_Toc12897_WPSOffice_Level1"/>
      <w:r>
        <w:rPr>
          <w:rFonts w:ascii="宋体" w:hAnsi="宋体" w:eastAsia="宋体" w:cs="宋体"/>
          <w:b/>
          <w:bCs/>
          <w:sz w:val="32"/>
          <w:szCs w:val="32"/>
        </w:rPr>
        <w:t>技术规格偏离表（格式）</w:t>
      </w:r>
      <w:bookmarkEnd w:id="107"/>
    </w:p>
    <w:tbl>
      <w:tblPr>
        <w:tblStyle w:val="14"/>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934"/>
        <w:gridCol w:w="1824"/>
        <w:gridCol w:w="3003"/>
        <w:gridCol w:w="2336"/>
        <w:gridCol w:w="2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1" w:hRule="atLeast"/>
        </w:trPr>
        <w:tc>
          <w:tcPr>
            <w:tcW w:w="453" w:type="pct"/>
            <w:vAlign w:val="bottom"/>
          </w:tcPr>
          <w:p>
            <w:pPr>
              <w:spacing w:line="360" w:lineRule="auto"/>
              <w:ind w:left="220" w:leftChars="100"/>
              <w:jc w:val="center"/>
              <w:rPr>
                <w:sz w:val="20"/>
                <w:szCs w:val="20"/>
              </w:rPr>
            </w:pPr>
            <w:r>
              <w:rPr>
                <w:rFonts w:hint="eastAsia" w:ascii="宋体" w:hAnsi="宋体" w:eastAsia="宋体" w:cs="宋体"/>
                <w:w w:val="99"/>
                <w:sz w:val="21"/>
                <w:szCs w:val="21"/>
              </w:rPr>
              <w:t>序号</w:t>
            </w:r>
          </w:p>
        </w:tc>
        <w:tc>
          <w:tcPr>
            <w:tcW w:w="885" w:type="pct"/>
            <w:vAlign w:val="bottom"/>
          </w:tcPr>
          <w:p>
            <w:pPr>
              <w:spacing w:line="360" w:lineRule="auto"/>
              <w:rPr>
                <w:sz w:val="20"/>
                <w:szCs w:val="20"/>
              </w:rPr>
            </w:pPr>
            <w:r>
              <w:rPr>
                <w:rFonts w:ascii="宋体" w:hAnsi="宋体" w:eastAsia="宋体" w:cs="宋体"/>
                <w:sz w:val="21"/>
                <w:szCs w:val="21"/>
              </w:rPr>
              <w:t>货物名称</w:t>
            </w:r>
          </w:p>
        </w:tc>
        <w:tc>
          <w:tcPr>
            <w:tcW w:w="3003" w:type="dxa"/>
            <w:vAlign w:val="center"/>
          </w:tcPr>
          <w:p>
            <w:pPr>
              <w:spacing w:line="360" w:lineRule="auto"/>
              <w:ind w:left="220" w:leftChars="100"/>
              <w:rPr>
                <w:rFonts w:ascii="宋体" w:hAnsi="宋体" w:eastAsia="宋体" w:cs="宋体"/>
                <w:sz w:val="21"/>
                <w:szCs w:val="21"/>
              </w:rPr>
            </w:pPr>
            <w:r>
              <w:rPr>
                <w:rFonts w:hint="eastAsia" w:ascii="宋体" w:hAnsi="宋体" w:eastAsia="宋体" w:cs="宋体"/>
                <w:sz w:val="21"/>
                <w:szCs w:val="21"/>
              </w:rPr>
              <w:t>招标文件要求</w:t>
            </w:r>
          </w:p>
        </w:tc>
        <w:tc>
          <w:tcPr>
            <w:tcW w:w="2336" w:type="dxa"/>
            <w:vAlign w:val="center"/>
          </w:tcPr>
          <w:p>
            <w:pPr>
              <w:spacing w:line="360" w:lineRule="auto"/>
              <w:ind w:left="220" w:leftChars="100"/>
              <w:rPr>
                <w:rFonts w:ascii="宋体" w:hAnsi="宋体" w:eastAsia="宋体" w:cs="宋体"/>
                <w:sz w:val="21"/>
                <w:szCs w:val="21"/>
              </w:rPr>
            </w:pPr>
            <w:r>
              <w:rPr>
                <w:rFonts w:hint="eastAsia" w:ascii="宋体" w:hAnsi="宋体" w:eastAsia="宋体" w:cs="宋体"/>
                <w:sz w:val="21"/>
                <w:szCs w:val="21"/>
              </w:rPr>
              <w:t>投标文件响应</w:t>
            </w:r>
          </w:p>
        </w:tc>
        <w:tc>
          <w:tcPr>
            <w:tcW w:w="1069" w:type="pct"/>
            <w:vAlign w:val="bottom"/>
          </w:tcPr>
          <w:p>
            <w:pPr>
              <w:spacing w:line="360" w:lineRule="auto"/>
              <w:rPr>
                <w:sz w:val="20"/>
                <w:szCs w:val="20"/>
              </w:rPr>
            </w:pPr>
            <w:r>
              <w:rPr>
                <w:rFonts w:ascii="宋体" w:hAnsi="宋体" w:eastAsia="宋体" w:cs="宋体"/>
                <w:sz w:val="21"/>
                <w:szCs w:val="21"/>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atLeast"/>
        </w:trPr>
        <w:tc>
          <w:tcPr>
            <w:tcW w:w="453" w:type="pct"/>
            <w:vAlign w:val="bottom"/>
          </w:tcPr>
          <w:p>
            <w:pPr>
              <w:spacing w:line="360" w:lineRule="auto"/>
              <w:ind w:left="220" w:leftChars="100"/>
              <w:jc w:val="center"/>
              <w:rPr>
                <w:sz w:val="20"/>
                <w:szCs w:val="20"/>
              </w:rPr>
            </w:pPr>
            <w:r>
              <w:rPr>
                <w:rFonts w:ascii="宋体" w:hAnsi="宋体" w:eastAsia="宋体" w:cs="宋体"/>
                <w:w w:val="94"/>
                <w:sz w:val="21"/>
                <w:szCs w:val="21"/>
              </w:rPr>
              <w:t>1</w:t>
            </w:r>
          </w:p>
        </w:tc>
        <w:tc>
          <w:tcPr>
            <w:tcW w:w="885" w:type="pct"/>
            <w:vAlign w:val="bottom"/>
          </w:tcPr>
          <w:p>
            <w:pPr>
              <w:spacing w:line="360" w:lineRule="auto"/>
              <w:ind w:left="220" w:leftChars="100"/>
              <w:rPr>
                <w:sz w:val="24"/>
                <w:szCs w:val="24"/>
              </w:rPr>
            </w:pPr>
          </w:p>
        </w:tc>
        <w:tc>
          <w:tcPr>
            <w:tcW w:w="1457" w:type="pct"/>
            <w:vAlign w:val="bottom"/>
          </w:tcPr>
          <w:p>
            <w:pPr>
              <w:spacing w:line="360" w:lineRule="auto"/>
              <w:ind w:left="220" w:leftChars="100"/>
              <w:rPr>
                <w:sz w:val="24"/>
                <w:szCs w:val="24"/>
              </w:rPr>
            </w:pPr>
          </w:p>
        </w:tc>
        <w:tc>
          <w:tcPr>
            <w:tcW w:w="1133" w:type="pct"/>
            <w:vAlign w:val="bottom"/>
          </w:tcPr>
          <w:p>
            <w:pPr>
              <w:spacing w:line="360" w:lineRule="auto"/>
              <w:ind w:left="220" w:leftChars="100"/>
              <w:rPr>
                <w:sz w:val="24"/>
                <w:szCs w:val="24"/>
              </w:rPr>
            </w:pPr>
          </w:p>
        </w:tc>
        <w:tc>
          <w:tcPr>
            <w:tcW w:w="1069" w:type="pct"/>
            <w:vAlign w:val="bottom"/>
          </w:tcPr>
          <w:p>
            <w:pPr>
              <w:spacing w:line="360" w:lineRule="auto"/>
              <w:ind w:left="220" w:leftChars="10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4" w:hRule="atLeast"/>
        </w:trPr>
        <w:tc>
          <w:tcPr>
            <w:tcW w:w="453" w:type="pct"/>
            <w:vAlign w:val="bottom"/>
          </w:tcPr>
          <w:p>
            <w:pPr>
              <w:spacing w:line="360" w:lineRule="auto"/>
              <w:ind w:left="220" w:leftChars="100"/>
              <w:jc w:val="center"/>
              <w:rPr>
                <w:sz w:val="20"/>
                <w:szCs w:val="20"/>
              </w:rPr>
            </w:pPr>
            <w:r>
              <w:rPr>
                <w:rFonts w:ascii="宋体" w:hAnsi="宋体" w:eastAsia="宋体" w:cs="宋体"/>
                <w:w w:val="94"/>
                <w:sz w:val="21"/>
                <w:szCs w:val="21"/>
              </w:rPr>
              <w:t>2</w:t>
            </w:r>
          </w:p>
        </w:tc>
        <w:tc>
          <w:tcPr>
            <w:tcW w:w="885" w:type="pct"/>
            <w:vAlign w:val="bottom"/>
          </w:tcPr>
          <w:p>
            <w:pPr>
              <w:spacing w:line="360" w:lineRule="auto"/>
              <w:ind w:left="220" w:leftChars="100"/>
              <w:rPr>
                <w:sz w:val="24"/>
                <w:szCs w:val="24"/>
              </w:rPr>
            </w:pPr>
          </w:p>
        </w:tc>
        <w:tc>
          <w:tcPr>
            <w:tcW w:w="1457" w:type="pct"/>
            <w:vAlign w:val="bottom"/>
          </w:tcPr>
          <w:p>
            <w:pPr>
              <w:spacing w:line="360" w:lineRule="auto"/>
              <w:ind w:left="220" w:leftChars="100"/>
              <w:rPr>
                <w:sz w:val="24"/>
                <w:szCs w:val="24"/>
              </w:rPr>
            </w:pPr>
          </w:p>
        </w:tc>
        <w:tc>
          <w:tcPr>
            <w:tcW w:w="1133" w:type="pct"/>
            <w:vAlign w:val="bottom"/>
          </w:tcPr>
          <w:p>
            <w:pPr>
              <w:spacing w:line="360" w:lineRule="auto"/>
              <w:ind w:left="220" w:leftChars="100"/>
              <w:rPr>
                <w:sz w:val="24"/>
                <w:szCs w:val="24"/>
              </w:rPr>
            </w:pPr>
          </w:p>
        </w:tc>
        <w:tc>
          <w:tcPr>
            <w:tcW w:w="1069" w:type="pct"/>
            <w:vAlign w:val="bottom"/>
          </w:tcPr>
          <w:p>
            <w:pPr>
              <w:spacing w:line="360" w:lineRule="auto"/>
              <w:ind w:left="220" w:leftChars="10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atLeast"/>
        </w:trPr>
        <w:tc>
          <w:tcPr>
            <w:tcW w:w="453" w:type="pct"/>
            <w:vAlign w:val="bottom"/>
          </w:tcPr>
          <w:p>
            <w:pPr>
              <w:spacing w:line="360" w:lineRule="auto"/>
              <w:ind w:left="220" w:leftChars="100"/>
              <w:jc w:val="center"/>
              <w:rPr>
                <w:sz w:val="20"/>
                <w:szCs w:val="20"/>
              </w:rPr>
            </w:pPr>
            <w:r>
              <w:rPr>
                <w:rFonts w:ascii="宋体" w:hAnsi="宋体" w:eastAsia="宋体" w:cs="宋体"/>
                <w:sz w:val="21"/>
                <w:szCs w:val="21"/>
              </w:rPr>
              <w:t>…</w:t>
            </w:r>
          </w:p>
        </w:tc>
        <w:tc>
          <w:tcPr>
            <w:tcW w:w="885" w:type="pct"/>
            <w:vAlign w:val="bottom"/>
          </w:tcPr>
          <w:p>
            <w:pPr>
              <w:spacing w:line="360" w:lineRule="auto"/>
              <w:ind w:left="220" w:leftChars="100"/>
              <w:rPr>
                <w:sz w:val="24"/>
                <w:szCs w:val="24"/>
              </w:rPr>
            </w:pPr>
          </w:p>
        </w:tc>
        <w:tc>
          <w:tcPr>
            <w:tcW w:w="1457" w:type="pct"/>
            <w:vAlign w:val="bottom"/>
          </w:tcPr>
          <w:p>
            <w:pPr>
              <w:spacing w:line="360" w:lineRule="auto"/>
              <w:ind w:left="220" w:leftChars="100"/>
              <w:rPr>
                <w:sz w:val="24"/>
                <w:szCs w:val="24"/>
              </w:rPr>
            </w:pPr>
          </w:p>
        </w:tc>
        <w:tc>
          <w:tcPr>
            <w:tcW w:w="1133" w:type="pct"/>
            <w:vAlign w:val="bottom"/>
          </w:tcPr>
          <w:p>
            <w:pPr>
              <w:spacing w:line="360" w:lineRule="auto"/>
              <w:ind w:left="220" w:leftChars="100"/>
              <w:rPr>
                <w:sz w:val="24"/>
                <w:szCs w:val="24"/>
              </w:rPr>
            </w:pPr>
          </w:p>
        </w:tc>
        <w:tc>
          <w:tcPr>
            <w:tcW w:w="1069" w:type="pct"/>
            <w:vAlign w:val="bottom"/>
          </w:tcPr>
          <w:p>
            <w:pPr>
              <w:spacing w:line="360" w:lineRule="auto"/>
              <w:ind w:left="220" w:leftChars="100"/>
              <w:rPr>
                <w:sz w:val="24"/>
                <w:szCs w:val="24"/>
              </w:rPr>
            </w:pPr>
          </w:p>
        </w:tc>
      </w:tr>
    </w:tbl>
    <w:p>
      <w:pPr>
        <w:spacing w:line="360" w:lineRule="auto"/>
        <w:ind w:left="220" w:leftChars="100"/>
        <w:rPr>
          <w:sz w:val="20"/>
          <w:szCs w:val="20"/>
        </w:rPr>
      </w:pPr>
    </w:p>
    <w:p>
      <w:pPr>
        <w:spacing w:line="360" w:lineRule="auto"/>
        <w:ind w:left="220" w:leftChars="100"/>
        <w:rPr>
          <w:sz w:val="20"/>
          <w:szCs w:val="20"/>
        </w:rPr>
      </w:pPr>
      <w:r>
        <w:rPr>
          <w:rFonts w:ascii="宋体" w:hAnsi="宋体" w:eastAsia="宋体" w:cs="宋体"/>
          <w:sz w:val="21"/>
          <w:szCs w:val="21"/>
        </w:rPr>
        <w:t>供应商（公章，自然人除外）：</w:t>
      </w:r>
    </w:p>
    <w:p>
      <w:pPr>
        <w:spacing w:line="360" w:lineRule="auto"/>
        <w:ind w:left="220" w:leftChars="100"/>
        <w:rPr>
          <w:sz w:val="20"/>
          <w:szCs w:val="20"/>
        </w:rPr>
      </w:pPr>
      <w:r>
        <w:rPr>
          <w:rFonts w:ascii="宋体" w:hAnsi="宋体" w:eastAsia="宋体" w:cs="宋体"/>
          <w:sz w:val="21"/>
          <w:szCs w:val="21"/>
        </w:rPr>
        <w:t>法定代表人、负责人、自然人或相应的委托代理人签字</w:t>
      </w:r>
    </w:p>
    <w:p>
      <w:pPr>
        <w:spacing w:line="360" w:lineRule="auto"/>
        <w:ind w:left="220" w:leftChars="100"/>
        <w:rPr>
          <w:sz w:val="20"/>
          <w:szCs w:val="20"/>
        </w:rPr>
      </w:pPr>
      <w:r>
        <w:rPr>
          <w:rFonts w:ascii="宋体" w:hAnsi="宋体" w:eastAsia="宋体" w:cs="宋体"/>
          <w:sz w:val="21"/>
          <w:szCs w:val="21"/>
        </w:rPr>
        <w:t>或盖章（属自然人的应在签名处加盖食指指印）：</w:t>
      </w:r>
    </w:p>
    <w:p>
      <w:pPr>
        <w:spacing w:line="360" w:lineRule="auto"/>
        <w:ind w:left="220" w:leftChars="100"/>
        <w:rPr>
          <w:sz w:val="20"/>
          <w:szCs w:val="20"/>
        </w:rPr>
      </w:pPr>
      <w:r>
        <w:rPr>
          <w:rFonts w:ascii="宋体" w:hAnsi="宋体" w:eastAsia="宋体" w:cs="宋体"/>
          <w:sz w:val="21"/>
          <w:szCs w:val="21"/>
        </w:rPr>
        <w:t>注：1.供应商应对照“货物采购需求”注明所提供产品技术参数、性能、配置等的响应情况及偏离情况。</w:t>
      </w:r>
    </w:p>
    <w:p>
      <w:pPr>
        <w:spacing w:line="360" w:lineRule="auto"/>
        <w:ind w:left="220" w:leftChars="100"/>
        <w:jc w:val="both"/>
        <w:rPr>
          <w:sz w:val="20"/>
          <w:szCs w:val="20"/>
        </w:rPr>
      </w:pPr>
      <w:r>
        <w:rPr>
          <w:rFonts w:ascii="宋体" w:hAnsi="宋体" w:eastAsia="宋体" w:cs="宋体"/>
          <w:sz w:val="21"/>
          <w:szCs w:val="21"/>
        </w:rPr>
        <w:t>2.技术规格偏离表须由法定代表人、负责人、自然人或相应的委托代理人签字或盖章（属自然人的应在签名处加盖食指指印）并加盖供应商公章（自然人除外）。当本表由多页构成时，需逐页加盖供应商公章（属自然人的须逐页签字）。</w:t>
      </w:r>
    </w:p>
    <w:p>
      <w:pPr>
        <w:spacing w:line="360" w:lineRule="auto"/>
        <w:ind w:left="220" w:leftChars="100"/>
        <w:sectPr>
          <w:pgSz w:w="11900" w:h="16840"/>
          <w:pgMar w:top="964" w:right="1123" w:bottom="652" w:left="482" w:header="0" w:footer="397" w:gutter="0"/>
          <w:cols w:space="425" w:num="1"/>
        </w:sectPr>
      </w:pPr>
    </w:p>
    <w:p>
      <w:pPr>
        <w:spacing w:line="360" w:lineRule="auto"/>
        <w:ind w:left="220" w:leftChars="100"/>
        <w:rPr>
          <w:sz w:val="20"/>
          <w:szCs w:val="20"/>
        </w:rPr>
      </w:pPr>
    </w:p>
    <w:p>
      <w:pPr>
        <w:spacing w:line="360" w:lineRule="auto"/>
        <w:ind w:left="220" w:leftChars="100"/>
        <w:rPr>
          <w:sz w:val="20"/>
          <w:szCs w:val="20"/>
        </w:rPr>
      </w:pPr>
    </w:p>
    <w:p>
      <w:pPr>
        <w:spacing w:line="360" w:lineRule="auto"/>
        <w:ind w:left="220" w:leftChars="100"/>
        <w:rPr>
          <w:sz w:val="20"/>
          <w:szCs w:val="20"/>
        </w:rPr>
      </w:pPr>
    </w:p>
    <w:p>
      <w:pPr>
        <w:spacing w:line="360" w:lineRule="auto"/>
        <w:ind w:left="220" w:leftChars="100"/>
        <w:rPr>
          <w:sz w:val="20"/>
          <w:szCs w:val="20"/>
        </w:rPr>
      </w:pPr>
    </w:p>
    <w:p>
      <w:pPr>
        <w:spacing w:line="360" w:lineRule="auto"/>
        <w:ind w:left="220" w:leftChars="100"/>
        <w:rPr>
          <w:sz w:val="20"/>
          <w:szCs w:val="20"/>
        </w:rPr>
      </w:pPr>
    </w:p>
    <w:p>
      <w:pPr>
        <w:spacing w:line="360" w:lineRule="auto"/>
        <w:ind w:left="220" w:leftChars="100"/>
        <w:rPr>
          <w:sz w:val="20"/>
          <w:szCs w:val="20"/>
        </w:rPr>
      </w:pPr>
    </w:p>
    <w:p>
      <w:pPr>
        <w:spacing w:line="360" w:lineRule="auto"/>
        <w:ind w:left="220" w:leftChars="100"/>
        <w:rPr>
          <w:sz w:val="20"/>
          <w:szCs w:val="20"/>
        </w:rPr>
      </w:pPr>
    </w:p>
    <w:p>
      <w:pPr>
        <w:spacing w:line="360" w:lineRule="auto"/>
        <w:ind w:left="220" w:leftChars="100"/>
        <w:rPr>
          <w:sz w:val="20"/>
          <w:szCs w:val="20"/>
        </w:rPr>
      </w:pPr>
    </w:p>
    <w:p>
      <w:pPr>
        <w:spacing w:line="360" w:lineRule="auto"/>
        <w:sectPr>
          <w:type w:val="continuous"/>
          <w:pgSz w:w="11900" w:h="16840"/>
          <w:pgMar w:top="964" w:right="1123" w:bottom="652" w:left="482" w:header="0" w:footer="397" w:gutter="0"/>
          <w:cols w:space="425" w:num="1"/>
        </w:sectPr>
      </w:pPr>
    </w:p>
    <w:p>
      <w:pPr>
        <w:numPr>
          <w:ilvl w:val="0"/>
          <w:numId w:val="6"/>
        </w:numPr>
        <w:spacing w:line="360" w:lineRule="auto"/>
        <w:ind w:left="220" w:leftChars="100" w:firstLine="281"/>
        <w:rPr>
          <w:rFonts w:ascii="宋体" w:hAnsi="宋体" w:eastAsia="宋体" w:cs="宋体"/>
          <w:b/>
          <w:bCs/>
          <w:sz w:val="28"/>
          <w:szCs w:val="28"/>
        </w:rPr>
      </w:pPr>
      <w:bookmarkStart w:id="108" w:name="page36"/>
      <w:bookmarkEnd w:id="108"/>
      <w:r>
        <w:rPr>
          <w:rFonts w:ascii="宋体" w:hAnsi="宋体" w:eastAsia="宋体" w:cs="宋体"/>
          <w:b/>
          <w:bCs/>
          <w:sz w:val="28"/>
          <w:szCs w:val="28"/>
        </w:rPr>
        <w:t>磋商供应商在“信用中国”网(www.creditchina.gov.cn)、中国政府采购网(www.ccgp.gov.cn)查询网站直接打印的信用查询记录打印材料（必须提供)</w:t>
      </w:r>
    </w:p>
    <w:p>
      <w:pPr>
        <w:spacing w:line="360" w:lineRule="auto"/>
        <w:ind w:left="220" w:leftChars="100" w:firstLine="281"/>
        <w:rPr>
          <w:rFonts w:ascii="宋体" w:hAnsi="宋体" w:eastAsia="宋体" w:cs="宋体"/>
          <w:b/>
          <w:bCs/>
          <w:sz w:val="28"/>
          <w:szCs w:val="28"/>
        </w:rPr>
      </w:pPr>
    </w:p>
    <w:p>
      <w:pPr>
        <w:spacing w:line="360" w:lineRule="auto"/>
        <w:ind w:left="220" w:leftChars="100" w:firstLine="281"/>
        <w:rPr>
          <w:rFonts w:ascii="宋体" w:hAnsi="宋体" w:eastAsia="宋体" w:cs="宋体"/>
          <w:b/>
          <w:bCs/>
          <w:sz w:val="28"/>
          <w:szCs w:val="28"/>
        </w:rPr>
      </w:pPr>
    </w:p>
    <w:p>
      <w:pPr>
        <w:spacing w:line="360" w:lineRule="auto"/>
        <w:ind w:left="220" w:leftChars="100" w:firstLine="281"/>
        <w:rPr>
          <w:sz w:val="20"/>
          <w:szCs w:val="20"/>
        </w:rPr>
      </w:pPr>
      <w:r>
        <w:rPr>
          <w:rFonts w:ascii="宋体" w:hAnsi="宋体" w:eastAsia="宋体" w:cs="宋体"/>
          <w:b/>
          <w:bCs/>
          <w:sz w:val="28"/>
          <w:szCs w:val="28"/>
        </w:rPr>
        <w:t>1</w:t>
      </w:r>
      <w:r>
        <w:rPr>
          <w:rFonts w:hint="eastAsia" w:ascii="宋体" w:hAnsi="宋体" w:eastAsia="宋体" w:cs="宋体"/>
          <w:b/>
          <w:bCs/>
          <w:sz w:val="28"/>
          <w:szCs w:val="28"/>
        </w:rPr>
        <w:t>0</w:t>
      </w:r>
      <w:r>
        <w:rPr>
          <w:rFonts w:ascii="宋体" w:hAnsi="宋体" w:eastAsia="宋体" w:cs="宋体"/>
          <w:b/>
          <w:bCs/>
          <w:sz w:val="28"/>
          <w:szCs w:val="28"/>
        </w:rPr>
        <w:t>、磋商供应商针对本服务项目的实施方案售后服务承诺书（包括但不限于含免费保修期、交付使用期、技术服务、技术培训、售后服务的内容和措施等）（必须提供）；</w:t>
      </w:r>
    </w:p>
    <w:p>
      <w:pPr>
        <w:spacing w:line="360" w:lineRule="auto"/>
        <w:ind w:left="220" w:leftChars="100"/>
        <w:rPr>
          <w:rFonts w:ascii="Calibri" w:hAnsi="Calibri" w:eastAsia="Calibri" w:cs="Calibri"/>
          <w:b/>
          <w:bCs/>
          <w:sz w:val="28"/>
          <w:szCs w:val="28"/>
        </w:rPr>
      </w:pPr>
    </w:p>
    <w:p>
      <w:pPr>
        <w:spacing w:line="360" w:lineRule="auto"/>
        <w:ind w:left="220" w:leftChars="100"/>
        <w:rPr>
          <w:rFonts w:ascii="Calibri" w:hAnsi="Calibri" w:eastAsia="Calibri" w:cs="Calibri"/>
          <w:b/>
          <w:bCs/>
          <w:sz w:val="28"/>
          <w:szCs w:val="28"/>
        </w:rPr>
      </w:pPr>
    </w:p>
    <w:p>
      <w:pPr>
        <w:spacing w:line="360" w:lineRule="auto"/>
        <w:ind w:left="220" w:leftChars="100"/>
        <w:rPr>
          <w:rFonts w:ascii="Calibri" w:hAnsi="Calibri" w:eastAsia="Calibri" w:cs="Calibri"/>
          <w:b/>
          <w:bCs/>
          <w:sz w:val="28"/>
          <w:szCs w:val="28"/>
        </w:rPr>
      </w:pPr>
    </w:p>
    <w:p>
      <w:pPr>
        <w:spacing w:line="360" w:lineRule="auto"/>
        <w:ind w:left="220" w:leftChars="100" w:firstLine="280" w:firstLineChars="100"/>
        <w:rPr>
          <w:sz w:val="20"/>
          <w:szCs w:val="20"/>
        </w:rPr>
      </w:pPr>
      <w:r>
        <w:rPr>
          <w:rFonts w:ascii="Calibri" w:hAnsi="Calibri" w:eastAsia="Calibri" w:cs="Calibri"/>
          <w:b/>
          <w:bCs/>
          <w:sz w:val="28"/>
          <w:szCs w:val="28"/>
        </w:rPr>
        <w:t>1</w:t>
      </w:r>
      <w:r>
        <w:rPr>
          <w:rFonts w:hint="eastAsia" w:ascii="Calibri" w:hAnsi="Calibri" w:eastAsia="宋体" w:cs="Calibri"/>
          <w:b/>
          <w:bCs/>
          <w:sz w:val="28"/>
          <w:szCs w:val="28"/>
        </w:rPr>
        <w:t>1</w:t>
      </w:r>
      <w:r>
        <w:rPr>
          <w:rFonts w:ascii="宋体" w:hAnsi="宋体" w:eastAsia="宋体" w:cs="宋体"/>
          <w:b/>
          <w:bCs/>
          <w:sz w:val="28"/>
          <w:szCs w:val="28"/>
        </w:rPr>
        <w:t>、</w:t>
      </w:r>
      <w:r>
        <w:rPr>
          <w:rFonts w:hint="eastAsia" w:ascii="宋体" w:hAnsi="宋体" w:eastAsia="宋体" w:cs="宋体"/>
          <w:b/>
          <w:bCs/>
          <w:sz w:val="28"/>
          <w:szCs w:val="28"/>
        </w:rPr>
        <w:t>技术</w:t>
      </w:r>
      <w:r>
        <w:rPr>
          <w:rFonts w:ascii="宋体" w:hAnsi="宋体" w:eastAsia="宋体" w:cs="宋体"/>
          <w:b/>
          <w:bCs/>
          <w:sz w:val="28"/>
          <w:szCs w:val="28"/>
        </w:rPr>
        <w:t>性能</w:t>
      </w:r>
      <w:r>
        <w:rPr>
          <w:rFonts w:hint="eastAsia" w:ascii="宋体" w:hAnsi="宋体" w:eastAsia="宋体" w:cs="宋体"/>
          <w:b/>
          <w:bCs/>
          <w:sz w:val="28"/>
          <w:szCs w:val="28"/>
        </w:rPr>
        <w:t>材料</w:t>
      </w:r>
      <w:r>
        <w:rPr>
          <w:rFonts w:ascii="宋体" w:hAnsi="宋体" w:eastAsia="宋体" w:cs="宋体"/>
          <w:b/>
          <w:bCs/>
          <w:sz w:val="28"/>
          <w:szCs w:val="28"/>
        </w:rPr>
        <w:t>（如有，请提供）</w:t>
      </w:r>
    </w:p>
    <w:p>
      <w:pPr>
        <w:spacing w:line="360" w:lineRule="auto"/>
        <w:ind w:left="220" w:leftChars="100"/>
        <w:rPr>
          <w:sz w:val="20"/>
          <w:szCs w:val="20"/>
        </w:rPr>
      </w:pPr>
    </w:p>
    <w:p>
      <w:pPr>
        <w:spacing w:line="360" w:lineRule="auto"/>
        <w:ind w:left="220" w:leftChars="100"/>
        <w:rPr>
          <w:sz w:val="20"/>
          <w:szCs w:val="20"/>
        </w:rPr>
      </w:pPr>
    </w:p>
    <w:p>
      <w:pPr>
        <w:spacing w:line="360" w:lineRule="auto"/>
        <w:ind w:left="220" w:leftChars="100"/>
        <w:rPr>
          <w:sz w:val="20"/>
          <w:szCs w:val="20"/>
        </w:rPr>
      </w:pPr>
    </w:p>
    <w:p>
      <w:pPr>
        <w:spacing w:line="360" w:lineRule="auto"/>
        <w:ind w:left="220" w:leftChars="100"/>
        <w:rPr>
          <w:sz w:val="20"/>
          <w:szCs w:val="20"/>
        </w:rPr>
      </w:pPr>
    </w:p>
    <w:p>
      <w:pPr>
        <w:spacing w:line="360" w:lineRule="auto"/>
        <w:rPr>
          <w:sz w:val="20"/>
          <w:szCs w:val="20"/>
        </w:rPr>
      </w:pPr>
    </w:p>
    <w:p>
      <w:pPr>
        <w:numPr>
          <w:ilvl w:val="0"/>
          <w:numId w:val="7"/>
        </w:numPr>
        <w:spacing w:line="360" w:lineRule="auto"/>
        <w:ind w:left="220" w:leftChars="100" w:firstLine="281" w:firstLineChars="100"/>
        <w:rPr>
          <w:rFonts w:ascii="宋体" w:hAnsi="宋体" w:eastAsia="宋体" w:cs="宋体"/>
          <w:b/>
          <w:bCs/>
          <w:sz w:val="28"/>
          <w:szCs w:val="28"/>
        </w:rPr>
      </w:pPr>
      <w:r>
        <w:rPr>
          <w:rFonts w:ascii="宋体" w:hAnsi="宋体" w:eastAsia="宋体" w:cs="宋体"/>
          <w:b/>
          <w:bCs/>
          <w:sz w:val="28"/>
          <w:szCs w:val="28"/>
        </w:rPr>
        <w:t>节能方面的资质证书复印件（如有，请提供）</w:t>
      </w:r>
      <w:bookmarkStart w:id="109" w:name="page37"/>
      <w:bookmarkEnd w:id="109"/>
      <w:bookmarkStart w:id="110" w:name="page38"/>
      <w:bookmarkEnd w:id="110"/>
    </w:p>
    <w:p>
      <w:pPr>
        <w:spacing w:line="360" w:lineRule="auto"/>
        <w:ind w:left="440" w:leftChars="200"/>
        <w:rPr>
          <w:sz w:val="20"/>
          <w:szCs w:val="20"/>
        </w:rPr>
      </w:pPr>
    </w:p>
    <w:p>
      <w:pPr>
        <w:spacing w:line="360" w:lineRule="auto"/>
        <w:ind w:left="440" w:leftChars="200"/>
        <w:rPr>
          <w:sz w:val="20"/>
          <w:szCs w:val="20"/>
        </w:rPr>
      </w:pPr>
    </w:p>
    <w:p>
      <w:pPr>
        <w:spacing w:line="360" w:lineRule="auto"/>
        <w:ind w:left="440" w:leftChars="200"/>
        <w:rPr>
          <w:sz w:val="20"/>
          <w:szCs w:val="20"/>
        </w:rPr>
      </w:pPr>
    </w:p>
    <w:p>
      <w:pPr>
        <w:spacing w:line="360" w:lineRule="auto"/>
        <w:ind w:left="440" w:leftChars="200"/>
        <w:rPr>
          <w:sz w:val="20"/>
          <w:szCs w:val="20"/>
        </w:rPr>
      </w:pPr>
    </w:p>
    <w:p>
      <w:pPr>
        <w:spacing w:line="360" w:lineRule="auto"/>
        <w:ind w:left="440" w:leftChars="200"/>
        <w:rPr>
          <w:sz w:val="20"/>
          <w:szCs w:val="20"/>
        </w:rPr>
      </w:pPr>
      <w:r>
        <w:rPr>
          <w:rFonts w:ascii="宋体" w:hAnsi="宋体" w:eastAsia="宋体" w:cs="宋体"/>
          <w:b/>
          <w:bCs/>
          <w:sz w:val="28"/>
          <w:szCs w:val="28"/>
        </w:rPr>
        <w:t>1</w:t>
      </w:r>
      <w:r>
        <w:rPr>
          <w:rFonts w:hint="eastAsia" w:ascii="宋体" w:hAnsi="宋体" w:eastAsia="宋体" w:cs="宋体"/>
          <w:b/>
          <w:bCs/>
          <w:sz w:val="28"/>
          <w:szCs w:val="28"/>
        </w:rPr>
        <w:t>3</w:t>
      </w:r>
      <w:r>
        <w:rPr>
          <w:rFonts w:ascii="宋体" w:hAnsi="宋体" w:eastAsia="宋体" w:cs="宋体"/>
          <w:b/>
          <w:bCs/>
          <w:sz w:val="28"/>
          <w:szCs w:val="28"/>
        </w:rPr>
        <w:t>、环保方面的资质证书复印件（如有，请提供）；</w:t>
      </w:r>
    </w:p>
    <w:p>
      <w:pPr>
        <w:spacing w:line="360" w:lineRule="auto"/>
        <w:ind w:left="220" w:leftChars="100"/>
        <w:rPr>
          <w:sz w:val="20"/>
          <w:szCs w:val="20"/>
        </w:rPr>
      </w:pPr>
    </w:p>
    <w:p>
      <w:pPr>
        <w:spacing w:line="360" w:lineRule="auto"/>
        <w:rPr>
          <w:rFonts w:ascii="宋体" w:hAnsi="宋体" w:eastAsia="宋体" w:cs="宋体"/>
          <w:b/>
          <w:bCs/>
          <w:sz w:val="27"/>
          <w:szCs w:val="27"/>
        </w:rPr>
      </w:pPr>
    </w:p>
    <w:p>
      <w:pPr>
        <w:spacing w:line="360" w:lineRule="auto"/>
        <w:rPr>
          <w:rFonts w:ascii="宋体" w:hAnsi="宋体" w:eastAsia="宋体" w:cs="宋体"/>
          <w:b/>
          <w:bCs/>
          <w:sz w:val="27"/>
          <w:szCs w:val="27"/>
        </w:rPr>
      </w:pPr>
    </w:p>
    <w:p>
      <w:pPr>
        <w:spacing w:line="360" w:lineRule="auto"/>
        <w:rPr>
          <w:rFonts w:ascii="宋体" w:hAnsi="宋体" w:eastAsia="宋体" w:cs="宋体"/>
          <w:b/>
          <w:bCs/>
          <w:sz w:val="27"/>
          <w:szCs w:val="27"/>
        </w:rPr>
      </w:pPr>
    </w:p>
    <w:p>
      <w:pPr>
        <w:spacing w:line="360" w:lineRule="auto"/>
        <w:ind w:firstLine="542" w:firstLineChars="200"/>
        <w:rPr>
          <w:sz w:val="20"/>
          <w:szCs w:val="20"/>
        </w:rPr>
      </w:pPr>
      <w:r>
        <w:rPr>
          <w:rFonts w:ascii="宋体" w:hAnsi="宋体" w:eastAsia="宋体" w:cs="宋体"/>
          <w:b/>
          <w:bCs/>
          <w:sz w:val="27"/>
          <w:szCs w:val="27"/>
        </w:rPr>
        <w:t>1</w:t>
      </w:r>
      <w:r>
        <w:rPr>
          <w:rFonts w:hint="eastAsia" w:ascii="宋体" w:hAnsi="宋体" w:eastAsia="宋体" w:cs="宋体"/>
          <w:b/>
          <w:bCs/>
          <w:sz w:val="27"/>
          <w:szCs w:val="27"/>
        </w:rPr>
        <w:t>4</w:t>
      </w:r>
      <w:r>
        <w:rPr>
          <w:rFonts w:ascii="宋体" w:hAnsi="宋体" w:eastAsia="宋体" w:cs="宋体"/>
          <w:b/>
          <w:bCs/>
          <w:sz w:val="27"/>
          <w:szCs w:val="27"/>
        </w:rPr>
        <w:t>、“采购需求”中须提供的证明文件（按采购需求的要求提供）;</w:t>
      </w:r>
    </w:p>
    <w:p>
      <w:pPr>
        <w:spacing w:line="360" w:lineRule="auto"/>
        <w:ind w:left="220" w:leftChars="100"/>
        <w:sectPr>
          <w:pgSz w:w="11900" w:h="16840"/>
          <w:pgMar w:top="964" w:right="1123" w:bottom="652" w:left="482" w:header="0" w:footer="397" w:gutter="0"/>
          <w:cols w:space="425" w:num="1"/>
        </w:sectPr>
      </w:pPr>
    </w:p>
    <w:p>
      <w:pPr>
        <w:spacing w:line="360" w:lineRule="auto"/>
        <w:ind w:left="220" w:leftChars="100"/>
        <w:rPr>
          <w:sz w:val="20"/>
          <w:szCs w:val="20"/>
        </w:rPr>
      </w:pPr>
    </w:p>
    <w:p/>
    <w:p>
      <w:pPr>
        <w:spacing w:line="360" w:lineRule="auto"/>
        <w:ind w:left="220" w:leftChars="100"/>
        <w:rPr>
          <w:sz w:val="20"/>
          <w:szCs w:val="20"/>
        </w:rPr>
      </w:pPr>
    </w:p>
    <w:p>
      <w:pPr>
        <w:spacing w:line="360" w:lineRule="auto"/>
        <w:ind w:left="220" w:leftChars="100"/>
        <w:rPr>
          <w:sz w:val="20"/>
          <w:szCs w:val="20"/>
        </w:rPr>
      </w:pPr>
    </w:p>
    <w:p>
      <w:pPr>
        <w:spacing w:line="360" w:lineRule="auto"/>
        <w:ind w:left="220" w:leftChars="100"/>
        <w:rPr>
          <w:sz w:val="20"/>
          <w:szCs w:val="20"/>
        </w:rPr>
      </w:pPr>
    </w:p>
    <w:p>
      <w:pPr>
        <w:spacing w:line="360" w:lineRule="auto"/>
        <w:ind w:left="220" w:leftChars="100"/>
        <w:rPr>
          <w:sz w:val="20"/>
          <w:szCs w:val="20"/>
        </w:rPr>
      </w:pPr>
    </w:p>
    <w:p>
      <w:pPr>
        <w:spacing w:line="360" w:lineRule="auto"/>
        <w:sectPr>
          <w:type w:val="continuous"/>
          <w:pgSz w:w="11900" w:h="16840"/>
          <w:pgMar w:top="964" w:right="1123" w:bottom="652" w:left="482" w:header="0" w:footer="397" w:gutter="0"/>
          <w:cols w:space="425" w:num="1"/>
        </w:sectPr>
      </w:pPr>
    </w:p>
    <w:p>
      <w:pPr>
        <w:spacing w:line="360" w:lineRule="auto"/>
        <w:rPr>
          <w:sz w:val="20"/>
          <w:szCs w:val="20"/>
        </w:rPr>
      </w:pPr>
      <w:bookmarkStart w:id="111" w:name="page39"/>
      <w:bookmarkEnd w:id="111"/>
      <w:bookmarkStart w:id="112" w:name="page40"/>
      <w:bookmarkEnd w:id="112"/>
      <w:r>
        <w:rPr>
          <w:rFonts w:ascii="宋体" w:hAnsi="宋体" w:eastAsia="宋体" w:cs="宋体"/>
          <w:b/>
          <w:bCs/>
          <w:sz w:val="28"/>
          <w:szCs w:val="28"/>
        </w:rPr>
        <w:t>1</w:t>
      </w:r>
      <w:r>
        <w:rPr>
          <w:rFonts w:hint="eastAsia" w:ascii="宋体" w:hAnsi="宋体" w:eastAsia="宋体" w:cs="宋体"/>
          <w:b/>
          <w:bCs/>
          <w:sz w:val="28"/>
          <w:szCs w:val="28"/>
        </w:rPr>
        <w:t>5</w:t>
      </w:r>
      <w:r>
        <w:rPr>
          <w:rFonts w:ascii="宋体" w:hAnsi="宋体" w:eastAsia="宋体" w:cs="宋体"/>
          <w:b/>
          <w:bCs/>
          <w:sz w:val="28"/>
          <w:szCs w:val="28"/>
        </w:rPr>
        <w:t>、项目实施人员一览表（如有，请提供）；</w:t>
      </w:r>
    </w:p>
    <w:p>
      <w:pPr>
        <w:spacing w:line="360" w:lineRule="auto"/>
        <w:ind w:left="220" w:leftChars="100"/>
        <w:rPr>
          <w:sz w:val="20"/>
          <w:szCs w:val="20"/>
        </w:rPr>
      </w:pPr>
      <w:bookmarkStart w:id="113" w:name="_Toc31848_WPSOffice_Level1"/>
      <w:r>
        <w:rPr>
          <w:rFonts w:ascii="宋体" w:hAnsi="宋体" w:eastAsia="宋体" w:cs="宋体"/>
          <w:b/>
          <w:bCs/>
          <w:sz w:val="32"/>
          <w:szCs w:val="32"/>
        </w:rPr>
        <w:t>项目实施人员一览表（格式）</w:t>
      </w:r>
      <w:bookmarkEnd w:id="113"/>
    </w:p>
    <w:tbl>
      <w:tblPr>
        <w:tblStyle w:val="14"/>
        <w:tblW w:w="9840" w:type="dxa"/>
        <w:tblInd w:w="10" w:type="dxa"/>
        <w:tblLayout w:type="fixed"/>
        <w:tblCellMar>
          <w:top w:w="0" w:type="dxa"/>
          <w:left w:w="0" w:type="dxa"/>
          <w:bottom w:w="0" w:type="dxa"/>
          <w:right w:w="0" w:type="dxa"/>
        </w:tblCellMar>
      </w:tblPr>
      <w:tblGrid>
        <w:gridCol w:w="1280"/>
        <w:gridCol w:w="1020"/>
        <w:gridCol w:w="1780"/>
        <w:gridCol w:w="2480"/>
        <w:gridCol w:w="2440"/>
        <w:gridCol w:w="840"/>
      </w:tblGrid>
      <w:tr>
        <w:tblPrEx>
          <w:tblCellMar>
            <w:top w:w="0" w:type="dxa"/>
            <w:left w:w="0" w:type="dxa"/>
            <w:bottom w:w="0" w:type="dxa"/>
            <w:right w:w="0" w:type="dxa"/>
          </w:tblCellMar>
        </w:tblPrEx>
        <w:trPr>
          <w:trHeight w:val="315" w:hRule="atLeast"/>
        </w:trPr>
        <w:tc>
          <w:tcPr>
            <w:tcW w:w="1280" w:type="dxa"/>
            <w:tcBorders>
              <w:top w:val="single" w:color="auto" w:sz="8" w:space="0"/>
              <w:left w:val="single" w:color="auto" w:sz="8" w:space="0"/>
              <w:right w:val="single" w:color="auto" w:sz="8" w:space="0"/>
            </w:tcBorders>
            <w:vAlign w:val="bottom"/>
          </w:tcPr>
          <w:p>
            <w:pPr>
              <w:spacing w:line="360" w:lineRule="auto"/>
              <w:ind w:left="220" w:leftChars="100"/>
              <w:rPr>
                <w:sz w:val="20"/>
                <w:szCs w:val="20"/>
              </w:rPr>
            </w:pPr>
            <w:r>
              <w:rPr>
                <w:rFonts w:ascii="宋体" w:hAnsi="宋体" w:eastAsia="宋体" w:cs="宋体"/>
                <w:sz w:val="24"/>
                <w:szCs w:val="24"/>
              </w:rPr>
              <w:t>姓名</w:t>
            </w:r>
          </w:p>
        </w:tc>
        <w:tc>
          <w:tcPr>
            <w:tcW w:w="1020" w:type="dxa"/>
            <w:tcBorders>
              <w:top w:val="single" w:color="auto" w:sz="8" w:space="0"/>
              <w:right w:val="single" w:color="auto" w:sz="8" w:space="0"/>
            </w:tcBorders>
            <w:vAlign w:val="bottom"/>
          </w:tcPr>
          <w:p>
            <w:pPr>
              <w:spacing w:line="360" w:lineRule="auto"/>
              <w:ind w:left="220" w:leftChars="100"/>
              <w:rPr>
                <w:sz w:val="20"/>
                <w:szCs w:val="20"/>
              </w:rPr>
            </w:pPr>
            <w:r>
              <w:rPr>
                <w:rFonts w:ascii="宋体" w:hAnsi="宋体" w:eastAsia="宋体" w:cs="宋体"/>
                <w:sz w:val="24"/>
                <w:szCs w:val="24"/>
              </w:rPr>
              <w:t>职务</w:t>
            </w:r>
          </w:p>
        </w:tc>
        <w:tc>
          <w:tcPr>
            <w:tcW w:w="1780" w:type="dxa"/>
            <w:tcBorders>
              <w:top w:val="single" w:color="auto" w:sz="8" w:space="0"/>
              <w:right w:val="single" w:color="auto" w:sz="8" w:space="0"/>
            </w:tcBorders>
            <w:vAlign w:val="bottom"/>
          </w:tcPr>
          <w:p>
            <w:pPr>
              <w:spacing w:line="360" w:lineRule="auto"/>
              <w:ind w:left="220" w:leftChars="100"/>
              <w:rPr>
                <w:sz w:val="20"/>
                <w:szCs w:val="20"/>
              </w:rPr>
            </w:pPr>
            <w:r>
              <w:rPr>
                <w:rFonts w:ascii="宋体" w:hAnsi="宋体" w:eastAsia="宋体" w:cs="宋体"/>
                <w:sz w:val="24"/>
                <w:szCs w:val="24"/>
              </w:rPr>
              <w:t>专业技术资格</w:t>
            </w:r>
          </w:p>
        </w:tc>
        <w:tc>
          <w:tcPr>
            <w:tcW w:w="2480" w:type="dxa"/>
            <w:tcBorders>
              <w:top w:val="single" w:color="auto" w:sz="8" w:space="0"/>
              <w:right w:val="single" w:color="auto" w:sz="8" w:space="0"/>
            </w:tcBorders>
            <w:vAlign w:val="bottom"/>
          </w:tcPr>
          <w:p>
            <w:pPr>
              <w:spacing w:line="360" w:lineRule="auto"/>
              <w:ind w:left="220" w:leftChars="100"/>
              <w:rPr>
                <w:sz w:val="20"/>
                <w:szCs w:val="20"/>
              </w:rPr>
            </w:pPr>
            <w:r>
              <w:rPr>
                <w:rFonts w:ascii="宋体" w:hAnsi="宋体" w:eastAsia="宋体" w:cs="宋体"/>
                <w:sz w:val="24"/>
                <w:szCs w:val="24"/>
              </w:rPr>
              <w:t>证书编号</w:t>
            </w:r>
          </w:p>
        </w:tc>
        <w:tc>
          <w:tcPr>
            <w:tcW w:w="2440" w:type="dxa"/>
            <w:tcBorders>
              <w:top w:val="single" w:color="auto" w:sz="8" w:space="0"/>
              <w:right w:val="single" w:color="auto" w:sz="8" w:space="0"/>
            </w:tcBorders>
            <w:vAlign w:val="bottom"/>
          </w:tcPr>
          <w:p>
            <w:pPr>
              <w:spacing w:line="360" w:lineRule="auto"/>
              <w:ind w:left="220" w:leftChars="100"/>
              <w:rPr>
                <w:sz w:val="20"/>
                <w:szCs w:val="20"/>
              </w:rPr>
            </w:pPr>
            <w:r>
              <w:rPr>
                <w:rFonts w:ascii="宋体" w:hAnsi="宋体" w:eastAsia="宋体" w:cs="宋体"/>
                <w:sz w:val="24"/>
                <w:szCs w:val="24"/>
              </w:rPr>
              <w:t>参加本单位工作时间</w:t>
            </w:r>
          </w:p>
        </w:tc>
        <w:tc>
          <w:tcPr>
            <w:tcW w:w="840" w:type="dxa"/>
            <w:tcBorders>
              <w:top w:val="single" w:color="auto" w:sz="8" w:space="0"/>
              <w:right w:val="single" w:color="auto" w:sz="8" w:space="0"/>
            </w:tcBorders>
            <w:vAlign w:val="bottom"/>
          </w:tcPr>
          <w:p>
            <w:pPr>
              <w:spacing w:line="360" w:lineRule="auto"/>
              <w:ind w:left="220" w:leftChars="100"/>
              <w:rPr>
                <w:sz w:val="20"/>
                <w:szCs w:val="20"/>
              </w:rPr>
            </w:pPr>
            <w:r>
              <w:rPr>
                <w:rFonts w:ascii="宋体" w:hAnsi="宋体" w:eastAsia="宋体" w:cs="宋体"/>
                <w:sz w:val="24"/>
                <w:szCs w:val="24"/>
              </w:rPr>
              <w:t>备注</w:t>
            </w:r>
          </w:p>
        </w:tc>
      </w:tr>
      <w:tr>
        <w:tblPrEx>
          <w:tblCellMar>
            <w:top w:w="0" w:type="dxa"/>
            <w:left w:w="0" w:type="dxa"/>
            <w:bottom w:w="0" w:type="dxa"/>
            <w:right w:w="0" w:type="dxa"/>
          </w:tblCellMar>
        </w:tblPrEx>
        <w:trPr>
          <w:trHeight w:val="34" w:hRule="atLeast"/>
        </w:trPr>
        <w:tc>
          <w:tcPr>
            <w:tcW w:w="1280" w:type="dxa"/>
            <w:tcBorders>
              <w:left w:val="single" w:color="auto" w:sz="8" w:space="0"/>
              <w:bottom w:val="single" w:color="auto" w:sz="8" w:space="0"/>
              <w:right w:val="single" w:color="auto" w:sz="8" w:space="0"/>
            </w:tcBorders>
            <w:vAlign w:val="bottom"/>
          </w:tcPr>
          <w:p>
            <w:pPr>
              <w:spacing w:line="360" w:lineRule="auto"/>
              <w:ind w:left="220" w:leftChars="100"/>
              <w:rPr>
                <w:sz w:val="2"/>
                <w:szCs w:val="2"/>
              </w:rPr>
            </w:pPr>
          </w:p>
        </w:tc>
        <w:tc>
          <w:tcPr>
            <w:tcW w:w="1020" w:type="dxa"/>
            <w:tcBorders>
              <w:bottom w:val="single" w:color="auto" w:sz="8" w:space="0"/>
              <w:right w:val="single" w:color="auto" w:sz="8" w:space="0"/>
            </w:tcBorders>
            <w:vAlign w:val="bottom"/>
          </w:tcPr>
          <w:p>
            <w:pPr>
              <w:spacing w:line="360" w:lineRule="auto"/>
              <w:ind w:left="220" w:leftChars="100"/>
              <w:rPr>
                <w:sz w:val="2"/>
                <w:szCs w:val="2"/>
              </w:rPr>
            </w:pPr>
          </w:p>
        </w:tc>
        <w:tc>
          <w:tcPr>
            <w:tcW w:w="1780" w:type="dxa"/>
            <w:tcBorders>
              <w:bottom w:val="single" w:color="auto" w:sz="8" w:space="0"/>
              <w:right w:val="single" w:color="auto" w:sz="8" w:space="0"/>
            </w:tcBorders>
            <w:vAlign w:val="bottom"/>
          </w:tcPr>
          <w:p>
            <w:pPr>
              <w:spacing w:line="360" w:lineRule="auto"/>
              <w:ind w:left="220" w:leftChars="100"/>
              <w:rPr>
                <w:sz w:val="2"/>
                <w:szCs w:val="2"/>
              </w:rPr>
            </w:pPr>
          </w:p>
        </w:tc>
        <w:tc>
          <w:tcPr>
            <w:tcW w:w="2480" w:type="dxa"/>
            <w:tcBorders>
              <w:bottom w:val="single" w:color="auto" w:sz="8" w:space="0"/>
              <w:right w:val="single" w:color="auto" w:sz="8" w:space="0"/>
            </w:tcBorders>
            <w:vAlign w:val="bottom"/>
          </w:tcPr>
          <w:p>
            <w:pPr>
              <w:spacing w:line="360" w:lineRule="auto"/>
              <w:ind w:left="220" w:leftChars="100"/>
              <w:rPr>
                <w:sz w:val="2"/>
                <w:szCs w:val="2"/>
              </w:rPr>
            </w:pPr>
          </w:p>
        </w:tc>
        <w:tc>
          <w:tcPr>
            <w:tcW w:w="2440" w:type="dxa"/>
            <w:tcBorders>
              <w:bottom w:val="single" w:color="auto" w:sz="8" w:space="0"/>
              <w:right w:val="single" w:color="auto" w:sz="8" w:space="0"/>
            </w:tcBorders>
            <w:vAlign w:val="bottom"/>
          </w:tcPr>
          <w:p>
            <w:pPr>
              <w:spacing w:line="360" w:lineRule="auto"/>
              <w:ind w:left="220" w:leftChars="100"/>
              <w:rPr>
                <w:sz w:val="2"/>
                <w:szCs w:val="2"/>
              </w:rPr>
            </w:pPr>
          </w:p>
        </w:tc>
        <w:tc>
          <w:tcPr>
            <w:tcW w:w="840" w:type="dxa"/>
            <w:tcBorders>
              <w:bottom w:val="single" w:color="auto" w:sz="8" w:space="0"/>
              <w:right w:val="single" w:color="auto" w:sz="8" w:space="0"/>
            </w:tcBorders>
            <w:vAlign w:val="bottom"/>
          </w:tcPr>
          <w:p>
            <w:pPr>
              <w:spacing w:line="360" w:lineRule="auto"/>
              <w:ind w:left="220" w:leftChars="100"/>
              <w:rPr>
                <w:sz w:val="2"/>
                <w:szCs w:val="2"/>
              </w:rPr>
            </w:pPr>
          </w:p>
        </w:tc>
      </w:tr>
      <w:tr>
        <w:tblPrEx>
          <w:tblCellMar>
            <w:top w:w="0" w:type="dxa"/>
            <w:left w:w="0" w:type="dxa"/>
            <w:bottom w:w="0" w:type="dxa"/>
            <w:right w:w="0" w:type="dxa"/>
          </w:tblCellMar>
        </w:tblPrEx>
        <w:trPr>
          <w:trHeight w:val="329" w:hRule="atLeast"/>
        </w:trPr>
        <w:tc>
          <w:tcPr>
            <w:tcW w:w="1280" w:type="dxa"/>
            <w:tcBorders>
              <w:left w:val="single" w:color="auto" w:sz="8" w:space="0"/>
              <w:bottom w:val="single" w:color="auto" w:sz="8" w:space="0"/>
              <w:right w:val="single" w:color="auto" w:sz="8" w:space="0"/>
            </w:tcBorders>
            <w:vAlign w:val="bottom"/>
          </w:tcPr>
          <w:p>
            <w:pPr>
              <w:spacing w:line="360" w:lineRule="auto"/>
              <w:ind w:left="220" w:leftChars="100"/>
              <w:rPr>
                <w:sz w:val="24"/>
                <w:szCs w:val="24"/>
              </w:rPr>
            </w:pPr>
          </w:p>
        </w:tc>
        <w:tc>
          <w:tcPr>
            <w:tcW w:w="1020" w:type="dxa"/>
            <w:tcBorders>
              <w:bottom w:val="single" w:color="auto" w:sz="8" w:space="0"/>
              <w:right w:val="single" w:color="auto" w:sz="8" w:space="0"/>
            </w:tcBorders>
            <w:vAlign w:val="bottom"/>
          </w:tcPr>
          <w:p>
            <w:pPr>
              <w:spacing w:line="360" w:lineRule="auto"/>
              <w:ind w:left="220" w:leftChars="100"/>
              <w:rPr>
                <w:sz w:val="24"/>
                <w:szCs w:val="24"/>
              </w:rPr>
            </w:pPr>
          </w:p>
        </w:tc>
        <w:tc>
          <w:tcPr>
            <w:tcW w:w="1780" w:type="dxa"/>
            <w:tcBorders>
              <w:bottom w:val="single" w:color="auto" w:sz="8" w:space="0"/>
              <w:right w:val="single" w:color="auto" w:sz="8" w:space="0"/>
            </w:tcBorders>
            <w:vAlign w:val="bottom"/>
          </w:tcPr>
          <w:p>
            <w:pPr>
              <w:spacing w:line="360" w:lineRule="auto"/>
              <w:ind w:left="220" w:leftChars="100"/>
              <w:rPr>
                <w:sz w:val="24"/>
                <w:szCs w:val="24"/>
              </w:rPr>
            </w:pPr>
          </w:p>
        </w:tc>
        <w:tc>
          <w:tcPr>
            <w:tcW w:w="2480" w:type="dxa"/>
            <w:tcBorders>
              <w:bottom w:val="single" w:color="auto" w:sz="8" w:space="0"/>
              <w:right w:val="single" w:color="auto" w:sz="8" w:space="0"/>
            </w:tcBorders>
            <w:vAlign w:val="bottom"/>
          </w:tcPr>
          <w:p>
            <w:pPr>
              <w:spacing w:line="360" w:lineRule="auto"/>
              <w:ind w:left="220" w:leftChars="100"/>
              <w:rPr>
                <w:sz w:val="24"/>
                <w:szCs w:val="24"/>
              </w:rPr>
            </w:pPr>
          </w:p>
        </w:tc>
        <w:tc>
          <w:tcPr>
            <w:tcW w:w="2440" w:type="dxa"/>
            <w:tcBorders>
              <w:bottom w:val="single" w:color="auto" w:sz="8" w:space="0"/>
              <w:right w:val="single" w:color="auto" w:sz="8" w:space="0"/>
            </w:tcBorders>
            <w:vAlign w:val="bottom"/>
          </w:tcPr>
          <w:p>
            <w:pPr>
              <w:spacing w:line="360" w:lineRule="auto"/>
              <w:ind w:left="220" w:leftChars="100"/>
              <w:rPr>
                <w:sz w:val="24"/>
                <w:szCs w:val="24"/>
              </w:rPr>
            </w:pPr>
          </w:p>
        </w:tc>
        <w:tc>
          <w:tcPr>
            <w:tcW w:w="840" w:type="dxa"/>
            <w:tcBorders>
              <w:bottom w:val="single" w:color="auto" w:sz="8" w:space="0"/>
              <w:right w:val="single" w:color="auto" w:sz="8" w:space="0"/>
            </w:tcBorders>
            <w:vAlign w:val="bottom"/>
          </w:tcPr>
          <w:p>
            <w:pPr>
              <w:spacing w:line="360" w:lineRule="auto"/>
              <w:ind w:left="220" w:leftChars="100"/>
              <w:rPr>
                <w:sz w:val="24"/>
                <w:szCs w:val="24"/>
              </w:rPr>
            </w:pPr>
          </w:p>
        </w:tc>
      </w:tr>
      <w:tr>
        <w:tblPrEx>
          <w:tblCellMar>
            <w:top w:w="0" w:type="dxa"/>
            <w:left w:w="0" w:type="dxa"/>
            <w:bottom w:w="0" w:type="dxa"/>
            <w:right w:w="0" w:type="dxa"/>
          </w:tblCellMar>
        </w:tblPrEx>
        <w:trPr>
          <w:trHeight w:val="329" w:hRule="atLeast"/>
        </w:trPr>
        <w:tc>
          <w:tcPr>
            <w:tcW w:w="1280" w:type="dxa"/>
            <w:tcBorders>
              <w:left w:val="single" w:color="auto" w:sz="8" w:space="0"/>
              <w:bottom w:val="single" w:color="auto" w:sz="8" w:space="0"/>
              <w:right w:val="single" w:color="auto" w:sz="8" w:space="0"/>
            </w:tcBorders>
            <w:vAlign w:val="bottom"/>
          </w:tcPr>
          <w:p>
            <w:pPr>
              <w:spacing w:line="360" w:lineRule="auto"/>
              <w:ind w:left="220" w:leftChars="100"/>
              <w:rPr>
                <w:sz w:val="24"/>
                <w:szCs w:val="24"/>
              </w:rPr>
            </w:pPr>
          </w:p>
        </w:tc>
        <w:tc>
          <w:tcPr>
            <w:tcW w:w="1020" w:type="dxa"/>
            <w:tcBorders>
              <w:bottom w:val="single" w:color="auto" w:sz="8" w:space="0"/>
              <w:right w:val="single" w:color="auto" w:sz="8" w:space="0"/>
            </w:tcBorders>
            <w:vAlign w:val="bottom"/>
          </w:tcPr>
          <w:p>
            <w:pPr>
              <w:spacing w:line="360" w:lineRule="auto"/>
              <w:ind w:left="220" w:leftChars="100"/>
              <w:rPr>
                <w:sz w:val="24"/>
                <w:szCs w:val="24"/>
              </w:rPr>
            </w:pPr>
          </w:p>
        </w:tc>
        <w:tc>
          <w:tcPr>
            <w:tcW w:w="1780" w:type="dxa"/>
            <w:tcBorders>
              <w:bottom w:val="single" w:color="auto" w:sz="8" w:space="0"/>
              <w:right w:val="single" w:color="auto" w:sz="8" w:space="0"/>
            </w:tcBorders>
            <w:vAlign w:val="bottom"/>
          </w:tcPr>
          <w:p>
            <w:pPr>
              <w:spacing w:line="360" w:lineRule="auto"/>
              <w:ind w:left="220" w:leftChars="100"/>
              <w:rPr>
                <w:sz w:val="24"/>
                <w:szCs w:val="24"/>
              </w:rPr>
            </w:pPr>
          </w:p>
        </w:tc>
        <w:tc>
          <w:tcPr>
            <w:tcW w:w="2480" w:type="dxa"/>
            <w:tcBorders>
              <w:bottom w:val="single" w:color="auto" w:sz="8" w:space="0"/>
              <w:right w:val="single" w:color="auto" w:sz="8" w:space="0"/>
            </w:tcBorders>
            <w:vAlign w:val="bottom"/>
          </w:tcPr>
          <w:p>
            <w:pPr>
              <w:spacing w:line="360" w:lineRule="auto"/>
              <w:ind w:left="220" w:leftChars="100"/>
              <w:rPr>
                <w:sz w:val="24"/>
                <w:szCs w:val="24"/>
              </w:rPr>
            </w:pPr>
          </w:p>
        </w:tc>
        <w:tc>
          <w:tcPr>
            <w:tcW w:w="2440" w:type="dxa"/>
            <w:tcBorders>
              <w:bottom w:val="single" w:color="auto" w:sz="8" w:space="0"/>
              <w:right w:val="single" w:color="auto" w:sz="8" w:space="0"/>
            </w:tcBorders>
            <w:vAlign w:val="bottom"/>
          </w:tcPr>
          <w:p>
            <w:pPr>
              <w:spacing w:line="360" w:lineRule="auto"/>
              <w:ind w:left="220" w:leftChars="100"/>
              <w:rPr>
                <w:sz w:val="24"/>
                <w:szCs w:val="24"/>
              </w:rPr>
            </w:pPr>
          </w:p>
        </w:tc>
        <w:tc>
          <w:tcPr>
            <w:tcW w:w="840" w:type="dxa"/>
            <w:tcBorders>
              <w:bottom w:val="single" w:color="auto" w:sz="8" w:space="0"/>
              <w:right w:val="single" w:color="auto" w:sz="8" w:space="0"/>
            </w:tcBorders>
            <w:vAlign w:val="bottom"/>
          </w:tcPr>
          <w:p>
            <w:pPr>
              <w:spacing w:line="360" w:lineRule="auto"/>
              <w:ind w:left="220" w:leftChars="100"/>
              <w:rPr>
                <w:sz w:val="24"/>
                <w:szCs w:val="24"/>
              </w:rPr>
            </w:pPr>
          </w:p>
        </w:tc>
      </w:tr>
    </w:tbl>
    <w:p>
      <w:pPr>
        <w:spacing w:line="360" w:lineRule="auto"/>
        <w:rPr>
          <w:sz w:val="20"/>
          <w:szCs w:val="20"/>
        </w:rPr>
      </w:pPr>
    </w:p>
    <w:p>
      <w:pPr>
        <w:spacing w:line="360" w:lineRule="auto"/>
        <w:ind w:left="220" w:leftChars="100"/>
        <w:rPr>
          <w:sz w:val="20"/>
          <w:szCs w:val="20"/>
        </w:rPr>
      </w:pPr>
      <w:r>
        <w:rPr>
          <w:rFonts w:ascii="宋体" w:hAnsi="宋体" w:eastAsia="宋体" w:cs="宋体"/>
          <w:b/>
          <w:bCs/>
          <w:sz w:val="24"/>
          <w:szCs w:val="24"/>
        </w:rPr>
        <w:t>注：在填写时，如本表格不适合投标单位的实际情况，可根据本表格式自行制表填写。</w:t>
      </w:r>
    </w:p>
    <w:p>
      <w:pPr>
        <w:spacing w:line="360" w:lineRule="auto"/>
        <w:ind w:left="220" w:leftChars="100"/>
        <w:rPr>
          <w:sz w:val="20"/>
          <w:szCs w:val="20"/>
        </w:rPr>
      </w:pPr>
      <w:r>
        <w:rPr>
          <w:rFonts w:ascii="宋体" w:hAnsi="宋体" w:eastAsia="宋体" w:cs="宋体"/>
          <w:sz w:val="21"/>
          <w:szCs w:val="21"/>
        </w:rPr>
        <w:t>磋商供应商(公章)</w:t>
      </w:r>
    </w:p>
    <w:p>
      <w:pPr>
        <w:spacing w:line="360" w:lineRule="auto"/>
        <w:ind w:left="220" w:leftChars="100"/>
        <w:rPr>
          <w:sz w:val="20"/>
          <w:szCs w:val="20"/>
        </w:rPr>
      </w:pPr>
      <w:r>
        <w:rPr>
          <w:rFonts w:ascii="宋体" w:hAnsi="宋体" w:eastAsia="宋体" w:cs="宋体"/>
          <w:sz w:val="21"/>
          <w:szCs w:val="21"/>
        </w:rPr>
        <w:t>法定代表人或授权委托代理人签字：</w:t>
      </w:r>
    </w:p>
    <w:p>
      <w:pPr>
        <w:spacing w:line="360" w:lineRule="auto"/>
        <w:ind w:left="220" w:leftChars="100"/>
        <w:rPr>
          <w:sz w:val="20"/>
          <w:szCs w:val="20"/>
        </w:rPr>
      </w:pPr>
      <w:r>
        <w:rPr>
          <w:rFonts w:ascii="宋体" w:hAnsi="宋体" w:eastAsia="宋体" w:cs="宋体"/>
          <w:sz w:val="21"/>
          <w:szCs w:val="21"/>
        </w:rPr>
        <w:t>（属自然人的应在签名处加盖大拇指指印）</w:t>
      </w:r>
    </w:p>
    <w:p>
      <w:pPr>
        <w:spacing w:line="360" w:lineRule="auto"/>
        <w:ind w:left="220" w:leftChars="100"/>
        <w:rPr>
          <w:sz w:val="20"/>
          <w:szCs w:val="20"/>
        </w:rPr>
      </w:pPr>
      <w:r>
        <w:rPr>
          <w:rFonts w:ascii="宋体" w:hAnsi="宋体" w:eastAsia="宋体" w:cs="宋体"/>
          <w:sz w:val="21"/>
          <w:szCs w:val="21"/>
        </w:rPr>
        <w:t>日期：</w:t>
      </w:r>
    </w:p>
    <w:p>
      <w:pPr>
        <w:spacing w:line="360" w:lineRule="auto"/>
        <w:ind w:left="220" w:leftChars="100"/>
        <w:rPr>
          <w:sz w:val="20"/>
          <w:szCs w:val="20"/>
        </w:rPr>
      </w:pPr>
    </w:p>
    <w:p>
      <w:pPr>
        <w:spacing w:line="360" w:lineRule="auto"/>
        <w:ind w:left="220" w:leftChars="100"/>
        <w:rPr>
          <w:sz w:val="20"/>
          <w:szCs w:val="20"/>
        </w:rPr>
      </w:pPr>
    </w:p>
    <w:p>
      <w:pPr>
        <w:spacing w:line="360" w:lineRule="auto"/>
        <w:ind w:left="220" w:leftChars="100"/>
        <w:rPr>
          <w:sz w:val="20"/>
          <w:szCs w:val="20"/>
        </w:rPr>
      </w:pPr>
    </w:p>
    <w:p>
      <w:pPr>
        <w:spacing w:line="360" w:lineRule="auto"/>
        <w:ind w:left="220" w:leftChars="100"/>
        <w:rPr>
          <w:sz w:val="20"/>
          <w:szCs w:val="20"/>
        </w:rPr>
      </w:pPr>
    </w:p>
    <w:p>
      <w:pPr>
        <w:spacing w:line="360" w:lineRule="auto"/>
        <w:ind w:left="220" w:leftChars="100"/>
        <w:rPr>
          <w:sz w:val="20"/>
          <w:szCs w:val="20"/>
        </w:rPr>
      </w:pPr>
    </w:p>
    <w:p>
      <w:pPr>
        <w:spacing w:line="360" w:lineRule="auto"/>
        <w:ind w:left="220" w:leftChars="100"/>
        <w:rPr>
          <w:sz w:val="20"/>
          <w:szCs w:val="20"/>
        </w:rPr>
      </w:pPr>
    </w:p>
    <w:p>
      <w:pPr>
        <w:spacing w:line="360" w:lineRule="auto"/>
        <w:ind w:left="220" w:leftChars="100" w:right="100" w:firstLine="281"/>
        <w:jc w:val="both"/>
        <w:rPr>
          <w:sz w:val="20"/>
          <w:szCs w:val="20"/>
        </w:rPr>
      </w:pPr>
      <w:r>
        <w:rPr>
          <w:rFonts w:ascii="宋体" w:hAnsi="宋体" w:eastAsia="宋体" w:cs="宋体"/>
          <w:b/>
          <w:bCs/>
          <w:sz w:val="28"/>
          <w:szCs w:val="28"/>
        </w:rPr>
        <w:t>1</w:t>
      </w:r>
      <w:r>
        <w:rPr>
          <w:rFonts w:hint="eastAsia" w:ascii="宋体" w:hAnsi="宋体" w:eastAsia="宋体" w:cs="宋体"/>
          <w:b/>
          <w:bCs/>
          <w:sz w:val="28"/>
          <w:szCs w:val="28"/>
        </w:rPr>
        <w:t>6</w:t>
      </w:r>
      <w:r>
        <w:rPr>
          <w:rFonts w:ascii="宋体" w:hAnsi="宋体" w:eastAsia="宋体" w:cs="宋体"/>
          <w:b/>
          <w:bCs/>
          <w:sz w:val="28"/>
          <w:szCs w:val="28"/>
        </w:rPr>
        <w:t>、投标品牌生产商 2017 年以来通过中介审计的有效财务审计报告复印件（如有，请提供）；</w:t>
      </w:r>
    </w:p>
    <w:p>
      <w:pPr>
        <w:spacing w:line="360" w:lineRule="auto"/>
        <w:ind w:left="220" w:leftChars="100"/>
        <w:rPr>
          <w:sz w:val="20"/>
          <w:szCs w:val="20"/>
        </w:rPr>
      </w:pPr>
    </w:p>
    <w:p>
      <w:pPr>
        <w:spacing w:line="360" w:lineRule="auto"/>
        <w:rPr>
          <w:sz w:val="20"/>
          <w:szCs w:val="20"/>
        </w:rPr>
      </w:pPr>
    </w:p>
    <w:p>
      <w:pPr>
        <w:spacing w:line="360" w:lineRule="auto"/>
        <w:ind w:left="220" w:leftChars="100"/>
        <w:rPr>
          <w:sz w:val="20"/>
          <w:szCs w:val="20"/>
        </w:rPr>
      </w:pPr>
    </w:p>
    <w:p>
      <w:pPr>
        <w:spacing w:line="360" w:lineRule="auto"/>
        <w:ind w:left="220" w:leftChars="100" w:right="100" w:firstLine="281"/>
        <w:jc w:val="both"/>
        <w:rPr>
          <w:sz w:val="20"/>
          <w:szCs w:val="20"/>
        </w:rPr>
      </w:pPr>
      <w:r>
        <w:rPr>
          <w:rFonts w:ascii="宋体" w:hAnsi="宋体" w:eastAsia="宋体" w:cs="宋体"/>
          <w:b/>
          <w:bCs/>
          <w:sz w:val="28"/>
          <w:szCs w:val="28"/>
        </w:rPr>
        <w:t>1</w:t>
      </w:r>
      <w:r>
        <w:rPr>
          <w:rFonts w:hint="eastAsia" w:ascii="宋体" w:hAnsi="宋体" w:eastAsia="宋体" w:cs="宋体"/>
          <w:b/>
          <w:bCs/>
          <w:sz w:val="28"/>
          <w:szCs w:val="28"/>
        </w:rPr>
        <w:t>7</w:t>
      </w:r>
      <w:r>
        <w:rPr>
          <w:rFonts w:ascii="宋体" w:hAnsi="宋体" w:eastAsia="宋体" w:cs="宋体"/>
          <w:b/>
          <w:bCs/>
          <w:sz w:val="28"/>
          <w:szCs w:val="28"/>
        </w:rPr>
        <w:t>、投标品牌生产商 2017 年以来具有的同类项目业绩的相关证明材料（无不良记录，以中标、成交通知书或签订的销售合同和相应发票为准， 并能清晰反映所销售的货物名称、种类、金额）（如有，请提供）；</w:t>
      </w:r>
    </w:p>
    <w:p>
      <w:pPr>
        <w:spacing w:line="360" w:lineRule="auto"/>
        <w:ind w:left="220" w:leftChars="100"/>
        <w:sectPr>
          <w:pgSz w:w="11900" w:h="16840"/>
          <w:pgMar w:top="964" w:right="1123" w:bottom="652" w:left="482" w:header="0" w:footer="397" w:gutter="0"/>
          <w:cols w:space="425" w:num="1"/>
        </w:sectPr>
      </w:pPr>
    </w:p>
    <w:p>
      <w:pPr>
        <w:spacing w:line="360" w:lineRule="auto"/>
        <w:ind w:left="220" w:leftChars="100"/>
        <w:rPr>
          <w:sz w:val="20"/>
          <w:szCs w:val="20"/>
        </w:rPr>
      </w:pPr>
    </w:p>
    <w:p>
      <w:pPr>
        <w:spacing w:line="360" w:lineRule="auto"/>
        <w:sectPr>
          <w:type w:val="continuous"/>
          <w:pgSz w:w="11900" w:h="16840"/>
          <w:pgMar w:top="964" w:right="1123" w:bottom="652" w:left="482" w:header="0" w:footer="397" w:gutter="0"/>
          <w:cols w:space="425" w:num="1"/>
        </w:sectPr>
      </w:pPr>
    </w:p>
    <w:p>
      <w:pPr>
        <w:spacing w:line="360" w:lineRule="auto"/>
        <w:ind w:left="220" w:leftChars="100" w:right="100" w:firstLine="560"/>
        <w:jc w:val="both"/>
        <w:rPr>
          <w:sz w:val="20"/>
          <w:szCs w:val="20"/>
        </w:rPr>
      </w:pPr>
      <w:bookmarkStart w:id="114" w:name="page41"/>
      <w:bookmarkEnd w:id="114"/>
      <w:r>
        <w:rPr>
          <w:rFonts w:hint="eastAsia" w:ascii="宋体" w:hAnsi="宋体" w:eastAsia="宋体" w:cs="宋体"/>
          <w:b/>
          <w:bCs/>
          <w:sz w:val="28"/>
          <w:szCs w:val="28"/>
        </w:rPr>
        <w:t>18</w:t>
      </w:r>
      <w:r>
        <w:rPr>
          <w:rFonts w:ascii="宋体" w:hAnsi="宋体" w:eastAsia="宋体" w:cs="宋体"/>
          <w:b/>
          <w:bCs/>
          <w:sz w:val="28"/>
          <w:szCs w:val="28"/>
        </w:rPr>
        <w:t>、其他证明文件的复印件（如属于小型、微型企业的，以提供工商注册地的工业和信息化部门出具的相关证明材料为准,并附《中小企业声明函》格式见附件）</w:t>
      </w:r>
    </w:p>
    <w:p>
      <w:pPr>
        <w:spacing w:line="360" w:lineRule="auto"/>
        <w:ind w:left="220" w:leftChars="100"/>
        <w:rPr>
          <w:sz w:val="20"/>
          <w:szCs w:val="20"/>
        </w:rPr>
      </w:pPr>
    </w:p>
    <w:p>
      <w:pPr>
        <w:spacing w:line="360" w:lineRule="auto"/>
        <w:ind w:left="220" w:leftChars="100"/>
        <w:rPr>
          <w:sz w:val="20"/>
          <w:szCs w:val="20"/>
        </w:rPr>
      </w:pPr>
      <w:bookmarkStart w:id="115" w:name="_Toc20315_WPSOffice_Level2"/>
      <w:r>
        <w:rPr>
          <w:rFonts w:ascii="宋体" w:hAnsi="宋体" w:eastAsia="宋体" w:cs="宋体"/>
          <w:b/>
          <w:bCs/>
          <w:sz w:val="28"/>
          <w:szCs w:val="28"/>
        </w:rPr>
        <w:t>附：</w:t>
      </w:r>
      <w:bookmarkEnd w:id="115"/>
    </w:p>
    <w:p>
      <w:pPr>
        <w:spacing w:line="360" w:lineRule="auto"/>
        <w:ind w:left="220" w:leftChars="100"/>
        <w:jc w:val="center"/>
        <w:rPr>
          <w:sz w:val="20"/>
          <w:szCs w:val="20"/>
        </w:rPr>
      </w:pPr>
      <w:bookmarkStart w:id="116" w:name="_Toc7625_WPSOffice_Level2"/>
      <w:r>
        <w:rPr>
          <w:rFonts w:ascii="宋体" w:hAnsi="宋体" w:eastAsia="宋体" w:cs="宋体"/>
          <w:b/>
          <w:bCs/>
          <w:sz w:val="28"/>
          <w:szCs w:val="28"/>
        </w:rPr>
        <w:t>中小企业声明函</w:t>
      </w:r>
      <w:bookmarkEnd w:id="116"/>
    </w:p>
    <w:p>
      <w:pPr>
        <w:spacing w:line="360" w:lineRule="auto"/>
        <w:ind w:left="220" w:leftChars="100" w:right="120" w:firstLine="420"/>
        <w:jc w:val="both"/>
        <w:rPr>
          <w:sz w:val="20"/>
          <w:szCs w:val="20"/>
        </w:rPr>
      </w:pPr>
      <w:r>
        <w:rPr>
          <w:rFonts w:ascii="宋体" w:hAnsi="宋体" w:eastAsia="宋体" w:cs="宋体"/>
          <w:sz w:val="21"/>
          <w:szCs w:val="21"/>
        </w:rPr>
        <w:t>本公司郑重声明，根据《政府采购促进中小企业发展暂行办法》（财库〔2011〕181 号）的规定，本公司为（请填写：中型、小型、微型、监狱企业）企业。即，本公司同时满足以下条件：</w:t>
      </w:r>
    </w:p>
    <w:p>
      <w:pPr>
        <w:spacing w:line="360" w:lineRule="auto"/>
        <w:ind w:left="220" w:leftChars="100"/>
        <w:rPr>
          <w:sz w:val="20"/>
          <w:szCs w:val="20"/>
        </w:rPr>
      </w:pPr>
    </w:p>
    <w:p>
      <w:pPr>
        <w:spacing w:line="360" w:lineRule="auto"/>
        <w:ind w:left="220" w:leftChars="100" w:firstLine="420"/>
        <w:rPr>
          <w:sz w:val="20"/>
          <w:szCs w:val="20"/>
        </w:rPr>
      </w:pPr>
      <w:r>
        <w:rPr>
          <w:rFonts w:ascii="宋体" w:hAnsi="宋体" w:eastAsia="宋体" w:cs="宋体"/>
          <w:sz w:val="21"/>
          <w:szCs w:val="21"/>
        </w:rPr>
        <w:t>1.根据《工业和信息化部、国家统计局、国家发展和改革委员会、财政部关于印发中小企业划型标准规定的通知》（工信部联企业〔2011〕300 号）规定的划分标准，本公司为（请填写：中型、小型、微型、监狱企业）企业。</w:t>
      </w:r>
    </w:p>
    <w:p>
      <w:pPr>
        <w:spacing w:line="360" w:lineRule="auto"/>
        <w:ind w:left="220" w:leftChars="100"/>
        <w:rPr>
          <w:sz w:val="20"/>
          <w:szCs w:val="20"/>
        </w:rPr>
      </w:pPr>
    </w:p>
    <w:p>
      <w:pPr>
        <w:spacing w:line="360" w:lineRule="auto"/>
        <w:ind w:left="220" w:leftChars="100" w:right="100" w:firstLine="420"/>
        <w:jc w:val="both"/>
        <w:rPr>
          <w:sz w:val="20"/>
          <w:szCs w:val="20"/>
        </w:rPr>
      </w:pPr>
      <w:r>
        <w:rPr>
          <w:rFonts w:ascii="宋体" w:hAnsi="宋体" w:eastAsia="宋体" w:cs="宋体"/>
          <w:sz w:val="21"/>
          <w:szCs w:val="21"/>
        </w:rPr>
        <w:t>2.本公司参加单位的项目采购活动提供本企业制造的货物，由本企业承担工程、提供服务，或者提供其他（请填写：中型、小型、微型、监狱企业）企业制造的货物。本条所称货物不包括使用大型企业注册商标的货物。</w:t>
      </w:r>
    </w:p>
    <w:p>
      <w:pPr>
        <w:spacing w:line="360" w:lineRule="auto"/>
        <w:ind w:left="220" w:leftChars="100"/>
        <w:rPr>
          <w:sz w:val="20"/>
          <w:szCs w:val="20"/>
        </w:rPr>
      </w:pPr>
    </w:p>
    <w:p>
      <w:pPr>
        <w:spacing w:line="360" w:lineRule="auto"/>
        <w:ind w:left="220" w:leftChars="100"/>
        <w:rPr>
          <w:sz w:val="20"/>
          <w:szCs w:val="20"/>
        </w:rPr>
      </w:pPr>
      <w:r>
        <w:rPr>
          <w:rFonts w:ascii="宋体" w:hAnsi="宋体" w:eastAsia="宋体" w:cs="宋体"/>
          <w:sz w:val="21"/>
          <w:szCs w:val="21"/>
        </w:rPr>
        <w:t>本公司对上述声明的真实性负责。如有虚假，将依法承担相应责任。</w:t>
      </w:r>
    </w:p>
    <w:p>
      <w:pPr>
        <w:spacing w:line="360" w:lineRule="auto"/>
        <w:rPr>
          <w:sz w:val="20"/>
          <w:szCs w:val="20"/>
        </w:rPr>
      </w:pPr>
    </w:p>
    <w:p>
      <w:pPr>
        <w:spacing w:line="360" w:lineRule="auto"/>
        <w:ind w:left="220" w:leftChars="100"/>
        <w:rPr>
          <w:sz w:val="20"/>
          <w:szCs w:val="20"/>
        </w:rPr>
      </w:pPr>
      <w:r>
        <w:rPr>
          <w:rFonts w:ascii="宋体" w:hAnsi="宋体" w:eastAsia="宋体" w:cs="宋体"/>
          <w:sz w:val="21"/>
          <w:szCs w:val="21"/>
        </w:rPr>
        <w:t>企业名称（盖章）：</w:t>
      </w:r>
    </w:p>
    <w:p>
      <w:pPr>
        <w:spacing w:line="360" w:lineRule="auto"/>
        <w:ind w:left="220" w:leftChars="100"/>
        <w:rPr>
          <w:sz w:val="20"/>
          <w:szCs w:val="20"/>
        </w:rPr>
      </w:pPr>
    </w:p>
    <w:p>
      <w:pPr>
        <w:tabs>
          <w:tab w:val="left" w:pos="3960"/>
        </w:tabs>
        <w:spacing w:line="360" w:lineRule="auto"/>
        <w:ind w:left="220" w:leftChars="100"/>
        <w:rPr>
          <w:sz w:val="20"/>
          <w:szCs w:val="20"/>
        </w:rPr>
      </w:pPr>
      <w:r>
        <w:rPr>
          <w:rFonts w:ascii="宋体" w:hAnsi="宋体" w:eastAsia="宋体" w:cs="宋体"/>
          <w:sz w:val="21"/>
          <w:szCs w:val="21"/>
        </w:rPr>
        <w:t>日期：</w:t>
      </w:r>
    </w:p>
    <w:p>
      <w:pPr>
        <w:spacing w:line="360" w:lineRule="auto"/>
        <w:ind w:left="220" w:leftChars="100"/>
        <w:sectPr>
          <w:pgSz w:w="11900" w:h="16840"/>
          <w:pgMar w:top="964" w:right="1123" w:bottom="652" w:left="482" w:header="0" w:footer="397" w:gutter="0"/>
          <w:cols w:space="425" w:num="1"/>
        </w:sectPr>
      </w:pPr>
    </w:p>
    <w:p>
      <w:pPr>
        <w:spacing w:line="360" w:lineRule="auto"/>
        <w:ind w:left="220" w:leftChars="100"/>
        <w:rPr>
          <w:sz w:val="20"/>
          <w:szCs w:val="20"/>
        </w:rPr>
      </w:pPr>
    </w:p>
    <w:p>
      <w:pPr>
        <w:spacing w:line="360" w:lineRule="auto"/>
        <w:ind w:left="220" w:leftChars="100"/>
        <w:rPr>
          <w:sz w:val="20"/>
          <w:szCs w:val="20"/>
        </w:rPr>
      </w:pPr>
    </w:p>
    <w:p>
      <w:pPr>
        <w:spacing w:line="360" w:lineRule="auto"/>
        <w:ind w:left="220" w:leftChars="100"/>
        <w:rPr>
          <w:sz w:val="20"/>
          <w:szCs w:val="20"/>
        </w:rPr>
      </w:pPr>
    </w:p>
    <w:p>
      <w:pPr>
        <w:spacing w:line="360" w:lineRule="auto"/>
        <w:ind w:left="220" w:leftChars="100"/>
        <w:rPr>
          <w:sz w:val="20"/>
          <w:szCs w:val="20"/>
        </w:rPr>
      </w:pPr>
    </w:p>
    <w:p>
      <w:pPr>
        <w:spacing w:line="360" w:lineRule="auto"/>
        <w:ind w:left="220" w:leftChars="100"/>
        <w:rPr>
          <w:sz w:val="20"/>
          <w:szCs w:val="20"/>
        </w:rPr>
      </w:pPr>
    </w:p>
    <w:p>
      <w:pPr>
        <w:spacing w:line="360" w:lineRule="auto"/>
        <w:ind w:left="220" w:leftChars="100"/>
        <w:rPr>
          <w:sz w:val="20"/>
          <w:szCs w:val="20"/>
        </w:rPr>
      </w:pPr>
    </w:p>
    <w:p>
      <w:pPr>
        <w:spacing w:line="360" w:lineRule="auto"/>
        <w:ind w:left="220" w:leftChars="100"/>
        <w:rPr>
          <w:sz w:val="20"/>
          <w:szCs w:val="20"/>
        </w:rPr>
      </w:pPr>
    </w:p>
    <w:p>
      <w:pPr>
        <w:spacing w:line="360" w:lineRule="auto"/>
        <w:ind w:left="220" w:leftChars="100"/>
        <w:rPr>
          <w:sz w:val="20"/>
          <w:szCs w:val="20"/>
        </w:rPr>
      </w:pPr>
    </w:p>
    <w:p>
      <w:pPr>
        <w:spacing w:line="360" w:lineRule="auto"/>
        <w:ind w:left="220" w:leftChars="100"/>
        <w:rPr>
          <w:sz w:val="20"/>
          <w:szCs w:val="20"/>
        </w:rPr>
      </w:pPr>
    </w:p>
    <w:p>
      <w:pPr>
        <w:spacing w:line="360" w:lineRule="auto"/>
        <w:ind w:left="220" w:leftChars="100"/>
        <w:rPr>
          <w:sz w:val="20"/>
          <w:szCs w:val="20"/>
        </w:rPr>
      </w:pPr>
    </w:p>
    <w:p>
      <w:pPr>
        <w:spacing w:line="360" w:lineRule="auto"/>
        <w:ind w:left="220" w:leftChars="100"/>
        <w:rPr>
          <w:sz w:val="20"/>
          <w:szCs w:val="20"/>
        </w:rPr>
      </w:pPr>
    </w:p>
    <w:p>
      <w:pPr>
        <w:spacing w:line="360" w:lineRule="auto"/>
        <w:ind w:left="220" w:leftChars="100"/>
        <w:rPr>
          <w:sz w:val="20"/>
          <w:szCs w:val="20"/>
        </w:rPr>
      </w:pPr>
    </w:p>
    <w:p>
      <w:pPr>
        <w:spacing w:line="360" w:lineRule="auto"/>
        <w:ind w:left="220" w:leftChars="100"/>
        <w:rPr>
          <w:sz w:val="20"/>
          <w:szCs w:val="20"/>
        </w:rPr>
      </w:pPr>
    </w:p>
    <w:p>
      <w:pPr>
        <w:spacing w:line="360" w:lineRule="auto"/>
        <w:ind w:left="220" w:leftChars="100"/>
        <w:rPr>
          <w:sz w:val="20"/>
          <w:szCs w:val="20"/>
        </w:rPr>
      </w:pPr>
    </w:p>
    <w:p>
      <w:pPr>
        <w:spacing w:line="360" w:lineRule="auto"/>
        <w:ind w:left="220" w:leftChars="100"/>
        <w:rPr>
          <w:sz w:val="20"/>
          <w:szCs w:val="20"/>
        </w:rPr>
      </w:pPr>
    </w:p>
    <w:p>
      <w:pPr>
        <w:spacing w:line="360" w:lineRule="auto"/>
        <w:sectPr>
          <w:type w:val="continuous"/>
          <w:pgSz w:w="11900" w:h="16840"/>
          <w:pgMar w:top="964" w:right="1123" w:bottom="652" w:left="482" w:header="0" w:footer="397" w:gutter="0"/>
          <w:cols w:space="425" w:num="1"/>
        </w:sectPr>
      </w:pPr>
    </w:p>
    <w:p>
      <w:pPr>
        <w:spacing w:line="360" w:lineRule="auto"/>
        <w:ind w:left="220" w:leftChars="100" w:firstLine="560"/>
        <w:rPr>
          <w:sz w:val="20"/>
          <w:szCs w:val="20"/>
        </w:rPr>
      </w:pPr>
      <w:bookmarkStart w:id="117" w:name="page42"/>
      <w:bookmarkEnd w:id="117"/>
      <w:r>
        <w:rPr>
          <w:rFonts w:hint="eastAsia" w:ascii="宋体" w:hAnsi="宋体" w:eastAsia="宋体" w:cs="宋体"/>
          <w:b/>
          <w:bCs/>
          <w:sz w:val="28"/>
          <w:szCs w:val="28"/>
        </w:rPr>
        <w:t>19</w:t>
      </w:r>
      <w:r>
        <w:rPr>
          <w:rFonts w:ascii="宋体" w:hAnsi="宋体" w:eastAsia="宋体" w:cs="宋体"/>
          <w:b/>
          <w:bCs/>
          <w:sz w:val="28"/>
          <w:szCs w:val="28"/>
        </w:rPr>
        <w:t>、供应商所投产品为广西工业产品的，如实提供《广西工业产品声明函》，并出具相关证明材料为准（如有，请提供）</w:t>
      </w:r>
    </w:p>
    <w:p>
      <w:pPr>
        <w:spacing w:line="360" w:lineRule="auto"/>
        <w:ind w:left="220" w:leftChars="100"/>
        <w:rPr>
          <w:sz w:val="20"/>
          <w:szCs w:val="20"/>
        </w:rPr>
      </w:pPr>
    </w:p>
    <w:p>
      <w:pPr>
        <w:spacing w:line="360" w:lineRule="auto"/>
        <w:ind w:left="220" w:leftChars="100" w:right="40"/>
        <w:jc w:val="center"/>
        <w:rPr>
          <w:sz w:val="20"/>
          <w:szCs w:val="20"/>
        </w:rPr>
      </w:pPr>
      <w:bookmarkStart w:id="118" w:name="_Toc29762_WPSOffice_Level3"/>
      <w:r>
        <w:rPr>
          <w:rFonts w:ascii="宋体" w:hAnsi="宋体" w:eastAsia="宋体" w:cs="宋体"/>
          <w:b/>
          <w:bCs/>
          <w:sz w:val="28"/>
          <w:szCs w:val="28"/>
        </w:rPr>
        <w:t>广西工业产品声明函</w:t>
      </w:r>
      <w:bookmarkEnd w:id="118"/>
    </w:p>
    <w:p>
      <w:pPr>
        <w:spacing w:line="360" w:lineRule="auto"/>
        <w:ind w:left="220" w:leftChars="100"/>
        <w:rPr>
          <w:sz w:val="20"/>
          <w:szCs w:val="20"/>
        </w:rPr>
      </w:pPr>
    </w:p>
    <w:p>
      <w:pPr>
        <w:spacing w:line="360" w:lineRule="auto"/>
        <w:ind w:left="220" w:leftChars="100" w:right="140" w:firstLine="630"/>
        <w:rPr>
          <w:sz w:val="20"/>
          <w:szCs w:val="20"/>
        </w:rPr>
      </w:pPr>
      <w:r>
        <w:rPr>
          <w:rFonts w:ascii="宋体" w:hAnsi="宋体" w:eastAsia="宋体" w:cs="宋体"/>
          <w:sz w:val="21"/>
          <w:szCs w:val="21"/>
        </w:rPr>
        <w:t>本公司郑重声明，根据《招标采购促进广西工业产品产销对接实施细则》的规定，本公司在本次投标/竞标中或者工程项目中提供的下述产品为广西工业产品，详情如下：</w:t>
      </w:r>
    </w:p>
    <w:tbl>
      <w:tblPr>
        <w:tblStyle w:val="14"/>
        <w:tblW w:w="9820" w:type="dxa"/>
        <w:tblInd w:w="0" w:type="dxa"/>
        <w:tblLayout w:type="fixed"/>
        <w:tblCellMar>
          <w:top w:w="0" w:type="dxa"/>
          <w:left w:w="0" w:type="dxa"/>
          <w:bottom w:w="0" w:type="dxa"/>
          <w:right w:w="0" w:type="dxa"/>
        </w:tblCellMar>
      </w:tblPr>
      <w:tblGrid>
        <w:gridCol w:w="1020"/>
        <w:gridCol w:w="1800"/>
        <w:gridCol w:w="1660"/>
        <w:gridCol w:w="800"/>
        <w:gridCol w:w="2060"/>
        <w:gridCol w:w="1100"/>
        <w:gridCol w:w="1380"/>
      </w:tblGrid>
      <w:tr>
        <w:tblPrEx>
          <w:tblCellMar>
            <w:top w:w="0" w:type="dxa"/>
            <w:left w:w="0" w:type="dxa"/>
            <w:bottom w:w="0" w:type="dxa"/>
            <w:right w:w="0" w:type="dxa"/>
          </w:tblCellMar>
        </w:tblPrEx>
        <w:trPr>
          <w:trHeight w:val="350" w:hRule="atLeast"/>
        </w:trPr>
        <w:tc>
          <w:tcPr>
            <w:tcW w:w="1020" w:type="dxa"/>
            <w:tcBorders>
              <w:top w:val="single" w:color="auto" w:sz="4" w:space="0"/>
              <w:left w:val="single" w:color="auto" w:sz="4" w:space="0"/>
              <w:bottom w:val="single" w:color="auto" w:sz="4" w:space="0"/>
              <w:right w:val="single" w:color="auto" w:sz="4" w:space="0"/>
            </w:tcBorders>
            <w:vAlign w:val="bottom"/>
          </w:tcPr>
          <w:p>
            <w:pPr>
              <w:spacing w:line="360" w:lineRule="auto"/>
              <w:ind w:left="220" w:leftChars="100"/>
              <w:rPr>
                <w:sz w:val="20"/>
                <w:szCs w:val="20"/>
              </w:rPr>
            </w:pPr>
            <w:r>
              <w:rPr>
                <w:rFonts w:ascii="宋体" w:hAnsi="宋体" w:eastAsia="宋体" w:cs="宋体"/>
                <w:sz w:val="21"/>
                <w:szCs w:val="21"/>
              </w:rPr>
              <w:t>序号</w:t>
            </w:r>
          </w:p>
        </w:tc>
        <w:tc>
          <w:tcPr>
            <w:tcW w:w="1800" w:type="dxa"/>
            <w:tcBorders>
              <w:top w:val="single" w:color="auto" w:sz="4" w:space="0"/>
              <w:left w:val="single" w:color="auto" w:sz="4" w:space="0"/>
              <w:bottom w:val="single" w:color="auto" w:sz="4" w:space="0"/>
              <w:right w:val="single" w:color="auto" w:sz="4" w:space="0"/>
            </w:tcBorders>
            <w:vAlign w:val="bottom"/>
          </w:tcPr>
          <w:p>
            <w:pPr>
              <w:spacing w:line="360" w:lineRule="auto"/>
              <w:ind w:left="220" w:leftChars="100"/>
              <w:rPr>
                <w:sz w:val="20"/>
                <w:szCs w:val="20"/>
              </w:rPr>
            </w:pPr>
            <w:r>
              <w:rPr>
                <w:rFonts w:ascii="宋体" w:hAnsi="宋体" w:eastAsia="宋体" w:cs="宋体"/>
                <w:sz w:val="21"/>
                <w:szCs w:val="21"/>
              </w:rPr>
              <w:t>产品名称</w:t>
            </w:r>
          </w:p>
        </w:tc>
        <w:tc>
          <w:tcPr>
            <w:tcW w:w="1660" w:type="dxa"/>
            <w:tcBorders>
              <w:top w:val="single" w:color="auto" w:sz="4" w:space="0"/>
              <w:left w:val="single" w:color="auto" w:sz="4" w:space="0"/>
              <w:bottom w:val="single" w:color="auto" w:sz="4" w:space="0"/>
              <w:right w:val="single" w:color="auto" w:sz="4" w:space="0"/>
            </w:tcBorders>
            <w:vAlign w:val="bottom"/>
          </w:tcPr>
          <w:p>
            <w:pPr>
              <w:spacing w:line="360" w:lineRule="auto"/>
              <w:ind w:left="220" w:leftChars="100"/>
              <w:rPr>
                <w:sz w:val="20"/>
                <w:szCs w:val="20"/>
              </w:rPr>
            </w:pPr>
            <w:r>
              <w:rPr>
                <w:rFonts w:ascii="宋体" w:hAnsi="宋体" w:eastAsia="宋体" w:cs="宋体"/>
                <w:sz w:val="21"/>
                <w:szCs w:val="21"/>
              </w:rPr>
              <w:t>型号和规格</w:t>
            </w:r>
          </w:p>
        </w:tc>
        <w:tc>
          <w:tcPr>
            <w:tcW w:w="800" w:type="dxa"/>
            <w:tcBorders>
              <w:top w:val="single" w:color="auto" w:sz="4" w:space="0"/>
              <w:left w:val="single" w:color="auto" w:sz="4" w:space="0"/>
              <w:bottom w:val="single" w:color="auto" w:sz="4" w:space="0"/>
              <w:right w:val="single" w:color="auto" w:sz="4" w:space="0"/>
            </w:tcBorders>
            <w:vAlign w:val="bottom"/>
          </w:tcPr>
          <w:p>
            <w:pPr>
              <w:spacing w:line="360" w:lineRule="auto"/>
              <w:ind w:left="220" w:leftChars="100"/>
              <w:rPr>
                <w:sz w:val="20"/>
                <w:szCs w:val="20"/>
              </w:rPr>
            </w:pPr>
            <w:r>
              <w:rPr>
                <w:rFonts w:ascii="宋体" w:hAnsi="宋体" w:eastAsia="宋体" w:cs="宋体"/>
                <w:sz w:val="21"/>
                <w:szCs w:val="21"/>
              </w:rPr>
              <w:t>数量</w:t>
            </w:r>
          </w:p>
        </w:tc>
        <w:tc>
          <w:tcPr>
            <w:tcW w:w="2060" w:type="dxa"/>
            <w:tcBorders>
              <w:top w:val="single" w:color="auto" w:sz="4" w:space="0"/>
              <w:left w:val="single" w:color="auto" w:sz="4" w:space="0"/>
              <w:bottom w:val="single" w:color="auto" w:sz="4" w:space="0"/>
              <w:right w:val="single" w:color="auto" w:sz="4" w:space="0"/>
            </w:tcBorders>
            <w:vAlign w:val="bottom"/>
          </w:tcPr>
          <w:p>
            <w:pPr>
              <w:spacing w:line="360" w:lineRule="auto"/>
              <w:ind w:left="220" w:leftChars="100"/>
              <w:rPr>
                <w:sz w:val="20"/>
                <w:szCs w:val="20"/>
              </w:rPr>
            </w:pPr>
            <w:r>
              <w:rPr>
                <w:rFonts w:ascii="宋体" w:hAnsi="宋体" w:eastAsia="宋体" w:cs="宋体"/>
                <w:sz w:val="21"/>
                <w:szCs w:val="21"/>
              </w:rPr>
              <w:t>制造厂商及原产地</w:t>
            </w:r>
          </w:p>
        </w:tc>
        <w:tc>
          <w:tcPr>
            <w:tcW w:w="1100" w:type="dxa"/>
            <w:tcBorders>
              <w:top w:val="single" w:color="auto" w:sz="4" w:space="0"/>
              <w:left w:val="single" w:color="auto" w:sz="4" w:space="0"/>
              <w:bottom w:val="single" w:color="auto" w:sz="4" w:space="0"/>
              <w:right w:val="single" w:color="auto" w:sz="4" w:space="0"/>
            </w:tcBorders>
            <w:vAlign w:val="bottom"/>
          </w:tcPr>
          <w:p>
            <w:pPr>
              <w:spacing w:line="360" w:lineRule="auto"/>
              <w:ind w:left="220" w:leftChars="100"/>
              <w:rPr>
                <w:sz w:val="20"/>
                <w:szCs w:val="20"/>
              </w:rPr>
            </w:pPr>
            <w:r>
              <w:rPr>
                <w:rFonts w:ascii="宋体" w:hAnsi="宋体" w:eastAsia="宋体" w:cs="宋体"/>
                <w:sz w:val="21"/>
                <w:szCs w:val="21"/>
              </w:rPr>
              <w:t>投标价</w:t>
            </w:r>
          </w:p>
        </w:tc>
        <w:tc>
          <w:tcPr>
            <w:tcW w:w="1380" w:type="dxa"/>
            <w:tcBorders>
              <w:top w:val="single" w:color="auto" w:sz="4" w:space="0"/>
              <w:left w:val="single" w:color="auto" w:sz="4" w:space="0"/>
              <w:bottom w:val="single" w:color="auto" w:sz="4" w:space="0"/>
              <w:right w:val="single" w:color="auto" w:sz="4" w:space="0"/>
            </w:tcBorders>
            <w:vAlign w:val="bottom"/>
          </w:tcPr>
          <w:p>
            <w:pPr>
              <w:spacing w:line="360" w:lineRule="auto"/>
              <w:ind w:left="220" w:leftChars="100"/>
              <w:rPr>
                <w:sz w:val="20"/>
                <w:szCs w:val="20"/>
              </w:rPr>
            </w:pPr>
            <w:r>
              <w:rPr>
                <w:rFonts w:ascii="宋体" w:hAnsi="宋体" w:eastAsia="宋体" w:cs="宋体"/>
                <w:sz w:val="21"/>
                <w:szCs w:val="21"/>
              </w:rPr>
              <w:t>备注</w:t>
            </w:r>
          </w:p>
        </w:tc>
      </w:tr>
      <w:tr>
        <w:tblPrEx>
          <w:tblCellMar>
            <w:top w:w="0" w:type="dxa"/>
            <w:left w:w="0" w:type="dxa"/>
            <w:bottom w:w="0" w:type="dxa"/>
            <w:right w:w="0" w:type="dxa"/>
          </w:tblCellMar>
        </w:tblPrEx>
        <w:trPr>
          <w:trHeight w:val="380" w:hRule="atLeast"/>
        </w:trPr>
        <w:tc>
          <w:tcPr>
            <w:tcW w:w="1020" w:type="dxa"/>
            <w:tcBorders>
              <w:top w:val="single" w:color="auto" w:sz="4" w:space="0"/>
              <w:left w:val="single" w:color="auto" w:sz="4" w:space="0"/>
              <w:bottom w:val="single" w:color="auto" w:sz="4" w:space="0"/>
              <w:right w:val="single" w:color="auto" w:sz="4" w:space="0"/>
            </w:tcBorders>
            <w:vAlign w:val="bottom"/>
          </w:tcPr>
          <w:p>
            <w:pPr>
              <w:spacing w:line="360" w:lineRule="auto"/>
              <w:ind w:left="220" w:leftChars="100"/>
              <w:rPr>
                <w:sz w:val="24"/>
                <w:szCs w:val="24"/>
              </w:rPr>
            </w:pPr>
          </w:p>
        </w:tc>
        <w:tc>
          <w:tcPr>
            <w:tcW w:w="1800" w:type="dxa"/>
            <w:tcBorders>
              <w:top w:val="single" w:color="auto" w:sz="4" w:space="0"/>
              <w:left w:val="single" w:color="auto" w:sz="4" w:space="0"/>
              <w:bottom w:val="single" w:color="auto" w:sz="4" w:space="0"/>
              <w:right w:val="single" w:color="auto" w:sz="4" w:space="0"/>
            </w:tcBorders>
            <w:vAlign w:val="bottom"/>
          </w:tcPr>
          <w:p>
            <w:pPr>
              <w:spacing w:line="360" w:lineRule="auto"/>
              <w:ind w:left="220" w:leftChars="100"/>
              <w:rPr>
                <w:sz w:val="24"/>
                <w:szCs w:val="24"/>
              </w:rPr>
            </w:pPr>
          </w:p>
        </w:tc>
        <w:tc>
          <w:tcPr>
            <w:tcW w:w="1660" w:type="dxa"/>
            <w:tcBorders>
              <w:top w:val="single" w:color="auto" w:sz="4" w:space="0"/>
              <w:left w:val="single" w:color="auto" w:sz="4" w:space="0"/>
              <w:bottom w:val="single" w:color="auto" w:sz="4" w:space="0"/>
              <w:right w:val="single" w:color="auto" w:sz="4" w:space="0"/>
            </w:tcBorders>
            <w:vAlign w:val="bottom"/>
          </w:tcPr>
          <w:p>
            <w:pPr>
              <w:spacing w:line="360" w:lineRule="auto"/>
              <w:ind w:left="220" w:leftChars="100"/>
              <w:rPr>
                <w:sz w:val="24"/>
                <w:szCs w:val="24"/>
              </w:rPr>
            </w:pPr>
          </w:p>
        </w:tc>
        <w:tc>
          <w:tcPr>
            <w:tcW w:w="800" w:type="dxa"/>
            <w:tcBorders>
              <w:top w:val="single" w:color="auto" w:sz="4" w:space="0"/>
              <w:left w:val="single" w:color="auto" w:sz="4" w:space="0"/>
              <w:bottom w:val="single" w:color="auto" w:sz="4" w:space="0"/>
              <w:right w:val="single" w:color="auto" w:sz="4" w:space="0"/>
            </w:tcBorders>
            <w:vAlign w:val="bottom"/>
          </w:tcPr>
          <w:p>
            <w:pPr>
              <w:spacing w:line="360" w:lineRule="auto"/>
              <w:ind w:left="220" w:leftChars="100"/>
              <w:rPr>
                <w:sz w:val="24"/>
                <w:szCs w:val="24"/>
              </w:rPr>
            </w:pPr>
          </w:p>
        </w:tc>
        <w:tc>
          <w:tcPr>
            <w:tcW w:w="2060" w:type="dxa"/>
            <w:tcBorders>
              <w:top w:val="single" w:color="auto" w:sz="4" w:space="0"/>
              <w:left w:val="single" w:color="auto" w:sz="4" w:space="0"/>
              <w:bottom w:val="single" w:color="auto" w:sz="4" w:space="0"/>
              <w:right w:val="single" w:color="auto" w:sz="4" w:space="0"/>
            </w:tcBorders>
            <w:vAlign w:val="bottom"/>
          </w:tcPr>
          <w:p>
            <w:pPr>
              <w:spacing w:line="360" w:lineRule="auto"/>
              <w:ind w:left="220" w:leftChars="100"/>
              <w:rPr>
                <w:sz w:val="24"/>
                <w:szCs w:val="24"/>
              </w:rPr>
            </w:pPr>
          </w:p>
        </w:tc>
        <w:tc>
          <w:tcPr>
            <w:tcW w:w="1100" w:type="dxa"/>
            <w:tcBorders>
              <w:top w:val="single" w:color="auto" w:sz="4" w:space="0"/>
              <w:left w:val="single" w:color="auto" w:sz="4" w:space="0"/>
              <w:bottom w:val="single" w:color="auto" w:sz="4" w:space="0"/>
              <w:right w:val="single" w:color="auto" w:sz="4" w:space="0"/>
            </w:tcBorders>
            <w:vAlign w:val="bottom"/>
          </w:tcPr>
          <w:p>
            <w:pPr>
              <w:spacing w:line="360" w:lineRule="auto"/>
              <w:ind w:left="220" w:leftChars="100"/>
              <w:rPr>
                <w:sz w:val="24"/>
                <w:szCs w:val="24"/>
              </w:rPr>
            </w:pPr>
          </w:p>
        </w:tc>
        <w:tc>
          <w:tcPr>
            <w:tcW w:w="1380" w:type="dxa"/>
            <w:tcBorders>
              <w:top w:val="single" w:color="auto" w:sz="4" w:space="0"/>
              <w:left w:val="single" w:color="auto" w:sz="4" w:space="0"/>
              <w:bottom w:val="single" w:color="auto" w:sz="4" w:space="0"/>
              <w:right w:val="single" w:color="auto" w:sz="4" w:space="0"/>
            </w:tcBorders>
            <w:vAlign w:val="bottom"/>
          </w:tcPr>
          <w:p>
            <w:pPr>
              <w:spacing w:line="360" w:lineRule="auto"/>
              <w:ind w:left="220" w:leftChars="100"/>
              <w:rPr>
                <w:sz w:val="24"/>
                <w:szCs w:val="24"/>
              </w:rPr>
            </w:pPr>
          </w:p>
        </w:tc>
      </w:tr>
      <w:tr>
        <w:tblPrEx>
          <w:tblCellMar>
            <w:top w:w="0" w:type="dxa"/>
            <w:left w:w="0" w:type="dxa"/>
            <w:bottom w:w="0" w:type="dxa"/>
            <w:right w:w="0" w:type="dxa"/>
          </w:tblCellMar>
        </w:tblPrEx>
        <w:trPr>
          <w:trHeight w:val="380" w:hRule="atLeast"/>
        </w:trPr>
        <w:tc>
          <w:tcPr>
            <w:tcW w:w="1020" w:type="dxa"/>
            <w:tcBorders>
              <w:top w:val="single" w:color="auto" w:sz="4" w:space="0"/>
              <w:left w:val="single" w:color="auto" w:sz="4" w:space="0"/>
              <w:bottom w:val="single" w:color="auto" w:sz="4" w:space="0"/>
              <w:right w:val="single" w:color="auto" w:sz="4" w:space="0"/>
            </w:tcBorders>
            <w:vAlign w:val="bottom"/>
          </w:tcPr>
          <w:p>
            <w:pPr>
              <w:spacing w:line="360" w:lineRule="auto"/>
              <w:ind w:left="220" w:leftChars="100"/>
              <w:rPr>
                <w:sz w:val="24"/>
                <w:szCs w:val="24"/>
              </w:rPr>
            </w:pPr>
          </w:p>
        </w:tc>
        <w:tc>
          <w:tcPr>
            <w:tcW w:w="1800" w:type="dxa"/>
            <w:tcBorders>
              <w:top w:val="single" w:color="auto" w:sz="4" w:space="0"/>
              <w:left w:val="single" w:color="auto" w:sz="4" w:space="0"/>
              <w:bottom w:val="single" w:color="auto" w:sz="4" w:space="0"/>
              <w:right w:val="single" w:color="auto" w:sz="4" w:space="0"/>
            </w:tcBorders>
            <w:vAlign w:val="bottom"/>
          </w:tcPr>
          <w:p>
            <w:pPr>
              <w:spacing w:line="360" w:lineRule="auto"/>
              <w:ind w:left="220" w:leftChars="100"/>
              <w:rPr>
                <w:sz w:val="24"/>
                <w:szCs w:val="24"/>
              </w:rPr>
            </w:pPr>
          </w:p>
        </w:tc>
        <w:tc>
          <w:tcPr>
            <w:tcW w:w="1660" w:type="dxa"/>
            <w:tcBorders>
              <w:top w:val="single" w:color="auto" w:sz="4" w:space="0"/>
              <w:left w:val="single" w:color="auto" w:sz="4" w:space="0"/>
              <w:bottom w:val="single" w:color="auto" w:sz="4" w:space="0"/>
              <w:right w:val="single" w:color="auto" w:sz="4" w:space="0"/>
            </w:tcBorders>
            <w:vAlign w:val="bottom"/>
          </w:tcPr>
          <w:p>
            <w:pPr>
              <w:spacing w:line="360" w:lineRule="auto"/>
              <w:ind w:left="220" w:leftChars="100"/>
              <w:rPr>
                <w:sz w:val="24"/>
                <w:szCs w:val="24"/>
              </w:rPr>
            </w:pPr>
          </w:p>
        </w:tc>
        <w:tc>
          <w:tcPr>
            <w:tcW w:w="800" w:type="dxa"/>
            <w:tcBorders>
              <w:top w:val="single" w:color="auto" w:sz="4" w:space="0"/>
              <w:left w:val="single" w:color="auto" w:sz="4" w:space="0"/>
              <w:bottom w:val="single" w:color="auto" w:sz="4" w:space="0"/>
              <w:right w:val="single" w:color="auto" w:sz="4" w:space="0"/>
            </w:tcBorders>
            <w:vAlign w:val="bottom"/>
          </w:tcPr>
          <w:p>
            <w:pPr>
              <w:spacing w:line="360" w:lineRule="auto"/>
              <w:ind w:left="220" w:leftChars="100"/>
              <w:rPr>
                <w:sz w:val="24"/>
                <w:szCs w:val="24"/>
              </w:rPr>
            </w:pPr>
          </w:p>
        </w:tc>
        <w:tc>
          <w:tcPr>
            <w:tcW w:w="2060" w:type="dxa"/>
            <w:tcBorders>
              <w:top w:val="single" w:color="auto" w:sz="4" w:space="0"/>
              <w:left w:val="single" w:color="auto" w:sz="4" w:space="0"/>
              <w:bottom w:val="single" w:color="auto" w:sz="4" w:space="0"/>
              <w:right w:val="single" w:color="auto" w:sz="4" w:space="0"/>
            </w:tcBorders>
            <w:vAlign w:val="bottom"/>
          </w:tcPr>
          <w:p>
            <w:pPr>
              <w:spacing w:line="360" w:lineRule="auto"/>
              <w:ind w:left="220" w:leftChars="100"/>
              <w:rPr>
                <w:sz w:val="24"/>
                <w:szCs w:val="24"/>
              </w:rPr>
            </w:pPr>
          </w:p>
        </w:tc>
        <w:tc>
          <w:tcPr>
            <w:tcW w:w="1100" w:type="dxa"/>
            <w:tcBorders>
              <w:top w:val="single" w:color="auto" w:sz="4" w:space="0"/>
              <w:left w:val="single" w:color="auto" w:sz="4" w:space="0"/>
              <w:bottom w:val="single" w:color="auto" w:sz="4" w:space="0"/>
              <w:right w:val="single" w:color="auto" w:sz="4" w:space="0"/>
            </w:tcBorders>
            <w:vAlign w:val="bottom"/>
          </w:tcPr>
          <w:p>
            <w:pPr>
              <w:spacing w:line="360" w:lineRule="auto"/>
              <w:ind w:left="220" w:leftChars="100"/>
              <w:rPr>
                <w:sz w:val="24"/>
                <w:szCs w:val="24"/>
              </w:rPr>
            </w:pPr>
          </w:p>
        </w:tc>
        <w:tc>
          <w:tcPr>
            <w:tcW w:w="1380" w:type="dxa"/>
            <w:tcBorders>
              <w:top w:val="single" w:color="auto" w:sz="4" w:space="0"/>
              <w:left w:val="single" w:color="auto" w:sz="4" w:space="0"/>
              <w:bottom w:val="single" w:color="auto" w:sz="4" w:space="0"/>
              <w:right w:val="single" w:color="auto" w:sz="4" w:space="0"/>
            </w:tcBorders>
            <w:vAlign w:val="bottom"/>
          </w:tcPr>
          <w:p>
            <w:pPr>
              <w:spacing w:line="360" w:lineRule="auto"/>
              <w:ind w:left="220" w:leftChars="100"/>
              <w:rPr>
                <w:sz w:val="24"/>
                <w:szCs w:val="24"/>
              </w:rPr>
            </w:pPr>
          </w:p>
        </w:tc>
      </w:tr>
      <w:tr>
        <w:tblPrEx>
          <w:tblCellMar>
            <w:top w:w="0" w:type="dxa"/>
            <w:left w:w="0" w:type="dxa"/>
            <w:bottom w:w="0" w:type="dxa"/>
            <w:right w:w="0" w:type="dxa"/>
          </w:tblCellMar>
        </w:tblPrEx>
        <w:trPr>
          <w:trHeight w:val="381" w:hRule="atLeast"/>
        </w:trPr>
        <w:tc>
          <w:tcPr>
            <w:tcW w:w="1020" w:type="dxa"/>
            <w:tcBorders>
              <w:top w:val="single" w:color="auto" w:sz="4" w:space="0"/>
              <w:left w:val="single" w:color="auto" w:sz="4" w:space="0"/>
              <w:bottom w:val="single" w:color="auto" w:sz="4" w:space="0"/>
              <w:right w:val="single" w:color="auto" w:sz="4" w:space="0"/>
            </w:tcBorders>
            <w:vAlign w:val="bottom"/>
          </w:tcPr>
          <w:p>
            <w:pPr>
              <w:spacing w:line="360" w:lineRule="auto"/>
              <w:ind w:left="220" w:leftChars="100"/>
              <w:rPr>
                <w:sz w:val="24"/>
                <w:szCs w:val="24"/>
              </w:rPr>
            </w:pPr>
          </w:p>
        </w:tc>
        <w:tc>
          <w:tcPr>
            <w:tcW w:w="1800" w:type="dxa"/>
            <w:tcBorders>
              <w:top w:val="single" w:color="auto" w:sz="4" w:space="0"/>
              <w:left w:val="single" w:color="auto" w:sz="4" w:space="0"/>
              <w:bottom w:val="single" w:color="auto" w:sz="4" w:space="0"/>
              <w:right w:val="single" w:color="auto" w:sz="4" w:space="0"/>
            </w:tcBorders>
            <w:vAlign w:val="bottom"/>
          </w:tcPr>
          <w:p>
            <w:pPr>
              <w:spacing w:line="360" w:lineRule="auto"/>
              <w:ind w:left="220" w:leftChars="100"/>
              <w:rPr>
                <w:sz w:val="24"/>
                <w:szCs w:val="24"/>
              </w:rPr>
            </w:pPr>
          </w:p>
        </w:tc>
        <w:tc>
          <w:tcPr>
            <w:tcW w:w="1660" w:type="dxa"/>
            <w:tcBorders>
              <w:top w:val="single" w:color="auto" w:sz="4" w:space="0"/>
              <w:left w:val="single" w:color="auto" w:sz="4" w:space="0"/>
              <w:bottom w:val="single" w:color="auto" w:sz="4" w:space="0"/>
              <w:right w:val="single" w:color="auto" w:sz="4" w:space="0"/>
            </w:tcBorders>
            <w:vAlign w:val="bottom"/>
          </w:tcPr>
          <w:p>
            <w:pPr>
              <w:spacing w:line="360" w:lineRule="auto"/>
              <w:ind w:left="220" w:leftChars="100"/>
              <w:rPr>
                <w:sz w:val="24"/>
                <w:szCs w:val="24"/>
              </w:rPr>
            </w:pPr>
          </w:p>
        </w:tc>
        <w:tc>
          <w:tcPr>
            <w:tcW w:w="800" w:type="dxa"/>
            <w:tcBorders>
              <w:top w:val="single" w:color="auto" w:sz="4" w:space="0"/>
              <w:left w:val="single" w:color="auto" w:sz="4" w:space="0"/>
              <w:bottom w:val="single" w:color="auto" w:sz="4" w:space="0"/>
              <w:right w:val="single" w:color="auto" w:sz="4" w:space="0"/>
            </w:tcBorders>
            <w:vAlign w:val="bottom"/>
          </w:tcPr>
          <w:p>
            <w:pPr>
              <w:spacing w:line="360" w:lineRule="auto"/>
              <w:ind w:left="220" w:leftChars="100"/>
              <w:rPr>
                <w:sz w:val="24"/>
                <w:szCs w:val="24"/>
              </w:rPr>
            </w:pPr>
          </w:p>
        </w:tc>
        <w:tc>
          <w:tcPr>
            <w:tcW w:w="2060" w:type="dxa"/>
            <w:tcBorders>
              <w:top w:val="single" w:color="auto" w:sz="4" w:space="0"/>
              <w:left w:val="single" w:color="auto" w:sz="4" w:space="0"/>
              <w:bottom w:val="single" w:color="auto" w:sz="4" w:space="0"/>
              <w:right w:val="single" w:color="auto" w:sz="4" w:space="0"/>
            </w:tcBorders>
            <w:vAlign w:val="bottom"/>
          </w:tcPr>
          <w:p>
            <w:pPr>
              <w:spacing w:line="360" w:lineRule="auto"/>
              <w:ind w:left="220" w:leftChars="100"/>
              <w:rPr>
                <w:sz w:val="24"/>
                <w:szCs w:val="24"/>
              </w:rPr>
            </w:pPr>
          </w:p>
        </w:tc>
        <w:tc>
          <w:tcPr>
            <w:tcW w:w="1100" w:type="dxa"/>
            <w:tcBorders>
              <w:top w:val="single" w:color="auto" w:sz="4" w:space="0"/>
              <w:left w:val="single" w:color="auto" w:sz="4" w:space="0"/>
              <w:bottom w:val="single" w:color="auto" w:sz="4" w:space="0"/>
              <w:right w:val="single" w:color="auto" w:sz="4" w:space="0"/>
            </w:tcBorders>
            <w:vAlign w:val="bottom"/>
          </w:tcPr>
          <w:p>
            <w:pPr>
              <w:spacing w:line="360" w:lineRule="auto"/>
              <w:ind w:left="220" w:leftChars="100"/>
              <w:rPr>
                <w:sz w:val="24"/>
                <w:szCs w:val="24"/>
              </w:rPr>
            </w:pPr>
          </w:p>
        </w:tc>
        <w:tc>
          <w:tcPr>
            <w:tcW w:w="1380" w:type="dxa"/>
            <w:tcBorders>
              <w:top w:val="single" w:color="auto" w:sz="4" w:space="0"/>
              <w:left w:val="single" w:color="auto" w:sz="4" w:space="0"/>
              <w:bottom w:val="single" w:color="auto" w:sz="4" w:space="0"/>
              <w:right w:val="single" w:color="auto" w:sz="4" w:space="0"/>
            </w:tcBorders>
            <w:vAlign w:val="bottom"/>
          </w:tcPr>
          <w:p>
            <w:pPr>
              <w:spacing w:line="360" w:lineRule="auto"/>
              <w:ind w:left="220" w:leftChars="100"/>
              <w:rPr>
                <w:sz w:val="24"/>
                <w:szCs w:val="24"/>
              </w:rPr>
            </w:pPr>
          </w:p>
        </w:tc>
      </w:tr>
    </w:tbl>
    <w:p>
      <w:pPr>
        <w:spacing w:line="360" w:lineRule="auto"/>
        <w:ind w:left="220" w:leftChars="100"/>
        <w:rPr>
          <w:sz w:val="21"/>
          <w:szCs w:val="21"/>
        </w:rPr>
      </w:pPr>
      <w:r>
        <w:rPr>
          <w:rFonts w:ascii="宋体" w:hAnsi="宋体" w:eastAsia="宋体" w:cs="宋体"/>
          <w:sz w:val="21"/>
          <w:szCs w:val="21"/>
        </w:rPr>
        <w:t>广西工业产品合计价格</w:t>
      </w:r>
      <w:r>
        <w:rPr>
          <w:rFonts w:ascii="宋体" w:hAnsi="宋体" w:eastAsia="宋体" w:cs="宋体"/>
          <w:w w:val="97"/>
          <w:sz w:val="21"/>
          <w:szCs w:val="21"/>
        </w:rPr>
        <w:t>占竞标总价比例</w:t>
      </w:r>
    </w:p>
    <w:p>
      <w:pPr>
        <w:spacing w:line="360" w:lineRule="auto"/>
        <w:ind w:right="40"/>
        <w:jc w:val="both"/>
        <w:rPr>
          <w:sz w:val="20"/>
          <w:szCs w:val="20"/>
        </w:rPr>
      </w:pPr>
      <w:r>
        <w:rPr>
          <w:rFonts w:ascii="宋体" w:hAnsi="宋体" w:eastAsia="宋体" w:cs="宋体"/>
          <w:sz w:val="21"/>
          <w:szCs w:val="21"/>
        </w:rPr>
        <w:t>本公司对上述声明的真实性负责。如有虚假，将依法承担相应责任。</w:t>
      </w:r>
    </w:p>
    <w:p>
      <w:pPr>
        <w:spacing w:line="360" w:lineRule="auto"/>
        <w:ind w:left="220" w:leftChars="100"/>
        <w:rPr>
          <w:sz w:val="20"/>
          <w:szCs w:val="20"/>
        </w:rPr>
      </w:pPr>
      <w:r>
        <w:rPr>
          <w:rFonts w:ascii="宋体" w:hAnsi="宋体" w:eastAsia="宋体" w:cs="宋体"/>
          <w:sz w:val="21"/>
          <w:szCs w:val="21"/>
        </w:rPr>
        <w:t>企业名称（盖章）：</w:t>
      </w:r>
    </w:p>
    <w:p>
      <w:pPr>
        <w:spacing w:line="360" w:lineRule="auto"/>
        <w:ind w:left="220" w:leftChars="100"/>
        <w:rPr>
          <w:sz w:val="20"/>
          <w:szCs w:val="20"/>
        </w:rPr>
      </w:pPr>
    </w:p>
    <w:p>
      <w:pPr>
        <w:tabs>
          <w:tab w:val="left" w:pos="7300"/>
        </w:tabs>
        <w:spacing w:line="360" w:lineRule="auto"/>
        <w:ind w:left="220" w:leftChars="100"/>
        <w:rPr>
          <w:sz w:val="20"/>
          <w:szCs w:val="20"/>
        </w:rPr>
      </w:pPr>
      <w:r>
        <w:rPr>
          <w:rFonts w:ascii="宋体" w:hAnsi="宋体" w:eastAsia="宋体" w:cs="宋体"/>
          <w:sz w:val="21"/>
          <w:szCs w:val="21"/>
        </w:rPr>
        <w:t>日期：</w:t>
      </w:r>
    </w:p>
    <w:p>
      <w:pPr>
        <w:spacing w:line="360" w:lineRule="auto"/>
        <w:ind w:left="220" w:leftChars="100"/>
        <w:sectPr>
          <w:pgSz w:w="11900" w:h="16840"/>
          <w:pgMar w:top="964" w:right="1123" w:bottom="652" w:left="482" w:header="0" w:footer="397" w:gutter="0"/>
          <w:cols w:space="425" w:num="1"/>
        </w:sectPr>
      </w:pPr>
    </w:p>
    <w:p>
      <w:pPr>
        <w:spacing w:line="360" w:lineRule="auto"/>
        <w:ind w:left="220" w:leftChars="100"/>
        <w:rPr>
          <w:sz w:val="20"/>
          <w:szCs w:val="20"/>
        </w:rPr>
      </w:pPr>
    </w:p>
    <w:p>
      <w:pPr>
        <w:spacing w:line="360" w:lineRule="auto"/>
        <w:ind w:left="220" w:leftChars="100"/>
        <w:rPr>
          <w:sz w:val="20"/>
          <w:szCs w:val="20"/>
        </w:rPr>
      </w:pPr>
    </w:p>
    <w:p>
      <w:pPr>
        <w:spacing w:line="360" w:lineRule="auto"/>
        <w:ind w:left="220" w:leftChars="100"/>
        <w:rPr>
          <w:sz w:val="20"/>
          <w:szCs w:val="20"/>
        </w:rPr>
      </w:pPr>
    </w:p>
    <w:p>
      <w:pPr>
        <w:spacing w:line="360" w:lineRule="auto"/>
        <w:ind w:left="220" w:leftChars="100"/>
        <w:rPr>
          <w:sz w:val="20"/>
          <w:szCs w:val="20"/>
        </w:rPr>
      </w:pPr>
    </w:p>
    <w:p>
      <w:pPr>
        <w:spacing w:line="360" w:lineRule="auto"/>
        <w:ind w:left="220" w:leftChars="100"/>
        <w:rPr>
          <w:sz w:val="20"/>
          <w:szCs w:val="20"/>
        </w:rPr>
      </w:pPr>
    </w:p>
    <w:p>
      <w:pPr>
        <w:spacing w:line="360" w:lineRule="auto"/>
        <w:ind w:left="220" w:leftChars="100"/>
        <w:rPr>
          <w:sz w:val="20"/>
          <w:szCs w:val="20"/>
        </w:rPr>
      </w:pPr>
    </w:p>
    <w:p>
      <w:pPr>
        <w:spacing w:line="360" w:lineRule="auto"/>
        <w:ind w:left="220" w:leftChars="100"/>
        <w:rPr>
          <w:sz w:val="20"/>
          <w:szCs w:val="20"/>
        </w:rPr>
      </w:pPr>
    </w:p>
    <w:p>
      <w:pPr>
        <w:spacing w:line="360" w:lineRule="auto"/>
        <w:ind w:left="220" w:leftChars="100"/>
        <w:rPr>
          <w:sz w:val="20"/>
          <w:szCs w:val="20"/>
        </w:rPr>
      </w:pPr>
    </w:p>
    <w:p>
      <w:pPr>
        <w:spacing w:line="360" w:lineRule="auto"/>
        <w:ind w:left="220" w:leftChars="100"/>
        <w:rPr>
          <w:sz w:val="20"/>
          <w:szCs w:val="20"/>
        </w:rPr>
      </w:pPr>
    </w:p>
    <w:p>
      <w:pPr>
        <w:spacing w:line="360" w:lineRule="auto"/>
        <w:ind w:left="220" w:leftChars="100"/>
        <w:rPr>
          <w:sz w:val="20"/>
          <w:szCs w:val="20"/>
        </w:rPr>
      </w:pPr>
    </w:p>
    <w:p>
      <w:pPr>
        <w:spacing w:line="360" w:lineRule="auto"/>
        <w:ind w:left="220" w:leftChars="100"/>
        <w:rPr>
          <w:sz w:val="20"/>
          <w:szCs w:val="20"/>
        </w:rPr>
      </w:pPr>
    </w:p>
    <w:p>
      <w:pPr>
        <w:spacing w:line="360" w:lineRule="auto"/>
        <w:ind w:left="220" w:leftChars="100"/>
        <w:rPr>
          <w:sz w:val="20"/>
          <w:szCs w:val="20"/>
        </w:rPr>
      </w:pPr>
    </w:p>
    <w:p>
      <w:pPr>
        <w:spacing w:line="360" w:lineRule="auto"/>
        <w:ind w:left="220" w:leftChars="100"/>
        <w:rPr>
          <w:sz w:val="20"/>
          <w:szCs w:val="20"/>
        </w:rPr>
      </w:pPr>
    </w:p>
    <w:p>
      <w:pPr>
        <w:spacing w:line="360" w:lineRule="auto"/>
        <w:ind w:left="220" w:leftChars="100"/>
        <w:rPr>
          <w:sz w:val="20"/>
          <w:szCs w:val="20"/>
        </w:rPr>
      </w:pPr>
    </w:p>
    <w:p>
      <w:pPr>
        <w:spacing w:line="360" w:lineRule="auto"/>
        <w:ind w:left="220" w:leftChars="100"/>
        <w:rPr>
          <w:sz w:val="20"/>
          <w:szCs w:val="20"/>
        </w:rPr>
      </w:pPr>
    </w:p>
    <w:p>
      <w:pPr>
        <w:spacing w:line="360" w:lineRule="auto"/>
        <w:ind w:left="220" w:leftChars="100"/>
        <w:rPr>
          <w:sz w:val="20"/>
          <w:szCs w:val="20"/>
        </w:rPr>
      </w:pPr>
    </w:p>
    <w:p>
      <w:pPr>
        <w:spacing w:line="360" w:lineRule="auto"/>
        <w:ind w:left="220" w:leftChars="100"/>
        <w:rPr>
          <w:sz w:val="20"/>
          <w:szCs w:val="20"/>
        </w:rPr>
      </w:pPr>
    </w:p>
    <w:p>
      <w:pPr>
        <w:spacing w:line="360" w:lineRule="auto"/>
        <w:ind w:left="220" w:leftChars="100"/>
        <w:rPr>
          <w:sz w:val="20"/>
          <w:szCs w:val="20"/>
        </w:rPr>
      </w:pPr>
    </w:p>
    <w:p>
      <w:pPr>
        <w:spacing w:line="360" w:lineRule="auto"/>
        <w:ind w:left="220" w:leftChars="100"/>
        <w:rPr>
          <w:sz w:val="20"/>
          <w:szCs w:val="20"/>
        </w:rPr>
      </w:pPr>
    </w:p>
    <w:p>
      <w:pPr>
        <w:spacing w:line="360" w:lineRule="auto"/>
        <w:ind w:left="220" w:leftChars="100"/>
        <w:rPr>
          <w:sz w:val="20"/>
          <w:szCs w:val="20"/>
        </w:rPr>
      </w:pPr>
    </w:p>
    <w:p>
      <w:pPr>
        <w:spacing w:line="360" w:lineRule="auto"/>
        <w:ind w:left="220" w:leftChars="100"/>
        <w:rPr>
          <w:sz w:val="20"/>
          <w:szCs w:val="20"/>
        </w:rPr>
      </w:pPr>
    </w:p>
    <w:p>
      <w:pPr>
        <w:spacing w:line="360" w:lineRule="auto"/>
        <w:rPr>
          <w:sz w:val="20"/>
          <w:szCs w:val="20"/>
        </w:rPr>
      </w:pPr>
    </w:p>
    <w:p>
      <w:pPr>
        <w:spacing w:line="360" w:lineRule="auto"/>
        <w:ind w:left="220" w:leftChars="100"/>
        <w:rPr>
          <w:sz w:val="20"/>
          <w:szCs w:val="20"/>
        </w:rPr>
      </w:pPr>
    </w:p>
    <w:p>
      <w:pPr>
        <w:spacing w:line="360" w:lineRule="auto"/>
        <w:sectPr>
          <w:type w:val="continuous"/>
          <w:pgSz w:w="11900" w:h="16840"/>
          <w:pgMar w:top="964" w:right="1123" w:bottom="652" w:left="482" w:header="0" w:footer="397" w:gutter="0"/>
          <w:cols w:space="425" w:num="1"/>
        </w:sectPr>
      </w:pPr>
    </w:p>
    <w:p>
      <w:pPr>
        <w:spacing w:line="360" w:lineRule="auto"/>
        <w:ind w:left="220" w:leftChars="100" w:firstLine="560"/>
        <w:jc w:val="both"/>
        <w:rPr>
          <w:sz w:val="20"/>
          <w:szCs w:val="20"/>
        </w:rPr>
      </w:pPr>
      <w:bookmarkStart w:id="119" w:name="page43"/>
      <w:bookmarkEnd w:id="119"/>
      <w:r>
        <w:rPr>
          <w:rFonts w:hint="eastAsia" w:ascii="宋体" w:hAnsi="宋体" w:eastAsia="宋体" w:cs="宋体"/>
          <w:b/>
          <w:bCs/>
          <w:sz w:val="28"/>
          <w:szCs w:val="28"/>
        </w:rPr>
        <w:t>20</w:t>
      </w:r>
      <w:r>
        <w:rPr>
          <w:rFonts w:ascii="宋体" w:hAnsi="宋体" w:eastAsia="宋体" w:cs="宋体"/>
          <w:b/>
          <w:bCs/>
          <w:sz w:val="28"/>
          <w:szCs w:val="28"/>
        </w:rPr>
        <w:t>、符合条件的残疾人福利性单位在参加政府采购活动时，应当提供《残疾人福利性单位声明函》（见附件），出具相关证明材料为准，并对声明的真实性负责（如有，请提供）</w:t>
      </w:r>
    </w:p>
    <w:p>
      <w:pPr>
        <w:spacing w:line="360" w:lineRule="auto"/>
        <w:ind w:left="220" w:leftChars="100"/>
        <w:rPr>
          <w:sz w:val="20"/>
          <w:szCs w:val="20"/>
        </w:rPr>
      </w:pPr>
    </w:p>
    <w:p>
      <w:pPr>
        <w:spacing w:line="360" w:lineRule="auto"/>
        <w:ind w:left="220" w:leftChars="100"/>
        <w:jc w:val="center"/>
        <w:rPr>
          <w:sz w:val="20"/>
          <w:szCs w:val="20"/>
        </w:rPr>
      </w:pPr>
      <w:bookmarkStart w:id="120" w:name="_Toc13875_WPSOffice_Level3"/>
      <w:r>
        <w:rPr>
          <w:rFonts w:ascii="宋体" w:hAnsi="宋体" w:eastAsia="宋体" w:cs="宋体"/>
          <w:b/>
          <w:bCs/>
          <w:sz w:val="28"/>
          <w:szCs w:val="28"/>
        </w:rPr>
        <w:t>残疾人福利性单位声明函</w:t>
      </w:r>
      <w:bookmarkEnd w:id="120"/>
    </w:p>
    <w:p>
      <w:pPr>
        <w:spacing w:line="360" w:lineRule="auto"/>
        <w:ind w:left="220" w:leftChars="100"/>
        <w:rPr>
          <w:sz w:val="20"/>
          <w:szCs w:val="20"/>
        </w:rPr>
      </w:pPr>
    </w:p>
    <w:p>
      <w:pPr>
        <w:spacing w:line="360" w:lineRule="auto"/>
        <w:ind w:left="220" w:leftChars="100" w:firstLine="560"/>
        <w:jc w:val="both"/>
        <w:rPr>
          <w:sz w:val="20"/>
          <w:szCs w:val="20"/>
        </w:rPr>
      </w:pPr>
      <w:r>
        <w:rPr>
          <w:rFonts w:ascii="宋体" w:hAnsi="宋体" w:eastAsia="宋体" w:cs="宋体"/>
          <w:sz w:val="27"/>
          <w:szCs w:val="27"/>
        </w:rPr>
        <w:t>本单位郑重声明，根据《财政部 民政部 中国残疾人联合会关于 促进残疾人就业政府采购政策的通知》（财库〔2017〕141 号）的规定，本单位为符合条件的残疾人福利性单位，且本单位参加______单 位的______项目采购活动提供本单位制造的货物（由本单位承担工程/ 提供服务），或者提供其他残疾人福利性单位制造的货物（不包括使用 非残疾人福利性单位注册商标的货物）。</w:t>
      </w:r>
    </w:p>
    <w:p>
      <w:pPr>
        <w:spacing w:line="360" w:lineRule="auto"/>
        <w:ind w:left="220" w:leftChars="100"/>
        <w:rPr>
          <w:sz w:val="20"/>
          <w:szCs w:val="20"/>
        </w:rPr>
      </w:pPr>
    </w:p>
    <w:p>
      <w:pPr>
        <w:spacing w:line="360" w:lineRule="auto"/>
        <w:ind w:left="220" w:leftChars="100"/>
        <w:rPr>
          <w:sz w:val="20"/>
          <w:szCs w:val="20"/>
        </w:rPr>
      </w:pPr>
      <w:r>
        <w:rPr>
          <w:rFonts w:ascii="宋体" w:hAnsi="宋体" w:eastAsia="宋体" w:cs="宋体"/>
          <w:sz w:val="28"/>
          <w:szCs w:val="28"/>
        </w:rPr>
        <w:t>本单位对上述声明的真实性负责。如有虚假，将依法承担相应责任。</w:t>
      </w:r>
    </w:p>
    <w:p>
      <w:pPr>
        <w:spacing w:line="360" w:lineRule="auto"/>
        <w:ind w:left="220" w:leftChars="100"/>
        <w:rPr>
          <w:sz w:val="20"/>
          <w:szCs w:val="20"/>
        </w:rPr>
      </w:pPr>
    </w:p>
    <w:p>
      <w:pPr>
        <w:spacing w:line="360" w:lineRule="auto"/>
        <w:ind w:left="220" w:leftChars="100"/>
        <w:rPr>
          <w:sz w:val="20"/>
          <w:szCs w:val="20"/>
        </w:rPr>
      </w:pPr>
    </w:p>
    <w:p>
      <w:pPr>
        <w:spacing w:line="360" w:lineRule="auto"/>
        <w:ind w:left="220" w:leftChars="100"/>
        <w:rPr>
          <w:sz w:val="20"/>
          <w:szCs w:val="20"/>
        </w:rPr>
      </w:pPr>
    </w:p>
    <w:p>
      <w:pPr>
        <w:spacing w:line="360" w:lineRule="auto"/>
        <w:ind w:left="220" w:leftChars="100"/>
        <w:rPr>
          <w:sz w:val="20"/>
          <w:szCs w:val="20"/>
        </w:rPr>
      </w:pPr>
      <w:r>
        <w:rPr>
          <w:rFonts w:ascii="宋体" w:hAnsi="宋体" w:eastAsia="宋体" w:cs="宋体"/>
          <w:sz w:val="27"/>
          <w:szCs w:val="27"/>
        </w:rPr>
        <w:t>单位名称（盖章）：___________</w:t>
      </w:r>
    </w:p>
    <w:p>
      <w:pPr>
        <w:spacing w:line="360" w:lineRule="auto"/>
        <w:ind w:left="220" w:leftChars="100"/>
        <w:rPr>
          <w:sz w:val="20"/>
          <w:szCs w:val="20"/>
        </w:rPr>
      </w:pPr>
    </w:p>
    <w:p>
      <w:pPr>
        <w:tabs>
          <w:tab w:val="left" w:pos="7400"/>
        </w:tabs>
        <w:spacing w:line="360" w:lineRule="auto"/>
        <w:ind w:left="220" w:leftChars="100"/>
        <w:rPr>
          <w:sz w:val="20"/>
          <w:szCs w:val="20"/>
        </w:rPr>
      </w:pPr>
      <w:r>
        <w:rPr>
          <w:rFonts w:ascii="宋体" w:hAnsi="宋体" w:eastAsia="宋体" w:cs="宋体"/>
          <w:sz w:val="28"/>
          <w:szCs w:val="28"/>
        </w:rPr>
        <w:t>日期：___________</w:t>
      </w:r>
    </w:p>
    <w:p>
      <w:pPr>
        <w:spacing w:line="360" w:lineRule="auto"/>
        <w:ind w:left="220" w:leftChars="100"/>
        <w:rPr>
          <w:sz w:val="20"/>
          <w:szCs w:val="20"/>
        </w:rPr>
      </w:pPr>
    </w:p>
    <w:p>
      <w:pPr>
        <w:spacing w:line="360" w:lineRule="auto"/>
        <w:ind w:left="220" w:leftChars="100"/>
        <w:rPr>
          <w:sz w:val="20"/>
          <w:szCs w:val="20"/>
        </w:rPr>
      </w:pPr>
    </w:p>
    <w:p>
      <w:pPr>
        <w:spacing w:line="360" w:lineRule="auto"/>
        <w:ind w:left="220" w:leftChars="100"/>
        <w:rPr>
          <w:sz w:val="20"/>
          <w:szCs w:val="20"/>
        </w:rPr>
      </w:pPr>
    </w:p>
    <w:p>
      <w:pPr>
        <w:spacing w:line="360" w:lineRule="auto"/>
        <w:ind w:left="220" w:leftChars="100"/>
        <w:rPr>
          <w:sz w:val="20"/>
          <w:szCs w:val="20"/>
        </w:rPr>
      </w:pPr>
    </w:p>
    <w:p>
      <w:pPr>
        <w:spacing w:line="360" w:lineRule="auto"/>
        <w:ind w:left="220" w:leftChars="100" w:firstLine="562" w:firstLineChars="200"/>
        <w:rPr>
          <w:rFonts w:eastAsia="宋体"/>
          <w:sz w:val="20"/>
          <w:szCs w:val="20"/>
        </w:rPr>
      </w:pPr>
      <w:r>
        <w:rPr>
          <w:rFonts w:hint="eastAsia" w:ascii="宋体" w:hAnsi="宋体" w:eastAsia="宋体" w:cs="宋体"/>
          <w:b/>
          <w:bCs/>
          <w:sz w:val="28"/>
          <w:szCs w:val="28"/>
        </w:rPr>
        <w:t>21</w:t>
      </w:r>
      <w:r>
        <w:rPr>
          <w:rFonts w:ascii="宋体" w:hAnsi="宋体" w:eastAsia="宋体" w:cs="宋体"/>
          <w:b/>
          <w:bCs/>
          <w:sz w:val="28"/>
          <w:szCs w:val="28"/>
        </w:rPr>
        <w:t>、磋商供应商可结合本项目的评标办法视自身情况自行提交相关证明材</w:t>
      </w:r>
      <w:bookmarkStart w:id="121" w:name="_Toc13210_WPSOffice_Level2"/>
      <w:r>
        <w:rPr>
          <w:rFonts w:ascii="宋体" w:hAnsi="宋体" w:eastAsia="宋体" w:cs="宋体"/>
          <w:b/>
          <w:bCs/>
          <w:sz w:val="28"/>
          <w:szCs w:val="28"/>
        </w:rPr>
        <w:t>料</w:t>
      </w:r>
      <w:bookmarkEnd w:id="121"/>
      <w:r>
        <w:rPr>
          <w:rFonts w:hint="eastAsia" w:ascii="宋体" w:hAnsi="宋体" w:eastAsia="宋体" w:cs="宋体"/>
          <w:b/>
          <w:bCs/>
          <w:sz w:val="28"/>
          <w:szCs w:val="28"/>
        </w:rPr>
        <w:t>。</w:t>
      </w:r>
    </w:p>
    <w:p>
      <w:pPr>
        <w:spacing w:line="360" w:lineRule="auto"/>
        <w:ind w:left="220" w:leftChars="100"/>
        <w:sectPr>
          <w:pgSz w:w="11900" w:h="16840"/>
          <w:pgMar w:top="964" w:right="1123" w:bottom="652" w:left="482" w:header="0" w:footer="397" w:gutter="0"/>
          <w:cols w:space="425" w:num="1"/>
        </w:sectPr>
      </w:pPr>
    </w:p>
    <w:p>
      <w:pPr>
        <w:spacing w:line="200" w:lineRule="exact"/>
        <w:ind w:left="220" w:leftChars="100"/>
        <w:rPr>
          <w:sz w:val="20"/>
          <w:szCs w:val="20"/>
        </w:rPr>
      </w:pPr>
    </w:p>
    <w:p>
      <w:pPr>
        <w:spacing w:line="200" w:lineRule="exact"/>
        <w:ind w:left="220" w:leftChars="100"/>
        <w:rPr>
          <w:sz w:val="20"/>
          <w:szCs w:val="20"/>
        </w:rPr>
      </w:pPr>
    </w:p>
    <w:p>
      <w:pPr>
        <w:spacing w:line="200" w:lineRule="exact"/>
        <w:ind w:left="220" w:leftChars="100"/>
        <w:rPr>
          <w:sz w:val="20"/>
          <w:szCs w:val="20"/>
        </w:rPr>
      </w:pPr>
    </w:p>
    <w:p>
      <w:pPr>
        <w:spacing w:line="200" w:lineRule="exact"/>
        <w:ind w:left="220" w:leftChars="100"/>
        <w:rPr>
          <w:sz w:val="20"/>
          <w:szCs w:val="20"/>
        </w:rPr>
      </w:pPr>
    </w:p>
    <w:p>
      <w:pPr>
        <w:spacing w:line="200" w:lineRule="exact"/>
        <w:ind w:left="220" w:leftChars="100"/>
        <w:rPr>
          <w:sz w:val="20"/>
          <w:szCs w:val="20"/>
        </w:rPr>
      </w:pPr>
    </w:p>
    <w:p>
      <w:pPr>
        <w:spacing w:line="200" w:lineRule="exact"/>
        <w:ind w:left="220" w:leftChars="100"/>
        <w:rPr>
          <w:sz w:val="20"/>
          <w:szCs w:val="20"/>
        </w:rPr>
      </w:pPr>
    </w:p>
    <w:p>
      <w:pPr>
        <w:spacing w:line="200" w:lineRule="exact"/>
        <w:ind w:left="220" w:leftChars="100"/>
        <w:rPr>
          <w:sz w:val="20"/>
          <w:szCs w:val="20"/>
        </w:rPr>
      </w:pPr>
    </w:p>
    <w:p>
      <w:pPr>
        <w:spacing w:line="200" w:lineRule="exact"/>
        <w:ind w:left="220" w:leftChars="100"/>
        <w:rPr>
          <w:sz w:val="20"/>
          <w:szCs w:val="20"/>
        </w:rPr>
      </w:pPr>
    </w:p>
    <w:p>
      <w:pPr>
        <w:spacing w:line="200" w:lineRule="exact"/>
        <w:ind w:left="220" w:leftChars="100"/>
        <w:rPr>
          <w:sz w:val="20"/>
          <w:szCs w:val="20"/>
        </w:rPr>
      </w:pPr>
    </w:p>
    <w:p>
      <w:pPr>
        <w:spacing w:line="200" w:lineRule="exact"/>
        <w:ind w:left="220" w:leftChars="100"/>
        <w:rPr>
          <w:sz w:val="20"/>
          <w:szCs w:val="20"/>
        </w:rPr>
      </w:pPr>
    </w:p>
    <w:p>
      <w:pPr>
        <w:spacing w:line="200" w:lineRule="exact"/>
        <w:ind w:left="220" w:leftChars="100"/>
        <w:rPr>
          <w:sz w:val="20"/>
          <w:szCs w:val="20"/>
        </w:rPr>
      </w:pPr>
    </w:p>
    <w:p>
      <w:pPr>
        <w:spacing w:line="200" w:lineRule="exact"/>
        <w:ind w:left="220" w:leftChars="100"/>
        <w:rPr>
          <w:sz w:val="20"/>
          <w:szCs w:val="20"/>
        </w:rPr>
      </w:pPr>
    </w:p>
    <w:p>
      <w:pPr>
        <w:spacing w:line="200" w:lineRule="exact"/>
        <w:ind w:left="220" w:leftChars="100"/>
        <w:rPr>
          <w:sz w:val="20"/>
          <w:szCs w:val="20"/>
        </w:rPr>
      </w:pPr>
    </w:p>
    <w:p>
      <w:pPr>
        <w:spacing w:line="200" w:lineRule="exact"/>
        <w:ind w:left="220" w:leftChars="100"/>
        <w:rPr>
          <w:sz w:val="20"/>
          <w:szCs w:val="20"/>
        </w:rPr>
      </w:pPr>
    </w:p>
    <w:p>
      <w:pPr>
        <w:spacing w:line="200" w:lineRule="exact"/>
        <w:ind w:left="220" w:leftChars="100"/>
        <w:rPr>
          <w:sz w:val="20"/>
          <w:szCs w:val="20"/>
        </w:rPr>
      </w:pPr>
    </w:p>
    <w:p>
      <w:pPr>
        <w:ind w:right="20"/>
        <w:jc w:val="both"/>
        <w:rPr>
          <w:sz w:val="20"/>
          <w:szCs w:val="20"/>
        </w:rPr>
      </w:pPr>
    </w:p>
    <w:sectPr>
      <w:type w:val="continuous"/>
      <w:pgSz w:w="11900" w:h="16840"/>
      <w:pgMar w:top="964" w:right="1123" w:bottom="652" w:left="482" w:header="0" w:footer="397" w:gutter="0"/>
      <w:cols w:space="425"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Arial">
    <w:panose1 w:val="020B0604020202020204"/>
    <w:charset w:val="00"/>
    <w:family w:val="swiss"/>
    <w:pitch w:val="default"/>
    <w:sig w:usb0="E0002EFF" w:usb1="C000785B" w:usb2="00000009" w:usb3="00000000" w:csb0="400001FF" w:csb1="FFFF0000"/>
  </w:font>
  <w:font w:name="FangSong_GB2312">
    <w:altName w:val="仿宋"/>
    <w:panose1 w:val="02010609060101010101"/>
    <w:charset w:val="00"/>
    <w:family w:val="roman"/>
    <w:pitch w:val="default"/>
    <w:sig w:usb0="00000000" w:usb1="00000000" w:usb2="00000000" w:usb3="00000000" w:csb0="00000000" w:csb1="00000000"/>
  </w:font>
  <w:font w:name="FZXiaoBiaoSong-B05S">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STZhongsong">
    <w:altName w:val="Segoe Print"/>
    <w:panose1 w:val="00000000000000000000"/>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enter" w:pos="5148"/>
        <w:tab w:val="clear" w:pos="4153"/>
        <w:tab w:val="clear" w:pos="8306"/>
      </w:tabs>
    </w:pPr>
    <w: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FHoZJQVAgAAFQQAAA4AAAAAAAAA&#10;AQAgAAAAHwEAAGRycy9lMm9Eb2MueG1sUEsFBgAAAAAGAAYAWQEAAKYFAAAAAA==&#10;">
          <v:path/>
          <v:fill on="f" focussize="0,0"/>
          <v:stroke on="f" weight="0.5pt" joinstyle="miter"/>
          <v:imagedata o:title=""/>
          <o:lock v:ext="edit"/>
          <v:textbox inset="0mm,0mm,0mm,0mm" style="mso-fit-shape-to-text:t;">
            <w:txbxContent>
              <w:p>
                <w:pPr>
                  <w:pStyle w:val="10"/>
                </w:pPr>
                <w:r>
                  <w:fldChar w:fldCharType="begin"/>
                </w:r>
                <w:r>
                  <w:instrText xml:space="preserve"> PAGE  \* MERGEFORMAT </w:instrText>
                </w:r>
                <w:r>
                  <w:fldChar w:fldCharType="separate"/>
                </w:r>
                <w:r>
                  <w:t>2</w:t>
                </w:r>
                <w:r>
                  <w:fldChar w:fldCharType="end"/>
                </w:r>
              </w:p>
            </w:txbxContent>
          </v:textbox>
        </v:shape>
      </w:pict>
    </w:r>
    <w:r>
      <w:rPr>
        <w:rFonts w:hint="eastAsia"/>
      </w:rPr>
      <w:tab/>
    </w:r>
    <w:r>
      <w:rPr>
        <w:rFonts w:hint="eastAsia"/>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7CBE51"/>
    <w:multiLevelType w:val="singleLevel"/>
    <w:tmpl w:val="8E7CBE51"/>
    <w:lvl w:ilvl="0" w:tentative="0">
      <w:start w:val="9"/>
      <w:numFmt w:val="decimal"/>
      <w:suff w:val="nothing"/>
      <w:lvlText w:val="%1、"/>
      <w:lvlJc w:val="left"/>
    </w:lvl>
  </w:abstractNum>
  <w:abstractNum w:abstractNumId="1">
    <w:nsid w:val="BEFF1B99"/>
    <w:multiLevelType w:val="singleLevel"/>
    <w:tmpl w:val="BEFF1B99"/>
    <w:lvl w:ilvl="0" w:tentative="0">
      <w:start w:val="4"/>
      <w:numFmt w:val="decimal"/>
      <w:suff w:val="nothing"/>
      <w:lvlText w:val="（%1）"/>
      <w:lvlJc w:val="left"/>
    </w:lvl>
  </w:abstractNum>
  <w:abstractNum w:abstractNumId="2">
    <w:nsid w:val="C7E01C60"/>
    <w:multiLevelType w:val="singleLevel"/>
    <w:tmpl w:val="C7E01C60"/>
    <w:lvl w:ilvl="0" w:tentative="0">
      <w:start w:val="3"/>
      <w:numFmt w:val="decimal"/>
      <w:suff w:val="nothing"/>
      <w:lvlText w:val="（%1）"/>
      <w:lvlJc w:val="left"/>
    </w:lvl>
  </w:abstractNum>
  <w:abstractNum w:abstractNumId="3">
    <w:nsid w:val="10152D25"/>
    <w:multiLevelType w:val="singleLevel"/>
    <w:tmpl w:val="10152D25"/>
    <w:lvl w:ilvl="0" w:tentative="0">
      <w:start w:val="1"/>
      <w:numFmt w:val="decimal"/>
      <w:suff w:val="nothing"/>
      <w:lvlText w:val="（%1）"/>
      <w:lvlJc w:val="left"/>
    </w:lvl>
  </w:abstractNum>
  <w:abstractNum w:abstractNumId="4">
    <w:nsid w:val="1B1184B8"/>
    <w:multiLevelType w:val="singleLevel"/>
    <w:tmpl w:val="1B1184B8"/>
    <w:lvl w:ilvl="0" w:tentative="0">
      <w:start w:val="6"/>
      <w:numFmt w:val="decimal"/>
      <w:suff w:val="nothing"/>
      <w:lvlText w:val="%1、"/>
      <w:lvlJc w:val="left"/>
    </w:lvl>
  </w:abstractNum>
  <w:abstractNum w:abstractNumId="5">
    <w:nsid w:val="2E40BD6D"/>
    <w:multiLevelType w:val="singleLevel"/>
    <w:tmpl w:val="2E40BD6D"/>
    <w:lvl w:ilvl="0" w:tentative="0">
      <w:start w:val="1"/>
      <w:numFmt w:val="decimal"/>
      <w:suff w:val="nothing"/>
      <w:lvlText w:val="%1、"/>
      <w:lvlJc w:val="left"/>
    </w:lvl>
  </w:abstractNum>
  <w:abstractNum w:abstractNumId="6">
    <w:nsid w:val="46426661"/>
    <w:multiLevelType w:val="singleLevel"/>
    <w:tmpl w:val="46426661"/>
    <w:lvl w:ilvl="0" w:tentative="0">
      <w:start w:val="12"/>
      <w:numFmt w:val="decimal"/>
      <w:suff w:val="nothing"/>
      <w:lvlText w:val="%1、"/>
      <w:lvlJc w:val="left"/>
    </w:lvl>
  </w:abstractNum>
  <w:num w:numId="1">
    <w:abstractNumId w:val="1"/>
  </w:num>
  <w:num w:numId="2">
    <w:abstractNumId w:val="3"/>
  </w:num>
  <w:num w:numId="3">
    <w:abstractNumId w:val="2"/>
  </w:num>
  <w:num w:numId="4">
    <w:abstractNumId w:val="5"/>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hdrShapeDefaults>
    <o:shapelayout v:ext="edit">
      <o:idmap v:ext="edit" data="2"/>
    </o:shapelayout>
  </w:hdrShapeDefaults>
  <w:compat>
    <w:doNotExpandShiftReturn/>
    <w:doNotWrapTextWithPunct/>
    <w:doNotUseEastAsianBreakRules/>
    <w:useFELayout/>
    <w:doNotUseIndentAsNumberingTabStop/>
    <w:useAltKinsokuLineBreakRules/>
    <w:compatSetting w:name="compatibilityMode" w:uri="http://schemas.microsoft.com/office/word" w:val="12"/>
  </w:compat>
  <w:rsids>
    <w:rsidRoot w:val="00AF3481"/>
    <w:rsid w:val="00017FE3"/>
    <w:rsid w:val="00024FA5"/>
    <w:rsid w:val="000C69FC"/>
    <w:rsid w:val="000F3387"/>
    <w:rsid w:val="001174CC"/>
    <w:rsid w:val="001343C6"/>
    <w:rsid w:val="0017794C"/>
    <w:rsid w:val="00194CC9"/>
    <w:rsid w:val="001D0C3E"/>
    <w:rsid w:val="001D0F3F"/>
    <w:rsid w:val="002079C7"/>
    <w:rsid w:val="002737EF"/>
    <w:rsid w:val="00282AE4"/>
    <w:rsid w:val="00296BC3"/>
    <w:rsid w:val="002B6C84"/>
    <w:rsid w:val="00300D45"/>
    <w:rsid w:val="003353FC"/>
    <w:rsid w:val="00371241"/>
    <w:rsid w:val="00371DA9"/>
    <w:rsid w:val="00397E7D"/>
    <w:rsid w:val="003A73F7"/>
    <w:rsid w:val="003B766B"/>
    <w:rsid w:val="003E6969"/>
    <w:rsid w:val="004044F3"/>
    <w:rsid w:val="00406BB3"/>
    <w:rsid w:val="00417B0E"/>
    <w:rsid w:val="00451766"/>
    <w:rsid w:val="004577E8"/>
    <w:rsid w:val="0047602B"/>
    <w:rsid w:val="004B50C6"/>
    <w:rsid w:val="004D10B2"/>
    <w:rsid w:val="00515362"/>
    <w:rsid w:val="005576BA"/>
    <w:rsid w:val="00563090"/>
    <w:rsid w:val="0060338C"/>
    <w:rsid w:val="00677028"/>
    <w:rsid w:val="00695BB8"/>
    <w:rsid w:val="006E28C6"/>
    <w:rsid w:val="00721B84"/>
    <w:rsid w:val="00792FE0"/>
    <w:rsid w:val="007A5557"/>
    <w:rsid w:val="007A7238"/>
    <w:rsid w:val="00823333"/>
    <w:rsid w:val="00831D6D"/>
    <w:rsid w:val="00835EBC"/>
    <w:rsid w:val="00860F55"/>
    <w:rsid w:val="00874EDA"/>
    <w:rsid w:val="00883D5E"/>
    <w:rsid w:val="00893F31"/>
    <w:rsid w:val="008B148B"/>
    <w:rsid w:val="008B5347"/>
    <w:rsid w:val="008C3B56"/>
    <w:rsid w:val="008D44C7"/>
    <w:rsid w:val="008E15BB"/>
    <w:rsid w:val="009077CA"/>
    <w:rsid w:val="00913E5C"/>
    <w:rsid w:val="00916944"/>
    <w:rsid w:val="00917E28"/>
    <w:rsid w:val="009509F8"/>
    <w:rsid w:val="0095300D"/>
    <w:rsid w:val="00964032"/>
    <w:rsid w:val="00967146"/>
    <w:rsid w:val="00984460"/>
    <w:rsid w:val="009C1D98"/>
    <w:rsid w:val="009D2A35"/>
    <w:rsid w:val="00A01DD8"/>
    <w:rsid w:val="00A05DD4"/>
    <w:rsid w:val="00A72A65"/>
    <w:rsid w:val="00A73177"/>
    <w:rsid w:val="00A858C4"/>
    <w:rsid w:val="00AF3481"/>
    <w:rsid w:val="00B21354"/>
    <w:rsid w:val="00B35F5F"/>
    <w:rsid w:val="00B36D4F"/>
    <w:rsid w:val="00B40B4B"/>
    <w:rsid w:val="00B83A0B"/>
    <w:rsid w:val="00B86666"/>
    <w:rsid w:val="00BF76DA"/>
    <w:rsid w:val="00C30599"/>
    <w:rsid w:val="00C93282"/>
    <w:rsid w:val="00C95500"/>
    <w:rsid w:val="00CB70C9"/>
    <w:rsid w:val="00CC7CFC"/>
    <w:rsid w:val="00CE5CB8"/>
    <w:rsid w:val="00D0708E"/>
    <w:rsid w:val="00D31B1D"/>
    <w:rsid w:val="00D56368"/>
    <w:rsid w:val="00DA36BA"/>
    <w:rsid w:val="00DA721A"/>
    <w:rsid w:val="00DB4129"/>
    <w:rsid w:val="00E606EE"/>
    <w:rsid w:val="00EA1EDC"/>
    <w:rsid w:val="00EA7B00"/>
    <w:rsid w:val="00ED50E5"/>
    <w:rsid w:val="00ED6A9C"/>
    <w:rsid w:val="00EE0300"/>
    <w:rsid w:val="00EF35B8"/>
    <w:rsid w:val="00EF68F9"/>
    <w:rsid w:val="00F02338"/>
    <w:rsid w:val="00F45D05"/>
    <w:rsid w:val="00F662E6"/>
    <w:rsid w:val="00FC6010"/>
    <w:rsid w:val="00FF14A4"/>
    <w:rsid w:val="015A34F2"/>
    <w:rsid w:val="03D6096E"/>
    <w:rsid w:val="055E01B8"/>
    <w:rsid w:val="06565E32"/>
    <w:rsid w:val="06B3575C"/>
    <w:rsid w:val="0B577924"/>
    <w:rsid w:val="0D3A2EF0"/>
    <w:rsid w:val="0D411FA9"/>
    <w:rsid w:val="0FED740F"/>
    <w:rsid w:val="108010DF"/>
    <w:rsid w:val="1162418D"/>
    <w:rsid w:val="132A11F8"/>
    <w:rsid w:val="15E4745D"/>
    <w:rsid w:val="15F05527"/>
    <w:rsid w:val="168064A2"/>
    <w:rsid w:val="1DA14CE6"/>
    <w:rsid w:val="20127D66"/>
    <w:rsid w:val="214715C2"/>
    <w:rsid w:val="231858B7"/>
    <w:rsid w:val="249A2E4E"/>
    <w:rsid w:val="2A194AE7"/>
    <w:rsid w:val="2C416B02"/>
    <w:rsid w:val="2CF00F19"/>
    <w:rsid w:val="2D115C7A"/>
    <w:rsid w:val="2DE265B2"/>
    <w:rsid w:val="2E0F365C"/>
    <w:rsid w:val="31023444"/>
    <w:rsid w:val="32E139B2"/>
    <w:rsid w:val="334358D0"/>
    <w:rsid w:val="34183624"/>
    <w:rsid w:val="383C255C"/>
    <w:rsid w:val="3A04174A"/>
    <w:rsid w:val="3A7D7DCF"/>
    <w:rsid w:val="3D073ED3"/>
    <w:rsid w:val="3D8A7CDC"/>
    <w:rsid w:val="3E135CCA"/>
    <w:rsid w:val="3F4D66B7"/>
    <w:rsid w:val="419001B0"/>
    <w:rsid w:val="4235019A"/>
    <w:rsid w:val="427144E4"/>
    <w:rsid w:val="42A312AE"/>
    <w:rsid w:val="434D0641"/>
    <w:rsid w:val="43F178F0"/>
    <w:rsid w:val="448A5348"/>
    <w:rsid w:val="46947A96"/>
    <w:rsid w:val="4C37652F"/>
    <w:rsid w:val="4D6A1D3E"/>
    <w:rsid w:val="54170BC1"/>
    <w:rsid w:val="58082250"/>
    <w:rsid w:val="593F7FEB"/>
    <w:rsid w:val="5AEC2E4C"/>
    <w:rsid w:val="5DBF069E"/>
    <w:rsid w:val="5FE56656"/>
    <w:rsid w:val="618164D0"/>
    <w:rsid w:val="63156D14"/>
    <w:rsid w:val="63D67525"/>
    <w:rsid w:val="63DE2488"/>
    <w:rsid w:val="67235ECA"/>
    <w:rsid w:val="67B22F76"/>
    <w:rsid w:val="6898389F"/>
    <w:rsid w:val="6BD268C3"/>
    <w:rsid w:val="6DFB76B5"/>
    <w:rsid w:val="72362DFD"/>
    <w:rsid w:val="72DA183A"/>
    <w:rsid w:val="736470D9"/>
    <w:rsid w:val="758F52A4"/>
    <w:rsid w:val="771A6DF7"/>
    <w:rsid w:val="77941FD1"/>
    <w:rsid w:val="79F64051"/>
    <w:rsid w:val="7AE2239F"/>
    <w:rsid w:val="7C651FEB"/>
    <w:rsid w:val="7E2F1A74"/>
    <w:rsid w:val="7E570898"/>
    <w:rsid w:val="7F827676"/>
    <w:rsid w:val="7FC44C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cs="Times New Roman" w:eastAsiaTheme="minorEastAsia"/>
      <w:sz w:val="22"/>
      <w:szCs w:val="22"/>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36"/>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2">
    <w:name w:val="heading 6"/>
    <w:basedOn w:val="1"/>
    <w:next w:val="1"/>
    <w:qFormat/>
    <w:uiPriority w:val="0"/>
    <w:pPr>
      <w:keepNext/>
      <w:keepLines/>
      <w:spacing w:before="240" w:after="64" w:line="317" w:lineRule="auto"/>
      <w:outlineLvl w:val="5"/>
    </w:pPr>
    <w:rPr>
      <w:rFonts w:ascii="Cambria" w:hAnsi="Cambria"/>
      <w:b/>
      <w:bCs/>
      <w:sz w:val="24"/>
    </w:rPr>
  </w:style>
  <w:style w:type="character" w:default="1" w:styleId="15">
    <w:name w:val="Default Paragraph Font"/>
    <w:semiHidden/>
    <w:unhideWhenUsed/>
    <w:uiPriority w:val="1"/>
  </w:style>
  <w:style w:type="table" w:default="1" w:styleId="14">
    <w:name w:val="Normal Table"/>
    <w:semiHidden/>
    <w:unhideWhenUsed/>
    <w:uiPriority w:val="99"/>
    <w:tblPr>
      <w:tblCellMar>
        <w:top w:w="0" w:type="dxa"/>
        <w:left w:w="108" w:type="dxa"/>
        <w:bottom w:w="0" w:type="dxa"/>
        <w:right w:w="108" w:type="dxa"/>
      </w:tblCellMar>
    </w:tblPr>
  </w:style>
  <w:style w:type="paragraph" w:styleId="5">
    <w:name w:val="Document Map"/>
    <w:basedOn w:val="1"/>
    <w:link w:val="25"/>
    <w:unhideWhenUsed/>
    <w:qFormat/>
    <w:uiPriority w:val="99"/>
    <w:rPr>
      <w:rFonts w:ascii="宋体" w:eastAsia="宋体"/>
      <w:sz w:val="18"/>
      <w:szCs w:val="18"/>
    </w:rPr>
  </w:style>
  <w:style w:type="paragraph" w:styleId="6">
    <w:name w:val="annotation text"/>
    <w:basedOn w:val="1"/>
    <w:link w:val="34"/>
    <w:semiHidden/>
    <w:unhideWhenUsed/>
    <w:uiPriority w:val="99"/>
  </w:style>
  <w:style w:type="paragraph" w:styleId="7">
    <w:name w:val="Body Text"/>
    <w:basedOn w:val="1"/>
    <w:unhideWhenUsed/>
    <w:uiPriority w:val="0"/>
    <w:pPr>
      <w:spacing w:after="120"/>
    </w:pPr>
  </w:style>
  <w:style w:type="paragraph" w:styleId="8">
    <w:name w:val="Plain Text"/>
    <w:basedOn w:val="1"/>
    <w:link w:val="33"/>
    <w:qFormat/>
    <w:uiPriority w:val="0"/>
    <w:rPr>
      <w:rFonts w:ascii="宋体" w:hAnsi="Courier New"/>
      <w:sz w:val="20"/>
      <w:szCs w:val="21"/>
    </w:rPr>
  </w:style>
  <w:style w:type="paragraph" w:styleId="9">
    <w:name w:val="Balloon Text"/>
    <w:basedOn w:val="1"/>
    <w:link w:val="26"/>
    <w:unhideWhenUsed/>
    <w:qFormat/>
    <w:uiPriority w:val="99"/>
    <w:rPr>
      <w:sz w:val="18"/>
      <w:szCs w:val="18"/>
    </w:rPr>
  </w:style>
  <w:style w:type="paragraph" w:styleId="10">
    <w:name w:val="footer"/>
    <w:basedOn w:val="1"/>
    <w:unhideWhenUsed/>
    <w:qFormat/>
    <w:uiPriority w:val="99"/>
    <w:pPr>
      <w:tabs>
        <w:tab w:val="center" w:pos="4153"/>
        <w:tab w:val="right" w:pos="8306"/>
      </w:tabs>
      <w:snapToGrid w:val="0"/>
    </w:pPr>
    <w:rPr>
      <w:sz w:val="18"/>
    </w:rPr>
  </w:style>
  <w:style w:type="paragraph" w:styleId="11">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12">
    <w:name w:val="Title"/>
    <w:basedOn w:val="1"/>
    <w:qFormat/>
    <w:uiPriority w:val="0"/>
    <w:pPr>
      <w:jc w:val="center"/>
      <w:outlineLvl w:val="0"/>
    </w:pPr>
    <w:rPr>
      <w:rFonts w:ascii="Arial" w:hAnsi="Arial"/>
      <w:b/>
      <w:bCs/>
      <w:sz w:val="32"/>
      <w:szCs w:val="32"/>
    </w:rPr>
  </w:style>
  <w:style w:type="paragraph" w:styleId="13">
    <w:name w:val="annotation subject"/>
    <w:basedOn w:val="6"/>
    <w:next w:val="6"/>
    <w:link w:val="35"/>
    <w:semiHidden/>
    <w:unhideWhenUsed/>
    <w:uiPriority w:val="99"/>
    <w:rPr>
      <w:b/>
      <w:bCs/>
    </w:rPr>
  </w:style>
  <w:style w:type="character" w:styleId="16">
    <w:name w:val="Hyperlink"/>
    <w:basedOn w:val="15"/>
    <w:unhideWhenUsed/>
    <w:qFormat/>
    <w:uiPriority w:val="99"/>
    <w:rPr>
      <w:color w:val="0000FF"/>
      <w:u w:val="single"/>
    </w:rPr>
  </w:style>
  <w:style w:type="character" w:styleId="17">
    <w:name w:val="annotation reference"/>
    <w:basedOn w:val="15"/>
    <w:semiHidden/>
    <w:unhideWhenUsed/>
    <w:uiPriority w:val="99"/>
    <w:rPr>
      <w:sz w:val="21"/>
      <w:szCs w:val="21"/>
    </w:rPr>
  </w:style>
  <w:style w:type="paragraph" w:customStyle="1" w:styleId="18">
    <w:name w:val="表内文字"/>
    <w:basedOn w:val="1"/>
    <w:qFormat/>
    <w:uiPriority w:val="0"/>
    <w:pPr>
      <w:snapToGrid w:val="0"/>
      <w:spacing w:before="50" w:after="50"/>
      <w:jc w:val="center"/>
    </w:pPr>
    <w:rPr>
      <w:rFonts w:ascii="FangSong_GB2312" w:hAnsi="宋体" w:eastAsia="FangSong_GB2312"/>
      <w:b/>
      <w:color w:val="000000"/>
      <w:sz w:val="32"/>
      <w:szCs w:val="32"/>
    </w:rPr>
  </w:style>
  <w:style w:type="paragraph" w:customStyle="1" w:styleId="19">
    <w:name w:val="WPSOffice手动目录 1"/>
    <w:qFormat/>
    <w:uiPriority w:val="0"/>
    <w:rPr>
      <w:rFonts w:ascii="Times New Roman" w:hAnsi="Times New Roman" w:eastAsia="宋体" w:cs="Times New Roman"/>
      <w:lang w:val="en-US" w:eastAsia="zh-CN" w:bidi="ar-SA"/>
    </w:rPr>
  </w:style>
  <w:style w:type="paragraph" w:customStyle="1" w:styleId="20">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21">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22">
    <w:name w:val="正文1111"/>
    <w:qFormat/>
    <w:uiPriority w:val="0"/>
    <w:pPr>
      <w:spacing w:before="60" w:after="60" w:line="360" w:lineRule="auto"/>
      <w:ind w:firstLine="480" w:firstLineChars="200"/>
      <w:jc w:val="both"/>
    </w:pPr>
    <w:rPr>
      <w:rFonts w:ascii="宋体" w:hAnsi="宋体" w:eastAsia="宋体" w:cs="Times New Roman"/>
      <w:sz w:val="24"/>
      <w:szCs w:val="24"/>
      <w:lang w:val="en-US" w:eastAsia="zh-CN" w:bidi="ar-SA"/>
    </w:rPr>
  </w:style>
  <w:style w:type="paragraph" w:customStyle="1" w:styleId="23">
    <w:name w:val="Plain Text1"/>
    <w:basedOn w:val="1"/>
    <w:qFormat/>
    <w:uiPriority w:val="0"/>
    <w:rPr>
      <w:rFonts w:ascii="黑体" w:hAnsi="Calibri" w:eastAsia="黑体"/>
      <w:sz w:val="20"/>
      <w:szCs w:val="21"/>
    </w:rPr>
  </w:style>
  <w:style w:type="paragraph" w:customStyle="1" w:styleId="24">
    <w:name w:val="列出段落1"/>
    <w:basedOn w:val="1"/>
    <w:qFormat/>
    <w:uiPriority w:val="0"/>
    <w:pPr>
      <w:ind w:firstLine="420" w:firstLineChars="200"/>
    </w:pPr>
    <w:rPr>
      <w:rFonts w:ascii="Calibri" w:hAnsi="Calibri"/>
    </w:rPr>
  </w:style>
  <w:style w:type="character" w:customStyle="1" w:styleId="25">
    <w:name w:val="文档结构图 Char"/>
    <w:basedOn w:val="15"/>
    <w:link w:val="5"/>
    <w:semiHidden/>
    <w:qFormat/>
    <w:uiPriority w:val="99"/>
    <w:rPr>
      <w:rFonts w:ascii="宋体"/>
      <w:sz w:val="18"/>
      <w:szCs w:val="18"/>
    </w:rPr>
  </w:style>
  <w:style w:type="character" w:customStyle="1" w:styleId="26">
    <w:name w:val="批注框文本 Char"/>
    <w:basedOn w:val="15"/>
    <w:link w:val="9"/>
    <w:semiHidden/>
    <w:qFormat/>
    <w:uiPriority w:val="99"/>
    <w:rPr>
      <w:rFonts w:eastAsiaTheme="minorEastAsia"/>
      <w:sz w:val="18"/>
      <w:szCs w:val="18"/>
    </w:rPr>
  </w:style>
  <w:style w:type="paragraph" w:customStyle="1" w:styleId="27">
    <w:name w:val="列出段落2"/>
    <w:basedOn w:val="1"/>
    <w:unhideWhenUsed/>
    <w:qFormat/>
    <w:uiPriority w:val="99"/>
    <w:pPr>
      <w:ind w:firstLine="420" w:firstLineChars="200"/>
    </w:pPr>
  </w:style>
  <w:style w:type="character" w:customStyle="1" w:styleId="28">
    <w:name w:val="font61"/>
    <w:basedOn w:val="15"/>
    <w:qFormat/>
    <w:uiPriority w:val="0"/>
    <w:rPr>
      <w:rFonts w:hint="eastAsia" w:ascii="宋体" w:hAnsi="宋体" w:eastAsia="宋体" w:cs="宋体"/>
      <w:color w:val="000000"/>
      <w:sz w:val="20"/>
      <w:szCs w:val="20"/>
      <w:u w:val="none"/>
    </w:rPr>
  </w:style>
  <w:style w:type="character" w:customStyle="1" w:styleId="29">
    <w:name w:val="font11"/>
    <w:basedOn w:val="15"/>
    <w:qFormat/>
    <w:uiPriority w:val="0"/>
    <w:rPr>
      <w:rFonts w:hint="eastAsia" w:ascii="宋体" w:hAnsi="宋体" w:eastAsia="宋体" w:cs="宋体"/>
      <w:color w:val="FF0000"/>
      <w:sz w:val="20"/>
      <w:szCs w:val="20"/>
      <w:u w:val="none"/>
    </w:rPr>
  </w:style>
  <w:style w:type="character" w:customStyle="1" w:styleId="30">
    <w:name w:val="font131"/>
    <w:basedOn w:val="15"/>
    <w:qFormat/>
    <w:uiPriority w:val="0"/>
    <w:rPr>
      <w:rFonts w:hint="eastAsia" w:ascii="宋体" w:hAnsi="宋体" w:eastAsia="宋体" w:cs="宋体"/>
      <w:color w:val="000000"/>
      <w:sz w:val="20"/>
      <w:szCs w:val="20"/>
      <w:u w:val="none"/>
    </w:rPr>
  </w:style>
  <w:style w:type="character" w:customStyle="1" w:styleId="31">
    <w:name w:val="font51"/>
    <w:basedOn w:val="15"/>
    <w:qFormat/>
    <w:uiPriority w:val="0"/>
    <w:rPr>
      <w:rFonts w:hint="eastAsia" w:ascii="宋体" w:hAnsi="宋体" w:eastAsia="宋体" w:cs="宋体"/>
      <w:color w:val="000000"/>
      <w:sz w:val="20"/>
      <w:szCs w:val="20"/>
      <w:u w:val="none"/>
    </w:rPr>
  </w:style>
  <w:style w:type="character" w:customStyle="1" w:styleId="32">
    <w:name w:val="font41"/>
    <w:basedOn w:val="15"/>
    <w:qFormat/>
    <w:uiPriority w:val="0"/>
    <w:rPr>
      <w:rFonts w:hint="eastAsia" w:ascii="宋体" w:hAnsi="宋体" w:eastAsia="宋体" w:cs="宋体"/>
      <w:color w:val="000000"/>
      <w:sz w:val="20"/>
      <w:szCs w:val="20"/>
      <w:u w:val="none"/>
    </w:rPr>
  </w:style>
  <w:style w:type="character" w:customStyle="1" w:styleId="33">
    <w:name w:val="纯文本 Char"/>
    <w:link w:val="8"/>
    <w:qFormat/>
    <w:uiPriority w:val="0"/>
    <w:rPr>
      <w:rFonts w:ascii="宋体" w:hAnsi="Courier New" w:eastAsiaTheme="minorEastAsia"/>
      <w:szCs w:val="21"/>
    </w:rPr>
  </w:style>
  <w:style w:type="character" w:customStyle="1" w:styleId="34">
    <w:name w:val="批注文字 Char"/>
    <w:basedOn w:val="15"/>
    <w:link w:val="6"/>
    <w:semiHidden/>
    <w:uiPriority w:val="99"/>
    <w:rPr>
      <w:rFonts w:eastAsiaTheme="minorEastAsia"/>
      <w:sz w:val="22"/>
      <w:szCs w:val="22"/>
    </w:rPr>
  </w:style>
  <w:style w:type="character" w:customStyle="1" w:styleId="35">
    <w:name w:val="批注主题 Char"/>
    <w:basedOn w:val="34"/>
    <w:link w:val="13"/>
    <w:semiHidden/>
    <w:uiPriority w:val="99"/>
    <w:rPr>
      <w:rFonts w:eastAsiaTheme="minorEastAsia"/>
      <w:b/>
      <w:bCs/>
      <w:sz w:val="22"/>
      <w:szCs w:val="22"/>
    </w:rPr>
  </w:style>
  <w:style w:type="character" w:customStyle="1" w:styleId="36">
    <w:name w:val="标题 2 Char"/>
    <w:basedOn w:val="15"/>
    <w:link w:val="4"/>
    <w:semiHidden/>
    <w:uiPriority w:val="9"/>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1035"/>
    <customShpInfo spid="_x0000_s1036"/>
    <customShpInfo spid="_x0000_s1026" textRotate="1"/>
    <customShpInfo spid="_x0000_s1032"/>
    <customShpInfo spid="_x0000_s1031"/>
    <customShpInfo spid="_x0000_s1030"/>
    <customShpInfo spid="_x0000_s1029"/>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48</Pages>
  <Words>5362</Words>
  <Characters>30570</Characters>
  <Lines>254</Lines>
  <Paragraphs>71</Paragraphs>
  <TotalTime>255</TotalTime>
  <ScaleCrop>false</ScaleCrop>
  <LinksUpToDate>false</LinksUpToDate>
  <CharactersWithSpaces>35861</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2019-11-25T03:24:00Z</dcterms:created>
  <dc:creator>Windows User</dc:creator>
  <cp:lastModifiedBy>A Pele da Flor</cp:lastModifiedBy>
  <cp:lastPrinted>2019-11-26T01:07:00Z</cp:lastPrinted>
  <dcterms:modified xsi:type="dcterms:W3CDTF">2020-11-09T07:46:40Z</dcterms:modified>
  <cp:revision>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